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17" w:rsidRDefault="008D1917" w:rsidP="00270220">
      <w:pPr>
        <w:spacing w:line="240" w:lineRule="auto"/>
        <w:ind w:firstLine="0"/>
        <w:jc w:val="center"/>
        <w:rPr>
          <w:b/>
        </w:rPr>
      </w:pPr>
      <w:r w:rsidRPr="001B271C">
        <w:rPr>
          <w:b/>
        </w:rPr>
        <w:t>PENNSYLVANIA</w:t>
      </w:r>
    </w:p>
    <w:p w:rsidR="008D1917" w:rsidRPr="001B271C" w:rsidRDefault="008D1917" w:rsidP="00270220">
      <w:pPr>
        <w:spacing w:line="240" w:lineRule="auto"/>
        <w:ind w:firstLine="0"/>
        <w:jc w:val="center"/>
        <w:rPr>
          <w:b/>
        </w:rPr>
      </w:pPr>
      <w:r w:rsidRPr="001B271C">
        <w:rPr>
          <w:b/>
        </w:rPr>
        <w:t>PUBLIC UTILITY COMMISSION</w:t>
      </w:r>
    </w:p>
    <w:p w:rsidR="008D1917" w:rsidRPr="001B271C" w:rsidRDefault="008D1917" w:rsidP="00270220">
      <w:pPr>
        <w:spacing w:line="240" w:lineRule="auto"/>
        <w:ind w:firstLine="0"/>
        <w:jc w:val="center"/>
        <w:rPr>
          <w:b/>
        </w:rPr>
      </w:pPr>
      <w:smartTag w:uri="urn:schemas-microsoft-com:office:smarttags" w:element="place">
        <w:smartTag w:uri="urn:schemas-microsoft-com:office:smarttags" w:element="City">
          <w:r w:rsidRPr="001B271C">
            <w:rPr>
              <w:b/>
            </w:rPr>
            <w:t>Harrisburg</w:t>
          </w:r>
        </w:smartTag>
        <w:r w:rsidRPr="001B271C">
          <w:rPr>
            <w:b/>
          </w:rPr>
          <w:t xml:space="preserve">, </w:t>
        </w:r>
        <w:smartTag w:uri="urn:schemas-microsoft-com:office:smarttags" w:element="State">
          <w:r w:rsidRPr="001B271C">
            <w:rPr>
              <w:b/>
            </w:rPr>
            <w:t>PA</w:t>
          </w:r>
        </w:smartTag>
        <w:r w:rsidRPr="001B271C">
          <w:rPr>
            <w:b/>
          </w:rPr>
          <w:t xml:space="preserve"> </w:t>
        </w:r>
        <w:smartTag w:uri="urn:schemas-microsoft-com:office:smarttags" w:element="PostalCode">
          <w:r w:rsidRPr="001B271C">
            <w:rPr>
              <w:b/>
            </w:rPr>
            <w:t>17105-3265</w:t>
          </w:r>
        </w:smartTag>
      </w:smartTag>
    </w:p>
    <w:p w:rsidR="008D1917" w:rsidRDefault="008D1917" w:rsidP="00270220">
      <w:pPr>
        <w:jc w:val="center"/>
      </w:pPr>
    </w:p>
    <w:p w:rsidR="008D1917" w:rsidRPr="001B271C" w:rsidRDefault="008D1917" w:rsidP="00270220">
      <w:pPr>
        <w:spacing w:line="240" w:lineRule="auto"/>
        <w:ind w:firstLine="0"/>
      </w:pPr>
      <w:r w:rsidRPr="001B271C">
        <w:tab/>
      </w:r>
      <w:r w:rsidRPr="001B271C">
        <w:tab/>
      </w:r>
      <w:r w:rsidRPr="001B271C">
        <w:tab/>
      </w:r>
      <w:r w:rsidRPr="001B271C">
        <w:tab/>
      </w:r>
      <w:r w:rsidRPr="001B271C">
        <w:tab/>
      </w:r>
      <w:r w:rsidRPr="001B271C">
        <w:tab/>
      </w:r>
      <w:r>
        <w:tab/>
      </w:r>
      <w:r w:rsidRPr="001B271C">
        <w:t>Public Meeting held</w:t>
      </w:r>
      <w:r>
        <w:t xml:space="preserve"> </w:t>
      </w:r>
      <w:r w:rsidR="006D269C">
        <w:t>September 16</w:t>
      </w:r>
      <w:r>
        <w:t>, 2010</w:t>
      </w:r>
    </w:p>
    <w:p w:rsidR="008D1917" w:rsidRPr="001B271C" w:rsidRDefault="008D1917" w:rsidP="00270220">
      <w:pPr>
        <w:spacing w:line="240" w:lineRule="auto"/>
        <w:ind w:firstLine="0"/>
        <w:jc w:val="center"/>
      </w:pPr>
    </w:p>
    <w:p w:rsidR="00EA2A2F" w:rsidRDefault="00EA2A2F" w:rsidP="00270220">
      <w:pPr>
        <w:spacing w:line="240" w:lineRule="auto"/>
        <w:ind w:firstLine="0"/>
      </w:pPr>
    </w:p>
    <w:p w:rsidR="008D1917" w:rsidRPr="001B271C" w:rsidRDefault="008D1917" w:rsidP="00270220">
      <w:pPr>
        <w:spacing w:line="240" w:lineRule="auto"/>
        <w:ind w:firstLine="0"/>
      </w:pPr>
      <w:r w:rsidRPr="001B271C">
        <w:t>Commissioners Present:</w:t>
      </w:r>
    </w:p>
    <w:p w:rsidR="008D1917" w:rsidRPr="001B271C" w:rsidRDefault="008D1917" w:rsidP="00270220">
      <w:pPr>
        <w:spacing w:line="240" w:lineRule="auto"/>
        <w:ind w:firstLine="0"/>
      </w:pPr>
    </w:p>
    <w:p w:rsidR="008D1917" w:rsidRPr="001B271C" w:rsidRDefault="008D1917" w:rsidP="00270220">
      <w:pPr>
        <w:spacing w:line="240" w:lineRule="auto"/>
        <w:ind w:firstLine="0"/>
      </w:pPr>
      <w:r w:rsidRPr="001B271C">
        <w:tab/>
        <w:t>James H. Cawley, Chairman</w:t>
      </w:r>
      <w:r w:rsidR="008A20EA">
        <w:t>, Statement</w:t>
      </w:r>
    </w:p>
    <w:p w:rsidR="008D1917" w:rsidRDefault="008D1917" w:rsidP="00270220">
      <w:pPr>
        <w:spacing w:line="240" w:lineRule="auto"/>
        <w:ind w:firstLine="0"/>
      </w:pPr>
      <w:r w:rsidRPr="001B271C">
        <w:tab/>
        <w:t>Tyrone J. Christy, Vice Chairman</w:t>
      </w:r>
      <w:r w:rsidR="008A20EA">
        <w:t>, Statement</w:t>
      </w:r>
    </w:p>
    <w:p w:rsidR="008D1917" w:rsidRDefault="008D1917" w:rsidP="00270220">
      <w:pPr>
        <w:spacing w:line="240" w:lineRule="auto"/>
        <w:ind w:firstLine="0"/>
      </w:pPr>
      <w:r>
        <w:tab/>
        <w:t>John F. Coleman, Jr.</w:t>
      </w:r>
    </w:p>
    <w:p w:rsidR="008D1917" w:rsidRDefault="008D1917" w:rsidP="00270220">
      <w:pPr>
        <w:spacing w:line="240" w:lineRule="auto"/>
        <w:ind w:firstLine="0"/>
      </w:pPr>
      <w:r>
        <w:tab/>
      </w:r>
      <w:r w:rsidRPr="001B271C">
        <w:t>Wayne E. Gardner</w:t>
      </w:r>
    </w:p>
    <w:p w:rsidR="008D1917" w:rsidRPr="001B271C" w:rsidRDefault="008D1917" w:rsidP="00270220">
      <w:pPr>
        <w:spacing w:line="240" w:lineRule="auto"/>
        <w:ind w:firstLine="0"/>
      </w:pPr>
      <w:r>
        <w:tab/>
      </w:r>
      <w:r w:rsidRPr="001B271C">
        <w:t>Robert F. Powelson</w:t>
      </w:r>
      <w:r w:rsidR="008A20EA">
        <w:t>, Statement</w:t>
      </w:r>
    </w:p>
    <w:p w:rsidR="008D1917" w:rsidRDefault="008D1917" w:rsidP="00270220">
      <w:pPr>
        <w:spacing w:line="240" w:lineRule="auto"/>
        <w:ind w:firstLine="0"/>
      </w:pPr>
      <w:r>
        <w:tab/>
      </w:r>
    </w:p>
    <w:p w:rsidR="00B6763D" w:rsidRDefault="00B6763D" w:rsidP="00270220">
      <w:pPr>
        <w:spacing w:line="240" w:lineRule="auto"/>
        <w:ind w:firstLine="0"/>
      </w:pPr>
    </w:p>
    <w:p w:rsidR="00EA2A2F" w:rsidRDefault="00EA2A2F" w:rsidP="00270220">
      <w:pPr>
        <w:spacing w:line="240" w:lineRule="auto"/>
        <w:ind w:firstLine="0"/>
      </w:pPr>
    </w:p>
    <w:p w:rsidR="00EA2A2F" w:rsidRPr="001B271C" w:rsidRDefault="00EA2A2F" w:rsidP="00270220">
      <w:pPr>
        <w:spacing w:line="240" w:lineRule="auto"/>
        <w:ind w:firstLine="0"/>
      </w:pPr>
    </w:p>
    <w:p w:rsidR="008D1917" w:rsidRDefault="008D1917" w:rsidP="00270220">
      <w:pPr>
        <w:spacing w:line="240" w:lineRule="auto"/>
        <w:ind w:firstLine="0"/>
      </w:pPr>
    </w:p>
    <w:p w:rsidR="008D1917" w:rsidRDefault="008D1917" w:rsidP="00270220">
      <w:pPr>
        <w:tabs>
          <w:tab w:val="left" w:pos="7200"/>
        </w:tabs>
        <w:spacing w:line="240" w:lineRule="auto"/>
        <w:ind w:firstLine="0"/>
      </w:pPr>
      <w:r>
        <w:t>Pennsylvania Public Utility Commission</w:t>
      </w:r>
      <w:r>
        <w:tab/>
        <w:t>R-20</w:t>
      </w:r>
      <w:r w:rsidR="00C526B3">
        <w:t>10</w:t>
      </w:r>
      <w:r>
        <w:t>-21</w:t>
      </w:r>
      <w:r w:rsidR="00C526B3">
        <w:t>55608</w:t>
      </w:r>
    </w:p>
    <w:p w:rsidR="008D1917" w:rsidRDefault="008D1917" w:rsidP="00270220">
      <w:pPr>
        <w:tabs>
          <w:tab w:val="left" w:pos="7200"/>
        </w:tabs>
        <w:spacing w:line="240" w:lineRule="auto"/>
        <w:ind w:firstLine="0"/>
      </w:pPr>
      <w:r>
        <w:t>Office of Consumer Advocate</w:t>
      </w:r>
      <w:r>
        <w:tab/>
        <w:t>C-2010-21</w:t>
      </w:r>
      <w:r w:rsidR="00C526B3">
        <w:t>63637</w:t>
      </w:r>
    </w:p>
    <w:p w:rsidR="00C526B3" w:rsidRDefault="008D1917" w:rsidP="00270220">
      <w:pPr>
        <w:tabs>
          <w:tab w:val="left" w:pos="7200"/>
        </w:tabs>
        <w:spacing w:line="240" w:lineRule="auto"/>
        <w:ind w:firstLine="0"/>
      </w:pPr>
      <w:r>
        <w:t>Office of Small Business Advocate</w:t>
      </w:r>
      <w:r w:rsidR="00C526B3" w:rsidRPr="00C526B3">
        <w:t xml:space="preserve"> </w:t>
      </w:r>
      <w:r w:rsidR="00C526B3">
        <w:tab/>
        <w:t>C-2010-2164664</w:t>
      </w:r>
    </w:p>
    <w:p w:rsidR="00F76BE9" w:rsidRDefault="00C526B3" w:rsidP="00270220">
      <w:pPr>
        <w:tabs>
          <w:tab w:val="left" w:pos="7200"/>
        </w:tabs>
        <w:spacing w:line="240" w:lineRule="auto"/>
        <w:ind w:firstLine="0"/>
      </w:pPr>
      <w:r>
        <w:t>Grace A. Czolba</w:t>
      </w:r>
      <w:r w:rsidR="00F76BE9" w:rsidRPr="00F76BE9">
        <w:t xml:space="preserve"> </w:t>
      </w:r>
      <w:r w:rsidR="00F76BE9">
        <w:tab/>
        <w:t>C-2010-2169787</w:t>
      </w:r>
    </w:p>
    <w:p w:rsidR="00F76BE9" w:rsidRDefault="00F76BE9" w:rsidP="00270220">
      <w:pPr>
        <w:tabs>
          <w:tab w:val="left" w:pos="7200"/>
        </w:tabs>
        <w:spacing w:line="240" w:lineRule="auto"/>
        <w:ind w:firstLine="0"/>
      </w:pPr>
      <w:r>
        <w:t>Dennis Keibler</w:t>
      </w:r>
      <w:r>
        <w:tab/>
        <w:t>C-2010-2171221</w:t>
      </w:r>
    </w:p>
    <w:p w:rsidR="00F76BE9" w:rsidRDefault="00F76BE9" w:rsidP="00270220">
      <w:pPr>
        <w:tabs>
          <w:tab w:val="left" w:pos="7200"/>
        </w:tabs>
        <w:spacing w:line="240" w:lineRule="auto"/>
        <w:ind w:firstLine="0"/>
      </w:pPr>
      <w:r>
        <w:t>James Nicklin</w:t>
      </w:r>
      <w:r>
        <w:tab/>
        <w:t>C-2010-2171481</w:t>
      </w:r>
    </w:p>
    <w:p w:rsidR="00F76BE9" w:rsidRDefault="00F76BE9" w:rsidP="00270220">
      <w:pPr>
        <w:tabs>
          <w:tab w:val="left" w:pos="7200"/>
        </w:tabs>
        <w:spacing w:line="240" w:lineRule="auto"/>
        <w:ind w:firstLine="0"/>
      </w:pPr>
      <w:r>
        <w:t>Joseph J. Virostek</w:t>
      </w:r>
      <w:r>
        <w:tab/>
        <w:t>C-2010-2171513</w:t>
      </w:r>
    </w:p>
    <w:p w:rsidR="00F76BE9" w:rsidRDefault="00B6763D" w:rsidP="00270220">
      <w:pPr>
        <w:tabs>
          <w:tab w:val="left" w:pos="7200"/>
        </w:tabs>
        <w:spacing w:line="240" w:lineRule="auto"/>
        <w:ind w:firstLine="0"/>
      </w:pPr>
      <w:r>
        <w:t>Merle Neumann</w:t>
      </w:r>
      <w:r>
        <w:tab/>
        <w:t>C-2010-2172660</w:t>
      </w:r>
    </w:p>
    <w:p w:rsidR="00B6763D" w:rsidRDefault="00B6763D" w:rsidP="00270220">
      <w:pPr>
        <w:tabs>
          <w:tab w:val="left" w:pos="7200"/>
        </w:tabs>
        <w:spacing w:line="240" w:lineRule="auto"/>
        <w:ind w:firstLine="0"/>
      </w:pPr>
      <w:r>
        <w:t>Don Barricella</w:t>
      </w:r>
      <w:r>
        <w:tab/>
        <w:t>C-2010-2175027</w:t>
      </w:r>
    </w:p>
    <w:p w:rsidR="008D1917" w:rsidRDefault="008D1917" w:rsidP="00270220">
      <w:pPr>
        <w:tabs>
          <w:tab w:val="left" w:pos="7200"/>
        </w:tabs>
        <w:spacing w:line="240" w:lineRule="auto"/>
        <w:ind w:firstLine="0"/>
      </w:pPr>
      <w:r>
        <w:tab/>
      </w:r>
    </w:p>
    <w:p w:rsidR="008D1917" w:rsidRDefault="008D1917" w:rsidP="00270220">
      <w:pPr>
        <w:tabs>
          <w:tab w:val="left" w:pos="7200"/>
        </w:tabs>
        <w:spacing w:line="240" w:lineRule="auto"/>
        <w:ind w:firstLine="1152"/>
      </w:pPr>
      <w:r>
        <w:t>v.</w:t>
      </w:r>
      <w:r>
        <w:tab/>
      </w:r>
    </w:p>
    <w:p w:rsidR="008D1917" w:rsidRDefault="008D1917" w:rsidP="00270220">
      <w:pPr>
        <w:tabs>
          <w:tab w:val="left" w:pos="7200"/>
        </w:tabs>
        <w:spacing w:line="240" w:lineRule="auto"/>
        <w:ind w:firstLine="0"/>
      </w:pPr>
      <w:r>
        <w:tab/>
      </w:r>
    </w:p>
    <w:p w:rsidR="008D1917" w:rsidRDefault="00B6763D" w:rsidP="00270220">
      <w:pPr>
        <w:tabs>
          <w:tab w:val="left" w:pos="7200"/>
        </w:tabs>
        <w:spacing w:line="240" w:lineRule="auto"/>
        <w:ind w:firstLine="0"/>
      </w:pPr>
      <w:r>
        <w:t>Peoples Natural Gas Company, LLC</w:t>
      </w:r>
      <w:r w:rsidR="008D1917">
        <w:tab/>
      </w:r>
    </w:p>
    <w:p w:rsidR="008D1917" w:rsidRDefault="008D1917" w:rsidP="00270220">
      <w:pPr>
        <w:tabs>
          <w:tab w:val="left" w:pos="2160"/>
          <w:tab w:val="left" w:pos="7200"/>
        </w:tabs>
        <w:spacing w:line="240" w:lineRule="auto"/>
        <w:ind w:firstLine="0"/>
      </w:pPr>
    </w:p>
    <w:p w:rsidR="004E7676" w:rsidRDefault="008D1917" w:rsidP="0027022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firstLine="0"/>
        <w:rPr>
          <w:b/>
        </w:rPr>
      </w:pPr>
      <w:r>
        <w:rPr>
          <w:b/>
        </w:rPr>
        <w:br w:type="page"/>
      </w:r>
    </w:p>
    <w:sdt>
      <w:sdtPr>
        <w:rPr>
          <w:rFonts w:eastAsia="Times New Roman" w:cs="Times New Roman"/>
          <w:b w:val="0"/>
          <w:bCs w:val="0"/>
          <w:szCs w:val="24"/>
        </w:rPr>
        <w:id w:val="64325129"/>
        <w:docPartObj>
          <w:docPartGallery w:val="Table of Contents"/>
          <w:docPartUnique/>
        </w:docPartObj>
      </w:sdtPr>
      <w:sdtContent>
        <w:p w:rsidR="004E7676" w:rsidRDefault="004E7676" w:rsidP="00270220">
          <w:pPr>
            <w:pStyle w:val="TOCHeading"/>
            <w:jc w:val="center"/>
          </w:pPr>
          <w:r>
            <w:t>Contents</w:t>
          </w:r>
        </w:p>
        <w:p w:rsidR="004E7676" w:rsidRPr="004E7676" w:rsidRDefault="004E7676" w:rsidP="00270220"/>
        <w:p w:rsidR="004E7676" w:rsidRDefault="009C2AF3" w:rsidP="00270220">
          <w:pPr>
            <w:pStyle w:val="TOC1"/>
            <w:rPr>
              <w:rFonts w:asciiTheme="minorHAnsi" w:eastAsiaTheme="minorEastAsia" w:hAnsiTheme="minorHAnsi" w:cstheme="minorBidi"/>
              <w:noProof/>
              <w:sz w:val="22"/>
              <w:szCs w:val="22"/>
            </w:rPr>
          </w:pPr>
          <w:r>
            <w:fldChar w:fldCharType="begin"/>
          </w:r>
          <w:r w:rsidR="004E7676">
            <w:instrText xml:space="preserve"> TOC \o "1-4" \h \z \u </w:instrText>
          </w:r>
          <w:r>
            <w:fldChar w:fldCharType="separate"/>
          </w:r>
          <w:hyperlink w:anchor="_Toc271015505" w:history="1">
            <w:r w:rsidR="004E7676" w:rsidRPr="00121F12">
              <w:rPr>
                <w:rStyle w:val="Hyperlink"/>
                <w:noProof/>
              </w:rPr>
              <w:t xml:space="preserve">I.  </w:t>
            </w:r>
            <w:r w:rsidR="008146E3">
              <w:rPr>
                <w:rStyle w:val="Hyperlink"/>
                <w:noProof/>
              </w:rPr>
              <w:t xml:space="preserve">  </w:t>
            </w:r>
            <w:r w:rsidR="004E7676" w:rsidRPr="00121F12">
              <w:rPr>
                <w:rStyle w:val="Hyperlink"/>
                <w:noProof/>
              </w:rPr>
              <w:t>Introduction</w:t>
            </w:r>
            <w:r w:rsidR="004E7676">
              <w:rPr>
                <w:noProof/>
                <w:webHidden/>
              </w:rPr>
              <w:tab/>
            </w:r>
            <w:r>
              <w:rPr>
                <w:noProof/>
                <w:webHidden/>
              </w:rPr>
              <w:fldChar w:fldCharType="begin"/>
            </w:r>
            <w:r w:rsidR="004E7676">
              <w:rPr>
                <w:noProof/>
                <w:webHidden/>
              </w:rPr>
              <w:instrText xml:space="preserve"> PAGEREF _Toc271015505 \h </w:instrText>
            </w:r>
            <w:r>
              <w:rPr>
                <w:noProof/>
                <w:webHidden/>
              </w:rPr>
            </w:r>
            <w:r>
              <w:rPr>
                <w:noProof/>
                <w:webHidden/>
              </w:rPr>
              <w:fldChar w:fldCharType="separate"/>
            </w:r>
            <w:r w:rsidR="00D56DA9">
              <w:rPr>
                <w:noProof/>
                <w:webHidden/>
              </w:rPr>
              <w:t>1</w:t>
            </w:r>
            <w:r>
              <w:rPr>
                <w:noProof/>
                <w:webHidden/>
              </w:rPr>
              <w:fldChar w:fldCharType="end"/>
            </w:r>
          </w:hyperlink>
        </w:p>
        <w:p w:rsidR="004E7676" w:rsidRDefault="009C2AF3" w:rsidP="00270220">
          <w:pPr>
            <w:pStyle w:val="TOC1"/>
            <w:rPr>
              <w:rFonts w:asciiTheme="minorHAnsi" w:eastAsiaTheme="minorEastAsia" w:hAnsiTheme="minorHAnsi" w:cstheme="minorBidi"/>
              <w:noProof/>
              <w:sz w:val="22"/>
              <w:szCs w:val="22"/>
            </w:rPr>
          </w:pPr>
          <w:hyperlink w:anchor="_Toc271015506" w:history="1">
            <w:r w:rsidR="004E7676" w:rsidRPr="00121F12">
              <w:rPr>
                <w:rStyle w:val="Hyperlink"/>
                <w:noProof/>
              </w:rPr>
              <w:t>II.  History of the Proceeding</w:t>
            </w:r>
            <w:r w:rsidR="004E7676">
              <w:rPr>
                <w:noProof/>
                <w:webHidden/>
              </w:rPr>
              <w:tab/>
            </w:r>
            <w:r>
              <w:rPr>
                <w:noProof/>
                <w:webHidden/>
              </w:rPr>
              <w:fldChar w:fldCharType="begin"/>
            </w:r>
            <w:r w:rsidR="004E7676">
              <w:rPr>
                <w:noProof/>
                <w:webHidden/>
              </w:rPr>
              <w:instrText xml:space="preserve"> PAGEREF _Toc271015506 \h </w:instrText>
            </w:r>
            <w:r>
              <w:rPr>
                <w:noProof/>
                <w:webHidden/>
              </w:rPr>
            </w:r>
            <w:r>
              <w:rPr>
                <w:noProof/>
                <w:webHidden/>
              </w:rPr>
              <w:fldChar w:fldCharType="separate"/>
            </w:r>
            <w:r w:rsidR="00D56DA9">
              <w:rPr>
                <w:noProof/>
                <w:webHidden/>
              </w:rPr>
              <w:t>2</w:t>
            </w:r>
            <w:r>
              <w:rPr>
                <w:noProof/>
                <w:webHidden/>
              </w:rPr>
              <w:fldChar w:fldCharType="end"/>
            </w:r>
          </w:hyperlink>
        </w:p>
        <w:p w:rsidR="004E7676" w:rsidRDefault="009C2AF3" w:rsidP="00270220">
          <w:pPr>
            <w:pStyle w:val="TOC1"/>
            <w:rPr>
              <w:rFonts w:asciiTheme="minorHAnsi" w:eastAsiaTheme="minorEastAsia" w:hAnsiTheme="minorHAnsi" w:cstheme="minorBidi"/>
              <w:noProof/>
              <w:sz w:val="22"/>
              <w:szCs w:val="22"/>
            </w:rPr>
          </w:pPr>
          <w:hyperlink w:anchor="_Toc271015507" w:history="1">
            <w:r w:rsidR="004E7676" w:rsidRPr="00121F12">
              <w:rPr>
                <w:rStyle w:val="Hyperlink"/>
                <w:noProof/>
              </w:rPr>
              <w:t>III. Discussion</w:t>
            </w:r>
            <w:r w:rsidR="004E7676">
              <w:rPr>
                <w:noProof/>
                <w:webHidden/>
              </w:rPr>
              <w:tab/>
            </w:r>
            <w:r>
              <w:rPr>
                <w:noProof/>
                <w:webHidden/>
              </w:rPr>
              <w:fldChar w:fldCharType="begin"/>
            </w:r>
            <w:r w:rsidR="004E7676">
              <w:rPr>
                <w:noProof/>
                <w:webHidden/>
              </w:rPr>
              <w:instrText xml:space="preserve"> PAGEREF _Toc271015507 \h </w:instrText>
            </w:r>
            <w:r>
              <w:rPr>
                <w:noProof/>
                <w:webHidden/>
              </w:rPr>
            </w:r>
            <w:r>
              <w:rPr>
                <w:noProof/>
                <w:webHidden/>
              </w:rPr>
              <w:fldChar w:fldCharType="separate"/>
            </w:r>
            <w:r w:rsidR="00D56DA9">
              <w:rPr>
                <w:noProof/>
                <w:webHidden/>
              </w:rPr>
              <w:t>6</w:t>
            </w:r>
            <w:r>
              <w:rPr>
                <w:noProof/>
                <w:webHidden/>
              </w:rPr>
              <w:fldChar w:fldCharType="end"/>
            </w:r>
          </w:hyperlink>
        </w:p>
        <w:p w:rsidR="004E7676" w:rsidRDefault="009C2AF3" w:rsidP="00270220">
          <w:pPr>
            <w:pStyle w:val="TOC2"/>
            <w:ind w:firstLine="360"/>
            <w:rPr>
              <w:rFonts w:asciiTheme="minorHAnsi" w:eastAsiaTheme="minorEastAsia" w:hAnsiTheme="minorHAnsi" w:cstheme="minorBidi"/>
              <w:noProof/>
              <w:sz w:val="22"/>
              <w:szCs w:val="22"/>
            </w:rPr>
          </w:pPr>
          <w:hyperlink w:anchor="_Toc271015508" w:history="1">
            <w:r w:rsidR="004E7676" w:rsidRPr="00121F12">
              <w:rPr>
                <w:rStyle w:val="Hyperlink"/>
                <w:noProof/>
              </w:rPr>
              <w:t>A. Terms of the Settlement Petition</w:t>
            </w:r>
            <w:r w:rsidR="004E7676">
              <w:rPr>
                <w:noProof/>
                <w:webHidden/>
              </w:rPr>
              <w:tab/>
            </w:r>
            <w:r>
              <w:rPr>
                <w:noProof/>
                <w:webHidden/>
              </w:rPr>
              <w:fldChar w:fldCharType="begin"/>
            </w:r>
            <w:r w:rsidR="004E7676">
              <w:rPr>
                <w:noProof/>
                <w:webHidden/>
              </w:rPr>
              <w:instrText xml:space="preserve"> PAGEREF _Toc271015508 \h </w:instrText>
            </w:r>
            <w:r>
              <w:rPr>
                <w:noProof/>
                <w:webHidden/>
              </w:rPr>
            </w:r>
            <w:r>
              <w:rPr>
                <w:noProof/>
                <w:webHidden/>
              </w:rPr>
              <w:fldChar w:fldCharType="separate"/>
            </w:r>
            <w:r w:rsidR="00D56DA9">
              <w:rPr>
                <w:noProof/>
                <w:webHidden/>
              </w:rPr>
              <w:t>6</w:t>
            </w:r>
            <w:r>
              <w:rPr>
                <w:noProof/>
                <w:webHidden/>
              </w:rPr>
              <w:fldChar w:fldCharType="end"/>
            </w:r>
          </w:hyperlink>
        </w:p>
        <w:p w:rsidR="004E7676" w:rsidRDefault="009C2AF3" w:rsidP="00270220">
          <w:pPr>
            <w:pStyle w:val="TOC3"/>
            <w:ind w:left="475" w:firstLine="720"/>
            <w:rPr>
              <w:rFonts w:asciiTheme="minorHAnsi" w:eastAsiaTheme="minorEastAsia" w:hAnsiTheme="minorHAnsi" w:cstheme="minorBidi"/>
              <w:noProof/>
              <w:sz w:val="22"/>
              <w:szCs w:val="22"/>
            </w:rPr>
          </w:pPr>
          <w:hyperlink w:anchor="_Toc271015509" w:history="1">
            <w:r w:rsidR="004E7676" w:rsidRPr="00121F12">
              <w:rPr>
                <w:rStyle w:val="Hyperlink"/>
                <w:noProof/>
              </w:rPr>
              <w:t>1. Least Cost Fuel Procurement Policy</w:t>
            </w:r>
            <w:r w:rsidR="004E7676">
              <w:rPr>
                <w:noProof/>
                <w:webHidden/>
              </w:rPr>
              <w:tab/>
            </w:r>
            <w:r>
              <w:rPr>
                <w:noProof/>
                <w:webHidden/>
              </w:rPr>
              <w:fldChar w:fldCharType="begin"/>
            </w:r>
            <w:r w:rsidR="004E7676">
              <w:rPr>
                <w:noProof/>
                <w:webHidden/>
              </w:rPr>
              <w:instrText xml:space="preserve"> PAGEREF _Toc271015509 \h </w:instrText>
            </w:r>
            <w:r>
              <w:rPr>
                <w:noProof/>
                <w:webHidden/>
              </w:rPr>
            </w:r>
            <w:r>
              <w:rPr>
                <w:noProof/>
                <w:webHidden/>
              </w:rPr>
              <w:fldChar w:fldCharType="separate"/>
            </w:r>
            <w:r w:rsidR="00D56DA9">
              <w:rPr>
                <w:noProof/>
                <w:webHidden/>
              </w:rPr>
              <w:t>7</w:t>
            </w:r>
            <w:r>
              <w:rPr>
                <w:noProof/>
                <w:webHidden/>
              </w:rPr>
              <w:fldChar w:fldCharType="end"/>
            </w:r>
          </w:hyperlink>
        </w:p>
        <w:p w:rsidR="004E7676" w:rsidRDefault="009C2AF3" w:rsidP="00270220">
          <w:pPr>
            <w:pStyle w:val="TOC4"/>
            <w:tabs>
              <w:tab w:val="right" w:leader="dot" w:pos="9350"/>
            </w:tabs>
            <w:spacing w:after="0"/>
            <w:ind w:left="778" w:firstLine="1080"/>
            <w:rPr>
              <w:rFonts w:asciiTheme="minorHAnsi" w:eastAsiaTheme="minorEastAsia" w:hAnsiTheme="minorHAnsi" w:cstheme="minorBidi"/>
              <w:noProof/>
              <w:sz w:val="22"/>
              <w:szCs w:val="22"/>
            </w:rPr>
          </w:pPr>
          <w:hyperlink w:anchor="_Toc271015510" w:history="1">
            <w:r w:rsidR="004E7676" w:rsidRPr="00121F12">
              <w:rPr>
                <w:rStyle w:val="Hyperlink"/>
                <w:noProof/>
              </w:rPr>
              <w:t>(a) FERC Proceedings</w:t>
            </w:r>
            <w:r w:rsidR="004E7676">
              <w:rPr>
                <w:noProof/>
                <w:webHidden/>
              </w:rPr>
              <w:tab/>
            </w:r>
            <w:r>
              <w:rPr>
                <w:noProof/>
                <w:webHidden/>
              </w:rPr>
              <w:fldChar w:fldCharType="begin"/>
            </w:r>
            <w:r w:rsidR="004E7676">
              <w:rPr>
                <w:noProof/>
                <w:webHidden/>
              </w:rPr>
              <w:instrText xml:space="preserve"> PAGEREF _Toc271015510 \h </w:instrText>
            </w:r>
            <w:r>
              <w:rPr>
                <w:noProof/>
                <w:webHidden/>
              </w:rPr>
            </w:r>
            <w:r>
              <w:rPr>
                <w:noProof/>
                <w:webHidden/>
              </w:rPr>
              <w:fldChar w:fldCharType="separate"/>
            </w:r>
            <w:r w:rsidR="00D56DA9">
              <w:rPr>
                <w:noProof/>
                <w:webHidden/>
              </w:rPr>
              <w:t>7</w:t>
            </w:r>
            <w:r>
              <w:rPr>
                <w:noProof/>
                <w:webHidden/>
              </w:rPr>
              <w:fldChar w:fldCharType="end"/>
            </w:r>
          </w:hyperlink>
        </w:p>
        <w:p w:rsidR="004E7676" w:rsidRDefault="009C2AF3" w:rsidP="00270220">
          <w:pPr>
            <w:pStyle w:val="TOC4"/>
            <w:tabs>
              <w:tab w:val="right" w:leader="dot" w:pos="9350"/>
            </w:tabs>
            <w:spacing w:after="0"/>
            <w:ind w:left="778" w:firstLine="1080"/>
            <w:rPr>
              <w:rFonts w:asciiTheme="minorHAnsi" w:eastAsiaTheme="minorEastAsia" w:hAnsiTheme="minorHAnsi" w:cstheme="minorBidi"/>
              <w:noProof/>
              <w:sz w:val="22"/>
              <w:szCs w:val="22"/>
            </w:rPr>
          </w:pPr>
          <w:hyperlink w:anchor="_Toc271015511" w:history="1">
            <w:r w:rsidR="004E7676" w:rsidRPr="00121F12">
              <w:rPr>
                <w:rStyle w:val="Hyperlink"/>
                <w:noProof/>
              </w:rPr>
              <w:t>(b) Negotiation of Contracts and Gas Procurement</w:t>
            </w:r>
            <w:r w:rsidR="004E7676">
              <w:rPr>
                <w:noProof/>
                <w:webHidden/>
              </w:rPr>
              <w:tab/>
            </w:r>
            <w:r>
              <w:rPr>
                <w:noProof/>
                <w:webHidden/>
              </w:rPr>
              <w:fldChar w:fldCharType="begin"/>
            </w:r>
            <w:r w:rsidR="004E7676">
              <w:rPr>
                <w:noProof/>
                <w:webHidden/>
              </w:rPr>
              <w:instrText xml:space="preserve"> PAGEREF _Toc271015511 \h </w:instrText>
            </w:r>
            <w:r>
              <w:rPr>
                <w:noProof/>
                <w:webHidden/>
              </w:rPr>
            </w:r>
            <w:r>
              <w:rPr>
                <w:noProof/>
                <w:webHidden/>
              </w:rPr>
              <w:fldChar w:fldCharType="separate"/>
            </w:r>
            <w:r w:rsidR="00D56DA9">
              <w:rPr>
                <w:noProof/>
                <w:webHidden/>
              </w:rPr>
              <w:t>8</w:t>
            </w:r>
            <w:r>
              <w:rPr>
                <w:noProof/>
                <w:webHidden/>
              </w:rPr>
              <w:fldChar w:fldCharType="end"/>
            </w:r>
          </w:hyperlink>
        </w:p>
        <w:p w:rsidR="004E7676" w:rsidRDefault="009C2AF3" w:rsidP="00270220">
          <w:pPr>
            <w:pStyle w:val="TOC4"/>
            <w:tabs>
              <w:tab w:val="right" w:leader="dot" w:pos="9350"/>
            </w:tabs>
            <w:spacing w:after="0"/>
            <w:ind w:left="778" w:firstLine="1080"/>
            <w:rPr>
              <w:rFonts w:asciiTheme="minorHAnsi" w:eastAsiaTheme="minorEastAsia" w:hAnsiTheme="minorHAnsi" w:cstheme="minorBidi"/>
              <w:noProof/>
              <w:sz w:val="22"/>
              <w:szCs w:val="22"/>
            </w:rPr>
          </w:pPr>
          <w:hyperlink w:anchor="_Toc271015512" w:history="1">
            <w:r w:rsidR="004E7676" w:rsidRPr="00121F12">
              <w:rPr>
                <w:rStyle w:val="Hyperlink"/>
                <w:noProof/>
              </w:rPr>
              <w:t>(c) Affiliate Transactions</w:t>
            </w:r>
            <w:r w:rsidR="004E7676">
              <w:rPr>
                <w:noProof/>
                <w:webHidden/>
              </w:rPr>
              <w:tab/>
            </w:r>
            <w:r>
              <w:rPr>
                <w:noProof/>
                <w:webHidden/>
              </w:rPr>
              <w:fldChar w:fldCharType="begin"/>
            </w:r>
            <w:r w:rsidR="004E7676">
              <w:rPr>
                <w:noProof/>
                <w:webHidden/>
              </w:rPr>
              <w:instrText xml:space="preserve"> PAGEREF _Toc271015512 \h </w:instrText>
            </w:r>
            <w:r>
              <w:rPr>
                <w:noProof/>
                <w:webHidden/>
              </w:rPr>
            </w:r>
            <w:r>
              <w:rPr>
                <w:noProof/>
                <w:webHidden/>
              </w:rPr>
              <w:fldChar w:fldCharType="separate"/>
            </w:r>
            <w:r w:rsidR="00D56DA9">
              <w:rPr>
                <w:noProof/>
                <w:webHidden/>
              </w:rPr>
              <w:t>10</w:t>
            </w:r>
            <w:r>
              <w:rPr>
                <w:noProof/>
                <w:webHidden/>
              </w:rPr>
              <w:fldChar w:fldCharType="end"/>
            </w:r>
          </w:hyperlink>
        </w:p>
        <w:p w:rsidR="004E7676" w:rsidRDefault="009C2AF3" w:rsidP="00270220">
          <w:pPr>
            <w:pStyle w:val="TOC4"/>
            <w:tabs>
              <w:tab w:val="right" w:leader="dot" w:pos="9350"/>
            </w:tabs>
            <w:spacing w:after="0"/>
            <w:ind w:left="778" w:firstLine="1080"/>
            <w:rPr>
              <w:rFonts w:asciiTheme="minorHAnsi" w:eastAsiaTheme="minorEastAsia" w:hAnsiTheme="minorHAnsi" w:cstheme="minorBidi"/>
              <w:noProof/>
              <w:sz w:val="22"/>
              <w:szCs w:val="22"/>
            </w:rPr>
          </w:pPr>
          <w:hyperlink w:anchor="_Toc271015513" w:history="1">
            <w:r w:rsidR="004E7676" w:rsidRPr="00121F12">
              <w:rPr>
                <w:rStyle w:val="Hyperlink"/>
                <w:noProof/>
              </w:rPr>
              <w:t>(d) Shut-in Practices</w:t>
            </w:r>
            <w:r w:rsidR="004E7676">
              <w:rPr>
                <w:noProof/>
                <w:webHidden/>
              </w:rPr>
              <w:tab/>
            </w:r>
            <w:r>
              <w:rPr>
                <w:noProof/>
                <w:webHidden/>
              </w:rPr>
              <w:fldChar w:fldCharType="begin"/>
            </w:r>
            <w:r w:rsidR="004E7676">
              <w:rPr>
                <w:noProof/>
                <w:webHidden/>
              </w:rPr>
              <w:instrText xml:space="preserve"> PAGEREF _Toc271015513 \h </w:instrText>
            </w:r>
            <w:r>
              <w:rPr>
                <w:noProof/>
                <w:webHidden/>
              </w:rPr>
            </w:r>
            <w:r>
              <w:rPr>
                <w:noProof/>
                <w:webHidden/>
              </w:rPr>
              <w:fldChar w:fldCharType="separate"/>
            </w:r>
            <w:r w:rsidR="00D56DA9">
              <w:rPr>
                <w:noProof/>
                <w:webHidden/>
              </w:rPr>
              <w:t>11</w:t>
            </w:r>
            <w:r>
              <w:rPr>
                <w:noProof/>
                <w:webHidden/>
              </w:rPr>
              <w:fldChar w:fldCharType="end"/>
            </w:r>
          </w:hyperlink>
        </w:p>
        <w:p w:rsidR="004E7676" w:rsidRDefault="009C2AF3" w:rsidP="00270220">
          <w:pPr>
            <w:pStyle w:val="TOC3"/>
            <w:ind w:left="475" w:firstLine="720"/>
            <w:rPr>
              <w:rFonts w:asciiTheme="minorHAnsi" w:eastAsiaTheme="minorEastAsia" w:hAnsiTheme="minorHAnsi" w:cstheme="minorBidi"/>
              <w:noProof/>
              <w:sz w:val="22"/>
              <w:szCs w:val="22"/>
            </w:rPr>
          </w:pPr>
          <w:hyperlink w:anchor="_Toc271015514" w:history="1">
            <w:r w:rsidR="004E7676" w:rsidRPr="00121F12">
              <w:rPr>
                <w:rStyle w:val="Hyperlink"/>
                <w:noProof/>
              </w:rPr>
              <w:t>2. Natural Gas Rates as of October 1, 2010</w:t>
            </w:r>
            <w:r w:rsidR="004E7676">
              <w:rPr>
                <w:noProof/>
                <w:webHidden/>
              </w:rPr>
              <w:tab/>
            </w:r>
            <w:r>
              <w:rPr>
                <w:noProof/>
                <w:webHidden/>
              </w:rPr>
              <w:fldChar w:fldCharType="begin"/>
            </w:r>
            <w:r w:rsidR="004E7676">
              <w:rPr>
                <w:noProof/>
                <w:webHidden/>
              </w:rPr>
              <w:instrText xml:space="preserve"> PAGEREF _Toc271015514 \h </w:instrText>
            </w:r>
            <w:r>
              <w:rPr>
                <w:noProof/>
                <w:webHidden/>
              </w:rPr>
            </w:r>
            <w:r>
              <w:rPr>
                <w:noProof/>
                <w:webHidden/>
              </w:rPr>
              <w:fldChar w:fldCharType="separate"/>
            </w:r>
            <w:r w:rsidR="00D56DA9">
              <w:rPr>
                <w:noProof/>
                <w:webHidden/>
              </w:rPr>
              <w:t>11</w:t>
            </w:r>
            <w:r>
              <w:rPr>
                <w:noProof/>
                <w:webHidden/>
              </w:rPr>
              <w:fldChar w:fldCharType="end"/>
            </w:r>
          </w:hyperlink>
        </w:p>
        <w:p w:rsidR="004E7676" w:rsidRDefault="009C2AF3" w:rsidP="00270220">
          <w:pPr>
            <w:pStyle w:val="TOC3"/>
            <w:ind w:left="475" w:firstLine="720"/>
            <w:rPr>
              <w:rFonts w:asciiTheme="minorHAnsi" w:eastAsiaTheme="minorEastAsia" w:hAnsiTheme="minorHAnsi" w:cstheme="minorBidi"/>
              <w:noProof/>
              <w:sz w:val="22"/>
              <w:szCs w:val="22"/>
            </w:rPr>
          </w:pPr>
          <w:hyperlink w:anchor="_Toc271015515" w:history="1">
            <w:r w:rsidR="004E7676" w:rsidRPr="00121F12">
              <w:rPr>
                <w:rStyle w:val="Hyperlink"/>
                <w:noProof/>
              </w:rPr>
              <w:t>3. Design Peak Day Capacity</w:t>
            </w:r>
            <w:r w:rsidR="004E7676">
              <w:rPr>
                <w:noProof/>
                <w:webHidden/>
              </w:rPr>
              <w:tab/>
            </w:r>
            <w:r>
              <w:rPr>
                <w:noProof/>
                <w:webHidden/>
              </w:rPr>
              <w:fldChar w:fldCharType="begin"/>
            </w:r>
            <w:r w:rsidR="004E7676">
              <w:rPr>
                <w:noProof/>
                <w:webHidden/>
              </w:rPr>
              <w:instrText xml:space="preserve"> PAGEREF _Toc271015515 \h </w:instrText>
            </w:r>
            <w:r>
              <w:rPr>
                <w:noProof/>
                <w:webHidden/>
              </w:rPr>
            </w:r>
            <w:r>
              <w:rPr>
                <w:noProof/>
                <w:webHidden/>
              </w:rPr>
              <w:fldChar w:fldCharType="separate"/>
            </w:r>
            <w:r w:rsidR="00D56DA9">
              <w:rPr>
                <w:noProof/>
                <w:webHidden/>
              </w:rPr>
              <w:t>12</w:t>
            </w:r>
            <w:r>
              <w:rPr>
                <w:noProof/>
                <w:webHidden/>
              </w:rPr>
              <w:fldChar w:fldCharType="end"/>
            </w:r>
          </w:hyperlink>
        </w:p>
        <w:p w:rsidR="004E7676" w:rsidRDefault="009C2AF3" w:rsidP="00270220">
          <w:pPr>
            <w:pStyle w:val="TOC3"/>
            <w:ind w:left="475" w:firstLine="720"/>
            <w:rPr>
              <w:rFonts w:asciiTheme="minorHAnsi" w:eastAsiaTheme="minorEastAsia" w:hAnsiTheme="minorHAnsi" w:cstheme="minorBidi"/>
              <w:noProof/>
              <w:sz w:val="22"/>
              <w:szCs w:val="22"/>
            </w:rPr>
          </w:pPr>
          <w:hyperlink w:anchor="_Toc271015516" w:history="1">
            <w:r w:rsidR="004E7676" w:rsidRPr="00121F12">
              <w:rPr>
                <w:rStyle w:val="Hyperlink"/>
                <w:noProof/>
              </w:rPr>
              <w:t>4. Gathering System Retainage</w:t>
            </w:r>
            <w:r w:rsidR="004E7676">
              <w:rPr>
                <w:noProof/>
                <w:webHidden/>
              </w:rPr>
              <w:tab/>
            </w:r>
            <w:r>
              <w:rPr>
                <w:noProof/>
                <w:webHidden/>
              </w:rPr>
              <w:fldChar w:fldCharType="begin"/>
            </w:r>
            <w:r w:rsidR="004E7676">
              <w:rPr>
                <w:noProof/>
                <w:webHidden/>
              </w:rPr>
              <w:instrText xml:space="preserve"> PAGEREF _Toc271015516 \h </w:instrText>
            </w:r>
            <w:r>
              <w:rPr>
                <w:noProof/>
                <w:webHidden/>
              </w:rPr>
            </w:r>
            <w:r>
              <w:rPr>
                <w:noProof/>
                <w:webHidden/>
              </w:rPr>
              <w:fldChar w:fldCharType="separate"/>
            </w:r>
            <w:r w:rsidR="00D56DA9">
              <w:rPr>
                <w:noProof/>
                <w:webHidden/>
              </w:rPr>
              <w:t>13</w:t>
            </w:r>
            <w:r>
              <w:rPr>
                <w:noProof/>
                <w:webHidden/>
              </w:rPr>
              <w:fldChar w:fldCharType="end"/>
            </w:r>
          </w:hyperlink>
        </w:p>
        <w:p w:rsidR="004E7676" w:rsidRDefault="009C2AF3" w:rsidP="00270220">
          <w:pPr>
            <w:pStyle w:val="TOC3"/>
            <w:ind w:left="475" w:firstLine="720"/>
            <w:rPr>
              <w:rFonts w:asciiTheme="minorHAnsi" w:eastAsiaTheme="minorEastAsia" w:hAnsiTheme="minorHAnsi" w:cstheme="minorBidi"/>
              <w:noProof/>
              <w:sz w:val="22"/>
              <w:szCs w:val="22"/>
            </w:rPr>
          </w:pPr>
          <w:hyperlink w:anchor="_Toc271015517" w:history="1">
            <w:r w:rsidR="004E7676" w:rsidRPr="00121F12">
              <w:rPr>
                <w:rStyle w:val="Hyperlink"/>
                <w:noProof/>
              </w:rPr>
              <w:t>5. Retainage Waivers</w:t>
            </w:r>
            <w:r w:rsidR="004E7676">
              <w:rPr>
                <w:noProof/>
                <w:webHidden/>
              </w:rPr>
              <w:tab/>
            </w:r>
            <w:r>
              <w:rPr>
                <w:noProof/>
                <w:webHidden/>
              </w:rPr>
              <w:fldChar w:fldCharType="begin"/>
            </w:r>
            <w:r w:rsidR="004E7676">
              <w:rPr>
                <w:noProof/>
                <w:webHidden/>
              </w:rPr>
              <w:instrText xml:space="preserve"> PAGEREF _Toc271015517 \h </w:instrText>
            </w:r>
            <w:r>
              <w:rPr>
                <w:noProof/>
                <w:webHidden/>
              </w:rPr>
            </w:r>
            <w:r>
              <w:rPr>
                <w:noProof/>
                <w:webHidden/>
              </w:rPr>
              <w:fldChar w:fldCharType="separate"/>
            </w:r>
            <w:r w:rsidR="00D56DA9">
              <w:rPr>
                <w:noProof/>
                <w:webHidden/>
              </w:rPr>
              <w:t>14</w:t>
            </w:r>
            <w:r>
              <w:rPr>
                <w:noProof/>
                <w:webHidden/>
              </w:rPr>
              <w:fldChar w:fldCharType="end"/>
            </w:r>
          </w:hyperlink>
        </w:p>
        <w:p w:rsidR="004E7676" w:rsidRDefault="009C2AF3" w:rsidP="00270220">
          <w:pPr>
            <w:pStyle w:val="TOC3"/>
            <w:ind w:left="475" w:firstLine="720"/>
            <w:rPr>
              <w:rFonts w:asciiTheme="minorHAnsi" w:eastAsiaTheme="minorEastAsia" w:hAnsiTheme="minorHAnsi" w:cstheme="minorBidi"/>
              <w:noProof/>
              <w:sz w:val="22"/>
              <w:szCs w:val="22"/>
            </w:rPr>
          </w:pPr>
          <w:hyperlink w:anchor="_Toc271015518" w:history="1">
            <w:r w:rsidR="004E7676" w:rsidRPr="00121F12">
              <w:rPr>
                <w:rStyle w:val="Hyperlink"/>
                <w:noProof/>
              </w:rPr>
              <w:t>6. Cash In / Cash Out Charges</w:t>
            </w:r>
            <w:r w:rsidR="004E7676">
              <w:rPr>
                <w:noProof/>
                <w:webHidden/>
              </w:rPr>
              <w:tab/>
            </w:r>
            <w:r>
              <w:rPr>
                <w:noProof/>
                <w:webHidden/>
              </w:rPr>
              <w:fldChar w:fldCharType="begin"/>
            </w:r>
            <w:r w:rsidR="004E7676">
              <w:rPr>
                <w:noProof/>
                <w:webHidden/>
              </w:rPr>
              <w:instrText xml:space="preserve"> PAGEREF _Toc271015518 \h </w:instrText>
            </w:r>
            <w:r>
              <w:rPr>
                <w:noProof/>
                <w:webHidden/>
              </w:rPr>
            </w:r>
            <w:r>
              <w:rPr>
                <w:noProof/>
                <w:webHidden/>
              </w:rPr>
              <w:fldChar w:fldCharType="separate"/>
            </w:r>
            <w:r w:rsidR="00D56DA9">
              <w:rPr>
                <w:noProof/>
                <w:webHidden/>
              </w:rPr>
              <w:t>15</w:t>
            </w:r>
            <w:r>
              <w:rPr>
                <w:noProof/>
                <w:webHidden/>
              </w:rPr>
              <w:fldChar w:fldCharType="end"/>
            </w:r>
          </w:hyperlink>
        </w:p>
        <w:p w:rsidR="004E7676" w:rsidRDefault="009C2AF3" w:rsidP="00270220">
          <w:pPr>
            <w:pStyle w:val="TOC3"/>
            <w:ind w:left="475" w:firstLine="720"/>
            <w:rPr>
              <w:rFonts w:asciiTheme="minorHAnsi" w:eastAsiaTheme="minorEastAsia" w:hAnsiTheme="minorHAnsi" w:cstheme="minorBidi"/>
              <w:noProof/>
              <w:sz w:val="22"/>
              <w:szCs w:val="22"/>
            </w:rPr>
          </w:pPr>
          <w:hyperlink w:anchor="_Toc271015519" w:history="1">
            <w:r w:rsidR="004E7676" w:rsidRPr="00121F12">
              <w:rPr>
                <w:rStyle w:val="Hyperlink"/>
                <w:noProof/>
              </w:rPr>
              <w:t>7. Price to Compare</w:t>
            </w:r>
            <w:r w:rsidR="004E7676">
              <w:rPr>
                <w:noProof/>
                <w:webHidden/>
              </w:rPr>
              <w:tab/>
            </w:r>
            <w:r>
              <w:rPr>
                <w:noProof/>
                <w:webHidden/>
              </w:rPr>
              <w:fldChar w:fldCharType="begin"/>
            </w:r>
            <w:r w:rsidR="004E7676">
              <w:rPr>
                <w:noProof/>
                <w:webHidden/>
              </w:rPr>
              <w:instrText xml:space="preserve"> PAGEREF _Toc271015519 \h </w:instrText>
            </w:r>
            <w:r>
              <w:rPr>
                <w:noProof/>
                <w:webHidden/>
              </w:rPr>
            </w:r>
            <w:r>
              <w:rPr>
                <w:noProof/>
                <w:webHidden/>
              </w:rPr>
              <w:fldChar w:fldCharType="separate"/>
            </w:r>
            <w:r w:rsidR="00D56DA9">
              <w:rPr>
                <w:noProof/>
                <w:webHidden/>
              </w:rPr>
              <w:t>17</w:t>
            </w:r>
            <w:r>
              <w:rPr>
                <w:noProof/>
                <w:webHidden/>
              </w:rPr>
              <w:fldChar w:fldCharType="end"/>
            </w:r>
          </w:hyperlink>
        </w:p>
        <w:p w:rsidR="004E7676" w:rsidRDefault="009C2AF3" w:rsidP="00270220">
          <w:pPr>
            <w:pStyle w:val="TOC3"/>
            <w:ind w:left="475" w:firstLine="720"/>
            <w:rPr>
              <w:rFonts w:asciiTheme="minorHAnsi" w:eastAsiaTheme="minorEastAsia" w:hAnsiTheme="minorHAnsi" w:cstheme="minorBidi"/>
              <w:noProof/>
              <w:sz w:val="22"/>
              <w:szCs w:val="22"/>
            </w:rPr>
          </w:pPr>
          <w:hyperlink w:anchor="_Toc271015520" w:history="1">
            <w:r w:rsidR="004E7676" w:rsidRPr="00121F12">
              <w:rPr>
                <w:rStyle w:val="Hyperlink"/>
                <w:noProof/>
              </w:rPr>
              <w:t>8. EIA Reporting Issue</w:t>
            </w:r>
            <w:r w:rsidR="004E7676">
              <w:rPr>
                <w:noProof/>
                <w:webHidden/>
              </w:rPr>
              <w:tab/>
            </w:r>
            <w:r>
              <w:rPr>
                <w:noProof/>
                <w:webHidden/>
              </w:rPr>
              <w:fldChar w:fldCharType="begin"/>
            </w:r>
            <w:r w:rsidR="004E7676">
              <w:rPr>
                <w:noProof/>
                <w:webHidden/>
              </w:rPr>
              <w:instrText xml:space="preserve"> PAGEREF _Toc271015520 \h </w:instrText>
            </w:r>
            <w:r>
              <w:rPr>
                <w:noProof/>
                <w:webHidden/>
              </w:rPr>
            </w:r>
            <w:r>
              <w:rPr>
                <w:noProof/>
                <w:webHidden/>
              </w:rPr>
              <w:fldChar w:fldCharType="separate"/>
            </w:r>
            <w:r w:rsidR="00D56DA9">
              <w:rPr>
                <w:noProof/>
                <w:webHidden/>
              </w:rPr>
              <w:t>17</w:t>
            </w:r>
            <w:r>
              <w:rPr>
                <w:noProof/>
                <w:webHidden/>
              </w:rPr>
              <w:fldChar w:fldCharType="end"/>
            </w:r>
          </w:hyperlink>
        </w:p>
        <w:p w:rsidR="004E7676" w:rsidRDefault="009C2AF3" w:rsidP="00270220">
          <w:pPr>
            <w:pStyle w:val="TOC2"/>
            <w:ind w:firstLine="360"/>
            <w:rPr>
              <w:rFonts w:asciiTheme="minorHAnsi" w:eastAsiaTheme="minorEastAsia" w:hAnsiTheme="minorHAnsi" w:cstheme="minorBidi"/>
              <w:noProof/>
              <w:sz w:val="22"/>
              <w:szCs w:val="22"/>
            </w:rPr>
          </w:pPr>
          <w:hyperlink w:anchor="_Toc271015521" w:history="1">
            <w:r w:rsidR="004E7676" w:rsidRPr="00121F12">
              <w:rPr>
                <w:rStyle w:val="Hyperlink"/>
                <w:noProof/>
              </w:rPr>
              <w:t>B.</w:t>
            </w:r>
            <w:r w:rsidR="008146E3">
              <w:rPr>
                <w:rStyle w:val="Hyperlink"/>
                <w:noProof/>
              </w:rPr>
              <w:t xml:space="preserve"> </w:t>
            </w:r>
            <w:r w:rsidR="004E7676" w:rsidRPr="00121F12">
              <w:rPr>
                <w:rStyle w:val="Hyperlink"/>
                <w:noProof/>
              </w:rPr>
              <w:t>Exceptions to the Recommended Decision</w:t>
            </w:r>
            <w:r w:rsidR="004E7676">
              <w:rPr>
                <w:noProof/>
                <w:webHidden/>
              </w:rPr>
              <w:tab/>
            </w:r>
            <w:r>
              <w:rPr>
                <w:noProof/>
                <w:webHidden/>
              </w:rPr>
              <w:fldChar w:fldCharType="begin"/>
            </w:r>
            <w:r w:rsidR="004E7676">
              <w:rPr>
                <w:noProof/>
                <w:webHidden/>
              </w:rPr>
              <w:instrText xml:space="preserve"> PAGEREF _Toc271015521 \h </w:instrText>
            </w:r>
            <w:r>
              <w:rPr>
                <w:noProof/>
                <w:webHidden/>
              </w:rPr>
            </w:r>
            <w:r>
              <w:rPr>
                <w:noProof/>
                <w:webHidden/>
              </w:rPr>
              <w:fldChar w:fldCharType="separate"/>
            </w:r>
            <w:r w:rsidR="00D56DA9">
              <w:rPr>
                <w:noProof/>
                <w:webHidden/>
              </w:rPr>
              <w:t>18</w:t>
            </w:r>
            <w:r>
              <w:rPr>
                <w:noProof/>
                <w:webHidden/>
              </w:rPr>
              <w:fldChar w:fldCharType="end"/>
            </w:r>
          </w:hyperlink>
        </w:p>
        <w:p w:rsidR="004E7676" w:rsidRDefault="009C2AF3" w:rsidP="00270220">
          <w:pPr>
            <w:pStyle w:val="TOC3"/>
            <w:ind w:left="475" w:firstLine="720"/>
            <w:rPr>
              <w:rFonts w:asciiTheme="minorHAnsi" w:eastAsiaTheme="minorEastAsia" w:hAnsiTheme="minorHAnsi" w:cstheme="minorBidi"/>
              <w:noProof/>
              <w:sz w:val="22"/>
              <w:szCs w:val="22"/>
            </w:rPr>
          </w:pPr>
          <w:hyperlink w:anchor="_Toc271015522" w:history="1">
            <w:r w:rsidR="004E7676" w:rsidRPr="00121F12">
              <w:rPr>
                <w:rStyle w:val="Hyperlink"/>
                <w:noProof/>
              </w:rPr>
              <w:t>1. Lost and Unaccounted for Gas (LUFG)</w:t>
            </w:r>
            <w:r w:rsidR="004E7676">
              <w:rPr>
                <w:noProof/>
                <w:webHidden/>
              </w:rPr>
              <w:tab/>
            </w:r>
            <w:r>
              <w:rPr>
                <w:noProof/>
                <w:webHidden/>
              </w:rPr>
              <w:fldChar w:fldCharType="begin"/>
            </w:r>
            <w:r w:rsidR="004E7676">
              <w:rPr>
                <w:noProof/>
                <w:webHidden/>
              </w:rPr>
              <w:instrText xml:space="preserve"> PAGEREF _Toc271015522 \h </w:instrText>
            </w:r>
            <w:r>
              <w:rPr>
                <w:noProof/>
                <w:webHidden/>
              </w:rPr>
            </w:r>
            <w:r>
              <w:rPr>
                <w:noProof/>
                <w:webHidden/>
              </w:rPr>
              <w:fldChar w:fldCharType="separate"/>
            </w:r>
            <w:r w:rsidR="00D56DA9">
              <w:rPr>
                <w:noProof/>
                <w:webHidden/>
              </w:rPr>
              <w:t>19</w:t>
            </w:r>
            <w:r>
              <w:rPr>
                <w:noProof/>
                <w:webHidden/>
              </w:rPr>
              <w:fldChar w:fldCharType="end"/>
            </w:r>
          </w:hyperlink>
        </w:p>
        <w:p w:rsidR="004E7676" w:rsidRDefault="009C2AF3" w:rsidP="00270220">
          <w:pPr>
            <w:pStyle w:val="TOC4"/>
            <w:tabs>
              <w:tab w:val="right" w:leader="dot" w:pos="9350"/>
            </w:tabs>
            <w:spacing w:after="0"/>
            <w:ind w:left="778" w:firstLine="1080"/>
            <w:rPr>
              <w:rFonts w:asciiTheme="minorHAnsi" w:eastAsiaTheme="minorEastAsia" w:hAnsiTheme="minorHAnsi" w:cstheme="minorBidi"/>
              <w:noProof/>
              <w:sz w:val="22"/>
              <w:szCs w:val="22"/>
            </w:rPr>
          </w:pPr>
          <w:hyperlink w:anchor="_Toc271015523" w:history="1">
            <w:r w:rsidR="004E7676" w:rsidRPr="00121F12">
              <w:rPr>
                <w:rStyle w:val="Hyperlink"/>
                <w:noProof/>
              </w:rPr>
              <w:t>(a) Prior Commission Proceedings</w:t>
            </w:r>
            <w:r w:rsidR="004E7676">
              <w:rPr>
                <w:noProof/>
                <w:webHidden/>
              </w:rPr>
              <w:tab/>
            </w:r>
            <w:r>
              <w:rPr>
                <w:noProof/>
                <w:webHidden/>
              </w:rPr>
              <w:fldChar w:fldCharType="begin"/>
            </w:r>
            <w:r w:rsidR="004E7676">
              <w:rPr>
                <w:noProof/>
                <w:webHidden/>
              </w:rPr>
              <w:instrText xml:space="preserve"> PAGEREF _Toc271015523 \h </w:instrText>
            </w:r>
            <w:r>
              <w:rPr>
                <w:noProof/>
                <w:webHidden/>
              </w:rPr>
            </w:r>
            <w:r>
              <w:rPr>
                <w:noProof/>
                <w:webHidden/>
              </w:rPr>
              <w:fldChar w:fldCharType="separate"/>
            </w:r>
            <w:r w:rsidR="00D56DA9">
              <w:rPr>
                <w:noProof/>
                <w:webHidden/>
              </w:rPr>
              <w:t>19</w:t>
            </w:r>
            <w:r>
              <w:rPr>
                <w:noProof/>
                <w:webHidden/>
              </w:rPr>
              <w:fldChar w:fldCharType="end"/>
            </w:r>
          </w:hyperlink>
        </w:p>
        <w:p w:rsidR="004E7676" w:rsidRDefault="009C2AF3" w:rsidP="00270220">
          <w:pPr>
            <w:pStyle w:val="TOC4"/>
            <w:tabs>
              <w:tab w:val="right" w:leader="dot" w:pos="9350"/>
            </w:tabs>
            <w:spacing w:after="0"/>
            <w:ind w:left="778" w:firstLine="1080"/>
            <w:rPr>
              <w:rFonts w:asciiTheme="minorHAnsi" w:eastAsiaTheme="minorEastAsia" w:hAnsiTheme="minorHAnsi" w:cstheme="minorBidi"/>
              <w:noProof/>
              <w:sz w:val="22"/>
              <w:szCs w:val="22"/>
            </w:rPr>
          </w:pPr>
          <w:hyperlink w:anchor="_Toc271015524" w:history="1">
            <w:r w:rsidR="004E7676" w:rsidRPr="00121F12">
              <w:rPr>
                <w:rStyle w:val="Hyperlink"/>
                <w:noProof/>
              </w:rPr>
              <w:t>(b) Historic LUFC Rates</w:t>
            </w:r>
            <w:r w:rsidR="004E7676">
              <w:rPr>
                <w:noProof/>
                <w:webHidden/>
              </w:rPr>
              <w:tab/>
            </w:r>
            <w:r>
              <w:rPr>
                <w:noProof/>
                <w:webHidden/>
              </w:rPr>
              <w:fldChar w:fldCharType="begin"/>
            </w:r>
            <w:r w:rsidR="004E7676">
              <w:rPr>
                <w:noProof/>
                <w:webHidden/>
              </w:rPr>
              <w:instrText xml:space="preserve"> PAGEREF _Toc271015524 \h </w:instrText>
            </w:r>
            <w:r>
              <w:rPr>
                <w:noProof/>
                <w:webHidden/>
              </w:rPr>
            </w:r>
            <w:r>
              <w:rPr>
                <w:noProof/>
                <w:webHidden/>
              </w:rPr>
              <w:fldChar w:fldCharType="separate"/>
            </w:r>
            <w:r w:rsidR="00D56DA9">
              <w:rPr>
                <w:noProof/>
                <w:webHidden/>
              </w:rPr>
              <w:t>22</w:t>
            </w:r>
            <w:r>
              <w:rPr>
                <w:noProof/>
                <w:webHidden/>
              </w:rPr>
              <w:fldChar w:fldCharType="end"/>
            </w:r>
          </w:hyperlink>
        </w:p>
        <w:p w:rsidR="004E7676" w:rsidRDefault="009C2AF3" w:rsidP="00270220">
          <w:pPr>
            <w:pStyle w:val="TOC4"/>
            <w:tabs>
              <w:tab w:val="right" w:leader="dot" w:pos="9350"/>
            </w:tabs>
            <w:spacing w:after="0"/>
            <w:ind w:left="778" w:firstLine="1080"/>
            <w:rPr>
              <w:rFonts w:asciiTheme="minorHAnsi" w:eastAsiaTheme="minorEastAsia" w:hAnsiTheme="minorHAnsi" w:cstheme="minorBidi"/>
              <w:noProof/>
              <w:sz w:val="22"/>
              <w:szCs w:val="22"/>
            </w:rPr>
          </w:pPr>
          <w:hyperlink w:anchor="_Toc271015525" w:history="1">
            <w:r w:rsidR="004E7676" w:rsidRPr="00121F12">
              <w:rPr>
                <w:rStyle w:val="Hyperlink"/>
                <w:noProof/>
              </w:rPr>
              <w:t xml:space="preserve">(b) OSBA’s Proposed Cap </w:t>
            </w:r>
            <w:r w:rsidR="004E7676">
              <w:rPr>
                <w:noProof/>
                <w:webHidden/>
              </w:rPr>
              <w:tab/>
            </w:r>
            <w:r>
              <w:rPr>
                <w:noProof/>
                <w:webHidden/>
              </w:rPr>
              <w:fldChar w:fldCharType="begin"/>
            </w:r>
            <w:r w:rsidR="004E7676">
              <w:rPr>
                <w:noProof/>
                <w:webHidden/>
              </w:rPr>
              <w:instrText xml:space="preserve"> PAGEREF _Toc271015525 \h </w:instrText>
            </w:r>
            <w:r>
              <w:rPr>
                <w:noProof/>
                <w:webHidden/>
              </w:rPr>
            </w:r>
            <w:r>
              <w:rPr>
                <w:noProof/>
                <w:webHidden/>
              </w:rPr>
              <w:fldChar w:fldCharType="separate"/>
            </w:r>
            <w:r w:rsidR="00D56DA9">
              <w:rPr>
                <w:noProof/>
                <w:webHidden/>
              </w:rPr>
              <w:t>23</w:t>
            </w:r>
            <w:r>
              <w:rPr>
                <w:noProof/>
                <w:webHidden/>
              </w:rPr>
              <w:fldChar w:fldCharType="end"/>
            </w:r>
          </w:hyperlink>
        </w:p>
        <w:p w:rsidR="004E7676" w:rsidRDefault="009C2AF3" w:rsidP="00270220">
          <w:pPr>
            <w:pStyle w:val="TOC4"/>
            <w:tabs>
              <w:tab w:val="right" w:leader="dot" w:pos="9350"/>
            </w:tabs>
            <w:spacing w:after="0"/>
            <w:ind w:left="778" w:firstLine="1080"/>
            <w:rPr>
              <w:rFonts w:asciiTheme="minorHAnsi" w:eastAsiaTheme="minorEastAsia" w:hAnsiTheme="minorHAnsi" w:cstheme="minorBidi"/>
              <w:noProof/>
              <w:sz w:val="22"/>
              <w:szCs w:val="22"/>
            </w:rPr>
          </w:pPr>
          <w:hyperlink w:anchor="_Toc271015526" w:history="1">
            <w:r w:rsidR="004E7676" w:rsidRPr="00121F12">
              <w:rPr>
                <w:rStyle w:val="Hyperlink"/>
                <w:noProof/>
              </w:rPr>
              <w:t>(d) Disposition</w:t>
            </w:r>
            <w:r w:rsidR="004E7676">
              <w:rPr>
                <w:noProof/>
                <w:webHidden/>
              </w:rPr>
              <w:tab/>
            </w:r>
            <w:r>
              <w:rPr>
                <w:noProof/>
                <w:webHidden/>
              </w:rPr>
              <w:fldChar w:fldCharType="begin"/>
            </w:r>
            <w:r w:rsidR="004E7676">
              <w:rPr>
                <w:noProof/>
                <w:webHidden/>
              </w:rPr>
              <w:instrText xml:space="preserve"> PAGEREF _Toc271015526 \h </w:instrText>
            </w:r>
            <w:r>
              <w:rPr>
                <w:noProof/>
                <w:webHidden/>
              </w:rPr>
            </w:r>
            <w:r>
              <w:rPr>
                <w:noProof/>
                <w:webHidden/>
              </w:rPr>
              <w:fldChar w:fldCharType="separate"/>
            </w:r>
            <w:r w:rsidR="00D56DA9">
              <w:rPr>
                <w:noProof/>
                <w:webHidden/>
              </w:rPr>
              <w:t>29</w:t>
            </w:r>
            <w:r>
              <w:rPr>
                <w:noProof/>
                <w:webHidden/>
              </w:rPr>
              <w:fldChar w:fldCharType="end"/>
            </w:r>
          </w:hyperlink>
        </w:p>
        <w:p w:rsidR="004E7676" w:rsidRDefault="009C2AF3" w:rsidP="00270220">
          <w:pPr>
            <w:pStyle w:val="TOC3"/>
            <w:ind w:left="475" w:firstLine="720"/>
            <w:rPr>
              <w:rFonts w:asciiTheme="minorHAnsi" w:eastAsiaTheme="minorEastAsia" w:hAnsiTheme="minorHAnsi" w:cstheme="minorBidi"/>
              <w:noProof/>
              <w:sz w:val="22"/>
              <w:szCs w:val="22"/>
            </w:rPr>
          </w:pPr>
          <w:hyperlink w:anchor="_Toc271015527" w:history="1">
            <w:r w:rsidR="004E7676" w:rsidRPr="00121F12">
              <w:rPr>
                <w:rStyle w:val="Hyperlink"/>
                <w:noProof/>
              </w:rPr>
              <w:t>2. Retainage Rates</w:t>
            </w:r>
            <w:r w:rsidR="004E7676">
              <w:rPr>
                <w:noProof/>
                <w:webHidden/>
              </w:rPr>
              <w:tab/>
            </w:r>
            <w:r>
              <w:rPr>
                <w:noProof/>
                <w:webHidden/>
              </w:rPr>
              <w:fldChar w:fldCharType="begin"/>
            </w:r>
            <w:r w:rsidR="004E7676">
              <w:rPr>
                <w:noProof/>
                <w:webHidden/>
              </w:rPr>
              <w:instrText xml:space="preserve"> PAGEREF _Toc271015527 \h </w:instrText>
            </w:r>
            <w:r>
              <w:rPr>
                <w:noProof/>
                <w:webHidden/>
              </w:rPr>
            </w:r>
            <w:r>
              <w:rPr>
                <w:noProof/>
                <w:webHidden/>
              </w:rPr>
              <w:fldChar w:fldCharType="separate"/>
            </w:r>
            <w:r w:rsidR="00D56DA9">
              <w:rPr>
                <w:noProof/>
                <w:webHidden/>
              </w:rPr>
              <w:t>31</w:t>
            </w:r>
            <w:r>
              <w:rPr>
                <w:noProof/>
                <w:webHidden/>
              </w:rPr>
              <w:fldChar w:fldCharType="end"/>
            </w:r>
          </w:hyperlink>
        </w:p>
        <w:p w:rsidR="004E7676" w:rsidRDefault="009C2AF3" w:rsidP="00270220">
          <w:pPr>
            <w:pStyle w:val="TOC4"/>
            <w:tabs>
              <w:tab w:val="right" w:leader="dot" w:pos="9350"/>
            </w:tabs>
            <w:spacing w:after="0"/>
            <w:ind w:left="778" w:firstLine="1080"/>
            <w:rPr>
              <w:rFonts w:asciiTheme="minorHAnsi" w:eastAsiaTheme="minorEastAsia" w:hAnsiTheme="minorHAnsi" w:cstheme="minorBidi"/>
              <w:noProof/>
              <w:sz w:val="22"/>
              <w:szCs w:val="22"/>
            </w:rPr>
          </w:pPr>
          <w:hyperlink w:anchor="_Toc271015528" w:history="1">
            <w:r w:rsidR="004E7676" w:rsidRPr="00121F12">
              <w:rPr>
                <w:rStyle w:val="Hyperlink"/>
                <w:noProof/>
              </w:rPr>
              <w:t xml:space="preserve">(a) Dominion Retail’s Opposition to Increase in Retainage </w:t>
            </w:r>
            <w:r w:rsidR="0077503C">
              <w:rPr>
                <w:rStyle w:val="Hyperlink"/>
                <w:noProof/>
              </w:rPr>
              <w:t>R</w:t>
            </w:r>
            <w:r w:rsidR="004E7676" w:rsidRPr="00121F12">
              <w:rPr>
                <w:rStyle w:val="Hyperlink"/>
                <w:noProof/>
              </w:rPr>
              <w:t>ates</w:t>
            </w:r>
            <w:r w:rsidR="004E7676">
              <w:rPr>
                <w:noProof/>
                <w:webHidden/>
              </w:rPr>
              <w:tab/>
            </w:r>
            <w:r>
              <w:rPr>
                <w:noProof/>
                <w:webHidden/>
              </w:rPr>
              <w:fldChar w:fldCharType="begin"/>
            </w:r>
            <w:r w:rsidR="004E7676">
              <w:rPr>
                <w:noProof/>
                <w:webHidden/>
              </w:rPr>
              <w:instrText xml:space="preserve"> PAGEREF _Toc271015528 \h </w:instrText>
            </w:r>
            <w:r>
              <w:rPr>
                <w:noProof/>
                <w:webHidden/>
              </w:rPr>
            </w:r>
            <w:r>
              <w:rPr>
                <w:noProof/>
                <w:webHidden/>
              </w:rPr>
              <w:fldChar w:fldCharType="separate"/>
            </w:r>
            <w:r w:rsidR="00D56DA9">
              <w:rPr>
                <w:noProof/>
                <w:webHidden/>
              </w:rPr>
              <w:t>32</w:t>
            </w:r>
            <w:r>
              <w:rPr>
                <w:noProof/>
                <w:webHidden/>
              </w:rPr>
              <w:fldChar w:fldCharType="end"/>
            </w:r>
          </w:hyperlink>
        </w:p>
        <w:p w:rsidR="004E7676" w:rsidRDefault="009C2AF3" w:rsidP="00270220">
          <w:pPr>
            <w:pStyle w:val="TOC4"/>
            <w:tabs>
              <w:tab w:val="right" w:leader="dot" w:pos="9350"/>
            </w:tabs>
            <w:spacing w:after="0"/>
            <w:ind w:left="778" w:firstLine="1080"/>
            <w:rPr>
              <w:rFonts w:asciiTheme="minorHAnsi" w:eastAsiaTheme="minorEastAsia" w:hAnsiTheme="minorHAnsi" w:cstheme="minorBidi"/>
              <w:noProof/>
              <w:sz w:val="22"/>
              <w:szCs w:val="22"/>
            </w:rPr>
          </w:pPr>
          <w:hyperlink w:anchor="_Toc271015529" w:history="1">
            <w:r w:rsidR="004E7676" w:rsidRPr="00121F12">
              <w:rPr>
                <w:rStyle w:val="Hyperlink"/>
                <w:noProof/>
              </w:rPr>
              <w:t>(b) Disposition</w:t>
            </w:r>
            <w:r w:rsidR="004E7676">
              <w:rPr>
                <w:noProof/>
                <w:webHidden/>
              </w:rPr>
              <w:tab/>
            </w:r>
            <w:r>
              <w:rPr>
                <w:noProof/>
                <w:webHidden/>
              </w:rPr>
              <w:fldChar w:fldCharType="begin"/>
            </w:r>
            <w:r w:rsidR="004E7676">
              <w:rPr>
                <w:noProof/>
                <w:webHidden/>
              </w:rPr>
              <w:instrText xml:space="preserve"> PAGEREF _Toc271015529 \h </w:instrText>
            </w:r>
            <w:r>
              <w:rPr>
                <w:noProof/>
                <w:webHidden/>
              </w:rPr>
            </w:r>
            <w:r>
              <w:rPr>
                <w:noProof/>
                <w:webHidden/>
              </w:rPr>
              <w:fldChar w:fldCharType="separate"/>
            </w:r>
            <w:r w:rsidR="00D56DA9">
              <w:rPr>
                <w:noProof/>
                <w:webHidden/>
              </w:rPr>
              <w:t>34</w:t>
            </w:r>
            <w:r>
              <w:rPr>
                <w:noProof/>
                <w:webHidden/>
              </w:rPr>
              <w:fldChar w:fldCharType="end"/>
            </w:r>
          </w:hyperlink>
        </w:p>
        <w:p w:rsidR="004E7676" w:rsidRDefault="009C2AF3" w:rsidP="00270220">
          <w:pPr>
            <w:pStyle w:val="TOC1"/>
            <w:rPr>
              <w:rFonts w:asciiTheme="minorHAnsi" w:eastAsiaTheme="minorEastAsia" w:hAnsiTheme="minorHAnsi" w:cstheme="minorBidi"/>
              <w:noProof/>
              <w:sz w:val="22"/>
              <w:szCs w:val="22"/>
            </w:rPr>
          </w:pPr>
          <w:hyperlink w:anchor="_Toc271015530" w:history="1">
            <w:r w:rsidR="004E7676" w:rsidRPr="00121F12">
              <w:rPr>
                <w:rStyle w:val="Hyperlink"/>
                <w:noProof/>
              </w:rPr>
              <w:t>IV.  Conclusion</w:t>
            </w:r>
            <w:r w:rsidR="004E7676">
              <w:rPr>
                <w:noProof/>
                <w:webHidden/>
              </w:rPr>
              <w:tab/>
            </w:r>
            <w:r>
              <w:rPr>
                <w:noProof/>
                <w:webHidden/>
              </w:rPr>
              <w:fldChar w:fldCharType="begin"/>
            </w:r>
            <w:r w:rsidR="004E7676">
              <w:rPr>
                <w:noProof/>
                <w:webHidden/>
              </w:rPr>
              <w:instrText xml:space="preserve"> PAGEREF _Toc271015530 \h </w:instrText>
            </w:r>
            <w:r>
              <w:rPr>
                <w:noProof/>
                <w:webHidden/>
              </w:rPr>
            </w:r>
            <w:r>
              <w:rPr>
                <w:noProof/>
                <w:webHidden/>
              </w:rPr>
              <w:fldChar w:fldCharType="separate"/>
            </w:r>
            <w:r w:rsidR="00D56DA9">
              <w:rPr>
                <w:noProof/>
                <w:webHidden/>
              </w:rPr>
              <w:t>34</w:t>
            </w:r>
            <w:r>
              <w:rPr>
                <w:noProof/>
                <w:webHidden/>
              </w:rPr>
              <w:fldChar w:fldCharType="end"/>
            </w:r>
          </w:hyperlink>
        </w:p>
        <w:p w:rsidR="00B276E5" w:rsidRPr="00E64C2D" w:rsidRDefault="009C2AF3" w:rsidP="00270220">
          <w:pPr>
            <w:sectPr w:rsidR="00B276E5" w:rsidRPr="00E64C2D" w:rsidSect="00E64C2D">
              <w:footerReference w:type="default" r:id="rId8"/>
              <w:pgSz w:w="12240" w:h="15840"/>
              <w:pgMar w:top="1440" w:right="1440" w:bottom="1440" w:left="1440" w:header="720" w:footer="720" w:gutter="0"/>
              <w:pgNumType w:fmt="lowerRoman" w:start="1"/>
              <w:cols w:space="720"/>
              <w:titlePg/>
              <w:docGrid w:linePitch="360"/>
            </w:sectPr>
          </w:pPr>
          <w:r>
            <w:rPr>
              <w:szCs w:val="26"/>
            </w:rPr>
            <w:fldChar w:fldCharType="end"/>
          </w:r>
        </w:p>
      </w:sdtContent>
    </w:sdt>
    <w:p w:rsidR="008D1917" w:rsidRDefault="008D1917" w:rsidP="00270220">
      <w:pPr>
        <w:pStyle w:val="TOCHeading"/>
        <w:rPr>
          <w:b w:val="0"/>
        </w:rPr>
      </w:pPr>
    </w:p>
    <w:p w:rsidR="00E64C2D" w:rsidRDefault="00E64C2D" w:rsidP="00270220">
      <w:pPr>
        <w:ind w:firstLine="0"/>
        <w:jc w:val="center"/>
        <w:rPr>
          <w:b/>
        </w:rPr>
        <w:sectPr w:rsidR="00E64C2D" w:rsidSect="00B276E5">
          <w:type w:val="continuous"/>
          <w:pgSz w:w="12240" w:h="15840"/>
          <w:pgMar w:top="1440" w:right="1440" w:bottom="1440" w:left="1440" w:header="720" w:footer="720" w:gutter="0"/>
          <w:pgNumType w:start="1"/>
          <w:cols w:space="720"/>
          <w:docGrid w:linePitch="360"/>
        </w:sectPr>
      </w:pPr>
    </w:p>
    <w:p w:rsidR="0025679B" w:rsidRDefault="0025679B" w:rsidP="00270220">
      <w:pPr>
        <w:ind w:firstLine="0"/>
        <w:jc w:val="center"/>
        <w:rPr>
          <w:b/>
        </w:rPr>
      </w:pPr>
    </w:p>
    <w:p w:rsidR="0025679B" w:rsidRDefault="0025679B" w:rsidP="00270220">
      <w:pPr>
        <w:ind w:firstLine="0"/>
        <w:jc w:val="center"/>
        <w:rPr>
          <w:b/>
        </w:rPr>
      </w:pPr>
    </w:p>
    <w:p w:rsidR="008D1917" w:rsidRPr="001B271C" w:rsidRDefault="008D1917" w:rsidP="00270220">
      <w:pPr>
        <w:ind w:firstLine="0"/>
        <w:jc w:val="center"/>
        <w:rPr>
          <w:b/>
        </w:rPr>
      </w:pPr>
      <w:r>
        <w:rPr>
          <w:b/>
        </w:rPr>
        <w:t xml:space="preserve">OPINION AND </w:t>
      </w:r>
      <w:r w:rsidRPr="001B271C">
        <w:rPr>
          <w:b/>
        </w:rPr>
        <w:t>ORDER</w:t>
      </w:r>
    </w:p>
    <w:p w:rsidR="008D1917" w:rsidRPr="001B271C" w:rsidRDefault="008D1917" w:rsidP="00270220"/>
    <w:p w:rsidR="008D1917" w:rsidRDefault="008D1917" w:rsidP="00270220">
      <w:pPr>
        <w:ind w:firstLine="0"/>
        <w:rPr>
          <w:b/>
        </w:rPr>
      </w:pPr>
      <w:r w:rsidRPr="001B271C">
        <w:rPr>
          <w:b/>
        </w:rPr>
        <w:t>BY THE COMMISSION:</w:t>
      </w:r>
    </w:p>
    <w:p w:rsidR="008D1917" w:rsidRPr="001B271C" w:rsidRDefault="008D1917" w:rsidP="00270220"/>
    <w:p w:rsidR="008D1917" w:rsidRDefault="008D1917" w:rsidP="00270220">
      <w:r>
        <w:t xml:space="preserve">Before the Pennsylvania Public Utility Commission (Commission) for consideration </w:t>
      </w:r>
      <w:r w:rsidR="005C1C5C">
        <w:t xml:space="preserve">and disposition </w:t>
      </w:r>
      <w:r>
        <w:t>are</w:t>
      </w:r>
      <w:r w:rsidR="00484441">
        <w:t>:</w:t>
      </w:r>
      <w:r>
        <w:t xml:space="preserve"> the </w:t>
      </w:r>
      <w:r w:rsidR="005C1C5C">
        <w:t xml:space="preserve">Joint Petition for Approval of Settlement Agreement (Settlement Agreement); </w:t>
      </w:r>
      <w:r w:rsidR="00972967">
        <w:t xml:space="preserve">the Recommended Decision (R.D.) of Administrative Law Judge (ALJ) David A. Salapa, issued on July 21, 2010; </w:t>
      </w:r>
      <w:r w:rsidR="006C5C22">
        <w:t xml:space="preserve">and </w:t>
      </w:r>
      <w:r w:rsidR="00972967">
        <w:t xml:space="preserve">the Exceptions to the </w:t>
      </w:r>
      <w:r w:rsidR="006C5C22">
        <w:t>R</w:t>
      </w:r>
      <w:r w:rsidR="00972967">
        <w:t xml:space="preserve">ecommended Decision </w:t>
      </w:r>
      <w:r>
        <w:t xml:space="preserve">filed by </w:t>
      </w:r>
      <w:r w:rsidR="00C957EB">
        <w:t>the Office of Small Business Advocate (OSBA) and Dominion Retail, Inc. (Dominion</w:t>
      </w:r>
      <w:r w:rsidR="00772774">
        <w:t xml:space="preserve"> Retail</w:t>
      </w:r>
      <w:r w:rsidR="00C957EB">
        <w:t>) on August 10, 2010</w:t>
      </w:r>
      <w:r w:rsidR="006C5C22">
        <w:t>.</w:t>
      </w:r>
      <w:r>
        <w:t xml:space="preserve"> </w:t>
      </w:r>
      <w:r w:rsidR="00C957EB">
        <w:t xml:space="preserve"> </w:t>
      </w:r>
      <w:r>
        <w:t xml:space="preserve">Reply Exceptions were filed by </w:t>
      </w:r>
      <w:r w:rsidR="00CA3A25">
        <w:t xml:space="preserve">the Peoples Natural Gas Company, LLC (Respondent or Peoples) </w:t>
      </w:r>
      <w:r w:rsidR="00704393">
        <w:t xml:space="preserve">and the Office of trial Staff (OTS) </w:t>
      </w:r>
      <w:r w:rsidR="00CA3A25">
        <w:t>on August 20,</w:t>
      </w:r>
      <w:r w:rsidR="00C957EB">
        <w:t xml:space="preserve"> </w:t>
      </w:r>
      <w:r>
        <w:t xml:space="preserve">2010. </w:t>
      </w:r>
    </w:p>
    <w:p w:rsidR="008D1917" w:rsidRPr="00215438" w:rsidRDefault="008D1917" w:rsidP="00270220">
      <w:pPr>
        <w:pStyle w:val="Heading1"/>
      </w:pPr>
      <w:bookmarkStart w:id="0" w:name="_Toc271015505"/>
      <w:r w:rsidRPr="00215438">
        <w:t xml:space="preserve">I. </w:t>
      </w:r>
      <w:r w:rsidR="00082EAA">
        <w:t xml:space="preserve"> </w:t>
      </w:r>
      <w:r w:rsidRPr="00215438">
        <w:t>Introduction</w:t>
      </w:r>
      <w:bookmarkEnd w:id="0"/>
    </w:p>
    <w:p w:rsidR="005926AE" w:rsidRDefault="005926AE" w:rsidP="00270220">
      <w:pPr>
        <w:ind w:firstLine="0"/>
      </w:pPr>
    </w:p>
    <w:p w:rsidR="00FF40AE" w:rsidRDefault="00D55F8B">
      <w:r>
        <w:t>O</w:t>
      </w:r>
      <w:r w:rsidR="00805C58">
        <w:t xml:space="preserve">n March </w:t>
      </w:r>
      <w:r w:rsidR="00747C7A">
        <w:t>2</w:t>
      </w:r>
      <w:r w:rsidR="00805C58">
        <w:t>, 2010, People</w:t>
      </w:r>
      <w:r w:rsidR="00EA2A2F">
        <w:t>s</w:t>
      </w:r>
      <w:r w:rsidR="00805C58">
        <w:t xml:space="preserve"> filed </w:t>
      </w:r>
      <w:r w:rsidR="006D3EFD">
        <w:t xml:space="preserve">with the Commission a </w:t>
      </w:r>
      <w:r w:rsidR="00FF7078">
        <w:t xml:space="preserve">natural gas cost </w:t>
      </w:r>
      <w:r w:rsidR="006D3EFD">
        <w:t xml:space="preserve">reconciliation statement for the </w:t>
      </w:r>
      <w:r w:rsidR="00747C7A">
        <w:t xml:space="preserve">twelve-month </w:t>
      </w:r>
      <w:r w:rsidR="006D3EFD">
        <w:t>period February 1, 2009</w:t>
      </w:r>
      <w:r w:rsidR="00484441">
        <w:t>,</w:t>
      </w:r>
      <w:r w:rsidR="006D3EFD">
        <w:t xml:space="preserve"> through January</w:t>
      </w:r>
      <w:r w:rsidR="009738C0">
        <w:t xml:space="preserve"> </w:t>
      </w:r>
      <w:r w:rsidR="006D3EFD">
        <w:t>31, 2010</w:t>
      </w:r>
      <w:r w:rsidR="00484441">
        <w:t>,</w:t>
      </w:r>
      <w:r w:rsidRPr="00D55F8B">
        <w:t xml:space="preserve"> </w:t>
      </w:r>
      <w:r>
        <w:t>pursuant to the annual automatic adjustment clause provisions for the recovery of natural gas costs set forth in 66 Pa. C.S. §1307(f)</w:t>
      </w:r>
      <w:r w:rsidR="00747C7A">
        <w:t>(3)</w:t>
      </w:r>
      <w:r w:rsidR="00F46F49">
        <w:t>.</w:t>
      </w:r>
      <w:r w:rsidR="00484441">
        <w:rPr>
          <w:rStyle w:val="FootnoteReference"/>
        </w:rPr>
        <w:footnoteReference w:id="1"/>
      </w:r>
      <w:r w:rsidR="006D3EFD">
        <w:t xml:space="preserve"> </w:t>
      </w:r>
      <w:r w:rsidR="005B3F4B">
        <w:t xml:space="preserve"> </w:t>
      </w:r>
      <w:r w:rsidR="001D4AB2">
        <w:t>Also pursuant to 66 Pa. C.S. §1307</w:t>
      </w:r>
      <w:r w:rsidR="00B77A98">
        <w:t>(f)</w:t>
      </w:r>
      <w:r w:rsidR="00EA2A2F">
        <w:t>, o</w:t>
      </w:r>
      <w:r w:rsidR="001D4AB2">
        <w:t>n April 1, 2010, Peoples filed Supplement No. 119 to its Tariff</w:t>
      </w:r>
      <w:r w:rsidR="005B3F4B" w:rsidRPr="00FF40AE">
        <w:t>-</w:t>
      </w:r>
      <w:r w:rsidR="001D4AB2">
        <w:t>Gas PA P</w:t>
      </w:r>
      <w:r w:rsidR="005B3F4B">
        <w:t>.</w:t>
      </w:r>
      <w:r w:rsidR="001D4AB2">
        <w:t>U</w:t>
      </w:r>
      <w:r w:rsidR="005B3F4B">
        <w:t>.</w:t>
      </w:r>
      <w:r w:rsidR="001D4AB2">
        <w:t>C</w:t>
      </w:r>
      <w:r w:rsidR="005B3F4B">
        <w:t>.</w:t>
      </w:r>
      <w:r w:rsidR="001D4AB2">
        <w:t xml:space="preserve"> No. 43 (Supplement </w:t>
      </w:r>
      <w:r w:rsidR="00962F32">
        <w:t xml:space="preserve">No. </w:t>
      </w:r>
      <w:r w:rsidR="001D4AB2">
        <w:t>119)</w:t>
      </w:r>
      <w:r w:rsidR="005B3F4B">
        <w:t>,</w:t>
      </w:r>
      <w:r w:rsidR="001D4AB2">
        <w:t xml:space="preserve"> </w:t>
      </w:r>
      <w:r w:rsidR="00EA2A2F">
        <w:t>which contains its proposed rates for the recovery of natural gas costs for the period October 1, 2010</w:t>
      </w:r>
      <w:r w:rsidR="00484441">
        <w:t>,</w:t>
      </w:r>
      <w:r w:rsidR="00EA2A2F">
        <w:t xml:space="preserve"> through September 30,</w:t>
      </w:r>
      <w:r w:rsidR="007E3840">
        <w:t xml:space="preserve"> </w:t>
      </w:r>
      <w:r w:rsidR="00EA2A2F">
        <w:t>201</w:t>
      </w:r>
      <w:r w:rsidR="006A795C">
        <w:t>1</w:t>
      </w:r>
      <w:r w:rsidR="00EA2A2F">
        <w:t xml:space="preserve">. </w:t>
      </w:r>
      <w:r w:rsidR="006D3EFD">
        <w:t xml:space="preserve"> </w:t>
      </w:r>
      <w:r w:rsidR="00962F32">
        <w:t>Supplement No. 119 proposes a</w:t>
      </w:r>
      <w:r w:rsidR="006A795C">
        <w:t xml:space="preserve">n increase in the commodity charge of $0.6073/Mcf, an increase in the capacity charge of $0.1493/Mcf and a </w:t>
      </w:r>
      <w:r w:rsidR="00962F32">
        <w:t xml:space="preserve">decrease in the gas cost adjustment charge of $0.2535/Mcf.  </w:t>
      </w:r>
    </w:p>
    <w:p w:rsidR="00FF40AE" w:rsidRDefault="001A3CA0">
      <w:r>
        <w:lastRenderedPageBreak/>
        <w:t xml:space="preserve">Subsequent to the hearings in this proceeding, </w:t>
      </w:r>
      <w:r w:rsidR="00C6405A">
        <w:t>Peoples, the Office of Trial Staff (OTS), t</w:t>
      </w:r>
      <w:r w:rsidR="007C0DE6">
        <w:t>h</w:t>
      </w:r>
      <w:r w:rsidR="00C6405A">
        <w:t xml:space="preserve">e </w:t>
      </w:r>
      <w:r w:rsidR="00D63654">
        <w:t>O</w:t>
      </w:r>
      <w:r w:rsidR="00C6405A">
        <w:t xml:space="preserve">ffice of Consumer Advocate (OCA) and the OSBA filed </w:t>
      </w:r>
      <w:r w:rsidR="00C61F5A">
        <w:t xml:space="preserve">the Settlement Agreement </w:t>
      </w:r>
      <w:r w:rsidR="007C0DE6">
        <w:t xml:space="preserve">which purported to resolve </w:t>
      </w:r>
      <w:r w:rsidR="00DD07E7">
        <w:t xml:space="preserve">“nearly all of the contested issues raised in this proceeding.”  Settlement </w:t>
      </w:r>
      <w:r w:rsidR="00C61F5A">
        <w:t xml:space="preserve">Agreement </w:t>
      </w:r>
      <w:r w:rsidR="00DD07E7">
        <w:t xml:space="preserve">at 5. </w:t>
      </w:r>
      <w:r w:rsidR="007C0DE6">
        <w:t xml:space="preserve"> </w:t>
      </w:r>
      <w:r w:rsidR="00A86DDE">
        <w:t>The</w:t>
      </w:r>
      <w:r w:rsidR="008516C8">
        <w:t xml:space="preserve"> </w:t>
      </w:r>
      <w:r w:rsidR="00D63654">
        <w:t xml:space="preserve">two </w:t>
      </w:r>
      <w:r w:rsidR="008516C8">
        <w:t xml:space="preserve">issues of </w:t>
      </w:r>
      <w:r w:rsidR="009774D7">
        <w:t xml:space="preserve">lost and unaccounted-for-gas (LUFG) and </w:t>
      </w:r>
      <w:r w:rsidR="008516C8">
        <w:t xml:space="preserve">retainage </w:t>
      </w:r>
      <w:r w:rsidR="00D63654">
        <w:t>rates</w:t>
      </w:r>
      <w:r w:rsidR="008516C8">
        <w:t xml:space="preserve"> </w:t>
      </w:r>
      <w:r w:rsidR="009774D7">
        <w:t xml:space="preserve">for transportation customers </w:t>
      </w:r>
      <w:r w:rsidR="008516C8">
        <w:t xml:space="preserve">were specifically carved </w:t>
      </w:r>
      <w:r w:rsidR="00A86DDE">
        <w:t xml:space="preserve">out </w:t>
      </w:r>
      <w:r w:rsidR="008516C8">
        <w:t xml:space="preserve">of the Settlement </w:t>
      </w:r>
      <w:r w:rsidR="00A077DA">
        <w:t>Agreement</w:t>
      </w:r>
      <w:r w:rsidR="00D63654">
        <w:t xml:space="preserve">. </w:t>
      </w:r>
      <w:r w:rsidR="00F46F49">
        <w:t xml:space="preserve"> </w:t>
      </w:r>
      <w:r w:rsidR="00D63654" w:rsidRPr="00D63654">
        <w:rPr>
          <w:i/>
        </w:rPr>
        <w:t>Id</w:t>
      </w:r>
      <w:r w:rsidR="00D63654">
        <w:t xml:space="preserve">. at 10.  In addition, the </w:t>
      </w:r>
      <w:r w:rsidR="00CE69A6">
        <w:t xml:space="preserve">three </w:t>
      </w:r>
      <w:r w:rsidR="00D63654">
        <w:t>issue</w:t>
      </w:r>
      <w:r w:rsidR="005C3628">
        <w:t>s</w:t>
      </w:r>
      <w:r w:rsidR="00D63654">
        <w:t xml:space="preserve"> raised at hearing by </w:t>
      </w:r>
      <w:r w:rsidR="004014F3">
        <w:t>private</w:t>
      </w:r>
      <w:r w:rsidR="00D63654">
        <w:t xml:space="preserve"> complainant</w:t>
      </w:r>
      <w:r w:rsidR="009259D5">
        <w:t>,</w:t>
      </w:r>
      <w:r w:rsidR="005C3628">
        <w:t xml:space="preserve"> Joseph J. Virostek</w:t>
      </w:r>
      <w:r w:rsidR="009259D5">
        <w:t>,</w:t>
      </w:r>
      <w:r w:rsidR="00D63654">
        <w:t xml:space="preserve"> </w:t>
      </w:r>
      <w:r w:rsidR="005C3628">
        <w:t xml:space="preserve">were not included in the Settlement </w:t>
      </w:r>
      <w:r w:rsidR="00C61F5A">
        <w:t>Agreement</w:t>
      </w:r>
      <w:r w:rsidR="005C3628">
        <w:t>.  R.D. at 52-53.</w:t>
      </w:r>
    </w:p>
    <w:p w:rsidR="00FF40AE" w:rsidRDefault="00FF40AE"/>
    <w:p w:rsidR="00FF40AE" w:rsidRDefault="00CE69A6">
      <w:r>
        <w:t xml:space="preserve">In his Recommended Decision, the ALJ found, </w:t>
      </w:r>
      <w:r w:rsidRPr="00CE69A6">
        <w:rPr>
          <w:i/>
        </w:rPr>
        <w:t>inter alia</w:t>
      </w:r>
      <w:r>
        <w:t xml:space="preserve">, that the Settlement </w:t>
      </w:r>
      <w:r w:rsidR="00A077DA">
        <w:t>Agreement</w:t>
      </w:r>
      <w:r>
        <w:t xml:space="preserve"> was in the public interest and </w:t>
      </w:r>
      <w:r w:rsidR="00F8729F">
        <w:t xml:space="preserve">was </w:t>
      </w:r>
      <w:r>
        <w:t xml:space="preserve">consistent with the requirements of the Public </w:t>
      </w:r>
      <w:r w:rsidR="00F8729F">
        <w:t>U</w:t>
      </w:r>
      <w:r>
        <w:t>tility Code and the Commission’s regulations</w:t>
      </w:r>
      <w:r w:rsidR="00F8729F">
        <w:t>.  The ALJ recommended</w:t>
      </w:r>
      <w:r w:rsidR="00F8729F" w:rsidRPr="00F8729F">
        <w:t xml:space="preserve"> </w:t>
      </w:r>
      <w:r w:rsidR="000E3A6E">
        <w:t xml:space="preserve">that the </w:t>
      </w:r>
      <w:r w:rsidR="00F8729F">
        <w:t xml:space="preserve">Settlement </w:t>
      </w:r>
      <w:r w:rsidR="00172B06">
        <w:t>Agreement</w:t>
      </w:r>
      <w:r w:rsidR="00F8729F">
        <w:t xml:space="preserve"> be adopted by the Commission.  The ALJ also made </w:t>
      </w:r>
      <w:r w:rsidR="0074649E">
        <w:t xml:space="preserve">recommendations regarding the issues of </w:t>
      </w:r>
      <w:r w:rsidR="009774D7">
        <w:t xml:space="preserve">LUFG and </w:t>
      </w:r>
      <w:r w:rsidR="0074649E">
        <w:t>retainage rates</w:t>
      </w:r>
      <w:r w:rsidR="009774D7">
        <w:t>,</w:t>
      </w:r>
      <w:r w:rsidR="0074649E">
        <w:t xml:space="preserve"> as well as the three issues raised by Mr. Virostek.  R.D. at 53. </w:t>
      </w:r>
      <w:r>
        <w:t xml:space="preserve"> </w:t>
      </w:r>
      <w:r w:rsidR="00F46F49">
        <w:t xml:space="preserve"> </w:t>
      </w:r>
    </w:p>
    <w:p w:rsidR="00FF40AE" w:rsidRDefault="008E0014">
      <w:pPr>
        <w:pStyle w:val="Heading1"/>
      </w:pPr>
      <w:bookmarkStart w:id="1" w:name="_Toc271015506"/>
      <w:r w:rsidRPr="008E0014">
        <w:t xml:space="preserve">II. </w:t>
      </w:r>
      <w:r w:rsidR="00082EAA">
        <w:t xml:space="preserve"> </w:t>
      </w:r>
      <w:r w:rsidRPr="008E0014">
        <w:t>History of the Proceeding</w:t>
      </w:r>
      <w:r w:rsidR="00410B3E">
        <w:rPr>
          <w:rStyle w:val="FootnoteReference"/>
        </w:rPr>
        <w:footnoteReference w:id="2"/>
      </w:r>
      <w:bookmarkEnd w:id="1"/>
    </w:p>
    <w:p w:rsidR="00FF40AE" w:rsidRDefault="00FF40AE">
      <w:pPr>
        <w:ind w:firstLine="0"/>
        <w:rPr>
          <w:b/>
        </w:rPr>
      </w:pPr>
    </w:p>
    <w:p w:rsidR="00FF40AE" w:rsidRDefault="00082EAA">
      <w:r>
        <w:t xml:space="preserve">Following the filing of Peoples’ </w:t>
      </w:r>
      <w:r w:rsidR="00215438" w:rsidRPr="00032B88">
        <w:t>annual purchased gas cost preliminary supporting information</w:t>
      </w:r>
      <w:r>
        <w:t xml:space="preserve">, discussed </w:t>
      </w:r>
      <w:r w:rsidRPr="00082EAA">
        <w:rPr>
          <w:i/>
        </w:rPr>
        <w:t>supra</w:t>
      </w:r>
      <w:r>
        <w:t xml:space="preserve">, </w:t>
      </w:r>
      <w:r w:rsidR="00215438" w:rsidRPr="00032B88">
        <w:t xml:space="preserve">the OCA filed a notice of appearance and a complaint </w:t>
      </w:r>
      <w:r w:rsidR="004B6464">
        <w:rPr>
          <w:spacing w:val="-3"/>
        </w:rPr>
        <w:t xml:space="preserve">on March 12, 2010, </w:t>
      </w:r>
      <w:r w:rsidR="00215438" w:rsidRPr="00032B88">
        <w:t xml:space="preserve">docketed at </w:t>
      </w:r>
      <w:r w:rsidR="00215438" w:rsidRPr="00032B88">
        <w:rPr>
          <w:spacing w:val="-3"/>
        </w:rPr>
        <w:t>C-2010-2163637</w:t>
      </w:r>
      <w:r w:rsidR="004B6464">
        <w:rPr>
          <w:spacing w:val="-3"/>
        </w:rPr>
        <w:t>.</w:t>
      </w:r>
      <w:r w:rsidR="00215438" w:rsidRPr="00032B88">
        <w:t xml:space="preserve">  On March 16, 2010, the OSBA filed a notice of appearance and a complaint docketed at </w:t>
      </w:r>
      <w:r w:rsidR="00215438" w:rsidRPr="00032B88">
        <w:rPr>
          <w:spacing w:val="-3"/>
        </w:rPr>
        <w:t>C-2010-2164664</w:t>
      </w:r>
      <w:r w:rsidR="00215438" w:rsidRPr="00032B88">
        <w:t>.</w:t>
      </w:r>
      <w:r w:rsidR="00215438">
        <w:t xml:space="preserve">  </w:t>
      </w:r>
    </w:p>
    <w:p w:rsidR="00FF40AE" w:rsidRDefault="00FF40AE"/>
    <w:p w:rsidR="00FF40AE" w:rsidRDefault="00953DC3">
      <w:r>
        <w:t xml:space="preserve">In addition to </w:t>
      </w:r>
      <w:r w:rsidR="00215438" w:rsidRPr="00032B88">
        <w:t>Supplement No. 119</w:t>
      </w:r>
      <w:r>
        <w:t>, Pe</w:t>
      </w:r>
      <w:r w:rsidR="00215438" w:rsidRPr="00032B88">
        <w:t>oples also filed and served written</w:t>
      </w:r>
      <w:r w:rsidR="00800AE0">
        <w:t>,</w:t>
      </w:r>
      <w:r w:rsidR="00215438" w:rsidRPr="00032B88">
        <w:t xml:space="preserve"> direct testimony identified as Peoples Statement Nos. 1, 2 and 3 with exhibits</w:t>
      </w:r>
      <w:r>
        <w:t xml:space="preserve"> on April</w:t>
      </w:r>
      <w:r w:rsidR="005502B6">
        <w:t xml:space="preserve"> </w:t>
      </w:r>
      <w:r>
        <w:t>1</w:t>
      </w:r>
      <w:r w:rsidR="00800AE0">
        <w:t>,</w:t>
      </w:r>
      <w:r w:rsidR="005502B6">
        <w:t xml:space="preserve"> </w:t>
      </w:r>
      <w:r>
        <w:t>2010</w:t>
      </w:r>
      <w:r w:rsidR="00215438" w:rsidRPr="00032B88">
        <w:t xml:space="preserve">.  </w:t>
      </w:r>
    </w:p>
    <w:p w:rsidR="00FF40AE" w:rsidRDefault="00FF40AE"/>
    <w:p w:rsidR="00FF40AE" w:rsidRDefault="00215438">
      <w:r w:rsidRPr="00032B88">
        <w:lastRenderedPageBreak/>
        <w:t xml:space="preserve">On April 6, 2010, the OTS filed a notice of appearance.  </w:t>
      </w:r>
    </w:p>
    <w:p w:rsidR="00FF40AE" w:rsidRDefault="00FF40AE"/>
    <w:p w:rsidR="00FF40AE" w:rsidRDefault="0064302C">
      <w:r>
        <w:t xml:space="preserve">On April 8, 2010, </w:t>
      </w:r>
      <w:r w:rsidR="00215438" w:rsidRPr="00032B88">
        <w:t xml:space="preserve">Equitable Energy LLC, d/b/a Equitable Energy (Equitable) filed a </w:t>
      </w:r>
      <w:r w:rsidR="00753F8E">
        <w:t>P</w:t>
      </w:r>
      <w:r w:rsidR="00215438" w:rsidRPr="00032B88">
        <w:t xml:space="preserve">etition to </w:t>
      </w:r>
      <w:r w:rsidR="00753F8E">
        <w:t>I</w:t>
      </w:r>
      <w:r w:rsidR="00215438" w:rsidRPr="00032B88">
        <w:t>ntervene in this proceeding</w:t>
      </w:r>
      <w:r>
        <w:t xml:space="preserve">.  </w:t>
      </w:r>
      <w:r w:rsidR="00AE3C1A">
        <w:t>Similarly</w:t>
      </w:r>
      <w:r>
        <w:t>, o</w:t>
      </w:r>
      <w:r w:rsidRPr="00032B88">
        <w:t xml:space="preserve">n April 12, 2010, Dominion </w:t>
      </w:r>
      <w:r w:rsidR="00372DF8">
        <w:t xml:space="preserve">Retail </w:t>
      </w:r>
      <w:r w:rsidRPr="00032B88">
        <w:t xml:space="preserve">filed a </w:t>
      </w:r>
      <w:r w:rsidR="007D2533">
        <w:t>P</w:t>
      </w:r>
      <w:r w:rsidRPr="00032B88">
        <w:t xml:space="preserve">etition to </w:t>
      </w:r>
      <w:r w:rsidR="007D2533">
        <w:t>I</w:t>
      </w:r>
      <w:r w:rsidRPr="00032B88">
        <w:t>ntervene</w:t>
      </w:r>
      <w:r w:rsidR="007D2533">
        <w:t xml:space="preserve">.  Both Petitions were filed </w:t>
      </w:r>
      <w:r w:rsidR="00215438" w:rsidRPr="00032B88">
        <w:t xml:space="preserve">pursuant to </w:t>
      </w:r>
      <w:r w:rsidR="00B64219">
        <w:t xml:space="preserve">      </w:t>
      </w:r>
      <w:r w:rsidR="00215438" w:rsidRPr="00032B88">
        <w:t>52</w:t>
      </w:r>
      <w:r w:rsidR="005502B6">
        <w:t xml:space="preserve"> </w:t>
      </w:r>
      <w:r w:rsidR="00215438" w:rsidRPr="00032B88">
        <w:t>Pa. Code §§5.71-5.74</w:t>
      </w:r>
      <w:r w:rsidR="00372DF8">
        <w:t xml:space="preserve"> and </w:t>
      </w:r>
      <w:r w:rsidR="00215438" w:rsidRPr="00032B88">
        <w:t>alleged that Equitable</w:t>
      </w:r>
      <w:r w:rsidR="007D2533">
        <w:t xml:space="preserve"> and Dominion </w:t>
      </w:r>
      <w:r w:rsidR="00772774">
        <w:t xml:space="preserve">Retail </w:t>
      </w:r>
      <w:r w:rsidR="007D2533">
        <w:t xml:space="preserve">are </w:t>
      </w:r>
      <w:r w:rsidR="00215438" w:rsidRPr="00032B88">
        <w:t>natural gas supplier</w:t>
      </w:r>
      <w:r w:rsidR="007D2533">
        <w:t>s</w:t>
      </w:r>
      <w:r w:rsidR="00215438" w:rsidRPr="00032B88">
        <w:t xml:space="preserve"> to customers in Peoples’ service territory.  </w:t>
      </w:r>
    </w:p>
    <w:p w:rsidR="00FF40AE" w:rsidRDefault="00FF40AE"/>
    <w:p w:rsidR="00FF40AE" w:rsidRDefault="0070534C">
      <w:r>
        <w:t xml:space="preserve">Formal Complaints were filed by the following </w:t>
      </w:r>
      <w:r w:rsidR="004014F3">
        <w:t>private</w:t>
      </w:r>
      <w:r>
        <w:t xml:space="preserve"> customers</w:t>
      </w:r>
      <w:r w:rsidR="004014F3">
        <w:t xml:space="preserve"> (private complainants)</w:t>
      </w:r>
      <w:r>
        <w:t xml:space="preserve">: </w:t>
      </w:r>
      <w:r w:rsidR="00CB17BE">
        <w:t xml:space="preserve">Grace A. Czolba on April 12, 2010, at Docket No. C-2010-2169787; Dennis </w:t>
      </w:r>
      <w:r w:rsidR="001575AB">
        <w:t>Keibler</w:t>
      </w:r>
      <w:r w:rsidR="00786834">
        <w:t xml:space="preserve"> on April 16, 2010, at Docket No. C-2010-2171221; </w:t>
      </w:r>
      <w:r>
        <w:t xml:space="preserve">James Nicklin on April 19, 2010, at C-2010-2171481; Joseph </w:t>
      </w:r>
      <w:r w:rsidR="00CB17BE">
        <w:t>J</w:t>
      </w:r>
      <w:r>
        <w:t>. Virostek on April 21, 2010</w:t>
      </w:r>
      <w:r w:rsidR="00CB17BE">
        <w:t>,</w:t>
      </w:r>
      <w:r>
        <w:t xml:space="preserve"> at Docket </w:t>
      </w:r>
      <w:r w:rsidR="00484441">
        <w:t>C</w:t>
      </w:r>
      <w:r w:rsidR="00484441">
        <w:noBreakHyphen/>
      </w:r>
      <w:r>
        <w:t xml:space="preserve">2010-2171513; </w:t>
      </w:r>
      <w:r w:rsidR="001575AB">
        <w:t>Merle</w:t>
      </w:r>
      <w:r>
        <w:t xml:space="preserve"> Neumann on April 28, 2010</w:t>
      </w:r>
      <w:r w:rsidR="00CB17BE">
        <w:t>,</w:t>
      </w:r>
      <w:r>
        <w:t xml:space="preserve"> at Docket C-2010-2172660; </w:t>
      </w:r>
      <w:r w:rsidR="009F1903">
        <w:t xml:space="preserve">and </w:t>
      </w:r>
      <w:r w:rsidR="00CB17BE">
        <w:t>Don Barricella on April 30, 2010, at Docket No. C-2010-2175027</w:t>
      </w:r>
      <w:r w:rsidR="00786834">
        <w:t>.</w:t>
      </w:r>
    </w:p>
    <w:p w:rsidR="00FF40AE" w:rsidRDefault="00FF40AE"/>
    <w:p w:rsidR="00FF40AE" w:rsidRDefault="0071310A">
      <w:r>
        <w:t>A</w:t>
      </w:r>
      <w:r w:rsidRPr="00032B88">
        <w:t xml:space="preserve"> prehearing conference </w:t>
      </w:r>
      <w:r>
        <w:t xml:space="preserve">was held </w:t>
      </w:r>
      <w:r w:rsidR="009F1903">
        <w:t xml:space="preserve">on </w:t>
      </w:r>
      <w:r w:rsidRPr="00032B88">
        <w:t>April 12, 2010</w:t>
      </w:r>
      <w:r w:rsidR="009F1903">
        <w:t>,</w:t>
      </w:r>
      <w:r>
        <w:t xml:space="preserve"> </w:t>
      </w:r>
      <w:r w:rsidR="009745AB">
        <w:t>in Harrisburg</w:t>
      </w:r>
      <w:r w:rsidRPr="00032B88">
        <w:t xml:space="preserve">.  Peoples, </w:t>
      </w:r>
      <w:r w:rsidR="00D061EE">
        <w:t xml:space="preserve">the </w:t>
      </w:r>
      <w:r w:rsidRPr="00032B88">
        <w:t xml:space="preserve">OTS, </w:t>
      </w:r>
      <w:r w:rsidR="00D061EE">
        <w:t xml:space="preserve">the </w:t>
      </w:r>
      <w:r w:rsidRPr="00032B88">
        <w:t xml:space="preserve">OCA, </w:t>
      </w:r>
      <w:r w:rsidR="00D061EE">
        <w:t xml:space="preserve">the </w:t>
      </w:r>
      <w:r w:rsidRPr="00032B88">
        <w:t>OSBA and Equitable</w:t>
      </w:r>
      <w:r w:rsidR="00C96BC5">
        <w:rPr>
          <w:rStyle w:val="FootnoteReference"/>
        </w:rPr>
        <w:footnoteReference w:id="3"/>
      </w:r>
      <w:r w:rsidRPr="00032B88">
        <w:t xml:space="preserve"> all filed prehearing memoranda prior to the prehearing conference and participated in the prehearing conference. </w:t>
      </w:r>
    </w:p>
    <w:p w:rsidR="00FF40AE" w:rsidRDefault="00FF40AE"/>
    <w:p w:rsidR="00FF40AE" w:rsidRDefault="009745AB">
      <w:r w:rsidRPr="000271AD">
        <w:t xml:space="preserve">A </w:t>
      </w:r>
      <w:r w:rsidR="00215438" w:rsidRPr="000271AD">
        <w:t xml:space="preserve">hearing </w:t>
      </w:r>
      <w:r w:rsidRPr="000271AD">
        <w:t xml:space="preserve">was held </w:t>
      </w:r>
      <w:r w:rsidR="00215438" w:rsidRPr="000271AD">
        <w:t>on June 9, 2010</w:t>
      </w:r>
      <w:r w:rsidRPr="000271AD">
        <w:t xml:space="preserve">, in Harrisburg. </w:t>
      </w:r>
      <w:r w:rsidR="00215438" w:rsidRPr="000271AD">
        <w:t xml:space="preserve"> </w:t>
      </w:r>
      <w:r w:rsidR="00071D2D" w:rsidRPr="000271AD">
        <w:t xml:space="preserve">Peoples, </w:t>
      </w:r>
      <w:r w:rsidR="00D061EE">
        <w:t xml:space="preserve">the </w:t>
      </w:r>
      <w:r w:rsidR="00071D2D" w:rsidRPr="000271AD">
        <w:t xml:space="preserve">OTS, </w:t>
      </w:r>
      <w:r w:rsidR="00D061EE">
        <w:t xml:space="preserve">the </w:t>
      </w:r>
      <w:r w:rsidR="00071D2D" w:rsidRPr="000271AD">
        <w:t xml:space="preserve">OCA, </w:t>
      </w:r>
      <w:r w:rsidR="00D061EE">
        <w:t>the OSBA</w:t>
      </w:r>
      <w:r w:rsidR="00071D2D" w:rsidRPr="000271AD">
        <w:t xml:space="preserve"> and Dominion </w:t>
      </w:r>
      <w:r w:rsidR="00772774">
        <w:t xml:space="preserve">Retail </w:t>
      </w:r>
      <w:r w:rsidR="00071D2D" w:rsidRPr="000271AD">
        <w:t xml:space="preserve">were represented by Counsel. </w:t>
      </w:r>
      <w:r w:rsidR="00215438" w:rsidRPr="000271AD">
        <w:t xml:space="preserve"> At the beginning of the hearing, </w:t>
      </w:r>
      <w:r w:rsidR="00071D2D" w:rsidRPr="000271AD">
        <w:t xml:space="preserve">Mr. </w:t>
      </w:r>
      <w:r w:rsidR="00215438" w:rsidRPr="000271AD">
        <w:t xml:space="preserve">Virostek </w:t>
      </w:r>
      <w:r w:rsidR="000B41CD" w:rsidRPr="000271AD">
        <w:t xml:space="preserve">appeared </w:t>
      </w:r>
      <w:r w:rsidR="000B41CD" w:rsidRPr="000271AD">
        <w:rPr>
          <w:i/>
        </w:rPr>
        <w:t>pro se</w:t>
      </w:r>
      <w:r w:rsidR="000B41CD" w:rsidRPr="000271AD">
        <w:t xml:space="preserve"> and </w:t>
      </w:r>
      <w:r w:rsidR="00215438" w:rsidRPr="000271AD">
        <w:t xml:space="preserve">testified by telephone.  After </w:t>
      </w:r>
      <w:r w:rsidR="00484441">
        <w:t xml:space="preserve">Mr. </w:t>
      </w:r>
      <w:r w:rsidR="00215438" w:rsidRPr="000271AD">
        <w:t xml:space="preserve">Virostek testified, the </w:t>
      </w:r>
      <w:r w:rsidR="00800AE0">
        <w:t>P</w:t>
      </w:r>
      <w:r w:rsidR="00215438" w:rsidRPr="000271AD">
        <w:t xml:space="preserve">arties agreed to stipulate the admission of the statements and exhibits of </w:t>
      </w:r>
      <w:r w:rsidR="00E84F5E">
        <w:t xml:space="preserve">Peoples, Dominion Retail, the </w:t>
      </w:r>
      <w:r w:rsidR="00215438" w:rsidRPr="000271AD">
        <w:t xml:space="preserve">OTS, </w:t>
      </w:r>
      <w:r w:rsidR="00E84F5E">
        <w:t xml:space="preserve">the </w:t>
      </w:r>
      <w:r w:rsidR="00215438" w:rsidRPr="000271AD">
        <w:t xml:space="preserve">OCA and </w:t>
      </w:r>
      <w:r w:rsidR="00E84F5E">
        <w:t xml:space="preserve">the </w:t>
      </w:r>
      <w:r w:rsidR="00215438" w:rsidRPr="000271AD">
        <w:t xml:space="preserve">OSBA and </w:t>
      </w:r>
      <w:r w:rsidR="00484441">
        <w:t xml:space="preserve">to </w:t>
      </w:r>
      <w:r w:rsidR="00215438" w:rsidRPr="000271AD">
        <w:t>waive cross examination of the witnesses sponsoring those statements and exhibits.   The hearing resulted in a transcript of 136 pages</w:t>
      </w:r>
      <w:r w:rsidR="000B41CD" w:rsidRPr="000271AD">
        <w:t>.</w:t>
      </w:r>
    </w:p>
    <w:p w:rsidR="00FF40AE" w:rsidRDefault="00FF40AE">
      <w:pPr>
        <w:rPr>
          <w:color w:val="76923C" w:themeColor="accent3" w:themeShade="BF"/>
        </w:rPr>
      </w:pPr>
    </w:p>
    <w:p w:rsidR="00FF40AE" w:rsidRDefault="00215438">
      <w:r w:rsidRPr="007D5705">
        <w:t xml:space="preserve">On June 23, 2010, </w:t>
      </w:r>
      <w:r w:rsidR="000271AD" w:rsidRPr="007D5705">
        <w:t xml:space="preserve">Peoples, </w:t>
      </w:r>
      <w:r w:rsidR="00484441">
        <w:t xml:space="preserve">the </w:t>
      </w:r>
      <w:r w:rsidR="000271AD" w:rsidRPr="007D5705">
        <w:t xml:space="preserve">OTS, </w:t>
      </w:r>
      <w:r w:rsidR="00484441">
        <w:t xml:space="preserve">the </w:t>
      </w:r>
      <w:r w:rsidR="000271AD" w:rsidRPr="007D5705">
        <w:t xml:space="preserve">OCA and Dominion </w:t>
      </w:r>
      <w:r w:rsidR="00772774">
        <w:t xml:space="preserve">Retail </w:t>
      </w:r>
      <w:r w:rsidRPr="007D5705">
        <w:t xml:space="preserve">filed </w:t>
      </w:r>
      <w:r w:rsidR="000271AD" w:rsidRPr="007D5705">
        <w:t xml:space="preserve">the Settlement </w:t>
      </w:r>
      <w:r w:rsidR="00172B06">
        <w:t>Agreement</w:t>
      </w:r>
      <w:r w:rsidR="000271AD" w:rsidRPr="007D5705">
        <w:t>.</w:t>
      </w:r>
      <w:r w:rsidRPr="007D5705">
        <w:t xml:space="preserve">  The </w:t>
      </w:r>
      <w:r w:rsidR="000271AD" w:rsidRPr="007D5705">
        <w:t xml:space="preserve">Settlement </w:t>
      </w:r>
      <w:r w:rsidR="00172B06">
        <w:t>Agreement</w:t>
      </w:r>
      <w:r w:rsidR="000271AD" w:rsidRPr="007D5705">
        <w:t xml:space="preserve"> </w:t>
      </w:r>
      <w:r w:rsidRPr="007D5705">
        <w:t xml:space="preserve">noted that Dominion </w:t>
      </w:r>
      <w:r w:rsidR="00772774">
        <w:t xml:space="preserve">Retail </w:t>
      </w:r>
      <w:r w:rsidRPr="007D5705">
        <w:t xml:space="preserve">objected to Sections G and H of the </w:t>
      </w:r>
      <w:r w:rsidR="007D5705" w:rsidRPr="007D5705">
        <w:t>P</w:t>
      </w:r>
      <w:r w:rsidRPr="007D5705">
        <w:t xml:space="preserve">etition regarding </w:t>
      </w:r>
      <w:r w:rsidR="00AA0B08">
        <w:t xml:space="preserve">LUFG and </w:t>
      </w:r>
      <w:r w:rsidRPr="007D5705">
        <w:t xml:space="preserve">retainage rates and intended to brief those issues.  </w:t>
      </w:r>
      <w:r w:rsidR="00066F23">
        <w:t>Similarly</w:t>
      </w:r>
      <w:r w:rsidR="00A077DA">
        <w:t xml:space="preserve">, the </w:t>
      </w:r>
      <w:r w:rsidR="00172B06">
        <w:t xml:space="preserve">Settlement Agreement </w:t>
      </w:r>
      <w:r w:rsidR="00C447AE">
        <w:t xml:space="preserve">indicated that the OSBA’s proposal </w:t>
      </w:r>
      <w:r w:rsidR="00066F23">
        <w:t xml:space="preserve">that </w:t>
      </w:r>
      <w:r w:rsidR="00C447AE">
        <w:t xml:space="preserve">the LUFG </w:t>
      </w:r>
      <w:r w:rsidR="00066F23">
        <w:t xml:space="preserve">rate </w:t>
      </w:r>
      <w:r w:rsidR="00C447AE">
        <w:t xml:space="preserve">be capped </w:t>
      </w:r>
      <w:r w:rsidR="00066F23">
        <w:t>was carved out for litigation and briefing.</w:t>
      </w:r>
      <w:r w:rsidR="009F1903">
        <w:t xml:space="preserve"> </w:t>
      </w:r>
      <w:r w:rsidR="00066F23">
        <w:t xml:space="preserve"> </w:t>
      </w:r>
      <w:r w:rsidRPr="007D5705">
        <w:t xml:space="preserve">Attached to the </w:t>
      </w:r>
      <w:r w:rsidR="00956628">
        <w:t xml:space="preserve">Settlement Agreement </w:t>
      </w:r>
      <w:r w:rsidRPr="007D5705">
        <w:t xml:space="preserve">were signed </w:t>
      </w:r>
      <w:r w:rsidR="002B1999">
        <w:t>S</w:t>
      </w:r>
      <w:r w:rsidRPr="007D5705">
        <w:t xml:space="preserve">tatements in </w:t>
      </w:r>
      <w:r w:rsidR="002B1999">
        <w:t>S</w:t>
      </w:r>
      <w:r w:rsidRPr="007D5705">
        <w:t xml:space="preserve">upport of </w:t>
      </w:r>
      <w:r w:rsidR="00C701E1">
        <w:t>S</w:t>
      </w:r>
      <w:r w:rsidRPr="007D5705">
        <w:t xml:space="preserve">ettlement </w:t>
      </w:r>
      <w:r w:rsidR="00C701E1">
        <w:t xml:space="preserve">Agreement (Statements in Support) </w:t>
      </w:r>
      <w:r w:rsidRPr="007D5705">
        <w:t xml:space="preserve">by </w:t>
      </w:r>
      <w:r w:rsidR="00C91364">
        <w:t xml:space="preserve">the </w:t>
      </w:r>
      <w:r w:rsidRPr="007D5705">
        <w:t xml:space="preserve">OTS, </w:t>
      </w:r>
      <w:r w:rsidR="00C91364">
        <w:t xml:space="preserve">the </w:t>
      </w:r>
      <w:r w:rsidRPr="007D5705">
        <w:t xml:space="preserve">OCA, Dominion </w:t>
      </w:r>
      <w:r w:rsidR="00A253BC">
        <w:t xml:space="preserve">Retail </w:t>
      </w:r>
      <w:r w:rsidRPr="007D5705">
        <w:t xml:space="preserve">and Peoples.  Also attached to the </w:t>
      </w:r>
      <w:r w:rsidR="009F1903">
        <w:t>P</w:t>
      </w:r>
      <w:r w:rsidRPr="007D5705">
        <w:t xml:space="preserve">etition was a letter from </w:t>
      </w:r>
      <w:r w:rsidR="007D5705" w:rsidRPr="007D5705">
        <w:t xml:space="preserve">the </w:t>
      </w:r>
      <w:r w:rsidRPr="007D5705">
        <w:t xml:space="preserve">OSBA stating that it did not object to the </w:t>
      </w:r>
      <w:r w:rsidR="007D5705" w:rsidRPr="007D5705">
        <w:t>Settlement Petition,</w:t>
      </w:r>
      <w:r w:rsidRPr="007D5705">
        <w:t xml:space="preserve"> except for Sections G and H of the </w:t>
      </w:r>
      <w:r w:rsidR="007D5705" w:rsidRPr="007D5705">
        <w:t>P</w:t>
      </w:r>
      <w:r w:rsidRPr="007D5705">
        <w:t xml:space="preserve">etition and that it would brief those issues.  </w:t>
      </w:r>
    </w:p>
    <w:p w:rsidR="00FF40AE" w:rsidRDefault="00FF40AE"/>
    <w:p w:rsidR="00FF40AE" w:rsidRDefault="00215438">
      <w:r w:rsidRPr="007D5705">
        <w:t xml:space="preserve">Also on June 23, 2010, Peoples and </w:t>
      </w:r>
      <w:r w:rsidR="007D5705" w:rsidRPr="007D5705">
        <w:t xml:space="preserve">the </w:t>
      </w:r>
      <w:r w:rsidRPr="007D5705">
        <w:t xml:space="preserve">OSBA filed a stipulation regarding the flow through to small commercial customers on the Peoples system of refunds </w:t>
      </w:r>
      <w:r w:rsidR="00C91364">
        <w:t xml:space="preserve">that </w:t>
      </w:r>
      <w:r w:rsidRPr="007D5705">
        <w:t>Peoples is receiving from Tennessee Gas Pipeline Company (Tennessee)</w:t>
      </w:r>
      <w:r w:rsidR="00C91364">
        <w:t>,</w:t>
      </w:r>
      <w:r w:rsidRPr="007D5705">
        <w:t xml:space="preserve"> pursuant to a settlement resolving the over-collection of cost recovery surcharges from Tennessee shippers.  The stipulation states that, consistent with the Commission’s May 24, 2010 </w:t>
      </w:r>
      <w:r w:rsidR="002205D9">
        <w:t>O</w:t>
      </w:r>
      <w:r w:rsidRPr="007D5705">
        <w:t>rder at P-2010-2152149,</w:t>
      </w:r>
      <w:r w:rsidR="002205D9">
        <w:rPr>
          <w:rStyle w:val="FootnoteReference"/>
        </w:rPr>
        <w:footnoteReference w:id="4"/>
      </w:r>
      <w:r w:rsidRPr="007D5705">
        <w:t xml:space="preserve"> Peoples will begin the flow </w:t>
      </w:r>
      <w:r w:rsidR="00EC5B1A">
        <w:t xml:space="preserve">of </w:t>
      </w:r>
      <w:r w:rsidR="00D55019">
        <w:t xml:space="preserve">refunds </w:t>
      </w:r>
      <w:r w:rsidRPr="007D5705">
        <w:t>through to small commercial customer</w:t>
      </w:r>
      <w:r w:rsidR="00EC5B1A">
        <w:t>s</w:t>
      </w:r>
      <w:r w:rsidR="002205D9" w:rsidRPr="007D5705">
        <w:t>, effective July 1, 2010</w:t>
      </w:r>
      <w:r w:rsidRPr="007D5705">
        <w:t xml:space="preserve">.  </w:t>
      </w:r>
    </w:p>
    <w:p w:rsidR="00FF40AE" w:rsidRDefault="00FF40AE">
      <w:pPr>
        <w:rPr>
          <w:color w:val="76923C" w:themeColor="accent3" w:themeShade="BF"/>
        </w:rPr>
      </w:pPr>
    </w:p>
    <w:p w:rsidR="00FF40AE" w:rsidRDefault="00D061EE">
      <w:r>
        <w:t xml:space="preserve">The </w:t>
      </w:r>
      <w:r w:rsidR="00215438" w:rsidRPr="005F648C">
        <w:t xml:space="preserve">OSBA, Peoples and Dominion filed </w:t>
      </w:r>
      <w:r w:rsidR="00AB02B8" w:rsidRPr="005F648C">
        <w:t>M</w:t>
      </w:r>
      <w:r w:rsidR="00215438" w:rsidRPr="005F648C">
        <w:t xml:space="preserve">ain </w:t>
      </w:r>
      <w:r w:rsidR="00AB02B8" w:rsidRPr="005F648C">
        <w:t>B</w:t>
      </w:r>
      <w:r w:rsidR="00215438" w:rsidRPr="005F648C">
        <w:t xml:space="preserve">riefs on June 23, 2010.  </w:t>
      </w:r>
      <w:r w:rsidR="00AB02B8" w:rsidRPr="005F648C">
        <w:t xml:space="preserve">The </w:t>
      </w:r>
      <w:r w:rsidR="00215438" w:rsidRPr="005F648C">
        <w:t xml:space="preserve">OTS and </w:t>
      </w:r>
      <w:r w:rsidR="00AB02B8" w:rsidRPr="005F648C">
        <w:t xml:space="preserve">the </w:t>
      </w:r>
      <w:r w:rsidR="00215438" w:rsidRPr="005F648C">
        <w:t>OCA filed letters on June 23, 2010</w:t>
      </w:r>
      <w:r w:rsidR="004A396B">
        <w:t>,</w:t>
      </w:r>
      <w:r w:rsidR="00215438" w:rsidRPr="005F648C">
        <w:t xml:space="preserve"> stating that they would not be filing </w:t>
      </w:r>
      <w:r w:rsidR="00AB02B8" w:rsidRPr="005F648C">
        <w:t>M</w:t>
      </w:r>
      <w:r w:rsidR="00215438" w:rsidRPr="005F648C">
        <w:t xml:space="preserve">ain </w:t>
      </w:r>
      <w:r w:rsidR="00AB02B8" w:rsidRPr="005F648C">
        <w:t>B</w:t>
      </w:r>
      <w:r w:rsidR="00215438" w:rsidRPr="005F648C">
        <w:t xml:space="preserve">riefs.  On June 23, 2010, the Pennsylvania Independent Oil and Gas Association </w:t>
      </w:r>
      <w:r w:rsidR="00215438" w:rsidRPr="005F648C">
        <w:lastRenderedPageBreak/>
        <w:t xml:space="preserve">(PIOGA) filed an </w:t>
      </w:r>
      <w:r w:rsidR="007211BE" w:rsidRPr="007211BE">
        <w:rPr>
          <w:i/>
        </w:rPr>
        <w:t>A</w:t>
      </w:r>
      <w:r w:rsidR="00215438" w:rsidRPr="007211BE">
        <w:rPr>
          <w:i/>
        </w:rPr>
        <w:t xml:space="preserve">micus </w:t>
      </w:r>
      <w:r w:rsidR="007211BE" w:rsidRPr="007211BE">
        <w:rPr>
          <w:i/>
        </w:rPr>
        <w:t>C</w:t>
      </w:r>
      <w:r w:rsidR="00215438" w:rsidRPr="007211BE">
        <w:rPr>
          <w:i/>
        </w:rPr>
        <w:t>uriae</w:t>
      </w:r>
      <w:r w:rsidR="00215438" w:rsidRPr="005F648C">
        <w:t xml:space="preserve"> </w:t>
      </w:r>
      <w:r w:rsidR="007211BE">
        <w:t>B</w:t>
      </w:r>
      <w:r w:rsidR="00215438" w:rsidRPr="005F648C">
        <w:t>rief</w:t>
      </w:r>
      <w:r w:rsidR="004A396B">
        <w:t>,</w:t>
      </w:r>
      <w:r w:rsidR="00215438" w:rsidRPr="005F648C">
        <w:t xml:space="preserve"> pursuant to 52 Pa. Code §5.502(e)</w:t>
      </w:r>
      <w:r w:rsidR="0041175F">
        <w:t xml:space="preserve"> regarding the issue of LUFG</w:t>
      </w:r>
      <w:r w:rsidR="00215438" w:rsidRPr="005F648C">
        <w:t xml:space="preserve">.  </w:t>
      </w:r>
    </w:p>
    <w:p w:rsidR="00FF40AE" w:rsidRDefault="00FF40AE"/>
    <w:p w:rsidR="00FF40AE" w:rsidRDefault="00215438">
      <w:r w:rsidRPr="005F648C">
        <w:t xml:space="preserve">On June 24, 2010, </w:t>
      </w:r>
      <w:r w:rsidR="00AB02B8" w:rsidRPr="005F648C">
        <w:t xml:space="preserve">the ALJ </w:t>
      </w:r>
      <w:r w:rsidRPr="005F648C">
        <w:t xml:space="preserve">served copies of the </w:t>
      </w:r>
      <w:r w:rsidR="00AB02B8" w:rsidRPr="005F648C">
        <w:t xml:space="preserve">Settlement </w:t>
      </w:r>
      <w:r w:rsidR="00172B06">
        <w:t>Agreement</w:t>
      </w:r>
      <w:r w:rsidR="00AB02B8" w:rsidRPr="005F648C">
        <w:t xml:space="preserve"> </w:t>
      </w:r>
      <w:r w:rsidRPr="005F648C">
        <w:t xml:space="preserve">and </w:t>
      </w:r>
      <w:r w:rsidR="00AB02B8" w:rsidRPr="005F648C">
        <w:t>A</w:t>
      </w:r>
      <w:r w:rsidRPr="005F648C">
        <w:t xml:space="preserve">ttachments on the </w:t>
      </w:r>
      <w:r w:rsidR="004014F3">
        <w:t>private</w:t>
      </w:r>
      <w:r w:rsidRPr="005F648C">
        <w:t xml:space="preserve"> complainants.  Enclosed with the copies of the </w:t>
      </w:r>
      <w:r w:rsidR="004014F3">
        <w:t>Settlement Agreement</w:t>
      </w:r>
      <w:r w:rsidRPr="005F648C">
        <w:t xml:space="preserve"> was a letter stating that the </w:t>
      </w:r>
      <w:r w:rsidR="004014F3">
        <w:t>private</w:t>
      </w:r>
      <w:r w:rsidRPr="005F648C">
        <w:t xml:space="preserve"> complainants should review the </w:t>
      </w:r>
      <w:r w:rsidR="00AB02B8" w:rsidRPr="005F648C">
        <w:t xml:space="preserve">Settlement </w:t>
      </w:r>
      <w:r w:rsidR="00172B06">
        <w:t>Agreement</w:t>
      </w:r>
      <w:r w:rsidRPr="005F648C">
        <w:t xml:space="preserve"> and provide any comments or objections in writing on or before July 6, 2010.  </w:t>
      </w:r>
      <w:r w:rsidR="00E07A20">
        <w:t xml:space="preserve">The ALJ </w:t>
      </w:r>
      <w:r w:rsidRPr="005F648C">
        <w:t xml:space="preserve">also enclosed a signature page that the private complainants could sign and return if they wished to join in the </w:t>
      </w:r>
      <w:r w:rsidR="00E07A20">
        <w:t>S</w:t>
      </w:r>
      <w:r w:rsidRPr="005F648C">
        <w:t xml:space="preserve">ettlement </w:t>
      </w:r>
      <w:r w:rsidR="00172B06">
        <w:t>Agreement</w:t>
      </w:r>
      <w:r w:rsidRPr="005F648C">
        <w:t xml:space="preserve">. </w:t>
      </w:r>
      <w:r w:rsidR="005F648C" w:rsidRPr="005F648C">
        <w:t xml:space="preserve"> The ALJ </w:t>
      </w:r>
      <w:r w:rsidRPr="005F648C">
        <w:t>did not receive any written comments or objections</w:t>
      </w:r>
      <w:r w:rsidRPr="0097725F">
        <w:rPr>
          <w:color w:val="76923C" w:themeColor="accent3" w:themeShade="BF"/>
        </w:rPr>
        <w:t xml:space="preserve"> </w:t>
      </w:r>
      <w:r w:rsidRPr="005F648C">
        <w:t xml:space="preserve">from any of the </w:t>
      </w:r>
      <w:r w:rsidR="004014F3">
        <w:t>private</w:t>
      </w:r>
      <w:r w:rsidRPr="005F648C">
        <w:t xml:space="preserve"> complainants regarding the </w:t>
      </w:r>
      <w:r w:rsidR="005F648C" w:rsidRPr="005F648C">
        <w:t xml:space="preserve">Settlement </w:t>
      </w:r>
      <w:r w:rsidR="0041175F">
        <w:t>Agreement</w:t>
      </w:r>
      <w:r w:rsidR="005F648C" w:rsidRPr="005F648C">
        <w:t>.</w:t>
      </w:r>
      <w:r w:rsidRPr="005F648C">
        <w:t xml:space="preserve"> </w:t>
      </w:r>
      <w:r w:rsidR="005F648C">
        <w:t xml:space="preserve"> R.D. at </w:t>
      </w:r>
      <w:r w:rsidR="00E07A20">
        <w:t>6.</w:t>
      </w:r>
    </w:p>
    <w:p w:rsidR="00FF40AE" w:rsidRDefault="00FF40AE">
      <w:pPr>
        <w:rPr>
          <w:color w:val="76923C" w:themeColor="accent3" w:themeShade="BF"/>
        </w:rPr>
      </w:pPr>
    </w:p>
    <w:p w:rsidR="00FF40AE" w:rsidRDefault="00E07A20">
      <w:r w:rsidRPr="00E07A20">
        <w:t xml:space="preserve">The </w:t>
      </w:r>
      <w:r w:rsidR="00215438" w:rsidRPr="00E07A20">
        <w:t xml:space="preserve">OSBA, Dominion </w:t>
      </w:r>
      <w:r w:rsidR="00172B06">
        <w:t xml:space="preserve">Retail </w:t>
      </w:r>
      <w:r w:rsidR="00215438" w:rsidRPr="00E07A20">
        <w:t xml:space="preserve">and Peoples filed </w:t>
      </w:r>
      <w:r w:rsidRPr="00E07A20">
        <w:t>R</w:t>
      </w:r>
      <w:r w:rsidR="00215438" w:rsidRPr="00E07A20">
        <w:t xml:space="preserve">eply </w:t>
      </w:r>
      <w:r w:rsidRPr="00E07A20">
        <w:t>B</w:t>
      </w:r>
      <w:r w:rsidR="00215438" w:rsidRPr="00E07A20">
        <w:t xml:space="preserve">riefs on July 1, 2010.  </w:t>
      </w:r>
      <w:r w:rsidRPr="00E07A20">
        <w:t xml:space="preserve">The </w:t>
      </w:r>
      <w:r w:rsidR="00215438" w:rsidRPr="00E07A20">
        <w:t xml:space="preserve">OTS and </w:t>
      </w:r>
      <w:r w:rsidRPr="00E07A20">
        <w:t xml:space="preserve">the </w:t>
      </w:r>
      <w:r w:rsidR="00215438" w:rsidRPr="00E07A20">
        <w:t>OCA filed letters on July 1, 2010</w:t>
      </w:r>
      <w:r w:rsidR="00D55019">
        <w:t>,</w:t>
      </w:r>
      <w:r w:rsidR="00215438" w:rsidRPr="00E07A20">
        <w:t xml:space="preserve"> stating that they would not be filing </w:t>
      </w:r>
      <w:r w:rsidRPr="00E07A20">
        <w:t>R</w:t>
      </w:r>
      <w:r w:rsidR="00215438" w:rsidRPr="00E07A20">
        <w:t xml:space="preserve">eply </w:t>
      </w:r>
      <w:r w:rsidRPr="00E07A20">
        <w:t>B</w:t>
      </w:r>
      <w:r w:rsidR="00215438" w:rsidRPr="00E07A20">
        <w:t xml:space="preserve">riefs.  </w:t>
      </w:r>
      <w:r w:rsidR="00956628">
        <w:t xml:space="preserve">Also on </w:t>
      </w:r>
      <w:r>
        <w:t xml:space="preserve">July </w:t>
      </w:r>
      <w:r w:rsidR="00215438" w:rsidRPr="00E07A20">
        <w:t>1,</w:t>
      </w:r>
      <w:r>
        <w:t xml:space="preserve"> </w:t>
      </w:r>
      <w:r w:rsidR="00215438" w:rsidRPr="00E07A20">
        <w:t xml:space="preserve">2010, PIOGA filed an </w:t>
      </w:r>
      <w:r w:rsidR="007211BE" w:rsidRPr="007211BE">
        <w:rPr>
          <w:i/>
        </w:rPr>
        <w:t>A</w:t>
      </w:r>
      <w:r w:rsidR="00215438" w:rsidRPr="007211BE">
        <w:rPr>
          <w:i/>
        </w:rPr>
        <w:t xml:space="preserve">micus </w:t>
      </w:r>
      <w:r w:rsidR="007211BE" w:rsidRPr="007211BE">
        <w:rPr>
          <w:i/>
        </w:rPr>
        <w:t>C</w:t>
      </w:r>
      <w:r w:rsidR="00215438" w:rsidRPr="007211BE">
        <w:rPr>
          <w:i/>
        </w:rPr>
        <w:t xml:space="preserve">uriae </w:t>
      </w:r>
      <w:r w:rsidR="007211BE">
        <w:t>R</w:t>
      </w:r>
      <w:r w:rsidR="00215438" w:rsidRPr="00E07A20">
        <w:t xml:space="preserve">eply </w:t>
      </w:r>
      <w:r w:rsidR="007211BE">
        <w:t>B</w:t>
      </w:r>
      <w:r w:rsidR="00215438" w:rsidRPr="00E07A20">
        <w:t>rief</w:t>
      </w:r>
      <w:r w:rsidR="00D55019">
        <w:t>,</w:t>
      </w:r>
      <w:r w:rsidR="00215438" w:rsidRPr="00E07A20">
        <w:t xml:space="preserve"> pursuant to 52 Pa. Code §5.502(e). The record closed on July 1, 2010, upon the filing of </w:t>
      </w:r>
      <w:r w:rsidR="0003700A">
        <w:t>R</w:t>
      </w:r>
      <w:r w:rsidR="00215438" w:rsidRPr="00E07A20">
        <w:t xml:space="preserve">eply </w:t>
      </w:r>
      <w:r w:rsidR="0003700A">
        <w:t>Br</w:t>
      </w:r>
      <w:r w:rsidR="00215438" w:rsidRPr="00E07A20">
        <w:t xml:space="preserve">iefs.  </w:t>
      </w:r>
    </w:p>
    <w:p w:rsidR="00FF40AE" w:rsidRDefault="00FF40AE"/>
    <w:p w:rsidR="00FF40AE" w:rsidRDefault="00731332">
      <w:r>
        <w:t xml:space="preserve">On July 21, 2010, the ALJ issued his Recommended Decision which recommended, </w:t>
      </w:r>
      <w:r w:rsidRPr="00CE69A6">
        <w:rPr>
          <w:i/>
        </w:rPr>
        <w:t>inter alia</w:t>
      </w:r>
      <w:r>
        <w:t xml:space="preserve">, that the Settlement </w:t>
      </w:r>
      <w:r w:rsidR="00172B06">
        <w:t>Agreement</w:t>
      </w:r>
      <w:r>
        <w:t xml:space="preserve"> be adopted by the Commission</w:t>
      </w:r>
      <w:r w:rsidR="003D5C43">
        <w:t>.  The ALJ also recommended that the Commission reject</w:t>
      </w:r>
      <w:r w:rsidR="004A396B">
        <w:t>:</w:t>
      </w:r>
      <w:r w:rsidR="003D5C43">
        <w:t xml:space="preserve"> </w:t>
      </w:r>
      <w:r w:rsidR="00C722A0">
        <w:t xml:space="preserve">(1) </w:t>
      </w:r>
      <w:r w:rsidR="003D5C43">
        <w:t xml:space="preserve">the OSBA’s proposal </w:t>
      </w:r>
      <w:r w:rsidRPr="00032B88">
        <w:t xml:space="preserve">that </w:t>
      </w:r>
      <w:r w:rsidR="003D5C43">
        <w:t>a</w:t>
      </w:r>
      <w:r w:rsidRPr="00032B88">
        <w:t xml:space="preserve"> </w:t>
      </w:r>
      <w:r w:rsidR="003D5C43">
        <w:t>c</w:t>
      </w:r>
      <w:r w:rsidRPr="00032B88">
        <w:t xml:space="preserve">ap </w:t>
      </w:r>
      <w:r w:rsidR="003D5C43">
        <w:t xml:space="preserve">be established </w:t>
      </w:r>
      <w:r w:rsidRPr="00032B88">
        <w:t xml:space="preserve">on the amount LUFG which Peoples is allowed to collect from its </w:t>
      </w:r>
      <w:r w:rsidR="00086B7F">
        <w:t>supply customers</w:t>
      </w:r>
      <w:r w:rsidR="004A396B">
        <w:t>;</w:t>
      </w:r>
      <w:r w:rsidR="00086B7F">
        <w:t xml:space="preserve"> </w:t>
      </w:r>
      <w:r w:rsidRPr="004A396B">
        <w:t>and</w:t>
      </w:r>
      <w:r w:rsidRPr="004A396B">
        <w:rPr>
          <w:b/>
        </w:rPr>
        <w:t xml:space="preserve"> </w:t>
      </w:r>
      <w:r w:rsidR="009B2BD4" w:rsidRPr="009B2BD4">
        <w:t xml:space="preserve">(2) </w:t>
      </w:r>
      <w:r w:rsidRPr="00032B88">
        <w:t>Dominion</w:t>
      </w:r>
      <w:r w:rsidR="00FF40AE">
        <w:t xml:space="preserve"> </w:t>
      </w:r>
      <w:r w:rsidR="00956628">
        <w:t>Retail’</w:t>
      </w:r>
      <w:r w:rsidRPr="00032B88">
        <w:t xml:space="preserve">s proposal that Peoples’ retainage rates </w:t>
      </w:r>
      <w:r w:rsidR="00086B7F">
        <w:t xml:space="preserve">for transportation customers </w:t>
      </w:r>
      <w:r w:rsidRPr="00032B88">
        <w:t>remain at their existing levels.</w:t>
      </w:r>
      <w:r>
        <w:t xml:space="preserve"> </w:t>
      </w:r>
      <w:r w:rsidRPr="00032B88">
        <w:t xml:space="preserve"> </w:t>
      </w:r>
      <w:r w:rsidR="00F718C3">
        <w:t xml:space="preserve">R.D. at 53.  The ALJ also addressed the three issues raised by Mr. </w:t>
      </w:r>
      <w:r w:rsidR="001575AB">
        <w:t>Virostek</w:t>
      </w:r>
      <w:r w:rsidR="00F718C3">
        <w:t xml:space="preserve">.  </w:t>
      </w:r>
      <w:r w:rsidR="00A10AC5" w:rsidRPr="00A10AC5">
        <w:rPr>
          <w:i/>
        </w:rPr>
        <w:t>Id.</w:t>
      </w:r>
      <w:r w:rsidR="00A10AC5">
        <w:t xml:space="preserve"> </w:t>
      </w:r>
      <w:r w:rsidR="00F718C3">
        <w:t>at 52-53.</w:t>
      </w:r>
    </w:p>
    <w:p w:rsidR="00FF40AE" w:rsidRDefault="00FF40AE">
      <w:pPr>
        <w:rPr>
          <w:b/>
        </w:rPr>
      </w:pPr>
    </w:p>
    <w:p w:rsidR="00FF40AE" w:rsidRDefault="00C722A0">
      <w:r>
        <w:t xml:space="preserve">As noted, </w:t>
      </w:r>
      <w:r w:rsidR="00AC2E5A">
        <w:t xml:space="preserve">Exceptions to the Recommended Decision were filed by the OSBA and Dominion </w:t>
      </w:r>
      <w:r w:rsidR="00172B06">
        <w:t xml:space="preserve">Retail </w:t>
      </w:r>
      <w:r w:rsidR="00AC2E5A">
        <w:t>on August 10, 2010.  Reply Exceptions were filed by Peoples</w:t>
      </w:r>
      <w:r w:rsidR="00970DBE">
        <w:t xml:space="preserve"> and </w:t>
      </w:r>
      <w:r w:rsidR="004E6A84">
        <w:t xml:space="preserve">the </w:t>
      </w:r>
      <w:r w:rsidR="00970DBE">
        <w:t xml:space="preserve">OTS </w:t>
      </w:r>
      <w:r w:rsidR="00AC2E5A">
        <w:t xml:space="preserve">on August 20, 2010. </w:t>
      </w:r>
    </w:p>
    <w:p w:rsidR="00FF40AE" w:rsidRDefault="009259D5">
      <w:pPr>
        <w:pStyle w:val="Heading1"/>
        <w:keepLines w:val="0"/>
      </w:pPr>
      <w:bookmarkStart w:id="2" w:name="_Toc271015507"/>
      <w:r>
        <w:lastRenderedPageBreak/>
        <w:t>III. Discussion</w:t>
      </w:r>
      <w:bookmarkEnd w:id="2"/>
    </w:p>
    <w:p w:rsidR="00FF40AE" w:rsidRDefault="00FF40AE">
      <w:pPr>
        <w:keepNext/>
      </w:pPr>
    </w:p>
    <w:p w:rsidR="00FF40AE" w:rsidRDefault="004E6A84">
      <w:pPr>
        <w:rPr>
          <w:iCs/>
        </w:rPr>
      </w:pPr>
      <w:r>
        <w:rPr>
          <w:snapToGrid w:val="0"/>
          <w:szCs w:val="26"/>
        </w:rPr>
        <w:t xml:space="preserve">Section 332(a) of the Code, 66 Pa. C.S. §332(a),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Pr>
          <w:i/>
          <w:snapToGrid w:val="0"/>
          <w:szCs w:val="26"/>
        </w:rPr>
        <w:t>Samuel J. Lansberry, Inc. v. Pa. PUC</w:t>
      </w:r>
      <w:r>
        <w:rPr>
          <w:snapToGrid w:val="0"/>
          <w:szCs w:val="26"/>
        </w:rPr>
        <w:t>, 578</w:t>
      </w:r>
      <w:r w:rsidRPr="00797A0E">
        <w:rPr>
          <w:rFonts w:cs="Arial"/>
          <w:bCs/>
          <w:szCs w:val="18"/>
        </w:rPr>
        <w:t xml:space="preserve"> A.2d 6</w:t>
      </w:r>
      <w:r>
        <w:rPr>
          <w:rFonts w:cs="Arial"/>
          <w:bCs/>
          <w:szCs w:val="18"/>
        </w:rPr>
        <w:t>00, 602 (Pa. Cmwlth. 1990)</w:t>
      </w:r>
      <w:r w:rsidR="00E917E9">
        <w:rPr>
          <w:rFonts w:cs="Arial"/>
          <w:bCs/>
          <w:szCs w:val="18"/>
        </w:rPr>
        <w:t xml:space="preserve">, </w:t>
      </w:r>
      <w:r w:rsidR="00E917E9" w:rsidRPr="00E917E9">
        <w:rPr>
          <w:rFonts w:cs="Arial"/>
          <w:bCs/>
          <w:i/>
          <w:szCs w:val="18"/>
        </w:rPr>
        <w:t>alloc. denied</w:t>
      </w:r>
      <w:r w:rsidR="00E917E9">
        <w:rPr>
          <w:rFonts w:cs="Arial"/>
          <w:bCs/>
          <w:szCs w:val="18"/>
        </w:rPr>
        <w:t>, 529 Pa. 654,602 A.2d 863 (1992).</w:t>
      </w:r>
      <w:r>
        <w:rPr>
          <w:rFonts w:cs="Arial"/>
          <w:bCs/>
          <w:szCs w:val="18"/>
        </w:rPr>
        <w:t xml:space="preserve">  T</w:t>
      </w:r>
      <w:r>
        <w:rPr>
          <w:iCs/>
        </w:rPr>
        <w:t xml:space="preserve">he term “preponderance of the evidence” means that one party has presented evidence that is more convincing, by even the smallest amount, than the evidence presented by the other party.  </w:t>
      </w:r>
      <w:r>
        <w:rPr>
          <w:i/>
          <w:iCs/>
        </w:rPr>
        <w:t xml:space="preserve">Se-ling Hosiery v. Margulies, </w:t>
      </w:r>
      <w:r>
        <w:rPr>
          <w:iCs/>
        </w:rPr>
        <w:t>364 Pa. 45.70 A.2d 857 (1950).  In this instance, Peoples has the burden of proof.</w:t>
      </w:r>
    </w:p>
    <w:p w:rsidR="00FF40AE" w:rsidRDefault="00FF40AE">
      <w:pPr>
        <w:keepNext/>
      </w:pPr>
    </w:p>
    <w:p w:rsidR="00FF40AE" w:rsidRDefault="009259D5">
      <w:pPr>
        <w:pStyle w:val="Heading2"/>
      </w:pPr>
      <w:bookmarkStart w:id="3" w:name="_Toc271015508"/>
      <w:r w:rsidRPr="00293FDA">
        <w:t xml:space="preserve">A. </w:t>
      </w:r>
      <w:r w:rsidR="001D5153" w:rsidRPr="00293FDA">
        <w:t xml:space="preserve">Terms of the </w:t>
      </w:r>
      <w:r w:rsidRPr="00293FDA">
        <w:t>Settlement Petition</w:t>
      </w:r>
      <w:bookmarkEnd w:id="3"/>
    </w:p>
    <w:p w:rsidR="00FF40AE" w:rsidRDefault="00FF40AE">
      <w:pPr>
        <w:keepNext/>
      </w:pPr>
    </w:p>
    <w:p w:rsidR="00FF40AE" w:rsidRDefault="009B0BC8">
      <w:pPr>
        <w:keepNext/>
        <w:rPr>
          <w:szCs w:val="26"/>
        </w:rPr>
      </w:pPr>
      <w:r w:rsidRPr="000D6043">
        <w:rPr>
          <w:szCs w:val="26"/>
        </w:rPr>
        <w:t>Pursuant to our Regulations at 52 Pa. Code §</w:t>
      </w:r>
      <w:r>
        <w:rPr>
          <w:szCs w:val="26"/>
        </w:rPr>
        <w:t xml:space="preserve"> </w:t>
      </w:r>
      <w:r w:rsidRPr="000D6043">
        <w:rPr>
          <w:szCs w:val="26"/>
        </w:rPr>
        <w:t xml:space="preserve">5.231, it is the Commission’s policy to promote settlements.  </w:t>
      </w:r>
      <w:r>
        <w:rPr>
          <w:szCs w:val="26"/>
        </w:rPr>
        <w:t>T</w:t>
      </w:r>
      <w:r w:rsidRPr="000D6043">
        <w:rPr>
          <w:szCs w:val="26"/>
        </w:rPr>
        <w:t>he Commission must</w:t>
      </w:r>
      <w:r w:rsidR="004E6A84">
        <w:rPr>
          <w:szCs w:val="26"/>
        </w:rPr>
        <w:t>,</w:t>
      </w:r>
      <w:r>
        <w:rPr>
          <w:szCs w:val="26"/>
        </w:rPr>
        <w:t xml:space="preserve"> however,</w:t>
      </w:r>
      <w:r w:rsidRPr="000D6043">
        <w:rPr>
          <w:szCs w:val="26"/>
        </w:rPr>
        <w:t xml:space="preserve"> review proposed settlements to determine whether the terms are in the public interest.</w:t>
      </w:r>
      <w:r>
        <w:rPr>
          <w:szCs w:val="26"/>
        </w:rPr>
        <w:t xml:space="preserve"> </w:t>
      </w:r>
      <w:r w:rsidRPr="000D6043">
        <w:rPr>
          <w:szCs w:val="26"/>
        </w:rPr>
        <w:t xml:space="preserve"> </w:t>
      </w:r>
      <w:smartTag w:uri="urn:schemas-microsoft-com:office:smarttags" w:element="State">
        <w:r w:rsidRPr="00416218">
          <w:rPr>
            <w:i/>
            <w:szCs w:val="26"/>
          </w:rPr>
          <w:t>Pa.</w:t>
        </w:r>
      </w:smartTag>
      <w:r w:rsidRPr="00416218">
        <w:rPr>
          <w:i/>
          <w:szCs w:val="26"/>
        </w:rPr>
        <w:t xml:space="preserve"> PUC v. Philadelphia Gas Works</w:t>
      </w:r>
      <w:r w:rsidRPr="00416218">
        <w:rPr>
          <w:szCs w:val="26"/>
        </w:rPr>
        <w:t>, M-00031768 (January</w:t>
      </w:r>
      <w:r w:rsidR="001D5153">
        <w:rPr>
          <w:szCs w:val="26"/>
        </w:rPr>
        <w:t xml:space="preserve"> </w:t>
      </w:r>
      <w:r w:rsidRPr="00416218">
        <w:rPr>
          <w:szCs w:val="26"/>
        </w:rPr>
        <w:t>7, 2004)</w:t>
      </w:r>
      <w:r>
        <w:rPr>
          <w:szCs w:val="26"/>
        </w:rPr>
        <w:t xml:space="preserve">; </w:t>
      </w:r>
      <w:r w:rsidRPr="00416218">
        <w:rPr>
          <w:i/>
          <w:szCs w:val="26"/>
        </w:rPr>
        <w:t>Pa. PUC</w:t>
      </w:r>
      <w:r>
        <w:rPr>
          <w:i/>
          <w:szCs w:val="26"/>
        </w:rPr>
        <w:t xml:space="preserve"> </w:t>
      </w:r>
      <w:r w:rsidRPr="00416218">
        <w:rPr>
          <w:i/>
          <w:szCs w:val="26"/>
        </w:rPr>
        <w:t>v. C S Water and Sewer Assoc.</w:t>
      </w:r>
      <w:r w:rsidRPr="00416218">
        <w:rPr>
          <w:szCs w:val="26"/>
        </w:rPr>
        <w:t xml:space="preserve">, 74 </w:t>
      </w:r>
      <w:smartTag w:uri="urn:schemas-microsoft-com:office:smarttags" w:element="State">
        <w:r w:rsidRPr="00416218">
          <w:rPr>
            <w:szCs w:val="26"/>
          </w:rPr>
          <w:t>Pa.</w:t>
        </w:r>
      </w:smartTag>
      <w:r>
        <w:rPr>
          <w:szCs w:val="26"/>
        </w:rPr>
        <w:t xml:space="preserve"> </w:t>
      </w:r>
      <w:r w:rsidRPr="00416218">
        <w:rPr>
          <w:szCs w:val="26"/>
        </w:rPr>
        <w:t>P</w:t>
      </w:r>
      <w:r>
        <w:rPr>
          <w:szCs w:val="26"/>
        </w:rPr>
        <w:t>.</w:t>
      </w:r>
      <w:r w:rsidRPr="00416218">
        <w:rPr>
          <w:szCs w:val="26"/>
        </w:rPr>
        <w:t>U</w:t>
      </w:r>
      <w:r>
        <w:rPr>
          <w:szCs w:val="26"/>
        </w:rPr>
        <w:t>.</w:t>
      </w:r>
      <w:r w:rsidRPr="00416218">
        <w:rPr>
          <w:szCs w:val="26"/>
        </w:rPr>
        <w:t>C</w:t>
      </w:r>
      <w:r>
        <w:rPr>
          <w:szCs w:val="26"/>
        </w:rPr>
        <w:t>.</w:t>
      </w:r>
      <w:r w:rsidRPr="00416218">
        <w:rPr>
          <w:szCs w:val="26"/>
        </w:rPr>
        <w:t xml:space="preserve"> 767 (1991); </w:t>
      </w:r>
      <w:smartTag w:uri="urn:schemas-microsoft-com:office:smarttags" w:element="State">
        <w:r w:rsidRPr="00416218">
          <w:rPr>
            <w:i/>
            <w:szCs w:val="26"/>
          </w:rPr>
          <w:t>Pa.</w:t>
        </w:r>
      </w:smartTag>
      <w:r w:rsidRPr="00416218">
        <w:rPr>
          <w:i/>
          <w:szCs w:val="26"/>
        </w:rPr>
        <w:t xml:space="preserve"> PUC</w:t>
      </w:r>
      <w:r>
        <w:rPr>
          <w:i/>
          <w:szCs w:val="26"/>
        </w:rPr>
        <w:t xml:space="preserve"> </w:t>
      </w:r>
      <w:r w:rsidRPr="00416218">
        <w:rPr>
          <w:i/>
          <w:szCs w:val="26"/>
        </w:rPr>
        <w:t>v. Philadelphia Electric Co.</w:t>
      </w:r>
      <w:r w:rsidRPr="00416218">
        <w:rPr>
          <w:szCs w:val="26"/>
        </w:rPr>
        <w:t xml:space="preserve">, 60 </w:t>
      </w:r>
      <w:smartTag w:uri="urn:schemas-microsoft-com:office:smarttags" w:element="place">
        <w:smartTag w:uri="urn:schemas-microsoft-com:office:smarttags" w:element="State">
          <w:r w:rsidRPr="00416218">
            <w:rPr>
              <w:szCs w:val="26"/>
            </w:rPr>
            <w:t>Pa.</w:t>
          </w:r>
        </w:smartTag>
      </w:smartTag>
      <w:r>
        <w:rPr>
          <w:szCs w:val="26"/>
        </w:rPr>
        <w:t xml:space="preserve"> </w:t>
      </w:r>
      <w:r w:rsidRPr="00416218">
        <w:rPr>
          <w:szCs w:val="26"/>
        </w:rPr>
        <w:t>P</w:t>
      </w:r>
      <w:r>
        <w:rPr>
          <w:szCs w:val="26"/>
        </w:rPr>
        <w:t>.</w:t>
      </w:r>
      <w:r w:rsidRPr="00416218">
        <w:rPr>
          <w:szCs w:val="26"/>
        </w:rPr>
        <w:t>U</w:t>
      </w:r>
      <w:r>
        <w:rPr>
          <w:szCs w:val="26"/>
        </w:rPr>
        <w:t>.</w:t>
      </w:r>
      <w:r w:rsidRPr="00416218">
        <w:rPr>
          <w:szCs w:val="26"/>
        </w:rPr>
        <w:t>C</w:t>
      </w:r>
      <w:r>
        <w:rPr>
          <w:szCs w:val="26"/>
        </w:rPr>
        <w:t>.</w:t>
      </w:r>
      <w:r w:rsidRPr="00416218">
        <w:rPr>
          <w:szCs w:val="26"/>
        </w:rPr>
        <w:t xml:space="preserve"> 1 (1985</w:t>
      </w:r>
      <w:r>
        <w:rPr>
          <w:szCs w:val="26"/>
        </w:rPr>
        <w:t>)</w:t>
      </w:r>
      <w:r w:rsidRPr="00416218">
        <w:rPr>
          <w:szCs w:val="26"/>
        </w:rPr>
        <w:t>.</w:t>
      </w:r>
    </w:p>
    <w:p w:rsidR="00FF40AE" w:rsidRDefault="00FF40AE">
      <w:pPr>
        <w:rPr>
          <w:szCs w:val="26"/>
        </w:rPr>
      </w:pPr>
    </w:p>
    <w:p w:rsidR="00FF40AE" w:rsidRDefault="00A178AD">
      <w:r>
        <w:t>The following discussion is intended to be a summary of the terms of the Settlement Agreement and not every detail has been reflected.  Consequently, this summary should not be interpreted as amending the provisions of the Settlement Agreement.</w:t>
      </w:r>
    </w:p>
    <w:p w:rsidR="00FF40AE" w:rsidRDefault="00FF40AE">
      <w:pPr>
        <w:rPr>
          <w:szCs w:val="26"/>
        </w:rPr>
      </w:pPr>
    </w:p>
    <w:p w:rsidR="00FF40AE" w:rsidRDefault="00293FDA">
      <w:pPr>
        <w:pStyle w:val="Heading3"/>
      </w:pPr>
      <w:bookmarkStart w:id="4" w:name="_Toc271015509"/>
      <w:r w:rsidRPr="00293FDA">
        <w:lastRenderedPageBreak/>
        <w:t xml:space="preserve">1. </w:t>
      </w:r>
      <w:r w:rsidR="008B5D59">
        <w:t xml:space="preserve"> </w:t>
      </w:r>
      <w:r w:rsidRPr="00293FDA">
        <w:t xml:space="preserve">Least Cost Fuel Procurement </w:t>
      </w:r>
      <w:r w:rsidR="002F2075">
        <w:t>Policy</w:t>
      </w:r>
      <w:bookmarkEnd w:id="4"/>
    </w:p>
    <w:p w:rsidR="00FF40AE" w:rsidRDefault="00FF40AE">
      <w:pPr>
        <w:keepNext/>
      </w:pPr>
    </w:p>
    <w:p w:rsidR="00FF40AE" w:rsidRDefault="001E570B">
      <w:pPr>
        <w:keepNext/>
      </w:pPr>
      <w:r>
        <w:t xml:space="preserve">Sections 1318(a) and (b) of the Public Utility Code, 66 </w:t>
      </w:r>
      <w:r w:rsidR="00907738">
        <w:t>P</w:t>
      </w:r>
      <w:r>
        <w:t>a. C.S. § 1318(a) and (b)</w:t>
      </w:r>
      <w:r w:rsidR="00C701E1">
        <w:t>,</w:t>
      </w:r>
      <w:r>
        <w:t xml:space="preserve"> set forth specific findings that the Commission must make </w:t>
      </w:r>
      <w:r w:rsidR="00973ECC">
        <w:t xml:space="preserve">to determine if the gas distribution utility is pursuing a least-cost fuel procurement policy.  </w:t>
      </w:r>
    </w:p>
    <w:p w:rsidR="00FF40AE" w:rsidRDefault="00FF40AE"/>
    <w:p w:rsidR="00FF40AE" w:rsidRDefault="008B5625">
      <w:pPr>
        <w:pStyle w:val="Heading4"/>
      </w:pPr>
      <w:bookmarkStart w:id="5" w:name="_Toc271015510"/>
      <w:r w:rsidRPr="008B5625">
        <w:t>(a)  FERC Proceedings</w:t>
      </w:r>
      <w:bookmarkEnd w:id="5"/>
    </w:p>
    <w:p w:rsidR="00FF40AE" w:rsidRDefault="00FF40AE">
      <w:pPr>
        <w:keepNext/>
        <w:rPr>
          <w:b/>
        </w:rPr>
      </w:pPr>
    </w:p>
    <w:p w:rsidR="00FF40AE" w:rsidRDefault="00153468">
      <w:pPr>
        <w:keepNext/>
      </w:pPr>
      <w:r w:rsidRPr="00032B88">
        <w:t>Section 1318(a)(1)</w:t>
      </w:r>
      <w:r w:rsidR="005B507C">
        <w:t xml:space="preserve"> of the Code</w:t>
      </w:r>
      <w:r>
        <w:t>,</w:t>
      </w:r>
      <w:r w:rsidRPr="00032B88">
        <w:t xml:space="preserve"> </w:t>
      </w:r>
      <w:r>
        <w:t>66 Pa. C.S. § 1318(a)(1)</w:t>
      </w:r>
      <w:r w:rsidR="002B1999">
        <w:t>,</w:t>
      </w:r>
      <w:r>
        <w:t xml:space="preserve"> r</w:t>
      </w:r>
      <w:r w:rsidRPr="00032B88">
        <w:t xml:space="preserve">equires the Commission to find that Peoples has fully and vigorously represented the interests of its ratepayers in proceedings before the Federal Energy Regulatory Commission (FERC).  </w:t>
      </w:r>
      <w:r w:rsidR="00250203">
        <w:t xml:space="preserve">Peoples submitted the </w:t>
      </w:r>
      <w:r w:rsidRPr="00032B88">
        <w:t xml:space="preserve">testimony of </w:t>
      </w:r>
      <w:r w:rsidR="001174E2">
        <w:t>Mr.</w:t>
      </w:r>
      <w:r w:rsidRPr="00032B88">
        <w:t xml:space="preserve"> Caldro who explained Peoples’ past, present and future policy governing participation in FERC proceedings</w:t>
      </w:r>
      <w:r w:rsidR="00250203">
        <w:t xml:space="preserve">.  </w:t>
      </w:r>
      <w:r w:rsidR="00250203" w:rsidRPr="00032B88">
        <w:t>Peoples’ Statement No. 2 at 2-4</w:t>
      </w:r>
      <w:r w:rsidR="00250203">
        <w:t xml:space="preserve">.  In of </w:t>
      </w:r>
      <w:r w:rsidR="003A5E26">
        <w:t>t</w:t>
      </w:r>
      <w:r w:rsidR="00250203">
        <w:t>his testimony</w:t>
      </w:r>
      <w:r w:rsidR="003A5E26">
        <w:t xml:space="preserve">, Peoples submitted </w:t>
      </w:r>
      <w:r w:rsidR="00041670">
        <w:t xml:space="preserve">Exhibit 13 which contains </w:t>
      </w:r>
      <w:r w:rsidR="003A5E26">
        <w:t xml:space="preserve">a detailed identification and explanation </w:t>
      </w:r>
      <w:r w:rsidR="00041670">
        <w:t xml:space="preserve">of the numerous cases that Peoples and its affiliates monitored or participated in “over the last year or so.”  </w:t>
      </w:r>
      <w:r w:rsidR="00041670" w:rsidRPr="00041670">
        <w:rPr>
          <w:i/>
        </w:rPr>
        <w:t>Id</w:t>
      </w:r>
      <w:r w:rsidR="00041670">
        <w:t xml:space="preserve">. at 4. </w:t>
      </w:r>
      <w:r w:rsidR="00701DEA">
        <w:t xml:space="preserve"> In its </w:t>
      </w:r>
      <w:r w:rsidR="008C0935">
        <w:t>Statement in Support</w:t>
      </w:r>
      <w:r w:rsidR="008E0270">
        <w:t>,</w:t>
      </w:r>
      <w:r w:rsidR="008C0935">
        <w:t xml:space="preserve"> Peoples avers that participation in FERC and other proceedings has helped Peoples minimize the costs its customers must pay for pipeline services </w:t>
      </w:r>
      <w:r w:rsidR="009302D8">
        <w:t xml:space="preserve">and maximize the flexibility of the services available. </w:t>
      </w:r>
      <w:r w:rsidR="008C0935">
        <w:t xml:space="preserve"> </w:t>
      </w:r>
      <w:r w:rsidR="009302D8">
        <w:t xml:space="preserve">Peoples Statement in Support at 5. </w:t>
      </w:r>
    </w:p>
    <w:p w:rsidR="00FF40AE" w:rsidRDefault="00FF40AE">
      <w:pPr>
        <w:keepNext/>
      </w:pPr>
    </w:p>
    <w:p w:rsidR="00FF40AE" w:rsidRDefault="005A0488">
      <w:pPr>
        <w:pStyle w:val="BodyTextIndent"/>
        <w:widowControl/>
        <w:rPr>
          <w:rFonts w:ascii="Times New Roman" w:hAnsi="Times New Roman" w:cs="Times New Roman"/>
        </w:rPr>
      </w:pPr>
      <w:r w:rsidRPr="002F1B40">
        <w:rPr>
          <w:rFonts w:ascii="Times New Roman" w:hAnsi="Times New Roman" w:cs="Times New Roman"/>
        </w:rPr>
        <w:t>The ALJ concluded that t</w:t>
      </w:r>
      <w:r w:rsidR="00153468" w:rsidRPr="002F1B40">
        <w:rPr>
          <w:rFonts w:ascii="Times New Roman" w:hAnsi="Times New Roman" w:cs="Times New Roman"/>
        </w:rPr>
        <w:t>he essence of Peoples’ approach to FERC participation is to</w:t>
      </w:r>
      <w:r w:rsidRPr="002F1B40">
        <w:rPr>
          <w:rFonts w:ascii="Times New Roman" w:hAnsi="Times New Roman" w:cs="Times New Roman"/>
        </w:rPr>
        <w:t xml:space="preserve"> comprehensively</w:t>
      </w:r>
      <w:r w:rsidR="00153468" w:rsidRPr="002F1B40">
        <w:rPr>
          <w:rFonts w:ascii="Times New Roman" w:hAnsi="Times New Roman" w:cs="Times New Roman"/>
        </w:rPr>
        <w:t xml:space="preserve"> monitor all proceedings which may materially affect the price and availability of gas supply to Peoples</w:t>
      </w:r>
      <w:r w:rsidRPr="002F1B40">
        <w:rPr>
          <w:rFonts w:ascii="Times New Roman" w:hAnsi="Times New Roman" w:cs="Times New Roman"/>
        </w:rPr>
        <w:t>.</w:t>
      </w:r>
      <w:r w:rsidR="00153468" w:rsidRPr="002F1B40">
        <w:rPr>
          <w:rFonts w:ascii="Times New Roman" w:hAnsi="Times New Roman" w:cs="Times New Roman"/>
        </w:rPr>
        <w:t xml:space="preserve"> </w:t>
      </w:r>
      <w:r w:rsidR="009A672F" w:rsidRPr="002F1B40">
        <w:rPr>
          <w:rFonts w:ascii="Times New Roman" w:hAnsi="Times New Roman" w:cs="Times New Roman"/>
        </w:rPr>
        <w:t xml:space="preserve"> </w:t>
      </w:r>
      <w:r w:rsidR="00153468" w:rsidRPr="002F1B40">
        <w:rPr>
          <w:rFonts w:ascii="Times New Roman" w:hAnsi="Times New Roman" w:cs="Times New Roman"/>
        </w:rPr>
        <w:t xml:space="preserve">The </w:t>
      </w:r>
      <w:r w:rsidR="009A672F" w:rsidRPr="002F1B40">
        <w:rPr>
          <w:rFonts w:ascii="Times New Roman" w:hAnsi="Times New Roman" w:cs="Times New Roman"/>
        </w:rPr>
        <w:t xml:space="preserve">ALJ noted that </w:t>
      </w:r>
      <w:r w:rsidR="008B5D59">
        <w:rPr>
          <w:rFonts w:ascii="Times New Roman" w:hAnsi="Times New Roman" w:cs="Times New Roman"/>
        </w:rPr>
        <w:t xml:space="preserve">the </w:t>
      </w:r>
      <w:r w:rsidR="00153468" w:rsidRPr="002F1B40">
        <w:rPr>
          <w:rFonts w:ascii="Times New Roman" w:hAnsi="Times New Roman" w:cs="Times New Roman"/>
        </w:rPr>
        <w:t xml:space="preserve">Commission has reviewed this policy in previous 1307(f) proceedings and has approved it.  </w:t>
      </w:r>
      <w:r w:rsidR="009A672F" w:rsidRPr="002F1B40">
        <w:rPr>
          <w:rFonts w:ascii="Times New Roman" w:hAnsi="Times New Roman" w:cs="Times New Roman"/>
        </w:rPr>
        <w:t>R.D</w:t>
      </w:r>
      <w:r w:rsidR="004835F3">
        <w:rPr>
          <w:rFonts w:ascii="Times New Roman" w:hAnsi="Times New Roman" w:cs="Times New Roman"/>
        </w:rPr>
        <w:t xml:space="preserve"> at 16.</w:t>
      </w:r>
      <w:r w:rsidR="002F1B40" w:rsidRPr="002F1B40">
        <w:rPr>
          <w:rFonts w:ascii="Times New Roman" w:hAnsi="Times New Roman" w:cs="Times New Roman"/>
        </w:rPr>
        <w:t xml:space="preserve"> </w:t>
      </w:r>
    </w:p>
    <w:p w:rsidR="00FF40AE" w:rsidRDefault="00FF40AE"/>
    <w:p w:rsidR="00FF40AE" w:rsidRDefault="00891973">
      <w:r>
        <w:t xml:space="preserve">We find that </w:t>
      </w:r>
      <w:r w:rsidR="004835F3">
        <w:t xml:space="preserve">the activities of </w:t>
      </w:r>
      <w:r w:rsidR="009302D8">
        <w:t xml:space="preserve">Peoples </w:t>
      </w:r>
      <w:r w:rsidR="00B67FFD">
        <w:t>and its affiliates before the FERC</w:t>
      </w:r>
      <w:r>
        <w:t>,</w:t>
      </w:r>
      <w:r w:rsidR="00B67FFD">
        <w:t xml:space="preserve"> as described in Peoples’ </w:t>
      </w:r>
      <w:r w:rsidR="009302D8">
        <w:t xml:space="preserve">Exhibit </w:t>
      </w:r>
      <w:r w:rsidR="00B67FFD">
        <w:t>13</w:t>
      </w:r>
      <w:r>
        <w:t>, supports a conclusion that Peoples h</w:t>
      </w:r>
      <w:r w:rsidR="00345D00">
        <w:t>a</w:t>
      </w:r>
      <w:r>
        <w:t>s fully and vigorously represented the interests of its ratepayers before the FERC.</w:t>
      </w:r>
    </w:p>
    <w:p w:rsidR="00FF40AE" w:rsidRDefault="00FF40AE"/>
    <w:p w:rsidR="00FF40AE" w:rsidRDefault="007F3515">
      <w:pPr>
        <w:pStyle w:val="Heading4"/>
      </w:pPr>
      <w:bookmarkStart w:id="6" w:name="_Toc271015511"/>
      <w:r w:rsidRPr="007F3515">
        <w:lastRenderedPageBreak/>
        <w:t xml:space="preserve">(b) </w:t>
      </w:r>
      <w:r w:rsidR="008B5D59">
        <w:t xml:space="preserve"> </w:t>
      </w:r>
      <w:r w:rsidR="005B507C">
        <w:t>Negotiation of Contracts</w:t>
      </w:r>
      <w:r w:rsidR="00FF126E">
        <w:t xml:space="preserve"> </w:t>
      </w:r>
      <w:r w:rsidR="003178E1">
        <w:t xml:space="preserve">and Gas </w:t>
      </w:r>
      <w:r w:rsidR="001454EB">
        <w:t>Procurement</w:t>
      </w:r>
      <w:bookmarkEnd w:id="6"/>
      <w:r w:rsidR="003178E1">
        <w:t xml:space="preserve"> </w:t>
      </w:r>
    </w:p>
    <w:p w:rsidR="00FF40AE" w:rsidRDefault="00FF40AE">
      <w:pPr>
        <w:rPr>
          <w:b/>
        </w:rPr>
      </w:pPr>
    </w:p>
    <w:p w:rsidR="00FF40AE" w:rsidRDefault="005B507C">
      <w:pPr>
        <w:rPr>
          <w:szCs w:val="26"/>
        </w:rPr>
      </w:pPr>
      <w:r w:rsidRPr="00032B88">
        <w:t>Section</w:t>
      </w:r>
      <w:r w:rsidR="00797500">
        <w:t>s</w:t>
      </w:r>
      <w:r w:rsidRPr="00032B88">
        <w:t xml:space="preserve"> 1318(a)(</w:t>
      </w:r>
      <w:r>
        <w:t>2</w:t>
      </w:r>
      <w:r w:rsidRPr="00032B88">
        <w:t>)</w:t>
      </w:r>
      <w:r w:rsidR="004C4036">
        <w:t>, (3)</w:t>
      </w:r>
      <w:r w:rsidR="00797500">
        <w:t xml:space="preserve"> and (</w:t>
      </w:r>
      <w:r w:rsidR="004C4036">
        <w:t>4</w:t>
      </w:r>
      <w:r w:rsidR="00797500">
        <w:t xml:space="preserve">) </w:t>
      </w:r>
      <w:r>
        <w:t xml:space="preserve">of the </w:t>
      </w:r>
      <w:r w:rsidR="00FF2E0E">
        <w:t xml:space="preserve">Public Utility </w:t>
      </w:r>
      <w:r>
        <w:t>Code,</w:t>
      </w:r>
      <w:r w:rsidRPr="00032B88">
        <w:t xml:space="preserve"> </w:t>
      </w:r>
      <w:r>
        <w:t>66 Pa. C.S.</w:t>
      </w:r>
      <w:r w:rsidR="00196BB9">
        <w:t xml:space="preserve">     </w:t>
      </w:r>
      <w:r w:rsidR="003178E1">
        <w:t>§</w:t>
      </w:r>
      <w:r>
        <w:t>§ 1318(a)(2)</w:t>
      </w:r>
      <w:r w:rsidR="004C4036">
        <w:t>,(3)</w:t>
      </w:r>
      <w:r>
        <w:t xml:space="preserve"> </w:t>
      </w:r>
      <w:r w:rsidR="00797500">
        <w:t>and (</w:t>
      </w:r>
      <w:r w:rsidR="004C4036">
        <w:t>4</w:t>
      </w:r>
      <w:r w:rsidR="00797500">
        <w:t>)</w:t>
      </w:r>
      <w:r w:rsidR="00C701E1">
        <w:t>,</w:t>
      </w:r>
      <w:r w:rsidR="00797500">
        <w:t xml:space="preserve"> </w:t>
      </w:r>
      <w:r>
        <w:t>r</w:t>
      </w:r>
      <w:r w:rsidRPr="00032B88">
        <w:t xml:space="preserve">equire the Commission to </w:t>
      </w:r>
      <w:r w:rsidR="00797500">
        <w:t xml:space="preserve">make </w:t>
      </w:r>
      <w:r w:rsidRPr="00345D00">
        <w:rPr>
          <w:szCs w:val="26"/>
        </w:rPr>
        <w:t xml:space="preserve">a finding of prudence in negotiating or renegotiating of gas supply contracts </w:t>
      </w:r>
      <w:r w:rsidR="00797500">
        <w:rPr>
          <w:szCs w:val="26"/>
        </w:rPr>
        <w:t xml:space="preserve">and a </w:t>
      </w:r>
      <w:r w:rsidR="00797500" w:rsidRPr="00345D00">
        <w:rPr>
          <w:szCs w:val="26"/>
        </w:rPr>
        <w:t>finding of prudence concerning efforts to obtain lower cost gas supplies, including the use of gas transportation</w:t>
      </w:r>
      <w:r w:rsidR="00797500">
        <w:rPr>
          <w:szCs w:val="26"/>
        </w:rPr>
        <w:t>.</w:t>
      </w:r>
    </w:p>
    <w:p w:rsidR="00FF40AE" w:rsidRDefault="00FF40AE">
      <w:pPr>
        <w:rPr>
          <w:szCs w:val="26"/>
        </w:rPr>
      </w:pPr>
    </w:p>
    <w:p w:rsidR="00FF40AE" w:rsidRDefault="008E7DDB">
      <w:pPr>
        <w:rPr>
          <w:color w:val="C00000"/>
          <w:szCs w:val="26"/>
        </w:rPr>
      </w:pPr>
      <w:r>
        <w:rPr>
          <w:szCs w:val="26"/>
        </w:rPr>
        <w:t xml:space="preserve">Peoples presented the testimony of </w:t>
      </w:r>
      <w:r w:rsidR="008E0270">
        <w:rPr>
          <w:szCs w:val="26"/>
        </w:rPr>
        <w:t>Mr.</w:t>
      </w:r>
      <w:r>
        <w:rPr>
          <w:szCs w:val="26"/>
        </w:rPr>
        <w:t xml:space="preserve"> Walther which, </w:t>
      </w:r>
      <w:r w:rsidRPr="00AF00F0">
        <w:rPr>
          <w:i/>
          <w:szCs w:val="26"/>
        </w:rPr>
        <w:t>inter alia</w:t>
      </w:r>
      <w:r>
        <w:rPr>
          <w:szCs w:val="26"/>
        </w:rPr>
        <w:t xml:space="preserve">, </w:t>
      </w:r>
      <w:r w:rsidR="007479D4">
        <w:rPr>
          <w:szCs w:val="26"/>
        </w:rPr>
        <w:t>provide</w:t>
      </w:r>
      <w:r>
        <w:rPr>
          <w:szCs w:val="26"/>
        </w:rPr>
        <w:t>d</w:t>
      </w:r>
      <w:r w:rsidR="007479D4">
        <w:rPr>
          <w:szCs w:val="26"/>
        </w:rPr>
        <w:t xml:space="preserve"> a description of Peoples’ natural gas supply portfolio during the </w:t>
      </w:r>
      <w:r w:rsidR="00E21F55">
        <w:rPr>
          <w:szCs w:val="26"/>
        </w:rPr>
        <w:t xml:space="preserve">period between </w:t>
      </w:r>
      <w:r w:rsidR="00744EFC">
        <w:rPr>
          <w:szCs w:val="26"/>
        </w:rPr>
        <w:t xml:space="preserve">February 1, </w:t>
      </w:r>
      <w:r w:rsidR="00E21F55">
        <w:rPr>
          <w:szCs w:val="26"/>
        </w:rPr>
        <w:t>2</w:t>
      </w:r>
      <w:r w:rsidR="00744EFC">
        <w:rPr>
          <w:szCs w:val="26"/>
        </w:rPr>
        <w:t>009</w:t>
      </w:r>
      <w:r w:rsidR="00C701E1">
        <w:rPr>
          <w:szCs w:val="26"/>
        </w:rPr>
        <w:t>,</w:t>
      </w:r>
      <w:r w:rsidR="00744EFC">
        <w:rPr>
          <w:szCs w:val="26"/>
        </w:rPr>
        <w:t xml:space="preserve"> through January 31, 2010</w:t>
      </w:r>
      <w:r w:rsidR="00C701E1">
        <w:rPr>
          <w:szCs w:val="26"/>
        </w:rPr>
        <w:t>,</w:t>
      </w:r>
      <w:r w:rsidR="00744EFC">
        <w:rPr>
          <w:szCs w:val="26"/>
        </w:rPr>
        <w:t xml:space="preserve"> </w:t>
      </w:r>
      <w:r w:rsidR="00E21F55">
        <w:rPr>
          <w:szCs w:val="26"/>
        </w:rPr>
        <w:t xml:space="preserve">(reconciliation period) </w:t>
      </w:r>
      <w:r w:rsidR="00543CE2">
        <w:rPr>
          <w:szCs w:val="26"/>
        </w:rPr>
        <w:t xml:space="preserve">as well as changes to its portfolio during the </w:t>
      </w:r>
      <w:r w:rsidR="00A07AE4">
        <w:rPr>
          <w:szCs w:val="26"/>
        </w:rPr>
        <w:t>twenty</w:t>
      </w:r>
      <w:r w:rsidR="00744EFC">
        <w:rPr>
          <w:szCs w:val="26"/>
        </w:rPr>
        <w:t xml:space="preserve">-month </w:t>
      </w:r>
      <w:r w:rsidR="0058251E">
        <w:rPr>
          <w:szCs w:val="26"/>
        </w:rPr>
        <w:t>period</w:t>
      </w:r>
      <w:r w:rsidR="00E21F55">
        <w:rPr>
          <w:szCs w:val="26"/>
        </w:rPr>
        <w:t xml:space="preserve"> between </w:t>
      </w:r>
      <w:r w:rsidR="00744EFC">
        <w:rPr>
          <w:szCs w:val="26"/>
        </w:rPr>
        <w:t>February 1, 2010</w:t>
      </w:r>
      <w:r w:rsidR="0058251E">
        <w:rPr>
          <w:szCs w:val="26"/>
        </w:rPr>
        <w:t>,</w:t>
      </w:r>
      <w:r w:rsidR="00744EFC">
        <w:rPr>
          <w:szCs w:val="26"/>
        </w:rPr>
        <w:t xml:space="preserve"> through September 30, 2010</w:t>
      </w:r>
      <w:r w:rsidR="00E21F55">
        <w:rPr>
          <w:szCs w:val="26"/>
        </w:rPr>
        <w:t xml:space="preserve"> (projected period</w:t>
      </w:r>
      <w:r w:rsidR="00744EFC">
        <w:rPr>
          <w:szCs w:val="26"/>
        </w:rPr>
        <w:t>)</w:t>
      </w:r>
      <w:r w:rsidR="00543CE2">
        <w:rPr>
          <w:szCs w:val="26"/>
        </w:rPr>
        <w:t xml:space="preserve">.  </w:t>
      </w:r>
      <w:r>
        <w:rPr>
          <w:szCs w:val="26"/>
        </w:rPr>
        <w:t>Peoples Statement No. 1 at 17-39</w:t>
      </w:r>
      <w:r w:rsidR="00015CB5">
        <w:rPr>
          <w:szCs w:val="26"/>
        </w:rPr>
        <w:t xml:space="preserve">.  </w:t>
      </w:r>
      <w:r w:rsidR="0058251E">
        <w:rPr>
          <w:szCs w:val="26"/>
        </w:rPr>
        <w:t xml:space="preserve">This </w:t>
      </w:r>
      <w:r w:rsidR="00543CE2">
        <w:rPr>
          <w:szCs w:val="26"/>
        </w:rPr>
        <w:t xml:space="preserve">Statement </w:t>
      </w:r>
      <w:r w:rsidR="00794F35">
        <w:rPr>
          <w:szCs w:val="26"/>
        </w:rPr>
        <w:t xml:space="preserve">reflects the various interstate pipeline transportation services, storage services, firm commodity services, </w:t>
      </w:r>
      <w:r w:rsidR="00153D18">
        <w:rPr>
          <w:szCs w:val="26"/>
        </w:rPr>
        <w:t xml:space="preserve">supply arrangements, used in conjunction with Peoples’ own storage facilities, contracts with local suppliers and spot market supplies that have been and will be employed to supply natural gas to </w:t>
      </w:r>
      <w:r w:rsidR="00EC5B1A">
        <w:rPr>
          <w:szCs w:val="26"/>
        </w:rPr>
        <w:t>P</w:t>
      </w:r>
      <w:r w:rsidR="00153D18">
        <w:rPr>
          <w:szCs w:val="26"/>
        </w:rPr>
        <w:t xml:space="preserve">eoples’ customers. </w:t>
      </w:r>
      <w:r w:rsidR="002938AE">
        <w:rPr>
          <w:szCs w:val="26"/>
        </w:rPr>
        <w:t xml:space="preserve"> </w:t>
      </w:r>
      <w:r w:rsidR="002938AE" w:rsidRPr="002938AE">
        <w:rPr>
          <w:i/>
          <w:szCs w:val="26"/>
        </w:rPr>
        <w:t>Id</w:t>
      </w:r>
      <w:r w:rsidR="002938AE">
        <w:rPr>
          <w:szCs w:val="26"/>
        </w:rPr>
        <w:t xml:space="preserve">.  </w:t>
      </w:r>
      <w:r w:rsidR="00015CB5">
        <w:rPr>
          <w:szCs w:val="26"/>
        </w:rPr>
        <w:t xml:space="preserve">Mr. Walther testified that Peoples’ gas procurement policy “is and had been founded on the desire to maintain an appropriate balance between reliability and costs.”  </w:t>
      </w:r>
      <w:r w:rsidR="00AF00F0">
        <w:rPr>
          <w:szCs w:val="26"/>
        </w:rPr>
        <w:t xml:space="preserve">Mr. Walther explained that Peoples’ policy is to acquire supplies to satisfy total projected system requirements by using its least costly source of supply first, to the extent it is feasible to do so.  </w:t>
      </w:r>
      <w:r w:rsidR="00B6418F">
        <w:rPr>
          <w:szCs w:val="26"/>
        </w:rPr>
        <w:t xml:space="preserve">Mr. Walther stated that under current conditions, Peoples will first turn to local production, and then to </w:t>
      </w:r>
      <w:r w:rsidR="00934E02">
        <w:rPr>
          <w:szCs w:val="26"/>
        </w:rPr>
        <w:t xml:space="preserve">purchases from interstate producers and marketers for the balance of its supplies. </w:t>
      </w:r>
      <w:r w:rsidR="00AF00F0">
        <w:rPr>
          <w:szCs w:val="26"/>
        </w:rPr>
        <w:t xml:space="preserve"> </w:t>
      </w:r>
      <w:r w:rsidR="00F07A18" w:rsidRPr="00162163">
        <w:rPr>
          <w:i/>
          <w:szCs w:val="26"/>
        </w:rPr>
        <w:t>Id</w:t>
      </w:r>
      <w:r w:rsidR="00F07A18">
        <w:rPr>
          <w:szCs w:val="26"/>
        </w:rPr>
        <w:t xml:space="preserve">. </w:t>
      </w:r>
      <w:r w:rsidR="00162163">
        <w:rPr>
          <w:szCs w:val="26"/>
        </w:rPr>
        <w:t>at 4-8.</w:t>
      </w:r>
    </w:p>
    <w:p w:rsidR="00FF40AE" w:rsidRDefault="00FF40AE">
      <w:pPr>
        <w:rPr>
          <w:szCs w:val="26"/>
        </w:rPr>
      </w:pPr>
    </w:p>
    <w:p w:rsidR="00FF40AE" w:rsidRDefault="005617F4">
      <w:pPr>
        <w:rPr>
          <w:szCs w:val="26"/>
        </w:rPr>
      </w:pPr>
      <w:r>
        <w:rPr>
          <w:szCs w:val="26"/>
        </w:rPr>
        <w:t>In the Settlement Agreement, the Parties conclude</w:t>
      </w:r>
      <w:r w:rsidR="00174499">
        <w:rPr>
          <w:szCs w:val="26"/>
        </w:rPr>
        <w:t>d</w:t>
      </w:r>
      <w:r>
        <w:rPr>
          <w:szCs w:val="26"/>
        </w:rPr>
        <w:t xml:space="preserve"> that </w:t>
      </w:r>
      <w:r w:rsidR="00744EFC">
        <w:rPr>
          <w:szCs w:val="26"/>
        </w:rPr>
        <w:t xml:space="preserve">the natural gas costs that Peoples incurred during the </w:t>
      </w:r>
      <w:r w:rsidR="00FE045E">
        <w:rPr>
          <w:szCs w:val="26"/>
        </w:rPr>
        <w:t xml:space="preserve">reconciliation period were incurred under a “least-cost procurement policy, consistent with Peoples’ obligation to provide safe, adequate and reliable service to its customers.”  </w:t>
      </w:r>
      <w:r w:rsidR="009D3557">
        <w:rPr>
          <w:szCs w:val="26"/>
        </w:rPr>
        <w:t>Similarly</w:t>
      </w:r>
      <w:r w:rsidR="00FE045E">
        <w:rPr>
          <w:szCs w:val="26"/>
        </w:rPr>
        <w:t xml:space="preserve">, the </w:t>
      </w:r>
      <w:r w:rsidR="0058251E">
        <w:rPr>
          <w:szCs w:val="26"/>
        </w:rPr>
        <w:t>P</w:t>
      </w:r>
      <w:r w:rsidR="00FE045E">
        <w:rPr>
          <w:szCs w:val="26"/>
        </w:rPr>
        <w:t xml:space="preserve">arties concluded that </w:t>
      </w:r>
      <w:r w:rsidR="009D3557">
        <w:rPr>
          <w:szCs w:val="26"/>
        </w:rPr>
        <w:t xml:space="preserve">it appears that </w:t>
      </w:r>
      <w:r w:rsidR="00FE045E">
        <w:rPr>
          <w:szCs w:val="26"/>
        </w:rPr>
        <w:t xml:space="preserve">the </w:t>
      </w:r>
      <w:r w:rsidR="009D3557">
        <w:rPr>
          <w:szCs w:val="26"/>
        </w:rPr>
        <w:t xml:space="preserve">costs that Peoples will incur during the projected period will be consistent with a least </w:t>
      </w:r>
      <w:r w:rsidR="009D3557">
        <w:rPr>
          <w:szCs w:val="26"/>
        </w:rPr>
        <w:lastRenderedPageBreak/>
        <w:t>c</w:t>
      </w:r>
      <w:r w:rsidR="00BF3666">
        <w:rPr>
          <w:szCs w:val="26"/>
        </w:rPr>
        <w:t>ost fuel procurement policy.  Settlement Agreement at 7.</w:t>
      </w:r>
      <w:r w:rsidR="009D3557">
        <w:rPr>
          <w:szCs w:val="26"/>
        </w:rPr>
        <w:t xml:space="preserve"> </w:t>
      </w:r>
      <w:r w:rsidR="00FE045E">
        <w:rPr>
          <w:szCs w:val="26"/>
        </w:rPr>
        <w:t xml:space="preserve"> </w:t>
      </w:r>
      <w:r w:rsidR="005B1A95">
        <w:rPr>
          <w:szCs w:val="26"/>
        </w:rPr>
        <w:t>In support of these findings, the OTS stated specifically that its “analysis in this proceeding confirms this repr</w:t>
      </w:r>
      <w:r w:rsidR="006725B7">
        <w:rPr>
          <w:szCs w:val="26"/>
        </w:rPr>
        <w:t>e</w:t>
      </w:r>
      <w:r w:rsidR="005B1A95">
        <w:rPr>
          <w:szCs w:val="26"/>
        </w:rPr>
        <w:t>se</w:t>
      </w:r>
      <w:r w:rsidR="006725B7">
        <w:rPr>
          <w:szCs w:val="26"/>
        </w:rPr>
        <w:t>n</w:t>
      </w:r>
      <w:r w:rsidR="005B1A95">
        <w:rPr>
          <w:szCs w:val="26"/>
        </w:rPr>
        <w:t>tation</w:t>
      </w:r>
      <w:r w:rsidR="006725B7">
        <w:rPr>
          <w:szCs w:val="26"/>
        </w:rPr>
        <w:t xml:space="preserve">.”  OTS Statement in Support at 4. </w:t>
      </w:r>
    </w:p>
    <w:p w:rsidR="00FF40AE" w:rsidRDefault="00FF40AE">
      <w:pPr>
        <w:rPr>
          <w:szCs w:val="26"/>
        </w:rPr>
      </w:pPr>
    </w:p>
    <w:p w:rsidR="00FF40AE" w:rsidRDefault="00F73DD1">
      <w:r>
        <w:rPr>
          <w:szCs w:val="26"/>
        </w:rPr>
        <w:t xml:space="preserve">In his Recommended Decision, the ALJ thoroughly addressed Peoples’ gas procurement policy, gas supply mix, price hedging strategy, and </w:t>
      </w:r>
      <w:r w:rsidR="007011DA">
        <w:rPr>
          <w:szCs w:val="26"/>
        </w:rPr>
        <w:t>negotiation</w:t>
      </w:r>
      <w:r>
        <w:rPr>
          <w:szCs w:val="26"/>
        </w:rPr>
        <w:t xml:space="preserve"> of contracts.  </w:t>
      </w:r>
      <w:r w:rsidR="00E33738">
        <w:rPr>
          <w:szCs w:val="26"/>
        </w:rPr>
        <w:t xml:space="preserve">R.D. at 18-22.  </w:t>
      </w:r>
      <w:r w:rsidR="007011DA">
        <w:rPr>
          <w:szCs w:val="26"/>
        </w:rPr>
        <w:t xml:space="preserve">The ALJ concluded, </w:t>
      </w:r>
      <w:r w:rsidR="007011DA" w:rsidRPr="007011DA">
        <w:rPr>
          <w:i/>
          <w:szCs w:val="26"/>
        </w:rPr>
        <w:t>inter alia</w:t>
      </w:r>
      <w:r w:rsidR="007011DA">
        <w:rPr>
          <w:szCs w:val="26"/>
        </w:rPr>
        <w:t xml:space="preserve">, that Peoples </w:t>
      </w:r>
      <w:r w:rsidR="00866A5B" w:rsidRPr="00032B88">
        <w:t>has met the requirements of Section 1318 of the Public Utility Code by pursuing a least cost fuel procurement policy, consistent with its obligation to provide safe, adequate and reliable service to its customers.</w:t>
      </w:r>
      <w:r w:rsidR="00866A5B">
        <w:t xml:space="preserve">  </w:t>
      </w:r>
      <w:r w:rsidR="00FF126E">
        <w:t xml:space="preserve">The ALJ found that </w:t>
      </w:r>
      <w:r w:rsidR="00866A5B" w:rsidRPr="00032B88">
        <w:t>Peoples has taken all prudent steps necessary to negotiate favorable gas supply contracts and to relieve the utility from terms in existing contracts with its gas suppliers which are or may be adverse to the interests of the utility’s ratepayers in compliance with 66</w:t>
      </w:r>
      <w:r w:rsidR="00FF126E">
        <w:t xml:space="preserve"> Pa. </w:t>
      </w:r>
      <w:r w:rsidR="00866A5B" w:rsidRPr="00032B88">
        <w:t>C.S. §1318(a)(2).</w:t>
      </w:r>
      <w:r w:rsidR="00866A5B">
        <w:t xml:space="preserve"> </w:t>
      </w:r>
      <w:r w:rsidR="00866A5B" w:rsidRPr="00032B88">
        <w:t xml:space="preserve"> </w:t>
      </w:r>
      <w:r w:rsidR="00FF126E">
        <w:t xml:space="preserve">The ALJ also found that </w:t>
      </w:r>
      <w:r w:rsidR="00866A5B" w:rsidRPr="00032B88">
        <w:t>Peoples has taken all prudent steps necessary to obtain lower cost gas supplies on both short-term and long-term bases both within and outside the Commonwealth, including the use of gas transportation arrangements with pipelines and other distribution companies in compliance with 66 Pa. C.S. §1318(a)(3).</w:t>
      </w:r>
      <w:r w:rsidR="00FF126E">
        <w:t xml:space="preserve">  </w:t>
      </w:r>
      <w:r w:rsidR="009337BD">
        <w:t xml:space="preserve">Similarly, the ALJ concluded </w:t>
      </w:r>
      <w:r w:rsidR="009337BD" w:rsidRPr="00032B88">
        <w:t xml:space="preserve">Peoples has not withheld from the market or caused to be withheld from the market any gas supplies which should have been utilized as part of a least cost fuel procurement policy in compliance with 66 Pa. C.S. §1318(a)(4). </w:t>
      </w:r>
      <w:r w:rsidR="009337BD">
        <w:t xml:space="preserve"> </w:t>
      </w:r>
      <w:r w:rsidR="00FF126E">
        <w:t>R.D. at 54.</w:t>
      </w:r>
    </w:p>
    <w:p w:rsidR="00AA27A0" w:rsidRDefault="00AA27A0"/>
    <w:p w:rsidR="00FF40AE" w:rsidRPr="00AA27A0" w:rsidRDefault="00FF126E" w:rsidP="00AA27A0">
      <w:pPr>
        <w:ind w:left="360"/>
        <w:rPr>
          <w:szCs w:val="26"/>
        </w:rPr>
      </w:pPr>
      <w:r w:rsidRPr="00AA27A0">
        <w:rPr>
          <w:szCs w:val="26"/>
        </w:rPr>
        <w:t xml:space="preserve">We concur with the ALJ that </w:t>
      </w:r>
      <w:r w:rsidR="003178E1" w:rsidRPr="00AA27A0">
        <w:rPr>
          <w:szCs w:val="26"/>
        </w:rPr>
        <w:t xml:space="preserve">the record in this proceeding indicates that </w:t>
      </w:r>
      <w:r w:rsidRPr="00AA27A0">
        <w:rPr>
          <w:szCs w:val="26"/>
        </w:rPr>
        <w:t xml:space="preserve">Peoples has </w:t>
      </w:r>
      <w:r w:rsidR="003178E1" w:rsidRPr="00AA27A0">
        <w:rPr>
          <w:szCs w:val="26"/>
        </w:rPr>
        <w:t xml:space="preserve">met the requirements of 66 Pa. </w:t>
      </w:r>
      <w:r w:rsidR="003178E1" w:rsidRPr="00032B88">
        <w:t xml:space="preserve">C.S. </w:t>
      </w:r>
      <w:r w:rsidR="003178E1">
        <w:t>§</w:t>
      </w:r>
      <w:r w:rsidR="003178E1" w:rsidRPr="00032B88">
        <w:t>§1318(a)(</w:t>
      </w:r>
      <w:r w:rsidR="003178E1">
        <w:t>2</w:t>
      </w:r>
      <w:r w:rsidR="003178E1" w:rsidRPr="00032B88">
        <w:t>)</w:t>
      </w:r>
      <w:r w:rsidR="009337BD">
        <w:t xml:space="preserve">, (3) </w:t>
      </w:r>
      <w:r w:rsidR="003178E1">
        <w:t>and (</w:t>
      </w:r>
      <w:r w:rsidR="009337BD">
        <w:t>4</w:t>
      </w:r>
      <w:r w:rsidR="003178E1">
        <w:t xml:space="preserve">). </w:t>
      </w:r>
      <w:r w:rsidR="00C80466">
        <w:t xml:space="preserve"> As clarified in the Settlement Agreement, the Commission’s findings regarding the </w:t>
      </w:r>
      <w:r w:rsidR="00206DDD">
        <w:t>twenty</w:t>
      </w:r>
      <w:r w:rsidR="00C80466">
        <w:t xml:space="preserve">-month </w:t>
      </w:r>
      <w:r w:rsidR="00E21F55">
        <w:t xml:space="preserve">projected </w:t>
      </w:r>
      <w:r w:rsidR="00C80466">
        <w:t xml:space="preserve">period are made solely with setting prospective rates.  </w:t>
      </w:r>
      <w:r w:rsidR="00206DDD">
        <w:t>Our</w:t>
      </w:r>
      <w:r w:rsidR="00916D36">
        <w:t xml:space="preserve"> findings in this Opinion and Order regarding Peoples’ compliance with </w:t>
      </w:r>
      <w:r w:rsidR="00916D36" w:rsidRPr="00AA27A0">
        <w:rPr>
          <w:szCs w:val="26"/>
        </w:rPr>
        <w:t xml:space="preserve">66 Pa. </w:t>
      </w:r>
      <w:r w:rsidR="00916D36" w:rsidRPr="00032B88">
        <w:t xml:space="preserve">C.S. </w:t>
      </w:r>
      <w:r w:rsidR="00916D36">
        <w:t>§</w:t>
      </w:r>
      <w:r w:rsidR="00916D36" w:rsidRPr="00032B88">
        <w:t>§1318(a)(</w:t>
      </w:r>
      <w:r w:rsidR="00916D36">
        <w:t>2</w:t>
      </w:r>
      <w:r w:rsidR="00916D36" w:rsidRPr="00032B88">
        <w:t>)</w:t>
      </w:r>
      <w:r w:rsidR="009337BD">
        <w:t>, (3)</w:t>
      </w:r>
      <w:r w:rsidR="00916D36">
        <w:t xml:space="preserve"> and (</w:t>
      </w:r>
      <w:r w:rsidR="009337BD">
        <w:t>4</w:t>
      </w:r>
      <w:r w:rsidR="00916D36">
        <w:t>)</w:t>
      </w:r>
      <w:r w:rsidR="001454EB">
        <w:t xml:space="preserve"> </w:t>
      </w:r>
      <w:r w:rsidR="00916D36">
        <w:t>does not limit th</w:t>
      </w:r>
      <w:r w:rsidR="00206DDD">
        <w:t>is</w:t>
      </w:r>
      <w:r w:rsidR="00916D36">
        <w:t xml:space="preserve"> Commission or any party from challenging </w:t>
      </w:r>
      <w:r w:rsidR="001454EB">
        <w:t xml:space="preserve">whether the natural gas costs actually incurred by Peoples for the </w:t>
      </w:r>
      <w:r w:rsidR="00E21F55">
        <w:t xml:space="preserve">projected </w:t>
      </w:r>
      <w:r w:rsidR="001454EB">
        <w:t>period were incurred pursuant to a least cost fuel procurement policy</w:t>
      </w:r>
      <w:r w:rsidR="0058251E">
        <w:t>,</w:t>
      </w:r>
      <w:r w:rsidR="001454EB">
        <w:t xml:space="preserve"> </w:t>
      </w:r>
      <w:r w:rsidR="001454EB">
        <w:lastRenderedPageBreak/>
        <w:t>consistent with its obligation to provide safe, adequate and reliable service to its customers.  Settlement Agreement at 7</w:t>
      </w:r>
      <w:r w:rsidR="00270220">
        <w:noBreakHyphen/>
      </w:r>
      <w:r w:rsidR="001454EB">
        <w:t xml:space="preserve">8. </w:t>
      </w:r>
    </w:p>
    <w:p w:rsidR="00FF40AE" w:rsidRDefault="00FF40AE">
      <w:pPr>
        <w:rPr>
          <w:szCs w:val="26"/>
        </w:rPr>
      </w:pPr>
    </w:p>
    <w:p w:rsidR="00FF40AE" w:rsidRDefault="00B31A74">
      <w:pPr>
        <w:pStyle w:val="Heading4"/>
      </w:pPr>
      <w:bookmarkStart w:id="7" w:name="_Toc271015512"/>
      <w:r>
        <w:t xml:space="preserve">(c) </w:t>
      </w:r>
      <w:r w:rsidR="00206DDD">
        <w:t xml:space="preserve"> </w:t>
      </w:r>
      <w:r>
        <w:t>Affiliate Transactions</w:t>
      </w:r>
      <w:bookmarkEnd w:id="7"/>
    </w:p>
    <w:p w:rsidR="00FF40AE" w:rsidRDefault="00FF40AE">
      <w:pPr>
        <w:keepNext/>
        <w:rPr>
          <w:b/>
        </w:rPr>
      </w:pPr>
    </w:p>
    <w:p w:rsidR="00FF40AE" w:rsidRDefault="008D4A05">
      <w:pPr>
        <w:keepNext/>
      </w:pPr>
      <w:r w:rsidRPr="008D4A05">
        <w:t>Section 1318(b) of the Code, 66 Pa. C.S. § 1318(</w:t>
      </w:r>
      <w:r w:rsidR="004452F0">
        <w:t>b</w:t>
      </w:r>
      <w:r w:rsidRPr="008D4A05">
        <w:t>)</w:t>
      </w:r>
      <w:r w:rsidR="00270220">
        <w:t>,</w:t>
      </w:r>
      <w:r w:rsidRPr="008D4A05">
        <w:t xml:space="preserve"> </w:t>
      </w:r>
      <w:r w:rsidR="004452F0">
        <w:t xml:space="preserve">requires that if a natural gas distribution company purchases all or part of its supplies from an affiliated interest, the Commission is required to make </w:t>
      </w:r>
      <w:r w:rsidR="00E10EEC">
        <w:t xml:space="preserve">three </w:t>
      </w:r>
      <w:r w:rsidR="004452F0">
        <w:t xml:space="preserve">specific findings with regard to the justness and reasonableness of all such purchases.  </w:t>
      </w:r>
    </w:p>
    <w:p w:rsidR="00FF40AE" w:rsidRDefault="00FF40AE"/>
    <w:p w:rsidR="00FF40AE" w:rsidRDefault="00CF7B1C">
      <w:r>
        <w:t xml:space="preserve">Peoples’ witness, Mr. Walther, explained </w:t>
      </w:r>
      <w:r w:rsidR="008E2FB2">
        <w:t xml:space="preserve">as of February 1, 2010, Peoples is no longer affiliated with entities </w:t>
      </w:r>
      <w:r w:rsidR="004A0A9D">
        <w:t xml:space="preserve">that provide gas or pipeline services.  Mr. Walther stated that </w:t>
      </w:r>
      <w:r w:rsidR="005039BA">
        <w:t xml:space="preserve">Peoples has purchased gas supplies from affiliated suppliers under the same terms and pricing that </w:t>
      </w:r>
      <w:r w:rsidR="004B646E">
        <w:t xml:space="preserve">it was offering other local producers or spot market suppliers.  Peoples Statement No. 1 at 59-61. </w:t>
      </w:r>
    </w:p>
    <w:p w:rsidR="00FF40AE" w:rsidRDefault="00FF40AE"/>
    <w:p w:rsidR="00FF40AE" w:rsidRDefault="00E10EEC">
      <w:r>
        <w:t xml:space="preserve">In his Recommended Decision, the ALJ concluded that Peoples is in compliance with the </w:t>
      </w:r>
      <w:r w:rsidR="00B83E0B">
        <w:t xml:space="preserve">following </w:t>
      </w:r>
      <w:r>
        <w:t xml:space="preserve">three requirements of </w:t>
      </w:r>
      <w:r w:rsidRPr="00032B88">
        <w:t>66 Pa. C.S. §1318(b)</w:t>
      </w:r>
      <w:r>
        <w:t xml:space="preserve">: </w:t>
      </w:r>
      <w:r w:rsidR="00270220">
        <w:t>(</w:t>
      </w:r>
      <w:r>
        <w:t>1)</w:t>
      </w:r>
      <w:r w:rsidR="00B83E0B">
        <w:t xml:space="preserve"> </w:t>
      </w:r>
      <w:r w:rsidRPr="00032B88">
        <w:t>Peoples has fully and vigorously attempted to obtain less costly gas supplies on both short-term and long-term bases from nonaffiliated interests in compliance with 66 Pa. C.S. §1318(b)(1)</w:t>
      </w:r>
      <w:r w:rsidR="00B83E0B">
        <w:t xml:space="preserve">; </w:t>
      </w:r>
      <w:r w:rsidR="00270220">
        <w:t>(</w:t>
      </w:r>
      <w:r w:rsidR="00B83E0B">
        <w:t>2) t</w:t>
      </w:r>
      <w:r w:rsidRPr="00032B88">
        <w:t>he contracts, if any, for the purchase of gas from its affiliated interests by Peoples are consistent with a least cost fuel procurement policy in compliance with 66</w:t>
      </w:r>
      <w:r w:rsidR="00E71435">
        <w:t xml:space="preserve"> </w:t>
      </w:r>
      <w:r w:rsidRPr="00032B88">
        <w:t>Pa. C.S. §1318(b)(2)</w:t>
      </w:r>
      <w:r w:rsidR="00B83E0B">
        <w:t xml:space="preserve">; and </w:t>
      </w:r>
      <w:r w:rsidR="00270220">
        <w:t>(</w:t>
      </w:r>
      <w:r w:rsidR="00B83E0B">
        <w:t>3) n</w:t>
      </w:r>
      <w:r w:rsidRPr="00032B88">
        <w:t>either Peoples nor its affiliated interests has withheld from the market any gas supplies which should have been utilized as part of a least cost fuel procurement policy in compliance with 66 Pa. C.S. §1318(b)(3).</w:t>
      </w:r>
      <w:r>
        <w:t xml:space="preserve">  </w:t>
      </w:r>
      <w:r w:rsidR="00B83E0B">
        <w:t>Based on our review of the record in this proceeding, w</w:t>
      </w:r>
      <w:r w:rsidR="00270220">
        <w:t>e</w:t>
      </w:r>
      <w:r w:rsidR="00B83E0B">
        <w:t xml:space="preserve"> concur with the ALJ’s findings </w:t>
      </w:r>
      <w:r w:rsidR="005D1515">
        <w:t>regarding Peoples transactions with affiliates.</w:t>
      </w:r>
    </w:p>
    <w:p w:rsidR="00FF40AE" w:rsidRDefault="00FF40AE"/>
    <w:p w:rsidR="00FF40AE" w:rsidRDefault="005D1515" w:rsidP="00D170D2">
      <w:pPr>
        <w:pStyle w:val="Heading4"/>
      </w:pPr>
      <w:bookmarkStart w:id="8" w:name="_Toc271015513"/>
      <w:r>
        <w:lastRenderedPageBreak/>
        <w:t xml:space="preserve">(d) </w:t>
      </w:r>
      <w:r w:rsidR="00270220">
        <w:t xml:space="preserve"> </w:t>
      </w:r>
      <w:r>
        <w:t>Shut-in Practices</w:t>
      </w:r>
      <w:bookmarkEnd w:id="8"/>
      <w:r>
        <w:t xml:space="preserve"> </w:t>
      </w:r>
    </w:p>
    <w:p w:rsidR="00FF40AE" w:rsidRDefault="00FF40AE" w:rsidP="00D170D2">
      <w:pPr>
        <w:keepNext/>
      </w:pPr>
    </w:p>
    <w:p w:rsidR="00C354E6" w:rsidRDefault="00E71435" w:rsidP="00D170D2">
      <w:pPr>
        <w:keepNext/>
      </w:pPr>
      <w:r>
        <w:t>Section 1318 (c) of the Code, 6</w:t>
      </w:r>
      <w:r w:rsidRPr="00032B88">
        <w:t>6 Pa. C.S. §1318(</w:t>
      </w:r>
      <w:r>
        <w:t>c</w:t>
      </w:r>
      <w:r w:rsidRPr="00032B88">
        <w:t>)</w:t>
      </w:r>
      <w:r w:rsidR="00270220">
        <w:t>,</w:t>
      </w:r>
      <w:r>
        <w:t xml:space="preserve"> requires that</w:t>
      </w:r>
      <w:r w:rsidR="00D170D2">
        <w:t>,</w:t>
      </w:r>
      <w:r>
        <w:t xml:space="preserve"> in determining whether </w:t>
      </w:r>
      <w:r w:rsidR="00AC638B">
        <w:t xml:space="preserve">a gas utility has purchased the least costly natural gas available, </w:t>
      </w:r>
      <w:r>
        <w:t xml:space="preserve">the Commission </w:t>
      </w:r>
      <w:r w:rsidR="00AC638B">
        <w:t>shall consider any gas supplies that could have reasonably been brought to market</w:t>
      </w:r>
      <w:r w:rsidR="00457134">
        <w:t>,</w:t>
      </w:r>
      <w:r w:rsidR="00AC638B">
        <w:t xml:space="preserve"> but were voluntarily withheld from the market by the utility or its affiliate. </w:t>
      </w:r>
    </w:p>
    <w:p w:rsidR="00FF40AE" w:rsidRDefault="00FF40AE"/>
    <w:p w:rsidR="00FF40AE" w:rsidRDefault="000358A5">
      <w:r>
        <w:t>In his direct testimony, Peoples’ witness</w:t>
      </w:r>
      <w:r w:rsidR="00650146">
        <w:t>,</w:t>
      </w:r>
      <w:r>
        <w:t xml:space="preserve"> Mr. Walther</w:t>
      </w:r>
      <w:r w:rsidR="00650146">
        <w:t>,</w:t>
      </w:r>
      <w:r>
        <w:t xml:space="preserve"> explained that except for repairs, maintenance, or safety, Peoples does not shut in Pennsylvania production over which i</w:t>
      </w:r>
      <w:r w:rsidR="001174E2">
        <w:t>t</w:t>
      </w:r>
      <w:r>
        <w:t xml:space="preserve"> has control “where the expected </w:t>
      </w:r>
      <w:r w:rsidR="00E95CF8">
        <w:t xml:space="preserve">result of such shut-in would be to require Peoples to acquire substitute supplies at a higher cost.”  He also testified </w:t>
      </w:r>
      <w:r w:rsidR="001174E2">
        <w:t xml:space="preserve">that </w:t>
      </w:r>
      <w:r w:rsidR="00D93CCE">
        <w:t xml:space="preserve">some of Peoples’ former affiliates make unregulated sales of gas into the competitive marketplace and Peoples </w:t>
      </w:r>
      <w:r w:rsidR="002B6D33">
        <w:t>purchases</w:t>
      </w:r>
      <w:r w:rsidR="00D93CCE">
        <w:t xml:space="preserve"> those supplies </w:t>
      </w:r>
      <w:r w:rsidR="001174E2">
        <w:t xml:space="preserve">only </w:t>
      </w:r>
      <w:r w:rsidR="00D93CCE">
        <w:t>if the price is competitive.  Peoples Statement No. 1 at 61-61.</w:t>
      </w:r>
      <w:r>
        <w:t xml:space="preserve">  </w:t>
      </w:r>
      <w:r w:rsidR="002B6D33">
        <w:t xml:space="preserve">Since there </w:t>
      </w:r>
      <w:r w:rsidR="00D93CCE">
        <w:t>is no evidence to</w:t>
      </w:r>
      <w:r w:rsidR="002B6D33">
        <w:t xml:space="preserve"> the contrary, we shall adopt the ALJ’s finding that </w:t>
      </w:r>
      <w:r w:rsidR="002B6D33" w:rsidRPr="00032B88">
        <w:t xml:space="preserve">Peoples has not withheld from the market or caused to be withheld from the market any gas supplies which should have been utilized as part of a least cost fuel procurement policy in compliance with 66 Pa. C.S. §1318(a)(4). </w:t>
      </w:r>
      <w:r w:rsidR="002B6D33">
        <w:t xml:space="preserve"> R.D. at</w:t>
      </w:r>
      <w:r w:rsidR="00B64219">
        <w:t xml:space="preserve"> </w:t>
      </w:r>
      <w:r w:rsidR="002B6D33">
        <w:t>55.</w:t>
      </w:r>
    </w:p>
    <w:p w:rsidR="00FF40AE" w:rsidRDefault="00FF40AE"/>
    <w:p w:rsidR="00FF40AE" w:rsidRDefault="00427422">
      <w:pPr>
        <w:pStyle w:val="Heading3"/>
      </w:pPr>
      <w:bookmarkStart w:id="9" w:name="_Toc271015514"/>
      <w:r>
        <w:t xml:space="preserve">2. </w:t>
      </w:r>
      <w:r w:rsidR="00934A53">
        <w:t xml:space="preserve"> </w:t>
      </w:r>
      <w:r>
        <w:t>Natural Gas Rates as of October 1, 2010</w:t>
      </w:r>
      <w:bookmarkEnd w:id="9"/>
    </w:p>
    <w:p w:rsidR="00FF40AE" w:rsidRDefault="00FF40AE">
      <w:pPr>
        <w:pStyle w:val="BodyTextIndent2"/>
        <w:spacing w:after="0" w:line="360" w:lineRule="auto"/>
        <w:ind w:left="0"/>
        <w:rPr>
          <w:color w:val="C00000"/>
          <w:szCs w:val="26"/>
        </w:rPr>
      </w:pPr>
    </w:p>
    <w:p w:rsidR="00FF40AE" w:rsidRDefault="00CA183C">
      <w:pPr>
        <w:pStyle w:val="BodyTextIndent2"/>
        <w:spacing w:after="0" w:line="360" w:lineRule="auto"/>
        <w:ind w:left="0"/>
      </w:pPr>
      <w:r>
        <w:t xml:space="preserve">As discussed </w:t>
      </w:r>
      <w:r w:rsidRPr="00CA183C">
        <w:rPr>
          <w:i/>
        </w:rPr>
        <w:t>supra</w:t>
      </w:r>
      <w:r>
        <w:t>, Peoples filed Supplement No. 119 to its Tariff</w:t>
      </w:r>
      <w:r w:rsidR="00934A53">
        <w:t>-</w:t>
      </w:r>
      <w:r>
        <w:t>Gas PA P</w:t>
      </w:r>
      <w:r w:rsidR="00934A53">
        <w:t>.</w:t>
      </w:r>
      <w:r>
        <w:t>U</w:t>
      </w:r>
      <w:r w:rsidR="00934A53">
        <w:t>.</w:t>
      </w:r>
      <w:r>
        <w:t>C</w:t>
      </w:r>
      <w:r w:rsidR="00934A53">
        <w:t>.</w:t>
      </w:r>
      <w:r>
        <w:t xml:space="preserve"> No. 43 (Supplement No. 119)</w:t>
      </w:r>
      <w:r w:rsidR="00934A53">
        <w:t>,</w:t>
      </w:r>
      <w:r>
        <w:t xml:space="preserve"> which contains its proposed rates for the recovery of natural gas costs for the period October 1, 2010</w:t>
      </w:r>
      <w:r w:rsidR="00B5503B">
        <w:t>,</w:t>
      </w:r>
      <w:r>
        <w:t xml:space="preserve"> through September 30, 201</w:t>
      </w:r>
      <w:r w:rsidR="00EC5B1A">
        <w:t>1</w:t>
      </w:r>
      <w:r>
        <w:t xml:space="preserve">.  </w:t>
      </w:r>
      <w:r w:rsidR="00457134">
        <w:t>T</w:t>
      </w:r>
      <w:r w:rsidR="00822F68" w:rsidRPr="00032B88">
        <w:t xml:space="preserve">he </w:t>
      </w:r>
      <w:r w:rsidR="00822F68">
        <w:t>d</w:t>
      </w:r>
      <w:r w:rsidR="00822F68" w:rsidRPr="00032B88">
        <w:t xml:space="preserve">irect </w:t>
      </w:r>
      <w:r w:rsidR="00822F68">
        <w:t>t</w:t>
      </w:r>
      <w:r w:rsidR="00822F68" w:rsidRPr="00032B88">
        <w:t xml:space="preserve">estimony of </w:t>
      </w:r>
      <w:r w:rsidR="00457134">
        <w:t>Peoples’ witness</w:t>
      </w:r>
      <w:r w:rsidR="00822F68" w:rsidRPr="00032B88">
        <w:t xml:space="preserve"> </w:t>
      </w:r>
      <w:r w:rsidR="00B5503B">
        <w:t xml:space="preserve">Mr. </w:t>
      </w:r>
      <w:r w:rsidR="00822F68" w:rsidRPr="00032B88">
        <w:t>Caldro, explains in detail the development of the natural gas supply rates that Peoples proposes to place into effect on October 1, 201</w:t>
      </w:r>
      <w:r w:rsidR="00EC5B1A">
        <w:t>0</w:t>
      </w:r>
      <w:r w:rsidR="00822F68" w:rsidRPr="00032B88">
        <w:t>, utilizing cost projections, sales projections and the reconciliation process.  Peoples Statement No. 2 at 5-17 and Peoples Exhibit Nos. 2-10 and 14-16</w:t>
      </w:r>
      <w:r w:rsidR="00567FDF">
        <w:t>.</w:t>
      </w:r>
    </w:p>
    <w:p w:rsidR="00FF40AE" w:rsidRDefault="00FF40AE">
      <w:pPr>
        <w:pStyle w:val="BodyTextIndent2"/>
        <w:spacing w:after="0" w:line="360" w:lineRule="auto"/>
        <w:ind w:left="0"/>
      </w:pPr>
    </w:p>
    <w:p w:rsidR="00FF40AE" w:rsidRDefault="002A724E">
      <w:r>
        <w:rPr>
          <w:szCs w:val="26"/>
        </w:rPr>
        <w:lastRenderedPageBreak/>
        <w:t xml:space="preserve">The Parties to the Settlement Agreement </w:t>
      </w:r>
      <w:r w:rsidR="00D24D26">
        <w:rPr>
          <w:szCs w:val="26"/>
        </w:rPr>
        <w:t xml:space="preserve">have </w:t>
      </w:r>
      <w:r>
        <w:rPr>
          <w:szCs w:val="26"/>
        </w:rPr>
        <w:t>agree</w:t>
      </w:r>
      <w:r w:rsidR="00D24D26">
        <w:rPr>
          <w:szCs w:val="26"/>
        </w:rPr>
        <w:t>d</w:t>
      </w:r>
      <w:r>
        <w:rPr>
          <w:szCs w:val="26"/>
        </w:rPr>
        <w:t xml:space="preserve"> that Peoples </w:t>
      </w:r>
      <w:r w:rsidR="00837CC7">
        <w:rPr>
          <w:szCs w:val="26"/>
        </w:rPr>
        <w:t xml:space="preserve">should be permitted to place into effect the natural gas supply rates set forth in Appendix A to the Agreement.  </w:t>
      </w:r>
      <w:r w:rsidR="00D24D26">
        <w:rPr>
          <w:szCs w:val="26"/>
        </w:rPr>
        <w:t>The parties acknowledge that</w:t>
      </w:r>
      <w:r w:rsidR="00BB7FF5">
        <w:rPr>
          <w:szCs w:val="26"/>
        </w:rPr>
        <w:t>,</w:t>
      </w:r>
      <w:r w:rsidR="00D24D26">
        <w:rPr>
          <w:szCs w:val="26"/>
        </w:rPr>
        <w:t xml:space="preserve"> </w:t>
      </w:r>
      <w:r w:rsidR="00D24D26" w:rsidRPr="00032B88">
        <w:t xml:space="preserve">except for the banking, balancing and advancing (BB&amp;A) charges, the natural gas supply rates set forth </w:t>
      </w:r>
      <w:r w:rsidR="00934A53">
        <w:t>i</w:t>
      </w:r>
      <w:r w:rsidR="00D24D26" w:rsidRPr="00032B88">
        <w:t>n Appendix “A”</w:t>
      </w:r>
      <w:r w:rsidR="00BB7FF5">
        <w:t>: (1)</w:t>
      </w:r>
      <w:r w:rsidR="00267F2D">
        <w:t xml:space="preserve"> </w:t>
      </w:r>
      <w:r w:rsidR="00D24D26" w:rsidRPr="00032B88">
        <w:t>may be su</w:t>
      </w:r>
      <w:r w:rsidR="00D24D26">
        <w:t>perseded by Peoples’ October 1, 2</w:t>
      </w:r>
      <w:r w:rsidR="00D24D26" w:rsidRPr="00032B88">
        <w:t>010 quarterly recalculation of its natural gas cost recovery levels in accordance with the Commission’s regulation at 52 Pa. Code</w:t>
      </w:r>
      <w:r w:rsidR="00267F2D">
        <w:t xml:space="preserve">        </w:t>
      </w:r>
      <w:r w:rsidR="00D24D26" w:rsidRPr="00032B88">
        <w:t xml:space="preserve">§ 53.64(i)(5); and (2) will be updated to reflect the latest NYMEX prices for the projected portion of the </w:t>
      </w:r>
      <w:r w:rsidR="00934A53">
        <w:t>twenty</w:t>
      </w:r>
      <w:r w:rsidR="00D24D26" w:rsidRPr="00032B88">
        <w:t>-month period of February 1, 2010</w:t>
      </w:r>
      <w:r w:rsidR="00794C4D">
        <w:t>,</w:t>
      </w:r>
      <w:r w:rsidR="00D24D26" w:rsidRPr="00032B88">
        <w:t xml:space="preserve"> through September</w:t>
      </w:r>
      <w:r w:rsidR="00267F2D">
        <w:t xml:space="preserve"> </w:t>
      </w:r>
      <w:r w:rsidR="00D24D26" w:rsidRPr="00032B88">
        <w:t>30, 2011.</w:t>
      </w:r>
      <w:r w:rsidR="00D24D26">
        <w:t xml:space="preserve">  Settlement Agreement at </w:t>
      </w:r>
      <w:r w:rsidR="00F56A45">
        <w:t>8.</w:t>
      </w:r>
    </w:p>
    <w:p w:rsidR="00FF40AE" w:rsidRDefault="00FF40AE"/>
    <w:p w:rsidR="00FF40AE" w:rsidRDefault="00733DD3">
      <w:r>
        <w:t xml:space="preserve">In its Statement </w:t>
      </w:r>
      <w:r w:rsidR="00B5503B">
        <w:t>in</w:t>
      </w:r>
      <w:r>
        <w:t xml:space="preserve"> Support</w:t>
      </w:r>
      <w:r w:rsidR="00B5503B">
        <w:t xml:space="preserve">, the OTS stated </w:t>
      </w:r>
      <w:r>
        <w:t xml:space="preserve">that its analysis in this proceeding supports that these rates are just and reasonable </w:t>
      </w:r>
      <w:r w:rsidR="00705CDD">
        <w:t xml:space="preserve">and are based on sound regulatory practices. </w:t>
      </w:r>
      <w:r w:rsidR="00794C4D">
        <w:t xml:space="preserve"> </w:t>
      </w:r>
      <w:r w:rsidR="00705CDD">
        <w:t xml:space="preserve">OTS Statement in Support at 6.  </w:t>
      </w:r>
    </w:p>
    <w:p w:rsidR="00FF40AE" w:rsidRDefault="00FF40AE"/>
    <w:p w:rsidR="00FF40AE" w:rsidRDefault="00F13A0C">
      <w:r>
        <w:t xml:space="preserve">In conjunction with our findings regarding Peoples’ gas procurement practices, we find </w:t>
      </w:r>
      <w:r w:rsidR="00062425">
        <w:t xml:space="preserve">that </w:t>
      </w:r>
      <w:r>
        <w:t xml:space="preserve">the rates </w:t>
      </w:r>
      <w:r w:rsidR="00006CD3">
        <w:t xml:space="preserve">presented in Appendix A to the Settlement Agreement </w:t>
      </w:r>
      <w:r w:rsidR="001B5BBF">
        <w:t xml:space="preserve">should </w:t>
      </w:r>
      <w:r w:rsidR="00006CD3">
        <w:t xml:space="preserve">be permitted to go into effect on October 1, 2010, subject to subsequent adjustments and review. </w:t>
      </w:r>
    </w:p>
    <w:p w:rsidR="00FF40AE" w:rsidRDefault="00FF40AE">
      <w:pPr>
        <w:pStyle w:val="BodyTextIndent2"/>
        <w:spacing w:after="0" w:line="360" w:lineRule="auto"/>
        <w:ind w:left="0"/>
        <w:rPr>
          <w:szCs w:val="26"/>
        </w:rPr>
      </w:pPr>
    </w:p>
    <w:p w:rsidR="00FF40AE" w:rsidRDefault="00BB1107">
      <w:pPr>
        <w:pStyle w:val="Heading3"/>
      </w:pPr>
      <w:bookmarkStart w:id="10" w:name="_Toc271015515"/>
      <w:r>
        <w:t xml:space="preserve">3. Design </w:t>
      </w:r>
      <w:r w:rsidR="004A4068">
        <w:t xml:space="preserve">Peak </w:t>
      </w:r>
      <w:r>
        <w:t>Day Capacity</w:t>
      </w:r>
      <w:bookmarkEnd w:id="10"/>
    </w:p>
    <w:p w:rsidR="00FF40AE" w:rsidRDefault="00FF40AE"/>
    <w:p w:rsidR="00FF40AE" w:rsidRDefault="004A4068">
      <w:pPr>
        <w:pStyle w:val="BodyText2"/>
        <w:suppressAutoHyphens/>
        <w:spacing w:after="0" w:line="360" w:lineRule="auto"/>
      </w:pPr>
      <w:r>
        <w:t xml:space="preserve">As explained by OCA witness </w:t>
      </w:r>
      <w:r w:rsidR="00B5503B">
        <w:t xml:space="preserve">Mr. </w:t>
      </w:r>
      <w:r>
        <w:t xml:space="preserve">Mierzwa, design peak day is an extremely cold day expected to occur every </w:t>
      </w:r>
      <w:r w:rsidR="00794C4D">
        <w:t>ten</w:t>
      </w:r>
      <w:r>
        <w:t xml:space="preserve"> to </w:t>
      </w:r>
      <w:r w:rsidR="00794C4D">
        <w:t>twenty</w:t>
      </w:r>
      <w:r>
        <w:t xml:space="preserve"> years which natural gas distribution utilit</w:t>
      </w:r>
      <w:r w:rsidR="00C13E52">
        <w:t>ies</w:t>
      </w:r>
      <w:r>
        <w:t xml:space="preserve"> utilize for capacity planning purposes.  </w:t>
      </w:r>
      <w:r w:rsidR="00BB1107" w:rsidRPr="00032B88">
        <w:t xml:space="preserve">In </w:t>
      </w:r>
      <w:r w:rsidR="00301814">
        <w:t xml:space="preserve">his </w:t>
      </w:r>
      <w:r w:rsidR="00BB1107" w:rsidRPr="00032B88">
        <w:t xml:space="preserve">testimony, </w:t>
      </w:r>
      <w:r w:rsidR="00301814">
        <w:t>Mr. Mierzwa</w:t>
      </w:r>
      <w:r w:rsidR="00301814" w:rsidRPr="00032B88">
        <w:t xml:space="preserve"> </w:t>
      </w:r>
      <w:r w:rsidR="00BB1107" w:rsidRPr="00032B88">
        <w:t>argued that Peoples’ unreasonably rel</w:t>
      </w:r>
      <w:r w:rsidR="00301814">
        <w:t>ies</w:t>
      </w:r>
      <w:r w:rsidR="00BB1107" w:rsidRPr="00032B88">
        <w:t xml:space="preserve"> </w:t>
      </w:r>
      <w:r w:rsidR="00301814">
        <w:t xml:space="preserve">on a </w:t>
      </w:r>
      <w:r w:rsidR="00BB1107" w:rsidRPr="00032B88">
        <w:t xml:space="preserve">700,000 Dth design peak day forecast </w:t>
      </w:r>
      <w:r w:rsidR="008E1000">
        <w:t xml:space="preserve">and </w:t>
      </w:r>
      <w:r w:rsidR="00BB1107" w:rsidRPr="00032B88">
        <w:t xml:space="preserve">that recent evidence indicates that Peoples’ design peak day requirements are 668,000 Dth.  </w:t>
      </w:r>
      <w:r w:rsidR="008E1000">
        <w:t>Mr. Mierzwa</w:t>
      </w:r>
      <w:r w:rsidR="008E1000" w:rsidRPr="00032B88">
        <w:t xml:space="preserve"> </w:t>
      </w:r>
      <w:r w:rsidR="008E1000">
        <w:t>averred that</w:t>
      </w:r>
      <w:r w:rsidR="007C4B43">
        <w:t>,</w:t>
      </w:r>
      <w:r w:rsidR="008E1000">
        <w:t xml:space="preserve"> as a result, </w:t>
      </w:r>
      <w:r w:rsidR="00BB1107" w:rsidRPr="00032B88">
        <w:t xml:space="preserve">Peoples maintains 15,000 Mcf of excess pipeline capacity.  Mr. Mierzwa </w:t>
      </w:r>
      <w:r w:rsidR="001575AB">
        <w:t>recommended</w:t>
      </w:r>
      <w:r w:rsidR="008E1000">
        <w:t xml:space="preserve"> </w:t>
      </w:r>
      <w:r w:rsidR="00BB1107" w:rsidRPr="00032B88">
        <w:t xml:space="preserve">that Peoples should attempt to release 15,000 Dth of capacity on a non-recallable basis to resolve this issue in the short </w:t>
      </w:r>
      <w:r w:rsidR="00BB1107" w:rsidRPr="00032B88">
        <w:lastRenderedPageBreak/>
        <w:t xml:space="preserve">term.  In the long term, Mr. Mierzwa recommended that Peoples should attempt to reduce its pipeline capacity entitlements by 15,000 Mcf as contracts expire.  </w:t>
      </w:r>
      <w:r w:rsidR="00C13E52" w:rsidRPr="00032B88">
        <w:t xml:space="preserve">OCA Statement No. 1 at </w:t>
      </w:r>
      <w:r w:rsidR="00C13E52">
        <w:t xml:space="preserve">4-9. </w:t>
      </w:r>
    </w:p>
    <w:p w:rsidR="00FF40AE" w:rsidRDefault="00FF40AE">
      <w:pPr>
        <w:pStyle w:val="BodyText2"/>
        <w:suppressAutoHyphens/>
        <w:spacing w:after="0" w:line="360" w:lineRule="auto"/>
      </w:pPr>
    </w:p>
    <w:p w:rsidR="00FF40AE" w:rsidRDefault="009A60A5">
      <w:pPr>
        <w:pStyle w:val="BodyText2"/>
        <w:suppressAutoHyphens/>
        <w:spacing w:after="0" w:line="360" w:lineRule="auto"/>
      </w:pPr>
      <w:r>
        <w:t xml:space="preserve">As part of the Settlement Agreement, Peoples agreed to </w:t>
      </w:r>
      <w:r w:rsidRPr="00032B88">
        <w:t xml:space="preserve">examine its gas supply and capacity portfolio to determine the best course of action to achieve </w:t>
      </w:r>
      <w:r w:rsidR="00A15A6F">
        <w:t>a</w:t>
      </w:r>
      <w:r w:rsidRPr="00032B88">
        <w:t xml:space="preserve"> </w:t>
      </w:r>
      <w:r w:rsidR="00A15A6F">
        <w:t xml:space="preserve">15,000 Mcf/day </w:t>
      </w:r>
      <w:r w:rsidRPr="00032B88">
        <w:t xml:space="preserve">reduction.  </w:t>
      </w:r>
      <w:r w:rsidR="00A15A6F">
        <w:t xml:space="preserve">Peoples also agreed that the review will occur no later than </w:t>
      </w:r>
      <w:r w:rsidR="00B64219">
        <w:t xml:space="preserve">     </w:t>
      </w:r>
      <w:r w:rsidR="00A15A6F">
        <w:t>October</w:t>
      </w:r>
      <w:r w:rsidR="00724179">
        <w:t xml:space="preserve"> </w:t>
      </w:r>
      <w:r w:rsidR="00A15A6F">
        <w:t>1, 2010</w:t>
      </w:r>
      <w:r w:rsidR="00B5503B">
        <w:t>,</w:t>
      </w:r>
      <w:r w:rsidR="00A15A6F">
        <w:t xml:space="preserve"> and the capacity reductions will be implemented as soon as possible</w:t>
      </w:r>
      <w:r w:rsidR="00384030">
        <w:t xml:space="preserve"> thereafter</w:t>
      </w:r>
      <w:r w:rsidR="00732D6C">
        <w:t xml:space="preserve">.  The related cost savings will be reflected in Peoples’ actual gas cost experience.  Settlement Agreement at 8. </w:t>
      </w:r>
    </w:p>
    <w:p w:rsidR="00FF40AE" w:rsidRDefault="00FF40AE">
      <w:pPr>
        <w:pStyle w:val="BodyText2"/>
        <w:suppressAutoHyphens/>
        <w:spacing w:after="0" w:line="360" w:lineRule="auto"/>
      </w:pPr>
    </w:p>
    <w:p w:rsidR="00FF40AE" w:rsidRDefault="00732D6C">
      <w:pPr>
        <w:pStyle w:val="BodyText2"/>
        <w:suppressAutoHyphens/>
        <w:spacing w:after="0" w:line="360" w:lineRule="auto"/>
      </w:pPr>
      <w:r>
        <w:t xml:space="preserve">In its </w:t>
      </w:r>
      <w:r w:rsidR="009D7E43">
        <w:t>Statement</w:t>
      </w:r>
      <w:r>
        <w:t xml:space="preserve"> </w:t>
      </w:r>
      <w:r w:rsidR="00457134">
        <w:t>in</w:t>
      </w:r>
      <w:r>
        <w:t xml:space="preserve"> Suppo</w:t>
      </w:r>
      <w:r w:rsidR="009D7E43">
        <w:t>r</w:t>
      </w:r>
      <w:r>
        <w:t>t</w:t>
      </w:r>
      <w:r w:rsidR="007C4B43">
        <w:t>,</w:t>
      </w:r>
      <w:r>
        <w:t xml:space="preserve"> the OCA submi</w:t>
      </w:r>
      <w:r w:rsidR="009D7E43">
        <w:t>t</w:t>
      </w:r>
      <w:r w:rsidR="00B5503B">
        <w:t>ted</w:t>
      </w:r>
      <w:r>
        <w:t xml:space="preserve"> that this is a reasonable </w:t>
      </w:r>
      <w:r w:rsidR="009D7E43">
        <w:t xml:space="preserve">compromise in light of the evidence presented by the </w:t>
      </w:r>
      <w:r w:rsidR="007C4B43">
        <w:t>P</w:t>
      </w:r>
      <w:r w:rsidR="009D7E43">
        <w:t xml:space="preserve">arties and likely litigation outcomes.  OCA Statement </w:t>
      </w:r>
      <w:r w:rsidR="00457134">
        <w:t>in</w:t>
      </w:r>
      <w:r w:rsidR="009D7E43">
        <w:t xml:space="preserve"> Support at 5.  We agree.  The </w:t>
      </w:r>
      <w:r w:rsidR="00336224">
        <w:t>15,000 Mcf/day reduction appears to be a reasonable balance between reduc</w:t>
      </w:r>
      <w:r w:rsidR="001B5BBF">
        <w:t xml:space="preserve">ing Peoples’ cost of service </w:t>
      </w:r>
      <w:r w:rsidR="00336224">
        <w:t xml:space="preserve">and preserving the </w:t>
      </w:r>
      <w:r w:rsidR="00384030">
        <w:t xml:space="preserve">ability of Peoples to meet its potential peak load requirements. </w:t>
      </w:r>
    </w:p>
    <w:p w:rsidR="00FF40AE" w:rsidRDefault="000E7BC4">
      <w:pPr>
        <w:pStyle w:val="BodyText2"/>
        <w:suppressAutoHyphens/>
        <w:spacing w:after="0" w:line="360" w:lineRule="auto"/>
      </w:pPr>
      <w:r>
        <w:t xml:space="preserve"> </w:t>
      </w:r>
    </w:p>
    <w:p w:rsidR="00FF40AE" w:rsidRDefault="000E7BC4">
      <w:pPr>
        <w:pStyle w:val="Heading3"/>
      </w:pPr>
      <w:bookmarkStart w:id="11" w:name="_Toc271015516"/>
      <w:r>
        <w:t>4.</w:t>
      </w:r>
      <w:r w:rsidR="00A22321">
        <w:t xml:space="preserve"> </w:t>
      </w:r>
      <w:r>
        <w:t xml:space="preserve"> Gathering System Retainage</w:t>
      </w:r>
      <w:bookmarkEnd w:id="11"/>
    </w:p>
    <w:p w:rsidR="00FF40AE" w:rsidRDefault="00FF40AE">
      <w:pPr>
        <w:pStyle w:val="BodyTextIndent2"/>
        <w:spacing w:after="0" w:line="360" w:lineRule="auto"/>
        <w:ind w:left="0"/>
        <w:rPr>
          <w:szCs w:val="26"/>
        </w:rPr>
      </w:pPr>
    </w:p>
    <w:p w:rsidR="00FF40AE" w:rsidRDefault="00F73B30">
      <w:pPr>
        <w:pStyle w:val="BodyTextIndent2"/>
        <w:spacing w:after="0" w:line="360" w:lineRule="auto"/>
        <w:ind w:left="0"/>
        <w:rPr>
          <w:szCs w:val="26"/>
        </w:rPr>
      </w:pPr>
      <w:r>
        <w:rPr>
          <w:szCs w:val="26"/>
        </w:rPr>
        <w:t xml:space="preserve">In his direct testimony, OCA witness </w:t>
      </w:r>
      <w:r w:rsidR="00B5503B">
        <w:rPr>
          <w:szCs w:val="26"/>
        </w:rPr>
        <w:t xml:space="preserve">Mr. </w:t>
      </w:r>
      <w:r w:rsidR="00ED4920">
        <w:t>Mierzwa</w:t>
      </w:r>
      <w:r w:rsidR="00ED4920">
        <w:rPr>
          <w:szCs w:val="26"/>
        </w:rPr>
        <w:t xml:space="preserve"> </w:t>
      </w:r>
      <w:r>
        <w:rPr>
          <w:szCs w:val="26"/>
        </w:rPr>
        <w:t xml:space="preserve">explained that a portion of the gas delivered to customers is either LUFG or used in company operations.  </w:t>
      </w:r>
      <w:r w:rsidR="0080196E">
        <w:rPr>
          <w:szCs w:val="26"/>
        </w:rPr>
        <w:t>He also explained that</w:t>
      </w:r>
      <w:r w:rsidR="007C4B43">
        <w:rPr>
          <w:szCs w:val="26"/>
        </w:rPr>
        <w:t>,</w:t>
      </w:r>
      <w:r w:rsidR="0080196E">
        <w:rPr>
          <w:szCs w:val="26"/>
        </w:rPr>
        <w:t xml:space="preserve"> for sales customers, </w:t>
      </w:r>
      <w:r w:rsidR="00506E67">
        <w:rPr>
          <w:szCs w:val="26"/>
        </w:rPr>
        <w:t xml:space="preserve">these </w:t>
      </w:r>
      <w:r w:rsidR="0080196E">
        <w:rPr>
          <w:szCs w:val="26"/>
        </w:rPr>
        <w:t>losses are recovered through purchased gas cost (PGC) rates</w:t>
      </w:r>
      <w:r w:rsidR="00A77B3F">
        <w:rPr>
          <w:szCs w:val="26"/>
        </w:rPr>
        <w:t>,</w:t>
      </w:r>
      <w:r w:rsidR="0080196E">
        <w:rPr>
          <w:szCs w:val="26"/>
        </w:rPr>
        <w:t xml:space="preserve"> and for transportation customers, these lo</w:t>
      </w:r>
      <w:r w:rsidR="00D30E22">
        <w:rPr>
          <w:szCs w:val="26"/>
        </w:rPr>
        <w:t>s</w:t>
      </w:r>
      <w:r w:rsidR="0080196E">
        <w:rPr>
          <w:szCs w:val="26"/>
        </w:rPr>
        <w:t xml:space="preserve">ses are typically recovered through a retainage charge.  </w:t>
      </w:r>
      <w:r w:rsidR="008461A6">
        <w:rPr>
          <w:szCs w:val="26"/>
        </w:rPr>
        <w:t xml:space="preserve">Mr. Mierzwa presented analysis showing that </w:t>
      </w:r>
      <w:r w:rsidR="008424AD">
        <w:rPr>
          <w:szCs w:val="26"/>
        </w:rPr>
        <w:t xml:space="preserve">Peoples incurs </w:t>
      </w:r>
      <w:r w:rsidR="0045643F">
        <w:rPr>
          <w:szCs w:val="26"/>
        </w:rPr>
        <w:t>proportionally</w:t>
      </w:r>
      <w:r w:rsidR="008424AD">
        <w:rPr>
          <w:szCs w:val="26"/>
        </w:rPr>
        <w:t xml:space="preserve"> greater losses on its gathering system and recommended that gas flows on Peoples’ gathering system should be assessed an additional retainage charge.  OCA Statement No. 1 at </w:t>
      </w:r>
      <w:r w:rsidR="00506E67">
        <w:rPr>
          <w:szCs w:val="26"/>
        </w:rPr>
        <w:t>9-1</w:t>
      </w:r>
      <w:r w:rsidR="0045643F">
        <w:rPr>
          <w:szCs w:val="26"/>
        </w:rPr>
        <w:t>3</w:t>
      </w:r>
      <w:r w:rsidR="00506E67">
        <w:rPr>
          <w:szCs w:val="26"/>
        </w:rPr>
        <w:t xml:space="preserve">. </w:t>
      </w:r>
    </w:p>
    <w:p w:rsidR="00FF40AE" w:rsidRDefault="00FF40AE">
      <w:pPr>
        <w:pStyle w:val="BodyTextIndent2"/>
        <w:spacing w:after="0" w:line="360" w:lineRule="auto"/>
        <w:ind w:left="0"/>
        <w:rPr>
          <w:szCs w:val="26"/>
        </w:rPr>
      </w:pPr>
    </w:p>
    <w:p w:rsidR="00FF40AE" w:rsidRDefault="00E846BD">
      <w:r>
        <w:lastRenderedPageBreak/>
        <w:t xml:space="preserve">As an alternative to the </w:t>
      </w:r>
      <w:r w:rsidR="00E3655D">
        <w:t>retainage</w:t>
      </w:r>
      <w:r>
        <w:t xml:space="preserve"> charges proposed by the OCA in this proceeding, the Settlement Agreement </w:t>
      </w:r>
      <w:r w:rsidR="00A4787D" w:rsidRPr="00032B88">
        <w:t>requires that</w:t>
      </w:r>
      <w:r w:rsidR="00D30E22">
        <w:t>,</w:t>
      </w:r>
      <w:r w:rsidR="00E3655D">
        <w:t xml:space="preserve"> in advance of the 2011 1307(f) filing</w:t>
      </w:r>
      <w:r w:rsidR="00A4787D" w:rsidRPr="00032B88">
        <w:t xml:space="preserve">, </w:t>
      </w:r>
      <w:r w:rsidR="00E3655D">
        <w:t>Peoples will analyze the potential impacts of assessing a gathering system retainage charge</w:t>
      </w:r>
      <w:r w:rsidR="00D30E22">
        <w:t>,</w:t>
      </w:r>
      <w:r w:rsidR="00E3655D">
        <w:t xml:space="preserve"> including </w:t>
      </w:r>
      <w:r w:rsidR="00D30E22">
        <w:t xml:space="preserve">establishing charges for </w:t>
      </w:r>
      <w:r w:rsidR="00E3655D">
        <w:t xml:space="preserve">customers that utilize the </w:t>
      </w:r>
      <w:r w:rsidR="00982244">
        <w:t>gathering system and local gas producer</w:t>
      </w:r>
      <w:r w:rsidR="00EC5B1A">
        <w:t>s</w:t>
      </w:r>
      <w:r w:rsidR="00982244">
        <w:t xml:space="preserve"> whose gas is moved on the gathering system.</w:t>
      </w:r>
      <w:r w:rsidR="00DA6ED8">
        <w:rPr>
          <w:rStyle w:val="FootnoteReference"/>
        </w:rPr>
        <w:footnoteReference w:id="5"/>
      </w:r>
      <w:r w:rsidR="00982244">
        <w:t xml:space="preserve">  The Settlement Agreement also provides that</w:t>
      </w:r>
      <w:r w:rsidR="00411BE7">
        <w:t>,</w:t>
      </w:r>
      <w:r w:rsidR="00982244">
        <w:t xml:space="preserve"> in addition to the existing local gas meter </w:t>
      </w:r>
      <w:r w:rsidR="00880F64">
        <w:t xml:space="preserve">operating and audit procedures, Peoples will initiate a check meter program to validate measurement accuracy at selected local gas custody transfer locations. </w:t>
      </w:r>
      <w:r w:rsidR="009B597F">
        <w:t xml:space="preserve"> </w:t>
      </w:r>
      <w:r w:rsidR="00411BE7">
        <w:t xml:space="preserve">Settlement Agreement at 8-9. </w:t>
      </w:r>
    </w:p>
    <w:p w:rsidR="00FF40AE" w:rsidRDefault="00FF40AE"/>
    <w:p w:rsidR="00FF40AE" w:rsidRDefault="00C2049C">
      <w:r>
        <w:t xml:space="preserve">In its Statement </w:t>
      </w:r>
      <w:r w:rsidR="00880F64">
        <w:t>in</w:t>
      </w:r>
      <w:r>
        <w:t xml:space="preserve"> Support, the OCA believes the Parties have reached a reasonable resolution to the issue of gathering system retainage.</w:t>
      </w:r>
      <w:r w:rsidR="00A4787D" w:rsidRPr="00032B88">
        <w:t xml:space="preserve">  </w:t>
      </w:r>
      <w:r>
        <w:t xml:space="preserve">OCA Statement </w:t>
      </w:r>
      <w:r w:rsidR="00411BE7">
        <w:t>in</w:t>
      </w:r>
      <w:r>
        <w:t xml:space="preserve"> Support at 6.  We agree</w:t>
      </w:r>
      <w:r w:rsidR="00BC558E">
        <w:t xml:space="preserve"> and adopt the resolution</w:t>
      </w:r>
      <w:r w:rsidR="00411BE7">
        <w:t xml:space="preserve"> proposed in the Settlement Agreement</w:t>
      </w:r>
      <w:r w:rsidR="00BC558E">
        <w:t xml:space="preserve">.  The proposed resolution </w:t>
      </w:r>
      <w:r w:rsidR="00A4787D" w:rsidRPr="00032B88">
        <w:t xml:space="preserve">sets the analysis of the issue in motion now so that </w:t>
      </w:r>
      <w:r w:rsidR="00880F64">
        <w:t xml:space="preserve">the record in the next 1307(f) proceeding should be adequately developed </w:t>
      </w:r>
      <w:r w:rsidR="00DA6ED8">
        <w:t>so we</w:t>
      </w:r>
      <w:r w:rsidR="00456496">
        <w:t xml:space="preserve"> will be able to</w:t>
      </w:r>
      <w:r w:rsidR="00DA6ED8">
        <w:t xml:space="preserve"> address the allocation gathering system retainage</w:t>
      </w:r>
      <w:r w:rsidR="003D35D4">
        <w:t xml:space="preserve"> at that time</w:t>
      </w:r>
      <w:r w:rsidR="00DA6ED8">
        <w:t xml:space="preserve">. </w:t>
      </w:r>
    </w:p>
    <w:p w:rsidR="00FF40AE" w:rsidRDefault="00A4787D">
      <w:pPr>
        <w:pStyle w:val="BodyTextIndent2"/>
        <w:spacing w:after="0" w:line="360" w:lineRule="auto"/>
        <w:ind w:left="0"/>
        <w:rPr>
          <w:szCs w:val="26"/>
        </w:rPr>
      </w:pPr>
      <w:r>
        <w:rPr>
          <w:szCs w:val="26"/>
        </w:rPr>
        <w:t xml:space="preserve"> </w:t>
      </w:r>
    </w:p>
    <w:p w:rsidR="00FF40AE" w:rsidRDefault="00C35657">
      <w:pPr>
        <w:pStyle w:val="Heading3"/>
      </w:pPr>
      <w:bookmarkStart w:id="12" w:name="_Toc271015517"/>
      <w:r>
        <w:t xml:space="preserve">5. </w:t>
      </w:r>
      <w:r w:rsidR="00456496">
        <w:t xml:space="preserve"> </w:t>
      </w:r>
      <w:r>
        <w:t>Retainage Waivers</w:t>
      </w:r>
      <w:bookmarkEnd w:id="12"/>
    </w:p>
    <w:p w:rsidR="00FF40AE" w:rsidRDefault="00FF40AE">
      <w:pPr>
        <w:keepNext/>
      </w:pPr>
    </w:p>
    <w:p w:rsidR="00FF40AE" w:rsidRDefault="00723756">
      <w:pPr>
        <w:keepNext/>
      </w:pPr>
      <w:r>
        <w:t xml:space="preserve">In his direct </w:t>
      </w:r>
      <w:r w:rsidR="00DA6ED8">
        <w:t>testimony</w:t>
      </w:r>
      <w:r>
        <w:t xml:space="preserve">, </w:t>
      </w:r>
      <w:r w:rsidR="00405949">
        <w:t xml:space="preserve">OCA witness </w:t>
      </w:r>
      <w:r w:rsidR="00BC5AE3">
        <w:t xml:space="preserve">Mr. </w:t>
      </w:r>
      <w:r w:rsidR="00405949">
        <w:t xml:space="preserve">Mierzwa </w:t>
      </w:r>
      <w:r>
        <w:t xml:space="preserve">explained that Peoples has determined that five of its customers are eligible for a waiver of </w:t>
      </w:r>
      <w:r w:rsidR="005635EE">
        <w:t xml:space="preserve">retainage charges. </w:t>
      </w:r>
      <w:r>
        <w:t xml:space="preserve"> </w:t>
      </w:r>
      <w:r w:rsidR="005635EE">
        <w:t xml:space="preserve">Mr. Mierzwa </w:t>
      </w:r>
      <w:r w:rsidR="00405949">
        <w:t>submitted that</w:t>
      </w:r>
      <w:r w:rsidR="003D35D4">
        <w:t>,</w:t>
      </w:r>
      <w:r w:rsidR="00405949">
        <w:t xml:space="preserve"> in the Commission’s September 30, 2005 Order at Docket No. R-00050267, the Commission found that retainage charges could be waived </w:t>
      </w:r>
      <w:r w:rsidR="003D35D4">
        <w:t xml:space="preserve">only </w:t>
      </w:r>
      <w:r w:rsidR="001A44D3">
        <w:t xml:space="preserve">under five specific circumstances. </w:t>
      </w:r>
      <w:r w:rsidR="00405949">
        <w:t xml:space="preserve"> </w:t>
      </w:r>
      <w:r w:rsidR="001A44D3">
        <w:t xml:space="preserve">If those circumstances exist, the Commission directed that it must also be demonstrated that the existing customer charges cover, at the minimum, the marginal costs of </w:t>
      </w:r>
      <w:r w:rsidR="007F664E">
        <w:t xml:space="preserve">providing transportation service to ensure a contribution </w:t>
      </w:r>
      <w:r w:rsidR="007F664E">
        <w:lastRenderedPageBreak/>
        <w:t xml:space="preserve">to fixed costs. </w:t>
      </w:r>
      <w:r w:rsidR="001A44D3">
        <w:t xml:space="preserve"> </w:t>
      </w:r>
      <w:r w:rsidR="0096143A" w:rsidRPr="00032B88">
        <w:t xml:space="preserve">Mr. Mierzwa criticized Peoples for not demonstrating the reasonableness of the retainage waivers presented for evaluation in this proceeding, and recommended that the Commission prevent Peoples from recovering those costs from PGC customers.  He also recommended that the Commission </w:t>
      </w:r>
      <w:r w:rsidR="00432B0E">
        <w:t xml:space="preserve">should </w:t>
      </w:r>
      <w:r w:rsidR="0096143A" w:rsidRPr="00032B88">
        <w:t>review new retainage waivers on an annual basis, and that the Commission should adopt standards with respect to Peoples’ negotiation of base rate discounts and retainage waivers.  OCA Statement No. 1 at 17-18</w:t>
      </w:r>
      <w:r w:rsidR="006D5F76">
        <w:t>.</w:t>
      </w:r>
      <w:r w:rsidR="0096143A">
        <w:t xml:space="preserve">  </w:t>
      </w:r>
    </w:p>
    <w:p w:rsidR="00FF40AE" w:rsidRDefault="00FF40AE"/>
    <w:p w:rsidR="00FF40AE" w:rsidRDefault="00A41BF5">
      <w:pPr>
        <w:pStyle w:val="DirectNext"/>
        <w:tabs>
          <w:tab w:val="left" w:pos="-1440"/>
        </w:tabs>
        <w:spacing w:line="360" w:lineRule="auto"/>
        <w:ind w:left="0" w:firstLine="1440"/>
        <w:rPr>
          <w:rFonts w:ascii="Times New Roman" w:hAnsi="Times New Roman"/>
          <w:sz w:val="26"/>
          <w:szCs w:val="26"/>
        </w:rPr>
      </w:pPr>
      <w:r w:rsidRPr="000A2E1E">
        <w:rPr>
          <w:rFonts w:ascii="Times New Roman" w:hAnsi="Times New Roman"/>
          <w:sz w:val="26"/>
          <w:szCs w:val="26"/>
        </w:rPr>
        <w:t xml:space="preserve">In response to the OCA’s position, the Settlement </w:t>
      </w:r>
      <w:r w:rsidR="000A2E1E">
        <w:rPr>
          <w:rFonts w:ascii="Times New Roman" w:hAnsi="Times New Roman"/>
          <w:sz w:val="26"/>
          <w:szCs w:val="26"/>
        </w:rPr>
        <w:t xml:space="preserve">Agreement </w:t>
      </w:r>
      <w:r w:rsidRPr="000A2E1E">
        <w:rPr>
          <w:rFonts w:ascii="Times New Roman" w:hAnsi="Times New Roman"/>
          <w:sz w:val="26"/>
          <w:szCs w:val="26"/>
        </w:rPr>
        <w:t xml:space="preserve">provides </w:t>
      </w:r>
      <w:r w:rsidR="005635EE" w:rsidRPr="000A2E1E">
        <w:rPr>
          <w:rFonts w:ascii="Times New Roman" w:hAnsi="Times New Roman"/>
          <w:sz w:val="26"/>
          <w:szCs w:val="26"/>
        </w:rPr>
        <w:t xml:space="preserve">that </w:t>
      </w:r>
      <w:r w:rsidRPr="000A2E1E">
        <w:rPr>
          <w:rFonts w:ascii="Times New Roman" w:hAnsi="Times New Roman"/>
          <w:sz w:val="26"/>
          <w:szCs w:val="26"/>
        </w:rPr>
        <w:t xml:space="preserve">for the four customers receiving waivers whose contracts expire during the effective term of this 1307(f) proceeding </w:t>
      </w:r>
      <w:r w:rsidR="00FC43C4">
        <w:rPr>
          <w:rFonts w:ascii="Times New Roman" w:hAnsi="Times New Roman"/>
          <w:sz w:val="26"/>
          <w:szCs w:val="26"/>
        </w:rPr>
        <w:t>(</w:t>
      </w:r>
      <w:r w:rsidRPr="000A2E1E">
        <w:rPr>
          <w:rFonts w:ascii="Times New Roman" w:hAnsi="Times New Roman"/>
          <w:sz w:val="26"/>
          <w:szCs w:val="26"/>
        </w:rPr>
        <w:t>October</w:t>
      </w:r>
      <w:r w:rsidR="00432B0E">
        <w:rPr>
          <w:rFonts w:ascii="Times New Roman" w:hAnsi="Times New Roman"/>
          <w:sz w:val="26"/>
          <w:szCs w:val="26"/>
        </w:rPr>
        <w:t xml:space="preserve"> </w:t>
      </w:r>
      <w:r w:rsidR="00FC43C4">
        <w:rPr>
          <w:rFonts w:ascii="Times New Roman" w:hAnsi="Times New Roman"/>
          <w:sz w:val="26"/>
          <w:szCs w:val="26"/>
        </w:rPr>
        <w:t>1,</w:t>
      </w:r>
      <w:r w:rsidRPr="000A2E1E">
        <w:rPr>
          <w:rFonts w:ascii="Times New Roman" w:hAnsi="Times New Roman"/>
          <w:sz w:val="26"/>
          <w:szCs w:val="26"/>
        </w:rPr>
        <w:t xml:space="preserve"> 2010</w:t>
      </w:r>
      <w:r w:rsidR="00432B0E">
        <w:rPr>
          <w:rFonts w:ascii="Times New Roman" w:hAnsi="Times New Roman"/>
          <w:sz w:val="26"/>
          <w:szCs w:val="26"/>
        </w:rPr>
        <w:t>,</w:t>
      </w:r>
      <w:r w:rsidRPr="000A2E1E">
        <w:rPr>
          <w:rFonts w:ascii="Times New Roman" w:hAnsi="Times New Roman"/>
          <w:sz w:val="26"/>
          <w:szCs w:val="26"/>
        </w:rPr>
        <w:t xml:space="preserve"> through September </w:t>
      </w:r>
      <w:r w:rsidR="00FC43C4">
        <w:rPr>
          <w:rFonts w:ascii="Times New Roman" w:hAnsi="Times New Roman"/>
          <w:sz w:val="26"/>
          <w:szCs w:val="26"/>
        </w:rPr>
        <w:t xml:space="preserve">30, </w:t>
      </w:r>
      <w:r w:rsidRPr="000A2E1E">
        <w:rPr>
          <w:rFonts w:ascii="Times New Roman" w:hAnsi="Times New Roman"/>
          <w:sz w:val="26"/>
          <w:szCs w:val="26"/>
        </w:rPr>
        <w:t>201</w:t>
      </w:r>
      <w:r w:rsidR="000A2E1E">
        <w:rPr>
          <w:rFonts w:ascii="Times New Roman" w:hAnsi="Times New Roman"/>
          <w:sz w:val="26"/>
          <w:szCs w:val="26"/>
        </w:rPr>
        <w:t>1</w:t>
      </w:r>
      <w:r w:rsidR="00FC43C4">
        <w:rPr>
          <w:rFonts w:ascii="Times New Roman" w:hAnsi="Times New Roman"/>
          <w:sz w:val="26"/>
          <w:szCs w:val="26"/>
        </w:rPr>
        <w:t>)</w:t>
      </w:r>
      <w:r w:rsidR="00432B0E">
        <w:rPr>
          <w:rFonts w:ascii="Times New Roman" w:hAnsi="Times New Roman"/>
          <w:sz w:val="26"/>
          <w:szCs w:val="26"/>
        </w:rPr>
        <w:t>,</w:t>
      </w:r>
      <w:r w:rsidR="000A2E1E" w:rsidRPr="000A2E1E">
        <w:rPr>
          <w:rFonts w:ascii="Times New Roman" w:hAnsi="Times New Roman"/>
          <w:sz w:val="26"/>
          <w:szCs w:val="26"/>
        </w:rPr>
        <w:t xml:space="preserve"> </w:t>
      </w:r>
      <w:r w:rsidR="005635EE" w:rsidRPr="000A2E1E">
        <w:rPr>
          <w:rFonts w:ascii="Times New Roman" w:hAnsi="Times New Roman"/>
          <w:sz w:val="26"/>
          <w:szCs w:val="26"/>
        </w:rPr>
        <w:t>Peoples will establish a minimum retainage contribution for any customer with a transportation margin greater than $0.38 per Mcf</w:t>
      </w:r>
      <w:r w:rsidR="000A2E1E">
        <w:rPr>
          <w:rFonts w:ascii="Times New Roman" w:hAnsi="Times New Roman"/>
          <w:sz w:val="26"/>
          <w:szCs w:val="26"/>
        </w:rPr>
        <w:t>.</w:t>
      </w:r>
      <w:r w:rsidR="005635EE" w:rsidRPr="000A2E1E">
        <w:rPr>
          <w:rFonts w:ascii="Times New Roman" w:hAnsi="Times New Roman"/>
          <w:sz w:val="26"/>
          <w:szCs w:val="26"/>
        </w:rPr>
        <w:t xml:space="preserve">  </w:t>
      </w:r>
      <w:r w:rsidR="002848BB">
        <w:rPr>
          <w:rFonts w:ascii="Times New Roman" w:hAnsi="Times New Roman"/>
          <w:sz w:val="26"/>
          <w:szCs w:val="26"/>
        </w:rPr>
        <w:t>In addition, as part of the fort</w:t>
      </w:r>
      <w:r w:rsidR="00E151A3">
        <w:rPr>
          <w:rFonts w:ascii="Times New Roman" w:hAnsi="Times New Roman"/>
          <w:sz w:val="26"/>
          <w:szCs w:val="26"/>
        </w:rPr>
        <w:t xml:space="preserve">hcoming base rate proceeding, Peoples will perform an updated net benefits test in order to establish appropriate levels of retainage waivers that will be effective October 2011.  </w:t>
      </w:r>
      <w:r w:rsidR="00A621F1">
        <w:rPr>
          <w:rFonts w:ascii="Times New Roman" w:hAnsi="Times New Roman"/>
          <w:sz w:val="26"/>
          <w:szCs w:val="26"/>
        </w:rPr>
        <w:t>Peoples wi</w:t>
      </w:r>
      <w:r w:rsidR="009B0EDD">
        <w:rPr>
          <w:rFonts w:ascii="Times New Roman" w:hAnsi="Times New Roman"/>
          <w:sz w:val="26"/>
          <w:szCs w:val="26"/>
        </w:rPr>
        <w:t>l</w:t>
      </w:r>
      <w:r w:rsidR="00A621F1">
        <w:rPr>
          <w:rFonts w:ascii="Times New Roman" w:hAnsi="Times New Roman"/>
          <w:sz w:val="26"/>
          <w:szCs w:val="26"/>
        </w:rPr>
        <w:t xml:space="preserve">l also </w:t>
      </w:r>
      <w:r w:rsidR="009B0EDD">
        <w:rPr>
          <w:rFonts w:ascii="Times New Roman" w:hAnsi="Times New Roman"/>
          <w:sz w:val="26"/>
          <w:szCs w:val="26"/>
        </w:rPr>
        <w:t>contact individual customers to obtain any engineering analysis that can be used as part of the wa</w:t>
      </w:r>
      <w:r w:rsidR="00C441B4">
        <w:rPr>
          <w:rFonts w:ascii="Times New Roman" w:hAnsi="Times New Roman"/>
          <w:sz w:val="26"/>
          <w:szCs w:val="26"/>
        </w:rPr>
        <w:t>i</w:t>
      </w:r>
      <w:r w:rsidR="009B0EDD">
        <w:rPr>
          <w:rFonts w:ascii="Times New Roman" w:hAnsi="Times New Roman"/>
          <w:sz w:val="26"/>
          <w:szCs w:val="26"/>
        </w:rPr>
        <w:t>ver justification process.  Further, Peoples will perform the necessary bypass engineering analysis to assist with it</w:t>
      </w:r>
      <w:r w:rsidR="00432B0E">
        <w:rPr>
          <w:rFonts w:ascii="Times New Roman" w:hAnsi="Times New Roman"/>
          <w:sz w:val="26"/>
          <w:szCs w:val="26"/>
        </w:rPr>
        <w:t>s</w:t>
      </w:r>
      <w:r w:rsidR="009B0EDD">
        <w:rPr>
          <w:rFonts w:ascii="Times New Roman" w:hAnsi="Times New Roman"/>
          <w:sz w:val="26"/>
          <w:szCs w:val="26"/>
        </w:rPr>
        <w:t xml:space="preserve"> evaluation of retainage waivers. </w:t>
      </w:r>
      <w:r w:rsidR="00597C33">
        <w:rPr>
          <w:rFonts w:ascii="Times New Roman" w:hAnsi="Times New Roman"/>
          <w:sz w:val="26"/>
          <w:szCs w:val="26"/>
        </w:rPr>
        <w:t xml:space="preserve"> Settlement Agreement at 9-10. </w:t>
      </w:r>
    </w:p>
    <w:p w:rsidR="00FF40AE" w:rsidRDefault="00FF40AE">
      <w:pPr>
        <w:pStyle w:val="DirectNext"/>
        <w:tabs>
          <w:tab w:val="left" w:pos="-1440"/>
        </w:tabs>
        <w:spacing w:line="360" w:lineRule="auto"/>
        <w:ind w:left="0" w:firstLine="1440"/>
        <w:rPr>
          <w:rFonts w:ascii="Times New Roman" w:hAnsi="Times New Roman"/>
          <w:sz w:val="26"/>
          <w:szCs w:val="26"/>
        </w:rPr>
      </w:pPr>
    </w:p>
    <w:p w:rsidR="00FF40AE" w:rsidRDefault="00D05895">
      <w:pPr>
        <w:pStyle w:val="DirectNext"/>
        <w:tabs>
          <w:tab w:val="left" w:pos="-1440"/>
        </w:tabs>
        <w:spacing w:line="360" w:lineRule="auto"/>
        <w:ind w:left="0" w:firstLine="1440"/>
        <w:rPr>
          <w:rFonts w:ascii="Times New Roman" w:hAnsi="Times New Roman"/>
        </w:rPr>
      </w:pPr>
      <w:r>
        <w:rPr>
          <w:rFonts w:ascii="Times New Roman" w:hAnsi="Times New Roman"/>
          <w:sz w:val="26"/>
          <w:szCs w:val="26"/>
        </w:rPr>
        <w:t xml:space="preserve">We find that the resolution reached in the Settlement Agreement is in the public interest and should be adopted.  The additional information and analysis will </w:t>
      </w:r>
      <w:r w:rsidR="000F023E">
        <w:rPr>
          <w:rFonts w:ascii="Times New Roman" w:hAnsi="Times New Roman"/>
          <w:sz w:val="26"/>
          <w:szCs w:val="26"/>
        </w:rPr>
        <w:t xml:space="preserve">provide a better basis to determine the extent to which </w:t>
      </w:r>
      <w:r w:rsidR="00FC43C4">
        <w:rPr>
          <w:rFonts w:ascii="Times New Roman" w:hAnsi="Times New Roman"/>
          <w:sz w:val="26"/>
          <w:szCs w:val="26"/>
        </w:rPr>
        <w:t>waivers</w:t>
      </w:r>
      <w:r w:rsidR="000F023E">
        <w:rPr>
          <w:rFonts w:ascii="Times New Roman" w:hAnsi="Times New Roman"/>
          <w:sz w:val="26"/>
          <w:szCs w:val="26"/>
        </w:rPr>
        <w:t xml:space="preserve"> for specific customers are necessary.  </w:t>
      </w:r>
    </w:p>
    <w:p w:rsidR="00FF40AE" w:rsidRDefault="00FF40AE">
      <w:pPr>
        <w:pStyle w:val="BodyTextIndent2"/>
        <w:spacing w:after="0" w:line="360" w:lineRule="auto"/>
        <w:ind w:left="0"/>
        <w:rPr>
          <w:color w:val="C00000"/>
          <w:szCs w:val="26"/>
        </w:rPr>
      </w:pPr>
    </w:p>
    <w:p w:rsidR="00FF40AE" w:rsidRDefault="00130896">
      <w:pPr>
        <w:pStyle w:val="Heading3"/>
      </w:pPr>
      <w:bookmarkStart w:id="13" w:name="_Toc271015518"/>
      <w:r>
        <w:t xml:space="preserve">6. Cash </w:t>
      </w:r>
      <w:r w:rsidR="008B06D7">
        <w:t xml:space="preserve">In / Cash </w:t>
      </w:r>
      <w:r>
        <w:t>Out</w:t>
      </w:r>
      <w:r w:rsidR="008B06D7">
        <w:t xml:space="preserve"> Charges</w:t>
      </w:r>
      <w:bookmarkEnd w:id="13"/>
    </w:p>
    <w:p w:rsidR="00FF40AE" w:rsidRDefault="00FF40AE">
      <w:pPr>
        <w:keepNext/>
      </w:pPr>
    </w:p>
    <w:p w:rsidR="00FF40AE" w:rsidRDefault="008B06D7">
      <w:pPr>
        <w:keepNext/>
      </w:pPr>
      <w:r>
        <w:t xml:space="preserve">In his direct testimony, Dominion </w:t>
      </w:r>
      <w:r w:rsidR="00FC43C4">
        <w:t xml:space="preserve">Retail </w:t>
      </w:r>
      <w:r>
        <w:t xml:space="preserve">witness </w:t>
      </w:r>
      <w:r w:rsidR="00BC5AE3">
        <w:t xml:space="preserve">Mr. </w:t>
      </w:r>
      <w:r>
        <w:t xml:space="preserve">Butler explained that cash in/cash out charges are applied by Peoples to </w:t>
      </w:r>
      <w:r w:rsidR="00054CD9">
        <w:t xml:space="preserve">excesses and </w:t>
      </w:r>
      <w:r>
        <w:t xml:space="preserve">shortfalls </w:t>
      </w:r>
      <w:r w:rsidR="00054CD9">
        <w:t xml:space="preserve">in deliveries by </w:t>
      </w:r>
      <w:r w:rsidR="00171AA9">
        <w:t>N</w:t>
      </w:r>
      <w:r w:rsidR="00054CD9">
        <w:t>on-</w:t>
      </w:r>
      <w:r w:rsidR="00171AA9">
        <w:t>P</w:t>
      </w:r>
      <w:r w:rsidR="00054CD9">
        <w:t xml:space="preserve">riority 1 </w:t>
      </w:r>
      <w:r w:rsidR="008460AD">
        <w:t xml:space="preserve">(NP-1) </w:t>
      </w:r>
      <w:r w:rsidR="00054CD9">
        <w:t xml:space="preserve">customers or their supplier pool operators.  Mr. Butler argued, </w:t>
      </w:r>
      <w:r w:rsidR="00054CD9" w:rsidRPr="00054CD9">
        <w:rPr>
          <w:i/>
        </w:rPr>
        <w:lastRenderedPageBreak/>
        <w:t>inter alia</w:t>
      </w:r>
      <w:r w:rsidR="00054CD9">
        <w:t>, that Peoples</w:t>
      </w:r>
      <w:r w:rsidR="00432B0E">
        <w:t>’</w:t>
      </w:r>
      <w:r w:rsidR="00054CD9">
        <w:t xml:space="preserve"> charges a</w:t>
      </w:r>
      <w:r w:rsidR="00F872AB">
        <w:t>r</w:t>
      </w:r>
      <w:r w:rsidR="00054CD9">
        <w:t xml:space="preserve">e not market based.  He averred that Peoples as a rule </w:t>
      </w:r>
      <w:r w:rsidR="00F872AB">
        <w:t>pays far less than market prices if it has to bu</w:t>
      </w:r>
      <w:r w:rsidR="00EF1488">
        <w:t>y</w:t>
      </w:r>
      <w:r w:rsidR="00F872AB">
        <w:t xml:space="preserve"> excess deliveries and way above market </w:t>
      </w:r>
      <w:r w:rsidR="00EF1488">
        <w:t xml:space="preserve">prices </w:t>
      </w:r>
      <w:r w:rsidR="00F872AB">
        <w:t xml:space="preserve">if it has to supply gas.  Dominion </w:t>
      </w:r>
      <w:r w:rsidR="00FC43C4">
        <w:t xml:space="preserve">Retail </w:t>
      </w:r>
      <w:r w:rsidR="00F872AB">
        <w:t xml:space="preserve">Statement No. 1 at 4-7. </w:t>
      </w:r>
    </w:p>
    <w:p w:rsidR="00FF40AE" w:rsidRDefault="00FF40AE"/>
    <w:p w:rsidR="00FF40AE" w:rsidRDefault="005A40A3">
      <w:pPr>
        <w:rPr>
          <w:color w:val="000000"/>
        </w:rPr>
      </w:pPr>
      <w:r>
        <w:t xml:space="preserve">In the Settlement Agreement, the Parties have agreed that this issue is best dealt with through the Commission’s proposed rulemaking </w:t>
      </w:r>
      <w:r w:rsidR="0043233A">
        <w:rPr>
          <w:color w:val="000000"/>
        </w:rPr>
        <w:t>at Docket No.</w:t>
      </w:r>
      <w:r w:rsidR="0020269A">
        <w:rPr>
          <w:color w:val="000000"/>
        </w:rPr>
        <w:t xml:space="preserve"> </w:t>
      </w:r>
      <w:r w:rsidR="0043233A">
        <w:rPr>
          <w:color w:val="000000"/>
        </w:rPr>
        <w:t>L</w:t>
      </w:r>
      <w:r w:rsidR="00C441B4">
        <w:rPr>
          <w:color w:val="000000"/>
        </w:rPr>
        <w:noBreakHyphen/>
      </w:r>
      <w:r w:rsidR="0043233A">
        <w:rPr>
          <w:color w:val="000000"/>
        </w:rPr>
        <w:t>2009</w:t>
      </w:r>
      <w:r w:rsidR="00C441B4">
        <w:rPr>
          <w:color w:val="000000"/>
        </w:rPr>
        <w:noBreakHyphen/>
      </w:r>
      <w:r w:rsidR="0043233A">
        <w:rPr>
          <w:color w:val="000000"/>
        </w:rPr>
        <w:t>2069117</w:t>
      </w:r>
      <w:r w:rsidR="003B6492">
        <w:rPr>
          <w:color w:val="000000"/>
        </w:rPr>
        <w:t xml:space="preserve">.  </w:t>
      </w:r>
      <w:r w:rsidR="008460AD">
        <w:rPr>
          <w:color w:val="000000"/>
        </w:rPr>
        <w:t xml:space="preserve">Settlement Agreement at 11.  </w:t>
      </w:r>
      <w:r w:rsidR="003B6492">
        <w:rPr>
          <w:color w:val="000000"/>
        </w:rPr>
        <w:t xml:space="preserve">Through this rulemaking the Commission proposes </w:t>
      </w:r>
      <w:r w:rsidR="0043233A">
        <w:t>to establish r</w:t>
      </w:r>
      <w:r w:rsidR="0043233A" w:rsidRPr="001C665C">
        <w:rPr>
          <w:color w:val="000000"/>
        </w:rPr>
        <w:t xml:space="preserve">egulations that, </w:t>
      </w:r>
      <w:r w:rsidR="0043233A" w:rsidRPr="001C665C">
        <w:rPr>
          <w:i/>
          <w:color w:val="000000"/>
        </w:rPr>
        <w:t>inter alia</w:t>
      </w:r>
      <w:r w:rsidR="0043233A" w:rsidRPr="001C665C">
        <w:rPr>
          <w:color w:val="000000"/>
        </w:rPr>
        <w:t xml:space="preserve">, direct </w:t>
      </w:r>
      <w:r w:rsidR="00FC43C4">
        <w:rPr>
          <w:color w:val="000000"/>
        </w:rPr>
        <w:t>natural gas distribution companies (</w:t>
      </w:r>
      <w:r w:rsidR="0043233A" w:rsidRPr="001C665C">
        <w:rPr>
          <w:color w:val="000000"/>
        </w:rPr>
        <w:t>NGDCs</w:t>
      </w:r>
      <w:r w:rsidR="00FC43C4">
        <w:rPr>
          <w:color w:val="000000"/>
        </w:rPr>
        <w:t>)</w:t>
      </w:r>
      <w:r w:rsidR="0043233A" w:rsidRPr="001C665C">
        <w:rPr>
          <w:color w:val="000000"/>
        </w:rPr>
        <w:t xml:space="preserve"> to submit standard supplier coordination tariffs</w:t>
      </w:r>
      <w:r w:rsidR="0043233A">
        <w:rPr>
          <w:color w:val="000000"/>
        </w:rPr>
        <w:t>,</w:t>
      </w:r>
      <w:r w:rsidR="0043233A" w:rsidRPr="001C665C">
        <w:rPr>
          <w:color w:val="000000"/>
        </w:rPr>
        <w:t xml:space="preserve"> and to implement standard business practices and communication standards and formats that</w:t>
      </w:r>
      <w:r w:rsidR="00526B35">
        <w:rPr>
          <w:color w:val="000000"/>
        </w:rPr>
        <w:t xml:space="preserve"> are</w:t>
      </w:r>
      <w:r w:rsidR="0043233A" w:rsidRPr="001C665C">
        <w:rPr>
          <w:color w:val="000000"/>
        </w:rPr>
        <w:t xml:space="preserve"> cost-effective and that remove market barriers</w:t>
      </w:r>
      <w:r w:rsidR="00526B35">
        <w:rPr>
          <w:color w:val="000000"/>
        </w:rPr>
        <w:t>.</w:t>
      </w:r>
      <w:r w:rsidR="0043233A" w:rsidRPr="001C665C">
        <w:rPr>
          <w:color w:val="000000"/>
        </w:rPr>
        <w:t xml:space="preserve">  </w:t>
      </w:r>
      <w:r w:rsidR="00D16E8B" w:rsidRPr="00D16E8B">
        <w:rPr>
          <w:i/>
          <w:color w:val="000000"/>
        </w:rPr>
        <w:t>Proposed Rulemaking: Natural Gas Distribution Company Business Practices; 52 Pa. Code §§ 62.181-62.185</w:t>
      </w:r>
      <w:r w:rsidR="00D16E8B">
        <w:rPr>
          <w:i/>
          <w:color w:val="000000"/>
        </w:rPr>
        <w:t>,</w:t>
      </w:r>
      <w:r w:rsidR="00D16E8B" w:rsidRPr="001C665C">
        <w:rPr>
          <w:color w:val="000000"/>
        </w:rPr>
        <w:t xml:space="preserve"> </w:t>
      </w:r>
      <w:r w:rsidR="00D16E8B">
        <w:rPr>
          <w:color w:val="000000"/>
        </w:rPr>
        <w:t>Docket No. L</w:t>
      </w:r>
      <w:r w:rsidR="00C441B4">
        <w:rPr>
          <w:color w:val="000000"/>
        </w:rPr>
        <w:noBreakHyphen/>
      </w:r>
      <w:r w:rsidR="00D16E8B">
        <w:rPr>
          <w:color w:val="000000"/>
        </w:rPr>
        <w:t xml:space="preserve">2009-2069117 </w:t>
      </w:r>
      <w:r w:rsidR="00B111FC">
        <w:rPr>
          <w:color w:val="000000"/>
        </w:rPr>
        <w:t>(</w:t>
      </w:r>
      <w:r w:rsidR="00D627ED">
        <w:rPr>
          <w:color w:val="000000"/>
        </w:rPr>
        <w:t>Order entered May 1, 2009</w:t>
      </w:r>
      <w:r w:rsidR="00B111FC">
        <w:rPr>
          <w:color w:val="000000"/>
        </w:rPr>
        <w:t>)</w:t>
      </w:r>
      <w:r w:rsidR="00D16E8B">
        <w:rPr>
          <w:color w:val="000000"/>
        </w:rPr>
        <w:t xml:space="preserve"> </w:t>
      </w:r>
      <w:r w:rsidR="00D627ED">
        <w:rPr>
          <w:color w:val="000000"/>
        </w:rPr>
        <w:t xml:space="preserve">at 2.  In addition, Peoples has agreed to make five specific changes to its </w:t>
      </w:r>
      <w:r w:rsidR="008460AD">
        <w:rPr>
          <w:color w:val="000000"/>
        </w:rPr>
        <w:t xml:space="preserve">current cash-out procedures including modifying its current transportation balancing </w:t>
      </w:r>
      <w:r w:rsidR="0018673D">
        <w:rPr>
          <w:color w:val="000000"/>
        </w:rPr>
        <w:t>provisions</w:t>
      </w:r>
      <w:r w:rsidR="008460AD">
        <w:rPr>
          <w:color w:val="000000"/>
        </w:rPr>
        <w:t xml:space="preserve"> for its </w:t>
      </w:r>
      <w:r w:rsidR="00171AA9">
        <w:rPr>
          <w:color w:val="000000"/>
        </w:rPr>
        <w:t>P</w:t>
      </w:r>
      <w:r w:rsidR="008460AD">
        <w:rPr>
          <w:color w:val="000000"/>
        </w:rPr>
        <w:t xml:space="preserve">riority 1 (P-1) and </w:t>
      </w:r>
      <w:r w:rsidR="00994F8B">
        <w:rPr>
          <w:color w:val="000000"/>
        </w:rPr>
        <w:t>Non Priority One (</w:t>
      </w:r>
      <w:r w:rsidR="008460AD">
        <w:rPr>
          <w:color w:val="000000"/>
        </w:rPr>
        <w:t>NP-1</w:t>
      </w:r>
      <w:r w:rsidR="00994F8B">
        <w:rPr>
          <w:color w:val="000000"/>
        </w:rPr>
        <w:t>)</w:t>
      </w:r>
      <w:r w:rsidR="008460AD">
        <w:rPr>
          <w:color w:val="000000"/>
        </w:rPr>
        <w:t xml:space="preserve"> customers </w:t>
      </w:r>
      <w:r w:rsidR="0018673D">
        <w:rPr>
          <w:color w:val="000000"/>
        </w:rPr>
        <w:t>to provide for a maximum 20% multiplier.</w:t>
      </w:r>
      <w:r w:rsidR="00171AA9">
        <w:rPr>
          <w:rStyle w:val="FootnoteReference"/>
          <w:color w:val="000000"/>
        </w:rPr>
        <w:footnoteReference w:id="6"/>
      </w:r>
      <w:r w:rsidR="0018673D">
        <w:rPr>
          <w:color w:val="000000"/>
        </w:rPr>
        <w:t xml:space="preserve"> </w:t>
      </w:r>
    </w:p>
    <w:p w:rsidR="00FF40AE" w:rsidRDefault="00FF40AE">
      <w:pPr>
        <w:rPr>
          <w:color w:val="000000"/>
        </w:rPr>
      </w:pPr>
    </w:p>
    <w:p w:rsidR="00FF40AE" w:rsidRDefault="00423801">
      <w:pPr>
        <w:rPr>
          <w:color w:val="000000"/>
        </w:rPr>
      </w:pPr>
      <w:r>
        <w:rPr>
          <w:color w:val="000000"/>
        </w:rPr>
        <w:t xml:space="preserve">In its Statement </w:t>
      </w:r>
      <w:r w:rsidR="00994F8B">
        <w:rPr>
          <w:color w:val="000000"/>
        </w:rPr>
        <w:t>in</w:t>
      </w:r>
      <w:r>
        <w:rPr>
          <w:color w:val="000000"/>
        </w:rPr>
        <w:t xml:space="preserve"> Support, Dominion </w:t>
      </w:r>
      <w:r w:rsidR="00994F8B">
        <w:rPr>
          <w:color w:val="000000"/>
        </w:rPr>
        <w:t xml:space="preserve">Retail </w:t>
      </w:r>
      <w:r>
        <w:rPr>
          <w:color w:val="000000"/>
        </w:rPr>
        <w:t>state</w:t>
      </w:r>
      <w:r w:rsidR="00994F8B">
        <w:rPr>
          <w:color w:val="000000"/>
        </w:rPr>
        <w:t>d</w:t>
      </w:r>
      <w:r>
        <w:rPr>
          <w:color w:val="000000"/>
        </w:rPr>
        <w:t xml:space="preserve"> that the specific tariff changes proposed by Peoples “render the provisions of the tariff impr</w:t>
      </w:r>
      <w:r w:rsidR="00DF4ACF">
        <w:rPr>
          <w:color w:val="000000"/>
        </w:rPr>
        <w:t>o</w:t>
      </w:r>
      <w:r>
        <w:rPr>
          <w:color w:val="000000"/>
        </w:rPr>
        <w:t>ved.”</w:t>
      </w:r>
      <w:r w:rsidR="00DF4ACF">
        <w:rPr>
          <w:color w:val="000000"/>
        </w:rPr>
        <w:t xml:space="preserve"> Dominion </w:t>
      </w:r>
      <w:r w:rsidR="00994F8B">
        <w:rPr>
          <w:color w:val="000000"/>
        </w:rPr>
        <w:t xml:space="preserve">Retail </w:t>
      </w:r>
      <w:r w:rsidR="00DF4ACF">
        <w:rPr>
          <w:color w:val="000000"/>
        </w:rPr>
        <w:t xml:space="preserve">Statement </w:t>
      </w:r>
      <w:r w:rsidR="00994F8B">
        <w:rPr>
          <w:color w:val="000000"/>
        </w:rPr>
        <w:t>in</w:t>
      </w:r>
      <w:r w:rsidR="00DF4ACF">
        <w:rPr>
          <w:color w:val="000000"/>
        </w:rPr>
        <w:t xml:space="preserve"> Support at 1.  We concur with the Parties </w:t>
      </w:r>
      <w:r w:rsidR="00394C5A">
        <w:rPr>
          <w:color w:val="000000"/>
        </w:rPr>
        <w:t xml:space="preserve">that </w:t>
      </w:r>
      <w:r w:rsidR="00DF4ACF">
        <w:rPr>
          <w:color w:val="000000"/>
        </w:rPr>
        <w:t>the instant issues re</w:t>
      </w:r>
      <w:r w:rsidR="00D16E8B">
        <w:rPr>
          <w:color w:val="000000"/>
        </w:rPr>
        <w:t xml:space="preserve">lated </w:t>
      </w:r>
      <w:r w:rsidR="00DF4ACF">
        <w:rPr>
          <w:color w:val="000000"/>
        </w:rPr>
        <w:t xml:space="preserve">to balancing of deliveries on Peoples’ system </w:t>
      </w:r>
      <w:r w:rsidR="00CE294A">
        <w:rPr>
          <w:color w:val="000000"/>
        </w:rPr>
        <w:t xml:space="preserve">is more appropriately addressed in the Commission’s rulemaking, </w:t>
      </w:r>
      <w:r w:rsidR="00CE294A" w:rsidRPr="00CE294A">
        <w:rPr>
          <w:i/>
          <w:color w:val="000000"/>
        </w:rPr>
        <w:t>supr</w:t>
      </w:r>
      <w:r w:rsidR="00994F8B">
        <w:rPr>
          <w:i/>
          <w:color w:val="000000"/>
        </w:rPr>
        <w:t>a</w:t>
      </w:r>
      <w:r w:rsidR="00CE294A">
        <w:rPr>
          <w:i/>
          <w:color w:val="000000"/>
        </w:rPr>
        <w:t xml:space="preserve">.  </w:t>
      </w:r>
      <w:r w:rsidR="00CE294A" w:rsidRPr="00CE294A">
        <w:rPr>
          <w:color w:val="000000"/>
        </w:rPr>
        <w:t>We also find</w:t>
      </w:r>
      <w:r w:rsidR="00CE294A">
        <w:rPr>
          <w:i/>
          <w:color w:val="000000"/>
        </w:rPr>
        <w:t xml:space="preserve"> </w:t>
      </w:r>
      <w:r w:rsidR="00CE294A" w:rsidRPr="00CE294A">
        <w:rPr>
          <w:color w:val="000000"/>
        </w:rPr>
        <w:t>the interim changes proposed by Pe</w:t>
      </w:r>
      <w:r w:rsidR="00CE294A">
        <w:rPr>
          <w:color w:val="000000"/>
        </w:rPr>
        <w:t>o</w:t>
      </w:r>
      <w:r w:rsidR="00CE294A" w:rsidRPr="00CE294A">
        <w:rPr>
          <w:color w:val="000000"/>
        </w:rPr>
        <w:t xml:space="preserve">ples </w:t>
      </w:r>
      <w:r w:rsidR="00CE294A">
        <w:rPr>
          <w:color w:val="000000"/>
        </w:rPr>
        <w:t>to be reasonable</w:t>
      </w:r>
      <w:r w:rsidR="00F428B3">
        <w:rPr>
          <w:color w:val="000000"/>
        </w:rPr>
        <w:t>.</w:t>
      </w:r>
    </w:p>
    <w:p w:rsidR="00FF40AE" w:rsidRDefault="00FF40AE">
      <w:pPr>
        <w:keepNext/>
        <w:rPr>
          <w:color w:val="000000"/>
        </w:rPr>
      </w:pPr>
    </w:p>
    <w:p w:rsidR="00FF40AE" w:rsidRDefault="00F428B3">
      <w:pPr>
        <w:pStyle w:val="Heading3"/>
      </w:pPr>
      <w:bookmarkStart w:id="14" w:name="_Toc271015519"/>
      <w:r>
        <w:t xml:space="preserve">7. </w:t>
      </w:r>
      <w:r w:rsidR="001A2D97">
        <w:t xml:space="preserve"> </w:t>
      </w:r>
      <w:r>
        <w:t>Price to Compare</w:t>
      </w:r>
      <w:bookmarkEnd w:id="14"/>
    </w:p>
    <w:p w:rsidR="00FF40AE" w:rsidRDefault="00FF40AE">
      <w:pPr>
        <w:keepNext/>
      </w:pPr>
    </w:p>
    <w:p w:rsidR="00FF40AE" w:rsidRDefault="00CE7EA2">
      <w:pPr>
        <w:keepNext/>
      </w:pPr>
      <w:r>
        <w:t xml:space="preserve">In his direct testimony, Dominion </w:t>
      </w:r>
      <w:r w:rsidR="00CA39EB">
        <w:t xml:space="preserve">Retail </w:t>
      </w:r>
      <w:r>
        <w:t xml:space="preserve">witness </w:t>
      </w:r>
      <w:r w:rsidR="00592F0F">
        <w:t xml:space="preserve">Mr. </w:t>
      </w:r>
      <w:r>
        <w:t>Butler argue</w:t>
      </w:r>
      <w:r w:rsidR="00994F8B">
        <w:t>d</w:t>
      </w:r>
      <w:r>
        <w:t xml:space="preserve"> that Peoples, like other gas utilities in Pennsylvania, </w:t>
      </w:r>
      <w:r w:rsidR="003C6C91">
        <w:t>advertises its price-to-compare (PTC) for shopping customers as being equal to its current gas costs.  He aver</w:t>
      </w:r>
      <w:r w:rsidR="00994F8B">
        <w:t>red</w:t>
      </w:r>
      <w:r w:rsidR="003C6C91">
        <w:t xml:space="preserve"> that Peoples does not include its prior period gas cost adjustment </w:t>
      </w:r>
      <w:r w:rsidR="0073264C">
        <w:t>in its PTC and is presenting shopping customers with an apples-to-oranges comparison.</w:t>
      </w:r>
      <w:r w:rsidR="00D97ECE">
        <w:t xml:space="preserve">  Mr. Butler state</w:t>
      </w:r>
      <w:r w:rsidR="00CA39EB">
        <w:t>d</w:t>
      </w:r>
      <w:r w:rsidR="00D97ECE">
        <w:t xml:space="preserve"> that Peoples has historically </w:t>
      </w:r>
      <w:r w:rsidR="002543FA">
        <w:t>under collected</w:t>
      </w:r>
      <w:r w:rsidR="00D97ECE">
        <w:t xml:space="preserve"> its gas costs</w:t>
      </w:r>
      <w:r w:rsidR="00AC5EDD">
        <w:t>,</w:t>
      </w:r>
      <w:r w:rsidR="00D97ECE">
        <w:t xml:space="preserve"> and current-year customers shopping for prices among suppliers and Peoples will have no idea that </w:t>
      </w:r>
      <w:r w:rsidR="00AC5EDD">
        <w:t xml:space="preserve">they </w:t>
      </w:r>
      <w:r w:rsidR="00D97ECE">
        <w:t>are actually paying an adjustment to c</w:t>
      </w:r>
      <w:r w:rsidR="00E65FC4">
        <w:t>o</w:t>
      </w:r>
      <w:r w:rsidR="00D97ECE">
        <w:t xml:space="preserve">ver prior-year </w:t>
      </w:r>
      <w:r w:rsidR="003C760F">
        <w:t xml:space="preserve">under collections.  Dominion </w:t>
      </w:r>
      <w:r w:rsidR="00CA39EB">
        <w:t xml:space="preserve">Retail </w:t>
      </w:r>
      <w:r w:rsidR="003C760F">
        <w:t xml:space="preserve">Statement No. 1 at </w:t>
      </w:r>
      <w:r w:rsidR="00394C5A">
        <w:t>8</w:t>
      </w:r>
      <w:r w:rsidR="00394C5A">
        <w:noBreakHyphen/>
      </w:r>
      <w:r w:rsidR="003C760F">
        <w:t xml:space="preserve">9. </w:t>
      </w:r>
    </w:p>
    <w:p w:rsidR="00FF40AE" w:rsidRDefault="00FF40AE"/>
    <w:p w:rsidR="00FF40AE" w:rsidRDefault="003C760F">
      <w:pPr>
        <w:rPr>
          <w:color w:val="000000"/>
        </w:rPr>
      </w:pPr>
      <w:r>
        <w:t xml:space="preserve">In the Settlement Agreement, the Parties </w:t>
      </w:r>
      <w:r w:rsidR="00E65FC4">
        <w:t xml:space="preserve">agreed that this issue </w:t>
      </w:r>
      <w:r w:rsidR="00AC5EDD">
        <w:t xml:space="preserve">should </w:t>
      </w:r>
      <w:r w:rsidR="00E65FC4">
        <w:t xml:space="preserve">be </w:t>
      </w:r>
      <w:r w:rsidR="007E7FE6">
        <w:t>deferred</w:t>
      </w:r>
      <w:r w:rsidR="00E65FC4">
        <w:t xml:space="preserve"> to the ongoing rulemaking proceeding at </w:t>
      </w:r>
      <w:r w:rsidR="00E65FC4">
        <w:rPr>
          <w:color w:val="000000"/>
        </w:rPr>
        <w:t xml:space="preserve">Docket No. L-2009-2069117.  Settlement Agreement at 17.  We agree.  </w:t>
      </w:r>
      <w:r w:rsidR="007E7FE6">
        <w:rPr>
          <w:color w:val="000000"/>
        </w:rPr>
        <w:t xml:space="preserve">Since Peoples is using the same components to represent its PTC as the other </w:t>
      </w:r>
      <w:r w:rsidR="007B07B7">
        <w:rPr>
          <w:color w:val="000000"/>
        </w:rPr>
        <w:t>natural gas distribution companies (</w:t>
      </w:r>
      <w:r w:rsidR="007E7FE6">
        <w:rPr>
          <w:color w:val="000000"/>
        </w:rPr>
        <w:t>NGDCs</w:t>
      </w:r>
      <w:r w:rsidR="007B07B7">
        <w:rPr>
          <w:color w:val="000000"/>
        </w:rPr>
        <w:t>)</w:t>
      </w:r>
      <w:r w:rsidR="007E7FE6">
        <w:rPr>
          <w:color w:val="000000"/>
        </w:rPr>
        <w:t xml:space="preserve"> in the Commonwealth, the rulemaking is the </w:t>
      </w:r>
      <w:r w:rsidR="00CE5331">
        <w:rPr>
          <w:color w:val="000000"/>
        </w:rPr>
        <w:t xml:space="preserve">proper forum for this issue. </w:t>
      </w:r>
      <w:r w:rsidR="007E7FE6">
        <w:rPr>
          <w:color w:val="000000"/>
        </w:rPr>
        <w:t xml:space="preserve"> </w:t>
      </w:r>
    </w:p>
    <w:p w:rsidR="00FF40AE" w:rsidRDefault="00FF40AE">
      <w:pPr>
        <w:rPr>
          <w:color w:val="000000"/>
        </w:rPr>
      </w:pPr>
    </w:p>
    <w:p w:rsidR="00FF40AE" w:rsidRDefault="002543FA">
      <w:pPr>
        <w:pStyle w:val="Heading3"/>
      </w:pPr>
      <w:bookmarkStart w:id="15" w:name="_Toc271015520"/>
      <w:r>
        <w:t xml:space="preserve">8. </w:t>
      </w:r>
      <w:r w:rsidR="001A2D97">
        <w:t xml:space="preserve"> </w:t>
      </w:r>
      <w:r w:rsidR="00F45EA5">
        <w:t>EIA Reporting Issue</w:t>
      </w:r>
      <w:bookmarkEnd w:id="15"/>
    </w:p>
    <w:p w:rsidR="00FF40AE" w:rsidRDefault="00FF40AE">
      <w:pPr>
        <w:rPr>
          <w:color w:val="000000"/>
        </w:rPr>
      </w:pPr>
    </w:p>
    <w:p w:rsidR="00FF40AE" w:rsidRDefault="0069513E">
      <w:pPr>
        <w:rPr>
          <w:szCs w:val="26"/>
        </w:rPr>
      </w:pPr>
      <w:r w:rsidRPr="0069513E">
        <w:rPr>
          <w:szCs w:val="26"/>
        </w:rPr>
        <w:t xml:space="preserve">As explained by </w:t>
      </w:r>
      <w:r w:rsidR="00D061EE">
        <w:rPr>
          <w:szCs w:val="26"/>
        </w:rPr>
        <w:t xml:space="preserve">the </w:t>
      </w:r>
      <w:r w:rsidRPr="0069513E">
        <w:rPr>
          <w:szCs w:val="26"/>
        </w:rPr>
        <w:t xml:space="preserve">OSBA’s </w:t>
      </w:r>
      <w:r>
        <w:rPr>
          <w:szCs w:val="26"/>
        </w:rPr>
        <w:t xml:space="preserve">witness </w:t>
      </w:r>
      <w:r w:rsidR="00592F0F">
        <w:rPr>
          <w:szCs w:val="26"/>
        </w:rPr>
        <w:t xml:space="preserve">Mr. </w:t>
      </w:r>
      <w:r>
        <w:rPr>
          <w:szCs w:val="26"/>
        </w:rPr>
        <w:t>Kal</w:t>
      </w:r>
      <w:r w:rsidR="00072DA1">
        <w:rPr>
          <w:szCs w:val="26"/>
        </w:rPr>
        <w:t>c</w:t>
      </w:r>
      <w:r>
        <w:rPr>
          <w:szCs w:val="26"/>
        </w:rPr>
        <w:t xml:space="preserve">ic, </w:t>
      </w:r>
      <w:r w:rsidR="000A3232">
        <w:rPr>
          <w:szCs w:val="26"/>
        </w:rPr>
        <w:t xml:space="preserve">in the </w:t>
      </w:r>
      <w:r w:rsidR="00592F0F">
        <w:rPr>
          <w:szCs w:val="26"/>
        </w:rPr>
        <w:t xml:space="preserve">Peoples 2005 1307(f) </w:t>
      </w:r>
      <w:r w:rsidR="000A3232">
        <w:rPr>
          <w:szCs w:val="26"/>
        </w:rPr>
        <w:t>proceeding</w:t>
      </w:r>
      <w:r w:rsidR="00592F0F">
        <w:rPr>
          <w:szCs w:val="26"/>
        </w:rPr>
        <w:t xml:space="preserve">, </w:t>
      </w:r>
      <w:r w:rsidR="00D061EE">
        <w:rPr>
          <w:szCs w:val="26"/>
        </w:rPr>
        <w:t xml:space="preserve">the </w:t>
      </w:r>
      <w:r>
        <w:rPr>
          <w:szCs w:val="26"/>
        </w:rPr>
        <w:t xml:space="preserve">OSBA </w:t>
      </w:r>
      <w:r w:rsidR="00E92703">
        <w:rPr>
          <w:szCs w:val="26"/>
        </w:rPr>
        <w:t xml:space="preserve">originally sought recovery of excess purchased gas costs incurred by Dominion Peoples sales customers </w:t>
      </w:r>
      <w:r w:rsidR="000A3232">
        <w:rPr>
          <w:szCs w:val="26"/>
        </w:rPr>
        <w:t xml:space="preserve">that </w:t>
      </w:r>
      <w:r w:rsidR="00E92703">
        <w:rPr>
          <w:szCs w:val="26"/>
        </w:rPr>
        <w:t>result</w:t>
      </w:r>
      <w:r w:rsidR="000A3232">
        <w:rPr>
          <w:szCs w:val="26"/>
        </w:rPr>
        <w:t>ed</w:t>
      </w:r>
      <w:r w:rsidR="00E92703">
        <w:rPr>
          <w:szCs w:val="26"/>
        </w:rPr>
        <w:t xml:space="preserve"> </w:t>
      </w:r>
      <w:r w:rsidR="000A3232">
        <w:rPr>
          <w:szCs w:val="26"/>
        </w:rPr>
        <w:t>from a</w:t>
      </w:r>
      <w:r w:rsidR="00E92703">
        <w:rPr>
          <w:szCs w:val="26"/>
        </w:rPr>
        <w:t xml:space="preserve"> spike in natural gas market prices caused by a reporting error by Dominion Transmission, Inc</w:t>
      </w:r>
      <w:r w:rsidR="00A0004F">
        <w:rPr>
          <w:szCs w:val="26"/>
        </w:rPr>
        <w:t>.</w:t>
      </w:r>
      <w:r w:rsidR="00F06A21">
        <w:rPr>
          <w:szCs w:val="26"/>
        </w:rPr>
        <w:t xml:space="preserve"> (DTI)</w:t>
      </w:r>
      <w:r w:rsidR="00E92703">
        <w:rPr>
          <w:szCs w:val="26"/>
        </w:rPr>
        <w:t xml:space="preserve">. </w:t>
      </w:r>
      <w:r w:rsidR="000A3232">
        <w:rPr>
          <w:szCs w:val="26"/>
        </w:rPr>
        <w:t xml:space="preserve"> </w:t>
      </w:r>
      <w:r w:rsidR="00B64219">
        <w:rPr>
          <w:szCs w:val="26"/>
        </w:rPr>
        <w:t xml:space="preserve">        </w:t>
      </w:r>
      <w:r w:rsidR="00B111FC">
        <w:rPr>
          <w:szCs w:val="26"/>
        </w:rPr>
        <w:t>Pa.</w:t>
      </w:r>
      <w:r w:rsidR="0020269A">
        <w:rPr>
          <w:szCs w:val="26"/>
        </w:rPr>
        <w:t xml:space="preserve"> </w:t>
      </w:r>
      <w:r w:rsidR="00B111FC">
        <w:rPr>
          <w:szCs w:val="26"/>
        </w:rPr>
        <w:t>PUC</w:t>
      </w:r>
      <w:r w:rsidR="00A0004F">
        <w:rPr>
          <w:szCs w:val="26"/>
        </w:rPr>
        <w:t>,</w:t>
      </w:r>
      <w:r w:rsidR="00B111FC">
        <w:rPr>
          <w:szCs w:val="26"/>
        </w:rPr>
        <w:t xml:space="preserve"> et al., v. </w:t>
      </w:r>
      <w:r w:rsidR="00B111FC" w:rsidRPr="00B111FC">
        <w:rPr>
          <w:i/>
          <w:szCs w:val="26"/>
        </w:rPr>
        <w:t>The Peoples Natural Gas Company d/b/a/ Dominion Peoples</w:t>
      </w:r>
      <w:r w:rsidR="00B111FC">
        <w:rPr>
          <w:szCs w:val="26"/>
        </w:rPr>
        <w:t>, Docket No. R-20050267 (Order entered September 30, 2005)</w:t>
      </w:r>
      <w:r w:rsidR="00AC5EDD">
        <w:rPr>
          <w:szCs w:val="26"/>
        </w:rPr>
        <w:t>.</w:t>
      </w:r>
      <w:r w:rsidR="00B111FC">
        <w:rPr>
          <w:szCs w:val="26"/>
        </w:rPr>
        <w:t xml:space="preserve">  </w:t>
      </w:r>
      <w:r w:rsidR="00F06A21">
        <w:rPr>
          <w:szCs w:val="26"/>
        </w:rPr>
        <w:t>Mr. Kal</w:t>
      </w:r>
      <w:r w:rsidR="00072DA1">
        <w:rPr>
          <w:szCs w:val="26"/>
        </w:rPr>
        <w:t>c</w:t>
      </w:r>
      <w:r w:rsidR="00F06A21">
        <w:rPr>
          <w:szCs w:val="26"/>
        </w:rPr>
        <w:t>i</w:t>
      </w:r>
      <w:r w:rsidR="00072DA1">
        <w:rPr>
          <w:szCs w:val="26"/>
        </w:rPr>
        <w:t>c</w:t>
      </w:r>
      <w:r w:rsidR="00F06A21">
        <w:rPr>
          <w:szCs w:val="26"/>
        </w:rPr>
        <w:t xml:space="preserve"> submitted that i</w:t>
      </w:r>
      <w:r w:rsidR="00A608B6">
        <w:rPr>
          <w:szCs w:val="26"/>
        </w:rPr>
        <w:t>n th</w:t>
      </w:r>
      <w:r w:rsidR="00AC5EDD">
        <w:rPr>
          <w:szCs w:val="26"/>
        </w:rPr>
        <w:t>at</w:t>
      </w:r>
      <w:r w:rsidR="00A608B6">
        <w:rPr>
          <w:szCs w:val="26"/>
        </w:rPr>
        <w:t xml:space="preserve"> Opinion and Order</w:t>
      </w:r>
      <w:r w:rsidR="00AC5EDD">
        <w:rPr>
          <w:szCs w:val="26"/>
        </w:rPr>
        <w:t>,</w:t>
      </w:r>
      <w:r w:rsidR="00A608B6">
        <w:rPr>
          <w:szCs w:val="26"/>
        </w:rPr>
        <w:t xml:space="preserve"> the </w:t>
      </w:r>
      <w:r w:rsidR="00F06A21">
        <w:rPr>
          <w:szCs w:val="26"/>
        </w:rPr>
        <w:t>Commission</w:t>
      </w:r>
      <w:r w:rsidR="00A608B6">
        <w:rPr>
          <w:szCs w:val="26"/>
        </w:rPr>
        <w:t xml:space="preserve"> directed Dominion Peoples to actively seek to recover from its suppliers th</w:t>
      </w:r>
      <w:r w:rsidR="00AC5EDD">
        <w:rPr>
          <w:szCs w:val="26"/>
        </w:rPr>
        <w:t>e</w:t>
      </w:r>
      <w:r w:rsidR="00A608B6">
        <w:rPr>
          <w:szCs w:val="26"/>
        </w:rPr>
        <w:t xml:space="preserve"> amounts paid for gas supplies that were in excess of </w:t>
      </w:r>
      <w:r w:rsidR="00A608B6">
        <w:rPr>
          <w:szCs w:val="26"/>
        </w:rPr>
        <w:lastRenderedPageBreak/>
        <w:t xml:space="preserve">reasonably anticipated prices as a result </w:t>
      </w:r>
      <w:r w:rsidR="00F06A21">
        <w:rPr>
          <w:szCs w:val="26"/>
        </w:rPr>
        <w:t>of the DTI reporting error</w:t>
      </w:r>
      <w:r w:rsidR="00475083">
        <w:rPr>
          <w:szCs w:val="26"/>
        </w:rPr>
        <w:t xml:space="preserve"> to the Energy Information </w:t>
      </w:r>
      <w:r w:rsidR="00152A12">
        <w:rPr>
          <w:szCs w:val="26"/>
        </w:rPr>
        <w:t>Administration (EIA)</w:t>
      </w:r>
      <w:r w:rsidR="00F06A21">
        <w:rPr>
          <w:szCs w:val="26"/>
        </w:rPr>
        <w:t>.  Mr. Kal</w:t>
      </w:r>
      <w:r w:rsidR="00171AA2">
        <w:rPr>
          <w:szCs w:val="26"/>
        </w:rPr>
        <w:t>c</w:t>
      </w:r>
      <w:r w:rsidR="00F06A21">
        <w:rPr>
          <w:szCs w:val="26"/>
        </w:rPr>
        <w:t xml:space="preserve">ic also pointed out </w:t>
      </w:r>
      <w:r w:rsidR="00AC5EDD">
        <w:rPr>
          <w:szCs w:val="26"/>
        </w:rPr>
        <w:t xml:space="preserve">that </w:t>
      </w:r>
      <w:r w:rsidR="00F06A21">
        <w:rPr>
          <w:szCs w:val="26"/>
        </w:rPr>
        <w:t xml:space="preserve">in the </w:t>
      </w:r>
      <w:r w:rsidR="00B82DBF">
        <w:rPr>
          <w:szCs w:val="26"/>
        </w:rPr>
        <w:t>Settlement</w:t>
      </w:r>
      <w:r w:rsidR="00F06A21">
        <w:rPr>
          <w:szCs w:val="26"/>
        </w:rPr>
        <w:t xml:space="preserve"> Agreement </w:t>
      </w:r>
      <w:r w:rsidR="00B82DBF">
        <w:rPr>
          <w:szCs w:val="26"/>
        </w:rPr>
        <w:t>approved by the Commission in Dominion Peoples’ 2009 1307(f) proceeding, provided for the following:</w:t>
      </w:r>
    </w:p>
    <w:p w:rsidR="00FF40AE" w:rsidRDefault="00FF40AE">
      <w:pPr>
        <w:rPr>
          <w:szCs w:val="26"/>
        </w:rPr>
      </w:pPr>
    </w:p>
    <w:p w:rsidR="00FF40AE" w:rsidRDefault="00B82DBF">
      <w:pPr>
        <w:spacing w:line="240" w:lineRule="auto"/>
        <w:ind w:left="1440" w:right="1440" w:firstLine="0"/>
        <w:rPr>
          <w:szCs w:val="26"/>
        </w:rPr>
      </w:pPr>
      <w:r>
        <w:rPr>
          <w:szCs w:val="26"/>
        </w:rPr>
        <w:t>Dominion Peoples will continue to m</w:t>
      </w:r>
      <w:r w:rsidR="002144EA">
        <w:rPr>
          <w:szCs w:val="26"/>
        </w:rPr>
        <w:t>o</w:t>
      </w:r>
      <w:r>
        <w:rPr>
          <w:szCs w:val="26"/>
        </w:rPr>
        <w:t xml:space="preserve">nitor </w:t>
      </w:r>
      <w:r w:rsidR="002144EA">
        <w:rPr>
          <w:szCs w:val="26"/>
        </w:rPr>
        <w:t xml:space="preserve">the status of West Virginia Civil Action No. 05-C-351 related to the Dominion storage reporting error. </w:t>
      </w:r>
      <w:r w:rsidR="00A0004F">
        <w:rPr>
          <w:szCs w:val="26"/>
        </w:rPr>
        <w:t xml:space="preserve"> </w:t>
      </w:r>
      <w:r w:rsidR="002144EA">
        <w:rPr>
          <w:szCs w:val="26"/>
        </w:rPr>
        <w:t>If class action status is granted, Dominion Peoples will seek intervention in such proceeding.</w:t>
      </w:r>
    </w:p>
    <w:p w:rsidR="00FF40AE" w:rsidRDefault="00FF40AE">
      <w:pPr>
        <w:ind w:left="1440" w:right="1440" w:firstLine="0"/>
        <w:rPr>
          <w:szCs w:val="26"/>
        </w:rPr>
      </w:pPr>
    </w:p>
    <w:p w:rsidR="00FF40AE" w:rsidRDefault="008D7060">
      <w:pPr>
        <w:ind w:firstLine="0"/>
        <w:rPr>
          <w:szCs w:val="26"/>
        </w:rPr>
      </w:pPr>
      <w:r>
        <w:rPr>
          <w:szCs w:val="26"/>
        </w:rPr>
        <w:t>Joint Petition for Approval of Settlement Agreement, Docket No. R-2009-20888069. (</w:t>
      </w:r>
      <w:r w:rsidR="003E39D8">
        <w:rPr>
          <w:szCs w:val="26"/>
        </w:rPr>
        <w:t>f</w:t>
      </w:r>
      <w:r>
        <w:rPr>
          <w:szCs w:val="26"/>
        </w:rPr>
        <w:t xml:space="preserve">iled June 23, 2009) at 9.  </w:t>
      </w:r>
      <w:r w:rsidR="0044248B">
        <w:rPr>
          <w:szCs w:val="26"/>
        </w:rPr>
        <w:t>Mr. Kal</w:t>
      </w:r>
      <w:r w:rsidR="00171AA2">
        <w:rPr>
          <w:szCs w:val="26"/>
        </w:rPr>
        <w:t>c</w:t>
      </w:r>
      <w:r w:rsidR="0044248B">
        <w:rPr>
          <w:szCs w:val="26"/>
        </w:rPr>
        <w:t xml:space="preserve">ic </w:t>
      </w:r>
      <w:r w:rsidR="00171AA2">
        <w:rPr>
          <w:szCs w:val="26"/>
        </w:rPr>
        <w:t>stated</w:t>
      </w:r>
      <w:r w:rsidR="0044248B">
        <w:rPr>
          <w:szCs w:val="26"/>
        </w:rPr>
        <w:t xml:space="preserve"> that in response to an interrogatory, Peoples reported that the case is still pending before the United States District Court for the </w:t>
      </w:r>
      <w:r w:rsidR="00B52E91">
        <w:rPr>
          <w:szCs w:val="26"/>
        </w:rPr>
        <w:t>Southern</w:t>
      </w:r>
      <w:r w:rsidR="0044248B">
        <w:rPr>
          <w:szCs w:val="26"/>
        </w:rPr>
        <w:t xml:space="preserve"> District of West Virginia.</w:t>
      </w:r>
      <w:r w:rsidR="00171AA2">
        <w:rPr>
          <w:szCs w:val="26"/>
        </w:rPr>
        <w:t xml:space="preserve"> </w:t>
      </w:r>
      <w:r w:rsidR="0044248B">
        <w:rPr>
          <w:szCs w:val="26"/>
        </w:rPr>
        <w:t xml:space="preserve"> OSBA Statement No. 1 at </w:t>
      </w:r>
      <w:r w:rsidR="00B52E91">
        <w:rPr>
          <w:szCs w:val="26"/>
        </w:rPr>
        <w:t>1-3.</w:t>
      </w:r>
    </w:p>
    <w:p w:rsidR="00FF40AE" w:rsidRDefault="00FF40AE">
      <w:pPr>
        <w:ind w:firstLine="0"/>
        <w:rPr>
          <w:szCs w:val="26"/>
        </w:rPr>
      </w:pPr>
    </w:p>
    <w:p w:rsidR="00FF40AE" w:rsidRDefault="00B52E91">
      <w:pPr>
        <w:rPr>
          <w:szCs w:val="26"/>
        </w:rPr>
      </w:pPr>
      <w:r>
        <w:rPr>
          <w:szCs w:val="26"/>
        </w:rPr>
        <w:t xml:space="preserve">In light of the fact that the status of the case before the United States District Court has not changed, the Settlement Agreement states that Peoples will continue to monitor the status of </w:t>
      </w:r>
      <w:r w:rsidR="00475083">
        <w:rPr>
          <w:szCs w:val="26"/>
        </w:rPr>
        <w:t xml:space="preserve">West Virginia Civil Action No. 05-C-351, and if class action status is granted, Peoples will seek intervention in that proceeding.  </w:t>
      </w:r>
      <w:r w:rsidR="00152A12">
        <w:rPr>
          <w:szCs w:val="26"/>
        </w:rPr>
        <w:t>Settlement Agreement at 11.  Since there has not been a change in the status of the civil action, we find that it is appropriate to continue to include this requirement in th</w:t>
      </w:r>
      <w:r w:rsidR="003E39D8">
        <w:rPr>
          <w:szCs w:val="26"/>
        </w:rPr>
        <w:t>is</w:t>
      </w:r>
      <w:r w:rsidR="00152A12">
        <w:rPr>
          <w:szCs w:val="26"/>
        </w:rPr>
        <w:t xml:space="preserve"> Settlement Agreement. </w:t>
      </w:r>
    </w:p>
    <w:p w:rsidR="00FF40AE" w:rsidRDefault="00FF40AE">
      <w:pPr>
        <w:spacing w:line="240" w:lineRule="auto"/>
        <w:ind w:left="1440" w:right="1440" w:firstLine="0"/>
        <w:rPr>
          <w:szCs w:val="26"/>
        </w:rPr>
      </w:pPr>
    </w:p>
    <w:p w:rsidR="00FF40AE" w:rsidRDefault="003E1C19">
      <w:pPr>
        <w:pStyle w:val="Heading2"/>
      </w:pPr>
      <w:bookmarkStart w:id="16" w:name="_Toc271015521"/>
      <w:r>
        <w:t>B.</w:t>
      </w:r>
      <w:r w:rsidR="00A56D3B">
        <w:t xml:space="preserve">  </w:t>
      </w:r>
      <w:r>
        <w:t>Exceptions to the Recommended Decision</w:t>
      </w:r>
      <w:bookmarkEnd w:id="16"/>
    </w:p>
    <w:p w:rsidR="00FF40AE" w:rsidRDefault="00FF40AE"/>
    <w:p w:rsidR="00FF40AE" w:rsidRDefault="00967B12">
      <w:r>
        <w:t xml:space="preserve">Issues related to LUFG and retainage rates for transportation customers were carved out of the </w:t>
      </w:r>
      <w:r w:rsidR="00B25731">
        <w:t xml:space="preserve">Settlement Agreement for further litigation.  Issues related to the same two matters were also addressed in the Exceptions to the Recommended Decision. </w:t>
      </w:r>
    </w:p>
    <w:p w:rsidR="00FF40AE" w:rsidRDefault="00FF40AE">
      <w:pPr>
        <w:keepNext/>
        <w:rPr>
          <w:szCs w:val="26"/>
        </w:rPr>
      </w:pPr>
    </w:p>
    <w:p w:rsidR="00FF40AE" w:rsidRDefault="003E1C19">
      <w:pPr>
        <w:rPr>
          <w:szCs w:val="26"/>
        </w:rPr>
      </w:pPr>
      <w:r w:rsidRPr="00183AB4">
        <w:rPr>
          <w:szCs w:val="26"/>
        </w:rPr>
        <w:t xml:space="preserve">Any issue or Exception that we do not specifically address has been duly considered and will be denied without further discussion.  It is well settled that we are not </w:t>
      </w:r>
      <w:r w:rsidRPr="00183AB4">
        <w:rPr>
          <w:szCs w:val="26"/>
        </w:rPr>
        <w:lastRenderedPageBreak/>
        <w:t xml:space="preserve">required to consider, expressly or at length, each contention or argument raised by the parties.  </w:t>
      </w:r>
      <w:r w:rsidR="00BE45F4">
        <w:rPr>
          <w:i/>
          <w:szCs w:val="26"/>
        </w:rPr>
        <w:t xml:space="preserve">Consolidated Rail Corporation </w:t>
      </w:r>
      <w:r w:rsidRPr="00183AB4">
        <w:rPr>
          <w:i/>
          <w:szCs w:val="26"/>
        </w:rPr>
        <w:t>v. Pennsylvania Public Utility Commission</w:t>
      </w:r>
      <w:r w:rsidRPr="00183AB4">
        <w:rPr>
          <w:szCs w:val="26"/>
        </w:rPr>
        <w:t>, 625</w:t>
      </w:r>
      <w:r w:rsidR="00BE45F4">
        <w:rPr>
          <w:szCs w:val="26"/>
        </w:rPr>
        <w:t xml:space="preserve"> </w:t>
      </w:r>
      <w:r w:rsidRPr="00183AB4">
        <w:rPr>
          <w:szCs w:val="26"/>
        </w:rPr>
        <w:t xml:space="preserve">A.2d 741 (Pa. Cmwlth. 1993); </w:t>
      </w:r>
      <w:r w:rsidRPr="00183AB4">
        <w:rPr>
          <w:i/>
          <w:szCs w:val="26"/>
        </w:rPr>
        <w:t>see also</w:t>
      </w:r>
      <w:r w:rsidRPr="00183AB4">
        <w:rPr>
          <w:szCs w:val="26"/>
        </w:rPr>
        <w:t xml:space="preserve">, </w:t>
      </w:r>
      <w:r w:rsidRPr="00183AB4">
        <w:rPr>
          <w:i/>
          <w:szCs w:val="26"/>
        </w:rPr>
        <w:t>generally</w:t>
      </w:r>
      <w:r w:rsidRPr="00183AB4">
        <w:rPr>
          <w:szCs w:val="26"/>
        </w:rPr>
        <w:t xml:space="preserve">, </w:t>
      </w:r>
      <w:r w:rsidRPr="00183AB4">
        <w:rPr>
          <w:i/>
          <w:szCs w:val="26"/>
        </w:rPr>
        <w:t>University of Pennsylvania</w:t>
      </w:r>
      <w:r w:rsidR="00BE45F4">
        <w:rPr>
          <w:i/>
          <w:szCs w:val="26"/>
        </w:rPr>
        <w:t xml:space="preserve"> </w:t>
      </w:r>
      <w:r w:rsidRPr="00183AB4">
        <w:rPr>
          <w:i/>
          <w:szCs w:val="26"/>
        </w:rPr>
        <w:t>v. Pa. PUC</w:t>
      </w:r>
      <w:r w:rsidRPr="00183AB4">
        <w:rPr>
          <w:szCs w:val="26"/>
        </w:rPr>
        <w:t>, 485A.2d 1217 (Pa. Cmwlth. 1984).</w:t>
      </w:r>
    </w:p>
    <w:p w:rsidR="00FF40AE" w:rsidRDefault="00FF40AE"/>
    <w:p w:rsidR="00FF40AE" w:rsidRDefault="000B662D">
      <w:pPr>
        <w:pStyle w:val="Heading3"/>
      </w:pPr>
      <w:bookmarkStart w:id="17" w:name="_Toc271015522"/>
      <w:r>
        <w:t xml:space="preserve">1. </w:t>
      </w:r>
      <w:r w:rsidR="00A56D3B">
        <w:t xml:space="preserve"> </w:t>
      </w:r>
      <w:r w:rsidR="006B727B">
        <w:t>Lost and Unaccounted for Gas (LUFG)</w:t>
      </w:r>
      <w:bookmarkEnd w:id="17"/>
      <w:r w:rsidR="006B727B">
        <w:t xml:space="preserve"> </w:t>
      </w:r>
      <w:r w:rsidR="00A77B3F">
        <w:t xml:space="preserve"> </w:t>
      </w:r>
    </w:p>
    <w:p w:rsidR="00FF40AE" w:rsidRDefault="00FF40AE"/>
    <w:p w:rsidR="00FF40AE" w:rsidRDefault="00CC4BEF">
      <w:pPr>
        <w:pStyle w:val="Heading4"/>
      </w:pPr>
      <w:bookmarkStart w:id="18" w:name="_Toc271015523"/>
      <w:r>
        <w:t xml:space="preserve">(a) </w:t>
      </w:r>
      <w:r w:rsidR="00A56D3B">
        <w:t xml:space="preserve"> </w:t>
      </w:r>
      <w:r>
        <w:t>Prior Commission Proceedings</w:t>
      </w:r>
      <w:bookmarkEnd w:id="18"/>
    </w:p>
    <w:p w:rsidR="00FF40AE" w:rsidRDefault="00FF40AE"/>
    <w:p w:rsidR="00FF40AE" w:rsidRDefault="00CC5054">
      <w:r>
        <w:t xml:space="preserve">Before addressing the issues related to LUFG in this proceeding, </w:t>
      </w:r>
      <w:r w:rsidR="00440E57">
        <w:t xml:space="preserve">we </w:t>
      </w:r>
      <w:r w:rsidR="00CF6F5C">
        <w:t xml:space="preserve">find that it would be beneficial to review the results of the Commission proceedings that addressed Peoples’ LUFG over the past two years. </w:t>
      </w:r>
    </w:p>
    <w:p w:rsidR="00FF40AE" w:rsidRDefault="00FF40AE"/>
    <w:p w:rsidR="00FF40AE" w:rsidRDefault="00E55448">
      <w:pPr>
        <w:pStyle w:val="Heading5"/>
      </w:pPr>
      <w:r w:rsidRPr="00E55448">
        <w:t xml:space="preserve">2008 1307(f) </w:t>
      </w:r>
      <w:r w:rsidR="00C821B0">
        <w:t>Proceeding</w:t>
      </w:r>
    </w:p>
    <w:p w:rsidR="00FF40AE" w:rsidRDefault="00FF40AE"/>
    <w:p w:rsidR="00FF40AE" w:rsidRDefault="00E55448">
      <w:pPr>
        <w:rPr>
          <w:i/>
        </w:rPr>
      </w:pPr>
      <w:r>
        <w:t>By Order entered August 22, 2008</w:t>
      </w:r>
      <w:r w:rsidR="00FD1084">
        <w:t>,</w:t>
      </w:r>
      <w:r>
        <w:t xml:space="preserve"> the Commission a</w:t>
      </w:r>
      <w:r w:rsidR="0053246D">
        <w:t xml:space="preserve">pproved, without modification, </w:t>
      </w:r>
      <w:r>
        <w:t xml:space="preserve">the Joint </w:t>
      </w:r>
      <w:r w:rsidR="0053246D">
        <w:t xml:space="preserve">Petition for Approval </w:t>
      </w:r>
      <w:r w:rsidR="00171AA2">
        <w:t>of</w:t>
      </w:r>
      <w:r w:rsidR="0053246D">
        <w:t xml:space="preserve"> Settlement (2008 Settlement Agreement)</w:t>
      </w:r>
      <w:r w:rsidR="00C821B0">
        <w:t xml:space="preserve"> </w:t>
      </w:r>
      <w:r w:rsidR="003F3CB4">
        <w:t>of the investigation into Dominion Peoples</w:t>
      </w:r>
      <w:r w:rsidR="00C821B0">
        <w:t>’</w:t>
      </w:r>
      <w:r w:rsidR="003F3CB4">
        <w:rPr>
          <w:rStyle w:val="FootnoteReference"/>
        </w:rPr>
        <w:footnoteReference w:id="7"/>
      </w:r>
      <w:r w:rsidR="00171AA2">
        <w:t xml:space="preserve"> </w:t>
      </w:r>
      <w:r w:rsidR="00C821B0">
        <w:t>2008 1307(f) filings.</w:t>
      </w:r>
      <w:r w:rsidR="0053246D">
        <w:t xml:space="preserve">  </w:t>
      </w:r>
      <w:r w:rsidR="00704750" w:rsidRPr="00BE45F4">
        <w:rPr>
          <w:i/>
        </w:rPr>
        <w:t xml:space="preserve">Pa. </w:t>
      </w:r>
      <w:r w:rsidR="007C45F7" w:rsidRPr="00BE45F4">
        <w:rPr>
          <w:i/>
        </w:rPr>
        <w:t>PUC</w:t>
      </w:r>
      <w:r w:rsidR="007C45F7" w:rsidRPr="007C45F7">
        <w:rPr>
          <w:i/>
        </w:rPr>
        <w:t>, et al.</w:t>
      </w:r>
      <w:r w:rsidR="00A56D3B">
        <w:rPr>
          <w:i/>
        </w:rPr>
        <w:t>,</w:t>
      </w:r>
      <w:r w:rsidR="007C45F7" w:rsidRPr="007C45F7">
        <w:rPr>
          <w:i/>
        </w:rPr>
        <w:t xml:space="preserve"> v. The Peoples Natural Gas Company d/b/a Dominion Peoples</w:t>
      </w:r>
      <w:r w:rsidR="007C45F7">
        <w:t>, Doc</w:t>
      </w:r>
      <w:r w:rsidR="00704750">
        <w:t>k</w:t>
      </w:r>
      <w:r w:rsidR="007C45F7">
        <w:t xml:space="preserve">et </w:t>
      </w:r>
      <w:r w:rsidR="00704750">
        <w:t>N</w:t>
      </w:r>
      <w:r w:rsidR="007C45F7">
        <w:t xml:space="preserve">o. R-2008-2022206, (Order entered August 22, 2008).  </w:t>
      </w:r>
      <w:r w:rsidR="0053246D">
        <w:t>In the 2008 Settlem</w:t>
      </w:r>
      <w:r w:rsidR="000867A6">
        <w:t xml:space="preserve">ent Agreement, </w:t>
      </w:r>
      <w:r w:rsidR="00E9402E">
        <w:t xml:space="preserve">Dominion </w:t>
      </w:r>
      <w:r w:rsidR="00A516C2">
        <w:t xml:space="preserve">Peoples agreed to immediately initiate steps to monitor LUFG on its gathering system.  </w:t>
      </w:r>
      <w:r w:rsidR="00E9402E">
        <w:t xml:space="preserve">Dominion </w:t>
      </w:r>
      <w:r w:rsidR="00A516C2">
        <w:t xml:space="preserve">Peoples was to begin to quantify LUFG </w:t>
      </w:r>
      <w:r w:rsidR="001E3995">
        <w:t>levels as soon as possible once an initial operational review of its gathering system was conducted.</w:t>
      </w:r>
      <w:r w:rsidR="000867A6">
        <w:t xml:space="preserve"> </w:t>
      </w:r>
      <w:r w:rsidR="001E3995">
        <w:t xml:space="preserve"> The 2008 Settlement Agreement stated</w:t>
      </w:r>
      <w:r w:rsidR="007D5F8F">
        <w:t xml:space="preserve">, </w:t>
      </w:r>
      <w:r w:rsidR="007D5F8F" w:rsidRPr="007D5F8F">
        <w:rPr>
          <w:i/>
        </w:rPr>
        <w:t>inter alia</w:t>
      </w:r>
      <w:r w:rsidR="007D5F8F">
        <w:t xml:space="preserve">, </w:t>
      </w:r>
      <w:r w:rsidR="001E3995">
        <w:t>that this review is needed to separately identify and segment</w:t>
      </w:r>
      <w:r w:rsidR="007D5F8F">
        <w:t>:</w:t>
      </w:r>
    </w:p>
    <w:p w:rsidR="00FF40AE" w:rsidRDefault="00FF40AE">
      <w:pPr>
        <w:rPr>
          <w:i/>
        </w:rPr>
      </w:pPr>
    </w:p>
    <w:p w:rsidR="00FF40AE" w:rsidRDefault="009B7BBB">
      <w:pPr>
        <w:spacing w:line="240" w:lineRule="auto"/>
        <w:ind w:left="1440" w:right="1440" w:firstLine="720"/>
      </w:pPr>
      <w:r>
        <w:lastRenderedPageBreak/>
        <w:t>i</w:t>
      </w:r>
      <w:r w:rsidR="001E3995" w:rsidRPr="001E3995">
        <w:t xml:space="preserve">. </w:t>
      </w:r>
      <w:r w:rsidR="0010691B">
        <w:tab/>
      </w:r>
      <w:r w:rsidR="001E3995">
        <w:t>all gas measure</w:t>
      </w:r>
      <w:r w:rsidR="0010691B">
        <w:t>me</w:t>
      </w:r>
      <w:r w:rsidR="001E3995">
        <w:t>nt points and</w:t>
      </w:r>
      <w:r w:rsidR="0010691B">
        <w:t xml:space="preserve"> associated volumes where gas is delivered from the gathering system into the transmission system;</w:t>
      </w:r>
    </w:p>
    <w:p w:rsidR="00FF40AE" w:rsidRDefault="00FF40AE">
      <w:pPr>
        <w:spacing w:line="240" w:lineRule="auto"/>
        <w:ind w:left="1440" w:right="1440" w:firstLine="720"/>
      </w:pPr>
    </w:p>
    <w:p w:rsidR="00FF40AE" w:rsidRDefault="009B7BBB">
      <w:pPr>
        <w:spacing w:line="240" w:lineRule="auto"/>
        <w:ind w:left="1440" w:right="1440" w:firstLine="720"/>
      </w:pPr>
      <w:r>
        <w:t>ii</w:t>
      </w:r>
      <w:r w:rsidR="0010691B">
        <w:t>.</w:t>
      </w:r>
      <w:r w:rsidR="0010691B">
        <w:tab/>
        <w:t xml:space="preserve"> all end use customers and associated volumes that</w:t>
      </w:r>
      <w:r w:rsidR="00CB34A3">
        <w:t xml:space="preserve"> </w:t>
      </w:r>
      <w:r w:rsidR="0010691B">
        <w:t>a</w:t>
      </w:r>
      <w:r w:rsidR="00CB34A3">
        <w:t>r</w:t>
      </w:r>
      <w:r w:rsidR="0010691B">
        <w:t>e located on the gathering system; and</w:t>
      </w:r>
    </w:p>
    <w:p w:rsidR="00FF40AE" w:rsidRDefault="0010691B">
      <w:pPr>
        <w:spacing w:line="240" w:lineRule="auto"/>
        <w:ind w:left="1440" w:right="1440" w:firstLine="720"/>
      </w:pPr>
      <w:r>
        <w:t xml:space="preserve"> </w:t>
      </w:r>
    </w:p>
    <w:p w:rsidR="00FF40AE" w:rsidRDefault="009B7BBB">
      <w:pPr>
        <w:spacing w:line="240" w:lineRule="auto"/>
        <w:ind w:left="1440" w:right="1440" w:firstLine="720"/>
      </w:pPr>
      <w:r>
        <w:t>iii</w:t>
      </w:r>
      <w:r w:rsidR="0010691B" w:rsidRPr="0010691B">
        <w:t xml:space="preserve">. </w:t>
      </w:r>
      <w:r w:rsidR="0010691B">
        <w:tab/>
      </w:r>
      <w:r w:rsidR="0010691B" w:rsidRPr="0010691B">
        <w:t>all gas used in the operation of compression and dehydration units located on the gathering system.</w:t>
      </w:r>
    </w:p>
    <w:p w:rsidR="00FF40AE" w:rsidRDefault="00FF40AE">
      <w:pPr>
        <w:rPr>
          <w:b/>
        </w:rPr>
      </w:pPr>
    </w:p>
    <w:p w:rsidR="00FF40AE" w:rsidRDefault="00CB34A3">
      <w:pPr>
        <w:ind w:firstLine="0"/>
      </w:pPr>
      <w:r w:rsidRPr="00CB34A3">
        <w:t xml:space="preserve">Dominion </w:t>
      </w:r>
      <w:r w:rsidR="00BE45F4">
        <w:t xml:space="preserve">Peoples </w:t>
      </w:r>
      <w:r>
        <w:t xml:space="preserve">also agreed </w:t>
      </w:r>
      <w:r w:rsidR="00E82514">
        <w:t xml:space="preserve">to provide all gathering system LUFG data and related findings in its 2009 1307(f) Proceeding.  2008 Settlement Agreement at 7-8. </w:t>
      </w:r>
      <w:r w:rsidR="004E1C74">
        <w:t xml:space="preserve"> </w:t>
      </w:r>
    </w:p>
    <w:p w:rsidR="00FF40AE" w:rsidRDefault="00FF40AE">
      <w:pPr>
        <w:ind w:firstLine="0"/>
      </w:pPr>
    </w:p>
    <w:p w:rsidR="00FF40AE" w:rsidRDefault="009B7BBB">
      <w:pPr>
        <w:pStyle w:val="Heading5"/>
      </w:pPr>
      <w:r w:rsidRPr="00E55448">
        <w:t>200</w:t>
      </w:r>
      <w:r>
        <w:t>9</w:t>
      </w:r>
      <w:r w:rsidRPr="00E55448">
        <w:t xml:space="preserve"> 1307(f) </w:t>
      </w:r>
      <w:r>
        <w:t>Proceeding</w:t>
      </w:r>
    </w:p>
    <w:p w:rsidR="00FF40AE" w:rsidRDefault="00FF40AE"/>
    <w:p w:rsidR="00FF40AE" w:rsidRDefault="00D457B1">
      <w:r>
        <w:t xml:space="preserve">As part of the investigation into </w:t>
      </w:r>
      <w:r w:rsidR="00833C89">
        <w:t xml:space="preserve">Dominion </w:t>
      </w:r>
      <w:r>
        <w:t>Peoples 2009 1307(f) filing</w:t>
      </w:r>
      <w:r w:rsidR="001575AB">
        <w:t xml:space="preserve">, Dominion Peoples presented the results of its gathering system study that was required by the 2008 Settlement Agreement and indentified steps that Dominion Peoples had and will take to mitigate and manage those levels, including approximate completion dates.  </w:t>
      </w:r>
      <w:r w:rsidR="00833C89">
        <w:t>Dominion Peoples also provided evidence of additional measures it w</w:t>
      </w:r>
      <w:r w:rsidR="00AC5209">
        <w:t>ould</w:t>
      </w:r>
      <w:r w:rsidR="00833C89">
        <w:t xml:space="preserve"> undertake </w:t>
      </w:r>
      <w:r w:rsidR="00AC5209">
        <w:t xml:space="preserve">to further reduce LUFG.  </w:t>
      </w:r>
      <w:r w:rsidR="0063445E">
        <w:t>As part of the Commission-approved Settlement Agreement of the 2009 1307(f) proceeding</w:t>
      </w:r>
      <w:r w:rsidR="00381BD3">
        <w:t xml:space="preserve"> (2009 Settlement Agreement)</w:t>
      </w:r>
      <w:r w:rsidR="0063445E">
        <w:t>,</w:t>
      </w:r>
      <w:r w:rsidR="00B74E56">
        <w:rPr>
          <w:rStyle w:val="FootnoteReference"/>
        </w:rPr>
        <w:footnoteReference w:id="8"/>
      </w:r>
      <w:r w:rsidR="0063445E">
        <w:t xml:space="preserve"> </w:t>
      </w:r>
      <w:r w:rsidR="00624205">
        <w:t xml:space="preserve">Dominion Peoples agreed it would report the progress of its LUFG mitigation measures in the next (instant 2010) 1307(f) filing.  Dominion Peoples also </w:t>
      </w:r>
      <w:r w:rsidR="00FD5EB6">
        <w:t xml:space="preserve">committed </w:t>
      </w:r>
      <w:r w:rsidR="00624205">
        <w:t>that in its 2010 1307(f) filing ,</w:t>
      </w:r>
      <w:r w:rsidR="0063445E">
        <w:t xml:space="preserve"> </w:t>
      </w:r>
      <w:r w:rsidR="00624205">
        <w:t xml:space="preserve">it would </w:t>
      </w:r>
      <w:r w:rsidR="008D192E">
        <w:t xml:space="preserve">compute separate three-year average LUFG levels for </w:t>
      </w:r>
      <w:r w:rsidR="00E806DB">
        <w:t xml:space="preserve">its gathering system, storage system and distribution/transmission system.  </w:t>
      </w:r>
      <w:r w:rsidR="00FD5EB6">
        <w:t xml:space="preserve">Dominion Peoples also agreed that it would begin to classify storage system losses as LUFG instead of “company use gas.”  </w:t>
      </w:r>
      <w:r w:rsidR="00704750" w:rsidRPr="00704750">
        <w:rPr>
          <w:i/>
        </w:rPr>
        <w:t>Pa. PUC, et al. v. The Peoples Natural Gas Company d/b/a Dominion Peoples</w:t>
      </w:r>
      <w:r w:rsidR="00704750">
        <w:t>, Docket No.</w:t>
      </w:r>
      <w:r w:rsidR="00531779">
        <w:t xml:space="preserve"> </w:t>
      </w:r>
      <w:r w:rsidR="00704750">
        <w:t xml:space="preserve">R-2009-2088069 (Order entered </w:t>
      </w:r>
      <w:r w:rsidR="00B74E56">
        <w:t>September 24, 2009</w:t>
      </w:r>
      <w:r w:rsidR="00704750">
        <w:t>)</w:t>
      </w:r>
      <w:r w:rsidR="004E1B94">
        <w:t>.</w:t>
      </w:r>
      <w:r w:rsidR="00704750">
        <w:t xml:space="preserve"> (</w:t>
      </w:r>
      <w:r w:rsidR="00704750" w:rsidRPr="00912C8E">
        <w:rPr>
          <w:i/>
        </w:rPr>
        <w:t>2009 1307(f) Order</w:t>
      </w:r>
      <w:r w:rsidR="00704750">
        <w:t xml:space="preserve">) </w:t>
      </w:r>
      <w:r w:rsidR="00B74E56">
        <w:t xml:space="preserve">at 13-15. </w:t>
      </w:r>
    </w:p>
    <w:p w:rsidR="00FF40AE" w:rsidRDefault="00FF40AE"/>
    <w:p w:rsidR="00FF40AE" w:rsidRDefault="002312B1">
      <w:pPr>
        <w:pStyle w:val="Heading5"/>
      </w:pPr>
      <w:r w:rsidRPr="002312B1">
        <w:lastRenderedPageBreak/>
        <w:t>Sale of Dominion Peoples</w:t>
      </w:r>
    </w:p>
    <w:p w:rsidR="00FF40AE" w:rsidRDefault="00FF40AE"/>
    <w:p w:rsidR="00FF40AE" w:rsidRDefault="004E1B94">
      <w:pPr>
        <w:tabs>
          <w:tab w:val="center" w:pos="4680"/>
        </w:tabs>
        <w:suppressAutoHyphens/>
        <w:rPr>
          <w:i/>
          <w:szCs w:val="26"/>
        </w:rPr>
      </w:pPr>
      <w:r>
        <w:t xml:space="preserve">In November 2009, </w:t>
      </w:r>
      <w:r w:rsidR="00205E09">
        <w:t xml:space="preserve">the Commission approved a Joint Petition for Settlement </w:t>
      </w:r>
      <w:r w:rsidR="000A195E">
        <w:t xml:space="preserve">(Transfer Settlement Agreement) </w:t>
      </w:r>
      <w:r w:rsidR="0082068F">
        <w:t>r</w:t>
      </w:r>
      <w:r w:rsidR="00205E09">
        <w:t>egarding</w:t>
      </w:r>
      <w:r w:rsidR="004E1C74">
        <w:t xml:space="preserve"> </w:t>
      </w:r>
      <w:r w:rsidR="00205E09">
        <w:t xml:space="preserve">the sale of Dominion Peoples, owned by Dominion Resources, Inc., </w:t>
      </w:r>
      <w:r w:rsidR="00C82617">
        <w:t xml:space="preserve">to Peoples Hope </w:t>
      </w:r>
      <w:r w:rsidR="000A195E">
        <w:t>G</w:t>
      </w:r>
      <w:r w:rsidR="00C82617">
        <w:t>as Company, LLC</w:t>
      </w:r>
      <w:r>
        <w:t>.</w:t>
      </w:r>
      <w:r w:rsidR="000A195E">
        <w:t xml:space="preserve"> </w:t>
      </w:r>
      <w:r w:rsidR="004E1C74">
        <w:t xml:space="preserve"> </w:t>
      </w:r>
      <w:r w:rsidR="00EF386B">
        <w:t>T</w:t>
      </w:r>
      <w:r w:rsidR="004E1C74">
        <w:t>h</w:t>
      </w:r>
      <w:r w:rsidR="00EF386B">
        <w:t xml:space="preserve">e Transfer Settlement Agreement reaffirmed the commitments regarding LUFG made in the 2008 Settlement Agreement.  </w:t>
      </w:r>
      <w:r w:rsidR="00803A89">
        <w:t xml:space="preserve">Following the closing of the sale of Dominion Peoples, Peoples agreed to review </w:t>
      </w:r>
      <w:r w:rsidR="005F045C">
        <w:t xml:space="preserve">Dominion </w:t>
      </w:r>
      <w:r w:rsidR="0016725B">
        <w:t>Peoples</w:t>
      </w:r>
      <w:r w:rsidR="005F045C">
        <w:t>’</w:t>
      </w:r>
      <w:r w:rsidR="0016725B">
        <w:t xml:space="preserve"> operational review of the gathering system and the Commission findings in Peoples 2009 1307(f) proceeding and </w:t>
      </w:r>
      <w:r w:rsidR="007D606B">
        <w:t>its</w:t>
      </w:r>
      <w:r w:rsidR="0016725B">
        <w:t xml:space="preserve"> forthcoming 2010 1307(f) proceeding.  Peoples committed to review Dominion Peoples’ prior efforts to reduce LUFG a</w:t>
      </w:r>
      <w:r w:rsidR="00F843B7">
        <w:t>n</w:t>
      </w:r>
      <w:r w:rsidR="0016725B">
        <w:t xml:space="preserve">d examine additional measures to reduce LUFG. </w:t>
      </w:r>
      <w:r w:rsidR="008029A2">
        <w:t xml:space="preserve"> Peoples also pledged to report to the OSBA, the OTS and the OCA on the results of its review no later than the submission of its 2011 1307(f) filing.  The Parties also agreed that nothing in the Transfer Settlement Agreemen</w:t>
      </w:r>
      <w:r w:rsidR="0094565F">
        <w:t xml:space="preserve">t was intended to affect any obligations of peoples that may arise from then ongoing 2009 1307(f) proceeding.  </w:t>
      </w:r>
      <w:r w:rsidRPr="00EB1640">
        <w:rPr>
          <w:i/>
          <w:szCs w:val="26"/>
        </w:rPr>
        <w:t>Joint Application for Approval of the Transfer of the Issued and Outstanding</w:t>
      </w:r>
      <w:r w:rsidR="00EB1640" w:rsidRPr="00EB1640">
        <w:rPr>
          <w:i/>
          <w:szCs w:val="26"/>
        </w:rPr>
        <w:t xml:space="preserve"> </w:t>
      </w:r>
      <w:r w:rsidRPr="00EB1640">
        <w:rPr>
          <w:i/>
          <w:szCs w:val="26"/>
        </w:rPr>
        <w:t>Shares of Capital Stock of the Peoples Natural</w:t>
      </w:r>
    </w:p>
    <w:p w:rsidR="00FF40AE" w:rsidRDefault="004E1B94">
      <w:pPr>
        <w:tabs>
          <w:tab w:val="center" w:pos="4680"/>
        </w:tabs>
        <w:suppressAutoHyphens/>
        <w:ind w:firstLine="0"/>
        <w:rPr>
          <w:i/>
          <w:szCs w:val="26"/>
        </w:rPr>
      </w:pPr>
      <w:r w:rsidRPr="00EB1640">
        <w:rPr>
          <w:i/>
          <w:szCs w:val="26"/>
        </w:rPr>
        <w:t>Gas Company, d/b/a Dominion Peoples,</w:t>
      </w:r>
      <w:r w:rsidR="00EB1640" w:rsidRPr="00EB1640">
        <w:rPr>
          <w:i/>
          <w:szCs w:val="26"/>
        </w:rPr>
        <w:t xml:space="preserve"> </w:t>
      </w:r>
      <w:r w:rsidR="00EB1640">
        <w:rPr>
          <w:i/>
          <w:szCs w:val="26"/>
        </w:rPr>
        <w:t>C</w:t>
      </w:r>
      <w:r w:rsidRPr="00EB1640">
        <w:rPr>
          <w:i/>
          <w:szCs w:val="26"/>
        </w:rPr>
        <w:t xml:space="preserve">urrently </w:t>
      </w:r>
      <w:r w:rsidR="00EB1640">
        <w:rPr>
          <w:i/>
          <w:szCs w:val="26"/>
        </w:rPr>
        <w:t>O</w:t>
      </w:r>
      <w:r w:rsidRPr="00EB1640">
        <w:rPr>
          <w:i/>
          <w:szCs w:val="26"/>
        </w:rPr>
        <w:t xml:space="preserve">wned by Dominion Resources, Inc., </w:t>
      </w:r>
    </w:p>
    <w:p w:rsidR="00FF40AE" w:rsidRDefault="004E1B94">
      <w:pPr>
        <w:tabs>
          <w:tab w:val="center" w:pos="4680"/>
        </w:tabs>
        <w:suppressAutoHyphens/>
        <w:ind w:firstLine="0"/>
        <w:rPr>
          <w:i/>
          <w:szCs w:val="26"/>
        </w:rPr>
      </w:pPr>
      <w:r w:rsidRPr="00EB1640">
        <w:rPr>
          <w:i/>
          <w:szCs w:val="26"/>
        </w:rPr>
        <w:t>to Peoples Hope Gas Companies, LLC, and to</w:t>
      </w:r>
      <w:r w:rsidR="00EB1640" w:rsidRPr="00EB1640">
        <w:rPr>
          <w:i/>
          <w:szCs w:val="26"/>
        </w:rPr>
        <w:t xml:space="preserve"> </w:t>
      </w:r>
      <w:r w:rsidRPr="00EB1640">
        <w:rPr>
          <w:i/>
          <w:szCs w:val="26"/>
        </w:rPr>
        <w:t>Approve the Resulting Change in Control</w:t>
      </w:r>
    </w:p>
    <w:p w:rsidR="009B7BBB" w:rsidRDefault="004E1B94" w:rsidP="00270220">
      <w:pPr>
        <w:tabs>
          <w:tab w:val="center" w:pos="4680"/>
        </w:tabs>
        <w:suppressAutoHyphens/>
        <w:ind w:firstLine="0"/>
      </w:pPr>
      <w:r w:rsidRPr="00EB1640">
        <w:rPr>
          <w:i/>
          <w:szCs w:val="26"/>
        </w:rPr>
        <w:t>of The Peoples Natural Gas Company,</w:t>
      </w:r>
      <w:r w:rsidR="00EB1640" w:rsidRPr="00EB1640">
        <w:rPr>
          <w:i/>
          <w:szCs w:val="26"/>
        </w:rPr>
        <w:t xml:space="preserve"> </w:t>
      </w:r>
      <w:r w:rsidRPr="00EB1640">
        <w:rPr>
          <w:i/>
          <w:szCs w:val="26"/>
        </w:rPr>
        <w:t>d/b/a Dominion Peoples</w:t>
      </w:r>
      <w:r w:rsidR="00EB1640">
        <w:rPr>
          <w:i/>
          <w:szCs w:val="26"/>
        </w:rPr>
        <w:t xml:space="preserve">, </w:t>
      </w:r>
      <w:r w:rsidR="00EB1640" w:rsidRPr="00EB1640">
        <w:rPr>
          <w:szCs w:val="26"/>
        </w:rPr>
        <w:t>Docket No.</w:t>
      </w:r>
      <w:r w:rsidR="00531779">
        <w:rPr>
          <w:szCs w:val="26"/>
        </w:rPr>
        <w:t xml:space="preserve"> </w:t>
      </w:r>
      <w:r w:rsidR="00EB1640" w:rsidRPr="00EB1640">
        <w:rPr>
          <w:szCs w:val="26"/>
        </w:rPr>
        <w:t>A</w:t>
      </w:r>
      <w:r w:rsidR="00CE6417">
        <w:rPr>
          <w:szCs w:val="26"/>
        </w:rPr>
        <w:noBreakHyphen/>
      </w:r>
      <w:r w:rsidR="00EB1640" w:rsidRPr="00EB1640">
        <w:rPr>
          <w:szCs w:val="26"/>
        </w:rPr>
        <w:t>2008</w:t>
      </w:r>
      <w:r w:rsidR="00CE6417">
        <w:rPr>
          <w:szCs w:val="26"/>
        </w:rPr>
        <w:noBreakHyphen/>
      </w:r>
      <w:r w:rsidR="00EB1640" w:rsidRPr="00EB1640">
        <w:rPr>
          <w:szCs w:val="26"/>
        </w:rPr>
        <w:t>2063737</w:t>
      </w:r>
      <w:r w:rsidR="00531779">
        <w:rPr>
          <w:szCs w:val="26"/>
        </w:rPr>
        <w:t xml:space="preserve"> </w:t>
      </w:r>
      <w:r w:rsidR="00EB1640" w:rsidRPr="00EB1640">
        <w:rPr>
          <w:szCs w:val="26"/>
        </w:rPr>
        <w:t>(Order entered November 19, 2009)</w:t>
      </w:r>
      <w:r w:rsidR="005252CB">
        <w:rPr>
          <w:szCs w:val="26"/>
        </w:rPr>
        <w:t xml:space="preserve"> (</w:t>
      </w:r>
      <w:r w:rsidR="005252CB" w:rsidRPr="005252CB">
        <w:rPr>
          <w:i/>
          <w:szCs w:val="26"/>
        </w:rPr>
        <w:t>November 19, 2009 Order</w:t>
      </w:r>
      <w:r w:rsidR="005252CB">
        <w:rPr>
          <w:szCs w:val="26"/>
        </w:rPr>
        <w:t xml:space="preserve"> )</w:t>
      </w:r>
      <w:r w:rsidR="00EB1640">
        <w:rPr>
          <w:szCs w:val="26"/>
        </w:rPr>
        <w:t xml:space="preserve"> </w:t>
      </w:r>
      <w:r w:rsidR="0094565F">
        <w:t>at 25</w:t>
      </w:r>
      <w:r w:rsidR="00CE6417">
        <w:noBreakHyphen/>
      </w:r>
      <w:r w:rsidR="0094565F">
        <w:t>27.</w:t>
      </w:r>
    </w:p>
    <w:p w:rsidR="00FF40AE" w:rsidRDefault="00FF40AE"/>
    <w:p w:rsidR="00FF40AE" w:rsidRDefault="00452F70">
      <w:pPr>
        <w:pStyle w:val="Heading5"/>
      </w:pPr>
      <w:r>
        <w:t>Commission</w:t>
      </w:r>
      <w:r w:rsidR="00FD1084">
        <w:t>’s</w:t>
      </w:r>
      <w:r>
        <w:t xml:space="preserve"> Audit Report</w:t>
      </w:r>
    </w:p>
    <w:p w:rsidR="00FF40AE" w:rsidRDefault="00FF40AE"/>
    <w:p w:rsidR="00FF40AE" w:rsidRDefault="0015055F">
      <w:r>
        <w:t xml:space="preserve">On March 11, 2010, the Commission released a Focused Management and Operations Audit of </w:t>
      </w:r>
      <w:r w:rsidR="00141872">
        <w:t xml:space="preserve">Dominion </w:t>
      </w:r>
      <w:r>
        <w:t xml:space="preserve">Peoples </w:t>
      </w:r>
      <w:r w:rsidR="007B727F">
        <w:t>(Audit</w:t>
      </w:r>
      <w:r w:rsidR="00141872">
        <w:t>)</w:t>
      </w:r>
      <w:r w:rsidR="007B727F">
        <w:t xml:space="preserve"> </w:t>
      </w:r>
      <w:r w:rsidR="003A10EB">
        <w:t xml:space="preserve">undertaken by the Commission’s Bureau of Audits </w:t>
      </w:r>
      <w:r>
        <w:t xml:space="preserve">at Docket No. D-2009-2149012.  </w:t>
      </w:r>
      <w:r w:rsidR="00141872">
        <w:t>Among the recommendations set forth in the Audit were</w:t>
      </w:r>
      <w:r w:rsidR="00636EDE">
        <w:t xml:space="preserve"> that Peoples Dominion should</w:t>
      </w:r>
      <w:r w:rsidR="00141872">
        <w:t>:</w:t>
      </w:r>
    </w:p>
    <w:p w:rsidR="00FF40AE" w:rsidRDefault="00FF40AE"/>
    <w:p w:rsidR="00FF40AE" w:rsidRDefault="006011E4">
      <w:pPr>
        <w:spacing w:after="240" w:line="240" w:lineRule="auto"/>
        <w:ind w:left="1440" w:right="1440" w:firstLine="720"/>
        <w:rPr>
          <w:color w:val="000000"/>
        </w:rPr>
      </w:pPr>
      <w:r w:rsidRPr="006011E4">
        <w:rPr>
          <w:color w:val="000000"/>
        </w:rPr>
        <w:lastRenderedPageBreak/>
        <w:t>i.</w:t>
      </w:r>
      <w:r w:rsidRPr="006011E4">
        <w:rPr>
          <w:color w:val="000000"/>
        </w:rPr>
        <w:tab/>
      </w:r>
      <w:r w:rsidR="00636EDE">
        <w:rPr>
          <w:color w:val="000000"/>
        </w:rPr>
        <w:t>Strive for reductions and control of Class 1 leaks</w:t>
      </w:r>
      <w:r w:rsidR="003C0CBE">
        <w:rPr>
          <w:rStyle w:val="FootnoteReference"/>
          <w:color w:val="000000"/>
        </w:rPr>
        <w:footnoteReference w:id="9"/>
      </w:r>
      <w:r w:rsidR="00636EDE">
        <w:rPr>
          <w:color w:val="000000"/>
        </w:rPr>
        <w:t xml:space="preserve"> through project priorities and new procedures and methodologies in mapping technology, earlier leak discovery</w:t>
      </w:r>
      <w:r w:rsidR="006D4B71">
        <w:rPr>
          <w:color w:val="000000"/>
        </w:rPr>
        <w:t xml:space="preserve"> and leak repair;</w:t>
      </w:r>
    </w:p>
    <w:p w:rsidR="00FF40AE" w:rsidRDefault="00636EDE">
      <w:pPr>
        <w:spacing w:after="240" w:line="240" w:lineRule="auto"/>
        <w:ind w:left="1440" w:right="1440" w:firstLine="720"/>
        <w:rPr>
          <w:color w:val="000000"/>
        </w:rPr>
      </w:pPr>
      <w:r>
        <w:rPr>
          <w:color w:val="000000"/>
        </w:rPr>
        <w:t>ii.</w:t>
      </w:r>
      <w:r>
        <w:rPr>
          <w:color w:val="000000"/>
        </w:rPr>
        <w:tab/>
      </w:r>
      <w:r w:rsidR="006011E4" w:rsidRPr="006011E4">
        <w:rPr>
          <w:color w:val="000000"/>
        </w:rPr>
        <w:t>Identify major sources of unaccounted</w:t>
      </w:r>
      <w:r w:rsidR="007D606B">
        <w:rPr>
          <w:color w:val="000000"/>
        </w:rPr>
        <w:t>-</w:t>
      </w:r>
      <w:r w:rsidR="006011E4" w:rsidRPr="006011E4">
        <w:rPr>
          <w:color w:val="000000"/>
        </w:rPr>
        <w:t>for gas, implement programs to reduce the amount of unaccounted for gas in the system and establish reduction goals, which could save up to $13.2 million annually;</w:t>
      </w:r>
    </w:p>
    <w:p w:rsidR="00FF40AE" w:rsidRDefault="006011E4">
      <w:pPr>
        <w:spacing w:after="240" w:line="240" w:lineRule="auto"/>
        <w:ind w:left="1440" w:right="1440" w:firstLine="720"/>
        <w:rPr>
          <w:color w:val="000000"/>
        </w:rPr>
      </w:pPr>
      <w:r w:rsidRPr="006011E4">
        <w:rPr>
          <w:color w:val="000000"/>
        </w:rPr>
        <w:t>ii</w:t>
      </w:r>
      <w:r w:rsidR="006D4B71">
        <w:rPr>
          <w:color w:val="000000"/>
        </w:rPr>
        <w:t>i</w:t>
      </w:r>
      <w:r w:rsidRPr="006011E4">
        <w:rPr>
          <w:color w:val="000000"/>
        </w:rPr>
        <w:t>.</w:t>
      </w:r>
      <w:r w:rsidRPr="006011E4">
        <w:rPr>
          <w:color w:val="000000"/>
        </w:rPr>
        <w:tab/>
        <w:t>Develop more appropriate unaccounted-for gas calculation and allocation methodologies and utilize them to accurately report unaccounted-for gas in the PUC annual report, U.S. Department of Transportation annual report and other PUC filings;</w:t>
      </w:r>
    </w:p>
    <w:p w:rsidR="00FF40AE" w:rsidRDefault="006011E4">
      <w:pPr>
        <w:spacing w:after="240" w:line="240" w:lineRule="auto"/>
        <w:ind w:left="1440" w:right="1440" w:firstLine="720"/>
        <w:rPr>
          <w:color w:val="000000"/>
        </w:rPr>
      </w:pPr>
      <w:r w:rsidRPr="006011E4">
        <w:rPr>
          <w:color w:val="000000"/>
        </w:rPr>
        <w:t>i</w:t>
      </w:r>
      <w:r w:rsidR="006D4B71">
        <w:rPr>
          <w:color w:val="000000"/>
        </w:rPr>
        <w:t>v</w:t>
      </w:r>
      <w:r w:rsidRPr="006011E4">
        <w:rPr>
          <w:color w:val="000000"/>
        </w:rPr>
        <w:t>.</w:t>
      </w:r>
      <w:r w:rsidRPr="006011E4">
        <w:rPr>
          <w:color w:val="000000"/>
        </w:rPr>
        <w:tab/>
        <w:t>Expedite the replacement of bare steel facilities within the distribution system infrastructure;</w:t>
      </w:r>
    </w:p>
    <w:p w:rsidR="00FF40AE" w:rsidRDefault="008E5C7F">
      <w:pPr>
        <w:ind w:firstLine="0"/>
      </w:pPr>
      <w:r>
        <w:t xml:space="preserve">Audit at </w:t>
      </w:r>
      <w:r w:rsidR="006D4B71">
        <w:t>36-45.</w:t>
      </w:r>
    </w:p>
    <w:p w:rsidR="00FF40AE" w:rsidRDefault="00FF40AE">
      <w:pPr>
        <w:ind w:firstLine="0"/>
      </w:pPr>
    </w:p>
    <w:p w:rsidR="00FF40AE" w:rsidRDefault="006D4B71">
      <w:r>
        <w:t xml:space="preserve">In its Implementation Plan dated </w:t>
      </w:r>
      <w:r w:rsidR="002A3C36">
        <w:t>February 15, 2010</w:t>
      </w:r>
      <w:r w:rsidR="00D120FD">
        <w:t xml:space="preserve"> (Implementation Plan)</w:t>
      </w:r>
      <w:r w:rsidR="002A3C36">
        <w:t xml:space="preserve">, </w:t>
      </w:r>
      <w:r>
        <w:t xml:space="preserve">filed in response to the </w:t>
      </w:r>
      <w:r w:rsidR="002A3C36">
        <w:t xml:space="preserve">Audit, Peoples accepted all of the recommendations related to LUFG.  </w:t>
      </w:r>
      <w:r w:rsidR="00BD605C">
        <w:t xml:space="preserve">Peoples stated, </w:t>
      </w:r>
      <w:r w:rsidR="00BD605C" w:rsidRPr="00BD605C">
        <w:rPr>
          <w:i/>
        </w:rPr>
        <w:t>inter alia</w:t>
      </w:r>
      <w:r w:rsidR="00BD605C">
        <w:t>, that its review and investigations would be conducted during 2010 and early 2011</w:t>
      </w:r>
      <w:r w:rsidR="00585A31">
        <w:t>,</w:t>
      </w:r>
      <w:r w:rsidR="00BD605C">
        <w:t xml:space="preserve"> and </w:t>
      </w:r>
      <w:r w:rsidR="007122C1">
        <w:t xml:space="preserve">that it </w:t>
      </w:r>
      <w:r w:rsidR="00BD605C">
        <w:t>would file a report in Peoples 2011 1307(f) filing.  Implementation Plan at 11.</w:t>
      </w:r>
    </w:p>
    <w:p w:rsidR="00FF40AE" w:rsidRDefault="00CC4BEF">
      <w:r>
        <w:tab/>
      </w:r>
    </w:p>
    <w:p w:rsidR="00FF40AE" w:rsidRDefault="00182445">
      <w:pPr>
        <w:pStyle w:val="Heading4"/>
      </w:pPr>
      <w:bookmarkStart w:id="19" w:name="_Toc271015524"/>
      <w:r>
        <w:t>(</w:t>
      </w:r>
      <w:r w:rsidR="00CC4BEF">
        <w:t>b</w:t>
      </w:r>
      <w:r>
        <w:t xml:space="preserve">) </w:t>
      </w:r>
      <w:r w:rsidR="00CE6417">
        <w:t xml:space="preserve"> </w:t>
      </w:r>
      <w:r>
        <w:t>Historic LUF</w:t>
      </w:r>
      <w:r w:rsidR="00CE6417">
        <w:t>G</w:t>
      </w:r>
      <w:r>
        <w:t xml:space="preserve"> Rates</w:t>
      </w:r>
      <w:bookmarkEnd w:id="19"/>
    </w:p>
    <w:p w:rsidR="00FF40AE" w:rsidRDefault="00FF40AE"/>
    <w:p w:rsidR="00FF40AE" w:rsidRDefault="00AD0CCA">
      <w:r>
        <w:t xml:space="preserve">OSBA witness </w:t>
      </w:r>
      <w:r w:rsidR="007122C1">
        <w:t xml:space="preserve">Mr. </w:t>
      </w:r>
      <w:r>
        <w:t>Kal</w:t>
      </w:r>
      <w:r w:rsidR="007D606B">
        <w:t>c</w:t>
      </w:r>
      <w:r>
        <w:t>ic testified that Peoples’ overall LUFG rate has increased from 5.26% over the twelve-month period ending July 30, 2006 to 7.45% over the twelve</w:t>
      </w:r>
      <w:r w:rsidR="007D606B">
        <w:t>-</w:t>
      </w:r>
      <w:r>
        <w:t xml:space="preserve">month period ending </w:t>
      </w:r>
      <w:r w:rsidR="00361C89">
        <w:t xml:space="preserve">July 30, 2009. </w:t>
      </w:r>
      <w:r>
        <w:t xml:space="preserve"> Mr. Kal</w:t>
      </w:r>
      <w:r w:rsidR="007D606B">
        <w:t>c</w:t>
      </w:r>
      <w:r>
        <w:t xml:space="preserve">ic presented the following </w:t>
      </w:r>
      <w:r w:rsidR="00361C89">
        <w:t xml:space="preserve">table showing the average annual calculations over the four-year period: </w:t>
      </w:r>
    </w:p>
    <w:p w:rsidR="00FF40AE" w:rsidRDefault="00FF40AE">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bl>
      <w:tblPr>
        <w:tblW w:w="0" w:type="auto"/>
        <w:jc w:val="center"/>
        <w:tblInd w:w="28" w:type="dxa"/>
        <w:tblLook w:val="00BF"/>
      </w:tblPr>
      <w:tblGrid>
        <w:gridCol w:w="2541"/>
        <w:gridCol w:w="1440"/>
        <w:gridCol w:w="1509"/>
        <w:gridCol w:w="1625"/>
        <w:gridCol w:w="1594"/>
      </w:tblGrid>
      <w:tr w:rsidR="00AD0CCA" w:rsidRPr="00032B88" w:rsidTr="001E2D0A">
        <w:trPr>
          <w:jc w:val="center"/>
        </w:trPr>
        <w:tc>
          <w:tcPr>
            <w:tcW w:w="2541" w:type="dxa"/>
          </w:tcPr>
          <w:p w:rsidR="00FF40AE" w:rsidRDefault="00FF40AE">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center"/>
              <w:rPr>
                <w:i/>
              </w:rPr>
            </w:pPr>
          </w:p>
        </w:tc>
        <w:tc>
          <w:tcPr>
            <w:tcW w:w="1440"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center"/>
              <w:rPr>
                <w:i/>
              </w:rPr>
            </w:pPr>
            <w:r w:rsidRPr="00032B88">
              <w:rPr>
                <w:i/>
              </w:rPr>
              <w:t>2006</w:t>
            </w:r>
          </w:p>
        </w:tc>
        <w:tc>
          <w:tcPr>
            <w:tcW w:w="1509"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center"/>
              <w:rPr>
                <w:i/>
              </w:rPr>
            </w:pPr>
            <w:r w:rsidRPr="00032B88">
              <w:rPr>
                <w:i/>
              </w:rPr>
              <w:t>2007</w:t>
            </w:r>
          </w:p>
        </w:tc>
        <w:tc>
          <w:tcPr>
            <w:tcW w:w="1625" w:type="dxa"/>
          </w:tcPr>
          <w:p w:rsidR="00FF40AE" w:rsidRDefault="001E2D0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center"/>
              <w:rPr>
                <w:i/>
              </w:rPr>
            </w:pPr>
            <w:r>
              <w:rPr>
                <w:i/>
              </w:rPr>
              <w:t>2</w:t>
            </w:r>
            <w:r w:rsidR="00AD0CCA" w:rsidRPr="00032B88">
              <w:rPr>
                <w:i/>
              </w:rPr>
              <w:t>008</w:t>
            </w:r>
          </w:p>
        </w:tc>
        <w:tc>
          <w:tcPr>
            <w:tcW w:w="1594"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center"/>
              <w:rPr>
                <w:i/>
              </w:rPr>
            </w:pPr>
            <w:r w:rsidRPr="00032B88">
              <w:rPr>
                <w:i/>
              </w:rPr>
              <w:t>2009</w:t>
            </w:r>
          </w:p>
        </w:tc>
      </w:tr>
      <w:tr w:rsidR="00AD0CCA" w:rsidRPr="00032B88" w:rsidTr="001E2D0A">
        <w:trPr>
          <w:jc w:val="center"/>
        </w:trPr>
        <w:tc>
          <w:tcPr>
            <w:tcW w:w="2541" w:type="dxa"/>
          </w:tcPr>
          <w:p w:rsidR="00FF40AE" w:rsidRDefault="00361C89">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pPr>
            <w:r>
              <w:t>Total</w:t>
            </w:r>
            <w:r w:rsidR="00AD0CCA" w:rsidRPr="00032B88">
              <w:t xml:space="preserve"> LUFG (Mcf)</w:t>
            </w:r>
          </w:p>
        </w:tc>
        <w:tc>
          <w:tcPr>
            <w:tcW w:w="1440"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right"/>
            </w:pPr>
            <w:r w:rsidRPr="00032B88">
              <w:t>3,810,950</w:t>
            </w:r>
          </w:p>
        </w:tc>
        <w:tc>
          <w:tcPr>
            <w:tcW w:w="1509"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right"/>
            </w:pPr>
            <w:r w:rsidRPr="00032B88">
              <w:t>4,744,078</w:t>
            </w:r>
          </w:p>
        </w:tc>
        <w:tc>
          <w:tcPr>
            <w:tcW w:w="1625"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right"/>
            </w:pPr>
            <w:r w:rsidRPr="00032B88">
              <w:t>4,528,073</w:t>
            </w:r>
          </w:p>
        </w:tc>
        <w:tc>
          <w:tcPr>
            <w:tcW w:w="1594"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right"/>
            </w:pPr>
            <w:r w:rsidRPr="00032B88">
              <w:t>5,432,044</w:t>
            </w:r>
          </w:p>
        </w:tc>
      </w:tr>
      <w:tr w:rsidR="00AD0CCA" w:rsidRPr="00032B88" w:rsidTr="001E2D0A">
        <w:trPr>
          <w:jc w:val="center"/>
        </w:trPr>
        <w:tc>
          <w:tcPr>
            <w:tcW w:w="2541"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pPr>
            <w:r w:rsidRPr="00032B88">
              <w:t>Total Supply (Mcf)</w:t>
            </w:r>
          </w:p>
        </w:tc>
        <w:tc>
          <w:tcPr>
            <w:tcW w:w="1440"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right"/>
            </w:pPr>
            <w:r w:rsidRPr="00032B88">
              <w:t>72,511,428</w:t>
            </w:r>
          </w:p>
        </w:tc>
        <w:tc>
          <w:tcPr>
            <w:tcW w:w="1509"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right"/>
            </w:pPr>
            <w:r w:rsidRPr="00032B88">
              <w:t>75,446,566</w:t>
            </w:r>
          </w:p>
        </w:tc>
        <w:tc>
          <w:tcPr>
            <w:tcW w:w="1625"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right"/>
            </w:pPr>
            <w:r w:rsidRPr="00032B88">
              <w:t>72,481,180</w:t>
            </w:r>
          </w:p>
        </w:tc>
        <w:tc>
          <w:tcPr>
            <w:tcW w:w="1594"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right"/>
            </w:pPr>
            <w:r w:rsidRPr="00032B88">
              <w:t>72,949,519</w:t>
            </w:r>
          </w:p>
        </w:tc>
      </w:tr>
      <w:tr w:rsidR="00AD0CCA" w:rsidRPr="00032B88" w:rsidTr="001E2D0A">
        <w:trPr>
          <w:jc w:val="center"/>
        </w:trPr>
        <w:tc>
          <w:tcPr>
            <w:tcW w:w="2541"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pPr>
            <w:r w:rsidRPr="00032B88">
              <w:t xml:space="preserve">LUFG Rate </w:t>
            </w:r>
          </w:p>
        </w:tc>
        <w:tc>
          <w:tcPr>
            <w:tcW w:w="1440"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center"/>
            </w:pPr>
            <w:r w:rsidRPr="00032B88">
              <w:t>5.26%</w:t>
            </w:r>
          </w:p>
        </w:tc>
        <w:tc>
          <w:tcPr>
            <w:tcW w:w="1509"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center"/>
            </w:pPr>
            <w:r w:rsidRPr="00032B88">
              <w:t>6.29%</w:t>
            </w:r>
          </w:p>
        </w:tc>
        <w:tc>
          <w:tcPr>
            <w:tcW w:w="1625"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center"/>
            </w:pPr>
            <w:r w:rsidRPr="00032B88">
              <w:t>6.25%</w:t>
            </w:r>
          </w:p>
        </w:tc>
        <w:tc>
          <w:tcPr>
            <w:tcW w:w="1594" w:type="dxa"/>
          </w:tcPr>
          <w:p w:rsidR="00FF40AE" w:rsidRDefault="00AD0CCA">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ind w:firstLine="0"/>
              <w:jc w:val="center"/>
            </w:pPr>
            <w:r w:rsidRPr="00032B88">
              <w:t>7.45%</w:t>
            </w:r>
          </w:p>
        </w:tc>
      </w:tr>
    </w:tbl>
    <w:p w:rsidR="00FF40AE" w:rsidRDefault="00AD0CCA">
      <w:pPr>
        <w:keepNext/>
        <w:tabs>
          <w:tab w:val="left" w:pos="90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firstLine="0"/>
        <w:jc w:val="center"/>
      </w:pPr>
      <w:r w:rsidRPr="00032B88">
        <w:t>Source:  Peoples Exhibit No. 20 and Peoples’ response to OSBA-I-1.</w:t>
      </w:r>
    </w:p>
    <w:p w:rsidR="00FF40AE" w:rsidRDefault="00C8767F">
      <w:pPr>
        <w:keepNext/>
        <w:tabs>
          <w:tab w:val="left" w:pos="90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firstLine="0"/>
      </w:pPr>
      <w:r>
        <w:t>OSBA Statement No. 1 at 3.</w:t>
      </w:r>
    </w:p>
    <w:p w:rsidR="00FF40AE" w:rsidRDefault="00FF40AE">
      <w:pPr>
        <w:tabs>
          <w:tab w:val="left" w:pos="90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firstLine="0"/>
      </w:pPr>
    </w:p>
    <w:p w:rsidR="00FF40AE" w:rsidRDefault="001251E7">
      <w:pPr>
        <w:pStyle w:val="Heading4"/>
      </w:pPr>
      <w:bookmarkStart w:id="20" w:name="_Toc271015525"/>
      <w:r>
        <w:t>(b) OSBA’s Proposed Cap</w:t>
      </w:r>
      <w:r w:rsidR="00C85866">
        <w:t xml:space="preserve"> </w:t>
      </w:r>
      <w:r w:rsidR="00C85866">
        <w:rPr>
          <w:rStyle w:val="FootnoteReference"/>
        </w:rPr>
        <w:footnoteReference w:id="10"/>
      </w:r>
      <w:bookmarkEnd w:id="20"/>
    </w:p>
    <w:p w:rsidR="00FF40AE" w:rsidRDefault="00FF40AE">
      <w:pPr>
        <w:tabs>
          <w:tab w:val="left" w:pos="90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firstLine="0"/>
      </w:pPr>
    </w:p>
    <w:p w:rsidR="00FF40AE" w:rsidRDefault="008D60CB">
      <w:r>
        <w:t xml:space="preserve">The </w:t>
      </w:r>
      <w:r w:rsidR="00711CFA" w:rsidRPr="00032B88">
        <w:t>OSBA contend</w:t>
      </w:r>
      <w:r w:rsidR="00711CFA">
        <w:t>ed</w:t>
      </w:r>
      <w:r w:rsidR="00711CFA" w:rsidRPr="00032B88">
        <w:t xml:space="preserve"> that Peoples </w:t>
      </w:r>
      <w:r w:rsidR="00711CFA">
        <w:t xml:space="preserve">has a </w:t>
      </w:r>
      <w:r w:rsidR="00711CFA" w:rsidRPr="00032B88">
        <w:t xml:space="preserve">high LUFG rate </w:t>
      </w:r>
      <w:r w:rsidR="00711CFA">
        <w:t xml:space="preserve">which </w:t>
      </w:r>
      <w:r w:rsidR="00711CFA" w:rsidRPr="00032B88">
        <w:t xml:space="preserve">has been a continuing problem that has existed for several years.  </w:t>
      </w:r>
      <w:r>
        <w:t xml:space="preserve">The </w:t>
      </w:r>
      <w:r w:rsidR="00711CFA">
        <w:t xml:space="preserve">OSBA averred that in response to that problem, Peoples has repeatedly committed to review, report, analyze and monitor </w:t>
      </w:r>
      <w:r w:rsidR="005331AD">
        <w:t xml:space="preserve">its </w:t>
      </w:r>
      <w:r w:rsidR="00711CFA">
        <w:t xml:space="preserve">LUFG levels.  </w:t>
      </w:r>
      <w:r w:rsidR="00B80E24">
        <w:t xml:space="preserve">The </w:t>
      </w:r>
      <w:r w:rsidR="00711CFA">
        <w:t>OSBA argue</w:t>
      </w:r>
      <w:r w:rsidR="00912C8E">
        <w:t>d</w:t>
      </w:r>
      <w:r w:rsidR="00711CFA">
        <w:t xml:space="preserve"> that despite Peoples’ commitments, Peoples’ LUFG levels are continuing to increase, thereby costing consumers money with no consequences for Peoples.  OSBA M.B. at 12.  </w:t>
      </w:r>
      <w:r w:rsidR="008C55C6">
        <w:t xml:space="preserve">Accordingly, the OSBA recommended that a cap be placed on the LUFG volumes allowed for the February 1, </w:t>
      </w:r>
      <w:r w:rsidR="005331AD">
        <w:t>2010,</w:t>
      </w:r>
      <w:r w:rsidR="008C55C6">
        <w:t>to September 30, 201</w:t>
      </w:r>
      <w:r w:rsidR="00535970">
        <w:t>1</w:t>
      </w:r>
      <w:r w:rsidR="008C55C6">
        <w:t xml:space="preserve"> projected period. </w:t>
      </w:r>
      <w:r w:rsidR="00711CFA">
        <w:t xml:space="preserve"> </w:t>
      </w:r>
      <w:r w:rsidR="00CF2BF8">
        <w:t xml:space="preserve">OSBA Statement No. 1 at 5-6. </w:t>
      </w:r>
    </w:p>
    <w:p w:rsidR="00FF40AE" w:rsidRDefault="00FF40AE"/>
    <w:p w:rsidR="00FF40AE" w:rsidRDefault="00CF2BF8">
      <w:r>
        <w:t>In developing its proposed cap, t</w:t>
      </w:r>
      <w:r w:rsidR="004F46AB">
        <w:t xml:space="preserve">he OSBA </w:t>
      </w:r>
      <w:r w:rsidR="00912C8E">
        <w:t>referred</w:t>
      </w:r>
      <w:r w:rsidR="004F46AB">
        <w:t xml:space="preserve"> to </w:t>
      </w:r>
      <w:r w:rsidR="000F00CB">
        <w:t xml:space="preserve">the Commission’s </w:t>
      </w:r>
      <w:r w:rsidR="000F00CB" w:rsidRPr="00281400">
        <w:rPr>
          <w:i/>
        </w:rPr>
        <w:t>2009 1307(f)</w:t>
      </w:r>
      <w:r w:rsidR="00B80E24" w:rsidRPr="00281400">
        <w:rPr>
          <w:i/>
        </w:rPr>
        <w:t xml:space="preserve"> Order</w:t>
      </w:r>
      <w:r>
        <w:t xml:space="preserve"> </w:t>
      </w:r>
      <w:r w:rsidR="00281400">
        <w:t xml:space="preserve">where the </w:t>
      </w:r>
      <w:r w:rsidR="004F46AB">
        <w:t xml:space="preserve">Commission adopted the proposal </w:t>
      </w:r>
      <w:r w:rsidR="0069597B">
        <w:t xml:space="preserve">to calculate Peoples’ proposed LUFG rate based on a three-year average. </w:t>
      </w:r>
      <w:r w:rsidR="004F46AB">
        <w:t xml:space="preserve"> </w:t>
      </w:r>
      <w:r w:rsidR="0069597B">
        <w:t xml:space="preserve">The OSBA explained that in the instant 1307(f) proceeding, Peoples based its projected LUFG rate based on its </w:t>
      </w:r>
      <w:r w:rsidR="00C70D85">
        <w:t>three</w:t>
      </w:r>
      <w:r w:rsidR="0069597B">
        <w:t>-year average rate</w:t>
      </w:r>
      <w:r w:rsidR="00C70D85">
        <w:t xml:space="preserve"> between July 30, 2006 and July 30, 2009</w:t>
      </w:r>
      <w:r w:rsidR="0069597B">
        <w:t xml:space="preserve">.  </w:t>
      </w:r>
      <w:r w:rsidR="00D902F5">
        <w:t xml:space="preserve">OSBA Statement No. 3 at 4. </w:t>
      </w:r>
      <w:r w:rsidR="0069597B">
        <w:t xml:space="preserve"> </w:t>
      </w:r>
      <w:r w:rsidR="00711CFA">
        <w:t xml:space="preserve">The </w:t>
      </w:r>
      <w:r w:rsidR="00711CFA">
        <w:lastRenderedPageBreak/>
        <w:t xml:space="preserve">OSBA recommended that </w:t>
      </w:r>
      <w:r w:rsidR="00D902F5">
        <w:t xml:space="preserve">Peoples’ allowable LUFG volumes be capped </w:t>
      </w:r>
      <w:r w:rsidR="00C70D85">
        <w:t>based on Peoples’ actual experience over the three-year period ending July 30, 2008</w:t>
      </w:r>
      <w:r w:rsidR="005331AD">
        <w:t>,</w:t>
      </w:r>
      <w:r w:rsidR="00C70D85">
        <w:t xml:space="preserve"> </w:t>
      </w:r>
      <w:r w:rsidR="00716020">
        <w:t xml:space="preserve">instead of </w:t>
      </w:r>
      <w:r>
        <w:t xml:space="preserve">the three-year period ending </w:t>
      </w:r>
      <w:r w:rsidR="00716020">
        <w:t>July 30, 2009</w:t>
      </w:r>
      <w:r>
        <w:t>,</w:t>
      </w:r>
      <w:r w:rsidR="00716020">
        <w:t xml:space="preserve"> as proposed by Peoples.  OSBA Statement No. 1 at 5.  </w:t>
      </w:r>
    </w:p>
    <w:p w:rsidR="00FF40AE" w:rsidRDefault="00FF40AE"/>
    <w:p w:rsidR="00FF40AE" w:rsidRDefault="002122EA">
      <w:r>
        <w:t xml:space="preserve">OSBA witness </w:t>
      </w:r>
      <w:r w:rsidR="00912C8E">
        <w:t xml:space="preserve">Mr. </w:t>
      </w:r>
      <w:r w:rsidRPr="00032B88">
        <w:t>Kalcic testified that</w:t>
      </w:r>
      <w:r w:rsidR="00912C8E">
        <w:t>,</w:t>
      </w:r>
      <w:r w:rsidRPr="00032B88">
        <w:t xml:space="preserve"> in examining the reasonableness of Peoples’ estimated LUFG volumes, </w:t>
      </w:r>
      <w:r w:rsidR="00D061EE">
        <w:t xml:space="preserve">the </w:t>
      </w:r>
      <w:r w:rsidRPr="00032B88">
        <w:t>OSBA determined that the 2007-2009 average LUFG rate exceeded the 2006-2008 average LUFG rate</w:t>
      </w:r>
      <w:r w:rsidR="00CF2BF8">
        <w:t>,</w:t>
      </w:r>
      <w:r w:rsidRPr="00032B88">
        <w:t xml:space="preserve"> which the Commission found to be reasonable</w:t>
      </w:r>
      <w:r w:rsidR="00471793">
        <w:t xml:space="preserve"> in the </w:t>
      </w:r>
      <w:r w:rsidR="00471793" w:rsidRPr="00471793">
        <w:rPr>
          <w:i/>
        </w:rPr>
        <w:t>2009 1307(f) Order</w:t>
      </w:r>
      <w:r w:rsidRPr="00032B88">
        <w:t>.  OSBA M.B. 13-14</w:t>
      </w:r>
      <w:r w:rsidR="00471793">
        <w:t xml:space="preserve">.  OSBA Statement 3 at 4. </w:t>
      </w:r>
      <w:r w:rsidRPr="00032B88">
        <w:t xml:space="preserve"> Mr. Kalcic provided the following comparison in Table 2 of his direct testimony:</w:t>
      </w:r>
      <w:r>
        <w:t xml:space="preserve">  </w:t>
      </w:r>
    </w:p>
    <w:p w:rsidR="00FF40AE" w:rsidRDefault="00FF40AE"/>
    <w:tbl>
      <w:tblPr>
        <w:tblW w:w="0" w:type="auto"/>
        <w:jc w:val="center"/>
        <w:tblInd w:w="-429" w:type="dxa"/>
        <w:tblLook w:val="00BF"/>
      </w:tblPr>
      <w:tblGrid>
        <w:gridCol w:w="2754"/>
        <w:gridCol w:w="1636"/>
        <w:gridCol w:w="1636"/>
        <w:gridCol w:w="1501"/>
      </w:tblGrid>
      <w:tr w:rsidR="00860A94" w:rsidRPr="00032B88" w:rsidTr="00186B48">
        <w:trPr>
          <w:jc w:val="center"/>
        </w:trPr>
        <w:tc>
          <w:tcPr>
            <w:tcW w:w="2754" w:type="dxa"/>
          </w:tcPr>
          <w:p w:rsidR="00FF40AE" w:rsidRDefault="00FF40AE">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i/>
              </w:rPr>
            </w:pPr>
          </w:p>
        </w:tc>
        <w:tc>
          <w:tcPr>
            <w:tcW w:w="1636"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i/>
              </w:rPr>
            </w:pPr>
            <w:r w:rsidRPr="00032B88">
              <w:rPr>
                <w:i/>
              </w:rPr>
              <w:t>2006-2008</w:t>
            </w:r>
          </w:p>
        </w:tc>
        <w:tc>
          <w:tcPr>
            <w:tcW w:w="1636"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i/>
              </w:rPr>
            </w:pPr>
            <w:r w:rsidRPr="00032B88">
              <w:rPr>
                <w:i/>
              </w:rPr>
              <w:t>2007-2009</w:t>
            </w:r>
          </w:p>
        </w:tc>
        <w:tc>
          <w:tcPr>
            <w:tcW w:w="1501"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i/>
              </w:rPr>
            </w:pPr>
            <w:r w:rsidRPr="00032B88">
              <w:rPr>
                <w:i/>
              </w:rPr>
              <w:t>Difference</w:t>
            </w:r>
          </w:p>
        </w:tc>
      </w:tr>
      <w:tr w:rsidR="00860A94" w:rsidRPr="00032B88" w:rsidTr="00186B48">
        <w:trPr>
          <w:jc w:val="center"/>
        </w:trPr>
        <w:tc>
          <w:tcPr>
            <w:tcW w:w="2754"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rsidRPr="00032B88">
              <w:t>Total LUFG (Mcf)</w:t>
            </w:r>
          </w:p>
        </w:tc>
        <w:tc>
          <w:tcPr>
            <w:tcW w:w="1636"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right"/>
            </w:pPr>
            <w:r w:rsidRPr="00032B88">
              <w:t>13,083,101</w:t>
            </w:r>
          </w:p>
        </w:tc>
        <w:tc>
          <w:tcPr>
            <w:tcW w:w="1636"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right"/>
            </w:pPr>
            <w:r w:rsidRPr="00032B88">
              <w:t>14,704,195</w:t>
            </w:r>
          </w:p>
        </w:tc>
        <w:tc>
          <w:tcPr>
            <w:tcW w:w="1501"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rsidRPr="00032B88">
              <w:t>-</w:t>
            </w:r>
          </w:p>
        </w:tc>
      </w:tr>
      <w:tr w:rsidR="00860A94" w:rsidRPr="00032B88" w:rsidTr="00186B48">
        <w:trPr>
          <w:jc w:val="center"/>
        </w:trPr>
        <w:tc>
          <w:tcPr>
            <w:tcW w:w="2754"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rsidRPr="00032B88">
              <w:t>Total Supply (Mcf)</w:t>
            </w:r>
          </w:p>
        </w:tc>
        <w:tc>
          <w:tcPr>
            <w:tcW w:w="1636"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right"/>
            </w:pPr>
            <w:r w:rsidRPr="00032B88">
              <w:t>220,439,174</w:t>
            </w:r>
          </w:p>
        </w:tc>
        <w:tc>
          <w:tcPr>
            <w:tcW w:w="1636"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right"/>
            </w:pPr>
            <w:r w:rsidRPr="00032B88">
              <w:t>220,877,265</w:t>
            </w:r>
          </w:p>
        </w:tc>
        <w:tc>
          <w:tcPr>
            <w:tcW w:w="1501"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rsidRPr="00032B88">
              <w:t>-</w:t>
            </w:r>
          </w:p>
        </w:tc>
      </w:tr>
      <w:tr w:rsidR="00860A94" w:rsidRPr="00032B88" w:rsidTr="00186B48">
        <w:trPr>
          <w:jc w:val="center"/>
        </w:trPr>
        <w:tc>
          <w:tcPr>
            <w:tcW w:w="2754"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rsidRPr="00032B88">
              <w:t xml:space="preserve">LUFG Rate </w:t>
            </w:r>
          </w:p>
        </w:tc>
        <w:tc>
          <w:tcPr>
            <w:tcW w:w="1636"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032B88">
              <w:t>5.94%</w:t>
            </w:r>
          </w:p>
        </w:tc>
        <w:tc>
          <w:tcPr>
            <w:tcW w:w="1636"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032B88">
              <w:t>6.66%</w:t>
            </w:r>
          </w:p>
        </w:tc>
        <w:tc>
          <w:tcPr>
            <w:tcW w:w="1501" w:type="dxa"/>
          </w:tcPr>
          <w:p w:rsidR="00FF40AE" w:rsidRDefault="00860A94">
            <w:pPr>
              <w:keepNext/>
              <w:tabs>
                <w:tab w:val="left" w:pos="54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032B88">
              <w:t>0.72%</w:t>
            </w:r>
          </w:p>
        </w:tc>
      </w:tr>
    </w:tbl>
    <w:p w:rsidR="00FF40AE" w:rsidRDefault="00860A94">
      <w:pPr>
        <w:keepNext/>
        <w:tabs>
          <w:tab w:val="left" w:pos="90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firstLine="1152"/>
      </w:pPr>
      <w:r w:rsidRPr="00032B88">
        <w:t>Source:  Peoples Exhibit No. 20 and Peoples’ response to OSBA-I-1.</w:t>
      </w:r>
    </w:p>
    <w:p w:rsidR="00FF40AE" w:rsidRDefault="00B738D9">
      <w:pPr>
        <w:tabs>
          <w:tab w:val="left" w:pos="90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firstLine="0"/>
      </w:pPr>
      <w:r>
        <w:t>OSBA M</w:t>
      </w:r>
      <w:r w:rsidR="00257258">
        <w:t>.</w:t>
      </w:r>
      <w:r>
        <w:t>B</w:t>
      </w:r>
      <w:r w:rsidR="00257258">
        <w:t>.</w:t>
      </w:r>
      <w:r>
        <w:t xml:space="preserve"> at 14. </w:t>
      </w:r>
    </w:p>
    <w:p w:rsidR="00FF40AE" w:rsidRDefault="00FF40AE">
      <w:pPr>
        <w:tabs>
          <w:tab w:val="left" w:pos="90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firstLine="0"/>
      </w:pPr>
    </w:p>
    <w:p w:rsidR="00FF40AE" w:rsidRDefault="00837578">
      <w:r w:rsidRPr="00032B88">
        <w:t xml:space="preserve">Under </w:t>
      </w:r>
      <w:r w:rsidR="00B738D9">
        <w:t xml:space="preserve">the </w:t>
      </w:r>
      <w:r w:rsidRPr="00032B88">
        <w:t>OSBA’s proposal, Peoples would be denied recovery of LUFG-related costs for the period of February 1, 2010, through September 30, 2011, to the extent those costs exceed what they would have been</w:t>
      </w:r>
      <w:r w:rsidR="00257258">
        <w:t xml:space="preserve">, </w:t>
      </w:r>
      <w:r w:rsidR="002C4D34">
        <w:t>based on the</w:t>
      </w:r>
      <w:r w:rsidRPr="00032B88">
        <w:t xml:space="preserve"> average </w:t>
      </w:r>
      <w:r w:rsidR="002C4D34">
        <w:t xml:space="preserve">LUFG </w:t>
      </w:r>
      <w:r w:rsidRPr="00032B88">
        <w:t xml:space="preserve">rate for the 2006-2008 period.  </w:t>
      </w:r>
      <w:r w:rsidR="00B738D9">
        <w:t xml:space="preserve">The </w:t>
      </w:r>
      <w:r w:rsidR="00FC729B">
        <w:t xml:space="preserve">OSBA stated that </w:t>
      </w:r>
      <w:r w:rsidRPr="00032B88">
        <w:t>Peoples would be able to recover most, if not all, of its actual LUFG-related costs for the period of February 1, 2010</w:t>
      </w:r>
      <w:r w:rsidR="00585A31">
        <w:t>,</w:t>
      </w:r>
      <w:r w:rsidRPr="00032B88">
        <w:t xml:space="preserve"> through September 30, 2011, if its LUFG rate went down during that period.  </w:t>
      </w:r>
      <w:r w:rsidR="00B738D9">
        <w:t xml:space="preserve">The </w:t>
      </w:r>
      <w:r w:rsidRPr="00032B88">
        <w:t>OSBA argue</w:t>
      </w:r>
      <w:r>
        <w:t>d</w:t>
      </w:r>
      <w:r w:rsidRPr="00032B88">
        <w:t xml:space="preserve"> that this cap on Peoples’ LUFG rate for the period of February</w:t>
      </w:r>
      <w:r>
        <w:t xml:space="preserve"> 1, </w:t>
      </w:r>
      <w:r w:rsidRPr="00032B88">
        <w:t>2010</w:t>
      </w:r>
      <w:r w:rsidR="00585A31">
        <w:t>,</w:t>
      </w:r>
      <w:r w:rsidRPr="00032B88">
        <w:t xml:space="preserve"> through September 30, 2011</w:t>
      </w:r>
      <w:r w:rsidR="00585A31">
        <w:t>,</w:t>
      </w:r>
      <w:r w:rsidRPr="00032B88">
        <w:t xml:space="preserve"> is necessary because Peoples has failed to demonstrate by a preponderance of the evidence in this proceeding that its LUFG levels are reasonable.  OSBA R</w:t>
      </w:r>
      <w:r w:rsidR="00381BD3">
        <w:t>.</w:t>
      </w:r>
      <w:r w:rsidRPr="00032B88">
        <w:t>B</w:t>
      </w:r>
      <w:r w:rsidR="00381BD3">
        <w:t>.</w:t>
      </w:r>
      <w:r>
        <w:t xml:space="preserve"> at </w:t>
      </w:r>
      <w:r w:rsidRPr="00032B88">
        <w:t>4-10</w:t>
      </w:r>
      <w:r>
        <w:t>.</w:t>
      </w:r>
      <w:r w:rsidRPr="00032B88">
        <w:t xml:space="preserve">  </w:t>
      </w:r>
      <w:r w:rsidR="003020AA">
        <w:t xml:space="preserve">The </w:t>
      </w:r>
      <w:r w:rsidR="00341533" w:rsidRPr="00032B88">
        <w:t xml:space="preserve">OSBA </w:t>
      </w:r>
      <w:r w:rsidR="00341533">
        <w:t>averred</w:t>
      </w:r>
      <w:r w:rsidR="00341533" w:rsidRPr="00032B88">
        <w:t xml:space="preserve"> that the Commission should establish a cap on </w:t>
      </w:r>
      <w:r w:rsidR="00341533" w:rsidRPr="00032B88">
        <w:lastRenderedPageBreak/>
        <w:t>Peoples’ recovery of LUFG costs in order to provide an incentive for Peoples to implement a LUFG mitigation plan that produces results for ratepayers as quickly as possible.  OSBA M</w:t>
      </w:r>
      <w:r w:rsidR="00257258">
        <w:t>.</w:t>
      </w:r>
      <w:r w:rsidR="00341533">
        <w:t>B</w:t>
      </w:r>
      <w:r w:rsidR="00257258">
        <w:t>.</w:t>
      </w:r>
      <w:r w:rsidR="00341533">
        <w:t xml:space="preserve"> at</w:t>
      </w:r>
      <w:r w:rsidR="00341533" w:rsidRPr="00032B88">
        <w:t xml:space="preserve"> 23</w:t>
      </w:r>
      <w:r w:rsidR="00341533">
        <w:t>.</w:t>
      </w:r>
    </w:p>
    <w:p w:rsidR="00FF40AE" w:rsidRDefault="00FF40AE">
      <w:pPr>
        <w:tabs>
          <w:tab w:val="left" w:pos="90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firstLine="0"/>
      </w:pPr>
    </w:p>
    <w:p w:rsidR="00FF40AE" w:rsidRDefault="00470A5C">
      <w:r>
        <w:t>In response to the OSBA’s recommendation, Peoples argue</w:t>
      </w:r>
      <w:r w:rsidR="00B05C75">
        <w:t>d</w:t>
      </w:r>
      <w:r>
        <w:t xml:space="preserve"> that while its LUFG level has gone up, the record amply support</w:t>
      </w:r>
      <w:r w:rsidR="002C4D34">
        <w:t>s</w:t>
      </w:r>
      <w:r>
        <w:t xml:space="preserve"> the conclusion that </w:t>
      </w:r>
      <w:r w:rsidR="008775FD">
        <w:t xml:space="preserve">its LUFG level is still reasonable.  </w:t>
      </w:r>
      <w:r w:rsidR="008775FD" w:rsidRPr="00032B88">
        <w:t>Peoples assert</w:t>
      </w:r>
      <w:r w:rsidR="00B05C75">
        <w:t>ed</w:t>
      </w:r>
      <w:r w:rsidR="008775FD" w:rsidRPr="00032B88">
        <w:t xml:space="preserve"> that it has presented evidence that, unlike many other NGDCs, Peoples’ system includes gathering, transmission and storage assets.</w:t>
      </w:r>
      <w:r w:rsidR="00B05C75">
        <w:t xml:space="preserve"> </w:t>
      </w:r>
      <w:r w:rsidR="008775FD" w:rsidRPr="00032B88">
        <w:t xml:space="preserve"> Peoples argue</w:t>
      </w:r>
      <w:r w:rsidR="00B05C75">
        <w:t>d</w:t>
      </w:r>
      <w:r w:rsidR="008775FD" w:rsidRPr="00032B88">
        <w:t xml:space="preserve"> that the Commission should not compare it to dissimilar NGDC systems when evaluating LUFG levels.  </w:t>
      </w:r>
      <w:r w:rsidR="00B05C75">
        <w:t>Peoples submitted that its</w:t>
      </w:r>
      <w:r w:rsidR="008775FD" w:rsidRPr="00032B88">
        <w:t xml:space="preserve"> system is perhaps unique in Pennsylvania in that it has extensive on-system storage facilities and gathering facilities.  Peoples </w:t>
      </w:r>
      <w:r w:rsidR="009E1597">
        <w:t>averred</w:t>
      </w:r>
      <w:r w:rsidR="008775FD" w:rsidRPr="00032B88">
        <w:t xml:space="preserve"> that these facilities historically have been used to keep gas costs down on Peoples’ system to the benefit of its customers.  </w:t>
      </w:r>
      <w:r w:rsidR="009E1597">
        <w:t>Peoples explained that</w:t>
      </w:r>
      <w:r w:rsidR="00257258">
        <w:t>,</w:t>
      </w:r>
      <w:r w:rsidR="009E1597">
        <w:t xml:space="preserve"> a</w:t>
      </w:r>
      <w:r w:rsidR="008775FD" w:rsidRPr="00032B88">
        <w:t xml:space="preserve">t the same time, these facilities add to the overall levels of LUFG experienced on the entire system.  </w:t>
      </w:r>
      <w:r w:rsidR="009E1597">
        <w:t>Peoples M</w:t>
      </w:r>
      <w:r w:rsidR="00257258">
        <w:t>.</w:t>
      </w:r>
      <w:r w:rsidR="009E1597">
        <w:t>B</w:t>
      </w:r>
      <w:r w:rsidR="00257258">
        <w:t>.</w:t>
      </w:r>
      <w:r w:rsidR="009E1597">
        <w:t xml:space="preserve"> at 11.</w:t>
      </w:r>
    </w:p>
    <w:p w:rsidR="00FF40AE" w:rsidRDefault="00FF40AE"/>
    <w:p w:rsidR="00FF40AE" w:rsidRDefault="009452D3">
      <w:r>
        <w:t xml:space="preserve">Peoples stated that it is complying with the terms of the </w:t>
      </w:r>
      <w:r w:rsidRPr="009452D3">
        <w:rPr>
          <w:i/>
        </w:rPr>
        <w:t>November 2008 Order</w:t>
      </w:r>
      <w:r>
        <w:t xml:space="preserve"> and </w:t>
      </w:r>
      <w:r w:rsidR="00BD6894">
        <w:t xml:space="preserve">the recommendations of the Commission’s </w:t>
      </w:r>
      <w:r w:rsidR="002C4D34">
        <w:t>A</w:t>
      </w:r>
      <w:r w:rsidR="00BD6894">
        <w:t>udit.  Peoples argue</w:t>
      </w:r>
      <w:r w:rsidR="00D65D72">
        <w:t>d</w:t>
      </w:r>
      <w:r w:rsidR="00BD6894">
        <w:t xml:space="preserve"> that disallow</w:t>
      </w:r>
      <w:r w:rsidR="005E000D">
        <w:t>ing</w:t>
      </w:r>
      <w:r w:rsidR="00BD6894">
        <w:t xml:space="preserve"> costs prior to completion of its </w:t>
      </w:r>
      <w:r w:rsidR="000C4419">
        <w:t xml:space="preserve">LUFG mitigation </w:t>
      </w:r>
      <w:r w:rsidR="00BD6894">
        <w:t xml:space="preserve">plans </w:t>
      </w:r>
      <w:r w:rsidR="00D65D72">
        <w:t>“is premature and would be penal.”  Peoples asserted that it needs no further incentive to study and reduce LUFG on its system</w:t>
      </w:r>
      <w:r w:rsidR="00382A25">
        <w:t>,</w:t>
      </w:r>
      <w:r w:rsidR="00D65D72">
        <w:t xml:space="preserve"> and penalizing Peoples</w:t>
      </w:r>
      <w:r w:rsidR="00382A25">
        <w:t>,</w:t>
      </w:r>
      <w:r w:rsidR="00D65D72">
        <w:t xml:space="preserve"> while it conducts the study</w:t>
      </w:r>
      <w:r w:rsidR="00382A25">
        <w:t>,</w:t>
      </w:r>
      <w:r w:rsidR="00D65D72">
        <w:t xml:space="preserve"> i</w:t>
      </w:r>
      <w:r w:rsidR="00382A25">
        <w:t>s</w:t>
      </w:r>
      <w:r w:rsidR="00D65D72">
        <w:t xml:space="preserve"> not in line with the agreements approved by the Commission thus far.  Peoples M</w:t>
      </w:r>
      <w:r w:rsidR="005252CB">
        <w:t>.</w:t>
      </w:r>
      <w:r w:rsidR="009D3392">
        <w:t>B</w:t>
      </w:r>
      <w:r w:rsidR="005252CB">
        <w:t>.</w:t>
      </w:r>
      <w:r w:rsidR="00D65D72">
        <w:t xml:space="preserve"> at 13. </w:t>
      </w:r>
      <w:r w:rsidR="00BD6894">
        <w:t xml:space="preserve"> </w:t>
      </w:r>
    </w:p>
    <w:p w:rsidR="00FF40AE" w:rsidRDefault="00FF40AE"/>
    <w:p w:rsidR="00FF40AE" w:rsidRDefault="009D3392">
      <w:r>
        <w:t xml:space="preserve">Peoples also pointed to testimony that it has complied with </w:t>
      </w:r>
      <w:r w:rsidR="00AB4E62">
        <w:t xml:space="preserve">the terms of the 2009 Settlement Agreement and that it </w:t>
      </w:r>
      <w:r w:rsidR="002545EC">
        <w:t xml:space="preserve">voluntarily </w:t>
      </w:r>
      <w:r w:rsidR="00AB4E62">
        <w:t xml:space="preserve">began an </w:t>
      </w:r>
      <w:r w:rsidR="002545EC">
        <w:t xml:space="preserve">“accelerated and complete” leak survey of its entire 855-mile gathering system.  </w:t>
      </w:r>
      <w:r w:rsidR="00F3338C">
        <w:t xml:space="preserve">Peoples submitted that while the accelerated leak survey plan is expected to begin to lower LUFG levels by 2010, </w:t>
      </w:r>
      <w:r w:rsidR="00F43A11">
        <w:t>the largest impacts will be realized in 2011</w:t>
      </w:r>
      <w:r w:rsidR="007B07B7">
        <w:t>,</w:t>
      </w:r>
      <w:r w:rsidR="00F43A11">
        <w:t xml:space="preserve"> and beyond.  Peoples argued that its gathering </w:t>
      </w:r>
      <w:r w:rsidR="00F43A11">
        <w:lastRenderedPageBreak/>
        <w:t>system leak efforts were not ordered by the Commission, but were un</w:t>
      </w:r>
      <w:r w:rsidR="00382A25">
        <w:t>der</w:t>
      </w:r>
      <w:r w:rsidR="00F43A11">
        <w:t xml:space="preserve">taken without Commission direction </w:t>
      </w:r>
      <w:r w:rsidR="00FC729B">
        <w:t xml:space="preserve">or </w:t>
      </w:r>
      <w:r w:rsidR="00F43A11">
        <w:t xml:space="preserve">capping </w:t>
      </w:r>
      <w:r w:rsidR="005E000D">
        <w:t xml:space="preserve">of </w:t>
      </w:r>
      <w:r w:rsidR="00F43A11">
        <w:t xml:space="preserve">LUFG levels.  </w:t>
      </w:r>
      <w:r w:rsidR="0075775F" w:rsidRPr="0075775F">
        <w:rPr>
          <w:i/>
        </w:rPr>
        <w:t>Id</w:t>
      </w:r>
      <w:r w:rsidR="0075775F">
        <w:t xml:space="preserve">. at </w:t>
      </w:r>
      <w:r w:rsidR="00F43A11">
        <w:t xml:space="preserve">14-15. </w:t>
      </w:r>
    </w:p>
    <w:p w:rsidR="00FF40AE" w:rsidRDefault="00FF40AE"/>
    <w:p w:rsidR="00FF40AE" w:rsidRDefault="00FC729B">
      <w:r>
        <w:t>In his Recommended Decision, t</w:t>
      </w:r>
      <w:r w:rsidR="003A1CEC" w:rsidRPr="0052052F">
        <w:t xml:space="preserve">he ALJ </w:t>
      </w:r>
      <w:r w:rsidRPr="0052052F">
        <w:t>suggested</w:t>
      </w:r>
      <w:r w:rsidR="003A1CEC" w:rsidRPr="0052052F">
        <w:t xml:space="preserve"> that the Commission reject the adjustment proposed by the OSBA for </w:t>
      </w:r>
      <w:r w:rsidR="00087C89">
        <w:t xml:space="preserve">the </w:t>
      </w:r>
      <w:r w:rsidR="003A1CEC" w:rsidRPr="0052052F">
        <w:t>three reasons</w:t>
      </w:r>
      <w:r w:rsidR="00087C89">
        <w:t>:</w:t>
      </w:r>
      <w:r w:rsidR="003A1CEC" w:rsidRPr="0052052F">
        <w:t xml:space="preserve">  </w:t>
      </w:r>
    </w:p>
    <w:p w:rsidR="00FF40AE" w:rsidRDefault="00FF40AE">
      <w:pPr>
        <w:rPr>
          <w:color w:val="4F6228" w:themeColor="accent3" w:themeShade="80"/>
        </w:rPr>
      </w:pPr>
    </w:p>
    <w:p w:rsidR="00FF40AE" w:rsidRDefault="00E20092">
      <w:r w:rsidRPr="0035641E">
        <w:t xml:space="preserve">First, </w:t>
      </w:r>
      <w:r w:rsidR="003A1CEC" w:rsidRPr="0035641E">
        <w:t xml:space="preserve">the ALJ found that </w:t>
      </w:r>
      <w:r w:rsidRPr="0035641E">
        <w:t>Peoples met its burden, pursuant to 66 Pa. C.S. §315, that its LUFG levels are reasonable given the nature of its operation</w:t>
      </w:r>
      <w:r w:rsidR="00AE1EB4">
        <w:t>s</w:t>
      </w:r>
      <w:r w:rsidRPr="0035641E">
        <w:t xml:space="preserve">.  </w:t>
      </w:r>
      <w:r w:rsidR="003A1CEC" w:rsidRPr="0035641E">
        <w:t xml:space="preserve">The ALJ noted that </w:t>
      </w:r>
      <w:r w:rsidRPr="0035641E">
        <w:t>Peoples operates a gathering system containing approximately 855 miles of pipeline</w:t>
      </w:r>
      <w:r w:rsidR="0052052F" w:rsidRPr="0035641E">
        <w:t xml:space="preserve"> a</w:t>
      </w:r>
      <w:r w:rsidR="003A1CEC" w:rsidRPr="0035641E">
        <w:t xml:space="preserve">nd </w:t>
      </w:r>
      <w:r w:rsidR="005E000D">
        <w:t xml:space="preserve">more than </w:t>
      </w:r>
      <w:r w:rsidRPr="0035641E">
        <w:t xml:space="preserve">200 local natural gas producers </w:t>
      </w:r>
      <w:r w:rsidR="005E000D">
        <w:t xml:space="preserve">that </w:t>
      </w:r>
      <w:r w:rsidRPr="0035641E">
        <w:t xml:space="preserve">flow between 38 Bcf and </w:t>
      </w:r>
      <w:r w:rsidR="00B64219">
        <w:t xml:space="preserve">    </w:t>
      </w:r>
      <w:r w:rsidRPr="0035641E">
        <w:t>42</w:t>
      </w:r>
      <w:r w:rsidR="008263FF">
        <w:t xml:space="preserve"> </w:t>
      </w:r>
      <w:r w:rsidRPr="0035641E">
        <w:t xml:space="preserve">Bcf per year into the Peoples gathering system.  </w:t>
      </w:r>
      <w:r w:rsidR="0052052F" w:rsidRPr="0035641E">
        <w:t xml:space="preserve">The ALJ also noted that </w:t>
      </w:r>
      <w:r w:rsidRPr="0035641E">
        <w:t>Peoples owns and operates an on-system storage network that includes five active storage facilities</w:t>
      </w:r>
      <w:r w:rsidR="0052052F" w:rsidRPr="0035641E">
        <w:t xml:space="preserve"> with a </w:t>
      </w:r>
      <w:r w:rsidRPr="0035641E">
        <w:t xml:space="preserve">combined total storage capacity of 33 Bcf.  </w:t>
      </w:r>
      <w:r w:rsidR="007E4076" w:rsidRPr="0035641E">
        <w:t xml:space="preserve">The ALJ also outlined the steps that </w:t>
      </w:r>
      <w:r w:rsidR="005E000D">
        <w:t>P</w:t>
      </w:r>
      <w:r w:rsidR="007E4076" w:rsidRPr="0035641E">
        <w:t xml:space="preserve">eoples has undertaken to increase its procurement of </w:t>
      </w:r>
      <w:r w:rsidR="006C3301" w:rsidRPr="0035641E">
        <w:t xml:space="preserve">lower-cost </w:t>
      </w:r>
      <w:r w:rsidR="007E4076" w:rsidRPr="0035641E">
        <w:t xml:space="preserve">local gas supplies </w:t>
      </w:r>
      <w:r w:rsidR="00DD3529" w:rsidRPr="0035641E">
        <w:t xml:space="preserve">and enable local producers </w:t>
      </w:r>
      <w:r w:rsidR="005E000D">
        <w:t xml:space="preserve">to </w:t>
      </w:r>
      <w:r w:rsidR="00DD3529" w:rsidRPr="0035641E">
        <w:t xml:space="preserve">reach other markets.  The ALJ </w:t>
      </w:r>
      <w:r w:rsidR="00957826" w:rsidRPr="0035641E">
        <w:t xml:space="preserve">submitted that the increases in gathering and storage </w:t>
      </w:r>
      <w:r w:rsidR="00DD3529" w:rsidRPr="0035641E">
        <w:t xml:space="preserve">facilities add to the overall levels of LUFG experienced on the entire system.  </w:t>
      </w:r>
      <w:r w:rsidR="0035641E" w:rsidRPr="0035641E">
        <w:t>The ALJ concluded that</w:t>
      </w:r>
      <w:r w:rsidR="005E000D">
        <w:t>,</w:t>
      </w:r>
      <w:r w:rsidR="0035641E" w:rsidRPr="0035641E">
        <w:t xml:space="preserve"> g</w:t>
      </w:r>
      <w:r w:rsidR="00DD3529" w:rsidRPr="0035641E">
        <w:t>iven Peoples</w:t>
      </w:r>
      <w:r w:rsidR="0035641E" w:rsidRPr="0035641E">
        <w:t>’</w:t>
      </w:r>
      <w:r w:rsidR="00DD3529" w:rsidRPr="0035641E">
        <w:t xml:space="preserve"> extensive gathering and storage facilities necessitated by it large purchases of local gas, its LUFG levels are reasonable.  </w:t>
      </w:r>
      <w:r w:rsidR="00FB37CD">
        <w:t>R.D. at 46-48.</w:t>
      </w:r>
    </w:p>
    <w:p w:rsidR="00FF40AE" w:rsidRDefault="00DD3529">
      <w:pPr>
        <w:rPr>
          <w:color w:val="4F6228" w:themeColor="accent3" w:themeShade="80"/>
        </w:rPr>
      </w:pPr>
      <w:r>
        <w:rPr>
          <w:color w:val="4F6228" w:themeColor="accent3" w:themeShade="80"/>
        </w:rPr>
        <w:t xml:space="preserve"> </w:t>
      </w:r>
    </w:p>
    <w:p w:rsidR="00FF40AE" w:rsidRDefault="00E20092">
      <w:r w:rsidRPr="00087C89">
        <w:t xml:space="preserve">Second, </w:t>
      </w:r>
      <w:r w:rsidR="00563189" w:rsidRPr="00087C89">
        <w:t xml:space="preserve">the ALJ found that </w:t>
      </w:r>
      <w:r w:rsidRPr="00087C89">
        <w:t xml:space="preserve">Peoples demonstrated that it is complying with various Commission orders directing it to mitigate its LUFG levels.  </w:t>
      </w:r>
      <w:r w:rsidR="00563189" w:rsidRPr="00087C89">
        <w:t xml:space="preserve">The ALJ observed that none </w:t>
      </w:r>
      <w:r w:rsidRPr="00087C89">
        <w:t xml:space="preserve">of the </w:t>
      </w:r>
      <w:r w:rsidR="005E000D">
        <w:t>P</w:t>
      </w:r>
      <w:r w:rsidRPr="00087C89">
        <w:t xml:space="preserve">arties presented any evidence that Peoples is violating any Commission order directing Peoples to mitigate its LUFG levels.  </w:t>
      </w:r>
      <w:r w:rsidR="00563189" w:rsidRPr="00087C89">
        <w:t>The ALJ opined</w:t>
      </w:r>
      <w:r w:rsidR="005E000D">
        <w:t>,</w:t>
      </w:r>
      <w:r w:rsidR="00563189" w:rsidRPr="00087C89">
        <w:t xml:space="preserve"> that i</w:t>
      </w:r>
      <w:r w:rsidRPr="00087C89">
        <w:t xml:space="preserve">f Peoples were violating any of the Commission orders directing it to mitigate its LUFG levels, it could form the basis </w:t>
      </w:r>
      <w:r w:rsidR="005E000D">
        <w:t>for</w:t>
      </w:r>
      <w:r w:rsidRPr="00087C89">
        <w:t xml:space="preserve"> a finding that Peoples is not taking reasonable steps to mitigate its LUFG levels and</w:t>
      </w:r>
      <w:r w:rsidR="0075461D">
        <w:t>,</w:t>
      </w:r>
      <w:r w:rsidRPr="00087C89">
        <w:t xml:space="preserve"> therefore</w:t>
      </w:r>
      <w:r w:rsidR="00AE1EB4">
        <w:t>,</w:t>
      </w:r>
      <w:r w:rsidRPr="00087C89">
        <w:t xml:space="preserve"> that its LUFG levels are unreasonable.  </w:t>
      </w:r>
      <w:r w:rsidR="00563189" w:rsidRPr="00087C89">
        <w:t>The ALJ concluded that s</w:t>
      </w:r>
      <w:r w:rsidRPr="00087C89">
        <w:t xml:space="preserve">ince Peoples is complying with Commission orders to mitigate its LUFG </w:t>
      </w:r>
      <w:r w:rsidRPr="00087C89">
        <w:lastRenderedPageBreak/>
        <w:t>levels, it should form the basis of a finding that Peoples is taking reasonable steps to mitigate its LUFG levels and</w:t>
      </w:r>
      <w:r w:rsidR="0075461D">
        <w:t>,</w:t>
      </w:r>
      <w:r w:rsidRPr="00087C89">
        <w:t xml:space="preserve"> therefore</w:t>
      </w:r>
      <w:r w:rsidR="0020269A">
        <w:t>,</w:t>
      </w:r>
      <w:r w:rsidRPr="00087C89">
        <w:t xml:space="preserve"> that its LUFG levels are reasonable.  </w:t>
      </w:r>
      <w:r w:rsidR="00510A9C" w:rsidRPr="00087C89">
        <w:rPr>
          <w:i/>
        </w:rPr>
        <w:t>Id</w:t>
      </w:r>
      <w:r w:rsidR="00510A9C" w:rsidRPr="00087C89">
        <w:t>. at 48.</w:t>
      </w:r>
    </w:p>
    <w:p w:rsidR="00FF40AE" w:rsidRDefault="00FF40AE"/>
    <w:p w:rsidR="00FF40AE" w:rsidRDefault="00E20092">
      <w:r w:rsidRPr="00087C89">
        <w:t xml:space="preserve">Third, </w:t>
      </w:r>
      <w:r w:rsidR="00510A9C" w:rsidRPr="00087C89">
        <w:t xml:space="preserve">the ALJ </w:t>
      </w:r>
      <w:r w:rsidRPr="00087C89">
        <w:t>disagree</w:t>
      </w:r>
      <w:r w:rsidR="00510A9C" w:rsidRPr="00087C89">
        <w:t>d</w:t>
      </w:r>
      <w:r w:rsidRPr="00087C89">
        <w:t xml:space="preserve"> with </w:t>
      </w:r>
      <w:r w:rsidR="00DD05BE">
        <w:t xml:space="preserve">the </w:t>
      </w:r>
      <w:r w:rsidRPr="00087C89">
        <w:t xml:space="preserve">OSBA’s contention that, by presenting evidence that Peoples’ LUFG levels are increasing, it has rebutted Peoples’ evidence that its LUFG levels are reasonable.  </w:t>
      </w:r>
      <w:r w:rsidR="00510A9C" w:rsidRPr="00087C89">
        <w:t xml:space="preserve">The ALJ pointed out that the </w:t>
      </w:r>
      <w:r w:rsidRPr="00087C89">
        <w:t xml:space="preserve">OSBA’s evidence </w:t>
      </w:r>
      <w:r w:rsidR="00DA3424">
        <w:t>d</w:t>
      </w:r>
      <w:r w:rsidRPr="00087C89">
        <w:t>emonstrate</w:t>
      </w:r>
      <w:r w:rsidR="00510A9C" w:rsidRPr="00087C89">
        <w:t>s</w:t>
      </w:r>
      <w:r w:rsidRPr="00087C89">
        <w:t xml:space="preserve"> </w:t>
      </w:r>
      <w:r w:rsidR="00DA3424">
        <w:t xml:space="preserve">only </w:t>
      </w:r>
      <w:r w:rsidRPr="00087C89">
        <w:t xml:space="preserve">that Peoples’ LUFG levels are increasing, which Peoples acknowledges, not that those levels are unreasonable.  </w:t>
      </w:r>
      <w:r w:rsidR="00DD05BE">
        <w:t xml:space="preserve">The ALJ stated that the </w:t>
      </w:r>
      <w:r w:rsidRPr="00087C89">
        <w:t xml:space="preserve">OSBA has not cited any industry standard, Commission regulation or Commission order stating that a particular level of LUFG is unreasonable.  </w:t>
      </w:r>
      <w:r w:rsidR="00156F10" w:rsidRPr="00087C89">
        <w:t xml:space="preserve">Therefore, the ALJ rejected </w:t>
      </w:r>
      <w:r w:rsidR="00087C89" w:rsidRPr="00087C89">
        <w:t xml:space="preserve">the OSBA’s proposal to establish a cap on the amount of LUFG which </w:t>
      </w:r>
      <w:r w:rsidR="00AE1EB4">
        <w:t>P</w:t>
      </w:r>
      <w:r w:rsidR="00087C89" w:rsidRPr="00087C89">
        <w:t>eoples is allowed to collect from its GCR ratepayers during the period February 1, 2010</w:t>
      </w:r>
      <w:r w:rsidR="00DA3424">
        <w:t>,</w:t>
      </w:r>
      <w:r w:rsidR="00087C89" w:rsidRPr="00087C89">
        <w:t xml:space="preserve"> through September 30, 2011.  </w:t>
      </w:r>
      <w:r w:rsidR="00087C89" w:rsidRPr="00087C89">
        <w:rPr>
          <w:i/>
        </w:rPr>
        <w:t>Id.</w:t>
      </w:r>
      <w:r w:rsidR="00087C89" w:rsidRPr="00087C89">
        <w:t xml:space="preserve"> </w:t>
      </w:r>
    </w:p>
    <w:p w:rsidR="00FF40AE" w:rsidRDefault="00FF40AE">
      <w:pPr>
        <w:rPr>
          <w:color w:val="4F6228" w:themeColor="accent3" w:themeShade="80"/>
        </w:rPr>
      </w:pPr>
    </w:p>
    <w:p w:rsidR="00FF40AE" w:rsidRDefault="0082427A">
      <w:r>
        <w:t xml:space="preserve">The OSBA </w:t>
      </w:r>
      <w:r w:rsidR="0023235A">
        <w:t xml:space="preserve">and Dominion Retail </w:t>
      </w:r>
      <w:r>
        <w:t xml:space="preserve">except to the ALJ’s finding that Peoples met its burden of proof that its LUFG is reasonable given the nature of its operation.  The OSBA argues that the ALJ’s conclusion is relevant only if </w:t>
      </w:r>
      <w:r w:rsidR="00F4635D">
        <w:t>P</w:t>
      </w:r>
      <w:r>
        <w:t>eoples is compared to other NGDC</w:t>
      </w:r>
      <w:r w:rsidR="005B22D4">
        <w:t>s</w:t>
      </w:r>
      <w:r>
        <w:t xml:space="preserve"> that do not have extensive gathering and storage facilities. </w:t>
      </w:r>
      <w:r w:rsidR="00365600">
        <w:t xml:space="preserve"> The OSBA points out that Peoples LUFG rate increased and there is no evidence that Peoples’ system has changed significantly in the last several years. </w:t>
      </w:r>
      <w:r w:rsidR="003D2254">
        <w:t xml:space="preserve"> </w:t>
      </w:r>
      <w:r w:rsidR="0031792D">
        <w:t>OSBA</w:t>
      </w:r>
      <w:r w:rsidR="003D2254">
        <w:t xml:space="preserve"> </w:t>
      </w:r>
      <w:r w:rsidR="00D061EE">
        <w:t>Exc</w:t>
      </w:r>
      <w:r w:rsidR="00DA3424">
        <w:t>.</w:t>
      </w:r>
      <w:r w:rsidR="003D2254">
        <w:t xml:space="preserve"> at 16-20.</w:t>
      </w:r>
      <w:r w:rsidR="007A59D1">
        <w:t xml:space="preserve"> </w:t>
      </w:r>
      <w:r w:rsidR="0023235A">
        <w:t xml:space="preserve"> </w:t>
      </w:r>
      <w:r w:rsidR="001575AB">
        <w:t xml:space="preserve">In addition, Dominion Retail argues, </w:t>
      </w:r>
      <w:r w:rsidR="001575AB" w:rsidRPr="0031792D">
        <w:rPr>
          <w:i/>
        </w:rPr>
        <w:t>inter alia</w:t>
      </w:r>
      <w:r w:rsidR="001575AB">
        <w:t xml:space="preserve">, there was no discussion in this proceeding of the degree to which the uniqueness of Peoples’ system affects Peoples operations or the degree to which LUFG levels might reasonably be higher.  </w:t>
      </w:r>
      <w:r w:rsidR="004503CF">
        <w:t xml:space="preserve">Dominion Retail </w:t>
      </w:r>
      <w:r w:rsidR="00D061EE">
        <w:t>Exc</w:t>
      </w:r>
      <w:r w:rsidR="00DA3424">
        <w:t>.</w:t>
      </w:r>
      <w:r w:rsidR="004503CF">
        <w:t xml:space="preserve"> at 9. </w:t>
      </w:r>
    </w:p>
    <w:p w:rsidR="00FF40AE" w:rsidRDefault="00FF40AE"/>
    <w:p w:rsidR="00FF40AE" w:rsidRDefault="00A9469F">
      <w:r>
        <w:t xml:space="preserve">The OSBA </w:t>
      </w:r>
      <w:r w:rsidR="001D5C58">
        <w:t xml:space="preserve">and Dominion Retail </w:t>
      </w:r>
      <w:r>
        <w:t>except to the ALJ</w:t>
      </w:r>
      <w:r w:rsidR="00DA3424">
        <w:t>’s</w:t>
      </w:r>
      <w:r>
        <w:t xml:space="preserve"> conclusion that</w:t>
      </w:r>
      <w:r w:rsidR="00DA3424">
        <w:t>,</w:t>
      </w:r>
      <w:r>
        <w:t xml:space="preserve"> because of Peoples’ extensive gathering and storage systems</w:t>
      </w:r>
      <w:r w:rsidR="00DA3424">
        <w:t>,</w:t>
      </w:r>
      <w:r>
        <w:t xml:space="preserve"> i</w:t>
      </w:r>
      <w:r w:rsidR="00DA3424">
        <w:t>t</w:t>
      </w:r>
      <w:r>
        <w:t xml:space="preserve"> can buy more lower-cost local gas</w:t>
      </w:r>
      <w:r w:rsidR="00DA3424">
        <w:t>,</w:t>
      </w:r>
      <w:r>
        <w:t xml:space="preserve"> which in turn</w:t>
      </w:r>
      <w:r w:rsidR="00DA3424">
        <w:t>,</w:t>
      </w:r>
      <w:r>
        <w:t xml:space="preserve"> will save ratepayers money.  The OSBA </w:t>
      </w:r>
      <w:r w:rsidR="001D5C58">
        <w:t xml:space="preserve">and Dominion Retail </w:t>
      </w:r>
      <w:r>
        <w:t xml:space="preserve">submit that Peoples has presented no evidence that the savings </w:t>
      </w:r>
      <w:r w:rsidR="00DA3424">
        <w:t xml:space="preserve">realized </w:t>
      </w:r>
      <w:r>
        <w:t xml:space="preserve">from purchasing </w:t>
      </w:r>
      <w:r>
        <w:lastRenderedPageBreak/>
        <w:t xml:space="preserve">local gas is enough to offset the </w:t>
      </w:r>
      <w:r w:rsidR="004503CF">
        <w:t>h</w:t>
      </w:r>
      <w:r>
        <w:t>igh</w:t>
      </w:r>
      <w:r w:rsidR="00294A44">
        <w:t xml:space="preserve"> </w:t>
      </w:r>
      <w:r>
        <w:t>LUFG</w:t>
      </w:r>
      <w:r w:rsidR="003D2254">
        <w:t xml:space="preserve"> costs</w:t>
      </w:r>
      <w:r>
        <w:t xml:space="preserve"> </w:t>
      </w:r>
      <w:r w:rsidR="003D2254">
        <w:t xml:space="preserve">related to the gathering system.  </w:t>
      </w:r>
      <w:r w:rsidR="0031792D">
        <w:t>OSBA</w:t>
      </w:r>
      <w:r w:rsidR="0023235A">
        <w:t xml:space="preserve"> </w:t>
      </w:r>
      <w:r w:rsidR="00D061EE">
        <w:t>Exc</w:t>
      </w:r>
      <w:r w:rsidR="00DA3424">
        <w:t>.</w:t>
      </w:r>
      <w:r w:rsidR="003D2254">
        <w:t xml:space="preserve"> at 20. </w:t>
      </w:r>
      <w:r w:rsidR="0023235A">
        <w:t xml:space="preserve"> Dominion Retail </w:t>
      </w:r>
      <w:r w:rsidR="00D061EE">
        <w:t>Exc</w:t>
      </w:r>
      <w:r w:rsidR="00DA3424">
        <w:t>.</w:t>
      </w:r>
      <w:r w:rsidR="0023235A">
        <w:t xml:space="preserve"> at 9.</w:t>
      </w:r>
    </w:p>
    <w:p w:rsidR="00FF40AE" w:rsidRDefault="00FF40AE"/>
    <w:p w:rsidR="00FF40AE" w:rsidRDefault="003D2254">
      <w:r>
        <w:t xml:space="preserve">The OSBA points out that it is possible for an NGDC with an extensive gathering system to achieve </w:t>
      </w:r>
      <w:r w:rsidR="00994DB5">
        <w:t xml:space="preserve">a </w:t>
      </w:r>
      <w:r>
        <w:t xml:space="preserve">significant reduction in LUFG.  </w:t>
      </w:r>
      <w:r w:rsidR="00C84FB5">
        <w:t>The OSBA submits that Equitable Gas Company has extensive gathering systems and had problems with high LUFG.  The OSBA states that</w:t>
      </w:r>
      <w:r w:rsidR="00994DB5">
        <w:t xml:space="preserve">, nonetheless, </w:t>
      </w:r>
      <w:r w:rsidR="00C84FB5">
        <w:t xml:space="preserve">Equitable lowered its LUFG from 8.30% </w:t>
      </w:r>
      <w:r w:rsidR="005B22D4">
        <w:t>in 2008</w:t>
      </w:r>
      <w:r w:rsidR="00BF1CFF">
        <w:t>,</w:t>
      </w:r>
      <w:r w:rsidR="005B22D4">
        <w:t xml:space="preserve"> </w:t>
      </w:r>
      <w:r w:rsidR="00C84FB5">
        <w:t>to 5.78% in 2009</w:t>
      </w:r>
      <w:r w:rsidR="004503CF">
        <w:t>.</w:t>
      </w:r>
      <w:r w:rsidR="009158E5">
        <w:t xml:space="preserve">  </w:t>
      </w:r>
      <w:r w:rsidR="005B22D4">
        <w:t xml:space="preserve">OSBA </w:t>
      </w:r>
      <w:r w:rsidR="00D061EE">
        <w:t>Exc</w:t>
      </w:r>
      <w:r w:rsidR="00994DB5">
        <w:t>.</w:t>
      </w:r>
      <w:r w:rsidR="005B22D4">
        <w:t xml:space="preserve"> </w:t>
      </w:r>
      <w:r w:rsidR="009158E5">
        <w:t>at 20-21.</w:t>
      </w:r>
    </w:p>
    <w:p w:rsidR="00FF40AE" w:rsidRDefault="00FF40AE"/>
    <w:p w:rsidR="00FF40AE" w:rsidRDefault="009158E5">
      <w:r>
        <w:t xml:space="preserve">The OSBA </w:t>
      </w:r>
      <w:r w:rsidR="00EC274D">
        <w:t xml:space="preserve">also </w:t>
      </w:r>
      <w:r>
        <w:t xml:space="preserve">excepts to the ALJ’s conclusion that </w:t>
      </w:r>
      <w:r w:rsidR="00EF7616">
        <w:t>Peoples</w:t>
      </w:r>
      <w:r w:rsidR="00994DB5">
        <w:t>’</w:t>
      </w:r>
      <w:r w:rsidR="00EF7616">
        <w:t xml:space="preserve"> compl</w:t>
      </w:r>
      <w:r w:rsidR="00994DB5">
        <w:t xml:space="preserve">iance </w:t>
      </w:r>
      <w:r w:rsidR="00EF7616">
        <w:t xml:space="preserve">with Commission orders to mitigate LUFG levels should form the basis of a finding that Peoples is taking reasonable steps to mitigate LUFG levels and </w:t>
      </w:r>
      <w:r w:rsidR="00994DB5">
        <w:t>its</w:t>
      </w:r>
      <w:r w:rsidR="00EF7616">
        <w:t xml:space="preserve"> LUFG levels are</w:t>
      </w:r>
      <w:r w:rsidR="00994DB5">
        <w:t xml:space="preserve">, therefore, </w:t>
      </w:r>
      <w:r w:rsidR="00EF7616">
        <w:t xml:space="preserve">reasonable.  The OSBA argues that </w:t>
      </w:r>
      <w:r w:rsidR="000A6B7F">
        <w:t>the reasonable</w:t>
      </w:r>
      <w:r w:rsidR="007122F1">
        <w:t>ness</w:t>
      </w:r>
      <w:r w:rsidR="000A6B7F">
        <w:t xml:space="preserve"> of an expense depends on whether the promised mitigation measures worked, not whether they were carried out.  The OSBA states that following a flawed mitigation plan should not be a safe harbor for Peoples.  </w:t>
      </w:r>
      <w:r w:rsidR="000A6B7F" w:rsidRPr="000A6B7F">
        <w:rPr>
          <w:i/>
          <w:sz w:val="28"/>
        </w:rPr>
        <w:t>Id</w:t>
      </w:r>
      <w:r w:rsidR="000A6B7F">
        <w:t xml:space="preserve">. at 21-22. </w:t>
      </w:r>
      <w:r w:rsidR="007A59D1">
        <w:t xml:space="preserve"> </w:t>
      </w:r>
    </w:p>
    <w:p w:rsidR="00FF40AE" w:rsidRDefault="00FF40AE"/>
    <w:p w:rsidR="00FF40AE" w:rsidRDefault="00D83351">
      <w:r>
        <w:t xml:space="preserve">Similarly, </w:t>
      </w:r>
      <w:r w:rsidR="00772774">
        <w:t xml:space="preserve">Dominion Retail </w:t>
      </w:r>
      <w:r w:rsidR="000C0C81">
        <w:t>avers</w:t>
      </w:r>
      <w:r w:rsidR="00772774">
        <w:t xml:space="preserve"> </w:t>
      </w:r>
      <w:r>
        <w:t xml:space="preserve">that there is no term in the </w:t>
      </w:r>
      <w:r w:rsidR="000C0C81">
        <w:t xml:space="preserve">prior Peoples’ settlements that authorizes Peoples to automatically raise LUFG or bars challenges </w:t>
      </w:r>
      <w:r w:rsidR="00994DB5">
        <w:t xml:space="preserve">from the Parties </w:t>
      </w:r>
      <w:r w:rsidR="000C0C81">
        <w:t xml:space="preserve">to a 20% increase in LUFG.  Dominion Retail states that “Peoples has no free pass from being required to justify this year’s increase” in the LUFG rate.  </w:t>
      </w:r>
      <w:r w:rsidR="00730C61">
        <w:t xml:space="preserve">Dominion Retail submits that a “substantial portion” of the LUFG mitigation </w:t>
      </w:r>
      <w:r w:rsidR="00DD1089">
        <w:t xml:space="preserve">measures presented in Peoples Exhibit 21 were to have been completed before the end of 2009 and should have been reported to the Commission and the </w:t>
      </w:r>
      <w:r w:rsidR="00747976">
        <w:t>P</w:t>
      </w:r>
      <w:r w:rsidR="00DD1089">
        <w:t xml:space="preserve">arties in this case.  </w:t>
      </w:r>
      <w:r w:rsidR="000C0C81">
        <w:t xml:space="preserve">Dominion Retail </w:t>
      </w:r>
      <w:r w:rsidR="00D061EE">
        <w:t>Exc</w:t>
      </w:r>
      <w:r w:rsidR="00747976">
        <w:t>.</w:t>
      </w:r>
      <w:r w:rsidR="008263FF">
        <w:t xml:space="preserve"> </w:t>
      </w:r>
      <w:r w:rsidR="000C0C81">
        <w:t>at 17.</w:t>
      </w:r>
    </w:p>
    <w:p w:rsidR="00FF40AE" w:rsidRDefault="00FF40AE"/>
    <w:p w:rsidR="00FF40AE" w:rsidRDefault="000A6B7F">
      <w:r>
        <w:t xml:space="preserve">The OSBA also argues that the ALJ erred when he concluded that the OSBA failed to present evidence that Peoples LUFG levels are unreasonable. </w:t>
      </w:r>
      <w:r w:rsidR="00B839AA">
        <w:t xml:space="preserve"> In summary, the OSBA </w:t>
      </w:r>
      <w:r w:rsidR="00687115">
        <w:t>aver</w:t>
      </w:r>
      <w:r w:rsidR="001D5C58">
        <w:t>s</w:t>
      </w:r>
      <w:r w:rsidR="00687115">
        <w:t xml:space="preserve"> that Peoples has the burden of proof in the instant proceeding </w:t>
      </w:r>
      <w:r w:rsidR="00687115">
        <w:lastRenderedPageBreak/>
        <w:t>to show that its rates, including the recovery of costs related to LUFG, are reasonable.  The OSBA submits that</w:t>
      </w:r>
      <w:r w:rsidR="00747976">
        <w:t>,</w:t>
      </w:r>
      <w:r w:rsidR="00687115">
        <w:t xml:space="preserve"> even if Peoples’ evidence regarding </w:t>
      </w:r>
      <w:r w:rsidR="00927630">
        <w:t xml:space="preserve">the Commission findings on the 2009 LUFG rate and Peoples’ mitigation efforts is sufficient to meet Peoples’ burden of going forward, the </w:t>
      </w:r>
      <w:r w:rsidR="00747976">
        <w:t xml:space="preserve">Peoples </w:t>
      </w:r>
      <w:r w:rsidR="00927630">
        <w:t xml:space="preserve">has not met the burden of </w:t>
      </w:r>
      <w:r w:rsidR="00D9016D">
        <w:t>persuasion</w:t>
      </w:r>
      <w:r w:rsidR="00927630">
        <w:t xml:space="preserve"> regarding the justness and reasonableness of its proposed rates.  </w:t>
      </w:r>
      <w:r w:rsidR="00927630" w:rsidRPr="00D9016D">
        <w:rPr>
          <w:i/>
        </w:rPr>
        <w:t>Id</w:t>
      </w:r>
      <w:r w:rsidR="00927630">
        <w:t xml:space="preserve">. at </w:t>
      </w:r>
      <w:r w:rsidR="00D9016D">
        <w:t>28-31.</w:t>
      </w:r>
      <w:r w:rsidR="00C84FB5">
        <w:t xml:space="preserve"> </w:t>
      </w:r>
    </w:p>
    <w:p w:rsidR="00FF40AE" w:rsidRDefault="00FF40AE"/>
    <w:p w:rsidR="00FF40AE" w:rsidRDefault="006C6895">
      <w:r>
        <w:t xml:space="preserve">In </w:t>
      </w:r>
      <w:r w:rsidR="004528CE">
        <w:t xml:space="preserve">its Reply Exceptions, Peoples further </w:t>
      </w:r>
      <w:r>
        <w:t>respon</w:t>
      </w:r>
      <w:r w:rsidR="004528CE">
        <w:t>ds</w:t>
      </w:r>
      <w:r>
        <w:t xml:space="preserve"> to </w:t>
      </w:r>
      <w:r w:rsidR="00E66A37">
        <w:t xml:space="preserve">the </w:t>
      </w:r>
      <w:r>
        <w:t xml:space="preserve">challenges </w:t>
      </w:r>
      <w:r w:rsidR="00E66A37">
        <w:t>to</w:t>
      </w:r>
      <w:r>
        <w:t xml:space="preserve"> the effectiveness of Peoples’ LUFG mitigation </w:t>
      </w:r>
      <w:r w:rsidR="00E66A37">
        <w:t>measures</w:t>
      </w:r>
      <w:r w:rsidR="004528CE">
        <w:t xml:space="preserve">. </w:t>
      </w:r>
      <w:r w:rsidR="00E66A37">
        <w:t xml:space="preserve"> Peoples states that </w:t>
      </w:r>
      <w:r w:rsidR="00D00367">
        <w:t>“</w:t>
      </w:r>
      <w:r w:rsidR="00E66A37">
        <w:t xml:space="preserve">the Commission should not condemn </w:t>
      </w:r>
      <w:r w:rsidR="00D00367">
        <w:t xml:space="preserve">Peoples’ ongoing and substantial mitigation measures based on a three-year average 2009 LUFG figure when the impact of the mitigation measures has not yet been experienced.”  Peoples </w:t>
      </w:r>
      <w:r w:rsidR="004528CE">
        <w:t>points out that the LUFG data fil</w:t>
      </w:r>
      <w:r w:rsidR="00877218">
        <w:t>e</w:t>
      </w:r>
      <w:r w:rsidR="004528CE">
        <w:t xml:space="preserve">d in each </w:t>
      </w:r>
      <w:r w:rsidR="00877218">
        <w:t xml:space="preserve">GCR proceeding reflects the year ending the previous July.  For example, the LUFG data filed in the instant case is for the year ending July 2009.  </w:t>
      </w:r>
      <w:r w:rsidR="00622520">
        <w:t>Peoples R</w:t>
      </w:r>
      <w:r w:rsidR="00747976">
        <w:t>.</w:t>
      </w:r>
      <w:r w:rsidR="00622520">
        <w:t>Exc</w:t>
      </w:r>
      <w:r w:rsidR="00747976">
        <w:t xml:space="preserve">. </w:t>
      </w:r>
      <w:r w:rsidR="00622520">
        <w:t xml:space="preserve">at 12. </w:t>
      </w:r>
    </w:p>
    <w:p w:rsidR="00FF40AE" w:rsidRDefault="00FF40AE"/>
    <w:p w:rsidR="00FF40AE" w:rsidRDefault="00465713">
      <w:r>
        <w:t>While the balance of the OTS’ Reply Exception</w:t>
      </w:r>
      <w:r w:rsidR="00B11FA6">
        <w:t>s</w:t>
      </w:r>
      <w:r>
        <w:t xml:space="preserve"> address </w:t>
      </w:r>
      <w:r w:rsidR="0089440A">
        <w:t xml:space="preserve">LUFG as it pertains to </w:t>
      </w:r>
      <w:r>
        <w:t xml:space="preserve">the proposed retainage rates, </w:t>
      </w:r>
      <w:r w:rsidR="0089440A">
        <w:t xml:space="preserve">the OTS argues that a three-year average LUFG rate should be used as a baseline.  </w:t>
      </w:r>
      <w:r w:rsidR="00B11FA6">
        <w:t xml:space="preserve">The </w:t>
      </w:r>
      <w:r w:rsidR="0089440A">
        <w:t xml:space="preserve">OTS explains that LUFG </w:t>
      </w:r>
      <w:r w:rsidR="00B11FA6">
        <w:t>is impacted by outside factors and that actual factors can fluctuate from year to year.  The OTS avers that this is “precisely” why any baseline analysis of LUFG must smooth out abnormalities.  OTS R</w:t>
      </w:r>
      <w:r w:rsidR="00747976">
        <w:t>.</w:t>
      </w:r>
      <w:r w:rsidR="00B11FA6">
        <w:t>Exc</w:t>
      </w:r>
      <w:r w:rsidR="00747976">
        <w:t>.</w:t>
      </w:r>
      <w:r w:rsidR="00B11FA6">
        <w:t xml:space="preserve"> at </w:t>
      </w:r>
      <w:r w:rsidR="00F20D6B">
        <w:t xml:space="preserve">2-3. </w:t>
      </w:r>
    </w:p>
    <w:p w:rsidR="00FF40AE" w:rsidRDefault="00FF40AE"/>
    <w:p w:rsidR="00FF40AE" w:rsidRDefault="008833DB">
      <w:pPr>
        <w:pStyle w:val="Heading4"/>
      </w:pPr>
      <w:bookmarkStart w:id="21" w:name="_Toc271015526"/>
      <w:r>
        <w:t>(d) Disposition</w:t>
      </w:r>
      <w:bookmarkEnd w:id="21"/>
    </w:p>
    <w:p w:rsidR="00FF40AE" w:rsidRDefault="00FF40AE"/>
    <w:p w:rsidR="00FF40AE" w:rsidRDefault="00E82981">
      <w:r>
        <w:t xml:space="preserve">Clearly, Peoples’ LUFG must be reduced as expeditiously as possible.  The historic trend of increasing LUFG rates on Peoples’ system has resulted in negative consequences on our environment, public safety, and the cost of service on sales and transportation customers.  </w:t>
      </w:r>
      <w:r w:rsidR="002B3827">
        <w:t>However</w:t>
      </w:r>
      <w:r>
        <w:t>, t</w:t>
      </w:r>
      <w:r w:rsidR="008D60CB">
        <w:t xml:space="preserve">he record in this proceeding does </w:t>
      </w:r>
      <w:r>
        <w:t xml:space="preserve">not </w:t>
      </w:r>
      <w:r w:rsidR="008D60CB">
        <w:t xml:space="preserve">provide sufficient information </w:t>
      </w:r>
      <w:r>
        <w:t xml:space="preserve">for us </w:t>
      </w:r>
      <w:r w:rsidR="008D60CB">
        <w:t>to develop a specific threshold where Peoples’ LUFG becomes unreasonable for ratemaking purposes</w:t>
      </w:r>
      <w:r w:rsidR="009435D2">
        <w:t xml:space="preserve">.  Therefore, </w:t>
      </w:r>
      <w:r w:rsidR="008D60CB" w:rsidRPr="00E82981">
        <w:rPr>
          <w:i/>
        </w:rPr>
        <w:t>at this time</w:t>
      </w:r>
      <w:r w:rsidR="009435D2">
        <w:rPr>
          <w:i/>
        </w:rPr>
        <w:t>,</w:t>
      </w:r>
      <w:r w:rsidR="002B3827">
        <w:rPr>
          <w:i/>
        </w:rPr>
        <w:t xml:space="preserve"> </w:t>
      </w:r>
      <w:r w:rsidR="002B3827" w:rsidRPr="00630692">
        <w:t xml:space="preserve">we will not </w:t>
      </w:r>
      <w:r w:rsidR="002B3827" w:rsidRPr="00630692">
        <w:lastRenderedPageBreak/>
        <w:t xml:space="preserve">adopt </w:t>
      </w:r>
      <w:r w:rsidR="009435D2">
        <w:t>a</w:t>
      </w:r>
      <w:r w:rsidR="002B3827" w:rsidRPr="00630692">
        <w:t xml:space="preserve"> </w:t>
      </w:r>
      <w:r w:rsidR="00630692" w:rsidRPr="00630692">
        <w:t xml:space="preserve">cap </w:t>
      </w:r>
      <w:r w:rsidR="009435D2">
        <w:t xml:space="preserve">on LUFG such as the one </w:t>
      </w:r>
      <w:r w:rsidR="00630692" w:rsidRPr="00630692">
        <w:t>proposed by the OSBA</w:t>
      </w:r>
      <w:r w:rsidR="00630692">
        <w:t xml:space="preserve"> in this proceeding</w:t>
      </w:r>
      <w:r w:rsidR="008D60CB">
        <w:t xml:space="preserve">.  </w:t>
      </w:r>
      <w:r w:rsidR="00630692">
        <w:t xml:space="preserve">As discussed, </w:t>
      </w:r>
      <w:r w:rsidR="00B50E2F" w:rsidRPr="00B50E2F">
        <w:rPr>
          <w:i/>
        </w:rPr>
        <w:t>infra</w:t>
      </w:r>
      <w:r w:rsidR="00630692">
        <w:t xml:space="preserve">, </w:t>
      </w:r>
      <w:r w:rsidR="004E1C2A">
        <w:t xml:space="preserve">we will direct Peoples to file information in the next 1307(f) proceeding so that </w:t>
      </w:r>
      <w:r w:rsidR="009435D2">
        <w:t>a</w:t>
      </w:r>
      <w:r w:rsidR="004E1C2A">
        <w:t xml:space="preserve"> record may be developed to make a determination </w:t>
      </w:r>
      <w:r w:rsidR="004D342D">
        <w:t>on just and reasonable LUFG rate</w:t>
      </w:r>
      <w:r w:rsidR="009435D2">
        <w:t>.</w:t>
      </w:r>
    </w:p>
    <w:p w:rsidR="00FF40AE" w:rsidRDefault="00FF40AE"/>
    <w:p w:rsidR="00FF40AE" w:rsidRDefault="00B50E2F">
      <w:r>
        <w:t>T</w:t>
      </w:r>
      <w:r w:rsidRPr="0035641E">
        <w:t>he ALJ found that</w:t>
      </w:r>
      <w:r w:rsidR="009435D2" w:rsidRPr="0035641E">
        <w:t xml:space="preserve">, pursuant to 66 Pa. C.S. §315, </w:t>
      </w:r>
      <w:r w:rsidRPr="0035641E">
        <w:t>Peoples met its burden</w:t>
      </w:r>
      <w:r w:rsidR="009435D2">
        <w:t xml:space="preserve"> of showing </w:t>
      </w:r>
      <w:r w:rsidRPr="0035641E">
        <w:t>that its LUFG levels are reasonable</w:t>
      </w:r>
      <w:r w:rsidR="006C7E33">
        <w:t>,</w:t>
      </w:r>
      <w:r w:rsidRPr="0035641E">
        <w:t xml:space="preserve"> given the nature of its operation.  </w:t>
      </w:r>
      <w:r>
        <w:t>W</w:t>
      </w:r>
      <w:r w:rsidR="004D342D">
        <w:t xml:space="preserve">e concur with the ALJ </w:t>
      </w:r>
      <w:r w:rsidR="009872BF">
        <w:t xml:space="preserve">to the extent that Peoples’ gathering and storage systems are likely to contribute to </w:t>
      </w:r>
      <w:r w:rsidR="00062474">
        <w:t xml:space="preserve">a </w:t>
      </w:r>
      <w:r w:rsidR="009872BF">
        <w:t xml:space="preserve">somewhat higher LUFG rates than a NDGC without similar gathering and storage operations.  </w:t>
      </w:r>
      <w:r w:rsidR="00062474">
        <w:t>However, w</w:t>
      </w:r>
      <w:r w:rsidR="00D75E1E">
        <w:t xml:space="preserve">e want to make a clear distinction between the reasonableness of Peoples’ LUFG rate </w:t>
      </w:r>
      <w:r w:rsidR="00D16E15">
        <w:t xml:space="preserve">based on the record in this proceeding </w:t>
      </w:r>
      <w:r w:rsidR="00685A08">
        <w:t xml:space="preserve">and the standard for reasonableness to be developed in future proceedings where </w:t>
      </w:r>
      <w:r w:rsidR="002D7833">
        <w:t xml:space="preserve">Peoples </w:t>
      </w:r>
      <w:r w:rsidR="00685A08">
        <w:t xml:space="preserve">LUFG </w:t>
      </w:r>
      <w:r w:rsidR="002D7833">
        <w:t xml:space="preserve">rates </w:t>
      </w:r>
      <w:r w:rsidR="009435D2">
        <w:t xml:space="preserve">will be </w:t>
      </w:r>
      <w:r w:rsidR="00685A08">
        <w:t xml:space="preserve">addressed.  Our decision </w:t>
      </w:r>
      <w:r w:rsidR="002D59C5">
        <w:t>not to adopt the OSBA’s proposed cap should not be interpreted as a</w:t>
      </w:r>
      <w:r w:rsidR="00677E23">
        <w:t xml:space="preserve"> determination that </w:t>
      </w:r>
      <w:r w:rsidR="002D59C5">
        <w:t>the 6.</w:t>
      </w:r>
      <w:r w:rsidR="005779FC">
        <w:t xml:space="preserve">66% </w:t>
      </w:r>
      <w:r w:rsidR="002D59C5">
        <w:t xml:space="preserve">2007-2009 three-year average </w:t>
      </w:r>
      <w:r w:rsidR="005779FC">
        <w:t xml:space="preserve">LUFG rate </w:t>
      </w:r>
      <w:r w:rsidR="00062474">
        <w:t xml:space="preserve">is </w:t>
      </w:r>
      <w:r w:rsidR="00BB6EE7">
        <w:t xml:space="preserve">a standard for </w:t>
      </w:r>
      <w:r w:rsidR="00062474">
        <w:t>reasonable</w:t>
      </w:r>
      <w:r w:rsidR="00BB6EE7">
        <w:t>ness</w:t>
      </w:r>
      <w:r w:rsidR="00062474">
        <w:t xml:space="preserve"> in the future</w:t>
      </w:r>
      <w:r w:rsidR="00BB6EE7">
        <w:t>.</w:t>
      </w:r>
    </w:p>
    <w:p w:rsidR="00FF40AE" w:rsidRDefault="00FF40AE"/>
    <w:p w:rsidR="00BB6EE7" w:rsidRDefault="00BB6EE7" w:rsidP="00270220">
      <w:r w:rsidRPr="00087C89">
        <w:t>The ALJ concluded that since Peoples is complying with Commission orders to mitigate its LUFG levels, it should form the basis of a finding that Peoples is taking reasonable steps to mitigate its LUFG levels</w:t>
      </w:r>
      <w:r w:rsidR="006C7E33">
        <w:t>,</w:t>
      </w:r>
      <w:r w:rsidRPr="00087C89">
        <w:t xml:space="preserve"> and therefore</w:t>
      </w:r>
      <w:r w:rsidR="006C7E33">
        <w:t>,</w:t>
      </w:r>
      <w:r w:rsidRPr="00087C89">
        <w:t xml:space="preserve"> that its LUFG levels are reasonable. </w:t>
      </w:r>
      <w:r>
        <w:t xml:space="preserve"> </w:t>
      </w:r>
      <w:r w:rsidR="006C7E33">
        <w:t>T</w:t>
      </w:r>
      <w:r w:rsidR="00AE2B00">
        <w:t>he record may indicate that Peoples is complying with the terms of our Orders, the Settlement Agreements and the Audit</w:t>
      </w:r>
      <w:r w:rsidR="006C7E33">
        <w:t xml:space="preserve">.  However, </w:t>
      </w:r>
      <w:r w:rsidR="00D55413">
        <w:t xml:space="preserve">we concur with the OSBA that the reasonableness of a mitigation measure depends on whether the measure was successful in </w:t>
      </w:r>
      <w:r w:rsidR="00E8570B">
        <w:t>reducing</w:t>
      </w:r>
      <w:r w:rsidR="00D55413">
        <w:t xml:space="preserve"> LUFG, not whether </w:t>
      </w:r>
      <w:r w:rsidR="006C7E33">
        <w:t>such measures</w:t>
      </w:r>
      <w:r w:rsidR="00D55413">
        <w:t xml:space="preserve"> were carried out.  Consequently, we reserve </w:t>
      </w:r>
      <w:r w:rsidR="00E8570B">
        <w:t xml:space="preserve">any findings on the reasonableness of Peoples’ LUFG mitigation measure until the costs and benefits of those measures are adequately addressed on the record </w:t>
      </w:r>
      <w:r w:rsidR="00906205">
        <w:t>of</w:t>
      </w:r>
      <w:r w:rsidR="00E8570B">
        <w:t xml:space="preserve"> future proceedings.</w:t>
      </w:r>
    </w:p>
    <w:p w:rsidR="00FF40AE" w:rsidRDefault="00FF40AE"/>
    <w:p w:rsidR="00FF40AE" w:rsidRDefault="00906205">
      <w:r>
        <w:t xml:space="preserve">As discussed in our review of the four recent investigations that addressed Peoples’ LUFG, Peoples has agreed to take specific measures to reduce LUFG and to </w:t>
      </w:r>
      <w:r>
        <w:lastRenderedPageBreak/>
        <w:t xml:space="preserve">examine additional measures to reduce LUFG.  Peoples has also pledged to report to the OSBA, </w:t>
      </w:r>
      <w:r w:rsidR="00A8652C">
        <w:t xml:space="preserve">the </w:t>
      </w:r>
      <w:r>
        <w:t xml:space="preserve">OTS and </w:t>
      </w:r>
      <w:r w:rsidR="00A8652C">
        <w:t xml:space="preserve">the </w:t>
      </w:r>
      <w:r>
        <w:t xml:space="preserve">OCA on the results of its review no later than the submission of its 2011 1307(f) filing.  </w:t>
      </w:r>
      <w:r w:rsidR="00EE1751">
        <w:t xml:space="preserve">The record in this proceeding clearly indicates that we need to accelerate and enhance our review </w:t>
      </w:r>
      <w:r w:rsidR="007D0A31">
        <w:t>of Peoples LUFG.</w:t>
      </w:r>
      <w:r w:rsidR="00E17281">
        <w:t xml:space="preserve">  </w:t>
      </w:r>
      <w:r w:rsidR="007F6E44">
        <w:t>Therefore, i</w:t>
      </w:r>
      <w:r>
        <w:t xml:space="preserve">n addition to providing </w:t>
      </w:r>
      <w:r w:rsidR="007F6E44">
        <w:t xml:space="preserve">the </w:t>
      </w:r>
      <w:r>
        <w:t xml:space="preserve">report </w:t>
      </w:r>
      <w:r w:rsidR="007F6E44">
        <w:t xml:space="preserve">on LUFG measures </w:t>
      </w:r>
      <w:r>
        <w:t>to the statutory interveners, th</w:t>
      </w:r>
      <w:r w:rsidR="007F6E44">
        <w:t>e</w:t>
      </w:r>
      <w:r>
        <w:t xml:space="preserve"> report shall also be submitted as part of Peoples’ next 1307(f) filing.</w:t>
      </w:r>
      <w:r w:rsidR="00E15162">
        <w:t xml:space="preserve"> </w:t>
      </w:r>
      <w:r>
        <w:t xml:space="preserve"> </w:t>
      </w:r>
      <w:r w:rsidR="002C677C">
        <w:t xml:space="preserve">As a supplement or component of </w:t>
      </w:r>
      <w:r w:rsidR="007F6E44">
        <w:t xml:space="preserve">the </w:t>
      </w:r>
      <w:r>
        <w:t xml:space="preserve">report, we also direct Peoples to develop and submit as part of its next 1307(f) filing, specific mitigation measures and </w:t>
      </w:r>
      <w:r w:rsidR="007F6E44">
        <w:t>LUFG target</w:t>
      </w:r>
      <w:r>
        <w:t>s</w:t>
      </w:r>
      <w:r w:rsidR="008665A3">
        <w:rPr>
          <w:rStyle w:val="FootnoteReference"/>
        </w:rPr>
        <w:footnoteReference w:id="11"/>
      </w:r>
      <w:r>
        <w:t xml:space="preserve"> for its: </w:t>
      </w:r>
      <w:r w:rsidR="002C677C">
        <w:t>(</w:t>
      </w:r>
      <w:r w:rsidR="00E15162">
        <w:t>1</w:t>
      </w:r>
      <w:r>
        <w:t xml:space="preserve">) gathering system, </w:t>
      </w:r>
      <w:r w:rsidR="002C677C">
        <w:t>(</w:t>
      </w:r>
      <w:r w:rsidR="00E15162">
        <w:t>2</w:t>
      </w:r>
      <w:r>
        <w:t xml:space="preserve">) storage system and </w:t>
      </w:r>
      <w:r w:rsidR="00E15162">
        <w:t>(3</w:t>
      </w:r>
      <w:r>
        <w:t xml:space="preserve">) transmission </w:t>
      </w:r>
      <w:r w:rsidR="002C677C">
        <w:t xml:space="preserve">and distribution </w:t>
      </w:r>
      <w:r>
        <w:t xml:space="preserve">system for the </w:t>
      </w:r>
      <w:r w:rsidR="007D0A31">
        <w:t>February 1, 2011</w:t>
      </w:r>
      <w:r w:rsidR="00E15162">
        <w:t>,</w:t>
      </w:r>
      <w:r w:rsidR="007D0A31">
        <w:t xml:space="preserve"> to September 30, 2012</w:t>
      </w:r>
      <w:r w:rsidR="00E15162">
        <w:t>,</w:t>
      </w:r>
      <w:r w:rsidR="007D0A31">
        <w:t xml:space="preserve"> projected period</w:t>
      </w:r>
      <w:r>
        <w:t xml:space="preserve"> and two subsequent years following the </w:t>
      </w:r>
      <w:r w:rsidR="008665A3">
        <w:t xml:space="preserve">projected </w:t>
      </w:r>
      <w:r>
        <w:t xml:space="preserve">period.  Peoples shall also file the </w:t>
      </w:r>
      <w:r w:rsidR="00EC5F4D">
        <w:t xml:space="preserve">information that was used to develop </w:t>
      </w:r>
      <w:r w:rsidR="008665A3">
        <w:t>its</w:t>
      </w:r>
      <w:r w:rsidR="00EC5F4D">
        <w:t xml:space="preserve"> measures and targets</w:t>
      </w:r>
      <w:r w:rsidR="008665A3">
        <w:t>,</w:t>
      </w:r>
      <w:r w:rsidR="00EC5F4D">
        <w:t xml:space="preserve"> such as the </w:t>
      </w:r>
      <w:r>
        <w:t>engineering analysi</w:t>
      </w:r>
      <w:r w:rsidR="00CA1643">
        <w:t xml:space="preserve">s and </w:t>
      </w:r>
      <w:r w:rsidR="00A86343">
        <w:t xml:space="preserve">the </w:t>
      </w:r>
      <w:r>
        <w:t>cost and benefit data (actual and projected)</w:t>
      </w:r>
      <w:r w:rsidR="00D13F83">
        <w:t xml:space="preserve">. </w:t>
      </w:r>
      <w:r w:rsidR="008665A3">
        <w:t xml:space="preserve"> </w:t>
      </w:r>
      <w:r>
        <w:t xml:space="preserve">Our </w:t>
      </w:r>
      <w:r w:rsidR="00EC5F4D">
        <w:t>p</w:t>
      </w:r>
      <w:r>
        <w:t>rimary objectives in establishing these filing requirements are</w:t>
      </w:r>
      <w:r w:rsidR="00350FA4">
        <w:t xml:space="preserve"> to ensure</w:t>
      </w:r>
      <w:r>
        <w:t xml:space="preserve">: </w:t>
      </w:r>
      <w:r w:rsidR="00350FA4">
        <w:t>(</w:t>
      </w:r>
      <w:r>
        <w:t>1) that Peoples has developed an appropriate plan to reduce LUFG</w:t>
      </w:r>
      <w:r w:rsidR="00EC5F4D">
        <w:t>;</w:t>
      </w:r>
      <w:r>
        <w:t xml:space="preserve"> </w:t>
      </w:r>
      <w:r w:rsidR="00350FA4">
        <w:t>(</w:t>
      </w:r>
      <w:r>
        <w:t>2) that the record is developed in subsequent 1307(f) proceedings to determine the extent to which Peoples’ LUFG levels are just and reasonable</w:t>
      </w:r>
      <w:r w:rsidR="006134A3">
        <w:t>;</w:t>
      </w:r>
      <w:r w:rsidR="00350FA4">
        <w:t xml:space="preserve"> and (3) that the record contains sufficient </w:t>
      </w:r>
      <w:r w:rsidR="00EC5F4D">
        <w:t>information</w:t>
      </w:r>
      <w:r w:rsidR="00350FA4">
        <w:t xml:space="preserve"> to</w:t>
      </w:r>
      <w:r>
        <w:t xml:space="preserve"> </w:t>
      </w:r>
      <w:r w:rsidR="00EC5F4D">
        <w:t xml:space="preserve">make an adjustment to Peoples’ rates, if warranted. </w:t>
      </w:r>
    </w:p>
    <w:p w:rsidR="00FF40AE" w:rsidRDefault="00FF40AE"/>
    <w:p w:rsidR="00FF40AE" w:rsidRDefault="007F618D">
      <w:pPr>
        <w:pStyle w:val="Heading3"/>
      </w:pPr>
      <w:bookmarkStart w:id="22" w:name="_Toc271015527"/>
      <w:r>
        <w:t xml:space="preserve">2. </w:t>
      </w:r>
      <w:r w:rsidR="00EB7773">
        <w:t xml:space="preserve"> </w:t>
      </w:r>
      <w:r>
        <w:t>Retainage Rates</w:t>
      </w:r>
      <w:bookmarkEnd w:id="22"/>
    </w:p>
    <w:p w:rsidR="00FF40AE" w:rsidRDefault="00FF40AE">
      <w:pPr>
        <w:rPr>
          <w:color w:val="632423" w:themeColor="accent2" w:themeShade="80"/>
        </w:rPr>
      </w:pPr>
    </w:p>
    <w:p w:rsidR="00FF40AE" w:rsidRDefault="003F6A3B">
      <w:r w:rsidRPr="003F6A3B">
        <w:t xml:space="preserve">Under the </w:t>
      </w:r>
      <w:r w:rsidR="00C32337" w:rsidRPr="003F6A3B">
        <w:t>proposed Settlement Agreement</w:t>
      </w:r>
      <w:r w:rsidR="00D54195">
        <w:t>,</w:t>
      </w:r>
      <w:r w:rsidR="00C32337" w:rsidRPr="003F6A3B">
        <w:t xml:space="preserve"> the retain</w:t>
      </w:r>
      <w:r w:rsidR="006134A3">
        <w:t>a</w:t>
      </w:r>
      <w:r w:rsidR="00C32337" w:rsidRPr="003F6A3B">
        <w:t>g</w:t>
      </w:r>
      <w:r w:rsidR="006134A3">
        <w:t>e</w:t>
      </w:r>
      <w:r w:rsidR="00C32337" w:rsidRPr="003F6A3B">
        <w:t xml:space="preserve"> rate for small General Service Transportation customers (Rate GS-T) </w:t>
      </w:r>
      <w:r w:rsidRPr="003F6A3B">
        <w:t xml:space="preserve">would increase </w:t>
      </w:r>
      <w:r w:rsidR="00C32337" w:rsidRPr="003F6A3B">
        <w:t xml:space="preserve">from 7.3% to 7.8% and the </w:t>
      </w:r>
      <w:r w:rsidRPr="003F6A3B">
        <w:t xml:space="preserve">retainage </w:t>
      </w:r>
      <w:r w:rsidR="00C32337" w:rsidRPr="003F6A3B">
        <w:t>rate for large Transportation Service-</w:t>
      </w:r>
      <w:r w:rsidRPr="003F6A3B">
        <w:t xml:space="preserve">Industrial (Rate T) customers would increase from 5.2% to 5.6%.  Settlement Agreement at 10 and Appendix B. </w:t>
      </w:r>
      <w:r w:rsidR="00C32337" w:rsidRPr="003F6A3B">
        <w:t xml:space="preserve"> </w:t>
      </w:r>
    </w:p>
    <w:p w:rsidR="00FF40AE" w:rsidRDefault="00FF40AE"/>
    <w:p w:rsidR="00FF40AE" w:rsidRDefault="00650A59">
      <w:pPr>
        <w:pStyle w:val="Heading4"/>
      </w:pPr>
      <w:bookmarkStart w:id="23" w:name="_Toc271015528"/>
      <w:r>
        <w:lastRenderedPageBreak/>
        <w:t>(a) Dominion Retail’s Opposition to Increase in Retainage Rates</w:t>
      </w:r>
      <w:bookmarkEnd w:id="23"/>
    </w:p>
    <w:p w:rsidR="00FF40AE" w:rsidRDefault="00FF40AE">
      <w:pPr>
        <w:keepNext/>
      </w:pPr>
    </w:p>
    <w:p w:rsidR="00FF40AE" w:rsidRDefault="00723DAB">
      <w:pPr>
        <w:keepNext/>
      </w:pPr>
      <w:r>
        <w:t>Dominion Retail stated that the driver of these increases is a 20% increase in LUFG over the last year and a 40% increase over the last three years.  Dominion Retail M</w:t>
      </w:r>
      <w:r w:rsidR="006134A3">
        <w:t>.</w:t>
      </w:r>
      <w:r>
        <w:t>B</w:t>
      </w:r>
      <w:r w:rsidR="006134A3">
        <w:t>.</w:t>
      </w:r>
      <w:r>
        <w:t xml:space="preserve"> at 2.  Dominion Retail described retainage rates as a “loss tax.”</w:t>
      </w:r>
      <w:r w:rsidR="00810FB8">
        <w:t xml:space="preserve"> and</w:t>
      </w:r>
      <w:r>
        <w:t xml:space="preserve"> explained that if the retainage rate were set at 7.8%, a transportation customer delivering 1,000 Mcf into Peoples’ system</w:t>
      </w:r>
      <w:r w:rsidR="00810FB8">
        <w:t xml:space="preserve"> wo</w:t>
      </w:r>
      <w:r>
        <w:t xml:space="preserve">uld receive credit of 922 Mcf at the burner tip.  Dominion Retail averred that the 78 Mcf difference is LUFG.  </w:t>
      </w:r>
      <w:r w:rsidRPr="00E57EBC">
        <w:rPr>
          <w:i/>
        </w:rPr>
        <w:t>Id</w:t>
      </w:r>
      <w:r>
        <w:t xml:space="preserve">. at 7.  </w:t>
      </w:r>
    </w:p>
    <w:p w:rsidR="00FF40AE" w:rsidRDefault="00FF40AE">
      <w:pPr>
        <w:keepNext/>
      </w:pPr>
    </w:p>
    <w:p w:rsidR="00FF40AE" w:rsidRDefault="00061114">
      <w:r>
        <w:t xml:space="preserve">Dominion Retail pointed out that Peoples originally proposed no change to transportation retainage LUFG levels </w:t>
      </w:r>
      <w:r w:rsidR="00FD698E">
        <w:t>in its initial Supplement No. 119 filing.  Dominion Retail submitted that</w:t>
      </w:r>
      <w:r w:rsidR="006134A3">
        <w:t>,</w:t>
      </w:r>
      <w:r w:rsidR="00FD698E">
        <w:t xml:space="preserve"> on rebuttal, Peoples adopted the OTS’ recommendation that retainage </w:t>
      </w:r>
      <w:r w:rsidR="00914DFD">
        <w:t xml:space="preserve">should be increased by the average of three years’ experience.  </w:t>
      </w:r>
      <w:r w:rsidR="00914DFD" w:rsidRPr="00914DFD">
        <w:rPr>
          <w:i/>
        </w:rPr>
        <w:t>Id</w:t>
      </w:r>
      <w:r w:rsidR="00914DFD">
        <w:t xml:space="preserve">. at 20.  </w:t>
      </w:r>
      <w:r w:rsidR="00D54195">
        <w:t>Dominion</w:t>
      </w:r>
      <w:r w:rsidR="00543972">
        <w:t xml:space="preserve"> Retail </w:t>
      </w:r>
      <w:r w:rsidR="000B39DC">
        <w:t>r</w:t>
      </w:r>
      <w:r w:rsidR="00543972">
        <w:t xml:space="preserve">equested that </w:t>
      </w:r>
      <w:r w:rsidR="00D54195">
        <w:t xml:space="preserve">the </w:t>
      </w:r>
      <w:r w:rsidR="00543972">
        <w:t xml:space="preserve">increases in the retainage rates proposed in the Settlement Agreement </w:t>
      </w:r>
      <w:r w:rsidR="00D54195">
        <w:t xml:space="preserve">be rejected </w:t>
      </w:r>
      <w:r w:rsidR="00543972">
        <w:t xml:space="preserve">and that </w:t>
      </w:r>
      <w:r w:rsidR="00F85AF2">
        <w:t xml:space="preserve">the retainage rates </w:t>
      </w:r>
      <w:r w:rsidR="001F1087">
        <w:t>for Rate GS-T and Rate T r</w:t>
      </w:r>
      <w:r w:rsidR="00F85AF2">
        <w:t>emain at 7.3% and 5.2%, respectively</w:t>
      </w:r>
      <w:r w:rsidR="001F1087">
        <w:t xml:space="preserve">.  Dominion Retail also recommended that the retainage rates be lowered </w:t>
      </w:r>
      <w:r w:rsidR="00D54195">
        <w:t>without any recourse to any other customer class</w:t>
      </w:r>
      <w:r w:rsidR="001F1087">
        <w:t>.</w:t>
      </w:r>
      <w:r w:rsidR="00D54195">
        <w:t xml:space="preserve">  </w:t>
      </w:r>
      <w:r w:rsidR="00D54195" w:rsidRPr="00D54195">
        <w:rPr>
          <w:i/>
        </w:rPr>
        <w:t>Id</w:t>
      </w:r>
      <w:r w:rsidR="00D54195">
        <w:t xml:space="preserve">. at 21.  </w:t>
      </w:r>
    </w:p>
    <w:p w:rsidR="00FF40AE" w:rsidRDefault="00FF40AE"/>
    <w:p w:rsidR="000407AE" w:rsidRDefault="00B74018" w:rsidP="00270220">
      <w:r>
        <w:t xml:space="preserve">In his direct testimony, OTS witness </w:t>
      </w:r>
      <w:r w:rsidR="006134A3">
        <w:t xml:space="preserve">Mr. </w:t>
      </w:r>
      <w:r>
        <w:t xml:space="preserve">Kubas explained that OTS’ proposed retainage rates for transportation customers </w:t>
      </w:r>
      <w:r w:rsidR="0045364C">
        <w:t xml:space="preserve">were based on the three-year average </w:t>
      </w:r>
      <w:r w:rsidR="00626747">
        <w:t xml:space="preserve">(2007-2009) </w:t>
      </w:r>
      <w:r w:rsidR="0045364C">
        <w:t>of LUFG (5.34%) and company use gas (2.20%)</w:t>
      </w:r>
      <w:r w:rsidR="00D92D1C">
        <w:t xml:space="preserve"> for a total of 7.54%</w:t>
      </w:r>
      <w:r w:rsidR="0045364C">
        <w:t xml:space="preserve">. </w:t>
      </w:r>
      <w:r>
        <w:t xml:space="preserve"> </w:t>
      </w:r>
      <w:r w:rsidR="00D92D1C">
        <w:t xml:space="preserve">Mr. Kubas submitted that a 0.5% increase to the </w:t>
      </w:r>
      <w:r w:rsidR="00E63BB3">
        <w:t xml:space="preserve">Rate </w:t>
      </w:r>
      <w:r w:rsidR="00D92D1C">
        <w:t>GS</w:t>
      </w:r>
      <w:r w:rsidR="00626747">
        <w:t>-</w:t>
      </w:r>
      <w:r w:rsidR="00D92D1C">
        <w:t>T</w:t>
      </w:r>
      <w:r w:rsidR="00626747">
        <w:t xml:space="preserve"> r</w:t>
      </w:r>
      <w:r w:rsidR="00D92D1C">
        <w:t xml:space="preserve">etainage rate and </w:t>
      </w:r>
      <w:r w:rsidR="00626747">
        <w:t xml:space="preserve">a 0.4% increase to the Rate T </w:t>
      </w:r>
      <w:r w:rsidR="00AF302F">
        <w:t xml:space="preserve">retainage rate </w:t>
      </w:r>
      <w:r w:rsidR="00626747">
        <w:t xml:space="preserve">yields a weighted combined 7.54% rate for </w:t>
      </w:r>
      <w:r w:rsidR="00E63BB3">
        <w:t xml:space="preserve">customers of both rates. </w:t>
      </w:r>
      <w:r w:rsidR="00626747">
        <w:t xml:space="preserve"> </w:t>
      </w:r>
      <w:r w:rsidR="00E63BB3">
        <w:t>Mr. Kubas testified that he proposed</w:t>
      </w:r>
      <w:r w:rsidR="00AF302F">
        <w:t xml:space="preserve"> a</w:t>
      </w:r>
      <w:r w:rsidR="00E63BB3">
        <w:t xml:space="preserve"> </w:t>
      </w:r>
      <w:r w:rsidR="00AF302F">
        <w:t>s</w:t>
      </w:r>
      <w:r w:rsidR="00E63BB3">
        <w:t xml:space="preserve">lightly larger increase for the GS-T rates “since it is the larger of the two rates.”  </w:t>
      </w:r>
      <w:r w:rsidR="00183879">
        <w:t xml:space="preserve">OTS Statement No. 1 at 8.  Mr. Kubas averred that the </w:t>
      </w:r>
      <w:r w:rsidR="006134A3">
        <w:t xml:space="preserve">setting of a </w:t>
      </w:r>
      <w:r w:rsidR="00183879">
        <w:t>ret</w:t>
      </w:r>
      <w:r w:rsidR="00DA4557">
        <w:t>a</w:t>
      </w:r>
      <w:r w:rsidR="00183879">
        <w:t xml:space="preserve">inage </w:t>
      </w:r>
      <w:r w:rsidR="006134A3">
        <w:t>rate</w:t>
      </w:r>
      <w:r w:rsidR="00183879">
        <w:t xml:space="preserve"> is important because a retainage rate that is too high will cause </w:t>
      </w:r>
      <w:r w:rsidR="00AF302F">
        <w:t>transp</w:t>
      </w:r>
      <w:r w:rsidR="00482950">
        <w:t>o</w:t>
      </w:r>
      <w:r w:rsidR="00AF302F">
        <w:t>rt</w:t>
      </w:r>
      <w:r w:rsidR="00482950">
        <w:t>at</w:t>
      </w:r>
      <w:r w:rsidR="00AF302F">
        <w:t>ion</w:t>
      </w:r>
      <w:r w:rsidR="00183879">
        <w:t xml:space="preserve"> customers to overpay for LUFG and company use gas and</w:t>
      </w:r>
      <w:r w:rsidR="00482950">
        <w:t>,</w:t>
      </w:r>
      <w:r w:rsidR="00183879">
        <w:t xml:space="preserve"> </w:t>
      </w:r>
      <w:r w:rsidR="00DA4557">
        <w:t xml:space="preserve">therefore, </w:t>
      </w:r>
      <w:r w:rsidR="00183879">
        <w:t xml:space="preserve">discourage competition from alternate suppliers.  He stated that a retainage rate that is too </w:t>
      </w:r>
      <w:r w:rsidR="00DA4557">
        <w:t>l</w:t>
      </w:r>
      <w:r w:rsidR="00183879">
        <w:t xml:space="preserve">ow </w:t>
      </w:r>
      <w:r w:rsidR="00DA4557">
        <w:t xml:space="preserve">will harm 1307(f) (sales) customers by causing them to pay </w:t>
      </w:r>
      <w:r w:rsidR="00DA4557">
        <w:lastRenderedPageBreak/>
        <w:t xml:space="preserve">for the cost of LUFG and company use gas that should be </w:t>
      </w:r>
      <w:r w:rsidR="00482950">
        <w:t xml:space="preserve">allocate to </w:t>
      </w:r>
      <w:r w:rsidR="00DA4557">
        <w:t xml:space="preserve">transportation customers. </w:t>
      </w:r>
      <w:r w:rsidR="00183879">
        <w:t xml:space="preserve"> </w:t>
      </w:r>
      <w:r w:rsidR="00DA4557" w:rsidRPr="00DA4557">
        <w:rPr>
          <w:i/>
        </w:rPr>
        <w:t>Id</w:t>
      </w:r>
      <w:r w:rsidR="00DA4557">
        <w:t xml:space="preserve">. at 4-5. </w:t>
      </w:r>
    </w:p>
    <w:p w:rsidR="00FF40AE" w:rsidRDefault="00FF40AE"/>
    <w:p w:rsidR="00FF40AE" w:rsidRDefault="000B39DC">
      <w:r>
        <w:t xml:space="preserve">Dominion </w:t>
      </w:r>
      <w:r w:rsidR="00E57EBC">
        <w:t>Retail’s</w:t>
      </w:r>
      <w:r>
        <w:t xml:space="preserve"> primary arguments against the </w:t>
      </w:r>
      <w:r w:rsidR="001739B5">
        <w:t xml:space="preserve">proposed </w:t>
      </w:r>
      <w:r>
        <w:t xml:space="preserve">increase in the retainage rates largely parallel </w:t>
      </w:r>
      <w:r w:rsidR="00482950">
        <w:t>its</w:t>
      </w:r>
      <w:r>
        <w:t xml:space="preserve"> arguments against the increase in LUFG</w:t>
      </w:r>
      <w:r w:rsidR="00482950">
        <w:t>.</w:t>
      </w:r>
      <w:r>
        <w:t xml:space="preserve">  </w:t>
      </w:r>
      <w:r w:rsidR="001469E5">
        <w:t>Dominion</w:t>
      </w:r>
      <w:r w:rsidR="00F84AAA">
        <w:t xml:space="preserve"> Retail also argued that the OTS’ proposed three-year average LUFG rates do not ultimately reduce the level of retainage that transportation customers must pay.  Dominion Retail explained that </w:t>
      </w:r>
      <w:r w:rsidR="001469E5">
        <w:t xml:space="preserve">averaging just moderates the effect of changes of LUFG on transportation customers.  </w:t>
      </w:r>
      <w:r w:rsidR="00AF302F">
        <w:t>Dominion Retail M</w:t>
      </w:r>
      <w:r w:rsidR="00482950">
        <w:t>.</w:t>
      </w:r>
      <w:r w:rsidR="00AF302F">
        <w:t>B</w:t>
      </w:r>
      <w:r w:rsidR="00482950">
        <w:t>.</w:t>
      </w:r>
      <w:r w:rsidR="00AF302F">
        <w:t xml:space="preserve"> at </w:t>
      </w:r>
      <w:r w:rsidR="000149E1">
        <w:t xml:space="preserve">7. </w:t>
      </w:r>
    </w:p>
    <w:p w:rsidR="00FF40AE" w:rsidRDefault="00FF40AE"/>
    <w:p w:rsidR="00FF40AE" w:rsidRDefault="002321BF">
      <w:pPr>
        <w:tabs>
          <w:tab w:val="left" w:pos="540"/>
          <w:tab w:val="right" w:leader="dot" w:pos="9360"/>
        </w:tabs>
      </w:pPr>
      <w:r>
        <w:t xml:space="preserve">The ALJ </w:t>
      </w:r>
      <w:r w:rsidR="00A97271">
        <w:t xml:space="preserve">found that </w:t>
      </w:r>
      <w:r>
        <w:t>i</w:t>
      </w:r>
      <w:r w:rsidRPr="00032B88">
        <w:t xml:space="preserve">t </w:t>
      </w:r>
      <w:r>
        <w:t>wa</w:t>
      </w:r>
      <w:r w:rsidRPr="00032B88">
        <w:t xml:space="preserve">s reasonable for Peoples to adopt OTS’ position regarding retainage rates since </w:t>
      </w:r>
      <w:r>
        <w:t>“</w:t>
      </w:r>
      <w:r w:rsidRPr="00032B88">
        <w:t>it agrees that the retainage rates should track LUFG.</w:t>
      </w:r>
      <w:r>
        <w:t>”</w:t>
      </w:r>
      <w:r w:rsidRPr="00032B88">
        <w:t xml:space="preserve"> </w:t>
      </w:r>
      <w:r w:rsidR="00482950">
        <w:t xml:space="preserve">R.D. at 51.  </w:t>
      </w:r>
      <w:r w:rsidR="00A97271">
        <w:t xml:space="preserve">The ALJ stated that </w:t>
      </w:r>
      <w:r w:rsidRPr="00032B88">
        <w:t xml:space="preserve">Peoples adopted the OTS position regarding retainage rates in order to promote a settlement in this proceeding.  </w:t>
      </w:r>
      <w:r w:rsidR="00A97271">
        <w:t>The ALJ concluded that “[b]</w:t>
      </w:r>
      <w:r w:rsidRPr="00032B88">
        <w:t xml:space="preserve">y adopting the OTS position, which </w:t>
      </w:r>
      <w:r w:rsidR="00A97271">
        <w:t>is</w:t>
      </w:r>
      <w:r w:rsidRPr="00032B88">
        <w:t xml:space="preserve"> reasonable, Peoples has furthered the Commission’s policy</w:t>
      </w:r>
      <w:r w:rsidR="00A97271">
        <w:t xml:space="preserve">” regarding settlements. </w:t>
      </w:r>
      <w:r w:rsidRPr="00032B88">
        <w:t xml:space="preserve"> </w:t>
      </w:r>
      <w:r w:rsidR="00056B5A">
        <w:t xml:space="preserve">The ALJ also found that </w:t>
      </w:r>
      <w:r w:rsidRPr="00032B88">
        <w:t>Dominion</w:t>
      </w:r>
      <w:r w:rsidR="00350EA7">
        <w:t xml:space="preserve"> Retail </w:t>
      </w:r>
      <w:r w:rsidRPr="00032B88">
        <w:t xml:space="preserve">has not presented evidence that would justify </w:t>
      </w:r>
      <w:r w:rsidR="00482950">
        <w:t xml:space="preserve">rejection of the </w:t>
      </w:r>
      <w:r w:rsidRPr="00032B88">
        <w:t xml:space="preserve">agreement between OTS and Peoples on this issue.  </w:t>
      </w:r>
      <w:r w:rsidR="00056B5A">
        <w:t>The ALJ</w:t>
      </w:r>
      <w:r w:rsidR="000716A4">
        <w:t>,</w:t>
      </w:r>
      <w:r w:rsidR="00056B5A">
        <w:t xml:space="preserve"> therefore</w:t>
      </w:r>
      <w:r w:rsidR="000716A4">
        <w:t>,</w:t>
      </w:r>
      <w:r w:rsidRPr="00032B88">
        <w:t xml:space="preserve"> reject</w:t>
      </w:r>
      <w:r w:rsidR="00056B5A">
        <w:t>ed</w:t>
      </w:r>
      <w:r w:rsidRPr="00032B88">
        <w:t xml:space="preserve"> Dominion</w:t>
      </w:r>
      <w:r w:rsidR="00056B5A">
        <w:t xml:space="preserve"> Retail’s </w:t>
      </w:r>
      <w:r w:rsidRPr="00032B88">
        <w:t xml:space="preserve">proposal that Peoples’ retainage rates remain at their existing levels.  </w:t>
      </w:r>
      <w:r w:rsidR="000716A4" w:rsidRPr="000716A4">
        <w:rPr>
          <w:i/>
        </w:rPr>
        <w:t>Id</w:t>
      </w:r>
      <w:r w:rsidR="000716A4">
        <w:t xml:space="preserve">. </w:t>
      </w:r>
      <w:r>
        <w:t xml:space="preserve"> </w:t>
      </w:r>
    </w:p>
    <w:p w:rsidR="00FF40AE" w:rsidRDefault="00FF40AE">
      <w:pPr>
        <w:tabs>
          <w:tab w:val="left" w:pos="540"/>
          <w:tab w:val="right" w:leader="dot" w:pos="9360"/>
        </w:tabs>
      </w:pPr>
    </w:p>
    <w:p w:rsidR="00FF40AE" w:rsidRDefault="00EA5977">
      <w:r w:rsidRPr="009367E1">
        <w:t xml:space="preserve">In addition to the arguments presented on LUFG, Dominion Retail excepts to the </w:t>
      </w:r>
      <w:r w:rsidR="009367E1">
        <w:t xml:space="preserve">ALJ’s conclusion that the three-year average calculation of retainage accurately tracks LUFG.  Dominion Retail </w:t>
      </w:r>
      <w:r w:rsidR="00405982">
        <w:t>states</w:t>
      </w:r>
      <w:r w:rsidR="009367E1">
        <w:t xml:space="preserve"> that</w:t>
      </w:r>
      <w:r w:rsidR="000716A4">
        <w:t>,</w:t>
      </w:r>
      <w:r w:rsidR="009367E1">
        <w:t xml:space="preserve"> </w:t>
      </w:r>
      <w:r w:rsidR="0002398F">
        <w:t xml:space="preserve">for supply customers, the cost of LUFG is buried in the calculation of system supply costs and </w:t>
      </w:r>
      <w:r w:rsidR="00350EA7">
        <w:t>P</w:t>
      </w:r>
      <w:r w:rsidR="0002398F">
        <w:t xml:space="preserve">eoples has refused to </w:t>
      </w:r>
      <w:r w:rsidR="000E706C">
        <w:t>break that cost out.  Dominion R</w:t>
      </w:r>
      <w:r w:rsidR="0002398F">
        <w:t>etail avers that</w:t>
      </w:r>
      <w:r w:rsidR="000716A4">
        <w:t>,</w:t>
      </w:r>
      <w:r w:rsidR="0002398F">
        <w:t xml:space="preserve"> as a result, </w:t>
      </w:r>
      <w:r w:rsidR="00405982">
        <w:t>P</w:t>
      </w:r>
      <w:r w:rsidR="0002398F">
        <w:t xml:space="preserve">eoples could not propose an increase in transportation retainage.  </w:t>
      </w:r>
      <w:r w:rsidR="00405982">
        <w:t>Dominion Retail argues that when the statutory advocates did their own calculation</w:t>
      </w:r>
      <w:r w:rsidR="00AC3E54">
        <w:t>s</w:t>
      </w:r>
      <w:r w:rsidR="00405982">
        <w:t xml:space="preserve">, Peoples simply accepted the higher </w:t>
      </w:r>
      <w:r w:rsidR="0088158E">
        <w:t xml:space="preserve">rate proposed by OTS.  Dominion Retail concludes that Peoples was able to avoid having to </w:t>
      </w:r>
      <w:r w:rsidR="00AC3E54">
        <w:t>reveal</w:t>
      </w:r>
      <w:r w:rsidR="0088158E">
        <w:t xml:space="preserve"> its own </w:t>
      </w:r>
      <w:r w:rsidR="0088158E">
        <w:lastRenderedPageBreak/>
        <w:t>calculation of LUFG and is still able to r</w:t>
      </w:r>
      <w:r w:rsidR="00AC3E54">
        <w:t>a</w:t>
      </w:r>
      <w:r w:rsidR="0088158E">
        <w:t>ise transportation rates.  Dominion Retail Exc</w:t>
      </w:r>
      <w:r w:rsidR="000716A4">
        <w:t>.</w:t>
      </w:r>
      <w:r w:rsidR="0088158E">
        <w:t xml:space="preserve"> at 19-20.  </w:t>
      </w:r>
    </w:p>
    <w:p w:rsidR="00FF40AE" w:rsidRDefault="00FF40AE"/>
    <w:p w:rsidR="00FF40AE" w:rsidRDefault="00AC3E54">
      <w:r>
        <w:t xml:space="preserve">In </w:t>
      </w:r>
      <w:r w:rsidR="00934A2B">
        <w:t xml:space="preserve">reply </w:t>
      </w:r>
      <w:r>
        <w:t xml:space="preserve">to Dominion Retail’s Exceptions, </w:t>
      </w:r>
      <w:r w:rsidR="00DE2181">
        <w:t xml:space="preserve">Peoples argues, </w:t>
      </w:r>
      <w:r w:rsidR="00DE2181" w:rsidRPr="00DE2181">
        <w:rPr>
          <w:i/>
        </w:rPr>
        <w:t>inter alia</w:t>
      </w:r>
      <w:r w:rsidR="00DE2181">
        <w:t>, that Peoples’ Exhibit 20 provide</w:t>
      </w:r>
      <w:r w:rsidR="000716A4">
        <w:t>s</w:t>
      </w:r>
      <w:r w:rsidR="00DE2181">
        <w:t xml:space="preserve"> a complete history, by system, of its LUFG for the past three years and </w:t>
      </w:r>
      <w:r w:rsidR="000716A4">
        <w:t xml:space="preserve">that </w:t>
      </w:r>
      <w:r w:rsidR="00DE2181">
        <w:t>Peoples provide</w:t>
      </w:r>
      <w:r w:rsidR="00350EA7">
        <w:t>d</w:t>
      </w:r>
      <w:r w:rsidR="00DE2181">
        <w:t xml:space="preserve"> a complete history of its monthly company use volumes to the </w:t>
      </w:r>
      <w:r w:rsidR="000716A4">
        <w:t>P</w:t>
      </w:r>
      <w:r w:rsidR="00DE2181">
        <w:t xml:space="preserve">arties in its data responses.  </w:t>
      </w:r>
      <w:r w:rsidR="004007D4">
        <w:t>Peoples R</w:t>
      </w:r>
      <w:r w:rsidR="000716A4">
        <w:t>.</w:t>
      </w:r>
      <w:r w:rsidR="004007D4">
        <w:t>Exc</w:t>
      </w:r>
      <w:r w:rsidR="000716A4">
        <w:t>.</w:t>
      </w:r>
      <w:r w:rsidR="004007D4">
        <w:t xml:space="preserve"> at </w:t>
      </w:r>
      <w:r w:rsidR="007C7AAA">
        <w:t>13.</w:t>
      </w:r>
    </w:p>
    <w:p w:rsidR="00FF40AE" w:rsidRDefault="00FF40AE"/>
    <w:p w:rsidR="00FF40AE" w:rsidRDefault="00650A59">
      <w:pPr>
        <w:pStyle w:val="Heading4"/>
      </w:pPr>
      <w:bookmarkStart w:id="24" w:name="_Toc271015529"/>
      <w:r>
        <w:t>(b) Disposition</w:t>
      </w:r>
      <w:bookmarkEnd w:id="24"/>
    </w:p>
    <w:p w:rsidR="00FF40AE" w:rsidRDefault="00FF40AE"/>
    <w:p w:rsidR="00FF40AE" w:rsidRDefault="008962BD">
      <w:r>
        <w:t xml:space="preserve">We </w:t>
      </w:r>
      <w:r w:rsidR="000716A4">
        <w:t>shall</w:t>
      </w:r>
      <w:r>
        <w:t xml:space="preserve"> adopt the proposed transportation rates proposed by the OTS </w:t>
      </w:r>
      <w:r w:rsidR="00392B20">
        <w:t xml:space="preserve">that </w:t>
      </w:r>
      <w:r w:rsidR="00221965">
        <w:t xml:space="preserve"> are</w:t>
      </w:r>
      <w:r w:rsidR="00392B20">
        <w:t xml:space="preserve"> </w:t>
      </w:r>
      <w:r w:rsidR="000F6B52">
        <w:t xml:space="preserve">included in the Settlement Agreement.  </w:t>
      </w:r>
      <w:r w:rsidR="00A43DCF">
        <w:t xml:space="preserve">As discussed, </w:t>
      </w:r>
      <w:r w:rsidR="00A43DCF" w:rsidRPr="00A43DCF">
        <w:rPr>
          <w:i/>
        </w:rPr>
        <w:t>supra</w:t>
      </w:r>
      <w:r w:rsidR="00A43DCF">
        <w:t xml:space="preserve">, the record in this proceeding does not include sufficient information to make a </w:t>
      </w:r>
      <w:r w:rsidR="000A26EE">
        <w:t xml:space="preserve">specific determination regarding the reasonableness of peoples’ LUFG </w:t>
      </w:r>
      <w:r w:rsidR="00EB777A">
        <w:t>or</w:t>
      </w:r>
      <w:r w:rsidR="000A26EE">
        <w:t xml:space="preserve"> </w:t>
      </w:r>
      <w:r w:rsidR="00EB777A">
        <w:t xml:space="preserve">to make an </w:t>
      </w:r>
      <w:r w:rsidR="00A43DCF">
        <w:t xml:space="preserve">adjustment to the LUFG component of OTS’s proposed retainage rates </w:t>
      </w:r>
      <w:r w:rsidR="00CE283C">
        <w:t xml:space="preserve">at this time.  </w:t>
      </w:r>
      <w:r w:rsidR="000A26EE">
        <w:t xml:space="preserve">Moreover, the filing requirements </w:t>
      </w:r>
      <w:r w:rsidR="00EB777A">
        <w:t xml:space="preserve">that we are establishing </w:t>
      </w:r>
      <w:r w:rsidR="001A4DF0">
        <w:t xml:space="preserve">related to LUFG </w:t>
      </w:r>
      <w:r w:rsidR="00EB777A">
        <w:t xml:space="preserve">for Peoples’ next 1307(f) proceeding are intended to enable the Commission </w:t>
      </w:r>
      <w:r>
        <w:t xml:space="preserve">to make such a determination and to make necessary adjustments to Peoples’ rates, if warranted. </w:t>
      </w:r>
      <w:r w:rsidR="00350EA7">
        <w:t xml:space="preserve"> </w:t>
      </w:r>
      <w:r w:rsidR="004632EF">
        <w:t xml:space="preserve">Similarly, </w:t>
      </w:r>
      <w:r w:rsidR="001A4DF0">
        <w:t xml:space="preserve">the Settlement Agreement </w:t>
      </w:r>
      <w:r w:rsidR="007A7FFD" w:rsidRPr="00032B88">
        <w:t>requires that</w:t>
      </w:r>
      <w:r w:rsidR="007A7FFD">
        <w:t xml:space="preserve"> in advance of the 2011 1307(f) filing</w:t>
      </w:r>
      <w:r w:rsidR="007A7FFD" w:rsidRPr="00032B88">
        <w:t xml:space="preserve">, </w:t>
      </w:r>
      <w:r w:rsidR="007A7FFD">
        <w:t>Peoples will analyze the potential impacts of assessing a gathering system retainage charge.</w:t>
      </w:r>
      <w:bookmarkStart w:id="25" w:name="_Toc271015530"/>
      <w:r w:rsidR="007A7FFD">
        <w:t xml:space="preserve">  We expect that this information </w:t>
      </w:r>
      <w:r w:rsidR="00077843">
        <w:t xml:space="preserve">will enable the parties and the Commission to address appropriate changes to Peoples’ retainage rates. </w:t>
      </w:r>
    </w:p>
    <w:p w:rsidR="00FF40AE" w:rsidRDefault="00477FFC">
      <w:pPr>
        <w:pStyle w:val="Heading1"/>
      </w:pPr>
      <w:r>
        <w:t>IV.  Conclusion</w:t>
      </w:r>
      <w:bookmarkEnd w:id="25"/>
    </w:p>
    <w:p w:rsidR="00FF40AE" w:rsidRDefault="00FF40AE"/>
    <w:p w:rsidR="00FF40AE" w:rsidRDefault="009D1611">
      <w:pPr>
        <w:rPr>
          <w:b/>
        </w:rPr>
      </w:pPr>
      <w:r w:rsidRPr="005F0142">
        <w:t>Based upon our review of the record in this proceeding, the supporting statements of the Parties, and the Recommended Decision of the ALJ, we shall deny the Exceptions of the OSBA and</w:t>
      </w:r>
      <w:r>
        <w:t xml:space="preserve"> Dominion Retail</w:t>
      </w:r>
      <w:r w:rsidR="001C3AB7">
        <w:t>;</w:t>
      </w:r>
      <w:r>
        <w:t xml:space="preserve"> and conclude that the rates, terms and conditions contained in the Settlement Agreement</w:t>
      </w:r>
      <w:r w:rsidR="001C3AB7">
        <w:t>;</w:t>
      </w:r>
      <w:r>
        <w:t xml:space="preserve"> are just, reasonable and in the public </w:t>
      </w:r>
      <w:r>
        <w:lastRenderedPageBreak/>
        <w:t>interest</w:t>
      </w:r>
      <w:r w:rsidR="001C3AB7">
        <w:t>;</w:t>
      </w:r>
      <w:r>
        <w:t xml:space="preserve"> and are in accord with the rules and Regulations of this Commission and the provisions of the Public Utility Code.  </w:t>
      </w:r>
      <w:r w:rsidR="001A19E9">
        <w:t xml:space="preserve">We also find that in order to adequately address </w:t>
      </w:r>
      <w:r w:rsidR="009B24AA">
        <w:t xml:space="preserve">the reasonableness of </w:t>
      </w:r>
      <w:r w:rsidR="001A19E9">
        <w:t>Peoples’</w:t>
      </w:r>
      <w:r w:rsidR="009B24AA">
        <w:t xml:space="preserve"> LUFG, </w:t>
      </w:r>
      <w:r w:rsidR="00BB4515">
        <w:t xml:space="preserve">and corresponding retainage rates, </w:t>
      </w:r>
      <w:r w:rsidR="009B24AA">
        <w:t>Peoples shall submit</w:t>
      </w:r>
      <w:r w:rsidR="00451796">
        <w:t>,</w:t>
      </w:r>
      <w:r w:rsidR="009B24AA">
        <w:t xml:space="preserve"> as part of its next 1307(f) filing</w:t>
      </w:r>
      <w:r w:rsidR="00451796">
        <w:t xml:space="preserve">, </w:t>
      </w:r>
      <w:r w:rsidR="00B61A19">
        <w:t xml:space="preserve">specific </w:t>
      </w:r>
      <w:r w:rsidR="00BB4515">
        <w:t xml:space="preserve">additional </w:t>
      </w:r>
      <w:r w:rsidR="00B61A19">
        <w:t xml:space="preserve">LUFG mitigation measures, </w:t>
      </w:r>
      <w:r w:rsidR="009B24AA">
        <w:t xml:space="preserve">target </w:t>
      </w:r>
      <w:r w:rsidR="00451796">
        <w:t>LUFG levels</w:t>
      </w:r>
      <w:r w:rsidR="00B61A19">
        <w:t xml:space="preserve"> and </w:t>
      </w:r>
      <w:r w:rsidR="00451796">
        <w:t xml:space="preserve">the information that was used to </w:t>
      </w:r>
      <w:r w:rsidR="00BB4515">
        <w:t xml:space="preserve">select its LUFG mitigation measures and </w:t>
      </w:r>
      <w:r w:rsidR="00451796">
        <w:t>develop its targets</w:t>
      </w:r>
      <w:r w:rsidR="00B61A19">
        <w:t>;</w:t>
      </w:r>
      <w:r w:rsidR="001C3AB7">
        <w:t xml:space="preserve"> </w:t>
      </w:r>
      <w:r w:rsidRPr="001B271C">
        <w:rPr>
          <w:b/>
        </w:rPr>
        <w:t>THEREFORE,</w:t>
      </w:r>
    </w:p>
    <w:p w:rsidR="00FF40AE" w:rsidRDefault="00FF40AE"/>
    <w:p w:rsidR="00FF40AE" w:rsidRDefault="00477FFC">
      <w:pPr>
        <w:rPr>
          <w:b/>
        </w:rPr>
      </w:pPr>
      <w:r w:rsidRPr="009800F5">
        <w:rPr>
          <w:b/>
        </w:rPr>
        <w:t xml:space="preserve">IT IS </w:t>
      </w:r>
      <w:r w:rsidR="00451796" w:rsidRPr="009800F5">
        <w:rPr>
          <w:b/>
        </w:rPr>
        <w:t>ORDERED</w:t>
      </w:r>
      <w:r w:rsidRPr="009800F5">
        <w:rPr>
          <w:b/>
        </w:rPr>
        <w:t>:</w:t>
      </w:r>
    </w:p>
    <w:p w:rsidR="00FF40AE" w:rsidRDefault="00FF40AE">
      <w:pPr>
        <w:rPr>
          <w:b/>
        </w:rPr>
      </w:pPr>
    </w:p>
    <w:p w:rsidR="009618C0" w:rsidRPr="000E6EE4" w:rsidRDefault="009618C0" w:rsidP="009618C0">
      <w:pPr>
        <w:pStyle w:val="ListParagraph"/>
        <w:numPr>
          <w:ilvl w:val="0"/>
          <w:numId w:val="15"/>
        </w:numPr>
        <w:spacing w:line="360" w:lineRule="auto"/>
        <w:ind w:left="0" w:firstLine="1440"/>
      </w:pPr>
      <w:r w:rsidRPr="000E6EE4">
        <w:t xml:space="preserve">That the Exceptions filed by </w:t>
      </w:r>
      <w:r>
        <w:t>the Office of Small Business Advocate and the Dominion Retail, Inc. on August 20, 2010</w:t>
      </w:r>
      <w:r w:rsidRPr="000E6EE4">
        <w:t xml:space="preserve">, are denied. </w:t>
      </w:r>
    </w:p>
    <w:p w:rsidR="00477FFC" w:rsidRPr="00032B88" w:rsidRDefault="00477FFC" w:rsidP="00270220"/>
    <w:p w:rsidR="00FF40AE" w:rsidRDefault="00BB4515">
      <w:pPr>
        <w:pStyle w:val="ListParagraph"/>
        <w:numPr>
          <w:ilvl w:val="0"/>
          <w:numId w:val="15"/>
        </w:numPr>
        <w:spacing w:line="360" w:lineRule="auto"/>
        <w:ind w:left="0" w:firstLine="1440"/>
      </w:pPr>
      <w:r w:rsidRPr="00107474">
        <w:t xml:space="preserve">That the Recommended Decision of Administrative Law Judge </w:t>
      </w:r>
      <w:r>
        <w:t xml:space="preserve">David A. Salapa, </w:t>
      </w:r>
      <w:r w:rsidRPr="00107474">
        <w:t>recommending</w:t>
      </w:r>
      <w:r>
        <w:t xml:space="preserve">, </w:t>
      </w:r>
      <w:r w:rsidRPr="000E6EE4">
        <w:rPr>
          <w:i/>
        </w:rPr>
        <w:t>inter alia</w:t>
      </w:r>
      <w:r>
        <w:t xml:space="preserve">, the </w:t>
      </w:r>
      <w:r w:rsidRPr="00107474">
        <w:t xml:space="preserve">approval of the Joint Petition for </w:t>
      </w:r>
      <w:r>
        <w:t xml:space="preserve">Approval of </w:t>
      </w:r>
      <w:r w:rsidRPr="00107474">
        <w:t xml:space="preserve">Settlement </w:t>
      </w:r>
      <w:r>
        <w:t xml:space="preserve">Agreement </w:t>
      </w:r>
      <w:r w:rsidRPr="00107474">
        <w:t>is adopted</w:t>
      </w:r>
      <w:r>
        <w:t>, as amended by this Opinion and Order</w:t>
      </w:r>
      <w:r w:rsidRPr="00107474">
        <w:t>.</w:t>
      </w:r>
    </w:p>
    <w:p w:rsidR="00FF40AE" w:rsidRDefault="00FF40AE"/>
    <w:p w:rsidR="00FF40AE" w:rsidRDefault="003E147C">
      <w:pPr>
        <w:pStyle w:val="Pleading1L3"/>
        <w:numPr>
          <w:ilvl w:val="0"/>
          <w:numId w:val="15"/>
        </w:numPr>
        <w:spacing w:line="360" w:lineRule="auto"/>
        <w:ind w:left="0" w:firstLine="1440"/>
        <w:outlineLvl w:val="9"/>
        <w:rPr>
          <w:sz w:val="26"/>
          <w:szCs w:val="26"/>
        </w:rPr>
      </w:pPr>
      <w:r>
        <w:rPr>
          <w:spacing w:val="-3"/>
          <w:sz w:val="26"/>
          <w:szCs w:val="26"/>
        </w:rPr>
        <w:t xml:space="preserve">That </w:t>
      </w:r>
      <w:r w:rsidR="000D28E8">
        <w:rPr>
          <w:spacing w:val="-3"/>
          <w:sz w:val="26"/>
          <w:szCs w:val="26"/>
        </w:rPr>
        <w:t xml:space="preserve">the </w:t>
      </w:r>
      <w:r w:rsidRPr="003E147C">
        <w:rPr>
          <w:spacing w:val="-3"/>
          <w:sz w:val="26"/>
          <w:szCs w:val="26"/>
        </w:rPr>
        <w:t xml:space="preserve">Peoples Natural </w:t>
      </w:r>
      <w:r>
        <w:rPr>
          <w:spacing w:val="-3"/>
          <w:sz w:val="26"/>
          <w:szCs w:val="26"/>
        </w:rPr>
        <w:t>G</w:t>
      </w:r>
      <w:r w:rsidRPr="003E147C">
        <w:rPr>
          <w:spacing w:val="-3"/>
          <w:sz w:val="26"/>
          <w:szCs w:val="26"/>
        </w:rPr>
        <w:t xml:space="preserve">as Company LLC shall submit, </w:t>
      </w:r>
      <w:r w:rsidR="00B61A19" w:rsidRPr="003E147C">
        <w:rPr>
          <w:spacing w:val="-3"/>
          <w:sz w:val="26"/>
          <w:szCs w:val="26"/>
        </w:rPr>
        <w:t xml:space="preserve">as part of its next annual filing pursuant to 66 Pa. C.S. </w:t>
      </w:r>
      <w:r w:rsidRPr="003E147C">
        <w:rPr>
          <w:spacing w:val="-3"/>
          <w:sz w:val="26"/>
          <w:szCs w:val="26"/>
        </w:rPr>
        <w:t xml:space="preserve">§ 1307(f), </w:t>
      </w:r>
      <w:r w:rsidRPr="003E147C">
        <w:rPr>
          <w:sz w:val="26"/>
          <w:szCs w:val="26"/>
        </w:rPr>
        <w:t>specific LUFG mitigation measures, target LUFG levels and the information that was used to select its LUFG mitigation measures</w:t>
      </w:r>
      <w:r w:rsidR="000D28E8">
        <w:rPr>
          <w:sz w:val="26"/>
          <w:szCs w:val="26"/>
        </w:rPr>
        <w:t xml:space="preserve"> and develop its targets, consistent with this Opinion and Order.</w:t>
      </w:r>
    </w:p>
    <w:p w:rsidR="00FF40AE" w:rsidRDefault="00FF40AE">
      <w:pPr>
        <w:pStyle w:val="Pleading1L3"/>
        <w:numPr>
          <w:ilvl w:val="0"/>
          <w:numId w:val="0"/>
        </w:numPr>
        <w:spacing w:line="360" w:lineRule="auto"/>
        <w:ind w:left="1440"/>
        <w:outlineLvl w:val="9"/>
        <w:rPr>
          <w:sz w:val="26"/>
          <w:szCs w:val="26"/>
        </w:rPr>
      </w:pPr>
    </w:p>
    <w:p w:rsidR="00FF40AE" w:rsidRDefault="00477FFC">
      <w:pPr>
        <w:pStyle w:val="ListParagraph"/>
        <w:numPr>
          <w:ilvl w:val="0"/>
          <w:numId w:val="15"/>
        </w:numPr>
        <w:spacing w:line="360" w:lineRule="auto"/>
        <w:ind w:left="0" w:firstLine="1440"/>
      </w:pPr>
      <w:bookmarkStart w:id="26" w:name="_Toc271015409"/>
      <w:bookmarkStart w:id="27" w:name="_Toc271015532"/>
      <w:r w:rsidRPr="00F10C64">
        <w:t xml:space="preserve">That Peoples Natural Gas Company, LLC shall file a tariff supplement, to become effective on one day’s notice of the </w:t>
      </w:r>
      <w:r w:rsidR="000D28E8">
        <w:t xml:space="preserve">entry </w:t>
      </w:r>
      <w:r w:rsidR="00800D36">
        <w:t xml:space="preserve">of this Opinion and Order, containing </w:t>
      </w:r>
      <w:r w:rsidRPr="00F10C64">
        <w:t xml:space="preserve">changes in rates to provide for the recovery of its costs of purchased gas, consistent with the terms and conditions of </w:t>
      </w:r>
      <w:r w:rsidR="00F10C64" w:rsidRPr="00F10C64">
        <w:t xml:space="preserve">Joint Petition for Approval of Settlement Agreement. </w:t>
      </w:r>
      <w:bookmarkEnd w:id="26"/>
      <w:bookmarkEnd w:id="27"/>
    </w:p>
    <w:p w:rsidR="00FF40AE" w:rsidRDefault="00FF40AE">
      <w:pPr>
        <w:suppressAutoHyphens/>
        <w:rPr>
          <w:spacing w:val="-3"/>
        </w:rPr>
      </w:pPr>
    </w:p>
    <w:p w:rsidR="00FF40AE" w:rsidRDefault="00FB6E78">
      <w:pPr>
        <w:pStyle w:val="ListParagraph"/>
        <w:numPr>
          <w:ilvl w:val="0"/>
          <w:numId w:val="15"/>
        </w:numPr>
        <w:suppressAutoHyphens/>
        <w:spacing w:line="360" w:lineRule="auto"/>
        <w:ind w:left="0" w:firstLine="1440"/>
      </w:pPr>
      <w:r w:rsidRPr="004E515E">
        <w:t>That</w:t>
      </w:r>
      <w:r w:rsidR="00800D36">
        <w:t>,</w:t>
      </w:r>
      <w:r w:rsidRPr="004E515E">
        <w:t xml:space="preserve"> upon Peoples Natural Gas Company LLC’s filing of a tariff supplement acceptable to the Commission as conforming with this order and the </w:t>
      </w:r>
      <w:r w:rsidR="00800D36">
        <w:t>J</w:t>
      </w:r>
      <w:r w:rsidRPr="004E515E">
        <w:t xml:space="preserve">oint </w:t>
      </w:r>
      <w:r w:rsidR="00800D36">
        <w:lastRenderedPageBreak/>
        <w:t>Petition for Approval of S</w:t>
      </w:r>
      <w:r w:rsidRPr="004E515E">
        <w:t xml:space="preserve">ettlement </w:t>
      </w:r>
      <w:r w:rsidR="00800D36">
        <w:t xml:space="preserve">Agreement </w:t>
      </w:r>
      <w:r w:rsidRPr="004E515E">
        <w:t>and the Commission’s approval thereof, the purchased gas rates established therein shall become effective for service</w:t>
      </w:r>
      <w:r w:rsidRPr="00032B88">
        <w:t xml:space="preserve"> rendered on and after October 1,</w:t>
      </w:r>
      <w:r>
        <w:t xml:space="preserve"> 2010.</w:t>
      </w:r>
    </w:p>
    <w:p w:rsidR="00FF40AE" w:rsidRDefault="00FF40AE">
      <w:pPr>
        <w:suppressAutoHyphens/>
        <w:rPr>
          <w:spacing w:val="-3"/>
        </w:rPr>
      </w:pPr>
    </w:p>
    <w:p w:rsidR="00FF40AE" w:rsidRDefault="00477FFC">
      <w:pPr>
        <w:pStyle w:val="ListParagraph"/>
        <w:numPr>
          <w:ilvl w:val="0"/>
          <w:numId w:val="15"/>
        </w:numPr>
        <w:suppressAutoHyphens/>
        <w:spacing w:line="360" w:lineRule="auto"/>
        <w:ind w:left="0" w:firstLine="1440"/>
      </w:pPr>
      <w:r w:rsidRPr="00032B88">
        <w:t xml:space="preserve">That the </w:t>
      </w:r>
      <w:r w:rsidR="002C2716">
        <w:t>F</w:t>
      </w:r>
      <w:r w:rsidR="004E515E">
        <w:t>ormal C</w:t>
      </w:r>
      <w:r w:rsidRPr="00032B88">
        <w:t>omplaint filed by the Office of Consumer Advocate in these proceedings at Docket Number</w:t>
      </w:r>
      <w:r w:rsidRPr="000E6EE4">
        <w:rPr>
          <w:spacing w:val="-3"/>
        </w:rPr>
        <w:t xml:space="preserve"> C-2010-2163637 </w:t>
      </w:r>
      <w:r w:rsidRPr="00032B88">
        <w:t>be terminated and marked closed.</w:t>
      </w:r>
      <w:r>
        <w:t xml:space="preserve">  </w:t>
      </w:r>
    </w:p>
    <w:p w:rsidR="00FF40AE" w:rsidRDefault="00FF40AE">
      <w:pPr>
        <w:suppressAutoHyphens/>
      </w:pPr>
    </w:p>
    <w:p w:rsidR="00FF40AE" w:rsidRDefault="004E515E">
      <w:pPr>
        <w:pStyle w:val="ListParagraph"/>
        <w:numPr>
          <w:ilvl w:val="0"/>
          <w:numId w:val="15"/>
        </w:numPr>
        <w:suppressAutoHyphens/>
        <w:spacing w:line="360" w:lineRule="auto"/>
        <w:ind w:left="0" w:firstLine="1440"/>
      </w:pPr>
      <w:r>
        <w:t>T</w:t>
      </w:r>
      <w:r w:rsidR="00477FFC" w:rsidRPr="00032B88">
        <w:t xml:space="preserve">hat the </w:t>
      </w:r>
      <w:r w:rsidR="002C2716">
        <w:t>F</w:t>
      </w:r>
      <w:r>
        <w:t>ormal C</w:t>
      </w:r>
      <w:r w:rsidR="00477FFC" w:rsidRPr="00032B88">
        <w:t>omplaint filed by the Office of Small Business Advocate in these proceedings at Docket Number</w:t>
      </w:r>
      <w:r w:rsidR="00477FFC" w:rsidRPr="000E6EE4">
        <w:rPr>
          <w:spacing w:val="-3"/>
        </w:rPr>
        <w:t xml:space="preserve"> C-2010-2164664 </w:t>
      </w:r>
      <w:r w:rsidR="00477FFC" w:rsidRPr="00032B88">
        <w:t>be terminated and marked closed.</w:t>
      </w:r>
      <w:r w:rsidR="00477FFC">
        <w:t xml:space="preserve">  </w:t>
      </w:r>
    </w:p>
    <w:p w:rsidR="00FF40AE" w:rsidRDefault="00FF40AE">
      <w:pPr>
        <w:suppressAutoHyphens/>
      </w:pPr>
    </w:p>
    <w:p w:rsidR="00FF40AE" w:rsidRDefault="00477FFC">
      <w:pPr>
        <w:pStyle w:val="ListParagraph"/>
        <w:numPr>
          <w:ilvl w:val="0"/>
          <w:numId w:val="15"/>
        </w:numPr>
        <w:suppressAutoHyphens/>
        <w:spacing w:line="360" w:lineRule="auto"/>
        <w:ind w:left="0" w:firstLine="1440"/>
      </w:pPr>
      <w:r w:rsidRPr="00032B88">
        <w:t xml:space="preserve">That the </w:t>
      </w:r>
      <w:r w:rsidR="002C2716">
        <w:t>F</w:t>
      </w:r>
      <w:r w:rsidR="004E515E">
        <w:t>ormal</w:t>
      </w:r>
      <w:r w:rsidR="004E515E" w:rsidRPr="00032B88">
        <w:t xml:space="preserve"> </w:t>
      </w:r>
      <w:r w:rsidR="004E515E">
        <w:t>C</w:t>
      </w:r>
      <w:r w:rsidRPr="00032B88">
        <w:t>omplaint filed by Grace Czolba in these proceedings at Docket Number</w:t>
      </w:r>
      <w:r w:rsidRPr="000E6EE4">
        <w:rPr>
          <w:spacing w:val="-3"/>
        </w:rPr>
        <w:t xml:space="preserve"> C-2010-2169787 </w:t>
      </w:r>
      <w:r w:rsidRPr="00032B88">
        <w:t>be terminated and marked closed.</w:t>
      </w:r>
      <w:r>
        <w:t xml:space="preserve">  </w:t>
      </w:r>
    </w:p>
    <w:p w:rsidR="00FF40AE" w:rsidRDefault="00FF40AE">
      <w:pPr>
        <w:suppressAutoHyphens/>
      </w:pPr>
    </w:p>
    <w:p w:rsidR="00FF40AE" w:rsidRDefault="00477FFC">
      <w:pPr>
        <w:pStyle w:val="ListParagraph"/>
        <w:numPr>
          <w:ilvl w:val="0"/>
          <w:numId w:val="15"/>
        </w:numPr>
        <w:suppressAutoHyphens/>
        <w:spacing w:line="360" w:lineRule="auto"/>
        <w:ind w:left="0" w:firstLine="1440"/>
      </w:pPr>
      <w:r w:rsidRPr="00032B88">
        <w:t xml:space="preserve">That the </w:t>
      </w:r>
      <w:r w:rsidR="002C2716">
        <w:t>F</w:t>
      </w:r>
      <w:r w:rsidR="004E515E">
        <w:t>ormal</w:t>
      </w:r>
      <w:r w:rsidR="004E515E" w:rsidRPr="00032B88">
        <w:t xml:space="preserve"> </w:t>
      </w:r>
      <w:r w:rsidR="004E515E">
        <w:t>C</w:t>
      </w:r>
      <w:r w:rsidRPr="00032B88">
        <w:t>omplaint filed by Dennis Keibler in these proceedings at Docket Number</w:t>
      </w:r>
      <w:r w:rsidRPr="000E6EE4">
        <w:rPr>
          <w:spacing w:val="-3"/>
        </w:rPr>
        <w:t xml:space="preserve"> C-2010-2171221 </w:t>
      </w:r>
      <w:r w:rsidRPr="00032B88">
        <w:t>be terminated and marked closed.</w:t>
      </w:r>
      <w:r>
        <w:t xml:space="preserve">  </w:t>
      </w:r>
    </w:p>
    <w:p w:rsidR="00FF40AE" w:rsidRDefault="00FF40AE">
      <w:pPr>
        <w:suppressAutoHyphens/>
      </w:pPr>
    </w:p>
    <w:p w:rsidR="00FF40AE" w:rsidRDefault="00477FFC">
      <w:pPr>
        <w:pStyle w:val="ListParagraph"/>
        <w:numPr>
          <w:ilvl w:val="0"/>
          <w:numId w:val="15"/>
        </w:numPr>
        <w:suppressAutoHyphens/>
        <w:spacing w:line="360" w:lineRule="auto"/>
        <w:ind w:left="0" w:firstLine="1440"/>
      </w:pPr>
      <w:r w:rsidRPr="00032B88">
        <w:t xml:space="preserve">That the </w:t>
      </w:r>
      <w:r w:rsidR="002C2716">
        <w:t>F</w:t>
      </w:r>
      <w:r w:rsidR="004E515E">
        <w:t>ormal C</w:t>
      </w:r>
      <w:r w:rsidRPr="00032B88">
        <w:t>omplaint filed by James Nicklin in these proceedings at Docket Number</w:t>
      </w:r>
      <w:r w:rsidRPr="000E6EE4">
        <w:rPr>
          <w:spacing w:val="-3"/>
        </w:rPr>
        <w:t xml:space="preserve"> C-2010-2171481 </w:t>
      </w:r>
      <w:r w:rsidRPr="00032B88">
        <w:t>be terminated and marked closed.</w:t>
      </w:r>
    </w:p>
    <w:p w:rsidR="00FF40AE" w:rsidRDefault="00FF40AE">
      <w:pPr>
        <w:suppressAutoHyphens/>
      </w:pPr>
    </w:p>
    <w:p w:rsidR="00FF40AE" w:rsidRDefault="00477FFC">
      <w:pPr>
        <w:pStyle w:val="ListParagraph"/>
        <w:numPr>
          <w:ilvl w:val="0"/>
          <w:numId w:val="15"/>
        </w:numPr>
        <w:suppressAutoHyphens/>
        <w:spacing w:line="360" w:lineRule="auto"/>
        <w:ind w:left="0" w:firstLine="1440"/>
      </w:pPr>
      <w:r w:rsidRPr="00032B88">
        <w:t xml:space="preserve">That the </w:t>
      </w:r>
      <w:r w:rsidR="002C2716">
        <w:t>F</w:t>
      </w:r>
      <w:r w:rsidR="00AF2B20">
        <w:t>ormal C</w:t>
      </w:r>
      <w:r w:rsidRPr="00032B88">
        <w:t>omplaint filed by Joseph J. Virostek in these proceedings at Docket Number</w:t>
      </w:r>
      <w:r w:rsidRPr="000E6EE4">
        <w:rPr>
          <w:spacing w:val="-3"/>
        </w:rPr>
        <w:t xml:space="preserve"> C-2010-2171513 </w:t>
      </w:r>
      <w:r w:rsidRPr="00032B88">
        <w:t>be terminated and marked closed.</w:t>
      </w:r>
    </w:p>
    <w:p w:rsidR="00FF40AE" w:rsidRDefault="00FF40AE">
      <w:pPr>
        <w:suppressAutoHyphens/>
      </w:pPr>
    </w:p>
    <w:p w:rsidR="00FF40AE" w:rsidRDefault="00477FFC">
      <w:pPr>
        <w:pStyle w:val="ListParagraph"/>
        <w:numPr>
          <w:ilvl w:val="0"/>
          <w:numId w:val="15"/>
        </w:numPr>
        <w:suppressAutoHyphens/>
        <w:spacing w:line="360" w:lineRule="auto"/>
        <w:ind w:left="0" w:firstLine="1440"/>
      </w:pPr>
      <w:r w:rsidRPr="00032B88">
        <w:t>That the</w:t>
      </w:r>
      <w:r w:rsidR="00AF2B20">
        <w:t xml:space="preserve"> </w:t>
      </w:r>
      <w:r w:rsidR="002C2716">
        <w:t>F</w:t>
      </w:r>
      <w:r w:rsidR="00AF2B20">
        <w:t>ormal</w:t>
      </w:r>
      <w:r w:rsidRPr="00032B88">
        <w:t xml:space="preserve"> </w:t>
      </w:r>
      <w:r w:rsidR="00AF2B20">
        <w:t>C</w:t>
      </w:r>
      <w:r w:rsidRPr="00032B88">
        <w:t>omplaint filed by Merle Neumann in these proceedings at Docket Number</w:t>
      </w:r>
      <w:r w:rsidRPr="000E6EE4">
        <w:rPr>
          <w:spacing w:val="-3"/>
        </w:rPr>
        <w:t xml:space="preserve"> C-2010-2172660 </w:t>
      </w:r>
      <w:r w:rsidRPr="00032B88">
        <w:t>be terminated and marked closed.</w:t>
      </w:r>
    </w:p>
    <w:p w:rsidR="00FF40AE" w:rsidRDefault="00FF40AE">
      <w:pPr>
        <w:suppressAutoHyphens/>
      </w:pPr>
    </w:p>
    <w:p w:rsidR="00FF40AE" w:rsidRDefault="00477FFC">
      <w:pPr>
        <w:pStyle w:val="ListParagraph"/>
        <w:numPr>
          <w:ilvl w:val="0"/>
          <w:numId w:val="15"/>
        </w:numPr>
        <w:suppressAutoHyphens/>
        <w:spacing w:line="360" w:lineRule="auto"/>
        <w:ind w:left="0" w:firstLine="1440"/>
      </w:pPr>
      <w:r w:rsidRPr="00032B88">
        <w:t xml:space="preserve">That the </w:t>
      </w:r>
      <w:r w:rsidR="002C2716">
        <w:t>F</w:t>
      </w:r>
      <w:r w:rsidR="00AF2B20">
        <w:t>ormal C</w:t>
      </w:r>
      <w:r w:rsidRPr="00032B88">
        <w:t>omplaint filed by Don Barricella in these proceedings at Docket Number</w:t>
      </w:r>
      <w:r w:rsidRPr="000E6EE4">
        <w:rPr>
          <w:spacing w:val="-3"/>
        </w:rPr>
        <w:t xml:space="preserve"> C-2010-2175027 </w:t>
      </w:r>
      <w:r w:rsidRPr="00032B88">
        <w:t>be terminated and marked closed.</w:t>
      </w:r>
    </w:p>
    <w:p w:rsidR="00FF40AE" w:rsidRDefault="00FF40AE">
      <w:pPr>
        <w:suppressAutoHyphens/>
        <w:rPr>
          <w:spacing w:val="-3"/>
        </w:rPr>
      </w:pPr>
    </w:p>
    <w:p w:rsidR="00FF40AE" w:rsidRDefault="00477FFC">
      <w:pPr>
        <w:pStyle w:val="Pleading1L3"/>
        <w:numPr>
          <w:ilvl w:val="0"/>
          <w:numId w:val="15"/>
        </w:numPr>
        <w:spacing w:line="360" w:lineRule="auto"/>
        <w:ind w:left="0" w:firstLine="1440"/>
        <w:outlineLvl w:val="9"/>
        <w:rPr>
          <w:spacing w:val="-3"/>
          <w:sz w:val="26"/>
          <w:szCs w:val="26"/>
        </w:rPr>
      </w:pPr>
      <w:bookmarkStart w:id="28" w:name="_Toc271015410"/>
      <w:bookmarkStart w:id="29" w:name="_Toc271015533"/>
      <w:r w:rsidRPr="00AF2B20">
        <w:rPr>
          <w:spacing w:val="-3"/>
          <w:sz w:val="26"/>
          <w:szCs w:val="26"/>
        </w:rPr>
        <w:t xml:space="preserve">That the investigation at Docket Number R-2010-2155608 </w:t>
      </w:r>
      <w:r w:rsidR="00206021" w:rsidRPr="00AF2B20">
        <w:rPr>
          <w:spacing w:val="-3"/>
          <w:sz w:val="26"/>
          <w:szCs w:val="26"/>
        </w:rPr>
        <w:t>b</w:t>
      </w:r>
      <w:r w:rsidRPr="00AF2B20">
        <w:rPr>
          <w:spacing w:val="-3"/>
          <w:sz w:val="26"/>
          <w:szCs w:val="26"/>
        </w:rPr>
        <w:t>e terminated and marked closed.</w:t>
      </w:r>
      <w:bookmarkEnd w:id="28"/>
      <w:bookmarkEnd w:id="29"/>
    </w:p>
    <w:p w:rsidR="00FF40AE" w:rsidRDefault="00D56DA9">
      <w:pPr>
        <w:pStyle w:val="Pleading1L3"/>
        <w:numPr>
          <w:ilvl w:val="0"/>
          <w:numId w:val="0"/>
        </w:numPr>
        <w:spacing w:line="360" w:lineRule="auto"/>
        <w:ind w:firstLine="960"/>
        <w:outlineLvl w:val="9"/>
        <w:rPr>
          <w:spacing w:val="-3"/>
          <w:sz w:val="26"/>
          <w:szCs w:val="26"/>
        </w:rPr>
      </w:pPr>
      <w:r>
        <w:rPr>
          <w:noProof/>
          <w:spacing w:val="-3"/>
          <w:sz w:val="26"/>
          <w:szCs w:val="26"/>
        </w:rPr>
        <w:drawing>
          <wp:anchor distT="0" distB="0" distL="114300" distR="114300" simplePos="0" relativeHeight="251658240" behindDoc="1" locked="0" layoutInCell="1" allowOverlap="1">
            <wp:simplePos x="0" y="0"/>
            <wp:positionH relativeFrom="column">
              <wp:posOffset>2819400</wp:posOffset>
            </wp:positionH>
            <wp:positionV relativeFrom="paragraph">
              <wp:posOffset>260350</wp:posOffset>
            </wp:positionV>
            <wp:extent cx="2200275" cy="83820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F40AE" w:rsidRDefault="003D1D62">
      <w:pPr>
        <w:tabs>
          <w:tab w:val="left" w:pos="5760"/>
        </w:tabs>
        <w:ind w:firstLine="5040"/>
        <w:rPr>
          <w:b/>
          <w:bCs/>
          <w:szCs w:val="26"/>
        </w:rPr>
      </w:pPr>
      <w:r w:rsidRPr="003D1D62">
        <w:rPr>
          <w:b/>
          <w:spacing w:val="-3"/>
          <w:szCs w:val="26"/>
        </w:rPr>
        <w:t>B</w:t>
      </w:r>
      <w:r w:rsidRPr="00E7339C">
        <w:rPr>
          <w:b/>
          <w:bCs/>
          <w:szCs w:val="26"/>
        </w:rPr>
        <w:t>Y THE COMMISSION</w:t>
      </w:r>
    </w:p>
    <w:p w:rsidR="00FF40AE" w:rsidRDefault="00FF40AE">
      <w:pPr>
        <w:ind w:firstLine="5040"/>
        <w:rPr>
          <w:bCs/>
          <w:szCs w:val="26"/>
        </w:rPr>
      </w:pPr>
    </w:p>
    <w:p w:rsidR="00FF40AE" w:rsidRDefault="00FF40AE">
      <w:pPr>
        <w:ind w:firstLine="5040"/>
        <w:rPr>
          <w:bCs/>
          <w:szCs w:val="26"/>
        </w:rPr>
      </w:pPr>
    </w:p>
    <w:p w:rsidR="00FF40AE" w:rsidRDefault="003D1D62">
      <w:pPr>
        <w:tabs>
          <w:tab w:val="left" w:pos="5760"/>
        </w:tabs>
        <w:spacing w:line="240" w:lineRule="auto"/>
        <w:ind w:firstLine="5040"/>
        <w:rPr>
          <w:bCs/>
          <w:szCs w:val="26"/>
        </w:rPr>
      </w:pPr>
      <w:r w:rsidRPr="00E7339C">
        <w:rPr>
          <w:bCs/>
          <w:szCs w:val="26"/>
        </w:rPr>
        <w:t>Rosemary Chiavetta</w:t>
      </w:r>
    </w:p>
    <w:p w:rsidR="00FF40AE" w:rsidRDefault="003D1D62">
      <w:pPr>
        <w:tabs>
          <w:tab w:val="left" w:pos="5760"/>
        </w:tabs>
        <w:ind w:firstLine="5040"/>
        <w:rPr>
          <w:szCs w:val="26"/>
        </w:rPr>
      </w:pPr>
      <w:r w:rsidRPr="00E7339C">
        <w:rPr>
          <w:szCs w:val="26"/>
        </w:rPr>
        <w:t>Secretary</w:t>
      </w:r>
    </w:p>
    <w:p w:rsidR="00FF40AE" w:rsidRDefault="00FF40AE">
      <w:pPr>
        <w:ind w:firstLine="0"/>
        <w:rPr>
          <w:szCs w:val="26"/>
        </w:rPr>
      </w:pPr>
    </w:p>
    <w:p w:rsidR="00FF40AE" w:rsidRDefault="003D1D62">
      <w:pPr>
        <w:ind w:firstLine="0"/>
        <w:rPr>
          <w:szCs w:val="26"/>
        </w:rPr>
      </w:pPr>
      <w:r w:rsidRPr="00E7339C">
        <w:rPr>
          <w:szCs w:val="26"/>
        </w:rPr>
        <w:t>(SEAL)</w:t>
      </w:r>
    </w:p>
    <w:p w:rsidR="00FF40AE" w:rsidRDefault="003D1D62">
      <w:pPr>
        <w:ind w:firstLine="0"/>
        <w:rPr>
          <w:szCs w:val="26"/>
        </w:rPr>
      </w:pPr>
      <w:r w:rsidRPr="00E7339C">
        <w:rPr>
          <w:szCs w:val="26"/>
        </w:rPr>
        <w:t xml:space="preserve">ORDER ADOPTED:  </w:t>
      </w:r>
      <w:r>
        <w:rPr>
          <w:szCs w:val="26"/>
        </w:rPr>
        <w:t>September 16, 20</w:t>
      </w:r>
      <w:r w:rsidR="00E322F2">
        <w:rPr>
          <w:szCs w:val="26"/>
        </w:rPr>
        <w:t>10</w:t>
      </w:r>
    </w:p>
    <w:p w:rsidR="00FF40AE" w:rsidRDefault="003D1D62">
      <w:pPr>
        <w:ind w:firstLine="0"/>
        <w:rPr>
          <w:szCs w:val="26"/>
        </w:rPr>
      </w:pPr>
      <w:r w:rsidRPr="00E7339C">
        <w:rPr>
          <w:szCs w:val="26"/>
        </w:rPr>
        <w:t xml:space="preserve">ORDER ENTERED:  </w:t>
      </w:r>
      <w:r w:rsidR="00D56DA9">
        <w:rPr>
          <w:szCs w:val="26"/>
        </w:rPr>
        <w:t>September 16, 2010</w:t>
      </w:r>
    </w:p>
    <w:p w:rsidR="00FF40AE" w:rsidRDefault="003D1D62">
      <w:pPr>
        <w:pStyle w:val="Pleading1L3"/>
        <w:numPr>
          <w:ilvl w:val="0"/>
          <w:numId w:val="0"/>
        </w:numPr>
        <w:spacing w:line="360" w:lineRule="auto"/>
        <w:ind w:firstLine="960"/>
        <w:outlineLvl w:val="9"/>
        <w:rPr>
          <w:spacing w:val="-3"/>
          <w:sz w:val="26"/>
          <w:szCs w:val="26"/>
        </w:rPr>
      </w:pPr>
      <w:r>
        <w:rPr>
          <w:spacing w:val="-3"/>
          <w:sz w:val="26"/>
          <w:szCs w:val="26"/>
        </w:rPr>
        <w:t xml:space="preserve"> </w:t>
      </w:r>
    </w:p>
    <w:p w:rsidR="00FF40AE" w:rsidRDefault="00FF40AE"/>
    <w:sectPr w:rsidR="00FF40AE" w:rsidSect="00E64C2D">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1B5" w:rsidRDefault="002921B5" w:rsidP="008D1917">
      <w:pPr>
        <w:spacing w:line="240" w:lineRule="auto"/>
      </w:pPr>
      <w:r>
        <w:separator/>
      </w:r>
    </w:p>
  </w:endnote>
  <w:endnote w:type="continuationSeparator" w:id="0">
    <w:p w:rsidR="002921B5" w:rsidRDefault="002921B5" w:rsidP="008D19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25231"/>
      <w:docPartObj>
        <w:docPartGallery w:val="Page Numbers (Bottom of Page)"/>
        <w:docPartUnique/>
      </w:docPartObj>
    </w:sdtPr>
    <w:sdtContent>
      <w:p w:rsidR="006A795C" w:rsidRDefault="009C2AF3" w:rsidP="00CE680F">
        <w:pPr>
          <w:pStyle w:val="Footer"/>
          <w:ind w:firstLine="0"/>
          <w:jc w:val="center"/>
        </w:pPr>
        <w:fldSimple w:instr=" PAGE   \* MERGEFORMAT ">
          <w:r w:rsidR="00D56DA9">
            <w:rPr>
              <w:noProof/>
            </w:rPr>
            <w:t>ii</w:t>
          </w:r>
        </w:fldSimple>
      </w:p>
    </w:sdtContent>
  </w:sdt>
  <w:p w:rsidR="006A795C" w:rsidRDefault="006A7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1B5" w:rsidRDefault="002921B5" w:rsidP="008D1917">
      <w:pPr>
        <w:spacing w:line="240" w:lineRule="auto"/>
      </w:pPr>
      <w:r>
        <w:separator/>
      </w:r>
    </w:p>
  </w:footnote>
  <w:footnote w:type="continuationSeparator" w:id="0">
    <w:p w:rsidR="002921B5" w:rsidRDefault="002921B5" w:rsidP="008D1917">
      <w:pPr>
        <w:spacing w:line="240" w:lineRule="auto"/>
      </w:pPr>
      <w:r>
        <w:continuationSeparator/>
      </w:r>
    </w:p>
  </w:footnote>
  <w:footnote w:id="1">
    <w:p w:rsidR="006A795C" w:rsidRPr="00630080" w:rsidRDefault="006A795C" w:rsidP="00484441">
      <w:pPr>
        <w:pStyle w:val="FootnoteText"/>
        <w:spacing w:line="240" w:lineRule="auto"/>
        <w:ind w:firstLine="720"/>
        <w:rPr>
          <w:sz w:val="26"/>
          <w:szCs w:val="26"/>
        </w:rPr>
      </w:pPr>
      <w:r>
        <w:rPr>
          <w:rStyle w:val="FootnoteReference"/>
        </w:rPr>
        <w:footnoteRef/>
      </w:r>
      <w:r>
        <w:t xml:space="preserve"> </w:t>
      </w:r>
      <w:r>
        <w:tab/>
      </w:r>
      <w:r w:rsidRPr="00630080">
        <w:rPr>
          <w:sz w:val="26"/>
          <w:szCs w:val="26"/>
        </w:rPr>
        <w:t>The specific filing requirements are set forth in the Commission’s Regulations at 52 Pa. Code §§53.64(c) and 53.65.</w:t>
      </w:r>
    </w:p>
  </w:footnote>
  <w:footnote w:id="2">
    <w:p w:rsidR="006A795C" w:rsidRPr="001F2EA0" w:rsidRDefault="006A795C" w:rsidP="001F2EA0">
      <w:pPr>
        <w:pStyle w:val="FootnoteText"/>
        <w:spacing w:line="240" w:lineRule="auto"/>
        <w:ind w:firstLine="720"/>
        <w:rPr>
          <w:sz w:val="26"/>
          <w:szCs w:val="26"/>
        </w:rPr>
      </w:pPr>
      <w:r w:rsidRPr="001F2EA0">
        <w:rPr>
          <w:rStyle w:val="FootnoteReference"/>
          <w:sz w:val="26"/>
          <w:szCs w:val="26"/>
        </w:rPr>
        <w:footnoteRef/>
      </w:r>
      <w:r w:rsidRPr="001F2EA0">
        <w:rPr>
          <w:sz w:val="26"/>
          <w:szCs w:val="26"/>
        </w:rPr>
        <w:t xml:space="preserve">  </w:t>
      </w:r>
      <w:r w:rsidRPr="001F2EA0">
        <w:rPr>
          <w:sz w:val="26"/>
          <w:szCs w:val="26"/>
        </w:rPr>
        <w:tab/>
        <w:t>A more complete history of th</w:t>
      </w:r>
      <w:r>
        <w:rPr>
          <w:sz w:val="26"/>
          <w:szCs w:val="26"/>
        </w:rPr>
        <w:t>is</w:t>
      </w:r>
      <w:r w:rsidRPr="001F2EA0">
        <w:rPr>
          <w:sz w:val="26"/>
          <w:szCs w:val="26"/>
        </w:rPr>
        <w:t xml:space="preserve"> proceeding is presented in the Recommended Decision at 1–6.</w:t>
      </w:r>
    </w:p>
  </w:footnote>
  <w:footnote w:id="3">
    <w:p w:rsidR="006A795C" w:rsidRPr="00C96BC5" w:rsidRDefault="006A795C" w:rsidP="00883B74">
      <w:pPr>
        <w:pStyle w:val="FootnoteText"/>
        <w:spacing w:line="240" w:lineRule="auto"/>
        <w:ind w:firstLine="720"/>
        <w:rPr>
          <w:sz w:val="26"/>
          <w:szCs w:val="26"/>
        </w:rPr>
      </w:pPr>
      <w:r w:rsidRPr="00C96BC5">
        <w:rPr>
          <w:rStyle w:val="FootnoteReference"/>
          <w:sz w:val="26"/>
          <w:szCs w:val="26"/>
        </w:rPr>
        <w:footnoteRef/>
      </w:r>
      <w:r w:rsidRPr="00C96BC5">
        <w:rPr>
          <w:sz w:val="26"/>
          <w:szCs w:val="26"/>
        </w:rPr>
        <w:t xml:space="preserve"> </w:t>
      </w:r>
      <w:r>
        <w:rPr>
          <w:sz w:val="26"/>
          <w:szCs w:val="26"/>
        </w:rPr>
        <w:tab/>
      </w:r>
      <w:r w:rsidRPr="00C96BC5">
        <w:rPr>
          <w:sz w:val="26"/>
          <w:szCs w:val="26"/>
        </w:rPr>
        <w:t xml:space="preserve">Equitable did not participate in the </w:t>
      </w:r>
      <w:r>
        <w:rPr>
          <w:sz w:val="26"/>
          <w:szCs w:val="26"/>
        </w:rPr>
        <w:t xml:space="preserve">subsequent evidentiary </w:t>
      </w:r>
      <w:r w:rsidRPr="00C96BC5">
        <w:rPr>
          <w:sz w:val="26"/>
          <w:szCs w:val="26"/>
        </w:rPr>
        <w:t xml:space="preserve">hearing </w:t>
      </w:r>
      <w:r>
        <w:rPr>
          <w:sz w:val="26"/>
          <w:szCs w:val="26"/>
        </w:rPr>
        <w:t xml:space="preserve">nor </w:t>
      </w:r>
      <w:r w:rsidRPr="00C96BC5">
        <w:rPr>
          <w:sz w:val="26"/>
          <w:szCs w:val="26"/>
        </w:rPr>
        <w:t xml:space="preserve">did </w:t>
      </w:r>
      <w:r>
        <w:rPr>
          <w:sz w:val="26"/>
          <w:szCs w:val="26"/>
        </w:rPr>
        <w:t xml:space="preserve">it </w:t>
      </w:r>
      <w:r w:rsidRPr="00C96BC5">
        <w:rPr>
          <w:sz w:val="26"/>
          <w:szCs w:val="26"/>
        </w:rPr>
        <w:t xml:space="preserve">file </w:t>
      </w:r>
      <w:r>
        <w:rPr>
          <w:sz w:val="26"/>
          <w:szCs w:val="26"/>
        </w:rPr>
        <w:t>comments regarding the Settlement Agreement, b</w:t>
      </w:r>
      <w:r w:rsidRPr="00C96BC5">
        <w:rPr>
          <w:sz w:val="26"/>
          <w:szCs w:val="26"/>
        </w:rPr>
        <w:t>riefs</w:t>
      </w:r>
      <w:r>
        <w:rPr>
          <w:sz w:val="26"/>
          <w:szCs w:val="26"/>
        </w:rPr>
        <w:t>,</w:t>
      </w:r>
      <w:r w:rsidRPr="00C96BC5">
        <w:rPr>
          <w:sz w:val="26"/>
          <w:szCs w:val="26"/>
        </w:rPr>
        <w:t xml:space="preserve"> or </w:t>
      </w:r>
      <w:r>
        <w:rPr>
          <w:sz w:val="26"/>
          <w:szCs w:val="26"/>
        </w:rPr>
        <w:t>e</w:t>
      </w:r>
      <w:r w:rsidRPr="00C96BC5">
        <w:rPr>
          <w:sz w:val="26"/>
          <w:szCs w:val="26"/>
        </w:rPr>
        <w:t>xceptions</w:t>
      </w:r>
      <w:r>
        <w:rPr>
          <w:sz w:val="26"/>
          <w:szCs w:val="26"/>
        </w:rPr>
        <w:t xml:space="preserve"> to the Recommended Decision</w:t>
      </w:r>
      <w:r w:rsidRPr="00C96BC5">
        <w:rPr>
          <w:sz w:val="26"/>
          <w:szCs w:val="26"/>
        </w:rPr>
        <w:t xml:space="preserve">. </w:t>
      </w:r>
    </w:p>
  </w:footnote>
  <w:footnote w:id="4">
    <w:p w:rsidR="006A795C" w:rsidRDefault="006A795C">
      <w:pPr>
        <w:spacing w:line="240" w:lineRule="auto"/>
        <w:ind w:firstLine="720"/>
        <w:rPr>
          <w:sz w:val="24"/>
          <w:szCs w:val="26"/>
        </w:rPr>
      </w:pPr>
      <w:r>
        <w:rPr>
          <w:rStyle w:val="FootnoteReference"/>
        </w:rPr>
        <w:footnoteRef/>
      </w:r>
      <w:r>
        <w:tab/>
      </w:r>
      <w:r w:rsidRPr="002205D9">
        <w:rPr>
          <w:i/>
          <w:sz w:val="24"/>
          <w:szCs w:val="26"/>
        </w:rPr>
        <w:t>Petition of The Peoples Natural Gas Company, d/b/a Dominion Peoples Requesting Approval to Use Tennessee PCB Interim Refunds for Expanded Dollar Energy Fund Grants Program, Emergency House Line Repair &amp; Furnace Replacement Program and GCR Credits to Small Commercial Customers</w:t>
      </w:r>
      <w:r>
        <w:rPr>
          <w:sz w:val="24"/>
          <w:szCs w:val="26"/>
        </w:rPr>
        <w:t xml:space="preserve">, </w:t>
      </w:r>
      <w:r w:rsidRPr="001C57FE">
        <w:rPr>
          <w:sz w:val="24"/>
          <w:szCs w:val="26"/>
        </w:rPr>
        <w:t>Docket No. P-2010-2152149</w:t>
      </w:r>
      <w:r>
        <w:rPr>
          <w:sz w:val="24"/>
          <w:szCs w:val="26"/>
        </w:rPr>
        <w:t xml:space="preserve"> (Order entered May 24, 2010).</w:t>
      </w:r>
    </w:p>
    <w:p w:rsidR="006A795C" w:rsidRPr="001C57FE" w:rsidRDefault="006A795C" w:rsidP="002205D9">
      <w:pPr>
        <w:spacing w:line="240" w:lineRule="auto"/>
        <w:ind w:firstLine="720"/>
        <w:rPr>
          <w:sz w:val="24"/>
          <w:szCs w:val="26"/>
        </w:rPr>
      </w:pPr>
    </w:p>
    <w:p w:rsidR="006A795C" w:rsidRDefault="006A795C" w:rsidP="002205D9">
      <w:pPr>
        <w:pStyle w:val="FootnoteText"/>
        <w:spacing w:line="240" w:lineRule="auto"/>
        <w:ind w:firstLine="720"/>
      </w:pPr>
    </w:p>
  </w:footnote>
  <w:footnote w:id="5">
    <w:p w:rsidR="006A795C" w:rsidRPr="001355A7" w:rsidRDefault="006A795C" w:rsidP="001355A7">
      <w:pPr>
        <w:pStyle w:val="FootnoteText"/>
        <w:spacing w:line="240" w:lineRule="auto"/>
        <w:ind w:firstLine="720"/>
        <w:rPr>
          <w:sz w:val="26"/>
          <w:szCs w:val="26"/>
        </w:rPr>
      </w:pPr>
      <w:r w:rsidRPr="001355A7">
        <w:rPr>
          <w:rStyle w:val="FootnoteReference"/>
          <w:sz w:val="26"/>
          <w:szCs w:val="26"/>
        </w:rPr>
        <w:footnoteRef/>
      </w:r>
      <w:r w:rsidRPr="001355A7">
        <w:rPr>
          <w:sz w:val="26"/>
          <w:szCs w:val="26"/>
        </w:rPr>
        <w:t xml:space="preserve"> </w:t>
      </w:r>
      <w:r>
        <w:rPr>
          <w:sz w:val="26"/>
          <w:szCs w:val="26"/>
        </w:rPr>
        <w:tab/>
      </w:r>
      <w:r w:rsidRPr="001355A7">
        <w:rPr>
          <w:sz w:val="26"/>
          <w:szCs w:val="26"/>
        </w:rPr>
        <w:t>The Settlement Agreement provides that Peoples will present its analysis of gathering system retainage in the 2011 1307(f) proceeding</w:t>
      </w:r>
      <w:r>
        <w:rPr>
          <w:sz w:val="26"/>
          <w:szCs w:val="26"/>
        </w:rPr>
        <w:t xml:space="preserve"> but</w:t>
      </w:r>
      <w:r w:rsidRPr="001355A7">
        <w:rPr>
          <w:sz w:val="26"/>
          <w:szCs w:val="26"/>
        </w:rPr>
        <w:t xml:space="preserve"> no party is precluded from </w:t>
      </w:r>
      <w:r>
        <w:rPr>
          <w:sz w:val="26"/>
          <w:szCs w:val="26"/>
        </w:rPr>
        <w:t xml:space="preserve">addressing </w:t>
      </w:r>
      <w:r w:rsidRPr="001355A7">
        <w:rPr>
          <w:sz w:val="26"/>
          <w:szCs w:val="26"/>
        </w:rPr>
        <w:t xml:space="preserve">charges to gas producers in the anticipated Peoples base rate case.  Settlement Agreement at 9. </w:t>
      </w:r>
    </w:p>
  </w:footnote>
  <w:footnote w:id="6">
    <w:p w:rsidR="006A795C" w:rsidRPr="006944AC" w:rsidRDefault="006A795C" w:rsidP="006944AC">
      <w:pPr>
        <w:pStyle w:val="FootnoteText"/>
        <w:spacing w:line="240" w:lineRule="auto"/>
        <w:ind w:firstLine="720"/>
        <w:rPr>
          <w:sz w:val="26"/>
          <w:szCs w:val="26"/>
        </w:rPr>
      </w:pPr>
      <w:r w:rsidRPr="006944AC">
        <w:rPr>
          <w:rStyle w:val="FootnoteReference"/>
          <w:sz w:val="26"/>
          <w:szCs w:val="26"/>
        </w:rPr>
        <w:footnoteRef/>
      </w:r>
      <w:r w:rsidRPr="006944AC">
        <w:rPr>
          <w:sz w:val="26"/>
          <w:szCs w:val="26"/>
        </w:rPr>
        <w:t xml:space="preserve"> </w:t>
      </w:r>
      <w:r>
        <w:tab/>
      </w:r>
      <w:r w:rsidRPr="006944AC">
        <w:rPr>
          <w:sz w:val="26"/>
          <w:szCs w:val="26"/>
        </w:rPr>
        <w:t xml:space="preserve">The multiplier is applied to rates set forth in </w:t>
      </w:r>
      <w:r>
        <w:rPr>
          <w:sz w:val="26"/>
          <w:szCs w:val="26"/>
        </w:rPr>
        <w:t>P</w:t>
      </w:r>
      <w:r w:rsidRPr="006944AC">
        <w:rPr>
          <w:sz w:val="26"/>
          <w:szCs w:val="26"/>
        </w:rPr>
        <w:t xml:space="preserve">eoples’ tariff to establish charges for excesses and shortages of deliveries into Peoples’ system. </w:t>
      </w:r>
    </w:p>
  </w:footnote>
  <w:footnote w:id="7">
    <w:p w:rsidR="006A795C" w:rsidRPr="00CB34A3" w:rsidRDefault="006A795C" w:rsidP="003F3CB4">
      <w:pPr>
        <w:pStyle w:val="FootnoteText"/>
        <w:spacing w:line="240" w:lineRule="auto"/>
        <w:ind w:firstLine="720"/>
        <w:rPr>
          <w:sz w:val="26"/>
          <w:szCs w:val="26"/>
        </w:rPr>
      </w:pPr>
      <w:r w:rsidRPr="00CB34A3">
        <w:rPr>
          <w:rStyle w:val="FootnoteReference"/>
          <w:sz w:val="26"/>
          <w:szCs w:val="26"/>
        </w:rPr>
        <w:footnoteRef/>
      </w:r>
      <w:r w:rsidRPr="00CB34A3">
        <w:rPr>
          <w:sz w:val="26"/>
          <w:szCs w:val="26"/>
        </w:rPr>
        <w:t xml:space="preserve"> </w:t>
      </w:r>
      <w:r>
        <w:rPr>
          <w:sz w:val="26"/>
          <w:szCs w:val="26"/>
        </w:rPr>
        <w:tab/>
        <w:t xml:space="preserve">The Peoples Natural Gas Company d/b/a/ Dominion Peoples was the predecessor to Peoples. </w:t>
      </w:r>
    </w:p>
  </w:footnote>
  <w:footnote w:id="8">
    <w:p w:rsidR="006A795C" w:rsidRPr="00B74E56" w:rsidRDefault="006A795C" w:rsidP="00AD7647">
      <w:pPr>
        <w:pStyle w:val="FootnoteText"/>
        <w:spacing w:line="240" w:lineRule="auto"/>
        <w:ind w:firstLine="720"/>
        <w:rPr>
          <w:sz w:val="26"/>
          <w:szCs w:val="26"/>
        </w:rPr>
      </w:pPr>
      <w:r w:rsidRPr="00B74E56">
        <w:rPr>
          <w:rStyle w:val="FootnoteReference"/>
          <w:sz w:val="26"/>
          <w:szCs w:val="26"/>
        </w:rPr>
        <w:footnoteRef/>
      </w:r>
      <w:r w:rsidRPr="00B74E56">
        <w:rPr>
          <w:sz w:val="26"/>
          <w:szCs w:val="26"/>
        </w:rPr>
        <w:t xml:space="preserve"> </w:t>
      </w:r>
      <w:r>
        <w:rPr>
          <w:sz w:val="26"/>
          <w:szCs w:val="26"/>
        </w:rPr>
        <w:tab/>
        <w:t xml:space="preserve">In its Main Brief at 7, the OSBA notes that it was not a party to the Settlement Agreement of the 2009 1307(f) proceeding. </w:t>
      </w:r>
    </w:p>
  </w:footnote>
  <w:footnote w:id="9">
    <w:p w:rsidR="006A795C" w:rsidRPr="00D120FD" w:rsidRDefault="006A795C" w:rsidP="00D120FD">
      <w:pPr>
        <w:pStyle w:val="FootnoteText"/>
        <w:spacing w:line="240" w:lineRule="auto"/>
        <w:ind w:firstLine="720"/>
        <w:rPr>
          <w:sz w:val="26"/>
          <w:szCs w:val="26"/>
        </w:rPr>
      </w:pPr>
      <w:r w:rsidRPr="00D120FD">
        <w:rPr>
          <w:rStyle w:val="FootnoteReference"/>
          <w:sz w:val="26"/>
          <w:szCs w:val="26"/>
        </w:rPr>
        <w:footnoteRef/>
      </w:r>
      <w:r w:rsidRPr="00D120FD">
        <w:rPr>
          <w:sz w:val="26"/>
          <w:szCs w:val="26"/>
        </w:rPr>
        <w:t xml:space="preserve"> </w:t>
      </w:r>
      <w:r>
        <w:rPr>
          <w:sz w:val="26"/>
          <w:szCs w:val="26"/>
        </w:rPr>
        <w:tab/>
      </w:r>
      <w:r w:rsidRPr="00D120FD">
        <w:rPr>
          <w:sz w:val="26"/>
          <w:szCs w:val="26"/>
        </w:rPr>
        <w:t>According</w:t>
      </w:r>
      <w:r w:rsidRPr="00D120FD">
        <w:t xml:space="preserve"> </w:t>
      </w:r>
      <w:r w:rsidRPr="00D120FD">
        <w:rPr>
          <w:sz w:val="26"/>
          <w:szCs w:val="26"/>
        </w:rPr>
        <w:t xml:space="preserve">to </w:t>
      </w:r>
      <w:r>
        <w:rPr>
          <w:sz w:val="26"/>
          <w:szCs w:val="26"/>
        </w:rPr>
        <w:t>P</w:t>
      </w:r>
      <w:r w:rsidRPr="00D120FD">
        <w:rPr>
          <w:sz w:val="26"/>
          <w:szCs w:val="26"/>
        </w:rPr>
        <w:t>eoples</w:t>
      </w:r>
      <w:r>
        <w:rPr>
          <w:sz w:val="26"/>
          <w:szCs w:val="26"/>
        </w:rPr>
        <w:t>’</w:t>
      </w:r>
      <w:r w:rsidRPr="00D120FD">
        <w:rPr>
          <w:sz w:val="26"/>
          <w:szCs w:val="26"/>
        </w:rPr>
        <w:t xml:space="preserve"> Standard Operating Procedures, Class 1 Leaks require prompt and continuous action until conditions are no longer hazardous or until permanent repairs are made.  Audit at 38. </w:t>
      </w:r>
    </w:p>
  </w:footnote>
  <w:footnote w:id="10">
    <w:p w:rsidR="006A795C" w:rsidRPr="00F77EA1" w:rsidRDefault="006A795C" w:rsidP="00F77EA1">
      <w:pPr>
        <w:pStyle w:val="FootnoteText"/>
        <w:spacing w:line="240" w:lineRule="auto"/>
        <w:ind w:firstLine="720"/>
        <w:rPr>
          <w:sz w:val="26"/>
          <w:szCs w:val="26"/>
        </w:rPr>
      </w:pPr>
      <w:r w:rsidRPr="00F77EA1">
        <w:rPr>
          <w:rStyle w:val="FootnoteReference"/>
          <w:sz w:val="26"/>
          <w:szCs w:val="26"/>
        </w:rPr>
        <w:footnoteRef/>
      </w:r>
      <w:r w:rsidRPr="00F77EA1">
        <w:rPr>
          <w:sz w:val="26"/>
          <w:szCs w:val="26"/>
        </w:rPr>
        <w:t xml:space="preserve"> </w:t>
      </w:r>
      <w:r>
        <w:rPr>
          <w:sz w:val="26"/>
          <w:szCs w:val="26"/>
        </w:rPr>
        <w:tab/>
      </w:r>
      <w:r w:rsidRPr="00F77EA1">
        <w:rPr>
          <w:sz w:val="26"/>
          <w:szCs w:val="26"/>
        </w:rPr>
        <w:t xml:space="preserve">Many of the arguments surrounding OSBA’s proposal to place a cap on the amount </w:t>
      </w:r>
      <w:r>
        <w:rPr>
          <w:sz w:val="26"/>
          <w:szCs w:val="26"/>
        </w:rPr>
        <w:t xml:space="preserve">of </w:t>
      </w:r>
      <w:r w:rsidRPr="00F77EA1">
        <w:rPr>
          <w:sz w:val="26"/>
          <w:szCs w:val="26"/>
        </w:rPr>
        <w:t>LUFG that may be recovered through Peoples’ PGC are also applicable to the effect th</w:t>
      </w:r>
      <w:r>
        <w:rPr>
          <w:sz w:val="26"/>
          <w:szCs w:val="26"/>
        </w:rPr>
        <w:t>at</w:t>
      </w:r>
      <w:r w:rsidRPr="00F77EA1">
        <w:rPr>
          <w:sz w:val="26"/>
          <w:szCs w:val="26"/>
        </w:rPr>
        <w:t xml:space="preserve"> LUGF </w:t>
      </w:r>
      <w:r>
        <w:rPr>
          <w:sz w:val="26"/>
          <w:szCs w:val="26"/>
        </w:rPr>
        <w:t xml:space="preserve">may </w:t>
      </w:r>
      <w:r w:rsidRPr="00F77EA1">
        <w:rPr>
          <w:sz w:val="26"/>
          <w:szCs w:val="26"/>
        </w:rPr>
        <w:t>ha</w:t>
      </w:r>
      <w:r>
        <w:rPr>
          <w:sz w:val="26"/>
          <w:szCs w:val="26"/>
        </w:rPr>
        <w:t>ve</w:t>
      </w:r>
      <w:r w:rsidRPr="00F77EA1">
        <w:rPr>
          <w:sz w:val="26"/>
          <w:szCs w:val="26"/>
        </w:rPr>
        <w:t xml:space="preserve"> on retainage rates reflected in Peoples’ transportation service tariffs, discussed </w:t>
      </w:r>
      <w:r w:rsidRPr="00F77EA1">
        <w:rPr>
          <w:i/>
          <w:sz w:val="26"/>
          <w:szCs w:val="26"/>
        </w:rPr>
        <w:t>infra</w:t>
      </w:r>
      <w:r w:rsidRPr="00F77EA1">
        <w:rPr>
          <w:sz w:val="26"/>
          <w:szCs w:val="26"/>
        </w:rPr>
        <w:t xml:space="preserve">. </w:t>
      </w:r>
    </w:p>
  </w:footnote>
  <w:footnote w:id="11">
    <w:p w:rsidR="006A795C" w:rsidRPr="00D13F83" w:rsidRDefault="006A795C" w:rsidP="00D13F83">
      <w:pPr>
        <w:pStyle w:val="FootnoteText"/>
        <w:spacing w:line="240" w:lineRule="auto"/>
        <w:ind w:firstLine="720"/>
        <w:rPr>
          <w:sz w:val="26"/>
          <w:szCs w:val="26"/>
        </w:rPr>
      </w:pPr>
      <w:r w:rsidRPr="00D13F83">
        <w:rPr>
          <w:rStyle w:val="FootnoteReference"/>
          <w:sz w:val="26"/>
          <w:szCs w:val="26"/>
        </w:rPr>
        <w:footnoteRef/>
      </w:r>
      <w:r w:rsidRPr="00D13F83">
        <w:rPr>
          <w:sz w:val="26"/>
          <w:szCs w:val="26"/>
        </w:rPr>
        <w:t xml:space="preserve"> </w:t>
      </w:r>
      <w:r>
        <w:rPr>
          <w:sz w:val="26"/>
          <w:szCs w:val="26"/>
        </w:rPr>
        <w:tab/>
      </w:r>
      <w:r w:rsidRPr="00D13F83">
        <w:rPr>
          <w:sz w:val="26"/>
          <w:szCs w:val="26"/>
        </w:rPr>
        <w:t xml:space="preserve">As discussed, </w:t>
      </w:r>
      <w:r w:rsidRPr="00D13F83">
        <w:rPr>
          <w:i/>
          <w:sz w:val="26"/>
          <w:szCs w:val="26"/>
        </w:rPr>
        <w:t>supra</w:t>
      </w:r>
      <w:r w:rsidRPr="00D13F83">
        <w:rPr>
          <w:sz w:val="26"/>
          <w:szCs w:val="26"/>
        </w:rPr>
        <w:t xml:space="preserve">, </w:t>
      </w:r>
      <w:r>
        <w:rPr>
          <w:sz w:val="26"/>
          <w:szCs w:val="26"/>
        </w:rPr>
        <w:t>t</w:t>
      </w:r>
      <w:r w:rsidRPr="00D13F83">
        <w:rPr>
          <w:sz w:val="26"/>
          <w:szCs w:val="26"/>
        </w:rPr>
        <w:t xml:space="preserve">he OTS </w:t>
      </w:r>
      <w:r>
        <w:rPr>
          <w:sz w:val="26"/>
          <w:szCs w:val="26"/>
        </w:rPr>
        <w:t xml:space="preserve">submitted </w:t>
      </w:r>
      <w:r w:rsidRPr="00D13F83">
        <w:rPr>
          <w:sz w:val="26"/>
          <w:szCs w:val="26"/>
        </w:rPr>
        <w:t xml:space="preserve">that LUFG is impacted by outside factors and that actual factors can fluctuate from year to year. </w:t>
      </w:r>
      <w:r>
        <w:rPr>
          <w:sz w:val="26"/>
          <w:szCs w:val="26"/>
        </w:rPr>
        <w:t xml:space="preserve"> Therefore, we anticipate that P</w:t>
      </w:r>
      <w:r w:rsidRPr="00D13F83">
        <w:rPr>
          <w:sz w:val="26"/>
          <w:szCs w:val="26"/>
        </w:rPr>
        <w:t xml:space="preserve">eoples will submit its proposed targets as a range of expected LUFG levels.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mso-wrap-style:square" o:bullet="t">
        <v:imagedata r:id="rId1" o:title=""/>
      </v:shape>
    </w:pict>
  </w:numPicBullet>
  <w:abstractNum w:abstractNumId="0">
    <w:nsid w:val="11FA5D6F"/>
    <w:multiLevelType w:val="hybridMultilevel"/>
    <w:tmpl w:val="6B14353E"/>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13728"/>
    <w:multiLevelType w:val="multilevel"/>
    <w:tmpl w:val="71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62E63"/>
    <w:multiLevelType w:val="hybridMultilevel"/>
    <w:tmpl w:val="AB8453A4"/>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905B9"/>
    <w:multiLevelType w:val="hybridMultilevel"/>
    <w:tmpl w:val="84F2E08C"/>
    <w:lvl w:ilvl="0" w:tplc="FC1ED2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F20E4"/>
    <w:multiLevelType w:val="hybridMultilevel"/>
    <w:tmpl w:val="F0DA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A2760"/>
    <w:multiLevelType w:val="hybridMultilevel"/>
    <w:tmpl w:val="ACBAE1D8"/>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72FD8"/>
    <w:multiLevelType w:val="hybridMultilevel"/>
    <w:tmpl w:val="53D47134"/>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32693"/>
    <w:multiLevelType w:val="hybridMultilevel"/>
    <w:tmpl w:val="111A7C42"/>
    <w:lvl w:ilvl="0" w:tplc="889C57A2">
      <w:start w:val="1"/>
      <w:numFmt w:val="bullet"/>
      <w:lvlText w:val=""/>
      <w:lvlPicBulletId w:val="0"/>
      <w:lvlJc w:val="left"/>
      <w:pPr>
        <w:tabs>
          <w:tab w:val="num" w:pos="720"/>
        </w:tabs>
        <w:ind w:left="720" w:hanging="360"/>
      </w:pPr>
      <w:rPr>
        <w:rFonts w:ascii="Symbol" w:hAnsi="Symbol" w:hint="default"/>
      </w:rPr>
    </w:lvl>
    <w:lvl w:ilvl="1" w:tplc="46D26640" w:tentative="1">
      <w:start w:val="1"/>
      <w:numFmt w:val="bullet"/>
      <w:lvlText w:val=""/>
      <w:lvlJc w:val="left"/>
      <w:pPr>
        <w:tabs>
          <w:tab w:val="num" w:pos="1440"/>
        </w:tabs>
        <w:ind w:left="1440" w:hanging="360"/>
      </w:pPr>
      <w:rPr>
        <w:rFonts w:ascii="Symbol" w:hAnsi="Symbol" w:hint="default"/>
      </w:rPr>
    </w:lvl>
    <w:lvl w:ilvl="2" w:tplc="1178820A" w:tentative="1">
      <w:start w:val="1"/>
      <w:numFmt w:val="bullet"/>
      <w:lvlText w:val=""/>
      <w:lvlJc w:val="left"/>
      <w:pPr>
        <w:tabs>
          <w:tab w:val="num" w:pos="2160"/>
        </w:tabs>
        <w:ind w:left="2160" w:hanging="360"/>
      </w:pPr>
      <w:rPr>
        <w:rFonts w:ascii="Symbol" w:hAnsi="Symbol" w:hint="default"/>
      </w:rPr>
    </w:lvl>
    <w:lvl w:ilvl="3" w:tplc="1DA0E39E" w:tentative="1">
      <w:start w:val="1"/>
      <w:numFmt w:val="bullet"/>
      <w:lvlText w:val=""/>
      <w:lvlJc w:val="left"/>
      <w:pPr>
        <w:tabs>
          <w:tab w:val="num" w:pos="2880"/>
        </w:tabs>
        <w:ind w:left="2880" w:hanging="360"/>
      </w:pPr>
      <w:rPr>
        <w:rFonts w:ascii="Symbol" w:hAnsi="Symbol" w:hint="default"/>
      </w:rPr>
    </w:lvl>
    <w:lvl w:ilvl="4" w:tplc="DA0CB094" w:tentative="1">
      <w:start w:val="1"/>
      <w:numFmt w:val="bullet"/>
      <w:lvlText w:val=""/>
      <w:lvlJc w:val="left"/>
      <w:pPr>
        <w:tabs>
          <w:tab w:val="num" w:pos="3600"/>
        </w:tabs>
        <w:ind w:left="3600" w:hanging="360"/>
      </w:pPr>
      <w:rPr>
        <w:rFonts w:ascii="Symbol" w:hAnsi="Symbol" w:hint="default"/>
      </w:rPr>
    </w:lvl>
    <w:lvl w:ilvl="5" w:tplc="C4C077AA" w:tentative="1">
      <w:start w:val="1"/>
      <w:numFmt w:val="bullet"/>
      <w:lvlText w:val=""/>
      <w:lvlJc w:val="left"/>
      <w:pPr>
        <w:tabs>
          <w:tab w:val="num" w:pos="4320"/>
        </w:tabs>
        <w:ind w:left="4320" w:hanging="360"/>
      </w:pPr>
      <w:rPr>
        <w:rFonts w:ascii="Symbol" w:hAnsi="Symbol" w:hint="default"/>
      </w:rPr>
    </w:lvl>
    <w:lvl w:ilvl="6" w:tplc="51BC0EAA" w:tentative="1">
      <w:start w:val="1"/>
      <w:numFmt w:val="bullet"/>
      <w:lvlText w:val=""/>
      <w:lvlJc w:val="left"/>
      <w:pPr>
        <w:tabs>
          <w:tab w:val="num" w:pos="5040"/>
        </w:tabs>
        <w:ind w:left="5040" w:hanging="360"/>
      </w:pPr>
      <w:rPr>
        <w:rFonts w:ascii="Symbol" w:hAnsi="Symbol" w:hint="default"/>
      </w:rPr>
    </w:lvl>
    <w:lvl w:ilvl="7" w:tplc="DB96BD52" w:tentative="1">
      <w:start w:val="1"/>
      <w:numFmt w:val="bullet"/>
      <w:lvlText w:val=""/>
      <w:lvlJc w:val="left"/>
      <w:pPr>
        <w:tabs>
          <w:tab w:val="num" w:pos="5760"/>
        </w:tabs>
        <w:ind w:left="5760" w:hanging="360"/>
      </w:pPr>
      <w:rPr>
        <w:rFonts w:ascii="Symbol" w:hAnsi="Symbol" w:hint="default"/>
      </w:rPr>
    </w:lvl>
    <w:lvl w:ilvl="8" w:tplc="9F26EECA" w:tentative="1">
      <w:start w:val="1"/>
      <w:numFmt w:val="bullet"/>
      <w:lvlText w:val=""/>
      <w:lvlJc w:val="left"/>
      <w:pPr>
        <w:tabs>
          <w:tab w:val="num" w:pos="6480"/>
        </w:tabs>
        <w:ind w:left="6480" w:hanging="360"/>
      </w:pPr>
      <w:rPr>
        <w:rFonts w:ascii="Symbol" w:hAnsi="Symbol" w:hint="default"/>
      </w:rPr>
    </w:lvl>
  </w:abstractNum>
  <w:abstractNum w:abstractNumId="8">
    <w:nsid w:val="46FD14D3"/>
    <w:multiLevelType w:val="hybridMultilevel"/>
    <w:tmpl w:val="3C7606F8"/>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E564A"/>
    <w:multiLevelType w:val="hybridMultilevel"/>
    <w:tmpl w:val="3B2C6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C4596D"/>
    <w:multiLevelType w:val="hybridMultilevel"/>
    <w:tmpl w:val="E74CF86C"/>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2A33A9"/>
    <w:multiLevelType w:val="multilevel"/>
    <w:tmpl w:val="55B21D02"/>
    <w:name w:val="zzmpPleading1||Pleading1 |2|1|1|1|0|45||1|0|36||1|0|32||1|0|32||1|0|32||1|0|32||1|0|32||1|0|32||1|0|32||"/>
    <w:lvl w:ilvl="0">
      <w:start w:val="1"/>
      <w:numFmt w:val="upperRoman"/>
      <w:pStyle w:val="Pleading1L1"/>
      <w:lvlText w:val="%1."/>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1">
      <w:start w:val="1"/>
      <w:numFmt w:val="upperLetter"/>
      <w:lvlRestart w:val="0"/>
      <w:pStyle w:val="Pleading1L2"/>
      <w:lvlText w:val="%2."/>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1L3"/>
      <w:lvlText w:val="%3."/>
      <w:lvlJc w:val="left"/>
      <w:pPr>
        <w:tabs>
          <w:tab w:val="num" w:pos="1680"/>
        </w:tabs>
        <w:ind w:left="-48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3">
      <w:start w:val="1"/>
      <w:numFmt w:val="lowerLetter"/>
      <w:lvlRestart w:val="0"/>
      <w:pStyle w:val="Pleading1L4"/>
      <w:lvlText w:val="%4."/>
      <w:lvlJc w:val="left"/>
      <w:pPr>
        <w:tabs>
          <w:tab w:val="num" w:pos="2880"/>
        </w:tabs>
        <w:ind w:left="72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4">
      <w:start w:val="1"/>
      <w:numFmt w:val="decimal"/>
      <w:lvlRestart w:val="0"/>
      <w:pStyle w:val="Pleading1L5"/>
      <w:lvlText w:val="(%5)"/>
      <w:lvlJc w:val="left"/>
      <w:pPr>
        <w:tabs>
          <w:tab w:val="num" w:pos="3600"/>
        </w:tabs>
        <w:ind w:left="144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6">
      <w:start w:val="1"/>
      <w:numFmt w:val="lowerRoman"/>
      <w:pStyle w:val="Pleading1L7"/>
      <w:lvlText w:val="(%7)"/>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7">
      <w:start w:val="1"/>
      <w:numFmt w:val="lowerLetter"/>
      <w:pStyle w:val="Pleading1L8"/>
      <w:lvlText w:val="%8)"/>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8">
      <w:start w:val="1"/>
      <w:numFmt w:val="lowerRoman"/>
      <w:pStyle w:val="Pleading1L9"/>
      <w:lvlText w:val="%9)"/>
      <w:lvlJc w:val="left"/>
      <w:pPr>
        <w:tabs>
          <w:tab w:val="num" w:pos="6480"/>
        </w:tabs>
        <w:ind w:left="648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abstractNum>
  <w:abstractNum w:abstractNumId="12">
    <w:nsid w:val="64F72AD5"/>
    <w:multiLevelType w:val="hybridMultilevel"/>
    <w:tmpl w:val="B0308F40"/>
    <w:lvl w:ilvl="0" w:tplc="BE80E9C4">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183157"/>
    <w:multiLevelType w:val="hybridMultilevel"/>
    <w:tmpl w:val="459CF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E428FD"/>
    <w:multiLevelType w:val="hybridMultilevel"/>
    <w:tmpl w:val="757CB610"/>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0D55DC"/>
    <w:multiLevelType w:val="hybridMultilevel"/>
    <w:tmpl w:val="2020C3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B1646F0"/>
    <w:multiLevelType w:val="hybridMultilevel"/>
    <w:tmpl w:val="2C60DF32"/>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1"/>
  </w:num>
  <w:num w:numId="3">
    <w:abstractNumId w:val="9"/>
  </w:num>
  <w:num w:numId="4">
    <w:abstractNumId w:val="4"/>
  </w:num>
  <w:num w:numId="5">
    <w:abstractNumId w:val="13"/>
  </w:num>
  <w:num w:numId="6">
    <w:abstractNumId w:val="10"/>
  </w:num>
  <w:num w:numId="7">
    <w:abstractNumId w:val="0"/>
  </w:num>
  <w:num w:numId="8">
    <w:abstractNumId w:val="16"/>
  </w:num>
  <w:num w:numId="9">
    <w:abstractNumId w:val="2"/>
  </w:num>
  <w:num w:numId="10">
    <w:abstractNumId w:val="6"/>
  </w:num>
  <w:num w:numId="11">
    <w:abstractNumId w:val="12"/>
  </w:num>
  <w:num w:numId="12">
    <w:abstractNumId w:val="14"/>
  </w:num>
  <w:num w:numId="13">
    <w:abstractNumId w:val="8"/>
  </w:num>
  <w:num w:numId="14">
    <w:abstractNumId w:val="5"/>
  </w:num>
  <w:num w:numId="15">
    <w:abstractNumId w:val="3"/>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8D1917"/>
    <w:rsid w:val="00000257"/>
    <w:rsid w:val="00003B33"/>
    <w:rsid w:val="00006CD3"/>
    <w:rsid w:val="00007413"/>
    <w:rsid w:val="00007AC9"/>
    <w:rsid w:val="00007BFC"/>
    <w:rsid w:val="000149E1"/>
    <w:rsid w:val="00014DF2"/>
    <w:rsid w:val="00014DF5"/>
    <w:rsid w:val="00015CB5"/>
    <w:rsid w:val="000160E5"/>
    <w:rsid w:val="00017065"/>
    <w:rsid w:val="00021518"/>
    <w:rsid w:val="0002398F"/>
    <w:rsid w:val="0002505D"/>
    <w:rsid w:val="0002581F"/>
    <w:rsid w:val="000271AD"/>
    <w:rsid w:val="000274AE"/>
    <w:rsid w:val="0003067D"/>
    <w:rsid w:val="00030FAF"/>
    <w:rsid w:val="00033184"/>
    <w:rsid w:val="00033EC0"/>
    <w:rsid w:val="000358A5"/>
    <w:rsid w:val="0003700A"/>
    <w:rsid w:val="00037D23"/>
    <w:rsid w:val="000407AE"/>
    <w:rsid w:val="00041670"/>
    <w:rsid w:val="00041A97"/>
    <w:rsid w:val="00041C82"/>
    <w:rsid w:val="00042033"/>
    <w:rsid w:val="00042AA5"/>
    <w:rsid w:val="00046109"/>
    <w:rsid w:val="000470A8"/>
    <w:rsid w:val="000502F4"/>
    <w:rsid w:val="0005165D"/>
    <w:rsid w:val="0005202A"/>
    <w:rsid w:val="00052C21"/>
    <w:rsid w:val="00054307"/>
    <w:rsid w:val="00054B1C"/>
    <w:rsid w:val="00054CD9"/>
    <w:rsid w:val="00056B5A"/>
    <w:rsid w:val="00057ED8"/>
    <w:rsid w:val="00061114"/>
    <w:rsid w:val="00062425"/>
    <w:rsid w:val="00062474"/>
    <w:rsid w:val="00064695"/>
    <w:rsid w:val="00064BF4"/>
    <w:rsid w:val="00065842"/>
    <w:rsid w:val="00066079"/>
    <w:rsid w:val="00066548"/>
    <w:rsid w:val="00066F23"/>
    <w:rsid w:val="00071085"/>
    <w:rsid w:val="000710FA"/>
    <w:rsid w:val="000716A4"/>
    <w:rsid w:val="00071D2D"/>
    <w:rsid w:val="00072DA1"/>
    <w:rsid w:val="00073E58"/>
    <w:rsid w:val="0007478A"/>
    <w:rsid w:val="00075592"/>
    <w:rsid w:val="00075759"/>
    <w:rsid w:val="00077039"/>
    <w:rsid w:val="000777A2"/>
    <w:rsid w:val="00077843"/>
    <w:rsid w:val="0007794F"/>
    <w:rsid w:val="00077B38"/>
    <w:rsid w:val="00080C2E"/>
    <w:rsid w:val="000815E0"/>
    <w:rsid w:val="000818D4"/>
    <w:rsid w:val="0008258A"/>
    <w:rsid w:val="0008293D"/>
    <w:rsid w:val="00082C0F"/>
    <w:rsid w:val="00082EAA"/>
    <w:rsid w:val="000867A6"/>
    <w:rsid w:val="00086B7F"/>
    <w:rsid w:val="00087C89"/>
    <w:rsid w:val="00092EC4"/>
    <w:rsid w:val="00093EE8"/>
    <w:rsid w:val="0009450A"/>
    <w:rsid w:val="0009663F"/>
    <w:rsid w:val="00096BBE"/>
    <w:rsid w:val="00096BF3"/>
    <w:rsid w:val="00096EB4"/>
    <w:rsid w:val="0009717B"/>
    <w:rsid w:val="00097334"/>
    <w:rsid w:val="000A0C2D"/>
    <w:rsid w:val="000A195E"/>
    <w:rsid w:val="000A26EE"/>
    <w:rsid w:val="000A2781"/>
    <w:rsid w:val="000A2E1E"/>
    <w:rsid w:val="000A3232"/>
    <w:rsid w:val="000A33CB"/>
    <w:rsid w:val="000A3ECF"/>
    <w:rsid w:val="000A4304"/>
    <w:rsid w:val="000A4DE5"/>
    <w:rsid w:val="000A5061"/>
    <w:rsid w:val="000A60B8"/>
    <w:rsid w:val="000A6B75"/>
    <w:rsid w:val="000A6B7F"/>
    <w:rsid w:val="000B1A7F"/>
    <w:rsid w:val="000B1D0F"/>
    <w:rsid w:val="000B1D84"/>
    <w:rsid w:val="000B1E8C"/>
    <w:rsid w:val="000B206E"/>
    <w:rsid w:val="000B39DC"/>
    <w:rsid w:val="000B40B9"/>
    <w:rsid w:val="000B41CD"/>
    <w:rsid w:val="000B4D7F"/>
    <w:rsid w:val="000B662D"/>
    <w:rsid w:val="000C0958"/>
    <w:rsid w:val="000C0C81"/>
    <w:rsid w:val="000C188B"/>
    <w:rsid w:val="000C2117"/>
    <w:rsid w:val="000C2C62"/>
    <w:rsid w:val="000C2F53"/>
    <w:rsid w:val="000C3B20"/>
    <w:rsid w:val="000C4419"/>
    <w:rsid w:val="000C6D8D"/>
    <w:rsid w:val="000D1F6C"/>
    <w:rsid w:val="000D28E8"/>
    <w:rsid w:val="000D3556"/>
    <w:rsid w:val="000D3D76"/>
    <w:rsid w:val="000D57D6"/>
    <w:rsid w:val="000D58AD"/>
    <w:rsid w:val="000E0E78"/>
    <w:rsid w:val="000E1050"/>
    <w:rsid w:val="000E25CC"/>
    <w:rsid w:val="000E2A3D"/>
    <w:rsid w:val="000E2F0F"/>
    <w:rsid w:val="000E3A6E"/>
    <w:rsid w:val="000E446F"/>
    <w:rsid w:val="000E50E9"/>
    <w:rsid w:val="000E6CE9"/>
    <w:rsid w:val="000E6EE4"/>
    <w:rsid w:val="000E706C"/>
    <w:rsid w:val="000E7406"/>
    <w:rsid w:val="000E7BC4"/>
    <w:rsid w:val="000F00CB"/>
    <w:rsid w:val="000F023E"/>
    <w:rsid w:val="000F0A46"/>
    <w:rsid w:val="000F0F58"/>
    <w:rsid w:val="000F26CA"/>
    <w:rsid w:val="000F5F96"/>
    <w:rsid w:val="000F66EF"/>
    <w:rsid w:val="000F6B52"/>
    <w:rsid w:val="000F7334"/>
    <w:rsid w:val="0010012B"/>
    <w:rsid w:val="001006FE"/>
    <w:rsid w:val="00101FF1"/>
    <w:rsid w:val="001035DC"/>
    <w:rsid w:val="00105C56"/>
    <w:rsid w:val="0010691B"/>
    <w:rsid w:val="00110035"/>
    <w:rsid w:val="00110969"/>
    <w:rsid w:val="00111739"/>
    <w:rsid w:val="001131AE"/>
    <w:rsid w:val="00113A35"/>
    <w:rsid w:val="001149AD"/>
    <w:rsid w:val="00115DB5"/>
    <w:rsid w:val="001174E2"/>
    <w:rsid w:val="001251E7"/>
    <w:rsid w:val="00125750"/>
    <w:rsid w:val="00125EED"/>
    <w:rsid w:val="001272BF"/>
    <w:rsid w:val="00130045"/>
    <w:rsid w:val="00130896"/>
    <w:rsid w:val="001313C9"/>
    <w:rsid w:val="0013184D"/>
    <w:rsid w:val="0013295B"/>
    <w:rsid w:val="001332E8"/>
    <w:rsid w:val="00133E33"/>
    <w:rsid w:val="001355A7"/>
    <w:rsid w:val="001367FC"/>
    <w:rsid w:val="00141872"/>
    <w:rsid w:val="00141E9F"/>
    <w:rsid w:val="0014267E"/>
    <w:rsid w:val="0014459D"/>
    <w:rsid w:val="00144E27"/>
    <w:rsid w:val="001454EB"/>
    <w:rsid w:val="00146750"/>
    <w:rsid w:val="001469E5"/>
    <w:rsid w:val="0015055F"/>
    <w:rsid w:val="001505D1"/>
    <w:rsid w:val="00150756"/>
    <w:rsid w:val="001507C8"/>
    <w:rsid w:val="001508A6"/>
    <w:rsid w:val="00152A12"/>
    <w:rsid w:val="00152BD0"/>
    <w:rsid w:val="0015317E"/>
    <w:rsid w:val="00153468"/>
    <w:rsid w:val="001537AF"/>
    <w:rsid w:val="00153D18"/>
    <w:rsid w:val="0015672F"/>
    <w:rsid w:val="00156F10"/>
    <w:rsid w:val="001572AF"/>
    <w:rsid w:val="001575AB"/>
    <w:rsid w:val="00160B73"/>
    <w:rsid w:val="00161455"/>
    <w:rsid w:val="00161D50"/>
    <w:rsid w:val="00162163"/>
    <w:rsid w:val="001636EE"/>
    <w:rsid w:val="00163822"/>
    <w:rsid w:val="001648B2"/>
    <w:rsid w:val="0016725B"/>
    <w:rsid w:val="0016761D"/>
    <w:rsid w:val="00167626"/>
    <w:rsid w:val="0017112A"/>
    <w:rsid w:val="00171AA2"/>
    <w:rsid w:val="00171AA9"/>
    <w:rsid w:val="00172364"/>
    <w:rsid w:val="00172B06"/>
    <w:rsid w:val="001735D8"/>
    <w:rsid w:val="001739B5"/>
    <w:rsid w:val="00174499"/>
    <w:rsid w:val="001774C8"/>
    <w:rsid w:val="00177F08"/>
    <w:rsid w:val="00177F8C"/>
    <w:rsid w:val="00180323"/>
    <w:rsid w:val="00180720"/>
    <w:rsid w:val="00182445"/>
    <w:rsid w:val="00182D30"/>
    <w:rsid w:val="0018316A"/>
    <w:rsid w:val="00183879"/>
    <w:rsid w:val="00184ED3"/>
    <w:rsid w:val="0018673D"/>
    <w:rsid w:val="00186B48"/>
    <w:rsid w:val="00187BD2"/>
    <w:rsid w:val="00187C02"/>
    <w:rsid w:val="00187F73"/>
    <w:rsid w:val="00190317"/>
    <w:rsid w:val="00192B09"/>
    <w:rsid w:val="00192BE7"/>
    <w:rsid w:val="00194D12"/>
    <w:rsid w:val="00194DFD"/>
    <w:rsid w:val="00196BB9"/>
    <w:rsid w:val="0019755A"/>
    <w:rsid w:val="001A19E9"/>
    <w:rsid w:val="001A226F"/>
    <w:rsid w:val="001A2D97"/>
    <w:rsid w:val="001A2DD8"/>
    <w:rsid w:val="001A2F9C"/>
    <w:rsid w:val="001A312D"/>
    <w:rsid w:val="001A3599"/>
    <w:rsid w:val="001A384F"/>
    <w:rsid w:val="001A3CA0"/>
    <w:rsid w:val="001A44D3"/>
    <w:rsid w:val="001A4DF0"/>
    <w:rsid w:val="001B0FCA"/>
    <w:rsid w:val="001B0FCF"/>
    <w:rsid w:val="001B153D"/>
    <w:rsid w:val="001B190A"/>
    <w:rsid w:val="001B22F2"/>
    <w:rsid w:val="001B2979"/>
    <w:rsid w:val="001B4BCE"/>
    <w:rsid w:val="001B5BBF"/>
    <w:rsid w:val="001B62B3"/>
    <w:rsid w:val="001C3AB7"/>
    <w:rsid w:val="001C4873"/>
    <w:rsid w:val="001C4CBC"/>
    <w:rsid w:val="001C5A5B"/>
    <w:rsid w:val="001C5BD1"/>
    <w:rsid w:val="001C69A6"/>
    <w:rsid w:val="001C77B6"/>
    <w:rsid w:val="001D0037"/>
    <w:rsid w:val="001D1AED"/>
    <w:rsid w:val="001D2F21"/>
    <w:rsid w:val="001D4AB2"/>
    <w:rsid w:val="001D5153"/>
    <w:rsid w:val="001D5C58"/>
    <w:rsid w:val="001D7042"/>
    <w:rsid w:val="001E081A"/>
    <w:rsid w:val="001E2749"/>
    <w:rsid w:val="001E2D0A"/>
    <w:rsid w:val="001E3995"/>
    <w:rsid w:val="001E570B"/>
    <w:rsid w:val="001E7446"/>
    <w:rsid w:val="001E7755"/>
    <w:rsid w:val="001F05CE"/>
    <w:rsid w:val="001F1087"/>
    <w:rsid w:val="001F2665"/>
    <w:rsid w:val="001F2EA0"/>
    <w:rsid w:val="001F3C03"/>
    <w:rsid w:val="001F5CD5"/>
    <w:rsid w:val="001F6130"/>
    <w:rsid w:val="001F67CB"/>
    <w:rsid w:val="001F6CCE"/>
    <w:rsid w:val="00201772"/>
    <w:rsid w:val="0020269A"/>
    <w:rsid w:val="00203C5E"/>
    <w:rsid w:val="002049DB"/>
    <w:rsid w:val="00204D14"/>
    <w:rsid w:val="00205E09"/>
    <w:rsid w:val="00206021"/>
    <w:rsid w:val="00206587"/>
    <w:rsid w:val="00206DDD"/>
    <w:rsid w:val="00207D74"/>
    <w:rsid w:val="00211111"/>
    <w:rsid w:val="002112A3"/>
    <w:rsid w:val="002122EA"/>
    <w:rsid w:val="002144EA"/>
    <w:rsid w:val="00215438"/>
    <w:rsid w:val="0021644D"/>
    <w:rsid w:val="00216CB4"/>
    <w:rsid w:val="0021719C"/>
    <w:rsid w:val="002179C3"/>
    <w:rsid w:val="002205D9"/>
    <w:rsid w:val="00220A2B"/>
    <w:rsid w:val="00221965"/>
    <w:rsid w:val="00223527"/>
    <w:rsid w:val="00223BFC"/>
    <w:rsid w:val="00226542"/>
    <w:rsid w:val="0023034D"/>
    <w:rsid w:val="002312B1"/>
    <w:rsid w:val="00232076"/>
    <w:rsid w:val="002321BF"/>
    <w:rsid w:val="0023235A"/>
    <w:rsid w:val="002336BA"/>
    <w:rsid w:val="0023639A"/>
    <w:rsid w:val="00236E76"/>
    <w:rsid w:val="00236FBF"/>
    <w:rsid w:val="00242FD0"/>
    <w:rsid w:val="002454F5"/>
    <w:rsid w:val="00245557"/>
    <w:rsid w:val="00245D29"/>
    <w:rsid w:val="00250203"/>
    <w:rsid w:val="00253011"/>
    <w:rsid w:val="002543FA"/>
    <w:rsid w:val="002545EC"/>
    <w:rsid w:val="00254F41"/>
    <w:rsid w:val="00254F83"/>
    <w:rsid w:val="0025679B"/>
    <w:rsid w:val="002567D4"/>
    <w:rsid w:val="00257258"/>
    <w:rsid w:val="00260F03"/>
    <w:rsid w:val="00262F59"/>
    <w:rsid w:val="00263462"/>
    <w:rsid w:val="0026484C"/>
    <w:rsid w:val="00264A7E"/>
    <w:rsid w:val="00267A50"/>
    <w:rsid w:val="00267F2D"/>
    <w:rsid w:val="00270220"/>
    <w:rsid w:val="00270CE0"/>
    <w:rsid w:val="0027124A"/>
    <w:rsid w:val="002714F8"/>
    <w:rsid w:val="00271D72"/>
    <w:rsid w:val="00272C47"/>
    <w:rsid w:val="0027509D"/>
    <w:rsid w:val="0027586B"/>
    <w:rsid w:val="00275B4E"/>
    <w:rsid w:val="00276908"/>
    <w:rsid w:val="00281400"/>
    <w:rsid w:val="002826C9"/>
    <w:rsid w:val="0028362E"/>
    <w:rsid w:val="00283AE8"/>
    <w:rsid w:val="00283C80"/>
    <w:rsid w:val="00284235"/>
    <w:rsid w:val="002848BB"/>
    <w:rsid w:val="00286A61"/>
    <w:rsid w:val="00290B60"/>
    <w:rsid w:val="00291569"/>
    <w:rsid w:val="00291EE7"/>
    <w:rsid w:val="002921B5"/>
    <w:rsid w:val="002938AE"/>
    <w:rsid w:val="00293FDA"/>
    <w:rsid w:val="00294974"/>
    <w:rsid w:val="00294A44"/>
    <w:rsid w:val="002A1618"/>
    <w:rsid w:val="002A3C36"/>
    <w:rsid w:val="002A3FD6"/>
    <w:rsid w:val="002A5096"/>
    <w:rsid w:val="002A615A"/>
    <w:rsid w:val="002A724E"/>
    <w:rsid w:val="002A77A7"/>
    <w:rsid w:val="002B12BE"/>
    <w:rsid w:val="002B181E"/>
    <w:rsid w:val="002B1999"/>
    <w:rsid w:val="002B1C3B"/>
    <w:rsid w:val="002B2072"/>
    <w:rsid w:val="002B37C5"/>
    <w:rsid w:val="002B3827"/>
    <w:rsid w:val="002B6ACA"/>
    <w:rsid w:val="002B6D33"/>
    <w:rsid w:val="002C056A"/>
    <w:rsid w:val="002C0D84"/>
    <w:rsid w:val="002C1A8F"/>
    <w:rsid w:val="002C1FD6"/>
    <w:rsid w:val="002C2424"/>
    <w:rsid w:val="002C2716"/>
    <w:rsid w:val="002C3821"/>
    <w:rsid w:val="002C3D03"/>
    <w:rsid w:val="002C4D34"/>
    <w:rsid w:val="002C5B49"/>
    <w:rsid w:val="002C637F"/>
    <w:rsid w:val="002C677C"/>
    <w:rsid w:val="002C6E2C"/>
    <w:rsid w:val="002C7CB4"/>
    <w:rsid w:val="002D27C9"/>
    <w:rsid w:val="002D39C1"/>
    <w:rsid w:val="002D59C5"/>
    <w:rsid w:val="002D5DF6"/>
    <w:rsid w:val="002D748D"/>
    <w:rsid w:val="002D7833"/>
    <w:rsid w:val="002E1155"/>
    <w:rsid w:val="002E3699"/>
    <w:rsid w:val="002E7002"/>
    <w:rsid w:val="002F07FE"/>
    <w:rsid w:val="002F1623"/>
    <w:rsid w:val="002F1B40"/>
    <w:rsid w:val="002F2075"/>
    <w:rsid w:val="002F26E2"/>
    <w:rsid w:val="002F2E00"/>
    <w:rsid w:val="002F346C"/>
    <w:rsid w:val="003005A9"/>
    <w:rsid w:val="00301814"/>
    <w:rsid w:val="00301C83"/>
    <w:rsid w:val="003020AA"/>
    <w:rsid w:val="0030391C"/>
    <w:rsid w:val="00304714"/>
    <w:rsid w:val="003052A4"/>
    <w:rsid w:val="003071D1"/>
    <w:rsid w:val="00307DE2"/>
    <w:rsid w:val="00310035"/>
    <w:rsid w:val="00310443"/>
    <w:rsid w:val="00310C28"/>
    <w:rsid w:val="00310C48"/>
    <w:rsid w:val="003117DF"/>
    <w:rsid w:val="00312795"/>
    <w:rsid w:val="003149FC"/>
    <w:rsid w:val="00314B1B"/>
    <w:rsid w:val="00314B6F"/>
    <w:rsid w:val="00314D00"/>
    <w:rsid w:val="003172D1"/>
    <w:rsid w:val="003178E1"/>
    <w:rsid w:val="0031792D"/>
    <w:rsid w:val="00320479"/>
    <w:rsid w:val="00320D69"/>
    <w:rsid w:val="00321BFD"/>
    <w:rsid w:val="00321D52"/>
    <w:rsid w:val="003232BE"/>
    <w:rsid w:val="00323AB9"/>
    <w:rsid w:val="0032475A"/>
    <w:rsid w:val="00324FE2"/>
    <w:rsid w:val="00325173"/>
    <w:rsid w:val="00325696"/>
    <w:rsid w:val="00327A71"/>
    <w:rsid w:val="00331031"/>
    <w:rsid w:val="00331105"/>
    <w:rsid w:val="003320F1"/>
    <w:rsid w:val="00333022"/>
    <w:rsid w:val="00334A9B"/>
    <w:rsid w:val="00336224"/>
    <w:rsid w:val="00336755"/>
    <w:rsid w:val="0033768C"/>
    <w:rsid w:val="00337C47"/>
    <w:rsid w:val="003401FC"/>
    <w:rsid w:val="0034042F"/>
    <w:rsid w:val="00340C1F"/>
    <w:rsid w:val="00341533"/>
    <w:rsid w:val="00342C93"/>
    <w:rsid w:val="00343167"/>
    <w:rsid w:val="00343FE7"/>
    <w:rsid w:val="00345D00"/>
    <w:rsid w:val="00347235"/>
    <w:rsid w:val="00347641"/>
    <w:rsid w:val="00350EA7"/>
    <w:rsid w:val="00350FA4"/>
    <w:rsid w:val="00352B02"/>
    <w:rsid w:val="003538DF"/>
    <w:rsid w:val="00353A2A"/>
    <w:rsid w:val="00355AFF"/>
    <w:rsid w:val="0035641E"/>
    <w:rsid w:val="00356634"/>
    <w:rsid w:val="00360783"/>
    <w:rsid w:val="00361C89"/>
    <w:rsid w:val="00364143"/>
    <w:rsid w:val="00364950"/>
    <w:rsid w:val="00365600"/>
    <w:rsid w:val="00365DC5"/>
    <w:rsid w:val="00366639"/>
    <w:rsid w:val="00371B0D"/>
    <w:rsid w:val="00372D28"/>
    <w:rsid w:val="00372DF8"/>
    <w:rsid w:val="00373437"/>
    <w:rsid w:val="0037405D"/>
    <w:rsid w:val="00376ADC"/>
    <w:rsid w:val="003774ED"/>
    <w:rsid w:val="00377585"/>
    <w:rsid w:val="00377E02"/>
    <w:rsid w:val="003805A3"/>
    <w:rsid w:val="00380671"/>
    <w:rsid w:val="00381BD3"/>
    <w:rsid w:val="00382A25"/>
    <w:rsid w:val="00382F38"/>
    <w:rsid w:val="00382FF5"/>
    <w:rsid w:val="00384030"/>
    <w:rsid w:val="0038440D"/>
    <w:rsid w:val="003859E1"/>
    <w:rsid w:val="003861AC"/>
    <w:rsid w:val="0038741D"/>
    <w:rsid w:val="00387BBB"/>
    <w:rsid w:val="00390978"/>
    <w:rsid w:val="00391A50"/>
    <w:rsid w:val="003927E6"/>
    <w:rsid w:val="00392B20"/>
    <w:rsid w:val="00392E0B"/>
    <w:rsid w:val="00394067"/>
    <w:rsid w:val="00394C5A"/>
    <w:rsid w:val="00394D58"/>
    <w:rsid w:val="00395E89"/>
    <w:rsid w:val="00396140"/>
    <w:rsid w:val="00396B65"/>
    <w:rsid w:val="003976E1"/>
    <w:rsid w:val="003A10EB"/>
    <w:rsid w:val="003A1CEC"/>
    <w:rsid w:val="003A1FB7"/>
    <w:rsid w:val="003A1FE0"/>
    <w:rsid w:val="003A32FD"/>
    <w:rsid w:val="003A46BB"/>
    <w:rsid w:val="003A5E26"/>
    <w:rsid w:val="003A75CC"/>
    <w:rsid w:val="003B065C"/>
    <w:rsid w:val="003B1854"/>
    <w:rsid w:val="003B2055"/>
    <w:rsid w:val="003B270A"/>
    <w:rsid w:val="003B6492"/>
    <w:rsid w:val="003B6E91"/>
    <w:rsid w:val="003B7172"/>
    <w:rsid w:val="003C0CBE"/>
    <w:rsid w:val="003C0CFA"/>
    <w:rsid w:val="003C3A0E"/>
    <w:rsid w:val="003C3C05"/>
    <w:rsid w:val="003C5300"/>
    <w:rsid w:val="003C691B"/>
    <w:rsid w:val="003C6C91"/>
    <w:rsid w:val="003C760F"/>
    <w:rsid w:val="003D12C4"/>
    <w:rsid w:val="003D1D62"/>
    <w:rsid w:val="003D2254"/>
    <w:rsid w:val="003D2A72"/>
    <w:rsid w:val="003D35D4"/>
    <w:rsid w:val="003D439B"/>
    <w:rsid w:val="003D5C43"/>
    <w:rsid w:val="003D6BDF"/>
    <w:rsid w:val="003E03D5"/>
    <w:rsid w:val="003E0629"/>
    <w:rsid w:val="003E147C"/>
    <w:rsid w:val="003E1C19"/>
    <w:rsid w:val="003E2241"/>
    <w:rsid w:val="003E39D8"/>
    <w:rsid w:val="003E5EC3"/>
    <w:rsid w:val="003E677A"/>
    <w:rsid w:val="003F1AB8"/>
    <w:rsid w:val="003F1B3C"/>
    <w:rsid w:val="003F1B97"/>
    <w:rsid w:val="003F1CC7"/>
    <w:rsid w:val="003F3CB1"/>
    <w:rsid w:val="003F3CB4"/>
    <w:rsid w:val="003F6A3B"/>
    <w:rsid w:val="003F6CC3"/>
    <w:rsid w:val="003F6D27"/>
    <w:rsid w:val="003F6FB2"/>
    <w:rsid w:val="003F767B"/>
    <w:rsid w:val="004007D4"/>
    <w:rsid w:val="00401386"/>
    <w:rsid w:val="004014F3"/>
    <w:rsid w:val="0040236C"/>
    <w:rsid w:val="00402BC9"/>
    <w:rsid w:val="004035F5"/>
    <w:rsid w:val="00403FF0"/>
    <w:rsid w:val="0040404B"/>
    <w:rsid w:val="00404B11"/>
    <w:rsid w:val="00405949"/>
    <w:rsid w:val="00405982"/>
    <w:rsid w:val="00406B70"/>
    <w:rsid w:val="00410B3E"/>
    <w:rsid w:val="00411146"/>
    <w:rsid w:val="0041175F"/>
    <w:rsid w:val="00411BE7"/>
    <w:rsid w:val="00412987"/>
    <w:rsid w:val="004141B8"/>
    <w:rsid w:val="00415091"/>
    <w:rsid w:val="004151BC"/>
    <w:rsid w:val="00416B04"/>
    <w:rsid w:val="00417199"/>
    <w:rsid w:val="00417251"/>
    <w:rsid w:val="00420344"/>
    <w:rsid w:val="00420CA6"/>
    <w:rsid w:val="00420D3A"/>
    <w:rsid w:val="00421179"/>
    <w:rsid w:val="00421552"/>
    <w:rsid w:val="00422278"/>
    <w:rsid w:val="00422AC5"/>
    <w:rsid w:val="00423801"/>
    <w:rsid w:val="00426308"/>
    <w:rsid w:val="00427422"/>
    <w:rsid w:val="00431DC5"/>
    <w:rsid w:val="0043233A"/>
    <w:rsid w:val="004327BC"/>
    <w:rsid w:val="00432B0E"/>
    <w:rsid w:val="00432DC1"/>
    <w:rsid w:val="0043388F"/>
    <w:rsid w:val="00434ABE"/>
    <w:rsid w:val="00435407"/>
    <w:rsid w:val="00436EC5"/>
    <w:rsid w:val="00437A23"/>
    <w:rsid w:val="00437CFD"/>
    <w:rsid w:val="004409D9"/>
    <w:rsid w:val="00440D6C"/>
    <w:rsid w:val="00440E57"/>
    <w:rsid w:val="00440F45"/>
    <w:rsid w:val="00440F99"/>
    <w:rsid w:val="00441160"/>
    <w:rsid w:val="00441DF4"/>
    <w:rsid w:val="0044248B"/>
    <w:rsid w:val="004424F7"/>
    <w:rsid w:val="00442D92"/>
    <w:rsid w:val="0044404A"/>
    <w:rsid w:val="004452F0"/>
    <w:rsid w:val="004455F4"/>
    <w:rsid w:val="00445BE9"/>
    <w:rsid w:val="00447969"/>
    <w:rsid w:val="00447D7C"/>
    <w:rsid w:val="004503CF"/>
    <w:rsid w:val="00450484"/>
    <w:rsid w:val="004510BE"/>
    <w:rsid w:val="00451763"/>
    <w:rsid w:val="00451796"/>
    <w:rsid w:val="004528CE"/>
    <w:rsid w:val="00452F70"/>
    <w:rsid w:val="0045364C"/>
    <w:rsid w:val="0045391F"/>
    <w:rsid w:val="00453972"/>
    <w:rsid w:val="00454098"/>
    <w:rsid w:val="0045565C"/>
    <w:rsid w:val="0045643F"/>
    <w:rsid w:val="00456496"/>
    <w:rsid w:val="00457134"/>
    <w:rsid w:val="00460350"/>
    <w:rsid w:val="004614F2"/>
    <w:rsid w:val="00462EED"/>
    <w:rsid w:val="0046311E"/>
    <w:rsid w:val="004632EF"/>
    <w:rsid w:val="0046410E"/>
    <w:rsid w:val="004649EF"/>
    <w:rsid w:val="00465713"/>
    <w:rsid w:val="0047064B"/>
    <w:rsid w:val="00470A5C"/>
    <w:rsid w:val="00471793"/>
    <w:rsid w:val="00471A02"/>
    <w:rsid w:val="00475083"/>
    <w:rsid w:val="00477FFC"/>
    <w:rsid w:val="0048271C"/>
    <w:rsid w:val="00482950"/>
    <w:rsid w:val="00482D87"/>
    <w:rsid w:val="004835F3"/>
    <w:rsid w:val="00484441"/>
    <w:rsid w:val="00484989"/>
    <w:rsid w:val="004877F1"/>
    <w:rsid w:val="004903DA"/>
    <w:rsid w:val="0049304A"/>
    <w:rsid w:val="0049466F"/>
    <w:rsid w:val="00497278"/>
    <w:rsid w:val="004A0A9D"/>
    <w:rsid w:val="004A33A7"/>
    <w:rsid w:val="004A396B"/>
    <w:rsid w:val="004A4068"/>
    <w:rsid w:val="004A4D56"/>
    <w:rsid w:val="004A645A"/>
    <w:rsid w:val="004A6F29"/>
    <w:rsid w:val="004B0D88"/>
    <w:rsid w:val="004B11A9"/>
    <w:rsid w:val="004B25B2"/>
    <w:rsid w:val="004B6464"/>
    <w:rsid w:val="004B646E"/>
    <w:rsid w:val="004B70D1"/>
    <w:rsid w:val="004C0711"/>
    <w:rsid w:val="004C2071"/>
    <w:rsid w:val="004C4036"/>
    <w:rsid w:val="004C60E9"/>
    <w:rsid w:val="004C6646"/>
    <w:rsid w:val="004C7024"/>
    <w:rsid w:val="004D342D"/>
    <w:rsid w:val="004D3766"/>
    <w:rsid w:val="004D419A"/>
    <w:rsid w:val="004D63A7"/>
    <w:rsid w:val="004E0480"/>
    <w:rsid w:val="004E1B94"/>
    <w:rsid w:val="004E1C2A"/>
    <w:rsid w:val="004E1C74"/>
    <w:rsid w:val="004E29EE"/>
    <w:rsid w:val="004E393B"/>
    <w:rsid w:val="004E515E"/>
    <w:rsid w:val="004E5B6E"/>
    <w:rsid w:val="004E60F8"/>
    <w:rsid w:val="004E6625"/>
    <w:rsid w:val="004E6A84"/>
    <w:rsid w:val="004E7676"/>
    <w:rsid w:val="004F0C3F"/>
    <w:rsid w:val="004F0DAD"/>
    <w:rsid w:val="004F0E74"/>
    <w:rsid w:val="004F119C"/>
    <w:rsid w:val="004F185E"/>
    <w:rsid w:val="004F1A40"/>
    <w:rsid w:val="004F1B00"/>
    <w:rsid w:val="004F307A"/>
    <w:rsid w:val="004F46AB"/>
    <w:rsid w:val="004F529B"/>
    <w:rsid w:val="004F52BF"/>
    <w:rsid w:val="004F5D5A"/>
    <w:rsid w:val="004F6A46"/>
    <w:rsid w:val="004F791A"/>
    <w:rsid w:val="004F79BE"/>
    <w:rsid w:val="004F7B4A"/>
    <w:rsid w:val="0050063C"/>
    <w:rsid w:val="00500F78"/>
    <w:rsid w:val="005039BA"/>
    <w:rsid w:val="00503D60"/>
    <w:rsid w:val="00506E67"/>
    <w:rsid w:val="005075F8"/>
    <w:rsid w:val="00507D2A"/>
    <w:rsid w:val="00507EB8"/>
    <w:rsid w:val="00510A9C"/>
    <w:rsid w:val="005131E5"/>
    <w:rsid w:val="00515403"/>
    <w:rsid w:val="005158D5"/>
    <w:rsid w:val="005167BF"/>
    <w:rsid w:val="005172D7"/>
    <w:rsid w:val="00517622"/>
    <w:rsid w:val="0052052F"/>
    <w:rsid w:val="00520F60"/>
    <w:rsid w:val="005227E2"/>
    <w:rsid w:val="00522AC1"/>
    <w:rsid w:val="00523274"/>
    <w:rsid w:val="005252CB"/>
    <w:rsid w:val="005253A8"/>
    <w:rsid w:val="00525B47"/>
    <w:rsid w:val="00526B35"/>
    <w:rsid w:val="00526CC0"/>
    <w:rsid w:val="005274CF"/>
    <w:rsid w:val="00530D31"/>
    <w:rsid w:val="00530FE9"/>
    <w:rsid w:val="00531176"/>
    <w:rsid w:val="00531379"/>
    <w:rsid w:val="00531779"/>
    <w:rsid w:val="005319AE"/>
    <w:rsid w:val="00531AA5"/>
    <w:rsid w:val="0053246D"/>
    <w:rsid w:val="005331AD"/>
    <w:rsid w:val="0053321A"/>
    <w:rsid w:val="00533C8C"/>
    <w:rsid w:val="0053466A"/>
    <w:rsid w:val="005346EF"/>
    <w:rsid w:val="005351CD"/>
    <w:rsid w:val="00535970"/>
    <w:rsid w:val="00537FFA"/>
    <w:rsid w:val="00541544"/>
    <w:rsid w:val="005437D2"/>
    <w:rsid w:val="00543972"/>
    <w:rsid w:val="00543CE2"/>
    <w:rsid w:val="00544348"/>
    <w:rsid w:val="00547B17"/>
    <w:rsid w:val="00550074"/>
    <w:rsid w:val="005502B6"/>
    <w:rsid w:val="005509B2"/>
    <w:rsid w:val="00550F50"/>
    <w:rsid w:val="00551631"/>
    <w:rsid w:val="005523CE"/>
    <w:rsid w:val="00553D6C"/>
    <w:rsid w:val="00553E30"/>
    <w:rsid w:val="00554CAF"/>
    <w:rsid w:val="00556756"/>
    <w:rsid w:val="005575B2"/>
    <w:rsid w:val="005617F4"/>
    <w:rsid w:val="0056278E"/>
    <w:rsid w:val="00563189"/>
    <w:rsid w:val="005635EE"/>
    <w:rsid w:val="00563CF7"/>
    <w:rsid w:val="0056427D"/>
    <w:rsid w:val="0056571D"/>
    <w:rsid w:val="0056695D"/>
    <w:rsid w:val="00567FDF"/>
    <w:rsid w:val="00573071"/>
    <w:rsid w:val="00574FDE"/>
    <w:rsid w:val="005763E6"/>
    <w:rsid w:val="00577106"/>
    <w:rsid w:val="005771C0"/>
    <w:rsid w:val="005773EA"/>
    <w:rsid w:val="005779FC"/>
    <w:rsid w:val="00580505"/>
    <w:rsid w:val="005805B6"/>
    <w:rsid w:val="0058090A"/>
    <w:rsid w:val="0058251E"/>
    <w:rsid w:val="00585134"/>
    <w:rsid w:val="00585792"/>
    <w:rsid w:val="00585A31"/>
    <w:rsid w:val="005868C4"/>
    <w:rsid w:val="00590379"/>
    <w:rsid w:val="00591833"/>
    <w:rsid w:val="00591C2A"/>
    <w:rsid w:val="005926AE"/>
    <w:rsid w:val="00592F0F"/>
    <w:rsid w:val="00593C83"/>
    <w:rsid w:val="00594396"/>
    <w:rsid w:val="00594703"/>
    <w:rsid w:val="00595D61"/>
    <w:rsid w:val="0059653E"/>
    <w:rsid w:val="00596A90"/>
    <w:rsid w:val="00597A0F"/>
    <w:rsid w:val="00597C33"/>
    <w:rsid w:val="005A040E"/>
    <w:rsid w:val="005A0488"/>
    <w:rsid w:val="005A0B47"/>
    <w:rsid w:val="005A1F3E"/>
    <w:rsid w:val="005A20EE"/>
    <w:rsid w:val="005A25CB"/>
    <w:rsid w:val="005A2745"/>
    <w:rsid w:val="005A3F10"/>
    <w:rsid w:val="005A40A3"/>
    <w:rsid w:val="005A423D"/>
    <w:rsid w:val="005A637B"/>
    <w:rsid w:val="005B054F"/>
    <w:rsid w:val="005B18F1"/>
    <w:rsid w:val="005B1A95"/>
    <w:rsid w:val="005B22D4"/>
    <w:rsid w:val="005B2DCC"/>
    <w:rsid w:val="005B388F"/>
    <w:rsid w:val="005B3BC3"/>
    <w:rsid w:val="005B3E26"/>
    <w:rsid w:val="005B3F1A"/>
    <w:rsid w:val="005B3F4B"/>
    <w:rsid w:val="005B507C"/>
    <w:rsid w:val="005B565D"/>
    <w:rsid w:val="005B7C2C"/>
    <w:rsid w:val="005C10D0"/>
    <w:rsid w:val="005C1C5C"/>
    <w:rsid w:val="005C3628"/>
    <w:rsid w:val="005C6C6C"/>
    <w:rsid w:val="005D05FD"/>
    <w:rsid w:val="005D0AA9"/>
    <w:rsid w:val="005D129D"/>
    <w:rsid w:val="005D1515"/>
    <w:rsid w:val="005D1571"/>
    <w:rsid w:val="005D1BC4"/>
    <w:rsid w:val="005D22E1"/>
    <w:rsid w:val="005D2620"/>
    <w:rsid w:val="005D3057"/>
    <w:rsid w:val="005D3CA2"/>
    <w:rsid w:val="005D48A0"/>
    <w:rsid w:val="005D6A3D"/>
    <w:rsid w:val="005D7F1D"/>
    <w:rsid w:val="005E000D"/>
    <w:rsid w:val="005E0A3F"/>
    <w:rsid w:val="005E4B27"/>
    <w:rsid w:val="005F0142"/>
    <w:rsid w:val="005F01A9"/>
    <w:rsid w:val="005F045C"/>
    <w:rsid w:val="005F0BC3"/>
    <w:rsid w:val="005F366C"/>
    <w:rsid w:val="005F39E6"/>
    <w:rsid w:val="005F48A4"/>
    <w:rsid w:val="005F4DD7"/>
    <w:rsid w:val="005F63D8"/>
    <w:rsid w:val="005F648C"/>
    <w:rsid w:val="00600A0F"/>
    <w:rsid w:val="006011E4"/>
    <w:rsid w:val="00601BEE"/>
    <w:rsid w:val="00602231"/>
    <w:rsid w:val="00602FC9"/>
    <w:rsid w:val="006035B3"/>
    <w:rsid w:val="00604A63"/>
    <w:rsid w:val="00611CAD"/>
    <w:rsid w:val="00612CCC"/>
    <w:rsid w:val="006134A3"/>
    <w:rsid w:val="00613AD3"/>
    <w:rsid w:val="00614CA4"/>
    <w:rsid w:val="00616782"/>
    <w:rsid w:val="00617208"/>
    <w:rsid w:val="0061765C"/>
    <w:rsid w:val="006210B3"/>
    <w:rsid w:val="00621A9E"/>
    <w:rsid w:val="00621ABD"/>
    <w:rsid w:val="00622520"/>
    <w:rsid w:val="00624205"/>
    <w:rsid w:val="006252F6"/>
    <w:rsid w:val="0062573F"/>
    <w:rsid w:val="00626747"/>
    <w:rsid w:val="00630080"/>
    <w:rsid w:val="006300EA"/>
    <w:rsid w:val="00630304"/>
    <w:rsid w:val="00630503"/>
    <w:rsid w:val="00630692"/>
    <w:rsid w:val="006337FA"/>
    <w:rsid w:val="00633ABA"/>
    <w:rsid w:val="0063445E"/>
    <w:rsid w:val="00634760"/>
    <w:rsid w:val="00636EDE"/>
    <w:rsid w:val="006427AE"/>
    <w:rsid w:val="0064302C"/>
    <w:rsid w:val="006438D7"/>
    <w:rsid w:val="00646F6B"/>
    <w:rsid w:val="00647B06"/>
    <w:rsid w:val="00650146"/>
    <w:rsid w:val="00650470"/>
    <w:rsid w:val="0065063F"/>
    <w:rsid w:val="00650A59"/>
    <w:rsid w:val="00652AAA"/>
    <w:rsid w:val="00654526"/>
    <w:rsid w:val="00654BCE"/>
    <w:rsid w:val="0065537C"/>
    <w:rsid w:val="00656443"/>
    <w:rsid w:val="0066012F"/>
    <w:rsid w:val="006621BB"/>
    <w:rsid w:val="00664CDA"/>
    <w:rsid w:val="00665768"/>
    <w:rsid w:val="00665DF9"/>
    <w:rsid w:val="006677B7"/>
    <w:rsid w:val="00670ED4"/>
    <w:rsid w:val="00670F01"/>
    <w:rsid w:val="00671FF6"/>
    <w:rsid w:val="006721BE"/>
    <w:rsid w:val="006725B7"/>
    <w:rsid w:val="00673FAE"/>
    <w:rsid w:val="006746A5"/>
    <w:rsid w:val="00674D41"/>
    <w:rsid w:val="00675138"/>
    <w:rsid w:val="00677E23"/>
    <w:rsid w:val="006802ED"/>
    <w:rsid w:val="00680DA6"/>
    <w:rsid w:val="00685A08"/>
    <w:rsid w:val="00685FC0"/>
    <w:rsid w:val="00687115"/>
    <w:rsid w:val="006909E0"/>
    <w:rsid w:val="00694143"/>
    <w:rsid w:val="006944AC"/>
    <w:rsid w:val="0069513E"/>
    <w:rsid w:val="0069597B"/>
    <w:rsid w:val="00696425"/>
    <w:rsid w:val="006A0081"/>
    <w:rsid w:val="006A117F"/>
    <w:rsid w:val="006A4B0D"/>
    <w:rsid w:val="006A65CD"/>
    <w:rsid w:val="006A68A5"/>
    <w:rsid w:val="006A70B0"/>
    <w:rsid w:val="006A795C"/>
    <w:rsid w:val="006B0F26"/>
    <w:rsid w:val="006B181D"/>
    <w:rsid w:val="006B1E7C"/>
    <w:rsid w:val="006B2823"/>
    <w:rsid w:val="006B71F7"/>
    <w:rsid w:val="006B727B"/>
    <w:rsid w:val="006C02CD"/>
    <w:rsid w:val="006C0923"/>
    <w:rsid w:val="006C0965"/>
    <w:rsid w:val="006C24AA"/>
    <w:rsid w:val="006C2E00"/>
    <w:rsid w:val="006C3301"/>
    <w:rsid w:val="006C38A7"/>
    <w:rsid w:val="006C3B9C"/>
    <w:rsid w:val="006C3EB4"/>
    <w:rsid w:val="006C428A"/>
    <w:rsid w:val="006C5C22"/>
    <w:rsid w:val="006C6895"/>
    <w:rsid w:val="006C75AE"/>
    <w:rsid w:val="006C7794"/>
    <w:rsid w:val="006C7E33"/>
    <w:rsid w:val="006D129F"/>
    <w:rsid w:val="006D1711"/>
    <w:rsid w:val="006D1C38"/>
    <w:rsid w:val="006D21E4"/>
    <w:rsid w:val="006D269C"/>
    <w:rsid w:val="006D29C0"/>
    <w:rsid w:val="006D2A49"/>
    <w:rsid w:val="006D3587"/>
    <w:rsid w:val="006D3EFD"/>
    <w:rsid w:val="006D4B71"/>
    <w:rsid w:val="006D5638"/>
    <w:rsid w:val="006D5F76"/>
    <w:rsid w:val="006D6166"/>
    <w:rsid w:val="006D729E"/>
    <w:rsid w:val="006D7DF0"/>
    <w:rsid w:val="006E04CB"/>
    <w:rsid w:val="006E36AB"/>
    <w:rsid w:val="006E4738"/>
    <w:rsid w:val="006E6E5A"/>
    <w:rsid w:val="006E7985"/>
    <w:rsid w:val="006F0904"/>
    <w:rsid w:val="006F1B2C"/>
    <w:rsid w:val="006F3055"/>
    <w:rsid w:val="006F3AD9"/>
    <w:rsid w:val="006F4458"/>
    <w:rsid w:val="006F6CA4"/>
    <w:rsid w:val="006F772A"/>
    <w:rsid w:val="00700A2D"/>
    <w:rsid w:val="007011DA"/>
    <w:rsid w:val="00701333"/>
    <w:rsid w:val="00701DEA"/>
    <w:rsid w:val="0070402F"/>
    <w:rsid w:val="0070408F"/>
    <w:rsid w:val="00704393"/>
    <w:rsid w:val="007043B2"/>
    <w:rsid w:val="00704750"/>
    <w:rsid w:val="0070534C"/>
    <w:rsid w:val="00705CDD"/>
    <w:rsid w:val="00705FDE"/>
    <w:rsid w:val="00707028"/>
    <w:rsid w:val="0070755C"/>
    <w:rsid w:val="00707C26"/>
    <w:rsid w:val="00711CFA"/>
    <w:rsid w:val="007122C1"/>
    <w:rsid w:val="007122F1"/>
    <w:rsid w:val="00712B96"/>
    <w:rsid w:val="0071310A"/>
    <w:rsid w:val="00713C61"/>
    <w:rsid w:val="00716020"/>
    <w:rsid w:val="007162E3"/>
    <w:rsid w:val="00717824"/>
    <w:rsid w:val="007211BE"/>
    <w:rsid w:val="00721EBC"/>
    <w:rsid w:val="007230A6"/>
    <w:rsid w:val="007234F6"/>
    <w:rsid w:val="00723756"/>
    <w:rsid w:val="00723DAB"/>
    <w:rsid w:val="00724179"/>
    <w:rsid w:val="00725AF4"/>
    <w:rsid w:val="00730C61"/>
    <w:rsid w:val="00731332"/>
    <w:rsid w:val="0073264C"/>
    <w:rsid w:val="00732D6C"/>
    <w:rsid w:val="00733AB1"/>
    <w:rsid w:val="00733DD3"/>
    <w:rsid w:val="007348F3"/>
    <w:rsid w:val="0073621E"/>
    <w:rsid w:val="00736396"/>
    <w:rsid w:val="00736F60"/>
    <w:rsid w:val="00736FBD"/>
    <w:rsid w:val="00740503"/>
    <w:rsid w:val="0074151D"/>
    <w:rsid w:val="00741ABA"/>
    <w:rsid w:val="00744608"/>
    <w:rsid w:val="00744EFC"/>
    <w:rsid w:val="0074523E"/>
    <w:rsid w:val="00745854"/>
    <w:rsid w:val="00745B40"/>
    <w:rsid w:val="00745D4A"/>
    <w:rsid w:val="0074649E"/>
    <w:rsid w:val="00747976"/>
    <w:rsid w:val="007479D4"/>
    <w:rsid w:val="00747C7A"/>
    <w:rsid w:val="00751271"/>
    <w:rsid w:val="00753F8E"/>
    <w:rsid w:val="0075461D"/>
    <w:rsid w:val="0075537D"/>
    <w:rsid w:val="00755410"/>
    <w:rsid w:val="00755AD4"/>
    <w:rsid w:val="00755CFD"/>
    <w:rsid w:val="00757027"/>
    <w:rsid w:val="0075775F"/>
    <w:rsid w:val="00760DF1"/>
    <w:rsid w:val="00761DC6"/>
    <w:rsid w:val="00762933"/>
    <w:rsid w:val="007641AD"/>
    <w:rsid w:val="00765A77"/>
    <w:rsid w:val="00766022"/>
    <w:rsid w:val="007674F2"/>
    <w:rsid w:val="007715F5"/>
    <w:rsid w:val="00772774"/>
    <w:rsid w:val="007748CF"/>
    <w:rsid w:val="0077503C"/>
    <w:rsid w:val="007767EB"/>
    <w:rsid w:val="00776ADF"/>
    <w:rsid w:val="00777655"/>
    <w:rsid w:val="00777EE1"/>
    <w:rsid w:val="0078043C"/>
    <w:rsid w:val="00780716"/>
    <w:rsid w:val="007808EE"/>
    <w:rsid w:val="007813DB"/>
    <w:rsid w:val="007818D5"/>
    <w:rsid w:val="00782C83"/>
    <w:rsid w:val="007844F2"/>
    <w:rsid w:val="00784682"/>
    <w:rsid w:val="0078543B"/>
    <w:rsid w:val="007856AC"/>
    <w:rsid w:val="00786834"/>
    <w:rsid w:val="007869E3"/>
    <w:rsid w:val="00790DFF"/>
    <w:rsid w:val="007917BA"/>
    <w:rsid w:val="0079214D"/>
    <w:rsid w:val="007934D1"/>
    <w:rsid w:val="007939F1"/>
    <w:rsid w:val="00794C4D"/>
    <w:rsid w:val="00794F35"/>
    <w:rsid w:val="00795CE5"/>
    <w:rsid w:val="0079601A"/>
    <w:rsid w:val="00797500"/>
    <w:rsid w:val="007A0FF0"/>
    <w:rsid w:val="007A10FA"/>
    <w:rsid w:val="007A132B"/>
    <w:rsid w:val="007A13A6"/>
    <w:rsid w:val="007A1A84"/>
    <w:rsid w:val="007A313A"/>
    <w:rsid w:val="007A3D00"/>
    <w:rsid w:val="007A42FC"/>
    <w:rsid w:val="007A4879"/>
    <w:rsid w:val="007A5404"/>
    <w:rsid w:val="007A56EE"/>
    <w:rsid w:val="007A59D1"/>
    <w:rsid w:val="007A5D2C"/>
    <w:rsid w:val="007A60F0"/>
    <w:rsid w:val="007A696B"/>
    <w:rsid w:val="007A7FFD"/>
    <w:rsid w:val="007B0361"/>
    <w:rsid w:val="007B07B7"/>
    <w:rsid w:val="007B2951"/>
    <w:rsid w:val="007B4239"/>
    <w:rsid w:val="007B5468"/>
    <w:rsid w:val="007B5E64"/>
    <w:rsid w:val="007B5EF7"/>
    <w:rsid w:val="007B727F"/>
    <w:rsid w:val="007B75D9"/>
    <w:rsid w:val="007C0DE6"/>
    <w:rsid w:val="007C0FA1"/>
    <w:rsid w:val="007C30D9"/>
    <w:rsid w:val="007C3857"/>
    <w:rsid w:val="007C395F"/>
    <w:rsid w:val="007C3E5F"/>
    <w:rsid w:val="007C45F7"/>
    <w:rsid w:val="007C45FF"/>
    <w:rsid w:val="007C4701"/>
    <w:rsid w:val="007C4B43"/>
    <w:rsid w:val="007C57CD"/>
    <w:rsid w:val="007C59AA"/>
    <w:rsid w:val="007C61F5"/>
    <w:rsid w:val="007C6C47"/>
    <w:rsid w:val="007C7AAA"/>
    <w:rsid w:val="007D0A31"/>
    <w:rsid w:val="007D128D"/>
    <w:rsid w:val="007D20A9"/>
    <w:rsid w:val="007D2359"/>
    <w:rsid w:val="007D2533"/>
    <w:rsid w:val="007D3007"/>
    <w:rsid w:val="007D3C06"/>
    <w:rsid w:val="007D3C75"/>
    <w:rsid w:val="007D46D3"/>
    <w:rsid w:val="007D4909"/>
    <w:rsid w:val="007D4AA3"/>
    <w:rsid w:val="007D5705"/>
    <w:rsid w:val="007D5709"/>
    <w:rsid w:val="007D5F8F"/>
    <w:rsid w:val="007D606B"/>
    <w:rsid w:val="007E1B2F"/>
    <w:rsid w:val="007E2540"/>
    <w:rsid w:val="007E3465"/>
    <w:rsid w:val="007E3840"/>
    <w:rsid w:val="007E3C81"/>
    <w:rsid w:val="007E4076"/>
    <w:rsid w:val="007E5CBB"/>
    <w:rsid w:val="007E6433"/>
    <w:rsid w:val="007E7FE6"/>
    <w:rsid w:val="007F099C"/>
    <w:rsid w:val="007F31F6"/>
    <w:rsid w:val="007F3515"/>
    <w:rsid w:val="007F618D"/>
    <w:rsid w:val="007F650C"/>
    <w:rsid w:val="007F664E"/>
    <w:rsid w:val="007F6E44"/>
    <w:rsid w:val="007F786B"/>
    <w:rsid w:val="007F7B6B"/>
    <w:rsid w:val="007F7DE1"/>
    <w:rsid w:val="00800AE0"/>
    <w:rsid w:val="00800D36"/>
    <w:rsid w:val="0080196E"/>
    <w:rsid w:val="00802772"/>
    <w:rsid w:val="008029A2"/>
    <w:rsid w:val="008032ED"/>
    <w:rsid w:val="00803391"/>
    <w:rsid w:val="008033A4"/>
    <w:rsid w:val="00803A89"/>
    <w:rsid w:val="008049C0"/>
    <w:rsid w:val="00804CD4"/>
    <w:rsid w:val="00805C58"/>
    <w:rsid w:val="00805EC4"/>
    <w:rsid w:val="00806B92"/>
    <w:rsid w:val="00807647"/>
    <w:rsid w:val="00807A89"/>
    <w:rsid w:val="00810FB8"/>
    <w:rsid w:val="00811EC8"/>
    <w:rsid w:val="008129C6"/>
    <w:rsid w:val="008146E3"/>
    <w:rsid w:val="00816EB3"/>
    <w:rsid w:val="00817E8D"/>
    <w:rsid w:val="0082068F"/>
    <w:rsid w:val="00821634"/>
    <w:rsid w:val="00821769"/>
    <w:rsid w:val="008219D2"/>
    <w:rsid w:val="0082295E"/>
    <w:rsid w:val="00822F68"/>
    <w:rsid w:val="0082404F"/>
    <w:rsid w:val="0082427A"/>
    <w:rsid w:val="0082427E"/>
    <w:rsid w:val="008263FF"/>
    <w:rsid w:val="008323D1"/>
    <w:rsid w:val="00833731"/>
    <w:rsid w:val="0083399E"/>
    <w:rsid w:val="00833C89"/>
    <w:rsid w:val="008344F5"/>
    <w:rsid w:val="00836E5D"/>
    <w:rsid w:val="00837578"/>
    <w:rsid w:val="00837CC7"/>
    <w:rsid w:val="008424AD"/>
    <w:rsid w:val="00843308"/>
    <w:rsid w:val="008447D6"/>
    <w:rsid w:val="008452C8"/>
    <w:rsid w:val="008454A2"/>
    <w:rsid w:val="008460AD"/>
    <w:rsid w:val="008461A6"/>
    <w:rsid w:val="00846FB0"/>
    <w:rsid w:val="00850C6D"/>
    <w:rsid w:val="008512DE"/>
    <w:rsid w:val="008516C8"/>
    <w:rsid w:val="00852EAD"/>
    <w:rsid w:val="00853AE9"/>
    <w:rsid w:val="00854186"/>
    <w:rsid w:val="00854689"/>
    <w:rsid w:val="00855BC2"/>
    <w:rsid w:val="00856801"/>
    <w:rsid w:val="008573F4"/>
    <w:rsid w:val="00857C7D"/>
    <w:rsid w:val="00860A94"/>
    <w:rsid w:val="008621D3"/>
    <w:rsid w:val="00863AC5"/>
    <w:rsid w:val="0086459B"/>
    <w:rsid w:val="00864ACA"/>
    <w:rsid w:val="00865E19"/>
    <w:rsid w:val="008665A3"/>
    <w:rsid w:val="00866A5B"/>
    <w:rsid w:val="00867118"/>
    <w:rsid w:val="0086753C"/>
    <w:rsid w:val="0087124E"/>
    <w:rsid w:val="00871404"/>
    <w:rsid w:val="00871738"/>
    <w:rsid w:val="00871987"/>
    <w:rsid w:val="0087247F"/>
    <w:rsid w:val="0087352C"/>
    <w:rsid w:val="008753EF"/>
    <w:rsid w:val="00876A99"/>
    <w:rsid w:val="00877218"/>
    <w:rsid w:val="008775FD"/>
    <w:rsid w:val="00880F64"/>
    <w:rsid w:val="0088158E"/>
    <w:rsid w:val="008825FC"/>
    <w:rsid w:val="0088270B"/>
    <w:rsid w:val="008833DB"/>
    <w:rsid w:val="00883960"/>
    <w:rsid w:val="00883B74"/>
    <w:rsid w:val="0088502D"/>
    <w:rsid w:val="00890A89"/>
    <w:rsid w:val="008913C9"/>
    <w:rsid w:val="00891973"/>
    <w:rsid w:val="00892257"/>
    <w:rsid w:val="0089440A"/>
    <w:rsid w:val="008947D6"/>
    <w:rsid w:val="008957F3"/>
    <w:rsid w:val="008962BD"/>
    <w:rsid w:val="008970AC"/>
    <w:rsid w:val="008A07E4"/>
    <w:rsid w:val="008A0F2C"/>
    <w:rsid w:val="008A1E95"/>
    <w:rsid w:val="008A20EA"/>
    <w:rsid w:val="008A49A5"/>
    <w:rsid w:val="008A5386"/>
    <w:rsid w:val="008A5DFF"/>
    <w:rsid w:val="008A5F2B"/>
    <w:rsid w:val="008B06D7"/>
    <w:rsid w:val="008B2B0D"/>
    <w:rsid w:val="008B39A4"/>
    <w:rsid w:val="008B4F90"/>
    <w:rsid w:val="008B5625"/>
    <w:rsid w:val="008B5946"/>
    <w:rsid w:val="008B5D59"/>
    <w:rsid w:val="008B71BC"/>
    <w:rsid w:val="008C01E9"/>
    <w:rsid w:val="008C0935"/>
    <w:rsid w:val="008C1043"/>
    <w:rsid w:val="008C12AD"/>
    <w:rsid w:val="008C25FF"/>
    <w:rsid w:val="008C2880"/>
    <w:rsid w:val="008C41A9"/>
    <w:rsid w:val="008C4E49"/>
    <w:rsid w:val="008C4F6B"/>
    <w:rsid w:val="008C50E2"/>
    <w:rsid w:val="008C55C6"/>
    <w:rsid w:val="008C60EB"/>
    <w:rsid w:val="008C7F66"/>
    <w:rsid w:val="008D1917"/>
    <w:rsid w:val="008D192E"/>
    <w:rsid w:val="008D3697"/>
    <w:rsid w:val="008D36EF"/>
    <w:rsid w:val="008D4578"/>
    <w:rsid w:val="008D4A05"/>
    <w:rsid w:val="008D60CB"/>
    <w:rsid w:val="008D7060"/>
    <w:rsid w:val="008D78C2"/>
    <w:rsid w:val="008E0014"/>
    <w:rsid w:val="008E0270"/>
    <w:rsid w:val="008E07A7"/>
    <w:rsid w:val="008E1000"/>
    <w:rsid w:val="008E1A40"/>
    <w:rsid w:val="008E2EA3"/>
    <w:rsid w:val="008E2FB2"/>
    <w:rsid w:val="008E49CC"/>
    <w:rsid w:val="008E5C7F"/>
    <w:rsid w:val="008E7DDB"/>
    <w:rsid w:val="008F2234"/>
    <w:rsid w:val="008F279C"/>
    <w:rsid w:val="008F782A"/>
    <w:rsid w:val="008F788B"/>
    <w:rsid w:val="009000B7"/>
    <w:rsid w:val="0090055A"/>
    <w:rsid w:val="00900764"/>
    <w:rsid w:val="009015AF"/>
    <w:rsid w:val="009019CA"/>
    <w:rsid w:val="00905677"/>
    <w:rsid w:val="00905698"/>
    <w:rsid w:val="0090578E"/>
    <w:rsid w:val="00906205"/>
    <w:rsid w:val="00907738"/>
    <w:rsid w:val="0091010E"/>
    <w:rsid w:val="009107D0"/>
    <w:rsid w:val="0091125D"/>
    <w:rsid w:val="00912B6D"/>
    <w:rsid w:val="00912C8E"/>
    <w:rsid w:val="00912D85"/>
    <w:rsid w:val="00914A9A"/>
    <w:rsid w:val="00914DFD"/>
    <w:rsid w:val="00915275"/>
    <w:rsid w:val="009158E5"/>
    <w:rsid w:val="00916084"/>
    <w:rsid w:val="00916D36"/>
    <w:rsid w:val="0092158A"/>
    <w:rsid w:val="009234E0"/>
    <w:rsid w:val="0092548B"/>
    <w:rsid w:val="009259D5"/>
    <w:rsid w:val="00927630"/>
    <w:rsid w:val="0093022C"/>
    <w:rsid w:val="009302D8"/>
    <w:rsid w:val="00931842"/>
    <w:rsid w:val="0093250D"/>
    <w:rsid w:val="009337BD"/>
    <w:rsid w:val="00934A2B"/>
    <w:rsid w:val="00934A53"/>
    <w:rsid w:val="00934E02"/>
    <w:rsid w:val="0093545C"/>
    <w:rsid w:val="009364FC"/>
    <w:rsid w:val="009367E1"/>
    <w:rsid w:val="00940C3F"/>
    <w:rsid w:val="009435D2"/>
    <w:rsid w:val="009436E5"/>
    <w:rsid w:val="009452D3"/>
    <w:rsid w:val="0094565F"/>
    <w:rsid w:val="00947F5A"/>
    <w:rsid w:val="00950903"/>
    <w:rsid w:val="00950DE4"/>
    <w:rsid w:val="00951566"/>
    <w:rsid w:val="00951E52"/>
    <w:rsid w:val="00952051"/>
    <w:rsid w:val="00952CA7"/>
    <w:rsid w:val="009534A5"/>
    <w:rsid w:val="00953DC3"/>
    <w:rsid w:val="009542DE"/>
    <w:rsid w:val="009546BF"/>
    <w:rsid w:val="009550E1"/>
    <w:rsid w:val="0095517B"/>
    <w:rsid w:val="00955ADE"/>
    <w:rsid w:val="00955F50"/>
    <w:rsid w:val="00956329"/>
    <w:rsid w:val="00956628"/>
    <w:rsid w:val="00956A7F"/>
    <w:rsid w:val="00957826"/>
    <w:rsid w:val="0096143A"/>
    <w:rsid w:val="009618C0"/>
    <w:rsid w:val="00962C47"/>
    <w:rsid w:val="00962F32"/>
    <w:rsid w:val="009630ED"/>
    <w:rsid w:val="00963167"/>
    <w:rsid w:val="00965DF7"/>
    <w:rsid w:val="0096621F"/>
    <w:rsid w:val="00967504"/>
    <w:rsid w:val="009675C2"/>
    <w:rsid w:val="009679E2"/>
    <w:rsid w:val="00967B12"/>
    <w:rsid w:val="00970DBE"/>
    <w:rsid w:val="009717E7"/>
    <w:rsid w:val="00972967"/>
    <w:rsid w:val="00973685"/>
    <w:rsid w:val="009738C0"/>
    <w:rsid w:val="00973E6B"/>
    <w:rsid w:val="00973ECC"/>
    <w:rsid w:val="009745AB"/>
    <w:rsid w:val="00975A28"/>
    <w:rsid w:val="00976147"/>
    <w:rsid w:val="009769AE"/>
    <w:rsid w:val="0097725F"/>
    <w:rsid w:val="009774D7"/>
    <w:rsid w:val="009800F5"/>
    <w:rsid w:val="00982244"/>
    <w:rsid w:val="0098615E"/>
    <w:rsid w:val="00986786"/>
    <w:rsid w:val="00986A58"/>
    <w:rsid w:val="009872BF"/>
    <w:rsid w:val="00990552"/>
    <w:rsid w:val="00992B0E"/>
    <w:rsid w:val="009936E6"/>
    <w:rsid w:val="00994DB5"/>
    <w:rsid w:val="00994F8B"/>
    <w:rsid w:val="00996446"/>
    <w:rsid w:val="009A009E"/>
    <w:rsid w:val="009A045A"/>
    <w:rsid w:val="009A5EB3"/>
    <w:rsid w:val="009A60A5"/>
    <w:rsid w:val="009A672F"/>
    <w:rsid w:val="009B0BC8"/>
    <w:rsid w:val="009B0EDD"/>
    <w:rsid w:val="009B1679"/>
    <w:rsid w:val="009B24AA"/>
    <w:rsid w:val="009B250C"/>
    <w:rsid w:val="009B2BD4"/>
    <w:rsid w:val="009B2DFD"/>
    <w:rsid w:val="009B3D62"/>
    <w:rsid w:val="009B4415"/>
    <w:rsid w:val="009B597F"/>
    <w:rsid w:val="009B7BBB"/>
    <w:rsid w:val="009C0309"/>
    <w:rsid w:val="009C0772"/>
    <w:rsid w:val="009C0CCC"/>
    <w:rsid w:val="009C1264"/>
    <w:rsid w:val="009C1D06"/>
    <w:rsid w:val="009C224C"/>
    <w:rsid w:val="009C229D"/>
    <w:rsid w:val="009C2AF3"/>
    <w:rsid w:val="009C510F"/>
    <w:rsid w:val="009C635A"/>
    <w:rsid w:val="009D024B"/>
    <w:rsid w:val="009D1611"/>
    <w:rsid w:val="009D3392"/>
    <w:rsid w:val="009D3557"/>
    <w:rsid w:val="009D3E2F"/>
    <w:rsid w:val="009D443C"/>
    <w:rsid w:val="009D4F1D"/>
    <w:rsid w:val="009D62BF"/>
    <w:rsid w:val="009D681A"/>
    <w:rsid w:val="009D7DEA"/>
    <w:rsid w:val="009D7E43"/>
    <w:rsid w:val="009E122F"/>
    <w:rsid w:val="009E1597"/>
    <w:rsid w:val="009E1A25"/>
    <w:rsid w:val="009E445F"/>
    <w:rsid w:val="009E5A9F"/>
    <w:rsid w:val="009E5CF0"/>
    <w:rsid w:val="009E6235"/>
    <w:rsid w:val="009E7678"/>
    <w:rsid w:val="009E7E92"/>
    <w:rsid w:val="009F0D4A"/>
    <w:rsid w:val="009F1903"/>
    <w:rsid w:val="009F21DB"/>
    <w:rsid w:val="009F3164"/>
    <w:rsid w:val="009F4ABA"/>
    <w:rsid w:val="009F50EC"/>
    <w:rsid w:val="009F52B9"/>
    <w:rsid w:val="009F63D6"/>
    <w:rsid w:val="009F6AFF"/>
    <w:rsid w:val="009F758B"/>
    <w:rsid w:val="00A0004F"/>
    <w:rsid w:val="00A0005E"/>
    <w:rsid w:val="00A00C8F"/>
    <w:rsid w:val="00A03017"/>
    <w:rsid w:val="00A03DB8"/>
    <w:rsid w:val="00A06135"/>
    <w:rsid w:val="00A0639C"/>
    <w:rsid w:val="00A06E22"/>
    <w:rsid w:val="00A0740C"/>
    <w:rsid w:val="00A077DA"/>
    <w:rsid w:val="00A07AE4"/>
    <w:rsid w:val="00A07F98"/>
    <w:rsid w:val="00A10AC5"/>
    <w:rsid w:val="00A10BE1"/>
    <w:rsid w:val="00A14098"/>
    <w:rsid w:val="00A14C15"/>
    <w:rsid w:val="00A155AD"/>
    <w:rsid w:val="00A15A6F"/>
    <w:rsid w:val="00A16E21"/>
    <w:rsid w:val="00A175EE"/>
    <w:rsid w:val="00A178AD"/>
    <w:rsid w:val="00A179DB"/>
    <w:rsid w:val="00A205D8"/>
    <w:rsid w:val="00A220C3"/>
    <w:rsid w:val="00A22321"/>
    <w:rsid w:val="00A23804"/>
    <w:rsid w:val="00A253BC"/>
    <w:rsid w:val="00A2707C"/>
    <w:rsid w:val="00A308CE"/>
    <w:rsid w:val="00A30CF4"/>
    <w:rsid w:val="00A32B4E"/>
    <w:rsid w:val="00A33FA4"/>
    <w:rsid w:val="00A34383"/>
    <w:rsid w:val="00A34A2D"/>
    <w:rsid w:val="00A34FDB"/>
    <w:rsid w:val="00A36C17"/>
    <w:rsid w:val="00A37606"/>
    <w:rsid w:val="00A4067D"/>
    <w:rsid w:val="00A41BF5"/>
    <w:rsid w:val="00A426E5"/>
    <w:rsid w:val="00A4339E"/>
    <w:rsid w:val="00A43DCF"/>
    <w:rsid w:val="00A441CE"/>
    <w:rsid w:val="00A45C59"/>
    <w:rsid w:val="00A46F2E"/>
    <w:rsid w:val="00A4702D"/>
    <w:rsid w:val="00A4707B"/>
    <w:rsid w:val="00A473DB"/>
    <w:rsid w:val="00A4787D"/>
    <w:rsid w:val="00A47EFE"/>
    <w:rsid w:val="00A50C15"/>
    <w:rsid w:val="00A50FCA"/>
    <w:rsid w:val="00A51345"/>
    <w:rsid w:val="00A516C2"/>
    <w:rsid w:val="00A51DFE"/>
    <w:rsid w:val="00A530B7"/>
    <w:rsid w:val="00A55688"/>
    <w:rsid w:val="00A55EBD"/>
    <w:rsid w:val="00A561E5"/>
    <w:rsid w:val="00A567FB"/>
    <w:rsid w:val="00A56D3B"/>
    <w:rsid w:val="00A57AB1"/>
    <w:rsid w:val="00A608B6"/>
    <w:rsid w:val="00A60CE1"/>
    <w:rsid w:val="00A60EE0"/>
    <w:rsid w:val="00A61AA4"/>
    <w:rsid w:val="00A621F1"/>
    <w:rsid w:val="00A62384"/>
    <w:rsid w:val="00A63DE5"/>
    <w:rsid w:val="00A64496"/>
    <w:rsid w:val="00A6489F"/>
    <w:rsid w:val="00A64A87"/>
    <w:rsid w:val="00A70FD2"/>
    <w:rsid w:val="00A72B64"/>
    <w:rsid w:val="00A753FE"/>
    <w:rsid w:val="00A76113"/>
    <w:rsid w:val="00A77B3F"/>
    <w:rsid w:val="00A81B2C"/>
    <w:rsid w:val="00A85940"/>
    <w:rsid w:val="00A86343"/>
    <w:rsid w:val="00A8652C"/>
    <w:rsid w:val="00A86DDE"/>
    <w:rsid w:val="00A86F65"/>
    <w:rsid w:val="00A90113"/>
    <w:rsid w:val="00A906B0"/>
    <w:rsid w:val="00A9136D"/>
    <w:rsid w:val="00A9156D"/>
    <w:rsid w:val="00A91ACD"/>
    <w:rsid w:val="00A91BF8"/>
    <w:rsid w:val="00A93CBE"/>
    <w:rsid w:val="00A9469F"/>
    <w:rsid w:val="00A9573F"/>
    <w:rsid w:val="00A95CBE"/>
    <w:rsid w:val="00A960CB"/>
    <w:rsid w:val="00A96F3B"/>
    <w:rsid w:val="00A97271"/>
    <w:rsid w:val="00A97FCF"/>
    <w:rsid w:val="00AA0004"/>
    <w:rsid w:val="00AA0988"/>
    <w:rsid w:val="00AA0B08"/>
    <w:rsid w:val="00AA27A0"/>
    <w:rsid w:val="00AA6B1B"/>
    <w:rsid w:val="00AB02B8"/>
    <w:rsid w:val="00AB089A"/>
    <w:rsid w:val="00AB30D1"/>
    <w:rsid w:val="00AB3238"/>
    <w:rsid w:val="00AB4A72"/>
    <w:rsid w:val="00AB4E62"/>
    <w:rsid w:val="00AB503A"/>
    <w:rsid w:val="00AB6738"/>
    <w:rsid w:val="00AC0D1B"/>
    <w:rsid w:val="00AC0E3D"/>
    <w:rsid w:val="00AC13DA"/>
    <w:rsid w:val="00AC25A8"/>
    <w:rsid w:val="00AC2E5A"/>
    <w:rsid w:val="00AC3E54"/>
    <w:rsid w:val="00AC40EB"/>
    <w:rsid w:val="00AC5209"/>
    <w:rsid w:val="00AC540F"/>
    <w:rsid w:val="00AC5BB8"/>
    <w:rsid w:val="00AC5EDD"/>
    <w:rsid w:val="00AC638B"/>
    <w:rsid w:val="00AC6553"/>
    <w:rsid w:val="00AD03C9"/>
    <w:rsid w:val="00AD0CCA"/>
    <w:rsid w:val="00AD149E"/>
    <w:rsid w:val="00AD1630"/>
    <w:rsid w:val="00AD225D"/>
    <w:rsid w:val="00AD284F"/>
    <w:rsid w:val="00AD7647"/>
    <w:rsid w:val="00AE0E48"/>
    <w:rsid w:val="00AE1EB4"/>
    <w:rsid w:val="00AE2B00"/>
    <w:rsid w:val="00AE3C1A"/>
    <w:rsid w:val="00AE414E"/>
    <w:rsid w:val="00AE4D22"/>
    <w:rsid w:val="00AE557E"/>
    <w:rsid w:val="00AF00F0"/>
    <w:rsid w:val="00AF1872"/>
    <w:rsid w:val="00AF1AF6"/>
    <w:rsid w:val="00AF1BE4"/>
    <w:rsid w:val="00AF1FD8"/>
    <w:rsid w:val="00AF24D9"/>
    <w:rsid w:val="00AF257A"/>
    <w:rsid w:val="00AF2B20"/>
    <w:rsid w:val="00AF2CB4"/>
    <w:rsid w:val="00AF302F"/>
    <w:rsid w:val="00AF57EC"/>
    <w:rsid w:val="00AF5961"/>
    <w:rsid w:val="00AF78FF"/>
    <w:rsid w:val="00B02C13"/>
    <w:rsid w:val="00B0411F"/>
    <w:rsid w:val="00B05046"/>
    <w:rsid w:val="00B0537D"/>
    <w:rsid w:val="00B05C75"/>
    <w:rsid w:val="00B06B2B"/>
    <w:rsid w:val="00B10B40"/>
    <w:rsid w:val="00B111FC"/>
    <w:rsid w:val="00B11FA6"/>
    <w:rsid w:val="00B1628F"/>
    <w:rsid w:val="00B173F5"/>
    <w:rsid w:val="00B175D9"/>
    <w:rsid w:val="00B21BAC"/>
    <w:rsid w:val="00B22420"/>
    <w:rsid w:val="00B248F5"/>
    <w:rsid w:val="00B24C7E"/>
    <w:rsid w:val="00B25731"/>
    <w:rsid w:val="00B273EB"/>
    <w:rsid w:val="00B276E5"/>
    <w:rsid w:val="00B30BF0"/>
    <w:rsid w:val="00B31A74"/>
    <w:rsid w:val="00B33C1A"/>
    <w:rsid w:val="00B33D33"/>
    <w:rsid w:val="00B350CC"/>
    <w:rsid w:val="00B404BC"/>
    <w:rsid w:val="00B42DBB"/>
    <w:rsid w:val="00B43640"/>
    <w:rsid w:val="00B438E1"/>
    <w:rsid w:val="00B4453C"/>
    <w:rsid w:val="00B44894"/>
    <w:rsid w:val="00B44F0B"/>
    <w:rsid w:val="00B4672E"/>
    <w:rsid w:val="00B5010A"/>
    <w:rsid w:val="00B50240"/>
    <w:rsid w:val="00B50E2F"/>
    <w:rsid w:val="00B51983"/>
    <w:rsid w:val="00B5222F"/>
    <w:rsid w:val="00B524D6"/>
    <w:rsid w:val="00B52E91"/>
    <w:rsid w:val="00B52EC2"/>
    <w:rsid w:val="00B54746"/>
    <w:rsid w:val="00B54779"/>
    <w:rsid w:val="00B5503B"/>
    <w:rsid w:val="00B556F9"/>
    <w:rsid w:val="00B5677C"/>
    <w:rsid w:val="00B579CD"/>
    <w:rsid w:val="00B604DE"/>
    <w:rsid w:val="00B60915"/>
    <w:rsid w:val="00B6107B"/>
    <w:rsid w:val="00B61A19"/>
    <w:rsid w:val="00B61E36"/>
    <w:rsid w:val="00B61F87"/>
    <w:rsid w:val="00B628F2"/>
    <w:rsid w:val="00B63609"/>
    <w:rsid w:val="00B6418F"/>
    <w:rsid w:val="00B64219"/>
    <w:rsid w:val="00B64313"/>
    <w:rsid w:val="00B650F2"/>
    <w:rsid w:val="00B6548D"/>
    <w:rsid w:val="00B66A21"/>
    <w:rsid w:val="00B6763D"/>
    <w:rsid w:val="00B67FFD"/>
    <w:rsid w:val="00B7136E"/>
    <w:rsid w:val="00B72D12"/>
    <w:rsid w:val="00B72EDB"/>
    <w:rsid w:val="00B738D9"/>
    <w:rsid w:val="00B74018"/>
    <w:rsid w:val="00B74E56"/>
    <w:rsid w:val="00B75418"/>
    <w:rsid w:val="00B76390"/>
    <w:rsid w:val="00B76CC5"/>
    <w:rsid w:val="00B779C3"/>
    <w:rsid w:val="00B77A98"/>
    <w:rsid w:val="00B80E24"/>
    <w:rsid w:val="00B82287"/>
    <w:rsid w:val="00B826AA"/>
    <w:rsid w:val="00B82DBF"/>
    <w:rsid w:val="00B83651"/>
    <w:rsid w:val="00B83777"/>
    <w:rsid w:val="00B839AA"/>
    <w:rsid w:val="00B83E0B"/>
    <w:rsid w:val="00B848AE"/>
    <w:rsid w:val="00B863F0"/>
    <w:rsid w:val="00B87442"/>
    <w:rsid w:val="00B9293A"/>
    <w:rsid w:val="00B9509E"/>
    <w:rsid w:val="00B962FA"/>
    <w:rsid w:val="00B96391"/>
    <w:rsid w:val="00B97A64"/>
    <w:rsid w:val="00BA13DE"/>
    <w:rsid w:val="00BA2F8B"/>
    <w:rsid w:val="00BA451E"/>
    <w:rsid w:val="00BA53C2"/>
    <w:rsid w:val="00BA778C"/>
    <w:rsid w:val="00BA7DB2"/>
    <w:rsid w:val="00BA7E35"/>
    <w:rsid w:val="00BA7F67"/>
    <w:rsid w:val="00BB1107"/>
    <w:rsid w:val="00BB4515"/>
    <w:rsid w:val="00BB6EE7"/>
    <w:rsid w:val="00BB7521"/>
    <w:rsid w:val="00BB7822"/>
    <w:rsid w:val="00BB7844"/>
    <w:rsid w:val="00BB7CF3"/>
    <w:rsid w:val="00BB7F9A"/>
    <w:rsid w:val="00BB7FF5"/>
    <w:rsid w:val="00BC1F75"/>
    <w:rsid w:val="00BC3F85"/>
    <w:rsid w:val="00BC449A"/>
    <w:rsid w:val="00BC4FDF"/>
    <w:rsid w:val="00BC558E"/>
    <w:rsid w:val="00BC5AE3"/>
    <w:rsid w:val="00BC6164"/>
    <w:rsid w:val="00BC6B18"/>
    <w:rsid w:val="00BC7802"/>
    <w:rsid w:val="00BC7C31"/>
    <w:rsid w:val="00BD23CC"/>
    <w:rsid w:val="00BD3AAE"/>
    <w:rsid w:val="00BD605C"/>
    <w:rsid w:val="00BD6894"/>
    <w:rsid w:val="00BD7930"/>
    <w:rsid w:val="00BE0758"/>
    <w:rsid w:val="00BE1901"/>
    <w:rsid w:val="00BE39F8"/>
    <w:rsid w:val="00BE45F4"/>
    <w:rsid w:val="00BE467B"/>
    <w:rsid w:val="00BE5C4B"/>
    <w:rsid w:val="00BE6B7A"/>
    <w:rsid w:val="00BF0B0C"/>
    <w:rsid w:val="00BF1CFF"/>
    <w:rsid w:val="00BF3666"/>
    <w:rsid w:val="00BF370D"/>
    <w:rsid w:val="00BF3DAA"/>
    <w:rsid w:val="00BF43D5"/>
    <w:rsid w:val="00BF591E"/>
    <w:rsid w:val="00BF65B0"/>
    <w:rsid w:val="00BF6C79"/>
    <w:rsid w:val="00C00BC4"/>
    <w:rsid w:val="00C019D7"/>
    <w:rsid w:val="00C02E1B"/>
    <w:rsid w:val="00C03E07"/>
    <w:rsid w:val="00C04138"/>
    <w:rsid w:val="00C045D3"/>
    <w:rsid w:val="00C10044"/>
    <w:rsid w:val="00C104BB"/>
    <w:rsid w:val="00C119E9"/>
    <w:rsid w:val="00C13E52"/>
    <w:rsid w:val="00C1716A"/>
    <w:rsid w:val="00C17381"/>
    <w:rsid w:val="00C175AE"/>
    <w:rsid w:val="00C2049C"/>
    <w:rsid w:val="00C21E2F"/>
    <w:rsid w:val="00C232A1"/>
    <w:rsid w:val="00C232D2"/>
    <w:rsid w:val="00C272E9"/>
    <w:rsid w:val="00C30017"/>
    <w:rsid w:val="00C30E1D"/>
    <w:rsid w:val="00C31A60"/>
    <w:rsid w:val="00C32337"/>
    <w:rsid w:val="00C32432"/>
    <w:rsid w:val="00C32E64"/>
    <w:rsid w:val="00C350ED"/>
    <w:rsid w:val="00C3527D"/>
    <w:rsid w:val="00C354E6"/>
    <w:rsid w:val="00C35657"/>
    <w:rsid w:val="00C35671"/>
    <w:rsid w:val="00C37017"/>
    <w:rsid w:val="00C41332"/>
    <w:rsid w:val="00C4149F"/>
    <w:rsid w:val="00C441B4"/>
    <w:rsid w:val="00C447AE"/>
    <w:rsid w:val="00C455E7"/>
    <w:rsid w:val="00C457BB"/>
    <w:rsid w:val="00C461D7"/>
    <w:rsid w:val="00C50D57"/>
    <w:rsid w:val="00C50E59"/>
    <w:rsid w:val="00C51535"/>
    <w:rsid w:val="00C51564"/>
    <w:rsid w:val="00C51D3A"/>
    <w:rsid w:val="00C521AC"/>
    <w:rsid w:val="00C526B3"/>
    <w:rsid w:val="00C52912"/>
    <w:rsid w:val="00C54235"/>
    <w:rsid w:val="00C56664"/>
    <w:rsid w:val="00C566BF"/>
    <w:rsid w:val="00C567BF"/>
    <w:rsid w:val="00C61F5A"/>
    <w:rsid w:val="00C62A0C"/>
    <w:rsid w:val="00C638A8"/>
    <w:rsid w:val="00C6405A"/>
    <w:rsid w:val="00C671D7"/>
    <w:rsid w:val="00C67B09"/>
    <w:rsid w:val="00C701E1"/>
    <w:rsid w:val="00C70D85"/>
    <w:rsid w:val="00C717D1"/>
    <w:rsid w:val="00C71E10"/>
    <w:rsid w:val="00C721D3"/>
    <w:rsid w:val="00C722A0"/>
    <w:rsid w:val="00C7430C"/>
    <w:rsid w:val="00C77A12"/>
    <w:rsid w:val="00C800A2"/>
    <w:rsid w:val="00C80466"/>
    <w:rsid w:val="00C81803"/>
    <w:rsid w:val="00C81DD9"/>
    <w:rsid w:val="00C821B0"/>
    <w:rsid w:val="00C82617"/>
    <w:rsid w:val="00C83EC7"/>
    <w:rsid w:val="00C84FB5"/>
    <w:rsid w:val="00C85866"/>
    <w:rsid w:val="00C8767F"/>
    <w:rsid w:val="00C879EE"/>
    <w:rsid w:val="00C912D4"/>
    <w:rsid w:val="00C91364"/>
    <w:rsid w:val="00C92770"/>
    <w:rsid w:val="00C957EB"/>
    <w:rsid w:val="00C95E17"/>
    <w:rsid w:val="00C9681E"/>
    <w:rsid w:val="00C96BC5"/>
    <w:rsid w:val="00C96E86"/>
    <w:rsid w:val="00C9784A"/>
    <w:rsid w:val="00CA1002"/>
    <w:rsid w:val="00CA1643"/>
    <w:rsid w:val="00CA1689"/>
    <w:rsid w:val="00CA183C"/>
    <w:rsid w:val="00CA3085"/>
    <w:rsid w:val="00CA3885"/>
    <w:rsid w:val="00CA39EB"/>
    <w:rsid w:val="00CA3A25"/>
    <w:rsid w:val="00CA3E26"/>
    <w:rsid w:val="00CA4C25"/>
    <w:rsid w:val="00CA7367"/>
    <w:rsid w:val="00CB0648"/>
    <w:rsid w:val="00CB10C3"/>
    <w:rsid w:val="00CB17BE"/>
    <w:rsid w:val="00CB2C6F"/>
    <w:rsid w:val="00CB34A3"/>
    <w:rsid w:val="00CB7045"/>
    <w:rsid w:val="00CB7779"/>
    <w:rsid w:val="00CC4BEF"/>
    <w:rsid w:val="00CC5054"/>
    <w:rsid w:val="00CC61B3"/>
    <w:rsid w:val="00CC623C"/>
    <w:rsid w:val="00CC6BA5"/>
    <w:rsid w:val="00CC71A6"/>
    <w:rsid w:val="00CC7BA2"/>
    <w:rsid w:val="00CD50F2"/>
    <w:rsid w:val="00CD5F37"/>
    <w:rsid w:val="00CD6C87"/>
    <w:rsid w:val="00CE0EB9"/>
    <w:rsid w:val="00CE13CF"/>
    <w:rsid w:val="00CE2195"/>
    <w:rsid w:val="00CE24DE"/>
    <w:rsid w:val="00CE283C"/>
    <w:rsid w:val="00CE294A"/>
    <w:rsid w:val="00CE2E9F"/>
    <w:rsid w:val="00CE4D1E"/>
    <w:rsid w:val="00CE5331"/>
    <w:rsid w:val="00CE60E9"/>
    <w:rsid w:val="00CE6417"/>
    <w:rsid w:val="00CE64C6"/>
    <w:rsid w:val="00CE680F"/>
    <w:rsid w:val="00CE69A6"/>
    <w:rsid w:val="00CE7EA2"/>
    <w:rsid w:val="00CF0D45"/>
    <w:rsid w:val="00CF1B30"/>
    <w:rsid w:val="00CF1F83"/>
    <w:rsid w:val="00CF270B"/>
    <w:rsid w:val="00CF2BF8"/>
    <w:rsid w:val="00CF311D"/>
    <w:rsid w:val="00CF31C5"/>
    <w:rsid w:val="00CF35A7"/>
    <w:rsid w:val="00CF6BBA"/>
    <w:rsid w:val="00CF6F5C"/>
    <w:rsid w:val="00CF7316"/>
    <w:rsid w:val="00CF7B1C"/>
    <w:rsid w:val="00D00367"/>
    <w:rsid w:val="00D014AE"/>
    <w:rsid w:val="00D03F56"/>
    <w:rsid w:val="00D05895"/>
    <w:rsid w:val="00D061EE"/>
    <w:rsid w:val="00D06802"/>
    <w:rsid w:val="00D10B13"/>
    <w:rsid w:val="00D118F4"/>
    <w:rsid w:val="00D120FD"/>
    <w:rsid w:val="00D12DC9"/>
    <w:rsid w:val="00D132A6"/>
    <w:rsid w:val="00D137E1"/>
    <w:rsid w:val="00D13F83"/>
    <w:rsid w:val="00D147E3"/>
    <w:rsid w:val="00D148A2"/>
    <w:rsid w:val="00D14D00"/>
    <w:rsid w:val="00D14F44"/>
    <w:rsid w:val="00D16AD1"/>
    <w:rsid w:val="00D16D6D"/>
    <w:rsid w:val="00D16E15"/>
    <w:rsid w:val="00D16E8B"/>
    <w:rsid w:val="00D17021"/>
    <w:rsid w:val="00D170D2"/>
    <w:rsid w:val="00D175FD"/>
    <w:rsid w:val="00D23391"/>
    <w:rsid w:val="00D24D26"/>
    <w:rsid w:val="00D25F1B"/>
    <w:rsid w:val="00D261FF"/>
    <w:rsid w:val="00D30E22"/>
    <w:rsid w:val="00D34020"/>
    <w:rsid w:val="00D36B01"/>
    <w:rsid w:val="00D44C4E"/>
    <w:rsid w:val="00D44EFE"/>
    <w:rsid w:val="00D457B1"/>
    <w:rsid w:val="00D45CC9"/>
    <w:rsid w:val="00D52795"/>
    <w:rsid w:val="00D52BCB"/>
    <w:rsid w:val="00D5370A"/>
    <w:rsid w:val="00D54195"/>
    <w:rsid w:val="00D5470B"/>
    <w:rsid w:val="00D55019"/>
    <w:rsid w:val="00D55047"/>
    <w:rsid w:val="00D55413"/>
    <w:rsid w:val="00D55E70"/>
    <w:rsid w:val="00D55F8B"/>
    <w:rsid w:val="00D56DA9"/>
    <w:rsid w:val="00D57F1B"/>
    <w:rsid w:val="00D6115D"/>
    <w:rsid w:val="00D62520"/>
    <w:rsid w:val="00D627ED"/>
    <w:rsid w:val="00D63654"/>
    <w:rsid w:val="00D64A7A"/>
    <w:rsid w:val="00D65D72"/>
    <w:rsid w:val="00D67DD4"/>
    <w:rsid w:val="00D701F6"/>
    <w:rsid w:val="00D7086A"/>
    <w:rsid w:val="00D70B62"/>
    <w:rsid w:val="00D7536B"/>
    <w:rsid w:val="00D756C6"/>
    <w:rsid w:val="00D756DF"/>
    <w:rsid w:val="00D75C70"/>
    <w:rsid w:val="00D75E1E"/>
    <w:rsid w:val="00D8180F"/>
    <w:rsid w:val="00D828E4"/>
    <w:rsid w:val="00D83351"/>
    <w:rsid w:val="00D85C45"/>
    <w:rsid w:val="00D879B2"/>
    <w:rsid w:val="00D87ADC"/>
    <w:rsid w:val="00D87FD6"/>
    <w:rsid w:val="00D9016D"/>
    <w:rsid w:val="00D902F5"/>
    <w:rsid w:val="00D9106B"/>
    <w:rsid w:val="00D92D1C"/>
    <w:rsid w:val="00D93CCE"/>
    <w:rsid w:val="00D94988"/>
    <w:rsid w:val="00D968C3"/>
    <w:rsid w:val="00D97710"/>
    <w:rsid w:val="00D97ECE"/>
    <w:rsid w:val="00DA05D2"/>
    <w:rsid w:val="00DA0968"/>
    <w:rsid w:val="00DA0D58"/>
    <w:rsid w:val="00DA1E41"/>
    <w:rsid w:val="00DA2A76"/>
    <w:rsid w:val="00DA2CFE"/>
    <w:rsid w:val="00DA31CB"/>
    <w:rsid w:val="00DA3424"/>
    <w:rsid w:val="00DA3C5A"/>
    <w:rsid w:val="00DA4557"/>
    <w:rsid w:val="00DA6ED8"/>
    <w:rsid w:val="00DA78CD"/>
    <w:rsid w:val="00DB2688"/>
    <w:rsid w:val="00DB2FB1"/>
    <w:rsid w:val="00DB3445"/>
    <w:rsid w:val="00DB5048"/>
    <w:rsid w:val="00DB5918"/>
    <w:rsid w:val="00DB6763"/>
    <w:rsid w:val="00DB6DFE"/>
    <w:rsid w:val="00DB6F30"/>
    <w:rsid w:val="00DB705B"/>
    <w:rsid w:val="00DC0178"/>
    <w:rsid w:val="00DC0FD1"/>
    <w:rsid w:val="00DC4C49"/>
    <w:rsid w:val="00DC5522"/>
    <w:rsid w:val="00DC705C"/>
    <w:rsid w:val="00DC7BDF"/>
    <w:rsid w:val="00DD05BE"/>
    <w:rsid w:val="00DD07E7"/>
    <w:rsid w:val="00DD0ACA"/>
    <w:rsid w:val="00DD0CB5"/>
    <w:rsid w:val="00DD1089"/>
    <w:rsid w:val="00DD11EE"/>
    <w:rsid w:val="00DD16D5"/>
    <w:rsid w:val="00DD1AC8"/>
    <w:rsid w:val="00DD2341"/>
    <w:rsid w:val="00DD24AB"/>
    <w:rsid w:val="00DD3529"/>
    <w:rsid w:val="00DD3987"/>
    <w:rsid w:val="00DD6BF3"/>
    <w:rsid w:val="00DD75F5"/>
    <w:rsid w:val="00DE2181"/>
    <w:rsid w:val="00DE4652"/>
    <w:rsid w:val="00DE4B36"/>
    <w:rsid w:val="00DE722F"/>
    <w:rsid w:val="00DF0DD3"/>
    <w:rsid w:val="00DF2B3C"/>
    <w:rsid w:val="00DF3DE4"/>
    <w:rsid w:val="00DF3F44"/>
    <w:rsid w:val="00DF4ACF"/>
    <w:rsid w:val="00DF5623"/>
    <w:rsid w:val="00E02936"/>
    <w:rsid w:val="00E03D06"/>
    <w:rsid w:val="00E04735"/>
    <w:rsid w:val="00E06406"/>
    <w:rsid w:val="00E07A20"/>
    <w:rsid w:val="00E07BCA"/>
    <w:rsid w:val="00E10EEC"/>
    <w:rsid w:val="00E11BB8"/>
    <w:rsid w:val="00E12BC8"/>
    <w:rsid w:val="00E12C20"/>
    <w:rsid w:val="00E15162"/>
    <w:rsid w:val="00E151A3"/>
    <w:rsid w:val="00E17281"/>
    <w:rsid w:val="00E17D5C"/>
    <w:rsid w:val="00E20092"/>
    <w:rsid w:val="00E2134F"/>
    <w:rsid w:val="00E21F55"/>
    <w:rsid w:val="00E236D6"/>
    <w:rsid w:val="00E250D1"/>
    <w:rsid w:val="00E2637D"/>
    <w:rsid w:val="00E2666B"/>
    <w:rsid w:val="00E26F57"/>
    <w:rsid w:val="00E320FB"/>
    <w:rsid w:val="00E322F2"/>
    <w:rsid w:val="00E32AD8"/>
    <w:rsid w:val="00E32F90"/>
    <w:rsid w:val="00E33738"/>
    <w:rsid w:val="00E33B39"/>
    <w:rsid w:val="00E3655D"/>
    <w:rsid w:val="00E36CAC"/>
    <w:rsid w:val="00E42766"/>
    <w:rsid w:val="00E4330C"/>
    <w:rsid w:val="00E45170"/>
    <w:rsid w:val="00E46F69"/>
    <w:rsid w:val="00E47043"/>
    <w:rsid w:val="00E50D16"/>
    <w:rsid w:val="00E52718"/>
    <w:rsid w:val="00E530CC"/>
    <w:rsid w:val="00E53E5C"/>
    <w:rsid w:val="00E5404C"/>
    <w:rsid w:val="00E542EF"/>
    <w:rsid w:val="00E55448"/>
    <w:rsid w:val="00E56B8F"/>
    <w:rsid w:val="00E56DAD"/>
    <w:rsid w:val="00E577C4"/>
    <w:rsid w:val="00E57859"/>
    <w:rsid w:val="00E57EBC"/>
    <w:rsid w:val="00E611B8"/>
    <w:rsid w:val="00E626EC"/>
    <w:rsid w:val="00E6323D"/>
    <w:rsid w:val="00E63B43"/>
    <w:rsid w:val="00E63BB3"/>
    <w:rsid w:val="00E63DC3"/>
    <w:rsid w:val="00E64C2D"/>
    <w:rsid w:val="00E659C1"/>
    <w:rsid w:val="00E65DE8"/>
    <w:rsid w:val="00E65FC4"/>
    <w:rsid w:val="00E66A37"/>
    <w:rsid w:val="00E7099F"/>
    <w:rsid w:val="00E70A9B"/>
    <w:rsid w:val="00E71435"/>
    <w:rsid w:val="00E71B82"/>
    <w:rsid w:val="00E72384"/>
    <w:rsid w:val="00E73DDB"/>
    <w:rsid w:val="00E7480B"/>
    <w:rsid w:val="00E74820"/>
    <w:rsid w:val="00E75592"/>
    <w:rsid w:val="00E77438"/>
    <w:rsid w:val="00E806DB"/>
    <w:rsid w:val="00E806E5"/>
    <w:rsid w:val="00E82514"/>
    <w:rsid w:val="00E82981"/>
    <w:rsid w:val="00E82AAA"/>
    <w:rsid w:val="00E82CA8"/>
    <w:rsid w:val="00E83BD9"/>
    <w:rsid w:val="00E83F11"/>
    <w:rsid w:val="00E846BD"/>
    <w:rsid w:val="00E84BDF"/>
    <w:rsid w:val="00E84CA5"/>
    <w:rsid w:val="00E84F5E"/>
    <w:rsid w:val="00E85543"/>
    <w:rsid w:val="00E8570B"/>
    <w:rsid w:val="00E86E1A"/>
    <w:rsid w:val="00E87814"/>
    <w:rsid w:val="00E90594"/>
    <w:rsid w:val="00E917E9"/>
    <w:rsid w:val="00E91C25"/>
    <w:rsid w:val="00E92703"/>
    <w:rsid w:val="00E9389E"/>
    <w:rsid w:val="00E94027"/>
    <w:rsid w:val="00E9402E"/>
    <w:rsid w:val="00E95376"/>
    <w:rsid w:val="00E9590B"/>
    <w:rsid w:val="00E95B0C"/>
    <w:rsid w:val="00E95CF8"/>
    <w:rsid w:val="00E96355"/>
    <w:rsid w:val="00EA2A2F"/>
    <w:rsid w:val="00EA2BBD"/>
    <w:rsid w:val="00EA3894"/>
    <w:rsid w:val="00EA5977"/>
    <w:rsid w:val="00EB128A"/>
    <w:rsid w:val="00EB1640"/>
    <w:rsid w:val="00EB4456"/>
    <w:rsid w:val="00EB66A7"/>
    <w:rsid w:val="00EB6DAE"/>
    <w:rsid w:val="00EB7773"/>
    <w:rsid w:val="00EB777A"/>
    <w:rsid w:val="00EB78C5"/>
    <w:rsid w:val="00EC0767"/>
    <w:rsid w:val="00EC274D"/>
    <w:rsid w:val="00EC3700"/>
    <w:rsid w:val="00EC3A64"/>
    <w:rsid w:val="00EC41BA"/>
    <w:rsid w:val="00EC5B1A"/>
    <w:rsid w:val="00EC5F4D"/>
    <w:rsid w:val="00EC6E9F"/>
    <w:rsid w:val="00EC7A81"/>
    <w:rsid w:val="00ED1759"/>
    <w:rsid w:val="00ED4920"/>
    <w:rsid w:val="00ED69A8"/>
    <w:rsid w:val="00EE153D"/>
    <w:rsid w:val="00EE1751"/>
    <w:rsid w:val="00EE17F2"/>
    <w:rsid w:val="00EE2EB6"/>
    <w:rsid w:val="00EE3172"/>
    <w:rsid w:val="00EE6C02"/>
    <w:rsid w:val="00EF1488"/>
    <w:rsid w:val="00EF184F"/>
    <w:rsid w:val="00EF3576"/>
    <w:rsid w:val="00EF386B"/>
    <w:rsid w:val="00EF3A0F"/>
    <w:rsid w:val="00EF47EB"/>
    <w:rsid w:val="00EF4869"/>
    <w:rsid w:val="00EF4D04"/>
    <w:rsid w:val="00EF690A"/>
    <w:rsid w:val="00EF7616"/>
    <w:rsid w:val="00F022DE"/>
    <w:rsid w:val="00F05A89"/>
    <w:rsid w:val="00F05EB4"/>
    <w:rsid w:val="00F06568"/>
    <w:rsid w:val="00F06A21"/>
    <w:rsid w:val="00F0768F"/>
    <w:rsid w:val="00F07A18"/>
    <w:rsid w:val="00F07F97"/>
    <w:rsid w:val="00F10274"/>
    <w:rsid w:val="00F10310"/>
    <w:rsid w:val="00F1034A"/>
    <w:rsid w:val="00F103B8"/>
    <w:rsid w:val="00F10C64"/>
    <w:rsid w:val="00F11ED0"/>
    <w:rsid w:val="00F11F5B"/>
    <w:rsid w:val="00F13A0C"/>
    <w:rsid w:val="00F14948"/>
    <w:rsid w:val="00F15836"/>
    <w:rsid w:val="00F2031A"/>
    <w:rsid w:val="00F20857"/>
    <w:rsid w:val="00F20D6B"/>
    <w:rsid w:val="00F21D69"/>
    <w:rsid w:val="00F241E5"/>
    <w:rsid w:val="00F26769"/>
    <w:rsid w:val="00F308EE"/>
    <w:rsid w:val="00F319A1"/>
    <w:rsid w:val="00F32E20"/>
    <w:rsid w:val="00F3338C"/>
    <w:rsid w:val="00F33515"/>
    <w:rsid w:val="00F33A74"/>
    <w:rsid w:val="00F377D6"/>
    <w:rsid w:val="00F40273"/>
    <w:rsid w:val="00F428B3"/>
    <w:rsid w:val="00F43736"/>
    <w:rsid w:val="00F43A11"/>
    <w:rsid w:val="00F44E8B"/>
    <w:rsid w:val="00F45D53"/>
    <w:rsid w:val="00F45EA5"/>
    <w:rsid w:val="00F4635D"/>
    <w:rsid w:val="00F46F49"/>
    <w:rsid w:val="00F5027A"/>
    <w:rsid w:val="00F50298"/>
    <w:rsid w:val="00F5161C"/>
    <w:rsid w:val="00F51E81"/>
    <w:rsid w:val="00F52273"/>
    <w:rsid w:val="00F53D1C"/>
    <w:rsid w:val="00F53F85"/>
    <w:rsid w:val="00F5404B"/>
    <w:rsid w:val="00F55AED"/>
    <w:rsid w:val="00F56A45"/>
    <w:rsid w:val="00F64EC5"/>
    <w:rsid w:val="00F65889"/>
    <w:rsid w:val="00F663E4"/>
    <w:rsid w:val="00F70BDF"/>
    <w:rsid w:val="00F70E84"/>
    <w:rsid w:val="00F710A1"/>
    <w:rsid w:val="00F718C3"/>
    <w:rsid w:val="00F73B30"/>
    <w:rsid w:val="00F73DD1"/>
    <w:rsid w:val="00F76BE9"/>
    <w:rsid w:val="00F77167"/>
    <w:rsid w:val="00F7721F"/>
    <w:rsid w:val="00F77EA1"/>
    <w:rsid w:val="00F80F8A"/>
    <w:rsid w:val="00F83336"/>
    <w:rsid w:val="00F84049"/>
    <w:rsid w:val="00F843B7"/>
    <w:rsid w:val="00F84AAA"/>
    <w:rsid w:val="00F84D2F"/>
    <w:rsid w:val="00F84FF8"/>
    <w:rsid w:val="00F85AF2"/>
    <w:rsid w:val="00F8729F"/>
    <w:rsid w:val="00F872AB"/>
    <w:rsid w:val="00F909AC"/>
    <w:rsid w:val="00F94F30"/>
    <w:rsid w:val="00F95117"/>
    <w:rsid w:val="00F957AE"/>
    <w:rsid w:val="00F9590F"/>
    <w:rsid w:val="00F96742"/>
    <w:rsid w:val="00F96949"/>
    <w:rsid w:val="00F97157"/>
    <w:rsid w:val="00F97C84"/>
    <w:rsid w:val="00F97CFD"/>
    <w:rsid w:val="00FA10B3"/>
    <w:rsid w:val="00FA15AD"/>
    <w:rsid w:val="00FA1F0B"/>
    <w:rsid w:val="00FA3FE3"/>
    <w:rsid w:val="00FB0B7B"/>
    <w:rsid w:val="00FB1E9E"/>
    <w:rsid w:val="00FB34BE"/>
    <w:rsid w:val="00FB37CD"/>
    <w:rsid w:val="00FB5889"/>
    <w:rsid w:val="00FB61D9"/>
    <w:rsid w:val="00FB6E78"/>
    <w:rsid w:val="00FB7766"/>
    <w:rsid w:val="00FB7D1F"/>
    <w:rsid w:val="00FB7F72"/>
    <w:rsid w:val="00FC1419"/>
    <w:rsid w:val="00FC168B"/>
    <w:rsid w:val="00FC21D3"/>
    <w:rsid w:val="00FC2A89"/>
    <w:rsid w:val="00FC43C4"/>
    <w:rsid w:val="00FC4981"/>
    <w:rsid w:val="00FC5C8D"/>
    <w:rsid w:val="00FC6079"/>
    <w:rsid w:val="00FC70E9"/>
    <w:rsid w:val="00FC729B"/>
    <w:rsid w:val="00FD0F71"/>
    <w:rsid w:val="00FD1084"/>
    <w:rsid w:val="00FD1D9B"/>
    <w:rsid w:val="00FD2656"/>
    <w:rsid w:val="00FD2B12"/>
    <w:rsid w:val="00FD4090"/>
    <w:rsid w:val="00FD45BC"/>
    <w:rsid w:val="00FD4A1B"/>
    <w:rsid w:val="00FD4C1D"/>
    <w:rsid w:val="00FD5EB6"/>
    <w:rsid w:val="00FD5F20"/>
    <w:rsid w:val="00FD698E"/>
    <w:rsid w:val="00FD6AC6"/>
    <w:rsid w:val="00FD7D70"/>
    <w:rsid w:val="00FE03E4"/>
    <w:rsid w:val="00FE045E"/>
    <w:rsid w:val="00FE0A44"/>
    <w:rsid w:val="00FE21D6"/>
    <w:rsid w:val="00FE27B7"/>
    <w:rsid w:val="00FE2848"/>
    <w:rsid w:val="00FE4709"/>
    <w:rsid w:val="00FE642B"/>
    <w:rsid w:val="00FF126E"/>
    <w:rsid w:val="00FF222A"/>
    <w:rsid w:val="00FF2E0E"/>
    <w:rsid w:val="00FF40AE"/>
    <w:rsid w:val="00FF7078"/>
    <w:rsid w:val="00FF7539"/>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1E"/>
    <w:pPr>
      <w:spacing w:line="360" w:lineRule="auto"/>
      <w:ind w:firstLine="1440"/>
    </w:pPr>
    <w:rPr>
      <w:sz w:val="26"/>
      <w:szCs w:val="24"/>
    </w:rPr>
  </w:style>
  <w:style w:type="paragraph" w:styleId="Heading1">
    <w:name w:val="heading 1"/>
    <w:basedOn w:val="Normal"/>
    <w:next w:val="Normal"/>
    <w:link w:val="Heading1Char"/>
    <w:qFormat/>
    <w:rsid w:val="006C3EB4"/>
    <w:pPr>
      <w:keepNext/>
      <w:keepLines/>
      <w:spacing w:before="480" w:line="240" w:lineRule="auto"/>
      <w:ind w:firstLine="0"/>
      <w:outlineLvl w:val="0"/>
    </w:pPr>
    <w:rPr>
      <w:rFonts w:eastAsiaTheme="majorEastAsia" w:cstheme="majorBidi"/>
      <w:b/>
      <w:bCs/>
      <w:szCs w:val="28"/>
    </w:rPr>
  </w:style>
  <w:style w:type="paragraph" w:styleId="Heading2">
    <w:name w:val="heading 2"/>
    <w:basedOn w:val="Normal"/>
    <w:next w:val="Normal"/>
    <w:link w:val="Heading2Char"/>
    <w:qFormat/>
    <w:rsid w:val="00293FDA"/>
    <w:pPr>
      <w:keepNext/>
      <w:spacing w:line="240" w:lineRule="auto"/>
      <w:ind w:firstLine="360"/>
      <w:outlineLvl w:val="1"/>
    </w:pPr>
    <w:rPr>
      <w:rFonts w:eastAsiaTheme="majorEastAsia" w:cstheme="majorBidi"/>
      <w:b/>
      <w:szCs w:val="20"/>
    </w:rPr>
  </w:style>
  <w:style w:type="paragraph" w:styleId="Heading3">
    <w:name w:val="heading 3"/>
    <w:basedOn w:val="Normal"/>
    <w:next w:val="Normal"/>
    <w:link w:val="Heading3Char"/>
    <w:qFormat/>
    <w:rsid w:val="00293FDA"/>
    <w:pPr>
      <w:keepNext/>
      <w:spacing w:line="240" w:lineRule="auto"/>
      <w:ind w:firstLine="720"/>
      <w:outlineLvl w:val="2"/>
    </w:pPr>
    <w:rPr>
      <w:rFonts w:eastAsiaTheme="majorEastAsia" w:cstheme="majorBidi"/>
      <w:b/>
      <w:szCs w:val="20"/>
    </w:rPr>
  </w:style>
  <w:style w:type="paragraph" w:styleId="Heading4">
    <w:name w:val="heading 4"/>
    <w:basedOn w:val="Normal"/>
    <w:next w:val="Normal"/>
    <w:link w:val="Heading4Char"/>
    <w:unhideWhenUsed/>
    <w:qFormat/>
    <w:rsid w:val="00A34A2D"/>
    <w:pPr>
      <w:keepNext/>
      <w:spacing w:line="240" w:lineRule="auto"/>
      <w:outlineLvl w:val="3"/>
    </w:pPr>
    <w:rPr>
      <w:rFonts w:eastAsiaTheme="minorEastAsia" w:cstheme="minorBidi"/>
      <w:b/>
      <w:bCs/>
      <w:szCs w:val="28"/>
    </w:rPr>
  </w:style>
  <w:style w:type="paragraph" w:styleId="Heading5">
    <w:name w:val="heading 5"/>
    <w:basedOn w:val="Normal"/>
    <w:next w:val="Normal"/>
    <w:link w:val="Heading5Char"/>
    <w:unhideWhenUsed/>
    <w:qFormat/>
    <w:rsid w:val="00E55448"/>
    <w:pPr>
      <w:spacing w:line="240" w:lineRule="auto"/>
      <w:ind w:firstLine="1800"/>
      <w:outlineLvl w:val="4"/>
    </w:pPr>
    <w:rPr>
      <w:rFonts w:eastAsiaTheme="minorEastAsia" w:cstheme="minorBidi"/>
      <w:b/>
      <w:bCs/>
      <w:iCs/>
      <w:szCs w:val="26"/>
    </w:rPr>
  </w:style>
  <w:style w:type="paragraph" w:styleId="Heading6">
    <w:name w:val="heading 6"/>
    <w:basedOn w:val="Normal"/>
    <w:next w:val="Normal"/>
    <w:link w:val="Heading6Char"/>
    <w:semiHidden/>
    <w:unhideWhenUsed/>
    <w:qFormat/>
    <w:rsid w:val="006C24AA"/>
    <w:pPr>
      <w:spacing w:before="240" w:after="60" w:line="240" w:lineRule="auto"/>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C1A8F"/>
    <w:pPr>
      <w:spacing w:line="240" w:lineRule="auto"/>
    </w:pPr>
    <w:rPr>
      <w:rFonts w:asciiTheme="majorHAnsi" w:eastAsiaTheme="majorEastAsia" w:hAnsiTheme="majorHAnsi" w:cs="Mangal"/>
      <w:szCs w:val="18"/>
    </w:rPr>
  </w:style>
  <w:style w:type="paragraph" w:styleId="EnvelopeAddress">
    <w:name w:val="envelope address"/>
    <w:basedOn w:val="Normal"/>
    <w:uiPriority w:val="99"/>
    <w:semiHidden/>
    <w:unhideWhenUsed/>
    <w:rsid w:val="002C1A8F"/>
    <w:pPr>
      <w:framePr w:w="7920" w:h="1980" w:hRule="exact" w:hSpace="180" w:wrap="auto" w:hAnchor="page" w:xAlign="center" w:yAlign="bottom"/>
      <w:spacing w:line="240" w:lineRule="auto"/>
      <w:ind w:left="2880"/>
    </w:pPr>
    <w:rPr>
      <w:rFonts w:ascii="Arial" w:eastAsiaTheme="majorEastAsia" w:hAnsi="Arial" w:cs="Mangal"/>
      <w:sz w:val="28"/>
      <w:szCs w:val="21"/>
    </w:rPr>
  </w:style>
  <w:style w:type="character" w:customStyle="1" w:styleId="Heading1Char">
    <w:name w:val="Heading 1 Char"/>
    <w:basedOn w:val="DefaultParagraphFont"/>
    <w:link w:val="Heading1"/>
    <w:rsid w:val="006C3EB4"/>
    <w:rPr>
      <w:rFonts w:eastAsiaTheme="majorEastAsia" w:cstheme="majorBidi"/>
      <w:b/>
      <w:bCs/>
      <w:sz w:val="26"/>
      <w:szCs w:val="28"/>
    </w:rPr>
  </w:style>
  <w:style w:type="character" w:customStyle="1" w:styleId="Heading2Char">
    <w:name w:val="Heading 2 Char"/>
    <w:basedOn w:val="DefaultParagraphFont"/>
    <w:link w:val="Heading2"/>
    <w:rsid w:val="00293FDA"/>
    <w:rPr>
      <w:rFonts w:eastAsiaTheme="majorEastAsia" w:cstheme="majorBidi"/>
      <w:b/>
      <w:sz w:val="26"/>
    </w:rPr>
  </w:style>
  <w:style w:type="character" w:customStyle="1" w:styleId="Heading3Char">
    <w:name w:val="Heading 3 Char"/>
    <w:basedOn w:val="DefaultParagraphFont"/>
    <w:link w:val="Heading3"/>
    <w:rsid w:val="00293FDA"/>
    <w:rPr>
      <w:rFonts w:eastAsiaTheme="majorEastAsia" w:cstheme="majorBidi"/>
      <w:b/>
      <w:sz w:val="26"/>
    </w:rPr>
  </w:style>
  <w:style w:type="character" w:customStyle="1" w:styleId="Heading4Char">
    <w:name w:val="Heading 4 Char"/>
    <w:basedOn w:val="DefaultParagraphFont"/>
    <w:link w:val="Heading4"/>
    <w:rsid w:val="00A34A2D"/>
    <w:rPr>
      <w:rFonts w:eastAsiaTheme="minorEastAsia" w:cstheme="minorBidi"/>
      <w:b/>
      <w:bCs/>
      <w:sz w:val="26"/>
      <w:szCs w:val="28"/>
    </w:rPr>
  </w:style>
  <w:style w:type="character" w:customStyle="1" w:styleId="Heading5Char">
    <w:name w:val="Heading 5 Char"/>
    <w:basedOn w:val="DefaultParagraphFont"/>
    <w:link w:val="Heading5"/>
    <w:rsid w:val="00E55448"/>
    <w:rPr>
      <w:rFonts w:eastAsiaTheme="minorEastAsia" w:cstheme="minorBidi"/>
      <w:b/>
      <w:bCs/>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qFormat/>
    <w:rsid w:val="0077503C"/>
    <w:pPr>
      <w:tabs>
        <w:tab w:val="right" w:leader="dot" w:pos="9350"/>
      </w:tabs>
      <w:spacing w:after="100" w:line="240" w:lineRule="auto"/>
      <w:ind w:firstLine="0"/>
    </w:pPr>
    <w:rPr>
      <w:szCs w:val="26"/>
    </w:rPr>
  </w:style>
  <w:style w:type="paragraph" w:styleId="TOC2">
    <w:name w:val="toc 2"/>
    <w:basedOn w:val="Normal"/>
    <w:next w:val="Normal"/>
    <w:autoRedefine/>
    <w:uiPriority w:val="39"/>
    <w:unhideWhenUsed/>
    <w:qFormat/>
    <w:rsid w:val="000818D4"/>
    <w:pPr>
      <w:tabs>
        <w:tab w:val="left" w:pos="1080"/>
        <w:tab w:val="right" w:leader="dot" w:pos="9350"/>
      </w:tabs>
      <w:spacing w:after="100" w:line="240" w:lineRule="auto"/>
      <w:ind w:left="245" w:firstLine="720"/>
    </w:pPr>
    <w:rPr>
      <w:szCs w:val="26"/>
    </w:rPr>
  </w:style>
  <w:style w:type="paragraph" w:styleId="TOC3">
    <w:name w:val="toc 3"/>
    <w:basedOn w:val="Normal"/>
    <w:next w:val="Normal"/>
    <w:autoRedefine/>
    <w:uiPriority w:val="39"/>
    <w:unhideWhenUsed/>
    <w:qFormat/>
    <w:rsid w:val="006C24AA"/>
    <w:pPr>
      <w:tabs>
        <w:tab w:val="left" w:pos="1440"/>
        <w:tab w:val="right" w:leader="dot" w:pos="9350"/>
      </w:tabs>
      <w:spacing w:after="100" w:line="240" w:lineRule="auto"/>
      <w:ind w:left="480"/>
    </w:pPr>
    <w:rPr>
      <w:szCs w:val="26"/>
    </w:rPr>
  </w:style>
  <w:style w:type="character" w:styleId="Emphasis">
    <w:name w:val="Emphasis"/>
    <w:basedOn w:val="DefaultParagraphFont"/>
    <w:qFormat/>
    <w:rsid w:val="006C24AA"/>
    <w:rPr>
      <w:i/>
      <w:iCs/>
    </w:rPr>
  </w:style>
  <w:style w:type="paragraph" w:styleId="NoSpacing">
    <w:name w:val="No Spacing"/>
    <w:uiPriority w:val="1"/>
    <w:qFormat/>
    <w:rsid w:val="006C24AA"/>
    <w:pPr>
      <w:ind w:firstLine="1440"/>
    </w:pPr>
    <w:rPr>
      <w:sz w:val="26"/>
      <w:szCs w:val="26"/>
    </w:rPr>
  </w:style>
  <w:style w:type="paragraph" w:styleId="ListParagraph">
    <w:name w:val="List Paragraph"/>
    <w:basedOn w:val="Normal"/>
    <w:uiPriority w:val="34"/>
    <w:qFormat/>
    <w:rsid w:val="006C24AA"/>
    <w:pPr>
      <w:spacing w:line="240" w:lineRule="auto"/>
      <w:ind w:left="720"/>
    </w:pPr>
    <w:rPr>
      <w:szCs w:val="26"/>
    </w:rPr>
  </w:style>
  <w:style w:type="paragraph" w:styleId="TOCHeading">
    <w:name w:val="TOC Heading"/>
    <w:basedOn w:val="Heading1"/>
    <w:next w:val="Normal"/>
    <w:uiPriority w:val="39"/>
    <w:unhideWhenUsed/>
    <w:qFormat/>
    <w:rsid w:val="008E1A40"/>
    <w:pPr>
      <w:outlineLvl w:val="9"/>
    </w:pPr>
  </w:style>
  <w:style w:type="paragraph" w:styleId="FootnoteText">
    <w:name w:val="footnote text"/>
    <w:basedOn w:val="Normal"/>
    <w:link w:val="FootnoteTextChar"/>
    <w:semiHidden/>
    <w:rsid w:val="008D1917"/>
    <w:rPr>
      <w:sz w:val="20"/>
      <w:szCs w:val="20"/>
    </w:rPr>
  </w:style>
  <w:style w:type="character" w:customStyle="1" w:styleId="FootnoteTextChar">
    <w:name w:val="Footnote Text Char"/>
    <w:basedOn w:val="DefaultParagraphFont"/>
    <w:link w:val="FootnoteText"/>
    <w:semiHidden/>
    <w:rsid w:val="008D1917"/>
  </w:style>
  <w:style w:type="character" w:styleId="FootnoteReference">
    <w:name w:val="footnote reference"/>
    <w:basedOn w:val="DefaultParagraphFont"/>
    <w:semiHidden/>
    <w:rsid w:val="008D1917"/>
    <w:rPr>
      <w:vertAlign w:val="superscript"/>
    </w:rPr>
  </w:style>
  <w:style w:type="paragraph" w:styleId="Header">
    <w:name w:val="header"/>
    <w:basedOn w:val="Normal"/>
    <w:link w:val="HeaderChar"/>
    <w:uiPriority w:val="99"/>
    <w:semiHidden/>
    <w:unhideWhenUsed/>
    <w:rsid w:val="003D439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439B"/>
    <w:rPr>
      <w:sz w:val="26"/>
      <w:szCs w:val="24"/>
    </w:rPr>
  </w:style>
  <w:style w:type="paragraph" w:styleId="Footer">
    <w:name w:val="footer"/>
    <w:basedOn w:val="Normal"/>
    <w:link w:val="FooterChar"/>
    <w:uiPriority w:val="99"/>
    <w:unhideWhenUsed/>
    <w:rsid w:val="003D439B"/>
    <w:pPr>
      <w:tabs>
        <w:tab w:val="center" w:pos="4680"/>
        <w:tab w:val="right" w:pos="9360"/>
      </w:tabs>
      <w:spacing w:line="240" w:lineRule="auto"/>
    </w:pPr>
  </w:style>
  <w:style w:type="character" w:customStyle="1" w:styleId="FooterChar">
    <w:name w:val="Footer Char"/>
    <w:basedOn w:val="DefaultParagraphFont"/>
    <w:link w:val="Footer"/>
    <w:uiPriority w:val="99"/>
    <w:rsid w:val="003D439B"/>
    <w:rPr>
      <w:sz w:val="26"/>
      <w:szCs w:val="24"/>
    </w:rPr>
  </w:style>
  <w:style w:type="paragraph" w:styleId="BodyTextIndent">
    <w:name w:val="Body Text Indent"/>
    <w:basedOn w:val="Normal"/>
    <w:link w:val="BodyTextIndentChar"/>
    <w:rsid w:val="00153468"/>
    <w:pPr>
      <w:widowControl w:val="0"/>
      <w:autoSpaceDE w:val="0"/>
      <w:autoSpaceDN w:val="0"/>
    </w:pPr>
    <w:rPr>
      <w:rFonts w:ascii="CG Times" w:hAnsi="CG Times" w:cs="CG Times"/>
      <w:szCs w:val="26"/>
    </w:rPr>
  </w:style>
  <w:style w:type="character" w:customStyle="1" w:styleId="BodyTextIndentChar">
    <w:name w:val="Body Text Indent Char"/>
    <w:basedOn w:val="DefaultParagraphFont"/>
    <w:link w:val="BodyTextIndent"/>
    <w:rsid w:val="00153468"/>
    <w:rPr>
      <w:rFonts w:ascii="CG Times" w:hAnsi="CG Times" w:cs="CG Times"/>
      <w:sz w:val="26"/>
      <w:szCs w:val="26"/>
    </w:rPr>
  </w:style>
  <w:style w:type="paragraph" w:styleId="BodyTextIndent2">
    <w:name w:val="Body Text Indent 2"/>
    <w:basedOn w:val="Normal"/>
    <w:link w:val="BodyTextIndent2Char"/>
    <w:uiPriority w:val="99"/>
    <w:semiHidden/>
    <w:unhideWhenUsed/>
    <w:rsid w:val="00345D00"/>
    <w:pPr>
      <w:spacing w:after="120" w:line="480" w:lineRule="auto"/>
      <w:ind w:left="360"/>
    </w:pPr>
  </w:style>
  <w:style w:type="character" w:customStyle="1" w:styleId="BodyTextIndent2Char">
    <w:name w:val="Body Text Indent 2 Char"/>
    <w:basedOn w:val="DefaultParagraphFont"/>
    <w:link w:val="BodyTextIndent2"/>
    <w:uiPriority w:val="99"/>
    <w:semiHidden/>
    <w:rsid w:val="00345D00"/>
    <w:rPr>
      <w:sz w:val="26"/>
      <w:szCs w:val="24"/>
    </w:rPr>
  </w:style>
  <w:style w:type="paragraph" w:customStyle="1" w:styleId="TxBrp3">
    <w:name w:val="TxBr_p3"/>
    <w:basedOn w:val="Normal"/>
    <w:rsid w:val="00866A5B"/>
    <w:pPr>
      <w:widowControl w:val="0"/>
      <w:tabs>
        <w:tab w:val="left" w:pos="1474"/>
      </w:tabs>
      <w:autoSpaceDE w:val="0"/>
      <w:autoSpaceDN w:val="0"/>
      <w:adjustRightInd w:val="0"/>
      <w:spacing w:line="425" w:lineRule="atLeast"/>
      <w:ind w:firstLine="1474"/>
    </w:pPr>
    <w:rPr>
      <w:sz w:val="24"/>
    </w:rPr>
  </w:style>
  <w:style w:type="paragraph" w:styleId="BodyText2">
    <w:name w:val="Body Text 2"/>
    <w:basedOn w:val="Normal"/>
    <w:link w:val="BodyText2Char"/>
    <w:uiPriority w:val="99"/>
    <w:semiHidden/>
    <w:unhideWhenUsed/>
    <w:rsid w:val="00BB1107"/>
    <w:pPr>
      <w:spacing w:after="120" w:line="480" w:lineRule="auto"/>
    </w:pPr>
  </w:style>
  <w:style w:type="character" w:customStyle="1" w:styleId="BodyText2Char">
    <w:name w:val="Body Text 2 Char"/>
    <w:basedOn w:val="DefaultParagraphFont"/>
    <w:link w:val="BodyText2"/>
    <w:uiPriority w:val="99"/>
    <w:semiHidden/>
    <w:rsid w:val="00BB1107"/>
    <w:rPr>
      <w:sz w:val="26"/>
      <w:szCs w:val="24"/>
    </w:rPr>
  </w:style>
  <w:style w:type="paragraph" w:customStyle="1" w:styleId="DirectNext">
    <w:name w:val="Direct Next"/>
    <w:basedOn w:val="Normal"/>
    <w:rsid w:val="00A4787D"/>
    <w:pPr>
      <w:spacing w:line="504" w:lineRule="exact"/>
      <w:ind w:left="720" w:firstLine="720"/>
    </w:pPr>
    <w:rPr>
      <w:rFonts w:ascii="Arial" w:hAnsi="Arial"/>
      <w:sz w:val="24"/>
    </w:rPr>
  </w:style>
  <w:style w:type="paragraph" w:customStyle="1" w:styleId="Pleading1L1">
    <w:name w:val="Pleading1_L1"/>
    <w:basedOn w:val="Normal"/>
    <w:rsid w:val="00477FFC"/>
    <w:pPr>
      <w:numPr>
        <w:numId w:val="2"/>
      </w:numPr>
      <w:spacing w:line="480" w:lineRule="auto"/>
      <w:outlineLvl w:val="0"/>
    </w:pPr>
    <w:rPr>
      <w:b/>
      <w:caps/>
      <w:sz w:val="24"/>
      <w:szCs w:val="20"/>
      <w:u w:val="single"/>
    </w:rPr>
  </w:style>
  <w:style w:type="paragraph" w:customStyle="1" w:styleId="Pleading1L2">
    <w:name w:val="Pleading1_L2"/>
    <w:basedOn w:val="Pleading1L1"/>
    <w:rsid w:val="00477FFC"/>
    <w:pPr>
      <w:numPr>
        <w:ilvl w:val="1"/>
      </w:numPr>
      <w:outlineLvl w:val="1"/>
    </w:pPr>
    <w:rPr>
      <w:b w:val="0"/>
      <w:caps w:val="0"/>
    </w:rPr>
  </w:style>
  <w:style w:type="paragraph" w:customStyle="1" w:styleId="Pleading1L3">
    <w:name w:val="Pleading1_L3"/>
    <w:basedOn w:val="Pleading1L2"/>
    <w:rsid w:val="00477FFC"/>
    <w:pPr>
      <w:numPr>
        <w:ilvl w:val="2"/>
      </w:numPr>
      <w:outlineLvl w:val="2"/>
    </w:pPr>
    <w:rPr>
      <w:szCs w:val="24"/>
      <w:u w:val="none"/>
    </w:rPr>
  </w:style>
  <w:style w:type="paragraph" w:customStyle="1" w:styleId="Pleading1L4">
    <w:name w:val="Pleading1_L4"/>
    <w:basedOn w:val="Pleading1L3"/>
    <w:rsid w:val="00477FFC"/>
    <w:pPr>
      <w:numPr>
        <w:ilvl w:val="3"/>
      </w:numPr>
      <w:outlineLvl w:val="3"/>
    </w:pPr>
  </w:style>
  <w:style w:type="paragraph" w:customStyle="1" w:styleId="Pleading1L5">
    <w:name w:val="Pleading1_L5"/>
    <w:basedOn w:val="Pleading1L4"/>
    <w:rsid w:val="00477FFC"/>
    <w:pPr>
      <w:numPr>
        <w:ilvl w:val="4"/>
      </w:numPr>
      <w:outlineLvl w:val="4"/>
    </w:pPr>
  </w:style>
  <w:style w:type="paragraph" w:customStyle="1" w:styleId="Pleading1L6">
    <w:name w:val="Pleading1_L6"/>
    <w:basedOn w:val="Pleading1L5"/>
    <w:rsid w:val="00477FFC"/>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477FFC"/>
    <w:pPr>
      <w:numPr>
        <w:ilvl w:val="6"/>
      </w:numPr>
      <w:outlineLvl w:val="6"/>
    </w:pPr>
  </w:style>
  <w:style w:type="paragraph" w:customStyle="1" w:styleId="Pleading1L8">
    <w:name w:val="Pleading1_L8"/>
    <w:basedOn w:val="Pleading1L7"/>
    <w:rsid w:val="00477FFC"/>
    <w:pPr>
      <w:numPr>
        <w:ilvl w:val="7"/>
      </w:numPr>
      <w:outlineLvl w:val="7"/>
    </w:pPr>
  </w:style>
  <w:style w:type="paragraph" w:customStyle="1" w:styleId="Pleading1L9">
    <w:name w:val="Pleading1_L9"/>
    <w:basedOn w:val="Pleading1L8"/>
    <w:rsid w:val="00477FFC"/>
    <w:pPr>
      <w:numPr>
        <w:ilvl w:val="8"/>
      </w:numPr>
      <w:outlineLvl w:val="8"/>
    </w:pPr>
  </w:style>
  <w:style w:type="character" w:styleId="Hyperlink">
    <w:name w:val="Hyperlink"/>
    <w:basedOn w:val="DefaultParagraphFont"/>
    <w:uiPriority w:val="99"/>
    <w:unhideWhenUsed/>
    <w:rsid w:val="005F0142"/>
    <w:rPr>
      <w:color w:val="0000FF" w:themeColor="hyperlink"/>
      <w:u w:val="single"/>
    </w:rPr>
  </w:style>
  <w:style w:type="paragraph" w:styleId="TOC4">
    <w:name w:val="toc 4"/>
    <w:basedOn w:val="Normal"/>
    <w:next w:val="Normal"/>
    <w:autoRedefine/>
    <w:uiPriority w:val="39"/>
    <w:unhideWhenUsed/>
    <w:rsid w:val="005F0142"/>
    <w:pPr>
      <w:spacing w:after="100"/>
      <w:ind w:left="780"/>
    </w:pPr>
  </w:style>
  <w:style w:type="paragraph" w:styleId="TOC5">
    <w:name w:val="toc 5"/>
    <w:basedOn w:val="Normal"/>
    <w:next w:val="Normal"/>
    <w:autoRedefine/>
    <w:uiPriority w:val="39"/>
    <w:unhideWhenUsed/>
    <w:rsid w:val="005F0142"/>
    <w:pPr>
      <w:spacing w:after="100"/>
      <w:ind w:left="1040"/>
    </w:pPr>
  </w:style>
  <w:style w:type="paragraph" w:styleId="BalloonText">
    <w:name w:val="Balloon Text"/>
    <w:basedOn w:val="Normal"/>
    <w:link w:val="BalloonTextChar"/>
    <w:uiPriority w:val="99"/>
    <w:semiHidden/>
    <w:unhideWhenUsed/>
    <w:rsid w:val="008A20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0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36D2EA6-E6CE-47F8-8816-386E407C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39</Pages>
  <Words>10038</Words>
  <Characters>57217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Administrator</cp:lastModifiedBy>
  <cp:revision>9</cp:revision>
  <cp:lastPrinted>2010-09-16T14:47:00Z</cp:lastPrinted>
  <dcterms:created xsi:type="dcterms:W3CDTF">2010-09-07T13:28:00Z</dcterms:created>
  <dcterms:modified xsi:type="dcterms:W3CDTF">2010-09-16T14:47:00Z</dcterms:modified>
</cp:coreProperties>
</file>