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FA" w:rsidRPr="00D532FA" w:rsidRDefault="00D532FA" w:rsidP="00D532FA">
      <w:pPr>
        <w:spacing w:after="0"/>
        <w:jc w:val="center"/>
        <w:rPr>
          <w:rFonts w:ascii="Century Schoolbook" w:hAnsi="Century Schoolbook"/>
          <w:b/>
        </w:rPr>
      </w:pPr>
      <w:r w:rsidRPr="00D532FA">
        <w:rPr>
          <w:rFonts w:ascii="Century Schoolbook" w:hAnsi="Century Schoolbook"/>
          <w:b/>
        </w:rPr>
        <w:t>PENNSYLVANIA PUBLIC UTILITY COMMISSION</w:t>
      </w:r>
    </w:p>
    <w:p w:rsidR="00D532FA" w:rsidRPr="00D532FA" w:rsidRDefault="00D532FA" w:rsidP="00D532FA">
      <w:pPr>
        <w:spacing w:after="0"/>
        <w:jc w:val="center"/>
        <w:rPr>
          <w:rFonts w:ascii="Century Schoolbook" w:hAnsi="Century Schoolbook"/>
          <w:b/>
        </w:rPr>
      </w:pPr>
      <w:r w:rsidRPr="00D532FA">
        <w:rPr>
          <w:rFonts w:ascii="Century Schoolbook" w:hAnsi="Century Schoolbook"/>
          <w:b/>
        </w:rPr>
        <w:t>Harrisburg, Pa. 17105-3265</w:t>
      </w:r>
    </w:p>
    <w:p w:rsidR="00D532FA" w:rsidRPr="00D532FA" w:rsidRDefault="00D532FA" w:rsidP="00D532FA">
      <w:pPr>
        <w:spacing w:after="0"/>
        <w:jc w:val="center"/>
        <w:rPr>
          <w:rFonts w:ascii="Century Schoolbook" w:hAnsi="Century Schoolbook"/>
          <w:b/>
        </w:rPr>
      </w:pPr>
    </w:p>
    <w:p w:rsidR="00D532FA" w:rsidRPr="00D532FA" w:rsidRDefault="00D532FA" w:rsidP="00D532FA">
      <w:pPr>
        <w:spacing w:after="0"/>
        <w:jc w:val="center"/>
        <w:rPr>
          <w:rFonts w:ascii="Century Schoolbook" w:hAnsi="Century Schoolboo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532FA" w:rsidRPr="00D532FA" w:rsidTr="000A11A4">
        <w:tc>
          <w:tcPr>
            <w:tcW w:w="4788" w:type="dxa"/>
          </w:tcPr>
          <w:p w:rsidR="00D532FA" w:rsidRDefault="00D532FA" w:rsidP="00D532FA">
            <w:pPr>
              <w:spacing w:after="0"/>
              <w:rPr>
                <w:rFonts w:ascii="Century Schoolbook" w:hAnsi="Century Schoolbook"/>
                <w:b/>
              </w:rPr>
            </w:pPr>
            <w:r>
              <w:rPr>
                <w:rFonts w:ascii="Century Schoolbook" w:hAnsi="Century Schoolbook"/>
                <w:b/>
              </w:rPr>
              <w:t>Charisse M. Bennett</w:t>
            </w:r>
          </w:p>
          <w:p w:rsidR="00D532FA" w:rsidRDefault="00D532FA" w:rsidP="00D532FA">
            <w:pPr>
              <w:spacing w:after="0"/>
              <w:rPr>
                <w:rFonts w:ascii="Century Schoolbook" w:hAnsi="Century Schoolbook"/>
                <w:b/>
              </w:rPr>
            </w:pPr>
            <w:r>
              <w:rPr>
                <w:rFonts w:ascii="Century Schoolbook" w:hAnsi="Century Schoolbook"/>
                <w:b/>
              </w:rPr>
              <w:tab/>
              <w:t>v.</w:t>
            </w:r>
          </w:p>
          <w:p w:rsidR="00D532FA" w:rsidRPr="00D532FA" w:rsidRDefault="00D532FA" w:rsidP="00D532FA">
            <w:pPr>
              <w:spacing w:after="0"/>
              <w:rPr>
                <w:rFonts w:ascii="Century Schoolbook" w:hAnsi="Century Schoolbook"/>
                <w:b/>
              </w:rPr>
            </w:pPr>
            <w:r>
              <w:rPr>
                <w:rFonts w:ascii="Century Schoolbook" w:hAnsi="Century Schoolbook"/>
                <w:b/>
              </w:rPr>
              <w:t>The Peoples Natural Gas Co.</w:t>
            </w:r>
          </w:p>
        </w:tc>
        <w:tc>
          <w:tcPr>
            <w:tcW w:w="4788" w:type="dxa"/>
          </w:tcPr>
          <w:p w:rsidR="00D532FA" w:rsidRPr="00D532FA" w:rsidRDefault="00D532FA" w:rsidP="00D532FA">
            <w:pPr>
              <w:spacing w:after="0"/>
              <w:rPr>
                <w:rFonts w:ascii="Century Schoolbook" w:hAnsi="Century Schoolbook"/>
                <w:b/>
              </w:rPr>
            </w:pPr>
            <w:r w:rsidRPr="00D532FA">
              <w:rPr>
                <w:rFonts w:ascii="Century Schoolbook" w:hAnsi="Century Schoolbook"/>
                <w:b/>
              </w:rPr>
              <w:t xml:space="preserve">Public Meeting of </w:t>
            </w:r>
            <w:r>
              <w:rPr>
                <w:rFonts w:ascii="Century Schoolbook" w:hAnsi="Century Schoolbook"/>
                <w:b/>
              </w:rPr>
              <w:t>September 23, 2010</w:t>
            </w:r>
          </w:p>
          <w:p w:rsidR="00D532FA" w:rsidRPr="00D532FA" w:rsidRDefault="00D532FA" w:rsidP="00D532FA">
            <w:pPr>
              <w:spacing w:after="0"/>
              <w:rPr>
                <w:rFonts w:ascii="Century Schoolbook" w:hAnsi="Century Schoolbook"/>
                <w:b/>
              </w:rPr>
            </w:pPr>
            <w:r>
              <w:rPr>
                <w:rFonts w:ascii="Century Schoolbook" w:hAnsi="Century Schoolbook"/>
                <w:b/>
              </w:rPr>
              <w:t>2122979-ALJ</w:t>
            </w:r>
          </w:p>
          <w:p w:rsidR="00D532FA" w:rsidRPr="00D532FA" w:rsidRDefault="00D532FA" w:rsidP="00D532FA">
            <w:pPr>
              <w:spacing w:after="0"/>
              <w:rPr>
                <w:rFonts w:ascii="Century Schoolbook" w:hAnsi="Century Schoolbook"/>
                <w:b/>
              </w:rPr>
            </w:pPr>
            <w:r w:rsidRPr="00D532FA">
              <w:rPr>
                <w:rFonts w:ascii="Century Schoolbook" w:hAnsi="Century Schoolbook"/>
                <w:b/>
              </w:rPr>
              <w:t xml:space="preserve">Docket No:  </w:t>
            </w:r>
            <w:r>
              <w:rPr>
                <w:rFonts w:ascii="Century Schoolbook" w:hAnsi="Century Schoolbook"/>
                <w:b/>
              </w:rPr>
              <w:t>C-2009-2122979</w:t>
            </w:r>
          </w:p>
        </w:tc>
      </w:tr>
    </w:tbl>
    <w:p w:rsidR="00606FFF" w:rsidRPr="00D532FA" w:rsidRDefault="00606FFF" w:rsidP="00D532FA">
      <w:pPr>
        <w:spacing w:after="0"/>
        <w:rPr>
          <w:rFonts w:ascii="Century Schoolbook" w:hAnsi="Century Schoolbook"/>
        </w:rPr>
      </w:pPr>
    </w:p>
    <w:p w:rsidR="00606FFF" w:rsidRDefault="00606FFF" w:rsidP="00D532FA">
      <w:pPr>
        <w:spacing w:after="0"/>
        <w:rPr>
          <w:rFonts w:ascii="Century Schoolbook" w:hAnsi="Century Schoolbook"/>
        </w:rPr>
      </w:pPr>
    </w:p>
    <w:p w:rsidR="00292509" w:rsidRPr="00292509" w:rsidRDefault="00292509" w:rsidP="00292509">
      <w:pPr>
        <w:spacing w:after="0"/>
        <w:jc w:val="center"/>
        <w:rPr>
          <w:rFonts w:ascii="Century Schoolbook" w:hAnsi="Century Schoolbook"/>
          <w:b/>
          <w:u w:val="single"/>
        </w:rPr>
      </w:pPr>
      <w:r w:rsidRPr="00292509">
        <w:rPr>
          <w:rFonts w:ascii="Century Schoolbook" w:hAnsi="Century Schoolbook"/>
          <w:b/>
          <w:u w:val="single"/>
        </w:rPr>
        <w:t>Motion of Chairman James H. Cawley</w:t>
      </w:r>
    </w:p>
    <w:p w:rsidR="00606FFF" w:rsidRPr="00292509" w:rsidRDefault="00606FFF" w:rsidP="00D532FA">
      <w:pPr>
        <w:spacing w:after="0"/>
        <w:rPr>
          <w:rFonts w:ascii="Century Schoolbook" w:hAnsi="Century Schoolbook"/>
          <w:b/>
          <w:u w:val="single"/>
        </w:rPr>
      </w:pPr>
    </w:p>
    <w:p w:rsidR="00573056" w:rsidRPr="00292509" w:rsidRDefault="00292509" w:rsidP="000F1925">
      <w:pPr>
        <w:ind w:firstLine="720"/>
        <w:rPr>
          <w:rFonts w:ascii="Century Schoolbook" w:hAnsi="Century Schoolbook"/>
        </w:rPr>
      </w:pPr>
      <w:r w:rsidRPr="00292509">
        <w:rPr>
          <w:rFonts w:ascii="Century Schoolbook" w:hAnsi="Century Schoolbook"/>
        </w:rPr>
        <w:t>C</w:t>
      </w:r>
      <w:r w:rsidR="00573056" w:rsidRPr="00292509">
        <w:rPr>
          <w:rFonts w:ascii="Century Schoolbook" w:hAnsi="Century Schoolbook"/>
        </w:rPr>
        <w:t xml:space="preserve">harisse M. Bennett (Complainant) alleged a billing error on her gas </w:t>
      </w:r>
      <w:r w:rsidR="00130EB2">
        <w:rPr>
          <w:rFonts w:ascii="Century Schoolbook" w:hAnsi="Century Schoolbook"/>
        </w:rPr>
        <w:t>bill arising in December 2008. In his Initial Decision (ID) t</w:t>
      </w:r>
      <w:r w:rsidR="00573056" w:rsidRPr="00292509">
        <w:rPr>
          <w:rFonts w:ascii="Century Schoolbook" w:hAnsi="Century Schoolbook"/>
        </w:rPr>
        <w:t xml:space="preserve">he </w:t>
      </w:r>
      <w:r w:rsidR="00A44B7F" w:rsidRPr="00292509">
        <w:rPr>
          <w:rFonts w:ascii="Century Schoolbook" w:hAnsi="Century Schoolbook"/>
        </w:rPr>
        <w:t xml:space="preserve">ALJ established a payment arrangement and </w:t>
      </w:r>
      <w:r w:rsidR="00573056" w:rsidRPr="00292509">
        <w:rPr>
          <w:rFonts w:ascii="Century Schoolbook" w:hAnsi="Century Schoolbook"/>
        </w:rPr>
        <w:t xml:space="preserve">dismissed the complaint on the basis that Complainant failed to “carry her burden of proving that she is entitled to the relief she seeks.” </w:t>
      </w:r>
      <w:r w:rsidR="00525B75">
        <w:rPr>
          <w:rFonts w:ascii="Century Schoolbook" w:hAnsi="Century Schoolbook"/>
        </w:rPr>
        <w:t xml:space="preserve">ID </w:t>
      </w:r>
      <w:r w:rsidR="00573056" w:rsidRPr="00292509">
        <w:rPr>
          <w:rFonts w:ascii="Century Schoolbook" w:hAnsi="Century Schoolbook"/>
        </w:rPr>
        <w:t xml:space="preserve">p. 12.  Based upon the record evidence, the ALJ’s determination is accurate and </w:t>
      </w:r>
      <w:r w:rsidR="00475B3F">
        <w:rPr>
          <w:rFonts w:ascii="Century Schoolbook" w:hAnsi="Century Schoolbook"/>
        </w:rPr>
        <w:t>should</w:t>
      </w:r>
      <w:r w:rsidR="00573056" w:rsidRPr="00292509">
        <w:rPr>
          <w:rFonts w:ascii="Century Schoolbook" w:hAnsi="Century Schoolbook"/>
        </w:rPr>
        <w:t xml:space="preserve"> not be disturbed.  The ALJ also </w:t>
      </w:r>
      <w:r w:rsidR="00E75C51">
        <w:rPr>
          <w:rFonts w:ascii="Century Schoolbook" w:hAnsi="Century Schoolbook"/>
        </w:rPr>
        <w:t>aptly characterized</w:t>
      </w:r>
      <w:r w:rsidR="005470A2" w:rsidRPr="00292509">
        <w:rPr>
          <w:rFonts w:ascii="Century Schoolbook" w:hAnsi="Century Schoolbook"/>
        </w:rPr>
        <w:t xml:space="preserve"> </w:t>
      </w:r>
      <w:r w:rsidR="00E75C51">
        <w:rPr>
          <w:rFonts w:ascii="Century Schoolbook" w:hAnsi="Century Schoolbook"/>
        </w:rPr>
        <w:t xml:space="preserve">the “Waldron Rule”, as set </w:t>
      </w:r>
      <w:r w:rsidR="005470A2" w:rsidRPr="00292509">
        <w:rPr>
          <w:rFonts w:ascii="Century Schoolbook" w:hAnsi="Century Schoolbook"/>
        </w:rPr>
        <w:t>forth in</w:t>
      </w:r>
      <w:r w:rsidR="00573056" w:rsidRPr="00292509">
        <w:rPr>
          <w:rFonts w:ascii="Century Schoolbook" w:hAnsi="Century Schoolbook"/>
        </w:rPr>
        <w:t xml:space="preserve"> </w:t>
      </w:r>
      <w:r w:rsidR="008A468E" w:rsidRPr="00292509">
        <w:rPr>
          <w:rFonts w:ascii="Century Schoolbook" w:hAnsi="Century Schoolbook"/>
          <w:u w:val="single"/>
        </w:rPr>
        <w:t>Waldron v. Philadelphia Electric Company</w:t>
      </w:r>
      <w:r w:rsidR="00573056" w:rsidRPr="00292509">
        <w:rPr>
          <w:rFonts w:ascii="Century Schoolbook" w:hAnsi="Century Schoolbook"/>
        </w:rPr>
        <w:t>, 54 Pa. PUC 98 (1980)</w:t>
      </w:r>
      <w:r w:rsidR="005470A2" w:rsidRPr="00292509">
        <w:rPr>
          <w:rFonts w:ascii="Century Schoolbook" w:hAnsi="Century Schoolbook"/>
        </w:rPr>
        <w:t>,</w:t>
      </w:r>
      <w:r w:rsidR="00573056" w:rsidRPr="00292509">
        <w:rPr>
          <w:rFonts w:ascii="Century Schoolbook" w:hAnsi="Century Schoolbook"/>
        </w:rPr>
        <w:t xml:space="preserve"> as an evidentiary rule which “apportion[s] the burden of going forward with the evidence.” </w:t>
      </w:r>
      <w:r w:rsidR="008A468E" w:rsidRPr="00292509">
        <w:rPr>
          <w:rFonts w:ascii="Century Schoolbook" w:hAnsi="Century Schoolbook"/>
          <w:u w:val="single"/>
        </w:rPr>
        <w:t>Id</w:t>
      </w:r>
      <w:r w:rsidR="00573056" w:rsidRPr="00292509">
        <w:rPr>
          <w:rFonts w:ascii="Century Schoolbook" w:hAnsi="Century Schoolbook"/>
        </w:rPr>
        <w:t>.   The</w:t>
      </w:r>
      <w:r w:rsidR="00A44B7F" w:rsidRPr="00292509">
        <w:rPr>
          <w:rFonts w:ascii="Century Schoolbook" w:hAnsi="Century Schoolbook"/>
        </w:rPr>
        <w:t xml:space="preserve"> </w:t>
      </w:r>
      <w:r w:rsidR="00573056" w:rsidRPr="00292509">
        <w:rPr>
          <w:rFonts w:ascii="Century Schoolbook" w:hAnsi="Century Schoolbook"/>
        </w:rPr>
        <w:t xml:space="preserve">rationale used to support the </w:t>
      </w:r>
      <w:r w:rsidR="00B97A6D" w:rsidRPr="00292509">
        <w:rPr>
          <w:rFonts w:ascii="Century Schoolbook" w:hAnsi="Century Schoolbook"/>
        </w:rPr>
        <w:t xml:space="preserve">ALJ’s </w:t>
      </w:r>
      <w:r w:rsidR="00573056" w:rsidRPr="00292509">
        <w:rPr>
          <w:rFonts w:ascii="Century Schoolbook" w:hAnsi="Century Schoolbook"/>
        </w:rPr>
        <w:t>holding in th</w:t>
      </w:r>
      <w:r w:rsidR="00B97A6D" w:rsidRPr="00292509">
        <w:rPr>
          <w:rFonts w:ascii="Century Schoolbook" w:hAnsi="Century Schoolbook"/>
        </w:rPr>
        <w:t>e</w:t>
      </w:r>
      <w:r w:rsidR="00CD4379" w:rsidRPr="00292509">
        <w:rPr>
          <w:rFonts w:ascii="Century Schoolbook" w:hAnsi="Century Schoolbook"/>
        </w:rPr>
        <w:t xml:space="preserve"> instant</w:t>
      </w:r>
      <w:r w:rsidR="00573056" w:rsidRPr="00292509">
        <w:rPr>
          <w:rFonts w:ascii="Century Schoolbook" w:hAnsi="Century Schoolbook"/>
        </w:rPr>
        <w:t xml:space="preserve"> case</w:t>
      </w:r>
      <w:r w:rsidR="00B97A6D" w:rsidRPr="00292509">
        <w:rPr>
          <w:rFonts w:ascii="Century Schoolbook" w:hAnsi="Century Schoolbook"/>
        </w:rPr>
        <w:t xml:space="preserve">, however, </w:t>
      </w:r>
      <w:r w:rsidR="00573056" w:rsidRPr="00292509">
        <w:rPr>
          <w:rFonts w:ascii="Century Schoolbook" w:hAnsi="Century Schoolbook"/>
        </w:rPr>
        <w:t>is not completely consistent</w:t>
      </w:r>
      <w:r w:rsidR="00475B3F">
        <w:rPr>
          <w:rFonts w:ascii="Century Schoolbook" w:hAnsi="Century Schoolbook"/>
        </w:rPr>
        <w:t xml:space="preserve"> with this Commission’s</w:t>
      </w:r>
      <w:r w:rsidR="00B97A6D" w:rsidRPr="00292509">
        <w:rPr>
          <w:rFonts w:ascii="Century Schoolbook" w:hAnsi="Century Schoolbook"/>
        </w:rPr>
        <w:t xml:space="preserve"> </w:t>
      </w:r>
      <w:r w:rsidR="00573056" w:rsidRPr="00292509">
        <w:rPr>
          <w:rFonts w:ascii="Century Schoolbook" w:hAnsi="Century Schoolbook"/>
        </w:rPr>
        <w:t xml:space="preserve">position in </w:t>
      </w:r>
      <w:r w:rsidR="008A468E" w:rsidRPr="00292509">
        <w:rPr>
          <w:rFonts w:ascii="Century Schoolbook" w:hAnsi="Century Schoolbook"/>
          <w:u w:val="single"/>
        </w:rPr>
        <w:t>Waldron</w:t>
      </w:r>
      <w:r w:rsidR="00B97A6D" w:rsidRPr="00475B3F">
        <w:rPr>
          <w:rFonts w:ascii="Century Schoolbook" w:hAnsi="Century Schoolbook"/>
        </w:rPr>
        <w:t xml:space="preserve">. </w:t>
      </w:r>
      <w:r w:rsidR="00475B3F">
        <w:rPr>
          <w:rFonts w:ascii="Century Schoolbook" w:hAnsi="Century Schoolbook"/>
        </w:rPr>
        <w:t xml:space="preserve"> T</w:t>
      </w:r>
      <w:r w:rsidR="00573056" w:rsidRPr="00292509">
        <w:rPr>
          <w:rFonts w:ascii="Century Schoolbook" w:hAnsi="Century Schoolbook"/>
        </w:rPr>
        <w:t xml:space="preserve">he facts of this case give us an excellent opportunity to restate </w:t>
      </w:r>
      <w:r w:rsidR="00CD4379" w:rsidRPr="00292509">
        <w:rPr>
          <w:rFonts w:ascii="Century Schoolbook" w:hAnsi="Century Schoolbook"/>
        </w:rPr>
        <w:t>the Commission’s</w:t>
      </w:r>
      <w:r w:rsidR="00573056" w:rsidRPr="00292509">
        <w:rPr>
          <w:rFonts w:ascii="Century Schoolbook" w:hAnsi="Century Schoolbook"/>
        </w:rPr>
        <w:t xml:space="preserve"> position</w:t>
      </w:r>
      <w:r w:rsidR="00E75C51">
        <w:rPr>
          <w:rFonts w:ascii="Century Schoolbook" w:hAnsi="Century Schoolbook"/>
        </w:rPr>
        <w:t xml:space="preserve"> while clarifying the ID</w:t>
      </w:r>
      <w:r w:rsidR="00573056" w:rsidRPr="00292509">
        <w:rPr>
          <w:rFonts w:ascii="Century Schoolbook" w:hAnsi="Century Schoolbook"/>
        </w:rPr>
        <w:t>.</w:t>
      </w:r>
      <w:r w:rsidR="00573056" w:rsidRPr="00292509">
        <w:rPr>
          <w:rFonts w:ascii="Century Schoolbook" w:hAnsi="Century Schoolbook"/>
          <w:u w:val="single"/>
        </w:rPr>
        <w:t xml:space="preserve"> </w:t>
      </w:r>
    </w:p>
    <w:p w:rsidR="0089535A" w:rsidRPr="00292509" w:rsidRDefault="00573056" w:rsidP="000F1925">
      <w:pPr>
        <w:ind w:firstLine="720"/>
        <w:rPr>
          <w:rFonts w:ascii="Century Schoolbook" w:hAnsi="Century Schoolbook"/>
        </w:rPr>
      </w:pPr>
      <w:r w:rsidRPr="00292509">
        <w:rPr>
          <w:rFonts w:ascii="Century Schoolbook" w:hAnsi="Century Schoolbook"/>
        </w:rPr>
        <w:t xml:space="preserve">In </w:t>
      </w:r>
      <w:r w:rsidR="0089535A" w:rsidRPr="00292509">
        <w:rPr>
          <w:rFonts w:ascii="Century Schoolbook" w:hAnsi="Century Schoolbook"/>
          <w:u w:val="single"/>
        </w:rPr>
        <w:t>Waldron</w:t>
      </w:r>
      <w:r w:rsidR="00FF2FC8" w:rsidRPr="00292509">
        <w:rPr>
          <w:rFonts w:ascii="Century Schoolbook" w:hAnsi="Century Schoolbook"/>
        </w:rPr>
        <w:t xml:space="preserve">, the </w:t>
      </w:r>
      <w:r w:rsidRPr="00292509">
        <w:rPr>
          <w:rFonts w:ascii="Century Schoolbook" w:hAnsi="Century Schoolbook"/>
        </w:rPr>
        <w:t xml:space="preserve">Commission adopted the Michigan Public Service Commission’s policy annunciated in </w:t>
      </w:r>
      <w:r w:rsidRPr="00292509">
        <w:rPr>
          <w:rFonts w:ascii="Century Schoolbook" w:hAnsi="Century Schoolbook"/>
          <w:u w:val="single"/>
        </w:rPr>
        <w:t>Hallifax v. O &amp; A Electric Co-Op</w:t>
      </w:r>
      <w:r w:rsidRPr="00292509">
        <w:rPr>
          <w:rFonts w:ascii="Century Schoolbook" w:hAnsi="Century Schoolbook"/>
        </w:rPr>
        <w:t>, Case No. U-5825, May 1979, which provided that</w:t>
      </w:r>
      <w:r w:rsidR="00475B3F">
        <w:rPr>
          <w:rFonts w:ascii="Century Schoolbook" w:hAnsi="Century Schoolbook"/>
        </w:rPr>
        <w:t>,</w:t>
      </w:r>
      <w:r w:rsidRPr="00292509">
        <w:rPr>
          <w:rFonts w:ascii="Century Schoolbook" w:hAnsi="Century Schoolbook"/>
        </w:rPr>
        <w:t xml:space="preserve"> </w:t>
      </w:r>
      <w:r w:rsidR="00994BD8" w:rsidRPr="00292509">
        <w:rPr>
          <w:rFonts w:ascii="Century Schoolbook" w:hAnsi="Century Schoolbook"/>
        </w:rPr>
        <w:t xml:space="preserve">when reviewing a high bill complaint, </w:t>
      </w:r>
      <w:r w:rsidRPr="00292509">
        <w:rPr>
          <w:rFonts w:ascii="Century Schoolbook" w:hAnsi="Century Schoolbook"/>
        </w:rPr>
        <w:t>the Commission will</w:t>
      </w:r>
      <w:r w:rsidR="00FF2FC8" w:rsidRPr="00292509">
        <w:rPr>
          <w:rFonts w:ascii="Century Schoolbook" w:hAnsi="Century Schoolbook"/>
        </w:rPr>
        <w:t xml:space="preserve"> not only</w:t>
      </w:r>
      <w:r w:rsidRPr="00292509">
        <w:rPr>
          <w:rFonts w:ascii="Century Schoolbook" w:hAnsi="Century Schoolbook"/>
        </w:rPr>
        <w:t xml:space="preserve"> consider</w:t>
      </w:r>
      <w:r w:rsidR="00FF2FC8" w:rsidRPr="00292509">
        <w:rPr>
          <w:rFonts w:ascii="Century Schoolbook" w:hAnsi="Century Schoolbook"/>
        </w:rPr>
        <w:t xml:space="preserve"> the accuracy of meter readings but will also consider</w:t>
      </w:r>
      <w:r w:rsidRPr="00292509">
        <w:rPr>
          <w:rFonts w:ascii="Century Schoolbook" w:hAnsi="Century Schoolbook"/>
        </w:rPr>
        <w:t xml:space="preserve"> the billing history of the complainant</w:t>
      </w:r>
      <w:r w:rsidR="000555B3" w:rsidRPr="00292509">
        <w:rPr>
          <w:rFonts w:ascii="Century Schoolbook" w:hAnsi="Century Schoolbook"/>
        </w:rPr>
        <w:t>;</w:t>
      </w:r>
      <w:r w:rsidRPr="00292509">
        <w:rPr>
          <w:rFonts w:ascii="Century Schoolbook" w:hAnsi="Century Schoolbook"/>
        </w:rPr>
        <w:t xml:space="preserve"> any change in the number of occupants residing at the househol</w:t>
      </w:r>
      <w:r w:rsidR="000555B3" w:rsidRPr="00292509">
        <w:rPr>
          <w:rFonts w:ascii="Century Schoolbook" w:hAnsi="Century Schoolbook"/>
        </w:rPr>
        <w:t>d;</w:t>
      </w:r>
      <w:r w:rsidR="00994BD8" w:rsidRPr="00292509">
        <w:rPr>
          <w:rFonts w:ascii="Century Schoolbook" w:hAnsi="Century Schoolbook"/>
        </w:rPr>
        <w:t xml:space="preserve"> </w:t>
      </w:r>
      <w:r w:rsidRPr="00292509">
        <w:rPr>
          <w:rFonts w:ascii="Century Schoolbook" w:hAnsi="Century Schoolbook"/>
        </w:rPr>
        <w:t>the potential for energy utilization</w:t>
      </w:r>
      <w:r w:rsidR="000555B3" w:rsidRPr="00292509">
        <w:rPr>
          <w:rFonts w:ascii="Century Schoolbook" w:hAnsi="Century Schoolbook"/>
        </w:rPr>
        <w:t>;</w:t>
      </w:r>
      <w:r w:rsidRPr="00292509">
        <w:rPr>
          <w:rFonts w:ascii="Century Schoolbook" w:hAnsi="Century Schoolbook"/>
        </w:rPr>
        <w:t xml:space="preserve"> and any other relevant facts or circumstances that are brought to light during the complaint proceeding.</w:t>
      </w:r>
      <w:r w:rsidR="000555B3" w:rsidRPr="00292509" w:rsidDel="000555B3">
        <w:rPr>
          <w:rStyle w:val="FootnoteReference"/>
          <w:rFonts w:ascii="Century Schoolbook" w:hAnsi="Century Schoolbook"/>
        </w:rPr>
        <w:t xml:space="preserve"> </w:t>
      </w:r>
      <w:r w:rsidR="00130EB2">
        <w:rPr>
          <w:rFonts w:ascii="Century Schoolbook" w:hAnsi="Century Schoolbook"/>
        </w:rPr>
        <w:t xml:space="preserve"> </w:t>
      </w:r>
      <w:r w:rsidR="000E1528" w:rsidRPr="00292509">
        <w:rPr>
          <w:rFonts w:ascii="Century Schoolbook" w:hAnsi="Century Schoolbook"/>
          <w:u w:val="single"/>
        </w:rPr>
        <w:t>Waldron</w:t>
      </w:r>
      <w:r w:rsidR="00475B3F">
        <w:rPr>
          <w:rFonts w:ascii="Century Schoolbook" w:hAnsi="Century Schoolbook"/>
        </w:rPr>
        <w:t>, 54 Pa. PUC at</w:t>
      </w:r>
      <w:r w:rsidR="000E1528" w:rsidRPr="00292509">
        <w:rPr>
          <w:rFonts w:ascii="Century Schoolbook" w:hAnsi="Century Schoolbook"/>
        </w:rPr>
        <w:t xml:space="preserve"> 100.</w:t>
      </w:r>
    </w:p>
    <w:p w:rsidR="00573056" w:rsidRPr="00292509" w:rsidRDefault="00475B3F" w:rsidP="000F1925">
      <w:pPr>
        <w:ind w:firstLine="720"/>
        <w:rPr>
          <w:rFonts w:ascii="Century Schoolbook" w:hAnsi="Century Schoolbook"/>
        </w:rPr>
      </w:pPr>
      <w:r>
        <w:rPr>
          <w:rFonts w:ascii="Century Schoolbook" w:hAnsi="Century Schoolbook"/>
        </w:rPr>
        <w:t>In this</w:t>
      </w:r>
      <w:r w:rsidR="000555B3" w:rsidRPr="00292509">
        <w:rPr>
          <w:rFonts w:ascii="Century Schoolbook" w:hAnsi="Century Schoolbook"/>
        </w:rPr>
        <w:t xml:space="preserve"> case,</w:t>
      </w:r>
      <w:r w:rsidR="00573056" w:rsidRPr="00292509">
        <w:rPr>
          <w:rFonts w:ascii="Century Schoolbook" w:hAnsi="Century Schoolbook"/>
        </w:rPr>
        <w:t xml:space="preserve"> the ALJ found that </w:t>
      </w:r>
      <w:r>
        <w:rPr>
          <w:rFonts w:ascii="Century Schoolbook" w:hAnsi="Century Schoolbook"/>
        </w:rPr>
        <w:t>Ms. Bennett</w:t>
      </w:r>
      <w:r w:rsidR="00994BD8" w:rsidRPr="00292509">
        <w:rPr>
          <w:rFonts w:ascii="Century Schoolbook" w:hAnsi="Century Schoolbook"/>
        </w:rPr>
        <w:t xml:space="preserve"> </w:t>
      </w:r>
      <w:r w:rsidR="00573056" w:rsidRPr="00292509">
        <w:rPr>
          <w:rFonts w:ascii="Century Schoolbook" w:hAnsi="Century Schoolbook"/>
        </w:rPr>
        <w:t>could not establish a prima facie case to sustain her complaint because, as a new customer, she could not show that her “high winter bill in December of 2008 was inconsistent when compared with the bill in the pr</w:t>
      </w:r>
      <w:r w:rsidR="00F72319">
        <w:rPr>
          <w:rFonts w:ascii="Century Schoolbook" w:hAnsi="Century Schoolbook"/>
        </w:rPr>
        <w:t xml:space="preserve">evious winter of 2007.” ID, p. </w:t>
      </w:r>
      <w:r w:rsidR="00573056" w:rsidRPr="00292509">
        <w:rPr>
          <w:rFonts w:ascii="Century Schoolbook" w:hAnsi="Century Schoolbook"/>
        </w:rPr>
        <w:t xml:space="preserve">13.  The ALJ reasoned that “[a]s a new customer in June 2008, Complainant had no prior usage comparison record for the winter of 2007” and, therefore, could not satisfy the first prong of the </w:t>
      </w:r>
      <w:r w:rsidR="00573056" w:rsidRPr="00292509">
        <w:rPr>
          <w:rFonts w:ascii="Century Schoolbook" w:hAnsi="Century Schoolbook"/>
          <w:u w:val="single"/>
        </w:rPr>
        <w:t>Waldron</w:t>
      </w:r>
      <w:r w:rsidR="00573056" w:rsidRPr="00292509">
        <w:rPr>
          <w:rFonts w:ascii="Century Schoolbook" w:hAnsi="Century Schoolbook"/>
        </w:rPr>
        <w:t xml:space="preserve"> test.</w:t>
      </w:r>
      <w:r w:rsidR="00994BD8" w:rsidRPr="00292509">
        <w:rPr>
          <w:rFonts w:ascii="Century Schoolbook" w:hAnsi="Century Schoolbook"/>
        </w:rPr>
        <w:t xml:space="preserve">  </w:t>
      </w:r>
      <w:r w:rsidR="00611C5F" w:rsidRPr="00292509">
        <w:rPr>
          <w:rFonts w:ascii="Century Schoolbook" w:hAnsi="Century Schoolbook"/>
          <w:u w:val="single"/>
        </w:rPr>
        <w:t>Id.</w:t>
      </w:r>
    </w:p>
    <w:p w:rsidR="00573056" w:rsidRPr="00CF0F65" w:rsidRDefault="00573056" w:rsidP="00611C5F">
      <w:pPr>
        <w:ind w:firstLine="720"/>
        <w:rPr>
          <w:rFonts w:ascii="Century Schoolbook" w:hAnsi="Century Schoolbook"/>
        </w:rPr>
      </w:pPr>
      <w:r w:rsidRPr="00292509">
        <w:rPr>
          <w:rFonts w:ascii="Century Schoolbook" w:hAnsi="Century Schoolbook"/>
        </w:rPr>
        <w:t>The ALJ stated that a complainant may establish a prima facie case by showing that: “(1) the disputed bill was abnormally high when compared to prior usage patterns; and (2) his/her pattern of usage has not changed</w:t>
      </w:r>
      <w:r w:rsidR="0030090E" w:rsidRPr="00292509">
        <w:rPr>
          <w:rFonts w:ascii="Century Schoolbook" w:hAnsi="Century Schoolbook"/>
        </w:rPr>
        <w:t>.</w:t>
      </w:r>
      <w:r w:rsidR="00611C5F" w:rsidRPr="00292509">
        <w:rPr>
          <w:rFonts w:ascii="Century Schoolbook" w:hAnsi="Century Schoolbook"/>
        </w:rPr>
        <w:t>”</w:t>
      </w:r>
      <w:r w:rsidR="0030090E" w:rsidRPr="00292509">
        <w:rPr>
          <w:rFonts w:ascii="Century Schoolbook" w:hAnsi="Century Schoolbook"/>
        </w:rPr>
        <w:t xml:space="preserve"> </w:t>
      </w:r>
      <w:r w:rsidR="00565D9F" w:rsidRPr="00292509">
        <w:rPr>
          <w:rFonts w:ascii="Century Schoolbook" w:hAnsi="Century Schoolbook"/>
        </w:rPr>
        <w:t>ID,</w:t>
      </w:r>
      <w:r w:rsidR="002F4DF6" w:rsidRPr="00292509">
        <w:rPr>
          <w:rFonts w:ascii="Century Schoolbook" w:hAnsi="Century Schoolbook"/>
        </w:rPr>
        <w:t xml:space="preserve"> </w:t>
      </w:r>
      <w:r w:rsidR="00565D9F" w:rsidRPr="00292509">
        <w:rPr>
          <w:rFonts w:ascii="Century Schoolbook" w:hAnsi="Century Schoolbook"/>
        </w:rPr>
        <w:t>p.</w:t>
      </w:r>
      <w:r w:rsidR="00F72319">
        <w:rPr>
          <w:rFonts w:ascii="Century Schoolbook" w:hAnsi="Century Schoolbook"/>
        </w:rPr>
        <w:t xml:space="preserve"> </w:t>
      </w:r>
      <w:r w:rsidR="00565D9F" w:rsidRPr="00292509">
        <w:rPr>
          <w:rFonts w:ascii="Century Schoolbook" w:hAnsi="Century Schoolbook"/>
        </w:rPr>
        <w:t xml:space="preserve">12. </w:t>
      </w:r>
      <w:r w:rsidR="005048C7">
        <w:rPr>
          <w:rFonts w:ascii="Century Schoolbook" w:hAnsi="Century Schoolbook"/>
        </w:rPr>
        <w:t>Since Complainant could not show a prior year’s charges for comparison purposes</w:t>
      </w:r>
      <w:r w:rsidR="00F72319">
        <w:rPr>
          <w:rFonts w:ascii="Century Schoolbook" w:hAnsi="Century Schoolbook"/>
        </w:rPr>
        <w:t>,</w:t>
      </w:r>
      <w:r w:rsidR="005048C7">
        <w:rPr>
          <w:rFonts w:ascii="Century Schoolbook" w:hAnsi="Century Schoolbook"/>
        </w:rPr>
        <w:t xml:space="preserve"> the ALJ found </w:t>
      </w:r>
      <w:r w:rsidR="00F72319">
        <w:rPr>
          <w:rFonts w:ascii="Century Schoolbook" w:hAnsi="Century Schoolbook"/>
        </w:rPr>
        <w:t xml:space="preserve">that </w:t>
      </w:r>
      <w:r w:rsidR="005048C7">
        <w:rPr>
          <w:rFonts w:ascii="Century Schoolbook" w:hAnsi="Century Schoolbook"/>
        </w:rPr>
        <w:t xml:space="preserve">she failed to make a prima facie case. </w:t>
      </w:r>
      <w:r w:rsidR="00565D9F" w:rsidRPr="00292509">
        <w:rPr>
          <w:rFonts w:ascii="Century Schoolbook" w:hAnsi="Century Schoolbook"/>
        </w:rPr>
        <w:t xml:space="preserve"> </w:t>
      </w:r>
      <w:r w:rsidR="00CF0F65">
        <w:rPr>
          <w:rFonts w:ascii="Century Schoolbook" w:hAnsi="Century Schoolbook"/>
        </w:rPr>
        <w:t xml:space="preserve">While it is true </w:t>
      </w:r>
      <w:r w:rsidR="00F72319">
        <w:rPr>
          <w:rFonts w:ascii="Century Schoolbook" w:hAnsi="Century Schoolbook"/>
        </w:rPr>
        <w:t xml:space="preserve">that </w:t>
      </w:r>
      <w:r w:rsidR="00CF0F65">
        <w:rPr>
          <w:rFonts w:ascii="Century Schoolbook" w:hAnsi="Century Schoolbook"/>
        </w:rPr>
        <w:t>these are important points to consider</w:t>
      </w:r>
      <w:r w:rsidR="005048C7">
        <w:rPr>
          <w:rFonts w:ascii="Century Schoolbook" w:hAnsi="Century Schoolbook"/>
        </w:rPr>
        <w:t>,</w:t>
      </w:r>
      <w:r w:rsidR="00CF0F65">
        <w:rPr>
          <w:rFonts w:ascii="Century Schoolbook" w:hAnsi="Century Schoolbook"/>
        </w:rPr>
        <w:t xml:space="preserve"> they do not </w:t>
      </w:r>
      <w:r w:rsidR="00CF0F65">
        <w:rPr>
          <w:rFonts w:ascii="Century Schoolbook" w:hAnsi="Century Schoolbook"/>
        </w:rPr>
        <w:lastRenderedPageBreak/>
        <w:t>alone resolve the issue.</w:t>
      </w:r>
      <w:r w:rsidR="00565D9F" w:rsidRPr="00292509">
        <w:rPr>
          <w:rFonts w:ascii="Century Schoolbook" w:hAnsi="Century Schoolbook"/>
        </w:rPr>
        <w:t xml:space="preserve"> </w:t>
      </w:r>
      <w:r w:rsidR="0030090E" w:rsidRPr="00292509">
        <w:rPr>
          <w:rFonts w:ascii="Century Schoolbook" w:hAnsi="Century Schoolbook"/>
        </w:rPr>
        <w:t xml:space="preserve">Clearly this or any </w:t>
      </w:r>
      <w:r w:rsidR="00611C5F" w:rsidRPr="00292509">
        <w:rPr>
          <w:rFonts w:ascii="Century Schoolbook" w:hAnsi="Century Schoolbook"/>
        </w:rPr>
        <w:t xml:space="preserve">other </w:t>
      </w:r>
      <w:r w:rsidR="0030090E" w:rsidRPr="00292509">
        <w:rPr>
          <w:rFonts w:ascii="Century Schoolbook" w:hAnsi="Century Schoolbook"/>
        </w:rPr>
        <w:t xml:space="preserve">new customer cannot produce evidence </w:t>
      </w:r>
      <w:r w:rsidR="00F72319">
        <w:rPr>
          <w:rFonts w:ascii="Century Schoolbook" w:hAnsi="Century Schoolbook"/>
        </w:rPr>
        <w:t xml:space="preserve">that </w:t>
      </w:r>
      <w:r w:rsidR="0030090E" w:rsidRPr="00292509">
        <w:rPr>
          <w:rFonts w:ascii="Century Schoolbook" w:hAnsi="Century Schoolbook"/>
        </w:rPr>
        <w:t xml:space="preserve">she does not possess </w:t>
      </w:r>
      <w:r w:rsidR="00B858A9">
        <w:rPr>
          <w:rFonts w:ascii="Century Schoolbook" w:hAnsi="Century Schoolbook"/>
        </w:rPr>
        <w:t xml:space="preserve">regarding </w:t>
      </w:r>
      <w:r w:rsidR="0030090E" w:rsidRPr="00292509">
        <w:rPr>
          <w:rFonts w:ascii="Century Schoolbook" w:hAnsi="Century Schoolbook"/>
        </w:rPr>
        <w:t xml:space="preserve">prior usage. </w:t>
      </w:r>
      <w:r w:rsidRPr="00292509">
        <w:rPr>
          <w:rFonts w:ascii="Century Schoolbook" w:hAnsi="Century Schoolbook"/>
        </w:rPr>
        <w:t>This interpretation</w:t>
      </w:r>
      <w:r w:rsidR="0030090E" w:rsidRPr="00292509">
        <w:rPr>
          <w:rFonts w:ascii="Century Schoolbook" w:hAnsi="Century Schoolbook"/>
        </w:rPr>
        <w:t xml:space="preserve"> of </w:t>
      </w:r>
      <w:r w:rsidR="0030090E" w:rsidRPr="00292509">
        <w:rPr>
          <w:rFonts w:ascii="Century Schoolbook" w:hAnsi="Century Schoolbook"/>
          <w:u w:val="single"/>
        </w:rPr>
        <w:t>Waldron</w:t>
      </w:r>
      <w:r w:rsidR="0030090E" w:rsidRPr="00292509">
        <w:rPr>
          <w:rFonts w:ascii="Century Schoolbook" w:hAnsi="Century Schoolbook"/>
        </w:rPr>
        <w:t xml:space="preserve"> is </w:t>
      </w:r>
      <w:r w:rsidRPr="00292509">
        <w:rPr>
          <w:rFonts w:ascii="Century Schoolbook" w:hAnsi="Century Schoolbook"/>
        </w:rPr>
        <w:t>too narrow</w:t>
      </w:r>
      <w:r w:rsidR="001D50E0">
        <w:rPr>
          <w:rFonts w:ascii="Century Schoolbook" w:hAnsi="Century Schoolbook"/>
        </w:rPr>
        <w:t xml:space="preserve"> and would never allow a new customer to be able to challenge a high bill.  It also does not allow for other relevant</w:t>
      </w:r>
      <w:r w:rsidR="005C0D52">
        <w:rPr>
          <w:rFonts w:ascii="Century Schoolbook" w:hAnsi="Century Schoolbook"/>
        </w:rPr>
        <w:t xml:space="preserve"> facts or circumstances </w:t>
      </w:r>
      <w:r w:rsidR="001D50E0">
        <w:rPr>
          <w:rFonts w:ascii="Century Schoolbook" w:hAnsi="Century Schoolbook"/>
        </w:rPr>
        <w:t>with probative value</w:t>
      </w:r>
      <w:r w:rsidR="00C51B07">
        <w:rPr>
          <w:rFonts w:ascii="Century Schoolbook" w:hAnsi="Century Schoolbook"/>
        </w:rPr>
        <w:t xml:space="preserve"> to be </w:t>
      </w:r>
      <w:r w:rsidR="006A56C0">
        <w:rPr>
          <w:rFonts w:ascii="Century Schoolbook" w:hAnsi="Century Schoolbook"/>
        </w:rPr>
        <w:t xml:space="preserve">considered </w:t>
      </w:r>
      <w:r w:rsidR="005C0D52">
        <w:rPr>
          <w:rFonts w:ascii="Century Schoolbook" w:hAnsi="Century Schoolbook"/>
        </w:rPr>
        <w:t>as evidence</w:t>
      </w:r>
      <w:r w:rsidR="00C51B07">
        <w:rPr>
          <w:rFonts w:ascii="Century Schoolbook" w:hAnsi="Century Schoolbook"/>
        </w:rPr>
        <w:t xml:space="preserve"> support</w:t>
      </w:r>
      <w:r w:rsidR="005C0D52">
        <w:rPr>
          <w:rFonts w:ascii="Century Schoolbook" w:hAnsi="Century Schoolbook"/>
        </w:rPr>
        <w:t>ive of</w:t>
      </w:r>
      <w:r w:rsidR="00311716" w:rsidRPr="00292509">
        <w:rPr>
          <w:rFonts w:ascii="Century Schoolbook" w:hAnsi="Century Schoolbook"/>
        </w:rPr>
        <w:t xml:space="preserve"> a high bill c</w:t>
      </w:r>
      <w:r w:rsidR="005C0D52">
        <w:rPr>
          <w:rFonts w:ascii="Century Schoolbook" w:hAnsi="Century Schoolbook"/>
        </w:rPr>
        <w:t>omplaint</w:t>
      </w:r>
      <w:r w:rsidR="002F4DF6" w:rsidRPr="00292509">
        <w:rPr>
          <w:rFonts w:ascii="Century Schoolbook" w:hAnsi="Century Schoolbook"/>
        </w:rPr>
        <w:t xml:space="preserve">. </w:t>
      </w:r>
      <w:r w:rsidR="008A468E" w:rsidRPr="00292509">
        <w:rPr>
          <w:rFonts w:ascii="Century Schoolbook" w:hAnsi="Century Schoolbook"/>
          <w:u w:val="single"/>
        </w:rPr>
        <w:t>Waldron</w:t>
      </w:r>
      <w:r w:rsidR="002F4DF6" w:rsidRPr="00292509">
        <w:rPr>
          <w:rFonts w:ascii="Century Schoolbook" w:hAnsi="Century Schoolbook"/>
        </w:rPr>
        <w:t xml:space="preserve"> do</w:t>
      </w:r>
      <w:r w:rsidR="001D50E0">
        <w:rPr>
          <w:rFonts w:ascii="Century Schoolbook" w:hAnsi="Century Schoolbook"/>
        </w:rPr>
        <w:t>es</w:t>
      </w:r>
      <w:r w:rsidR="00020000" w:rsidRPr="00292509">
        <w:rPr>
          <w:rFonts w:ascii="Century Schoolbook" w:hAnsi="Century Schoolbook"/>
        </w:rPr>
        <w:t xml:space="preserve"> </w:t>
      </w:r>
      <w:r w:rsidRPr="00292509">
        <w:rPr>
          <w:rFonts w:ascii="Century Schoolbook" w:hAnsi="Century Schoolbook"/>
        </w:rPr>
        <w:t>not limit the establishment of a prima facie case to th</w:t>
      </w:r>
      <w:r w:rsidR="002F4DF6" w:rsidRPr="00292509">
        <w:rPr>
          <w:rFonts w:ascii="Century Schoolbook" w:hAnsi="Century Schoolbook"/>
        </w:rPr>
        <w:t>e above</w:t>
      </w:r>
      <w:r w:rsidRPr="00292509">
        <w:rPr>
          <w:rFonts w:ascii="Century Schoolbook" w:hAnsi="Century Schoolbook"/>
        </w:rPr>
        <w:t xml:space="preserve"> two elements</w:t>
      </w:r>
      <w:r w:rsidR="00311716" w:rsidRPr="00292509">
        <w:rPr>
          <w:rFonts w:ascii="Century Schoolbook" w:hAnsi="Century Schoolbook"/>
        </w:rPr>
        <w:t xml:space="preserve"> alone</w:t>
      </w:r>
      <w:r w:rsidR="00E24BF9">
        <w:rPr>
          <w:rFonts w:ascii="Century Schoolbook" w:hAnsi="Century Schoolbook"/>
        </w:rPr>
        <w:t>.  R</w:t>
      </w:r>
      <w:r w:rsidRPr="00292509">
        <w:rPr>
          <w:rFonts w:ascii="Century Schoolbook" w:hAnsi="Century Schoolbook"/>
        </w:rPr>
        <w:t xml:space="preserve">ather, </w:t>
      </w:r>
      <w:r w:rsidR="00667E43">
        <w:rPr>
          <w:rFonts w:ascii="Century Schoolbook" w:hAnsi="Century Schoolbook"/>
        </w:rPr>
        <w:t>the Commission may</w:t>
      </w:r>
      <w:r w:rsidR="00C51B07">
        <w:rPr>
          <w:rFonts w:ascii="Century Schoolbook" w:hAnsi="Century Schoolbook"/>
        </w:rPr>
        <w:t xml:space="preserve"> consider</w:t>
      </w:r>
      <w:r w:rsidR="00CF0F65">
        <w:rPr>
          <w:rFonts w:ascii="Century Schoolbook" w:hAnsi="Century Schoolbook"/>
        </w:rPr>
        <w:t xml:space="preserve"> the</w:t>
      </w:r>
      <w:r w:rsidR="00667E43">
        <w:rPr>
          <w:rFonts w:ascii="Century Schoolbook" w:hAnsi="Century Schoolbook"/>
        </w:rPr>
        <w:t xml:space="preserve"> </w:t>
      </w:r>
      <w:r w:rsidR="00CF0F65">
        <w:rPr>
          <w:rFonts w:ascii="Century Schoolbook" w:hAnsi="Century Schoolbook"/>
        </w:rPr>
        <w:t>billing history of the account</w:t>
      </w:r>
      <w:r w:rsidR="00E24BF9">
        <w:rPr>
          <w:rFonts w:ascii="Century Schoolbook" w:hAnsi="Century Schoolbook"/>
        </w:rPr>
        <w:t>, any</w:t>
      </w:r>
      <w:r w:rsidR="006A56C0">
        <w:rPr>
          <w:rFonts w:ascii="Century Schoolbook" w:hAnsi="Century Schoolbook"/>
        </w:rPr>
        <w:t xml:space="preserve"> change in usage patterns</w:t>
      </w:r>
      <w:r w:rsidR="00E24BF9">
        <w:rPr>
          <w:rFonts w:ascii="Century Schoolbook" w:hAnsi="Century Schoolbook"/>
        </w:rPr>
        <w:t xml:space="preserve"> (</w:t>
      </w:r>
      <w:r w:rsidR="006A56C0">
        <w:rPr>
          <w:rFonts w:ascii="Century Schoolbook" w:hAnsi="Century Schoolbook"/>
        </w:rPr>
        <w:t>such as a</w:t>
      </w:r>
      <w:r w:rsidR="00667E43">
        <w:rPr>
          <w:rFonts w:ascii="Century Schoolbook" w:hAnsi="Century Schoolbook"/>
        </w:rPr>
        <w:t xml:space="preserve"> </w:t>
      </w:r>
      <w:r w:rsidR="005C0D52">
        <w:rPr>
          <w:rFonts w:ascii="Century Schoolbook" w:hAnsi="Century Schoolbook"/>
        </w:rPr>
        <w:t>change in the number of occu</w:t>
      </w:r>
      <w:r w:rsidR="006A56C0">
        <w:rPr>
          <w:rFonts w:ascii="Century Schoolbook" w:hAnsi="Century Schoolbook"/>
        </w:rPr>
        <w:t>pants residing in the household or</w:t>
      </w:r>
      <w:r w:rsidR="00CF0F65">
        <w:rPr>
          <w:rFonts w:ascii="Century Schoolbook" w:hAnsi="Century Schoolbook"/>
        </w:rPr>
        <w:t xml:space="preserve"> potential</w:t>
      </w:r>
      <w:r w:rsidR="00667E43">
        <w:rPr>
          <w:rFonts w:ascii="Century Schoolbook" w:hAnsi="Century Schoolbook"/>
        </w:rPr>
        <w:t xml:space="preserve"> energy utilization</w:t>
      </w:r>
      <w:r w:rsidR="00E24BF9">
        <w:rPr>
          <w:rFonts w:ascii="Century Schoolbook" w:hAnsi="Century Schoolbook"/>
        </w:rPr>
        <w:t>)</w:t>
      </w:r>
      <w:r w:rsidR="0013501B">
        <w:rPr>
          <w:rFonts w:ascii="Century Schoolbook" w:hAnsi="Century Schoolbook"/>
        </w:rPr>
        <w:t>,</w:t>
      </w:r>
      <w:r w:rsidR="00CF0F65">
        <w:rPr>
          <w:rFonts w:ascii="Century Schoolbook" w:hAnsi="Century Schoolbook"/>
        </w:rPr>
        <w:t xml:space="preserve"> </w:t>
      </w:r>
      <w:r w:rsidR="00CB157C" w:rsidRPr="00E24BF9">
        <w:rPr>
          <w:rFonts w:ascii="Century Schoolbook" w:hAnsi="Century Schoolbook"/>
          <w:i/>
        </w:rPr>
        <w:t>and</w:t>
      </w:r>
      <w:r w:rsidR="00CB157C">
        <w:rPr>
          <w:rFonts w:ascii="Century Schoolbook" w:hAnsi="Century Schoolbook"/>
          <w:b/>
        </w:rPr>
        <w:t xml:space="preserve"> </w:t>
      </w:r>
      <w:r w:rsidR="00CF0F65">
        <w:rPr>
          <w:rFonts w:ascii="Century Schoolbook" w:hAnsi="Century Schoolbook"/>
        </w:rPr>
        <w:t>any other relevant facts or ci</w:t>
      </w:r>
      <w:r w:rsidR="0013501B">
        <w:rPr>
          <w:rFonts w:ascii="Century Schoolbook" w:hAnsi="Century Schoolbook"/>
        </w:rPr>
        <w:t xml:space="preserve">rcumstances that come to light </w:t>
      </w:r>
      <w:r w:rsidR="00CF0F65">
        <w:rPr>
          <w:rFonts w:ascii="Century Schoolbook" w:hAnsi="Century Schoolbook"/>
        </w:rPr>
        <w:t>during the proceeding.</w:t>
      </w:r>
    </w:p>
    <w:p w:rsidR="00573056" w:rsidRDefault="00573056" w:rsidP="00D3697F">
      <w:pPr>
        <w:ind w:firstLine="720"/>
        <w:rPr>
          <w:rFonts w:ascii="Century Schoolbook" w:hAnsi="Century Schoolbook"/>
        </w:rPr>
      </w:pPr>
      <w:r w:rsidRPr="00292509">
        <w:rPr>
          <w:rFonts w:ascii="Century Schoolbook" w:hAnsi="Century Schoolbook"/>
        </w:rPr>
        <w:t>Thus</w:t>
      </w:r>
      <w:r w:rsidR="00E24BF9">
        <w:rPr>
          <w:rFonts w:ascii="Century Schoolbook" w:hAnsi="Century Schoolbook"/>
        </w:rPr>
        <w:t>,</w:t>
      </w:r>
      <w:r w:rsidRPr="00292509">
        <w:rPr>
          <w:rFonts w:ascii="Century Schoolbook" w:hAnsi="Century Schoolbook"/>
        </w:rPr>
        <w:t xml:space="preserve"> a complainant in</w:t>
      </w:r>
      <w:r w:rsidR="00712C51" w:rsidRPr="00292509">
        <w:rPr>
          <w:rFonts w:ascii="Century Schoolbook" w:hAnsi="Century Schoolbook"/>
        </w:rPr>
        <w:t xml:space="preserve"> a</w:t>
      </w:r>
      <w:r w:rsidRPr="00292509">
        <w:rPr>
          <w:rFonts w:ascii="Century Schoolbook" w:hAnsi="Century Schoolbook"/>
        </w:rPr>
        <w:t xml:space="preserve"> </w:t>
      </w:r>
      <w:r w:rsidR="004F5462">
        <w:rPr>
          <w:rFonts w:ascii="Century Schoolbook" w:hAnsi="Century Schoolbook"/>
        </w:rPr>
        <w:t>high bill</w:t>
      </w:r>
      <w:r w:rsidRPr="00292509">
        <w:rPr>
          <w:rFonts w:ascii="Century Schoolbook" w:hAnsi="Century Schoolbook"/>
        </w:rPr>
        <w:t xml:space="preserve"> case has the opportunity to present any </w:t>
      </w:r>
      <w:r w:rsidR="0013501B">
        <w:rPr>
          <w:rFonts w:ascii="Century Schoolbook" w:hAnsi="Century Schoolbook"/>
        </w:rPr>
        <w:t xml:space="preserve">other </w:t>
      </w:r>
      <w:r w:rsidRPr="00292509">
        <w:rPr>
          <w:rFonts w:ascii="Century Schoolbook" w:hAnsi="Century Schoolbook"/>
        </w:rPr>
        <w:t>relevant evidence which, if sufficient to establish a prima facie c</w:t>
      </w:r>
      <w:r w:rsidR="00E24BF9">
        <w:rPr>
          <w:rFonts w:ascii="Century Schoolbook" w:hAnsi="Century Schoolbook"/>
        </w:rPr>
        <w:t xml:space="preserve">ase, can be used to sustain the </w:t>
      </w:r>
      <w:r w:rsidRPr="00292509">
        <w:rPr>
          <w:rFonts w:ascii="Century Schoolbook" w:hAnsi="Century Schoolbook"/>
        </w:rPr>
        <w:t xml:space="preserve">burden of proof.  There is no specific requirement as to what particular facts the complainant must offer. This will likely vary from case to case.   In </w:t>
      </w:r>
      <w:r w:rsidRPr="00292509">
        <w:rPr>
          <w:rFonts w:ascii="Century Schoolbook" w:hAnsi="Century Schoolbook"/>
          <w:u w:val="single"/>
        </w:rPr>
        <w:t>Waldron</w:t>
      </w:r>
      <w:r w:rsidRPr="00E24BF9">
        <w:rPr>
          <w:rFonts w:ascii="Century Schoolbook" w:hAnsi="Century Schoolbook"/>
        </w:rPr>
        <w:t>,</w:t>
      </w:r>
      <w:r w:rsidR="00E24BF9">
        <w:rPr>
          <w:rFonts w:ascii="Century Schoolbook" w:hAnsi="Century Schoolbook"/>
        </w:rPr>
        <w:t xml:space="preserve"> for example, the c</w:t>
      </w:r>
      <w:r w:rsidRPr="00292509">
        <w:rPr>
          <w:rFonts w:ascii="Century Schoolbook" w:hAnsi="Century Schoolbook"/>
        </w:rPr>
        <w:t>omplainant did not provide a comparison of prior billing but asserted that the apartment was uninhabited during the billing period in question; that the only operating appliances were a clock and a refrigerator; that two air conditioners were disconnected and that even if the latter were connected they could not possibly have used the energy reflected in the billing.</w:t>
      </w:r>
      <w:r w:rsidR="00D3697F">
        <w:rPr>
          <w:rFonts w:ascii="Century Schoolbook" w:hAnsi="Century Schoolbook"/>
        </w:rPr>
        <w:t xml:space="preserve"> </w:t>
      </w:r>
      <w:r w:rsidR="00D666D4" w:rsidRPr="00292509">
        <w:rPr>
          <w:rFonts w:ascii="Century Schoolbook" w:hAnsi="Century Schoolbook"/>
        </w:rPr>
        <w:t xml:space="preserve">The Commission </w:t>
      </w:r>
      <w:r w:rsidR="009C65E7" w:rsidRPr="00292509">
        <w:rPr>
          <w:rFonts w:ascii="Century Schoolbook" w:hAnsi="Century Schoolbook"/>
        </w:rPr>
        <w:t xml:space="preserve">remanded the complaint </w:t>
      </w:r>
      <w:r w:rsidR="00D3697F" w:rsidRPr="00292509">
        <w:rPr>
          <w:rFonts w:ascii="Century Schoolbook" w:hAnsi="Century Schoolbook"/>
        </w:rPr>
        <w:t xml:space="preserve">in </w:t>
      </w:r>
      <w:r w:rsidR="00D3697F" w:rsidRPr="00292509">
        <w:rPr>
          <w:rFonts w:ascii="Century Schoolbook" w:hAnsi="Century Schoolbook"/>
          <w:u w:val="single"/>
        </w:rPr>
        <w:t>Waldron</w:t>
      </w:r>
      <w:r w:rsidR="00D3697F" w:rsidRPr="00292509">
        <w:rPr>
          <w:rFonts w:ascii="Century Schoolbook" w:hAnsi="Century Schoolbook"/>
        </w:rPr>
        <w:t xml:space="preserve"> </w:t>
      </w:r>
      <w:r w:rsidR="009C65E7" w:rsidRPr="00292509">
        <w:rPr>
          <w:rFonts w:ascii="Century Schoolbook" w:hAnsi="Century Schoolbook"/>
        </w:rPr>
        <w:t xml:space="preserve">reasoning </w:t>
      </w:r>
      <w:r w:rsidR="00EA3583">
        <w:rPr>
          <w:rFonts w:ascii="Century Schoolbook" w:hAnsi="Century Schoolbook"/>
        </w:rPr>
        <w:t>that</w:t>
      </w:r>
      <w:r w:rsidR="0013501B">
        <w:rPr>
          <w:rFonts w:ascii="Century Schoolbook" w:hAnsi="Century Schoolbook"/>
        </w:rPr>
        <w:t>,</w:t>
      </w:r>
      <w:r w:rsidR="00EA3583">
        <w:rPr>
          <w:rFonts w:ascii="Century Schoolbook" w:hAnsi="Century Schoolbook"/>
        </w:rPr>
        <w:t xml:space="preserve"> </w:t>
      </w:r>
      <w:r w:rsidR="00D666D4" w:rsidRPr="00292509">
        <w:rPr>
          <w:rFonts w:ascii="Century Schoolbook" w:hAnsi="Century Schoolbook"/>
        </w:rPr>
        <w:t xml:space="preserve">had </w:t>
      </w:r>
      <w:r w:rsidRPr="00292509">
        <w:rPr>
          <w:rFonts w:ascii="Century Schoolbook" w:hAnsi="Century Schoolbook"/>
        </w:rPr>
        <w:t>the record</w:t>
      </w:r>
      <w:r w:rsidR="009C65E7" w:rsidRPr="00292509">
        <w:rPr>
          <w:rFonts w:ascii="Century Schoolbook" w:hAnsi="Century Schoolbook"/>
        </w:rPr>
        <w:t xml:space="preserve"> been</w:t>
      </w:r>
      <w:r w:rsidRPr="00292509">
        <w:rPr>
          <w:rFonts w:ascii="Century Schoolbook" w:hAnsi="Century Schoolbook"/>
        </w:rPr>
        <w:t xml:space="preserve"> properly developed</w:t>
      </w:r>
      <w:r w:rsidR="0013501B">
        <w:rPr>
          <w:rFonts w:ascii="Century Schoolbook" w:hAnsi="Century Schoolbook"/>
        </w:rPr>
        <w:t>,</w:t>
      </w:r>
      <w:r w:rsidRPr="00292509">
        <w:rPr>
          <w:rFonts w:ascii="Century Schoolbook" w:hAnsi="Century Schoolbook"/>
        </w:rPr>
        <w:t xml:space="preserve"> th</w:t>
      </w:r>
      <w:r w:rsidR="009C65E7" w:rsidRPr="00292509">
        <w:rPr>
          <w:rFonts w:ascii="Century Schoolbook" w:hAnsi="Century Schoolbook"/>
        </w:rPr>
        <w:t>o</w:t>
      </w:r>
      <w:r w:rsidRPr="00292509">
        <w:rPr>
          <w:rFonts w:ascii="Century Schoolbook" w:hAnsi="Century Schoolbook"/>
        </w:rPr>
        <w:t>se facts may</w:t>
      </w:r>
      <w:r w:rsidR="009C65E7" w:rsidRPr="00292509">
        <w:rPr>
          <w:rFonts w:ascii="Century Schoolbook" w:hAnsi="Century Schoolbook"/>
        </w:rPr>
        <w:t xml:space="preserve"> have </w:t>
      </w:r>
      <w:r w:rsidRPr="00292509">
        <w:rPr>
          <w:rFonts w:ascii="Century Schoolbook" w:hAnsi="Century Schoolbook"/>
        </w:rPr>
        <w:t>establish</w:t>
      </w:r>
      <w:r w:rsidR="00EA3583">
        <w:rPr>
          <w:rFonts w:ascii="Century Schoolbook" w:hAnsi="Century Schoolbook"/>
        </w:rPr>
        <w:t>ed</w:t>
      </w:r>
      <w:r w:rsidRPr="00292509">
        <w:rPr>
          <w:rFonts w:ascii="Century Schoolbook" w:hAnsi="Century Schoolbook"/>
        </w:rPr>
        <w:t xml:space="preserve"> a prima facie high bill case and then the Company would have</w:t>
      </w:r>
      <w:r w:rsidR="002724DF">
        <w:rPr>
          <w:rFonts w:ascii="Century Schoolbook" w:hAnsi="Century Schoolbook"/>
        </w:rPr>
        <w:t xml:space="preserve"> </w:t>
      </w:r>
      <w:r w:rsidR="00D3697F">
        <w:rPr>
          <w:rFonts w:ascii="Century Schoolbook" w:hAnsi="Century Schoolbook"/>
        </w:rPr>
        <w:t>had</w:t>
      </w:r>
      <w:r w:rsidRPr="00292509">
        <w:rPr>
          <w:rFonts w:ascii="Century Schoolbook" w:hAnsi="Century Schoolbook"/>
        </w:rPr>
        <w:t xml:space="preserve"> t</w:t>
      </w:r>
      <w:r w:rsidR="004F5462">
        <w:rPr>
          <w:rFonts w:ascii="Century Schoolbook" w:hAnsi="Century Schoolbook"/>
        </w:rPr>
        <w:t>o introduce evidence to overcome</w:t>
      </w:r>
      <w:r w:rsidRPr="00292509">
        <w:rPr>
          <w:rFonts w:ascii="Century Schoolbook" w:hAnsi="Century Schoolbook"/>
        </w:rPr>
        <w:t xml:space="preserve"> the pri</w:t>
      </w:r>
      <w:r w:rsidR="004F5462">
        <w:rPr>
          <w:rFonts w:ascii="Century Schoolbook" w:hAnsi="Century Schoolbook"/>
        </w:rPr>
        <w:t>ma facie case</w:t>
      </w:r>
      <w:r w:rsidRPr="00292509">
        <w:rPr>
          <w:rFonts w:ascii="Century Schoolbook" w:hAnsi="Century Schoolbook"/>
        </w:rPr>
        <w:t xml:space="preserve">. </w:t>
      </w:r>
      <w:r w:rsidR="008A468E" w:rsidRPr="004F5462">
        <w:rPr>
          <w:rFonts w:ascii="Century Schoolbook" w:hAnsi="Century Schoolbook"/>
          <w:u w:val="single"/>
        </w:rPr>
        <w:t>Waldron</w:t>
      </w:r>
      <w:r w:rsidR="004F5462">
        <w:rPr>
          <w:rFonts w:ascii="Century Schoolbook" w:hAnsi="Century Schoolbook"/>
        </w:rPr>
        <w:t xml:space="preserve">, 54 Pa. PUC </w:t>
      </w:r>
      <w:r w:rsidR="00EA3583" w:rsidRPr="004F5462">
        <w:rPr>
          <w:rFonts w:ascii="Century Schoolbook" w:hAnsi="Century Schoolbook"/>
        </w:rPr>
        <w:t>at</w:t>
      </w:r>
      <w:r w:rsidR="00EA3583" w:rsidRPr="00D3697F">
        <w:rPr>
          <w:rFonts w:ascii="Century Schoolbook" w:hAnsi="Century Schoolbook"/>
        </w:rPr>
        <w:t xml:space="preserve"> 101.</w:t>
      </w:r>
      <w:r w:rsidRPr="00292509">
        <w:rPr>
          <w:rFonts w:ascii="Century Schoolbook" w:hAnsi="Century Schoolbook"/>
        </w:rPr>
        <w:t xml:space="preserve">  </w:t>
      </w:r>
    </w:p>
    <w:p w:rsidR="00BB6DDB" w:rsidRDefault="00BB6DDB" w:rsidP="00BB6DDB">
      <w:pPr>
        <w:ind w:firstLine="720"/>
        <w:rPr>
          <w:rFonts w:ascii="Century Schoolbook" w:eastAsia="Times New Roman" w:hAnsi="Century Schoolbook" w:cs="Tahoma"/>
          <w:color w:val="000000"/>
        </w:rPr>
      </w:pPr>
      <w:r>
        <w:rPr>
          <w:rFonts w:ascii="Century Schoolbook" w:eastAsia="Times New Roman" w:hAnsi="Century Schoolbook" w:cs="Tahoma"/>
          <w:color w:val="000000"/>
        </w:rPr>
        <w:t xml:space="preserve">Thus, to establish a prima facie case under </w:t>
      </w:r>
      <w:r>
        <w:rPr>
          <w:rFonts w:ascii="Century Schoolbook" w:eastAsia="Times New Roman" w:hAnsi="Century Schoolbook" w:cs="Tahoma"/>
          <w:color w:val="000000"/>
          <w:u w:val="single"/>
        </w:rPr>
        <w:t>Waldron</w:t>
      </w:r>
      <w:r>
        <w:rPr>
          <w:rFonts w:ascii="Century Schoolbook" w:eastAsia="Times New Roman" w:hAnsi="Century Schoolbook" w:cs="Tahoma"/>
          <w:color w:val="000000"/>
        </w:rPr>
        <w:t xml:space="preserve">, a Complainant must show the disputed bill was abnormally high when compared to prior usage patterns and his or her pattern of usage has not changed or must provide other relevant evidence showing that the disputed bill is unreasonably high. </w:t>
      </w:r>
    </w:p>
    <w:p w:rsidR="00573056" w:rsidRPr="00292509" w:rsidRDefault="00573056" w:rsidP="000F1925">
      <w:pPr>
        <w:ind w:firstLine="720"/>
        <w:rPr>
          <w:rFonts w:ascii="Century Schoolbook" w:hAnsi="Century Schoolbook"/>
        </w:rPr>
      </w:pPr>
      <w:r w:rsidRPr="00292509">
        <w:rPr>
          <w:rFonts w:ascii="Century Schoolbook" w:hAnsi="Century Schoolbook"/>
        </w:rPr>
        <w:t xml:space="preserve">By way of further </w:t>
      </w:r>
      <w:r w:rsidR="00D666D4" w:rsidRPr="00292509">
        <w:rPr>
          <w:rFonts w:ascii="Century Schoolbook" w:hAnsi="Century Schoolbook"/>
        </w:rPr>
        <w:t xml:space="preserve">restatement and </w:t>
      </w:r>
      <w:r w:rsidRPr="00292509">
        <w:rPr>
          <w:rFonts w:ascii="Century Schoolbook" w:hAnsi="Century Schoolbook"/>
        </w:rPr>
        <w:t xml:space="preserve">clarification, and as </w:t>
      </w:r>
      <w:r w:rsidR="00D666D4" w:rsidRPr="00292509">
        <w:rPr>
          <w:rFonts w:ascii="Century Schoolbook" w:hAnsi="Century Schoolbook"/>
        </w:rPr>
        <w:t xml:space="preserve">set forth </w:t>
      </w:r>
      <w:r w:rsidRPr="00292509">
        <w:rPr>
          <w:rFonts w:ascii="Century Schoolbook" w:hAnsi="Century Schoolbook"/>
        </w:rPr>
        <w:t xml:space="preserve">in </w:t>
      </w:r>
      <w:r w:rsidRPr="00292509">
        <w:rPr>
          <w:rFonts w:ascii="Century Schoolbook" w:hAnsi="Century Schoolbook"/>
          <w:u w:val="single"/>
        </w:rPr>
        <w:t>Waldron</w:t>
      </w:r>
      <w:r w:rsidRPr="00292509">
        <w:rPr>
          <w:rFonts w:ascii="Century Schoolbook" w:hAnsi="Century Schoolbook"/>
        </w:rPr>
        <w:t>, evidence pr</w:t>
      </w:r>
      <w:r w:rsidR="00D3697F">
        <w:rPr>
          <w:rFonts w:ascii="Century Schoolbook" w:hAnsi="Century Schoolbook"/>
        </w:rPr>
        <w:t>offered by a utility relating</w:t>
      </w:r>
      <w:r w:rsidRPr="00292509">
        <w:rPr>
          <w:rFonts w:ascii="Century Schoolbook" w:hAnsi="Century Schoolbook"/>
        </w:rPr>
        <w:t xml:space="preserve"> </w:t>
      </w:r>
      <w:r w:rsidR="0013501B">
        <w:rPr>
          <w:rFonts w:ascii="Century Schoolbook" w:hAnsi="Century Schoolbook"/>
        </w:rPr>
        <w:t xml:space="preserve">to </w:t>
      </w:r>
      <w:r w:rsidRPr="00292509">
        <w:rPr>
          <w:rFonts w:ascii="Century Schoolbook" w:hAnsi="Century Schoolbook"/>
        </w:rPr>
        <w:t>the accuracy of a meter test</w:t>
      </w:r>
      <w:r w:rsidR="004F5462">
        <w:rPr>
          <w:rFonts w:ascii="Century Schoolbook" w:hAnsi="Century Schoolbook"/>
        </w:rPr>
        <w:t>,</w:t>
      </w:r>
      <w:r w:rsidR="00D3697F">
        <w:rPr>
          <w:rFonts w:ascii="Century Schoolbook" w:hAnsi="Century Schoolbook"/>
        </w:rPr>
        <w:t xml:space="preserve"> in response to a high bill complaint</w:t>
      </w:r>
      <w:r w:rsidR="004F5462">
        <w:rPr>
          <w:rFonts w:ascii="Century Schoolbook" w:hAnsi="Century Schoolbook"/>
        </w:rPr>
        <w:t>,</w:t>
      </w:r>
      <w:r w:rsidRPr="00292509">
        <w:rPr>
          <w:rFonts w:ascii="Century Schoolbook" w:hAnsi="Century Schoolbook"/>
        </w:rPr>
        <w:t xml:space="preserve"> </w:t>
      </w:r>
      <w:r w:rsidR="00D666D4" w:rsidRPr="00292509">
        <w:rPr>
          <w:rFonts w:ascii="Century Schoolbook" w:hAnsi="Century Schoolbook"/>
        </w:rPr>
        <w:t>alone</w:t>
      </w:r>
      <w:r w:rsidRPr="00292509">
        <w:rPr>
          <w:rFonts w:ascii="Century Schoolbook" w:hAnsi="Century Schoolbook"/>
        </w:rPr>
        <w:t xml:space="preserve"> is not conclusive</w:t>
      </w:r>
      <w:r w:rsidR="00D3697F">
        <w:rPr>
          <w:rFonts w:ascii="Century Schoolbook" w:hAnsi="Century Schoolbook"/>
        </w:rPr>
        <w:t xml:space="preserve"> evidence</w:t>
      </w:r>
      <w:r w:rsidRPr="00292509">
        <w:rPr>
          <w:rFonts w:ascii="Century Schoolbook" w:hAnsi="Century Schoolbook"/>
        </w:rPr>
        <w:t xml:space="preserve"> and would not</w:t>
      </w:r>
      <w:r w:rsidR="002724DF">
        <w:rPr>
          <w:rFonts w:ascii="Century Schoolbook" w:hAnsi="Century Schoolbook"/>
        </w:rPr>
        <w:t>, by itself,</w:t>
      </w:r>
      <w:r w:rsidR="006553B4" w:rsidRPr="00292509">
        <w:rPr>
          <w:rFonts w:ascii="Century Schoolbook" w:hAnsi="Century Schoolbook"/>
        </w:rPr>
        <w:t xml:space="preserve"> </w:t>
      </w:r>
      <w:r w:rsidR="00D3697F">
        <w:rPr>
          <w:rFonts w:ascii="Century Schoolbook" w:hAnsi="Century Schoolbook"/>
        </w:rPr>
        <w:t xml:space="preserve">require </w:t>
      </w:r>
      <w:r w:rsidRPr="00292509">
        <w:rPr>
          <w:rFonts w:ascii="Century Schoolbook" w:hAnsi="Century Schoolbook"/>
        </w:rPr>
        <w:t xml:space="preserve">a finding </w:t>
      </w:r>
      <w:r w:rsidR="006553B4" w:rsidRPr="00292509">
        <w:rPr>
          <w:rFonts w:ascii="Century Schoolbook" w:hAnsi="Century Schoolbook"/>
        </w:rPr>
        <w:t xml:space="preserve">against a complainant and </w:t>
      </w:r>
      <w:r w:rsidRPr="00292509">
        <w:rPr>
          <w:rFonts w:ascii="Century Schoolbook" w:hAnsi="Century Schoolbook"/>
        </w:rPr>
        <w:t xml:space="preserve">in favor of a company.  </w:t>
      </w:r>
      <w:r w:rsidR="00493E4D" w:rsidRPr="00493E4D">
        <w:rPr>
          <w:rFonts w:ascii="Century Schoolbook" w:hAnsi="Century Schoolbook"/>
          <w:u w:val="single"/>
        </w:rPr>
        <w:t>Id.</w:t>
      </w:r>
      <w:r w:rsidR="001F2D97" w:rsidRPr="001F2D97">
        <w:rPr>
          <w:rFonts w:ascii="Century Schoolbook" w:hAnsi="Century Schoolbook"/>
        </w:rPr>
        <w:t xml:space="preserve"> </w:t>
      </w:r>
      <w:r w:rsidR="001F2D97">
        <w:rPr>
          <w:rFonts w:ascii="Century Schoolbook" w:hAnsi="Century Schoolbook"/>
        </w:rPr>
        <w:t xml:space="preserve"> </w:t>
      </w:r>
      <w:r w:rsidR="0013501B" w:rsidRPr="0013501B">
        <w:rPr>
          <w:rFonts w:ascii="Century Schoolbook" w:hAnsi="Century Schoolbook"/>
        </w:rPr>
        <w:t>In other words</w:t>
      </w:r>
      <w:r w:rsidR="00506291">
        <w:rPr>
          <w:rFonts w:ascii="Century Schoolbook" w:hAnsi="Century Schoolbook"/>
        </w:rPr>
        <w:t xml:space="preserve">, </w:t>
      </w:r>
      <w:r w:rsidR="00CB157C">
        <w:rPr>
          <w:rFonts w:ascii="Century Schoolbook" w:hAnsi="Century Schoolbook"/>
        </w:rPr>
        <w:t xml:space="preserve">evidence of </w:t>
      </w:r>
      <w:r w:rsidR="00506291">
        <w:rPr>
          <w:rFonts w:ascii="Century Schoolbook" w:hAnsi="Century Schoolbook"/>
        </w:rPr>
        <w:t>a meter test showing that the meter worked within the acceptable degree of accuracy can be over</w:t>
      </w:r>
      <w:r w:rsidR="00CB157C">
        <w:rPr>
          <w:rFonts w:ascii="Century Schoolbook" w:hAnsi="Century Schoolbook"/>
        </w:rPr>
        <w:t>-</w:t>
      </w:r>
      <w:r w:rsidR="00506291">
        <w:rPr>
          <w:rFonts w:ascii="Century Schoolbook" w:hAnsi="Century Schoolbook"/>
        </w:rPr>
        <w:t xml:space="preserve"> </w:t>
      </w:r>
      <w:r w:rsidR="00CB157C">
        <w:rPr>
          <w:rFonts w:ascii="Century Schoolbook" w:hAnsi="Century Schoolbook"/>
        </w:rPr>
        <w:t xml:space="preserve">come </w:t>
      </w:r>
      <w:r w:rsidR="00506291">
        <w:rPr>
          <w:rFonts w:ascii="Century Schoolbook" w:hAnsi="Century Schoolbook"/>
        </w:rPr>
        <w:t>with circumstantial evidence that can otherwise indicate that a bill was too high.</w:t>
      </w:r>
    </w:p>
    <w:p w:rsidR="00573056" w:rsidRPr="00292509" w:rsidRDefault="00D3697F" w:rsidP="00F01EBB">
      <w:pPr>
        <w:ind w:firstLine="720"/>
        <w:rPr>
          <w:rFonts w:ascii="Century Schoolbook" w:hAnsi="Century Schoolbook"/>
        </w:rPr>
      </w:pPr>
      <w:r>
        <w:rPr>
          <w:rFonts w:ascii="Century Schoolbook" w:hAnsi="Century Schoolbook"/>
        </w:rPr>
        <w:t>I</w:t>
      </w:r>
      <w:r w:rsidR="00994DA6" w:rsidRPr="00292509">
        <w:rPr>
          <w:rFonts w:ascii="Century Schoolbook" w:hAnsi="Century Schoolbook"/>
        </w:rPr>
        <w:t>n the present case,</w:t>
      </w:r>
      <w:r w:rsidR="002724DF">
        <w:rPr>
          <w:rFonts w:ascii="Century Schoolbook" w:hAnsi="Century Schoolbook"/>
        </w:rPr>
        <w:t xml:space="preserve"> the ALJ</w:t>
      </w:r>
      <w:r w:rsidR="00573056" w:rsidRPr="00292509">
        <w:rPr>
          <w:rFonts w:ascii="Century Schoolbook" w:hAnsi="Century Schoolbook"/>
        </w:rPr>
        <w:t xml:space="preserve"> </w:t>
      </w:r>
      <w:r w:rsidR="002724DF">
        <w:rPr>
          <w:rFonts w:ascii="Century Schoolbook" w:hAnsi="Century Schoolbook"/>
        </w:rPr>
        <w:t xml:space="preserve">correctly concluded that </w:t>
      </w:r>
      <w:r w:rsidR="00573056" w:rsidRPr="00292509">
        <w:rPr>
          <w:rFonts w:ascii="Century Schoolbook" w:hAnsi="Century Schoolbook"/>
        </w:rPr>
        <w:t xml:space="preserve">the Complainant failed to meet her burden of proof and thus </w:t>
      </w:r>
      <w:r w:rsidR="00994DA6" w:rsidRPr="00292509">
        <w:rPr>
          <w:rFonts w:ascii="Century Schoolbook" w:hAnsi="Century Schoolbook"/>
        </w:rPr>
        <w:t>did not</w:t>
      </w:r>
      <w:r w:rsidR="00573056" w:rsidRPr="00292509">
        <w:rPr>
          <w:rFonts w:ascii="Century Schoolbook" w:hAnsi="Century Schoolbook"/>
        </w:rPr>
        <w:t xml:space="preserve"> establish a prima facie case by presenting facts or circumstances envisioned under </w:t>
      </w:r>
      <w:r w:rsidR="008A468E" w:rsidRPr="002724DF">
        <w:rPr>
          <w:rFonts w:ascii="Century Schoolbook" w:hAnsi="Century Schoolbook"/>
          <w:u w:val="single"/>
        </w:rPr>
        <w:t>Waldron</w:t>
      </w:r>
      <w:r w:rsidR="002724DF">
        <w:rPr>
          <w:rFonts w:ascii="Century Schoolbook" w:hAnsi="Century Schoolbook"/>
        </w:rPr>
        <w:t xml:space="preserve">. </w:t>
      </w:r>
      <w:r w:rsidR="00FA37D9">
        <w:rPr>
          <w:rFonts w:ascii="Century Schoolbook" w:hAnsi="Century Schoolbook"/>
        </w:rPr>
        <w:t xml:space="preserve">The </w:t>
      </w:r>
      <w:r w:rsidR="00B2535C">
        <w:rPr>
          <w:rFonts w:ascii="Century Schoolbook" w:hAnsi="Century Schoolbook"/>
        </w:rPr>
        <w:t>Complainant did not produce any circumstantial evidence in support of her claim</w:t>
      </w:r>
      <w:r w:rsidR="00FA37D9">
        <w:rPr>
          <w:rFonts w:ascii="Century Schoolbook" w:hAnsi="Century Schoolbook"/>
        </w:rPr>
        <w:t>; c</w:t>
      </w:r>
      <w:r w:rsidR="00573056" w:rsidRPr="002724DF">
        <w:rPr>
          <w:rFonts w:ascii="Century Schoolbook" w:hAnsi="Century Schoolbook"/>
        </w:rPr>
        <w:t>onsequently</w:t>
      </w:r>
      <w:r w:rsidR="00B2535C">
        <w:rPr>
          <w:rFonts w:ascii="Century Schoolbook" w:hAnsi="Century Schoolbook"/>
        </w:rPr>
        <w:t>,</w:t>
      </w:r>
      <w:r w:rsidR="00573056" w:rsidRPr="002724DF">
        <w:rPr>
          <w:rFonts w:ascii="Century Schoolbook" w:hAnsi="Century Schoolbook"/>
        </w:rPr>
        <w:t xml:space="preserve"> we </w:t>
      </w:r>
      <w:r w:rsidR="004F5462">
        <w:rPr>
          <w:rFonts w:ascii="Century Schoolbook" w:hAnsi="Century Schoolbook"/>
        </w:rPr>
        <w:t>should</w:t>
      </w:r>
      <w:r w:rsidR="00573056" w:rsidRPr="002724DF">
        <w:rPr>
          <w:rFonts w:ascii="Century Schoolbook" w:hAnsi="Century Schoolbook"/>
        </w:rPr>
        <w:t xml:space="preserve"> not disturb the</w:t>
      </w:r>
      <w:r w:rsidR="00573056" w:rsidRPr="00292509">
        <w:rPr>
          <w:rFonts w:ascii="Century Schoolbook" w:hAnsi="Century Schoolbook"/>
        </w:rPr>
        <w:t xml:space="preserve"> holding of the ALJ dismissing the complaint.  </w:t>
      </w:r>
    </w:p>
    <w:p w:rsidR="00BB6DDB" w:rsidRDefault="00553C75" w:rsidP="00553C75">
      <w:pPr>
        <w:rPr>
          <w:rFonts w:ascii="Tahoma" w:eastAsia="Times New Roman" w:hAnsi="Tahoma" w:cs="Tahoma"/>
          <w:color w:val="000000"/>
          <w:sz w:val="20"/>
          <w:szCs w:val="20"/>
        </w:rPr>
      </w:pPr>
      <w:r>
        <w:rPr>
          <w:rFonts w:ascii="Tahoma" w:eastAsia="Times New Roman" w:hAnsi="Tahoma" w:cs="Tahoma"/>
          <w:color w:val="000000"/>
          <w:sz w:val="20"/>
          <w:szCs w:val="20"/>
        </w:rPr>
        <w:t> </w:t>
      </w:r>
    </w:p>
    <w:p w:rsidR="00573056" w:rsidRPr="00F902F1" w:rsidRDefault="00573056" w:rsidP="00F902F1">
      <w:pPr>
        <w:rPr>
          <w:rFonts w:ascii="Century Schoolbook" w:hAnsi="Century Schoolbook"/>
        </w:rPr>
      </w:pPr>
      <w:r w:rsidRPr="00F902F1">
        <w:rPr>
          <w:rFonts w:ascii="Century Schoolbook" w:hAnsi="Century Schoolbook"/>
          <w:b/>
          <w:sz w:val="24"/>
          <w:szCs w:val="24"/>
        </w:rPr>
        <w:lastRenderedPageBreak/>
        <w:t>Therefore</w:t>
      </w:r>
      <w:r w:rsidRPr="00292509">
        <w:rPr>
          <w:rFonts w:ascii="Century Schoolbook" w:hAnsi="Century Schoolbook"/>
        </w:rPr>
        <w:t xml:space="preserve">, </w:t>
      </w:r>
      <w:r w:rsidR="00B2535C">
        <w:rPr>
          <w:rFonts w:ascii="Century Schoolbook" w:hAnsi="Century Schoolbook"/>
        </w:rPr>
        <w:t xml:space="preserve">I move </w:t>
      </w:r>
      <w:r w:rsidRPr="00292509">
        <w:rPr>
          <w:rFonts w:ascii="Century Schoolbook" w:hAnsi="Century Schoolbook"/>
        </w:rPr>
        <w:t>that</w:t>
      </w:r>
      <w:r w:rsidR="00BB6DDB">
        <w:rPr>
          <w:rFonts w:ascii="Century Schoolbook" w:hAnsi="Century Schoolbook"/>
        </w:rPr>
        <w:t xml:space="preserve"> t</w:t>
      </w:r>
      <w:r w:rsidRPr="00F902F1">
        <w:rPr>
          <w:rFonts w:ascii="Century Schoolbook" w:hAnsi="Century Schoolbook"/>
        </w:rPr>
        <w:t>he Office of Special Assistants prepare an or</w:t>
      </w:r>
      <w:r w:rsidR="00F902F1" w:rsidRPr="00F902F1">
        <w:rPr>
          <w:rFonts w:ascii="Century Schoolbook" w:hAnsi="Century Schoolbook"/>
        </w:rPr>
        <w:t>der consistent with this Motion to:</w:t>
      </w:r>
    </w:p>
    <w:p w:rsidR="00C209D2" w:rsidRDefault="00F902F1" w:rsidP="00BB6DDB">
      <w:pPr>
        <w:pStyle w:val="ListParagraph"/>
        <w:numPr>
          <w:ilvl w:val="0"/>
          <w:numId w:val="1"/>
        </w:numPr>
        <w:rPr>
          <w:rFonts w:ascii="Century Schoolbook" w:hAnsi="Century Schoolbook"/>
        </w:rPr>
      </w:pPr>
      <w:r w:rsidRPr="00BB6DDB">
        <w:rPr>
          <w:rFonts w:ascii="Century Schoolbook" w:hAnsi="Century Schoolbook"/>
        </w:rPr>
        <w:t xml:space="preserve">Affirm the Initial Decision as to dismissal of the complaint and provision of </w:t>
      </w:r>
      <w:r w:rsidR="00C209D2" w:rsidRPr="00BB6DDB">
        <w:rPr>
          <w:rFonts w:ascii="Century Schoolbook" w:hAnsi="Century Schoolbook"/>
        </w:rPr>
        <w:t xml:space="preserve"> payment arrangement; and</w:t>
      </w:r>
    </w:p>
    <w:p w:rsidR="00BB6DDB" w:rsidRPr="00BB6DDB" w:rsidRDefault="00BB6DDB" w:rsidP="00BB6DDB">
      <w:pPr>
        <w:pStyle w:val="ListParagraph"/>
        <w:rPr>
          <w:rFonts w:ascii="Century Schoolbook" w:hAnsi="Century Schoolbook"/>
        </w:rPr>
      </w:pPr>
    </w:p>
    <w:p w:rsidR="00F902F1" w:rsidRPr="00F902F1" w:rsidRDefault="00C209D2" w:rsidP="00F902F1">
      <w:pPr>
        <w:pStyle w:val="ListParagraph"/>
        <w:numPr>
          <w:ilvl w:val="0"/>
          <w:numId w:val="1"/>
        </w:numPr>
        <w:rPr>
          <w:rFonts w:ascii="Century Schoolbook" w:hAnsi="Century Schoolbook"/>
        </w:rPr>
      </w:pPr>
      <w:r>
        <w:rPr>
          <w:rFonts w:ascii="Century Schoolbook" w:hAnsi="Century Schoolbook"/>
        </w:rPr>
        <w:t xml:space="preserve">Restate the Commission’s policy regarding </w:t>
      </w:r>
      <w:r w:rsidRPr="00130EB2">
        <w:rPr>
          <w:rFonts w:ascii="Century Schoolbook" w:hAnsi="Century Schoolbook"/>
          <w:u w:val="single"/>
        </w:rPr>
        <w:t>Waldron v. Philadelphia Electric Company</w:t>
      </w:r>
      <w:r>
        <w:rPr>
          <w:rFonts w:ascii="Century Schoolbook" w:hAnsi="Century Schoolbook"/>
        </w:rPr>
        <w:t>, 54 Pa. PUC 98 (1980)</w:t>
      </w:r>
      <w:r w:rsidR="00BB6DDB">
        <w:rPr>
          <w:rFonts w:ascii="Century Schoolbook" w:hAnsi="Century Schoolbook"/>
        </w:rPr>
        <w:t>,</w:t>
      </w:r>
      <w:r>
        <w:rPr>
          <w:rFonts w:ascii="Century Schoolbook" w:hAnsi="Century Schoolbook"/>
        </w:rPr>
        <w:t xml:space="preserve"> consistent with this Motion.</w:t>
      </w:r>
      <w:r w:rsidR="00F902F1">
        <w:rPr>
          <w:rFonts w:ascii="Century Schoolbook" w:hAnsi="Century Schoolbook"/>
        </w:rPr>
        <w:t xml:space="preserve"> </w:t>
      </w:r>
    </w:p>
    <w:p w:rsidR="00573056" w:rsidRDefault="00573056" w:rsidP="00EB3224">
      <w:pPr>
        <w:spacing w:after="0"/>
        <w:rPr>
          <w:rFonts w:ascii="Century Schoolbook" w:hAnsi="Century Schoolbook"/>
        </w:rPr>
      </w:pPr>
    </w:p>
    <w:p w:rsidR="00EB3224" w:rsidRDefault="00EB3224" w:rsidP="00EB3224">
      <w:pPr>
        <w:spacing w:after="0"/>
        <w:rPr>
          <w:rFonts w:ascii="Century Schoolbook" w:hAnsi="Century Schoolbook"/>
        </w:rPr>
      </w:pPr>
    </w:p>
    <w:p w:rsidR="00EB3224" w:rsidRDefault="00EB3224" w:rsidP="00EB3224">
      <w:pPr>
        <w:spacing w:after="0"/>
        <w:rPr>
          <w:rFonts w:ascii="Century Schoolbook" w:hAnsi="Century Schoolbook"/>
        </w:rPr>
      </w:pPr>
    </w:p>
    <w:p w:rsidR="00EB3224" w:rsidRDefault="00EB3224" w:rsidP="00EB3224">
      <w:pPr>
        <w:spacing w:after="0"/>
        <w:rPr>
          <w:rFonts w:ascii="Century Schoolbook" w:hAnsi="Century Schoolbook"/>
        </w:rPr>
      </w:pPr>
      <w:r>
        <w:rPr>
          <w:rFonts w:ascii="Century Schoolbook" w:hAnsi="Century Schoolbook"/>
        </w:rPr>
        <w:t>.</w:t>
      </w:r>
    </w:p>
    <w:p w:rsidR="00EB3224" w:rsidRDefault="00EB3224" w:rsidP="00EB3224">
      <w:pPr>
        <w:spacing w:after="0"/>
        <w:rPr>
          <w:rFonts w:ascii="Century Schoolbook" w:hAnsi="Century Schoolbook"/>
        </w:rPr>
      </w:pPr>
    </w:p>
    <w:p w:rsidR="00EB3224" w:rsidRDefault="00EB3224" w:rsidP="00EB3224">
      <w:pPr>
        <w:spacing w:after="0"/>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r>
      <w:r>
        <w:rPr>
          <w:rFonts w:ascii="Century Schoolbook" w:hAnsi="Century Schoolbook"/>
        </w:rPr>
        <w:softHyphen/>
        <w:t>______________________________</w:t>
      </w:r>
    </w:p>
    <w:p w:rsidR="00EB3224" w:rsidRDefault="00EB3224" w:rsidP="00EB3224">
      <w:pPr>
        <w:spacing w:after="0"/>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James H. Cawley,</w:t>
      </w:r>
    </w:p>
    <w:p w:rsidR="00EB3224" w:rsidRDefault="00EB3224" w:rsidP="00EB3224">
      <w:pPr>
        <w:spacing w:after="0"/>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Chairman</w:t>
      </w:r>
    </w:p>
    <w:p w:rsidR="00EB3224" w:rsidRDefault="00EB3224" w:rsidP="00EB3224">
      <w:pPr>
        <w:spacing w:after="0"/>
        <w:rPr>
          <w:rFonts w:ascii="Century Schoolbook" w:hAnsi="Century Schoolbook"/>
        </w:rPr>
      </w:pPr>
    </w:p>
    <w:p w:rsidR="00EB3224" w:rsidRPr="00292509" w:rsidRDefault="00EB3224" w:rsidP="00EB3224">
      <w:pPr>
        <w:spacing w:after="0"/>
        <w:rPr>
          <w:rFonts w:ascii="Century Schoolbook" w:hAnsi="Century Schoolbook"/>
        </w:rPr>
      </w:pPr>
      <w:r>
        <w:rPr>
          <w:rFonts w:ascii="Century Schoolbook" w:hAnsi="Century Schoolbook"/>
        </w:rPr>
        <w:t>Dated:  September 23, 2010</w:t>
      </w:r>
    </w:p>
    <w:sectPr w:rsidR="00EB3224" w:rsidRPr="00292509" w:rsidSect="008C3DE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26" w:rsidRDefault="001C2F26" w:rsidP="003F7C39">
      <w:pPr>
        <w:spacing w:after="0" w:line="240" w:lineRule="auto"/>
      </w:pPr>
      <w:r>
        <w:separator/>
      </w:r>
    </w:p>
  </w:endnote>
  <w:endnote w:type="continuationSeparator" w:id="0">
    <w:p w:rsidR="001C2F26" w:rsidRDefault="001C2F26" w:rsidP="003F7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26" w:rsidRDefault="001C2F26" w:rsidP="003F7C39">
      <w:pPr>
        <w:spacing w:after="0" w:line="240" w:lineRule="auto"/>
      </w:pPr>
      <w:r>
        <w:separator/>
      </w:r>
    </w:p>
  </w:footnote>
  <w:footnote w:type="continuationSeparator" w:id="0">
    <w:p w:rsidR="001C2F26" w:rsidRDefault="001C2F26" w:rsidP="003F7C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F52E1"/>
    <w:multiLevelType w:val="hybridMultilevel"/>
    <w:tmpl w:val="18A85E16"/>
    <w:lvl w:ilvl="0" w:tplc="E8583EE0">
      <w:start w:val="1"/>
      <w:numFmt w:val="decimal"/>
      <w:lvlText w:val="%1."/>
      <w:lvlJc w:val="left"/>
      <w:pPr>
        <w:ind w:left="720" w:hanging="360"/>
      </w:pPr>
      <w:rPr>
        <w:rFonts w:ascii="Century Schoolbook" w:eastAsia="Calibri" w:hAnsi="Century School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320B5"/>
    <w:rsid w:val="00020000"/>
    <w:rsid w:val="000555B3"/>
    <w:rsid w:val="000A0977"/>
    <w:rsid w:val="000A59BE"/>
    <w:rsid w:val="000B1126"/>
    <w:rsid w:val="000E1528"/>
    <w:rsid w:val="000F0895"/>
    <w:rsid w:val="000F1925"/>
    <w:rsid w:val="00101173"/>
    <w:rsid w:val="00130EB2"/>
    <w:rsid w:val="0013501B"/>
    <w:rsid w:val="00142E57"/>
    <w:rsid w:val="001B0B4F"/>
    <w:rsid w:val="001B5581"/>
    <w:rsid w:val="001C2F26"/>
    <w:rsid w:val="001D011B"/>
    <w:rsid w:val="001D50E0"/>
    <w:rsid w:val="001E0F60"/>
    <w:rsid w:val="001F2D97"/>
    <w:rsid w:val="0020266F"/>
    <w:rsid w:val="00213D66"/>
    <w:rsid w:val="0022157A"/>
    <w:rsid w:val="002250DF"/>
    <w:rsid w:val="002320B5"/>
    <w:rsid w:val="0024150B"/>
    <w:rsid w:val="0026415A"/>
    <w:rsid w:val="00266638"/>
    <w:rsid w:val="002724DF"/>
    <w:rsid w:val="0027452E"/>
    <w:rsid w:val="00292509"/>
    <w:rsid w:val="00292B0A"/>
    <w:rsid w:val="002C0577"/>
    <w:rsid w:val="002E0918"/>
    <w:rsid w:val="002F4DF6"/>
    <w:rsid w:val="0030090E"/>
    <w:rsid w:val="00311716"/>
    <w:rsid w:val="00351843"/>
    <w:rsid w:val="00375F03"/>
    <w:rsid w:val="0038046C"/>
    <w:rsid w:val="003849BA"/>
    <w:rsid w:val="0039355C"/>
    <w:rsid w:val="003A7309"/>
    <w:rsid w:val="003D65BE"/>
    <w:rsid w:val="003F7C39"/>
    <w:rsid w:val="003F7FCF"/>
    <w:rsid w:val="00421BC6"/>
    <w:rsid w:val="00425E5C"/>
    <w:rsid w:val="004341D7"/>
    <w:rsid w:val="0043640C"/>
    <w:rsid w:val="004632C0"/>
    <w:rsid w:val="00475B3F"/>
    <w:rsid w:val="00493E4D"/>
    <w:rsid w:val="004B20E6"/>
    <w:rsid w:val="004C13AA"/>
    <w:rsid w:val="004E0519"/>
    <w:rsid w:val="004F5462"/>
    <w:rsid w:val="005048C7"/>
    <w:rsid w:val="00506291"/>
    <w:rsid w:val="00525B75"/>
    <w:rsid w:val="005401D0"/>
    <w:rsid w:val="00541BA0"/>
    <w:rsid w:val="005470A2"/>
    <w:rsid w:val="00553C75"/>
    <w:rsid w:val="005544EF"/>
    <w:rsid w:val="0056100F"/>
    <w:rsid w:val="005615F7"/>
    <w:rsid w:val="00562ADA"/>
    <w:rsid w:val="00565D9F"/>
    <w:rsid w:val="00573056"/>
    <w:rsid w:val="00575A18"/>
    <w:rsid w:val="005B1C56"/>
    <w:rsid w:val="005C0D52"/>
    <w:rsid w:val="005C20AC"/>
    <w:rsid w:val="005F25E7"/>
    <w:rsid w:val="00606FFF"/>
    <w:rsid w:val="00611C5F"/>
    <w:rsid w:val="006439C4"/>
    <w:rsid w:val="00645882"/>
    <w:rsid w:val="006553B4"/>
    <w:rsid w:val="00667E43"/>
    <w:rsid w:val="006837AD"/>
    <w:rsid w:val="0069264B"/>
    <w:rsid w:val="006A56C0"/>
    <w:rsid w:val="006E59C9"/>
    <w:rsid w:val="00712C51"/>
    <w:rsid w:val="007151FA"/>
    <w:rsid w:val="00740B13"/>
    <w:rsid w:val="00742A93"/>
    <w:rsid w:val="00750678"/>
    <w:rsid w:val="00821019"/>
    <w:rsid w:val="0082237F"/>
    <w:rsid w:val="00855448"/>
    <w:rsid w:val="0088245F"/>
    <w:rsid w:val="0089535A"/>
    <w:rsid w:val="008A1DE9"/>
    <w:rsid w:val="008A231B"/>
    <w:rsid w:val="008A468E"/>
    <w:rsid w:val="008C3DED"/>
    <w:rsid w:val="008D3CF1"/>
    <w:rsid w:val="00916A0E"/>
    <w:rsid w:val="009629ED"/>
    <w:rsid w:val="0099416B"/>
    <w:rsid w:val="00994BD8"/>
    <w:rsid w:val="00994DA6"/>
    <w:rsid w:val="009B6B3D"/>
    <w:rsid w:val="009C1FDA"/>
    <w:rsid w:val="009C65E7"/>
    <w:rsid w:val="00A03DF5"/>
    <w:rsid w:val="00A07A53"/>
    <w:rsid w:val="00A31D38"/>
    <w:rsid w:val="00A44B7F"/>
    <w:rsid w:val="00A67627"/>
    <w:rsid w:val="00A9636C"/>
    <w:rsid w:val="00AC6326"/>
    <w:rsid w:val="00AE6E7B"/>
    <w:rsid w:val="00B009C2"/>
    <w:rsid w:val="00B2535C"/>
    <w:rsid w:val="00B50496"/>
    <w:rsid w:val="00B61E46"/>
    <w:rsid w:val="00B83682"/>
    <w:rsid w:val="00B858A9"/>
    <w:rsid w:val="00B85E9B"/>
    <w:rsid w:val="00B95E60"/>
    <w:rsid w:val="00B97A6D"/>
    <w:rsid w:val="00BA7C02"/>
    <w:rsid w:val="00BB6DDB"/>
    <w:rsid w:val="00BF1988"/>
    <w:rsid w:val="00BF2043"/>
    <w:rsid w:val="00C209D2"/>
    <w:rsid w:val="00C51B07"/>
    <w:rsid w:val="00C72F8A"/>
    <w:rsid w:val="00C743C0"/>
    <w:rsid w:val="00C74FF5"/>
    <w:rsid w:val="00C81CD3"/>
    <w:rsid w:val="00C823D1"/>
    <w:rsid w:val="00C849FD"/>
    <w:rsid w:val="00CB157C"/>
    <w:rsid w:val="00CC498E"/>
    <w:rsid w:val="00CD4379"/>
    <w:rsid w:val="00CE74E2"/>
    <w:rsid w:val="00CF0F65"/>
    <w:rsid w:val="00D01504"/>
    <w:rsid w:val="00D1530A"/>
    <w:rsid w:val="00D163BC"/>
    <w:rsid w:val="00D21B70"/>
    <w:rsid w:val="00D3697F"/>
    <w:rsid w:val="00D532FA"/>
    <w:rsid w:val="00D61343"/>
    <w:rsid w:val="00D666D4"/>
    <w:rsid w:val="00DE04DA"/>
    <w:rsid w:val="00E17D29"/>
    <w:rsid w:val="00E215F1"/>
    <w:rsid w:val="00E220E4"/>
    <w:rsid w:val="00E24BF9"/>
    <w:rsid w:val="00E336F4"/>
    <w:rsid w:val="00E522CE"/>
    <w:rsid w:val="00E53BAC"/>
    <w:rsid w:val="00E6016D"/>
    <w:rsid w:val="00E75C51"/>
    <w:rsid w:val="00EA069C"/>
    <w:rsid w:val="00EA3583"/>
    <w:rsid w:val="00EB3224"/>
    <w:rsid w:val="00EC6095"/>
    <w:rsid w:val="00ED0F07"/>
    <w:rsid w:val="00ED4856"/>
    <w:rsid w:val="00EF7C72"/>
    <w:rsid w:val="00F01EBB"/>
    <w:rsid w:val="00F04DCD"/>
    <w:rsid w:val="00F24999"/>
    <w:rsid w:val="00F40501"/>
    <w:rsid w:val="00F53590"/>
    <w:rsid w:val="00F72319"/>
    <w:rsid w:val="00F767F1"/>
    <w:rsid w:val="00F80D1A"/>
    <w:rsid w:val="00F902F1"/>
    <w:rsid w:val="00FA37D9"/>
    <w:rsid w:val="00FC1BA3"/>
    <w:rsid w:val="00FD1EE6"/>
    <w:rsid w:val="00FF2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3F7C3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7C39"/>
    <w:rPr>
      <w:rFonts w:cs="Times New Roman"/>
      <w:sz w:val="20"/>
      <w:szCs w:val="20"/>
    </w:rPr>
  </w:style>
  <w:style w:type="character" w:styleId="EndnoteReference">
    <w:name w:val="endnote reference"/>
    <w:basedOn w:val="DefaultParagraphFont"/>
    <w:uiPriority w:val="99"/>
    <w:semiHidden/>
    <w:rsid w:val="003F7C39"/>
    <w:rPr>
      <w:rFonts w:cs="Times New Roman"/>
      <w:vertAlign w:val="superscript"/>
    </w:rPr>
  </w:style>
  <w:style w:type="paragraph" w:styleId="FootnoteText">
    <w:name w:val="footnote text"/>
    <w:basedOn w:val="Normal"/>
    <w:link w:val="FootnoteTextChar"/>
    <w:uiPriority w:val="99"/>
    <w:semiHidden/>
    <w:rsid w:val="00AE6E7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E6E7B"/>
    <w:rPr>
      <w:rFonts w:cs="Times New Roman"/>
      <w:sz w:val="20"/>
      <w:szCs w:val="20"/>
    </w:rPr>
  </w:style>
  <w:style w:type="character" w:styleId="FootnoteReference">
    <w:name w:val="footnote reference"/>
    <w:basedOn w:val="DefaultParagraphFont"/>
    <w:uiPriority w:val="99"/>
    <w:semiHidden/>
    <w:rsid w:val="00AE6E7B"/>
    <w:rPr>
      <w:rFonts w:cs="Times New Roman"/>
      <w:vertAlign w:val="superscript"/>
    </w:rPr>
  </w:style>
  <w:style w:type="paragraph" w:styleId="BalloonText">
    <w:name w:val="Balloon Text"/>
    <w:basedOn w:val="Normal"/>
    <w:link w:val="BalloonTextChar"/>
    <w:uiPriority w:val="99"/>
    <w:semiHidden/>
    <w:rsid w:val="00C743C0"/>
    <w:rPr>
      <w:rFonts w:ascii="Tahoma" w:hAnsi="Tahoma" w:cs="Tahoma"/>
      <w:sz w:val="16"/>
      <w:szCs w:val="16"/>
    </w:rPr>
  </w:style>
  <w:style w:type="character" w:customStyle="1" w:styleId="BalloonTextChar">
    <w:name w:val="Balloon Text Char"/>
    <w:basedOn w:val="DefaultParagraphFont"/>
    <w:link w:val="BalloonText"/>
    <w:uiPriority w:val="99"/>
    <w:semiHidden/>
    <w:rsid w:val="00BF1317"/>
    <w:rPr>
      <w:rFonts w:ascii="Times New Roman" w:hAnsi="Times New Roman"/>
      <w:sz w:val="0"/>
      <w:szCs w:val="0"/>
    </w:rPr>
  </w:style>
  <w:style w:type="table" w:styleId="TableGrid">
    <w:name w:val="Table Grid"/>
    <w:basedOn w:val="TableNormal"/>
    <w:uiPriority w:val="59"/>
    <w:locked/>
    <w:rsid w:val="00D532FA"/>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902F1"/>
    <w:pPr>
      <w:ind w:left="720"/>
      <w:contextualSpacing/>
    </w:pPr>
  </w:style>
</w:styles>
</file>

<file path=word/webSettings.xml><?xml version="1.0" encoding="utf-8"?>
<w:webSettings xmlns:r="http://schemas.openxmlformats.org/officeDocument/2006/relationships" xmlns:w="http://schemas.openxmlformats.org/wordprocessingml/2006/main">
  <w:divs>
    <w:div w:id="178607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A7C41-A4CE-4D1A-A24F-EA6A3068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Charisse M</vt:lpstr>
    </vt:vector>
  </TitlesOfParts>
  <Company>PA Public Utility Commission</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Charisse M</dc:title>
  <dc:subject/>
  <dc:creator>Administrator</dc:creator>
  <cp:keywords/>
  <dc:description/>
  <cp:lastModifiedBy>mmuth</cp:lastModifiedBy>
  <cp:revision>2</cp:revision>
  <dcterms:created xsi:type="dcterms:W3CDTF">2010-09-23T14:32:00Z</dcterms:created>
  <dcterms:modified xsi:type="dcterms:W3CDTF">2010-09-23T14:32:00Z</dcterms:modified>
</cp:coreProperties>
</file>