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788"/>
        <w:gridCol w:w="4788"/>
      </w:tblGrid>
      <w:tr w:rsidR="00C60A09" w:rsidRPr="005A0A6B" w:rsidTr="00002CE4">
        <w:tc>
          <w:tcPr>
            <w:tcW w:w="5000" w:type="pct"/>
            <w:gridSpan w:val="2"/>
          </w:tcPr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PENNSYLVANIA</w:t>
                </w:r>
              </w:smartTag>
            </w:smartTag>
          </w:p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r w:rsidRPr="005A0A6B">
              <w:rPr>
                <w:rFonts w:ascii="Times New (W1)" w:hAnsi="Times New (W1)"/>
                <w:b/>
                <w:sz w:val="26"/>
              </w:rPr>
              <w:t>PUBLIC UTILITY COMMISSION</w:t>
            </w:r>
          </w:p>
          <w:p w:rsidR="00C60A09" w:rsidRPr="005A0A6B" w:rsidRDefault="00C60A09" w:rsidP="000F22DA">
            <w:pPr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A0A6B">
                  <w:rPr>
                    <w:rFonts w:ascii="Times New (W1)" w:hAnsi="Times New (W1)"/>
                    <w:b/>
                    <w:sz w:val="26"/>
                  </w:rPr>
                  <w:t>Harrisburg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PA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  </w:t>
              </w:r>
              <w:smartTag w:uri="urn:schemas-microsoft-com:office:smarttags" w:element="PostalCode">
                <w:r w:rsidRPr="005A0A6B">
                  <w:rPr>
                    <w:rFonts w:ascii="Times New (W1)" w:hAnsi="Times New (W1)"/>
                    <w:b/>
                    <w:sz w:val="26"/>
                  </w:rPr>
                  <w:t>17105-3265</w:t>
                </w:r>
              </w:smartTag>
            </w:smartTag>
          </w:p>
          <w:p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F248A4" w:rsidP="000F22DA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Public Meeting held</w:t>
            </w:r>
            <w:r w:rsidR="006C0E59">
              <w:rPr>
                <w:rFonts w:ascii="Times New (W1)" w:hAnsi="Times New (W1)"/>
                <w:sz w:val="26"/>
              </w:rPr>
              <w:t xml:space="preserve"> September 23, 2010</w:t>
            </w:r>
          </w:p>
          <w:p w:rsidR="00C60A09" w:rsidRPr="005A0A6B" w:rsidRDefault="00C60A09" w:rsidP="000F22DA">
            <w:pPr>
              <w:jc w:val="right"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Commissioners Present:</w:t>
            </w:r>
          </w:p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James H. Cawley, Chairman</w:t>
            </w:r>
          </w:p>
          <w:p w:rsidR="00C60A09" w:rsidRPr="005A0A6B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Tyrone J. Christy, Vice Chairman</w:t>
            </w:r>
          </w:p>
          <w:p w:rsidR="00C60A09" w:rsidRPr="005A0A6B" w:rsidRDefault="001B76FF" w:rsidP="000F22DA">
            <w:pPr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John F. Coleman, Jr.</w:t>
            </w:r>
          </w:p>
          <w:p w:rsidR="00C60A09" w:rsidRDefault="00C60A09" w:rsidP="000F22DA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Wayne E. Gardner</w:t>
            </w:r>
          </w:p>
          <w:p w:rsidR="00817F37" w:rsidRPr="005A0A6B" w:rsidRDefault="00817F37" w:rsidP="00817F37">
            <w:pPr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Robert F. Powelson</w:t>
            </w:r>
          </w:p>
          <w:p w:rsidR="00C60A09" w:rsidRDefault="00C60A09" w:rsidP="000F22DA">
            <w:pPr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C60A09" w:rsidP="000F22DA">
            <w:pPr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C60A09" w:rsidRDefault="001B76FF" w:rsidP="000F22DA">
            <w:pPr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White Haven Borough</w:t>
            </w:r>
          </w:p>
          <w:p w:rsidR="001B76FF" w:rsidRDefault="001B76FF" w:rsidP="000F22DA">
            <w:pPr>
              <w:rPr>
                <w:rFonts w:ascii="Times New (W1)" w:hAnsi="Times New (W1)"/>
                <w:sz w:val="26"/>
              </w:rPr>
            </w:pPr>
          </w:p>
          <w:p w:rsidR="001B76FF" w:rsidRDefault="001B76FF" w:rsidP="000F22DA">
            <w:pPr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 xml:space="preserve">          v.</w:t>
            </w:r>
          </w:p>
          <w:p w:rsidR="001B76FF" w:rsidRDefault="001B76FF" w:rsidP="000F22DA">
            <w:pPr>
              <w:rPr>
                <w:rFonts w:ascii="Times New (W1)" w:hAnsi="Times New (W1)"/>
                <w:sz w:val="26"/>
              </w:rPr>
            </w:pPr>
          </w:p>
          <w:p w:rsidR="001B76FF" w:rsidRDefault="0043304E" w:rsidP="000F22DA">
            <w:pPr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Reading, Blue Mountain &amp;</w:t>
            </w:r>
          </w:p>
          <w:p w:rsidR="00C60A09" w:rsidRPr="005A0A6B" w:rsidRDefault="0043304E" w:rsidP="000F22DA">
            <w:pPr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Northern Railroad</w:t>
            </w:r>
          </w:p>
        </w:tc>
        <w:tc>
          <w:tcPr>
            <w:tcW w:w="2500" w:type="pct"/>
          </w:tcPr>
          <w:p w:rsidR="008A3A4A" w:rsidRPr="005A0A6B" w:rsidRDefault="00F248A4" w:rsidP="008A3A4A">
            <w:pPr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Docket No.</w:t>
            </w:r>
            <w:r w:rsidR="006C0E59">
              <w:rPr>
                <w:rFonts w:ascii="Times New (W1)" w:hAnsi="Times New (W1)"/>
                <w:sz w:val="26"/>
              </w:rPr>
              <w:t xml:space="preserve"> </w:t>
            </w:r>
            <w:r w:rsidR="001B76FF">
              <w:rPr>
                <w:rFonts w:ascii="Times New (W1)" w:hAnsi="Times New (W1)"/>
                <w:sz w:val="26"/>
              </w:rPr>
              <w:t>C-00004204</w:t>
            </w:r>
          </w:p>
        </w:tc>
      </w:tr>
    </w:tbl>
    <w:p w:rsidR="00AA548E" w:rsidRPr="00BC1F12" w:rsidRDefault="00AA548E" w:rsidP="00AA548E">
      <w:pPr>
        <w:jc w:val="center"/>
        <w:rPr>
          <w:bCs/>
        </w:rPr>
      </w:pPr>
    </w:p>
    <w:p w:rsidR="00AA548E" w:rsidRPr="00863342" w:rsidRDefault="00AA548E" w:rsidP="00AA548E">
      <w:pPr>
        <w:rPr>
          <w:sz w:val="26"/>
        </w:rPr>
      </w:pPr>
    </w:p>
    <w:p w:rsidR="00AA548E" w:rsidRDefault="00AA548E" w:rsidP="00AA548E">
      <w:pPr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AA548E" w:rsidRDefault="00AA548E" w:rsidP="00AA548E">
      <w:pPr>
        <w:rPr>
          <w:b/>
          <w:sz w:val="26"/>
        </w:rPr>
      </w:pPr>
    </w:p>
    <w:p w:rsidR="00AA548E" w:rsidRDefault="00AA548E" w:rsidP="00AA548E">
      <w:pPr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:rsidR="00AA548E" w:rsidRDefault="00AA548E" w:rsidP="000F1318">
      <w:pPr>
        <w:widowControl/>
        <w:tabs>
          <w:tab w:val="left" w:pos="-720"/>
        </w:tabs>
        <w:suppressAutoHyphens/>
        <w:rPr>
          <w:b/>
          <w:sz w:val="26"/>
        </w:rPr>
      </w:pP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b/>
          <w:sz w:val="26"/>
        </w:rPr>
      </w:pPr>
      <w:r w:rsidRPr="00027664">
        <w:rPr>
          <w:sz w:val="26"/>
        </w:rPr>
        <w:tab/>
      </w:r>
      <w:r w:rsidRPr="00027664">
        <w:rPr>
          <w:sz w:val="26"/>
        </w:rPr>
        <w:tab/>
        <w:t>Before the Commission 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</w:t>
      </w:r>
      <w:r w:rsidR="00AB7560">
        <w:rPr>
          <w:sz w:val="26"/>
        </w:rPr>
        <w:t>, Reargument and/or Stay</w:t>
      </w:r>
      <w:r w:rsidR="00F865D3">
        <w:rPr>
          <w:sz w:val="26"/>
        </w:rPr>
        <w:t xml:space="preserve"> (Petition)</w:t>
      </w:r>
      <w:r w:rsidRPr="00027664">
        <w:rPr>
          <w:sz w:val="26"/>
        </w:rPr>
        <w:t>, filed by</w:t>
      </w:r>
      <w:r w:rsidR="00AB7560">
        <w:rPr>
          <w:sz w:val="26"/>
        </w:rPr>
        <w:t xml:space="preserve"> White Haven Borough </w:t>
      </w:r>
      <w:r w:rsidR="004D78EC">
        <w:rPr>
          <w:sz w:val="26"/>
        </w:rPr>
        <w:t>(</w:t>
      </w:r>
      <w:r w:rsidR="00AB7560">
        <w:rPr>
          <w:sz w:val="26"/>
        </w:rPr>
        <w:t>Borough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295504">
        <w:rPr>
          <w:sz w:val="26"/>
        </w:rPr>
        <w:t xml:space="preserve"> September 10,</w:t>
      </w:r>
      <w:r w:rsidR="00AB7560">
        <w:rPr>
          <w:sz w:val="26"/>
        </w:rPr>
        <w:t xml:space="preserve"> 2010</w:t>
      </w:r>
      <w:r w:rsidR="00AA548E">
        <w:rPr>
          <w:sz w:val="26"/>
        </w:rPr>
        <w:t xml:space="preserve">, </w:t>
      </w:r>
      <w:r w:rsidR="007D6DFF">
        <w:rPr>
          <w:sz w:val="26"/>
        </w:rPr>
        <w:t xml:space="preserve">regarding </w:t>
      </w:r>
      <w:r w:rsidR="000505E5">
        <w:rPr>
          <w:sz w:val="26"/>
        </w:rPr>
        <w:t xml:space="preserve">the </w:t>
      </w:r>
      <w:r w:rsidR="00AB7560">
        <w:rPr>
          <w:sz w:val="26"/>
        </w:rPr>
        <w:t>Opinion and Order entered September 3, 2010</w:t>
      </w:r>
      <w:r w:rsidR="00E76CDB">
        <w:rPr>
          <w:sz w:val="26"/>
        </w:rPr>
        <w:t xml:space="preserve"> (</w:t>
      </w:r>
      <w:r w:rsidR="00E76CDB" w:rsidRPr="00E76CDB">
        <w:rPr>
          <w:i/>
          <w:sz w:val="26"/>
        </w:rPr>
        <w:t>September 3 Order</w:t>
      </w:r>
      <w:r w:rsidR="00E76CDB">
        <w:rPr>
          <w:sz w:val="26"/>
        </w:rPr>
        <w:t>)</w:t>
      </w:r>
      <w:r w:rsidRPr="00027664">
        <w:rPr>
          <w:sz w:val="26"/>
        </w:rPr>
        <w:t>, relative to the above-captioned proceedings.</w:t>
      </w:r>
    </w:p>
    <w:p w:rsidR="000F1318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295504" w:rsidRPr="00295504" w:rsidRDefault="00295504" w:rsidP="00295504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Reconsideration</w:t>
      </w:r>
    </w:p>
    <w:p w:rsidR="00295504" w:rsidRPr="00027664" w:rsidRDefault="00295504" w:rsidP="000F1318">
      <w:pPr>
        <w:spacing w:line="360" w:lineRule="auto"/>
        <w:ind w:firstLine="1440"/>
        <w:rPr>
          <w:sz w:val="26"/>
          <w:szCs w:val="26"/>
        </w:rPr>
      </w:pPr>
    </w:p>
    <w:p w:rsidR="00DD6E07" w:rsidRDefault="000F1318" w:rsidP="00AB7560">
      <w:pPr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Pursuant to Rule 1701 of the Pennsylvania Rules of Appellate Procedure, Pa. R.A.P. Rule 1701, the Commission must act to grant a petition for reconsideration within thirty days of the date of entry of the order for which reconsideration is sought, or </w:t>
      </w:r>
      <w:r w:rsidRPr="00027664">
        <w:rPr>
          <w:sz w:val="26"/>
        </w:rPr>
        <w:lastRenderedPageBreak/>
        <w:t>otherwise lose jurisdiction to do so if a petition for revi</w:t>
      </w:r>
      <w:r w:rsidR="007D6DFF">
        <w:rPr>
          <w:sz w:val="26"/>
        </w:rPr>
        <w:t>ew is timely filed.  The thirty-</w:t>
      </w:r>
      <w:r w:rsidRPr="00027664">
        <w:rPr>
          <w:sz w:val="26"/>
        </w:rPr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Pr="00027664">
        <w:rPr>
          <w:sz w:val="26"/>
        </w:rPr>
        <w:t xml:space="preserve"> is</w:t>
      </w:r>
      <w:r w:rsidR="00AB7560">
        <w:rPr>
          <w:sz w:val="26"/>
        </w:rPr>
        <w:t xml:space="preserve"> October 3, 2010</w:t>
      </w:r>
      <w:r w:rsidRPr="00027664">
        <w:rPr>
          <w:sz w:val="26"/>
        </w:rPr>
        <w:t>.</w:t>
      </w:r>
      <w:r w:rsidR="00AB7560">
        <w:rPr>
          <w:sz w:val="26"/>
        </w:rPr>
        <w:t xml:space="preserve">  </w:t>
      </w:r>
      <w:r w:rsidRPr="00027664">
        <w:rPr>
          <w:sz w:val="26"/>
        </w:rPr>
        <w:t>Accordin</w:t>
      </w:r>
      <w:r w:rsidR="002467A6">
        <w:rPr>
          <w:sz w:val="26"/>
        </w:rPr>
        <w:t>gly, we shall grant reconsidera</w:t>
      </w:r>
      <w:r w:rsidRPr="00027664">
        <w:rPr>
          <w:sz w:val="26"/>
        </w:rPr>
        <w:t>tion, within the meaning of Pa. </w:t>
      </w:r>
      <w:r w:rsidR="00E57269">
        <w:rPr>
          <w:sz w:val="26"/>
        </w:rPr>
        <w:t>R.A.P. Rule 1701(b)</w:t>
      </w:r>
      <w:r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6B0F2F">
        <w:rPr>
          <w:sz w:val="26"/>
        </w:rPr>
        <w:t xml:space="preserve"> for Reconsideration</w:t>
      </w:r>
      <w:r w:rsidR="00DD6E07">
        <w:rPr>
          <w:sz w:val="26"/>
        </w:rPr>
        <w:t>.</w:t>
      </w:r>
    </w:p>
    <w:p w:rsidR="00DD6E07" w:rsidRDefault="00DD6E07" w:rsidP="00AB7560">
      <w:pPr>
        <w:spacing w:line="360" w:lineRule="auto"/>
        <w:ind w:firstLine="1440"/>
        <w:rPr>
          <w:sz w:val="26"/>
        </w:rPr>
      </w:pPr>
    </w:p>
    <w:p w:rsidR="00295504" w:rsidRPr="00295504" w:rsidRDefault="00295504" w:rsidP="00295504">
      <w:pPr>
        <w:spacing w:line="360" w:lineRule="auto"/>
        <w:rPr>
          <w:b/>
          <w:sz w:val="26"/>
        </w:rPr>
      </w:pPr>
      <w:r>
        <w:rPr>
          <w:b/>
          <w:sz w:val="26"/>
        </w:rPr>
        <w:t>Stay</w:t>
      </w:r>
    </w:p>
    <w:p w:rsidR="00295504" w:rsidRDefault="00295504" w:rsidP="00AB7560">
      <w:pPr>
        <w:spacing w:line="360" w:lineRule="auto"/>
        <w:ind w:firstLine="1440"/>
        <w:rPr>
          <w:sz w:val="26"/>
        </w:rPr>
      </w:pPr>
    </w:p>
    <w:p w:rsidR="00FA045E" w:rsidRDefault="00FA045E" w:rsidP="00AB7560">
      <w:pPr>
        <w:spacing w:line="360" w:lineRule="auto"/>
        <w:ind w:firstLine="1440"/>
        <w:rPr>
          <w:sz w:val="26"/>
        </w:rPr>
      </w:pPr>
      <w:r>
        <w:rPr>
          <w:sz w:val="26"/>
        </w:rPr>
        <w:t>The Borough</w:t>
      </w:r>
      <w:r w:rsidR="00F865D3">
        <w:rPr>
          <w:sz w:val="26"/>
        </w:rPr>
        <w:t xml:space="preserve">’s </w:t>
      </w:r>
      <w:r w:rsidR="006B0F2F">
        <w:rPr>
          <w:sz w:val="26"/>
        </w:rPr>
        <w:t xml:space="preserve">Petition </w:t>
      </w:r>
      <w:r w:rsidR="002904C4">
        <w:rPr>
          <w:sz w:val="26"/>
        </w:rPr>
        <w:t xml:space="preserve">includes a request </w:t>
      </w:r>
      <w:r w:rsidR="006B0F2F">
        <w:rPr>
          <w:sz w:val="26"/>
        </w:rPr>
        <w:t xml:space="preserve">for </w:t>
      </w:r>
      <w:r w:rsidR="002904C4">
        <w:rPr>
          <w:sz w:val="26"/>
        </w:rPr>
        <w:t>a Stay</w:t>
      </w:r>
      <w:r w:rsidR="00DE5CA4">
        <w:rPr>
          <w:sz w:val="26"/>
        </w:rPr>
        <w:t xml:space="preserve"> pending resolution of the Petition.  O</w:t>
      </w:r>
      <w:r>
        <w:rPr>
          <w:sz w:val="26"/>
        </w:rPr>
        <w:t xml:space="preserve">ur </w:t>
      </w:r>
      <w:r w:rsidR="00C0525B" w:rsidRPr="00C0525B">
        <w:rPr>
          <w:i/>
          <w:sz w:val="26"/>
        </w:rPr>
        <w:t>September 3 Orde</w:t>
      </w:r>
      <w:r w:rsidR="00C0525B">
        <w:rPr>
          <w:i/>
          <w:sz w:val="26"/>
        </w:rPr>
        <w:t>r</w:t>
      </w:r>
      <w:r w:rsidR="007D4B7C">
        <w:rPr>
          <w:sz w:val="26"/>
        </w:rPr>
        <w:t xml:space="preserve"> requir</w:t>
      </w:r>
      <w:r w:rsidR="00DE5CA4">
        <w:rPr>
          <w:sz w:val="26"/>
        </w:rPr>
        <w:t>ed</w:t>
      </w:r>
      <w:r w:rsidR="00757594">
        <w:rPr>
          <w:sz w:val="26"/>
        </w:rPr>
        <w:t xml:space="preserve"> Reading, Blue Mountain &amp; Northern Rail</w:t>
      </w:r>
      <w:r w:rsidR="00E12D24">
        <w:rPr>
          <w:sz w:val="26"/>
        </w:rPr>
        <w:t xml:space="preserve">road (Railroad) </w:t>
      </w:r>
      <w:r w:rsidR="007D4B7C">
        <w:rPr>
          <w:sz w:val="26"/>
        </w:rPr>
        <w:t xml:space="preserve">to complete construction work on a wall, in accordance with a Commission-approved plan, </w:t>
      </w:r>
      <w:r w:rsidR="00E12D24">
        <w:rPr>
          <w:sz w:val="26"/>
        </w:rPr>
        <w:t>w</w:t>
      </w:r>
      <w:r w:rsidR="007D4B7C">
        <w:rPr>
          <w:sz w:val="26"/>
        </w:rPr>
        <w:t>ithin s</w:t>
      </w:r>
      <w:r w:rsidR="00E12D24">
        <w:rPr>
          <w:sz w:val="26"/>
        </w:rPr>
        <w:t>ixty</w:t>
      </w:r>
      <w:r w:rsidR="00757594">
        <w:rPr>
          <w:sz w:val="26"/>
        </w:rPr>
        <w:t xml:space="preserve"> days</w:t>
      </w:r>
      <w:r w:rsidR="007D4B7C">
        <w:rPr>
          <w:sz w:val="26"/>
        </w:rPr>
        <w:t xml:space="preserve"> of the entry of</w:t>
      </w:r>
      <w:r w:rsidR="007D6DFF">
        <w:rPr>
          <w:sz w:val="26"/>
        </w:rPr>
        <w:t xml:space="preserve"> that Order.  The Borough argues </w:t>
      </w:r>
      <w:r w:rsidR="007D4B7C">
        <w:rPr>
          <w:sz w:val="26"/>
        </w:rPr>
        <w:t>in its Petition that a Stay is necessary</w:t>
      </w:r>
      <w:r w:rsidR="00DE5CA4">
        <w:rPr>
          <w:sz w:val="26"/>
        </w:rPr>
        <w:t xml:space="preserve"> because it is believed that </w:t>
      </w:r>
      <w:r w:rsidR="007D4B7C">
        <w:rPr>
          <w:sz w:val="26"/>
        </w:rPr>
        <w:t xml:space="preserve">the </w:t>
      </w:r>
      <w:r w:rsidR="00DE5CA4">
        <w:rPr>
          <w:sz w:val="26"/>
        </w:rPr>
        <w:t>Railroad will begin construction activities on the site, but the Borough believes that any construction performed p</w:t>
      </w:r>
      <w:r w:rsidR="007D4B7C">
        <w:rPr>
          <w:sz w:val="26"/>
        </w:rPr>
        <w:t>ursuant to the plan</w:t>
      </w:r>
      <w:r w:rsidR="00DE5CA4">
        <w:rPr>
          <w:sz w:val="26"/>
        </w:rPr>
        <w:t xml:space="preserve"> will be inadequate.  Petition at ¶ 26</w:t>
      </w:r>
      <w:r w:rsidR="007D4B7C">
        <w:rPr>
          <w:sz w:val="26"/>
        </w:rPr>
        <w:t>.</w:t>
      </w:r>
    </w:p>
    <w:p w:rsidR="00FA045E" w:rsidRDefault="00FA045E" w:rsidP="00AB7560">
      <w:pPr>
        <w:spacing w:line="360" w:lineRule="auto"/>
        <w:ind w:firstLine="1440"/>
        <w:rPr>
          <w:sz w:val="26"/>
        </w:rPr>
      </w:pPr>
    </w:p>
    <w:p w:rsidR="007957CC" w:rsidRPr="0087198E" w:rsidRDefault="007957CC" w:rsidP="007957CC">
      <w:pPr>
        <w:spacing w:line="360" w:lineRule="auto"/>
        <w:ind w:firstLine="1440"/>
        <w:rPr>
          <w:sz w:val="26"/>
        </w:rPr>
      </w:pPr>
      <w:r w:rsidRPr="0087198E">
        <w:rPr>
          <w:sz w:val="26"/>
        </w:rPr>
        <w:t>Section 332(a) of the</w:t>
      </w:r>
      <w:r>
        <w:rPr>
          <w:sz w:val="26"/>
        </w:rPr>
        <w:t xml:space="preserve"> Public Utility</w:t>
      </w:r>
      <w:r w:rsidRPr="0087198E">
        <w:rPr>
          <w:sz w:val="26"/>
        </w:rPr>
        <w:t xml:space="preserve"> Code</w:t>
      </w:r>
      <w:r w:rsidR="00110BE6">
        <w:rPr>
          <w:sz w:val="26"/>
        </w:rPr>
        <w:t xml:space="preserve"> (Code)</w:t>
      </w:r>
      <w:r w:rsidRPr="0087198E">
        <w:rPr>
          <w:sz w:val="26"/>
        </w:rPr>
        <w:t>, 66 Pa. C.S. §</w:t>
      </w:r>
      <w:r>
        <w:rPr>
          <w:sz w:val="26"/>
        </w:rPr>
        <w:t xml:space="preserve"> </w:t>
      </w:r>
      <w:r w:rsidRPr="0087198E">
        <w:rPr>
          <w:sz w:val="26"/>
        </w:rPr>
        <w:t xml:space="preserve">332(a), provides that the party seeking a rule or order from the Commission has the burden of proof in that proceeding.  </w:t>
      </w:r>
      <w:r w:rsidR="00A36BEF">
        <w:rPr>
          <w:sz w:val="26"/>
        </w:rPr>
        <w:t xml:space="preserve">The burden of proof is therefore on the Borough.  </w:t>
      </w:r>
      <w:r w:rsidRPr="0087198E">
        <w:rPr>
          <w:sz w:val="26"/>
        </w:rPr>
        <w:t xml:space="preserve">It is axiomatic that “[a] litigant’s burden of proof before administrative tribunals as well as before most civil proceedings is satisfied by establishing a preponderance of evidence which is substantial and legally credible.” </w:t>
      </w:r>
      <w:r w:rsidRPr="0087198E">
        <w:rPr>
          <w:i/>
          <w:sz w:val="26"/>
        </w:rPr>
        <w:t xml:space="preserve">Samuel J. Lansberry, Inc. v. </w:t>
      </w:r>
      <w:smartTag w:uri="urn:schemas-microsoft-com:office:smarttags" w:element="State">
        <w:r w:rsidRPr="0087198E">
          <w:rPr>
            <w:i/>
            <w:sz w:val="26"/>
          </w:rPr>
          <w:t>Pa.</w:t>
        </w:r>
      </w:smartTag>
      <w:r w:rsidRPr="0087198E">
        <w:rPr>
          <w:i/>
          <w:sz w:val="26"/>
        </w:rPr>
        <w:t xml:space="preserve"> PUC</w:t>
      </w:r>
      <w:r w:rsidRPr="0087198E">
        <w:rPr>
          <w:sz w:val="26"/>
        </w:rPr>
        <w:t>, 578 A.2d 600, 602 (</w:t>
      </w:r>
      <w:smartTag w:uri="urn:schemas-microsoft-com:office:smarttags" w:element="place">
        <w:smartTag w:uri="urn:schemas-microsoft-com:office:smarttags" w:element="State">
          <w:r w:rsidRPr="0087198E">
            <w:rPr>
              <w:sz w:val="26"/>
            </w:rPr>
            <w:t>Pa.</w:t>
          </w:r>
        </w:smartTag>
      </w:smartTag>
      <w:r w:rsidRPr="0087198E">
        <w:rPr>
          <w:sz w:val="26"/>
        </w:rPr>
        <w:t xml:space="preserve"> Cmwlth. 1990).</w:t>
      </w:r>
    </w:p>
    <w:p w:rsidR="007957CC" w:rsidRDefault="007957CC" w:rsidP="007957CC">
      <w:pPr>
        <w:keepNext/>
        <w:spacing w:line="360" w:lineRule="auto"/>
        <w:rPr>
          <w:sz w:val="26"/>
        </w:rPr>
      </w:pPr>
    </w:p>
    <w:p w:rsidR="007957CC" w:rsidRPr="001008CC" w:rsidRDefault="007957CC" w:rsidP="007957CC">
      <w:pPr>
        <w:spacing w:line="360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 w:rsidRPr="001008CC">
        <w:rPr>
          <w:sz w:val="26"/>
        </w:rPr>
        <w:t xml:space="preserve">In </w:t>
      </w:r>
      <w:r w:rsidRPr="001008CC">
        <w:rPr>
          <w:i/>
          <w:sz w:val="26"/>
        </w:rPr>
        <w:t>Pa</w:t>
      </w:r>
      <w:r>
        <w:rPr>
          <w:i/>
          <w:sz w:val="26"/>
        </w:rPr>
        <w:t>.</w:t>
      </w:r>
      <w:r w:rsidRPr="001008CC">
        <w:rPr>
          <w:i/>
          <w:sz w:val="26"/>
        </w:rPr>
        <w:t xml:space="preserve"> PUC v. Process Gas Consumers Group</w:t>
      </w:r>
      <w:r w:rsidRPr="001008CC">
        <w:rPr>
          <w:sz w:val="26"/>
        </w:rPr>
        <w:t xml:space="preserve">, 502 </w:t>
      </w:r>
      <w:smartTag w:uri="urn:schemas-microsoft-com:office:smarttags" w:element="place">
        <w:smartTag w:uri="urn:schemas-microsoft-com:office:smarttags" w:element="State">
          <w:r w:rsidRPr="001008CC">
            <w:rPr>
              <w:sz w:val="26"/>
            </w:rPr>
            <w:t>Pa.</w:t>
          </w:r>
        </w:smartTag>
      </w:smartTag>
      <w:r w:rsidRPr="001008CC">
        <w:rPr>
          <w:sz w:val="26"/>
        </w:rPr>
        <w:t xml:space="preserve"> 545, 467 A.2d 805 (1983)</w:t>
      </w:r>
      <w:r>
        <w:rPr>
          <w:sz w:val="26"/>
        </w:rPr>
        <w:t xml:space="preserve"> </w:t>
      </w:r>
      <w:r w:rsidRPr="006723BA">
        <w:rPr>
          <w:i/>
          <w:sz w:val="26"/>
        </w:rPr>
        <w:t>rev’d on other grounds</w:t>
      </w:r>
      <w:r>
        <w:rPr>
          <w:i/>
          <w:sz w:val="26"/>
        </w:rPr>
        <w:t xml:space="preserve"> by</w:t>
      </w:r>
      <w:r>
        <w:rPr>
          <w:sz w:val="26"/>
        </w:rPr>
        <w:t xml:space="preserve"> </w:t>
      </w:r>
      <w:r w:rsidRPr="006723BA">
        <w:rPr>
          <w:sz w:val="26"/>
        </w:rPr>
        <w:t>511 Pa. 88, 511 A.2d 1315 (1986)</w:t>
      </w:r>
      <w:r>
        <w:rPr>
          <w:sz w:val="26"/>
        </w:rPr>
        <w:t xml:space="preserve">, </w:t>
      </w:r>
      <w:r w:rsidRPr="001008CC">
        <w:rPr>
          <w:sz w:val="26"/>
        </w:rPr>
        <w:t>the Pennsylvania Supreme Court expressly held that the standards for grant</w:t>
      </w:r>
      <w:r w:rsidR="00B87303">
        <w:rPr>
          <w:sz w:val="26"/>
        </w:rPr>
        <w:t>ing a</w:t>
      </w:r>
      <w:r w:rsidRPr="001008CC">
        <w:rPr>
          <w:sz w:val="26"/>
        </w:rPr>
        <w:t xml:space="preserve"> </w:t>
      </w:r>
      <w:r>
        <w:rPr>
          <w:sz w:val="26"/>
        </w:rPr>
        <w:t xml:space="preserve">supersedeas or </w:t>
      </w:r>
      <w:r w:rsidRPr="001008CC">
        <w:rPr>
          <w:sz w:val="26"/>
        </w:rPr>
        <w:t xml:space="preserve">a stay adopted and followed in federal courts, as set forth in the landmark case of </w:t>
      </w:r>
      <w:r w:rsidRPr="001008CC">
        <w:rPr>
          <w:i/>
          <w:sz w:val="26"/>
        </w:rPr>
        <w:t>Virginia Petroleum Jobbers Association v. Federal Power Commission</w:t>
      </w:r>
      <w:r>
        <w:rPr>
          <w:sz w:val="26"/>
        </w:rPr>
        <w:t xml:space="preserve">, 259 F.2d 921 (D.C. </w:t>
      </w:r>
      <w:r>
        <w:rPr>
          <w:sz w:val="26"/>
        </w:rPr>
        <w:lastRenderedPageBreak/>
        <w:t>Cir. </w:t>
      </w:r>
      <w:r w:rsidRPr="001008CC">
        <w:rPr>
          <w:sz w:val="26"/>
        </w:rPr>
        <w:t>1958) (</w:t>
      </w:r>
      <w:r w:rsidRPr="001008CC">
        <w:rPr>
          <w:i/>
          <w:sz w:val="26"/>
        </w:rPr>
        <w:t>Virginia Jobbers</w:t>
      </w:r>
      <w:r w:rsidRPr="001008CC">
        <w:rPr>
          <w:sz w:val="26"/>
        </w:rPr>
        <w:t>)</w:t>
      </w:r>
      <w:r>
        <w:rPr>
          <w:sz w:val="26"/>
        </w:rPr>
        <w:t>,</w:t>
      </w:r>
      <w:r w:rsidRPr="001008CC">
        <w:rPr>
          <w:sz w:val="26"/>
        </w:rPr>
        <w:t xml:space="preserve"> should also be the applicable law in Pennsylvania for determining whether a stay should be granted. </w:t>
      </w:r>
      <w:r>
        <w:rPr>
          <w:sz w:val="26"/>
        </w:rPr>
        <w:t xml:space="preserve"> </w:t>
      </w:r>
      <w:r w:rsidRPr="001008CC">
        <w:rPr>
          <w:sz w:val="26"/>
        </w:rPr>
        <w:t xml:space="preserve">The four </w:t>
      </w:r>
      <w:r>
        <w:rPr>
          <w:sz w:val="26"/>
        </w:rPr>
        <w:t xml:space="preserve">stay </w:t>
      </w:r>
      <w:r w:rsidRPr="001008CC">
        <w:rPr>
          <w:sz w:val="26"/>
        </w:rPr>
        <w:t xml:space="preserve">criteria set forth in </w:t>
      </w:r>
      <w:r w:rsidRPr="001008CC">
        <w:rPr>
          <w:i/>
          <w:sz w:val="26"/>
        </w:rPr>
        <w:t>Virginia Jobbers</w:t>
      </w:r>
      <w:r w:rsidRPr="001008CC">
        <w:rPr>
          <w:sz w:val="26"/>
        </w:rPr>
        <w:t xml:space="preserve"> </w:t>
      </w:r>
      <w:r>
        <w:rPr>
          <w:sz w:val="26"/>
        </w:rPr>
        <w:t xml:space="preserve">and reiterated in </w:t>
      </w:r>
      <w:r w:rsidRPr="002930C9">
        <w:rPr>
          <w:i/>
          <w:sz w:val="26"/>
        </w:rPr>
        <w:t>Process Gas</w:t>
      </w:r>
      <w:r>
        <w:rPr>
          <w:sz w:val="26"/>
        </w:rPr>
        <w:t xml:space="preserve"> are</w:t>
      </w:r>
      <w:r w:rsidRPr="001008CC">
        <w:rPr>
          <w:sz w:val="26"/>
        </w:rPr>
        <w:t>:</w:t>
      </w:r>
    </w:p>
    <w:p w:rsidR="007957CC" w:rsidRPr="001008CC" w:rsidRDefault="007957CC" w:rsidP="007957CC">
      <w:pPr>
        <w:spacing w:line="360" w:lineRule="auto"/>
        <w:rPr>
          <w:sz w:val="26"/>
        </w:rPr>
      </w:pPr>
    </w:p>
    <w:p w:rsidR="007957CC" w:rsidRPr="001008CC" w:rsidRDefault="007957CC" w:rsidP="00D860D5">
      <w:pPr>
        <w:ind w:left="2160" w:right="1440" w:hanging="720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1008CC">
        <w:rPr>
          <w:sz w:val="26"/>
        </w:rPr>
        <w:t>The petitioner makes a strong showing that he is likely to prevail on the merits.</w:t>
      </w:r>
    </w:p>
    <w:p w:rsidR="007957CC" w:rsidRPr="001008CC" w:rsidRDefault="007957CC" w:rsidP="007957CC">
      <w:pPr>
        <w:ind w:left="1440" w:right="1440"/>
        <w:rPr>
          <w:sz w:val="26"/>
        </w:rPr>
      </w:pPr>
    </w:p>
    <w:p w:rsidR="007957CC" w:rsidRPr="001008CC" w:rsidRDefault="007957CC" w:rsidP="00D860D5">
      <w:pPr>
        <w:ind w:left="2160" w:right="1440" w:hanging="720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</w:r>
      <w:r w:rsidRPr="001008CC">
        <w:rPr>
          <w:sz w:val="26"/>
        </w:rPr>
        <w:t>The petitioner has shown that without the requested relief, he will suffer irreparable injury.</w:t>
      </w:r>
    </w:p>
    <w:p w:rsidR="007957CC" w:rsidRPr="001008CC" w:rsidRDefault="007957CC" w:rsidP="007957CC">
      <w:pPr>
        <w:ind w:left="1440" w:right="1440"/>
        <w:rPr>
          <w:sz w:val="26"/>
        </w:rPr>
      </w:pPr>
    </w:p>
    <w:p w:rsidR="007957CC" w:rsidRPr="001008CC" w:rsidRDefault="007957CC" w:rsidP="00D860D5">
      <w:pPr>
        <w:ind w:left="2160" w:right="1440" w:hanging="720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1008CC">
        <w:rPr>
          <w:sz w:val="26"/>
        </w:rPr>
        <w:t>The issuance of a stay will not substantially harm other interested parties in the proceedings.</w:t>
      </w:r>
    </w:p>
    <w:p w:rsidR="007957CC" w:rsidRPr="001008CC" w:rsidRDefault="007957CC" w:rsidP="007957CC">
      <w:pPr>
        <w:ind w:left="1440" w:right="1440"/>
        <w:rPr>
          <w:sz w:val="26"/>
        </w:rPr>
      </w:pPr>
    </w:p>
    <w:p w:rsidR="007957CC" w:rsidRPr="001008CC" w:rsidRDefault="007957CC" w:rsidP="00D860D5">
      <w:pPr>
        <w:ind w:left="2160" w:right="1440" w:hanging="720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</w:r>
      <w:r w:rsidRPr="001008CC">
        <w:rPr>
          <w:sz w:val="26"/>
        </w:rPr>
        <w:t>The issuance of a stay will not adversely affect the public interest.</w:t>
      </w:r>
    </w:p>
    <w:p w:rsidR="007957CC" w:rsidRPr="001008CC" w:rsidRDefault="007957CC" w:rsidP="007957CC">
      <w:pPr>
        <w:spacing w:line="360" w:lineRule="auto"/>
        <w:rPr>
          <w:sz w:val="26"/>
        </w:rPr>
      </w:pPr>
    </w:p>
    <w:p w:rsidR="007957CC" w:rsidRDefault="007957CC" w:rsidP="007957CC">
      <w:pPr>
        <w:spacing w:line="360" w:lineRule="auto"/>
        <w:rPr>
          <w:sz w:val="26"/>
        </w:rPr>
      </w:pPr>
      <w:r w:rsidRPr="001008CC">
        <w:rPr>
          <w:i/>
          <w:sz w:val="26"/>
        </w:rPr>
        <w:t>Process Gas</w:t>
      </w:r>
      <w:r w:rsidRPr="001008CC">
        <w:rPr>
          <w:sz w:val="26"/>
        </w:rPr>
        <w:t xml:space="preserve">, 502 </w:t>
      </w:r>
      <w:smartTag w:uri="urn:schemas-microsoft-com:office:smarttags" w:element="place">
        <w:smartTag w:uri="urn:schemas-microsoft-com:office:smarttags" w:element="State">
          <w:r w:rsidRPr="001008CC">
            <w:rPr>
              <w:sz w:val="26"/>
            </w:rPr>
            <w:t>Pa.</w:t>
          </w:r>
        </w:smartTag>
      </w:smartTag>
      <w:r w:rsidRPr="001008CC">
        <w:rPr>
          <w:sz w:val="26"/>
        </w:rPr>
        <w:t xml:space="preserve"> at 552</w:t>
      </w:r>
      <w:r>
        <w:rPr>
          <w:sz w:val="26"/>
        </w:rPr>
        <w:t>-</w:t>
      </w:r>
      <w:r w:rsidRPr="001008CC">
        <w:rPr>
          <w:sz w:val="26"/>
        </w:rPr>
        <w:t>553</w:t>
      </w:r>
      <w:r>
        <w:rPr>
          <w:sz w:val="26"/>
        </w:rPr>
        <w:t xml:space="preserve">.  </w:t>
      </w:r>
      <w:r w:rsidRPr="001008CC">
        <w:rPr>
          <w:sz w:val="26"/>
        </w:rPr>
        <w:t>Applying these criteria means that a court must balance the interests of all parties and the public and will require the applicant for a stay to demonstrate probable success on the merits.</w:t>
      </w:r>
      <w:r>
        <w:rPr>
          <w:sz w:val="26"/>
        </w:rPr>
        <w:t xml:space="preserve">  </w:t>
      </w:r>
      <w:smartTag w:uri="urn:schemas-microsoft-com:office:smarttags" w:element="State">
        <w:smartTag w:uri="urn:schemas-microsoft-com:office:smarttags" w:element="place">
          <w:r w:rsidRPr="008B6434">
            <w:rPr>
              <w:i/>
              <w:sz w:val="26"/>
            </w:rPr>
            <w:t>Id.</w:t>
          </w:r>
        </w:smartTag>
      </w:smartTag>
      <w:r>
        <w:rPr>
          <w:sz w:val="26"/>
        </w:rPr>
        <w:t xml:space="preserve"> </w:t>
      </w:r>
      <w:r w:rsidRPr="001008CC">
        <w:rPr>
          <w:sz w:val="26"/>
        </w:rPr>
        <w:t xml:space="preserve"> </w:t>
      </w:r>
      <w:r>
        <w:rPr>
          <w:sz w:val="26"/>
        </w:rPr>
        <w:t xml:space="preserve"> </w:t>
      </w:r>
    </w:p>
    <w:p w:rsidR="007957CC" w:rsidRDefault="007957CC" w:rsidP="007957CC">
      <w:pPr>
        <w:spacing w:line="360" w:lineRule="auto"/>
        <w:rPr>
          <w:sz w:val="26"/>
        </w:rPr>
      </w:pPr>
    </w:p>
    <w:p w:rsidR="007957CC" w:rsidRDefault="007957CC" w:rsidP="007957CC">
      <w:pPr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>
        <w:rPr>
          <w:sz w:val="26"/>
        </w:rPr>
        <w:t xml:space="preserve">We </w:t>
      </w:r>
      <w:r w:rsidR="00DA750C">
        <w:rPr>
          <w:sz w:val="26"/>
        </w:rPr>
        <w:t>find that the Borough fails to meet at</w:t>
      </w:r>
      <w:r w:rsidR="00F55CD5">
        <w:rPr>
          <w:sz w:val="26"/>
        </w:rPr>
        <w:t xml:space="preserve"> least two</w:t>
      </w:r>
      <w:r w:rsidR="00DA750C">
        <w:rPr>
          <w:sz w:val="26"/>
        </w:rPr>
        <w:t xml:space="preserve"> of these criteria.  </w:t>
      </w:r>
      <w:r w:rsidR="002902EC">
        <w:rPr>
          <w:sz w:val="26"/>
        </w:rPr>
        <w:t>First, t</w:t>
      </w:r>
      <w:r w:rsidR="00F55CD5">
        <w:rPr>
          <w:sz w:val="26"/>
        </w:rPr>
        <w:t xml:space="preserve">he Borough failed to establish that it would </w:t>
      </w:r>
      <w:r>
        <w:rPr>
          <w:sz w:val="26"/>
        </w:rPr>
        <w:t xml:space="preserve">suffer irreparable harm if a stay is not granted.  We note that in the case of </w:t>
      </w:r>
      <w:r w:rsidRPr="008F2956">
        <w:rPr>
          <w:i/>
          <w:sz w:val="26"/>
        </w:rPr>
        <w:t>Pa. PUC v. Makovsky Brothers, Inc.</w:t>
      </w:r>
      <w:r>
        <w:rPr>
          <w:sz w:val="26"/>
        </w:rPr>
        <w:t xml:space="preserve">, 53 </w:t>
      </w:r>
      <w:smartTag w:uri="urn:schemas-microsoft-com:office:smarttags" w:element="State">
        <w:smartTag w:uri="urn:schemas-microsoft-com:office:smarttags" w:element="place">
          <w:r>
            <w:rPr>
              <w:sz w:val="26"/>
            </w:rPr>
            <w:t>Pa.</w:t>
          </w:r>
        </w:smartTag>
      </w:smartTag>
      <w:r>
        <w:rPr>
          <w:sz w:val="26"/>
        </w:rPr>
        <w:t xml:space="preserve"> P.U.C. 510 (Order entered December 7, 1979), we stated, in pertinent part, as follows:</w:t>
      </w:r>
    </w:p>
    <w:p w:rsidR="007957CC" w:rsidRDefault="007957CC" w:rsidP="007957CC">
      <w:pPr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:rsidR="007957CC" w:rsidRDefault="007957CC" w:rsidP="007957CC">
      <w:pPr>
        <w:tabs>
          <w:tab w:val="left" w:pos="-720"/>
        </w:tabs>
        <w:suppressAutoHyphens/>
        <w:ind w:left="1440" w:right="1440"/>
        <w:rPr>
          <w:sz w:val="26"/>
        </w:rPr>
      </w:pPr>
      <w:r>
        <w:rPr>
          <w:sz w:val="26"/>
        </w:rPr>
        <w:t>In deciding whether to stay one of our orders pending appeal, this Commission should not indulge in a further review of the case.  Rather, this Commission should concentrate solely on the effect our order will have pending appeal.</w:t>
      </w:r>
    </w:p>
    <w:p w:rsidR="007957CC" w:rsidRDefault="007957CC" w:rsidP="007957CC">
      <w:pPr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:rsidR="007957CC" w:rsidRDefault="007957CC" w:rsidP="007957CC">
      <w:pPr>
        <w:tabs>
          <w:tab w:val="left" w:pos="-720"/>
        </w:tabs>
        <w:suppressAutoHyphens/>
        <w:spacing w:line="360" w:lineRule="auto"/>
        <w:rPr>
          <w:sz w:val="26"/>
        </w:rPr>
      </w:pPr>
      <w:r>
        <w:rPr>
          <w:sz w:val="26"/>
        </w:rPr>
        <w:t>(</w:t>
      </w:r>
      <w:r w:rsidRPr="00E15C20">
        <w:rPr>
          <w:i/>
          <w:sz w:val="26"/>
        </w:rPr>
        <w:t>Makovsky</w:t>
      </w:r>
      <w:r>
        <w:rPr>
          <w:sz w:val="26"/>
        </w:rPr>
        <w:t xml:space="preserve"> at 511).</w:t>
      </w:r>
    </w:p>
    <w:p w:rsidR="007957CC" w:rsidRDefault="007957CC" w:rsidP="007957CC">
      <w:pPr>
        <w:spacing w:line="360" w:lineRule="auto"/>
        <w:rPr>
          <w:sz w:val="26"/>
        </w:rPr>
      </w:pPr>
      <w:r>
        <w:rPr>
          <w:sz w:val="26"/>
        </w:rPr>
        <w:t xml:space="preserve">  </w:t>
      </w:r>
    </w:p>
    <w:p w:rsidR="006C6D7C" w:rsidRDefault="00920F3C" w:rsidP="005C699B">
      <w:pPr>
        <w:spacing w:line="360" w:lineRule="auto"/>
        <w:ind w:firstLine="1440"/>
        <w:rPr>
          <w:i/>
          <w:sz w:val="26"/>
        </w:rPr>
      </w:pPr>
      <w:r>
        <w:rPr>
          <w:sz w:val="26"/>
        </w:rPr>
        <w:t xml:space="preserve">The Borough </w:t>
      </w:r>
      <w:r w:rsidR="0088211F">
        <w:rPr>
          <w:sz w:val="26"/>
        </w:rPr>
        <w:t>provide</w:t>
      </w:r>
      <w:r w:rsidR="00F55CD5">
        <w:rPr>
          <w:sz w:val="26"/>
        </w:rPr>
        <w:t>d</w:t>
      </w:r>
      <w:r w:rsidR="0088211F">
        <w:rPr>
          <w:sz w:val="26"/>
        </w:rPr>
        <w:t xml:space="preserve"> </w:t>
      </w:r>
      <w:r w:rsidR="00F55CD5">
        <w:rPr>
          <w:sz w:val="26"/>
        </w:rPr>
        <w:t xml:space="preserve">no </w:t>
      </w:r>
      <w:r w:rsidR="0088211F">
        <w:rPr>
          <w:sz w:val="26"/>
        </w:rPr>
        <w:t xml:space="preserve">explanation as to </w:t>
      </w:r>
      <w:r>
        <w:rPr>
          <w:sz w:val="26"/>
        </w:rPr>
        <w:t xml:space="preserve">why it would suffer irreparable harm if a stay is not granted.  </w:t>
      </w:r>
      <w:r w:rsidR="002902EC">
        <w:rPr>
          <w:sz w:val="26"/>
        </w:rPr>
        <w:t xml:space="preserve">We believe it is the Railroad, rather than the Borough, that </w:t>
      </w:r>
      <w:r w:rsidR="002902EC">
        <w:rPr>
          <w:sz w:val="26"/>
        </w:rPr>
        <w:lastRenderedPageBreak/>
        <w:t>would suffer harm i</w:t>
      </w:r>
      <w:r w:rsidR="005C699B">
        <w:rPr>
          <w:sz w:val="26"/>
        </w:rPr>
        <w:t>n</w:t>
      </w:r>
      <w:r w:rsidR="00CA548D">
        <w:rPr>
          <w:sz w:val="26"/>
        </w:rPr>
        <w:t xml:space="preserve"> the absence of a stay pending disposition </w:t>
      </w:r>
      <w:r w:rsidR="005C699B">
        <w:rPr>
          <w:sz w:val="26"/>
        </w:rPr>
        <w:t xml:space="preserve">of the Petition, because the Railroad might complete the construction project as required by the </w:t>
      </w:r>
      <w:r w:rsidRPr="00C0525B">
        <w:rPr>
          <w:i/>
          <w:sz w:val="26"/>
        </w:rPr>
        <w:t>September 3 Orde</w:t>
      </w:r>
      <w:r>
        <w:rPr>
          <w:i/>
          <w:sz w:val="26"/>
        </w:rPr>
        <w:t>r</w:t>
      </w:r>
      <w:r w:rsidR="005C699B">
        <w:rPr>
          <w:i/>
          <w:sz w:val="26"/>
        </w:rPr>
        <w:t>,</w:t>
      </w:r>
      <w:r w:rsidR="006C6D7C">
        <w:rPr>
          <w:i/>
          <w:sz w:val="26"/>
        </w:rPr>
        <w:t xml:space="preserve"> </w:t>
      </w:r>
      <w:r w:rsidR="005C699B">
        <w:rPr>
          <w:sz w:val="26"/>
        </w:rPr>
        <w:t>only to have that Order modified on reconsideration.</w:t>
      </w:r>
      <w:r w:rsidR="006C6D7C">
        <w:rPr>
          <w:i/>
          <w:sz w:val="26"/>
        </w:rPr>
        <w:t xml:space="preserve"> </w:t>
      </w:r>
    </w:p>
    <w:p w:rsidR="006C6D7C" w:rsidRDefault="006C6D7C" w:rsidP="007957CC">
      <w:pPr>
        <w:spacing w:line="360" w:lineRule="auto"/>
        <w:ind w:firstLine="1440"/>
        <w:rPr>
          <w:i/>
          <w:sz w:val="26"/>
        </w:rPr>
      </w:pPr>
    </w:p>
    <w:p w:rsidR="00E1161D" w:rsidRDefault="004240DD" w:rsidP="00626546">
      <w:pPr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>
        <w:rPr>
          <w:sz w:val="26"/>
        </w:rPr>
        <w:t xml:space="preserve">Second, the Borough failed to establish that </w:t>
      </w:r>
      <w:r w:rsidR="007957CC">
        <w:rPr>
          <w:sz w:val="26"/>
        </w:rPr>
        <w:t>the public interest</w:t>
      </w:r>
      <w:r>
        <w:rPr>
          <w:sz w:val="26"/>
        </w:rPr>
        <w:t xml:space="preserve"> would</w:t>
      </w:r>
      <w:r w:rsidR="007957CC">
        <w:rPr>
          <w:sz w:val="26"/>
        </w:rPr>
        <w:t xml:space="preserve"> not be adversely impacted by granting</w:t>
      </w:r>
      <w:r w:rsidR="00997585">
        <w:rPr>
          <w:sz w:val="26"/>
        </w:rPr>
        <w:t xml:space="preserve"> the </w:t>
      </w:r>
      <w:r w:rsidR="00DE37CD">
        <w:rPr>
          <w:sz w:val="26"/>
        </w:rPr>
        <w:t>stay</w:t>
      </w:r>
      <w:r w:rsidR="007957CC">
        <w:rPr>
          <w:sz w:val="26"/>
        </w:rPr>
        <w:t xml:space="preserve">.  </w:t>
      </w:r>
      <w:r w:rsidR="00997585">
        <w:rPr>
          <w:sz w:val="26"/>
        </w:rPr>
        <w:t>W</w:t>
      </w:r>
      <w:r w:rsidR="007957CC">
        <w:rPr>
          <w:sz w:val="26"/>
        </w:rPr>
        <w:t xml:space="preserve">e conclude that public interest considerations militate against a stay.  </w:t>
      </w:r>
      <w:r w:rsidR="00626546">
        <w:rPr>
          <w:sz w:val="26"/>
        </w:rPr>
        <w:t>The Borough</w:t>
      </w:r>
      <w:r w:rsidR="007957CC">
        <w:rPr>
          <w:sz w:val="26"/>
        </w:rPr>
        <w:t xml:space="preserve"> has pointed to no specific harm</w:t>
      </w:r>
      <w:r w:rsidR="00626546">
        <w:rPr>
          <w:sz w:val="26"/>
        </w:rPr>
        <w:t xml:space="preserve"> to the public interest that would result</w:t>
      </w:r>
      <w:r w:rsidR="007957CC">
        <w:rPr>
          <w:sz w:val="26"/>
        </w:rPr>
        <w:t xml:space="preserve"> from </w:t>
      </w:r>
      <w:r w:rsidR="00626546">
        <w:rPr>
          <w:sz w:val="26"/>
        </w:rPr>
        <w:t xml:space="preserve">the implementation of </w:t>
      </w:r>
      <w:r w:rsidR="007957CC">
        <w:rPr>
          <w:sz w:val="26"/>
        </w:rPr>
        <w:t xml:space="preserve">our </w:t>
      </w:r>
      <w:r w:rsidR="00626546">
        <w:rPr>
          <w:i/>
          <w:sz w:val="26"/>
        </w:rPr>
        <w:t>September 3</w:t>
      </w:r>
      <w:r w:rsidR="007957CC" w:rsidRPr="00626546">
        <w:rPr>
          <w:i/>
          <w:sz w:val="26"/>
        </w:rPr>
        <w:t xml:space="preserve"> Order</w:t>
      </w:r>
      <w:r w:rsidR="00DE37CD">
        <w:rPr>
          <w:sz w:val="26"/>
        </w:rPr>
        <w:t>.  Indeed,</w:t>
      </w:r>
      <w:r w:rsidR="00E1161D">
        <w:rPr>
          <w:sz w:val="26"/>
        </w:rPr>
        <w:t xml:space="preserve"> in that Order we stated that it</w:t>
      </w:r>
      <w:r w:rsidR="00DE37CD">
        <w:rPr>
          <w:sz w:val="26"/>
        </w:rPr>
        <w:t xml:space="preserve"> was in the interest </w:t>
      </w:r>
      <w:r w:rsidR="00252B77">
        <w:rPr>
          <w:sz w:val="26"/>
        </w:rPr>
        <w:t xml:space="preserve">of public safety </w:t>
      </w:r>
      <w:r w:rsidR="00DE37CD">
        <w:rPr>
          <w:sz w:val="26"/>
        </w:rPr>
        <w:t xml:space="preserve">that work </w:t>
      </w:r>
      <w:r w:rsidR="00252B77">
        <w:rPr>
          <w:sz w:val="26"/>
        </w:rPr>
        <w:t xml:space="preserve">should </w:t>
      </w:r>
      <w:r w:rsidR="00DE37CD">
        <w:rPr>
          <w:sz w:val="26"/>
        </w:rPr>
        <w:t xml:space="preserve">begin </w:t>
      </w:r>
      <w:r w:rsidR="00701F35">
        <w:rPr>
          <w:sz w:val="26"/>
        </w:rPr>
        <w:t xml:space="preserve">quickly </w:t>
      </w:r>
      <w:r w:rsidR="00252B77">
        <w:rPr>
          <w:sz w:val="26"/>
        </w:rPr>
        <w:t>on this long-delayed project</w:t>
      </w:r>
      <w:r w:rsidR="007957CC">
        <w:rPr>
          <w:sz w:val="26"/>
        </w:rPr>
        <w:t>.</w:t>
      </w:r>
      <w:r w:rsidR="00701F35">
        <w:rPr>
          <w:sz w:val="26"/>
        </w:rPr>
        <w:t xml:space="preserve">  Granting even a brief stay at this time of year could cause the project to be delayed until the 2011 construction season.  </w:t>
      </w:r>
    </w:p>
    <w:p w:rsidR="007957CC" w:rsidRDefault="007957CC" w:rsidP="007957CC">
      <w:pPr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:rsidR="009C115E" w:rsidRPr="009C115E" w:rsidRDefault="009C115E" w:rsidP="009C115E">
      <w:pPr>
        <w:spacing w:line="360" w:lineRule="auto"/>
        <w:jc w:val="center"/>
        <w:rPr>
          <w:b/>
          <w:sz w:val="26"/>
        </w:rPr>
      </w:pPr>
      <w:r w:rsidRPr="009C115E">
        <w:rPr>
          <w:b/>
          <w:sz w:val="26"/>
        </w:rPr>
        <w:t>Conclusion</w:t>
      </w:r>
    </w:p>
    <w:p w:rsidR="009C115E" w:rsidRDefault="009C115E" w:rsidP="00823B54">
      <w:pPr>
        <w:spacing w:line="360" w:lineRule="auto"/>
        <w:ind w:firstLine="720"/>
        <w:rPr>
          <w:sz w:val="26"/>
        </w:rPr>
      </w:pPr>
    </w:p>
    <w:p w:rsidR="000F1318" w:rsidRPr="00AB7560" w:rsidRDefault="00653D01" w:rsidP="009C115E">
      <w:pPr>
        <w:spacing w:line="360" w:lineRule="auto"/>
        <w:ind w:firstLine="1440"/>
        <w:rPr>
          <w:sz w:val="26"/>
        </w:rPr>
      </w:pPr>
      <w:r>
        <w:rPr>
          <w:sz w:val="26"/>
        </w:rPr>
        <w:t>For the reasons set forth above, we shall grant the Borough’s Petition</w:t>
      </w:r>
      <w:r w:rsidR="003E7ED6">
        <w:rPr>
          <w:sz w:val="26"/>
        </w:rPr>
        <w:t xml:space="preserve"> in part and deny it in part</w:t>
      </w:r>
      <w:r>
        <w:rPr>
          <w:sz w:val="26"/>
        </w:rPr>
        <w:t xml:space="preserve">, pending </w:t>
      </w:r>
      <w:r w:rsidR="002A399E">
        <w:rPr>
          <w:sz w:val="26"/>
        </w:rPr>
        <w:t>review of and consideration on</w:t>
      </w:r>
      <w:r>
        <w:rPr>
          <w:sz w:val="26"/>
        </w:rPr>
        <w:t xml:space="preserve"> the merits</w:t>
      </w:r>
      <w:r w:rsidR="007957CC">
        <w:rPr>
          <w:sz w:val="26"/>
        </w:rPr>
        <w:t>;</w:t>
      </w:r>
      <w:r w:rsidR="00823B54">
        <w:rPr>
          <w:sz w:val="26"/>
        </w:rPr>
        <w:t xml:space="preserve">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DD6E07" w:rsidRDefault="000F1318" w:rsidP="00F13330">
      <w:pPr>
        <w:pageBreakBefore/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lastRenderedPageBreak/>
        <w:t>IT IS ORDERED:</w:t>
      </w:r>
      <w:r>
        <w:rPr>
          <w:sz w:val="26"/>
        </w:rPr>
        <w:t xml:space="preserve">  </w:t>
      </w:r>
    </w:p>
    <w:p w:rsidR="00DD6E07" w:rsidRDefault="00DD6E07" w:rsidP="000F1318">
      <w:pPr>
        <w:spacing w:line="360" w:lineRule="auto"/>
        <w:ind w:firstLine="1440"/>
        <w:rPr>
          <w:sz w:val="26"/>
        </w:rPr>
      </w:pPr>
    </w:p>
    <w:p w:rsidR="000F1318" w:rsidRDefault="000F1318" w:rsidP="000F1318">
      <w:pPr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  <w:szCs w:val="26"/>
        </w:rPr>
        <w:t>That t</w:t>
      </w:r>
      <w:r w:rsidR="00653D01">
        <w:rPr>
          <w:sz w:val="26"/>
          <w:szCs w:val="26"/>
        </w:rPr>
        <w:t>he Petition for Reconsideration</w:t>
      </w:r>
      <w:r w:rsidR="00653D01">
        <w:rPr>
          <w:sz w:val="26"/>
        </w:rPr>
        <w:t>, Reargument and/or Stay,</w:t>
      </w:r>
      <w:r w:rsidR="00653D01" w:rsidRPr="00027664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filed on</w:t>
      </w:r>
      <w:r w:rsidR="00AB7560">
        <w:rPr>
          <w:sz w:val="26"/>
          <w:szCs w:val="26"/>
        </w:rPr>
        <w:t xml:space="preserve"> September 10, 2010</w:t>
      </w:r>
      <w:r w:rsidR="00214830">
        <w:rPr>
          <w:sz w:val="26"/>
          <w:szCs w:val="26"/>
        </w:rPr>
        <w:t>,</w:t>
      </w:r>
      <w:r w:rsidR="003F1926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3F1926">
        <w:rPr>
          <w:sz w:val="26"/>
          <w:szCs w:val="26"/>
        </w:rPr>
        <w:t>White Haven Borough</w:t>
      </w:r>
      <w:r w:rsidRPr="00027664">
        <w:rPr>
          <w:sz w:val="26"/>
          <w:szCs w:val="26"/>
        </w:rPr>
        <w:t xml:space="preserve">, is </w:t>
      </w:r>
      <w:r w:rsidR="003E7ED6">
        <w:rPr>
          <w:sz w:val="26"/>
          <w:szCs w:val="26"/>
        </w:rPr>
        <w:t xml:space="preserve">denied in part, </w:t>
      </w:r>
      <w:r w:rsidR="00A36BEF">
        <w:rPr>
          <w:sz w:val="26"/>
          <w:szCs w:val="26"/>
        </w:rPr>
        <w:t xml:space="preserve">and </w:t>
      </w:r>
      <w:r w:rsidR="00A15102">
        <w:rPr>
          <w:sz w:val="26"/>
          <w:szCs w:val="26"/>
        </w:rPr>
        <w:t xml:space="preserve">granted in part, pending review of and consideration on the merits, </w:t>
      </w:r>
      <w:r w:rsidR="003E7ED6">
        <w:rPr>
          <w:sz w:val="26"/>
          <w:szCs w:val="26"/>
        </w:rPr>
        <w:t>consistent with this Opinion and Order</w:t>
      </w:r>
      <w:r w:rsidRPr="00027664">
        <w:rPr>
          <w:sz w:val="26"/>
          <w:szCs w:val="26"/>
        </w:rPr>
        <w:t>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4414D" w:rsidP="000F1318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28575</wp:posOffset>
            </wp:positionV>
            <wp:extent cx="2200275" cy="838200"/>
            <wp:effectExtent l="19050" t="0" r="9525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="0043304E">
        <w:rPr>
          <w:sz w:val="26"/>
          <w:szCs w:val="26"/>
        </w:rPr>
        <w:t>Rosemary Chiavetta</w:t>
      </w: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43304E">
        <w:rPr>
          <w:sz w:val="26"/>
          <w:szCs w:val="26"/>
        </w:rPr>
        <w:t xml:space="preserve">  September 23, 2010</w:t>
      </w:r>
      <w:r w:rsidR="00214830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344E32">
        <w:rPr>
          <w:sz w:val="26"/>
          <w:szCs w:val="26"/>
        </w:rPr>
        <w:t>September 23, 2010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4D" w:rsidRDefault="00F4414D">
      <w:r>
        <w:separator/>
      </w:r>
    </w:p>
  </w:endnote>
  <w:endnote w:type="continuationSeparator" w:id="0">
    <w:p w:rsidR="00F4414D" w:rsidRDefault="00F4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(W1)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Default="002755E3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F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37" w:rsidRPr="00C7667D" w:rsidRDefault="002755E3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="00817F37"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33782">
      <w:rPr>
        <w:rStyle w:val="PageNumber"/>
        <w:noProof/>
        <w:sz w:val="26"/>
      </w:rPr>
      <w:t>4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4D" w:rsidRDefault="00F4414D">
      <w:r>
        <w:separator/>
      </w:r>
    </w:p>
  </w:footnote>
  <w:footnote w:type="continuationSeparator" w:id="0">
    <w:p w:rsidR="00F4414D" w:rsidRDefault="00F441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9F4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3E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2CBE"/>
    <w:rsid w:val="00073870"/>
    <w:rsid w:val="00075210"/>
    <w:rsid w:val="00075F0C"/>
    <w:rsid w:val="00080CCC"/>
    <w:rsid w:val="00081805"/>
    <w:rsid w:val="000830EE"/>
    <w:rsid w:val="0008328F"/>
    <w:rsid w:val="00084DB9"/>
    <w:rsid w:val="00086D0B"/>
    <w:rsid w:val="00087D18"/>
    <w:rsid w:val="0009007E"/>
    <w:rsid w:val="00090AF0"/>
    <w:rsid w:val="00091989"/>
    <w:rsid w:val="00091C1F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26C9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1745"/>
    <w:rsid w:val="00102D03"/>
    <w:rsid w:val="00105084"/>
    <w:rsid w:val="00105193"/>
    <w:rsid w:val="00106537"/>
    <w:rsid w:val="00106BE0"/>
    <w:rsid w:val="00110BE6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5A20"/>
    <w:rsid w:val="001A6370"/>
    <w:rsid w:val="001B1A49"/>
    <w:rsid w:val="001B4783"/>
    <w:rsid w:val="001B48DC"/>
    <w:rsid w:val="001B54B3"/>
    <w:rsid w:val="001B6B53"/>
    <w:rsid w:val="001B76FF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04B4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63C4"/>
    <w:rsid w:val="0022734C"/>
    <w:rsid w:val="00230396"/>
    <w:rsid w:val="00230BAB"/>
    <w:rsid w:val="00233E2F"/>
    <w:rsid w:val="0023535F"/>
    <w:rsid w:val="00237CB3"/>
    <w:rsid w:val="00241B87"/>
    <w:rsid w:val="002467A6"/>
    <w:rsid w:val="00247BB1"/>
    <w:rsid w:val="00252B77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55E3"/>
    <w:rsid w:val="00277004"/>
    <w:rsid w:val="00281D3B"/>
    <w:rsid w:val="00282D52"/>
    <w:rsid w:val="002836FA"/>
    <w:rsid w:val="002838E3"/>
    <w:rsid w:val="00285550"/>
    <w:rsid w:val="00285919"/>
    <w:rsid w:val="00285FF3"/>
    <w:rsid w:val="0028615A"/>
    <w:rsid w:val="00286F7C"/>
    <w:rsid w:val="00287BE6"/>
    <w:rsid w:val="002902EC"/>
    <w:rsid w:val="002904C4"/>
    <w:rsid w:val="0029085A"/>
    <w:rsid w:val="0029318D"/>
    <w:rsid w:val="002931D9"/>
    <w:rsid w:val="00295504"/>
    <w:rsid w:val="002958B5"/>
    <w:rsid w:val="00296612"/>
    <w:rsid w:val="00297C2E"/>
    <w:rsid w:val="002A1C25"/>
    <w:rsid w:val="002A1E1B"/>
    <w:rsid w:val="002A2A68"/>
    <w:rsid w:val="002A399E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0A5C"/>
    <w:rsid w:val="002B375A"/>
    <w:rsid w:val="002B3767"/>
    <w:rsid w:val="002B3979"/>
    <w:rsid w:val="002B4B0D"/>
    <w:rsid w:val="002B574E"/>
    <w:rsid w:val="002B6D3A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43DF"/>
    <w:rsid w:val="003158CE"/>
    <w:rsid w:val="00316BFA"/>
    <w:rsid w:val="003177A0"/>
    <w:rsid w:val="003211A5"/>
    <w:rsid w:val="003218DD"/>
    <w:rsid w:val="0032283D"/>
    <w:rsid w:val="00322A65"/>
    <w:rsid w:val="00324FDF"/>
    <w:rsid w:val="003255BF"/>
    <w:rsid w:val="00326A17"/>
    <w:rsid w:val="003336F9"/>
    <w:rsid w:val="00337DFD"/>
    <w:rsid w:val="00340C45"/>
    <w:rsid w:val="00343BD1"/>
    <w:rsid w:val="00344E32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86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C7B7F"/>
    <w:rsid w:val="003D1299"/>
    <w:rsid w:val="003D234C"/>
    <w:rsid w:val="003D4436"/>
    <w:rsid w:val="003D4638"/>
    <w:rsid w:val="003D509A"/>
    <w:rsid w:val="003D7A8D"/>
    <w:rsid w:val="003E3836"/>
    <w:rsid w:val="003E57F8"/>
    <w:rsid w:val="003E6544"/>
    <w:rsid w:val="003E771C"/>
    <w:rsid w:val="003E784C"/>
    <w:rsid w:val="003E7ED6"/>
    <w:rsid w:val="003F0672"/>
    <w:rsid w:val="003F07AF"/>
    <w:rsid w:val="003F08B3"/>
    <w:rsid w:val="003F1926"/>
    <w:rsid w:val="003F27D1"/>
    <w:rsid w:val="003F287E"/>
    <w:rsid w:val="003F3593"/>
    <w:rsid w:val="003F7000"/>
    <w:rsid w:val="003F7797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17956"/>
    <w:rsid w:val="00420B2F"/>
    <w:rsid w:val="004214D7"/>
    <w:rsid w:val="004217F6"/>
    <w:rsid w:val="004240DD"/>
    <w:rsid w:val="0042446A"/>
    <w:rsid w:val="00426B65"/>
    <w:rsid w:val="0043304E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610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B1B"/>
    <w:rsid w:val="004B2B7D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39E7"/>
    <w:rsid w:val="00515F69"/>
    <w:rsid w:val="005175D0"/>
    <w:rsid w:val="00517E17"/>
    <w:rsid w:val="005201D8"/>
    <w:rsid w:val="00520BBC"/>
    <w:rsid w:val="0052172B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396E"/>
    <w:rsid w:val="005B4DDD"/>
    <w:rsid w:val="005B5F54"/>
    <w:rsid w:val="005C1FAF"/>
    <w:rsid w:val="005C27AF"/>
    <w:rsid w:val="005C39BE"/>
    <w:rsid w:val="005C4A52"/>
    <w:rsid w:val="005C699B"/>
    <w:rsid w:val="005C78FA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2DD7"/>
    <w:rsid w:val="005F37D2"/>
    <w:rsid w:val="005F4E1B"/>
    <w:rsid w:val="005F5031"/>
    <w:rsid w:val="005F5398"/>
    <w:rsid w:val="005F6FFE"/>
    <w:rsid w:val="005F777A"/>
    <w:rsid w:val="005F7A1F"/>
    <w:rsid w:val="00600E98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283D"/>
    <w:rsid w:val="00613B82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26546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3D0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33CD"/>
    <w:rsid w:val="00675032"/>
    <w:rsid w:val="006757DB"/>
    <w:rsid w:val="00676B83"/>
    <w:rsid w:val="00677531"/>
    <w:rsid w:val="00677F26"/>
    <w:rsid w:val="00680F10"/>
    <w:rsid w:val="006811E0"/>
    <w:rsid w:val="006812F2"/>
    <w:rsid w:val="006815AB"/>
    <w:rsid w:val="00681F8C"/>
    <w:rsid w:val="00682EFB"/>
    <w:rsid w:val="0068309C"/>
    <w:rsid w:val="006836EB"/>
    <w:rsid w:val="0068393B"/>
    <w:rsid w:val="00685BC7"/>
    <w:rsid w:val="00685C47"/>
    <w:rsid w:val="00686D73"/>
    <w:rsid w:val="00686F6C"/>
    <w:rsid w:val="006873CB"/>
    <w:rsid w:val="006878D9"/>
    <w:rsid w:val="0069121A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0F2F"/>
    <w:rsid w:val="006B1632"/>
    <w:rsid w:val="006B2529"/>
    <w:rsid w:val="006B2CA4"/>
    <w:rsid w:val="006B2D7F"/>
    <w:rsid w:val="006B54BB"/>
    <w:rsid w:val="006B6994"/>
    <w:rsid w:val="006B6F21"/>
    <w:rsid w:val="006B7130"/>
    <w:rsid w:val="006C0E59"/>
    <w:rsid w:val="006C2A53"/>
    <w:rsid w:val="006C48BC"/>
    <w:rsid w:val="006C4B3A"/>
    <w:rsid w:val="006C5BFF"/>
    <w:rsid w:val="006C5DAF"/>
    <w:rsid w:val="006C6D7C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1F35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1B61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5184"/>
    <w:rsid w:val="00745908"/>
    <w:rsid w:val="007477F4"/>
    <w:rsid w:val="00752F02"/>
    <w:rsid w:val="007538C7"/>
    <w:rsid w:val="00757594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800E4"/>
    <w:rsid w:val="00780972"/>
    <w:rsid w:val="00780A9E"/>
    <w:rsid w:val="00780AA2"/>
    <w:rsid w:val="00781A9D"/>
    <w:rsid w:val="00781E30"/>
    <w:rsid w:val="00783778"/>
    <w:rsid w:val="007840BB"/>
    <w:rsid w:val="007846B8"/>
    <w:rsid w:val="00785E2E"/>
    <w:rsid w:val="00790164"/>
    <w:rsid w:val="007908C5"/>
    <w:rsid w:val="00791772"/>
    <w:rsid w:val="00794A1F"/>
    <w:rsid w:val="007957CC"/>
    <w:rsid w:val="00795F22"/>
    <w:rsid w:val="007A1051"/>
    <w:rsid w:val="007A20AD"/>
    <w:rsid w:val="007A3811"/>
    <w:rsid w:val="007A3AD8"/>
    <w:rsid w:val="007A5539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B7C"/>
    <w:rsid w:val="007D4EA3"/>
    <w:rsid w:val="007D5362"/>
    <w:rsid w:val="007D6DFF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5F6"/>
    <w:rsid w:val="00804D26"/>
    <w:rsid w:val="00807623"/>
    <w:rsid w:val="00807B53"/>
    <w:rsid w:val="00810D34"/>
    <w:rsid w:val="00811503"/>
    <w:rsid w:val="00812576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3B54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1F38"/>
    <w:rsid w:val="00842834"/>
    <w:rsid w:val="008445D4"/>
    <w:rsid w:val="008446F1"/>
    <w:rsid w:val="00846FF0"/>
    <w:rsid w:val="00847435"/>
    <w:rsid w:val="0085298A"/>
    <w:rsid w:val="00853322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496"/>
    <w:rsid w:val="00876921"/>
    <w:rsid w:val="00876B68"/>
    <w:rsid w:val="0088013C"/>
    <w:rsid w:val="0088211F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1BC6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2C77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0F3C"/>
    <w:rsid w:val="009216CA"/>
    <w:rsid w:val="00922808"/>
    <w:rsid w:val="00922934"/>
    <w:rsid w:val="00923CCF"/>
    <w:rsid w:val="009245CB"/>
    <w:rsid w:val="009259EF"/>
    <w:rsid w:val="00927725"/>
    <w:rsid w:val="00930782"/>
    <w:rsid w:val="00931DE4"/>
    <w:rsid w:val="00932B7C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628B4"/>
    <w:rsid w:val="00971077"/>
    <w:rsid w:val="00971B25"/>
    <w:rsid w:val="00973FD3"/>
    <w:rsid w:val="00973FE6"/>
    <w:rsid w:val="009740C4"/>
    <w:rsid w:val="00976F69"/>
    <w:rsid w:val="00981F79"/>
    <w:rsid w:val="009825C9"/>
    <w:rsid w:val="00983DC1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97585"/>
    <w:rsid w:val="009A2E41"/>
    <w:rsid w:val="009A52C1"/>
    <w:rsid w:val="009A5EA7"/>
    <w:rsid w:val="009B455D"/>
    <w:rsid w:val="009B4E8F"/>
    <w:rsid w:val="009B7769"/>
    <w:rsid w:val="009C115E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9F7E67"/>
    <w:rsid w:val="00A012D0"/>
    <w:rsid w:val="00A043FE"/>
    <w:rsid w:val="00A05803"/>
    <w:rsid w:val="00A05916"/>
    <w:rsid w:val="00A06E1B"/>
    <w:rsid w:val="00A0794D"/>
    <w:rsid w:val="00A15102"/>
    <w:rsid w:val="00A16741"/>
    <w:rsid w:val="00A17616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0171"/>
    <w:rsid w:val="00A31536"/>
    <w:rsid w:val="00A31956"/>
    <w:rsid w:val="00A32F38"/>
    <w:rsid w:val="00A33798"/>
    <w:rsid w:val="00A337A2"/>
    <w:rsid w:val="00A33C0B"/>
    <w:rsid w:val="00A33DC9"/>
    <w:rsid w:val="00A33F77"/>
    <w:rsid w:val="00A35831"/>
    <w:rsid w:val="00A36BEF"/>
    <w:rsid w:val="00A36E14"/>
    <w:rsid w:val="00A3743F"/>
    <w:rsid w:val="00A412EF"/>
    <w:rsid w:val="00A417E2"/>
    <w:rsid w:val="00A42EF2"/>
    <w:rsid w:val="00A44D84"/>
    <w:rsid w:val="00A456C1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5C77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B7560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AF6A7F"/>
    <w:rsid w:val="00B04D8B"/>
    <w:rsid w:val="00B068F4"/>
    <w:rsid w:val="00B075DE"/>
    <w:rsid w:val="00B07E37"/>
    <w:rsid w:val="00B11D1A"/>
    <w:rsid w:val="00B11E5B"/>
    <w:rsid w:val="00B12E10"/>
    <w:rsid w:val="00B146AF"/>
    <w:rsid w:val="00B206B6"/>
    <w:rsid w:val="00B210A2"/>
    <w:rsid w:val="00B216E3"/>
    <w:rsid w:val="00B217E8"/>
    <w:rsid w:val="00B23540"/>
    <w:rsid w:val="00B2397B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303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D611A"/>
    <w:rsid w:val="00BD69B4"/>
    <w:rsid w:val="00BE17D6"/>
    <w:rsid w:val="00BE1981"/>
    <w:rsid w:val="00BE25C9"/>
    <w:rsid w:val="00BE37E1"/>
    <w:rsid w:val="00BE6BBF"/>
    <w:rsid w:val="00BE78A4"/>
    <w:rsid w:val="00BF1182"/>
    <w:rsid w:val="00BF3D54"/>
    <w:rsid w:val="00BF4C43"/>
    <w:rsid w:val="00BF778F"/>
    <w:rsid w:val="00BF7D4A"/>
    <w:rsid w:val="00C017BF"/>
    <w:rsid w:val="00C02983"/>
    <w:rsid w:val="00C03981"/>
    <w:rsid w:val="00C04218"/>
    <w:rsid w:val="00C0525B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B4B"/>
    <w:rsid w:val="00C212AB"/>
    <w:rsid w:val="00C214F0"/>
    <w:rsid w:val="00C25B4B"/>
    <w:rsid w:val="00C26422"/>
    <w:rsid w:val="00C26C7C"/>
    <w:rsid w:val="00C30488"/>
    <w:rsid w:val="00C3269F"/>
    <w:rsid w:val="00C3288D"/>
    <w:rsid w:val="00C33782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A4C"/>
    <w:rsid w:val="00C53E83"/>
    <w:rsid w:val="00C54F52"/>
    <w:rsid w:val="00C553B7"/>
    <w:rsid w:val="00C5798E"/>
    <w:rsid w:val="00C57D4A"/>
    <w:rsid w:val="00C60A09"/>
    <w:rsid w:val="00C648E0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C11"/>
    <w:rsid w:val="00CA0E3A"/>
    <w:rsid w:val="00CA12F4"/>
    <w:rsid w:val="00CA1C47"/>
    <w:rsid w:val="00CA3333"/>
    <w:rsid w:val="00CA548D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4BA4"/>
    <w:rsid w:val="00D05183"/>
    <w:rsid w:val="00D05704"/>
    <w:rsid w:val="00D05B7C"/>
    <w:rsid w:val="00D06BC9"/>
    <w:rsid w:val="00D12493"/>
    <w:rsid w:val="00D12C7A"/>
    <w:rsid w:val="00D14EF9"/>
    <w:rsid w:val="00D15416"/>
    <w:rsid w:val="00D2066E"/>
    <w:rsid w:val="00D20F4F"/>
    <w:rsid w:val="00D214F7"/>
    <w:rsid w:val="00D215E2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0D5"/>
    <w:rsid w:val="00D86245"/>
    <w:rsid w:val="00D87378"/>
    <w:rsid w:val="00D8764D"/>
    <w:rsid w:val="00D87CCB"/>
    <w:rsid w:val="00D9043F"/>
    <w:rsid w:val="00D91604"/>
    <w:rsid w:val="00D91C87"/>
    <w:rsid w:val="00D92E74"/>
    <w:rsid w:val="00D94CBE"/>
    <w:rsid w:val="00D9594F"/>
    <w:rsid w:val="00D97AB4"/>
    <w:rsid w:val="00DA1DB5"/>
    <w:rsid w:val="00DA32A4"/>
    <w:rsid w:val="00DA3997"/>
    <w:rsid w:val="00DA3E5A"/>
    <w:rsid w:val="00DA3FEA"/>
    <w:rsid w:val="00DA5B39"/>
    <w:rsid w:val="00DA7199"/>
    <w:rsid w:val="00DA750C"/>
    <w:rsid w:val="00DB07BF"/>
    <w:rsid w:val="00DC0B04"/>
    <w:rsid w:val="00DC262C"/>
    <w:rsid w:val="00DC2DC4"/>
    <w:rsid w:val="00DC3D25"/>
    <w:rsid w:val="00DC4FD4"/>
    <w:rsid w:val="00DC57A9"/>
    <w:rsid w:val="00DC5F21"/>
    <w:rsid w:val="00DC609D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6E07"/>
    <w:rsid w:val="00DD75E5"/>
    <w:rsid w:val="00DD7963"/>
    <w:rsid w:val="00DE04DD"/>
    <w:rsid w:val="00DE1E03"/>
    <w:rsid w:val="00DE252A"/>
    <w:rsid w:val="00DE37CD"/>
    <w:rsid w:val="00DE49C0"/>
    <w:rsid w:val="00DE5402"/>
    <w:rsid w:val="00DE5CA4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161D"/>
    <w:rsid w:val="00E12301"/>
    <w:rsid w:val="00E12B86"/>
    <w:rsid w:val="00E12D24"/>
    <w:rsid w:val="00E13CEA"/>
    <w:rsid w:val="00E14272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08D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4E1F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4C25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6CD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4FD1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193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5A99"/>
    <w:rsid w:val="00F05B65"/>
    <w:rsid w:val="00F06D83"/>
    <w:rsid w:val="00F07004"/>
    <w:rsid w:val="00F07424"/>
    <w:rsid w:val="00F079B7"/>
    <w:rsid w:val="00F10C02"/>
    <w:rsid w:val="00F10EEE"/>
    <w:rsid w:val="00F13330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2E39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42EC"/>
    <w:rsid w:val="00F3684A"/>
    <w:rsid w:val="00F36ED1"/>
    <w:rsid w:val="00F378C1"/>
    <w:rsid w:val="00F408A7"/>
    <w:rsid w:val="00F409F0"/>
    <w:rsid w:val="00F411D2"/>
    <w:rsid w:val="00F43B25"/>
    <w:rsid w:val="00F4414D"/>
    <w:rsid w:val="00F4477B"/>
    <w:rsid w:val="00F50C10"/>
    <w:rsid w:val="00F52C7E"/>
    <w:rsid w:val="00F53844"/>
    <w:rsid w:val="00F5537D"/>
    <w:rsid w:val="00F55602"/>
    <w:rsid w:val="00F55C05"/>
    <w:rsid w:val="00F55CD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4749"/>
    <w:rsid w:val="00F755DA"/>
    <w:rsid w:val="00F80010"/>
    <w:rsid w:val="00F805B1"/>
    <w:rsid w:val="00F814EE"/>
    <w:rsid w:val="00F8156C"/>
    <w:rsid w:val="00F8487F"/>
    <w:rsid w:val="00F865D3"/>
    <w:rsid w:val="00F86AFF"/>
    <w:rsid w:val="00F87CF9"/>
    <w:rsid w:val="00F9099C"/>
    <w:rsid w:val="00F9223A"/>
    <w:rsid w:val="00F93027"/>
    <w:rsid w:val="00F9451F"/>
    <w:rsid w:val="00F96208"/>
    <w:rsid w:val="00F9654A"/>
    <w:rsid w:val="00F979DB"/>
    <w:rsid w:val="00FA045E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1FEF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basedOn w:val="DefaultParagraphFont"/>
    <w:semiHidden/>
    <w:rsid w:val="00022D45"/>
    <w:rPr>
      <w:vertAlign w:val="superscript"/>
    </w:rPr>
  </w:style>
  <w:style w:type="character" w:styleId="Hyperlink">
    <w:name w:val="Hyperlink"/>
    <w:basedOn w:val="DefaultParagraphFont"/>
    <w:rsid w:val="00B23540"/>
    <w:rPr>
      <w:color w:val="0000FF"/>
      <w:u w:val="single"/>
    </w:rPr>
  </w:style>
  <w:style w:type="character" w:customStyle="1" w:styleId="term1">
    <w:name w:val="term1"/>
    <w:basedOn w:val="DefaultParagraphFont"/>
    <w:rsid w:val="00B23540"/>
    <w:rPr>
      <w:b/>
      <w:bCs/>
    </w:rPr>
  </w:style>
  <w:style w:type="table" w:styleId="TableGrid">
    <w:name w:val="Table Grid"/>
    <w:basedOn w:val="TableNormal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PENNINGTON</dc:creator>
  <cp:keywords/>
  <cp:lastModifiedBy>joyce marie farner</cp:lastModifiedBy>
  <cp:revision>4</cp:revision>
  <cp:lastPrinted>2008-06-20T15:29:00Z</cp:lastPrinted>
  <dcterms:created xsi:type="dcterms:W3CDTF">2010-09-20T19:22:00Z</dcterms:created>
  <dcterms:modified xsi:type="dcterms:W3CDTF">2010-09-23T15:54:00Z</dcterms:modified>
</cp:coreProperties>
</file>