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57" w:rsidRDefault="00C67857" w:rsidP="0036147B">
      <w:pPr>
        <w:ind w:left="2880" w:firstLine="720"/>
        <w:rPr>
          <w:b/>
          <w:sz w:val="26"/>
        </w:rPr>
      </w:pPr>
      <w:r>
        <w:rPr>
          <w:b/>
          <w:sz w:val="26"/>
        </w:rPr>
        <w:t>PENNSYLVANIA</w:t>
      </w:r>
    </w:p>
    <w:p w:rsidR="00C67857" w:rsidRDefault="00C67857">
      <w:pPr>
        <w:jc w:val="center"/>
        <w:rPr>
          <w:b/>
          <w:sz w:val="26"/>
        </w:rPr>
      </w:pPr>
      <w:r>
        <w:rPr>
          <w:b/>
          <w:sz w:val="26"/>
        </w:rPr>
        <w:t>PUBLIC UTILITY COMMISSION</w:t>
      </w:r>
    </w:p>
    <w:p w:rsidR="00C67857" w:rsidRDefault="00C67857">
      <w:pPr>
        <w:jc w:val="center"/>
        <w:rPr>
          <w:b/>
          <w:sz w:val="26"/>
        </w:rPr>
      </w:pPr>
      <w:smartTag w:uri="urn:schemas-microsoft-com:office:smarttags" w:element="plac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r>
          <w:rPr>
            <w:b/>
            <w:sz w:val="26"/>
          </w:rPr>
          <w:t xml:space="preserve"> </w:t>
        </w:r>
        <w:smartTag w:uri="urn:schemas-microsoft-com:office:smarttags" w:element="PostalCode">
          <w:r>
            <w:rPr>
              <w:b/>
              <w:sz w:val="26"/>
            </w:rPr>
            <w:t>17105-3265</w:t>
          </w:r>
        </w:smartTag>
      </w:smartTag>
    </w:p>
    <w:p w:rsidR="00C67857" w:rsidRDefault="00C67857">
      <w:pPr>
        <w:jc w:val="center"/>
        <w:rPr>
          <w:sz w:val="26"/>
        </w:rPr>
      </w:pPr>
    </w:p>
    <w:p w:rsidR="00C67857" w:rsidRDefault="00C67857">
      <w:pPr>
        <w:jc w:val="right"/>
        <w:rPr>
          <w:sz w:val="26"/>
        </w:rPr>
      </w:pPr>
      <w:r>
        <w:rPr>
          <w:sz w:val="26"/>
        </w:rPr>
        <w:t>Pu</w:t>
      </w:r>
      <w:r w:rsidR="00CD59FD">
        <w:rPr>
          <w:sz w:val="26"/>
        </w:rPr>
        <w:t>blic</w:t>
      </w:r>
      <w:r w:rsidR="006243EA">
        <w:rPr>
          <w:sz w:val="26"/>
        </w:rPr>
        <w:t xml:space="preserve"> Meeting held</w:t>
      </w:r>
      <w:r w:rsidR="00DD3A20">
        <w:rPr>
          <w:sz w:val="26"/>
        </w:rPr>
        <w:t xml:space="preserve"> September </w:t>
      </w:r>
      <w:r w:rsidR="006A6A94">
        <w:rPr>
          <w:sz w:val="26"/>
        </w:rPr>
        <w:t>23</w:t>
      </w:r>
      <w:r w:rsidR="008A5B88">
        <w:rPr>
          <w:sz w:val="26"/>
        </w:rPr>
        <w:t>, 2010</w:t>
      </w:r>
    </w:p>
    <w:p w:rsidR="00C67857" w:rsidRDefault="00C67857">
      <w:pPr>
        <w:rPr>
          <w:sz w:val="26"/>
        </w:rPr>
      </w:pPr>
    </w:p>
    <w:p w:rsidR="00C67857" w:rsidRDefault="00C67857">
      <w:pPr>
        <w:rPr>
          <w:sz w:val="26"/>
        </w:rPr>
      </w:pPr>
      <w:r>
        <w:rPr>
          <w:b/>
          <w:sz w:val="26"/>
        </w:rPr>
        <w:t>Commissioners Present:</w:t>
      </w:r>
    </w:p>
    <w:p w:rsidR="00C67857" w:rsidRDefault="00C67857">
      <w:pPr>
        <w:rPr>
          <w:sz w:val="26"/>
        </w:rPr>
      </w:pPr>
    </w:p>
    <w:p w:rsidR="00C67857" w:rsidRDefault="006A7BB1">
      <w:pPr>
        <w:rPr>
          <w:sz w:val="26"/>
        </w:rPr>
      </w:pPr>
      <w:r>
        <w:rPr>
          <w:sz w:val="26"/>
        </w:rPr>
        <w:tab/>
        <w:t>James H. Cawley</w:t>
      </w:r>
      <w:r w:rsidR="00C67857">
        <w:rPr>
          <w:sz w:val="26"/>
        </w:rPr>
        <w:t>, Chairman</w:t>
      </w:r>
    </w:p>
    <w:p w:rsidR="00C67857" w:rsidRDefault="006A7BB1">
      <w:pPr>
        <w:rPr>
          <w:sz w:val="26"/>
        </w:rPr>
      </w:pPr>
      <w:r>
        <w:rPr>
          <w:sz w:val="26"/>
        </w:rPr>
        <w:tab/>
        <w:t>Tyrone J. Christy</w:t>
      </w:r>
      <w:r w:rsidR="00C67857">
        <w:rPr>
          <w:sz w:val="26"/>
        </w:rPr>
        <w:t>, Vice Chairman</w:t>
      </w:r>
    </w:p>
    <w:p w:rsidR="00C67857" w:rsidRDefault="00183111">
      <w:pPr>
        <w:rPr>
          <w:sz w:val="26"/>
        </w:rPr>
      </w:pPr>
      <w:r>
        <w:rPr>
          <w:sz w:val="26"/>
        </w:rPr>
        <w:tab/>
        <w:t>John F. Coleman, Jr.</w:t>
      </w:r>
    </w:p>
    <w:p w:rsidR="00C67857" w:rsidRDefault="006A7BB1">
      <w:pPr>
        <w:rPr>
          <w:sz w:val="26"/>
        </w:rPr>
      </w:pPr>
      <w:r>
        <w:rPr>
          <w:sz w:val="26"/>
        </w:rPr>
        <w:tab/>
        <w:t>Wayne E. Gardner</w:t>
      </w:r>
    </w:p>
    <w:p w:rsidR="006A7BB1" w:rsidRDefault="007C5977">
      <w:pPr>
        <w:rPr>
          <w:sz w:val="26"/>
        </w:rPr>
      </w:pPr>
      <w:r>
        <w:rPr>
          <w:sz w:val="26"/>
        </w:rPr>
        <w:tab/>
        <w:t>Robert F. Powelson</w:t>
      </w:r>
    </w:p>
    <w:p w:rsidR="007C5977" w:rsidRDefault="007C5977">
      <w:pPr>
        <w:rPr>
          <w:sz w:val="26"/>
        </w:rPr>
      </w:pPr>
    </w:p>
    <w:p w:rsidR="00B27C9E" w:rsidRDefault="00B27C9E">
      <w:pPr>
        <w:rPr>
          <w:sz w:val="26"/>
        </w:rPr>
      </w:pPr>
    </w:p>
    <w:tbl>
      <w:tblPr>
        <w:tblW w:w="0" w:type="auto"/>
        <w:tblLayout w:type="fixed"/>
        <w:tblLook w:val="0000"/>
      </w:tblPr>
      <w:tblGrid>
        <w:gridCol w:w="5148"/>
        <w:gridCol w:w="4428"/>
      </w:tblGrid>
      <w:tr w:rsidR="00C67857">
        <w:tc>
          <w:tcPr>
            <w:tcW w:w="5148" w:type="dxa"/>
          </w:tcPr>
          <w:p w:rsidR="00030EB1" w:rsidRDefault="00030EB1" w:rsidP="00E91D41">
            <w:pPr>
              <w:tabs>
                <w:tab w:val="left" w:pos="-720"/>
              </w:tabs>
              <w:suppressAutoHyphens/>
              <w:rPr>
                <w:rFonts w:ascii="Times New (W1)" w:hAnsi="Times New (W1)"/>
                <w:kern w:val="24"/>
                <w:sz w:val="26"/>
              </w:rPr>
            </w:pPr>
            <w:r w:rsidRPr="00DF4491">
              <w:rPr>
                <w:rFonts w:ascii="Times New (W1)" w:hAnsi="Times New (W1)"/>
                <w:kern w:val="24"/>
                <w:sz w:val="26"/>
              </w:rPr>
              <w:t xml:space="preserve">Application of </w:t>
            </w:r>
            <w:r w:rsidR="0051647D">
              <w:rPr>
                <w:rFonts w:ascii="Times New (W1)" w:hAnsi="Times New (W1)"/>
                <w:kern w:val="24"/>
                <w:sz w:val="26"/>
              </w:rPr>
              <w:t>Kennedy Transfer, Inc., for</w:t>
            </w:r>
            <w:r>
              <w:rPr>
                <w:rFonts w:ascii="Times New (W1)" w:hAnsi="Times New (W1)"/>
                <w:kern w:val="24"/>
                <w:sz w:val="26"/>
              </w:rPr>
              <w:t xml:space="preserve"> </w:t>
            </w:r>
            <w:r w:rsidR="005D5A54">
              <w:rPr>
                <w:rFonts w:ascii="Times New (W1)" w:hAnsi="Times New (W1)"/>
                <w:kern w:val="24"/>
                <w:sz w:val="26"/>
              </w:rPr>
              <w:t>the right to transport, as a common carrier, by motor vehicle, household goods in use, which is to be a transfer of all household goods in use rights authorized under the certificate issued at A-00089629 to Robert R. Kennedy and Lois J. Kennedy,</w:t>
            </w:r>
            <w:r w:rsidR="00135F5F">
              <w:rPr>
                <w:rFonts w:ascii="Times New (W1)" w:hAnsi="Times New (W1)"/>
                <w:kern w:val="24"/>
                <w:sz w:val="26"/>
              </w:rPr>
              <w:t xml:space="preserve"> </w:t>
            </w:r>
            <w:r w:rsidR="005D5A54">
              <w:rPr>
                <w:rFonts w:ascii="Times New (W1)" w:hAnsi="Times New (W1)"/>
                <w:kern w:val="24"/>
                <w:sz w:val="26"/>
              </w:rPr>
              <w:t>d/b/a Kennedy Transfer, subject to the same limitations and</w:t>
            </w:r>
            <w:r w:rsidR="00135F5F">
              <w:rPr>
                <w:rFonts w:ascii="Times New (W1)" w:hAnsi="Times New (W1)"/>
                <w:kern w:val="24"/>
                <w:sz w:val="26"/>
              </w:rPr>
              <w:t xml:space="preserve"> </w:t>
            </w:r>
            <w:r w:rsidR="005D5A54">
              <w:rPr>
                <w:rFonts w:ascii="Times New (W1)" w:hAnsi="Times New (W1)"/>
                <w:kern w:val="24"/>
                <w:sz w:val="26"/>
              </w:rPr>
              <w:t>conditions</w:t>
            </w:r>
          </w:p>
          <w:p w:rsidR="00C67857" w:rsidRDefault="00C67857" w:rsidP="00030EB1">
            <w:pPr>
              <w:rPr>
                <w:sz w:val="26"/>
              </w:rPr>
            </w:pPr>
          </w:p>
        </w:tc>
        <w:tc>
          <w:tcPr>
            <w:tcW w:w="4428" w:type="dxa"/>
          </w:tcPr>
          <w:p w:rsidR="00C67857" w:rsidRDefault="00135F5F" w:rsidP="0097713B">
            <w:pPr>
              <w:jc w:val="right"/>
              <w:rPr>
                <w:sz w:val="26"/>
              </w:rPr>
            </w:pPr>
            <w:r>
              <w:rPr>
                <w:sz w:val="26"/>
              </w:rPr>
              <w:t>A</w:t>
            </w:r>
            <w:r w:rsidR="0097713B">
              <w:rPr>
                <w:sz w:val="26"/>
              </w:rPr>
              <w:t>-2009-</w:t>
            </w:r>
            <w:r w:rsidR="00766DD0">
              <w:rPr>
                <w:sz w:val="26"/>
              </w:rPr>
              <w:t>2148204</w:t>
            </w:r>
          </w:p>
        </w:tc>
      </w:tr>
      <w:tr w:rsidR="0097713B">
        <w:tc>
          <w:tcPr>
            <w:tcW w:w="5148" w:type="dxa"/>
          </w:tcPr>
          <w:p w:rsidR="0097713B" w:rsidRPr="00DF4491" w:rsidRDefault="0097713B" w:rsidP="00E91D41">
            <w:pPr>
              <w:tabs>
                <w:tab w:val="left" w:pos="-720"/>
              </w:tabs>
              <w:suppressAutoHyphens/>
              <w:rPr>
                <w:rFonts w:ascii="Times New (W1)" w:hAnsi="Times New (W1)"/>
                <w:kern w:val="24"/>
                <w:sz w:val="26"/>
              </w:rPr>
            </w:pPr>
          </w:p>
        </w:tc>
        <w:tc>
          <w:tcPr>
            <w:tcW w:w="4428" w:type="dxa"/>
          </w:tcPr>
          <w:p w:rsidR="0097713B" w:rsidRDefault="0097713B" w:rsidP="0097713B">
            <w:pPr>
              <w:jc w:val="right"/>
              <w:rPr>
                <w:sz w:val="26"/>
              </w:rPr>
            </w:pPr>
          </w:p>
        </w:tc>
      </w:tr>
      <w:tr w:rsidR="0097713B">
        <w:tc>
          <w:tcPr>
            <w:tcW w:w="5148" w:type="dxa"/>
          </w:tcPr>
          <w:p w:rsidR="0097713B" w:rsidRPr="00DF4491" w:rsidRDefault="0097713B" w:rsidP="00E91D41">
            <w:pPr>
              <w:tabs>
                <w:tab w:val="left" w:pos="-720"/>
              </w:tabs>
              <w:suppressAutoHyphens/>
              <w:rPr>
                <w:rFonts w:ascii="Times New (W1)" w:hAnsi="Times New (W1)"/>
                <w:kern w:val="24"/>
                <w:sz w:val="26"/>
              </w:rPr>
            </w:pPr>
          </w:p>
        </w:tc>
        <w:tc>
          <w:tcPr>
            <w:tcW w:w="4428" w:type="dxa"/>
          </w:tcPr>
          <w:p w:rsidR="0097713B" w:rsidRDefault="0097713B" w:rsidP="0097713B">
            <w:pPr>
              <w:jc w:val="right"/>
              <w:rPr>
                <w:sz w:val="26"/>
              </w:rPr>
            </w:pPr>
          </w:p>
        </w:tc>
      </w:tr>
    </w:tbl>
    <w:p w:rsidR="00C67857" w:rsidRDefault="00FC1F78">
      <w:pPr>
        <w:jc w:val="center"/>
        <w:rPr>
          <w:b/>
          <w:sz w:val="26"/>
        </w:rPr>
      </w:pPr>
      <w:r>
        <w:rPr>
          <w:b/>
          <w:sz w:val="26"/>
        </w:rPr>
        <w:t>O</w:t>
      </w:r>
      <w:r w:rsidR="00C67857">
        <w:rPr>
          <w:b/>
          <w:sz w:val="26"/>
        </w:rPr>
        <w:t>PINION AND ORDER</w:t>
      </w:r>
    </w:p>
    <w:p w:rsidR="00C67857" w:rsidRDefault="00C67857">
      <w:pPr>
        <w:jc w:val="center"/>
        <w:rPr>
          <w:sz w:val="26"/>
        </w:rPr>
      </w:pPr>
    </w:p>
    <w:p w:rsidR="00C67857" w:rsidRDefault="00C67857">
      <w:pPr>
        <w:spacing w:after="360"/>
        <w:rPr>
          <w:sz w:val="26"/>
        </w:rPr>
      </w:pPr>
      <w:r>
        <w:rPr>
          <w:b/>
          <w:sz w:val="26"/>
        </w:rPr>
        <w:t xml:space="preserve">BY THE COMMISSION: </w:t>
      </w:r>
      <w:r>
        <w:rPr>
          <w:sz w:val="26"/>
        </w:rPr>
        <w:t xml:space="preserve"> </w:t>
      </w:r>
    </w:p>
    <w:p w:rsidR="00C67857" w:rsidRDefault="00C67857" w:rsidP="00D209CD">
      <w:pPr>
        <w:spacing w:line="360" w:lineRule="auto"/>
        <w:rPr>
          <w:sz w:val="26"/>
        </w:rPr>
      </w:pPr>
      <w:r>
        <w:rPr>
          <w:sz w:val="26"/>
        </w:rPr>
        <w:tab/>
      </w:r>
      <w:r>
        <w:rPr>
          <w:sz w:val="26"/>
        </w:rPr>
        <w:tab/>
        <w:t xml:space="preserve">Before the Commission for consideration and disposition </w:t>
      </w:r>
      <w:r w:rsidR="00577FA9">
        <w:rPr>
          <w:sz w:val="26"/>
        </w:rPr>
        <w:t xml:space="preserve">is </w:t>
      </w:r>
      <w:r w:rsidR="007024CE">
        <w:rPr>
          <w:sz w:val="26"/>
        </w:rPr>
        <w:t>the Petition fo</w:t>
      </w:r>
      <w:r w:rsidR="00BC5940">
        <w:rPr>
          <w:sz w:val="26"/>
        </w:rPr>
        <w:t xml:space="preserve">r Reconsideration </w:t>
      </w:r>
      <w:r w:rsidR="00577FA9">
        <w:rPr>
          <w:sz w:val="26"/>
        </w:rPr>
        <w:t xml:space="preserve">(Petition) </w:t>
      </w:r>
      <w:r w:rsidR="007024CE">
        <w:rPr>
          <w:sz w:val="26"/>
        </w:rPr>
        <w:t xml:space="preserve">filed by </w:t>
      </w:r>
      <w:r w:rsidR="00577FA9">
        <w:rPr>
          <w:sz w:val="26"/>
        </w:rPr>
        <w:t>Kennedy Transfer, I</w:t>
      </w:r>
      <w:r w:rsidR="00E24CBB">
        <w:rPr>
          <w:sz w:val="26"/>
        </w:rPr>
        <w:t>nc. (Petitioner)</w:t>
      </w:r>
      <w:r w:rsidR="00577FA9">
        <w:rPr>
          <w:sz w:val="26"/>
        </w:rPr>
        <w:t>.</w:t>
      </w:r>
      <w:r w:rsidR="00E24CBB">
        <w:rPr>
          <w:sz w:val="26"/>
        </w:rPr>
        <w:t xml:space="preserve">  </w:t>
      </w:r>
      <w:r w:rsidR="00577FA9">
        <w:rPr>
          <w:sz w:val="26"/>
        </w:rPr>
        <w:t xml:space="preserve">On June 25, 2010, </w:t>
      </w:r>
      <w:r w:rsidR="00D209CD">
        <w:rPr>
          <w:sz w:val="26"/>
        </w:rPr>
        <w:t xml:space="preserve">the Commission’s Bureau of Transportation and Safety (BTS) filed a Reply to the Petition.  </w:t>
      </w:r>
      <w:r w:rsidR="007024CE">
        <w:rPr>
          <w:sz w:val="26"/>
        </w:rPr>
        <w:t>The Petition concern</w:t>
      </w:r>
      <w:r w:rsidR="00D209CD">
        <w:rPr>
          <w:sz w:val="26"/>
        </w:rPr>
        <w:t>s</w:t>
      </w:r>
      <w:r w:rsidR="00F6416F">
        <w:rPr>
          <w:sz w:val="26"/>
        </w:rPr>
        <w:t xml:space="preserve"> the </w:t>
      </w:r>
      <w:r w:rsidR="007024CE">
        <w:rPr>
          <w:sz w:val="26"/>
        </w:rPr>
        <w:t xml:space="preserve">Order entered on </w:t>
      </w:r>
      <w:r w:rsidR="00D209CD">
        <w:rPr>
          <w:sz w:val="26"/>
        </w:rPr>
        <w:t>March 26</w:t>
      </w:r>
      <w:r w:rsidR="007024CE">
        <w:rPr>
          <w:sz w:val="26"/>
        </w:rPr>
        <w:t>, 2010</w:t>
      </w:r>
      <w:r w:rsidR="003D3E35">
        <w:rPr>
          <w:sz w:val="26"/>
        </w:rPr>
        <w:t xml:space="preserve"> (</w:t>
      </w:r>
      <w:r w:rsidR="00D209CD">
        <w:rPr>
          <w:i/>
          <w:sz w:val="26"/>
        </w:rPr>
        <w:t>March 26</w:t>
      </w:r>
      <w:r w:rsidR="003D3E35">
        <w:rPr>
          <w:i/>
          <w:sz w:val="26"/>
        </w:rPr>
        <w:t xml:space="preserve"> Order)</w:t>
      </w:r>
      <w:r w:rsidR="007024CE">
        <w:rPr>
          <w:sz w:val="26"/>
        </w:rPr>
        <w:t>, relative to</w:t>
      </w:r>
      <w:r w:rsidR="00D209CD">
        <w:rPr>
          <w:sz w:val="26"/>
        </w:rPr>
        <w:t xml:space="preserve"> the above-captioned proceeding</w:t>
      </w:r>
      <w:r w:rsidR="007024CE">
        <w:rPr>
          <w:sz w:val="26"/>
        </w:rPr>
        <w:t>.</w:t>
      </w:r>
    </w:p>
    <w:p w:rsidR="00BF2A05" w:rsidRDefault="00BF2A05">
      <w:pPr>
        <w:spacing w:line="360" w:lineRule="auto"/>
        <w:rPr>
          <w:b/>
          <w:sz w:val="26"/>
          <w:u w:val="single"/>
        </w:rPr>
      </w:pPr>
      <w:r>
        <w:rPr>
          <w:sz w:val="26"/>
        </w:rPr>
        <w:tab/>
      </w:r>
      <w:r>
        <w:rPr>
          <w:sz w:val="26"/>
        </w:rPr>
        <w:tab/>
      </w:r>
    </w:p>
    <w:p w:rsidR="00C67857" w:rsidRPr="00BB1351" w:rsidRDefault="00C67857" w:rsidP="00D209CD">
      <w:pPr>
        <w:pageBreakBefore/>
        <w:spacing w:line="360" w:lineRule="auto"/>
        <w:jc w:val="center"/>
        <w:rPr>
          <w:sz w:val="26"/>
        </w:rPr>
      </w:pPr>
      <w:r w:rsidRPr="00BB1351">
        <w:rPr>
          <w:b/>
          <w:sz w:val="26"/>
        </w:rPr>
        <w:lastRenderedPageBreak/>
        <w:t>History of the Proceedings</w:t>
      </w:r>
    </w:p>
    <w:p w:rsidR="00C67857" w:rsidRDefault="00C67857">
      <w:pPr>
        <w:spacing w:line="360" w:lineRule="auto"/>
        <w:rPr>
          <w:sz w:val="26"/>
        </w:rPr>
      </w:pPr>
    </w:p>
    <w:p w:rsidR="00917758" w:rsidRDefault="00917758" w:rsidP="001B352A">
      <w:pPr>
        <w:pStyle w:val="BodyText"/>
        <w:rPr>
          <w:szCs w:val="26"/>
        </w:rPr>
      </w:pPr>
      <w:r w:rsidRPr="00893915">
        <w:rPr>
          <w:szCs w:val="26"/>
        </w:rPr>
        <w:tab/>
      </w:r>
      <w:r w:rsidRPr="00893915">
        <w:rPr>
          <w:szCs w:val="26"/>
        </w:rPr>
        <w:tab/>
      </w:r>
      <w:r>
        <w:rPr>
          <w:szCs w:val="26"/>
        </w:rPr>
        <w:t xml:space="preserve">On </w:t>
      </w:r>
      <w:r w:rsidR="002933D9">
        <w:rPr>
          <w:szCs w:val="26"/>
        </w:rPr>
        <w:t>October</w:t>
      </w:r>
      <w:r>
        <w:rPr>
          <w:szCs w:val="26"/>
        </w:rPr>
        <w:t xml:space="preserve"> 2</w:t>
      </w:r>
      <w:r w:rsidR="002933D9">
        <w:rPr>
          <w:szCs w:val="26"/>
        </w:rPr>
        <w:t>7, 2009</w:t>
      </w:r>
      <w:r>
        <w:rPr>
          <w:szCs w:val="26"/>
        </w:rPr>
        <w:t xml:space="preserve">, </w:t>
      </w:r>
      <w:r w:rsidR="002933D9">
        <w:rPr>
          <w:szCs w:val="26"/>
        </w:rPr>
        <w:t xml:space="preserve">Petitioner filed a Transfer Application for the </w:t>
      </w:r>
      <w:r w:rsidR="001B352A">
        <w:rPr>
          <w:szCs w:val="26"/>
        </w:rPr>
        <w:t>above-captioned right</w:t>
      </w:r>
      <w:r w:rsidR="00DE7900">
        <w:rPr>
          <w:szCs w:val="26"/>
        </w:rPr>
        <w:t>.</w:t>
      </w:r>
      <w:r w:rsidR="001B352A">
        <w:rPr>
          <w:szCs w:val="26"/>
        </w:rPr>
        <w:t xml:space="preserve">  </w:t>
      </w:r>
      <w:r w:rsidR="00940DA9">
        <w:rPr>
          <w:szCs w:val="26"/>
        </w:rPr>
        <w:t>By l</w:t>
      </w:r>
      <w:r w:rsidR="00C553E6">
        <w:rPr>
          <w:szCs w:val="26"/>
        </w:rPr>
        <w:t>etter of December 3, 2009, BTS rejected the Petitioner’s Transfer Application and the accompanying “Appendix A” for failure to sufficiently define the authority sought for transfer, as required by Form PUC 190,</w:t>
      </w:r>
      <w:r w:rsidR="009E1CDC">
        <w:rPr>
          <w:szCs w:val="26"/>
        </w:rPr>
        <w:t xml:space="preserve"> Section 12a.  Specifically, BTS advised Petitioner that it would be required to restate the rights it believed were transferable and not simply identify all rights presently held by the transferor.  BTS made this request due to the intermingling of both property and household</w:t>
      </w:r>
      <w:r w:rsidR="004A0EFB">
        <w:rPr>
          <w:szCs w:val="26"/>
        </w:rPr>
        <w:t xml:space="preserve"> goods rights in the transferor’s authority.  Also, Petitioner was advised that property rights are non-transferable.</w:t>
      </w:r>
    </w:p>
    <w:p w:rsidR="00917758" w:rsidRDefault="00917758" w:rsidP="00917758">
      <w:pPr>
        <w:pStyle w:val="BodyText"/>
        <w:rPr>
          <w:szCs w:val="26"/>
        </w:rPr>
      </w:pPr>
    </w:p>
    <w:p w:rsidR="00917758" w:rsidRDefault="00A766FF" w:rsidP="00917758">
      <w:pPr>
        <w:pStyle w:val="BodyText"/>
        <w:ind w:firstLine="1440"/>
        <w:rPr>
          <w:szCs w:val="26"/>
        </w:rPr>
      </w:pPr>
      <w:r>
        <w:rPr>
          <w:szCs w:val="26"/>
        </w:rPr>
        <w:t>In response</w:t>
      </w:r>
      <w:r w:rsidR="00055829">
        <w:rPr>
          <w:szCs w:val="26"/>
        </w:rPr>
        <w:t>, Petitioner filed an extract of its household goods rights that it believed accurately reflected its Certificate.  The extract was attached to the Petition as “Exhibit B.”</w:t>
      </w:r>
    </w:p>
    <w:p w:rsidR="00917758" w:rsidRDefault="00917758" w:rsidP="00917758">
      <w:pPr>
        <w:pStyle w:val="BodyText"/>
        <w:ind w:firstLine="1440"/>
        <w:rPr>
          <w:szCs w:val="26"/>
        </w:rPr>
      </w:pPr>
    </w:p>
    <w:p w:rsidR="0046344D" w:rsidRDefault="00B779FE" w:rsidP="00917758">
      <w:pPr>
        <w:pStyle w:val="BodyText"/>
        <w:ind w:firstLine="1440"/>
        <w:rPr>
          <w:szCs w:val="26"/>
        </w:rPr>
      </w:pPr>
      <w:r>
        <w:rPr>
          <w:szCs w:val="26"/>
        </w:rPr>
        <w:t>In the</w:t>
      </w:r>
      <w:r w:rsidR="00523CC0">
        <w:rPr>
          <w:szCs w:val="26"/>
        </w:rPr>
        <w:t xml:space="preserve"> </w:t>
      </w:r>
      <w:r w:rsidR="00523CC0" w:rsidRPr="00523CC0">
        <w:rPr>
          <w:i/>
          <w:szCs w:val="26"/>
        </w:rPr>
        <w:t>March 26 Order</w:t>
      </w:r>
      <w:r w:rsidR="008F3C53">
        <w:rPr>
          <w:i/>
          <w:szCs w:val="26"/>
        </w:rPr>
        <w:t>,</w:t>
      </w:r>
      <w:r w:rsidR="008F3C53" w:rsidRPr="00B43339">
        <w:rPr>
          <w:szCs w:val="26"/>
        </w:rPr>
        <w:t xml:space="preserve"> </w:t>
      </w:r>
      <w:r>
        <w:rPr>
          <w:szCs w:val="26"/>
        </w:rPr>
        <w:t xml:space="preserve">the Commission </w:t>
      </w:r>
      <w:r w:rsidR="00B43339" w:rsidRPr="00B43339">
        <w:rPr>
          <w:szCs w:val="26"/>
        </w:rPr>
        <w:t>approved</w:t>
      </w:r>
      <w:r>
        <w:rPr>
          <w:szCs w:val="26"/>
        </w:rPr>
        <w:t xml:space="preserve"> Petitioner’s Application for a common carrier of household goods Certificate.</w:t>
      </w:r>
      <w:r w:rsidR="00120EBC">
        <w:rPr>
          <w:szCs w:val="26"/>
        </w:rPr>
        <w:t xml:space="preserve">  </w:t>
      </w:r>
      <w:r>
        <w:rPr>
          <w:szCs w:val="26"/>
        </w:rPr>
        <w:t>The Commission</w:t>
      </w:r>
      <w:r w:rsidR="00120EBC">
        <w:rPr>
          <w:szCs w:val="26"/>
        </w:rPr>
        <w:t xml:space="preserve"> granted Petitioner the right to transport household goods in use by transfer of the rights authorized under the Certificate issued at A-00089629 to Robert R. Kennedy and Lois J. Kennedy, d/b/a Kennedy Transfer</w:t>
      </w:r>
      <w:r w:rsidR="00036A36">
        <w:rPr>
          <w:szCs w:val="26"/>
        </w:rPr>
        <w:t xml:space="preserve"> (Transferor)</w:t>
      </w:r>
      <w:r w:rsidR="00120EBC">
        <w:rPr>
          <w:szCs w:val="26"/>
        </w:rPr>
        <w:t>, subject to the same limitations and conditions.</w:t>
      </w:r>
    </w:p>
    <w:p w:rsidR="00120EBC" w:rsidRDefault="00120EBC" w:rsidP="00917758">
      <w:pPr>
        <w:pStyle w:val="BodyText"/>
        <w:ind w:firstLine="1440"/>
        <w:rPr>
          <w:szCs w:val="26"/>
        </w:rPr>
      </w:pPr>
    </w:p>
    <w:p w:rsidR="009A1A5D" w:rsidRDefault="009A1A5D" w:rsidP="00917758">
      <w:pPr>
        <w:pStyle w:val="BodyText"/>
        <w:ind w:firstLine="1440"/>
        <w:rPr>
          <w:szCs w:val="26"/>
        </w:rPr>
      </w:pPr>
      <w:r>
        <w:rPr>
          <w:szCs w:val="26"/>
        </w:rPr>
        <w:t xml:space="preserve">By Letter dated March 30, 2010, and addressed to BTS, Petitioner </w:t>
      </w:r>
      <w:r w:rsidR="00BD488F">
        <w:rPr>
          <w:szCs w:val="26"/>
        </w:rPr>
        <w:t xml:space="preserve">asked that the </w:t>
      </w:r>
      <w:r w:rsidR="00BD488F" w:rsidRPr="00BD488F">
        <w:rPr>
          <w:i/>
          <w:szCs w:val="26"/>
        </w:rPr>
        <w:t>March 26 Order</w:t>
      </w:r>
      <w:r w:rsidR="00BD488F">
        <w:rPr>
          <w:szCs w:val="26"/>
        </w:rPr>
        <w:t xml:space="preserve"> be corrected to include the transfer of the property </w:t>
      </w:r>
      <w:r>
        <w:rPr>
          <w:szCs w:val="26"/>
        </w:rPr>
        <w:t>portion of the Tran</w:t>
      </w:r>
      <w:r w:rsidR="00255C0C">
        <w:rPr>
          <w:szCs w:val="26"/>
        </w:rPr>
        <w:t>s</w:t>
      </w:r>
      <w:r>
        <w:rPr>
          <w:szCs w:val="26"/>
        </w:rPr>
        <w:t>feror’</w:t>
      </w:r>
      <w:r w:rsidR="00BD488F">
        <w:rPr>
          <w:szCs w:val="26"/>
        </w:rPr>
        <w:t xml:space="preserve">s authority at Folder 1.  </w:t>
      </w:r>
      <w:r w:rsidR="00C14AB2">
        <w:rPr>
          <w:szCs w:val="26"/>
        </w:rPr>
        <w:t>In the alternative, Petitioner asked that its letter be considered a</w:t>
      </w:r>
      <w:r w:rsidR="002C08BF">
        <w:rPr>
          <w:szCs w:val="26"/>
        </w:rPr>
        <w:t xml:space="preserve"> Petition for Reconsideration. </w:t>
      </w:r>
    </w:p>
    <w:p w:rsidR="009A1A5D" w:rsidRDefault="009A1A5D" w:rsidP="00917758">
      <w:pPr>
        <w:pStyle w:val="BodyText"/>
        <w:ind w:firstLine="1440"/>
        <w:rPr>
          <w:szCs w:val="26"/>
        </w:rPr>
      </w:pPr>
    </w:p>
    <w:p w:rsidR="009A1A5D" w:rsidRDefault="00FB0EA8" w:rsidP="00917758">
      <w:pPr>
        <w:pStyle w:val="BodyText"/>
        <w:ind w:firstLine="1440"/>
        <w:rPr>
          <w:szCs w:val="26"/>
        </w:rPr>
      </w:pPr>
      <w:r>
        <w:rPr>
          <w:szCs w:val="26"/>
        </w:rPr>
        <w:lastRenderedPageBreak/>
        <w:t xml:space="preserve">On May 14, 2010, BTS informed Petitioner that the </w:t>
      </w:r>
      <w:r w:rsidR="00A835E7">
        <w:rPr>
          <w:szCs w:val="26"/>
        </w:rPr>
        <w:t>requested change would not be made administratively</w:t>
      </w:r>
      <w:r>
        <w:rPr>
          <w:szCs w:val="26"/>
        </w:rPr>
        <w:t xml:space="preserve"> and that, if it desired the additional authority, Petitioner must file an application for amendment or a petition for reconsideration.</w:t>
      </w:r>
    </w:p>
    <w:p w:rsidR="00FB0EA8" w:rsidRDefault="00FB0EA8" w:rsidP="00917758">
      <w:pPr>
        <w:pStyle w:val="BodyText"/>
        <w:ind w:firstLine="1440"/>
        <w:rPr>
          <w:szCs w:val="26"/>
        </w:rPr>
      </w:pPr>
    </w:p>
    <w:p w:rsidR="00120EBC" w:rsidRPr="00B43339" w:rsidRDefault="00EC09A9" w:rsidP="00917758">
      <w:pPr>
        <w:pStyle w:val="BodyText"/>
        <w:ind w:firstLine="1440"/>
        <w:rPr>
          <w:szCs w:val="26"/>
        </w:rPr>
      </w:pPr>
      <w:r>
        <w:rPr>
          <w:szCs w:val="26"/>
        </w:rPr>
        <w:t>Petitioner filed the instant Petition on May 28, 2010.  BTS filed its Reply as noted above.</w:t>
      </w:r>
    </w:p>
    <w:p w:rsidR="00EC09A9" w:rsidRDefault="00EC09A9" w:rsidP="003F09F1">
      <w:pPr>
        <w:spacing w:line="360" w:lineRule="auto"/>
        <w:ind w:left="2880" w:firstLine="720"/>
        <w:rPr>
          <w:b/>
          <w:sz w:val="26"/>
          <w:szCs w:val="26"/>
        </w:rPr>
      </w:pPr>
    </w:p>
    <w:p w:rsidR="00C67857" w:rsidRPr="00BB1351" w:rsidRDefault="00C67857" w:rsidP="003F09F1">
      <w:pPr>
        <w:spacing w:line="360" w:lineRule="auto"/>
        <w:ind w:left="2880" w:firstLine="720"/>
        <w:rPr>
          <w:b/>
          <w:sz w:val="26"/>
          <w:szCs w:val="26"/>
        </w:rPr>
      </w:pPr>
      <w:r w:rsidRPr="00BB1351">
        <w:rPr>
          <w:b/>
          <w:sz w:val="26"/>
          <w:szCs w:val="26"/>
        </w:rPr>
        <w:t>Discussion</w:t>
      </w:r>
    </w:p>
    <w:p w:rsidR="00C67857" w:rsidRDefault="00C67857" w:rsidP="00FF2994">
      <w:pPr>
        <w:spacing w:line="360" w:lineRule="auto"/>
        <w:rPr>
          <w:sz w:val="26"/>
        </w:rPr>
      </w:pPr>
    </w:p>
    <w:p w:rsidR="00A835E7" w:rsidRDefault="00F20C82" w:rsidP="00245B8C">
      <w:pPr>
        <w:spacing w:line="360" w:lineRule="auto"/>
        <w:rPr>
          <w:sz w:val="26"/>
        </w:rPr>
      </w:pPr>
      <w:r>
        <w:rPr>
          <w:sz w:val="26"/>
        </w:rPr>
        <w:tab/>
      </w:r>
      <w:r>
        <w:rPr>
          <w:sz w:val="26"/>
        </w:rPr>
        <w:tab/>
      </w:r>
      <w:r w:rsidR="005A5CF0">
        <w:rPr>
          <w:sz w:val="26"/>
        </w:rPr>
        <w:t>Initially, we note that the insta</w:t>
      </w:r>
      <w:r w:rsidR="00985C63">
        <w:rPr>
          <w:sz w:val="26"/>
        </w:rPr>
        <w:t xml:space="preserve">nt Petition for Reconsideration was filed after the thirty-day deadline set forth in 52 Pa. Code § 5.572.  We shall nevertheless consider it because Petitioner responded to the Order entered March 26, 2010, by sending correspondence to BTS dated March 30, 2010, asking that the Order be corrected administratively, or, in the alternative, that the </w:t>
      </w:r>
      <w:r w:rsidR="005104E7">
        <w:rPr>
          <w:sz w:val="26"/>
        </w:rPr>
        <w:t>correspondence be treated as a Petition for Reconsideration.  Although this is not the proper procedure</w:t>
      </w:r>
      <w:r w:rsidR="006B42A9">
        <w:rPr>
          <w:sz w:val="26"/>
        </w:rPr>
        <w:t xml:space="preserve"> for filing a Petition for Reconsideration, in order to ensure that Petitioner’s due process rights are preserved, we will treat the Petitioner as having timely requested Reconsideration.</w:t>
      </w:r>
    </w:p>
    <w:p w:rsidR="00A835E7" w:rsidRDefault="00A835E7" w:rsidP="00245B8C">
      <w:pPr>
        <w:spacing w:line="360" w:lineRule="auto"/>
        <w:rPr>
          <w:sz w:val="26"/>
        </w:rPr>
      </w:pPr>
    </w:p>
    <w:p w:rsidR="00245B8C" w:rsidRDefault="00F20C82" w:rsidP="00F20C82">
      <w:pPr>
        <w:spacing w:line="360" w:lineRule="auto"/>
        <w:ind w:firstLine="720"/>
        <w:rPr>
          <w:sz w:val="26"/>
        </w:rPr>
      </w:pPr>
      <w:r>
        <w:rPr>
          <w:sz w:val="26"/>
        </w:rPr>
        <w:t xml:space="preserve">          In addition</w:t>
      </w:r>
      <w:r w:rsidR="00245B8C">
        <w:rPr>
          <w:sz w:val="26"/>
        </w:rPr>
        <w:t xml:space="preserve">, we note that BTS’ Reply to the Petition was not timely filed.  Accordingly, BTS filed its Reply </w:t>
      </w:r>
      <w:r w:rsidR="00245B8C" w:rsidRPr="00245B8C">
        <w:rPr>
          <w:i/>
          <w:sz w:val="26"/>
        </w:rPr>
        <w:t>Nunc Pro Tunc</w:t>
      </w:r>
      <w:r w:rsidR="00245B8C">
        <w:rPr>
          <w:sz w:val="26"/>
        </w:rPr>
        <w:t>.</w:t>
      </w:r>
      <w:r w:rsidR="005A5CF0">
        <w:rPr>
          <w:sz w:val="26"/>
        </w:rPr>
        <w:t xml:space="preserve">  BTS avers that this </w:t>
      </w:r>
      <w:r w:rsidR="00245B8C">
        <w:rPr>
          <w:sz w:val="26"/>
        </w:rPr>
        <w:t>was due to the fact that the Petition</w:t>
      </w:r>
      <w:r w:rsidR="00322EE0">
        <w:rPr>
          <w:sz w:val="26"/>
        </w:rPr>
        <w:t xml:space="preserve">er </w:t>
      </w:r>
      <w:r w:rsidR="00F55DE6">
        <w:rPr>
          <w:sz w:val="26"/>
        </w:rPr>
        <w:t>failed to serve its Petition on BTS, or otherwise provide</w:t>
      </w:r>
      <w:r w:rsidR="002B25D0">
        <w:rPr>
          <w:sz w:val="26"/>
        </w:rPr>
        <w:t xml:space="preserve"> </w:t>
      </w:r>
      <w:r w:rsidR="005A5CF0">
        <w:rPr>
          <w:sz w:val="26"/>
        </w:rPr>
        <w:t xml:space="preserve">it </w:t>
      </w:r>
      <w:r w:rsidR="002B25D0">
        <w:rPr>
          <w:sz w:val="26"/>
        </w:rPr>
        <w:t xml:space="preserve">with a courtesy copy of the Petition.  BTS points out that Petitioner has had previous communications regarding this matter directly with BTS, and that it should have been aware that </w:t>
      </w:r>
      <w:r w:rsidR="001D4D9D">
        <w:rPr>
          <w:sz w:val="26"/>
        </w:rPr>
        <w:t xml:space="preserve">BTS would be affected by its Petition.  BTS requests that its Reply be considered </w:t>
      </w:r>
      <w:r w:rsidR="001D4D9D" w:rsidRPr="001D4D9D">
        <w:rPr>
          <w:i/>
          <w:sz w:val="26"/>
        </w:rPr>
        <w:t>nunc pro tunc</w:t>
      </w:r>
      <w:r w:rsidR="001D4D9D">
        <w:rPr>
          <w:sz w:val="26"/>
        </w:rPr>
        <w:t xml:space="preserve">, since it only recently became aware of Petitioner’s request for reconsideration of the </w:t>
      </w:r>
      <w:r w:rsidR="001D4D9D" w:rsidRPr="0001166E">
        <w:rPr>
          <w:i/>
          <w:sz w:val="26"/>
        </w:rPr>
        <w:t>March 26 Order</w:t>
      </w:r>
      <w:r w:rsidR="001D4D9D">
        <w:rPr>
          <w:sz w:val="26"/>
        </w:rPr>
        <w:t>.</w:t>
      </w:r>
      <w:r w:rsidR="0001166E">
        <w:rPr>
          <w:sz w:val="26"/>
        </w:rPr>
        <w:t xml:space="preserve">  Reply</w:t>
      </w:r>
      <w:r w:rsidR="00245B8C" w:rsidRPr="001144A9">
        <w:rPr>
          <w:sz w:val="26"/>
        </w:rPr>
        <w:t xml:space="preserve"> at ¶ 1.</w:t>
      </w:r>
    </w:p>
    <w:p w:rsidR="00245B8C" w:rsidRDefault="00245B8C" w:rsidP="00245B8C">
      <w:pPr>
        <w:spacing w:line="360" w:lineRule="auto"/>
        <w:rPr>
          <w:sz w:val="26"/>
        </w:rPr>
      </w:pPr>
    </w:p>
    <w:p w:rsidR="00245B8C" w:rsidRDefault="00245B8C" w:rsidP="00245B8C">
      <w:pPr>
        <w:tabs>
          <w:tab w:val="left" w:pos="-720"/>
        </w:tabs>
        <w:suppressAutoHyphens/>
        <w:spacing w:line="360" w:lineRule="auto"/>
        <w:rPr>
          <w:sz w:val="26"/>
        </w:rPr>
      </w:pPr>
      <w:r>
        <w:rPr>
          <w:sz w:val="26"/>
        </w:rPr>
        <w:tab/>
      </w:r>
      <w:r>
        <w:rPr>
          <w:sz w:val="26"/>
        </w:rPr>
        <w:tab/>
        <w:t>We shall consider BTS’ Answer herein.  Our Regulations state:</w:t>
      </w:r>
    </w:p>
    <w:p w:rsidR="00245B8C" w:rsidRDefault="00245B8C" w:rsidP="00245B8C">
      <w:pPr>
        <w:tabs>
          <w:tab w:val="left" w:pos="-720"/>
        </w:tabs>
        <w:suppressAutoHyphens/>
        <w:spacing w:line="360" w:lineRule="auto"/>
        <w:ind w:firstLine="1440"/>
        <w:rPr>
          <w:sz w:val="26"/>
        </w:rPr>
      </w:pPr>
    </w:p>
    <w:p w:rsidR="00245B8C" w:rsidRDefault="00245B8C" w:rsidP="00245B8C">
      <w:pPr>
        <w:tabs>
          <w:tab w:val="left" w:pos="-720"/>
        </w:tabs>
        <w:suppressAutoHyphens/>
        <w:ind w:left="1440" w:right="1440"/>
        <w:rPr>
          <w:sz w:val="26"/>
        </w:rPr>
      </w:pPr>
      <w:r>
        <w:rPr>
          <w:sz w:val="26"/>
        </w:rPr>
        <w:lastRenderedPageBreak/>
        <w:t xml:space="preserve">This subpart shall be liberally construed to secure the just, speedy and inexpensive determination of every action or proceeding to which it is applicable.  The Commission or presiding officer at any stage of an action or proceeding may disregard an error or defect of procedure </w:t>
      </w:r>
      <w:r w:rsidRPr="00B10F43">
        <w:rPr>
          <w:i/>
          <w:sz w:val="26"/>
        </w:rPr>
        <w:t>which does not affect the substantive rights of the parties</w:t>
      </w:r>
      <w:r>
        <w:rPr>
          <w:sz w:val="26"/>
        </w:rPr>
        <w:t>.</w:t>
      </w:r>
    </w:p>
    <w:p w:rsidR="00245B8C" w:rsidRDefault="00245B8C" w:rsidP="00245B8C">
      <w:pPr>
        <w:tabs>
          <w:tab w:val="left" w:pos="-720"/>
        </w:tabs>
        <w:suppressAutoHyphens/>
        <w:spacing w:line="360" w:lineRule="auto"/>
        <w:ind w:firstLine="1440"/>
        <w:rPr>
          <w:sz w:val="26"/>
        </w:rPr>
      </w:pPr>
    </w:p>
    <w:p w:rsidR="00245B8C" w:rsidRDefault="00245B8C" w:rsidP="00245B8C">
      <w:pPr>
        <w:tabs>
          <w:tab w:val="left" w:pos="-720"/>
        </w:tabs>
        <w:suppressAutoHyphens/>
        <w:spacing w:line="360" w:lineRule="auto"/>
        <w:rPr>
          <w:sz w:val="26"/>
        </w:rPr>
      </w:pPr>
      <w:r>
        <w:rPr>
          <w:sz w:val="26"/>
        </w:rPr>
        <w:t>52 Pa. Code § 1.2(a) (emphasis supplied).  In this case, we fail to see how any Party’s substantive rights would be prejudiced by the conside</w:t>
      </w:r>
      <w:r w:rsidR="0001166E">
        <w:rPr>
          <w:sz w:val="26"/>
        </w:rPr>
        <w:t>ration of BTS’ late-filed Reply</w:t>
      </w:r>
      <w:r>
        <w:rPr>
          <w:sz w:val="26"/>
        </w:rPr>
        <w:t xml:space="preserve">.  </w:t>
      </w:r>
      <w:r>
        <w:rPr>
          <w:sz w:val="26"/>
        </w:rPr>
        <w:tab/>
      </w:r>
    </w:p>
    <w:p w:rsidR="00245B8C" w:rsidRDefault="00245B8C" w:rsidP="00FF2994">
      <w:pPr>
        <w:spacing w:line="360" w:lineRule="auto"/>
        <w:rPr>
          <w:sz w:val="26"/>
        </w:rPr>
      </w:pPr>
    </w:p>
    <w:p w:rsidR="003F09F1" w:rsidRPr="00B02014" w:rsidRDefault="003F09F1" w:rsidP="003F09F1">
      <w:pPr>
        <w:spacing w:line="360" w:lineRule="auto"/>
        <w:ind w:firstLine="1440"/>
        <w:rPr>
          <w:sz w:val="26"/>
        </w:rPr>
      </w:pPr>
      <w:r w:rsidRPr="00B02014">
        <w:rPr>
          <w:sz w:val="26"/>
        </w:rPr>
        <w:t>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w:t>
      </w:r>
      <w:smartTag w:uri="urn:schemas-microsoft-com:office:smarttags" w:element="State">
        <w:smartTag w:uri="urn:schemas-microsoft-com:office:smarttags" w:element="place">
          <w:r w:rsidRPr="00B02014">
            <w:rPr>
              <w:sz w:val="26"/>
            </w:rPr>
            <w:t>Pa.</w:t>
          </w:r>
        </w:smartTag>
      </w:smartTag>
      <w:r w:rsidRPr="00B02014">
        <w:rPr>
          <w:sz w:val="26"/>
        </w:rPr>
        <w:t xml:space="preserve"> Code § 5.572, relating to petitions for relief following the issuance of a final decision.  </w:t>
      </w:r>
    </w:p>
    <w:p w:rsidR="003F09F1" w:rsidRPr="00B02014" w:rsidRDefault="003F09F1" w:rsidP="003F09F1">
      <w:pPr>
        <w:spacing w:line="360" w:lineRule="auto"/>
        <w:rPr>
          <w:sz w:val="26"/>
        </w:rPr>
      </w:pPr>
    </w:p>
    <w:p w:rsidR="003F09F1" w:rsidRPr="00B02014" w:rsidRDefault="003F09F1" w:rsidP="003F09F1">
      <w:pPr>
        <w:tabs>
          <w:tab w:val="left" w:pos="-720"/>
        </w:tabs>
        <w:suppressAutoHyphens/>
        <w:spacing w:line="360" w:lineRule="auto"/>
        <w:rPr>
          <w:sz w:val="26"/>
        </w:rPr>
      </w:pPr>
      <w:r w:rsidRPr="00B02014">
        <w:rPr>
          <w:sz w:val="26"/>
        </w:rPr>
        <w:tab/>
      </w:r>
      <w:r w:rsidRPr="00B02014">
        <w:rPr>
          <w:sz w:val="26"/>
        </w:rPr>
        <w:tab/>
        <w:t>The standards for granting a Petition for Reconsideration</w:t>
      </w:r>
      <w:r w:rsidR="00DA0722">
        <w:rPr>
          <w:sz w:val="26"/>
        </w:rPr>
        <w:t xml:space="preserve"> or Modification</w:t>
      </w:r>
      <w:r w:rsidRPr="00B02014">
        <w:rPr>
          <w:sz w:val="26"/>
        </w:rPr>
        <w:t xml:space="preserve"> were set forth in </w:t>
      </w:r>
      <w:r w:rsidRPr="00B02014">
        <w:rPr>
          <w:i/>
          <w:sz w:val="26"/>
        </w:rPr>
        <w:t>Duick v. Pennsylvania Gas and Water Company</w:t>
      </w:r>
      <w:r w:rsidRPr="00B02014">
        <w:rPr>
          <w:sz w:val="26"/>
        </w:rPr>
        <w:t>, 56 Pa. P</w:t>
      </w:r>
      <w:r w:rsidR="00D22464">
        <w:rPr>
          <w:sz w:val="26"/>
        </w:rPr>
        <w:t>.</w:t>
      </w:r>
      <w:r w:rsidRPr="00B02014">
        <w:rPr>
          <w:sz w:val="26"/>
        </w:rPr>
        <w:t>U</w:t>
      </w:r>
      <w:r w:rsidR="00D22464">
        <w:rPr>
          <w:sz w:val="26"/>
        </w:rPr>
        <w:t>.</w:t>
      </w:r>
      <w:r w:rsidRPr="00B02014">
        <w:rPr>
          <w:sz w:val="26"/>
        </w:rPr>
        <w:t>C</w:t>
      </w:r>
      <w:r w:rsidR="00D22464">
        <w:rPr>
          <w:sz w:val="26"/>
        </w:rPr>
        <w:t>.</w:t>
      </w:r>
      <w:r w:rsidRPr="00B02014">
        <w:rPr>
          <w:sz w:val="26"/>
        </w:rPr>
        <w:t xml:space="preserve"> 553, 1982 Pa. P</w:t>
      </w:r>
      <w:r>
        <w:rPr>
          <w:sz w:val="26"/>
        </w:rPr>
        <w:t>.</w:t>
      </w:r>
      <w:r w:rsidRPr="00B02014">
        <w:rPr>
          <w:sz w:val="26"/>
        </w:rPr>
        <w:t>U</w:t>
      </w:r>
      <w:r>
        <w:rPr>
          <w:sz w:val="26"/>
        </w:rPr>
        <w:t>.</w:t>
      </w:r>
      <w:r w:rsidRPr="00B02014">
        <w:rPr>
          <w:sz w:val="26"/>
        </w:rPr>
        <w:t>C</w:t>
      </w:r>
      <w:r>
        <w:rPr>
          <w:sz w:val="26"/>
        </w:rPr>
        <w:t>.</w:t>
      </w:r>
      <w:r w:rsidRPr="00B02014">
        <w:rPr>
          <w:sz w:val="26"/>
        </w:rPr>
        <w:t xml:space="preserve"> LEXIS 4 (1982).  </w:t>
      </w:r>
      <w:r w:rsidRPr="00B02014">
        <w:rPr>
          <w:i/>
          <w:iCs/>
          <w:sz w:val="26"/>
        </w:rPr>
        <w:t>Duick</w:t>
      </w:r>
      <w:r w:rsidRPr="00B02014">
        <w:rPr>
          <w:sz w:val="26"/>
        </w:rPr>
        <w:t xml:space="preserve"> held that a petition for rehearing under Subsection 703(f) of the Code must allege newly discovered evidence not discoverable through the exercise of due diligence prior to the close of the record.  </w:t>
      </w:r>
      <w:r w:rsidRPr="00B02014">
        <w:rPr>
          <w:i/>
          <w:iCs/>
          <w:sz w:val="26"/>
        </w:rPr>
        <w:t xml:space="preserve">Duick </w:t>
      </w:r>
      <w:r w:rsidR="004C6E41" w:rsidRPr="004C6E41">
        <w:rPr>
          <w:iCs/>
          <w:sz w:val="26"/>
        </w:rPr>
        <w:t>at</w:t>
      </w:r>
      <w:r w:rsidRPr="00D22464">
        <w:rPr>
          <w:sz w:val="26"/>
        </w:rPr>
        <w:t xml:space="preserve"> </w:t>
      </w:r>
      <w:r w:rsidRPr="00B02014">
        <w:rPr>
          <w:sz w:val="26"/>
        </w:rPr>
        <w:t xml:space="preserve">558.  A petition for reconsideration under Subsection 703(g), however, may properly raise any matter designed to convince us that we should exercise our discretion to amend or rescind a prior order, in whole, or in part.  Furthermore, such petitions are likely to succeed only when they raise “new and novel arguments” not previously heard or considerations which appear to have been overlooked or not addressed.  </w:t>
      </w:r>
      <w:r w:rsidRPr="00B02014">
        <w:rPr>
          <w:i/>
          <w:iCs/>
          <w:sz w:val="26"/>
        </w:rPr>
        <w:t>Duick</w:t>
      </w:r>
      <w:r w:rsidRPr="00B02014">
        <w:rPr>
          <w:sz w:val="26"/>
        </w:rPr>
        <w:t xml:space="preserve"> at 559.  A petition seeking reopening of the record (more properly one for rehearing) may be entertained as a petition for reconsideration, under the provisions of 66 Pa C.S. § 703(g), if the newly discovered evidence was not in existence, or was not discoverable through the exercise of </w:t>
      </w:r>
      <w:r w:rsidRPr="00B02014">
        <w:rPr>
          <w:sz w:val="26"/>
        </w:rPr>
        <w:lastRenderedPageBreak/>
        <w:t>due diligence, prior to the expiration of the time within which to file a petition for rehearing, under the provisions of 66 Pa</w:t>
      </w:r>
      <w:r w:rsidR="00D22464">
        <w:rPr>
          <w:sz w:val="26"/>
        </w:rPr>
        <w:t>.</w:t>
      </w:r>
      <w:r w:rsidRPr="00B02014">
        <w:rPr>
          <w:sz w:val="26"/>
        </w:rPr>
        <w:t xml:space="preserve"> C.S. § 703(f).  </w:t>
      </w:r>
      <w:smartTag w:uri="urn:schemas-microsoft-com:office:smarttags" w:element="State">
        <w:smartTag w:uri="urn:schemas-microsoft-com:office:smarttags" w:element="place">
          <w:r w:rsidRPr="00B02014">
            <w:rPr>
              <w:i/>
              <w:sz w:val="26"/>
            </w:rPr>
            <w:t>Id</w:t>
          </w:r>
          <w:r w:rsidRPr="00B02014">
            <w:rPr>
              <w:sz w:val="26"/>
            </w:rPr>
            <w:t>.</w:t>
          </w:r>
        </w:smartTag>
      </w:smartTag>
    </w:p>
    <w:p w:rsidR="005334E0" w:rsidRDefault="005334E0" w:rsidP="00FF2994">
      <w:pPr>
        <w:tabs>
          <w:tab w:val="left" w:pos="-720"/>
        </w:tabs>
        <w:suppressAutoHyphens/>
        <w:spacing w:line="360" w:lineRule="auto"/>
        <w:rPr>
          <w:sz w:val="26"/>
        </w:rPr>
      </w:pPr>
    </w:p>
    <w:p w:rsidR="00246EC4" w:rsidRPr="00246EC4" w:rsidRDefault="00F641CC" w:rsidP="00246EC4">
      <w:pPr>
        <w:tabs>
          <w:tab w:val="left" w:pos="-720"/>
        </w:tabs>
        <w:suppressAutoHyphens/>
        <w:spacing w:line="360" w:lineRule="auto"/>
        <w:rPr>
          <w:sz w:val="26"/>
        </w:rPr>
      </w:pPr>
      <w:r>
        <w:rPr>
          <w:sz w:val="26"/>
        </w:rPr>
        <w:tab/>
      </w:r>
      <w:r>
        <w:rPr>
          <w:sz w:val="26"/>
        </w:rPr>
        <w:tab/>
        <w:t xml:space="preserve">In the history of the proceedings, </w:t>
      </w:r>
      <w:r w:rsidRPr="00F641CC">
        <w:rPr>
          <w:i/>
          <w:sz w:val="26"/>
        </w:rPr>
        <w:t>supra</w:t>
      </w:r>
      <w:r>
        <w:rPr>
          <w:sz w:val="26"/>
        </w:rPr>
        <w:t>,</w:t>
      </w:r>
      <w:r w:rsidR="00F00AFA">
        <w:rPr>
          <w:sz w:val="26"/>
        </w:rPr>
        <w:t xml:space="preserve"> we noted that </w:t>
      </w:r>
      <w:r w:rsidR="00246EC4">
        <w:rPr>
          <w:sz w:val="26"/>
        </w:rPr>
        <w:t>Petitioner filed an extract of its household goods rights that it believed accurately reflected its Certificate.  Petitioner’s Exhibit “B.”</w:t>
      </w:r>
      <w:r w:rsidR="000B51F7">
        <w:rPr>
          <w:sz w:val="26"/>
        </w:rPr>
        <w:t xml:space="preserve">  </w:t>
      </w:r>
      <w:r w:rsidR="00246EC4" w:rsidRPr="00246EC4">
        <w:rPr>
          <w:sz w:val="26"/>
          <w:szCs w:val="26"/>
        </w:rPr>
        <w:t>We note that, in its extract, Petitioner inaccurately restated the rights at Docket No. A</w:t>
      </w:r>
      <w:r w:rsidR="00246EC4" w:rsidRPr="00246EC4">
        <w:rPr>
          <w:sz w:val="26"/>
          <w:szCs w:val="26"/>
        </w:rPr>
        <w:noBreakHyphen/>
        <w:t xml:space="preserve">00089629, F.1.  Petitioner provided the following restatement of the right in question: “[t]o transport </w:t>
      </w:r>
      <w:r w:rsidR="00246EC4" w:rsidRPr="00246EC4">
        <w:rPr>
          <w:i/>
          <w:sz w:val="26"/>
          <w:szCs w:val="26"/>
        </w:rPr>
        <w:t xml:space="preserve">household goods in use </w:t>
      </w:r>
      <w:r w:rsidR="00246EC4" w:rsidRPr="00246EC4">
        <w:rPr>
          <w:sz w:val="26"/>
          <w:szCs w:val="26"/>
        </w:rPr>
        <w:t xml:space="preserve">between points in the city of DuBois, Clearfield County, and within ten (10) miles by the usually traveled highways of the limits of said city.”  The actual paragraph for Docket No. A-00089629, F.1, specifically states: “[t]o transport </w:t>
      </w:r>
      <w:r w:rsidR="00246EC4" w:rsidRPr="00246EC4">
        <w:rPr>
          <w:i/>
          <w:sz w:val="26"/>
          <w:szCs w:val="26"/>
        </w:rPr>
        <w:t>property</w:t>
      </w:r>
      <w:r w:rsidR="00246EC4" w:rsidRPr="00246EC4">
        <w:rPr>
          <w:sz w:val="26"/>
          <w:szCs w:val="26"/>
        </w:rPr>
        <w:t xml:space="preserve"> between points in the city of Dubois, Clearfield County, and within ten (10) miles by the usually traveled highways of the limits of said city” (emphasis added).</w:t>
      </w:r>
    </w:p>
    <w:p w:rsidR="00F641CC" w:rsidRDefault="00F641CC" w:rsidP="00FF2994">
      <w:pPr>
        <w:tabs>
          <w:tab w:val="left" w:pos="-720"/>
        </w:tabs>
        <w:suppressAutoHyphens/>
        <w:spacing w:line="360" w:lineRule="auto"/>
        <w:rPr>
          <w:sz w:val="26"/>
        </w:rPr>
      </w:pPr>
    </w:p>
    <w:p w:rsidR="00B11B25" w:rsidRPr="00C14AB2" w:rsidRDefault="00BE42AA" w:rsidP="00FF2994">
      <w:pPr>
        <w:tabs>
          <w:tab w:val="left" w:pos="-720"/>
        </w:tabs>
        <w:suppressAutoHyphens/>
        <w:spacing w:line="360" w:lineRule="auto"/>
        <w:rPr>
          <w:sz w:val="26"/>
        </w:rPr>
      </w:pPr>
      <w:r>
        <w:rPr>
          <w:sz w:val="26"/>
        </w:rPr>
        <w:tab/>
      </w:r>
      <w:r>
        <w:rPr>
          <w:sz w:val="26"/>
        </w:rPr>
        <w:tab/>
        <w:t>In its Petition, Pe</w:t>
      </w:r>
      <w:r w:rsidR="00AF3A8C">
        <w:rPr>
          <w:sz w:val="26"/>
        </w:rPr>
        <w:t>titioner</w:t>
      </w:r>
      <w:r w:rsidR="005203D5">
        <w:rPr>
          <w:sz w:val="26"/>
        </w:rPr>
        <w:t xml:space="preserve"> </w:t>
      </w:r>
      <w:r w:rsidR="00246EC4">
        <w:rPr>
          <w:sz w:val="26"/>
        </w:rPr>
        <w:t xml:space="preserve">generally </w:t>
      </w:r>
      <w:r w:rsidR="005203D5">
        <w:rPr>
          <w:sz w:val="26"/>
        </w:rPr>
        <w:t>avers that t</w:t>
      </w:r>
      <w:r w:rsidR="00F00AFA">
        <w:rPr>
          <w:sz w:val="26"/>
        </w:rPr>
        <w:t xml:space="preserve">he Commission erred in that </w:t>
      </w:r>
      <w:r w:rsidR="005203D5">
        <w:rPr>
          <w:sz w:val="26"/>
        </w:rPr>
        <w:t>transferable portions of the rights of Robert R. Kennedy and Lois J. Kennedy, d/b/a Kennedy Transfer, issued at Docket No. A-00089</w:t>
      </w:r>
      <w:r w:rsidR="00C26343">
        <w:rPr>
          <w:sz w:val="26"/>
        </w:rPr>
        <w:t xml:space="preserve">629, were not included in the final ordering paragraph of the </w:t>
      </w:r>
      <w:r w:rsidR="00C26343" w:rsidRPr="00C26343">
        <w:rPr>
          <w:i/>
          <w:sz w:val="26"/>
        </w:rPr>
        <w:t>March 26 Order</w:t>
      </w:r>
      <w:r w:rsidR="00C26343">
        <w:rPr>
          <w:sz w:val="26"/>
        </w:rPr>
        <w:t>.</w:t>
      </w:r>
      <w:r w:rsidR="002C08BF">
        <w:rPr>
          <w:sz w:val="26"/>
        </w:rPr>
        <w:t xml:space="preserve">  </w:t>
      </w:r>
      <w:r w:rsidR="00C14AB2" w:rsidRPr="00C14AB2">
        <w:rPr>
          <w:sz w:val="26"/>
          <w:szCs w:val="26"/>
        </w:rPr>
        <w:t xml:space="preserve">Petitioner’s argument was that, because this portion of the Transferor’s authority “did not specifically exclude household goods in use, it would be deemed to include household goods in use.”  </w:t>
      </w:r>
      <w:r w:rsidR="00B11B25" w:rsidRPr="00C14AB2">
        <w:rPr>
          <w:sz w:val="26"/>
        </w:rPr>
        <w:t>Petition at 2-3.</w:t>
      </w:r>
      <w:r w:rsidR="00AF3A8C" w:rsidRPr="00C14AB2">
        <w:rPr>
          <w:sz w:val="26"/>
        </w:rPr>
        <w:t xml:space="preserve">       </w:t>
      </w:r>
      <w:r w:rsidRPr="00C14AB2">
        <w:rPr>
          <w:sz w:val="26"/>
        </w:rPr>
        <w:t xml:space="preserve"> </w:t>
      </w:r>
    </w:p>
    <w:p w:rsidR="00FC7AE5" w:rsidRDefault="009D7CE2" w:rsidP="00FF2994">
      <w:pPr>
        <w:tabs>
          <w:tab w:val="left" w:pos="-720"/>
        </w:tabs>
        <w:suppressAutoHyphens/>
        <w:spacing w:line="360" w:lineRule="auto"/>
        <w:rPr>
          <w:sz w:val="26"/>
        </w:rPr>
      </w:pPr>
      <w:r>
        <w:rPr>
          <w:sz w:val="26"/>
        </w:rPr>
        <w:tab/>
      </w:r>
      <w:r>
        <w:rPr>
          <w:sz w:val="26"/>
        </w:rPr>
        <w:tab/>
      </w:r>
    </w:p>
    <w:p w:rsidR="00F422F5" w:rsidRDefault="00734415">
      <w:pPr>
        <w:tabs>
          <w:tab w:val="left" w:pos="-720"/>
        </w:tabs>
        <w:suppressAutoHyphens/>
        <w:spacing w:line="360" w:lineRule="auto"/>
        <w:ind w:firstLine="1440"/>
        <w:rPr>
          <w:sz w:val="26"/>
        </w:rPr>
      </w:pPr>
      <w:r>
        <w:rPr>
          <w:sz w:val="26"/>
        </w:rPr>
        <w:t>In response</w:t>
      </w:r>
      <w:r w:rsidR="00DB2EDB">
        <w:rPr>
          <w:sz w:val="26"/>
        </w:rPr>
        <w:t>,</w:t>
      </w:r>
      <w:r w:rsidR="00535C0F">
        <w:rPr>
          <w:sz w:val="26"/>
        </w:rPr>
        <w:t xml:space="preserve"> </w:t>
      </w:r>
      <w:r w:rsidR="00ED73C6">
        <w:rPr>
          <w:sz w:val="26"/>
        </w:rPr>
        <w:t>BTS op</w:t>
      </w:r>
      <w:r w:rsidR="001B5F8E">
        <w:rPr>
          <w:sz w:val="26"/>
        </w:rPr>
        <w:t xml:space="preserve">poses </w:t>
      </w:r>
      <w:r w:rsidR="00E353B9">
        <w:rPr>
          <w:sz w:val="26"/>
        </w:rPr>
        <w:t xml:space="preserve">the Petition.  </w:t>
      </w:r>
      <w:r w:rsidR="00ED73C6">
        <w:rPr>
          <w:sz w:val="26"/>
        </w:rPr>
        <w:t>BTS’ arguments against the Peti</w:t>
      </w:r>
      <w:r w:rsidR="00F422F5">
        <w:rPr>
          <w:sz w:val="26"/>
        </w:rPr>
        <w:t xml:space="preserve">tion will be briefly summarized, as follows: (1) </w:t>
      </w:r>
      <w:r w:rsidR="00ED73C6">
        <w:rPr>
          <w:sz w:val="26"/>
        </w:rPr>
        <w:t>prope</w:t>
      </w:r>
      <w:r w:rsidR="00F422F5">
        <w:rPr>
          <w:sz w:val="26"/>
        </w:rPr>
        <w:t xml:space="preserve">rty rights are not transferable; (2) Petitioner’s interpretation of the term “property” is not supported by the Commission’s Regulations; (3) </w:t>
      </w:r>
      <w:r w:rsidR="00BD781C">
        <w:rPr>
          <w:sz w:val="26"/>
        </w:rPr>
        <w:t>the Commission has not previously determine</w:t>
      </w:r>
      <w:r w:rsidR="00F00AFA">
        <w:rPr>
          <w:sz w:val="26"/>
        </w:rPr>
        <w:t>d that the authority to transport</w:t>
      </w:r>
      <w:r w:rsidR="00BD781C">
        <w:rPr>
          <w:sz w:val="26"/>
        </w:rPr>
        <w:t xml:space="preserve"> “property” includes the authority to transport “household goods;” and (4) Petitioner is incorrect in its argument that, because it has always transported household goods under its property authority, it should be permitted to continue this practice.</w:t>
      </w:r>
      <w:r w:rsidR="00F00AFA">
        <w:rPr>
          <w:sz w:val="26"/>
        </w:rPr>
        <w:t xml:space="preserve">  Reply</w:t>
      </w:r>
      <w:r w:rsidR="00EF4A8A">
        <w:rPr>
          <w:sz w:val="26"/>
        </w:rPr>
        <w:t xml:space="preserve"> at ¶ 11(a)-(d).</w:t>
      </w:r>
      <w:r w:rsidR="00ED73C6">
        <w:rPr>
          <w:sz w:val="26"/>
        </w:rPr>
        <w:t xml:space="preserve"> </w:t>
      </w:r>
    </w:p>
    <w:p w:rsidR="00F422F5" w:rsidRDefault="00F422F5">
      <w:pPr>
        <w:tabs>
          <w:tab w:val="left" w:pos="-720"/>
        </w:tabs>
        <w:suppressAutoHyphens/>
        <w:spacing w:line="360" w:lineRule="auto"/>
        <w:ind w:firstLine="1440"/>
        <w:rPr>
          <w:sz w:val="26"/>
        </w:rPr>
      </w:pPr>
    </w:p>
    <w:p w:rsidR="00EF4A8A" w:rsidRDefault="00EF4A8A">
      <w:pPr>
        <w:tabs>
          <w:tab w:val="left" w:pos="-720"/>
        </w:tabs>
        <w:suppressAutoHyphens/>
        <w:spacing w:line="360" w:lineRule="auto"/>
        <w:ind w:firstLine="1440"/>
        <w:rPr>
          <w:sz w:val="26"/>
        </w:rPr>
      </w:pPr>
      <w:r>
        <w:rPr>
          <w:sz w:val="26"/>
        </w:rPr>
        <w:t xml:space="preserve">On review of the record, we find Petitioner’s request for reconsideration fails to meet the </w:t>
      </w:r>
      <w:r w:rsidRPr="004C6E41">
        <w:rPr>
          <w:i/>
          <w:sz w:val="26"/>
        </w:rPr>
        <w:t>Duick</w:t>
      </w:r>
      <w:r>
        <w:rPr>
          <w:sz w:val="26"/>
        </w:rPr>
        <w:t xml:space="preserve"> standard.</w:t>
      </w:r>
      <w:r w:rsidR="00F81E4F">
        <w:rPr>
          <w:sz w:val="26"/>
        </w:rPr>
        <w:t xml:space="preserve">  We will discuss Petitioner’s arguments </w:t>
      </w:r>
      <w:r w:rsidR="00F81E4F" w:rsidRPr="00F81E4F">
        <w:rPr>
          <w:i/>
          <w:sz w:val="26"/>
        </w:rPr>
        <w:t>seriatim</w:t>
      </w:r>
      <w:r w:rsidR="00F81E4F">
        <w:rPr>
          <w:sz w:val="26"/>
        </w:rPr>
        <w:t>.</w:t>
      </w:r>
      <w:r w:rsidR="00AD110C">
        <w:rPr>
          <w:sz w:val="26"/>
        </w:rPr>
        <w:t xml:space="preserve">  </w:t>
      </w:r>
      <w:r w:rsidR="0097713B">
        <w:rPr>
          <w:sz w:val="26"/>
        </w:rPr>
        <w:t xml:space="preserve">  </w:t>
      </w:r>
      <w:r>
        <w:rPr>
          <w:sz w:val="26"/>
        </w:rPr>
        <w:t xml:space="preserve">   </w:t>
      </w:r>
    </w:p>
    <w:p w:rsidR="00EF4A8A" w:rsidRDefault="00EF4A8A">
      <w:pPr>
        <w:tabs>
          <w:tab w:val="left" w:pos="-720"/>
        </w:tabs>
        <w:suppressAutoHyphens/>
        <w:spacing w:line="360" w:lineRule="auto"/>
        <w:ind w:firstLine="1440"/>
        <w:rPr>
          <w:sz w:val="26"/>
        </w:rPr>
      </w:pPr>
    </w:p>
    <w:p w:rsidR="00652D84" w:rsidRDefault="006D2934">
      <w:pPr>
        <w:tabs>
          <w:tab w:val="left" w:pos="-720"/>
        </w:tabs>
        <w:suppressAutoHyphens/>
        <w:spacing w:line="360" w:lineRule="auto"/>
        <w:ind w:firstLine="1440"/>
        <w:rPr>
          <w:sz w:val="26"/>
        </w:rPr>
      </w:pPr>
      <w:r>
        <w:rPr>
          <w:sz w:val="26"/>
        </w:rPr>
        <w:t>We note initially that, contrary to Petitioner’s contention, property rights are not tran</w:t>
      </w:r>
      <w:r w:rsidR="00255C0C">
        <w:rPr>
          <w:sz w:val="26"/>
        </w:rPr>
        <w:t>s</w:t>
      </w:r>
      <w:r>
        <w:rPr>
          <w:sz w:val="26"/>
        </w:rPr>
        <w:t>ferable.  I</w:t>
      </w:r>
      <w:r w:rsidR="00ED73C6">
        <w:rPr>
          <w:sz w:val="26"/>
        </w:rPr>
        <w:t xml:space="preserve">n </w:t>
      </w:r>
      <w:r w:rsidR="00ED73C6" w:rsidRPr="00A048CC">
        <w:rPr>
          <w:i/>
          <w:sz w:val="26"/>
        </w:rPr>
        <w:t xml:space="preserve">Regulation of </w:t>
      </w:r>
      <w:r w:rsidR="00A048CC" w:rsidRPr="00A048CC">
        <w:rPr>
          <w:i/>
          <w:sz w:val="26"/>
        </w:rPr>
        <w:t>Motor Carriers of Property</w:t>
      </w:r>
      <w:r>
        <w:rPr>
          <w:sz w:val="26"/>
        </w:rPr>
        <w:t>, Docket No. P</w:t>
      </w:r>
      <w:r>
        <w:rPr>
          <w:sz w:val="26"/>
        </w:rPr>
        <w:noBreakHyphen/>
      </w:r>
      <w:r w:rsidR="00A048CC">
        <w:rPr>
          <w:sz w:val="26"/>
        </w:rPr>
        <w:t>00940884 (Order entered December 20, 1994</w:t>
      </w:r>
      <w:r w:rsidR="002B0A4E">
        <w:rPr>
          <w:sz w:val="26"/>
        </w:rPr>
        <w:t>, with an effective date of January 1, 1995</w:t>
      </w:r>
      <w:r w:rsidR="00A048CC">
        <w:rPr>
          <w:sz w:val="26"/>
        </w:rPr>
        <w:t>), the Commission</w:t>
      </w:r>
      <w:r w:rsidR="009F5C6D">
        <w:rPr>
          <w:sz w:val="26"/>
        </w:rPr>
        <w:t xml:space="preserve"> eliminated the transfer of prope</w:t>
      </w:r>
      <w:r w:rsidR="002B0A4E">
        <w:rPr>
          <w:sz w:val="26"/>
        </w:rPr>
        <w:t>rty rights by property carriers.  The Commission therein stated</w:t>
      </w:r>
      <w:r w:rsidR="009F5C6D">
        <w:rPr>
          <w:sz w:val="26"/>
        </w:rPr>
        <w:t xml:space="preserve"> that “[w]e wish to emphasize that motor carriers of property will not be authorized to conduct transportation which is usually deemed to be household goods transportation . . . </w:t>
      </w:r>
      <w:r w:rsidR="00B42452">
        <w:rPr>
          <w:sz w:val="26"/>
        </w:rPr>
        <w:t xml:space="preserve">carriers of property . . . will be authorized to transport property, except household goods </w:t>
      </w:r>
      <w:r w:rsidR="00B42452" w:rsidRPr="00B42452">
        <w:rPr>
          <w:sz w:val="26"/>
          <w:u w:val="single"/>
        </w:rPr>
        <w:t>in use</w:t>
      </w:r>
      <w:r w:rsidR="001B5F8E">
        <w:rPr>
          <w:sz w:val="26"/>
        </w:rPr>
        <w:t>” (e</w:t>
      </w:r>
      <w:r w:rsidR="00B42452">
        <w:rPr>
          <w:sz w:val="26"/>
        </w:rPr>
        <w:t>m</w:t>
      </w:r>
      <w:r w:rsidR="00615A62">
        <w:rPr>
          <w:sz w:val="26"/>
        </w:rPr>
        <w:t xml:space="preserve">phasis </w:t>
      </w:r>
      <w:r w:rsidR="001B5F8E">
        <w:rPr>
          <w:sz w:val="26"/>
        </w:rPr>
        <w:t xml:space="preserve">in </w:t>
      </w:r>
      <w:r w:rsidR="00615A62">
        <w:rPr>
          <w:sz w:val="26"/>
        </w:rPr>
        <w:t xml:space="preserve">original).  </w:t>
      </w:r>
    </w:p>
    <w:p w:rsidR="00652D84" w:rsidRDefault="00652D84">
      <w:pPr>
        <w:tabs>
          <w:tab w:val="left" w:pos="-720"/>
        </w:tabs>
        <w:suppressAutoHyphens/>
        <w:spacing w:line="360" w:lineRule="auto"/>
        <w:ind w:firstLine="1440"/>
        <w:rPr>
          <w:sz w:val="26"/>
        </w:rPr>
      </w:pPr>
    </w:p>
    <w:p w:rsidR="00C85C6C" w:rsidRDefault="002B0A4E">
      <w:pPr>
        <w:tabs>
          <w:tab w:val="left" w:pos="-720"/>
        </w:tabs>
        <w:suppressAutoHyphens/>
        <w:spacing w:line="360" w:lineRule="auto"/>
        <w:ind w:firstLine="1440"/>
        <w:rPr>
          <w:sz w:val="26"/>
        </w:rPr>
      </w:pPr>
      <w:r>
        <w:rPr>
          <w:sz w:val="26"/>
        </w:rPr>
        <w:t xml:space="preserve">Accordingly, we consider that </w:t>
      </w:r>
      <w:r w:rsidR="00B42452">
        <w:rPr>
          <w:sz w:val="26"/>
        </w:rPr>
        <w:t>any existing authority that does not specifically include “household goods in use” in t</w:t>
      </w:r>
      <w:r>
        <w:rPr>
          <w:sz w:val="26"/>
        </w:rPr>
        <w:t>he ordering paragraphs, will be</w:t>
      </w:r>
      <w:r w:rsidR="00B42452">
        <w:rPr>
          <w:sz w:val="26"/>
        </w:rPr>
        <w:t xml:space="preserve"> treated strictly a</w:t>
      </w:r>
      <w:r w:rsidR="00036A36">
        <w:rPr>
          <w:sz w:val="26"/>
        </w:rPr>
        <w:t>s a property right, and will be</w:t>
      </w:r>
      <w:r w:rsidR="00B42452">
        <w:rPr>
          <w:sz w:val="26"/>
        </w:rPr>
        <w:t xml:space="preserve"> considered non-transferable.  The rights at issue in this case are property rights</w:t>
      </w:r>
      <w:r w:rsidR="00615A62">
        <w:rPr>
          <w:sz w:val="26"/>
        </w:rPr>
        <w:t xml:space="preserve"> and, therefore, Petitioner’s request to transfer the </w:t>
      </w:r>
      <w:r w:rsidR="00A003A0">
        <w:rPr>
          <w:sz w:val="26"/>
        </w:rPr>
        <w:t xml:space="preserve">property </w:t>
      </w:r>
      <w:r w:rsidR="00615A62">
        <w:rPr>
          <w:sz w:val="26"/>
        </w:rPr>
        <w:t>rights of Transferor</w:t>
      </w:r>
      <w:r w:rsidR="00A003A0">
        <w:rPr>
          <w:sz w:val="26"/>
        </w:rPr>
        <w:t>, at Folder 1</w:t>
      </w:r>
      <w:r w:rsidR="00036A36">
        <w:rPr>
          <w:sz w:val="26"/>
        </w:rPr>
        <w:t>, will be denied.</w:t>
      </w:r>
    </w:p>
    <w:p w:rsidR="00BE42AA" w:rsidRDefault="00BE42AA" w:rsidP="00FF2994">
      <w:pPr>
        <w:tabs>
          <w:tab w:val="left" w:pos="-720"/>
        </w:tabs>
        <w:suppressAutoHyphens/>
        <w:spacing w:line="360" w:lineRule="auto"/>
        <w:rPr>
          <w:sz w:val="26"/>
        </w:rPr>
      </w:pPr>
    </w:p>
    <w:p w:rsidR="00ED2BED" w:rsidRDefault="00321AD4" w:rsidP="00FF2994">
      <w:pPr>
        <w:tabs>
          <w:tab w:val="left" w:pos="-720"/>
        </w:tabs>
        <w:suppressAutoHyphens/>
        <w:spacing w:line="360" w:lineRule="auto"/>
        <w:rPr>
          <w:sz w:val="26"/>
        </w:rPr>
      </w:pPr>
      <w:r>
        <w:rPr>
          <w:sz w:val="26"/>
        </w:rPr>
        <w:tab/>
      </w:r>
      <w:r>
        <w:rPr>
          <w:sz w:val="26"/>
        </w:rPr>
        <w:tab/>
        <w:t>Second</w:t>
      </w:r>
      <w:r w:rsidR="00255C0C">
        <w:rPr>
          <w:sz w:val="26"/>
        </w:rPr>
        <w:t xml:space="preserve">, Petitioner’s interpretation of the term “property” is not supported by </w:t>
      </w:r>
      <w:r w:rsidR="000767B3">
        <w:rPr>
          <w:sz w:val="26"/>
        </w:rPr>
        <w:t xml:space="preserve">the </w:t>
      </w:r>
      <w:r w:rsidR="00255C0C">
        <w:rPr>
          <w:sz w:val="26"/>
        </w:rPr>
        <w:t>Commission’s Regulations.</w:t>
      </w:r>
      <w:r w:rsidR="00CF0770">
        <w:rPr>
          <w:sz w:val="26"/>
        </w:rPr>
        <w:t xml:space="preserve">  </w:t>
      </w:r>
      <w:r w:rsidR="00255C0C">
        <w:rPr>
          <w:sz w:val="26"/>
        </w:rPr>
        <w:t>In its Petition</w:t>
      </w:r>
      <w:r w:rsidR="00CF0770">
        <w:rPr>
          <w:sz w:val="26"/>
        </w:rPr>
        <w:t>, Petitioner argues that “property . . . by definition include[s] the right to transport household goods.”  However, we note that, at 52 Pa. Code § 31.1, property is defined as “[t]an</w:t>
      </w:r>
      <w:r w:rsidR="00B50CF8">
        <w:rPr>
          <w:sz w:val="26"/>
        </w:rPr>
        <w:t xml:space="preserve">gible property </w:t>
      </w:r>
      <w:r w:rsidR="00B50CF8" w:rsidRPr="00B50CF8">
        <w:rPr>
          <w:sz w:val="26"/>
          <w:u w:val="single"/>
        </w:rPr>
        <w:t>other</w:t>
      </w:r>
      <w:r w:rsidR="00B50CF8" w:rsidRPr="00B50CF8">
        <w:rPr>
          <w:sz w:val="26"/>
        </w:rPr>
        <w:t xml:space="preserve"> than</w:t>
      </w:r>
      <w:r w:rsidR="000767B3">
        <w:rPr>
          <w:sz w:val="26"/>
        </w:rPr>
        <w:t xml:space="preserve"> household goods in use” (e</w:t>
      </w:r>
      <w:r w:rsidR="00B50CF8">
        <w:rPr>
          <w:sz w:val="26"/>
        </w:rPr>
        <w:t>mphasis added).  Also, at 52 Pa. Code § 21.1(i), “household goods in use” is defined as “personal effects and property used or to b</w:t>
      </w:r>
      <w:r w:rsidR="00796F2C">
        <w:rPr>
          <w:sz w:val="26"/>
        </w:rPr>
        <w:t>e used in a dwelling, when part of the equipment or supply of the dwelling, and similar property if the transportation of the effects or property is arranged and paid for by either the householder or another party.”  Review of the above definitions leads us to conclude that</w:t>
      </w:r>
      <w:r w:rsidR="00AB4830">
        <w:rPr>
          <w:sz w:val="26"/>
        </w:rPr>
        <w:t xml:space="preserve"> property of specified </w:t>
      </w:r>
      <w:r w:rsidR="00AB4830">
        <w:rPr>
          <w:sz w:val="26"/>
        </w:rPr>
        <w:lastRenderedPageBreak/>
        <w:t>use may be considered part of household goods, but “household g</w:t>
      </w:r>
      <w:r w:rsidR="00527072">
        <w:rPr>
          <w:sz w:val="26"/>
        </w:rPr>
        <w:t>oods” are specifically excluded from</w:t>
      </w:r>
      <w:r w:rsidR="00AB4830">
        <w:rPr>
          <w:sz w:val="26"/>
        </w:rPr>
        <w:t xml:space="preserve"> the definition of property. </w:t>
      </w:r>
      <w:r w:rsidR="00796F2C">
        <w:rPr>
          <w:sz w:val="26"/>
        </w:rPr>
        <w:t xml:space="preserve"> </w:t>
      </w:r>
    </w:p>
    <w:p w:rsidR="00B50CF8" w:rsidRDefault="00B50CF8" w:rsidP="00FF2994">
      <w:pPr>
        <w:tabs>
          <w:tab w:val="left" w:pos="-720"/>
        </w:tabs>
        <w:suppressAutoHyphens/>
        <w:spacing w:line="360" w:lineRule="auto"/>
        <w:rPr>
          <w:sz w:val="26"/>
        </w:rPr>
      </w:pPr>
    </w:p>
    <w:p w:rsidR="00E03858" w:rsidRDefault="000767B3" w:rsidP="00FF2994">
      <w:pPr>
        <w:tabs>
          <w:tab w:val="left" w:pos="-720"/>
        </w:tabs>
        <w:suppressAutoHyphens/>
        <w:spacing w:line="360" w:lineRule="auto"/>
        <w:rPr>
          <w:sz w:val="26"/>
        </w:rPr>
      </w:pPr>
      <w:r>
        <w:rPr>
          <w:sz w:val="26"/>
        </w:rPr>
        <w:tab/>
      </w:r>
      <w:r>
        <w:rPr>
          <w:sz w:val="26"/>
        </w:rPr>
        <w:tab/>
        <w:t>Third</w:t>
      </w:r>
      <w:r w:rsidR="00AB4830">
        <w:rPr>
          <w:sz w:val="26"/>
        </w:rPr>
        <w:t>,</w:t>
      </w:r>
      <w:r w:rsidR="00830F8C">
        <w:rPr>
          <w:sz w:val="26"/>
        </w:rPr>
        <w:t xml:space="preserve"> </w:t>
      </w:r>
      <w:r w:rsidR="00BE34D0">
        <w:rPr>
          <w:sz w:val="26"/>
        </w:rPr>
        <w:t>contrary to Petitioner’s allegation, the Commission has not previously determine</w:t>
      </w:r>
      <w:r w:rsidR="00355660">
        <w:rPr>
          <w:sz w:val="26"/>
        </w:rPr>
        <w:t>d that the authority to t</w:t>
      </w:r>
      <w:r w:rsidR="005D7477">
        <w:rPr>
          <w:sz w:val="26"/>
        </w:rPr>
        <w:t>ransport</w:t>
      </w:r>
      <w:r w:rsidR="00BE34D0">
        <w:rPr>
          <w:sz w:val="26"/>
        </w:rPr>
        <w:t xml:space="preserve"> “property” includes the authority to transport “household goods.”</w:t>
      </w:r>
      <w:r w:rsidR="00D448F4">
        <w:rPr>
          <w:sz w:val="26"/>
        </w:rPr>
        <w:t xml:space="preserve">  </w:t>
      </w:r>
      <w:r w:rsidR="00BE34D0">
        <w:rPr>
          <w:sz w:val="26"/>
        </w:rPr>
        <w:t xml:space="preserve">Petition at ¶ 7.  In support of its argument, </w:t>
      </w:r>
      <w:r w:rsidR="00630D67">
        <w:rPr>
          <w:sz w:val="26"/>
        </w:rPr>
        <w:t xml:space="preserve">Petitioner cites </w:t>
      </w:r>
      <w:r w:rsidR="00630D67" w:rsidRPr="000767B3">
        <w:rPr>
          <w:i/>
          <w:sz w:val="26"/>
        </w:rPr>
        <w:t>Re: Application of Central Van &amp; Storage of Charleston, Inc. t/d/b/a Central Van &amp; Storage</w:t>
      </w:r>
      <w:r w:rsidR="00630D67">
        <w:rPr>
          <w:sz w:val="26"/>
        </w:rPr>
        <w:t>, Docket No. A-00121970 (Order entered May 5, 2006).</w:t>
      </w:r>
      <w:r w:rsidR="007F6EC0">
        <w:rPr>
          <w:sz w:val="26"/>
        </w:rPr>
        <w:t xml:space="preserve">  However, a</w:t>
      </w:r>
      <w:r w:rsidR="00E03858">
        <w:rPr>
          <w:sz w:val="26"/>
        </w:rPr>
        <w:t xml:space="preserve"> careful</w:t>
      </w:r>
      <w:r w:rsidR="003030D4">
        <w:rPr>
          <w:sz w:val="26"/>
        </w:rPr>
        <w:t xml:space="preserve"> reading of </w:t>
      </w:r>
      <w:r w:rsidR="003030D4" w:rsidRPr="003030D4">
        <w:rPr>
          <w:i/>
          <w:sz w:val="26"/>
        </w:rPr>
        <w:t>Central Van</w:t>
      </w:r>
      <w:r w:rsidR="00FE253F">
        <w:rPr>
          <w:i/>
          <w:sz w:val="26"/>
        </w:rPr>
        <w:t xml:space="preserve"> </w:t>
      </w:r>
      <w:r w:rsidR="00FE253F" w:rsidRPr="00FE253F">
        <w:rPr>
          <w:sz w:val="26"/>
        </w:rPr>
        <w:t>does not support</w:t>
      </w:r>
      <w:r w:rsidR="00FE253F">
        <w:rPr>
          <w:sz w:val="26"/>
        </w:rPr>
        <w:t xml:space="preserve"> Petitioner’s argument.  Although </w:t>
      </w:r>
      <w:r w:rsidR="00FE253F" w:rsidRPr="00FE253F">
        <w:rPr>
          <w:i/>
          <w:sz w:val="26"/>
        </w:rPr>
        <w:t>Central Van</w:t>
      </w:r>
      <w:r w:rsidR="00FE253F">
        <w:rPr>
          <w:sz w:val="26"/>
        </w:rPr>
        <w:t xml:space="preserve"> did involve modification of a Commission order which transferred household goods in use rights, the transfer at issue in</w:t>
      </w:r>
      <w:r w:rsidR="006F1CAB">
        <w:rPr>
          <w:sz w:val="26"/>
        </w:rPr>
        <w:t xml:space="preserve"> that case</w:t>
      </w:r>
      <w:r w:rsidR="00E03858">
        <w:rPr>
          <w:sz w:val="26"/>
        </w:rPr>
        <w:t xml:space="preserve"> was household goods in use from one company to another, not the transfer of property rights to household goods in use rights.  Since the instant case is clearly distinguishable from </w:t>
      </w:r>
      <w:r w:rsidR="00E03858" w:rsidRPr="00E03858">
        <w:rPr>
          <w:i/>
          <w:sz w:val="26"/>
        </w:rPr>
        <w:t>Central Van</w:t>
      </w:r>
      <w:r w:rsidR="00E03858">
        <w:rPr>
          <w:sz w:val="26"/>
        </w:rPr>
        <w:t>, Petitioner’s argument on this issue must fail.</w:t>
      </w:r>
    </w:p>
    <w:p w:rsidR="00E03858" w:rsidRDefault="00E03858" w:rsidP="00FF2994">
      <w:pPr>
        <w:tabs>
          <w:tab w:val="left" w:pos="-720"/>
        </w:tabs>
        <w:suppressAutoHyphens/>
        <w:spacing w:line="360" w:lineRule="auto"/>
        <w:rPr>
          <w:sz w:val="26"/>
        </w:rPr>
      </w:pPr>
    </w:p>
    <w:p w:rsidR="0005244B" w:rsidRDefault="005D7477" w:rsidP="00FF2994">
      <w:pPr>
        <w:tabs>
          <w:tab w:val="left" w:pos="-720"/>
        </w:tabs>
        <w:suppressAutoHyphens/>
        <w:spacing w:line="360" w:lineRule="auto"/>
        <w:rPr>
          <w:sz w:val="26"/>
        </w:rPr>
      </w:pPr>
      <w:r>
        <w:rPr>
          <w:sz w:val="26"/>
        </w:rPr>
        <w:tab/>
      </w:r>
      <w:r>
        <w:rPr>
          <w:sz w:val="26"/>
        </w:rPr>
        <w:tab/>
      </w:r>
      <w:r w:rsidR="00E03858">
        <w:rPr>
          <w:sz w:val="26"/>
        </w:rPr>
        <w:t xml:space="preserve">Petitioner </w:t>
      </w:r>
      <w:r>
        <w:rPr>
          <w:sz w:val="26"/>
        </w:rPr>
        <w:t xml:space="preserve">also </w:t>
      </w:r>
      <w:r w:rsidR="00E03858">
        <w:rPr>
          <w:sz w:val="26"/>
        </w:rPr>
        <w:t>argues that, because it has always transported household goods under its property authority, it should be permitted to continue this practice.</w:t>
      </w:r>
      <w:r w:rsidR="00D448F4">
        <w:rPr>
          <w:sz w:val="26"/>
        </w:rPr>
        <w:t xml:space="preserve">  Petition at ¶ 10-13.</w:t>
      </w:r>
      <w:r w:rsidR="00840214">
        <w:rPr>
          <w:sz w:val="26"/>
        </w:rPr>
        <w:t xml:space="preserve">  We conclude that this argument is without merit.  A review of Petitioner’</w:t>
      </w:r>
      <w:r w:rsidR="00CC7C00">
        <w:rPr>
          <w:sz w:val="26"/>
        </w:rPr>
        <w:t>s previously filed tariffs clearly shows that it has property authority “between points in the city of DuBois, Clearfield County, and within ten (10) miles by the usually traveled highways of the said city.”  Petitioner’s Exhibit “A.”</w:t>
      </w:r>
      <w:r w:rsidR="0005244B">
        <w:rPr>
          <w:sz w:val="26"/>
        </w:rPr>
        <w:t xml:space="preserve">  The fact that Petitioner may have been operating outside of its tariff for many years does not expand its property authority to include household goods authority.</w:t>
      </w:r>
    </w:p>
    <w:p w:rsidR="0005244B" w:rsidRDefault="0005244B" w:rsidP="00FF2994">
      <w:pPr>
        <w:tabs>
          <w:tab w:val="left" w:pos="-720"/>
        </w:tabs>
        <w:suppressAutoHyphens/>
        <w:spacing w:line="360" w:lineRule="auto"/>
        <w:rPr>
          <w:sz w:val="26"/>
        </w:rPr>
      </w:pPr>
    </w:p>
    <w:p w:rsidR="00B50CF8" w:rsidRDefault="0005244B" w:rsidP="00FF2994">
      <w:pPr>
        <w:tabs>
          <w:tab w:val="left" w:pos="-720"/>
        </w:tabs>
        <w:suppressAutoHyphens/>
        <w:spacing w:line="360" w:lineRule="auto"/>
        <w:rPr>
          <w:sz w:val="26"/>
        </w:rPr>
      </w:pPr>
      <w:r>
        <w:rPr>
          <w:sz w:val="26"/>
        </w:rPr>
        <w:tab/>
      </w:r>
      <w:r>
        <w:rPr>
          <w:sz w:val="26"/>
        </w:rPr>
        <w:tab/>
      </w:r>
      <w:r w:rsidR="005D7477">
        <w:rPr>
          <w:sz w:val="26"/>
        </w:rPr>
        <w:t xml:space="preserve">Finally, </w:t>
      </w:r>
      <w:r>
        <w:rPr>
          <w:sz w:val="26"/>
        </w:rPr>
        <w:t>Petitioner also argues</w:t>
      </w:r>
      <w:r w:rsidR="00FF49B6">
        <w:rPr>
          <w:sz w:val="26"/>
        </w:rPr>
        <w:t xml:space="preserve"> that it always included the transportation of household goods in its published tariff rates.  Petition at ¶ 12.  In fact, Petitioner’s tariff includes no such designation, but rather states a general hourly rate.</w:t>
      </w:r>
      <w:r w:rsidR="007319DE">
        <w:rPr>
          <w:sz w:val="26"/>
        </w:rPr>
        <w:t xml:space="preserve">  Petitioner’s Exhibit “A</w:t>
      </w:r>
      <w:r w:rsidR="0023555E">
        <w:rPr>
          <w:sz w:val="26"/>
        </w:rPr>
        <w:t xml:space="preserve">.”  </w:t>
      </w:r>
      <w:r w:rsidR="00B87D83">
        <w:rPr>
          <w:sz w:val="26"/>
        </w:rPr>
        <w:t>Petitioner’s position that the Commission did not take prior action about its possibly operating outside the scope of its operating authority in the past is irrelevant.</w:t>
      </w:r>
    </w:p>
    <w:p w:rsidR="009D7CE2" w:rsidRDefault="00F758EE" w:rsidP="00FF2994">
      <w:pPr>
        <w:tabs>
          <w:tab w:val="left" w:pos="-720"/>
        </w:tabs>
        <w:suppressAutoHyphens/>
        <w:spacing w:line="360" w:lineRule="auto"/>
        <w:rPr>
          <w:sz w:val="26"/>
        </w:rPr>
      </w:pPr>
      <w:r>
        <w:rPr>
          <w:sz w:val="26"/>
        </w:rPr>
        <w:lastRenderedPageBreak/>
        <w:tab/>
      </w:r>
      <w:r>
        <w:rPr>
          <w:sz w:val="26"/>
        </w:rPr>
        <w:tab/>
      </w:r>
    </w:p>
    <w:p w:rsidR="00ED2BED" w:rsidRDefault="002C3CD9" w:rsidP="0026575E">
      <w:pPr>
        <w:tabs>
          <w:tab w:val="left" w:pos="-720"/>
        </w:tabs>
        <w:suppressAutoHyphens/>
        <w:spacing w:line="360" w:lineRule="auto"/>
        <w:rPr>
          <w:sz w:val="26"/>
        </w:rPr>
      </w:pPr>
      <w:r>
        <w:rPr>
          <w:sz w:val="26"/>
        </w:rPr>
        <w:tab/>
      </w:r>
      <w:r>
        <w:rPr>
          <w:sz w:val="26"/>
        </w:rPr>
        <w:tab/>
        <w:t>As discussed above</w:t>
      </w:r>
      <w:r w:rsidR="002F63F4">
        <w:rPr>
          <w:sz w:val="26"/>
        </w:rPr>
        <w:t xml:space="preserve">, </w:t>
      </w:r>
      <w:r w:rsidR="00B94FBE">
        <w:rPr>
          <w:sz w:val="26"/>
        </w:rPr>
        <w:t xml:space="preserve">we find </w:t>
      </w:r>
      <w:r w:rsidR="0005244B">
        <w:rPr>
          <w:sz w:val="26"/>
        </w:rPr>
        <w:t>Petitioner</w:t>
      </w:r>
      <w:r w:rsidR="0083163F">
        <w:rPr>
          <w:sz w:val="26"/>
        </w:rPr>
        <w:t xml:space="preserve">’s </w:t>
      </w:r>
      <w:r w:rsidR="00B94FBE">
        <w:rPr>
          <w:sz w:val="26"/>
        </w:rPr>
        <w:t>request for re</w:t>
      </w:r>
      <w:r>
        <w:rPr>
          <w:sz w:val="26"/>
        </w:rPr>
        <w:t>consideration</w:t>
      </w:r>
      <w:r w:rsidR="00B94FBE">
        <w:rPr>
          <w:sz w:val="26"/>
        </w:rPr>
        <w:t xml:space="preserve"> is not </w:t>
      </w:r>
      <w:r w:rsidR="0083163F">
        <w:rPr>
          <w:sz w:val="26"/>
        </w:rPr>
        <w:t>meritorious.</w:t>
      </w:r>
      <w:r>
        <w:rPr>
          <w:sz w:val="26"/>
        </w:rPr>
        <w:t xml:space="preserve">  We conclude that Petitioner has not met the criteria of </w:t>
      </w:r>
      <w:r w:rsidR="004D4787" w:rsidRPr="004D4787">
        <w:rPr>
          <w:i/>
          <w:sz w:val="26"/>
        </w:rPr>
        <w:t>Duick</w:t>
      </w:r>
      <w:r w:rsidR="004D4787">
        <w:rPr>
          <w:sz w:val="26"/>
        </w:rPr>
        <w:t xml:space="preserve">, </w:t>
      </w:r>
      <w:r w:rsidR="004D4787" w:rsidRPr="004D4787">
        <w:rPr>
          <w:i/>
          <w:sz w:val="26"/>
        </w:rPr>
        <w:t>supra</w:t>
      </w:r>
      <w:r w:rsidR="004D4787">
        <w:rPr>
          <w:sz w:val="26"/>
        </w:rPr>
        <w:t>.</w:t>
      </w:r>
      <w:r>
        <w:rPr>
          <w:sz w:val="26"/>
        </w:rPr>
        <w:t xml:space="preserve">  </w:t>
      </w:r>
    </w:p>
    <w:p w:rsidR="00ED2BED" w:rsidRDefault="00ED2BED" w:rsidP="0026575E">
      <w:pPr>
        <w:tabs>
          <w:tab w:val="left" w:pos="-720"/>
        </w:tabs>
        <w:suppressAutoHyphens/>
        <w:spacing w:line="360" w:lineRule="auto"/>
        <w:rPr>
          <w:sz w:val="26"/>
        </w:rPr>
      </w:pPr>
    </w:p>
    <w:p w:rsidR="00CC15FB" w:rsidRPr="00CC15FB" w:rsidRDefault="00CC15FB" w:rsidP="00CC15FB">
      <w:pPr>
        <w:pStyle w:val="BodyText"/>
        <w:jc w:val="center"/>
        <w:rPr>
          <w:b/>
          <w:szCs w:val="26"/>
        </w:rPr>
      </w:pPr>
      <w:r w:rsidRPr="00CC15FB">
        <w:rPr>
          <w:b/>
          <w:szCs w:val="26"/>
        </w:rPr>
        <w:t>Conclusion</w:t>
      </w:r>
    </w:p>
    <w:p w:rsidR="00B51D5F" w:rsidRDefault="00B51D5F">
      <w:pPr>
        <w:tabs>
          <w:tab w:val="left" w:pos="-720"/>
        </w:tabs>
        <w:suppressAutoHyphens/>
        <w:spacing w:line="360" w:lineRule="auto"/>
        <w:rPr>
          <w:sz w:val="26"/>
        </w:rPr>
      </w:pPr>
    </w:p>
    <w:p w:rsidR="00C67857" w:rsidRDefault="00C67857">
      <w:pPr>
        <w:tabs>
          <w:tab w:val="left" w:pos="-720"/>
        </w:tabs>
        <w:suppressAutoHyphens/>
        <w:spacing w:line="360" w:lineRule="auto"/>
        <w:rPr>
          <w:b/>
          <w:sz w:val="26"/>
        </w:rPr>
      </w:pPr>
      <w:r>
        <w:rPr>
          <w:sz w:val="26"/>
        </w:rPr>
        <w:tab/>
      </w:r>
      <w:r>
        <w:rPr>
          <w:sz w:val="26"/>
        </w:rPr>
        <w:tab/>
        <w:t xml:space="preserve">We have carefully reviewed the record as developed in this proceeding. </w:t>
      </w:r>
      <w:r w:rsidR="00DE496E">
        <w:rPr>
          <w:sz w:val="26"/>
        </w:rPr>
        <w:t xml:space="preserve"> Based upon our review, for the above reasons, we will deny</w:t>
      </w:r>
      <w:r w:rsidR="00ED2BED">
        <w:rPr>
          <w:sz w:val="26"/>
        </w:rPr>
        <w:t xml:space="preserve"> the</w:t>
      </w:r>
      <w:r w:rsidR="00DE496E">
        <w:rPr>
          <w:sz w:val="26"/>
        </w:rPr>
        <w:t xml:space="preserve"> Petition</w:t>
      </w:r>
      <w:r>
        <w:rPr>
          <w:sz w:val="26"/>
        </w:rPr>
        <w:t xml:space="preserve">; </w:t>
      </w:r>
      <w:r>
        <w:rPr>
          <w:b/>
          <w:sz w:val="26"/>
        </w:rPr>
        <w:t xml:space="preserve">THEREFORE, </w:t>
      </w:r>
    </w:p>
    <w:p w:rsidR="00534972" w:rsidRDefault="00534972">
      <w:pPr>
        <w:spacing w:line="360" w:lineRule="auto"/>
        <w:rPr>
          <w:b/>
          <w:sz w:val="26"/>
        </w:rPr>
      </w:pPr>
    </w:p>
    <w:p w:rsidR="00147BAA" w:rsidRDefault="00C67857" w:rsidP="004E4891">
      <w:pPr>
        <w:spacing w:line="360" w:lineRule="auto"/>
      </w:pPr>
      <w:r>
        <w:rPr>
          <w:b/>
          <w:sz w:val="26"/>
        </w:rPr>
        <w:tab/>
      </w:r>
      <w:r>
        <w:rPr>
          <w:b/>
          <w:sz w:val="26"/>
        </w:rPr>
        <w:tab/>
        <w:t>IT IS ORDERED:</w:t>
      </w:r>
      <w:r w:rsidR="00603013">
        <w:rPr>
          <w:sz w:val="26"/>
        </w:rPr>
        <w:t xml:space="preserve">  </w:t>
      </w:r>
      <w:r>
        <w:rPr>
          <w:sz w:val="26"/>
        </w:rPr>
        <w:t xml:space="preserve">That the </w:t>
      </w:r>
      <w:r w:rsidR="00610871">
        <w:rPr>
          <w:sz w:val="26"/>
        </w:rPr>
        <w:t xml:space="preserve">Petition </w:t>
      </w:r>
      <w:r w:rsidR="005F199F">
        <w:rPr>
          <w:sz w:val="26"/>
        </w:rPr>
        <w:t xml:space="preserve">for Reconsideration </w:t>
      </w:r>
      <w:r w:rsidR="0023555E">
        <w:rPr>
          <w:sz w:val="26"/>
        </w:rPr>
        <w:t xml:space="preserve">filed by </w:t>
      </w:r>
      <w:r w:rsidR="005D7477">
        <w:rPr>
          <w:sz w:val="26"/>
        </w:rPr>
        <w:t>Kennedy Transfer, Inc.</w:t>
      </w:r>
      <w:r>
        <w:rPr>
          <w:sz w:val="26"/>
        </w:rPr>
        <w:t>, with reference t</w:t>
      </w:r>
      <w:r w:rsidR="003A36B5">
        <w:rPr>
          <w:sz w:val="26"/>
        </w:rPr>
        <w:t xml:space="preserve">o our </w:t>
      </w:r>
      <w:r w:rsidR="00DE3D26">
        <w:rPr>
          <w:sz w:val="26"/>
        </w:rPr>
        <w:t xml:space="preserve">Order herein </w:t>
      </w:r>
      <w:r w:rsidR="00D44438">
        <w:rPr>
          <w:sz w:val="26"/>
        </w:rPr>
        <w:t>entered on March 26</w:t>
      </w:r>
      <w:r w:rsidR="005F199F">
        <w:rPr>
          <w:sz w:val="26"/>
        </w:rPr>
        <w:t>, 2010</w:t>
      </w:r>
      <w:r>
        <w:rPr>
          <w:sz w:val="26"/>
        </w:rPr>
        <w:t xml:space="preserve">, </w:t>
      </w:r>
      <w:r w:rsidR="00DE3D26">
        <w:rPr>
          <w:sz w:val="26"/>
        </w:rPr>
        <w:t>is denied</w:t>
      </w:r>
      <w:r>
        <w:rPr>
          <w:sz w:val="26"/>
        </w:rPr>
        <w:t xml:space="preserve">.  </w:t>
      </w:r>
      <w:r w:rsidR="00CA0CEC">
        <w:tab/>
      </w:r>
      <w:r w:rsidR="00CA0CEC">
        <w:tab/>
      </w:r>
    </w:p>
    <w:p w:rsidR="00F43794" w:rsidRDefault="00F43794">
      <w:pPr>
        <w:rPr>
          <w:sz w:val="26"/>
        </w:rPr>
      </w:pPr>
    </w:p>
    <w:p w:rsidR="00C67857" w:rsidRDefault="00A92411">
      <w:pPr>
        <w:rPr>
          <w:sz w:val="26"/>
        </w:rPr>
      </w:pPr>
      <w:r>
        <w:rPr>
          <w:noProof/>
          <w:sz w:val="26"/>
        </w:rPr>
        <w:drawing>
          <wp:anchor distT="0" distB="0" distL="114300" distR="114300" simplePos="0" relativeHeight="251658240" behindDoc="1" locked="0" layoutInCell="1" allowOverlap="1">
            <wp:simplePos x="0" y="0"/>
            <wp:positionH relativeFrom="column">
              <wp:posOffset>3057525</wp:posOffset>
            </wp:positionH>
            <wp:positionV relativeFrom="paragraph">
              <wp:posOffset>20955</wp:posOffset>
            </wp:positionV>
            <wp:extent cx="2200275" cy="838200"/>
            <wp:effectExtent l="19050" t="0" r="9525"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67857">
        <w:rPr>
          <w:sz w:val="26"/>
        </w:rPr>
        <w:tab/>
      </w:r>
      <w:r w:rsidR="00C67857">
        <w:rPr>
          <w:sz w:val="26"/>
        </w:rPr>
        <w:tab/>
      </w:r>
      <w:r w:rsidR="00C67857">
        <w:rPr>
          <w:sz w:val="26"/>
        </w:rPr>
        <w:tab/>
      </w:r>
      <w:r w:rsidR="00C67857">
        <w:rPr>
          <w:sz w:val="26"/>
        </w:rPr>
        <w:tab/>
      </w:r>
      <w:r w:rsidR="00C67857">
        <w:rPr>
          <w:sz w:val="26"/>
        </w:rPr>
        <w:tab/>
      </w:r>
      <w:r w:rsidR="00C67857">
        <w:rPr>
          <w:sz w:val="26"/>
        </w:rPr>
        <w:tab/>
      </w:r>
      <w:r w:rsidR="00C67857">
        <w:rPr>
          <w:sz w:val="26"/>
        </w:rPr>
        <w:tab/>
      </w:r>
      <w:r w:rsidR="00F1616C" w:rsidRPr="00F1616C">
        <w:rPr>
          <w:b/>
          <w:sz w:val="26"/>
        </w:rPr>
        <w:t>BY</w:t>
      </w:r>
      <w:r w:rsidR="00F1616C">
        <w:rPr>
          <w:sz w:val="26"/>
        </w:rPr>
        <w:t xml:space="preserve"> </w:t>
      </w:r>
      <w:r w:rsidR="00C67857">
        <w:rPr>
          <w:b/>
          <w:sz w:val="26"/>
        </w:rPr>
        <w:t>THE COMMISSION,</w:t>
      </w:r>
    </w:p>
    <w:p w:rsidR="00C67857" w:rsidRDefault="00C67857">
      <w:pPr>
        <w:rPr>
          <w:sz w:val="26"/>
        </w:rPr>
      </w:pPr>
    </w:p>
    <w:p w:rsidR="00C67857" w:rsidRDefault="00C67857">
      <w:pPr>
        <w:rPr>
          <w:sz w:val="26"/>
        </w:rPr>
      </w:pPr>
    </w:p>
    <w:p w:rsidR="00C67857" w:rsidRDefault="00C67857">
      <w:pPr>
        <w:rPr>
          <w:sz w:val="26"/>
        </w:rPr>
      </w:pPr>
    </w:p>
    <w:p w:rsidR="00C67857" w:rsidRDefault="00C67857">
      <w:pPr>
        <w:rPr>
          <w:sz w:val="26"/>
        </w:rPr>
      </w:pPr>
      <w:r>
        <w:rPr>
          <w:sz w:val="26"/>
        </w:rPr>
        <w:tab/>
      </w:r>
      <w:r>
        <w:rPr>
          <w:sz w:val="26"/>
        </w:rPr>
        <w:tab/>
      </w:r>
      <w:r>
        <w:rPr>
          <w:sz w:val="26"/>
        </w:rPr>
        <w:tab/>
      </w:r>
      <w:r>
        <w:rPr>
          <w:sz w:val="26"/>
        </w:rPr>
        <w:tab/>
      </w:r>
      <w:r>
        <w:rPr>
          <w:sz w:val="26"/>
        </w:rPr>
        <w:tab/>
      </w:r>
      <w:r>
        <w:rPr>
          <w:sz w:val="26"/>
        </w:rPr>
        <w:tab/>
      </w:r>
      <w:r>
        <w:rPr>
          <w:sz w:val="26"/>
        </w:rPr>
        <w:tab/>
      </w:r>
      <w:r w:rsidR="006243EA">
        <w:rPr>
          <w:sz w:val="26"/>
        </w:rPr>
        <w:t>Rosema</w:t>
      </w:r>
      <w:r w:rsidR="004C21E8">
        <w:rPr>
          <w:sz w:val="26"/>
        </w:rPr>
        <w:t>r</w:t>
      </w:r>
      <w:r w:rsidR="006243EA">
        <w:rPr>
          <w:sz w:val="26"/>
        </w:rPr>
        <w:t>y Chiavetta</w:t>
      </w:r>
    </w:p>
    <w:p w:rsidR="00C67857" w:rsidRDefault="00C67857">
      <w:pPr>
        <w:rPr>
          <w:sz w:val="26"/>
        </w:rPr>
      </w:pPr>
      <w:r>
        <w:rPr>
          <w:sz w:val="26"/>
        </w:rPr>
        <w:tab/>
      </w:r>
      <w:r>
        <w:rPr>
          <w:sz w:val="26"/>
        </w:rPr>
        <w:tab/>
      </w:r>
      <w:r>
        <w:rPr>
          <w:sz w:val="26"/>
        </w:rPr>
        <w:tab/>
      </w:r>
      <w:r>
        <w:rPr>
          <w:sz w:val="26"/>
        </w:rPr>
        <w:tab/>
      </w:r>
      <w:r>
        <w:rPr>
          <w:sz w:val="26"/>
        </w:rPr>
        <w:tab/>
      </w:r>
      <w:r>
        <w:rPr>
          <w:sz w:val="26"/>
        </w:rPr>
        <w:tab/>
      </w:r>
      <w:r>
        <w:rPr>
          <w:sz w:val="26"/>
        </w:rPr>
        <w:tab/>
        <w:t>Secretary</w:t>
      </w:r>
    </w:p>
    <w:p w:rsidR="00C67857" w:rsidRDefault="00C67857">
      <w:pPr>
        <w:rPr>
          <w:sz w:val="26"/>
        </w:rPr>
      </w:pPr>
    </w:p>
    <w:p w:rsidR="00C67857" w:rsidRDefault="00C67857">
      <w:pPr>
        <w:rPr>
          <w:sz w:val="26"/>
        </w:rPr>
      </w:pPr>
      <w:r>
        <w:rPr>
          <w:sz w:val="26"/>
        </w:rPr>
        <w:t>(SEAL)</w:t>
      </w:r>
    </w:p>
    <w:p w:rsidR="00C67857" w:rsidRDefault="00C67857">
      <w:pPr>
        <w:rPr>
          <w:sz w:val="26"/>
        </w:rPr>
      </w:pPr>
    </w:p>
    <w:p w:rsidR="00C67857" w:rsidRDefault="00D07B57">
      <w:pPr>
        <w:rPr>
          <w:sz w:val="26"/>
        </w:rPr>
      </w:pPr>
      <w:r>
        <w:rPr>
          <w:sz w:val="26"/>
        </w:rPr>
        <w:t xml:space="preserve">ORDER ADOPTED: </w:t>
      </w:r>
      <w:r w:rsidR="00DD3A20">
        <w:rPr>
          <w:sz w:val="26"/>
        </w:rPr>
        <w:t xml:space="preserve">September </w:t>
      </w:r>
      <w:r w:rsidR="006A6A94">
        <w:rPr>
          <w:sz w:val="26"/>
        </w:rPr>
        <w:t>23</w:t>
      </w:r>
      <w:r w:rsidR="008A5B88">
        <w:rPr>
          <w:sz w:val="26"/>
        </w:rPr>
        <w:t>, 2010</w:t>
      </w:r>
    </w:p>
    <w:p w:rsidR="00C67857" w:rsidRDefault="00C67857">
      <w:pPr>
        <w:rPr>
          <w:sz w:val="26"/>
        </w:rPr>
      </w:pPr>
    </w:p>
    <w:p w:rsidR="00C67857" w:rsidRDefault="00C67857">
      <w:pPr>
        <w:rPr>
          <w:sz w:val="26"/>
        </w:rPr>
      </w:pPr>
      <w:r>
        <w:rPr>
          <w:sz w:val="26"/>
        </w:rPr>
        <w:t xml:space="preserve">ORDER ENTERED:  </w:t>
      </w:r>
      <w:r w:rsidR="00A92411">
        <w:rPr>
          <w:sz w:val="26"/>
        </w:rPr>
        <w:t>September 24, 2010</w:t>
      </w:r>
    </w:p>
    <w:sectPr w:rsidR="00C67857" w:rsidSect="001175B5">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CD7" w:rsidRDefault="00671CD7">
      <w:r>
        <w:separator/>
      </w:r>
    </w:p>
  </w:endnote>
  <w:endnote w:type="continuationSeparator" w:id="0">
    <w:p w:rsidR="00671CD7" w:rsidRDefault="00671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C3" w:rsidRDefault="004D4B42">
    <w:pPr>
      <w:pStyle w:val="Footer"/>
      <w:framePr w:wrap="around" w:vAnchor="text" w:hAnchor="margin" w:xAlign="center" w:y="1"/>
      <w:rPr>
        <w:rStyle w:val="PageNumber"/>
      </w:rPr>
    </w:pPr>
    <w:r>
      <w:rPr>
        <w:rStyle w:val="PageNumber"/>
      </w:rPr>
      <w:fldChar w:fldCharType="begin"/>
    </w:r>
    <w:r w:rsidR="00394AC3">
      <w:rPr>
        <w:rStyle w:val="PageNumber"/>
      </w:rPr>
      <w:instrText xml:space="preserve">PAGE  </w:instrText>
    </w:r>
    <w:r>
      <w:rPr>
        <w:rStyle w:val="PageNumber"/>
      </w:rPr>
      <w:fldChar w:fldCharType="separate"/>
    </w:r>
    <w:r w:rsidR="00394AC3">
      <w:rPr>
        <w:rStyle w:val="PageNumber"/>
        <w:noProof/>
      </w:rPr>
      <w:t>11</w:t>
    </w:r>
    <w:r>
      <w:rPr>
        <w:rStyle w:val="PageNumber"/>
      </w:rPr>
      <w:fldChar w:fldCharType="end"/>
    </w:r>
  </w:p>
  <w:p w:rsidR="00394AC3" w:rsidRDefault="00394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C3" w:rsidRPr="00501001" w:rsidRDefault="004D4B42">
    <w:pPr>
      <w:pStyle w:val="Footer"/>
      <w:framePr w:wrap="around" w:vAnchor="text" w:hAnchor="margin" w:xAlign="center" w:y="1"/>
      <w:rPr>
        <w:rStyle w:val="PageNumber"/>
        <w:sz w:val="26"/>
      </w:rPr>
    </w:pPr>
    <w:r w:rsidRPr="00501001">
      <w:rPr>
        <w:rStyle w:val="PageNumber"/>
        <w:sz w:val="26"/>
      </w:rPr>
      <w:fldChar w:fldCharType="begin"/>
    </w:r>
    <w:r w:rsidR="00394AC3" w:rsidRPr="00501001">
      <w:rPr>
        <w:rStyle w:val="PageNumber"/>
        <w:sz w:val="26"/>
      </w:rPr>
      <w:instrText xml:space="preserve">PAGE  </w:instrText>
    </w:r>
    <w:r w:rsidRPr="00501001">
      <w:rPr>
        <w:rStyle w:val="PageNumber"/>
        <w:sz w:val="26"/>
      </w:rPr>
      <w:fldChar w:fldCharType="separate"/>
    </w:r>
    <w:r w:rsidR="00A92411">
      <w:rPr>
        <w:rStyle w:val="PageNumber"/>
        <w:noProof/>
        <w:sz w:val="26"/>
      </w:rPr>
      <w:t>8</w:t>
    </w:r>
    <w:r w:rsidRPr="00501001">
      <w:rPr>
        <w:rStyle w:val="PageNumber"/>
        <w:sz w:val="26"/>
      </w:rPr>
      <w:fldChar w:fldCharType="end"/>
    </w:r>
  </w:p>
  <w:p w:rsidR="00394AC3" w:rsidRPr="000026FC" w:rsidRDefault="00394AC3">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CD7" w:rsidRDefault="00671CD7">
      <w:r>
        <w:separator/>
      </w:r>
    </w:p>
  </w:footnote>
  <w:footnote w:type="continuationSeparator" w:id="0">
    <w:p w:rsidR="00671CD7" w:rsidRDefault="00671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F1ED9"/>
    <w:multiLevelType w:val="singleLevel"/>
    <w:tmpl w:val="2F903846"/>
    <w:lvl w:ilvl="0">
      <w:start w:val="3"/>
      <w:numFmt w:val="decimal"/>
      <w:lvlText w:val="%1."/>
      <w:lvlJc w:val="left"/>
      <w:pPr>
        <w:tabs>
          <w:tab w:val="num" w:pos="2160"/>
        </w:tabs>
        <w:ind w:left="2160" w:hanging="720"/>
      </w:pPr>
      <w:rPr>
        <w:rFonts w:hint="default"/>
      </w:rPr>
    </w:lvl>
  </w:abstractNum>
  <w:abstractNum w:abstractNumId="1">
    <w:nsid w:val="350E231D"/>
    <w:multiLevelType w:val="singleLevel"/>
    <w:tmpl w:val="2F903846"/>
    <w:lvl w:ilvl="0">
      <w:start w:val="2"/>
      <w:numFmt w:val="decimal"/>
      <w:lvlText w:val="%1."/>
      <w:lvlJc w:val="left"/>
      <w:pPr>
        <w:tabs>
          <w:tab w:val="num" w:pos="2160"/>
        </w:tabs>
        <w:ind w:left="2160" w:hanging="720"/>
      </w:pPr>
      <w:rPr>
        <w:rFonts w:hint="default"/>
      </w:rPr>
    </w:lvl>
  </w:abstractNum>
  <w:abstractNum w:abstractNumId="2">
    <w:nsid w:val="43D455B8"/>
    <w:multiLevelType w:val="singleLevel"/>
    <w:tmpl w:val="2F903846"/>
    <w:lvl w:ilvl="0">
      <w:start w:val="124"/>
      <w:numFmt w:val="decimal"/>
      <w:lvlText w:val="%1."/>
      <w:lvlJc w:val="left"/>
      <w:pPr>
        <w:tabs>
          <w:tab w:val="num" w:pos="2160"/>
        </w:tabs>
        <w:ind w:left="2160" w:hanging="720"/>
      </w:pPr>
      <w:rPr>
        <w:rFonts w:hint="default"/>
      </w:rPr>
    </w:lvl>
  </w:abstractNum>
  <w:abstractNum w:abstractNumId="3">
    <w:nsid w:val="4A1008EB"/>
    <w:multiLevelType w:val="singleLevel"/>
    <w:tmpl w:val="2F903846"/>
    <w:lvl w:ilvl="0">
      <w:start w:val="2"/>
      <w:numFmt w:val="decimal"/>
      <w:lvlText w:val="%1."/>
      <w:lvlJc w:val="left"/>
      <w:pPr>
        <w:tabs>
          <w:tab w:val="num" w:pos="2160"/>
        </w:tabs>
        <w:ind w:left="2160" w:hanging="720"/>
      </w:pPr>
      <w:rPr>
        <w:rFonts w:hint="default"/>
      </w:rPr>
    </w:lvl>
  </w:abstractNum>
  <w:abstractNum w:abstractNumId="4">
    <w:nsid w:val="4A804EDF"/>
    <w:multiLevelType w:val="singleLevel"/>
    <w:tmpl w:val="2F903846"/>
    <w:lvl w:ilvl="0">
      <w:start w:val="129"/>
      <w:numFmt w:val="decimal"/>
      <w:lvlText w:val="%1."/>
      <w:lvlJc w:val="left"/>
      <w:pPr>
        <w:tabs>
          <w:tab w:val="num" w:pos="2160"/>
        </w:tabs>
        <w:ind w:left="2160" w:hanging="720"/>
      </w:pPr>
      <w:rPr>
        <w:rFonts w:hint="default"/>
      </w:rPr>
    </w:lvl>
  </w:abstractNum>
  <w:abstractNum w:abstractNumId="5">
    <w:nsid w:val="606F5F06"/>
    <w:multiLevelType w:val="singleLevel"/>
    <w:tmpl w:val="2F903846"/>
    <w:lvl w:ilvl="0">
      <w:start w:val="82"/>
      <w:numFmt w:val="decimal"/>
      <w:lvlText w:val="%1."/>
      <w:lvlJc w:val="left"/>
      <w:pPr>
        <w:tabs>
          <w:tab w:val="num" w:pos="2160"/>
        </w:tabs>
        <w:ind w:left="2160" w:hanging="720"/>
      </w:pPr>
      <w:rPr>
        <w:rFonts w:hint="default"/>
      </w:rPr>
    </w:lvl>
  </w:abstractNum>
  <w:abstractNum w:abstractNumId="6">
    <w:nsid w:val="699C546C"/>
    <w:multiLevelType w:val="singleLevel"/>
    <w:tmpl w:val="157A437A"/>
    <w:lvl w:ilvl="0">
      <w:start w:val="1"/>
      <w:numFmt w:val="lowerLetter"/>
      <w:lvlText w:val="%1."/>
      <w:lvlJc w:val="left"/>
      <w:pPr>
        <w:tabs>
          <w:tab w:val="num" w:pos="2160"/>
        </w:tabs>
        <w:ind w:left="2160" w:hanging="720"/>
      </w:pPr>
      <w:rPr>
        <w:rFonts w:hint="default"/>
      </w:rPr>
    </w:lvl>
  </w:abstractNum>
  <w:abstractNum w:abstractNumId="7">
    <w:nsid w:val="7FBD39E2"/>
    <w:multiLevelType w:val="singleLevel"/>
    <w:tmpl w:val="2F903846"/>
    <w:lvl w:ilvl="0">
      <w:start w:val="2"/>
      <w:numFmt w:val="decimal"/>
      <w:lvlText w:val="%1."/>
      <w:lvlJc w:val="left"/>
      <w:pPr>
        <w:tabs>
          <w:tab w:val="num" w:pos="2160"/>
        </w:tabs>
        <w:ind w:left="2160" w:hanging="720"/>
      </w:pPr>
      <w:rPr>
        <w:rFonts w:hint="default"/>
      </w:rPr>
    </w:lvl>
  </w:abstractNum>
  <w:num w:numId="1">
    <w:abstractNumId w:val="6"/>
  </w:num>
  <w:num w:numId="2">
    <w:abstractNumId w:val="7"/>
  </w:num>
  <w:num w:numId="3">
    <w:abstractNumId w:val="3"/>
  </w:num>
  <w:num w:numId="4">
    <w:abstractNumId w:val="0"/>
  </w:num>
  <w:num w:numId="5">
    <w:abstractNumId w:val="1"/>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7857"/>
    <w:rsid w:val="0000003A"/>
    <w:rsid w:val="00001A1C"/>
    <w:rsid w:val="000026FC"/>
    <w:rsid w:val="00002FCA"/>
    <w:rsid w:val="0001166E"/>
    <w:rsid w:val="00016E99"/>
    <w:rsid w:val="000173F4"/>
    <w:rsid w:val="000219DA"/>
    <w:rsid w:val="00024C03"/>
    <w:rsid w:val="0002739B"/>
    <w:rsid w:val="00030EB1"/>
    <w:rsid w:val="00031C55"/>
    <w:rsid w:val="00036A36"/>
    <w:rsid w:val="000370CF"/>
    <w:rsid w:val="000374FE"/>
    <w:rsid w:val="00041001"/>
    <w:rsid w:val="00043294"/>
    <w:rsid w:val="00043C66"/>
    <w:rsid w:val="000515E9"/>
    <w:rsid w:val="00052292"/>
    <w:rsid w:val="0005244B"/>
    <w:rsid w:val="0005447E"/>
    <w:rsid w:val="00055829"/>
    <w:rsid w:val="00060AEB"/>
    <w:rsid w:val="00062C0B"/>
    <w:rsid w:val="00066A86"/>
    <w:rsid w:val="00066E6C"/>
    <w:rsid w:val="00070B00"/>
    <w:rsid w:val="00072341"/>
    <w:rsid w:val="000767B3"/>
    <w:rsid w:val="000874DC"/>
    <w:rsid w:val="000915A9"/>
    <w:rsid w:val="000972ED"/>
    <w:rsid w:val="000A1378"/>
    <w:rsid w:val="000A3890"/>
    <w:rsid w:val="000A3B8F"/>
    <w:rsid w:val="000B08AD"/>
    <w:rsid w:val="000B51F7"/>
    <w:rsid w:val="000C00EB"/>
    <w:rsid w:val="000C1F3E"/>
    <w:rsid w:val="000C5B09"/>
    <w:rsid w:val="000C7167"/>
    <w:rsid w:val="000D44BA"/>
    <w:rsid w:val="000D66B6"/>
    <w:rsid w:val="000D7F05"/>
    <w:rsid w:val="000E27D5"/>
    <w:rsid w:val="000E286A"/>
    <w:rsid w:val="000E2EA2"/>
    <w:rsid w:val="000E3A7B"/>
    <w:rsid w:val="000F34D7"/>
    <w:rsid w:val="000F4572"/>
    <w:rsid w:val="000F7624"/>
    <w:rsid w:val="0010417B"/>
    <w:rsid w:val="0010676E"/>
    <w:rsid w:val="001175B5"/>
    <w:rsid w:val="00120EBC"/>
    <w:rsid w:val="00122A6E"/>
    <w:rsid w:val="001336AE"/>
    <w:rsid w:val="00135176"/>
    <w:rsid w:val="00135F5F"/>
    <w:rsid w:val="00140A32"/>
    <w:rsid w:val="00147BAA"/>
    <w:rsid w:val="00147E3C"/>
    <w:rsid w:val="001573AF"/>
    <w:rsid w:val="001600DB"/>
    <w:rsid w:val="0016247E"/>
    <w:rsid w:val="00162A64"/>
    <w:rsid w:val="00165E26"/>
    <w:rsid w:val="001809C7"/>
    <w:rsid w:val="00183111"/>
    <w:rsid w:val="001866B5"/>
    <w:rsid w:val="001930DC"/>
    <w:rsid w:val="00193B09"/>
    <w:rsid w:val="00197129"/>
    <w:rsid w:val="001A0069"/>
    <w:rsid w:val="001A4EBD"/>
    <w:rsid w:val="001B11D1"/>
    <w:rsid w:val="001B13DB"/>
    <w:rsid w:val="001B3404"/>
    <w:rsid w:val="001B352A"/>
    <w:rsid w:val="001B5F8E"/>
    <w:rsid w:val="001C62F7"/>
    <w:rsid w:val="001D2343"/>
    <w:rsid w:val="001D4D9D"/>
    <w:rsid w:val="001D4E19"/>
    <w:rsid w:val="001D7C19"/>
    <w:rsid w:val="001E485D"/>
    <w:rsid w:val="001E74FE"/>
    <w:rsid w:val="001E788F"/>
    <w:rsid w:val="001F08ED"/>
    <w:rsid w:val="001F3FDB"/>
    <w:rsid w:val="00204867"/>
    <w:rsid w:val="00210069"/>
    <w:rsid w:val="002115CD"/>
    <w:rsid w:val="002117AD"/>
    <w:rsid w:val="002178A1"/>
    <w:rsid w:val="0023555E"/>
    <w:rsid w:val="00245B8C"/>
    <w:rsid w:val="00246EC4"/>
    <w:rsid w:val="00250CF3"/>
    <w:rsid w:val="00251544"/>
    <w:rsid w:val="002519A8"/>
    <w:rsid w:val="0025280F"/>
    <w:rsid w:val="00255C0C"/>
    <w:rsid w:val="0026575E"/>
    <w:rsid w:val="00271E44"/>
    <w:rsid w:val="00274AA2"/>
    <w:rsid w:val="00276829"/>
    <w:rsid w:val="002820B4"/>
    <w:rsid w:val="002876E0"/>
    <w:rsid w:val="00290905"/>
    <w:rsid w:val="002933D9"/>
    <w:rsid w:val="00296C46"/>
    <w:rsid w:val="002A2596"/>
    <w:rsid w:val="002A4AA3"/>
    <w:rsid w:val="002B0A4E"/>
    <w:rsid w:val="002B25D0"/>
    <w:rsid w:val="002B51CF"/>
    <w:rsid w:val="002C08BF"/>
    <w:rsid w:val="002C3CD9"/>
    <w:rsid w:val="002C7C2E"/>
    <w:rsid w:val="002D0A61"/>
    <w:rsid w:val="002D1CCC"/>
    <w:rsid w:val="002D474B"/>
    <w:rsid w:val="002D6FEC"/>
    <w:rsid w:val="002F6030"/>
    <w:rsid w:val="002F63F4"/>
    <w:rsid w:val="00300CB4"/>
    <w:rsid w:val="00301BA0"/>
    <w:rsid w:val="003021F7"/>
    <w:rsid w:val="003030D4"/>
    <w:rsid w:val="00307827"/>
    <w:rsid w:val="003102CA"/>
    <w:rsid w:val="00312328"/>
    <w:rsid w:val="00314558"/>
    <w:rsid w:val="00321AD4"/>
    <w:rsid w:val="00322EE0"/>
    <w:rsid w:val="003237A1"/>
    <w:rsid w:val="00331E38"/>
    <w:rsid w:val="00333830"/>
    <w:rsid w:val="003379C0"/>
    <w:rsid w:val="00341092"/>
    <w:rsid w:val="00344A0A"/>
    <w:rsid w:val="00353854"/>
    <w:rsid w:val="00355660"/>
    <w:rsid w:val="00356806"/>
    <w:rsid w:val="0036147B"/>
    <w:rsid w:val="00366D68"/>
    <w:rsid w:val="0036754E"/>
    <w:rsid w:val="00371FE7"/>
    <w:rsid w:val="00380DC7"/>
    <w:rsid w:val="00386041"/>
    <w:rsid w:val="00394AC3"/>
    <w:rsid w:val="003A0F39"/>
    <w:rsid w:val="003A204F"/>
    <w:rsid w:val="003A34DE"/>
    <w:rsid w:val="003A36B5"/>
    <w:rsid w:val="003A69DA"/>
    <w:rsid w:val="003B74AA"/>
    <w:rsid w:val="003D3E35"/>
    <w:rsid w:val="003D67DA"/>
    <w:rsid w:val="003E6390"/>
    <w:rsid w:val="003F09F1"/>
    <w:rsid w:val="003F14F0"/>
    <w:rsid w:val="003F3CAC"/>
    <w:rsid w:val="003F6CD5"/>
    <w:rsid w:val="003F796A"/>
    <w:rsid w:val="004035E0"/>
    <w:rsid w:val="00405321"/>
    <w:rsid w:val="00406880"/>
    <w:rsid w:val="00413040"/>
    <w:rsid w:val="004240B0"/>
    <w:rsid w:val="00431456"/>
    <w:rsid w:val="00434F17"/>
    <w:rsid w:val="00435778"/>
    <w:rsid w:val="0044714B"/>
    <w:rsid w:val="004508B1"/>
    <w:rsid w:val="00452998"/>
    <w:rsid w:val="0046344D"/>
    <w:rsid w:val="0047390D"/>
    <w:rsid w:val="004739A1"/>
    <w:rsid w:val="00474FB1"/>
    <w:rsid w:val="00475E42"/>
    <w:rsid w:val="004842C3"/>
    <w:rsid w:val="00490D11"/>
    <w:rsid w:val="004A0EFB"/>
    <w:rsid w:val="004A5932"/>
    <w:rsid w:val="004C21E8"/>
    <w:rsid w:val="004C530D"/>
    <w:rsid w:val="004C6E41"/>
    <w:rsid w:val="004D34BA"/>
    <w:rsid w:val="004D3F99"/>
    <w:rsid w:val="004D4787"/>
    <w:rsid w:val="004D4B42"/>
    <w:rsid w:val="004D5CE6"/>
    <w:rsid w:val="004E412F"/>
    <w:rsid w:val="004E4891"/>
    <w:rsid w:val="004E5831"/>
    <w:rsid w:val="004F2034"/>
    <w:rsid w:val="004F6858"/>
    <w:rsid w:val="00501001"/>
    <w:rsid w:val="005100A5"/>
    <w:rsid w:val="005104E7"/>
    <w:rsid w:val="00512593"/>
    <w:rsid w:val="0051267A"/>
    <w:rsid w:val="005149F8"/>
    <w:rsid w:val="0051647D"/>
    <w:rsid w:val="005203D5"/>
    <w:rsid w:val="00523CC0"/>
    <w:rsid w:val="00527072"/>
    <w:rsid w:val="00530AB6"/>
    <w:rsid w:val="005316BB"/>
    <w:rsid w:val="005334E0"/>
    <w:rsid w:val="00534972"/>
    <w:rsid w:val="00535C0F"/>
    <w:rsid w:val="0053742A"/>
    <w:rsid w:val="00552B96"/>
    <w:rsid w:val="005536B9"/>
    <w:rsid w:val="0056373F"/>
    <w:rsid w:val="00576763"/>
    <w:rsid w:val="00577FA9"/>
    <w:rsid w:val="005804BD"/>
    <w:rsid w:val="00582CE6"/>
    <w:rsid w:val="00594D7A"/>
    <w:rsid w:val="00595849"/>
    <w:rsid w:val="005A1DD2"/>
    <w:rsid w:val="005A2837"/>
    <w:rsid w:val="005A3C71"/>
    <w:rsid w:val="005A5B1C"/>
    <w:rsid w:val="005A5CF0"/>
    <w:rsid w:val="005B68E3"/>
    <w:rsid w:val="005D067E"/>
    <w:rsid w:val="005D5A54"/>
    <w:rsid w:val="005D5FEB"/>
    <w:rsid w:val="005D7477"/>
    <w:rsid w:val="005E58FD"/>
    <w:rsid w:val="005F199F"/>
    <w:rsid w:val="005F47AA"/>
    <w:rsid w:val="005F6E57"/>
    <w:rsid w:val="00603013"/>
    <w:rsid w:val="0060420A"/>
    <w:rsid w:val="00610871"/>
    <w:rsid w:val="00612A2C"/>
    <w:rsid w:val="00614D4F"/>
    <w:rsid w:val="00615A62"/>
    <w:rsid w:val="00624077"/>
    <w:rsid w:val="006243EA"/>
    <w:rsid w:val="0062515B"/>
    <w:rsid w:val="006303FB"/>
    <w:rsid w:val="00630D67"/>
    <w:rsid w:val="00632D8B"/>
    <w:rsid w:val="006365F6"/>
    <w:rsid w:val="00640C9A"/>
    <w:rsid w:val="00642EA3"/>
    <w:rsid w:val="006434D1"/>
    <w:rsid w:val="006520A8"/>
    <w:rsid w:val="00652927"/>
    <w:rsid w:val="00652D84"/>
    <w:rsid w:val="0065472D"/>
    <w:rsid w:val="00656DB9"/>
    <w:rsid w:val="00657401"/>
    <w:rsid w:val="00671449"/>
    <w:rsid w:val="00671CD7"/>
    <w:rsid w:val="00675B5F"/>
    <w:rsid w:val="0067626B"/>
    <w:rsid w:val="00677372"/>
    <w:rsid w:val="00687828"/>
    <w:rsid w:val="00697948"/>
    <w:rsid w:val="006A071F"/>
    <w:rsid w:val="006A310D"/>
    <w:rsid w:val="006A6A94"/>
    <w:rsid w:val="006A7BB1"/>
    <w:rsid w:val="006B13B4"/>
    <w:rsid w:val="006B3822"/>
    <w:rsid w:val="006B3B4B"/>
    <w:rsid w:val="006B42A9"/>
    <w:rsid w:val="006B7F1F"/>
    <w:rsid w:val="006C1B01"/>
    <w:rsid w:val="006C1B72"/>
    <w:rsid w:val="006D2934"/>
    <w:rsid w:val="006E5C55"/>
    <w:rsid w:val="006E7C23"/>
    <w:rsid w:val="006E7DB0"/>
    <w:rsid w:val="006F0128"/>
    <w:rsid w:val="006F1CAB"/>
    <w:rsid w:val="006F7A62"/>
    <w:rsid w:val="007024CE"/>
    <w:rsid w:val="00704BD5"/>
    <w:rsid w:val="00713280"/>
    <w:rsid w:val="007319DE"/>
    <w:rsid w:val="00734415"/>
    <w:rsid w:val="00747F82"/>
    <w:rsid w:val="00753631"/>
    <w:rsid w:val="00764296"/>
    <w:rsid w:val="007648AE"/>
    <w:rsid w:val="00766DD0"/>
    <w:rsid w:val="0077383B"/>
    <w:rsid w:val="00773FD7"/>
    <w:rsid w:val="00776148"/>
    <w:rsid w:val="007821A2"/>
    <w:rsid w:val="007904FB"/>
    <w:rsid w:val="00790CBC"/>
    <w:rsid w:val="0079270E"/>
    <w:rsid w:val="00796F2C"/>
    <w:rsid w:val="007A089E"/>
    <w:rsid w:val="007B575F"/>
    <w:rsid w:val="007C35A8"/>
    <w:rsid w:val="007C5977"/>
    <w:rsid w:val="007C675A"/>
    <w:rsid w:val="007D4AD1"/>
    <w:rsid w:val="007D7108"/>
    <w:rsid w:val="007D7E4F"/>
    <w:rsid w:val="007E6508"/>
    <w:rsid w:val="007F6EC0"/>
    <w:rsid w:val="00801A23"/>
    <w:rsid w:val="00805132"/>
    <w:rsid w:val="0081707F"/>
    <w:rsid w:val="00817B7D"/>
    <w:rsid w:val="0082519A"/>
    <w:rsid w:val="00830F8C"/>
    <w:rsid w:val="0083163F"/>
    <w:rsid w:val="00832282"/>
    <w:rsid w:val="00836CD8"/>
    <w:rsid w:val="00840214"/>
    <w:rsid w:val="008446CC"/>
    <w:rsid w:val="00845222"/>
    <w:rsid w:val="00854350"/>
    <w:rsid w:val="0085689D"/>
    <w:rsid w:val="008616BD"/>
    <w:rsid w:val="00867AC0"/>
    <w:rsid w:val="00871041"/>
    <w:rsid w:val="00874DC0"/>
    <w:rsid w:val="00880849"/>
    <w:rsid w:val="00882E11"/>
    <w:rsid w:val="00886025"/>
    <w:rsid w:val="00892037"/>
    <w:rsid w:val="00892133"/>
    <w:rsid w:val="008A5B88"/>
    <w:rsid w:val="008B5B1A"/>
    <w:rsid w:val="008B7FD5"/>
    <w:rsid w:val="008C0B1E"/>
    <w:rsid w:val="008C70C1"/>
    <w:rsid w:val="008D13DF"/>
    <w:rsid w:val="008D50CA"/>
    <w:rsid w:val="008E30AD"/>
    <w:rsid w:val="008E4670"/>
    <w:rsid w:val="008E67FD"/>
    <w:rsid w:val="008F3C53"/>
    <w:rsid w:val="008F594F"/>
    <w:rsid w:val="0090088B"/>
    <w:rsid w:val="00902CD8"/>
    <w:rsid w:val="00905CF1"/>
    <w:rsid w:val="00917758"/>
    <w:rsid w:val="009250D7"/>
    <w:rsid w:val="0092595F"/>
    <w:rsid w:val="0093086A"/>
    <w:rsid w:val="00931662"/>
    <w:rsid w:val="00935A40"/>
    <w:rsid w:val="009360A5"/>
    <w:rsid w:val="00940DA9"/>
    <w:rsid w:val="00941DA3"/>
    <w:rsid w:val="00944C99"/>
    <w:rsid w:val="0094567F"/>
    <w:rsid w:val="00946246"/>
    <w:rsid w:val="00947EC1"/>
    <w:rsid w:val="00971052"/>
    <w:rsid w:val="009729F7"/>
    <w:rsid w:val="0097713B"/>
    <w:rsid w:val="00980484"/>
    <w:rsid w:val="00985C63"/>
    <w:rsid w:val="009A1A5D"/>
    <w:rsid w:val="009A1C07"/>
    <w:rsid w:val="009B711A"/>
    <w:rsid w:val="009D282A"/>
    <w:rsid w:val="009D2FA2"/>
    <w:rsid w:val="009D3715"/>
    <w:rsid w:val="009D5D22"/>
    <w:rsid w:val="009D7CE2"/>
    <w:rsid w:val="009E1CDC"/>
    <w:rsid w:val="009E3D40"/>
    <w:rsid w:val="009E7C3B"/>
    <w:rsid w:val="009F5139"/>
    <w:rsid w:val="009F5C6D"/>
    <w:rsid w:val="00A003A0"/>
    <w:rsid w:val="00A02133"/>
    <w:rsid w:val="00A048CC"/>
    <w:rsid w:val="00A112E7"/>
    <w:rsid w:val="00A1608C"/>
    <w:rsid w:val="00A2001A"/>
    <w:rsid w:val="00A2466E"/>
    <w:rsid w:val="00A257B1"/>
    <w:rsid w:val="00A3044E"/>
    <w:rsid w:val="00A461B7"/>
    <w:rsid w:val="00A766FF"/>
    <w:rsid w:val="00A76BBF"/>
    <w:rsid w:val="00A835E7"/>
    <w:rsid w:val="00A92411"/>
    <w:rsid w:val="00AA6C5D"/>
    <w:rsid w:val="00AA718D"/>
    <w:rsid w:val="00AB4830"/>
    <w:rsid w:val="00AD110C"/>
    <w:rsid w:val="00AD2FA0"/>
    <w:rsid w:val="00AF3A8C"/>
    <w:rsid w:val="00AF7046"/>
    <w:rsid w:val="00AF7930"/>
    <w:rsid w:val="00B00276"/>
    <w:rsid w:val="00B052EF"/>
    <w:rsid w:val="00B061C5"/>
    <w:rsid w:val="00B07960"/>
    <w:rsid w:val="00B11B25"/>
    <w:rsid w:val="00B24DDD"/>
    <w:rsid w:val="00B25276"/>
    <w:rsid w:val="00B27C9E"/>
    <w:rsid w:val="00B31A13"/>
    <w:rsid w:val="00B34B99"/>
    <w:rsid w:val="00B35DE1"/>
    <w:rsid w:val="00B35E44"/>
    <w:rsid w:val="00B36702"/>
    <w:rsid w:val="00B36D87"/>
    <w:rsid w:val="00B42452"/>
    <w:rsid w:val="00B43339"/>
    <w:rsid w:val="00B50CF8"/>
    <w:rsid w:val="00B51D5F"/>
    <w:rsid w:val="00B537C9"/>
    <w:rsid w:val="00B539AD"/>
    <w:rsid w:val="00B54FA7"/>
    <w:rsid w:val="00B55DA7"/>
    <w:rsid w:val="00B6369C"/>
    <w:rsid w:val="00B64ECF"/>
    <w:rsid w:val="00B71565"/>
    <w:rsid w:val="00B71FDD"/>
    <w:rsid w:val="00B72499"/>
    <w:rsid w:val="00B73287"/>
    <w:rsid w:val="00B7336C"/>
    <w:rsid w:val="00B76231"/>
    <w:rsid w:val="00B779FE"/>
    <w:rsid w:val="00B875F5"/>
    <w:rsid w:val="00B87D83"/>
    <w:rsid w:val="00B94FBE"/>
    <w:rsid w:val="00B96E48"/>
    <w:rsid w:val="00BB0AC2"/>
    <w:rsid w:val="00BB1351"/>
    <w:rsid w:val="00BC0CB9"/>
    <w:rsid w:val="00BC2984"/>
    <w:rsid w:val="00BC32EE"/>
    <w:rsid w:val="00BC5940"/>
    <w:rsid w:val="00BD1440"/>
    <w:rsid w:val="00BD488F"/>
    <w:rsid w:val="00BD781C"/>
    <w:rsid w:val="00BE0B36"/>
    <w:rsid w:val="00BE34D0"/>
    <w:rsid w:val="00BE42AA"/>
    <w:rsid w:val="00BE5240"/>
    <w:rsid w:val="00BF1AD4"/>
    <w:rsid w:val="00BF2A05"/>
    <w:rsid w:val="00C05963"/>
    <w:rsid w:val="00C11B40"/>
    <w:rsid w:val="00C14AB2"/>
    <w:rsid w:val="00C21046"/>
    <w:rsid w:val="00C22850"/>
    <w:rsid w:val="00C26343"/>
    <w:rsid w:val="00C308B3"/>
    <w:rsid w:val="00C47B91"/>
    <w:rsid w:val="00C50FDC"/>
    <w:rsid w:val="00C52D15"/>
    <w:rsid w:val="00C53AAE"/>
    <w:rsid w:val="00C553E6"/>
    <w:rsid w:val="00C60EF5"/>
    <w:rsid w:val="00C6597A"/>
    <w:rsid w:val="00C67857"/>
    <w:rsid w:val="00C722FC"/>
    <w:rsid w:val="00C729A2"/>
    <w:rsid w:val="00C76D0F"/>
    <w:rsid w:val="00C855D2"/>
    <w:rsid w:val="00C85C6C"/>
    <w:rsid w:val="00C862AE"/>
    <w:rsid w:val="00C95A7F"/>
    <w:rsid w:val="00C97427"/>
    <w:rsid w:val="00CA0CEC"/>
    <w:rsid w:val="00CA2D46"/>
    <w:rsid w:val="00CB174A"/>
    <w:rsid w:val="00CB26FF"/>
    <w:rsid w:val="00CB3B42"/>
    <w:rsid w:val="00CB68B1"/>
    <w:rsid w:val="00CB72BE"/>
    <w:rsid w:val="00CB7A68"/>
    <w:rsid w:val="00CC0889"/>
    <w:rsid w:val="00CC15FB"/>
    <w:rsid w:val="00CC17B9"/>
    <w:rsid w:val="00CC3F91"/>
    <w:rsid w:val="00CC4E5C"/>
    <w:rsid w:val="00CC7C00"/>
    <w:rsid w:val="00CD59FD"/>
    <w:rsid w:val="00CF0770"/>
    <w:rsid w:val="00CF7391"/>
    <w:rsid w:val="00D01B75"/>
    <w:rsid w:val="00D03C19"/>
    <w:rsid w:val="00D04260"/>
    <w:rsid w:val="00D07B57"/>
    <w:rsid w:val="00D106F5"/>
    <w:rsid w:val="00D15B88"/>
    <w:rsid w:val="00D2003D"/>
    <w:rsid w:val="00D209CD"/>
    <w:rsid w:val="00D211DE"/>
    <w:rsid w:val="00D22464"/>
    <w:rsid w:val="00D23B48"/>
    <w:rsid w:val="00D254CA"/>
    <w:rsid w:val="00D260FC"/>
    <w:rsid w:val="00D30E1A"/>
    <w:rsid w:val="00D350AB"/>
    <w:rsid w:val="00D44438"/>
    <w:rsid w:val="00D448F4"/>
    <w:rsid w:val="00D46C29"/>
    <w:rsid w:val="00D60CD7"/>
    <w:rsid w:val="00D716D3"/>
    <w:rsid w:val="00D72862"/>
    <w:rsid w:val="00D728F4"/>
    <w:rsid w:val="00D75DFF"/>
    <w:rsid w:val="00D77328"/>
    <w:rsid w:val="00D83C5C"/>
    <w:rsid w:val="00D872D2"/>
    <w:rsid w:val="00D92223"/>
    <w:rsid w:val="00D931FB"/>
    <w:rsid w:val="00DA0722"/>
    <w:rsid w:val="00DB2997"/>
    <w:rsid w:val="00DB2EDB"/>
    <w:rsid w:val="00DB6344"/>
    <w:rsid w:val="00DC0710"/>
    <w:rsid w:val="00DC76CF"/>
    <w:rsid w:val="00DD0A37"/>
    <w:rsid w:val="00DD2DF8"/>
    <w:rsid w:val="00DD39C9"/>
    <w:rsid w:val="00DD3A20"/>
    <w:rsid w:val="00DE3D26"/>
    <w:rsid w:val="00DE496E"/>
    <w:rsid w:val="00DE6A77"/>
    <w:rsid w:val="00DE7900"/>
    <w:rsid w:val="00DF2AAD"/>
    <w:rsid w:val="00DF2BE9"/>
    <w:rsid w:val="00DF6335"/>
    <w:rsid w:val="00E031CA"/>
    <w:rsid w:val="00E03858"/>
    <w:rsid w:val="00E15CB0"/>
    <w:rsid w:val="00E16168"/>
    <w:rsid w:val="00E1740A"/>
    <w:rsid w:val="00E201EC"/>
    <w:rsid w:val="00E20465"/>
    <w:rsid w:val="00E206DF"/>
    <w:rsid w:val="00E24CBB"/>
    <w:rsid w:val="00E27EA1"/>
    <w:rsid w:val="00E3018F"/>
    <w:rsid w:val="00E31121"/>
    <w:rsid w:val="00E31931"/>
    <w:rsid w:val="00E31ED0"/>
    <w:rsid w:val="00E353B9"/>
    <w:rsid w:val="00E4146B"/>
    <w:rsid w:val="00E42823"/>
    <w:rsid w:val="00E56016"/>
    <w:rsid w:val="00E564C1"/>
    <w:rsid w:val="00E56CF4"/>
    <w:rsid w:val="00E61894"/>
    <w:rsid w:val="00E90349"/>
    <w:rsid w:val="00E91D41"/>
    <w:rsid w:val="00E95EA7"/>
    <w:rsid w:val="00EA7A0E"/>
    <w:rsid w:val="00EB5272"/>
    <w:rsid w:val="00EC09A9"/>
    <w:rsid w:val="00EC43B2"/>
    <w:rsid w:val="00EC50E0"/>
    <w:rsid w:val="00EC7200"/>
    <w:rsid w:val="00ED2BED"/>
    <w:rsid w:val="00ED73C6"/>
    <w:rsid w:val="00EE002A"/>
    <w:rsid w:val="00EE2D6C"/>
    <w:rsid w:val="00EE52FF"/>
    <w:rsid w:val="00EF490D"/>
    <w:rsid w:val="00EF4A8A"/>
    <w:rsid w:val="00EF50EF"/>
    <w:rsid w:val="00F008A4"/>
    <w:rsid w:val="00F00AFA"/>
    <w:rsid w:val="00F01978"/>
    <w:rsid w:val="00F06226"/>
    <w:rsid w:val="00F11565"/>
    <w:rsid w:val="00F14032"/>
    <w:rsid w:val="00F1616C"/>
    <w:rsid w:val="00F20C82"/>
    <w:rsid w:val="00F20FF6"/>
    <w:rsid w:val="00F25D51"/>
    <w:rsid w:val="00F422F5"/>
    <w:rsid w:val="00F42AB3"/>
    <w:rsid w:val="00F43794"/>
    <w:rsid w:val="00F452AB"/>
    <w:rsid w:val="00F5006C"/>
    <w:rsid w:val="00F509C6"/>
    <w:rsid w:val="00F55DE6"/>
    <w:rsid w:val="00F6416F"/>
    <w:rsid w:val="00F641CC"/>
    <w:rsid w:val="00F758EE"/>
    <w:rsid w:val="00F75A65"/>
    <w:rsid w:val="00F765DA"/>
    <w:rsid w:val="00F81A5B"/>
    <w:rsid w:val="00F81D5A"/>
    <w:rsid w:val="00F81E4F"/>
    <w:rsid w:val="00F85C40"/>
    <w:rsid w:val="00F86313"/>
    <w:rsid w:val="00F87E64"/>
    <w:rsid w:val="00F938D4"/>
    <w:rsid w:val="00FA71B3"/>
    <w:rsid w:val="00FA7D1C"/>
    <w:rsid w:val="00FB0EA8"/>
    <w:rsid w:val="00FB3AF1"/>
    <w:rsid w:val="00FB3F73"/>
    <w:rsid w:val="00FB4375"/>
    <w:rsid w:val="00FB5FF5"/>
    <w:rsid w:val="00FC13DD"/>
    <w:rsid w:val="00FC1F78"/>
    <w:rsid w:val="00FC67EA"/>
    <w:rsid w:val="00FC7AE5"/>
    <w:rsid w:val="00FE253F"/>
    <w:rsid w:val="00FE44B1"/>
    <w:rsid w:val="00FF1559"/>
    <w:rsid w:val="00FF2994"/>
    <w:rsid w:val="00FF32DC"/>
    <w:rsid w:val="00FF49B6"/>
    <w:rsid w:val="00FF7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A77"/>
  </w:style>
  <w:style w:type="paragraph" w:styleId="Heading1">
    <w:name w:val="heading 1"/>
    <w:basedOn w:val="Normal"/>
    <w:next w:val="Normal"/>
    <w:qFormat/>
    <w:rsid w:val="00DE6A77"/>
    <w:pPr>
      <w:keepNext/>
      <w:spacing w:line="360" w:lineRule="auto"/>
      <w:outlineLvl w:val="0"/>
    </w:pPr>
    <w:rPr>
      <w:b/>
      <w:sz w:val="26"/>
    </w:rPr>
  </w:style>
  <w:style w:type="paragraph" w:styleId="Heading2">
    <w:name w:val="heading 2"/>
    <w:basedOn w:val="Normal"/>
    <w:next w:val="Normal"/>
    <w:qFormat/>
    <w:rsid w:val="00DE6A77"/>
    <w:pPr>
      <w:keepNext/>
      <w:spacing w:line="360" w:lineRule="auto"/>
      <w:outlineLvl w:val="1"/>
    </w:pPr>
    <w:rPr>
      <w:sz w:val="26"/>
    </w:rPr>
  </w:style>
  <w:style w:type="paragraph" w:styleId="Heading3">
    <w:name w:val="heading 3"/>
    <w:basedOn w:val="Normal"/>
    <w:next w:val="Normal"/>
    <w:qFormat/>
    <w:rsid w:val="00DE6A77"/>
    <w:pPr>
      <w:keepNext/>
      <w:keepLines/>
      <w:spacing w:line="360" w:lineRule="auto"/>
      <w:jc w:val="center"/>
      <w:outlineLvl w:val="2"/>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A77"/>
  </w:style>
  <w:style w:type="character" w:styleId="FootnoteReference">
    <w:name w:val="footnote reference"/>
    <w:basedOn w:val="DefaultParagraphFont"/>
    <w:semiHidden/>
    <w:rsid w:val="00DE6A77"/>
    <w:rPr>
      <w:vertAlign w:val="superscript"/>
    </w:rPr>
  </w:style>
  <w:style w:type="paragraph" w:styleId="Footer">
    <w:name w:val="footer"/>
    <w:basedOn w:val="Normal"/>
    <w:rsid w:val="00DE6A77"/>
    <w:pPr>
      <w:tabs>
        <w:tab w:val="center" w:pos="4320"/>
        <w:tab w:val="right" w:pos="8640"/>
      </w:tabs>
    </w:pPr>
  </w:style>
  <w:style w:type="character" w:styleId="PageNumber">
    <w:name w:val="page number"/>
    <w:basedOn w:val="DefaultParagraphFont"/>
    <w:rsid w:val="00DE6A77"/>
  </w:style>
  <w:style w:type="paragraph" w:styleId="Header">
    <w:name w:val="header"/>
    <w:basedOn w:val="Normal"/>
    <w:rsid w:val="00DE6A77"/>
    <w:pPr>
      <w:tabs>
        <w:tab w:val="center" w:pos="4320"/>
        <w:tab w:val="right" w:pos="8640"/>
      </w:tabs>
    </w:pPr>
  </w:style>
  <w:style w:type="paragraph" w:styleId="BodyText">
    <w:name w:val="Body Text"/>
    <w:basedOn w:val="Normal"/>
    <w:link w:val="BodyTextChar"/>
    <w:rsid w:val="00DE6A77"/>
    <w:pPr>
      <w:spacing w:line="360" w:lineRule="auto"/>
    </w:pPr>
    <w:rPr>
      <w:sz w:val="26"/>
    </w:rPr>
  </w:style>
  <w:style w:type="paragraph" w:styleId="BalloonText">
    <w:name w:val="Balloon Text"/>
    <w:basedOn w:val="Normal"/>
    <w:link w:val="BalloonTextChar"/>
    <w:rsid w:val="00CC3F91"/>
    <w:rPr>
      <w:rFonts w:ascii="Tahoma" w:hAnsi="Tahoma" w:cs="Tahoma"/>
      <w:sz w:val="16"/>
      <w:szCs w:val="16"/>
    </w:rPr>
  </w:style>
  <w:style w:type="character" w:customStyle="1" w:styleId="BalloonTextChar">
    <w:name w:val="Balloon Text Char"/>
    <w:basedOn w:val="DefaultParagraphFont"/>
    <w:link w:val="BalloonText"/>
    <w:rsid w:val="00CC3F91"/>
    <w:rPr>
      <w:rFonts w:ascii="Tahoma" w:hAnsi="Tahoma" w:cs="Tahoma"/>
      <w:sz w:val="16"/>
      <w:szCs w:val="16"/>
    </w:rPr>
  </w:style>
  <w:style w:type="paragraph" w:styleId="Revision">
    <w:name w:val="Revision"/>
    <w:hidden/>
    <w:uiPriority w:val="99"/>
    <w:semiHidden/>
    <w:rsid w:val="00BC32EE"/>
  </w:style>
  <w:style w:type="character" w:customStyle="1" w:styleId="BodyTextChar">
    <w:name w:val="Body Text Char"/>
    <w:basedOn w:val="DefaultParagraphFont"/>
    <w:link w:val="BodyText"/>
    <w:rsid w:val="00246EC4"/>
    <w:rPr>
      <w:sz w:val="26"/>
    </w:rPr>
  </w:style>
</w:styles>
</file>

<file path=word/webSettings.xml><?xml version="1.0" encoding="utf-8"?>
<w:webSettings xmlns:r="http://schemas.openxmlformats.org/officeDocument/2006/relationships" xmlns:w="http://schemas.openxmlformats.org/wordprocessingml/2006/main">
  <w:divs>
    <w:div w:id="7477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OSA-0015; C-00881950.o; Borough of Leetsdale v. PennDOT &amp; Consolidated Rail</vt:lpstr>
    </vt:vector>
  </TitlesOfParts>
  <Company>PA PUC</Company>
  <LinksUpToDate>false</LinksUpToDate>
  <CharactersWithSpaces>13372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OSA-0015; C-00881950.o; Borough of Leetsdale v. PennDOT &amp; Consolidated Rail</dc:title>
  <dc:subject/>
  <dc:creator>KNEZEVICH</dc:creator>
  <cp:keywords/>
  <cp:lastModifiedBy>Administrator</cp:lastModifiedBy>
  <cp:revision>5</cp:revision>
  <cp:lastPrinted>2010-09-24T14:02:00Z</cp:lastPrinted>
  <dcterms:created xsi:type="dcterms:W3CDTF">2010-09-01T19:52:00Z</dcterms:created>
  <dcterms:modified xsi:type="dcterms:W3CDTF">2010-09-24T14:02:00Z</dcterms:modified>
</cp:coreProperties>
</file>