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90" w:type="dxa"/>
        <w:tblInd w:w="-702" w:type="dxa"/>
        <w:tblLayout w:type="fixed"/>
        <w:tblLook w:val="0000"/>
      </w:tblPr>
      <w:tblGrid>
        <w:gridCol w:w="1363"/>
        <w:gridCol w:w="8087"/>
        <w:gridCol w:w="1440"/>
      </w:tblGrid>
      <w:tr w:rsidR="00C74A51">
        <w:trPr>
          <w:trHeight w:val="990"/>
        </w:trPr>
        <w:tc>
          <w:tcPr>
            <w:tcW w:w="1363" w:type="dxa"/>
          </w:tcPr>
          <w:p w:rsidR="00C74A51" w:rsidRDefault="00E23926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87" w:type="dxa"/>
          </w:tcPr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40" w:type="dxa"/>
          </w:tcPr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  <w:p w:rsidR="003569E8" w:rsidRPr="00E23926" w:rsidRDefault="003569E8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C74A51" w:rsidRDefault="00C74A51">
      <w:pPr>
        <w:rPr>
          <w:sz w:val="24"/>
        </w:rPr>
        <w:sectPr w:rsidR="00C74A51" w:rsidSect="009E40EC">
          <w:footerReference w:type="even" r:id="rId9"/>
          <w:footerReference w:type="default" r:id="rId10"/>
          <w:footerReference w:type="first" r:id="rId11"/>
          <w:pgSz w:w="12240" w:h="15840"/>
          <w:pgMar w:top="504" w:right="1440" w:bottom="1440" w:left="1440" w:header="720" w:footer="720" w:gutter="0"/>
          <w:cols w:space="720"/>
          <w:titlePg/>
        </w:sectPr>
      </w:pPr>
    </w:p>
    <w:p w:rsidR="005E1DF8" w:rsidRPr="005E1DF8" w:rsidRDefault="005E1DF8" w:rsidP="00FA0E37">
      <w:pPr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September 2</w:t>
      </w:r>
      <w:r w:rsidR="003F0BA3">
        <w:rPr>
          <w:sz w:val="26"/>
          <w:szCs w:val="26"/>
        </w:rPr>
        <w:t>8</w:t>
      </w:r>
      <w:r>
        <w:rPr>
          <w:sz w:val="26"/>
          <w:szCs w:val="26"/>
        </w:rPr>
        <w:t>, 2010</w:t>
      </w:r>
    </w:p>
    <w:p w:rsidR="001E1BF3" w:rsidRDefault="001E1BF3" w:rsidP="00FA0E37">
      <w:pPr>
        <w:jc w:val="center"/>
        <w:rPr>
          <w:b/>
          <w:sz w:val="26"/>
          <w:szCs w:val="26"/>
        </w:rPr>
      </w:pPr>
    </w:p>
    <w:p w:rsidR="001E1BF3" w:rsidRPr="009E40EC" w:rsidRDefault="001E1BF3" w:rsidP="00FA0E37">
      <w:pPr>
        <w:jc w:val="center"/>
        <w:rPr>
          <w:b/>
          <w:sz w:val="26"/>
          <w:szCs w:val="26"/>
        </w:rPr>
      </w:pPr>
    </w:p>
    <w:p w:rsidR="00BE4A72" w:rsidRDefault="00E23926" w:rsidP="00BE4A72">
      <w:pPr>
        <w:rPr>
          <w:sz w:val="26"/>
          <w:szCs w:val="26"/>
        </w:rPr>
      </w:pPr>
      <w:r w:rsidRPr="00B2209E">
        <w:rPr>
          <w:sz w:val="26"/>
          <w:szCs w:val="26"/>
        </w:rPr>
        <w:t>TO ALL INTERESTED PARTIES:</w:t>
      </w:r>
    </w:p>
    <w:p w:rsidR="00C90506" w:rsidRPr="009E40EC" w:rsidRDefault="00C90506" w:rsidP="00BE4A72">
      <w:pPr>
        <w:rPr>
          <w:sz w:val="26"/>
          <w:szCs w:val="26"/>
        </w:rPr>
      </w:pPr>
    </w:p>
    <w:p w:rsidR="00A94E6F" w:rsidRDefault="009B23D8" w:rsidP="00A94E6F">
      <w:pPr>
        <w:ind w:left="1440" w:hanging="720"/>
        <w:jc w:val="center"/>
        <w:rPr>
          <w:sz w:val="26"/>
          <w:szCs w:val="26"/>
        </w:rPr>
      </w:pPr>
      <w:r>
        <w:rPr>
          <w:sz w:val="26"/>
          <w:szCs w:val="26"/>
        </w:rPr>
        <w:t>Re:</w:t>
      </w:r>
      <w:r w:rsidR="00C77F29">
        <w:rPr>
          <w:sz w:val="26"/>
          <w:szCs w:val="26"/>
        </w:rPr>
        <w:tab/>
      </w:r>
      <w:r w:rsidR="00CD0FDC">
        <w:rPr>
          <w:sz w:val="26"/>
          <w:szCs w:val="26"/>
        </w:rPr>
        <w:t xml:space="preserve">Implementation of Act 129 of 2008 Phase </w:t>
      </w:r>
      <w:r w:rsidR="00A94E6F">
        <w:rPr>
          <w:sz w:val="26"/>
          <w:szCs w:val="26"/>
        </w:rPr>
        <w:t xml:space="preserve">4 – </w:t>
      </w:r>
    </w:p>
    <w:p w:rsidR="00A94E6F" w:rsidRDefault="00A94E6F" w:rsidP="00A94E6F">
      <w:pPr>
        <w:ind w:left="1440" w:hanging="720"/>
        <w:jc w:val="center"/>
        <w:rPr>
          <w:sz w:val="26"/>
          <w:szCs w:val="26"/>
        </w:rPr>
      </w:pPr>
      <w:r>
        <w:rPr>
          <w:sz w:val="26"/>
          <w:szCs w:val="26"/>
        </w:rPr>
        <w:t>Relating to the Alternative Energy Portfolio Standards Act</w:t>
      </w:r>
    </w:p>
    <w:p w:rsidR="00CD0FDC" w:rsidRDefault="00CD0FDC" w:rsidP="00A94E6F">
      <w:pPr>
        <w:ind w:left="1440" w:hanging="720"/>
        <w:jc w:val="center"/>
        <w:rPr>
          <w:sz w:val="26"/>
          <w:szCs w:val="26"/>
        </w:rPr>
      </w:pPr>
      <w:r>
        <w:rPr>
          <w:sz w:val="26"/>
          <w:szCs w:val="26"/>
        </w:rPr>
        <w:t>Docket No. M-2009-2093383</w:t>
      </w:r>
    </w:p>
    <w:p w:rsidR="00C90506" w:rsidRDefault="00C90506" w:rsidP="009E40EC">
      <w:pPr>
        <w:rPr>
          <w:sz w:val="26"/>
          <w:szCs w:val="26"/>
        </w:rPr>
      </w:pPr>
    </w:p>
    <w:p w:rsidR="00C90506" w:rsidRPr="00BE4A72" w:rsidRDefault="00C90506" w:rsidP="009E40EC">
      <w:pPr>
        <w:rPr>
          <w:sz w:val="26"/>
          <w:szCs w:val="26"/>
        </w:rPr>
      </w:pPr>
    </w:p>
    <w:p w:rsidR="00BE4A72" w:rsidRDefault="0000221E" w:rsidP="00BE4A72">
      <w:pPr>
        <w:rPr>
          <w:sz w:val="26"/>
          <w:szCs w:val="26"/>
        </w:rPr>
      </w:pPr>
      <w:r>
        <w:rPr>
          <w:sz w:val="26"/>
          <w:szCs w:val="26"/>
        </w:rPr>
        <w:tab/>
      </w:r>
      <w:r w:rsidR="00026B9B">
        <w:rPr>
          <w:sz w:val="26"/>
          <w:szCs w:val="26"/>
        </w:rPr>
        <w:t>On May 28, 2009, the Pennsylvania Public Utility Commission (Commission) adopted</w:t>
      </w:r>
      <w:r w:rsidR="00F5640A">
        <w:rPr>
          <w:sz w:val="26"/>
          <w:szCs w:val="26"/>
        </w:rPr>
        <w:t xml:space="preserve"> a Final Order establishing the procedures and guidelines related to the quarterly adjustment of the Tier I </w:t>
      </w:r>
      <w:r w:rsidR="00026B9B">
        <w:rPr>
          <w:sz w:val="26"/>
          <w:szCs w:val="26"/>
        </w:rPr>
        <w:t xml:space="preserve">Alternative Energy Portfolio Standards Act (AEPS Act) </w:t>
      </w:r>
      <w:r w:rsidR="00F5640A">
        <w:rPr>
          <w:sz w:val="26"/>
          <w:szCs w:val="26"/>
        </w:rPr>
        <w:t>requirements</w:t>
      </w:r>
      <w:r w:rsidR="00026B9B">
        <w:rPr>
          <w:sz w:val="26"/>
          <w:szCs w:val="26"/>
        </w:rPr>
        <w:t>.</w:t>
      </w:r>
      <w:r w:rsidR="00026B9B">
        <w:rPr>
          <w:rStyle w:val="FootnoteReference"/>
          <w:sz w:val="26"/>
          <w:szCs w:val="26"/>
        </w:rPr>
        <w:footnoteReference w:id="1"/>
      </w:r>
      <w:r w:rsidR="00026B9B">
        <w:rPr>
          <w:sz w:val="26"/>
          <w:szCs w:val="26"/>
        </w:rPr>
        <w:t xml:space="preserve"> </w:t>
      </w:r>
      <w:r w:rsidR="002326FD">
        <w:rPr>
          <w:sz w:val="26"/>
          <w:szCs w:val="26"/>
        </w:rPr>
        <w:t xml:space="preserve"> </w:t>
      </w:r>
      <w:r w:rsidR="00111D7A">
        <w:rPr>
          <w:sz w:val="26"/>
          <w:szCs w:val="26"/>
        </w:rPr>
        <w:t xml:space="preserve">In that Order, the Commission </w:t>
      </w:r>
      <w:r w:rsidR="002326FD">
        <w:rPr>
          <w:sz w:val="26"/>
          <w:szCs w:val="26"/>
        </w:rPr>
        <w:t xml:space="preserve">directed all electric distribution companies (EDCs) and electric generation suppliers (EGSs) with an </w:t>
      </w:r>
      <w:r w:rsidR="00111D7A">
        <w:rPr>
          <w:sz w:val="26"/>
          <w:szCs w:val="26"/>
        </w:rPr>
        <w:t xml:space="preserve">AEPS Act </w:t>
      </w:r>
      <w:r w:rsidR="002326FD">
        <w:rPr>
          <w:sz w:val="26"/>
          <w:szCs w:val="26"/>
        </w:rPr>
        <w:t>compliance obligation to report monthly sales data to the Alternative Energy Credit Program Administrator (Program Administrator)</w:t>
      </w:r>
      <w:r w:rsidR="00111D7A">
        <w:rPr>
          <w:sz w:val="26"/>
          <w:szCs w:val="26"/>
        </w:rPr>
        <w:t xml:space="preserve"> on a quarterly basis.</w:t>
      </w:r>
      <w:r w:rsidR="00111D7A">
        <w:rPr>
          <w:rStyle w:val="FootnoteReference"/>
          <w:sz w:val="26"/>
          <w:szCs w:val="26"/>
        </w:rPr>
        <w:footnoteReference w:id="2"/>
      </w:r>
      <w:r w:rsidR="00111D7A">
        <w:rPr>
          <w:sz w:val="26"/>
          <w:szCs w:val="26"/>
        </w:rPr>
        <w:t xml:space="preserve">  This data was to be submitted by the Twentieth day after the end of each quarter.</w:t>
      </w:r>
      <w:r w:rsidR="00111D7A">
        <w:rPr>
          <w:rStyle w:val="FootnoteReference"/>
          <w:sz w:val="26"/>
          <w:szCs w:val="26"/>
        </w:rPr>
        <w:footnoteReference w:id="3"/>
      </w:r>
      <w:r w:rsidR="00A5263D">
        <w:rPr>
          <w:sz w:val="26"/>
          <w:szCs w:val="26"/>
        </w:rPr>
        <w:t xml:space="preserve">  With this Secretarial Letter, the Commission is revising this reporting schedule for EDCs and EGSs.</w:t>
      </w:r>
    </w:p>
    <w:p w:rsidR="00A5263D" w:rsidRDefault="00A5263D" w:rsidP="00BE4A72">
      <w:pPr>
        <w:rPr>
          <w:sz w:val="26"/>
          <w:szCs w:val="26"/>
        </w:rPr>
      </w:pPr>
    </w:p>
    <w:p w:rsidR="00A5263D" w:rsidRDefault="00A5263D" w:rsidP="00BE4A72">
      <w:pPr>
        <w:rPr>
          <w:sz w:val="26"/>
          <w:szCs w:val="26"/>
        </w:rPr>
      </w:pPr>
      <w:r>
        <w:rPr>
          <w:sz w:val="26"/>
          <w:szCs w:val="26"/>
        </w:rPr>
        <w:tab/>
        <w:t xml:space="preserve">The Commission notes that this past AEPS Act reporting period was the first year in which the Commission had to make quarterly adjustments to the Tier I requirements.  This initial year of implementing this new requirement has revealed </w:t>
      </w:r>
      <w:r w:rsidR="00774136">
        <w:rPr>
          <w:sz w:val="26"/>
          <w:szCs w:val="26"/>
        </w:rPr>
        <w:t xml:space="preserve">some unanticipated problems and difficulties encountered by EGSs </w:t>
      </w:r>
      <w:r w:rsidR="00442D19">
        <w:rPr>
          <w:sz w:val="26"/>
          <w:szCs w:val="26"/>
        </w:rPr>
        <w:t xml:space="preserve">and EDCs </w:t>
      </w:r>
      <w:r w:rsidR="00942E5E">
        <w:rPr>
          <w:sz w:val="26"/>
          <w:szCs w:val="26"/>
        </w:rPr>
        <w:t xml:space="preserve">in obtaining and reporting </w:t>
      </w:r>
      <w:r w:rsidR="00A20C12">
        <w:rPr>
          <w:sz w:val="26"/>
          <w:szCs w:val="26"/>
        </w:rPr>
        <w:t xml:space="preserve">reasonably </w:t>
      </w:r>
      <w:r w:rsidR="00942E5E">
        <w:rPr>
          <w:sz w:val="26"/>
          <w:szCs w:val="26"/>
        </w:rPr>
        <w:t>accurate retail sales dat</w:t>
      </w:r>
      <w:r w:rsidR="00A20C12">
        <w:rPr>
          <w:sz w:val="26"/>
          <w:szCs w:val="26"/>
        </w:rPr>
        <w:t>a</w:t>
      </w:r>
      <w:r w:rsidR="00942E5E">
        <w:rPr>
          <w:sz w:val="26"/>
          <w:szCs w:val="26"/>
        </w:rPr>
        <w:t xml:space="preserve"> within this time frame.  </w:t>
      </w:r>
      <w:r w:rsidR="00A20C12">
        <w:rPr>
          <w:sz w:val="26"/>
          <w:szCs w:val="26"/>
        </w:rPr>
        <w:t>To facilitate the reporting of reasonably accurate EGS sales data to obtain an accurate quarterly adjustment, the Commission is revising the EDC and EGS quarterly reporting schedule as follows:</w:t>
      </w:r>
    </w:p>
    <w:p w:rsidR="00A20C12" w:rsidRDefault="00A20C12" w:rsidP="00BE4A72">
      <w:pPr>
        <w:rPr>
          <w:sz w:val="26"/>
          <w:szCs w:val="26"/>
        </w:rPr>
      </w:pPr>
    </w:p>
    <w:p w:rsidR="00A20C12" w:rsidRPr="00A20C12" w:rsidRDefault="00031795" w:rsidP="00A20C12">
      <w:pPr>
        <w:numPr>
          <w:ilvl w:val="0"/>
          <w:numId w:val="10"/>
        </w:numPr>
        <w:rPr>
          <w:sz w:val="26"/>
          <w:szCs w:val="26"/>
        </w:rPr>
      </w:pPr>
      <w:r>
        <w:rPr>
          <w:sz w:val="26"/>
          <w:szCs w:val="26"/>
        </w:rPr>
        <w:t>EDCs and EGSs</w:t>
      </w:r>
      <w:r w:rsidR="00A20C12" w:rsidRPr="00A20C12">
        <w:rPr>
          <w:sz w:val="26"/>
          <w:szCs w:val="26"/>
        </w:rPr>
        <w:t xml:space="preserve"> will have up to</w:t>
      </w:r>
      <w:r w:rsidR="00A20C12" w:rsidRPr="00A20C12">
        <w:rPr>
          <w:b/>
          <w:bCs/>
          <w:sz w:val="26"/>
          <w:szCs w:val="26"/>
        </w:rPr>
        <w:t xml:space="preserve"> 60 days</w:t>
      </w:r>
      <w:r w:rsidR="00A20C12" w:rsidRPr="00A20C12">
        <w:rPr>
          <w:sz w:val="26"/>
          <w:szCs w:val="26"/>
        </w:rPr>
        <w:t xml:space="preserve"> to report </w:t>
      </w:r>
      <w:r w:rsidR="00AB497F">
        <w:rPr>
          <w:sz w:val="26"/>
          <w:szCs w:val="26"/>
        </w:rPr>
        <w:t>their</w:t>
      </w:r>
      <w:r w:rsidR="00A20C12" w:rsidRPr="00A20C12">
        <w:rPr>
          <w:sz w:val="26"/>
          <w:szCs w:val="26"/>
        </w:rPr>
        <w:t xml:space="preserve"> monthly sales data after the close of a quarter. This will alter the </w:t>
      </w:r>
      <w:r w:rsidR="00AB497F">
        <w:rPr>
          <w:sz w:val="26"/>
          <w:szCs w:val="26"/>
        </w:rPr>
        <w:t xml:space="preserve">reporting </w:t>
      </w:r>
      <w:r w:rsidR="00A20C12" w:rsidRPr="00A20C12">
        <w:rPr>
          <w:sz w:val="26"/>
          <w:szCs w:val="26"/>
        </w:rPr>
        <w:t>schedule as follows:</w:t>
      </w:r>
    </w:p>
    <w:p w:rsidR="00A20C12" w:rsidRPr="00A20C12" w:rsidRDefault="00A20C12" w:rsidP="00A20C12">
      <w:pPr>
        <w:rPr>
          <w:sz w:val="26"/>
          <w:szCs w:val="26"/>
        </w:rPr>
      </w:pPr>
    </w:p>
    <w:p w:rsidR="00A20C12" w:rsidRPr="00A20C12" w:rsidRDefault="00A20C12" w:rsidP="00A20C12">
      <w:pPr>
        <w:ind w:left="720" w:firstLine="720"/>
        <w:rPr>
          <w:sz w:val="26"/>
          <w:szCs w:val="26"/>
        </w:rPr>
      </w:pPr>
      <w:r w:rsidRPr="00A20C12">
        <w:rPr>
          <w:b/>
          <w:bCs/>
          <w:sz w:val="26"/>
          <w:szCs w:val="26"/>
        </w:rPr>
        <w:t>Quarter 1</w:t>
      </w:r>
      <w:r w:rsidRPr="00A20C12">
        <w:rPr>
          <w:sz w:val="26"/>
          <w:szCs w:val="26"/>
        </w:rPr>
        <w:t xml:space="preserve"> Submission is due </w:t>
      </w:r>
      <w:r w:rsidRPr="00A20C12">
        <w:rPr>
          <w:b/>
          <w:bCs/>
          <w:sz w:val="26"/>
          <w:szCs w:val="26"/>
        </w:rPr>
        <w:t>Oct. 30th</w:t>
      </w:r>
    </w:p>
    <w:p w:rsidR="00A20C12" w:rsidRPr="00A20C12" w:rsidRDefault="00A20C12" w:rsidP="00A20C12">
      <w:pPr>
        <w:ind w:left="720" w:firstLine="720"/>
        <w:rPr>
          <w:sz w:val="26"/>
          <w:szCs w:val="26"/>
        </w:rPr>
      </w:pPr>
      <w:r w:rsidRPr="00A20C12">
        <w:rPr>
          <w:b/>
          <w:bCs/>
          <w:sz w:val="26"/>
          <w:szCs w:val="26"/>
        </w:rPr>
        <w:t>Quarter 2</w:t>
      </w:r>
      <w:r w:rsidRPr="00A20C12">
        <w:rPr>
          <w:sz w:val="26"/>
          <w:szCs w:val="26"/>
        </w:rPr>
        <w:t xml:space="preserve"> Submission is due </w:t>
      </w:r>
      <w:r w:rsidRPr="00A20C12">
        <w:rPr>
          <w:b/>
          <w:bCs/>
          <w:sz w:val="26"/>
          <w:szCs w:val="26"/>
        </w:rPr>
        <w:t>Jan. 30th</w:t>
      </w:r>
    </w:p>
    <w:p w:rsidR="00A20C12" w:rsidRPr="00A20C12" w:rsidRDefault="00A20C12" w:rsidP="00A20C12">
      <w:pPr>
        <w:ind w:left="720" w:firstLine="720"/>
        <w:rPr>
          <w:sz w:val="26"/>
          <w:szCs w:val="26"/>
        </w:rPr>
      </w:pPr>
      <w:r w:rsidRPr="00A20C12">
        <w:rPr>
          <w:b/>
          <w:bCs/>
          <w:sz w:val="26"/>
          <w:szCs w:val="26"/>
        </w:rPr>
        <w:t>Quarter 3</w:t>
      </w:r>
      <w:r w:rsidRPr="00A20C12">
        <w:rPr>
          <w:sz w:val="26"/>
          <w:szCs w:val="26"/>
        </w:rPr>
        <w:t xml:space="preserve"> Submission is due </w:t>
      </w:r>
      <w:r w:rsidRPr="00A20C12">
        <w:rPr>
          <w:b/>
          <w:bCs/>
          <w:sz w:val="26"/>
          <w:szCs w:val="26"/>
        </w:rPr>
        <w:t>April 30th</w:t>
      </w:r>
    </w:p>
    <w:p w:rsidR="00195546" w:rsidRDefault="00A20C12" w:rsidP="00AB497F">
      <w:pPr>
        <w:ind w:firstLine="1440"/>
        <w:rPr>
          <w:b/>
          <w:bCs/>
          <w:sz w:val="26"/>
          <w:szCs w:val="26"/>
        </w:rPr>
        <w:sectPr w:rsidR="00195546">
          <w:footerReference w:type="even" r:id="rId12"/>
          <w:footerReference w:type="default" r:id="rId13"/>
          <w:type w:val="continuous"/>
          <w:pgSz w:w="12240" w:h="15840"/>
          <w:pgMar w:top="504" w:right="1440" w:bottom="1440" w:left="1440" w:header="720" w:footer="720" w:gutter="0"/>
          <w:cols w:space="720"/>
        </w:sectPr>
      </w:pPr>
      <w:r w:rsidRPr="00A20C12">
        <w:rPr>
          <w:b/>
          <w:bCs/>
          <w:sz w:val="26"/>
          <w:szCs w:val="26"/>
        </w:rPr>
        <w:t>Quarter 4</w:t>
      </w:r>
      <w:r w:rsidRPr="00A20C12">
        <w:rPr>
          <w:sz w:val="26"/>
          <w:szCs w:val="26"/>
        </w:rPr>
        <w:t xml:space="preserve"> Submission is due </w:t>
      </w:r>
      <w:r w:rsidRPr="00A20C12">
        <w:rPr>
          <w:b/>
          <w:bCs/>
          <w:sz w:val="26"/>
          <w:szCs w:val="26"/>
        </w:rPr>
        <w:t>July 30th</w:t>
      </w:r>
    </w:p>
    <w:p w:rsidR="00A20C12" w:rsidRPr="00195546" w:rsidRDefault="0019426D" w:rsidP="00A20C12">
      <w:pPr>
        <w:numPr>
          <w:ilvl w:val="0"/>
          <w:numId w:val="11"/>
        </w:numPr>
        <w:rPr>
          <w:sz w:val="26"/>
          <w:szCs w:val="26"/>
        </w:rPr>
      </w:pPr>
      <w:r>
        <w:rPr>
          <w:sz w:val="26"/>
          <w:szCs w:val="26"/>
        </w:rPr>
        <w:lastRenderedPageBreak/>
        <w:t>EDCs and EGSs shall</w:t>
      </w:r>
      <w:r w:rsidR="00A20C12" w:rsidRPr="00195546">
        <w:rPr>
          <w:sz w:val="26"/>
          <w:szCs w:val="26"/>
        </w:rPr>
        <w:t xml:space="preserve"> use </w:t>
      </w:r>
      <w:r w:rsidR="00A20C12" w:rsidRPr="00195546">
        <w:rPr>
          <w:b/>
          <w:bCs/>
          <w:sz w:val="26"/>
          <w:szCs w:val="26"/>
        </w:rPr>
        <w:t>RTO market settlement data</w:t>
      </w:r>
      <w:r w:rsidR="00A20C12" w:rsidRPr="00195546">
        <w:rPr>
          <w:sz w:val="26"/>
          <w:szCs w:val="26"/>
        </w:rPr>
        <w:t xml:space="preserve"> to report the </w:t>
      </w:r>
      <w:r w:rsidR="00142748" w:rsidRPr="00195546">
        <w:rPr>
          <w:sz w:val="26"/>
          <w:szCs w:val="26"/>
        </w:rPr>
        <w:t xml:space="preserve">monthly </w:t>
      </w:r>
      <w:r w:rsidR="00A20C12" w:rsidRPr="00195546">
        <w:rPr>
          <w:sz w:val="26"/>
          <w:szCs w:val="26"/>
        </w:rPr>
        <w:t xml:space="preserve">sales data. </w:t>
      </w:r>
      <w:r w:rsidR="00142748" w:rsidRPr="0019554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This data will be used to make a tentative Tier I requirements adjustment in each quarter.  </w:t>
      </w:r>
      <w:r w:rsidR="00A20C12" w:rsidRPr="00195546">
        <w:rPr>
          <w:sz w:val="26"/>
          <w:szCs w:val="26"/>
        </w:rPr>
        <w:t xml:space="preserve">The </w:t>
      </w:r>
      <w:r w:rsidR="00142748" w:rsidRPr="00195546">
        <w:rPr>
          <w:sz w:val="26"/>
          <w:szCs w:val="26"/>
        </w:rPr>
        <w:t>Commission</w:t>
      </w:r>
      <w:r w:rsidR="00A20C12" w:rsidRPr="00195546">
        <w:rPr>
          <w:sz w:val="26"/>
          <w:szCs w:val="26"/>
        </w:rPr>
        <w:t xml:space="preserve"> recognizes that this data includes line losses</w:t>
      </w:r>
      <w:r w:rsidR="00CA2448">
        <w:rPr>
          <w:sz w:val="26"/>
          <w:szCs w:val="26"/>
        </w:rPr>
        <w:t xml:space="preserve">.  The Commission </w:t>
      </w:r>
      <w:r w:rsidR="00142748" w:rsidRPr="00195546">
        <w:rPr>
          <w:sz w:val="26"/>
          <w:szCs w:val="26"/>
        </w:rPr>
        <w:t xml:space="preserve">will </w:t>
      </w:r>
      <w:r w:rsidR="00CA2448">
        <w:rPr>
          <w:sz w:val="26"/>
          <w:szCs w:val="26"/>
        </w:rPr>
        <w:t>true-up the quarterly Tier I adjustments at the end of AEPS Act reporting year, when more accurate retail sales data without line losses can be determined.</w:t>
      </w:r>
      <w:r w:rsidR="00CA2448">
        <w:rPr>
          <w:bCs/>
          <w:sz w:val="26"/>
          <w:szCs w:val="26"/>
        </w:rPr>
        <w:t xml:space="preserve">  </w:t>
      </w:r>
    </w:p>
    <w:p w:rsidR="00A20C12" w:rsidRPr="00A20C12" w:rsidRDefault="00A20C12" w:rsidP="00A20C12">
      <w:pPr>
        <w:ind w:left="360"/>
        <w:rPr>
          <w:sz w:val="26"/>
          <w:szCs w:val="26"/>
        </w:rPr>
      </w:pPr>
    </w:p>
    <w:p w:rsidR="00A20C12" w:rsidRPr="00A20C12" w:rsidRDefault="00A20C12" w:rsidP="00A20C12">
      <w:pPr>
        <w:numPr>
          <w:ilvl w:val="0"/>
          <w:numId w:val="11"/>
        </w:numPr>
        <w:rPr>
          <w:sz w:val="26"/>
          <w:szCs w:val="26"/>
        </w:rPr>
      </w:pPr>
      <w:r w:rsidRPr="00A20C12">
        <w:rPr>
          <w:sz w:val="26"/>
          <w:szCs w:val="26"/>
        </w:rPr>
        <w:t xml:space="preserve">EDCs </w:t>
      </w:r>
      <w:r w:rsidR="0096632A">
        <w:rPr>
          <w:sz w:val="26"/>
          <w:szCs w:val="26"/>
        </w:rPr>
        <w:t>are requested to</w:t>
      </w:r>
      <w:r w:rsidRPr="00A20C12">
        <w:rPr>
          <w:sz w:val="26"/>
          <w:szCs w:val="26"/>
        </w:rPr>
        <w:t xml:space="preserve"> notify the administrator immediately </w:t>
      </w:r>
      <w:r w:rsidR="0096632A">
        <w:rPr>
          <w:sz w:val="26"/>
          <w:szCs w:val="26"/>
        </w:rPr>
        <w:t>if</w:t>
      </w:r>
      <w:r w:rsidRPr="00A20C12">
        <w:rPr>
          <w:sz w:val="26"/>
          <w:szCs w:val="26"/>
        </w:rPr>
        <w:t xml:space="preserve"> any EGS</w:t>
      </w:r>
      <w:r w:rsidR="0096632A">
        <w:rPr>
          <w:sz w:val="26"/>
          <w:szCs w:val="26"/>
        </w:rPr>
        <w:t xml:space="preserve"> </w:t>
      </w:r>
      <w:r w:rsidR="00CA2448">
        <w:rPr>
          <w:sz w:val="26"/>
          <w:szCs w:val="26"/>
        </w:rPr>
        <w:t xml:space="preserve">serving </w:t>
      </w:r>
      <w:r w:rsidR="00CA2448" w:rsidRPr="00A20C12">
        <w:rPr>
          <w:sz w:val="26"/>
          <w:szCs w:val="26"/>
        </w:rPr>
        <w:t>in</w:t>
      </w:r>
      <w:r w:rsidRPr="00A20C12">
        <w:rPr>
          <w:sz w:val="26"/>
          <w:szCs w:val="26"/>
        </w:rPr>
        <w:t xml:space="preserve"> </w:t>
      </w:r>
      <w:r w:rsidR="0096632A">
        <w:rPr>
          <w:sz w:val="26"/>
          <w:szCs w:val="26"/>
        </w:rPr>
        <w:t>its</w:t>
      </w:r>
      <w:r w:rsidRPr="00A20C12">
        <w:rPr>
          <w:sz w:val="26"/>
          <w:szCs w:val="26"/>
        </w:rPr>
        <w:t xml:space="preserve"> service territory </w:t>
      </w:r>
      <w:r w:rsidR="0096632A">
        <w:rPr>
          <w:sz w:val="26"/>
          <w:szCs w:val="26"/>
        </w:rPr>
        <w:t>has</w:t>
      </w:r>
      <w:r w:rsidRPr="00A20C12">
        <w:rPr>
          <w:sz w:val="26"/>
          <w:szCs w:val="26"/>
        </w:rPr>
        <w:t xml:space="preserve"> not opened an account on the PAAEPS website. </w:t>
      </w:r>
      <w:r w:rsidR="0096632A">
        <w:rPr>
          <w:sz w:val="26"/>
          <w:szCs w:val="26"/>
        </w:rPr>
        <w:t xml:space="preserve"> This notification should contain</w:t>
      </w:r>
      <w:r w:rsidRPr="00A20C12">
        <w:rPr>
          <w:sz w:val="26"/>
          <w:szCs w:val="26"/>
        </w:rPr>
        <w:t xml:space="preserve"> </w:t>
      </w:r>
      <w:r w:rsidR="0096632A">
        <w:rPr>
          <w:sz w:val="26"/>
          <w:szCs w:val="26"/>
        </w:rPr>
        <w:t xml:space="preserve">known EGS </w:t>
      </w:r>
      <w:r w:rsidRPr="00A20C12">
        <w:rPr>
          <w:sz w:val="26"/>
          <w:szCs w:val="26"/>
        </w:rPr>
        <w:t xml:space="preserve">contact information so </w:t>
      </w:r>
      <w:r w:rsidR="0096632A">
        <w:rPr>
          <w:sz w:val="26"/>
          <w:szCs w:val="26"/>
        </w:rPr>
        <w:t xml:space="preserve">that the Program Administrator </w:t>
      </w:r>
      <w:r w:rsidRPr="00A20C12">
        <w:rPr>
          <w:sz w:val="26"/>
          <w:szCs w:val="26"/>
        </w:rPr>
        <w:t>may</w:t>
      </w:r>
      <w:r w:rsidR="0096632A">
        <w:rPr>
          <w:sz w:val="26"/>
          <w:szCs w:val="26"/>
        </w:rPr>
        <w:t xml:space="preserve"> contact the EGS and </w:t>
      </w:r>
      <w:r w:rsidRPr="00A20C12">
        <w:rPr>
          <w:sz w:val="26"/>
          <w:szCs w:val="26"/>
        </w:rPr>
        <w:t xml:space="preserve">assist </w:t>
      </w:r>
      <w:r w:rsidR="001048C8">
        <w:rPr>
          <w:sz w:val="26"/>
          <w:szCs w:val="26"/>
        </w:rPr>
        <w:t>the EGS in setting up such an account</w:t>
      </w:r>
      <w:r w:rsidRPr="00A20C12">
        <w:rPr>
          <w:sz w:val="26"/>
          <w:szCs w:val="26"/>
        </w:rPr>
        <w:t xml:space="preserve">. </w:t>
      </w:r>
      <w:r w:rsidR="001048C8">
        <w:rPr>
          <w:sz w:val="26"/>
          <w:szCs w:val="26"/>
        </w:rPr>
        <w:t xml:space="preserve"> Each EDC and EGS must have an account on the PAAEPS website </w:t>
      </w:r>
      <w:r w:rsidRPr="00A20C12">
        <w:rPr>
          <w:sz w:val="26"/>
          <w:szCs w:val="26"/>
        </w:rPr>
        <w:t>t</w:t>
      </w:r>
      <w:r w:rsidR="001048C8">
        <w:rPr>
          <w:sz w:val="26"/>
          <w:szCs w:val="26"/>
        </w:rPr>
        <w:t>o</w:t>
      </w:r>
      <w:r w:rsidRPr="00A20C12">
        <w:rPr>
          <w:sz w:val="26"/>
          <w:szCs w:val="26"/>
        </w:rPr>
        <w:t xml:space="preserve"> be able to enter sales data. </w:t>
      </w:r>
    </w:p>
    <w:p w:rsidR="00A20C12" w:rsidRPr="00A20C12" w:rsidRDefault="00A20C12" w:rsidP="00A20C12">
      <w:pPr>
        <w:rPr>
          <w:sz w:val="26"/>
          <w:szCs w:val="26"/>
        </w:rPr>
      </w:pPr>
    </w:p>
    <w:p w:rsidR="00A20C12" w:rsidRPr="00A20C12" w:rsidRDefault="00D55A7A" w:rsidP="001048C8">
      <w:pPr>
        <w:ind w:firstLine="720"/>
        <w:rPr>
          <w:sz w:val="26"/>
          <w:szCs w:val="26"/>
        </w:rPr>
      </w:pPr>
      <w:r>
        <w:rPr>
          <w:sz w:val="26"/>
          <w:szCs w:val="26"/>
        </w:rPr>
        <w:t xml:space="preserve">These new reporting requirements are temporary until appropriate reporting requirements are formalized in regulations.  </w:t>
      </w:r>
      <w:r w:rsidR="001048C8">
        <w:rPr>
          <w:sz w:val="26"/>
          <w:szCs w:val="26"/>
        </w:rPr>
        <w:t xml:space="preserve">The Commission anticipates updating its </w:t>
      </w:r>
      <w:r w:rsidR="002B37D7">
        <w:rPr>
          <w:sz w:val="26"/>
          <w:szCs w:val="26"/>
        </w:rPr>
        <w:t xml:space="preserve">AEPS Act </w:t>
      </w:r>
      <w:r w:rsidR="001048C8">
        <w:rPr>
          <w:sz w:val="26"/>
          <w:szCs w:val="26"/>
        </w:rPr>
        <w:t>regulations in the near future to include the quarterly adjustment procedures and</w:t>
      </w:r>
      <w:r w:rsidR="00195546" w:rsidRPr="00195546">
        <w:rPr>
          <w:sz w:val="26"/>
          <w:szCs w:val="26"/>
        </w:rPr>
        <w:t xml:space="preserve"> will be soliciting comments </w:t>
      </w:r>
      <w:r>
        <w:rPr>
          <w:sz w:val="26"/>
          <w:szCs w:val="26"/>
        </w:rPr>
        <w:t xml:space="preserve">on how to </w:t>
      </w:r>
      <w:r w:rsidR="00195546" w:rsidRPr="00195546">
        <w:rPr>
          <w:sz w:val="26"/>
          <w:szCs w:val="26"/>
        </w:rPr>
        <w:t>determin</w:t>
      </w:r>
      <w:r>
        <w:rPr>
          <w:sz w:val="26"/>
          <w:szCs w:val="26"/>
        </w:rPr>
        <w:t>e final retail sales data.</w:t>
      </w:r>
    </w:p>
    <w:p w:rsidR="00A20C12" w:rsidRPr="00A20C12" w:rsidRDefault="00A20C12" w:rsidP="00A20C12">
      <w:pPr>
        <w:ind w:firstLine="360"/>
        <w:rPr>
          <w:sz w:val="26"/>
          <w:szCs w:val="26"/>
        </w:rPr>
      </w:pPr>
    </w:p>
    <w:p w:rsidR="00A20C12" w:rsidRPr="00A20C12" w:rsidRDefault="002B37D7" w:rsidP="002B37D7">
      <w:pPr>
        <w:ind w:firstLine="360"/>
        <w:rPr>
          <w:sz w:val="26"/>
          <w:szCs w:val="26"/>
        </w:rPr>
      </w:pPr>
      <w:r>
        <w:rPr>
          <w:sz w:val="26"/>
          <w:szCs w:val="26"/>
        </w:rPr>
        <w:tab/>
      </w:r>
      <w:r w:rsidR="00A20C12" w:rsidRPr="00A20C12">
        <w:rPr>
          <w:sz w:val="26"/>
          <w:szCs w:val="26"/>
        </w:rPr>
        <w:t xml:space="preserve">If you have any questions regarding this temporary change in policy, please contact Scott Gebhardt at 717-425-2860 or </w:t>
      </w:r>
      <w:hyperlink r:id="rId14" w:history="1">
        <w:r w:rsidR="00A20C12" w:rsidRPr="00A20C12">
          <w:rPr>
            <w:rStyle w:val="Hyperlink"/>
            <w:sz w:val="26"/>
            <w:szCs w:val="26"/>
          </w:rPr>
          <w:t>sgebhardt@state.pa.us</w:t>
        </w:r>
      </w:hyperlink>
      <w:r w:rsidR="00A20C12" w:rsidRPr="00A20C12">
        <w:rPr>
          <w:sz w:val="26"/>
          <w:szCs w:val="26"/>
        </w:rPr>
        <w:t xml:space="preserve">.   The above is an interim </w:t>
      </w:r>
      <w:r w:rsidR="00F66053">
        <w:rPr>
          <w:sz w:val="26"/>
          <w:szCs w:val="26"/>
        </w:rPr>
        <w:t>adjustment</w:t>
      </w:r>
      <w:r w:rsidR="00A20C12" w:rsidRPr="00A20C12">
        <w:rPr>
          <w:sz w:val="26"/>
          <w:szCs w:val="26"/>
        </w:rPr>
        <w:t xml:space="preserve"> that will be utilized until a formal rulemaking can be created with your assistance and input.</w:t>
      </w:r>
    </w:p>
    <w:p w:rsidR="004D2698" w:rsidRPr="00A20C12" w:rsidRDefault="00C77F29" w:rsidP="00BE4A72">
      <w:pPr>
        <w:rPr>
          <w:sz w:val="26"/>
          <w:szCs w:val="26"/>
        </w:rPr>
      </w:pPr>
      <w:r w:rsidRPr="00A20C12">
        <w:rPr>
          <w:sz w:val="26"/>
          <w:szCs w:val="26"/>
        </w:rPr>
        <w:tab/>
        <w:t xml:space="preserve">  </w:t>
      </w:r>
    </w:p>
    <w:p w:rsidR="00BE4A72" w:rsidRDefault="00A94E6F" w:rsidP="00BE4A72">
      <w:pPr>
        <w:ind w:left="3600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2400300</wp:posOffset>
            </wp:positionH>
            <wp:positionV relativeFrom="paragraph">
              <wp:posOffset>53975</wp:posOffset>
            </wp:positionV>
            <wp:extent cx="2200275" cy="838200"/>
            <wp:effectExtent l="19050" t="0" r="9525" b="0"/>
            <wp:wrapNone/>
            <wp:docPr id="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E4A72" w:rsidRPr="00BE4A72">
        <w:rPr>
          <w:sz w:val="26"/>
          <w:szCs w:val="26"/>
        </w:rPr>
        <w:tab/>
        <w:t>Sincerely,</w:t>
      </w:r>
    </w:p>
    <w:p w:rsidR="00A94E6F" w:rsidRPr="00BE4A72" w:rsidRDefault="00A94E6F" w:rsidP="00BE4A72">
      <w:pPr>
        <w:ind w:left="3600"/>
        <w:rPr>
          <w:sz w:val="26"/>
          <w:szCs w:val="26"/>
        </w:rPr>
      </w:pPr>
    </w:p>
    <w:p w:rsidR="00BE4A72" w:rsidRPr="002B37D7" w:rsidRDefault="00BE4A72" w:rsidP="00BE4A72">
      <w:pPr>
        <w:ind w:left="3600"/>
        <w:rPr>
          <w:sz w:val="26"/>
          <w:szCs w:val="26"/>
        </w:rPr>
      </w:pPr>
    </w:p>
    <w:p w:rsidR="00BE4A72" w:rsidRPr="002B37D7" w:rsidRDefault="00BE4A72" w:rsidP="00BE4A72">
      <w:pPr>
        <w:ind w:left="3600"/>
        <w:rPr>
          <w:sz w:val="26"/>
          <w:szCs w:val="26"/>
        </w:rPr>
      </w:pPr>
    </w:p>
    <w:p w:rsidR="002B37D7" w:rsidRPr="002B37D7" w:rsidRDefault="00C77F29" w:rsidP="002B37D7">
      <w:pPr>
        <w:jc w:val="both"/>
        <w:rPr>
          <w:color w:val="000000"/>
          <w:sz w:val="26"/>
          <w:szCs w:val="26"/>
        </w:rPr>
      </w:pPr>
      <w:r w:rsidRPr="002B37D7">
        <w:rPr>
          <w:sz w:val="26"/>
          <w:szCs w:val="26"/>
        </w:rPr>
        <w:tab/>
      </w:r>
      <w:r w:rsidR="002B37D7" w:rsidRPr="002B37D7">
        <w:rPr>
          <w:sz w:val="26"/>
          <w:szCs w:val="26"/>
        </w:rPr>
        <w:tab/>
      </w:r>
      <w:r w:rsidR="002B37D7" w:rsidRPr="002B37D7">
        <w:rPr>
          <w:sz w:val="26"/>
          <w:szCs w:val="26"/>
        </w:rPr>
        <w:tab/>
      </w:r>
      <w:r w:rsidR="002B37D7" w:rsidRPr="002B37D7">
        <w:rPr>
          <w:sz w:val="26"/>
          <w:szCs w:val="26"/>
        </w:rPr>
        <w:tab/>
      </w:r>
      <w:r w:rsidR="002B37D7" w:rsidRPr="002B37D7">
        <w:rPr>
          <w:sz w:val="26"/>
          <w:szCs w:val="26"/>
        </w:rPr>
        <w:tab/>
      </w:r>
      <w:r w:rsidR="002B37D7" w:rsidRPr="002B37D7">
        <w:rPr>
          <w:sz w:val="26"/>
          <w:szCs w:val="26"/>
        </w:rPr>
        <w:tab/>
      </w:r>
      <w:r w:rsidR="002B37D7" w:rsidRPr="002B37D7">
        <w:rPr>
          <w:color w:val="000000"/>
          <w:sz w:val="26"/>
          <w:szCs w:val="26"/>
        </w:rPr>
        <w:t>Rosemary Chiavetta</w:t>
      </w:r>
    </w:p>
    <w:p w:rsidR="002B37D7" w:rsidRPr="002B37D7" w:rsidRDefault="002B37D7" w:rsidP="002B37D7">
      <w:pPr>
        <w:jc w:val="both"/>
        <w:rPr>
          <w:color w:val="000000"/>
          <w:sz w:val="26"/>
          <w:szCs w:val="26"/>
        </w:rPr>
      </w:pPr>
      <w:r w:rsidRPr="002B37D7">
        <w:rPr>
          <w:color w:val="000000"/>
          <w:sz w:val="26"/>
          <w:szCs w:val="26"/>
        </w:rPr>
        <w:tab/>
      </w:r>
      <w:r w:rsidRPr="002B37D7">
        <w:rPr>
          <w:color w:val="000000"/>
          <w:sz w:val="26"/>
          <w:szCs w:val="26"/>
        </w:rPr>
        <w:tab/>
      </w:r>
      <w:r w:rsidRPr="002B37D7">
        <w:rPr>
          <w:color w:val="000000"/>
          <w:sz w:val="26"/>
          <w:szCs w:val="26"/>
        </w:rPr>
        <w:tab/>
      </w:r>
      <w:r w:rsidRPr="002B37D7">
        <w:rPr>
          <w:color w:val="000000"/>
          <w:sz w:val="26"/>
          <w:szCs w:val="26"/>
        </w:rPr>
        <w:tab/>
      </w:r>
      <w:r w:rsidRPr="002B37D7">
        <w:rPr>
          <w:color w:val="000000"/>
          <w:sz w:val="26"/>
          <w:szCs w:val="26"/>
        </w:rPr>
        <w:tab/>
      </w:r>
      <w:r w:rsidRPr="002B37D7">
        <w:rPr>
          <w:color w:val="000000"/>
          <w:sz w:val="26"/>
          <w:szCs w:val="26"/>
        </w:rPr>
        <w:tab/>
        <w:t>Secretary</w:t>
      </w:r>
    </w:p>
    <w:p w:rsidR="002B37D7" w:rsidRPr="002B37D7" w:rsidRDefault="002B37D7" w:rsidP="002B37D7">
      <w:pPr>
        <w:jc w:val="both"/>
        <w:rPr>
          <w:sz w:val="26"/>
          <w:szCs w:val="26"/>
        </w:rPr>
      </w:pPr>
    </w:p>
    <w:p w:rsidR="002B37D7" w:rsidRPr="002B37D7" w:rsidRDefault="002B37D7" w:rsidP="002B37D7">
      <w:pPr>
        <w:jc w:val="both"/>
        <w:rPr>
          <w:sz w:val="26"/>
          <w:szCs w:val="26"/>
        </w:rPr>
      </w:pPr>
    </w:p>
    <w:p w:rsidR="002B37D7" w:rsidRPr="002B37D7" w:rsidRDefault="002B37D7" w:rsidP="002B37D7">
      <w:pPr>
        <w:jc w:val="both"/>
        <w:rPr>
          <w:sz w:val="26"/>
          <w:szCs w:val="26"/>
        </w:rPr>
      </w:pPr>
      <w:r w:rsidRPr="002B37D7">
        <w:rPr>
          <w:sz w:val="26"/>
          <w:szCs w:val="26"/>
        </w:rPr>
        <w:t>cc:</w:t>
      </w:r>
      <w:r w:rsidRPr="002B37D7">
        <w:rPr>
          <w:sz w:val="26"/>
          <w:szCs w:val="26"/>
        </w:rPr>
        <w:tab/>
        <w:t>Chairman’s Office</w:t>
      </w:r>
    </w:p>
    <w:p w:rsidR="002B37D7" w:rsidRPr="002B37D7" w:rsidRDefault="002B37D7" w:rsidP="002B37D7">
      <w:pPr>
        <w:jc w:val="both"/>
        <w:rPr>
          <w:sz w:val="26"/>
          <w:szCs w:val="26"/>
        </w:rPr>
      </w:pPr>
      <w:r w:rsidRPr="002B37D7">
        <w:rPr>
          <w:sz w:val="26"/>
          <w:szCs w:val="26"/>
        </w:rPr>
        <w:tab/>
        <w:t>Vice Chairman’s Office</w:t>
      </w:r>
    </w:p>
    <w:p w:rsidR="002B37D7" w:rsidRPr="002B37D7" w:rsidRDefault="002B37D7" w:rsidP="002B37D7">
      <w:pPr>
        <w:jc w:val="both"/>
        <w:rPr>
          <w:sz w:val="26"/>
          <w:szCs w:val="26"/>
        </w:rPr>
      </w:pPr>
      <w:r w:rsidRPr="002B37D7">
        <w:rPr>
          <w:sz w:val="26"/>
          <w:szCs w:val="26"/>
        </w:rPr>
        <w:tab/>
        <w:t>Commissioners’ Office</w:t>
      </w:r>
    </w:p>
    <w:p w:rsidR="002B37D7" w:rsidRPr="002B37D7" w:rsidRDefault="002B37D7" w:rsidP="002B37D7">
      <w:pPr>
        <w:jc w:val="both"/>
        <w:rPr>
          <w:sz w:val="26"/>
          <w:szCs w:val="26"/>
        </w:rPr>
      </w:pPr>
      <w:r w:rsidRPr="002B37D7">
        <w:rPr>
          <w:sz w:val="26"/>
          <w:szCs w:val="26"/>
        </w:rPr>
        <w:tab/>
        <w:t>Karen Oill Moury, Director of Operations</w:t>
      </w:r>
    </w:p>
    <w:p w:rsidR="002B37D7" w:rsidRPr="002B37D7" w:rsidRDefault="002B37D7" w:rsidP="002B37D7">
      <w:pPr>
        <w:jc w:val="both"/>
        <w:rPr>
          <w:sz w:val="26"/>
          <w:szCs w:val="26"/>
        </w:rPr>
      </w:pPr>
      <w:r w:rsidRPr="002B37D7">
        <w:rPr>
          <w:sz w:val="26"/>
          <w:szCs w:val="26"/>
        </w:rPr>
        <w:tab/>
        <w:t>Bohdan R. Pankiw, Chief Counsel</w:t>
      </w:r>
    </w:p>
    <w:p w:rsidR="002B37D7" w:rsidRPr="002B37D7" w:rsidRDefault="002B37D7" w:rsidP="002B37D7">
      <w:pPr>
        <w:jc w:val="both"/>
        <w:rPr>
          <w:sz w:val="26"/>
          <w:szCs w:val="26"/>
        </w:rPr>
      </w:pPr>
      <w:r w:rsidRPr="002B37D7">
        <w:rPr>
          <w:sz w:val="26"/>
          <w:szCs w:val="26"/>
        </w:rPr>
        <w:tab/>
        <w:t>Robert F. Young, Deputy Chief Counsel</w:t>
      </w:r>
    </w:p>
    <w:p w:rsidR="002B37D7" w:rsidRPr="002B37D7" w:rsidRDefault="002B37D7" w:rsidP="002B37D7">
      <w:pPr>
        <w:jc w:val="both"/>
        <w:rPr>
          <w:sz w:val="26"/>
          <w:szCs w:val="26"/>
        </w:rPr>
      </w:pPr>
      <w:r w:rsidRPr="002B37D7">
        <w:rPr>
          <w:sz w:val="26"/>
          <w:szCs w:val="26"/>
        </w:rPr>
        <w:tab/>
        <w:t>Wayne L. Williams, Director, Conservation, Economics and Energy Planning</w:t>
      </w:r>
    </w:p>
    <w:p w:rsidR="002B37D7" w:rsidRPr="002B37D7" w:rsidRDefault="002B37D7" w:rsidP="002B37D7">
      <w:pPr>
        <w:jc w:val="both"/>
        <w:rPr>
          <w:sz w:val="26"/>
          <w:szCs w:val="26"/>
        </w:rPr>
      </w:pPr>
      <w:r w:rsidRPr="002B37D7">
        <w:rPr>
          <w:sz w:val="26"/>
          <w:szCs w:val="26"/>
        </w:rPr>
        <w:tab/>
      </w:r>
    </w:p>
    <w:p w:rsidR="00C77F29" w:rsidRDefault="00C77F29" w:rsidP="00C77F29">
      <w:pPr>
        <w:rPr>
          <w:sz w:val="26"/>
          <w:szCs w:val="26"/>
        </w:rPr>
      </w:pPr>
    </w:p>
    <w:sectPr w:rsidR="00C77F29" w:rsidSect="00142748">
      <w:pgSz w:w="12240" w:h="15840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4AE1" w:rsidRDefault="00ED4AE1">
      <w:r>
        <w:separator/>
      </w:r>
    </w:p>
  </w:endnote>
  <w:endnote w:type="continuationSeparator" w:id="0">
    <w:p w:rsidR="00ED4AE1" w:rsidRDefault="00ED4A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0EC" w:rsidRDefault="00810946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E40EC" w:rsidRDefault="009E40E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0EC" w:rsidRDefault="00810946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E40EC" w:rsidRDefault="009E40EC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A9B" w:rsidRDefault="00AD0A9B">
    <w:pPr>
      <w:pStyle w:val="Footer"/>
      <w:jc w:val="center"/>
    </w:pPr>
  </w:p>
  <w:p w:rsidR="00AD0A9B" w:rsidRDefault="00AD0A9B">
    <w:pPr>
      <w:pStyle w:val="Footer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0EC" w:rsidRDefault="0081094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E40EC">
      <w:rPr>
        <w:rStyle w:val="PageNumber"/>
        <w:noProof/>
      </w:rPr>
      <w:t>2</w:t>
    </w:r>
    <w:r>
      <w:rPr>
        <w:rStyle w:val="PageNumber"/>
      </w:rPr>
      <w:fldChar w:fldCharType="end"/>
    </w:r>
  </w:p>
  <w:p w:rsidR="009E40EC" w:rsidRDefault="009E40EC">
    <w:pPr>
      <w:pStyle w:val="Footer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A9B" w:rsidRDefault="00AD0A9B">
    <w:pPr>
      <w:pStyle w:val="Footer"/>
      <w:jc w:val="center"/>
    </w:pPr>
  </w:p>
  <w:p w:rsidR="009E40EC" w:rsidRDefault="009E40E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4AE1" w:rsidRDefault="00ED4AE1">
      <w:r>
        <w:separator/>
      </w:r>
    </w:p>
  </w:footnote>
  <w:footnote w:type="continuationSeparator" w:id="0">
    <w:p w:rsidR="00ED4AE1" w:rsidRDefault="00ED4AE1">
      <w:r>
        <w:continuationSeparator/>
      </w:r>
    </w:p>
  </w:footnote>
  <w:footnote w:id="1">
    <w:p w:rsidR="00026B9B" w:rsidRPr="00111D7A" w:rsidRDefault="00026B9B">
      <w:pPr>
        <w:pStyle w:val="FootnoteText"/>
        <w:rPr>
          <w:sz w:val="22"/>
          <w:szCs w:val="22"/>
        </w:rPr>
      </w:pPr>
      <w:r w:rsidRPr="00111D7A">
        <w:rPr>
          <w:rStyle w:val="FootnoteReference"/>
          <w:sz w:val="22"/>
          <w:szCs w:val="22"/>
        </w:rPr>
        <w:footnoteRef/>
      </w:r>
      <w:r w:rsidRPr="00111D7A">
        <w:rPr>
          <w:sz w:val="22"/>
          <w:szCs w:val="22"/>
        </w:rPr>
        <w:t xml:space="preserve"> </w:t>
      </w:r>
      <w:r w:rsidRPr="00111D7A">
        <w:rPr>
          <w:i/>
          <w:sz w:val="22"/>
          <w:szCs w:val="22"/>
        </w:rPr>
        <w:t>See Implementation of Act 129 of 2008 Phase 4 – Relating to the Alternative Energy Portfolio Standards Act</w:t>
      </w:r>
      <w:r w:rsidRPr="00111D7A">
        <w:rPr>
          <w:sz w:val="22"/>
          <w:szCs w:val="22"/>
        </w:rPr>
        <w:t xml:space="preserve"> Final Order at Docke</w:t>
      </w:r>
      <w:r w:rsidR="00111D7A" w:rsidRPr="00111D7A">
        <w:rPr>
          <w:sz w:val="22"/>
          <w:szCs w:val="22"/>
        </w:rPr>
        <w:t>t No. M-2009-2093383 (entered May 28, 2009).</w:t>
      </w:r>
    </w:p>
  </w:footnote>
  <w:footnote w:id="2">
    <w:p w:rsidR="00111D7A" w:rsidRPr="00111D7A" w:rsidRDefault="00111D7A">
      <w:pPr>
        <w:pStyle w:val="FootnoteText"/>
        <w:rPr>
          <w:sz w:val="22"/>
          <w:szCs w:val="22"/>
        </w:rPr>
      </w:pPr>
      <w:r w:rsidRPr="00111D7A">
        <w:rPr>
          <w:rStyle w:val="FootnoteReference"/>
          <w:sz w:val="22"/>
          <w:szCs w:val="22"/>
        </w:rPr>
        <w:footnoteRef/>
      </w:r>
      <w:r w:rsidRPr="00111D7A">
        <w:rPr>
          <w:sz w:val="22"/>
          <w:szCs w:val="22"/>
        </w:rPr>
        <w:t xml:space="preserve"> </w:t>
      </w:r>
      <w:r w:rsidRPr="00111D7A">
        <w:rPr>
          <w:i/>
          <w:sz w:val="22"/>
          <w:szCs w:val="22"/>
        </w:rPr>
        <w:t>Id</w:t>
      </w:r>
      <w:r w:rsidRPr="00111D7A">
        <w:rPr>
          <w:sz w:val="22"/>
          <w:szCs w:val="22"/>
        </w:rPr>
        <w:t>. at 10.</w:t>
      </w:r>
    </w:p>
  </w:footnote>
  <w:footnote w:id="3">
    <w:p w:rsidR="00111D7A" w:rsidRPr="00A5263D" w:rsidRDefault="00111D7A">
      <w:pPr>
        <w:pStyle w:val="FootnoteText"/>
        <w:rPr>
          <w:sz w:val="22"/>
          <w:szCs w:val="22"/>
        </w:rPr>
      </w:pPr>
      <w:r w:rsidRPr="00A5263D">
        <w:rPr>
          <w:rStyle w:val="FootnoteReference"/>
          <w:sz w:val="22"/>
          <w:szCs w:val="22"/>
        </w:rPr>
        <w:footnoteRef/>
      </w:r>
      <w:r w:rsidRPr="00A5263D">
        <w:rPr>
          <w:sz w:val="22"/>
          <w:szCs w:val="22"/>
        </w:rPr>
        <w:t xml:space="preserve"> </w:t>
      </w:r>
      <w:r w:rsidR="00A5263D" w:rsidRPr="00A5263D">
        <w:rPr>
          <w:i/>
          <w:sz w:val="22"/>
          <w:szCs w:val="22"/>
        </w:rPr>
        <w:t>Id</w:t>
      </w:r>
      <w:r w:rsidR="00A5263D" w:rsidRPr="00A5263D">
        <w:rPr>
          <w:sz w:val="22"/>
          <w:szCs w:val="22"/>
        </w:rP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6C84494"/>
    <w:multiLevelType w:val="hybridMultilevel"/>
    <w:tmpl w:val="DA34B596"/>
    <w:lvl w:ilvl="0" w:tplc="E88284D8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06A7536"/>
    <w:multiLevelType w:val="hybridMultilevel"/>
    <w:tmpl w:val="A0E03122"/>
    <w:lvl w:ilvl="0" w:tplc="62FCDC2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sz w:val="26"/>
        <w:szCs w:val="26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5"/>
  </w:num>
  <w:num w:numId="5">
    <w:abstractNumId w:val="9"/>
  </w:num>
  <w:num w:numId="6">
    <w:abstractNumId w:val="4"/>
  </w:num>
  <w:num w:numId="7">
    <w:abstractNumId w:val="10"/>
  </w:num>
  <w:num w:numId="8">
    <w:abstractNumId w:val="8"/>
  </w:num>
  <w:num w:numId="9">
    <w:abstractNumId w:val="0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4A51"/>
    <w:rsid w:val="0000221E"/>
    <w:rsid w:val="00026B9B"/>
    <w:rsid w:val="000315CB"/>
    <w:rsid w:val="00031795"/>
    <w:rsid w:val="001048C8"/>
    <w:rsid w:val="00111D7A"/>
    <w:rsid w:val="001209F1"/>
    <w:rsid w:val="00142748"/>
    <w:rsid w:val="0019426D"/>
    <w:rsid w:val="00195546"/>
    <w:rsid w:val="001E1BF3"/>
    <w:rsid w:val="002229C3"/>
    <w:rsid w:val="002326FD"/>
    <w:rsid w:val="0029471C"/>
    <w:rsid w:val="002B37D7"/>
    <w:rsid w:val="002F0138"/>
    <w:rsid w:val="003569E8"/>
    <w:rsid w:val="00361704"/>
    <w:rsid w:val="003F0BA3"/>
    <w:rsid w:val="00442D19"/>
    <w:rsid w:val="004D2698"/>
    <w:rsid w:val="0051639C"/>
    <w:rsid w:val="00557565"/>
    <w:rsid w:val="005E1DF8"/>
    <w:rsid w:val="005E25C5"/>
    <w:rsid w:val="006755C0"/>
    <w:rsid w:val="00697A2E"/>
    <w:rsid w:val="007617B1"/>
    <w:rsid w:val="00774136"/>
    <w:rsid w:val="00810946"/>
    <w:rsid w:val="00942E5E"/>
    <w:rsid w:val="0096632A"/>
    <w:rsid w:val="009B23D8"/>
    <w:rsid w:val="009E40EC"/>
    <w:rsid w:val="009F5F66"/>
    <w:rsid w:val="00A20C12"/>
    <w:rsid w:val="00A5263D"/>
    <w:rsid w:val="00A74877"/>
    <w:rsid w:val="00A94E6F"/>
    <w:rsid w:val="00AB497F"/>
    <w:rsid w:val="00AB53D2"/>
    <w:rsid w:val="00AD0A9B"/>
    <w:rsid w:val="00BE4A72"/>
    <w:rsid w:val="00BE5119"/>
    <w:rsid w:val="00C74A51"/>
    <w:rsid w:val="00C77F29"/>
    <w:rsid w:val="00C90506"/>
    <w:rsid w:val="00CA2448"/>
    <w:rsid w:val="00CB5738"/>
    <w:rsid w:val="00CD0FDC"/>
    <w:rsid w:val="00CF047C"/>
    <w:rsid w:val="00D55A7A"/>
    <w:rsid w:val="00D62E64"/>
    <w:rsid w:val="00E23926"/>
    <w:rsid w:val="00E349DA"/>
    <w:rsid w:val="00E83E92"/>
    <w:rsid w:val="00EA7A9F"/>
    <w:rsid w:val="00ED4AE1"/>
    <w:rsid w:val="00F5640A"/>
    <w:rsid w:val="00F66053"/>
    <w:rsid w:val="00F7094C"/>
    <w:rsid w:val="00F75EE4"/>
    <w:rsid w:val="00FA0E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61704"/>
  </w:style>
  <w:style w:type="paragraph" w:styleId="Heading1">
    <w:name w:val="heading 1"/>
    <w:basedOn w:val="Normal"/>
    <w:next w:val="Normal"/>
    <w:qFormat/>
    <w:rsid w:val="00361704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361704"/>
    <w:pPr>
      <w:ind w:left="360"/>
    </w:pPr>
    <w:rPr>
      <w:sz w:val="24"/>
    </w:rPr>
  </w:style>
  <w:style w:type="paragraph" w:styleId="Header">
    <w:name w:val="header"/>
    <w:basedOn w:val="Normal"/>
    <w:rsid w:val="0036170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361704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9E40EC"/>
    <w:pPr>
      <w:spacing w:after="120"/>
    </w:pPr>
  </w:style>
  <w:style w:type="character" w:styleId="PageNumber">
    <w:name w:val="page number"/>
    <w:basedOn w:val="DefaultParagraphFont"/>
    <w:rsid w:val="009E40EC"/>
  </w:style>
  <w:style w:type="paragraph" w:styleId="FootnoteText">
    <w:name w:val="footnote text"/>
    <w:basedOn w:val="Normal"/>
    <w:link w:val="FootnoteTextChar"/>
    <w:rsid w:val="00026B9B"/>
  </w:style>
  <w:style w:type="character" w:customStyle="1" w:styleId="FootnoteTextChar">
    <w:name w:val="Footnote Text Char"/>
    <w:basedOn w:val="DefaultParagraphFont"/>
    <w:link w:val="FootnoteText"/>
    <w:rsid w:val="00026B9B"/>
  </w:style>
  <w:style w:type="character" w:styleId="FootnoteReference">
    <w:name w:val="footnote reference"/>
    <w:basedOn w:val="DefaultParagraphFont"/>
    <w:rsid w:val="00026B9B"/>
    <w:rPr>
      <w:vertAlign w:val="superscript"/>
    </w:rPr>
  </w:style>
  <w:style w:type="character" w:styleId="Hyperlink">
    <w:name w:val="Hyperlink"/>
    <w:basedOn w:val="DefaultParagraphFont"/>
    <w:rsid w:val="00A20C12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AD0A9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mailto:sgebhardt@state.pa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E1F512-EB17-4DF0-922E-587AEC39D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564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3772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REYNOLDS</dc:creator>
  <cp:keywords/>
  <dc:description/>
  <cp:lastModifiedBy>Administrator</cp:lastModifiedBy>
  <cp:revision>3</cp:revision>
  <cp:lastPrinted>2010-09-27T19:33:00Z</cp:lastPrinted>
  <dcterms:created xsi:type="dcterms:W3CDTF">2010-09-27T12:44:00Z</dcterms:created>
  <dcterms:modified xsi:type="dcterms:W3CDTF">2010-09-27T19:33:00Z</dcterms:modified>
</cp:coreProperties>
</file>