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Pr="00BC5F6E" w:rsidRDefault="00791B98" w:rsidP="00791B98">
      <w:pPr>
        <w:tabs>
          <w:tab w:val="center" w:pos="7200"/>
        </w:tabs>
        <w:jc w:val="center"/>
        <w:rPr>
          <w:b/>
          <w:sz w:val="28"/>
          <w:szCs w:val="28"/>
        </w:rPr>
      </w:pPr>
      <w:r>
        <w:rPr>
          <w:b/>
        </w:rPr>
        <w:t xml:space="preserve">IN THE MATTER OF : </w:t>
      </w:r>
      <w:r w:rsidR="00BC5F6E" w:rsidRPr="00BC5F6E">
        <w:rPr>
          <w:b/>
          <w:sz w:val="28"/>
          <w:szCs w:val="28"/>
        </w:rPr>
        <w:t>A-8912562</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BC5F6E" w:rsidP="00791B98">
      <w:pPr>
        <w:tabs>
          <w:tab w:val="center" w:pos="7200"/>
        </w:tabs>
        <w:jc w:val="center"/>
        <w:rPr>
          <w:b/>
          <w:sz w:val="28"/>
        </w:rPr>
      </w:pPr>
      <w:r>
        <w:rPr>
          <w:b/>
          <w:sz w:val="28"/>
        </w:rPr>
        <w:t>Application of Mark Brothers Holdings, LLC, 10838 Fairgrounds Road,</w:t>
      </w:r>
    </w:p>
    <w:p w:rsidR="00BC5F6E" w:rsidRDefault="00BC5F6E" w:rsidP="00791B98">
      <w:pPr>
        <w:tabs>
          <w:tab w:val="center" w:pos="7200"/>
        </w:tabs>
        <w:jc w:val="center"/>
        <w:rPr>
          <w:b/>
          <w:sz w:val="28"/>
        </w:rPr>
      </w:pPr>
      <w:r>
        <w:rPr>
          <w:b/>
          <w:sz w:val="28"/>
        </w:rPr>
        <w:t>Huntingdon, Huntingdon County, PA  16652 (814-643-1774).</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BC5F6E">
        <w:rPr>
          <w:b/>
          <w:sz w:val="24"/>
        </w:rPr>
        <w:t>28</w:t>
      </w:r>
      <w:r w:rsidR="00BC5F6E" w:rsidRPr="00BC5F6E">
        <w:rPr>
          <w:b/>
          <w:sz w:val="24"/>
          <w:vertAlign w:val="superscript"/>
        </w:rPr>
        <w:t>th</w:t>
      </w:r>
      <w:r w:rsidR="00BC5F6E">
        <w:rPr>
          <w:b/>
          <w:sz w:val="24"/>
        </w:rPr>
        <w:t xml:space="preserve"> </w:t>
      </w:r>
      <w:r w:rsidR="00D34EAE">
        <w:rPr>
          <w:b/>
          <w:sz w:val="24"/>
        </w:rPr>
        <w:t xml:space="preserve"> </w:t>
      </w:r>
      <w:r>
        <w:rPr>
          <w:b/>
          <w:sz w:val="24"/>
        </w:rPr>
        <w:t xml:space="preserve">day of </w:t>
      </w:r>
      <w:r w:rsidR="000F785F">
        <w:rPr>
          <w:b/>
          <w:sz w:val="24"/>
        </w:rPr>
        <w:t xml:space="preserve"> </w:t>
      </w:r>
      <w:r w:rsidR="00BC5F6E">
        <w:rPr>
          <w:b/>
          <w:sz w:val="24"/>
        </w:rPr>
        <w:t>September 2010</w:t>
      </w:r>
      <w:r>
        <w:rPr>
          <w:b/>
          <w:sz w:val="24"/>
        </w:rPr>
        <w:t>.</w:t>
      </w:r>
    </w:p>
    <w:p w:rsidR="00487402" w:rsidRDefault="00487402">
      <w:pPr>
        <w:jc w:val="both"/>
        <w:rPr>
          <w:b/>
          <w:sz w:val="24"/>
        </w:rPr>
      </w:pPr>
    </w:p>
    <w:p w:rsidR="00487402" w:rsidRDefault="00BC5F6E">
      <w:pPr>
        <w:jc w:val="both"/>
        <w:rPr>
          <w:b/>
          <w:sz w:val="24"/>
        </w:rPr>
      </w:pPr>
      <w:r>
        <w:rPr>
          <w:noProof/>
        </w:rPr>
        <w:drawing>
          <wp:anchor distT="0" distB="0" distL="114300" distR="114300" simplePos="0" relativeHeight="251660288" behindDoc="1" locked="0" layoutInCell="1" allowOverlap="1">
            <wp:simplePos x="0" y="0"/>
            <wp:positionH relativeFrom="column">
              <wp:posOffset>5422900</wp:posOffset>
            </wp:positionH>
            <wp:positionV relativeFrom="paragraph">
              <wp:posOffset>1905</wp:posOffset>
            </wp:positionV>
            <wp:extent cx="2197100" cy="8382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791B98"/>
    <w:rsid w:val="007C734A"/>
    <w:rsid w:val="007E7CC7"/>
    <w:rsid w:val="00A3200B"/>
    <w:rsid w:val="00BC5F6E"/>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2010-09-28T12:43:00Z</cp:lastPrinted>
  <dcterms:created xsi:type="dcterms:W3CDTF">2010-09-28T12:43:00Z</dcterms:created>
  <dcterms:modified xsi:type="dcterms:W3CDTF">2010-09-28T12:43:00Z</dcterms:modified>
</cp:coreProperties>
</file>