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0C" w:rsidRPr="001B271C" w:rsidRDefault="00DB3A0C" w:rsidP="00DB3A0C">
      <w:pPr>
        <w:spacing w:line="240" w:lineRule="auto"/>
        <w:ind w:firstLine="0"/>
        <w:jc w:val="center"/>
        <w:rPr>
          <w:b/>
        </w:rPr>
      </w:pPr>
      <w:smartTag w:uri="urn:schemas-microsoft-com:office:smarttags" w:element="State">
        <w:smartTag w:uri="urn:schemas-microsoft-com:office:smarttags" w:element="place">
          <w:r w:rsidRPr="001B271C">
            <w:rPr>
              <w:b/>
            </w:rPr>
            <w:t>PENNSYLVANIA</w:t>
          </w:r>
        </w:smartTag>
      </w:smartTag>
    </w:p>
    <w:p w:rsidR="00DB3A0C" w:rsidRPr="001B271C" w:rsidRDefault="00DB3A0C" w:rsidP="00DB3A0C">
      <w:pPr>
        <w:spacing w:line="240" w:lineRule="auto"/>
        <w:ind w:firstLine="0"/>
        <w:jc w:val="center"/>
        <w:rPr>
          <w:b/>
        </w:rPr>
      </w:pPr>
      <w:r w:rsidRPr="001B271C">
        <w:rPr>
          <w:b/>
        </w:rPr>
        <w:t>PUBLIC UTILITY COMMISSION</w:t>
      </w:r>
    </w:p>
    <w:p w:rsidR="00DB3A0C" w:rsidRPr="001B271C" w:rsidRDefault="00DB3A0C" w:rsidP="00DB3A0C">
      <w:pPr>
        <w:spacing w:line="240" w:lineRule="auto"/>
        <w:ind w:firstLine="0"/>
        <w:jc w:val="center"/>
        <w:rPr>
          <w:b/>
        </w:rPr>
      </w:pPr>
      <w:smartTag w:uri="urn:schemas-microsoft-com:office:smarttags" w:element="place">
        <w:smartTag w:uri="urn:schemas-microsoft-com:office:smarttags" w:element="City">
          <w:r w:rsidRPr="001B271C">
            <w:rPr>
              <w:b/>
            </w:rPr>
            <w:t>Harrisburg</w:t>
          </w:r>
        </w:smartTag>
        <w:r w:rsidRPr="001B271C">
          <w:rPr>
            <w:b/>
          </w:rPr>
          <w:t xml:space="preserve">, </w:t>
        </w:r>
        <w:smartTag w:uri="urn:schemas-microsoft-com:office:smarttags" w:element="State">
          <w:r w:rsidRPr="001B271C">
            <w:rPr>
              <w:b/>
            </w:rPr>
            <w:t>PA</w:t>
          </w:r>
        </w:smartTag>
        <w:r w:rsidRPr="001B271C">
          <w:rPr>
            <w:b/>
          </w:rPr>
          <w:t xml:space="preserve"> </w:t>
        </w:r>
        <w:smartTag w:uri="urn:schemas-microsoft-com:office:smarttags" w:element="PostalCode">
          <w:r w:rsidRPr="001B271C">
            <w:rPr>
              <w:b/>
            </w:rPr>
            <w:t>17105-3265</w:t>
          </w:r>
        </w:smartTag>
      </w:smartTag>
    </w:p>
    <w:p w:rsidR="00DB3A0C" w:rsidRPr="001B271C" w:rsidRDefault="00DB3A0C" w:rsidP="00DB3A0C">
      <w:pPr>
        <w:spacing w:line="240" w:lineRule="auto"/>
        <w:ind w:firstLine="0"/>
        <w:jc w:val="center"/>
      </w:pPr>
    </w:p>
    <w:p w:rsidR="00DB3A0C" w:rsidRPr="001B271C" w:rsidRDefault="00DB3A0C" w:rsidP="00DB3A0C">
      <w:pPr>
        <w:spacing w:line="240" w:lineRule="auto"/>
        <w:ind w:firstLine="0"/>
      </w:pPr>
      <w:r w:rsidRPr="001B271C">
        <w:tab/>
      </w:r>
      <w:r w:rsidRPr="001B271C">
        <w:tab/>
      </w:r>
      <w:r w:rsidRPr="001B271C">
        <w:tab/>
      </w:r>
      <w:r w:rsidRPr="001B271C">
        <w:tab/>
      </w:r>
      <w:r w:rsidRPr="001B271C">
        <w:tab/>
      </w:r>
      <w:r w:rsidRPr="001B271C">
        <w:tab/>
      </w:r>
      <w:r>
        <w:tab/>
      </w:r>
      <w:r w:rsidRPr="001B271C">
        <w:t xml:space="preserve">Public Meeting held </w:t>
      </w:r>
      <w:r>
        <w:t>September 23, 2010</w:t>
      </w:r>
    </w:p>
    <w:p w:rsidR="00DB3A0C" w:rsidRPr="001B271C" w:rsidRDefault="00DB3A0C" w:rsidP="005C2441">
      <w:pPr>
        <w:spacing w:line="240" w:lineRule="auto"/>
        <w:ind w:firstLine="0"/>
      </w:pPr>
    </w:p>
    <w:p w:rsidR="00DB3A0C" w:rsidRPr="001B271C" w:rsidRDefault="00DB3A0C" w:rsidP="00DB3A0C">
      <w:pPr>
        <w:spacing w:line="240" w:lineRule="auto"/>
        <w:ind w:firstLine="0"/>
      </w:pPr>
    </w:p>
    <w:p w:rsidR="00DB3A0C" w:rsidRPr="001B271C" w:rsidRDefault="00DB3A0C" w:rsidP="00DB3A0C">
      <w:pPr>
        <w:spacing w:line="240" w:lineRule="auto"/>
        <w:ind w:firstLine="0"/>
      </w:pPr>
      <w:r w:rsidRPr="001B271C">
        <w:t>Commissioners Present:</w:t>
      </w:r>
    </w:p>
    <w:p w:rsidR="00DB3A0C" w:rsidRPr="001B271C" w:rsidRDefault="00DB3A0C" w:rsidP="00DB3A0C">
      <w:pPr>
        <w:spacing w:line="240" w:lineRule="auto"/>
        <w:ind w:firstLine="0"/>
      </w:pPr>
    </w:p>
    <w:p w:rsidR="00DB3A0C" w:rsidRPr="001B271C" w:rsidRDefault="00DB3A0C" w:rsidP="00DB3A0C">
      <w:pPr>
        <w:spacing w:line="240" w:lineRule="auto"/>
        <w:ind w:firstLine="0"/>
      </w:pPr>
      <w:r w:rsidRPr="001B271C">
        <w:tab/>
        <w:t>James H. Cawley, Chairman</w:t>
      </w:r>
    </w:p>
    <w:p w:rsidR="00DB3A0C" w:rsidRDefault="00DB3A0C" w:rsidP="00DB3A0C">
      <w:pPr>
        <w:spacing w:line="240" w:lineRule="auto"/>
        <w:ind w:firstLine="0"/>
      </w:pPr>
      <w:r w:rsidRPr="001B271C">
        <w:tab/>
        <w:t>Tyrone J. Christy, Vice Chairman</w:t>
      </w:r>
    </w:p>
    <w:p w:rsidR="00DB3A0C" w:rsidRPr="001B271C" w:rsidRDefault="00DB3A0C" w:rsidP="00DB3A0C">
      <w:pPr>
        <w:spacing w:line="240" w:lineRule="auto"/>
        <w:ind w:firstLine="0"/>
      </w:pPr>
      <w:r>
        <w:tab/>
        <w:t>John F. Coleman, Jr.</w:t>
      </w:r>
    </w:p>
    <w:p w:rsidR="00DB3A0C" w:rsidRPr="001B271C" w:rsidRDefault="00DB3A0C" w:rsidP="00DB3A0C">
      <w:pPr>
        <w:spacing w:line="240" w:lineRule="auto"/>
        <w:ind w:firstLine="0"/>
      </w:pPr>
      <w:r w:rsidRPr="001B271C">
        <w:tab/>
        <w:t>Wayne E. Gardner</w:t>
      </w:r>
    </w:p>
    <w:p w:rsidR="00DB3A0C" w:rsidRDefault="00DB3A0C" w:rsidP="00DB3A0C">
      <w:pPr>
        <w:spacing w:line="240" w:lineRule="auto"/>
        <w:ind w:firstLine="0"/>
      </w:pPr>
      <w:r>
        <w:tab/>
      </w:r>
      <w:r w:rsidRPr="001B271C">
        <w:t>Robert F. Powelson</w:t>
      </w:r>
    </w:p>
    <w:p w:rsidR="00DB3A0C" w:rsidRDefault="00DB3A0C" w:rsidP="00DB3A0C">
      <w:pPr>
        <w:spacing w:line="240" w:lineRule="auto"/>
        <w:ind w:firstLine="0"/>
      </w:pPr>
    </w:p>
    <w:p w:rsidR="00295A5E" w:rsidRDefault="00295A5E" w:rsidP="00DB3A0C">
      <w:pPr>
        <w:spacing w:line="240" w:lineRule="auto"/>
        <w:ind w:firstLine="0"/>
      </w:pPr>
    </w:p>
    <w:p w:rsidR="00DB3A0C" w:rsidRDefault="00DB3A0C" w:rsidP="00DB3A0C">
      <w:pPr>
        <w:ind w:firstLine="0"/>
        <w:rPr>
          <w:szCs w:val="26"/>
        </w:rPr>
      </w:pPr>
      <w:r>
        <w:rPr>
          <w:szCs w:val="26"/>
        </w:rPr>
        <w:t>Charisse M. Bennett</w:t>
      </w:r>
      <w:r w:rsidRPr="00DB3A0C">
        <w:rPr>
          <w:szCs w:val="26"/>
        </w:rPr>
        <w:t xml:space="preserve"> </w:t>
      </w:r>
      <w:r>
        <w:rPr>
          <w:szCs w:val="26"/>
        </w:rPr>
        <w:tab/>
      </w:r>
      <w:r>
        <w:rPr>
          <w:szCs w:val="26"/>
        </w:rPr>
        <w:tab/>
      </w:r>
      <w:r>
        <w:rPr>
          <w:szCs w:val="26"/>
        </w:rPr>
        <w:tab/>
      </w:r>
      <w:r w:rsidR="00CC0C62">
        <w:rPr>
          <w:szCs w:val="26"/>
        </w:rPr>
        <w:tab/>
      </w:r>
      <w:r w:rsidR="00CC0C62">
        <w:rPr>
          <w:szCs w:val="26"/>
        </w:rPr>
        <w:tab/>
      </w:r>
      <w:r w:rsidR="00CC0C62">
        <w:rPr>
          <w:szCs w:val="26"/>
        </w:rPr>
        <w:tab/>
      </w:r>
      <w:r>
        <w:rPr>
          <w:szCs w:val="26"/>
        </w:rPr>
        <w:tab/>
      </w:r>
      <w:r w:rsidR="00C858A0">
        <w:rPr>
          <w:szCs w:val="26"/>
        </w:rPr>
        <w:t>C</w:t>
      </w:r>
      <w:r w:rsidRPr="00A42ED1">
        <w:rPr>
          <w:szCs w:val="26"/>
        </w:rPr>
        <w:t>-2009-2</w:t>
      </w:r>
      <w:r>
        <w:rPr>
          <w:szCs w:val="26"/>
        </w:rPr>
        <w:t>12</w:t>
      </w:r>
      <w:r w:rsidR="00A52C9C">
        <w:rPr>
          <w:szCs w:val="26"/>
        </w:rPr>
        <w:t>2979</w:t>
      </w:r>
    </w:p>
    <w:p w:rsidR="00DB3A0C" w:rsidRDefault="00DB3A0C" w:rsidP="00DB3A0C">
      <w:pPr>
        <w:ind w:firstLine="0"/>
        <w:rPr>
          <w:szCs w:val="26"/>
        </w:rPr>
      </w:pPr>
      <w:r>
        <w:rPr>
          <w:szCs w:val="26"/>
        </w:rPr>
        <w:tab/>
      </w:r>
      <w:r w:rsidR="005C2441">
        <w:rPr>
          <w:szCs w:val="26"/>
        </w:rPr>
        <w:t xml:space="preserve">     </w:t>
      </w:r>
      <w:r>
        <w:rPr>
          <w:szCs w:val="26"/>
        </w:rPr>
        <w:t>v.</w:t>
      </w:r>
    </w:p>
    <w:p w:rsidR="00DB3A0C" w:rsidRPr="00A42ED1" w:rsidRDefault="00DB3A0C" w:rsidP="00DB3A0C">
      <w:pPr>
        <w:spacing w:line="240" w:lineRule="auto"/>
        <w:ind w:firstLine="0"/>
        <w:rPr>
          <w:szCs w:val="26"/>
        </w:rPr>
      </w:pPr>
      <w:r>
        <w:rPr>
          <w:szCs w:val="26"/>
        </w:rPr>
        <w:t>The Peoples Natural Gas Company</w:t>
      </w:r>
      <w:r w:rsidR="002323C2">
        <w:rPr>
          <w:szCs w:val="26"/>
        </w:rPr>
        <w:t>, LLC</w:t>
      </w:r>
      <w:r>
        <w:rPr>
          <w:szCs w:val="26"/>
        </w:rPr>
        <w:t xml:space="preserve"> </w:t>
      </w:r>
    </w:p>
    <w:p w:rsidR="00DB3A0C" w:rsidRDefault="00DB3A0C" w:rsidP="00DB3A0C">
      <w:pPr>
        <w:spacing w:line="240" w:lineRule="auto"/>
        <w:ind w:firstLine="0"/>
        <w:rPr>
          <w:szCs w:val="26"/>
        </w:rPr>
      </w:pPr>
    </w:p>
    <w:p w:rsidR="00DB3A0C" w:rsidRPr="001B271C" w:rsidRDefault="00DB3A0C" w:rsidP="00DB3A0C">
      <w:pPr>
        <w:spacing w:line="240" w:lineRule="auto"/>
        <w:ind w:firstLine="0"/>
      </w:pPr>
      <w:r>
        <w:rPr>
          <w:szCs w:val="26"/>
        </w:rPr>
        <w:tab/>
      </w:r>
      <w:r>
        <w:rPr>
          <w:szCs w:val="26"/>
        </w:rPr>
        <w:tab/>
      </w:r>
      <w:r>
        <w:rPr>
          <w:szCs w:val="26"/>
        </w:rPr>
        <w:tab/>
      </w:r>
      <w:r>
        <w:rPr>
          <w:szCs w:val="26"/>
        </w:rPr>
        <w:tab/>
      </w:r>
    </w:p>
    <w:p w:rsidR="00DB3A0C" w:rsidRPr="001B271C" w:rsidRDefault="00DB3A0C" w:rsidP="00DB3A0C">
      <w:pPr>
        <w:spacing w:line="240" w:lineRule="auto"/>
        <w:ind w:firstLine="0"/>
      </w:pPr>
    </w:p>
    <w:p w:rsidR="00DB3A0C" w:rsidRPr="001B271C" w:rsidRDefault="00DB3A0C" w:rsidP="00DB3A0C">
      <w:pPr>
        <w:spacing w:line="240" w:lineRule="auto"/>
        <w:ind w:firstLine="0"/>
        <w:jc w:val="center"/>
        <w:rPr>
          <w:b/>
        </w:rPr>
      </w:pPr>
      <w:r>
        <w:rPr>
          <w:b/>
        </w:rPr>
        <w:t xml:space="preserve">OPINION AND </w:t>
      </w:r>
      <w:r w:rsidRPr="001B271C">
        <w:rPr>
          <w:b/>
        </w:rPr>
        <w:t>ORDER</w:t>
      </w:r>
    </w:p>
    <w:p w:rsidR="00DB3A0C" w:rsidRDefault="00DB3A0C" w:rsidP="00DB3A0C">
      <w:pPr>
        <w:spacing w:line="240" w:lineRule="auto"/>
        <w:ind w:firstLine="0"/>
      </w:pPr>
    </w:p>
    <w:p w:rsidR="00295A5E" w:rsidRPr="001B271C" w:rsidRDefault="00295A5E" w:rsidP="00DB3A0C">
      <w:pPr>
        <w:spacing w:line="240" w:lineRule="auto"/>
        <w:ind w:firstLine="0"/>
      </w:pPr>
    </w:p>
    <w:p w:rsidR="00DB3A0C" w:rsidRPr="001B271C" w:rsidRDefault="00DB3A0C" w:rsidP="00DB3A0C">
      <w:pPr>
        <w:spacing w:line="240" w:lineRule="auto"/>
        <w:ind w:firstLine="0"/>
      </w:pPr>
    </w:p>
    <w:p w:rsidR="00DB3A0C" w:rsidRDefault="00DB3A0C" w:rsidP="00DB3A0C">
      <w:pPr>
        <w:spacing w:line="240" w:lineRule="auto"/>
        <w:ind w:firstLine="0"/>
        <w:rPr>
          <w:b/>
        </w:rPr>
      </w:pPr>
      <w:r w:rsidRPr="001B271C">
        <w:rPr>
          <w:b/>
        </w:rPr>
        <w:t>BY THE COMMISSION:</w:t>
      </w:r>
    </w:p>
    <w:p w:rsidR="00DB3A0C" w:rsidRDefault="00DB3A0C" w:rsidP="00DB3A0C">
      <w:pPr>
        <w:spacing w:line="240" w:lineRule="auto"/>
        <w:ind w:firstLine="0"/>
        <w:rPr>
          <w:b/>
        </w:rPr>
      </w:pPr>
    </w:p>
    <w:p w:rsidR="00863111" w:rsidRDefault="00DB3A0C" w:rsidP="00DB3A0C">
      <w:pPr>
        <w:rPr>
          <w:szCs w:val="26"/>
        </w:rPr>
      </w:pPr>
      <w:r w:rsidRPr="0017065A">
        <w:rPr>
          <w:szCs w:val="26"/>
        </w:rPr>
        <w:t xml:space="preserve">Before the Commission for consideration </w:t>
      </w:r>
      <w:r>
        <w:rPr>
          <w:szCs w:val="26"/>
        </w:rPr>
        <w:t xml:space="preserve">is the Initial Decision (I.D.) of Administrative Law </w:t>
      </w:r>
      <w:r w:rsidR="005C2441">
        <w:rPr>
          <w:szCs w:val="26"/>
        </w:rPr>
        <w:t xml:space="preserve">Judge </w:t>
      </w:r>
      <w:r w:rsidR="00471181">
        <w:rPr>
          <w:szCs w:val="26"/>
        </w:rPr>
        <w:t>Conrad A. Johnson</w:t>
      </w:r>
      <w:r>
        <w:rPr>
          <w:szCs w:val="26"/>
        </w:rPr>
        <w:t xml:space="preserve"> (ALJ) issued on </w:t>
      </w:r>
      <w:r w:rsidR="00471181">
        <w:rPr>
          <w:szCs w:val="26"/>
        </w:rPr>
        <w:t>July 2, 2010.</w:t>
      </w:r>
      <w:r>
        <w:rPr>
          <w:szCs w:val="26"/>
        </w:rPr>
        <w:t xml:space="preserve"> </w:t>
      </w:r>
      <w:r w:rsidR="00DB4D7C">
        <w:rPr>
          <w:szCs w:val="26"/>
        </w:rPr>
        <w:t xml:space="preserve"> </w:t>
      </w:r>
      <w:r>
        <w:rPr>
          <w:szCs w:val="26"/>
        </w:rPr>
        <w:t>This proceeding was initiated as a result of a Formal Complaint (Complaint)</w:t>
      </w:r>
      <w:r w:rsidR="005C2441">
        <w:rPr>
          <w:szCs w:val="26"/>
        </w:rPr>
        <w:t>,</w:t>
      </w:r>
      <w:r>
        <w:rPr>
          <w:szCs w:val="26"/>
        </w:rPr>
        <w:t xml:space="preserve"> filed by </w:t>
      </w:r>
      <w:r w:rsidR="00471181">
        <w:rPr>
          <w:szCs w:val="26"/>
        </w:rPr>
        <w:t xml:space="preserve">Charisse M. Bennett </w:t>
      </w:r>
      <w:r w:rsidR="00784316">
        <w:rPr>
          <w:szCs w:val="26"/>
        </w:rPr>
        <w:t>(Complainant</w:t>
      </w:r>
      <w:r w:rsidR="00CB7801">
        <w:rPr>
          <w:szCs w:val="26"/>
        </w:rPr>
        <w:t xml:space="preserve"> or Ms. Bennett</w:t>
      </w:r>
      <w:r w:rsidR="00784316">
        <w:rPr>
          <w:szCs w:val="26"/>
        </w:rPr>
        <w:t>)</w:t>
      </w:r>
      <w:r w:rsidR="005C2441">
        <w:rPr>
          <w:szCs w:val="26"/>
        </w:rPr>
        <w:t>,</w:t>
      </w:r>
      <w:r w:rsidR="00784316">
        <w:rPr>
          <w:szCs w:val="26"/>
        </w:rPr>
        <w:t xml:space="preserve"> against The Peoples Natural Gas Company</w:t>
      </w:r>
      <w:r w:rsidR="002323C2">
        <w:rPr>
          <w:szCs w:val="26"/>
        </w:rPr>
        <w:t>, LLC</w:t>
      </w:r>
      <w:r w:rsidR="00784316">
        <w:rPr>
          <w:szCs w:val="26"/>
        </w:rPr>
        <w:t xml:space="preserve"> (Respondent or Peoples)</w:t>
      </w:r>
      <w:r>
        <w:rPr>
          <w:szCs w:val="26"/>
        </w:rPr>
        <w:t>.</w:t>
      </w:r>
      <w:r w:rsidR="00E510E0" w:rsidRPr="00E510E0">
        <w:rPr>
          <w:rStyle w:val="FootnoteReference"/>
          <w:szCs w:val="26"/>
        </w:rPr>
        <w:t xml:space="preserve"> </w:t>
      </w:r>
      <w:r w:rsidR="00E510E0" w:rsidRPr="001477ED">
        <w:rPr>
          <w:rStyle w:val="FootnoteReference"/>
          <w:sz w:val="20"/>
          <w:szCs w:val="20"/>
        </w:rPr>
        <w:footnoteReference w:id="1"/>
      </w:r>
      <w:r>
        <w:rPr>
          <w:szCs w:val="26"/>
        </w:rPr>
        <w:t xml:space="preserve">  </w:t>
      </w:r>
    </w:p>
    <w:p w:rsidR="00DB3A0C" w:rsidRDefault="00DB3A0C" w:rsidP="00DB3A0C">
      <w:pPr>
        <w:rPr>
          <w:szCs w:val="26"/>
        </w:rPr>
      </w:pPr>
      <w:r>
        <w:rPr>
          <w:szCs w:val="26"/>
        </w:rPr>
        <w:lastRenderedPageBreak/>
        <w:t xml:space="preserve">No Exceptions to the Initial Decision were filed.  Nevertheless, we have exercised our authority to review the Initial Decision pursuant to 66 Pa. C.S. § 332(h).  For the reasons set forth </w:t>
      </w:r>
      <w:r w:rsidRPr="001E7A2D">
        <w:rPr>
          <w:i/>
          <w:szCs w:val="26"/>
        </w:rPr>
        <w:t>infra</w:t>
      </w:r>
      <w:r>
        <w:rPr>
          <w:szCs w:val="26"/>
        </w:rPr>
        <w:t xml:space="preserve">, we shall </w:t>
      </w:r>
      <w:r w:rsidR="00093F58">
        <w:rPr>
          <w:szCs w:val="26"/>
        </w:rPr>
        <w:t>amend</w:t>
      </w:r>
      <w:r>
        <w:rPr>
          <w:szCs w:val="26"/>
        </w:rPr>
        <w:t xml:space="preserve"> the Initial Decision consistent with this Opinion and Order. </w:t>
      </w:r>
    </w:p>
    <w:p w:rsidR="00CB7801" w:rsidRDefault="00CB7801" w:rsidP="00DB5345">
      <w:pPr>
        <w:ind w:firstLine="0"/>
        <w:jc w:val="center"/>
        <w:rPr>
          <w:b/>
        </w:rPr>
      </w:pPr>
    </w:p>
    <w:p w:rsidR="00DB3A0C" w:rsidRDefault="00DB5345" w:rsidP="00DB5345">
      <w:pPr>
        <w:ind w:firstLine="0"/>
        <w:jc w:val="center"/>
        <w:rPr>
          <w:b/>
        </w:rPr>
      </w:pPr>
      <w:r w:rsidRPr="00DB5345">
        <w:rPr>
          <w:b/>
        </w:rPr>
        <w:t>History of the Proceeding</w:t>
      </w:r>
    </w:p>
    <w:p w:rsidR="00DB5345" w:rsidRDefault="00DB5345" w:rsidP="00DB5345">
      <w:pPr>
        <w:ind w:firstLine="0"/>
        <w:jc w:val="center"/>
        <w:rPr>
          <w:b/>
        </w:rPr>
      </w:pPr>
    </w:p>
    <w:p w:rsidR="00DB5345" w:rsidRDefault="00CB7801" w:rsidP="0094457E">
      <w:r>
        <w:t xml:space="preserve">On August 3, 2009, Ms. Bennett filed a Complaint which alleged, </w:t>
      </w:r>
      <w:r w:rsidRPr="00CB7801">
        <w:rPr>
          <w:i/>
        </w:rPr>
        <w:t>inter alia</w:t>
      </w:r>
      <w:r>
        <w:t xml:space="preserve">, that there were incorrect charges </w:t>
      </w:r>
      <w:r w:rsidR="001477ED">
        <w:t>on</w:t>
      </w:r>
      <w:r>
        <w:t xml:space="preserve"> her bill</w:t>
      </w:r>
      <w:r w:rsidR="00267161">
        <w:t xml:space="preserve"> and that she had received a service termination notice from Peoples</w:t>
      </w:r>
      <w:r>
        <w:t xml:space="preserve">.  </w:t>
      </w:r>
      <w:r w:rsidR="00485642">
        <w:t>The Complainant disputed a $2,122.85 bill she received for month</w:t>
      </w:r>
      <w:r w:rsidR="00A10E10">
        <w:t>ly</w:t>
      </w:r>
      <w:r w:rsidR="00485642">
        <w:t xml:space="preserve"> service </w:t>
      </w:r>
      <w:r w:rsidR="00A10E10">
        <w:t xml:space="preserve">in December 2008.  </w:t>
      </w:r>
      <w:r w:rsidR="00267161">
        <w:t xml:space="preserve">She requested that the Commission stay the termination and establish a reasonable payment agreement until </w:t>
      </w:r>
      <w:r w:rsidR="00E63047">
        <w:t xml:space="preserve">the billing dispute can be resolved.  </w:t>
      </w:r>
      <w:r w:rsidR="00F80CB9">
        <w:t>The Complainant also questioned why the disputed amount was credited to her account and then</w:t>
      </w:r>
      <w:r w:rsidR="001477ED">
        <w:t>,</w:t>
      </w:r>
      <w:r w:rsidR="00F80CB9">
        <w:t xml:space="preserve"> subsequently</w:t>
      </w:r>
      <w:r w:rsidR="001477ED">
        <w:t>,</w:t>
      </w:r>
      <w:r w:rsidR="00F80CB9">
        <w:t xml:space="preserve"> </w:t>
      </w:r>
      <w:r w:rsidR="00DC5224">
        <w:t>reposted on her bill.  Complaint at 5 and 7.</w:t>
      </w:r>
    </w:p>
    <w:p w:rsidR="00DC5224" w:rsidRDefault="00DC5224" w:rsidP="0094457E"/>
    <w:p w:rsidR="00DC5224" w:rsidRDefault="00DC5224" w:rsidP="0094457E">
      <w:r>
        <w:t>On August 18, 2009, Peoples filed an Ans</w:t>
      </w:r>
      <w:r w:rsidR="008F6DF4">
        <w:t>w</w:t>
      </w:r>
      <w:r>
        <w:t xml:space="preserve">er </w:t>
      </w:r>
      <w:r w:rsidR="008F6DF4">
        <w:t xml:space="preserve">to the Complaint (Answer).  </w:t>
      </w:r>
      <w:r w:rsidR="001477ED">
        <w:t xml:space="preserve">In its Answer, </w:t>
      </w:r>
      <w:r w:rsidR="008F6DF4">
        <w:t xml:space="preserve">Peoples denied that there were incorrect charges on the Complainant’s bill and admitted that it issued a shut-off notice </w:t>
      </w:r>
      <w:r w:rsidR="00F21716">
        <w:t xml:space="preserve">for non-payment of the Complainant’s then current balance of $3,234.86.  Peoples </w:t>
      </w:r>
      <w:r w:rsidR="001477ED">
        <w:t>al</w:t>
      </w:r>
      <w:r w:rsidR="00FE58D5">
        <w:t>s</w:t>
      </w:r>
      <w:r w:rsidR="001477ED">
        <w:t>o</w:t>
      </w:r>
      <w:r w:rsidR="00FE58D5">
        <w:t xml:space="preserve"> </w:t>
      </w:r>
      <w:r w:rsidR="00F21716">
        <w:t>submitted that</w:t>
      </w:r>
      <w:r w:rsidR="00FE58D5">
        <w:t>,</w:t>
      </w:r>
      <w:r w:rsidR="00F21716">
        <w:t xml:space="preserve"> between June 4, 2008</w:t>
      </w:r>
      <w:r w:rsidR="002323C2">
        <w:t>,</w:t>
      </w:r>
      <w:r w:rsidR="00F21716">
        <w:t xml:space="preserve"> and May 12, 2009, </w:t>
      </w:r>
      <w:r w:rsidR="00FE58D5">
        <w:t>it</w:t>
      </w:r>
      <w:r w:rsidR="003332C5">
        <w:t xml:space="preserve"> had been to the Complainant’s residence five times to verify actual gas usage “or to check for problems.”  Peoples averred </w:t>
      </w:r>
      <w:r w:rsidR="00FE58D5">
        <w:t xml:space="preserve">that </w:t>
      </w:r>
      <w:r w:rsidR="003332C5">
        <w:t>it did not find any leaks or other problems</w:t>
      </w:r>
      <w:r w:rsidR="00A96DCE">
        <w:t>,</w:t>
      </w:r>
      <w:r w:rsidR="003332C5">
        <w:t xml:space="preserve"> except </w:t>
      </w:r>
      <w:r w:rsidR="00CE7A4A">
        <w:t xml:space="preserve">for </w:t>
      </w:r>
      <w:r w:rsidR="003332C5">
        <w:t xml:space="preserve">the boiler </w:t>
      </w:r>
      <w:r w:rsidR="00CE7A4A">
        <w:t xml:space="preserve">that </w:t>
      </w:r>
      <w:r w:rsidR="00FE58D5">
        <w:t>was</w:t>
      </w:r>
      <w:r w:rsidR="003332C5">
        <w:t xml:space="preserve"> red-tagged </w:t>
      </w:r>
      <w:r w:rsidR="0031483A">
        <w:t>for repairs on August 21, 2008.  Peoples argued that “it is unknown whether or not Complainant operated and used the boiler prior to the repairs being made, which may account for high na</w:t>
      </w:r>
      <w:r w:rsidR="00CE7A4A">
        <w:t>tural gas usage.”  Answer at 1.</w:t>
      </w:r>
    </w:p>
    <w:p w:rsidR="00DC5224" w:rsidRDefault="00DC5224" w:rsidP="0094457E"/>
    <w:p w:rsidR="00F80CB9" w:rsidRDefault="00FB1549" w:rsidP="00A61EF5">
      <w:pPr>
        <w:keepNext/>
      </w:pPr>
      <w:r>
        <w:t xml:space="preserve">Peoples explained why the Complainant’s bill was </w:t>
      </w:r>
      <w:r w:rsidR="00FE58D5">
        <w:t xml:space="preserve">initially </w:t>
      </w:r>
      <w:r>
        <w:t>credited in the amount of $</w:t>
      </w:r>
      <w:r w:rsidR="00B00391">
        <w:t xml:space="preserve">2,122.85, and then subsequently </w:t>
      </w:r>
      <w:r w:rsidR="00783DC1">
        <w:t>billed her for $2,088.78.</w:t>
      </w:r>
      <w:r w:rsidR="00B00391">
        <w:t xml:space="preserve">  Peoples submitted that when the Complainant requested that her meter be reread to verify the reading </w:t>
      </w:r>
      <w:r w:rsidR="00FE58D5">
        <w:t xml:space="preserve">taken </w:t>
      </w:r>
      <w:r w:rsidR="00B00391">
        <w:lastRenderedPageBreak/>
        <w:t xml:space="preserve">on December 18, 2008, Peoples credited the disputed amount and </w:t>
      </w:r>
      <w:r w:rsidR="00FE58D5">
        <w:t xml:space="preserve">then </w:t>
      </w:r>
      <w:r w:rsidR="0039511C">
        <w:t>issued an estimated bill of $222.34.  Peoples stated that it reread the meter on December 29, 2008</w:t>
      </w:r>
      <w:r w:rsidR="00FE58D5">
        <w:t>,</w:t>
      </w:r>
      <w:r w:rsidR="0039511C">
        <w:t xml:space="preserve"> and that </w:t>
      </w:r>
      <w:r w:rsidR="00307912">
        <w:t xml:space="preserve">reading </w:t>
      </w:r>
      <w:r w:rsidR="00302D47">
        <w:t xml:space="preserve">had </w:t>
      </w:r>
      <w:r w:rsidR="0039511C">
        <w:t xml:space="preserve">verified the reading </w:t>
      </w:r>
      <w:r w:rsidR="00302D47">
        <w:t xml:space="preserve">taken </w:t>
      </w:r>
      <w:r w:rsidR="0039511C">
        <w:t xml:space="preserve">on December 18, 2008.  </w:t>
      </w:r>
      <w:r w:rsidR="00CA53DF">
        <w:t xml:space="preserve">Peoples reported that </w:t>
      </w:r>
      <w:r w:rsidR="0086256A">
        <w:t xml:space="preserve">it </w:t>
      </w:r>
      <w:r w:rsidR="00307912">
        <w:t>rendered a bill for $2,088.78 on January 22, 200</w:t>
      </w:r>
      <w:r w:rsidR="0086256A">
        <w:t>9</w:t>
      </w:r>
      <w:r w:rsidR="00307912">
        <w:t xml:space="preserve">, based on the December 29, 2008 reading and estimated usage through January 22, 2009.  </w:t>
      </w:r>
      <w:r w:rsidR="00CA53DF">
        <w:t xml:space="preserve">Peoples </w:t>
      </w:r>
      <w:r w:rsidR="00A61EF5">
        <w:t xml:space="preserve">also </w:t>
      </w:r>
      <w:r w:rsidR="00CA53DF">
        <w:t xml:space="preserve">stated that the meter was removed and tested on June 18, 2009.  </w:t>
      </w:r>
      <w:r w:rsidR="009759CF">
        <w:t xml:space="preserve">Peoples reported that the meter was 1.45% fast, which is within </w:t>
      </w:r>
      <w:r w:rsidR="00A61EF5">
        <w:t xml:space="preserve">the 2.0% range set forth in the Commission </w:t>
      </w:r>
      <w:r w:rsidR="00376C08">
        <w:t>R</w:t>
      </w:r>
      <w:r w:rsidR="00A61EF5">
        <w:t xml:space="preserve">egulations </w:t>
      </w:r>
      <w:r w:rsidR="00376C08">
        <w:t xml:space="preserve">in Section 59.21(f), </w:t>
      </w:r>
      <w:r w:rsidR="00A61EF5">
        <w:t xml:space="preserve">52. Pa. Code § 59.21(f).  </w:t>
      </w:r>
      <w:r w:rsidR="00A61EF5" w:rsidRPr="00A61EF5">
        <w:rPr>
          <w:i/>
        </w:rPr>
        <w:t>Id</w:t>
      </w:r>
      <w:r w:rsidR="00A61EF5">
        <w:t xml:space="preserve">. at 1-2. </w:t>
      </w:r>
      <w:r w:rsidR="009759CF">
        <w:t xml:space="preserve"> </w:t>
      </w:r>
    </w:p>
    <w:p w:rsidR="00A61EF5" w:rsidRDefault="00A61EF5" w:rsidP="00A61EF5">
      <w:pPr>
        <w:keepNext/>
      </w:pPr>
    </w:p>
    <w:p w:rsidR="00A61EF5" w:rsidRDefault="00FF052E" w:rsidP="00A61EF5">
      <w:pPr>
        <w:keepNext/>
      </w:pPr>
      <w:r>
        <w:t xml:space="preserve">A telephonic hearing was held on February 24, 2010, in Pittsburgh.  The Complainant appeared </w:t>
      </w:r>
      <w:r w:rsidRPr="00FF052E">
        <w:rPr>
          <w:i/>
        </w:rPr>
        <w:t>pro se</w:t>
      </w:r>
      <w:r>
        <w:t xml:space="preserve">, testified on her own behalf and </w:t>
      </w:r>
      <w:r w:rsidR="0052795F">
        <w:t>introduced</w:t>
      </w:r>
      <w:r>
        <w:t xml:space="preserve"> </w:t>
      </w:r>
      <w:r w:rsidR="0052795F">
        <w:t xml:space="preserve">seventeen exhibits. </w:t>
      </w:r>
      <w:r>
        <w:t xml:space="preserve"> </w:t>
      </w:r>
      <w:r w:rsidR="0052795F">
        <w:t xml:space="preserve">Peoples was represented by Counsel, presented the testimony of one witness, </w:t>
      </w:r>
      <w:r w:rsidR="00EF1253">
        <w:t>and introduced four exhibits.  The hearing resulted in a transcript of 125 pages.</w:t>
      </w:r>
    </w:p>
    <w:p w:rsidR="00EF1253" w:rsidRDefault="00EF1253" w:rsidP="00A61EF5">
      <w:pPr>
        <w:keepNext/>
      </w:pPr>
    </w:p>
    <w:p w:rsidR="00BA6BF6" w:rsidRDefault="00EF1253" w:rsidP="00BA6BF6">
      <w:pPr>
        <w:keepNext/>
      </w:pPr>
      <w:r>
        <w:t>A second telephonic hearing was held on May 6, 2010</w:t>
      </w:r>
      <w:r w:rsidR="00BA6BF6">
        <w:t>,</w:t>
      </w:r>
      <w:r>
        <w:t xml:space="preserve"> to receive additional testimony and evidence.  Both Parties presented additional testimony</w:t>
      </w:r>
      <w:r w:rsidR="000F0DC3">
        <w:t xml:space="preserve"> </w:t>
      </w:r>
      <w:r w:rsidR="00302D47">
        <w:t>f</w:t>
      </w:r>
      <w:r w:rsidR="00376C08">
        <w:t>ro</w:t>
      </w:r>
      <w:r w:rsidR="00302D47">
        <w:t>m</w:t>
      </w:r>
      <w:r w:rsidR="0086256A">
        <w:t xml:space="preserve"> the same two </w:t>
      </w:r>
      <w:r w:rsidR="000F0DC3">
        <w:t xml:space="preserve">witnesses </w:t>
      </w:r>
      <w:r w:rsidR="00302D47">
        <w:t>who</w:t>
      </w:r>
      <w:r w:rsidR="000F0DC3">
        <w:t xml:space="preserve"> participated in the initial hearing</w:t>
      </w:r>
      <w:r w:rsidR="00BA6BF6">
        <w:t>,</w:t>
      </w:r>
      <w:r>
        <w:t xml:space="preserve"> the Complainant </w:t>
      </w:r>
      <w:r w:rsidR="00BA6BF6">
        <w:t xml:space="preserve">introduced one additional exhibit and Peoples introduced two additional exhibits.  The hearing resulted in a transcript of </w:t>
      </w:r>
      <w:r w:rsidR="00302D47">
        <w:t xml:space="preserve">fifty-nine </w:t>
      </w:r>
      <w:r w:rsidR="00BA6BF6">
        <w:t>pages.</w:t>
      </w:r>
    </w:p>
    <w:p w:rsidR="00BA6BF6" w:rsidRDefault="00BA6BF6" w:rsidP="00BA6BF6">
      <w:pPr>
        <w:keepNext/>
      </w:pPr>
    </w:p>
    <w:p w:rsidR="00BA6BF6" w:rsidRDefault="00BA6BF6" w:rsidP="00BA6BF6">
      <w:pPr>
        <w:keepNext/>
      </w:pPr>
      <w:r>
        <w:t>By Initial Decision issued</w:t>
      </w:r>
      <w:r w:rsidR="00AF4AB7">
        <w:t xml:space="preserve"> on </w:t>
      </w:r>
      <w:r>
        <w:t xml:space="preserve">July 2, 2010, </w:t>
      </w:r>
      <w:r w:rsidR="002B0EF3">
        <w:t xml:space="preserve">the ALJ denied the Complaint because the Complainant did not meet her burden of proof that there was an error on her gas utility bill or that Peoples violated the Public Utility Code, a Commission </w:t>
      </w:r>
      <w:r w:rsidR="00AF4AB7">
        <w:t>R</w:t>
      </w:r>
      <w:r w:rsidR="002B0EF3">
        <w:t xml:space="preserve">egulation or a Commission order. </w:t>
      </w:r>
      <w:r w:rsidR="00F42D7E">
        <w:t xml:space="preserve"> The ALJ also recommended that the Complainant pay her current budget bills plus one-sixth of the arrearage that exists at the time of entry of the Commission’s </w:t>
      </w:r>
      <w:r w:rsidR="00D666AA">
        <w:t xml:space="preserve">Order in this proceeding. </w:t>
      </w:r>
      <w:r w:rsidR="00F42D7E">
        <w:t xml:space="preserve"> I.D. at 16 -17.  </w:t>
      </w:r>
    </w:p>
    <w:p w:rsidR="00783DC1" w:rsidRDefault="00783DC1" w:rsidP="00AF4AB7">
      <w:pPr>
        <w:ind w:firstLine="0"/>
        <w:jc w:val="center"/>
        <w:rPr>
          <w:b/>
        </w:rPr>
      </w:pPr>
    </w:p>
    <w:p w:rsidR="000F0DC3" w:rsidRDefault="000F0DC3" w:rsidP="00AF4AB7">
      <w:pPr>
        <w:keepNext/>
        <w:keepLines/>
        <w:ind w:firstLine="0"/>
        <w:jc w:val="center"/>
        <w:rPr>
          <w:b/>
        </w:rPr>
      </w:pPr>
      <w:r w:rsidRPr="00DE20D8">
        <w:rPr>
          <w:b/>
        </w:rPr>
        <w:lastRenderedPageBreak/>
        <w:t>Discussion</w:t>
      </w:r>
    </w:p>
    <w:p w:rsidR="000F0DC3" w:rsidRDefault="000F0DC3" w:rsidP="00AF4AB7">
      <w:pPr>
        <w:keepNext/>
        <w:keepLines/>
        <w:ind w:firstLine="0"/>
        <w:jc w:val="center"/>
        <w:rPr>
          <w:b/>
        </w:rPr>
      </w:pPr>
    </w:p>
    <w:p w:rsidR="00405647" w:rsidRDefault="00405647" w:rsidP="000F0DC3">
      <w:pPr>
        <w:keepNext/>
        <w:rPr>
          <w:rFonts w:ascii="Times New (W1)" w:hAnsi="Times New (W1)"/>
          <w:szCs w:val="26"/>
        </w:rPr>
      </w:pPr>
      <w:r w:rsidRPr="009C756D">
        <w:rPr>
          <w:rFonts w:ascii="Times New (W1)" w:hAnsi="Times New (W1)"/>
          <w:szCs w:val="26"/>
        </w:rPr>
        <w:t xml:space="preserve">The ALJ made </w:t>
      </w:r>
      <w:r>
        <w:rPr>
          <w:rFonts w:ascii="Times New (W1)" w:hAnsi="Times New (W1)"/>
          <w:szCs w:val="26"/>
        </w:rPr>
        <w:t>sixty-four</w:t>
      </w:r>
      <w:r w:rsidRPr="009C756D">
        <w:rPr>
          <w:rFonts w:ascii="Times New (W1)" w:hAnsi="Times New (W1)"/>
          <w:szCs w:val="26"/>
        </w:rPr>
        <w:t xml:space="preserve"> Findings of Fact and reached </w:t>
      </w:r>
      <w:r>
        <w:rPr>
          <w:rFonts w:ascii="Times New (W1)" w:hAnsi="Times New (W1)"/>
          <w:szCs w:val="26"/>
        </w:rPr>
        <w:t>four</w:t>
      </w:r>
      <w:r w:rsidRPr="009C756D">
        <w:rPr>
          <w:rFonts w:ascii="Times New (W1)" w:hAnsi="Times New (W1)"/>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DE20D8" w:rsidRDefault="00DE20D8" w:rsidP="00DE20D8">
      <w:pPr>
        <w:keepNext/>
        <w:ind w:firstLine="0"/>
        <w:jc w:val="center"/>
        <w:rPr>
          <w:b/>
        </w:rPr>
      </w:pPr>
    </w:p>
    <w:p w:rsidR="00BB2651" w:rsidRPr="009C756D" w:rsidRDefault="00BB2651" w:rsidP="00BB2651">
      <w:pPr>
        <w:suppressAutoHyphens/>
        <w:rPr>
          <w:spacing w:val="-3"/>
          <w:szCs w:val="26"/>
          <w:u w:val="single"/>
        </w:rPr>
      </w:pPr>
      <w:r w:rsidRPr="009C756D">
        <w:rPr>
          <w:szCs w:val="26"/>
        </w:rPr>
        <w:t>As the proponent of a rule or order, the Complainant in this proceeding bears the burde</w:t>
      </w:r>
      <w:r>
        <w:rPr>
          <w:szCs w:val="26"/>
        </w:rPr>
        <w:t xml:space="preserve">n of proof pursuant to Section </w:t>
      </w:r>
      <w:r w:rsidRPr="009C756D">
        <w:rPr>
          <w:szCs w:val="26"/>
        </w:rPr>
        <w:t xml:space="preserve">332(a) of the Public Utility Code.  66 Pa. C.S. § 332(a).  To satisfy this burden, </w:t>
      </w:r>
      <w:r>
        <w:rPr>
          <w:szCs w:val="26"/>
        </w:rPr>
        <w:t xml:space="preserve">the </w:t>
      </w:r>
      <w:r w:rsidRPr="009C756D">
        <w:rPr>
          <w:szCs w:val="26"/>
        </w:rPr>
        <w:t xml:space="preserve">Complainant must demonstrate that Respondent was responsible for the problems alleged in </w:t>
      </w:r>
      <w:r>
        <w:rPr>
          <w:szCs w:val="26"/>
        </w:rPr>
        <w:t>her</w:t>
      </w:r>
      <w:r w:rsidRPr="009C756D">
        <w:rPr>
          <w:szCs w:val="26"/>
        </w:rPr>
        <w:t xml:space="preserve"> Complaint through a violation of the Public Utility Code or a </w:t>
      </w:r>
      <w:r w:rsidR="00302D47">
        <w:rPr>
          <w:szCs w:val="26"/>
        </w:rPr>
        <w:t>r</w:t>
      </w:r>
      <w:r w:rsidRPr="009C756D">
        <w:rPr>
          <w:szCs w:val="26"/>
        </w:rPr>
        <w:t xml:space="preserve">egulation or </w:t>
      </w:r>
      <w:r w:rsidR="00302D47">
        <w:rPr>
          <w:szCs w:val="26"/>
        </w:rPr>
        <w:t>o</w:t>
      </w:r>
      <w:r w:rsidRPr="009C756D">
        <w:rPr>
          <w:szCs w:val="26"/>
        </w:rPr>
        <w:t xml:space="preserve">rder of the Commission.  This must be shown by a preponderance of the evidence.  66 Pa. C.S. §701; </w:t>
      </w:r>
      <w:r w:rsidRPr="009C756D">
        <w:rPr>
          <w:i/>
          <w:szCs w:val="26"/>
        </w:rPr>
        <w:t>Patterson v. Bell Telephone Company of Pennsylvania,</w:t>
      </w:r>
      <w:r w:rsidRPr="009C756D">
        <w:rPr>
          <w:szCs w:val="26"/>
        </w:rPr>
        <w:t xml:space="preserve"> 72 PA P</w:t>
      </w:r>
      <w:r>
        <w:rPr>
          <w:szCs w:val="26"/>
        </w:rPr>
        <w:t>.</w:t>
      </w:r>
      <w:r w:rsidRPr="009C756D">
        <w:rPr>
          <w:szCs w:val="26"/>
        </w:rPr>
        <w:t>U</w:t>
      </w:r>
      <w:r>
        <w:rPr>
          <w:szCs w:val="26"/>
        </w:rPr>
        <w:t>.</w:t>
      </w:r>
      <w:r w:rsidRPr="009C756D">
        <w:rPr>
          <w:szCs w:val="26"/>
        </w:rPr>
        <w:t>C</w:t>
      </w:r>
      <w:r>
        <w:rPr>
          <w:szCs w:val="26"/>
        </w:rPr>
        <w:t>.</w:t>
      </w:r>
      <w:r w:rsidRPr="009C756D">
        <w:rPr>
          <w:szCs w:val="26"/>
        </w:rPr>
        <w:t xml:space="preserve"> 196 (1990).  Preponderance of the evidence means that the party with the burden of proof has presented evidence that is more convincing than that presented by the other party.  </w:t>
      </w:r>
      <w:r w:rsidRPr="009C756D">
        <w:rPr>
          <w:i/>
          <w:szCs w:val="26"/>
        </w:rPr>
        <w:t xml:space="preserve">Samuel J. Lansberry, Inc. v. Pa. PUC, </w:t>
      </w:r>
      <w:r w:rsidR="007F6B23">
        <w:rPr>
          <w:szCs w:val="26"/>
        </w:rPr>
        <w:t>578 A.2d 600 (Pa. C</w:t>
      </w:r>
      <w:r w:rsidR="009F10BE">
        <w:rPr>
          <w:szCs w:val="26"/>
        </w:rPr>
        <w:t>mwlth. 1990)</w:t>
      </w:r>
      <w:r w:rsidRPr="009C756D">
        <w:rPr>
          <w:szCs w:val="26"/>
        </w:rPr>
        <w:t xml:space="preserve"> </w:t>
      </w:r>
      <w:r w:rsidRPr="009C756D">
        <w:rPr>
          <w:i/>
          <w:szCs w:val="26"/>
        </w:rPr>
        <w:t>alloc. den</w:t>
      </w:r>
      <w:r w:rsidRPr="00F02F70">
        <w:rPr>
          <w:szCs w:val="26"/>
        </w:rPr>
        <w:t xml:space="preserve">., </w:t>
      </w:r>
      <w:r w:rsidR="009F10BE">
        <w:rPr>
          <w:szCs w:val="26"/>
        </w:rPr>
        <w:t>529 Pa. 654,602</w:t>
      </w:r>
      <w:r w:rsidRPr="009C756D">
        <w:rPr>
          <w:szCs w:val="26"/>
        </w:rPr>
        <w:t xml:space="preserve">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9C756D">
        <w:rPr>
          <w:i/>
          <w:szCs w:val="26"/>
        </w:rPr>
        <w:t>Norfolk and Western Railway v. Pa. PUC</w:t>
      </w:r>
      <w:r w:rsidRPr="009C756D">
        <w:rPr>
          <w:szCs w:val="26"/>
        </w:rPr>
        <w:t>, 489 Pa. 109, 413 A.2d 1037 (1980).</w:t>
      </w:r>
    </w:p>
    <w:p w:rsidR="00BB2651" w:rsidRPr="009C756D" w:rsidRDefault="00BB2651" w:rsidP="00BB2651">
      <w:r w:rsidRPr="009C756D">
        <w:rPr>
          <w:szCs w:val="26"/>
        </w:rPr>
        <w:tab/>
      </w:r>
      <w:r w:rsidRPr="009C756D">
        <w:rPr>
          <w:szCs w:val="26"/>
        </w:rPr>
        <w:tab/>
      </w:r>
    </w:p>
    <w:p w:rsidR="00BB2651" w:rsidRPr="007F6B23" w:rsidRDefault="00BB2651" w:rsidP="00BB2651">
      <w:pPr>
        <w:rPr>
          <w:rFonts w:ascii="Times New (W1)" w:hAnsi="Times New (W1)"/>
        </w:rPr>
      </w:pPr>
      <w:r w:rsidRPr="009C756D">
        <w:t xml:space="preserve">Upon the presentation by the </w:t>
      </w:r>
      <w:r w:rsidR="00B748DC">
        <w:t>C</w:t>
      </w:r>
      <w:r w:rsidRPr="009C756D">
        <w:t xml:space="preserve">omplainant of evidence sufficient to initially satisfy the burden of proof, the burden of going forward with the evidence to rebut the evidence of the </w:t>
      </w:r>
      <w:r w:rsidR="00B748DC">
        <w:t>C</w:t>
      </w:r>
      <w:r w:rsidRPr="009C756D">
        <w:t xml:space="preserve">omplainant shifts to </w:t>
      </w:r>
      <w:r>
        <w:t xml:space="preserve">the </w:t>
      </w:r>
      <w:r w:rsidR="00B748DC">
        <w:t>R</w:t>
      </w:r>
      <w:r>
        <w:t xml:space="preserve">espondent. </w:t>
      </w:r>
      <w:r w:rsidRPr="009C756D">
        <w:t xml:space="preserve"> If the evidence presented by </w:t>
      </w:r>
      <w:r>
        <w:t xml:space="preserve">the Respondent </w:t>
      </w:r>
      <w:r w:rsidRPr="009C756D">
        <w:t>is of co-equal weight, the Complainant ha</w:t>
      </w:r>
      <w:r w:rsidR="00B748DC">
        <w:t>s</w:t>
      </w:r>
      <w:r w:rsidRPr="009C756D">
        <w:t xml:space="preserve"> not satisfied </w:t>
      </w:r>
      <w:r w:rsidR="00B748DC">
        <w:t>her</w:t>
      </w:r>
      <w:r>
        <w:t xml:space="preserve"> </w:t>
      </w:r>
      <w:r w:rsidRPr="009C756D">
        <w:rPr>
          <w:rFonts w:ascii="Times New (W1)" w:hAnsi="Times New (W1)"/>
        </w:rPr>
        <w:t>burden of proof.  The Complainant now ha</w:t>
      </w:r>
      <w:r w:rsidR="00B748DC">
        <w:rPr>
          <w:rFonts w:ascii="Times New (W1)" w:hAnsi="Times New (W1)"/>
        </w:rPr>
        <w:t>s</w:t>
      </w:r>
      <w:r w:rsidRPr="009C756D">
        <w:rPr>
          <w:rFonts w:ascii="Times New (W1)" w:hAnsi="Times New (W1)"/>
        </w:rPr>
        <w:t xml:space="preserve"> to provide some additional evidence to rebut </w:t>
      </w:r>
      <w:r w:rsidR="00B748DC">
        <w:rPr>
          <w:rFonts w:ascii="Times New (W1)" w:hAnsi="Times New (W1)"/>
        </w:rPr>
        <w:t xml:space="preserve">the evidence </w:t>
      </w:r>
      <w:r w:rsidRPr="009C756D">
        <w:rPr>
          <w:rFonts w:ascii="Times New (W1)" w:hAnsi="Times New (W1)"/>
        </w:rPr>
        <w:t xml:space="preserve">of </w:t>
      </w:r>
      <w:r>
        <w:rPr>
          <w:rFonts w:ascii="Times New (W1)" w:hAnsi="Times New (W1)"/>
        </w:rPr>
        <w:lastRenderedPageBreak/>
        <w:t>the Respondent</w:t>
      </w:r>
      <w:r w:rsidRPr="009C756D">
        <w:rPr>
          <w:rFonts w:ascii="Times New (W1)" w:hAnsi="Times New (W1)"/>
        </w:rPr>
        <w:t xml:space="preserve">. </w:t>
      </w:r>
      <w:r w:rsidRPr="009C756D">
        <w:rPr>
          <w:rFonts w:ascii="Times New (W1)" w:hAnsi="Times New (W1)"/>
          <w:iCs/>
        </w:rPr>
        <w:t xml:space="preserve"> </w:t>
      </w:r>
      <w:hyperlink r:id="rId8" w:history="1">
        <w:r w:rsidRPr="007F6B23">
          <w:rPr>
            <w:rStyle w:val="Hyperlink"/>
            <w:rFonts w:ascii="Times New (W1)" w:eastAsiaTheme="majorEastAsia" w:hAnsi="Times New (W1)"/>
            <w:i/>
            <w:iCs/>
            <w:color w:val="auto"/>
            <w:u w:val="none"/>
          </w:rPr>
          <w:t>Burleson v. Pa. PUC</w:t>
        </w:r>
        <w:r w:rsidRPr="007F6B23">
          <w:rPr>
            <w:rStyle w:val="Hyperlink"/>
            <w:rFonts w:ascii="Times New (W1)" w:eastAsiaTheme="majorEastAsia" w:hAnsi="Times New (W1)"/>
            <w:iCs/>
            <w:color w:val="auto"/>
            <w:u w:val="none"/>
          </w:rPr>
          <w:t>, 443 A.2d 1373 (Pa. Cmwlth. 1982), aff’d, 501 Pa. 433, 461 A.2d 1234 (1983).</w:t>
        </w:r>
      </w:hyperlink>
    </w:p>
    <w:p w:rsidR="00BB2651" w:rsidRDefault="00BB2651" w:rsidP="00BB2651">
      <w:pPr>
        <w:rPr>
          <w:rFonts w:ascii="Times New (W1)" w:hAnsi="Times New (W1)"/>
        </w:rPr>
      </w:pPr>
    </w:p>
    <w:p w:rsidR="00BB2651" w:rsidRPr="009C756D" w:rsidRDefault="00BB2651" w:rsidP="00BB2651">
      <w:r w:rsidRPr="009C756D">
        <w:t xml:space="preserve">While the burden of persuasion may </w:t>
      </w:r>
      <w:r w:rsidRPr="009C756D">
        <w:rPr>
          <w:rStyle w:val="term1"/>
          <w:rFonts w:eastAsiaTheme="majorEastAsia"/>
          <w:b w:val="0"/>
          <w:bCs w:val="0"/>
        </w:rPr>
        <w:t>shift</w:t>
      </w:r>
      <w:r w:rsidRPr="009C756D">
        <w:t xml:space="preserve"> back and forth during a proceeding, the </w:t>
      </w:r>
      <w:r w:rsidRPr="009C756D">
        <w:rPr>
          <w:rStyle w:val="term1"/>
          <w:rFonts w:eastAsiaTheme="majorEastAsia"/>
          <w:b w:val="0"/>
          <w:bCs w:val="0"/>
        </w:rPr>
        <w:t>burden of proof</w:t>
      </w:r>
      <w:r w:rsidRPr="009C756D">
        <w:t xml:space="preserve"> never </w:t>
      </w:r>
      <w:r w:rsidRPr="009C756D">
        <w:rPr>
          <w:rStyle w:val="term1"/>
          <w:rFonts w:eastAsiaTheme="majorEastAsia"/>
          <w:b w:val="0"/>
          <w:bCs w:val="0"/>
        </w:rPr>
        <w:t>shifts.  The burden of proof</w:t>
      </w:r>
      <w:r w:rsidRPr="009C756D">
        <w:t xml:space="preserve"> always remains on the party seeking affirmative relief from the Commission.  </w:t>
      </w:r>
      <w:r w:rsidRPr="009C756D">
        <w:rPr>
          <w:i/>
        </w:rPr>
        <w:t xml:space="preserve">Milkie v. Pa. PUC, </w:t>
      </w:r>
      <w:r w:rsidRPr="009C756D">
        <w:t>768 A.2d 1217 (Pa. Cmwlth. 2001).</w:t>
      </w:r>
    </w:p>
    <w:p w:rsidR="00BB2651" w:rsidRPr="009C756D" w:rsidRDefault="00BB2651" w:rsidP="00BB2651">
      <w:pPr>
        <w:rPr>
          <w:i/>
        </w:rPr>
      </w:pPr>
    </w:p>
    <w:p w:rsidR="009B41CF" w:rsidRDefault="009B41CF" w:rsidP="00BD64B1">
      <w:r w:rsidRPr="00BD64B1">
        <w:t xml:space="preserve">In </w:t>
      </w:r>
      <w:r w:rsidR="00BD64B1" w:rsidRPr="00BD64B1">
        <w:rPr>
          <w:i/>
          <w:szCs w:val="26"/>
        </w:rPr>
        <w:t xml:space="preserve">Waldron v. Philadelphia Electric Company, </w:t>
      </w:r>
      <w:r w:rsidR="00BD64B1" w:rsidRPr="00BD64B1">
        <w:rPr>
          <w:szCs w:val="26"/>
        </w:rPr>
        <w:t>54 Pa. P.U.C. 98 (1980)</w:t>
      </w:r>
      <w:r w:rsidRPr="00BD64B1">
        <w:t xml:space="preserve">, the Commission adopted the Michigan Public Service Commission’s </w:t>
      </w:r>
      <w:r w:rsidR="00162D24">
        <w:t>(PSC</w:t>
      </w:r>
      <w:r w:rsidR="003D1721">
        <w:t>’s</w:t>
      </w:r>
      <w:r w:rsidR="00162D24">
        <w:t xml:space="preserve">) </w:t>
      </w:r>
      <w:r w:rsidRPr="00BD64B1">
        <w:t xml:space="preserve">policy annunciated in </w:t>
      </w:r>
      <w:r w:rsidRPr="00BD64B1">
        <w:rPr>
          <w:i/>
        </w:rPr>
        <w:t>Hallifax v. O &amp; A Electric Co-Op</w:t>
      </w:r>
      <w:r w:rsidRPr="00BD64B1">
        <w:t xml:space="preserve">, Case No. U-5825, May 1979, which </w:t>
      </w:r>
      <w:r w:rsidR="00B748DC">
        <w:t>stated</w:t>
      </w:r>
      <w:r w:rsidRPr="00BD64B1">
        <w:t xml:space="preserve"> that</w:t>
      </w:r>
      <w:r w:rsidR="00B748DC">
        <w:t>,</w:t>
      </w:r>
      <w:r w:rsidR="00162D24">
        <w:t xml:space="preserve"> while the accuracy of the meter is an important factor in resolving billing disputes, it is not the sole criterion.  The Michigan PSC stated that it </w:t>
      </w:r>
      <w:r w:rsidRPr="00BD64B1">
        <w:t xml:space="preserve">will also consider </w:t>
      </w:r>
      <w:r w:rsidR="0053519D">
        <w:t xml:space="preserve">the following factors: </w:t>
      </w:r>
      <w:r w:rsidRPr="00BD64B1">
        <w:t>the billing history of the complainant; any change in the number of occupants residing at the household; the potential for energy utilization; and any other relevant facts or circumstances that are brought to light during the complaint proceeding.</w:t>
      </w:r>
      <w:r w:rsidRPr="00BD64B1" w:rsidDel="000555B3">
        <w:rPr>
          <w:rStyle w:val="FootnoteReference"/>
          <w:rFonts w:eastAsiaTheme="minorEastAsia"/>
        </w:rPr>
        <w:t xml:space="preserve"> </w:t>
      </w:r>
      <w:r w:rsidRPr="00BD64B1">
        <w:t xml:space="preserve"> </w:t>
      </w:r>
      <w:r w:rsidR="00BD64B1">
        <w:t xml:space="preserve"> </w:t>
      </w:r>
      <w:r w:rsidRPr="00BD64B1">
        <w:rPr>
          <w:i/>
        </w:rPr>
        <w:t>Waldron</w:t>
      </w:r>
      <w:r w:rsidRPr="00BD64B1">
        <w:t xml:space="preserve"> at 100.</w:t>
      </w:r>
    </w:p>
    <w:p w:rsidR="00D10C73" w:rsidRDefault="00D10C73" w:rsidP="00BD64B1"/>
    <w:p w:rsidR="00D10C73" w:rsidRDefault="00D10C73" w:rsidP="00BD64B1">
      <w:r>
        <w:t xml:space="preserve">In his Initial Decision, the ALJ </w:t>
      </w:r>
      <w:r w:rsidR="00834B0D">
        <w:t xml:space="preserve">further </w:t>
      </w:r>
      <w:r>
        <w:t>explained that:</w:t>
      </w:r>
    </w:p>
    <w:p w:rsidR="00EC0BEC" w:rsidRDefault="00EC0BEC" w:rsidP="00D84895">
      <w:pPr>
        <w:spacing w:line="240" w:lineRule="auto"/>
      </w:pPr>
    </w:p>
    <w:p w:rsidR="00834B0D" w:rsidRDefault="006C6D5D" w:rsidP="00D10C73">
      <w:pPr>
        <w:spacing w:line="240" w:lineRule="auto"/>
        <w:ind w:left="1440" w:right="1440" w:firstLine="720"/>
        <w:rPr>
          <w:szCs w:val="26"/>
        </w:rPr>
      </w:pPr>
      <w:r w:rsidRPr="00EC0BEC">
        <w:rPr>
          <w:szCs w:val="26"/>
        </w:rPr>
        <w:t xml:space="preserve">A complainant may establish a </w:t>
      </w:r>
      <w:r w:rsidRPr="00EC0BEC">
        <w:rPr>
          <w:i/>
          <w:szCs w:val="26"/>
        </w:rPr>
        <w:t>prima facie</w:t>
      </w:r>
      <w:r w:rsidRPr="00EC0BEC">
        <w:rPr>
          <w:szCs w:val="26"/>
        </w:rPr>
        <w:t xml:space="preserve"> case by showing that: (1) the disputed bill was abnormally high when compared to prior usage patterns; and (2) his/her pattern of usage had not changed.  </w:t>
      </w:r>
      <w:r w:rsidR="00CF0CFF" w:rsidRPr="00CF0CFF">
        <w:rPr>
          <w:i/>
          <w:szCs w:val="26"/>
        </w:rPr>
        <w:t>Id</w:t>
      </w:r>
      <w:r w:rsidR="00CF0CFF">
        <w:rPr>
          <w:szCs w:val="26"/>
        </w:rPr>
        <w:t xml:space="preserve">.  </w:t>
      </w:r>
      <w:r w:rsidRPr="00EC0BEC">
        <w:rPr>
          <w:szCs w:val="26"/>
        </w:rPr>
        <w:t xml:space="preserve">In looking at these criteria, one may consider the billing history of the account, any change in the number of occupants residing in the household, the potential for energy utilization, and any other relevant facts or circumstances that come to light during the proceeding.  </w:t>
      </w:r>
      <w:r w:rsidRPr="006D65CB">
        <w:rPr>
          <w:i/>
          <w:szCs w:val="26"/>
        </w:rPr>
        <w:t>Replogle v. Pennsylvania Electric Company</w:t>
      </w:r>
      <w:r w:rsidRPr="00EC0BEC">
        <w:rPr>
          <w:szCs w:val="26"/>
        </w:rPr>
        <w:t xml:space="preserve">, 54 Pa. P.U.C. 528 (1980).  In this way, a complainant may prove entitlement to relief by wholly circumstantial evidence, rather </w:t>
      </w:r>
    </w:p>
    <w:p w:rsidR="00834B0D" w:rsidRDefault="00834B0D">
      <w:pPr>
        <w:rPr>
          <w:szCs w:val="26"/>
        </w:rPr>
      </w:pPr>
      <w:r>
        <w:rPr>
          <w:szCs w:val="26"/>
        </w:rPr>
        <w:br w:type="page"/>
      </w:r>
    </w:p>
    <w:p w:rsidR="006C6D5D" w:rsidRPr="00EC0BEC" w:rsidRDefault="006C6D5D" w:rsidP="00834B0D">
      <w:pPr>
        <w:spacing w:line="240" w:lineRule="auto"/>
        <w:ind w:left="1440" w:right="1440" w:firstLine="0"/>
        <w:rPr>
          <w:szCs w:val="26"/>
        </w:rPr>
      </w:pPr>
      <w:r w:rsidRPr="00EC0BEC">
        <w:rPr>
          <w:szCs w:val="26"/>
        </w:rPr>
        <w:lastRenderedPageBreak/>
        <w:t xml:space="preserve">than direct evidence of some utility misfeasance.  </w:t>
      </w:r>
      <w:r w:rsidRPr="006D65CB">
        <w:rPr>
          <w:i/>
          <w:szCs w:val="26"/>
        </w:rPr>
        <w:t>Milkie v. Pa. P.U.C.</w:t>
      </w:r>
      <w:r w:rsidR="006D65CB">
        <w:rPr>
          <w:szCs w:val="26"/>
        </w:rPr>
        <w:t xml:space="preserve">, 768 </w:t>
      </w:r>
      <w:r w:rsidRPr="00EC0BEC">
        <w:rPr>
          <w:szCs w:val="26"/>
        </w:rPr>
        <w:t>A.2d 1217 (Pa. Cmwlth. 2001).</w:t>
      </w:r>
    </w:p>
    <w:p w:rsidR="00EC0BEC" w:rsidRPr="00EC0BEC" w:rsidRDefault="00EC0BEC" w:rsidP="00D10C73">
      <w:pPr>
        <w:spacing w:line="240" w:lineRule="auto"/>
        <w:ind w:left="1440" w:right="1440" w:firstLine="720"/>
        <w:rPr>
          <w:szCs w:val="26"/>
        </w:rPr>
      </w:pPr>
    </w:p>
    <w:p w:rsidR="00EC0BEC" w:rsidRPr="00EC0BEC" w:rsidRDefault="00EC0BEC" w:rsidP="00EC0BEC">
      <w:pPr>
        <w:spacing w:line="240" w:lineRule="auto"/>
        <w:ind w:right="1440" w:firstLine="0"/>
        <w:rPr>
          <w:szCs w:val="26"/>
        </w:rPr>
      </w:pPr>
      <w:r w:rsidRPr="00EC0BEC">
        <w:rPr>
          <w:szCs w:val="26"/>
        </w:rPr>
        <w:t>I.D. at 12.</w:t>
      </w:r>
    </w:p>
    <w:p w:rsidR="00BD64B1" w:rsidRPr="00BD64B1" w:rsidRDefault="00BD64B1" w:rsidP="00BD64B1"/>
    <w:p w:rsidR="008F5B19" w:rsidRPr="008F5B19" w:rsidRDefault="00EC0BEC" w:rsidP="006D65CB">
      <w:r>
        <w:t>T</w:t>
      </w:r>
      <w:r w:rsidR="009B41CF" w:rsidRPr="00FF2AD7">
        <w:t xml:space="preserve">he ALJ found that Ms. Bennett could not establish a </w:t>
      </w:r>
      <w:r w:rsidR="009B41CF" w:rsidRPr="009055FD">
        <w:rPr>
          <w:i/>
        </w:rPr>
        <w:t>prima facie</w:t>
      </w:r>
      <w:r w:rsidR="009B41CF" w:rsidRPr="00FF2AD7">
        <w:t xml:space="preserve"> case to sustain her </w:t>
      </w:r>
      <w:r w:rsidR="0053519D">
        <w:t>C</w:t>
      </w:r>
      <w:r w:rsidR="009B41CF" w:rsidRPr="00FF2AD7">
        <w:t>omplaint because, as a new customer, she could not show that her “high winter bill in December of 2008 was inconsistent when compared with the bill in the previous winter of 2007.” I</w:t>
      </w:r>
      <w:r w:rsidR="009055FD">
        <w:t>.</w:t>
      </w:r>
      <w:r w:rsidR="009B41CF" w:rsidRPr="00FF2AD7">
        <w:t>D</w:t>
      </w:r>
      <w:r w:rsidR="009055FD">
        <w:t>. at</w:t>
      </w:r>
      <w:r w:rsidR="009B41CF" w:rsidRPr="00FF2AD7">
        <w:t xml:space="preserve"> 13.  The ALJ reasoned that “[a]s a new customer in June 2008, Complainant had no prior usage comparison record for the winter of 2007” and, therefore, could not satisfy the first prong of the </w:t>
      </w:r>
      <w:r w:rsidR="009B41CF" w:rsidRPr="00EC0BEC">
        <w:rPr>
          <w:i/>
        </w:rPr>
        <w:t>Waldron</w:t>
      </w:r>
      <w:r w:rsidR="009B41CF" w:rsidRPr="00FF2AD7">
        <w:t xml:space="preserve"> test.  </w:t>
      </w:r>
      <w:r w:rsidR="009B41CF" w:rsidRPr="008F5B19">
        <w:rPr>
          <w:i/>
        </w:rPr>
        <w:t>Id.</w:t>
      </w:r>
      <w:r w:rsidR="008F5B19">
        <w:rPr>
          <w:i/>
        </w:rPr>
        <w:t xml:space="preserve">  </w:t>
      </w:r>
      <w:r w:rsidR="006D65CB">
        <w:t>We find that t</w:t>
      </w:r>
      <w:r w:rsidR="008F5B19" w:rsidRPr="008F5B19">
        <w:t xml:space="preserve">he ALJ’s </w:t>
      </w:r>
      <w:r w:rsidR="008F5B19">
        <w:t xml:space="preserve">finding </w:t>
      </w:r>
      <w:r w:rsidR="008F5B19" w:rsidRPr="008F5B19">
        <w:t xml:space="preserve">in the instant case is not completely consistent with this Commission’s position in </w:t>
      </w:r>
      <w:r w:rsidR="008F5B19" w:rsidRPr="002304F0">
        <w:rPr>
          <w:i/>
        </w:rPr>
        <w:t>Waldron</w:t>
      </w:r>
      <w:r w:rsidR="008F5B19" w:rsidRPr="008F5B19">
        <w:t xml:space="preserve">.  The facts of this case give us an excellent opportunity to restate the Commission’s position while clarifying the </w:t>
      </w:r>
      <w:r w:rsidR="006D65CB">
        <w:t>Initial Decision</w:t>
      </w:r>
      <w:r w:rsidR="008F5B19" w:rsidRPr="008F5B19">
        <w:t>.</w:t>
      </w:r>
      <w:r w:rsidR="008F5B19" w:rsidRPr="008F5B19">
        <w:rPr>
          <w:u w:val="single"/>
        </w:rPr>
        <w:t xml:space="preserve"> </w:t>
      </w:r>
    </w:p>
    <w:p w:rsidR="009055FD" w:rsidRPr="00FF2AD7" w:rsidRDefault="009055FD" w:rsidP="00FF2AD7"/>
    <w:p w:rsidR="009B41CF" w:rsidRPr="002D3418" w:rsidRDefault="009B41CF" w:rsidP="002D3418">
      <w:r w:rsidRPr="002D3418">
        <w:t xml:space="preserve">While </w:t>
      </w:r>
      <w:r w:rsidR="00B07903" w:rsidRPr="002D3418">
        <w:t xml:space="preserve">a comparison of the disputed monthly bill to </w:t>
      </w:r>
      <w:r w:rsidR="00234766" w:rsidRPr="002D3418">
        <w:t xml:space="preserve">the Complainant’s </w:t>
      </w:r>
      <w:r w:rsidR="00095F56" w:rsidRPr="002D3418">
        <w:t xml:space="preserve">billing history and the consistency of her </w:t>
      </w:r>
      <w:r w:rsidR="00234766" w:rsidRPr="002D3418">
        <w:t xml:space="preserve">usage pattern </w:t>
      </w:r>
      <w:r w:rsidR="00095F56" w:rsidRPr="002D3418">
        <w:t xml:space="preserve">are </w:t>
      </w:r>
      <w:r w:rsidR="002C7908" w:rsidRPr="002D3418">
        <w:t xml:space="preserve">important criteria </w:t>
      </w:r>
      <w:r w:rsidRPr="002D3418">
        <w:t xml:space="preserve">to consider, </w:t>
      </w:r>
      <w:r w:rsidR="00095F56" w:rsidRPr="002D3418">
        <w:t xml:space="preserve">they </w:t>
      </w:r>
      <w:r w:rsidRPr="002D3418">
        <w:t xml:space="preserve">alone </w:t>
      </w:r>
      <w:r w:rsidR="00095F56" w:rsidRPr="002D3418">
        <w:t xml:space="preserve">do not </w:t>
      </w:r>
      <w:r w:rsidRPr="002D3418">
        <w:t>resolve the issue</w:t>
      </w:r>
      <w:r w:rsidR="002C7908" w:rsidRPr="002D3418">
        <w:t xml:space="preserve"> of the </w:t>
      </w:r>
      <w:r w:rsidR="00B07903" w:rsidRPr="002D3418">
        <w:t>Complainant’s</w:t>
      </w:r>
      <w:r w:rsidR="002C7908" w:rsidRPr="002D3418">
        <w:t xml:space="preserve"> disputed high bill</w:t>
      </w:r>
      <w:r w:rsidRPr="002D3418">
        <w:t xml:space="preserve">. </w:t>
      </w:r>
      <w:r w:rsidR="002D3418" w:rsidRPr="002D3418">
        <w:t xml:space="preserve"> </w:t>
      </w:r>
      <w:r w:rsidRPr="002D3418">
        <w:t>Clearly this or any other new customer cannot produce evidence that she does not possess regarding prior usage.</w:t>
      </w:r>
      <w:r w:rsidR="006D65CB">
        <w:t xml:space="preserve"> </w:t>
      </w:r>
      <w:r w:rsidRPr="002D3418">
        <w:t xml:space="preserve"> </w:t>
      </w:r>
      <w:r w:rsidR="0053519D">
        <w:t>Thus, t</w:t>
      </w:r>
      <w:r w:rsidRPr="002D3418">
        <w:t>h</w:t>
      </w:r>
      <w:r w:rsidR="002C7908" w:rsidRPr="002D3418">
        <w:t xml:space="preserve">e ALJ’s </w:t>
      </w:r>
      <w:r w:rsidRPr="002D3418">
        <w:t xml:space="preserve">interpretation of </w:t>
      </w:r>
      <w:r w:rsidRPr="002D3418">
        <w:rPr>
          <w:i/>
        </w:rPr>
        <w:t>Waldron</w:t>
      </w:r>
      <w:r w:rsidRPr="002D3418">
        <w:t xml:space="preserve"> is too narrow and would never allow a new customer to be able to challenge a high bill.  </w:t>
      </w:r>
      <w:r w:rsidR="0053519D">
        <w:t>Also, t</w:t>
      </w:r>
      <w:r w:rsidR="00095F56" w:rsidRPr="002D3418">
        <w:t xml:space="preserve">his interpretation </w:t>
      </w:r>
      <w:r w:rsidRPr="002D3418">
        <w:t xml:space="preserve">does not allow for other relevant facts or circumstances with probative value to be considered as evidence supportive of a high bill complaint. </w:t>
      </w:r>
      <w:r w:rsidR="002D3418">
        <w:t xml:space="preserve"> </w:t>
      </w:r>
      <w:r w:rsidRPr="002D3418">
        <w:rPr>
          <w:i/>
        </w:rPr>
        <w:t>Waldron</w:t>
      </w:r>
      <w:r w:rsidRPr="002D3418">
        <w:t xml:space="preserve"> does not limit the establishment of a </w:t>
      </w:r>
      <w:r w:rsidRPr="002D3418">
        <w:rPr>
          <w:i/>
        </w:rPr>
        <w:t>prima facie</w:t>
      </w:r>
      <w:r w:rsidRPr="002D3418">
        <w:t xml:space="preserve"> case to the above two elements alone.  Rather, the Commission may consider the billing history of the account, any change in usage patterns (such as a change in the number of occupants residing in the household or potential energy utilization), </w:t>
      </w:r>
      <w:r w:rsidRPr="002D3418">
        <w:rPr>
          <w:i/>
        </w:rPr>
        <w:t>and</w:t>
      </w:r>
      <w:r w:rsidRPr="002D3418">
        <w:rPr>
          <w:b/>
        </w:rPr>
        <w:t xml:space="preserve"> </w:t>
      </w:r>
      <w:r w:rsidRPr="002D3418">
        <w:t>any other relevant facts or circumstances that come to light during the proceeding.</w:t>
      </w:r>
    </w:p>
    <w:p w:rsidR="00095F56" w:rsidRPr="002D3418" w:rsidRDefault="00095F56" w:rsidP="002D3418"/>
    <w:p w:rsidR="009B41CF" w:rsidRPr="009564E8" w:rsidRDefault="009B41CF" w:rsidP="009564E8">
      <w:pPr>
        <w:rPr>
          <w:color w:val="000000"/>
        </w:rPr>
      </w:pPr>
      <w:r w:rsidRPr="002D3418">
        <w:t xml:space="preserve">Thus, a complainant in a high bill case has the opportunity to present any other relevant evidence which, if sufficient to establish a </w:t>
      </w:r>
      <w:r w:rsidRPr="006D65CB">
        <w:rPr>
          <w:i/>
        </w:rPr>
        <w:t xml:space="preserve">prima facie </w:t>
      </w:r>
      <w:r w:rsidRPr="002D3418">
        <w:t xml:space="preserve">case, can be used to </w:t>
      </w:r>
      <w:r w:rsidRPr="002D3418">
        <w:lastRenderedPageBreak/>
        <w:t xml:space="preserve">sustain the burden of proof.  There is no specific requirement as to what particular facts the complainant must offer. </w:t>
      </w:r>
      <w:r w:rsidR="006D65CB">
        <w:t xml:space="preserve"> </w:t>
      </w:r>
      <w:r w:rsidRPr="002D3418">
        <w:t xml:space="preserve">This will likely vary from case to case.  In </w:t>
      </w:r>
      <w:r w:rsidRPr="002D3418">
        <w:rPr>
          <w:i/>
        </w:rPr>
        <w:t>Waldron</w:t>
      </w:r>
      <w:r w:rsidRPr="002D3418">
        <w:t>, for example, the complainant did not provide a comparison of prior billing</w:t>
      </w:r>
      <w:r w:rsidR="009564E8">
        <w:t>,</w:t>
      </w:r>
      <w:r w:rsidRPr="002D3418">
        <w:t xml:space="preserve"> but asserted that the apartment was uninhabited during the billing period in question</w:t>
      </w:r>
      <w:r w:rsidR="00283F4D">
        <w:t xml:space="preserve"> and</w:t>
      </w:r>
      <w:r w:rsidRPr="002D3418">
        <w:t xml:space="preserve"> that the only operating appliances were a clock and a refrigerator; that two air conditioners were disconnected</w:t>
      </w:r>
      <w:r w:rsidR="00A11975">
        <w:t>;</w:t>
      </w:r>
      <w:r w:rsidRPr="002D3418">
        <w:t xml:space="preserve"> and that</w:t>
      </w:r>
      <w:r w:rsidR="0053519D">
        <w:t>,</w:t>
      </w:r>
      <w:r w:rsidRPr="002D3418">
        <w:t xml:space="preserve"> even if the latter </w:t>
      </w:r>
      <w:r w:rsidR="0053519D">
        <w:t>had been</w:t>
      </w:r>
      <w:r w:rsidRPr="002D3418">
        <w:t xml:space="preserve"> connected</w:t>
      </w:r>
      <w:r w:rsidR="0053519D">
        <w:t>,</w:t>
      </w:r>
      <w:r w:rsidRPr="002D3418">
        <w:t xml:space="preserve"> the</w:t>
      </w:r>
      <w:r w:rsidR="00A11975">
        <w:t xml:space="preserve"> complainant</w:t>
      </w:r>
      <w:r w:rsidRPr="002D3418">
        <w:t xml:space="preserve"> could not possibly have used the energy reflected in the billing. </w:t>
      </w:r>
      <w:r w:rsidR="00283F4D">
        <w:t xml:space="preserve"> </w:t>
      </w:r>
      <w:r w:rsidRPr="002D3418">
        <w:t xml:space="preserve">The Commission remanded the complaint in </w:t>
      </w:r>
      <w:r w:rsidRPr="002D3418">
        <w:rPr>
          <w:i/>
        </w:rPr>
        <w:t xml:space="preserve">Waldron </w:t>
      </w:r>
      <w:r w:rsidRPr="002D3418">
        <w:t xml:space="preserve">reasoning that, had the record been properly developed, those facts may have established a </w:t>
      </w:r>
      <w:r w:rsidRPr="00B657D5">
        <w:rPr>
          <w:i/>
        </w:rPr>
        <w:t>prima facie</w:t>
      </w:r>
      <w:r w:rsidRPr="002D3418">
        <w:t xml:space="preserve"> high bill case and then the Company would have had to introduce evidence to overcome the </w:t>
      </w:r>
      <w:r w:rsidRPr="0053519D">
        <w:rPr>
          <w:i/>
        </w:rPr>
        <w:t>prima facie</w:t>
      </w:r>
      <w:r w:rsidRPr="002D3418">
        <w:t xml:space="preserve"> case.</w:t>
      </w:r>
      <w:r w:rsidR="002D3418">
        <w:t xml:space="preserve"> </w:t>
      </w:r>
      <w:r w:rsidRPr="002D3418">
        <w:t xml:space="preserve"> </w:t>
      </w:r>
      <w:r w:rsidRPr="002D3418">
        <w:rPr>
          <w:i/>
        </w:rPr>
        <w:t>Waldron</w:t>
      </w:r>
      <w:r w:rsidRPr="002D3418">
        <w:t xml:space="preserve"> at 101.  </w:t>
      </w:r>
      <w:r w:rsidR="009564E8" w:rsidRPr="009564E8">
        <w:rPr>
          <w:color w:val="000000"/>
        </w:rPr>
        <w:t xml:space="preserve">Therefore, </w:t>
      </w:r>
      <w:r w:rsidRPr="009564E8">
        <w:rPr>
          <w:color w:val="000000"/>
        </w:rPr>
        <w:t xml:space="preserve">to establish a </w:t>
      </w:r>
      <w:r w:rsidRPr="009564E8">
        <w:rPr>
          <w:i/>
          <w:color w:val="000000"/>
        </w:rPr>
        <w:t xml:space="preserve">prima facie </w:t>
      </w:r>
      <w:r w:rsidRPr="009564E8">
        <w:rPr>
          <w:color w:val="000000"/>
        </w:rPr>
        <w:t xml:space="preserve">case under </w:t>
      </w:r>
      <w:r w:rsidRPr="009564E8">
        <w:rPr>
          <w:i/>
          <w:color w:val="000000"/>
        </w:rPr>
        <w:t>Waldron</w:t>
      </w:r>
      <w:r w:rsidRPr="009564E8">
        <w:rPr>
          <w:color w:val="000000"/>
        </w:rPr>
        <w:t xml:space="preserve">, a </w:t>
      </w:r>
      <w:r w:rsidR="0053519D">
        <w:rPr>
          <w:color w:val="000000"/>
        </w:rPr>
        <w:t>c</w:t>
      </w:r>
      <w:r w:rsidRPr="009564E8">
        <w:rPr>
          <w:color w:val="000000"/>
        </w:rPr>
        <w:t xml:space="preserve">omplainant must show the disputed bill was abnormally high when compared to prior usage patterns and </w:t>
      </w:r>
      <w:r w:rsidR="0053519D">
        <w:rPr>
          <w:color w:val="000000"/>
        </w:rPr>
        <w:t xml:space="preserve">that </w:t>
      </w:r>
      <w:r w:rsidRPr="009564E8">
        <w:rPr>
          <w:color w:val="000000"/>
        </w:rPr>
        <w:t>his or her pattern of usage has not changed or</w:t>
      </w:r>
      <w:r w:rsidR="009564E8" w:rsidRPr="009564E8">
        <w:rPr>
          <w:color w:val="000000"/>
        </w:rPr>
        <w:t xml:space="preserve"> </w:t>
      </w:r>
      <w:r w:rsidRPr="009564E8">
        <w:rPr>
          <w:color w:val="000000"/>
        </w:rPr>
        <w:t>must provide other relevant evidence showi</w:t>
      </w:r>
      <w:r w:rsidR="009564E8">
        <w:rPr>
          <w:color w:val="000000"/>
        </w:rPr>
        <w:t xml:space="preserve">ng that the </w:t>
      </w:r>
      <w:r w:rsidR="00283F4D">
        <w:rPr>
          <w:color w:val="000000"/>
        </w:rPr>
        <w:t xml:space="preserve">disputed bill is </w:t>
      </w:r>
      <w:r w:rsidRPr="009564E8">
        <w:rPr>
          <w:color w:val="000000"/>
        </w:rPr>
        <w:t xml:space="preserve">unreasonably high. </w:t>
      </w:r>
    </w:p>
    <w:p w:rsidR="00095F56" w:rsidRDefault="00095F56" w:rsidP="009B41CF">
      <w:pPr>
        <w:ind w:firstLine="720"/>
        <w:rPr>
          <w:rFonts w:ascii="Century Schoolbook" w:hAnsi="Century Schoolbook" w:cs="Tahoma"/>
          <w:color w:val="000000"/>
        </w:rPr>
      </w:pPr>
    </w:p>
    <w:p w:rsidR="009B41CF" w:rsidRPr="00283F4D" w:rsidRDefault="009B41CF" w:rsidP="00283F4D">
      <w:r w:rsidRPr="00283F4D">
        <w:t xml:space="preserve">By way of further restatement and clarification, and as set forth in </w:t>
      </w:r>
      <w:r w:rsidRPr="000C3EE9">
        <w:rPr>
          <w:i/>
        </w:rPr>
        <w:t>Waldron,</w:t>
      </w:r>
      <w:r w:rsidRPr="00283F4D">
        <w:t xml:space="preserve"> evidence proffered by a utility relating to the accuracy of a meter test</w:t>
      </w:r>
      <w:r w:rsidR="0053519D">
        <w:t xml:space="preserve"> alone</w:t>
      </w:r>
      <w:r w:rsidRPr="00283F4D">
        <w:t xml:space="preserve">, in response to a high bill complaint, is not conclusive evidence and would not, by itself, require a finding against a complainant and in favor of a company.  </w:t>
      </w:r>
      <w:r w:rsidRPr="000C3EE9">
        <w:rPr>
          <w:i/>
        </w:rPr>
        <w:t>Id.</w:t>
      </w:r>
      <w:r w:rsidRPr="00283F4D">
        <w:t xml:space="preserve">  In other words, evidence of a meter test showing that the meter worked within the acceptable degree of accuracy can be overcome with circumstantial evidence that otherwise indicate</w:t>
      </w:r>
      <w:r w:rsidR="00A268F6">
        <w:t>s</w:t>
      </w:r>
      <w:r w:rsidRPr="00283F4D">
        <w:t xml:space="preserve"> that a bill was too high.</w:t>
      </w:r>
    </w:p>
    <w:p w:rsidR="00095F56" w:rsidRDefault="00095F56" w:rsidP="009B41CF">
      <w:pPr>
        <w:ind w:firstLine="720"/>
        <w:rPr>
          <w:rFonts w:ascii="Century Schoolbook" w:hAnsi="Century Schoolbook"/>
        </w:rPr>
      </w:pPr>
    </w:p>
    <w:p w:rsidR="000C3EE9" w:rsidRDefault="000C3EE9" w:rsidP="000C3EE9">
      <w:r w:rsidRPr="000C3EE9">
        <w:t>In the present case, the ALJ correctly concluded that the Complainant failed to meet her burden of proof and</w:t>
      </w:r>
      <w:r w:rsidR="00A268F6">
        <w:t>,</w:t>
      </w:r>
      <w:r w:rsidRPr="000C3EE9">
        <w:t xml:space="preserve"> thus</w:t>
      </w:r>
      <w:r w:rsidR="00A268F6">
        <w:t>,</w:t>
      </w:r>
      <w:r w:rsidRPr="000C3EE9">
        <w:t xml:space="preserve"> did not establish a </w:t>
      </w:r>
      <w:r w:rsidRPr="000C3EE9">
        <w:rPr>
          <w:i/>
        </w:rPr>
        <w:t>prima facie</w:t>
      </w:r>
      <w:r w:rsidRPr="000C3EE9">
        <w:t xml:space="preserve"> case by presenting facts or circumstances envisioned under </w:t>
      </w:r>
      <w:r w:rsidRPr="000C3EE9">
        <w:rPr>
          <w:i/>
        </w:rPr>
        <w:t>Waldron</w:t>
      </w:r>
      <w:r w:rsidRPr="000C3EE9">
        <w:t xml:space="preserve">. </w:t>
      </w:r>
      <w:r>
        <w:t xml:space="preserve"> </w:t>
      </w:r>
      <w:r w:rsidRPr="000C3EE9">
        <w:t xml:space="preserve">The Complainant did not produce any circumstantial evidence in support of her claim; consequently, we should not disturb the holding of the ALJ dismissing the </w:t>
      </w:r>
      <w:r w:rsidR="005C48C9">
        <w:t>C</w:t>
      </w:r>
      <w:r w:rsidRPr="000C3EE9">
        <w:t xml:space="preserve">omplaint.  </w:t>
      </w:r>
    </w:p>
    <w:p w:rsidR="00A0706F" w:rsidRDefault="00A0706F" w:rsidP="000C3EE9"/>
    <w:p w:rsidR="005C48C9" w:rsidRPr="0091688D" w:rsidRDefault="005C48C9" w:rsidP="005C48C9">
      <w:pPr>
        <w:keepNext/>
        <w:ind w:firstLine="0"/>
        <w:jc w:val="center"/>
        <w:rPr>
          <w:b/>
          <w:szCs w:val="26"/>
        </w:rPr>
      </w:pPr>
      <w:r w:rsidRPr="0091688D">
        <w:rPr>
          <w:b/>
          <w:szCs w:val="26"/>
        </w:rPr>
        <w:lastRenderedPageBreak/>
        <w:t>Conclusion</w:t>
      </w:r>
    </w:p>
    <w:p w:rsidR="005C48C9" w:rsidRPr="005D39DC" w:rsidRDefault="005C48C9" w:rsidP="005C48C9">
      <w:pPr>
        <w:keepNext/>
        <w:jc w:val="center"/>
        <w:rPr>
          <w:b/>
          <w:szCs w:val="26"/>
          <w:u w:val="single"/>
        </w:rPr>
      </w:pPr>
    </w:p>
    <w:p w:rsidR="005C48C9" w:rsidRPr="005D39DC" w:rsidRDefault="005C48C9" w:rsidP="005C48C9">
      <w:pPr>
        <w:suppressAutoHyphens/>
        <w:rPr>
          <w:spacing w:val="-3"/>
          <w:szCs w:val="26"/>
        </w:rPr>
      </w:pPr>
      <w:r w:rsidRPr="005D39DC">
        <w:rPr>
          <w:spacing w:val="-3"/>
          <w:szCs w:val="26"/>
        </w:rPr>
        <w:t xml:space="preserve">Upon review and consideration of the record of this proceeding, and in light of the foregoing discussion, we shall </w:t>
      </w:r>
      <w:r>
        <w:rPr>
          <w:spacing w:val="-3"/>
          <w:szCs w:val="26"/>
        </w:rPr>
        <w:t xml:space="preserve">dismiss the Complaint of Ms. Bennett and </w:t>
      </w:r>
      <w:r w:rsidRPr="005D39DC">
        <w:rPr>
          <w:spacing w:val="-3"/>
          <w:szCs w:val="26"/>
        </w:rPr>
        <w:t>adopt the ALJ’s Initial Decisio</w:t>
      </w:r>
      <w:r w:rsidR="00093F58">
        <w:rPr>
          <w:spacing w:val="-3"/>
          <w:szCs w:val="26"/>
        </w:rPr>
        <w:t>n</w:t>
      </w:r>
      <w:r w:rsidR="007E1B2C">
        <w:rPr>
          <w:spacing w:val="-3"/>
          <w:szCs w:val="26"/>
        </w:rPr>
        <w:t>,</w:t>
      </w:r>
      <w:r>
        <w:rPr>
          <w:spacing w:val="-3"/>
          <w:szCs w:val="26"/>
        </w:rPr>
        <w:t xml:space="preserve"> as </w:t>
      </w:r>
      <w:r w:rsidR="00A268F6">
        <w:rPr>
          <w:spacing w:val="-3"/>
          <w:szCs w:val="26"/>
        </w:rPr>
        <w:t>modified</w:t>
      </w:r>
      <w:r>
        <w:rPr>
          <w:spacing w:val="-3"/>
          <w:szCs w:val="26"/>
        </w:rPr>
        <w:t xml:space="preserve"> by this Opinion and Order</w:t>
      </w:r>
      <w:r w:rsidRPr="005D39DC">
        <w:rPr>
          <w:spacing w:val="-3"/>
          <w:szCs w:val="26"/>
        </w:rPr>
        <w:t xml:space="preserve">; </w:t>
      </w:r>
      <w:r w:rsidRPr="005D39DC">
        <w:rPr>
          <w:b/>
          <w:spacing w:val="-3"/>
          <w:szCs w:val="26"/>
        </w:rPr>
        <w:t>THEREFORE,</w:t>
      </w:r>
      <w:r w:rsidRPr="005D39DC">
        <w:rPr>
          <w:spacing w:val="-3"/>
          <w:szCs w:val="26"/>
        </w:rPr>
        <w:t xml:space="preserve"> </w:t>
      </w:r>
    </w:p>
    <w:p w:rsidR="005C48C9" w:rsidRPr="005D39DC" w:rsidRDefault="005C48C9" w:rsidP="005C48C9">
      <w:pPr>
        <w:suppressAutoHyphens/>
        <w:rPr>
          <w:spacing w:val="-3"/>
          <w:szCs w:val="26"/>
        </w:rPr>
      </w:pPr>
    </w:p>
    <w:p w:rsidR="005C48C9" w:rsidRPr="005D39DC" w:rsidRDefault="005C48C9" w:rsidP="005C48C9">
      <w:pPr>
        <w:keepNext/>
        <w:suppressAutoHyphens/>
        <w:ind w:left="1080" w:firstLine="360"/>
        <w:rPr>
          <w:spacing w:val="-3"/>
          <w:szCs w:val="26"/>
        </w:rPr>
      </w:pPr>
      <w:r w:rsidRPr="005D39DC">
        <w:rPr>
          <w:b/>
          <w:spacing w:val="-3"/>
          <w:szCs w:val="26"/>
        </w:rPr>
        <w:t>IT IS ORDERED</w:t>
      </w:r>
      <w:r w:rsidRPr="005D39DC">
        <w:rPr>
          <w:spacing w:val="-3"/>
          <w:szCs w:val="26"/>
        </w:rPr>
        <w:t>:</w:t>
      </w:r>
    </w:p>
    <w:p w:rsidR="005C48C9" w:rsidRPr="005D39DC" w:rsidRDefault="005C48C9" w:rsidP="005C48C9">
      <w:pPr>
        <w:keepNext/>
        <w:suppressAutoHyphens/>
        <w:ind w:left="360"/>
        <w:rPr>
          <w:spacing w:val="-3"/>
          <w:szCs w:val="26"/>
        </w:rPr>
      </w:pPr>
    </w:p>
    <w:p w:rsidR="005C48C9" w:rsidRPr="00EE19F5" w:rsidRDefault="005C48C9" w:rsidP="00EE19F5">
      <w:pPr>
        <w:pStyle w:val="ListParagraph"/>
        <w:numPr>
          <w:ilvl w:val="0"/>
          <w:numId w:val="4"/>
        </w:numPr>
        <w:tabs>
          <w:tab w:val="left" w:pos="-1440"/>
          <w:tab w:val="left" w:pos="-720"/>
        </w:tabs>
        <w:suppressAutoHyphens/>
        <w:ind w:left="0" w:firstLine="1440"/>
        <w:rPr>
          <w:spacing w:val="-3"/>
        </w:rPr>
      </w:pPr>
      <w:r w:rsidRPr="00EE19F5">
        <w:rPr>
          <w:spacing w:val="-3"/>
        </w:rPr>
        <w:t xml:space="preserve">That the Initial Decision of Administrative Law Judge </w:t>
      </w:r>
      <w:r w:rsidR="00144FA4" w:rsidRPr="00EE19F5">
        <w:rPr>
          <w:spacing w:val="-3"/>
        </w:rPr>
        <w:t>Conrad A. Johnson</w:t>
      </w:r>
      <w:r w:rsidRPr="00EE19F5">
        <w:rPr>
          <w:spacing w:val="-3"/>
        </w:rPr>
        <w:t xml:space="preserve"> is adopted</w:t>
      </w:r>
      <w:r w:rsidR="007E1B2C" w:rsidRPr="00EE19F5">
        <w:rPr>
          <w:spacing w:val="-3"/>
        </w:rPr>
        <w:t xml:space="preserve"> as </w:t>
      </w:r>
      <w:r w:rsidR="00A268F6" w:rsidRPr="00EE19F5">
        <w:rPr>
          <w:spacing w:val="-3"/>
        </w:rPr>
        <w:t>modified</w:t>
      </w:r>
      <w:r w:rsidR="007E1B2C" w:rsidRPr="00EE19F5">
        <w:rPr>
          <w:spacing w:val="-3"/>
        </w:rPr>
        <w:t xml:space="preserve"> by this Opinion and Order</w:t>
      </w:r>
      <w:r w:rsidRPr="00EE19F5">
        <w:rPr>
          <w:spacing w:val="-3"/>
        </w:rPr>
        <w:t>.</w:t>
      </w:r>
    </w:p>
    <w:p w:rsidR="005C48C9" w:rsidRDefault="005C48C9" w:rsidP="00EE19F5">
      <w:pPr>
        <w:tabs>
          <w:tab w:val="left" w:pos="-1440"/>
          <w:tab w:val="left" w:pos="-720"/>
        </w:tabs>
        <w:suppressAutoHyphens/>
        <w:rPr>
          <w:spacing w:val="-3"/>
          <w:szCs w:val="26"/>
        </w:rPr>
      </w:pPr>
    </w:p>
    <w:p w:rsidR="005C48C9" w:rsidRPr="00EE19F5" w:rsidRDefault="005C48C9" w:rsidP="00EE19F5">
      <w:pPr>
        <w:pStyle w:val="ListParagraph"/>
        <w:numPr>
          <w:ilvl w:val="0"/>
          <w:numId w:val="4"/>
        </w:numPr>
        <w:tabs>
          <w:tab w:val="left" w:pos="-1440"/>
          <w:tab w:val="left" w:pos="-720"/>
        </w:tabs>
        <w:suppressAutoHyphens/>
        <w:ind w:left="0" w:firstLine="1440"/>
        <w:rPr>
          <w:spacing w:val="-3"/>
        </w:rPr>
      </w:pPr>
      <w:r w:rsidRPr="00EE19F5">
        <w:rPr>
          <w:spacing w:val="-3"/>
        </w:rPr>
        <w:t xml:space="preserve">That the Complaint of </w:t>
      </w:r>
      <w:r w:rsidR="007E1B2C" w:rsidRPr="00EE19F5">
        <w:rPr>
          <w:spacing w:val="-3"/>
        </w:rPr>
        <w:t xml:space="preserve">Charisse M. Bennett against </w:t>
      </w:r>
      <w:r w:rsidR="000756CB">
        <w:rPr>
          <w:spacing w:val="-3"/>
        </w:rPr>
        <w:t>t</w:t>
      </w:r>
      <w:r w:rsidR="007E1B2C" w:rsidRPr="00EE19F5">
        <w:rPr>
          <w:spacing w:val="-3"/>
        </w:rPr>
        <w:t xml:space="preserve">he </w:t>
      </w:r>
      <w:r w:rsidR="00144FA4" w:rsidRPr="00EE19F5">
        <w:rPr>
          <w:spacing w:val="-3"/>
        </w:rPr>
        <w:t>P</w:t>
      </w:r>
      <w:r w:rsidR="007E1B2C" w:rsidRPr="00EE19F5">
        <w:rPr>
          <w:spacing w:val="-3"/>
        </w:rPr>
        <w:t>eoples Natural Gas Company</w:t>
      </w:r>
      <w:r w:rsidR="00144FA4" w:rsidRPr="00EE19F5">
        <w:rPr>
          <w:spacing w:val="-3"/>
        </w:rPr>
        <w:t>, LLC</w:t>
      </w:r>
      <w:r w:rsidR="007E1B2C" w:rsidRPr="00EE19F5">
        <w:rPr>
          <w:spacing w:val="-3"/>
        </w:rPr>
        <w:t xml:space="preserve"> i</w:t>
      </w:r>
      <w:r w:rsidRPr="00EE19F5">
        <w:rPr>
          <w:spacing w:val="-3"/>
        </w:rPr>
        <w:t>s dismissed.</w:t>
      </w:r>
    </w:p>
    <w:p w:rsidR="005C48C9" w:rsidRDefault="005C48C9" w:rsidP="00EE19F5">
      <w:pPr>
        <w:tabs>
          <w:tab w:val="left" w:pos="-1440"/>
          <w:tab w:val="left" w:pos="-720"/>
        </w:tabs>
        <w:suppressAutoHyphens/>
        <w:rPr>
          <w:spacing w:val="-3"/>
          <w:szCs w:val="26"/>
        </w:rPr>
      </w:pPr>
    </w:p>
    <w:p w:rsidR="00EE19F5" w:rsidRPr="00295A5E" w:rsidRDefault="00EE19F5" w:rsidP="00EE19F5">
      <w:pPr>
        <w:pStyle w:val="ListParagraph"/>
        <w:numPr>
          <w:ilvl w:val="0"/>
          <w:numId w:val="4"/>
        </w:numPr>
        <w:ind w:left="0" w:firstLine="1440"/>
      </w:pPr>
      <w:r w:rsidRPr="00295A5E">
        <w:t xml:space="preserve">That </w:t>
      </w:r>
      <w:r w:rsidR="000756CB" w:rsidRPr="00295A5E">
        <w:rPr>
          <w:spacing w:val="-3"/>
        </w:rPr>
        <w:t xml:space="preserve">Charisse M. Bennett </w:t>
      </w:r>
      <w:r w:rsidRPr="00295A5E">
        <w:t xml:space="preserve">shall pay </w:t>
      </w:r>
      <w:r w:rsidR="000756CB" w:rsidRPr="00295A5E">
        <w:rPr>
          <w:spacing w:val="-3"/>
        </w:rPr>
        <w:t xml:space="preserve">the Peoples Natural Gas Company, LLC </w:t>
      </w:r>
      <w:r w:rsidRPr="00295A5E">
        <w:t xml:space="preserve">on the date due for the payment of each monthly bill, the regular budget amount of the bills as they come due, plus </w:t>
      </w:r>
      <w:r w:rsidR="000756CB" w:rsidRPr="00295A5E">
        <w:t>one-sixth</w:t>
      </w:r>
      <w:r w:rsidRPr="00295A5E">
        <w:t xml:space="preserve"> </w:t>
      </w:r>
      <w:r w:rsidR="00887E92">
        <w:t>(1/6</w:t>
      </w:r>
      <w:r w:rsidR="00887E92" w:rsidRPr="00887E92">
        <w:rPr>
          <w:vertAlign w:val="superscript"/>
        </w:rPr>
        <w:t>th</w:t>
      </w:r>
      <w:r w:rsidR="00887E92">
        <w:t xml:space="preserve">) </w:t>
      </w:r>
      <w:r w:rsidRPr="00295A5E">
        <w:t xml:space="preserve">of the arrearage owed on this account to be calculated as of the date </w:t>
      </w:r>
      <w:r w:rsidR="00887E92">
        <w:t xml:space="preserve">of </w:t>
      </w:r>
      <w:r w:rsidR="00964E59" w:rsidRPr="00295A5E">
        <w:t>entry of this Opinion and Order.  T</w:t>
      </w:r>
      <w:r w:rsidRPr="00295A5E">
        <w:t xml:space="preserve">hese payments shall commence with the first monthly bill received after entry of </w:t>
      </w:r>
      <w:r w:rsidR="00964E59" w:rsidRPr="00295A5E">
        <w:t xml:space="preserve">this Opinion and </w:t>
      </w:r>
      <w:r w:rsidR="00295A5E">
        <w:t xml:space="preserve">Order and </w:t>
      </w:r>
      <w:r w:rsidRPr="00295A5E">
        <w:t>continue thereafter on the due date for the payment of each regular monthly bill, until the arrearage on this account has been paid in full.</w:t>
      </w:r>
    </w:p>
    <w:p w:rsidR="00EE19F5" w:rsidRPr="00295A5E" w:rsidRDefault="00EE19F5" w:rsidP="00EE19F5">
      <w:pPr>
        <w:rPr>
          <w:szCs w:val="26"/>
        </w:rPr>
      </w:pPr>
    </w:p>
    <w:p w:rsidR="00EE19F5" w:rsidRPr="00295A5E" w:rsidRDefault="00EE19F5" w:rsidP="00EE19F5">
      <w:pPr>
        <w:pStyle w:val="ListParagraph"/>
        <w:numPr>
          <w:ilvl w:val="0"/>
          <w:numId w:val="4"/>
        </w:numPr>
        <w:ind w:left="0" w:firstLine="1440"/>
      </w:pPr>
      <w:r w:rsidRPr="00295A5E">
        <w:t xml:space="preserve">That, so long as </w:t>
      </w:r>
      <w:r w:rsidR="000756CB" w:rsidRPr="00295A5E">
        <w:rPr>
          <w:spacing w:val="-3"/>
        </w:rPr>
        <w:t xml:space="preserve">Charisse M. Bennett </w:t>
      </w:r>
      <w:r w:rsidRPr="00295A5E">
        <w:t xml:space="preserve">adheres to the terms of this </w:t>
      </w:r>
      <w:r w:rsidR="00964E59" w:rsidRPr="00295A5E">
        <w:t xml:space="preserve">Opinion and </w:t>
      </w:r>
      <w:r w:rsidRPr="00295A5E">
        <w:t xml:space="preserve">Order, </w:t>
      </w:r>
      <w:r w:rsidR="00964E59" w:rsidRPr="00295A5E">
        <w:rPr>
          <w:spacing w:val="-3"/>
        </w:rPr>
        <w:t xml:space="preserve">the Peoples Natural Gas Company, LLC </w:t>
      </w:r>
      <w:r w:rsidRPr="00295A5E">
        <w:t>shall not assess any late payment charges</w:t>
      </w:r>
      <w:r w:rsidR="0070408B">
        <w:t>;</w:t>
      </w:r>
      <w:r w:rsidRPr="00295A5E">
        <w:t xml:space="preserve"> nor shall </w:t>
      </w:r>
      <w:r w:rsidR="00964E59" w:rsidRPr="00295A5E">
        <w:t>it</w:t>
      </w:r>
      <w:r w:rsidRPr="00295A5E">
        <w:t xml:space="preserve"> terminate service to </w:t>
      </w:r>
      <w:r w:rsidR="000756CB" w:rsidRPr="00295A5E">
        <w:rPr>
          <w:spacing w:val="-3"/>
        </w:rPr>
        <w:t>Charisse M. Bennett</w:t>
      </w:r>
      <w:r w:rsidRPr="00295A5E">
        <w:t>, except for valid safety and/or emergency reasons.</w:t>
      </w:r>
    </w:p>
    <w:p w:rsidR="00EE19F5" w:rsidRPr="00295A5E" w:rsidRDefault="00EE19F5" w:rsidP="00EE19F5">
      <w:pPr>
        <w:rPr>
          <w:szCs w:val="26"/>
        </w:rPr>
      </w:pPr>
    </w:p>
    <w:p w:rsidR="00EE19F5" w:rsidRPr="00295A5E" w:rsidRDefault="00EE19F5" w:rsidP="00EE19F5">
      <w:pPr>
        <w:pStyle w:val="ListParagraph"/>
        <w:numPr>
          <w:ilvl w:val="0"/>
          <w:numId w:val="4"/>
        </w:numPr>
        <w:ind w:left="0" w:firstLine="1440"/>
      </w:pPr>
      <w:r w:rsidRPr="00295A5E">
        <w:t xml:space="preserve">That if </w:t>
      </w:r>
      <w:r w:rsidR="000756CB" w:rsidRPr="00295A5E">
        <w:rPr>
          <w:spacing w:val="-3"/>
        </w:rPr>
        <w:t xml:space="preserve">Charisse M. Bennett </w:t>
      </w:r>
      <w:r w:rsidRPr="00295A5E">
        <w:t xml:space="preserve">fails to adhere to the terms of this </w:t>
      </w:r>
      <w:r w:rsidR="00964E59" w:rsidRPr="00295A5E">
        <w:t xml:space="preserve">Opinion and </w:t>
      </w:r>
      <w:r w:rsidRPr="00295A5E">
        <w:t xml:space="preserve">Order, the </w:t>
      </w:r>
      <w:r w:rsidR="00964E59" w:rsidRPr="00295A5E">
        <w:rPr>
          <w:spacing w:val="-3"/>
        </w:rPr>
        <w:t xml:space="preserve">Peoples Natural Gas Company, LLC </w:t>
      </w:r>
      <w:r w:rsidRPr="00295A5E">
        <w:t xml:space="preserve">is hereby authorized to </w:t>
      </w:r>
      <w:r w:rsidRPr="00295A5E">
        <w:lastRenderedPageBreak/>
        <w:t xml:space="preserve">terminate </w:t>
      </w:r>
      <w:r w:rsidR="000756CB" w:rsidRPr="00295A5E">
        <w:t xml:space="preserve">her </w:t>
      </w:r>
      <w:r w:rsidRPr="00295A5E">
        <w:t xml:space="preserve">service pursuant to the provisions of the Public Utility Code, 66 Pa. C.S. §§101, </w:t>
      </w:r>
      <w:r w:rsidRPr="00295A5E">
        <w:rPr>
          <w:i/>
        </w:rPr>
        <w:t>et seq</w:t>
      </w:r>
      <w:r w:rsidRPr="00295A5E">
        <w:t xml:space="preserve">., and the Commission’s regulations, 52 Pa. Code §§56.1, </w:t>
      </w:r>
      <w:r w:rsidRPr="00295A5E">
        <w:rPr>
          <w:i/>
        </w:rPr>
        <w:t>et seq</w:t>
      </w:r>
      <w:r w:rsidRPr="00295A5E">
        <w:t>.</w:t>
      </w:r>
    </w:p>
    <w:p w:rsidR="00EE19F5" w:rsidRPr="00295A5E" w:rsidRDefault="00EE19F5" w:rsidP="00EE19F5">
      <w:pPr>
        <w:tabs>
          <w:tab w:val="left" w:pos="-1440"/>
          <w:tab w:val="left" w:pos="-720"/>
        </w:tabs>
        <w:suppressAutoHyphens/>
        <w:rPr>
          <w:spacing w:val="-3"/>
          <w:szCs w:val="26"/>
        </w:rPr>
      </w:pPr>
    </w:p>
    <w:p w:rsidR="005C48C9" w:rsidRPr="00295A5E" w:rsidRDefault="005C48C9" w:rsidP="00EE19F5">
      <w:pPr>
        <w:pStyle w:val="ListParagraph"/>
        <w:numPr>
          <w:ilvl w:val="0"/>
          <w:numId w:val="4"/>
        </w:numPr>
        <w:tabs>
          <w:tab w:val="left" w:pos="-1440"/>
          <w:tab w:val="left" w:pos="-720"/>
        </w:tabs>
        <w:suppressAutoHyphens/>
        <w:ind w:left="0" w:firstLine="1440"/>
        <w:rPr>
          <w:spacing w:val="-3"/>
        </w:rPr>
      </w:pPr>
      <w:r w:rsidRPr="00295A5E">
        <w:rPr>
          <w:spacing w:val="-3"/>
        </w:rPr>
        <w:t>That the record at this docket be marked closed.</w:t>
      </w:r>
    </w:p>
    <w:p w:rsidR="005C48C9" w:rsidRDefault="005C48C9" w:rsidP="005C48C9">
      <w:pPr>
        <w:suppressAutoHyphens/>
        <w:rPr>
          <w:spacing w:val="-3"/>
          <w:szCs w:val="26"/>
        </w:rPr>
      </w:pPr>
    </w:p>
    <w:p w:rsidR="0070408B" w:rsidRPr="005D39DC" w:rsidRDefault="0070408B" w:rsidP="005C48C9">
      <w:pPr>
        <w:suppressAutoHyphens/>
        <w:rPr>
          <w:spacing w:val="-3"/>
          <w:szCs w:val="26"/>
        </w:rPr>
      </w:pPr>
    </w:p>
    <w:p w:rsidR="005C48C9" w:rsidRPr="005D39DC" w:rsidRDefault="00C813CB" w:rsidP="007E1B2C">
      <w:pPr>
        <w:suppressAutoHyphens/>
        <w:ind w:firstLine="5040"/>
        <w:rPr>
          <w:b/>
          <w:spacing w:val="-3"/>
          <w:szCs w:val="26"/>
        </w:rPr>
      </w:pPr>
      <w:r>
        <w:rPr>
          <w:b/>
          <w:noProof/>
          <w:spacing w:val="-3"/>
          <w:szCs w:val="26"/>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91440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C48C9" w:rsidRPr="005D39DC">
        <w:rPr>
          <w:b/>
          <w:spacing w:val="-3"/>
          <w:szCs w:val="26"/>
        </w:rPr>
        <w:t>BY THE COMMISSION,</w:t>
      </w:r>
    </w:p>
    <w:p w:rsidR="005C48C9" w:rsidRPr="005D39DC" w:rsidRDefault="005C48C9" w:rsidP="007E1B2C">
      <w:pPr>
        <w:suppressAutoHyphens/>
        <w:ind w:left="5040" w:firstLine="5040"/>
        <w:rPr>
          <w:spacing w:val="-3"/>
          <w:szCs w:val="26"/>
        </w:rPr>
      </w:pPr>
    </w:p>
    <w:p w:rsidR="005C48C9" w:rsidRPr="005D39DC" w:rsidRDefault="005C48C9" w:rsidP="007E1B2C">
      <w:pPr>
        <w:suppressAutoHyphens/>
        <w:ind w:left="5040" w:firstLine="5040"/>
        <w:rPr>
          <w:spacing w:val="-3"/>
          <w:szCs w:val="26"/>
        </w:rPr>
      </w:pPr>
    </w:p>
    <w:p w:rsidR="005C48C9" w:rsidRPr="005D39DC" w:rsidRDefault="005C48C9" w:rsidP="00B55FEF">
      <w:pPr>
        <w:suppressAutoHyphens/>
        <w:spacing w:line="240" w:lineRule="auto"/>
        <w:ind w:firstLine="5040"/>
        <w:rPr>
          <w:spacing w:val="-3"/>
          <w:szCs w:val="26"/>
        </w:rPr>
      </w:pPr>
      <w:r w:rsidRPr="005D39DC">
        <w:rPr>
          <w:spacing w:val="-3"/>
          <w:szCs w:val="26"/>
        </w:rPr>
        <w:t xml:space="preserve">Rosemary </w:t>
      </w:r>
      <w:r w:rsidRPr="005D39DC">
        <w:rPr>
          <w:sz w:val="24"/>
        </w:rPr>
        <w:t>Chiavetta</w:t>
      </w:r>
    </w:p>
    <w:p w:rsidR="005C48C9" w:rsidRPr="005D39DC" w:rsidRDefault="005C48C9" w:rsidP="007E1B2C">
      <w:pPr>
        <w:suppressAutoHyphens/>
        <w:ind w:firstLine="5040"/>
        <w:rPr>
          <w:spacing w:val="-3"/>
          <w:szCs w:val="26"/>
        </w:rPr>
      </w:pPr>
      <w:r w:rsidRPr="005D39DC">
        <w:rPr>
          <w:spacing w:val="-3"/>
          <w:szCs w:val="26"/>
        </w:rPr>
        <w:t>Secretary</w:t>
      </w:r>
    </w:p>
    <w:p w:rsidR="005C48C9" w:rsidRDefault="005C48C9" w:rsidP="005C48C9">
      <w:pPr>
        <w:suppressAutoHyphens/>
        <w:rPr>
          <w:spacing w:val="-3"/>
          <w:szCs w:val="26"/>
        </w:rPr>
      </w:pPr>
    </w:p>
    <w:p w:rsidR="0070408B" w:rsidRPr="005D39DC" w:rsidRDefault="0070408B" w:rsidP="005C48C9">
      <w:pPr>
        <w:suppressAutoHyphens/>
        <w:rPr>
          <w:spacing w:val="-3"/>
          <w:szCs w:val="26"/>
        </w:rPr>
      </w:pPr>
    </w:p>
    <w:p w:rsidR="005C48C9" w:rsidRPr="005D39DC" w:rsidRDefault="005C48C9" w:rsidP="005C48C9">
      <w:pPr>
        <w:suppressAutoHyphens/>
        <w:ind w:firstLine="0"/>
        <w:rPr>
          <w:spacing w:val="-3"/>
          <w:szCs w:val="26"/>
        </w:rPr>
      </w:pPr>
      <w:r w:rsidRPr="005D39DC">
        <w:rPr>
          <w:spacing w:val="-3"/>
          <w:szCs w:val="26"/>
        </w:rPr>
        <w:t>SEAL</w:t>
      </w:r>
    </w:p>
    <w:p w:rsidR="007E1B2C" w:rsidRDefault="005C48C9" w:rsidP="005C48C9">
      <w:pPr>
        <w:suppressAutoHyphens/>
        <w:ind w:firstLine="0"/>
        <w:rPr>
          <w:spacing w:val="-3"/>
          <w:szCs w:val="26"/>
        </w:rPr>
      </w:pPr>
      <w:r w:rsidRPr="005D39DC">
        <w:rPr>
          <w:spacing w:val="-3"/>
          <w:szCs w:val="26"/>
        </w:rPr>
        <w:t xml:space="preserve">ORDER ADOPTED: </w:t>
      </w:r>
      <w:r w:rsidR="007E1B2C">
        <w:rPr>
          <w:spacing w:val="-3"/>
          <w:szCs w:val="26"/>
        </w:rPr>
        <w:t>September 23, 2010</w:t>
      </w:r>
    </w:p>
    <w:p w:rsidR="005C48C9" w:rsidRPr="005D39DC" w:rsidRDefault="005C48C9" w:rsidP="005C48C9">
      <w:pPr>
        <w:suppressAutoHyphens/>
        <w:ind w:firstLine="0"/>
        <w:rPr>
          <w:b/>
          <w:szCs w:val="26"/>
          <w:u w:val="single"/>
        </w:rPr>
      </w:pPr>
      <w:r w:rsidRPr="005D39DC">
        <w:rPr>
          <w:spacing w:val="-3"/>
          <w:szCs w:val="26"/>
        </w:rPr>
        <w:t xml:space="preserve">ORDER ENTERED:  </w:t>
      </w:r>
      <w:r w:rsidR="00C813CB">
        <w:rPr>
          <w:spacing w:val="-3"/>
          <w:szCs w:val="26"/>
        </w:rPr>
        <w:t>October 13, 2010</w:t>
      </w:r>
    </w:p>
    <w:p w:rsidR="005926AE" w:rsidRDefault="005926AE" w:rsidP="0094457E"/>
    <w:sectPr w:rsidR="005926AE" w:rsidSect="00EA00C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A0B" w:rsidRDefault="00967A0B" w:rsidP="00306C03">
      <w:pPr>
        <w:spacing w:line="240" w:lineRule="auto"/>
      </w:pPr>
      <w:r>
        <w:separator/>
      </w:r>
    </w:p>
  </w:endnote>
  <w:endnote w:type="continuationSeparator" w:id="0">
    <w:p w:rsidR="00967A0B" w:rsidRDefault="00967A0B" w:rsidP="00306C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B" w:rsidRDefault="00EA00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21752"/>
      <w:docPartObj>
        <w:docPartGallery w:val="Page Numbers (Bottom of Page)"/>
        <w:docPartUnique/>
      </w:docPartObj>
    </w:sdtPr>
    <w:sdtContent>
      <w:p w:rsidR="00EA00CB" w:rsidRDefault="006E755F">
        <w:pPr>
          <w:pStyle w:val="Footer"/>
          <w:jc w:val="center"/>
        </w:pPr>
        <w:fldSimple w:instr=" PAGE   \* MERGEFORMAT ">
          <w:r w:rsidR="00C813CB">
            <w:rPr>
              <w:noProof/>
            </w:rPr>
            <w:t>9</w:t>
          </w:r>
        </w:fldSimple>
      </w:p>
    </w:sdtContent>
  </w:sdt>
  <w:p w:rsidR="00306C03" w:rsidRDefault="00306C03" w:rsidP="00306C03">
    <w:pPr>
      <w:pStyle w:val="Footer"/>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B" w:rsidRDefault="00EA0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A0B" w:rsidRDefault="00967A0B" w:rsidP="00306C03">
      <w:pPr>
        <w:spacing w:line="240" w:lineRule="auto"/>
      </w:pPr>
      <w:r>
        <w:separator/>
      </w:r>
    </w:p>
  </w:footnote>
  <w:footnote w:type="continuationSeparator" w:id="0">
    <w:p w:rsidR="00967A0B" w:rsidRDefault="00967A0B" w:rsidP="00306C03">
      <w:pPr>
        <w:spacing w:line="240" w:lineRule="auto"/>
      </w:pPr>
      <w:r>
        <w:continuationSeparator/>
      </w:r>
    </w:p>
  </w:footnote>
  <w:footnote w:id="1">
    <w:p w:rsidR="00E510E0" w:rsidRPr="007A2EF6" w:rsidRDefault="00E510E0" w:rsidP="00E510E0">
      <w:pPr>
        <w:pStyle w:val="FootnoteText"/>
        <w:ind w:firstLine="720"/>
        <w:rPr>
          <w:sz w:val="26"/>
          <w:szCs w:val="26"/>
        </w:rPr>
      </w:pPr>
      <w:r w:rsidRPr="001477ED">
        <w:rPr>
          <w:rStyle w:val="FootnoteReference"/>
        </w:rPr>
        <w:footnoteRef/>
      </w:r>
      <w:r>
        <w:rPr>
          <w:sz w:val="26"/>
          <w:szCs w:val="26"/>
        </w:rPr>
        <w:tab/>
        <w:t>At the time the disputed monthly bill was rendered</w:t>
      </w:r>
      <w:r w:rsidR="001477ED">
        <w:rPr>
          <w:sz w:val="26"/>
          <w:szCs w:val="26"/>
        </w:rPr>
        <w:t>,</w:t>
      </w:r>
      <w:r>
        <w:rPr>
          <w:sz w:val="26"/>
          <w:szCs w:val="26"/>
        </w:rPr>
        <w:t xml:space="preserve"> in December 2008, </w:t>
      </w:r>
      <w:r w:rsidR="00CC0C62">
        <w:rPr>
          <w:sz w:val="26"/>
          <w:szCs w:val="26"/>
        </w:rPr>
        <w:t>and when the Complaint was filed</w:t>
      </w:r>
      <w:r w:rsidR="005C2441">
        <w:rPr>
          <w:sz w:val="26"/>
          <w:szCs w:val="26"/>
        </w:rPr>
        <w:t>,</w:t>
      </w:r>
      <w:r w:rsidR="00CC0C62">
        <w:rPr>
          <w:sz w:val="26"/>
          <w:szCs w:val="26"/>
        </w:rPr>
        <w:t xml:space="preserve"> in August 2009, </w:t>
      </w:r>
      <w:r>
        <w:rPr>
          <w:sz w:val="26"/>
          <w:szCs w:val="26"/>
        </w:rPr>
        <w:t>Peoples was owned by Dominion Resources, Inc. d/b/a Dominion Peoples.  By Order entered November 19, 2009, at Docket No. A-2008-2063737, the Commission approved the transfer of ownership and control of Peoples to Peoples Hope Natural Gas Company, LLC</w:t>
      </w:r>
      <w:r w:rsidR="00C327A6">
        <w:rPr>
          <w:sz w:val="26"/>
          <w:szCs w:val="2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B" w:rsidRDefault="00EA00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B" w:rsidRDefault="00EA00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B" w:rsidRDefault="00EA00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C5F3C"/>
    <w:multiLevelType w:val="hybridMultilevel"/>
    <w:tmpl w:val="722206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AFF174B"/>
    <w:multiLevelType w:val="hybridMultilevel"/>
    <w:tmpl w:val="BBB4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9460954"/>
    <w:multiLevelType w:val="hybridMultilevel"/>
    <w:tmpl w:val="40EC20E6"/>
    <w:lvl w:ilvl="0" w:tplc="1AF47A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D202C40"/>
    <w:multiLevelType w:val="hybridMultilevel"/>
    <w:tmpl w:val="B76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B3A0C"/>
    <w:rsid w:val="00000257"/>
    <w:rsid w:val="00003B33"/>
    <w:rsid w:val="00003C43"/>
    <w:rsid w:val="00007413"/>
    <w:rsid w:val="00007AC9"/>
    <w:rsid w:val="00007BFC"/>
    <w:rsid w:val="00014DF2"/>
    <w:rsid w:val="00014DF5"/>
    <w:rsid w:val="000160E5"/>
    <w:rsid w:val="00017065"/>
    <w:rsid w:val="00021518"/>
    <w:rsid w:val="0002581F"/>
    <w:rsid w:val="000274AE"/>
    <w:rsid w:val="0003067D"/>
    <w:rsid w:val="00030FAF"/>
    <w:rsid w:val="00033184"/>
    <w:rsid w:val="00037D23"/>
    <w:rsid w:val="00041A97"/>
    <w:rsid w:val="00041C82"/>
    <w:rsid w:val="00041D7E"/>
    <w:rsid w:val="00042033"/>
    <w:rsid w:val="00042AA5"/>
    <w:rsid w:val="000445B2"/>
    <w:rsid w:val="000502F4"/>
    <w:rsid w:val="0005165D"/>
    <w:rsid w:val="0005202A"/>
    <w:rsid w:val="00052C21"/>
    <w:rsid w:val="00054307"/>
    <w:rsid w:val="00054B1C"/>
    <w:rsid w:val="00057ED8"/>
    <w:rsid w:val="00057FAE"/>
    <w:rsid w:val="00061699"/>
    <w:rsid w:val="00064695"/>
    <w:rsid w:val="00064BF4"/>
    <w:rsid w:val="00065842"/>
    <w:rsid w:val="00065B41"/>
    <w:rsid w:val="00066079"/>
    <w:rsid w:val="00066548"/>
    <w:rsid w:val="00071085"/>
    <w:rsid w:val="000710FA"/>
    <w:rsid w:val="00075592"/>
    <w:rsid w:val="000756CB"/>
    <w:rsid w:val="00077039"/>
    <w:rsid w:val="00077256"/>
    <w:rsid w:val="000777A2"/>
    <w:rsid w:val="0007794F"/>
    <w:rsid w:val="00077B38"/>
    <w:rsid w:val="00080C2E"/>
    <w:rsid w:val="000815E0"/>
    <w:rsid w:val="0008258A"/>
    <w:rsid w:val="0008293D"/>
    <w:rsid w:val="00082C0F"/>
    <w:rsid w:val="00092EC4"/>
    <w:rsid w:val="00093EE8"/>
    <w:rsid w:val="00093F58"/>
    <w:rsid w:val="0009450A"/>
    <w:rsid w:val="00095F56"/>
    <w:rsid w:val="00096BBE"/>
    <w:rsid w:val="00096BF3"/>
    <w:rsid w:val="00096EB4"/>
    <w:rsid w:val="0009717B"/>
    <w:rsid w:val="00097334"/>
    <w:rsid w:val="000A0C2D"/>
    <w:rsid w:val="000A2781"/>
    <w:rsid w:val="000A33CB"/>
    <w:rsid w:val="000A3ECF"/>
    <w:rsid w:val="000A4304"/>
    <w:rsid w:val="000A4DE5"/>
    <w:rsid w:val="000A5061"/>
    <w:rsid w:val="000A60B8"/>
    <w:rsid w:val="000A6B75"/>
    <w:rsid w:val="000B00E0"/>
    <w:rsid w:val="000B0309"/>
    <w:rsid w:val="000B1A7F"/>
    <w:rsid w:val="000B1D0F"/>
    <w:rsid w:val="000B1D84"/>
    <w:rsid w:val="000B1E8C"/>
    <w:rsid w:val="000B206E"/>
    <w:rsid w:val="000B40B9"/>
    <w:rsid w:val="000B4D7F"/>
    <w:rsid w:val="000C0958"/>
    <w:rsid w:val="000C188B"/>
    <w:rsid w:val="000C2117"/>
    <w:rsid w:val="000C2C62"/>
    <w:rsid w:val="000C2F53"/>
    <w:rsid w:val="000C3A95"/>
    <w:rsid w:val="000C3B20"/>
    <w:rsid w:val="000C3EE9"/>
    <w:rsid w:val="000C50F5"/>
    <w:rsid w:val="000C6D8D"/>
    <w:rsid w:val="000D1F6C"/>
    <w:rsid w:val="000D3556"/>
    <w:rsid w:val="000D3D76"/>
    <w:rsid w:val="000D57D6"/>
    <w:rsid w:val="000D58AD"/>
    <w:rsid w:val="000E0E78"/>
    <w:rsid w:val="000E1050"/>
    <w:rsid w:val="000E25CC"/>
    <w:rsid w:val="000E2A3D"/>
    <w:rsid w:val="000E2F0F"/>
    <w:rsid w:val="000E446F"/>
    <w:rsid w:val="000E4EE5"/>
    <w:rsid w:val="000E50E9"/>
    <w:rsid w:val="000E54A2"/>
    <w:rsid w:val="000E6CE9"/>
    <w:rsid w:val="000E7406"/>
    <w:rsid w:val="000F0A46"/>
    <w:rsid w:val="000F0DC3"/>
    <w:rsid w:val="000F0F58"/>
    <w:rsid w:val="000F26CA"/>
    <w:rsid w:val="000F5F96"/>
    <w:rsid w:val="000F7334"/>
    <w:rsid w:val="0010012B"/>
    <w:rsid w:val="001006FE"/>
    <w:rsid w:val="00101FF1"/>
    <w:rsid w:val="001035C8"/>
    <w:rsid w:val="001035DC"/>
    <w:rsid w:val="00105C56"/>
    <w:rsid w:val="00106925"/>
    <w:rsid w:val="00110035"/>
    <w:rsid w:val="00110969"/>
    <w:rsid w:val="00111739"/>
    <w:rsid w:val="001131AE"/>
    <w:rsid w:val="00113A35"/>
    <w:rsid w:val="001149AD"/>
    <w:rsid w:val="00115DB5"/>
    <w:rsid w:val="00117CC2"/>
    <w:rsid w:val="00121368"/>
    <w:rsid w:val="00125750"/>
    <w:rsid w:val="00125B95"/>
    <w:rsid w:val="00125EED"/>
    <w:rsid w:val="001272BF"/>
    <w:rsid w:val="00130045"/>
    <w:rsid w:val="001313C9"/>
    <w:rsid w:val="0013184D"/>
    <w:rsid w:val="0013295B"/>
    <w:rsid w:val="001332E8"/>
    <w:rsid w:val="00133E33"/>
    <w:rsid w:val="001342B3"/>
    <w:rsid w:val="00135028"/>
    <w:rsid w:val="0014187D"/>
    <w:rsid w:val="0014267E"/>
    <w:rsid w:val="0014459D"/>
    <w:rsid w:val="00144E27"/>
    <w:rsid w:val="00144FA4"/>
    <w:rsid w:val="00145F94"/>
    <w:rsid w:val="00146750"/>
    <w:rsid w:val="001477ED"/>
    <w:rsid w:val="0014781B"/>
    <w:rsid w:val="00150058"/>
    <w:rsid w:val="001505D1"/>
    <w:rsid w:val="00150756"/>
    <w:rsid w:val="001507C8"/>
    <w:rsid w:val="001508A6"/>
    <w:rsid w:val="00152BD0"/>
    <w:rsid w:val="0015317E"/>
    <w:rsid w:val="001537AF"/>
    <w:rsid w:val="00160B73"/>
    <w:rsid w:val="00161455"/>
    <w:rsid w:val="00162D24"/>
    <w:rsid w:val="00163822"/>
    <w:rsid w:val="001648B2"/>
    <w:rsid w:val="001655CF"/>
    <w:rsid w:val="0016761D"/>
    <w:rsid w:val="00167626"/>
    <w:rsid w:val="0017112A"/>
    <w:rsid w:val="00172364"/>
    <w:rsid w:val="001735D8"/>
    <w:rsid w:val="0017426E"/>
    <w:rsid w:val="001774C8"/>
    <w:rsid w:val="00177F08"/>
    <w:rsid w:val="00177F8C"/>
    <w:rsid w:val="00180323"/>
    <w:rsid w:val="00180720"/>
    <w:rsid w:val="00182D30"/>
    <w:rsid w:val="0018316A"/>
    <w:rsid w:val="00184ED3"/>
    <w:rsid w:val="00187BD2"/>
    <w:rsid w:val="00187C02"/>
    <w:rsid w:val="00187F73"/>
    <w:rsid w:val="00190317"/>
    <w:rsid w:val="00192593"/>
    <w:rsid w:val="00192B09"/>
    <w:rsid w:val="00192BE7"/>
    <w:rsid w:val="00193FB2"/>
    <w:rsid w:val="00194B11"/>
    <w:rsid w:val="00194D12"/>
    <w:rsid w:val="00194DFD"/>
    <w:rsid w:val="001A226F"/>
    <w:rsid w:val="001A2DD8"/>
    <w:rsid w:val="001A2F9C"/>
    <w:rsid w:val="001A312D"/>
    <w:rsid w:val="001A3599"/>
    <w:rsid w:val="001A384F"/>
    <w:rsid w:val="001A52F2"/>
    <w:rsid w:val="001B0130"/>
    <w:rsid w:val="001B0FCA"/>
    <w:rsid w:val="001B0FCF"/>
    <w:rsid w:val="001B153D"/>
    <w:rsid w:val="001B190A"/>
    <w:rsid w:val="001B22F2"/>
    <w:rsid w:val="001B2979"/>
    <w:rsid w:val="001B4BCE"/>
    <w:rsid w:val="001B651A"/>
    <w:rsid w:val="001C2B22"/>
    <w:rsid w:val="001C5A5B"/>
    <w:rsid w:val="001C5BD1"/>
    <w:rsid w:val="001C77B6"/>
    <w:rsid w:val="001D0037"/>
    <w:rsid w:val="001D1AED"/>
    <w:rsid w:val="001D2F21"/>
    <w:rsid w:val="001D4A6A"/>
    <w:rsid w:val="001D7042"/>
    <w:rsid w:val="001E081A"/>
    <w:rsid w:val="001E7446"/>
    <w:rsid w:val="001E7755"/>
    <w:rsid w:val="001F05CE"/>
    <w:rsid w:val="001F14A5"/>
    <w:rsid w:val="001F2665"/>
    <w:rsid w:val="001F3C03"/>
    <w:rsid w:val="001F5CD5"/>
    <w:rsid w:val="001F6130"/>
    <w:rsid w:val="001F6CCE"/>
    <w:rsid w:val="00201772"/>
    <w:rsid w:val="002049DB"/>
    <w:rsid w:val="00206901"/>
    <w:rsid w:val="00207D74"/>
    <w:rsid w:val="00211111"/>
    <w:rsid w:val="002112A3"/>
    <w:rsid w:val="0021644D"/>
    <w:rsid w:val="00216CB4"/>
    <w:rsid w:val="0021719C"/>
    <w:rsid w:val="002179C3"/>
    <w:rsid w:val="00220A2B"/>
    <w:rsid w:val="00223527"/>
    <w:rsid w:val="00223BFC"/>
    <w:rsid w:val="00226542"/>
    <w:rsid w:val="002304F0"/>
    <w:rsid w:val="00232076"/>
    <w:rsid w:val="002323C2"/>
    <w:rsid w:val="002336BA"/>
    <w:rsid w:val="00234766"/>
    <w:rsid w:val="0023639A"/>
    <w:rsid w:val="00236E76"/>
    <w:rsid w:val="00236FBF"/>
    <w:rsid w:val="002454F5"/>
    <w:rsid w:val="00245557"/>
    <w:rsid w:val="00245D29"/>
    <w:rsid w:val="00247AA6"/>
    <w:rsid w:val="00250204"/>
    <w:rsid w:val="00254F41"/>
    <w:rsid w:val="00254F83"/>
    <w:rsid w:val="002567D4"/>
    <w:rsid w:val="00260F03"/>
    <w:rsid w:val="00262F59"/>
    <w:rsid w:val="00263462"/>
    <w:rsid w:val="0026484C"/>
    <w:rsid w:val="00264A7E"/>
    <w:rsid w:val="00267161"/>
    <w:rsid w:val="00267A50"/>
    <w:rsid w:val="00270C1A"/>
    <w:rsid w:val="00270CE0"/>
    <w:rsid w:val="002714F8"/>
    <w:rsid w:val="00271D72"/>
    <w:rsid w:val="00272C47"/>
    <w:rsid w:val="0027509D"/>
    <w:rsid w:val="00275B4E"/>
    <w:rsid w:val="00277284"/>
    <w:rsid w:val="002826C9"/>
    <w:rsid w:val="0028362E"/>
    <w:rsid w:val="00283C80"/>
    <w:rsid w:val="00283F4D"/>
    <w:rsid w:val="00284235"/>
    <w:rsid w:val="00286A61"/>
    <w:rsid w:val="00290B60"/>
    <w:rsid w:val="00291EE7"/>
    <w:rsid w:val="00294974"/>
    <w:rsid w:val="00295A5E"/>
    <w:rsid w:val="002A1835"/>
    <w:rsid w:val="002A3FD6"/>
    <w:rsid w:val="002A615A"/>
    <w:rsid w:val="002A77A7"/>
    <w:rsid w:val="002B0EF3"/>
    <w:rsid w:val="002B12BE"/>
    <w:rsid w:val="002B181E"/>
    <w:rsid w:val="002B2072"/>
    <w:rsid w:val="002B37C5"/>
    <w:rsid w:val="002B6ACA"/>
    <w:rsid w:val="002C056A"/>
    <w:rsid w:val="002C0D84"/>
    <w:rsid w:val="002C1A8F"/>
    <w:rsid w:val="002C1FD6"/>
    <w:rsid w:val="002C2424"/>
    <w:rsid w:val="002C3821"/>
    <w:rsid w:val="002C3D03"/>
    <w:rsid w:val="002C5560"/>
    <w:rsid w:val="002C5B49"/>
    <w:rsid w:val="002C637F"/>
    <w:rsid w:val="002C6E2C"/>
    <w:rsid w:val="002C7908"/>
    <w:rsid w:val="002C7CB4"/>
    <w:rsid w:val="002D3418"/>
    <w:rsid w:val="002D39C1"/>
    <w:rsid w:val="002D5DF6"/>
    <w:rsid w:val="002E1155"/>
    <w:rsid w:val="002E3699"/>
    <w:rsid w:val="002E7002"/>
    <w:rsid w:val="002F07FE"/>
    <w:rsid w:val="002F1623"/>
    <w:rsid w:val="002F26E2"/>
    <w:rsid w:val="002F2E00"/>
    <w:rsid w:val="002F346C"/>
    <w:rsid w:val="003005A9"/>
    <w:rsid w:val="00301C83"/>
    <w:rsid w:val="00302D47"/>
    <w:rsid w:val="0030391C"/>
    <w:rsid w:val="00304714"/>
    <w:rsid w:val="003052A4"/>
    <w:rsid w:val="00306C03"/>
    <w:rsid w:val="003071D1"/>
    <w:rsid w:val="00307912"/>
    <w:rsid w:val="00307DE2"/>
    <w:rsid w:val="00310035"/>
    <w:rsid w:val="00310443"/>
    <w:rsid w:val="00310C28"/>
    <w:rsid w:val="00310C48"/>
    <w:rsid w:val="003117DF"/>
    <w:rsid w:val="00312795"/>
    <w:rsid w:val="0031483A"/>
    <w:rsid w:val="003149FC"/>
    <w:rsid w:val="00314B6F"/>
    <w:rsid w:val="00314D00"/>
    <w:rsid w:val="003172D1"/>
    <w:rsid w:val="00320D69"/>
    <w:rsid w:val="00321BFD"/>
    <w:rsid w:val="00321D52"/>
    <w:rsid w:val="003232BE"/>
    <w:rsid w:val="003232F4"/>
    <w:rsid w:val="00323AB9"/>
    <w:rsid w:val="0032475A"/>
    <w:rsid w:val="00324FE2"/>
    <w:rsid w:val="00325173"/>
    <w:rsid w:val="00325696"/>
    <w:rsid w:val="00331031"/>
    <w:rsid w:val="00331105"/>
    <w:rsid w:val="003320F1"/>
    <w:rsid w:val="003332C5"/>
    <w:rsid w:val="00334A9B"/>
    <w:rsid w:val="00336755"/>
    <w:rsid w:val="0033742E"/>
    <w:rsid w:val="0033768C"/>
    <w:rsid w:val="00337C47"/>
    <w:rsid w:val="003401FC"/>
    <w:rsid w:val="0034042F"/>
    <w:rsid w:val="00340C1F"/>
    <w:rsid w:val="00342C93"/>
    <w:rsid w:val="00343167"/>
    <w:rsid w:val="00347235"/>
    <w:rsid w:val="00352B02"/>
    <w:rsid w:val="003538DF"/>
    <w:rsid w:val="00353A2A"/>
    <w:rsid w:val="00355AFF"/>
    <w:rsid w:val="00356634"/>
    <w:rsid w:val="00360783"/>
    <w:rsid w:val="00364950"/>
    <w:rsid w:val="00365DC5"/>
    <w:rsid w:val="00366639"/>
    <w:rsid w:val="00371B0D"/>
    <w:rsid w:val="00372D28"/>
    <w:rsid w:val="00373437"/>
    <w:rsid w:val="0037405D"/>
    <w:rsid w:val="00376ADC"/>
    <w:rsid w:val="00376C08"/>
    <w:rsid w:val="003774ED"/>
    <w:rsid w:val="00377585"/>
    <w:rsid w:val="00377E02"/>
    <w:rsid w:val="003805A3"/>
    <w:rsid w:val="00380671"/>
    <w:rsid w:val="00382F38"/>
    <w:rsid w:val="00382FF5"/>
    <w:rsid w:val="0038440D"/>
    <w:rsid w:val="003859E1"/>
    <w:rsid w:val="003861AC"/>
    <w:rsid w:val="0038741D"/>
    <w:rsid w:val="00387BBB"/>
    <w:rsid w:val="00390978"/>
    <w:rsid w:val="00391A50"/>
    <w:rsid w:val="003927E6"/>
    <w:rsid w:val="00394067"/>
    <w:rsid w:val="00394598"/>
    <w:rsid w:val="00394D58"/>
    <w:rsid w:val="0039511C"/>
    <w:rsid w:val="00396140"/>
    <w:rsid w:val="00396B65"/>
    <w:rsid w:val="003976E1"/>
    <w:rsid w:val="003A1FB7"/>
    <w:rsid w:val="003A1FE0"/>
    <w:rsid w:val="003A32FD"/>
    <w:rsid w:val="003A46BB"/>
    <w:rsid w:val="003A75CC"/>
    <w:rsid w:val="003B065C"/>
    <w:rsid w:val="003B142B"/>
    <w:rsid w:val="003B2055"/>
    <w:rsid w:val="003B270A"/>
    <w:rsid w:val="003B6E91"/>
    <w:rsid w:val="003B7172"/>
    <w:rsid w:val="003C3A0E"/>
    <w:rsid w:val="003C3C05"/>
    <w:rsid w:val="003C5300"/>
    <w:rsid w:val="003C691B"/>
    <w:rsid w:val="003D1721"/>
    <w:rsid w:val="003D2A72"/>
    <w:rsid w:val="003D556A"/>
    <w:rsid w:val="003D6BDF"/>
    <w:rsid w:val="003E03D5"/>
    <w:rsid w:val="003E2241"/>
    <w:rsid w:val="003E5EC3"/>
    <w:rsid w:val="003F1AB8"/>
    <w:rsid w:val="003F1B3C"/>
    <w:rsid w:val="003F1B97"/>
    <w:rsid w:val="003F1CC7"/>
    <w:rsid w:val="003F1DDC"/>
    <w:rsid w:val="003F3CB1"/>
    <w:rsid w:val="003F499C"/>
    <w:rsid w:val="003F6CC3"/>
    <w:rsid w:val="003F6D27"/>
    <w:rsid w:val="00401386"/>
    <w:rsid w:val="0040236C"/>
    <w:rsid w:val="00402BC9"/>
    <w:rsid w:val="004035F5"/>
    <w:rsid w:val="00403FF0"/>
    <w:rsid w:val="0040404B"/>
    <w:rsid w:val="00404B11"/>
    <w:rsid w:val="00405647"/>
    <w:rsid w:val="00411146"/>
    <w:rsid w:val="00412987"/>
    <w:rsid w:val="004141B8"/>
    <w:rsid w:val="00415091"/>
    <w:rsid w:val="004151BC"/>
    <w:rsid w:val="00416B04"/>
    <w:rsid w:val="00417199"/>
    <w:rsid w:val="00417251"/>
    <w:rsid w:val="00420344"/>
    <w:rsid w:val="00420CA6"/>
    <w:rsid w:val="00420D3A"/>
    <w:rsid w:val="00421179"/>
    <w:rsid w:val="00421552"/>
    <w:rsid w:val="00422278"/>
    <w:rsid w:val="00422AC5"/>
    <w:rsid w:val="00426308"/>
    <w:rsid w:val="00431DC5"/>
    <w:rsid w:val="004327BC"/>
    <w:rsid w:val="00432DC1"/>
    <w:rsid w:val="0043388F"/>
    <w:rsid w:val="00434ABE"/>
    <w:rsid w:val="00435407"/>
    <w:rsid w:val="00436EC5"/>
    <w:rsid w:val="00437A23"/>
    <w:rsid w:val="00437CFD"/>
    <w:rsid w:val="004409D9"/>
    <w:rsid w:val="00440D6C"/>
    <w:rsid w:val="00440F45"/>
    <w:rsid w:val="00441160"/>
    <w:rsid w:val="00441DF4"/>
    <w:rsid w:val="00442D92"/>
    <w:rsid w:val="0044404A"/>
    <w:rsid w:val="004455F4"/>
    <w:rsid w:val="00445BE9"/>
    <w:rsid w:val="00447969"/>
    <w:rsid w:val="00447D7C"/>
    <w:rsid w:val="00450484"/>
    <w:rsid w:val="004510BE"/>
    <w:rsid w:val="00451763"/>
    <w:rsid w:val="00453972"/>
    <w:rsid w:val="00454098"/>
    <w:rsid w:val="0045565C"/>
    <w:rsid w:val="00456F91"/>
    <w:rsid w:val="004614F2"/>
    <w:rsid w:val="00462EED"/>
    <w:rsid w:val="0046311E"/>
    <w:rsid w:val="0046410E"/>
    <w:rsid w:val="004649EF"/>
    <w:rsid w:val="0047064B"/>
    <w:rsid w:val="00471181"/>
    <w:rsid w:val="00471A02"/>
    <w:rsid w:val="0048271C"/>
    <w:rsid w:val="00482D87"/>
    <w:rsid w:val="00484989"/>
    <w:rsid w:val="00485642"/>
    <w:rsid w:val="004877F1"/>
    <w:rsid w:val="004903DA"/>
    <w:rsid w:val="0049304A"/>
    <w:rsid w:val="0049466F"/>
    <w:rsid w:val="00497278"/>
    <w:rsid w:val="004A33A7"/>
    <w:rsid w:val="004A4D56"/>
    <w:rsid w:val="004A645A"/>
    <w:rsid w:val="004A6F29"/>
    <w:rsid w:val="004B11A9"/>
    <w:rsid w:val="004B25B2"/>
    <w:rsid w:val="004B70D1"/>
    <w:rsid w:val="004B7A1E"/>
    <w:rsid w:val="004C2071"/>
    <w:rsid w:val="004C2E54"/>
    <w:rsid w:val="004C60E9"/>
    <w:rsid w:val="004C6646"/>
    <w:rsid w:val="004C6E21"/>
    <w:rsid w:val="004C7024"/>
    <w:rsid w:val="004D0DA0"/>
    <w:rsid w:val="004D3766"/>
    <w:rsid w:val="004D419A"/>
    <w:rsid w:val="004D63A7"/>
    <w:rsid w:val="004E0480"/>
    <w:rsid w:val="004E29EE"/>
    <w:rsid w:val="004E393B"/>
    <w:rsid w:val="004E5B6E"/>
    <w:rsid w:val="004E5F10"/>
    <w:rsid w:val="004E60F8"/>
    <w:rsid w:val="004E6625"/>
    <w:rsid w:val="004F0C3F"/>
    <w:rsid w:val="004F0DAD"/>
    <w:rsid w:val="004F0E74"/>
    <w:rsid w:val="004F119C"/>
    <w:rsid w:val="004F185E"/>
    <w:rsid w:val="004F1A40"/>
    <w:rsid w:val="004F1B00"/>
    <w:rsid w:val="004F307A"/>
    <w:rsid w:val="004F5D5A"/>
    <w:rsid w:val="004F6A46"/>
    <w:rsid w:val="004F791A"/>
    <w:rsid w:val="004F79BE"/>
    <w:rsid w:val="004F7B4A"/>
    <w:rsid w:val="0050063C"/>
    <w:rsid w:val="00500F78"/>
    <w:rsid w:val="00502A12"/>
    <w:rsid w:val="00503D60"/>
    <w:rsid w:val="0050408D"/>
    <w:rsid w:val="005075F8"/>
    <w:rsid w:val="00507D2A"/>
    <w:rsid w:val="00507EB8"/>
    <w:rsid w:val="005131E5"/>
    <w:rsid w:val="00515403"/>
    <w:rsid w:val="005158D5"/>
    <w:rsid w:val="005167BF"/>
    <w:rsid w:val="00517096"/>
    <w:rsid w:val="005172D7"/>
    <w:rsid w:val="00517622"/>
    <w:rsid w:val="00520F60"/>
    <w:rsid w:val="005227B2"/>
    <w:rsid w:val="00522AC1"/>
    <w:rsid w:val="00523274"/>
    <w:rsid w:val="005233B6"/>
    <w:rsid w:val="005253A8"/>
    <w:rsid w:val="00525B47"/>
    <w:rsid w:val="005274CF"/>
    <w:rsid w:val="0052795F"/>
    <w:rsid w:val="00530D31"/>
    <w:rsid w:val="00530FE9"/>
    <w:rsid w:val="00531176"/>
    <w:rsid w:val="00531379"/>
    <w:rsid w:val="005319AE"/>
    <w:rsid w:val="00531AA5"/>
    <w:rsid w:val="0053321A"/>
    <w:rsid w:val="00533C8C"/>
    <w:rsid w:val="0053466A"/>
    <w:rsid w:val="005346EF"/>
    <w:rsid w:val="0053519D"/>
    <w:rsid w:val="00537FFA"/>
    <w:rsid w:val="00541544"/>
    <w:rsid w:val="005430E6"/>
    <w:rsid w:val="005437D2"/>
    <w:rsid w:val="00544348"/>
    <w:rsid w:val="00545D41"/>
    <w:rsid w:val="00547B17"/>
    <w:rsid w:val="00550074"/>
    <w:rsid w:val="005509B2"/>
    <w:rsid w:val="00550F50"/>
    <w:rsid w:val="00551631"/>
    <w:rsid w:val="005523CE"/>
    <w:rsid w:val="00553D6C"/>
    <w:rsid w:val="00553E30"/>
    <w:rsid w:val="00554CAF"/>
    <w:rsid w:val="00556756"/>
    <w:rsid w:val="005575B2"/>
    <w:rsid w:val="0056278E"/>
    <w:rsid w:val="00563CF7"/>
    <w:rsid w:val="0056427D"/>
    <w:rsid w:val="0056571D"/>
    <w:rsid w:val="0056695D"/>
    <w:rsid w:val="00573071"/>
    <w:rsid w:val="00574FDE"/>
    <w:rsid w:val="005763E6"/>
    <w:rsid w:val="00577106"/>
    <w:rsid w:val="005771C0"/>
    <w:rsid w:val="005773EA"/>
    <w:rsid w:val="00580505"/>
    <w:rsid w:val="005805B6"/>
    <w:rsid w:val="0058090A"/>
    <w:rsid w:val="00585134"/>
    <w:rsid w:val="00585792"/>
    <w:rsid w:val="005868C4"/>
    <w:rsid w:val="00591833"/>
    <w:rsid w:val="00591C2A"/>
    <w:rsid w:val="005926AE"/>
    <w:rsid w:val="00593C83"/>
    <w:rsid w:val="00594396"/>
    <w:rsid w:val="00594703"/>
    <w:rsid w:val="00595D61"/>
    <w:rsid w:val="0059653E"/>
    <w:rsid w:val="00596A90"/>
    <w:rsid w:val="005A040E"/>
    <w:rsid w:val="005A0B47"/>
    <w:rsid w:val="005A1F3E"/>
    <w:rsid w:val="005A20EE"/>
    <w:rsid w:val="005A25CB"/>
    <w:rsid w:val="005A2745"/>
    <w:rsid w:val="005A3F10"/>
    <w:rsid w:val="005A423D"/>
    <w:rsid w:val="005A4DB5"/>
    <w:rsid w:val="005A637B"/>
    <w:rsid w:val="005B054F"/>
    <w:rsid w:val="005B18F1"/>
    <w:rsid w:val="005B2DCC"/>
    <w:rsid w:val="005B388F"/>
    <w:rsid w:val="005B3BC3"/>
    <w:rsid w:val="005B3E26"/>
    <w:rsid w:val="005B3F1A"/>
    <w:rsid w:val="005B565D"/>
    <w:rsid w:val="005B7C2C"/>
    <w:rsid w:val="005C10D0"/>
    <w:rsid w:val="005C2441"/>
    <w:rsid w:val="005C48C9"/>
    <w:rsid w:val="005C5CDD"/>
    <w:rsid w:val="005C6C6C"/>
    <w:rsid w:val="005D0049"/>
    <w:rsid w:val="005D05FD"/>
    <w:rsid w:val="005D0AA9"/>
    <w:rsid w:val="005D129D"/>
    <w:rsid w:val="005D1571"/>
    <w:rsid w:val="005D1BC4"/>
    <w:rsid w:val="005D22E1"/>
    <w:rsid w:val="005D3057"/>
    <w:rsid w:val="005D3CA2"/>
    <w:rsid w:val="005D6A3D"/>
    <w:rsid w:val="005D7F1D"/>
    <w:rsid w:val="005E08D7"/>
    <w:rsid w:val="005E0A3F"/>
    <w:rsid w:val="005E0FE2"/>
    <w:rsid w:val="005F01A9"/>
    <w:rsid w:val="005F0BC3"/>
    <w:rsid w:val="005F366C"/>
    <w:rsid w:val="005F39E6"/>
    <w:rsid w:val="005F48A4"/>
    <w:rsid w:val="005F4DD7"/>
    <w:rsid w:val="005F63D8"/>
    <w:rsid w:val="00600A0F"/>
    <w:rsid w:val="00601BEE"/>
    <w:rsid w:val="00602FC9"/>
    <w:rsid w:val="006035B3"/>
    <w:rsid w:val="00604A63"/>
    <w:rsid w:val="00610811"/>
    <w:rsid w:val="00611CAD"/>
    <w:rsid w:val="00611D93"/>
    <w:rsid w:val="00612CCC"/>
    <w:rsid w:val="00613AD3"/>
    <w:rsid w:val="00614CA4"/>
    <w:rsid w:val="00616782"/>
    <w:rsid w:val="00617208"/>
    <w:rsid w:val="0061765C"/>
    <w:rsid w:val="006210B3"/>
    <w:rsid w:val="00621A9E"/>
    <w:rsid w:val="00621ABD"/>
    <w:rsid w:val="00621FF3"/>
    <w:rsid w:val="006252F6"/>
    <w:rsid w:val="0062573F"/>
    <w:rsid w:val="006300EA"/>
    <w:rsid w:val="00630304"/>
    <w:rsid w:val="00630503"/>
    <w:rsid w:val="006337FA"/>
    <w:rsid w:val="00633ABA"/>
    <w:rsid w:val="00634760"/>
    <w:rsid w:val="00642287"/>
    <w:rsid w:val="006427AE"/>
    <w:rsid w:val="006438D7"/>
    <w:rsid w:val="00646F6B"/>
    <w:rsid w:val="00647B06"/>
    <w:rsid w:val="00650470"/>
    <w:rsid w:val="0065063F"/>
    <w:rsid w:val="00652AAA"/>
    <w:rsid w:val="00654526"/>
    <w:rsid w:val="00654BCE"/>
    <w:rsid w:val="0065537C"/>
    <w:rsid w:val="00656443"/>
    <w:rsid w:val="0066012F"/>
    <w:rsid w:val="006621BB"/>
    <w:rsid w:val="00664CDA"/>
    <w:rsid w:val="00665768"/>
    <w:rsid w:val="00665DF9"/>
    <w:rsid w:val="006677B7"/>
    <w:rsid w:val="00670ED4"/>
    <w:rsid w:val="00670F01"/>
    <w:rsid w:val="00671FF6"/>
    <w:rsid w:val="006721BE"/>
    <w:rsid w:val="00673FAE"/>
    <w:rsid w:val="006746A5"/>
    <w:rsid w:val="00674A60"/>
    <w:rsid w:val="00674D41"/>
    <w:rsid w:val="00675138"/>
    <w:rsid w:val="006802ED"/>
    <w:rsid w:val="00685FC0"/>
    <w:rsid w:val="006909E0"/>
    <w:rsid w:val="00694143"/>
    <w:rsid w:val="00696425"/>
    <w:rsid w:val="006A0081"/>
    <w:rsid w:val="006A117F"/>
    <w:rsid w:val="006A4B0D"/>
    <w:rsid w:val="006A61BC"/>
    <w:rsid w:val="006A65CD"/>
    <w:rsid w:val="006A68A5"/>
    <w:rsid w:val="006A70B0"/>
    <w:rsid w:val="006B181D"/>
    <w:rsid w:val="006B1E7C"/>
    <w:rsid w:val="006B2823"/>
    <w:rsid w:val="006B71F7"/>
    <w:rsid w:val="006C02CD"/>
    <w:rsid w:val="006C0923"/>
    <w:rsid w:val="006C24AA"/>
    <w:rsid w:val="006C2E00"/>
    <w:rsid w:val="006C38A7"/>
    <w:rsid w:val="006C3B2E"/>
    <w:rsid w:val="006C3EB4"/>
    <w:rsid w:val="006C428A"/>
    <w:rsid w:val="006C6D5D"/>
    <w:rsid w:val="006C75AE"/>
    <w:rsid w:val="006C7794"/>
    <w:rsid w:val="006D129F"/>
    <w:rsid w:val="006D1711"/>
    <w:rsid w:val="006D21E4"/>
    <w:rsid w:val="006D29C0"/>
    <w:rsid w:val="006D2A49"/>
    <w:rsid w:val="006D3587"/>
    <w:rsid w:val="006D5638"/>
    <w:rsid w:val="006D6166"/>
    <w:rsid w:val="006D65CB"/>
    <w:rsid w:val="006D729E"/>
    <w:rsid w:val="006D7DF0"/>
    <w:rsid w:val="006E04CB"/>
    <w:rsid w:val="006E129F"/>
    <w:rsid w:val="006E36AB"/>
    <w:rsid w:val="006E6E5A"/>
    <w:rsid w:val="006E755F"/>
    <w:rsid w:val="006E7806"/>
    <w:rsid w:val="006E7985"/>
    <w:rsid w:val="006F0904"/>
    <w:rsid w:val="006F3055"/>
    <w:rsid w:val="006F3AD9"/>
    <w:rsid w:val="006F4458"/>
    <w:rsid w:val="006F54EF"/>
    <w:rsid w:val="006F6CA4"/>
    <w:rsid w:val="006F772A"/>
    <w:rsid w:val="00700A2D"/>
    <w:rsid w:val="00701333"/>
    <w:rsid w:val="0070402F"/>
    <w:rsid w:val="0070408B"/>
    <w:rsid w:val="007043B2"/>
    <w:rsid w:val="00705FDE"/>
    <w:rsid w:val="0070755C"/>
    <w:rsid w:val="00707C26"/>
    <w:rsid w:val="00711272"/>
    <w:rsid w:val="00712B96"/>
    <w:rsid w:val="00713C61"/>
    <w:rsid w:val="007162E3"/>
    <w:rsid w:val="00721EBC"/>
    <w:rsid w:val="00722944"/>
    <w:rsid w:val="007230A6"/>
    <w:rsid w:val="007234F6"/>
    <w:rsid w:val="007246E0"/>
    <w:rsid w:val="00725818"/>
    <w:rsid w:val="00725AF4"/>
    <w:rsid w:val="00733AB1"/>
    <w:rsid w:val="007348F3"/>
    <w:rsid w:val="007354B6"/>
    <w:rsid w:val="0073621E"/>
    <w:rsid w:val="00736C12"/>
    <w:rsid w:val="00736F60"/>
    <w:rsid w:val="00736FBD"/>
    <w:rsid w:val="00740503"/>
    <w:rsid w:val="0074151D"/>
    <w:rsid w:val="00741ABA"/>
    <w:rsid w:val="00744608"/>
    <w:rsid w:val="0074523E"/>
    <w:rsid w:val="00745854"/>
    <w:rsid w:val="00745D4A"/>
    <w:rsid w:val="00751271"/>
    <w:rsid w:val="00752653"/>
    <w:rsid w:val="0075537D"/>
    <w:rsid w:val="00755410"/>
    <w:rsid w:val="00755AD4"/>
    <w:rsid w:val="00755CFD"/>
    <w:rsid w:val="00757027"/>
    <w:rsid w:val="00760DF1"/>
    <w:rsid w:val="00761DC6"/>
    <w:rsid w:val="00762933"/>
    <w:rsid w:val="007641AD"/>
    <w:rsid w:val="00765A77"/>
    <w:rsid w:val="00766022"/>
    <w:rsid w:val="007674F2"/>
    <w:rsid w:val="007715F5"/>
    <w:rsid w:val="007748CF"/>
    <w:rsid w:val="007767EB"/>
    <w:rsid w:val="00776ADF"/>
    <w:rsid w:val="00777655"/>
    <w:rsid w:val="00777EE1"/>
    <w:rsid w:val="00780716"/>
    <w:rsid w:val="007808EE"/>
    <w:rsid w:val="007813DB"/>
    <w:rsid w:val="007818D5"/>
    <w:rsid w:val="00782C83"/>
    <w:rsid w:val="00783DC1"/>
    <w:rsid w:val="00784316"/>
    <w:rsid w:val="007844F2"/>
    <w:rsid w:val="00784682"/>
    <w:rsid w:val="0078543B"/>
    <w:rsid w:val="007856AC"/>
    <w:rsid w:val="007869E3"/>
    <w:rsid w:val="00790DFF"/>
    <w:rsid w:val="007917BA"/>
    <w:rsid w:val="0079214D"/>
    <w:rsid w:val="007934D1"/>
    <w:rsid w:val="007939F1"/>
    <w:rsid w:val="00794A36"/>
    <w:rsid w:val="00795CE5"/>
    <w:rsid w:val="0079601A"/>
    <w:rsid w:val="007A0FF0"/>
    <w:rsid w:val="007A10FA"/>
    <w:rsid w:val="007A132B"/>
    <w:rsid w:val="007A13A6"/>
    <w:rsid w:val="007A1A5A"/>
    <w:rsid w:val="007A1A84"/>
    <w:rsid w:val="007A2EF6"/>
    <w:rsid w:val="007A313A"/>
    <w:rsid w:val="007A3D00"/>
    <w:rsid w:val="007A42FC"/>
    <w:rsid w:val="007A4879"/>
    <w:rsid w:val="007A5404"/>
    <w:rsid w:val="007A60F0"/>
    <w:rsid w:val="007A696B"/>
    <w:rsid w:val="007B0361"/>
    <w:rsid w:val="007B4239"/>
    <w:rsid w:val="007B5468"/>
    <w:rsid w:val="007B5E64"/>
    <w:rsid w:val="007B5EF7"/>
    <w:rsid w:val="007C0FA1"/>
    <w:rsid w:val="007C30D9"/>
    <w:rsid w:val="007C3857"/>
    <w:rsid w:val="007C395F"/>
    <w:rsid w:val="007C39F8"/>
    <w:rsid w:val="007C3E5F"/>
    <w:rsid w:val="007C45FF"/>
    <w:rsid w:val="007C4701"/>
    <w:rsid w:val="007C57CD"/>
    <w:rsid w:val="007C59AA"/>
    <w:rsid w:val="007C61F5"/>
    <w:rsid w:val="007C6C47"/>
    <w:rsid w:val="007D0331"/>
    <w:rsid w:val="007D0867"/>
    <w:rsid w:val="007D128D"/>
    <w:rsid w:val="007D20A9"/>
    <w:rsid w:val="007D2359"/>
    <w:rsid w:val="007D3007"/>
    <w:rsid w:val="007D3C75"/>
    <w:rsid w:val="007D46D3"/>
    <w:rsid w:val="007D4909"/>
    <w:rsid w:val="007D4AA3"/>
    <w:rsid w:val="007D5709"/>
    <w:rsid w:val="007E1B2C"/>
    <w:rsid w:val="007E1B2F"/>
    <w:rsid w:val="007E2540"/>
    <w:rsid w:val="007E3465"/>
    <w:rsid w:val="007E45E0"/>
    <w:rsid w:val="007E5CBB"/>
    <w:rsid w:val="007E6433"/>
    <w:rsid w:val="007F099C"/>
    <w:rsid w:val="007F31F6"/>
    <w:rsid w:val="007F650C"/>
    <w:rsid w:val="007F6B23"/>
    <w:rsid w:val="007F786B"/>
    <w:rsid w:val="007F7B6B"/>
    <w:rsid w:val="007F7DE1"/>
    <w:rsid w:val="00802772"/>
    <w:rsid w:val="008032ED"/>
    <w:rsid w:val="00803391"/>
    <w:rsid w:val="008033A4"/>
    <w:rsid w:val="008042AC"/>
    <w:rsid w:val="008049C0"/>
    <w:rsid w:val="00804CD4"/>
    <w:rsid w:val="00805EC4"/>
    <w:rsid w:val="00806B92"/>
    <w:rsid w:val="00807647"/>
    <w:rsid w:val="00807A89"/>
    <w:rsid w:val="00811EC8"/>
    <w:rsid w:val="008129C6"/>
    <w:rsid w:val="00816EB3"/>
    <w:rsid w:val="00817E8D"/>
    <w:rsid w:val="00820174"/>
    <w:rsid w:val="00821634"/>
    <w:rsid w:val="00821769"/>
    <w:rsid w:val="008219D2"/>
    <w:rsid w:val="0082295E"/>
    <w:rsid w:val="0082404F"/>
    <w:rsid w:val="0082427E"/>
    <w:rsid w:val="008323D1"/>
    <w:rsid w:val="00833731"/>
    <w:rsid w:val="0083399E"/>
    <w:rsid w:val="008344F5"/>
    <w:rsid w:val="00834B0D"/>
    <w:rsid w:val="00843308"/>
    <w:rsid w:val="008447D6"/>
    <w:rsid w:val="00844DCD"/>
    <w:rsid w:val="008452C8"/>
    <w:rsid w:val="008454A2"/>
    <w:rsid w:val="00846FB0"/>
    <w:rsid w:val="00850C6D"/>
    <w:rsid w:val="008512DE"/>
    <w:rsid w:val="00852EAD"/>
    <w:rsid w:val="00853AE9"/>
    <w:rsid w:val="00854186"/>
    <w:rsid w:val="00854689"/>
    <w:rsid w:val="00855BC2"/>
    <w:rsid w:val="00856801"/>
    <w:rsid w:val="008573F4"/>
    <w:rsid w:val="00857C7D"/>
    <w:rsid w:val="008621D3"/>
    <w:rsid w:val="0086256A"/>
    <w:rsid w:val="00863111"/>
    <w:rsid w:val="00863AC5"/>
    <w:rsid w:val="00864ACA"/>
    <w:rsid w:val="00865E19"/>
    <w:rsid w:val="00867118"/>
    <w:rsid w:val="0086753C"/>
    <w:rsid w:val="0087124E"/>
    <w:rsid w:val="00871404"/>
    <w:rsid w:val="0087247F"/>
    <w:rsid w:val="0087352C"/>
    <w:rsid w:val="008753EF"/>
    <w:rsid w:val="00876A99"/>
    <w:rsid w:val="008825FC"/>
    <w:rsid w:val="0088270B"/>
    <w:rsid w:val="0088502D"/>
    <w:rsid w:val="00887E92"/>
    <w:rsid w:val="00890A89"/>
    <w:rsid w:val="008913C9"/>
    <w:rsid w:val="00892257"/>
    <w:rsid w:val="008947D6"/>
    <w:rsid w:val="008970AC"/>
    <w:rsid w:val="008A07E4"/>
    <w:rsid w:val="008A0F2C"/>
    <w:rsid w:val="008A49A5"/>
    <w:rsid w:val="008A5386"/>
    <w:rsid w:val="008A5BA5"/>
    <w:rsid w:val="008A5DFF"/>
    <w:rsid w:val="008A5F2B"/>
    <w:rsid w:val="008B2B0D"/>
    <w:rsid w:val="008B39A4"/>
    <w:rsid w:val="008B4F90"/>
    <w:rsid w:val="008B5946"/>
    <w:rsid w:val="008B71BC"/>
    <w:rsid w:val="008C01E9"/>
    <w:rsid w:val="008C1043"/>
    <w:rsid w:val="008C12AD"/>
    <w:rsid w:val="008C25FF"/>
    <w:rsid w:val="008C2880"/>
    <w:rsid w:val="008C41A9"/>
    <w:rsid w:val="008C4E49"/>
    <w:rsid w:val="008C4F6B"/>
    <w:rsid w:val="008C50E2"/>
    <w:rsid w:val="008C60EB"/>
    <w:rsid w:val="008C7F66"/>
    <w:rsid w:val="008D01FF"/>
    <w:rsid w:val="008D3697"/>
    <w:rsid w:val="008D36EF"/>
    <w:rsid w:val="008D4578"/>
    <w:rsid w:val="008D5328"/>
    <w:rsid w:val="008D78C2"/>
    <w:rsid w:val="008E07A7"/>
    <w:rsid w:val="008E2EA3"/>
    <w:rsid w:val="008E49CC"/>
    <w:rsid w:val="008F2234"/>
    <w:rsid w:val="008F279C"/>
    <w:rsid w:val="008F5B19"/>
    <w:rsid w:val="008F6DF4"/>
    <w:rsid w:val="008F782A"/>
    <w:rsid w:val="008F788B"/>
    <w:rsid w:val="009000B7"/>
    <w:rsid w:val="0090055A"/>
    <w:rsid w:val="00900764"/>
    <w:rsid w:val="009015AF"/>
    <w:rsid w:val="009019CA"/>
    <w:rsid w:val="009055FD"/>
    <w:rsid w:val="00905677"/>
    <w:rsid w:val="00905698"/>
    <w:rsid w:val="0090578E"/>
    <w:rsid w:val="00905979"/>
    <w:rsid w:val="0091010E"/>
    <w:rsid w:val="009107D0"/>
    <w:rsid w:val="0091125D"/>
    <w:rsid w:val="00911840"/>
    <w:rsid w:val="00912297"/>
    <w:rsid w:val="00912B6D"/>
    <w:rsid w:val="00912D85"/>
    <w:rsid w:val="00915275"/>
    <w:rsid w:val="00916084"/>
    <w:rsid w:val="009234E0"/>
    <w:rsid w:val="0092411E"/>
    <w:rsid w:val="0092548B"/>
    <w:rsid w:val="0093022C"/>
    <w:rsid w:val="00931842"/>
    <w:rsid w:val="0093545C"/>
    <w:rsid w:val="00940C3F"/>
    <w:rsid w:val="009436E5"/>
    <w:rsid w:val="0094457E"/>
    <w:rsid w:val="00947F5A"/>
    <w:rsid w:val="00950903"/>
    <w:rsid w:val="00950DE4"/>
    <w:rsid w:val="00951E52"/>
    <w:rsid w:val="00952051"/>
    <w:rsid w:val="00952CA7"/>
    <w:rsid w:val="009534A5"/>
    <w:rsid w:val="009542DE"/>
    <w:rsid w:val="009546BF"/>
    <w:rsid w:val="009550E1"/>
    <w:rsid w:val="0095517B"/>
    <w:rsid w:val="009553C1"/>
    <w:rsid w:val="00955ADE"/>
    <w:rsid w:val="00955F50"/>
    <w:rsid w:val="00956329"/>
    <w:rsid w:val="009564E8"/>
    <w:rsid w:val="00956A7F"/>
    <w:rsid w:val="00960227"/>
    <w:rsid w:val="00962C47"/>
    <w:rsid w:val="009630ED"/>
    <w:rsid w:val="00963167"/>
    <w:rsid w:val="00964E59"/>
    <w:rsid w:val="00967504"/>
    <w:rsid w:val="009675C2"/>
    <w:rsid w:val="009679E2"/>
    <w:rsid w:val="00967A0B"/>
    <w:rsid w:val="00970704"/>
    <w:rsid w:val="009717E7"/>
    <w:rsid w:val="00973685"/>
    <w:rsid w:val="00973E6B"/>
    <w:rsid w:val="009759CF"/>
    <w:rsid w:val="00975A28"/>
    <w:rsid w:val="00975EE4"/>
    <w:rsid w:val="00976147"/>
    <w:rsid w:val="009769AE"/>
    <w:rsid w:val="00985895"/>
    <w:rsid w:val="0098615E"/>
    <w:rsid w:val="00986786"/>
    <w:rsid w:val="00986A58"/>
    <w:rsid w:val="00990552"/>
    <w:rsid w:val="009936E6"/>
    <w:rsid w:val="00996446"/>
    <w:rsid w:val="009A045A"/>
    <w:rsid w:val="009B1679"/>
    <w:rsid w:val="009B250C"/>
    <w:rsid w:val="009B3D62"/>
    <w:rsid w:val="009B41CF"/>
    <w:rsid w:val="009B4415"/>
    <w:rsid w:val="009C0309"/>
    <w:rsid w:val="009C0772"/>
    <w:rsid w:val="009C0CCC"/>
    <w:rsid w:val="009C1264"/>
    <w:rsid w:val="009C1D06"/>
    <w:rsid w:val="009C224C"/>
    <w:rsid w:val="009C229D"/>
    <w:rsid w:val="009C510F"/>
    <w:rsid w:val="009C635A"/>
    <w:rsid w:val="009D3E2F"/>
    <w:rsid w:val="009D443C"/>
    <w:rsid w:val="009D4F1D"/>
    <w:rsid w:val="009D62BF"/>
    <w:rsid w:val="009D681A"/>
    <w:rsid w:val="009D7DEA"/>
    <w:rsid w:val="009E122F"/>
    <w:rsid w:val="009E5A9F"/>
    <w:rsid w:val="009E5CF0"/>
    <w:rsid w:val="009E6235"/>
    <w:rsid w:val="009E7678"/>
    <w:rsid w:val="009F0D4A"/>
    <w:rsid w:val="009F10BE"/>
    <w:rsid w:val="009F21DB"/>
    <w:rsid w:val="009F3164"/>
    <w:rsid w:val="009F4ABA"/>
    <w:rsid w:val="009F50EC"/>
    <w:rsid w:val="009F52B9"/>
    <w:rsid w:val="009F63D6"/>
    <w:rsid w:val="009F6AFF"/>
    <w:rsid w:val="00A0005E"/>
    <w:rsid w:val="00A02C26"/>
    <w:rsid w:val="00A03017"/>
    <w:rsid w:val="00A03DB8"/>
    <w:rsid w:val="00A06135"/>
    <w:rsid w:val="00A0639C"/>
    <w:rsid w:val="00A06E22"/>
    <w:rsid w:val="00A0706F"/>
    <w:rsid w:val="00A0740C"/>
    <w:rsid w:val="00A07F98"/>
    <w:rsid w:val="00A10BE1"/>
    <w:rsid w:val="00A10E10"/>
    <w:rsid w:val="00A11975"/>
    <w:rsid w:val="00A14098"/>
    <w:rsid w:val="00A155AD"/>
    <w:rsid w:val="00A158FF"/>
    <w:rsid w:val="00A16E21"/>
    <w:rsid w:val="00A175EE"/>
    <w:rsid w:val="00A179DB"/>
    <w:rsid w:val="00A205D8"/>
    <w:rsid w:val="00A220C3"/>
    <w:rsid w:val="00A23804"/>
    <w:rsid w:val="00A268F6"/>
    <w:rsid w:val="00A2707C"/>
    <w:rsid w:val="00A27562"/>
    <w:rsid w:val="00A30003"/>
    <w:rsid w:val="00A308CE"/>
    <w:rsid w:val="00A30CF4"/>
    <w:rsid w:val="00A32B4E"/>
    <w:rsid w:val="00A33FA4"/>
    <w:rsid w:val="00A34383"/>
    <w:rsid w:val="00A34FDB"/>
    <w:rsid w:val="00A36777"/>
    <w:rsid w:val="00A36C17"/>
    <w:rsid w:val="00A4067D"/>
    <w:rsid w:val="00A426E5"/>
    <w:rsid w:val="00A4339E"/>
    <w:rsid w:val="00A45C59"/>
    <w:rsid w:val="00A46F2E"/>
    <w:rsid w:val="00A4707B"/>
    <w:rsid w:val="00A47EFE"/>
    <w:rsid w:val="00A50C15"/>
    <w:rsid w:val="00A50FCA"/>
    <w:rsid w:val="00A51345"/>
    <w:rsid w:val="00A51DFE"/>
    <w:rsid w:val="00A52C9C"/>
    <w:rsid w:val="00A55EBD"/>
    <w:rsid w:val="00A561E5"/>
    <w:rsid w:val="00A567FB"/>
    <w:rsid w:val="00A57AB1"/>
    <w:rsid w:val="00A60CE1"/>
    <w:rsid w:val="00A60EE0"/>
    <w:rsid w:val="00A61AA4"/>
    <w:rsid w:val="00A61EF5"/>
    <w:rsid w:val="00A62095"/>
    <w:rsid w:val="00A62384"/>
    <w:rsid w:val="00A64496"/>
    <w:rsid w:val="00A6489F"/>
    <w:rsid w:val="00A64A87"/>
    <w:rsid w:val="00A70FD2"/>
    <w:rsid w:val="00A72B64"/>
    <w:rsid w:val="00A753FE"/>
    <w:rsid w:val="00A81B2C"/>
    <w:rsid w:val="00A82F63"/>
    <w:rsid w:val="00A85940"/>
    <w:rsid w:val="00A86F65"/>
    <w:rsid w:val="00A90113"/>
    <w:rsid w:val="00A906B0"/>
    <w:rsid w:val="00A9136D"/>
    <w:rsid w:val="00A9156D"/>
    <w:rsid w:val="00A91ACD"/>
    <w:rsid w:val="00A91BF8"/>
    <w:rsid w:val="00A93CBE"/>
    <w:rsid w:val="00A9462C"/>
    <w:rsid w:val="00A9573F"/>
    <w:rsid w:val="00A95CBE"/>
    <w:rsid w:val="00A960CB"/>
    <w:rsid w:val="00A96DCE"/>
    <w:rsid w:val="00A97FCF"/>
    <w:rsid w:val="00AA0004"/>
    <w:rsid w:val="00AA0988"/>
    <w:rsid w:val="00AA43A8"/>
    <w:rsid w:val="00AA6B1B"/>
    <w:rsid w:val="00AB089A"/>
    <w:rsid w:val="00AB30D1"/>
    <w:rsid w:val="00AB3238"/>
    <w:rsid w:val="00AB4A72"/>
    <w:rsid w:val="00AB503A"/>
    <w:rsid w:val="00AB6738"/>
    <w:rsid w:val="00AC0D1B"/>
    <w:rsid w:val="00AC0E3D"/>
    <w:rsid w:val="00AC13DA"/>
    <w:rsid w:val="00AC25A8"/>
    <w:rsid w:val="00AC40EB"/>
    <w:rsid w:val="00AC540F"/>
    <w:rsid w:val="00AC6553"/>
    <w:rsid w:val="00AD03C9"/>
    <w:rsid w:val="00AD149E"/>
    <w:rsid w:val="00AD1630"/>
    <w:rsid w:val="00AD225D"/>
    <w:rsid w:val="00AD284F"/>
    <w:rsid w:val="00AE0B1A"/>
    <w:rsid w:val="00AE0E48"/>
    <w:rsid w:val="00AE414E"/>
    <w:rsid w:val="00AE557E"/>
    <w:rsid w:val="00AF1AF6"/>
    <w:rsid w:val="00AF1BE4"/>
    <w:rsid w:val="00AF1FD8"/>
    <w:rsid w:val="00AF24D9"/>
    <w:rsid w:val="00AF257A"/>
    <w:rsid w:val="00AF2CB4"/>
    <w:rsid w:val="00AF4AB7"/>
    <w:rsid w:val="00AF57EC"/>
    <w:rsid w:val="00AF5961"/>
    <w:rsid w:val="00B00391"/>
    <w:rsid w:val="00B02C13"/>
    <w:rsid w:val="00B0411F"/>
    <w:rsid w:val="00B05046"/>
    <w:rsid w:val="00B0537D"/>
    <w:rsid w:val="00B05595"/>
    <w:rsid w:val="00B07903"/>
    <w:rsid w:val="00B10B40"/>
    <w:rsid w:val="00B1628F"/>
    <w:rsid w:val="00B173F5"/>
    <w:rsid w:val="00B21BAC"/>
    <w:rsid w:val="00B22420"/>
    <w:rsid w:val="00B23A99"/>
    <w:rsid w:val="00B248F5"/>
    <w:rsid w:val="00B273EB"/>
    <w:rsid w:val="00B27C51"/>
    <w:rsid w:val="00B30BF0"/>
    <w:rsid w:val="00B33D33"/>
    <w:rsid w:val="00B350CC"/>
    <w:rsid w:val="00B3564D"/>
    <w:rsid w:val="00B365ED"/>
    <w:rsid w:val="00B404BC"/>
    <w:rsid w:val="00B42DBB"/>
    <w:rsid w:val="00B43640"/>
    <w:rsid w:val="00B438E1"/>
    <w:rsid w:val="00B4453C"/>
    <w:rsid w:val="00B44F0B"/>
    <w:rsid w:val="00B4672E"/>
    <w:rsid w:val="00B5010A"/>
    <w:rsid w:val="00B50240"/>
    <w:rsid w:val="00B51983"/>
    <w:rsid w:val="00B5222F"/>
    <w:rsid w:val="00B524D6"/>
    <w:rsid w:val="00B52513"/>
    <w:rsid w:val="00B52EC2"/>
    <w:rsid w:val="00B53C94"/>
    <w:rsid w:val="00B54779"/>
    <w:rsid w:val="00B556F9"/>
    <w:rsid w:val="00B55FEF"/>
    <w:rsid w:val="00B579CD"/>
    <w:rsid w:val="00B604DE"/>
    <w:rsid w:val="00B60915"/>
    <w:rsid w:val="00B61E36"/>
    <w:rsid w:val="00B61F87"/>
    <w:rsid w:val="00B628F2"/>
    <w:rsid w:val="00B63609"/>
    <w:rsid w:val="00B64313"/>
    <w:rsid w:val="00B650F2"/>
    <w:rsid w:val="00B657D5"/>
    <w:rsid w:val="00B66A21"/>
    <w:rsid w:val="00B7136E"/>
    <w:rsid w:val="00B71A9B"/>
    <w:rsid w:val="00B72D12"/>
    <w:rsid w:val="00B748DC"/>
    <w:rsid w:val="00B75418"/>
    <w:rsid w:val="00B76390"/>
    <w:rsid w:val="00B76CC5"/>
    <w:rsid w:val="00B779C3"/>
    <w:rsid w:val="00B826AA"/>
    <w:rsid w:val="00B83651"/>
    <w:rsid w:val="00B83777"/>
    <w:rsid w:val="00B854A8"/>
    <w:rsid w:val="00B863F0"/>
    <w:rsid w:val="00B87442"/>
    <w:rsid w:val="00B9509E"/>
    <w:rsid w:val="00B95392"/>
    <w:rsid w:val="00B962FA"/>
    <w:rsid w:val="00B97A64"/>
    <w:rsid w:val="00BA13DE"/>
    <w:rsid w:val="00BA2F8B"/>
    <w:rsid w:val="00BA451E"/>
    <w:rsid w:val="00BA53C2"/>
    <w:rsid w:val="00BA6BF6"/>
    <w:rsid w:val="00BA7DB2"/>
    <w:rsid w:val="00BA7E35"/>
    <w:rsid w:val="00BA7F67"/>
    <w:rsid w:val="00BB17DC"/>
    <w:rsid w:val="00BB18B3"/>
    <w:rsid w:val="00BB2651"/>
    <w:rsid w:val="00BB7822"/>
    <w:rsid w:val="00BB7F9A"/>
    <w:rsid w:val="00BC1F75"/>
    <w:rsid w:val="00BC3F85"/>
    <w:rsid w:val="00BC449A"/>
    <w:rsid w:val="00BC45E0"/>
    <w:rsid w:val="00BC4FDF"/>
    <w:rsid w:val="00BC6164"/>
    <w:rsid w:val="00BC652C"/>
    <w:rsid w:val="00BC6B18"/>
    <w:rsid w:val="00BC6C42"/>
    <w:rsid w:val="00BC7802"/>
    <w:rsid w:val="00BC7C31"/>
    <w:rsid w:val="00BD23CC"/>
    <w:rsid w:val="00BD3AAE"/>
    <w:rsid w:val="00BD64B1"/>
    <w:rsid w:val="00BD673B"/>
    <w:rsid w:val="00BD7930"/>
    <w:rsid w:val="00BE0758"/>
    <w:rsid w:val="00BE1901"/>
    <w:rsid w:val="00BE3E35"/>
    <w:rsid w:val="00BE467B"/>
    <w:rsid w:val="00BE5C4B"/>
    <w:rsid w:val="00BE6B7A"/>
    <w:rsid w:val="00BF0B0C"/>
    <w:rsid w:val="00BF370D"/>
    <w:rsid w:val="00BF3DAA"/>
    <w:rsid w:val="00BF43D5"/>
    <w:rsid w:val="00BF591E"/>
    <w:rsid w:val="00BF65B0"/>
    <w:rsid w:val="00BF6C79"/>
    <w:rsid w:val="00C00BC4"/>
    <w:rsid w:val="00C019D7"/>
    <w:rsid w:val="00C03E07"/>
    <w:rsid w:val="00C04138"/>
    <w:rsid w:val="00C045D3"/>
    <w:rsid w:val="00C10044"/>
    <w:rsid w:val="00C104BB"/>
    <w:rsid w:val="00C119E9"/>
    <w:rsid w:val="00C14757"/>
    <w:rsid w:val="00C1716A"/>
    <w:rsid w:val="00C17381"/>
    <w:rsid w:val="00C175AE"/>
    <w:rsid w:val="00C20C76"/>
    <w:rsid w:val="00C232A1"/>
    <w:rsid w:val="00C232D2"/>
    <w:rsid w:val="00C237F8"/>
    <w:rsid w:val="00C272E9"/>
    <w:rsid w:val="00C30017"/>
    <w:rsid w:val="00C30831"/>
    <w:rsid w:val="00C30E1D"/>
    <w:rsid w:val="00C31A60"/>
    <w:rsid w:val="00C32432"/>
    <w:rsid w:val="00C327A6"/>
    <w:rsid w:val="00C32E64"/>
    <w:rsid w:val="00C350ED"/>
    <w:rsid w:val="00C3527D"/>
    <w:rsid w:val="00C35671"/>
    <w:rsid w:val="00C37017"/>
    <w:rsid w:val="00C41332"/>
    <w:rsid w:val="00C4149F"/>
    <w:rsid w:val="00C455E7"/>
    <w:rsid w:val="00C457BB"/>
    <w:rsid w:val="00C461D7"/>
    <w:rsid w:val="00C50D57"/>
    <w:rsid w:val="00C50E59"/>
    <w:rsid w:val="00C51535"/>
    <w:rsid w:val="00C51564"/>
    <w:rsid w:val="00C51D3A"/>
    <w:rsid w:val="00C52133"/>
    <w:rsid w:val="00C52912"/>
    <w:rsid w:val="00C56664"/>
    <w:rsid w:val="00C566BF"/>
    <w:rsid w:val="00C567BF"/>
    <w:rsid w:val="00C60929"/>
    <w:rsid w:val="00C60B5F"/>
    <w:rsid w:val="00C62A0C"/>
    <w:rsid w:val="00C638A8"/>
    <w:rsid w:val="00C649AE"/>
    <w:rsid w:val="00C671D7"/>
    <w:rsid w:val="00C717D1"/>
    <w:rsid w:val="00C71E10"/>
    <w:rsid w:val="00C721D3"/>
    <w:rsid w:val="00C7430C"/>
    <w:rsid w:val="00C77A12"/>
    <w:rsid w:val="00C800A2"/>
    <w:rsid w:val="00C813CB"/>
    <w:rsid w:val="00C81803"/>
    <w:rsid w:val="00C81DD9"/>
    <w:rsid w:val="00C83EC7"/>
    <w:rsid w:val="00C858A0"/>
    <w:rsid w:val="00C879EE"/>
    <w:rsid w:val="00C92770"/>
    <w:rsid w:val="00C93220"/>
    <w:rsid w:val="00C95E17"/>
    <w:rsid w:val="00C9681E"/>
    <w:rsid w:val="00C96E86"/>
    <w:rsid w:val="00C9784A"/>
    <w:rsid w:val="00CA1002"/>
    <w:rsid w:val="00CA1689"/>
    <w:rsid w:val="00CA3085"/>
    <w:rsid w:val="00CA3885"/>
    <w:rsid w:val="00CA4C25"/>
    <w:rsid w:val="00CA53DF"/>
    <w:rsid w:val="00CA7367"/>
    <w:rsid w:val="00CB0648"/>
    <w:rsid w:val="00CB10C3"/>
    <w:rsid w:val="00CB2C6F"/>
    <w:rsid w:val="00CB7045"/>
    <w:rsid w:val="00CB7779"/>
    <w:rsid w:val="00CB7801"/>
    <w:rsid w:val="00CC0C62"/>
    <w:rsid w:val="00CC2D8F"/>
    <w:rsid w:val="00CC61B3"/>
    <w:rsid w:val="00CC623C"/>
    <w:rsid w:val="00CC6BA5"/>
    <w:rsid w:val="00CC71A6"/>
    <w:rsid w:val="00CC7BA2"/>
    <w:rsid w:val="00CD3B5D"/>
    <w:rsid w:val="00CD3EF9"/>
    <w:rsid w:val="00CD50F2"/>
    <w:rsid w:val="00CD5F37"/>
    <w:rsid w:val="00CD7EBA"/>
    <w:rsid w:val="00CE0EB9"/>
    <w:rsid w:val="00CE2195"/>
    <w:rsid w:val="00CE24DE"/>
    <w:rsid w:val="00CE2E9F"/>
    <w:rsid w:val="00CE4D1E"/>
    <w:rsid w:val="00CE60E9"/>
    <w:rsid w:val="00CE64C6"/>
    <w:rsid w:val="00CE7A4A"/>
    <w:rsid w:val="00CF0CFF"/>
    <w:rsid w:val="00CF0D45"/>
    <w:rsid w:val="00CF1B30"/>
    <w:rsid w:val="00CF1F83"/>
    <w:rsid w:val="00CF2493"/>
    <w:rsid w:val="00CF270B"/>
    <w:rsid w:val="00CF311D"/>
    <w:rsid w:val="00CF31C5"/>
    <w:rsid w:val="00CF35A7"/>
    <w:rsid w:val="00CF3900"/>
    <w:rsid w:val="00CF6BBA"/>
    <w:rsid w:val="00CF71D4"/>
    <w:rsid w:val="00CF7316"/>
    <w:rsid w:val="00D014AE"/>
    <w:rsid w:val="00D01D68"/>
    <w:rsid w:val="00D03F56"/>
    <w:rsid w:val="00D06802"/>
    <w:rsid w:val="00D10B13"/>
    <w:rsid w:val="00D10C73"/>
    <w:rsid w:val="00D118F4"/>
    <w:rsid w:val="00D12DC9"/>
    <w:rsid w:val="00D132A6"/>
    <w:rsid w:val="00D137E1"/>
    <w:rsid w:val="00D148A2"/>
    <w:rsid w:val="00D14D00"/>
    <w:rsid w:val="00D14F44"/>
    <w:rsid w:val="00D16AD1"/>
    <w:rsid w:val="00D17021"/>
    <w:rsid w:val="00D175FD"/>
    <w:rsid w:val="00D23391"/>
    <w:rsid w:val="00D25C69"/>
    <w:rsid w:val="00D25F1B"/>
    <w:rsid w:val="00D261FF"/>
    <w:rsid w:val="00D30BB1"/>
    <w:rsid w:val="00D34020"/>
    <w:rsid w:val="00D36B01"/>
    <w:rsid w:val="00D44EFE"/>
    <w:rsid w:val="00D45CC9"/>
    <w:rsid w:val="00D52717"/>
    <w:rsid w:val="00D52795"/>
    <w:rsid w:val="00D52BCB"/>
    <w:rsid w:val="00D5370A"/>
    <w:rsid w:val="00D5470B"/>
    <w:rsid w:val="00D55047"/>
    <w:rsid w:val="00D55E70"/>
    <w:rsid w:val="00D57F1B"/>
    <w:rsid w:val="00D6115D"/>
    <w:rsid w:val="00D62520"/>
    <w:rsid w:val="00D64A7A"/>
    <w:rsid w:val="00D666AA"/>
    <w:rsid w:val="00D67DD4"/>
    <w:rsid w:val="00D701F6"/>
    <w:rsid w:val="00D7086A"/>
    <w:rsid w:val="00D70B62"/>
    <w:rsid w:val="00D7536B"/>
    <w:rsid w:val="00D756C6"/>
    <w:rsid w:val="00D756DF"/>
    <w:rsid w:val="00D75C70"/>
    <w:rsid w:val="00D8180F"/>
    <w:rsid w:val="00D828E4"/>
    <w:rsid w:val="00D84895"/>
    <w:rsid w:val="00D85C45"/>
    <w:rsid w:val="00D879B2"/>
    <w:rsid w:val="00D87ADC"/>
    <w:rsid w:val="00D87FD6"/>
    <w:rsid w:val="00D9106B"/>
    <w:rsid w:val="00D94988"/>
    <w:rsid w:val="00D968C3"/>
    <w:rsid w:val="00D97710"/>
    <w:rsid w:val="00DA05D2"/>
    <w:rsid w:val="00DA0968"/>
    <w:rsid w:val="00DA1E41"/>
    <w:rsid w:val="00DA2A76"/>
    <w:rsid w:val="00DA2CFE"/>
    <w:rsid w:val="00DA31CB"/>
    <w:rsid w:val="00DA3C5A"/>
    <w:rsid w:val="00DA3F9A"/>
    <w:rsid w:val="00DA78CD"/>
    <w:rsid w:val="00DB2688"/>
    <w:rsid w:val="00DB3A0C"/>
    <w:rsid w:val="00DB4D7C"/>
    <w:rsid w:val="00DB5048"/>
    <w:rsid w:val="00DB5345"/>
    <w:rsid w:val="00DB5918"/>
    <w:rsid w:val="00DB6763"/>
    <w:rsid w:val="00DB6DFE"/>
    <w:rsid w:val="00DB6F30"/>
    <w:rsid w:val="00DC0178"/>
    <w:rsid w:val="00DC0FD1"/>
    <w:rsid w:val="00DC4C49"/>
    <w:rsid w:val="00DC5224"/>
    <w:rsid w:val="00DC5522"/>
    <w:rsid w:val="00DC705C"/>
    <w:rsid w:val="00DC7BDF"/>
    <w:rsid w:val="00DD0ACA"/>
    <w:rsid w:val="00DD0CB5"/>
    <w:rsid w:val="00DD11EE"/>
    <w:rsid w:val="00DD16D5"/>
    <w:rsid w:val="00DD1AC8"/>
    <w:rsid w:val="00DD2341"/>
    <w:rsid w:val="00DD75F5"/>
    <w:rsid w:val="00DE20D8"/>
    <w:rsid w:val="00DE4652"/>
    <w:rsid w:val="00DE4B36"/>
    <w:rsid w:val="00DE722F"/>
    <w:rsid w:val="00DF0DD3"/>
    <w:rsid w:val="00DF2B3C"/>
    <w:rsid w:val="00DF3F44"/>
    <w:rsid w:val="00DF5623"/>
    <w:rsid w:val="00E0031D"/>
    <w:rsid w:val="00E02936"/>
    <w:rsid w:val="00E03D06"/>
    <w:rsid w:val="00E04735"/>
    <w:rsid w:val="00E06406"/>
    <w:rsid w:val="00E07BCA"/>
    <w:rsid w:val="00E11BB8"/>
    <w:rsid w:val="00E12BC8"/>
    <w:rsid w:val="00E12C20"/>
    <w:rsid w:val="00E2134F"/>
    <w:rsid w:val="00E236D6"/>
    <w:rsid w:val="00E24231"/>
    <w:rsid w:val="00E250D1"/>
    <w:rsid w:val="00E2666B"/>
    <w:rsid w:val="00E26F57"/>
    <w:rsid w:val="00E307F3"/>
    <w:rsid w:val="00E32F90"/>
    <w:rsid w:val="00E33B39"/>
    <w:rsid w:val="00E3414F"/>
    <w:rsid w:val="00E36CAC"/>
    <w:rsid w:val="00E42766"/>
    <w:rsid w:val="00E4330C"/>
    <w:rsid w:val="00E45170"/>
    <w:rsid w:val="00E46F69"/>
    <w:rsid w:val="00E47043"/>
    <w:rsid w:val="00E510E0"/>
    <w:rsid w:val="00E52718"/>
    <w:rsid w:val="00E530CC"/>
    <w:rsid w:val="00E53E5C"/>
    <w:rsid w:val="00E5404C"/>
    <w:rsid w:val="00E542EF"/>
    <w:rsid w:val="00E56B8F"/>
    <w:rsid w:val="00E57859"/>
    <w:rsid w:val="00E61164"/>
    <w:rsid w:val="00E626EC"/>
    <w:rsid w:val="00E63047"/>
    <w:rsid w:val="00E6323D"/>
    <w:rsid w:val="00E63DC3"/>
    <w:rsid w:val="00E659C1"/>
    <w:rsid w:val="00E70A9B"/>
    <w:rsid w:val="00E71B82"/>
    <w:rsid w:val="00E72384"/>
    <w:rsid w:val="00E73DDB"/>
    <w:rsid w:val="00E7480B"/>
    <w:rsid w:val="00E74820"/>
    <w:rsid w:val="00E75592"/>
    <w:rsid w:val="00E77438"/>
    <w:rsid w:val="00E806E5"/>
    <w:rsid w:val="00E82AAA"/>
    <w:rsid w:val="00E82CA8"/>
    <w:rsid w:val="00E83BD9"/>
    <w:rsid w:val="00E83F11"/>
    <w:rsid w:val="00E84BDF"/>
    <w:rsid w:val="00E85543"/>
    <w:rsid w:val="00E86E1A"/>
    <w:rsid w:val="00E87814"/>
    <w:rsid w:val="00E90594"/>
    <w:rsid w:val="00E91C25"/>
    <w:rsid w:val="00E9389E"/>
    <w:rsid w:val="00E94027"/>
    <w:rsid w:val="00E95376"/>
    <w:rsid w:val="00E9590B"/>
    <w:rsid w:val="00E95B0C"/>
    <w:rsid w:val="00E96355"/>
    <w:rsid w:val="00EA00CB"/>
    <w:rsid w:val="00EA2BBD"/>
    <w:rsid w:val="00EA3894"/>
    <w:rsid w:val="00EA7142"/>
    <w:rsid w:val="00EB4456"/>
    <w:rsid w:val="00EB66A7"/>
    <w:rsid w:val="00EB6DAE"/>
    <w:rsid w:val="00EB78C5"/>
    <w:rsid w:val="00EC0767"/>
    <w:rsid w:val="00EC0BEC"/>
    <w:rsid w:val="00EC1984"/>
    <w:rsid w:val="00EC3700"/>
    <w:rsid w:val="00EC3A64"/>
    <w:rsid w:val="00EC41BA"/>
    <w:rsid w:val="00EC7A81"/>
    <w:rsid w:val="00ED1F7E"/>
    <w:rsid w:val="00ED69A8"/>
    <w:rsid w:val="00EE153D"/>
    <w:rsid w:val="00EE17F2"/>
    <w:rsid w:val="00EE19F5"/>
    <w:rsid w:val="00EE2EB6"/>
    <w:rsid w:val="00EE3172"/>
    <w:rsid w:val="00EE38BC"/>
    <w:rsid w:val="00EE6C02"/>
    <w:rsid w:val="00EF1253"/>
    <w:rsid w:val="00EF184F"/>
    <w:rsid w:val="00EF3A0F"/>
    <w:rsid w:val="00EF47EB"/>
    <w:rsid w:val="00EF4869"/>
    <w:rsid w:val="00EF4D04"/>
    <w:rsid w:val="00F022DE"/>
    <w:rsid w:val="00F05A89"/>
    <w:rsid w:val="00F05EB4"/>
    <w:rsid w:val="00F06568"/>
    <w:rsid w:val="00F07F97"/>
    <w:rsid w:val="00F10274"/>
    <w:rsid w:val="00F10310"/>
    <w:rsid w:val="00F103B8"/>
    <w:rsid w:val="00F11ED0"/>
    <w:rsid w:val="00F11F5B"/>
    <w:rsid w:val="00F14948"/>
    <w:rsid w:val="00F15836"/>
    <w:rsid w:val="00F2031A"/>
    <w:rsid w:val="00F20857"/>
    <w:rsid w:val="00F21716"/>
    <w:rsid w:val="00F241E5"/>
    <w:rsid w:val="00F26769"/>
    <w:rsid w:val="00F308EE"/>
    <w:rsid w:val="00F319A1"/>
    <w:rsid w:val="00F32E20"/>
    <w:rsid w:val="00F377D6"/>
    <w:rsid w:val="00F40151"/>
    <w:rsid w:val="00F40273"/>
    <w:rsid w:val="00F40C08"/>
    <w:rsid w:val="00F42D7E"/>
    <w:rsid w:val="00F43736"/>
    <w:rsid w:val="00F44E8B"/>
    <w:rsid w:val="00F45D53"/>
    <w:rsid w:val="00F50298"/>
    <w:rsid w:val="00F5161C"/>
    <w:rsid w:val="00F51E81"/>
    <w:rsid w:val="00F52273"/>
    <w:rsid w:val="00F53D1C"/>
    <w:rsid w:val="00F53F85"/>
    <w:rsid w:val="00F55AED"/>
    <w:rsid w:val="00F64EC5"/>
    <w:rsid w:val="00F65889"/>
    <w:rsid w:val="00F663E4"/>
    <w:rsid w:val="00F70BDF"/>
    <w:rsid w:val="00F70E84"/>
    <w:rsid w:val="00F710A1"/>
    <w:rsid w:val="00F77167"/>
    <w:rsid w:val="00F80CB9"/>
    <w:rsid w:val="00F80F8A"/>
    <w:rsid w:val="00F83336"/>
    <w:rsid w:val="00F84D2F"/>
    <w:rsid w:val="00F84FF8"/>
    <w:rsid w:val="00F909AC"/>
    <w:rsid w:val="00F94F30"/>
    <w:rsid w:val="00F95117"/>
    <w:rsid w:val="00F957AE"/>
    <w:rsid w:val="00F9590F"/>
    <w:rsid w:val="00F96949"/>
    <w:rsid w:val="00F97C84"/>
    <w:rsid w:val="00F97CFD"/>
    <w:rsid w:val="00FA10B3"/>
    <w:rsid w:val="00FA15AD"/>
    <w:rsid w:val="00FA1F0B"/>
    <w:rsid w:val="00FA3FE3"/>
    <w:rsid w:val="00FB0B7B"/>
    <w:rsid w:val="00FB1549"/>
    <w:rsid w:val="00FB1E9E"/>
    <w:rsid w:val="00FB34BE"/>
    <w:rsid w:val="00FB5889"/>
    <w:rsid w:val="00FB61D9"/>
    <w:rsid w:val="00FB7766"/>
    <w:rsid w:val="00FB7D1F"/>
    <w:rsid w:val="00FB7F72"/>
    <w:rsid w:val="00FC1419"/>
    <w:rsid w:val="00FC168B"/>
    <w:rsid w:val="00FC21D3"/>
    <w:rsid w:val="00FC2A89"/>
    <w:rsid w:val="00FC4981"/>
    <w:rsid w:val="00FC6079"/>
    <w:rsid w:val="00FC70E9"/>
    <w:rsid w:val="00FD1D9B"/>
    <w:rsid w:val="00FD2656"/>
    <w:rsid w:val="00FD2B12"/>
    <w:rsid w:val="00FD4090"/>
    <w:rsid w:val="00FD45BC"/>
    <w:rsid w:val="00FD4A1B"/>
    <w:rsid w:val="00FD4C1D"/>
    <w:rsid w:val="00FD5F20"/>
    <w:rsid w:val="00FD6AC6"/>
    <w:rsid w:val="00FD7D70"/>
    <w:rsid w:val="00FE03E4"/>
    <w:rsid w:val="00FE0A44"/>
    <w:rsid w:val="00FE21D6"/>
    <w:rsid w:val="00FE27B7"/>
    <w:rsid w:val="00FE4709"/>
    <w:rsid w:val="00FE58D5"/>
    <w:rsid w:val="00FE642B"/>
    <w:rsid w:val="00FF052E"/>
    <w:rsid w:val="00FF222A"/>
    <w:rsid w:val="00FF2AD7"/>
    <w:rsid w:val="00FF7539"/>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7E"/>
    <w:rPr>
      <w:sz w:val="26"/>
      <w:szCs w:val="24"/>
    </w:rPr>
  </w:style>
  <w:style w:type="paragraph" w:styleId="Heading1">
    <w:name w:val="heading 1"/>
    <w:basedOn w:val="Normal"/>
    <w:next w:val="Normal"/>
    <w:link w:val="Heading1Char"/>
    <w:qFormat/>
    <w:rsid w:val="006C3EB4"/>
    <w:pPr>
      <w:keepNext/>
      <w:keepLines/>
      <w:spacing w:before="480"/>
      <w:ind w:firstLine="0"/>
      <w:outlineLvl w:val="0"/>
    </w:pPr>
    <w:rPr>
      <w:rFonts w:eastAsiaTheme="majorEastAsia" w:cstheme="majorBidi"/>
      <w:b/>
      <w:bCs/>
      <w:szCs w:val="28"/>
    </w:rPr>
  </w:style>
  <w:style w:type="paragraph" w:styleId="Heading2">
    <w:name w:val="heading 2"/>
    <w:basedOn w:val="Normal"/>
    <w:next w:val="Normal"/>
    <w:link w:val="Heading2Char"/>
    <w:qFormat/>
    <w:rsid w:val="00B438E1"/>
    <w:pPr>
      <w:keepNext/>
      <w:jc w:val="center"/>
      <w:outlineLvl w:val="1"/>
    </w:pPr>
    <w:rPr>
      <w:rFonts w:eastAsiaTheme="majorEastAsia" w:cstheme="majorBidi"/>
      <w:b/>
      <w:sz w:val="28"/>
      <w:szCs w:val="20"/>
    </w:rPr>
  </w:style>
  <w:style w:type="paragraph" w:styleId="Heading3">
    <w:name w:val="heading 3"/>
    <w:basedOn w:val="Normal"/>
    <w:next w:val="Normal"/>
    <w:link w:val="Heading3Char"/>
    <w:qFormat/>
    <w:rsid w:val="00B438E1"/>
    <w:pPr>
      <w:keepNext/>
      <w:outlineLvl w:val="2"/>
    </w:pPr>
    <w:rPr>
      <w:rFonts w:eastAsiaTheme="majorEastAsia" w:cstheme="majorBidi"/>
      <w:b/>
      <w:szCs w:val="20"/>
    </w:rPr>
  </w:style>
  <w:style w:type="paragraph" w:styleId="Heading4">
    <w:name w:val="heading 4"/>
    <w:basedOn w:val="Normal"/>
    <w:next w:val="Normal"/>
    <w:link w:val="Heading4Char"/>
    <w:semiHidden/>
    <w:unhideWhenUsed/>
    <w:qFormat/>
    <w:rsid w:val="006C24A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cs="Mangal"/>
      <w:sz w:val="28"/>
      <w:szCs w:val="21"/>
    </w:rPr>
  </w:style>
  <w:style w:type="character" w:customStyle="1" w:styleId="Heading1Char">
    <w:name w:val="Heading 1 Char"/>
    <w:basedOn w:val="DefaultParagraphFont"/>
    <w:link w:val="Heading1"/>
    <w:rsid w:val="006C3EB4"/>
    <w:rPr>
      <w:rFonts w:eastAsiaTheme="majorEastAsia" w:cstheme="majorBidi"/>
      <w:b/>
      <w:bCs/>
      <w:sz w:val="26"/>
      <w:szCs w:val="28"/>
    </w:rPr>
  </w:style>
  <w:style w:type="character" w:customStyle="1" w:styleId="Heading2Char">
    <w:name w:val="Heading 2 Char"/>
    <w:basedOn w:val="DefaultParagraphFont"/>
    <w:link w:val="Heading2"/>
    <w:rsid w:val="006C24AA"/>
    <w:rPr>
      <w:rFonts w:eastAsiaTheme="majorEastAsia" w:cstheme="majorBidi"/>
      <w:b/>
      <w:sz w:val="28"/>
    </w:rPr>
  </w:style>
  <w:style w:type="character" w:customStyle="1" w:styleId="Heading3Char">
    <w:name w:val="Heading 3 Char"/>
    <w:basedOn w:val="DefaultParagraphFont"/>
    <w:link w:val="Heading3"/>
    <w:rsid w:val="006C24AA"/>
    <w:rPr>
      <w:rFonts w:eastAsiaTheme="majorEastAsia" w:cstheme="majorBidi"/>
      <w:b/>
      <w:sz w:val="26"/>
    </w:rPr>
  </w:style>
  <w:style w:type="character" w:customStyle="1" w:styleId="Heading4Char">
    <w:name w:val="Heading 4 Char"/>
    <w:basedOn w:val="DefaultParagraphFont"/>
    <w:link w:val="Heading4"/>
    <w:semiHidden/>
    <w:rsid w:val="006C24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szCs w:val="26"/>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szCs w:val="26"/>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szCs w:val="26"/>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szCs w:val="26"/>
    </w:rPr>
  </w:style>
  <w:style w:type="paragraph" w:styleId="TOCHeading">
    <w:name w:val="TOC Heading"/>
    <w:basedOn w:val="Heading1"/>
    <w:next w:val="Normal"/>
    <w:uiPriority w:val="39"/>
    <w:semiHidden/>
    <w:unhideWhenUsed/>
    <w:qFormat/>
    <w:rsid w:val="006C24AA"/>
    <w:pPr>
      <w:outlineLvl w:val="9"/>
    </w:pPr>
  </w:style>
  <w:style w:type="character" w:styleId="Hyperlink">
    <w:name w:val="Hyperlink"/>
    <w:basedOn w:val="DefaultParagraphFont"/>
    <w:rsid w:val="00BB2651"/>
    <w:rPr>
      <w:color w:val="0000FF"/>
      <w:u w:val="single"/>
    </w:rPr>
  </w:style>
  <w:style w:type="character" w:customStyle="1" w:styleId="term1">
    <w:name w:val="term1"/>
    <w:basedOn w:val="DefaultParagraphFont"/>
    <w:rsid w:val="00BB2651"/>
    <w:rPr>
      <w:b/>
      <w:bCs/>
    </w:rPr>
  </w:style>
  <w:style w:type="paragraph" w:styleId="Header">
    <w:name w:val="header"/>
    <w:basedOn w:val="Normal"/>
    <w:link w:val="HeaderChar"/>
    <w:uiPriority w:val="99"/>
    <w:semiHidden/>
    <w:unhideWhenUsed/>
    <w:rsid w:val="00306C0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6C03"/>
    <w:rPr>
      <w:sz w:val="26"/>
      <w:szCs w:val="24"/>
    </w:rPr>
  </w:style>
  <w:style w:type="paragraph" w:styleId="Footer">
    <w:name w:val="footer"/>
    <w:basedOn w:val="Normal"/>
    <w:link w:val="FooterChar"/>
    <w:uiPriority w:val="99"/>
    <w:unhideWhenUsed/>
    <w:rsid w:val="00306C03"/>
    <w:pPr>
      <w:tabs>
        <w:tab w:val="center" w:pos="4680"/>
        <w:tab w:val="right" w:pos="9360"/>
      </w:tabs>
      <w:spacing w:line="240" w:lineRule="auto"/>
    </w:pPr>
  </w:style>
  <w:style w:type="character" w:customStyle="1" w:styleId="FooterChar">
    <w:name w:val="Footer Char"/>
    <w:basedOn w:val="DefaultParagraphFont"/>
    <w:link w:val="Footer"/>
    <w:uiPriority w:val="99"/>
    <w:rsid w:val="00306C03"/>
    <w:rPr>
      <w:sz w:val="26"/>
      <w:szCs w:val="24"/>
    </w:rPr>
  </w:style>
  <w:style w:type="character" w:styleId="FootnoteReference">
    <w:name w:val="footnote reference"/>
    <w:basedOn w:val="DefaultParagraphFont"/>
    <w:uiPriority w:val="99"/>
    <w:semiHidden/>
    <w:rsid w:val="009B41CF"/>
    <w:rPr>
      <w:rFonts w:cs="Times New Roman"/>
      <w:vertAlign w:val="superscript"/>
    </w:rPr>
  </w:style>
  <w:style w:type="paragraph" w:styleId="FootnoteText">
    <w:name w:val="footnote text"/>
    <w:basedOn w:val="Normal"/>
    <w:link w:val="FootnoteTextChar"/>
    <w:uiPriority w:val="99"/>
    <w:semiHidden/>
    <w:unhideWhenUsed/>
    <w:rsid w:val="007A2EF6"/>
    <w:pPr>
      <w:spacing w:line="240" w:lineRule="auto"/>
    </w:pPr>
    <w:rPr>
      <w:sz w:val="20"/>
      <w:szCs w:val="20"/>
    </w:rPr>
  </w:style>
  <w:style w:type="character" w:customStyle="1" w:styleId="FootnoteTextChar">
    <w:name w:val="Footnote Text Char"/>
    <w:basedOn w:val="DefaultParagraphFont"/>
    <w:link w:val="FootnoteText"/>
    <w:uiPriority w:val="99"/>
    <w:semiHidden/>
    <w:rsid w:val="007A2EF6"/>
  </w:style>
  <w:style w:type="paragraph" w:styleId="BalloonText">
    <w:name w:val="Balloon Text"/>
    <w:basedOn w:val="Normal"/>
    <w:link w:val="BalloonTextChar"/>
    <w:uiPriority w:val="99"/>
    <w:semiHidden/>
    <w:unhideWhenUsed/>
    <w:rsid w:val="00C813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3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D797C52-DB61-4C80-80D0-CE8D5D03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4</cp:revision>
  <cp:lastPrinted>2010-10-13T17:46:00Z</cp:lastPrinted>
  <dcterms:created xsi:type="dcterms:W3CDTF">2010-10-07T15:03:00Z</dcterms:created>
  <dcterms:modified xsi:type="dcterms:W3CDTF">2010-10-13T17:46:00Z</dcterms:modified>
</cp:coreProperties>
</file>