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2BE" w:rsidRPr="00883F3A" w:rsidRDefault="00C272BE" w:rsidP="007D6535">
      <w:pPr>
        <w:jc w:val="center"/>
        <w:outlineLvl w:val="0"/>
        <w:rPr>
          <w:b/>
        </w:rPr>
      </w:pPr>
      <w:r w:rsidRPr="00883F3A">
        <w:rPr>
          <w:b/>
        </w:rPr>
        <w:t>BEFORE THE</w:t>
      </w:r>
    </w:p>
    <w:p w:rsidR="00C272BE" w:rsidRPr="00883F3A" w:rsidRDefault="00C272BE" w:rsidP="007D6535">
      <w:pPr>
        <w:jc w:val="center"/>
        <w:outlineLvl w:val="0"/>
        <w:rPr>
          <w:b/>
        </w:rPr>
      </w:pPr>
      <w:r w:rsidRPr="00883F3A">
        <w:rPr>
          <w:b/>
        </w:rPr>
        <w:t>PENNSYLVANIA PUBLIC UTILITY COMMISSION</w:t>
      </w:r>
    </w:p>
    <w:p w:rsidR="00C272BE" w:rsidRPr="00883F3A" w:rsidRDefault="00C272BE" w:rsidP="007D6535"/>
    <w:p w:rsidR="00B15C0E" w:rsidRPr="00883F3A" w:rsidRDefault="00B15C0E" w:rsidP="007D6535"/>
    <w:p w:rsidR="000A510F" w:rsidRPr="00883F3A" w:rsidRDefault="000A510F" w:rsidP="007D6535"/>
    <w:tbl>
      <w:tblPr>
        <w:tblW w:w="0" w:type="auto"/>
        <w:tblLayout w:type="fixed"/>
        <w:tblLook w:val="0000"/>
      </w:tblPr>
      <w:tblGrid>
        <w:gridCol w:w="5148"/>
        <w:gridCol w:w="270"/>
        <w:gridCol w:w="1260"/>
        <w:gridCol w:w="2520"/>
      </w:tblGrid>
      <w:tr w:rsidR="00C272BE" w:rsidRPr="00883F3A">
        <w:tc>
          <w:tcPr>
            <w:tcW w:w="5148" w:type="dxa"/>
          </w:tcPr>
          <w:p w:rsidR="00C272BE" w:rsidRPr="00883F3A" w:rsidRDefault="00D53AAC" w:rsidP="00406B79">
            <w:r>
              <w:t>Deborah</w:t>
            </w:r>
            <w:r w:rsidR="003B06D1">
              <w:t xml:space="preserve"> </w:t>
            </w:r>
            <w:r>
              <w:t>Maley</w:t>
            </w:r>
          </w:p>
        </w:tc>
        <w:tc>
          <w:tcPr>
            <w:tcW w:w="270" w:type="dxa"/>
          </w:tcPr>
          <w:p w:rsidR="00C272BE" w:rsidRPr="00883F3A" w:rsidRDefault="00C272BE" w:rsidP="007D6535">
            <w:r w:rsidRPr="00883F3A">
              <w:t>:</w:t>
            </w:r>
          </w:p>
        </w:tc>
        <w:tc>
          <w:tcPr>
            <w:tcW w:w="1260" w:type="dxa"/>
          </w:tcPr>
          <w:p w:rsidR="00C272BE" w:rsidRPr="00883F3A" w:rsidRDefault="00C272BE" w:rsidP="007D6535"/>
        </w:tc>
        <w:tc>
          <w:tcPr>
            <w:tcW w:w="2520" w:type="dxa"/>
          </w:tcPr>
          <w:p w:rsidR="00C272BE" w:rsidRPr="00883F3A" w:rsidRDefault="00C272BE" w:rsidP="007D6535"/>
        </w:tc>
      </w:tr>
      <w:tr w:rsidR="00AE615F" w:rsidRPr="00883F3A">
        <w:tc>
          <w:tcPr>
            <w:tcW w:w="5148" w:type="dxa"/>
          </w:tcPr>
          <w:p w:rsidR="00AE615F" w:rsidRPr="00883F3A" w:rsidRDefault="00AE615F" w:rsidP="007D6535"/>
        </w:tc>
        <w:tc>
          <w:tcPr>
            <w:tcW w:w="270" w:type="dxa"/>
          </w:tcPr>
          <w:p w:rsidR="00AE615F" w:rsidRPr="00883F3A" w:rsidRDefault="00AE615F" w:rsidP="007D6535">
            <w:r w:rsidRPr="00883F3A">
              <w:t>:</w:t>
            </w:r>
          </w:p>
        </w:tc>
        <w:tc>
          <w:tcPr>
            <w:tcW w:w="1260" w:type="dxa"/>
          </w:tcPr>
          <w:p w:rsidR="00AE615F" w:rsidRPr="00883F3A" w:rsidRDefault="00AE615F" w:rsidP="007D6535">
            <w:pPr>
              <w:ind w:right="522"/>
              <w:jc w:val="right"/>
            </w:pPr>
          </w:p>
        </w:tc>
        <w:tc>
          <w:tcPr>
            <w:tcW w:w="2520" w:type="dxa"/>
          </w:tcPr>
          <w:p w:rsidR="00AE615F" w:rsidRPr="00883F3A" w:rsidRDefault="00AE615F" w:rsidP="007D6535"/>
        </w:tc>
      </w:tr>
      <w:tr w:rsidR="00C272BE" w:rsidRPr="00883F3A">
        <w:tc>
          <w:tcPr>
            <w:tcW w:w="5148" w:type="dxa"/>
          </w:tcPr>
          <w:p w:rsidR="00C272BE" w:rsidRPr="00883F3A" w:rsidRDefault="00C272BE" w:rsidP="007D6535">
            <w:r w:rsidRPr="00883F3A">
              <w:t xml:space="preserve">            v.</w:t>
            </w:r>
          </w:p>
        </w:tc>
        <w:tc>
          <w:tcPr>
            <w:tcW w:w="270" w:type="dxa"/>
          </w:tcPr>
          <w:p w:rsidR="00C272BE" w:rsidRPr="00883F3A" w:rsidRDefault="00C272BE" w:rsidP="007D6535">
            <w:r w:rsidRPr="00883F3A">
              <w:t>:</w:t>
            </w:r>
          </w:p>
          <w:p w:rsidR="00FB23CF" w:rsidRPr="00883F3A" w:rsidRDefault="00FB23CF" w:rsidP="007D6535">
            <w:r w:rsidRPr="00883F3A">
              <w:t>:</w:t>
            </w:r>
          </w:p>
        </w:tc>
        <w:tc>
          <w:tcPr>
            <w:tcW w:w="1260" w:type="dxa"/>
          </w:tcPr>
          <w:p w:rsidR="00C272BE" w:rsidRPr="00883F3A" w:rsidRDefault="00C272BE" w:rsidP="007D6535">
            <w:pPr>
              <w:ind w:right="522"/>
              <w:jc w:val="right"/>
            </w:pPr>
          </w:p>
        </w:tc>
        <w:tc>
          <w:tcPr>
            <w:tcW w:w="2520" w:type="dxa"/>
          </w:tcPr>
          <w:p w:rsidR="00C272BE" w:rsidRPr="00883F3A" w:rsidRDefault="00D53AAC" w:rsidP="00D53AAC">
            <w:r>
              <w:t>C</w:t>
            </w:r>
            <w:r w:rsidR="00792B41" w:rsidRPr="00883F3A">
              <w:t>-20</w:t>
            </w:r>
            <w:r w:rsidR="00514E01">
              <w:t>10</w:t>
            </w:r>
            <w:r w:rsidR="00792B41" w:rsidRPr="00883F3A">
              <w:t>-</w:t>
            </w:r>
            <w:r w:rsidR="00514E01">
              <w:t>21</w:t>
            </w:r>
            <w:r>
              <w:t>86040</w:t>
            </w:r>
          </w:p>
        </w:tc>
      </w:tr>
      <w:tr w:rsidR="00C272BE" w:rsidRPr="00883F3A">
        <w:tc>
          <w:tcPr>
            <w:tcW w:w="5148" w:type="dxa"/>
          </w:tcPr>
          <w:p w:rsidR="00C272BE" w:rsidRPr="00883F3A" w:rsidRDefault="00D53AAC" w:rsidP="00D53AAC">
            <w:pPr>
              <w:pStyle w:val="FootnoteText"/>
              <w:spacing w:line="240" w:lineRule="auto"/>
              <w:rPr>
                <w:sz w:val="24"/>
                <w:szCs w:val="24"/>
              </w:rPr>
            </w:pPr>
            <w:r>
              <w:rPr>
                <w:sz w:val="24"/>
                <w:szCs w:val="24"/>
              </w:rPr>
              <w:t>Duquesne Light Company</w:t>
            </w:r>
          </w:p>
        </w:tc>
        <w:tc>
          <w:tcPr>
            <w:tcW w:w="270" w:type="dxa"/>
          </w:tcPr>
          <w:p w:rsidR="00C272BE" w:rsidRPr="00883F3A" w:rsidRDefault="00C272BE" w:rsidP="007D6535">
            <w:r w:rsidRPr="00883F3A">
              <w:t>:</w:t>
            </w:r>
          </w:p>
        </w:tc>
        <w:tc>
          <w:tcPr>
            <w:tcW w:w="1260" w:type="dxa"/>
          </w:tcPr>
          <w:p w:rsidR="00C272BE" w:rsidRPr="00883F3A" w:rsidRDefault="00C272BE" w:rsidP="007D6535"/>
        </w:tc>
        <w:tc>
          <w:tcPr>
            <w:tcW w:w="2520" w:type="dxa"/>
          </w:tcPr>
          <w:p w:rsidR="00C272BE" w:rsidRPr="00883F3A" w:rsidRDefault="00C272BE" w:rsidP="007D6535"/>
        </w:tc>
      </w:tr>
    </w:tbl>
    <w:p w:rsidR="007F77BD" w:rsidRPr="00883F3A" w:rsidRDefault="007F77BD" w:rsidP="007D6535"/>
    <w:p w:rsidR="00C272BE" w:rsidRPr="00883F3A" w:rsidRDefault="00C272BE" w:rsidP="007D6535"/>
    <w:p w:rsidR="001D5EA7" w:rsidRPr="00883F3A" w:rsidRDefault="001D5EA7" w:rsidP="007D6535"/>
    <w:p w:rsidR="00883F3A" w:rsidRDefault="00883F3A" w:rsidP="008E0DE3">
      <w:pPr>
        <w:jc w:val="center"/>
        <w:rPr>
          <w:b/>
          <w:u w:val="single"/>
        </w:rPr>
      </w:pPr>
      <w:r>
        <w:rPr>
          <w:b/>
          <w:u w:val="single"/>
        </w:rPr>
        <w:t xml:space="preserve">ORDER CONTINUING </w:t>
      </w:r>
      <w:r w:rsidR="008E0DE3" w:rsidRPr="00883F3A">
        <w:rPr>
          <w:b/>
          <w:u w:val="single"/>
        </w:rPr>
        <w:t>AND</w:t>
      </w:r>
    </w:p>
    <w:p w:rsidR="008E0DE3" w:rsidRPr="00883F3A" w:rsidRDefault="008E0DE3" w:rsidP="008E0DE3">
      <w:pPr>
        <w:jc w:val="center"/>
        <w:rPr>
          <w:b/>
          <w:u w:val="single"/>
        </w:rPr>
      </w:pPr>
      <w:r w:rsidRPr="00883F3A">
        <w:rPr>
          <w:b/>
          <w:u w:val="single"/>
        </w:rPr>
        <w:t>RESCHEDULING HEARING</w:t>
      </w:r>
    </w:p>
    <w:p w:rsidR="00C272BE" w:rsidRPr="00883F3A" w:rsidRDefault="00C272BE" w:rsidP="007D6535"/>
    <w:p w:rsidR="00C272BE" w:rsidRPr="00883F3A" w:rsidRDefault="00C272BE" w:rsidP="007D6535"/>
    <w:p w:rsidR="005E2FEE" w:rsidRDefault="00320D2E" w:rsidP="00B134EC">
      <w:pPr>
        <w:spacing w:line="360" w:lineRule="auto"/>
      </w:pPr>
      <w:r w:rsidRPr="00883F3A">
        <w:tab/>
      </w:r>
      <w:r w:rsidRPr="00883F3A">
        <w:tab/>
      </w:r>
      <w:r w:rsidR="007E651E" w:rsidRPr="00883F3A">
        <w:t>A</w:t>
      </w:r>
      <w:r w:rsidR="00243667" w:rsidRPr="00883F3A">
        <w:t xml:space="preserve"> </w:t>
      </w:r>
      <w:r w:rsidR="004A4303">
        <w:t xml:space="preserve">telephonic </w:t>
      </w:r>
      <w:r w:rsidR="00243667" w:rsidRPr="00883F3A">
        <w:t>hearing</w:t>
      </w:r>
      <w:r w:rsidRPr="00883F3A">
        <w:t xml:space="preserve"> </w:t>
      </w:r>
      <w:r w:rsidR="004A4303">
        <w:t xml:space="preserve">in this matter </w:t>
      </w:r>
      <w:r w:rsidR="00752188" w:rsidRPr="00883F3A">
        <w:t xml:space="preserve">to be held in </w:t>
      </w:r>
      <w:r w:rsidR="00514E01">
        <w:t>Harrisburg, P</w:t>
      </w:r>
      <w:r w:rsidR="004A4303">
        <w:t>ennsylvania,</w:t>
      </w:r>
      <w:r w:rsidR="00752188" w:rsidRPr="00883F3A">
        <w:t xml:space="preserve"> </w:t>
      </w:r>
      <w:r w:rsidR="00BC790B" w:rsidRPr="00883F3A">
        <w:t>wa</w:t>
      </w:r>
      <w:r w:rsidRPr="00883F3A">
        <w:t>s</w:t>
      </w:r>
      <w:r w:rsidR="00752188" w:rsidRPr="00883F3A">
        <w:t xml:space="preserve"> s</w:t>
      </w:r>
      <w:r w:rsidRPr="00883F3A">
        <w:t xml:space="preserve">cheduled for </w:t>
      </w:r>
      <w:r w:rsidR="00D53AAC">
        <w:t>October 14</w:t>
      </w:r>
      <w:r w:rsidR="00E1173D">
        <w:t xml:space="preserve">, </w:t>
      </w:r>
      <w:r w:rsidR="007E651E" w:rsidRPr="00883F3A">
        <w:t xml:space="preserve">2010, </w:t>
      </w:r>
      <w:r w:rsidR="00E20640" w:rsidRPr="00883F3A">
        <w:t xml:space="preserve">at </w:t>
      </w:r>
      <w:r w:rsidR="00D53AAC">
        <w:t>10:00 a.</w:t>
      </w:r>
      <w:r w:rsidR="00E20640" w:rsidRPr="00883F3A">
        <w:t>.m</w:t>
      </w:r>
      <w:r w:rsidRPr="00883F3A">
        <w:t xml:space="preserve">.  </w:t>
      </w:r>
      <w:r w:rsidR="00B134EC" w:rsidRPr="00883F3A">
        <w:t xml:space="preserve">On </w:t>
      </w:r>
      <w:r w:rsidR="007C45FD">
        <w:t xml:space="preserve">October </w:t>
      </w:r>
      <w:r w:rsidR="00D53AAC">
        <w:t>12</w:t>
      </w:r>
      <w:r w:rsidR="00B134EC" w:rsidRPr="00883F3A">
        <w:t xml:space="preserve">, 2010, I received a </w:t>
      </w:r>
      <w:r w:rsidR="008E0DE3" w:rsidRPr="00883F3A">
        <w:t xml:space="preserve">Motion for Continuance of Hearing (Motion) </w:t>
      </w:r>
      <w:r w:rsidR="00B134EC" w:rsidRPr="00883F3A">
        <w:t xml:space="preserve">from </w:t>
      </w:r>
      <w:r w:rsidR="00D53AAC">
        <w:t>Krysia Kubiak</w:t>
      </w:r>
      <w:r w:rsidR="007E651E" w:rsidRPr="00883F3A">
        <w:t xml:space="preserve">, </w:t>
      </w:r>
      <w:r w:rsidR="00D53AAC">
        <w:t>Assistant General Counsel</w:t>
      </w:r>
      <w:r w:rsidR="002B7478">
        <w:t xml:space="preserve"> for R</w:t>
      </w:r>
      <w:r w:rsidR="007E651E" w:rsidRPr="00883F3A">
        <w:t xml:space="preserve">espondent </w:t>
      </w:r>
      <w:r w:rsidR="00D53AAC">
        <w:t>Duquesne Light</w:t>
      </w:r>
      <w:r w:rsidR="007C45FD">
        <w:t xml:space="preserve"> Company</w:t>
      </w:r>
      <w:r w:rsidR="007E651E" w:rsidRPr="00883F3A">
        <w:t xml:space="preserve"> (</w:t>
      </w:r>
      <w:r w:rsidR="00D53AAC">
        <w:t>Duquesne</w:t>
      </w:r>
      <w:r w:rsidR="007E651E" w:rsidRPr="00883F3A">
        <w:t xml:space="preserve"> or </w:t>
      </w:r>
      <w:r w:rsidR="00E1173D">
        <w:t>R</w:t>
      </w:r>
      <w:r w:rsidR="007E651E" w:rsidRPr="00883F3A">
        <w:t>espondent)</w:t>
      </w:r>
      <w:r w:rsidR="008E0DE3" w:rsidRPr="00883F3A">
        <w:t xml:space="preserve">.  </w:t>
      </w:r>
      <w:r w:rsidR="00D53AAC">
        <w:t xml:space="preserve">I note that the Motion was mailed on October 6, 2010, and a copy was duly served on the Complainant in this case, Deborah </w:t>
      </w:r>
      <w:r w:rsidR="00406B79">
        <w:t>M</w:t>
      </w:r>
      <w:r w:rsidR="00D53AAC">
        <w:t xml:space="preserve">aley.  I have received no </w:t>
      </w:r>
      <w:r w:rsidR="005E2FEE">
        <w:t>communication from Ms. Maley relative to the Motion.  Ms. Kubiak asserts that she attempted to contact Ms. Maley to secure her agreement to the request for continuance, but that Ms. Maley has been unavailable.</w:t>
      </w:r>
    </w:p>
    <w:p w:rsidR="005E2FEE" w:rsidRDefault="005E2FEE" w:rsidP="00B134EC">
      <w:pPr>
        <w:spacing w:line="360" w:lineRule="auto"/>
      </w:pPr>
    </w:p>
    <w:p w:rsidR="00E1173D" w:rsidRDefault="005E2FEE" w:rsidP="00B134EC">
      <w:pPr>
        <w:spacing w:line="360" w:lineRule="auto"/>
      </w:pPr>
      <w:r>
        <w:tab/>
      </w:r>
      <w:r>
        <w:tab/>
      </w:r>
      <w:r w:rsidR="008E0DE3" w:rsidRPr="00883F3A">
        <w:t>M</w:t>
      </w:r>
      <w:r>
        <w:t xml:space="preserve">s Kubiak </w:t>
      </w:r>
      <w:r w:rsidR="008E0DE3" w:rsidRPr="00883F3A">
        <w:t>request</w:t>
      </w:r>
      <w:r w:rsidR="00406B79">
        <w:t>s</w:t>
      </w:r>
      <w:r w:rsidR="008E0DE3" w:rsidRPr="00883F3A">
        <w:t xml:space="preserve"> that the hearing be continued and rescheduled</w:t>
      </w:r>
      <w:r w:rsidR="007E651E" w:rsidRPr="00883F3A">
        <w:t xml:space="preserve"> </w:t>
      </w:r>
      <w:r w:rsidR="00B134EC" w:rsidRPr="00883F3A">
        <w:t xml:space="preserve">as </w:t>
      </w:r>
      <w:r w:rsidR="007C45FD">
        <w:t>both M</w:t>
      </w:r>
      <w:r>
        <w:t>s. Kubiak and Duquesne</w:t>
      </w:r>
      <w:r w:rsidR="00242421">
        <w:t xml:space="preserve">’s witness </w:t>
      </w:r>
      <w:r w:rsidR="007C45FD">
        <w:t>have</w:t>
      </w:r>
      <w:r w:rsidR="008B1780">
        <w:t xml:space="preserve"> separate, </w:t>
      </w:r>
      <w:r w:rsidR="007C45FD">
        <w:t xml:space="preserve">pre-existing </w:t>
      </w:r>
      <w:r w:rsidR="00AE07E7">
        <w:t xml:space="preserve">corporate </w:t>
      </w:r>
      <w:r w:rsidR="007C45FD">
        <w:t>commitments at th</w:t>
      </w:r>
      <w:r w:rsidR="00AE07E7">
        <w:t>e</w:t>
      </w:r>
      <w:r w:rsidR="007C45FD">
        <w:t xml:space="preserve"> time</w:t>
      </w:r>
      <w:r w:rsidR="00AE07E7">
        <w:t xml:space="preserve"> of the October 14, 2010 hearing</w:t>
      </w:r>
      <w:r w:rsidR="00E1173D">
        <w:t xml:space="preserve">.  This case involves a billing dispute.  </w:t>
      </w:r>
    </w:p>
    <w:p w:rsidR="002B7478" w:rsidRDefault="002B7478" w:rsidP="00B134EC">
      <w:pPr>
        <w:spacing w:line="360" w:lineRule="auto"/>
      </w:pPr>
    </w:p>
    <w:p w:rsidR="008E0DE3" w:rsidRPr="00883F3A" w:rsidRDefault="002B7478" w:rsidP="007D6535">
      <w:pPr>
        <w:spacing w:line="360" w:lineRule="auto"/>
      </w:pPr>
      <w:r>
        <w:tab/>
      </w:r>
      <w:r>
        <w:tab/>
        <w:t xml:space="preserve">The Commission’s Rules of Administrative Practice and Procedure at 52 Pa. Code § 1.15(b) state that, “Only for good cause shown will requests for continuance be considered.”  Given the </w:t>
      </w:r>
      <w:r w:rsidR="00B628DE">
        <w:t>unavailability</w:t>
      </w:r>
      <w:r w:rsidR="00E300D8">
        <w:t xml:space="preserve"> of </w:t>
      </w:r>
      <w:r w:rsidR="00406B79">
        <w:t>Duquesne’s</w:t>
      </w:r>
      <w:r w:rsidR="00B628DE">
        <w:t xml:space="preserve"> counsel and</w:t>
      </w:r>
      <w:r w:rsidR="00E300D8">
        <w:t xml:space="preserve"> witness</w:t>
      </w:r>
      <w:r w:rsidR="00B628DE">
        <w:t xml:space="preserve"> due to </w:t>
      </w:r>
      <w:r w:rsidR="008B1780">
        <w:t xml:space="preserve">pre-existing </w:t>
      </w:r>
      <w:r w:rsidR="00406B79">
        <w:t xml:space="preserve">corporate </w:t>
      </w:r>
      <w:r w:rsidR="00B628DE">
        <w:t>commitments</w:t>
      </w:r>
      <w:r>
        <w:t xml:space="preserve">, </w:t>
      </w:r>
      <w:r w:rsidR="00B134EC" w:rsidRPr="00883F3A">
        <w:t>th</w:t>
      </w:r>
      <w:r>
        <w:t xml:space="preserve">e </w:t>
      </w:r>
      <w:r w:rsidR="00B134EC" w:rsidRPr="00883F3A">
        <w:t xml:space="preserve">request </w:t>
      </w:r>
      <w:r>
        <w:t xml:space="preserve">for continuance </w:t>
      </w:r>
      <w:r w:rsidR="00B134EC" w:rsidRPr="00883F3A">
        <w:t xml:space="preserve">is </w:t>
      </w:r>
      <w:r>
        <w:t>r</w:t>
      </w:r>
      <w:r w:rsidR="00B134EC" w:rsidRPr="00883F3A">
        <w:t>easonable</w:t>
      </w:r>
      <w:r>
        <w:t>,</w:t>
      </w:r>
      <w:r w:rsidR="00B134EC" w:rsidRPr="00883F3A">
        <w:t xml:space="preserve"> and the</w:t>
      </w:r>
      <w:r>
        <w:t xml:space="preserve"> </w:t>
      </w:r>
      <w:r w:rsidR="008E0DE3" w:rsidRPr="00883F3A">
        <w:t>Motion is granted.</w:t>
      </w:r>
    </w:p>
    <w:p w:rsidR="008E0DE3" w:rsidRPr="00883F3A" w:rsidRDefault="008E0DE3" w:rsidP="007D6535">
      <w:pPr>
        <w:spacing w:line="360" w:lineRule="auto"/>
      </w:pPr>
    </w:p>
    <w:p w:rsidR="008E0DE3" w:rsidRDefault="008E0DE3" w:rsidP="008E0DE3">
      <w:pPr>
        <w:spacing w:line="360" w:lineRule="auto"/>
      </w:pPr>
      <w:r w:rsidRPr="00883F3A">
        <w:tab/>
      </w:r>
      <w:r w:rsidRPr="00883F3A">
        <w:tab/>
        <w:t xml:space="preserve">I urge the parties to use this opportunity to try to resolve this proceeding and avoid the necessity of the expenditure of further time and legal expense.  </w:t>
      </w:r>
    </w:p>
    <w:p w:rsidR="00406B79" w:rsidRPr="00883F3A" w:rsidRDefault="00406B79" w:rsidP="008E0DE3">
      <w:pPr>
        <w:spacing w:line="360" w:lineRule="auto"/>
      </w:pPr>
    </w:p>
    <w:p w:rsidR="0093628D" w:rsidRPr="00883F3A" w:rsidRDefault="0093628D" w:rsidP="007D6535">
      <w:pPr>
        <w:spacing w:line="360" w:lineRule="auto"/>
      </w:pPr>
    </w:p>
    <w:p w:rsidR="0058287D" w:rsidRPr="00883F3A" w:rsidRDefault="00DB375C" w:rsidP="007D6535">
      <w:pPr>
        <w:spacing w:line="360" w:lineRule="auto"/>
      </w:pPr>
      <w:r w:rsidRPr="00883F3A">
        <w:lastRenderedPageBreak/>
        <w:tab/>
      </w:r>
      <w:r w:rsidR="00CE341C" w:rsidRPr="00883F3A">
        <w:tab/>
      </w:r>
      <w:r w:rsidR="0058287D" w:rsidRPr="00883F3A">
        <w:t>THEREFORE,</w:t>
      </w:r>
    </w:p>
    <w:p w:rsidR="0058287D" w:rsidRPr="00883F3A" w:rsidRDefault="0058287D" w:rsidP="007D6535">
      <w:pPr>
        <w:spacing w:line="360" w:lineRule="auto"/>
      </w:pPr>
    </w:p>
    <w:p w:rsidR="0058287D" w:rsidRPr="00883F3A" w:rsidRDefault="0058287D" w:rsidP="007D6535">
      <w:pPr>
        <w:spacing w:line="360" w:lineRule="auto"/>
      </w:pPr>
      <w:r w:rsidRPr="00883F3A">
        <w:tab/>
      </w:r>
      <w:r w:rsidRPr="00883F3A">
        <w:tab/>
        <w:t>IT IS ORDERED</w:t>
      </w:r>
      <w:r w:rsidR="00C272BE" w:rsidRPr="00883F3A">
        <w:t>:</w:t>
      </w:r>
    </w:p>
    <w:p w:rsidR="0058287D" w:rsidRPr="00883F3A" w:rsidRDefault="0058287D" w:rsidP="007D6535">
      <w:pPr>
        <w:spacing w:line="360" w:lineRule="auto"/>
      </w:pPr>
    </w:p>
    <w:p w:rsidR="00DB375C" w:rsidRPr="00883F3A" w:rsidRDefault="0058287D" w:rsidP="007D6535">
      <w:pPr>
        <w:spacing w:line="360" w:lineRule="auto"/>
      </w:pPr>
      <w:r w:rsidRPr="00883F3A">
        <w:tab/>
      </w:r>
      <w:r w:rsidRPr="00883F3A">
        <w:tab/>
        <w:t>1</w:t>
      </w:r>
      <w:r w:rsidR="00EB7EBC" w:rsidRPr="00883F3A">
        <w:t>.</w:t>
      </w:r>
      <w:r w:rsidRPr="00883F3A">
        <w:tab/>
        <w:t>T</w:t>
      </w:r>
      <w:r w:rsidR="00C272BE" w:rsidRPr="00883F3A">
        <w:t>hat t</w:t>
      </w:r>
      <w:r w:rsidRPr="00883F3A">
        <w:t>he</w:t>
      </w:r>
      <w:r w:rsidR="00DB375C" w:rsidRPr="00883F3A">
        <w:t xml:space="preserve"> Motion for Continuance of Hearing made by </w:t>
      </w:r>
      <w:r w:rsidR="00E1173D">
        <w:t>R</w:t>
      </w:r>
      <w:r w:rsidR="00DB375C" w:rsidRPr="00883F3A">
        <w:t xml:space="preserve">espondent </w:t>
      </w:r>
      <w:r w:rsidR="00406B79">
        <w:t xml:space="preserve">Duquesne Light Company </w:t>
      </w:r>
      <w:r w:rsidR="00DB375C" w:rsidRPr="00883F3A">
        <w:t xml:space="preserve">at </w:t>
      </w:r>
      <w:r w:rsidR="00406B79" w:rsidRPr="00406B79">
        <w:rPr>
          <w:i/>
        </w:rPr>
        <w:t>Maley</w:t>
      </w:r>
      <w:r w:rsidR="00B628DE" w:rsidRPr="008B1780">
        <w:rPr>
          <w:i/>
        </w:rPr>
        <w:t xml:space="preserve"> v. </w:t>
      </w:r>
      <w:r w:rsidR="00406B79">
        <w:rPr>
          <w:i/>
        </w:rPr>
        <w:t>Duquesne Light Company</w:t>
      </w:r>
      <w:r w:rsidR="00DB375C" w:rsidRPr="00883F3A">
        <w:t xml:space="preserve">, Docket No. </w:t>
      </w:r>
      <w:r w:rsidR="00406B79">
        <w:t>C</w:t>
      </w:r>
      <w:r w:rsidR="00DB375C" w:rsidRPr="00883F3A">
        <w:t>-20</w:t>
      </w:r>
      <w:r w:rsidR="00E300D8">
        <w:t>10</w:t>
      </w:r>
      <w:r w:rsidR="00DB375C" w:rsidRPr="00883F3A">
        <w:t>-21</w:t>
      </w:r>
      <w:r w:rsidR="00406B79">
        <w:t>86040</w:t>
      </w:r>
      <w:r w:rsidR="00DB375C" w:rsidRPr="00883F3A">
        <w:t xml:space="preserve">, is granted; and </w:t>
      </w:r>
    </w:p>
    <w:p w:rsidR="006D197D" w:rsidRPr="00883F3A" w:rsidRDefault="006D197D" w:rsidP="007D6535">
      <w:pPr>
        <w:spacing w:line="360" w:lineRule="auto"/>
      </w:pPr>
    </w:p>
    <w:p w:rsidR="001C164A" w:rsidRPr="00883F3A" w:rsidRDefault="006D197D" w:rsidP="007D6535">
      <w:pPr>
        <w:spacing w:line="360" w:lineRule="auto"/>
      </w:pPr>
      <w:r w:rsidRPr="00883F3A">
        <w:tab/>
      </w:r>
      <w:r w:rsidRPr="00883F3A">
        <w:tab/>
        <w:t>2.</w:t>
      </w:r>
      <w:r w:rsidRPr="00883F3A">
        <w:tab/>
        <w:t xml:space="preserve">That the hearing scheduled for </w:t>
      </w:r>
      <w:r w:rsidR="00406B79">
        <w:t>October 14</w:t>
      </w:r>
      <w:r w:rsidR="00E1173D">
        <w:t>, 2010</w:t>
      </w:r>
      <w:r w:rsidR="0093628D">
        <w:t>,</w:t>
      </w:r>
      <w:r w:rsidRPr="00883F3A">
        <w:t xml:space="preserve"> be continued and rescheduled.</w:t>
      </w:r>
    </w:p>
    <w:p w:rsidR="006D197D" w:rsidRPr="00883F3A" w:rsidRDefault="006D197D" w:rsidP="007D6535">
      <w:pPr>
        <w:spacing w:line="360" w:lineRule="auto"/>
      </w:pPr>
    </w:p>
    <w:p w:rsidR="006D197D" w:rsidRPr="00883F3A" w:rsidRDefault="006D197D" w:rsidP="007D6535">
      <w:pPr>
        <w:spacing w:line="360" w:lineRule="auto"/>
      </w:pPr>
    </w:p>
    <w:p w:rsidR="006D197D" w:rsidRPr="00883F3A" w:rsidRDefault="006D197D" w:rsidP="007D6535">
      <w:pPr>
        <w:spacing w:line="360" w:lineRule="auto"/>
      </w:pPr>
    </w:p>
    <w:tbl>
      <w:tblPr>
        <w:tblW w:w="0" w:type="auto"/>
        <w:tblLayout w:type="fixed"/>
        <w:tblLook w:val="0000"/>
      </w:tblPr>
      <w:tblGrid>
        <w:gridCol w:w="1098"/>
        <w:gridCol w:w="2340"/>
        <w:gridCol w:w="1890"/>
        <w:gridCol w:w="4248"/>
      </w:tblGrid>
      <w:tr w:rsidR="0058287D" w:rsidRPr="00883F3A">
        <w:tc>
          <w:tcPr>
            <w:tcW w:w="1098" w:type="dxa"/>
          </w:tcPr>
          <w:p w:rsidR="0058287D" w:rsidRPr="00883F3A" w:rsidRDefault="0058287D" w:rsidP="007D6535">
            <w:r w:rsidRPr="00883F3A">
              <w:t>Date:</w:t>
            </w:r>
          </w:p>
        </w:tc>
        <w:tc>
          <w:tcPr>
            <w:tcW w:w="2340" w:type="dxa"/>
          </w:tcPr>
          <w:p w:rsidR="0058287D" w:rsidRPr="00883F3A" w:rsidRDefault="00B628DE" w:rsidP="00406B79">
            <w:r>
              <w:t xml:space="preserve">October </w:t>
            </w:r>
            <w:r w:rsidR="00406B79">
              <w:t>13</w:t>
            </w:r>
            <w:r w:rsidR="00E1173D">
              <w:t xml:space="preserve">, </w:t>
            </w:r>
            <w:r w:rsidR="006D197D" w:rsidRPr="00883F3A">
              <w:t>2010</w:t>
            </w:r>
          </w:p>
        </w:tc>
        <w:tc>
          <w:tcPr>
            <w:tcW w:w="1890" w:type="dxa"/>
            <w:tcBorders>
              <w:left w:val="nil"/>
            </w:tcBorders>
          </w:tcPr>
          <w:p w:rsidR="0058287D" w:rsidRPr="00883F3A" w:rsidRDefault="0058287D" w:rsidP="007D6535"/>
        </w:tc>
        <w:tc>
          <w:tcPr>
            <w:tcW w:w="4248" w:type="dxa"/>
            <w:tcBorders>
              <w:bottom w:val="single" w:sz="6" w:space="0" w:color="auto"/>
            </w:tcBorders>
          </w:tcPr>
          <w:p w:rsidR="0058287D" w:rsidRPr="00883F3A" w:rsidRDefault="0058287D" w:rsidP="007D6535"/>
        </w:tc>
      </w:tr>
      <w:tr w:rsidR="0058287D" w:rsidRPr="00883F3A">
        <w:tc>
          <w:tcPr>
            <w:tcW w:w="1098" w:type="dxa"/>
          </w:tcPr>
          <w:p w:rsidR="0058287D" w:rsidRPr="00883F3A" w:rsidRDefault="0058287D" w:rsidP="007D6535"/>
        </w:tc>
        <w:tc>
          <w:tcPr>
            <w:tcW w:w="2340" w:type="dxa"/>
          </w:tcPr>
          <w:p w:rsidR="0058287D" w:rsidRPr="00883F3A" w:rsidRDefault="0058287D" w:rsidP="007D6535"/>
        </w:tc>
        <w:tc>
          <w:tcPr>
            <w:tcW w:w="1890" w:type="dxa"/>
          </w:tcPr>
          <w:p w:rsidR="0058287D" w:rsidRPr="00883F3A" w:rsidRDefault="0058287D" w:rsidP="007D6535"/>
        </w:tc>
        <w:tc>
          <w:tcPr>
            <w:tcW w:w="4248" w:type="dxa"/>
          </w:tcPr>
          <w:p w:rsidR="0058287D" w:rsidRPr="00883F3A" w:rsidRDefault="00E1173D" w:rsidP="007D6535">
            <w:r>
              <w:t>Dennis J. Buckley</w:t>
            </w:r>
          </w:p>
          <w:p w:rsidR="0058287D" w:rsidRPr="00883F3A" w:rsidRDefault="0058287D" w:rsidP="007D6535">
            <w:r w:rsidRPr="00883F3A">
              <w:t>Administrative Law Judge</w:t>
            </w:r>
          </w:p>
        </w:tc>
      </w:tr>
    </w:tbl>
    <w:p w:rsidR="00056134" w:rsidRDefault="00056134" w:rsidP="006D197D">
      <w:pPr>
        <w:suppressAutoHyphens/>
        <w:sectPr w:rsidR="00056134" w:rsidSect="00012B88">
          <w:footerReference w:type="default" r:id="rId6"/>
          <w:pgSz w:w="12240" w:h="15840" w:code="1"/>
          <w:pgMar w:top="864" w:right="1440" w:bottom="1296" w:left="1440" w:header="720" w:footer="432" w:gutter="0"/>
          <w:cols w:space="720"/>
          <w:noEndnote/>
          <w:titlePg/>
        </w:sectPr>
      </w:pPr>
    </w:p>
    <w:p w:rsidR="00056134" w:rsidRPr="00057980" w:rsidRDefault="00056134" w:rsidP="00056134">
      <w:pPr>
        <w:rPr>
          <w:rFonts w:ascii="Microsoft Sans Serif" w:hAnsi="Microsoft Sans Serif" w:cs="Microsoft Sans Serif"/>
          <w:b/>
          <w:caps/>
          <w:u w:val="single"/>
        </w:rPr>
      </w:pPr>
      <w:r w:rsidRPr="00007344">
        <w:rPr>
          <w:rFonts w:ascii="Microsoft Sans Serif" w:hAnsi="Microsoft Sans Serif" w:cs="Microsoft Sans Serif"/>
          <w:b/>
          <w:caps/>
          <w:noProof/>
          <w:u w:val="single"/>
        </w:rPr>
        <w:lastRenderedPageBreak/>
        <w:t>C-2010-2186040</w:t>
      </w:r>
      <w:r w:rsidRPr="00057980">
        <w:rPr>
          <w:rFonts w:ascii="Microsoft Sans Serif" w:hAnsi="Microsoft Sans Serif" w:cs="Microsoft Sans Serif"/>
          <w:b/>
          <w:caps/>
          <w:u w:val="single"/>
        </w:rPr>
        <w:t xml:space="preserve"> </w:t>
      </w:r>
      <w:r>
        <w:rPr>
          <w:rFonts w:ascii="Microsoft Sans Serif" w:hAnsi="Microsoft Sans Serif" w:cs="Microsoft Sans Serif"/>
          <w:b/>
          <w:caps/>
          <w:u w:val="single"/>
        </w:rPr>
        <w:t>-</w:t>
      </w:r>
      <w:r w:rsidRPr="00057980">
        <w:rPr>
          <w:rFonts w:ascii="Microsoft Sans Serif" w:hAnsi="Microsoft Sans Serif" w:cs="Microsoft Sans Serif"/>
          <w:b/>
          <w:caps/>
          <w:u w:val="single"/>
        </w:rPr>
        <w:t xml:space="preserve"> </w:t>
      </w:r>
      <w:r w:rsidRPr="00007344">
        <w:rPr>
          <w:rFonts w:ascii="Microsoft Sans Serif" w:hAnsi="Microsoft Sans Serif" w:cs="Microsoft Sans Serif"/>
          <w:b/>
          <w:caps/>
          <w:noProof/>
          <w:u w:val="single"/>
        </w:rPr>
        <w:t>Deborah Maley</w:t>
      </w:r>
      <w:r w:rsidRPr="00057980">
        <w:rPr>
          <w:rFonts w:ascii="Microsoft Sans Serif" w:hAnsi="Microsoft Sans Serif" w:cs="Microsoft Sans Serif"/>
          <w:b/>
          <w:caps/>
          <w:u w:val="single"/>
        </w:rPr>
        <w:t xml:space="preserve"> </w:t>
      </w:r>
      <w:r w:rsidRPr="00057980">
        <w:rPr>
          <w:rFonts w:ascii="Microsoft Sans Serif" w:hAnsi="Microsoft Sans Serif" w:cs="Microsoft Sans Serif"/>
          <w:b/>
          <w:smallCaps/>
          <w:u w:val="single"/>
        </w:rPr>
        <w:t>v</w:t>
      </w:r>
      <w:r w:rsidRPr="00057980">
        <w:rPr>
          <w:rFonts w:ascii="Microsoft Sans Serif" w:hAnsi="Microsoft Sans Serif" w:cs="Microsoft Sans Serif"/>
          <w:b/>
          <w:caps/>
          <w:u w:val="single"/>
        </w:rPr>
        <w:t xml:space="preserve">. </w:t>
      </w:r>
      <w:r w:rsidRPr="00007344">
        <w:rPr>
          <w:rFonts w:ascii="Microsoft Sans Serif" w:hAnsi="Microsoft Sans Serif" w:cs="Microsoft Sans Serif"/>
          <w:b/>
          <w:caps/>
          <w:noProof/>
          <w:u w:val="single"/>
        </w:rPr>
        <w:t>Duquesne Light Company</w:t>
      </w:r>
    </w:p>
    <w:p w:rsidR="00056134" w:rsidRPr="00057980" w:rsidRDefault="00056134" w:rsidP="00056134">
      <w:pPr>
        <w:rPr>
          <w:rFonts w:ascii="Microsoft Sans Serif" w:hAnsi="Microsoft Sans Serif" w:cs="Microsoft Sans Serif"/>
          <w:caps/>
        </w:rPr>
      </w:pPr>
    </w:p>
    <w:p w:rsidR="00056134" w:rsidRDefault="00056134" w:rsidP="00056134">
      <w:pPr>
        <w:rPr>
          <w:rFonts w:ascii="Microsoft Sans Serif" w:hAnsi="Microsoft Sans Serif" w:cs="Microsoft Sans Serif"/>
          <w:caps/>
        </w:rPr>
      </w:pPr>
    </w:p>
    <w:p w:rsidR="00056134" w:rsidRPr="00057980" w:rsidRDefault="00056134" w:rsidP="00056134">
      <w:pPr>
        <w:rPr>
          <w:rFonts w:ascii="Microsoft Sans Serif" w:hAnsi="Microsoft Sans Serif" w:cs="Microsoft Sans Serif"/>
          <w:caps/>
        </w:rPr>
      </w:pPr>
    </w:p>
    <w:p w:rsidR="00056134" w:rsidRPr="00057980" w:rsidRDefault="00056134" w:rsidP="00056134">
      <w:pPr>
        <w:rPr>
          <w:rFonts w:ascii="Microsoft Sans Serif" w:hAnsi="Microsoft Sans Serif" w:cs="Microsoft Sans Serif"/>
          <w:caps/>
        </w:rPr>
      </w:pPr>
      <w:r w:rsidRPr="00007344">
        <w:rPr>
          <w:rFonts w:ascii="Microsoft Sans Serif" w:hAnsi="Microsoft Sans Serif" w:cs="Microsoft Sans Serif"/>
          <w:caps/>
          <w:noProof/>
        </w:rPr>
        <w:t>Deborah</w:t>
      </w:r>
      <w:r w:rsidRPr="00057980">
        <w:rPr>
          <w:rFonts w:ascii="Microsoft Sans Serif" w:hAnsi="Microsoft Sans Serif" w:cs="Microsoft Sans Serif"/>
          <w:caps/>
        </w:rPr>
        <w:t xml:space="preserve"> </w:t>
      </w:r>
      <w:r w:rsidRPr="00007344">
        <w:rPr>
          <w:rFonts w:ascii="Microsoft Sans Serif" w:hAnsi="Microsoft Sans Serif" w:cs="Microsoft Sans Serif"/>
          <w:caps/>
          <w:noProof/>
        </w:rPr>
        <w:t>Maley</w:t>
      </w:r>
      <w:r w:rsidRPr="00057980">
        <w:rPr>
          <w:rFonts w:ascii="Microsoft Sans Serif" w:hAnsi="Microsoft Sans Serif" w:cs="Microsoft Sans Serif"/>
          <w:caps/>
        </w:rPr>
        <w:t xml:space="preserve"> </w:t>
      </w:r>
    </w:p>
    <w:p w:rsidR="00056134" w:rsidRDefault="0099287E" w:rsidP="00056134">
      <w:pPr>
        <w:rPr>
          <w:rFonts w:ascii="Microsoft Sans Serif" w:hAnsi="Microsoft Sans Serif" w:cs="Microsoft Sans Serif"/>
          <w:caps/>
          <w:noProof/>
        </w:rPr>
      </w:pPr>
      <w:r>
        <w:rPr>
          <w:rFonts w:ascii="Microsoft Sans Serif" w:hAnsi="Microsoft Sans Serif" w:cs="Microsoft Sans Serif"/>
          <w:caps/>
          <w:noProof/>
        </w:rPr>
        <w:t>**********************</w:t>
      </w:r>
    </w:p>
    <w:p w:rsidR="0099287E" w:rsidRDefault="0099287E" w:rsidP="00056134">
      <w:pPr>
        <w:rPr>
          <w:rFonts w:ascii="Microsoft Sans Serif" w:hAnsi="Microsoft Sans Serif" w:cs="Microsoft Sans Serif"/>
          <w:caps/>
        </w:rPr>
      </w:pPr>
      <w:r>
        <w:rPr>
          <w:rFonts w:ascii="Microsoft Sans Serif" w:hAnsi="Microsoft Sans Serif" w:cs="Microsoft Sans Serif"/>
          <w:caps/>
        </w:rPr>
        <w:t>**********************</w:t>
      </w:r>
    </w:p>
    <w:p w:rsidR="0099287E" w:rsidRDefault="0099287E" w:rsidP="00056134">
      <w:pPr>
        <w:rPr>
          <w:rFonts w:ascii="Microsoft Sans Serif" w:hAnsi="Microsoft Sans Serif" w:cs="Microsoft Sans Serif"/>
          <w:caps/>
        </w:rPr>
      </w:pPr>
      <w:r>
        <w:rPr>
          <w:rFonts w:ascii="Microsoft Sans Serif" w:hAnsi="Microsoft Sans Serif" w:cs="Microsoft Sans Serif"/>
          <w:caps/>
        </w:rPr>
        <w:t>**********************</w:t>
      </w:r>
    </w:p>
    <w:p w:rsidR="0099287E" w:rsidRPr="00057980" w:rsidRDefault="0099287E" w:rsidP="00056134">
      <w:pPr>
        <w:rPr>
          <w:rFonts w:ascii="Microsoft Sans Serif" w:hAnsi="Microsoft Sans Serif" w:cs="Microsoft Sans Serif"/>
          <w:caps/>
        </w:rPr>
      </w:pPr>
    </w:p>
    <w:p w:rsidR="00056134" w:rsidRPr="00057980" w:rsidRDefault="00056134" w:rsidP="00056134">
      <w:pPr>
        <w:rPr>
          <w:rFonts w:ascii="Microsoft Sans Serif" w:hAnsi="Microsoft Sans Serif" w:cs="Microsoft Sans Serif"/>
          <w:caps/>
        </w:rPr>
      </w:pPr>
      <w:r w:rsidRPr="00007344">
        <w:rPr>
          <w:rFonts w:ascii="Microsoft Sans Serif" w:hAnsi="Microsoft Sans Serif" w:cs="Microsoft Sans Serif"/>
          <w:caps/>
          <w:noProof/>
        </w:rPr>
        <w:t>Krysia</w:t>
      </w:r>
      <w:r w:rsidRPr="00057980">
        <w:rPr>
          <w:rFonts w:ascii="Microsoft Sans Serif" w:hAnsi="Microsoft Sans Serif" w:cs="Microsoft Sans Serif"/>
          <w:caps/>
        </w:rPr>
        <w:t xml:space="preserve"> </w:t>
      </w:r>
      <w:r w:rsidRPr="00007344">
        <w:rPr>
          <w:rFonts w:ascii="Microsoft Sans Serif" w:hAnsi="Microsoft Sans Serif" w:cs="Microsoft Sans Serif"/>
          <w:caps/>
          <w:noProof/>
        </w:rPr>
        <w:t>Kubiak</w:t>
      </w:r>
      <w:r w:rsidRPr="00057980">
        <w:rPr>
          <w:rFonts w:ascii="Microsoft Sans Serif" w:hAnsi="Microsoft Sans Serif" w:cs="Microsoft Sans Serif"/>
          <w:caps/>
        </w:rPr>
        <w:t xml:space="preserve"> </w:t>
      </w:r>
      <w:r w:rsidRPr="00007344">
        <w:rPr>
          <w:rFonts w:ascii="Microsoft Sans Serif" w:hAnsi="Microsoft Sans Serif" w:cs="Microsoft Sans Serif"/>
          <w:caps/>
          <w:noProof/>
        </w:rPr>
        <w:t>Esquire</w:t>
      </w:r>
    </w:p>
    <w:p w:rsidR="00056134" w:rsidRPr="00057980" w:rsidRDefault="00056134" w:rsidP="00056134">
      <w:pPr>
        <w:rPr>
          <w:rFonts w:ascii="Microsoft Sans Serif" w:hAnsi="Microsoft Sans Serif" w:cs="Microsoft Sans Serif"/>
          <w:caps/>
        </w:rPr>
      </w:pPr>
      <w:r w:rsidRPr="00007344">
        <w:rPr>
          <w:rFonts w:ascii="Microsoft Sans Serif" w:hAnsi="Microsoft Sans Serif" w:cs="Microsoft Sans Serif"/>
          <w:caps/>
          <w:noProof/>
        </w:rPr>
        <w:t>Duquesne Light Company</w:t>
      </w:r>
    </w:p>
    <w:p w:rsidR="00056134" w:rsidRPr="00057980" w:rsidRDefault="00056134" w:rsidP="00056134">
      <w:pPr>
        <w:rPr>
          <w:rFonts w:ascii="Microsoft Sans Serif" w:hAnsi="Microsoft Sans Serif" w:cs="Microsoft Sans Serif"/>
          <w:caps/>
        </w:rPr>
      </w:pPr>
      <w:r w:rsidRPr="00007344">
        <w:rPr>
          <w:rFonts w:ascii="Microsoft Sans Serif" w:hAnsi="Microsoft Sans Serif" w:cs="Microsoft Sans Serif"/>
          <w:caps/>
          <w:noProof/>
        </w:rPr>
        <w:t xml:space="preserve">411 </w:t>
      </w:r>
      <w:smartTag w:uri="urn:schemas-microsoft-com:office:smarttags" w:element="place">
        <w:r w:rsidRPr="00007344">
          <w:rPr>
            <w:rFonts w:ascii="Microsoft Sans Serif" w:hAnsi="Microsoft Sans Serif" w:cs="Microsoft Sans Serif"/>
            <w:caps/>
            <w:noProof/>
          </w:rPr>
          <w:t>Seventh Avenue</w:t>
        </w:r>
      </w:smartTag>
      <w:r w:rsidRPr="00007344">
        <w:rPr>
          <w:rFonts w:ascii="Microsoft Sans Serif" w:hAnsi="Microsoft Sans Serif" w:cs="Microsoft Sans Serif"/>
          <w:caps/>
          <w:noProof/>
        </w:rPr>
        <w:t xml:space="preserve"> 16-1</w:t>
      </w:r>
    </w:p>
    <w:p w:rsidR="00056134" w:rsidRPr="00057980" w:rsidRDefault="00056134" w:rsidP="00056134">
      <w:pPr>
        <w:rPr>
          <w:rFonts w:ascii="Microsoft Sans Serif" w:hAnsi="Microsoft Sans Serif" w:cs="Microsoft Sans Serif"/>
          <w:caps/>
        </w:rPr>
      </w:pPr>
      <w:r w:rsidRPr="00007344">
        <w:rPr>
          <w:rFonts w:ascii="Microsoft Sans Serif" w:hAnsi="Microsoft Sans Serif" w:cs="Microsoft Sans Serif"/>
          <w:caps/>
          <w:noProof/>
        </w:rPr>
        <w:t>Pittsburgh</w:t>
      </w:r>
      <w:r w:rsidRPr="00057980">
        <w:rPr>
          <w:rFonts w:ascii="Microsoft Sans Serif" w:hAnsi="Microsoft Sans Serif" w:cs="Microsoft Sans Serif"/>
          <w:caps/>
        </w:rPr>
        <w:t xml:space="preserve"> </w:t>
      </w:r>
      <w:r w:rsidRPr="00007344">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007344">
        <w:rPr>
          <w:rFonts w:ascii="Microsoft Sans Serif" w:hAnsi="Microsoft Sans Serif" w:cs="Microsoft Sans Serif"/>
          <w:caps/>
          <w:noProof/>
        </w:rPr>
        <w:t>15219</w:t>
      </w:r>
    </w:p>
    <w:p w:rsidR="00056134" w:rsidRPr="00057980" w:rsidRDefault="00056134" w:rsidP="00056134">
      <w:pPr>
        <w:rPr>
          <w:rFonts w:ascii="Microsoft Sans Serif" w:hAnsi="Microsoft Sans Serif" w:cs="Microsoft Sans Serif"/>
          <w:caps/>
        </w:rPr>
      </w:pPr>
      <w:r w:rsidRPr="00007344">
        <w:rPr>
          <w:rFonts w:ascii="Microsoft Sans Serif" w:hAnsi="Microsoft Sans Serif" w:cs="Microsoft Sans Serif"/>
          <w:b/>
          <w:caps/>
          <w:noProof/>
        </w:rPr>
        <w:t>412.393.6505</w:t>
      </w:r>
    </w:p>
    <w:p w:rsidR="00943BCE" w:rsidRDefault="00943BCE" w:rsidP="006D197D">
      <w:pPr>
        <w:suppressAutoHyphens/>
      </w:pPr>
    </w:p>
    <w:sectPr w:rsidR="00943BCE" w:rsidSect="00056134">
      <w:pgSz w:w="12240" w:h="15840" w:code="1"/>
      <w:pgMar w:top="1440" w:right="720" w:bottom="1440" w:left="720" w:header="72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52D0" w:rsidRDefault="003C52D0">
      <w:r>
        <w:separator/>
      </w:r>
    </w:p>
  </w:endnote>
  <w:endnote w:type="continuationSeparator" w:id="0">
    <w:p w:rsidR="003C52D0" w:rsidRDefault="003C52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F3A" w:rsidRDefault="00C90A2E">
    <w:pPr>
      <w:pStyle w:val="Footer"/>
      <w:jc w:val="center"/>
    </w:pPr>
    <w:fldSimple w:instr=" PAGE   \* MERGEFORMAT ">
      <w:r w:rsidR="0099287E">
        <w:rPr>
          <w:noProof/>
        </w:rPr>
        <w:t>2</w:t>
      </w:r>
    </w:fldSimple>
  </w:p>
  <w:p w:rsidR="00883F3A" w:rsidRDefault="00883F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52D0" w:rsidRDefault="003C52D0">
      <w:r>
        <w:separator/>
      </w:r>
    </w:p>
  </w:footnote>
  <w:footnote w:type="continuationSeparator" w:id="0">
    <w:p w:rsidR="003C52D0" w:rsidRDefault="003C52D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291ADE"/>
    <w:rsid w:val="00006583"/>
    <w:rsid w:val="00011190"/>
    <w:rsid w:val="00012B88"/>
    <w:rsid w:val="00033C31"/>
    <w:rsid w:val="00040686"/>
    <w:rsid w:val="00045283"/>
    <w:rsid w:val="00046DC2"/>
    <w:rsid w:val="00053AB7"/>
    <w:rsid w:val="00056134"/>
    <w:rsid w:val="00062C35"/>
    <w:rsid w:val="00065349"/>
    <w:rsid w:val="00075422"/>
    <w:rsid w:val="0007762A"/>
    <w:rsid w:val="000901D0"/>
    <w:rsid w:val="0009056C"/>
    <w:rsid w:val="00094925"/>
    <w:rsid w:val="000A00CD"/>
    <w:rsid w:val="000A4E19"/>
    <w:rsid w:val="000A510F"/>
    <w:rsid w:val="000B24F5"/>
    <w:rsid w:val="000B46F3"/>
    <w:rsid w:val="000B6C06"/>
    <w:rsid w:val="000C0A45"/>
    <w:rsid w:val="000C3505"/>
    <w:rsid w:val="000C7E2A"/>
    <w:rsid w:val="000D5EC4"/>
    <w:rsid w:val="000D6550"/>
    <w:rsid w:val="000D6988"/>
    <w:rsid w:val="000E0F38"/>
    <w:rsid w:val="00105F5C"/>
    <w:rsid w:val="00114D05"/>
    <w:rsid w:val="001159D5"/>
    <w:rsid w:val="0012478C"/>
    <w:rsid w:val="00134827"/>
    <w:rsid w:val="00140C5F"/>
    <w:rsid w:val="00141828"/>
    <w:rsid w:val="00151AFD"/>
    <w:rsid w:val="00153E96"/>
    <w:rsid w:val="0016361D"/>
    <w:rsid w:val="00164F21"/>
    <w:rsid w:val="00167A11"/>
    <w:rsid w:val="001844ED"/>
    <w:rsid w:val="00191658"/>
    <w:rsid w:val="0019195E"/>
    <w:rsid w:val="001A7306"/>
    <w:rsid w:val="001C164A"/>
    <w:rsid w:val="001D5EA7"/>
    <w:rsid w:val="001D762B"/>
    <w:rsid w:val="001F2268"/>
    <w:rsid w:val="002031C3"/>
    <w:rsid w:val="00211B7F"/>
    <w:rsid w:val="00215FC9"/>
    <w:rsid w:val="00220076"/>
    <w:rsid w:val="00223E3A"/>
    <w:rsid w:val="0022557F"/>
    <w:rsid w:val="002326A6"/>
    <w:rsid w:val="0023275A"/>
    <w:rsid w:val="00242421"/>
    <w:rsid w:val="00243667"/>
    <w:rsid w:val="00251CFA"/>
    <w:rsid w:val="0026285B"/>
    <w:rsid w:val="002678DA"/>
    <w:rsid w:val="00270369"/>
    <w:rsid w:val="002841CC"/>
    <w:rsid w:val="00286E85"/>
    <w:rsid w:val="00291ADE"/>
    <w:rsid w:val="002A4165"/>
    <w:rsid w:val="002A6BE5"/>
    <w:rsid w:val="002B7478"/>
    <w:rsid w:val="002C1147"/>
    <w:rsid w:val="002E12B3"/>
    <w:rsid w:val="002E70D5"/>
    <w:rsid w:val="003040F4"/>
    <w:rsid w:val="00310D0F"/>
    <w:rsid w:val="00314DA0"/>
    <w:rsid w:val="00320D2E"/>
    <w:rsid w:val="00325868"/>
    <w:rsid w:val="0033067C"/>
    <w:rsid w:val="00341558"/>
    <w:rsid w:val="00342014"/>
    <w:rsid w:val="00355576"/>
    <w:rsid w:val="00365CB5"/>
    <w:rsid w:val="00366537"/>
    <w:rsid w:val="003708F3"/>
    <w:rsid w:val="003771B0"/>
    <w:rsid w:val="00380385"/>
    <w:rsid w:val="00380D30"/>
    <w:rsid w:val="00382976"/>
    <w:rsid w:val="00385385"/>
    <w:rsid w:val="00386678"/>
    <w:rsid w:val="00386D5B"/>
    <w:rsid w:val="0039473C"/>
    <w:rsid w:val="0039693F"/>
    <w:rsid w:val="00396E01"/>
    <w:rsid w:val="003A2432"/>
    <w:rsid w:val="003B06D1"/>
    <w:rsid w:val="003C52D0"/>
    <w:rsid w:val="003D39D5"/>
    <w:rsid w:val="003E5164"/>
    <w:rsid w:val="003E63F4"/>
    <w:rsid w:val="003F171C"/>
    <w:rsid w:val="00406B79"/>
    <w:rsid w:val="00411489"/>
    <w:rsid w:val="00412E47"/>
    <w:rsid w:val="00431A91"/>
    <w:rsid w:val="00435601"/>
    <w:rsid w:val="004366EC"/>
    <w:rsid w:val="004404B1"/>
    <w:rsid w:val="00446530"/>
    <w:rsid w:val="00453761"/>
    <w:rsid w:val="0045591D"/>
    <w:rsid w:val="00457BB9"/>
    <w:rsid w:val="00460932"/>
    <w:rsid w:val="004624EA"/>
    <w:rsid w:val="00474949"/>
    <w:rsid w:val="0047578B"/>
    <w:rsid w:val="004839CD"/>
    <w:rsid w:val="004839ED"/>
    <w:rsid w:val="004966D3"/>
    <w:rsid w:val="004A4303"/>
    <w:rsid w:val="004A6578"/>
    <w:rsid w:val="004A75D3"/>
    <w:rsid w:val="004C1613"/>
    <w:rsid w:val="004F2617"/>
    <w:rsid w:val="004F4570"/>
    <w:rsid w:val="004F6723"/>
    <w:rsid w:val="005004E7"/>
    <w:rsid w:val="00501ADD"/>
    <w:rsid w:val="00510F39"/>
    <w:rsid w:val="00512078"/>
    <w:rsid w:val="00514E01"/>
    <w:rsid w:val="00516236"/>
    <w:rsid w:val="00516910"/>
    <w:rsid w:val="005426ED"/>
    <w:rsid w:val="00556A80"/>
    <w:rsid w:val="00560795"/>
    <w:rsid w:val="0056371E"/>
    <w:rsid w:val="00576AAF"/>
    <w:rsid w:val="00577E82"/>
    <w:rsid w:val="0058287D"/>
    <w:rsid w:val="005831D6"/>
    <w:rsid w:val="005849E2"/>
    <w:rsid w:val="00593182"/>
    <w:rsid w:val="005A1960"/>
    <w:rsid w:val="005A3E07"/>
    <w:rsid w:val="005B1A1F"/>
    <w:rsid w:val="005B4233"/>
    <w:rsid w:val="005C1D61"/>
    <w:rsid w:val="005C2AD3"/>
    <w:rsid w:val="005D1CCA"/>
    <w:rsid w:val="005D3D82"/>
    <w:rsid w:val="005E2031"/>
    <w:rsid w:val="005E2FEE"/>
    <w:rsid w:val="005E49CA"/>
    <w:rsid w:val="005E5179"/>
    <w:rsid w:val="005F1866"/>
    <w:rsid w:val="005F2F9C"/>
    <w:rsid w:val="006008CD"/>
    <w:rsid w:val="0061019E"/>
    <w:rsid w:val="006178D8"/>
    <w:rsid w:val="0063162E"/>
    <w:rsid w:val="00634956"/>
    <w:rsid w:val="006368A8"/>
    <w:rsid w:val="00652973"/>
    <w:rsid w:val="00656527"/>
    <w:rsid w:val="00660DD9"/>
    <w:rsid w:val="00661CCD"/>
    <w:rsid w:val="00670729"/>
    <w:rsid w:val="006725D2"/>
    <w:rsid w:val="00683698"/>
    <w:rsid w:val="006D1464"/>
    <w:rsid w:val="006D197D"/>
    <w:rsid w:val="006D7C32"/>
    <w:rsid w:val="006E51A9"/>
    <w:rsid w:val="006E6329"/>
    <w:rsid w:val="006F1096"/>
    <w:rsid w:val="007059EC"/>
    <w:rsid w:val="00711BF5"/>
    <w:rsid w:val="0071322C"/>
    <w:rsid w:val="00716F48"/>
    <w:rsid w:val="00731D74"/>
    <w:rsid w:val="007371DE"/>
    <w:rsid w:val="00741344"/>
    <w:rsid w:val="00741539"/>
    <w:rsid w:val="007420FA"/>
    <w:rsid w:val="00744607"/>
    <w:rsid w:val="00752188"/>
    <w:rsid w:val="0075243F"/>
    <w:rsid w:val="00765929"/>
    <w:rsid w:val="007729C3"/>
    <w:rsid w:val="00782C0A"/>
    <w:rsid w:val="00787BC1"/>
    <w:rsid w:val="00792B41"/>
    <w:rsid w:val="007A0E25"/>
    <w:rsid w:val="007C45FD"/>
    <w:rsid w:val="007D0D71"/>
    <w:rsid w:val="007D0E81"/>
    <w:rsid w:val="007D1F92"/>
    <w:rsid w:val="007D23BA"/>
    <w:rsid w:val="007D360F"/>
    <w:rsid w:val="007D54C1"/>
    <w:rsid w:val="007D6535"/>
    <w:rsid w:val="007D78D6"/>
    <w:rsid w:val="007E651E"/>
    <w:rsid w:val="007E6600"/>
    <w:rsid w:val="007F77BD"/>
    <w:rsid w:val="00814FE2"/>
    <w:rsid w:val="008204A8"/>
    <w:rsid w:val="008212D5"/>
    <w:rsid w:val="00830D7F"/>
    <w:rsid w:val="00831086"/>
    <w:rsid w:val="00833099"/>
    <w:rsid w:val="00833D6B"/>
    <w:rsid w:val="00836F7F"/>
    <w:rsid w:val="008418F7"/>
    <w:rsid w:val="0085386C"/>
    <w:rsid w:val="00855FA3"/>
    <w:rsid w:val="0085636E"/>
    <w:rsid w:val="0086356E"/>
    <w:rsid w:val="008661A2"/>
    <w:rsid w:val="00875750"/>
    <w:rsid w:val="00883A12"/>
    <w:rsid w:val="00883F3A"/>
    <w:rsid w:val="00887DD2"/>
    <w:rsid w:val="00893D00"/>
    <w:rsid w:val="008A7F62"/>
    <w:rsid w:val="008B1780"/>
    <w:rsid w:val="008B399E"/>
    <w:rsid w:val="008B71F1"/>
    <w:rsid w:val="008B7CB8"/>
    <w:rsid w:val="008C0220"/>
    <w:rsid w:val="008C5E74"/>
    <w:rsid w:val="008E0DE3"/>
    <w:rsid w:val="008E0E39"/>
    <w:rsid w:val="008E5BFE"/>
    <w:rsid w:val="008F5DC0"/>
    <w:rsid w:val="00901CC5"/>
    <w:rsid w:val="009067FA"/>
    <w:rsid w:val="009122FB"/>
    <w:rsid w:val="009159CD"/>
    <w:rsid w:val="00915CB6"/>
    <w:rsid w:val="0093628D"/>
    <w:rsid w:val="009365EC"/>
    <w:rsid w:val="00943BCE"/>
    <w:rsid w:val="009551F5"/>
    <w:rsid w:val="009609C4"/>
    <w:rsid w:val="00967D9C"/>
    <w:rsid w:val="00975D63"/>
    <w:rsid w:val="00980A0B"/>
    <w:rsid w:val="0099287E"/>
    <w:rsid w:val="009A731B"/>
    <w:rsid w:val="009A75EB"/>
    <w:rsid w:val="009B0B29"/>
    <w:rsid w:val="009B12B1"/>
    <w:rsid w:val="009B31D3"/>
    <w:rsid w:val="009C2CBD"/>
    <w:rsid w:val="009C2E3B"/>
    <w:rsid w:val="009C653F"/>
    <w:rsid w:val="009D004F"/>
    <w:rsid w:val="009E1CAA"/>
    <w:rsid w:val="009E259C"/>
    <w:rsid w:val="009F5B8C"/>
    <w:rsid w:val="009F6AC4"/>
    <w:rsid w:val="00A000BF"/>
    <w:rsid w:val="00A23EDA"/>
    <w:rsid w:val="00A23FE3"/>
    <w:rsid w:val="00A24DCA"/>
    <w:rsid w:val="00A25910"/>
    <w:rsid w:val="00A31B27"/>
    <w:rsid w:val="00A345D5"/>
    <w:rsid w:val="00A37741"/>
    <w:rsid w:val="00A41C23"/>
    <w:rsid w:val="00A451A2"/>
    <w:rsid w:val="00A51A52"/>
    <w:rsid w:val="00A51ADF"/>
    <w:rsid w:val="00A645E8"/>
    <w:rsid w:val="00A65B84"/>
    <w:rsid w:val="00A67E0F"/>
    <w:rsid w:val="00A67E85"/>
    <w:rsid w:val="00A820A5"/>
    <w:rsid w:val="00A862FF"/>
    <w:rsid w:val="00A91448"/>
    <w:rsid w:val="00AA5AA6"/>
    <w:rsid w:val="00AA6EE1"/>
    <w:rsid w:val="00AB4372"/>
    <w:rsid w:val="00AC1322"/>
    <w:rsid w:val="00AE07E7"/>
    <w:rsid w:val="00AE0CF4"/>
    <w:rsid w:val="00AE615F"/>
    <w:rsid w:val="00AF6FF9"/>
    <w:rsid w:val="00B04B0A"/>
    <w:rsid w:val="00B134EC"/>
    <w:rsid w:val="00B13A4D"/>
    <w:rsid w:val="00B15C0E"/>
    <w:rsid w:val="00B22DD7"/>
    <w:rsid w:val="00B25904"/>
    <w:rsid w:val="00B4438F"/>
    <w:rsid w:val="00B46F40"/>
    <w:rsid w:val="00B4782C"/>
    <w:rsid w:val="00B55480"/>
    <w:rsid w:val="00B6117B"/>
    <w:rsid w:val="00B628DE"/>
    <w:rsid w:val="00B62CAE"/>
    <w:rsid w:val="00B6486B"/>
    <w:rsid w:val="00B64E9E"/>
    <w:rsid w:val="00B65DBD"/>
    <w:rsid w:val="00B74BF5"/>
    <w:rsid w:val="00B87654"/>
    <w:rsid w:val="00B92320"/>
    <w:rsid w:val="00B95A65"/>
    <w:rsid w:val="00B977DE"/>
    <w:rsid w:val="00BA3D0B"/>
    <w:rsid w:val="00BA4AB1"/>
    <w:rsid w:val="00BB05E7"/>
    <w:rsid w:val="00BB3AA7"/>
    <w:rsid w:val="00BB6FF7"/>
    <w:rsid w:val="00BB7FCA"/>
    <w:rsid w:val="00BC78A2"/>
    <w:rsid w:val="00BC790B"/>
    <w:rsid w:val="00BD2BCD"/>
    <w:rsid w:val="00BD2FFA"/>
    <w:rsid w:val="00BD7537"/>
    <w:rsid w:val="00BE2F46"/>
    <w:rsid w:val="00BE7C10"/>
    <w:rsid w:val="00C01A2E"/>
    <w:rsid w:val="00C033CA"/>
    <w:rsid w:val="00C23179"/>
    <w:rsid w:val="00C272BE"/>
    <w:rsid w:val="00C43662"/>
    <w:rsid w:val="00C43ABE"/>
    <w:rsid w:val="00C534F8"/>
    <w:rsid w:val="00C54F87"/>
    <w:rsid w:val="00C57A21"/>
    <w:rsid w:val="00C66EA3"/>
    <w:rsid w:val="00C7343C"/>
    <w:rsid w:val="00C837E8"/>
    <w:rsid w:val="00C84080"/>
    <w:rsid w:val="00C86152"/>
    <w:rsid w:val="00C8684C"/>
    <w:rsid w:val="00C90A2E"/>
    <w:rsid w:val="00CD2A53"/>
    <w:rsid w:val="00CD4516"/>
    <w:rsid w:val="00CE341C"/>
    <w:rsid w:val="00CE5281"/>
    <w:rsid w:val="00CE55D2"/>
    <w:rsid w:val="00CE6B31"/>
    <w:rsid w:val="00CF37EE"/>
    <w:rsid w:val="00CF731B"/>
    <w:rsid w:val="00CF75B4"/>
    <w:rsid w:val="00D048D7"/>
    <w:rsid w:val="00D0736D"/>
    <w:rsid w:val="00D11C21"/>
    <w:rsid w:val="00D20AE6"/>
    <w:rsid w:val="00D36470"/>
    <w:rsid w:val="00D36BAA"/>
    <w:rsid w:val="00D377ED"/>
    <w:rsid w:val="00D4181B"/>
    <w:rsid w:val="00D465FA"/>
    <w:rsid w:val="00D479E1"/>
    <w:rsid w:val="00D53AAC"/>
    <w:rsid w:val="00D55FB4"/>
    <w:rsid w:val="00D63C21"/>
    <w:rsid w:val="00D653F5"/>
    <w:rsid w:val="00D762D5"/>
    <w:rsid w:val="00D87554"/>
    <w:rsid w:val="00D87F13"/>
    <w:rsid w:val="00D92B50"/>
    <w:rsid w:val="00D937FA"/>
    <w:rsid w:val="00DB375C"/>
    <w:rsid w:val="00DB3A17"/>
    <w:rsid w:val="00DC1E76"/>
    <w:rsid w:val="00DC302D"/>
    <w:rsid w:val="00DC366D"/>
    <w:rsid w:val="00DF268B"/>
    <w:rsid w:val="00DF44C1"/>
    <w:rsid w:val="00E027B3"/>
    <w:rsid w:val="00E06F9A"/>
    <w:rsid w:val="00E07FD3"/>
    <w:rsid w:val="00E1173D"/>
    <w:rsid w:val="00E148A3"/>
    <w:rsid w:val="00E14A3E"/>
    <w:rsid w:val="00E20640"/>
    <w:rsid w:val="00E300D8"/>
    <w:rsid w:val="00E30EA5"/>
    <w:rsid w:val="00E33765"/>
    <w:rsid w:val="00E34A22"/>
    <w:rsid w:val="00E4295E"/>
    <w:rsid w:val="00E50E09"/>
    <w:rsid w:val="00E53DD5"/>
    <w:rsid w:val="00E55B19"/>
    <w:rsid w:val="00E575EC"/>
    <w:rsid w:val="00E629BF"/>
    <w:rsid w:val="00E7749D"/>
    <w:rsid w:val="00E96751"/>
    <w:rsid w:val="00E971BD"/>
    <w:rsid w:val="00E97B78"/>
    <w:rsid w:val="00EA482A"/>
    <w:rsid w:val="00EA5DBD"/>
    <w:rsid w:val="00EB7EBC"/>
    <w:rsid w:val="00ED2649"/>
    <w:rsid w:val="00ED3CC3"/>
    <w:rsid w:val="00EE3DCE"/>
    <w:rsid w:val="00EE7C58"/>
    <w:rsid w:val="00EF4369"/>
    <w:rsid w:val="00EF7122"/>
    <w:rsid w:val="00F015EB"/>
    <w:rsid w:val="00F05DC3"/>
    <w:rsid w:val="00F11C08"/>
    <w:rsid w:val="00F11F0D"/>
    <w:rsid w:val="00F15EB2"/>
    <w:rsid w:val="00F20B44"/>
    <w:rsid w:val="00F249A8"/>
    <w:rsid w:val="00F25EBB"/>
    <w:rsid w:val="00F32746"/>
    <w:rsid w:val="00F343D4"/>
    <w:rsid w:val="00F473B1"/>
    <w:rsid w:val="00F47701"/>
    <w:rsid w:val="00F5432A"/>
    <w:rsid w:val="00F55698"/>
    <w:rsid w:val="00F752AD"/>
    <w:rsid w:val="00F81E6A"/>
    <w:rsid w:val="00F87FA6"/>
    <w:rsid w:val="00F910C6"/>
    <w:rsid w:val="00F91B32"/>
    <w:rsid w:val="00F921D7"/>
    <w:rsid w:val="00FA3FB6"/>
    <w:rsid w:val="00FA7B63"/>
    <w:rsid w:val="00FB23CF"/>
    <w:rsid w:val="00FB45F5"/>
    <w:rsid w:val="00FB5FB9"/>
    <w:rsid w:val="00FC5040"/>
    <w:rsid w:val="00FD0924"/>
    <w:rsid w:val="00FD242B"/>
    <w:rsid w:val="00FE74F4"/>
    <w:rsid w:val="00FF1904"/>
    <w:rsid w:val="00FF54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376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C272BE"/>
    <w:pPr>
      <w:spacing w:line="360" w:lineRule="auto"/>
      <w:jc w:val="both"/>
    </w:pPr>
    <w:rPr>
      <w:sz w:val="26"/>
      <w:szCs w:val="20"/>
    </w:rPr>
  </w:style>
  <w:style w:type="paragraph" w:styleId="Footer">
    <w:name w:val="footer"/>
    <w:basedOn w:val="Normal"/>
    <w:link w:val="FooterChar"/>
    <w:uiPriority w:val="99"/>
    <w:rsid w:val="0026285B"/>
    <w:pPr>
      <w:tabs>
        <w:tab w:val="center" w:pos="4320"/>
        <w:tab w:val="right" w:pos="8640"/>
      </w:tabs>
    </w:pPr>
  </w:style>
  <w:style w:type="character" w:styleId="PageNumber">
    <w:name w:val="page number"/>
    <w:basedOn w:val="DefaultParagraphFont"/>
    <w:rsid w:val="0026285B"/>
  </w:style>
  <w:style w:type="character" w:styleId="FootnoteReference">
    <w:name w:val="footnote reference"/>
    <w:basedOn w:val="DefaultParagraphFont"/>
    <w:semiHidden/>
    <w:rsid w:val="003E63F4"/>
    <w:rPr>
      <w:vertAlign w:val="superscript"/>
    </w:rPr>
  </w:style>
  <w:style w:type="paragraph" w:styleId="BalloonText">
    <w:name w:val="Balloon Text"/>
    <w:basedOn w:val="Normal"/>
    <w:semiHidden/>
    <w:rsid w:val="00765929"/>
    <w:rPr>
      <w:rFonts w:ascii="Tahoma" w:hAnsi="Tahoma" w:cs="Tahoma"/>
      <w:sz w:val="16"/>
      <w:szCs w:val="16"/>
    </w:rPr>
  </w:style>
  <w:style w:type="paragraph" w:customStyle="1" w:styleId="ParaTab1">
    <w:name w:val="ParaTab 1"/>
    <w:rsid w:val="00B15C0E"/>
    <w:pPr>
      <w:tabs>
        <w:tab w:val="left" w:pos="-720"/>
      </w:tabs>
      <w:suppressAutoHyphens/>
      <w:autoSpaceDE w:val="0"/>
      <w:autoSpaceDN w:val="0"/>
      <w:ind w:firstLine="1440"/>
    </w:pPr>
    <w:rPr>
      <w:rFonts w:ascii="CG Times" w:hAnsi="CG Times" w:cs="CG Times"/>
      <w:sz w:val="24"/>
      <w:szCs w:val="24"/>
    </w:rPr>
  </w:style>
  <w:style w:type="character" w:styleId="Hyperlink">
    <w:name w:val="Hyperlink"/>
    <w:basedOn w:val="DefaultParagraphFont"/>
    <w:rsid w:val="000A510F"/>
    <w:rPr>
      <w:color w:val="0000FF"/>
      <w:u w:val="single"/>
    </w:rPr>
  </w:style>
  <w:style w:type="paragraph" w:styleId="Header">
    <w:name w:val="header"/>
    <w:basedOn w:val="Normal"/>
    <w:link w:val="HeaderChar"/>
    <w:rsid w:val="006D7C32"/>
    <w:pPr>
      <w:tabs>
        <w:tab w:val="center" w:pos="4680"/>
        <w:tab w:val="right" w:pos="9360"/>
      </w:tabs>
    </w:pPr>
  </w:style>
  <w:style w:type="character" w:customStyle="1" w:styleId="HeaderChar">
    <w:name w:val="Header Char"/>
    <w:basedOn w:val="DefaultParagraphFont"/>
    <w:link w:val="Header"/>
    <w:rsid w:val="006D7C32"/>
    <w:rPr>
      <w:sz w:val="24"/>
      <w:szCs w:val="24"/>
    </w:rPr>
  </w:style>
  <w:style w:type="character" w:customStyle="1" w:styleId="FooterChar">
    <w:name w:val="Footer Char"/>
    <w:basedOn w:val="DefaultParagraphFont"/>
    <w:link w:val="Footer"/>
    <w:uiPriority w:val="99"/>
    <w:rsid w:val="006D7C32"/>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333</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2233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machestnut</dc:creator>
  <cp:keywords/>
  <dc:description/>
  <cp:lastModifiedBy>astout</cp:lastModifiedBy>
  <cp:revision>3</cp:revision>
  <cp:lastPrinted>2010-10-14T12:45:00Z</cp:lastPrinted>
  <dcterms:created xsi:type="dcterms:W3CDTF">2010-10-14T12:45:00Z</dcterms:created>
  <dcterms:modified xsi:type="dcterms:W3CDTF">2010-10-14T12:46:00Z</dcterms:modified>
</cp:coreProperties>
</file>