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53" w:rsidRDefault="00915753" w:rsidP="00915753">
      <w:pPr>
        <w:spacing w:line="240" w:lineRule="auto"/>
        <w:rPr>
          <w:b/>
        </w:rPr>
      </w:pPr>
      <w:r>
        <w:rPr>
          <w:b/>
        </w:rPr>
        <w:t>BEFORE THE</w:t>
      </w:r>
    </w:p>
    <w:p w:rsidR="00915753" w:rsidRDefault="00915753" w:rsidP="00915753">
      <w:pPr>
        <w:spacing w:line="240" w:lineRule="auto"/>
        <w:rPr>
          <w:b/>
        </w:rPr>
      </w:pPr>
      <w:r>
        <w:rPr>
          <w:b/>
        </w:rPr>
        <w:t>PENNSYLVANIA PUBLIC UTILITY COMMISSION</w:t>
      </w:r>
    </w:p>
    <w:p w:rsidR="00915753" w:rsidRDefault="00915753" w:rsidP="00915753">
      <w:pPr>
        <w:spacing w:line="240" w:lineRule="auto"/>
        <w:rPr>
          <w:b/>
        </w:rPr>
      </w:pPr>
    </w:p>
    <w:p w:rsidR="00915753" w:rsidRDefault="00915753" w:rsidP="00915753">
      <w:pPr>
        <w:spacing w:line="240" w:lineRule="auto"/>
        <w:jc w:val="left"/>
      </w:pPr>
    </w:p>
    <w:p w:rsidR="00915753" w:rsidRDefault="00915753" w:rsidP="00915753">
      <w:pPr>
        <w:spacing w:line="240" w:lineRule="auto"/>
        <w:jc w:val="left"/>
      </w:pPr>
    </w:p>
    <w:p w:rsidR="00915753" w:rsidRDefault="00915753" w:rsidP="00915753">
      <w:pPr>
        <w:tabs>
          <w:tab w:val="left" w:pos="720"/>
          <w:tab w:val="left" w:pos="5040"/>
        </w:tabs>
        <w:spacing w:line="240" w:lineRule="auto"/>
        <w:jc w:val="left"/>
      </w:pPr>
      <w:r>
        <w:t>Pennsylvania Public Utility Commission</w:t>
      </w:r>
      <w:r>
        <w:tab/>
        <w:t>:</w:t>
      </w:r>
    </w:p>
    <w:p w:rsidR="00915753" w:rsidRDefault="00915753" w:rsidP="00915753">
      <w:pPr>
        <w:tabs>
          <w:tab w:val="left" w:pos="720"/>
          <w:tab w:val="left" w:pos="5040"/>
        </w:tabs>
        <w:spacing w:line="240" w:lineRule="auto"/>
        <w:jc w:val="left"/>
      </w:pPr>
      <w:r>
        <w:tab/>
      </w:r>
      <w:r>
        <w:tab/>
        <w:t>:</w:t>
      </w:r>
    </w:p>
    <w:p w:rsidR="00915753" w:rsidRDefault="00915753" w:rsidP="00915753">
      <w:pPr>
        <w:tabs>
          <w:tab w:val="left" w:pos="1440"/>
          <w:tab w:val="left" w:pos="5040"/>
        </w:tabs>
        <w:spacing w:line="240" w:lineRule="auto"/>
        <w:jc w:val="left"/>
      </w:pPr>
      <w:r>
        <w:tab/>
        <w:t>v.</w:t>
      </w:r>
      <w:r>
        <w:tab/>
        <w:t>:</w:t>
      </w:r>
      <w:r>
        <w:tab/>
      </w:r>
      <w:r>
        <w:tab/>
      </w:r>
      <w:r>
        <w:tab/>
        <w:t>R-2010-2161694</w:t>
      </w:r>
    </w:p>
    <w:p w:rsidR="00915753" w:rsidRDefault="00915753" w:rsidP="00915753">
      <w:pPr>
        <w:tabs>
          <w:tab w:val="left" w:pos="720"/>
          <w:tab w:val="left" w:pos="5040"/>
        </w:tabs>
        <w:spacing w:line="240" w:lineRule="auto"/>
        <w:jc w:val="left"/>
      </w:pPr>
      <w:r>
        <w:tab/>
      </w:r>
      <w:r>
        <w:tab/>
        <w:t>:</w:t>
      </w:r>
    </w:p>
    <w:p w:rsidR="00915753" w:rsidRDefault="00915753" w:rsidP="00915753">
      <w:pPr>
        <w:tabs>
          <w:tab w:val="left" w:pos="720"/>
          <w:tab w:val="left" w:pos="5040"/>
        </w:tabs>
        <w:spacing w:line="240" w:lineRule="auto"/>
        <w:jc w:val="left"/>
      </w:pPr>
      <w:r>
        <w:t>PPL Electric Utilities Corporation</w:t>
      </w:r>
      <w:r>
        <w:tab/>
        <w:t>:</w:t>
      </w:r>
    </w:p>
    <w:p w:rsidR="00915753" w:rsidRDefault="00915753" w:rsidP="00915753">
      <w:pPr>
        <w:spacing w:line="240" w:lineRule="auto"/>
      </w:pPr>
    </w:p>
    <w:p w:rsidR="00915753" w:rsidRDefault="00915753" w:rsidP="00915753">
      <w:pPr>
        <w:spacing w:line="240" w:lineRule="auto"/>
      </w:pPr>
    </w:p>
    <w:p w:rsidR="00915753" w:rsidRDefault="00915753" w:rsidP="00915753">
      <w:pPr>
        <w:spacing w:line="240" w:lineRule="auto"/>
      </w:pPr>
    </w:p>
    <w:p w:rsidR="00915753" w:rsidRPr="007070FC" w:rsidRDefault="00915753" w:rsidP="00915753">
      <w:pPr>
        <w:spacing w:line="240" w:lineRule="auto"/>
        <w:rPr>
          <w:b/>
          <w:u w:val="single"/>
        </w:rPr>
      </w:pPr>
      <w:r w:rsidRPr="007070FC">
        <w:rPr>
          <w:b/>
          <w:u w:val="single"/>
        </w:rPr>
        <w:t>RECOMMENDED DECISION</w:t>
      </w:r>
    </w:p>
    <w:p w:rsidR="00915753" w:rsidRDefault="00915753" w:rsidP="00915753">
      <w:pPr>
        <w:spacing w:line="240" w:lineRule="auto"/>
        <w:rPr>
          <w:b/>
        </w:rPr>
      </w:pPr>
    </w:p>
    <w:p w:rsidR="00915753" w:rsidRDefault="00915753" w:rsidP="00915753">
      <w:pPr>
        <w:spacing w:line="240" w:lineRule="auto"/>
        <w:rPr>
          <w:b/>
        </w:rPr>
      </w:pPr>
    </w:p>
    <w:p w:rsidR="00915753" w:rsidRDefault="00915753" w:rsidP="00915753">
      <w:pPr>
        <w:spacing w:line="240" w:lineRule="auto"/>
        <w:contextualSpacing/>
      </w:pPr>
      <w:r w:rsidRPr="00B33995">
        <w:t>Before</w:t>
      </w:r>
    </w:p>
    <w:p w:rsidR="00915753" w:rsidRDefault="00915753" w:rsidP="00915753">
      <w:pPr>
        <w:spacing w:line="240" w:lineRule="auto"/>
        <w:contextualSpacing/>
      </w:pPr>
      <w:r>
        <w:t>Susan D. Colwell</w:t>
      </w:r>
    </w:p>
    <w:p w:rsidR="00915753" w:rsidRDefault="00915753" w:rsidP="00915753">
      <w:pPr>
        <w:spacing w:line="240" w:lineRule="auto"/>
        <w:contextualSpacing/>
      </w:pPr>
      <w:r>
        <w:t>Administrative Law Judge</w:t>
      </w:r>
    </w:p>
    <w:p w:rsidR="00915753" w:rsidRDefault="00915753" w:rsidP="00915753">
      <w:pPr>
        <w:spacing w:line="240" w:lineRule="auto"/>
        <w:contextualSpacing/>
        <w:sectPr w:rsidR="00915753" w:rsidSect="00C71E16">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915753" w:rsidRPr="00B8741F" w:rsidRDefault="00915753" w:rsidP="00915753">
      <w:pPr>
        <w:spacing w:line="240" w:lineRule="auto"/>
        <w:rPr>
          <w:b/>
          <w:u w:val="single"/>
        </w:rPr>
      </w:pPr>
      <w:r w:rsidRPr="00B8741F">
        <w:rPr>
          <w:b/>
          <w:u w:val="single"/>
        </w:rPr>
        <w:lastRenderedPageBreak/>
        <w:t>TABLE OF CONTENTS</w:t>
      </w:r>
    </w:p>
    <w:p w:rsidR="00915753" w:rsidRDefault="00915753" w:rsidP="00915753">
      <w:pPr>
        <w:spacing w:line="240" w:lineRule="auto"/>
        <w:jc w:val="left"/>
      </w:pPr>
    </w:p>
    <w:p w:rsidR="00915753" w:rsidRDefault="00915753" w:rsidP="00915753">
      <w:pPr>
        <w:spacing w:line="240" w:lineRule="auto"/>
        <w:jc w:val="right"/>
        <w:rPr>
          <w:u w:val="single"/>
        </w:rPr>
      </w:pPr>
      <w:r>
        <w:rPr>
          <w:u w:val="single"/>
        </w:rPr>
        <w:t>Page</w:t>
      </w:r>
    </w:p>
    <w:p w:rsidR="00915753" w:rsidRPr="00334988" w:rsidRDefault="00915753" w:rsidP="00915753">
      <w:pPr>
        <w:spacing w:line="240" w:lineRule="auto"/>
        <w:jc w:val="left"/>
        <w:rPr>
          <w:u w:val="single"/>
        </w:rPr>
      </w:pPr>
    </w:p>
    <w:p w:rsidR="00104992" w:rsidRPr="00B835E0" w:rsidRDefault="00104992">
      <w:pPr>
        <w:pStyle w:val="TOC1"/>
        <w:rPr>
          <w:rFonts w:eastAsiaTheme="minorEastAsia"/>
          <w:noProof/>
        </w:rPr>
      </w:pPr>
      <w:r>
        <w:fldChar w:fldCharType="begin"/>
      </w:r>
      <w:r>
        <w:instrText xml:space="preserve"> TOC \f \h \z </w:instrText>
      </w:r>
      <w:r>
        <w:fldChar w:fldCharType="separate"/>
      </w:r>
      <w:hyperlink w:anchor="_Toc274912155" w:history="1">
        <w:r w:rsidRPr="00B835E0">
          <w:rPr>
            <w:rStyle w:val="Hyperlink"/>
            <w:noProof/>
          </w:rPr>
          <w:t>I.</w:t>
        </w:r>
        <w:r w:rsidRPr="00B835E0">
          <w:rPr>
            <w:rFonts w:eastAsiaTheme="minorEastAsia"/>
            <w:noProof/>
          </w:rPr>
          <w:tab/>
        </w:r>
        <w:r w:rsidRPr="00B835E0">
          <w:rPr>
            <w:rStyle w:val="Hyperlink"/>
            <w:noProof/>
          </w:rPr>
          <w:t>INTRODUCTION</w:t>
        </w:r>
        <w:r w:rsidRPr="00B835E0">
          <w:rPr>
            <w:noProof/>
            <w:webHidden/>
          </w:rPr>
          <w:tab/>
        </w:r>
        <w:r w:rsidRPr="00B835E0">
          <w:rPr>
            <w:noProof/>
            <w:webHidden/>
          </w:rPr>
          <w:fldChar w:fldCharType="begin"/>
        </w:r>
        <w:r w:rsidRPr="00B835E0">
          <w:rPr>
            <w:noProof/>
            <w:webHidden/>
          </w:rPr>
          <w:instrText xml:space="preserve"> PAGEREF _Toc274912155 \h </w:instrText>
        </w:r>
        <w:r w:rsidRPr="00B835E0">
          <w:rPr>
            <w:noProof/>
            <w:webHidden/>
          </w:rPr>
        </w:r>
        <w:r w:rsidRPr="00B835E0">
          <w:rPr>
            <w:noProof/>
            <w:webHidden/>
          </w:rPr>
          <w:fldChar w:fldCharType="separate"/>
        </w:r>
        <w:r w:rsidR="00AB3DA8">
          <w:rPr>
            <w:noProof/>
            <w:webHidden/>
          </w:rPr>
          <w:t>1</w:t>
        </w:r>
        <w:r w:rsidRPr="00B835E0">
          <w:rPr>
            <w:noProof/>
            <w:webHidden/>
          </w:rPr>
          <w:fldChar w:fldCharType="end"/>
        </w:r>
      </w:hyperlink>
    </w:p>
    <w:p w:rsidR="00104992" w:rsidRPr="00B835E0" w:rsidRDefault="00104992">
      <w:pPr>
        <w:pStyle w:val="TOC1"/>
        <w:rPr>
          <w:rFonts w:eastAsiaTheme="minorEastAsia"/>
          <w:noProof/>
        </w:rPr>
      </w:pPr>
      <w:hyperlink w:anchor="_Toc274912156" w:history="1">
        <w:r w:rsidRPr="00B835E0">
          <w:rPr>
            <w:rStyle w:val="Hyperlink"/>
            <w:noProof/>
          </w:rPr>
          <w:t>II.</w:t>
        </w:r>
        <w:r w:rsidRPr="00B835E0">
          <w:rPr>
            <w:rFonts w:eastAsiaTheme="minorEastAsia"/>
            <w:noProof/>
          </w:rPr>
          <w:tab/>
        </w:r>
        <w:r w:rsidRPr="00B835E0">
          <w:rPr>
            <w:rStyle w:val="Hyperlink"/>
            <w:noProof/>
          </w:rPr>
          <w:t>HISTORY OF THE PROCEEDINGS</w:t>
        </w:r>
        <w:r w:rsidRPr="00B835E0">
          <w:rPr>
            <w:noProof/>
            <w:webHidden/>
          </w:rPr>
          <w:tab/>
        </w:r>
        <w:r w:rsidRPr="00B835E0">
          <w:rPr>
            <w:noProof/>
            <w:webHidden/>
          </w:rPr>
          <w:fldChar w:fldCharType="begin"/>
        </w:r>
        <w:r w:rsidRPr="00B835E0">
          <w:rPr>
            <w:noProof/>
            <w:webHidden/>
          </w:rPr>
          <w:instrText xml:space="preserve"> PAGEREF _Toc274912156 \h </w:instrText>
        </w:r>
        <w:r w:rsidRPr="00B835E0">
          <w:rPr>
            <w:noProof/>
            <w:webHidden/>
          </w:rPr>
        </w:r>
        <w:r w:rsidRPr="00B835E0">
          <w:rPr>
            <w:noProof/>
            <w:webHidden/>
          </w:rPr>
          <w:fldChar w:fldCharType="separate"/>
        </w:r>
        <w:r w:rsidR="00AB3DA8">
          <w:rPr>
            <w:noProof/>
            <w:webHidden/>
          </w:rPr>
          <w:t>4</w:t>
        </w:r>
        <w:r w:rsidRPr="00B835E0">
          <w:rPr>
            <w:noProof/>
            <w:webHidden/>
          </w:rPr>
          <w:fldChar w:fldCharType="end"/>
        </w:r>
      </w:hyperlink>
    </w:p>
    <w:p w:rsidR="00104992" w:rsidRPr="00B835E0" w:rsidRDefault="00104992">
      <w:pPr>
        <w:pStyle w:val="TOC1"/>
        <w:rPr>
          <w:rFonts w:eastAsiaTheme="minorEastAsia"/>
          <w:noProof/>
        </w:rPr>
      </w:pPr>
      <w:hyperlink w:anchor="_Toc274912157" w:history="1">
        <w:r w:rsidRPr="00B835E0">
          <w:rPr>
            <w:rStyle w:val="Hyperlink"/>
            <w:noProof/>
          </w:rPr>
          <w:t>III.</w:t>
        </w:r>
        <w:r w:rsidRPr="00B835E0">
          <w:rPr>
            <w:rFonts w:eastAsiaTheme="minorEastAsia"/>
            <w:noProof/>
          </w:rPr>
          <w:tab/>
        </w:r>
        <w:r w:rsidRPr="00B835E0">
          <w:rPr>
            <w:rStyle w:val="Hyperlink"/>
            <w:noProof/>
          </w:rPr>
          <w:t>FINDINGS OF FACT</w:t>
        </w:r>
        <w:r w:rsidRPr="00B835E0">
          <w:rPr>
            <w:noProof/>
            <w:webHidden/>
          </w:rPr>
          <w:tab/>
        </w:r>
        <w:r w:rsidRPr="00B835E0">
          <w:rPr>
            <w:noProof/>
            <w:webHidden/>
          </w:rPr>
          <w:fldChar w:fldCharType="begin"/>
        </w:r>
        <w:r w:rsidRPr="00B835E0">
          <w:rPr>
            <w:noProof/>
            <w:webHidden/>
          </w:rPr>
          <w:instrText xml:space="preserve"> PAGEREF _Toc274912157 \h </w:instrText>
        </w:r>
        <w:r w:rsidRPr="00B835E0">
          <w:rPr>
            <w:noProof/>
            <w:webHidden/>
          </w:rPr>
        </w:r>
        <w:r w:rsidRPr="00B835E0">
          <w:rPr>
            <w:noProof/>
            <w:webHidden/>
          </w:rPr>
          <w:fldChar w:fldCharType="separate"/>
        </w:r>
        <w:r w:rsidR="00AB3DA8">
          <w:rPr>
            <w:noProof/>
            <w:webHidden/>
          </w:rPr>
          <w:t>6</w:t>
        </w:r>
        <w:r w:rsidRPr="00B835E0">
          <w:rPr>
            <w:noProof/>
            <w:webHidden/>
          </w:rPr>
          <w:fldChar w:fldCharType="end"/>
        </w:r>
      </w:hyperlink>
    </w:p>
    <w:p w:rsidR="00104992" w:rsidRPr="00B835E0" w:rsidRDefault="00104992">
      <w:pPr>
        <w:pStyle w:val="TOC2"/>
        <w:rPr>
          <w:rFonts w:eastAsiaTheme="minorEastAsia"/>
          <w:noProof/>
        </w:rPr>
      </w:pPr>
      <w:hyperlink w:anchor="_Toc274912158" w:history="1">
        <w:r w:rsidRPr="00B835E0">
          <w:rPr>
            <w:rStyle w:val="Hyperlink"/>
            <w:noProof/>
          </w:rPr>
          <w:t>1.</w:t>
        </w:r>
        <w:r w:rsidRPr="00B835E0">
          <w:rPr>
            <w:rFonts w:eastAsiaTheme="minorEastAsia"/>
            <w:noProof/>
          </w:rPr>
          <w:tab/>
        </w:r>
        <w:r w:rsidRPr="00B835E0">
          <w:rPr>
            <w:rStyle w:val="Hyperlink"/>
            <w:noProof/>
          </w:rPr>
          <w:t>SETTLEMENT PROVISIONS</w:t>
        </w:r>
        <w:r w:rsidRPr="00B835E0">
          <w:rPr>
            <w:noProof/>
            <w:webHidden/>
          </w:rPr>
          <w:tab/>
        </w:r>
        <w:r w:rsidRPr="00B835E0">
          <w:rPr>
            <w:noProof/>
            <w:webHidden/>
          </w:rPr>
          <w:fldChar w:fldCharType="begin"/>
        </w:r>
        <w:r w:rsidRPr="00B835E0">
          <w:rPr>
            <w:noProof/>
            <w:webHidden/>
          </w:rPr>
          <w:instrText xml:space="preserve"> PAGEREF _Toc274912158 \h </w:instrText>
        </w:r>
        <w:r w:rsidRPr="00B835E0">
          <w:rPr>
            <w:noProof/>
            <w:webHidden/>
          </w:rPr>
        </w:r>
        <w:r w:rsidRPr="00B835E0">
          <w:rPr>
            <w:noProof/>
            <w:webHidden/>
          </w:rPr>
          <w:fldChar w:fldCharType="separate"/>
        </w:r>
        <w:r w:rsidR="00AB3DA8">
          <w:rPr>
            <w:noProof/>
            <w:webHidden/>
          </w:rPr>
          <w:t>6</w:t>
        </w:r>
        <w:r w:rsidRPr="00B835E0">
          <w:rPr>
            <w:noProof/>
            <w:webHidden/>
          </w:rPr>
          <w:fldChar w:fldCharType="end"/>
        </w:r>
      </w:hyperlink>
    </w:p>
    <w:p w:rsidR="00104992" w:rsidRPr="00B835E0" w:rsidRDefault="00104992">
      <w:pPr>
        <w:pStyle w:val="TOC3"/>
        <w:rPr>
          <w:rFonts w:eastAsiaTheme="minorEastAsia"/>
        </w:rPr>
      </w:pPr>
      <w:r w:rsidRPr="00B835E0">
        <w:rPr>
          <w:rStyle w:val="Hyperlink"/>
          <w:color w:val="auto"/>
          <w:u w:val="none"/>
        </w:rPr>
        <w:t>A.</w:t>
      </w:r>
      <w:r w:rsidRPr="00B835E0">
        <w:rPr>
          <w:rStyle w:val="Hyperlink"/>
          <w:color w:val="auto"/>
          <w:u w:val="none"/>
        </w:rPr>
        <w:tab/>
      </w:r>
      <w:hyperlink w:anchor="_Toc274912159" w:history="1">
        <w:r w:rsidRPr="00B835E0">
          <w:rPr>
            <w:rStyle w:val="Hyperlink"/>
          </w:rPr>
          <w:t>REVENUE REQUIREMENT</w:t>
        </w:r>
        <w:r w:rsidRPr="00B835E0">
          <w:rPr>
            <w:webHidden/>
          </w:rPr>
          <w:tab/>
        </w:r>
        <w:r w:rsidRPr="00B835E0">
          <w:rPr>
            <w:webHidden/>
          </w:rPr>
          <w:fldChar w:fldCharType="begin"/>
        </w:r>
        <w:r w:rsidRPr="00B835E0">
          <w:rPr>
            <w:webHidden/>
          </w:rPr>
          <w:instrText xml:space="preserve"> PAGEREF _Toc274912159 \h </w:instrText>
        </w:r>
        <w:r w:rsidRPr="00B835E0">
          <w:rPr>
            <w:webHidden/>
          </w:rPr>
        </w:r>
        <w:r w:rsidRPr="00B835E0">
          <w:rPr>
            <w:webHidden/>
          </w:rPr>
          <w:fldChar w:fldCharType="separate"/>
        </w:r>
        <w:r w:rsidR="00AB3DA8">
          <w:rPr>
            <w:webHidden/>
          </w:rPr>
          <w:t>7</w:t>
        </w:r>
        <w:r w:rsidRPr="00B835E0">
          <w:rPr>
            <w:webHidden/>
          </w:rPr>
          <w:fldChar w:fldCharType="end"/>
        </w:r>
      </w:hyperlink>
    </w:p>
    <w:p w:rsidR="00104992" w:rsidRPr="00B835E0" w:rsidRDefault="00104992">
      <w:pPr>
        <w:pStyle w:val="TOC3"/>
        <w:rPr>
          <w:rFonts w:eastAsiaTheme="minorEastAsia"/>
        </w:rPr>
      </w:pPr>
      <w:hyperlink w:anchor="_Toc274912160" w:history="1">
        <w:r w:rsidRPr="00B835E0">
          <w:rPr>
            <w:rStyle w:val="Hyperlink"/>
          </w:rPr>
          <w:t>B.</w:t>
        </w:r>
        <w:r w:rsidRPr="00B835E0">
          <w:rPr>
            <w:rFonts w:eastAsiaTheme="minorEastAsia"/>
          </w:rPr>
          <w:tab/>
        </w:r>
        <w:r w:rsidRPr="00B835E0">
          <w:rPr>
            <w:rStyle w:val="Hyperlink"/>
          </w:rPr>
          <w:t>REVENUE ALLOCATION</w:t>
        </w:r>
        <w:r w:rsidRPr="00B835E0">
          <w:rPr>
            <w:webHidden/>
          </w:rPr>
          <w:tab/>
        </w:r>
        <w:r w:rsidRPr="00B835E0">
          <w:rPr>
            <w:webHidden/>
          </w:rPr>
          <w:fldChar w:fldCharType="begin"/>
        </w:r>
        <w:r w:rsidRPr="00B835E0">
          <w:rPr>
            <w:webHidden/>
          </w:rPr>
          <w:instrText xml:space="preserve"> PAGEREF _Toc274912160 \h </w:instrText>
        </w:r>
        <w:r w:rsidRPr="00B835E0">
          <w:rPr>
            <w:webHidden/>
          </w:rPr>
        </w:r>
        <w:r w:rsidRPr="00B835E0">
          <w:rPr>
            <w:webHidden/>
          </w:rPr>
          <w:fldChar w:fldCharType="separate"/>
        </w:r>
        <w:r w:rsidR="00AB3DA8">
          <w:rPr>
            <w:webHidden/>
          </w:rPr>
          <w:t>8</w:t>
        </w:r>
        <w:r w:rsidRPr="00B835E0">
          <w:rPr>
            <w:webHidden/>
          </w:rPr>
          <w:fldChar w:fldCharType="end"/>
        </w:r>
      </w:hyperlink>
    </w:p>
    <w:p w:rsidR="00104992" w:rsidRPr="00B835E0" w:rsidRDefault="00104992">
      <w:pPr>
        <w:pStyle w:val="TOC3"/>
        <w:rPr>
          <w:rFonts w:eastAsiaTheme="minorEastAsia"/>
        </w:rPr>
      </w:pPr>
      <w:hyperlink w:anchor="_Toc274912161" w:history="1">
        <w:r w:rsidRPr="00B835E0">
          <w:rPr>
            <w:rStyle w:val="Hyperlink"/>
          </w:rPr>
          <w:t>C.</w:t>
        </w:r>
        <w:r w:rsidRPr="00B835E0">
          <w:rPr>
            <w:rFonts w:eastAsiaTheme="minorEastAsia"/>
          </w:rPr>
          <w:tab/>
        </w:r>
        <w:r w:rsidRPr="00B835E0">
          <w:rPr>
            <w:rStyle w:val="Hyperlink"/>
          </w:rPr>
          <w:t>RATE DESIGN</w:t>
        </w:r>
        <w:r w:rsidRPr="00B835E0">
          <w:rPr>
            <w:webHidden/>
          </w:rPr>
          <w:tab/>
        </w:r>
        <w:r w:rsidRPr="00B835E0">
          <w:rPr>
            <w:webHidden/>
          </w:rPr>
          <w:fldChar w:fldCharType="begin"/>
        </w:r>
        <w:r w:rsidRPr="00B835E0">
          <w:rPr>
            <w:webHidden/>
          </w:rPr>
          <w:instrText xml:space="preserve"> PAGEREF _Toc274912161 \h </w:instrText>
        </w:r>
        <w:r w:rsidRPr="00B835E0">
          <w:rPr>
            <w:webHidden/>
          </w:rPr>
        </w:r>
        <w:r w:rsidRPr="00B835E0">
          <w:rPr>
            <w:webHidden/>
          </w:rPr>
          <w:fldChar w:fldCharType="separate"/>
        </w:r>
        <w:r w:rsidR="00AB3DA8">
          <w:rPr>
            <w:webHidden/>
          </w:rPr>
          <w:t>8</w:t>
        </w:r>
        <w:r w:rsidRPr="00B835E0">
          <w:rPr>
            <w:webHidden/>
          </w:rPr>
          <w:fldChar w:fldCharType="end"/>
        </w:r>
      </w:hyperlink>
    </w:p>
    <w:p w:rsidR="00104992" w:rsidRPr="00B835E0" w:rsidRDefault="00104992">
      <w:pPr>
        <w:pStyle w:val="TOC3"/>
        <w:rPr>
          <w:rFonts w:eastAsiaTheme="minorEastAsia"/>
        </w:rPr>
      </w:pPr>
      <w:hyperlink w:anchor="_Toc274912162" w:history="1">
        <w:r w:rsidRPr="00B835E0">
          <w:rPr>
            <w:rStyle w:val="Hyperlink"/>
          </w:rPr>
          <w:t>D.</w:t>
        </w:r>
        <w:r w:rsidRPr="00B835E0">
          <w:rPr>
            <w:rFonts w:eastAsiaTheme="minorEastAsia"/>
          </w:rPr>
          <w:tab/>
        </w:r>
        <w:r w:rsidRPr="00B835E0">
          <w:rPr>
            <w:rStyle w:val="Hyperlink"/>
          </w:rPr>
          <w:t>TARIFF LANGUAGE</w:t>
        </w:r>
        <w:r w:rsidRPr="00B835E0">
          <w:rPr>
            <w:webHidden/>
          </w:rPr>
          <w:tab/>
        </w:r>
        <w:r w:rsidRPr="00B835E0">
          <w:rPr>
            <w:webHidden/>
          </w:rPr>
          <w:fldChar w:fldCharType="begin"/>
        </w:r>
        <w:r w:rsidRPr="00B835E0">
          <w:rPr>
            <w:webHidden/>
          </w:rPr>
          <w:instrText xml:space="preserve"> PAGEREF _Toc274912162 \h </w:instrText>
        </w:r>
        <w:r w:rsidRPr="00B835E0">
          <w:rPr>
            <w:webHidden/>
          </w:rPr>
        </w:r>
        <w:r w:rsidRPr="00B835E0">
          <w:rPr>
            <w:webHidden/>
          </w:rPr>
          <w:fldChar w:fldCharType="separate"/>
        </w:r>
        <w:r w:rsidR="00AB3DA8">
          <w:rPr>
            <w:webHidden/>
          </w:rPr>
          <w:t>9</w:t>
        </w:r>
        <w:r w:rsidRPr="00B835E0">
          <w:rPr>
            <w:webHidden/>
          </w:rPr>
          <w:fldChar w:fldCharType="end"/>
        </w:r>
      </w:hyperlink>
    </w:p>
    <w:p w:rsidR="00104992" w:rsidRPr="00B835E0" w:rsidRDefault="00104992">
      <w:pPr>
        <w:pStyle w:val="TOC3"/>
        <w:rPr>
          <w:rFonts w:eastAsiaTheme="minorEastAsia"/>
        </w:rPr>
      </w:pPr>
      <w:hyperlink w:anchor="_Toc274912163" w:history="1">
        <w:r w:rsidRPr="00B835E0">
          <w:rPr>
            <w:rStyle w:val="Hyperlink"/>
          </w:rPr>
          <w:t>E.</w:t>
        </w:r>
        <w:r w:rsidRPr="00B835E0">
          <w:rPr>
            <w:rFonts w:eastAsiaTheme="minorEastAsia"/>
          </w:rPr>
          <w:tab/>
        </w:r>
        <w:r w:rsidRPr="00B835E0">
          <w:rPr>
            <w:rStyle w:val="Hyperlink"/>
          </w:rPr>
          <w:t>UNIVERSAL SERVICE</w:t>
        </w:r>
        <w:r w:rsidRPr="00B835E0">
          <w:rPr>
            <w:webHidden/>
          </w:rPr>
          <w:tab/>
        </w:r>
        <w:r w:rsidRPr="00B835E0">
          <w:rPr>
            <w:webHidden/>
          </w:rPr>
          <w:fldChar w:fldCharType="begin"/>
        </w:r>
        <w:r w:rsidRPr="00B835E0">
          <w:rPr>
            <w:webHidden/>
          </w:rPr>
          <w:instrText xml:space="preserve"> PAGEREF _Toc274912163 \h </w:instrText>
        </w:r>
        <w:r w:rsidRPr="00B835E0">
          <w:rPr>
            <w:webHidden/>
          </w:rPr>
        </w:r>
        <w:r w:rsidRPr="00B835E0">
          <w:rPr>
            <w:webHidden/>
          </w:rPr>
          <w:fldChar w:fldCharType="separate"/>
        </w:r>
        <w:r w:rsidR="00AB3DA8">
          <w:rPr>
            <w:webHidden/>
          </w:rPr>
          <w:t>9</w:t>
        </w:r>
        <w:r w:rsidRPr="00B835E0">
          <w:rPr>
            <w:webHidden/>
          </w:rPr>
          <w:fldChar w:fldCharType="end"/>
        </w:r>
      </w:hyperlink>
    </w:p>
    <w:p w:rsidR="00104992" w:rsidRPr="00B835E0" w:rsidRDefault="00104992">
      <w:pPr>
        <w:pStyle w:val="TOC2"/>
        <w:rPr>
          <w:rFonts w:eastAsiaTheme="minorEastAsia"/>
          <w:noProof/>
        </w:rPr>
      </w:pPr>
      <w:hyperlink w:anchor="_Toc274912164" w:history="1">
        <w:r w:rsidRPr="00B835E0">
          <w:rPr>
            <w:rStyle w:val="Hyperlink"/>
            <w:noProof/>
          </w:rPr>
          <w:t>2.</w:t>
        </w:r>
        <w:r w:rsidRPr="00B835E0">
          <w:rPr>
            <w:rFonts w:eastAsiaTheme="minorEastAsia"/>
            <w:noProof/>
          </w:rPr>
          <w:tab/>
        </w:r>
        <w:r w:rsidRPr="00B835E0">
          <w:rPr>
            <w:rStyle w:val="Hyperlink"/>
            <w:noProof/>
          </w:rPr>
          <w:t>ALJ’s FINDINGS OF FACTS</w:t>
        </w:r>
        <w:r w:rsidRPr="00B835E0">
          <w:rPr>
            <w:noProof/>
            <w:webHidden/>
          </w:rPr>
          <w:tab/>
        </w:r>
        <w:r w:rsidRPr="00B835E0">
          <w:rPr>
            <w:noProof/>
            <w:webHidden/>
          </w:rPr>
          <w:fldChar w:fldCharType="begin"/>
        </w:r>
        <w:r w:rsidRPr="00B835E0">
          <w:rPr>
            <w:noProof/>
            <w:webHidden/>
          </w:rPr>
          <w:instrText xml:space="preserve"> PAGEREF _Toc274912164 \h </w:instrText>
        </w:r>
        <w:r w:rsidRPr="00B835E0">
          <w:rPr>
            <w:noProof/>
            <w:webHidden/>
          </w:rPr>
        </w:r>
        <w:r w:rsidRPr="00B835E0">
          <w:rPr>
            <w:noProof/>
            <w:webHidden/>
          </w:rPr>
          <w:fldChar w:fldCharType="separate"/>
        </w:r>
        <w:r w:rsidR="00AB3DA8">
          <w:rPr>
            <w:noProof/>
            <w:webHidden/>
          </w:rPr>
          <w:t>10</w:t>
        </w:r>
        <w:r w:rsidRPr="00B835E0">
          <w:rPr>
            <w:noProof/>
            <w:webHidden/>
          </w:rPr>
          <w:fldChar w:fldCharType="end"/>
        </w:r>
      </w:hyperlink>
    </w:p>
    <w:p w:rsidR="00104992" w:rsidRPr="00B835E0" w:rsidRDefault="00104992">
      <w:pPr>
        <w:pStyle w:val="TOC1"/>
        <w:rPr>
          <w:rFonts w:eastAsiaTheme="minorEastAsia"/>
          <w:noProof/>
        </w:rPr>
      </w:pPr>
      <w:hyperlink w:anchor="_Toc274912165" w:history="1">
        <w:r w:rsidRPr="00B835E0">
          <w:rPr>
            <w:rStyle w:val="Hyperlink"/>
            <w:noProof/>
          </w:rPr>
          <w:t>III.</w:t>
        </w:r>
        <w:r w:rsidRPr="00B835E0">
          <w:rPr>
            <w:rFonts w:eastAsiaTheme="minorEastAsia"/>
            <w:noProof/>
          </w:rPr>
          <w:tab/>
        </w:r>
        <w:r w:rsidRPr="00B835E0">
          <w:rPr>
            <w:rStyle w:val="Hyperlink"/>
            <w:noProof/>
          </w:rPr>
          <w:t>DISCUSSION</w:t>
        </w:r>
        <w:r w:rsidRPr="00B835E0">
          <w:rPr>
            <w:noProof/>
            <w:webHidden/>
          </w:rPr>
          <w:tab/>
        </w:r>
        <w:r w:rsidRPr="00B835E0">
          <w:rPr>
            <w:noProof/>
            <w:webHidden/>
          </w:rPr>
          <w:fldChar w:fldCharType="begin"/>
        </w:r>
        <w:r w:rsidRPr="00B835E0">
          <w:rPr>
            <w:noProof/>
            <w:webHidden/>
          </w:rPr>
          <w:instrText xml:space="preserve"> PAGEREF _Toc274912165 \h </w:instrText>
        </w:r>
        <w:r w:rsidRPr="00B835E0">
          <w:rPr>
            <w:noProof/>
            <w:webHidden/>
          </w:rPr>
        </w:r>
        <w:r w:rsidRPr="00B835E0">
          <w:rPr>
            <w:noProof/>
            <w:webHidden/>
          </w:rPr>
          <w:fldChar w:fldCharType="separate"/>
        </w:r>
        <w:r w:rsidR="00AB3DA8">
          <w:rPr>
            <w:noProof/>
            <w:webHidden/>
          </w:rPr>
          <w:t>18</w:t>
        </w:r>
        <w:r w:rsidRPr="00B835E0">
          <w:rPr>
            <w:noProof/>
            <w:webHidden/>
          </w:rPr>
          <w:fldChar w:fldCharType="end"/>
        </w:r>
      </w:hyperlink>
    </w:p>
    <w:p w:rsidR="00104992" w:rsidRPr="00B835E0" w:rsidRDefault="00104992">
      <w:pPr>
        <w:pStyle w:val="TOC2"/>
        <w:rPr>
          <w:rFonts w:eastAsiaTheme="minorEastAsia"/>
          <w:noProof/>
        </w:rPr>
      </w:pPr>
      <w:hyperlink w:anchor="_Toc274912166" w:history="1">
        <w:r w:rsidRPr="00B835E0">
          <w:rPr>
            <w:rStyle w:val="Hyperlink"/>
            <w:noProof/>
          </w:rPr>
          <w:t>1.</w:t>
        </w:r>
        <w:r w:rsidRPr="00B835E0">
          <w:rPr>
            <w:rFonts w:eastAsiaTheme="minorEastAsia"/>
            <w:noProof/>
          </w:rPr>
          <w:tab/>
        </w:r>
        <w:r w:rsidRPr="00B835E0">
          <w:rPr>
            <w:rStyle w:val="Hyperlink"/>
            <w:noProof/>
          </w:rPr>
          <w:t>INTRODUCTION</w:t>
        </w:r>
        <w:r w:rsidRPr="00B835E0">
          <w:rPr>
            <w:noProof/>
            <w:webHidden/>
          </w:rPr>
          <w:tab/>
        </w:r>
        <w:r w:rsidRPr="00B835E0">
          <w:rPr>
            <w:noProof/>
            <w:webHidden/>
          </w:rPr>
          <w:fldChar w:fldCharType="begin"/>
        </w:r>
        <w:r w:rsidRPr="00B835E0">
          <w:rPr>
            <w:noProof/>
            <w:webHidden/>
          </w:rPr>
          <w:instrText xml:space="preserve"> PAGEREF _Toc274912166 \h </w:instrText>
        </w:r>
        <w:r w:rsidRPr="00B835E0">
          <w:rPr>
            <w:noProof/>
            <w:webHidden/>
          </w:rPr>
        </w:r>
        <w:r w:rsidRPr="00B835E0">
          <w:rPr>
            <w:noProof/>
            <w:webHidden/>
          </w:rPr>
          <w:fldChar w:fldCharType="separate"/>
        </w:r>
        <w:r w:rsidR="00AB3DA8">
          <w:rPr>
            <w:noProof/>
            <w:webHidden/>
          </w:rPr>
          <w:t>18</w:t>
        </w:r>
        <w:r w:rsidRPr="00B835E0">
          <w:rPr>
            <w:noProof/>
            <w:webHidden/>
          </w:rPr>
          <w:fldChar w:fldCharType="end"/>
        </w:r>
      </w:hyperlink>
    </w:p>
    <w:p w:rsidR="00104992" w:rsidRPr="00B835E0" w:rsidRDefault="00104992">
      <w:pPr>
        <w:pStyle w:val="TOC2"/>
        <w:rPr>
          <w:rFonts w:eastAsiaTheme="minorEastAsia"/>
          <w:noProof/>
        </w:rPr>
      </w:pPr>
      <w:hyperlink w:anchor="_Toc274912167" w:history="1">
        <w:r w:rsidRPr="00B835E0">
          <w:rPr>
            <w:rStyle w:val="Hyperlink"/>
            <w:noProof/>
          </w:rPr>
          <w:t>2.</w:t>
        </w:r>
        <w:r w:rsidRPr="00B835E0">
          <w:rPr>
            <w:rFonts w:eastAsiaTheme="minorEastAsia"/>
            <w:noProof/>
          </w:rPr>
          <w:tab/>
        </w:r>
        <w:r w:rsidRPr="00B835E0">
          <w:rPr>
            <w:rStyle w:val="Hyperlink"/>
            <w:noProof/>
          </w:rPr>
          <w:t>P</w:t>
        </w:r>
        <w:r w:rsidRPr="00B835E0">
          <w:rPr>
            <w:rStyle w:val="Hyperlink"/>
            <w:noProof/>
          </w:rPr>
          <w:t>U</w:t>
        </w:r>
        <w:r w:rsidRPr="00B835E0">
          <w:rPr>
            <w:rStyle w:val="Hyperlink"/>
            <w:noProof/>
          </w:rPr>
          <w:t>BLIC INPUT HEARINGS</w:t>
        </w:r>
        <w:r w:rsidRPr="00B835E0">
          <w:rPr>
            <w:noProof/>
            <w:webHidden/>
          </w:rPr>
          <w:tab/>
        </w:r>
        <w:r w:rsidRPr="00B835E0">
          <w:rPr>
            <w:noProof/>
            <w:webHidden/>
          </w:rPr>
          <w:fldChar w:fldCharType="begin"/>
        </w:r>
        <w:r w:rsidRPr="00B835E0">
          <w:rPr>
            <w:noProof/>
            <w:webHidden/>
          </w:rPr>
          <w:instrText xml:space="preserve"> PAGEREF _Toc274912167 \h </w:instrText>
        </w:r>
        <w:r w:rsidRPr="00B835E0">
          <w:rPr>
            <w:noProof/>
            <w:webHidden/>
          </w:rPr>
        </w:r>
        <w:r w:rsidRPr="00B835E0">
          <w:rPr>
            <w:noProof/>
            <w:webHidden/>
          </w:rPr>
          <w:fldChar w:fldCharType="separate"/>
        </w:r>
        <w:r w:rsidR="00AB3DA8">
          <w:rPr>
            <w:noProof/>
            <w:webHidden/>
          </w:rPr>
          <w:t>18</w:t>
        </w:r>
        <w:r w:rsidRPr="00B835E0">
          <w:rPr>
            <w:noProof/>
            <w:webHidden/>
          </w:rPr>
          <w:fldChar w:fldCharType="end"/>
        </w:r>
      </w:hyperlink>
    </w:p>
    <w:p w:rsidR="00104992" w:rsidRPr="00B835E0" w:rsidRDefault="00B835E0">
      <w:pPr>
        <w:pStyle w:val="TOC2"/>
        <w:rPr>
          <w:rFonts w:eastAsiaTheme="minorEastAsia"/>
          <w:noProof/>
        </w:rPr>
      </w:pPr>
      <w:r w:rsidRPr="00B835E0">
        <w:rPr>
          <w:rStyle w:val="Hyperlink"/>
          <w:noProof/>
          <w:color w:val="auto"/>
          <w:u w:val="none"/>
        </w:rPr>
        <w:t>3.</w:t>
      </w:r>
      <w:r w:rsidRPr="00B835E0">
        <w:rPr>
          <w:rStyle w:val="Hyperlink"/>
          <w:noProof/>
          <w:color w:val="auto"/>
          <w:u w:val="none"/>
        </w:rPr>
        <w:tab/>
      </w:r>
      <w:hyperlink w:anchor="_Toc274912168" w:history="1">
        <w:r w:rsidR="00104992" w:rsidRPr="00B835E0">
          <w:rPr>
            <w:rStyle w:val="Hyperlink"/>
            <w:noProof/>
          </w:rPr>
          <w:t>THE JOINT PETITION FOR PARTIAL SETTLEMENT</w:t>
        </w:r>
        <w:r w:rsidR="00104992" w:rsidRPr="00B835E0">
          <w:rPr>
            <w:noProof/>
            <w:webHidden/>
          </w:rPr>
          <w:tab/>
        </w:r>
        <w:r w:rsidR="00104992" w:rsidRPr="00B835E0">
          <w:rPr>
            <w:noProof/>
            <w:webHidden/>
          </w:rPr>
          <w:fldChar w:fldCharType="begin"/>
        </w:r>
        <w:r w:rsidR="00104992" w:rsidRPr="00B835E0">
          <w:rPr>
            <w:noProof/>
            <w:webHidden/>
          </w:rPr>
          <w:instrText xml:space="preserve"> PAGEREF _Toc274912168 \h </w:instrText>
        </w:r>
        <w:r w:rsidR="00104992" w:rsidRPr="00B835E0">
          <w:rPr>
            <w:noProof/>
            <w:webHidden/>
          </w:rPr>
        </w:r>
        <w:r w:rsidR="00104992" w:rsidRPr="00B835E0">
          <w:rPr>
            <w:noProof/>
            <w:webHidden/>
          </w:rPr>
          <w:fldChar w:fldCharType="separate"/>
        </w:r>
        <w:r w:rsidR="00AB3DA8">
          <w:rPr>
            <w:noProof/>
            <w:webHidden/>
          </w:rPr>
          <w:t>28</w:t>
        </w:r>
        <w:r w:rsidR="00104992" w:rsidRPr="00B835E0">
          <w:rPr>
            <w:noProof/>
            <w:webHidden/>
          </w:rPr>
          <w:fldChar w:fldCharType="end"/>
        </w:r>
      </w:hyperlink>
    </w:p>
    <w:p w:rsidR="00104992" w:rsidRPr="00B835E0" w:rsidRDefault="00104992">
      <w:pPr>
        <w:pStyle w:val="TOC2"/>
        <w:rPr>
          <w:rFonts w:eastAsiaTheme="minorEastAsia"/>
          <w:noProof/>
        </w:rPr>
      </w:pPr>
      <w:hyperlink w:anchor="_Toc274912169" w:history="1">
        <w:r w:rsidR="00B835E0" w:rsidRPr="00B835E0">
          <w:rPr>
            <w:rStyle w:val="Hyperlink"/>
            <w:noProof/>
          </w:rPr>
          <w:t>4.</w:t>
        </w:r>
        <w:r w:rsidR="00B835E0" w:rsidRPr="00B835E0">
          <w:rPr>
            <w:rFonts w:eastAsiaTheme="minorEastAsia"/>
            <w:noProof/>
          </w:rPr>
          <w:tab/>
        </w:r>
        <w:r w:rsidR="00B835E0" w:rsidRPr="00B835E0">
          <w:rPr>
            <w:rStyle w:val="Hyperlink"/>
            <w:noProof/>
          </w:rPr>
          <w:t xml:space="preserve">LEGAL STANDARD FOR ISSUES NOT INCLUDED IN THE JOINT </w:t>
        </w:r>
        <w:r w:rsidR="00B835E0" w:rsidRPr="00B835E0">
          <w:rPr>
            <w:rStyle w:val="Hyperlink"/>
            <w:noProof/>
          </w:rPr>
          <w:tab/>
          <w:t>PETITION FOR SETTLEMENT</w:t>
        </w:r>
        <w:r w:rsidR="00B835E0" w:rsidRPr="00B835E0">
          <w:rPr>
            <w:noProof/>
            <w:webHidden/>
          </w:rPr>
          <w:tab/>
        </w:r>
        <w:r w:rsidRPr="00B835E0">
          <w:rPr>
            <w:noProof/>
            <w:webHidden/>
          </w:rPr>
          <w:fldChar w:fldCharType="begin"/>
        </w:r>
        <w:r w:rsidRPr="00B835E0">
          <w:rPr>
            <w:noProof/>
            <w:webHidden/>
          </w:rPr>
          <w:instrText xml:space="preserve"> PAGEREF _Toc274912169 \h </w:instrText>
        </w:r>
        <w:r w:rsidRPr="00B835E0">
          <w:rPr>
            <w:noProof/>
            <w:webHidden/>
          </w:rPr>
        </w:r>
        <w:r w:rsidRPr="00B835E0">
          <w:rPr>
            <w:noProof/>
            <w:webHidden/>
          </w:rPr>
          <w:fldChar w:fldCharType="separate"/>
        </w:r>
        <w:r w:rsidR="00AB3DA8">
          <w:rPr>
            <w:noProof/>
            <w:webHidden/>
          </w:rPr>
          <w:t>34</w:t>
        </w:r>
        <w:r w:rsidRPr="00B835E0">
          <w:rPr>
            <w:noProof/>
            <w:webHidden/>
          </w:rPr>
          <w:fldChar w:fldCharType="end"/>
        </w:r>
      </w:hyperlink>
    </w:p>
    <w:p w:rsidR="00104992" w:rsidRPr="00B835E0" w:rsidRDefault="00B835E0">
      <w:pPr>
        <w:pStyle w:val="TOC2"/>
        <w:rPr>
          <w:rFonts w:eastAsiaTheme="minorEastAsia"/>
          <w:noProof/>
        </w:rPr>
      </w:pPr>
      <w:r w:rsidRPr="00B835E0">
        <w:rPr>
          <w:rStyle w:val="Hyperlink"/>
          <w:noProof/>
          <w:color w:val="auto"/>
          <w:u w:val="none"/>
        </w:rPr>
        <w:t>5.</w:t>
      </w:r>
      <w:r w:rsidRPr="00B835E0">
        <w:rPr>
          <w:rStyle w:val="Hyperlink"/>
          <w:noProof/>
          <w:color w:val="auto"/>
          <w:u w:val="none"/>
        </w:rPr>
        <w:tab/>
      </w:r>
      <w:hyperlink w:anchor="_Toc274912170" w:history="1">
        <w:r w:rsidR="00104992" w:rsidRPr="00B835E0">
          <w:rPr>
            <w:rStyle w:val="Hyperlink"/>
            <w:noProof/>
          </w:rPr>
          <w:t>REVENUE REQUIREMENT ALLOCATION</w:t>
        </w:r>
        <w:r w:rsidR="00104992" w:rsidRPr="00B835E0">
          <w:rPr>
            <w:noProof/>
            <w:webHidden/>
          </w:rPr>
          <w:tab/>
        </w:r>
        <w:r w:rsidR="00104992" w:rsidRPr="00B835E0">
          <w:rPr>
            <w:noProof/>
            <w:webHidden/>
          </w:rPr>
          <w:fldChar w:fldCharType="begin"/>
        </w:r>
        <w:r w:rsidR="00104992" w:rsidRPr="00B835E0">
          <w:rPr>
            <w:noProof/>
            <w:webHidden/>
          </w:rPr>
          <w:instrText xml:space="preserve"> PAGEREF _Toc274912170 \h </w:instrText>
        </w:r>
        <w:r w:rsidR="00104992" w:rsidRPr="00B835E0">
          <w:rPr>
            <w:noProof/>
            <w:webHidden/>
          </w:rPr>
          <w:fldChar w:fldCharType="separate"/>
        </w:r>
        <w:r w:rsidR="00AB3DA8">
          <w:rPr>
            <w:b/>
            <w:bCs/>
            <w:noProof/>
            <w:webHidden/>
          </w:rPr>
          <w:t>Error! Bookmark not defined.</w:t>
        </w:r>
        <w:r w:rsidR="00104992" w:rsidRPr="00B835E0">
          <w:rPr>
            <w:noProof/>
            <w:webHidden/>
          </w:rPr>
          <w:fldChar w:fldCharType="end"/>
        </w:r>
      </w:hyperlink>
    </w:p>
    <w:p w:rsidR="00104992" w:rsidRPr="00B835E0" w:rsidRDefault="00104992">
      <w:pPr>
        <w:pStyle w:val="TOC3"/>
        <w:rPr>
          <w:rFonts w:eastAsiaTheme="minorEastAsia"/>
        </w:rPr>
      </w:pPr>
      <w:hyperlink w:anchor="_Toc274912171" w:history="1">
        <w:r w:rsidRPr="00B835E0">
          <w:rPr>
            <w:rStyle w:val="Hyperlink"/>
          </w:rPr>
          <w:t>A.</w:t>
        </w:r>
        <w:r w:rsidRPr="00B835E0">
          <w:rPr>
            <w:rFonts w:eastAsiaTheme="minorEastAsia"/>
          </w:rPr>
          <w:tab/>
        </w:r>
        <w:r w:rsidRPr="00B835E0">
          <w:rPr>
            <w:rStyle w:val="Hyperlink"/>
          </w:rPr>
          <w:t>Cost of Service Study</w:t>
        </w:r>
        <w:r w:rsidRPr="00B835E0">
          <w:rPr>
            <w:webHidden/>
          </w:rPr>
          <w:tab/>
        </w:r>
        <w:r w:rsidRPr="00B835E0">
          <w:rPr>
            <w:webHidden/>
          </w:rPr>
          <w:fldChar w:fldCharType="begin"/>
        </w:r>
        <w:r w:rsidRPr="00B835E0">
          <w:rPr>
            <w:webHidden/>
          </w:rPr>
          <w:instrText xml:space="preserve"> PAGEREF _Toc274912171 \h </w:instrText>
        </w:r>
        <w:r w:rsidRPr="00B835E0">
          <w:rPr>
            <w:webHidden/>
          </w:rPr>
        </w:r>
        <w:r w:rsidRPr="00B835E0">
          <w:rPr>
            <w:webHidden/>
          </w:rPr>
          <w:fldChar w:fldCharType="separate"/>
        </w:r>
        <w:r w:rsidR="00AB3DA8">
          <w:rPr>
            <w:webHidden/>
          </w:rPr>
          <w:t>36</w:t>
        </w:r>
        <w:r w:rsidRPr="00B835E0">
          <w:rPr>
            <w:webHidden/>
          </w:rPr>
          <w:fldChar w:fldCharType="end"/>
        </w:r>
      </w:hyperlink>
    </w:p>
    <w:p w:rsidR="00104992" w:rsidRPr="00B835E0" w:rsidRDefault="00104992">
      <w:pPr>
        <w:pStyle w:val="TOC3"/>
        <w:rPr>
          <w:rFonts w:eastAsiaTheme="minorEastAsia"/>
        </w:rPr>
      </w:pPr>
      <w:hyperlink w:anchor="_Toc274912172" w:history="1">
        <w:r w:rsidRPr="00B835E0">
          <w:rPr>
            <w:rStyle w:val="Hyperlink"/>
          </w:rPr>
          <w:t>B.</w:t>
        </w:r>
        <w:r w:rsidRPr="00B835E0">
          <w:rPr>
            <w:rFonts w:eastAsiaTheme="minorEastAsia"/>
          </w:rPr>
          <w:tab/>
        </w:r>
        <w:r w:rsidRPr="00B835E0">
          <w:rPr>
            <w:rStyle w:val="Hyperlink"/>
          </w:rPr>
          <w:t>Revenue Allocation Among Rate Schedules</w:t>
        </w:r>
        <w:r w:rsidRPr="00B835E0">
          <w:rPr>
            <w:webHidden/>
          </w:rPr>
          <w:tab/>
        </w:r>
        <w:r w:rsidRPr="00B835E0">
          <w:rPr>
            <w:webHidden/>
          </w:rPr>
          <w:fldChar w:fldCharType="begin"/>
        </w:r>
        <w:r w:rsidRPr="00B835E0">
          <w:rPr>
            <w:webHidden/>
          </w:rPr>
          <w:instrText xml:space="preserve"> PAGEREF _Toc274912172 \h </w:instrText>
        </w:r>
        <w:r w:rsidRPr="00B835E0">
          <w:rPr>
            <w:webHidden/>
          </w:rPr>
        </w:r>
        <w:r w:rsidRPr="00B835E0">
          <w:rPr>
            <w:webHidden/>
          </w:rPr>
          <w:fldChar w:fldCharType="separate"/>
        </w:r>
        <w:r w:rsidR="00AB3DA8">
          <w:rPr>
            <w:webHidden/>
          </w:rPr>
          <w:t>47</w:t>
        </w:r>
        <w:r w:rsidRPr="00B835E0">
          <w:rPr>
            <w:webHidden/>
          </w:rPr>
          <w:fldChar w:fldCharType="end"/>
        </w:r>
      </w:hyperlink>
    </w:p>
    <w:p w:rsidR="00104992" w:rsidRPr="00B835E0" w:rsidRDefault="00104992">
      <w:pPr>
        <w:pStyle w:val="TOC2"/>
        <w:rPr>
          <w:rFonts w:eastAsiaTheme="minorEastAsia"/>
          <w:noProof/>
        </w:rPr>
      </w:pPr>
      <w:hyperlink w:anchor="_Toc274912173" w:history="1">
        <w:r w:rsidRPr="00B835E0">
          <w:rPr>
            <w:rStyle w:val="Hyperlink"/>
            <w:noProof/>
          </w:rPr>
          <w:t>6.</w:t>
        </w:r>
        <w:r w:rsidRPr="00B835E0">
          <w:rPr>
            <w:rFonts w:eastAsiaTheme="minorEastAsia"/>
            <w:noProof/>
          </w:rPr>
          <w:tab/>
        </w:r>
        <w:r w:rsidRPr="00B835E0">
          <w:rPr>
            <w:rStyle w:val="Hyperlink"/>
            <w:noProof/>
          </w:rPr>
          <w:t>ISSUES SPECIFIC TO A PARTY</w:t>
        </w:r>
        <w:r w:rsidRPr="00B835E0">
          <w:rPr>
            <w:noProof/>
            <w:webHidden/>
          </w:rPr>
          <w:tab/>
        </w:r>
        <w:r w:rsidRPr="00B835E0">
          <w:rPr>
            <w:noProof/>
            <w:webHidden/>
          </w:rPr>
          <w:fldChar w:fldCharType="begin"/>
        </w:r>
        <w:r w:rsidRPr="00B835E0">
          <w:rPr>
            <w:noProof/>
            <w:webHidden/>
          </w:rPr>
          <w:instrText xml:space="preserve"> PAGEREF _Toc274912173 \h </w:instrText>
        </w:r>
        <w:r w:rsidRPr="00B835E0">
          <w:rPr>
            <w:noProof/>
            <w:webHidden/>
          </w:rPr>
        </w:r>
        <w:r w:rsidRPr="00B835E0">
          <w:rPr>
            <w:noProof/>
            <w:webHidden/>
          </w:rPr>
          <w:fldChar w:fldCharType="separate"/>
        </w:r>
        <w:r w:rsidR="00AB3DA8">
          <w:rPr>
            <w:noProof/>
            <w:webHidden/>
          </w:rPr>
          <w:t>58</w:t>
        </w:r>
        <w:r w:rsidRPr="00B835E0">
          <w:rPr>
            <w:noProof/>
            <w:webHidden/>
          </w:rPr>
          <w:fldChar w:fldCharType="end"/>
        </w:r>
      </w:hyperlink>
    </w:p>
    <w:p w:rsidR="00104992" w:rsidRPr="00B835E0" w:rsidRDefault="00104992">
      <w:pPr>
        <w:pStyle w:val="TOC3"/>
        <w:rPr>
          <w:rFonts w:eastAsiaTheme="minorEastAsia"/>
        </w:rPr>
      </w:pPr>
      <w:hyperlink w:anchor="_Toc274912174" w:history="1">
        <w:r w:rsidRPr="00B835E0">
          <w:rPr>
            <w:rStyle w:val="Hyperlink"/>
          </w:rPr>
          <w:t>A.</w:t>
        </w:r>
        <w:r w:rsidRPr="00B835E0">
          <w:rPr>
            <w:rFonts w:eastAsiaTheme="minorEastAsia"/>
          </w:rPr>
          <w:tab/>
        </w:r>
        <w:r w:rsidRPr="00B835E0">
          <w:rPr>
            <w:rStyle w:val="Hyperlink"/>
          </w:rPr>
          <w:t>Richards Energy Group Issues.</w:t>
        </w:r>
        <w:r w:rsidRPr="00B835E0">
          <w:rPr>
            <w:webHidden/>
          </w:rPr>
          <w:tab/>
        </w:r>
        <w:r w:rsidRPr="00B835E0">
          <w:rPr>
            <w:webHidden/>
          </w:rPr>
          <w:fldChar w:fldCharType="begin"/>
        </w:r>
        <w:r w:rsidRPr="00B835E0">
          <w:rPr>
            <w:webHidden/>
          </w:rPr>
          <w:instrText xml:space="preserve"> PAGEREF _Toc274912174 \h </w:instrText>
        </w:r>
        <w:r w:rsidRPr="00B835E0">
          <w:rPr>
            <w:webHidden/>
          </w:rPr>
        </w:r>
        <w:r w:rsidRPr="00B835E0">
          <w:rPr>
            <w:webHidden/>
          </w:rPr>
          <w:fldChar w:fldCharType="separate"/>
        </w:r>
        <w:r w:rsidR="00AB3DA8">
          <w:rPr>
            <w:webHidden/>
          </w:rPr>
          <w:t>58</w:t>
        </w:r>
        <w:r w:rsidRPr="00B835E0">
          <w:rPr>
            <w:webHidden/>
          </w:rPr>
          <w:fldChar w:fldCharType="end"/>
        </w:r>
      </w:hyperlink>
    </w:p>
    <w:p w:rsidR="00104992" w:rsidRPr="00B835E0" w:rsidRDefault="00104992" w:rsidP="00B835E0">
      <w:pPr>
        <w:pStyle w:val="TOC4"/>
        <w:rPr>
          <w:noProof/>
        </w:rPr>
      </w:pPr>
      <w:hyperlink w:anchor="_Toc274912175" w:history="1">
        <w:r w:rsidR="00B835E0">
          <w:rPr>
            <w:rStyle w:val="Hyperlink"/>
            <w:rFonts w:ascii="Times New Roman" w:hAnsi="Times New Roman" w:cs="Times New Roman"/>
            <w:noProof/>
            <w:sz w:val="24"/>
            <w:szCs w:val="24"/>
          </w:rPr>
          <w:t>i.</w:t>
        </w:r>
        <w:r w:rsidR="00B835E0">
          <w:rPr>
            <w:rStyle w:val="Hyperlink"/>
            <w:rFonts w:ascii="Times New Roman" w:hAnsi="Times New Roman" w:cs="Times New Roman"/>
            <w:noProof/>
            <w:sz w:val="24"/>
            <w:szCs w:val="24"/>
          </w:rPr>
          <w:tab/>
        </w:r>
        <w:r w:rsidRPr="00B835E0">
          <w:rPr>
            <w:rStyle w:val="Hyperlink"/>
            <w:rFonts w:ascii="Times New Roman" w:hAnsi="Times New Roman" w:cs="Times New Roman"/>
            <w:noProof/>
            <w:sz w:val="24"/>
            <w:szCs w:val="24"/>
          </w:rPr>
          <w:t>Rate Schedules GS-1 and GS-3 Rate Design</w:t>
        </w:r>
        <w:r w:rsidRPr="00B835E0">
          <w:rPr>
            <w:noProof/>
            <w:webHidden/>
          </w:rPr>
          <w:tab/>
        </w:r>
        <w:r w:rsidRPr="00B835E0">
          <w:rPr>
            <w:noProof/>
            <w:webHidden/>
          </w:rPr>
          <w:fldChar w:fldCharType="begin"/>
        </w:r>
        <w:r w:rsidRPr="00B835E0">
          <w:rPr>
            <w:noProof/>
            <w:webHidden/>
          </w:rPr>
          <w:instrText xml:space="preserve"> PAGEREF _Toc274912175 \h </w:instrText>
        </w:r>
        <w:r w:rsidRPr="00B835E0">
          <w:rPr>
            <w:noProof/>
            <w:webHidden/>
          </w:rPr>
        </w:r>
        <w:r w:rsidRPr="00B835E0">
          <w:rPr>
            <w:noProof/>
            <w:webHidden/>
          </w:rPr>
          <w:fldChar w:fldCharType="separate"/>
        </w:r>
        <w:r w:rsidR="00AB3DA8">
          <w:rPr>
            <w:noProof/>
            <w:webHidden/>
          </w:rPr>
          <w:t>58</w:t>
        </w:r>
        <w:r w:rsidRPr="00B835E0">
          <w:rPr>
            <w:noProof/>
            <w:webHidden/>
          </w:rPr>
          <w:fldChar w:fldCharType="end"/>
        </w:r>
      </w:hyperlink>
    </w:p>
    <w:p w:rsidR="00104992" w:rsidRDefault="00104992" w:rsidP="00B835E0">
      <w:pPr>
        <w:pStyle w:val="TOC4"/>
        <w:rPr>
          <w:noProof/>
        </w:rPr>
      </w:pPr>
      <w:hyperlink w:anchor="_Toc274912176" w:history="1">
        <w:r w:rsidRPr="00B835E0">
          <w:rPr>
            <w:rStyle w:val="Hyperlink"/>
            <w:rFonts w:ascii="Times New Roman" w:hAnsi="Times New Roman" w:cs="Times New Roman"/>
            <w:noProof/>
            <w:sz w:val="24"/>
            <w:szCs w:val="24"/>
          </w:rPr>
          <w:t>ii.</w:t>
        </w:r>
        <w:r w:rsidRPr="00B835E0">
          <w:rPr>
            <w:noProof/>
          </w:rPr>
          <w:tab/>
        </w:r>
        <w:r w:rsidRPr="00B835E0">
          <w:rPr>
            <w:rStyle w:val="Hyperlink"/>
            <w:rFonts w:ascii="Times New Roman" w:hAnsi="Times New Roman" w:cs="Times New Roman"/>
            <w:noProof/>
            <w:sz w:val="24"/>
            <w:szCs w:val="24"/>
          </w:rPr>
          <w:t>Billing demand and the availability of certain data to customers and Electric Generation Suppliers</w:t>
        </w:r>
        <w:r w:rsidRPr="00B835E0">
          <w:rPr>
            <w:noProof/>
            <w:webHidden/>
          </w:rPr>
          <w:tab/>
        </w:r>
        <w:r w:rsidRPr="00B835E0">
          <w:rPr>
            <w:noProof/>
            <w:webHidden/>
          </w:rPr>
          <w:fldChar w:fldCharType="begin"/>
        </w:r>
        <w:r w:rsidRPr="00B835E0">
          <w:rPr>
            <w:noProof/>
            <w:webHidden/>
          </w:rPr>
          <w:instrText xml:space="preserve"> PAGEREF _Toc274912176 \h </w:instrText>
        </w:r>
        <w:r w:rsidRPr="00B835E0">
          <w:rPr>
            <w:noProof/>
            <w:webHidden/>
          </w:rPr>
        </w:r>
        <w:r w:rsidRPr="00B835E0">
          <w:rPr>
            <w:noProof/>
            <w:webHidden/>
          </w:rPr>
          <w:fldChar w:fldCharType="separate"/>
        </w:r>
        <w:r w:rsidR="00AB3DA8">
          <w:rPr>
            <w:noProof/>
            <w:webHidden/>
          </w:rPr>
          <w:t>59</w:t>
        </w:r>
        <w:r w:rsidRPr="00B835E0">
          <w:rPr>
            <w:noProof/>
            <w:webHidden/>
          </w:rPr>
          <w:fldChar w:fldCharType="end"/>
        </w:r>
      </w:hyperlink>
    </w:p>
    <w:p w:rsidR="00104992" w:rsidRDefault="00104992">
      <w:pPr>
        <w:pStyle w:val="TOC3"/>
        <w:rPr>
          <w:rFonts w:asciiTheme="minorHAnsi" w:eastAsiaTheme="minorEastAsia" w:hAnsiTheme="minorHAnsi" w:cstheme="minorBidi"/>
          <w:sz w:val="22"/>
          <w:szCs w:val="22"/>
        </w:rPr>
      </w:pPr>
      <w:hyperlink w:anchor="_Toc274912177" w:history="1">
        <w:r w:rsidRPr="00CA0471">
          <w:rPr>
            <w:rStyle w:val="Hyperlink"/>
          </w:rPr>
          <w:t>B.</w:t>
        </w:r>
        <w:r>
          <w:rPr>
            <w:rFonts w:asciiTheme="minorHAnsi" w:eastAsiaTheme="minorEastAsia" w:hAnsiTheme="minorHAnsi" w:cstheme="minorBidi"/>
            <w:sz w:val="22"/>
            <w:szCs w:val="22"/>
          </w:rPr>
          <w:tab/>
        </w:r>
        <w:r w:rsidRPr="00CA0471">
          <w:rPr>
            <w:rStyle w:val="Hyperlink"/>
          </w:rPr>
          <w:t>Net Metering -- SEF</w:t>
        </w:r>
        <w:r>
          <w:rPr>
            <w:webHidden/>
          </w:rPr>
          <w:tab/>
        </w:r>
        <w:r>
          <w:rPr>
            <w:webHidden/>
          </w:rPr>
          <w:fldChar w:fldCharType="begin"/>
        </w:r>
        <w:r>
          <w:rPr>
            <w:webHidden/>
          </w:rPr>
          <w:instrText xml:space="preserve"> PAGEREF _Toc274912177 \h </w:instrText>
        </w:r>
        <w:r>
          <w:rPr>
            <w:webHidden/>
          </w:rPr>
        </w:r>
        <w:r>
          <w:rPr>
            <w:webHidden/>
          </w:rPr>
          <w:fldChar w:fldCharType="separate"/>
        </w:r>
        <w:r w:rsidR="00AB3DA8">
          <w:rPr>
            <w:webHidden/>
          </w:rPr>
          <w:t>62</w:t>
        </w:r>
        <w:r>
          <w:rPr>
            <w:webHidden/>
          </w:rPr>
          <w:fldChar w:fldCharType="end"/>
        </w:r>
      </w:hyperlink>
    </w:p>
    <w:p w:rsidR="00104992" w:rsidRDefault="00104992">
      <w:pPr>
        <w:pStyle w:val="TOC3"/>
        <w:rPr>
          <w:rFonts w:asciiTheme="minorHAnsi" w:eastAsiaTheme="minorEastAsia" w:hAnsiTheme="minorHAnsi" w:cstheme="minorBidi"/>
          <w:sz w:val="22"/>
          <w:szCs w:val="22"/>
        </w:rPr>
      </w:pPr>
      <w:hyperlink w:anchor="_Toc274912178" w:history="1">
        <w:r w:rsidRPr="00CA0471">
          <w:rPr>
            <w:rStyle w:val="Hyperlink"/>
          </w:rPr>
          <w:t>C.</w:t>
        </w:r>
        <w:r>
          <w:rPr>
            <w:rFonts w:asciiTheme="minorHAnsi" w:eastAsiaTheme="minorEastAsia" w:hAnsiTheme="minorHAnsi" w:cstheme="minorBidi"/>
            <w:sz w:val="22"/>
            <w:szCs w:val="22"/>
          </w:rPr>
          <w:tab/>
        </w:r>
        <w:r w:rsidRPr="00CA0471">
          <w:rPr>
            <w:rStyle w:val="Hyperlink"/>
          </w:rPr>
          <w:t>Funding levels for WRAP and HELP programs -- CEO</w:t>
        </w:r>
        <w:r>
          <w:rPr>
            <w:webHidden/>
          </w:rPr>
          <w:tab/>
        </w:r>
        <w:r>
          <w:rPr>
            <w:webHidden/>
          </w:rPr>
          <w:fldChar w:fldCharType="begin"/>
        </w:r>
        <w:r>
          <w:rPr>
            <w:webHidden/>
          </w:rPr>
          <w:instrText xml:space="preserve"> PAGEREF _Toc274912178 \h </w:instrText>
        </w:r>
        <w:r>
          <w:rPr>
            <w:webHidden/>
          </w:rPr>
        </w:r>
        <w:r>
          <w:rPr>
            <w:webHidden/>
          </w:rPr>
          <w:fldChar w:fldCharType="separate"/>
        </w:r>
        <w:r w:rsidR="00AB3DA8">
          <w:rPr>
            <w:webHidden/>
          </w:rPr>
          <w:t>66</w:t>
        </w:r>
        <w:r>
          <w:rPr>
            <w:webHidden/>
          </w:rPr>
          <w:fldChar w:fldCharType="end"/>
        </w:r>
      </w:hyperlink>
    </w:p>
    <w:p w:rsidR="00104992" w:rsidRDefault="00104992">
      <w:pPr>
        <w:pStyle w:val="TOC3"/>
        <w:rPr>
          <w:rFonts w:asciiTheme="minorHAnsi" w:eastAsiaTheme="minorEastAsia" w:hAnsiTheme="minorHAnsi" w:cstheme="minorBidi"/>
          <w:sz w:val="22"/>
          <w:szCs w:val="22"/>
        </w:rPr>
      </w:pPr>
      <w:hyperlink w:anchor="_Toc274912179" w:history="1">
        <w:r w:rsidRPr="00CA0471">
          <w:rPr>
            <w:rStyle w:val="Hyperlink"/>
          </w:rPr>
          <w:t>D.</w:t>
        </w:r>
        <w:r>
          <w:rPr>
            <w:rFonts w:asciiTheme="minorHAnsi" w:eastAsiaTheme="minorEastAsia" w:hAnsiTheme="minorHAnsi" w:cstheme="minorBidi"/>
            <w:sz w:val="22"/>
            <w:szCs w:val="22"/>
          </w:rPr>
          <w:tab/>
        </w:r>
        <w:r w:rsidRPr="00CA0471">
          <w:rPr>
            <w:rStyle w:val="Hyperlink"/>
          </w:rPr>
          <w:t>Purchase of Receivables – RESA</w:t>
        </w:r>
        <w:r>
          <w:rPr>
            <w:webHidden/>
          </w:rPr>
          <w:tab/>
        </w:r>
        <w:r>
          <w:rPr>
            <w:webHidden/>
          </w:rPr>
          <w:fldChar w:fldCharType="begin"/>
        </w:r>
        <w:r>
          <w:rPr>
            <w:webHidden/>
          </w:rPr>
          <w:instrText xml:space="preserve"> PAGEREF _Toc274912179 \h </w:instrText>
        </w:r>
        <w:r>
          <w:rPr>
            <w:webHidden/>
          </w:rPr>
        </w:r>
        <w:r>
          <w:rPr>
            <w:webHidden/>
          </w:rPr>
          <w:fldChar w:fldCharType="separate"/>
        </w:r>
        <w:r w:rsidR="00AB3DA8">
          <w:rPr>
            <w:webHidden/>
          </w:rPr>
          <w:t>70</w:t>
        </w:r>
        <w:r>
          <w:rPr>
            <w:webHidden/>
          </w:rPr>
          <w:fldChar w:fldCharType="end"/>
        </w:r>
      </w:hyperlink>
    </w:p>
    <w:p w:rsidR="00104992" w:rsidRDefault="00104992">
      <w:pPr>
        <w:pStyle w:val="TOC1"/>
        <w:rPr>
          <w:rFonts w:asciiTheme="minorHAnsi" w:eastAsiaTheme="minorEastAsia" w:hAnsiTheme="minorHAnsi" w:cstheme="minorBidi"/>
          <w:noProof/>
          <w:sz w:val="22"/>
          <w:szCs w:val="22"/>
        </w:rPr>
      </w:pPr>
      <w:hyperlink w:anchor="_Toc274912180" w:history="1">
        <w:r w:rsidRPr="00CA0471">
          <w:rPr>
            <w:rStyle w:val="Hyperlink"/>
            <w:noProof/>
            <w:spacing w:val="-3"/>
          </w:rPr>
          <w:t>VI.</w:t>
        </w:r>
        <w:r>
          <w:rPr>
            <w:rFonts w:asciiTheme="minorHAnsi" w:eastAsiaTheme="minorEastAsia" w:hAnsiTheme="minorHAnsi" w:cstheme="minorBidi"/>
            <w:noProof/>
            <w:sz w:val="22"/>
            <w:szCs w:val="22"/>
          </w:rPr>
          <w:tab/>
        </w:r>
        <w:r w:rsidRPr="00CA0471">
          <w:rPr>
            <w:rStyle w:val="Hyperlink"/>
            <w:noProof/>
            <w:spacing w:val="-3"/>
          </w:rPr>
          <w:t>CONCLUSIONS OF LAW</w:t>
        </w:r>
        <w:r>
          <w:rPr>
            <w:noProof/>
            <w:webHidden/>
          </w:rPr>
          <w:tab/>
        </w:r>
        <w:r>
          <w:rPr>
            <w:noProof/>
            <w:webHidden/>
          </w:rPr>
          <w:fldChar w:fldCharType="begin"/>
        </w:r>
        <w:r>
          <w:rPr>
            <w:noProof/>
            <w:webHidden/>
          </w:rPr>
          <w:instrText xml:space="preserve"> PAGEREF _Toc274912180 \h </w:instrText>
        </w:r>
        <w:r>
          <w:rPr>
            <w:noProof/>
            <w:webHidden/>
          </w:rPr>
        </w:r>
        <w:r>
          <w:rPr>
            <w:noProof/>
            <w:webHidden/>
          </w:rPr>
          <w:fldChar w:fldCharType="separate"/>
        </w:r>
        <w:r w:rsidR="00AB3DA8">
          <w:rPr>
            <w:noProof/>
            <w:webHidden/>
          </w:rPr>
          <w:t>102</w:t>
        </w:r>
        <w:r>
          <w:rPr>
            <w:noProof/>
            <w:webHidden/>
          </w:rPr>
          <w:fldChar w:fldCharType="end"/>
        </w:r>
      </w:hyperlink>
    </w:p>
    <w:p w:rsidR="00104992" w:rsidRDefault="00104992">
      <w:pPr>
        <w:pStyle w:val="TOC1"/>
        <w:rPr>
          <w:rFonts w:asciiTheme="minorHAnsi" w:eastAsiaTheme="minorEastAsia" w:hAnsiTheme="minorHAnsi" w:cstheme="minorBidi"/>
          <w:noProof/>
          <w:sz w:val="22"/>
          <w:szCs w:val="22"/>
        </w:rPr>
      </w:pPr>
      <w:hyperlink w:anchor="_Toc274912181" w:history="1">
        <w:r w:rsidRPr="00CA0471">
          <w:rPr>
            <w:rStyle w:val="Hyperlink"/>
            <w:noProof/>
          </w:rPr>
          <w:t>V.</w:t>
        </w:r>
        <w:r>
          <w:rPr>
            <w:rFonts w:asciiTheme="minorHAnsi" w:eastAsiaTheme="minorEastAsia" w:hAnsiTheme="minorHAnsi" w:cstheme="minorBidi"/>
            <w:noProof/>
            <w:sz w:val="22"/>
            <w:szCs w:val="22"/>
          </w:rPr>
          <w:tab/>
        </w:r>
        <w:r w:rsidRPr="00CA0471">
          <w:rPr>
            <w:rStyle w:val="Hyperlink"/>
            <w:noProof/>
          </w:rPr>
          <w:t>ORDER</w:t>
        </w:r>
        <w:r>
          <w:rPr>
            <w:noProof/>
            <w:webHidden/>
          </w:rPr>
          <w:tab/>
        </w:r>
        <w:r>
          <w:rPr>
            <w:noProof/>
            <w:webHidden/>
          </w:rPr>
          <w:fldChar w:fldCharType="begin"/>
        </w:r>
        <w:r>
          <w:rPr>
            <w:noProof/>
            <w:webHidden/>
          </w:rPr>
          <w:instrText xml:space="preserve"> PAGEREF _Toc274912181 \h </w:instrText>
        </w:r>
        <w:r>
          <w:rPr>
            <w:noProof/>
            <w:webHidden/>
          </w:rPr>
        </w:r>
        <w:r>
          <w:rPr>
            <w:noProof/>
            <w:webHidden/>
          </w:rPr>
          <w:fldChar w:fldCharType="separate"/>
        </w:r>
        <w:r w:rsidR="00AB3DA8">
          <w:rPr>
            <w:noProof/>
            <w:webHidden/>
          </w:rPr>
          <w:t>106</w:t>
        </w:r>
        <w:r>
          <w:rPr>
            <w:noProof/>
            <w:webHidden/>
          </w:rPr>
          <w:fldChar w:fldCharType="end"/>
        </w:r>
      </w:hyperlink>
    </w:p>
    <w:p w:rsidR="00915753" w:rsidRDefault="00104992" w:rsidP="00915753">
      <w:pPr>
        <w:jc w:val="left"/>
        <w:sectPr w:rsidR="00915753" w:rsidSect="00C71E16">
          <w:headerReference w:type="first" r:id="rId11"/>
          <w:footerReference w:type="first" r:id="rId12"/>
          <w:pgSz w:w="12240" w:h="15840" w:code="1"/>
          <w:pgMar w:top="1296" w:right="1440" w:bottom="1296" w:left="1440" w:header="720" w:footer="720" w:gutter="0"/>
          <w:pgNumType w:fmt="lowerRoman" w:start="1"/>
          <w:cols w:space="720"/>
          <w:titlePg/>
          <w:docGrid w:linePitch="360"/>
        </w:sectPr>
      </w:pPr>
      <w:r>
        <w:fldChar w:fldCharType="end"/>
      </w:r>
    </w:p>
    <w:p w:rsidR="00915753" w:rsidRPr="00F303E9" w:rsidRDefault="00915753" w:rsidP="00915753">
      <w:r w:rsidRPr="00F303E9">
        <w:lastRenderedPageBreak/>
        <w:t>I.</w:t>
      </w:r>
      <w:r w:rsidRPr="00F303E9">
        <w:tab/>
      </w:r>
      <w:r w:rsidRPr="00F303E9">
        <w:rPr>
          <w:u w:val="single"/>
        </w:rPr>
        <w:t>INTRODUCTION</w:t>
      </w:r>
      <w:r w:rsidR="00CE0415" w:rsidRPr="00F303E9">
        <w:fldChar w:fldCharType="begin"/>
      </w:r>
      <w:r w:rsidRPr="00F303E9">
        <w:instrText xml:space="preserve"> TC "</w:instrText>
      </w:r>
      <w:bookmarkStart w:id="0" w:name="_Toc274905741"/>
      <w:bookmarkStart w:id="1" w:name="_Toc274906151"/>
      <w:bookmarkStart w:id="2" w:name="_Toc274912155"/>
      <w:r w:rsidRPr="00F303E9">
        <w:instrText>I.</w:instrText>
      </w:r>
      <w:r w:rsidRPr="00F303E9">
        <w:tab/>
        <w:instrText>INTRODUCTION</w:instrText>
      </w:r>
      <w:bookmarkEnd w:id="0"/>
      <w:bookmarkEnd w:id="1"/>
      <w:bookmarkEnd w:id="2"/>
      <w:r w:rsidRPr="00F303E9">
        <w:instrText xml:space="preserve">" \f C \l "1" </w:instrText>
      </w:r>
      <w:r w:rsidR="00CE0415" w:rsidRPr="00F303E9">
        <w:fldChar w:fldCharType="end"/>
      </w:r>
    </w:p>
    <w:p w:rsidR="00915753" w:rsidRPr="0022570F" w:rsidRDefault="00915753" w:rsidP="00915753"/>
    <w:p w:rsidR="00915753" w:rsidRDefault="00915753" w:rsidP="00915753">
      <w:pPr>
        <w:ind w:firstLine="1440"/>
        <w:jc w:val="left"/>
      </w:pPr>
      <w:r>
        <w:t xml:space="preserve">Rate cases are rarely without controversy, and this one comes with its share.  This case is the last step in PPL Electric Utility Corporation’s (Company’s) conversion from a fully integrated electric company to the distribution-only company that it was directed to become under the Electric Competition Act, 66 Pa. C.S. § 2801 </w:t>
      </w:r>
      <w:r>
        <w:rPr>
          <w:i/>
        </w:rPr>
        <w:t>et seq</w:t>
      </w:r>
      <w:r>
        <w:t xml:space="preserve">.  While there were two rate cases brought since passage of the Act, they were brought while the generation rate caps, imposed as part of the Company’s restructuring, were still in effect.  When those caps expired on December 31, 2009, the Company, no longer the owner of any generation, supplied power which it had purchased on the open market to its default service customers.  The price of that power was roughly 30% higher than the power the Company had supplied when the generation rate caps were in effect.  The price of the electricity itself is a “pass-through” cost, meaning that the Company charges its customer the price that it pays for the commodity and is not permitted to make a profit on it.  In other words, the increased cost of electricity did not benefit this utility.  </w:t>
      </w:r>
    </w:p>
    <w:p w:rsidR="00915753" w:rsidRDefault="00915753" w:rsidP="00915753">
      <w:pPr>
        <w:jc w:val="left"/>
      </w:pPr>
    </w:p>
    <w:p w:rsidR="00915753" w:rsidRDefault="00915753" w:rsidP="00915753">
      <w:pPr>
        <w:ind w:firstLine="1440"/>
        <w:jc w:val="left"/>
      </w:pPr>
      <w:r>
        <w:t xml:space="preserve">In the meantime, the Company’s first rate case under the Act, in 2004 while the generation rate caps were still in effect, was to raise the rates for only distribution.  As a fully-integrated electric company, PPL had designed rates which created a subsidy from generation to and from certain rate schedules for the benefit of residential customers.  This had kept the rates for residential customers artificially low for many years.  The Act required that customers be charged the amount that it costs the Company to provide the service, and that the cost of the commodity itself be passed through to the customer.  The Commonwealth Court left little doubt that the Act requires each customer class to pay for the electricity used and the cost of providing it to that class, and that the Company is required to work towards this goal.  </w:t>
      </w:r>
    </w:p>
    <w:p w:rsidR="00915753" w:rsidRDefault="00915753" w:rsidP="00915753">
      <w:pPr>
        <w:jc w:val="left"/>
      </w:pPr>
    </w:p>
    <w:p w:rsidR="00915753" w:rsidRDefault="00915753" w:rsidP="00915753">
      <w:pPr>
        <w:ind w:firstLine="1440"/>
        <w:jc w:val="left"/>
      </w:pPr>
      <w:r>
        <w:t xml:space="preserve">The Company declared its intent to achieve rate parity (or near parity) over the course of three rate cases: the remand of the 2004 case, the 2007 case which resulted in a complete settlement, and this case.  The rates proposed here continue to promote the goal but do not quite achieve it.  The parties generally agree that the residential rates would jump too high, and that the ratemaking principles of gradualism and avoidance of rate shock justify the </w:t>
      </w:r>
      <w:r>
        <w:lastRenderedPageBreak/>
        <w:t>remaining subsidy shown by the cost of service studies submitted in this case.  There has been substantial progress made toward the goal, however, over the course of these three cases.</w:t>
      </w:r>
    </w:p>
    <w:p w:rsidR="00915753" w:rsidRDefault="00915753" w:rsidP="00915753">
      <w:pPr>
        <w:ind w:firstLine="1440"/>
        <w:jc w:val="left"/>
      </w:pPr>
    </w:p>
    <w:p w:rsidR="00915753" w:rsidRDefault="00915753" w:rsidP="00915753">
      <w:pPr>
        <w:ind w:firstLine="1440"/>
        <w:jc w:val="left"/>
      </w:pPr>
      <w:r>
        <w:t>Whatever satisfaction could be taken</w:t>
      </w:r>
      <w:r w:rsidR="002F3C7E">
        <w:t xml:space="preserve"> by the parties</w:t>
      </w:r>
      <w:r>
        <w:t xml:space="preserve"> from diligently working towards the goal set by the Legislature in the Electric Competition Act is more than mitigated by the hardship that rising rates cause as expressed by the Company’s customers when faced with the possibility of another increase in the electric bills so close on the heels of the generation rate cap expiration on December 31, 2009.  Although the participation at the five public input hearings held in June, 2010, was not particularly high, the testimony was universally and vehemently against the proposal.  This rate case has the distinction of being brought in a time of economic downturn, when prices and unemployment are high, and social security is not being increased.  In addition, over 450 consumers</w:t>
      </w:r>
      <w:r w:rsidRPr="00D35627">
        <w:rPr>
          <w:rStyle w:val="FootnoteReference"/>
          <w:vertAlign w:val="superscript"/>
        </w:rPr>
        <w:footnoteReference w:id="1"/>
      </w:r>
      <w:r>
        <w:t xml:space="preserve"> took advantage of the Commission’s acceptance of informal comments and used their own or the Commission’s “Objection or Comments to Proposed Rate Increase Form” on the website and filed these with their own stories and objections.</w:t>
      </w:r>
      <w:r w:rsidRPr="00D35627">
        <w:rPr>
          <w:rStyle w:val="FootnoteReference"/>
          <w:vertAlign w:val="superscript"/>
        </w:rPr>
        <w:footnoteReference w:id="2"/>
      </w:r>
      <w:r>
        <w:t xml:space="preserve">  While these are informal and not part of the official record, they do provide a firm indication of the general response to this proposed rate increase in the customer base.</w:t>
      </w:r>
      <w:r w:rsidRPr="00D35627">
        <w:rPr>
          <w:rStyle w:val="FootnoteReference"/>
          <w:vertAlign w:val="superscript"/>
        </w:rPr>
        <w:footnoteReference w:id="3"/>
      </w:r>
      <w:r w:rsidRPr="00D35627">
        <w:rPr>
          <w:vertAlign w:val="superscript"/>
        </w:rPr>
        <w:t xml:space="preserve"> </w:t>
      </w:r>
      <w:r>
        <w:t xml:space="preserve"> Roughly 75 of these were referred to the Company for evaluation and determination whether they qualified for a PPL customer assistance program.  The Company indicated in testimony that each had been evaluated and most were referred to its WRAP program.  PPL Electric Stmt. 9-R at 25.  </w:t>
      </w:r>
    </w:p>
    <w:p w:rsidR="00915753" w:rsidRDefault="00915753" w:rsidP="00915753">
      <w:pPr>
        <w:jc w:val="left"/>
      </w:pPr>
    </w:p>
    <w:p w:rsidR="00915753" w:rsidRDefault="00915753" w:rsidP="00915753">
      <w:pPr>
        <w:ind w:firstLine="1440"/>
        <w:jc w:val="left"/>
      </w:pPr>
      <w:r>
        <w:t xml:space="preserve">Consumer contact in this case serves as a sharp reminder that the decisions made in Harrisburg within the walls of the Commonwealth Keystone Building are not simply paper exercises.  They affect the daily decisions of each of the Company’s 1.4 million customers and can affect their quality of life.  These customers have indicated that they have lost faith in </w:t>
      </w:r>
    </w:p>
    <w:p w:rsidR="00915753" w:rsidRDefault="00915753" w:rsidP="00915753">
      <w:pPr>
        <w:spacing w:line="240" w:lineRule="auto"/>
        <w:jc w:val="left"/>
      </w:pPr>
      <w:r>
        <w:br w:type="page"/>
      </w:r>
    </w:p>
    <w:p w:rsidR="00915753" w:rsidRDefault="00915753" w:rsidP="006D3A42">
      <w:pPr>
        <w:jc w:val="left"/>
      </w:pPr>
      <w:r>
        <w:lastRenderedPageBreak/>
        <w:t>government and believe that this Commission, in particular, merely rubber stamps what the utilities want because rate increases are usually gran</w:t>
      </w:r>
      <w:r w:rsidR="002F3C7E">
        <w:t>ted, albeit at a lower level than</w:t>
      </w:r>
      <w:r>
        <w:t xml:space="preserve"> originally sought.  </w:t>
      </w:r>
    </w:p>
    <w:p w:rsidR="00915753" w:rsidRDefault="00915753" w:rsidP="006D3A42">
      <w:pPr>
        <w:ind w:firstLine="1440"/>
        <w:jc w:val="left"/>
      </w:pPr>
    </w:p>
    <w:p w:rsidR="00915753" w:rsidRDefault="00915753" w:rsidP="006D3A42">
      <w:pPr>
        <w:ind w:right="-180" w:firstLine="1440"/>
        <w:jc w:val="left"/>
      </w:pPr>
      <w:r>
        <w:t>Numerous individuals charged that the Commission is not serving the people, just the utility</w:t>
      </w:r>
      <w:r w:rsidR="002F3C7E">
        <w:t>.</w:t>
      </w:r>
      <w:r>
        <w:t xml:space="preserve">  The Commission does not and cannot serve only the customers here.  Rather, the Commission is charged with achieving a balance between the utility and the customers.  The utility must be permitted to remain healthy financially in order to attract affordable capital for improvements and to provide the safe, reasonable and adequate service that every Pennsylvania citizen deserves.  On the other side, the rates must be reasonable, too, because there is no point in being able to provide adequate service if no one can afford to pay for it.  </w:t>
      </w:r>
    </w:p>
    <w:p w:rsidR="00915753" w:rsidRDefault="00915753" w:rsidP="00915753">
      <w:pPr>
        <w:jc w:val="left"/>
      </w:pPr>
    </w:p>
    <w:p w:rsidR="00915753" w:rsidRDefault="00915753" w:rsidP="00915753">
      <w:pPr>
        <w:ind w:firstLine="1440"/>
        <w:jc w:val="left"/>
      </w:pPr>
      <w:r>
        <w:t xml:space="preserve">To help the Commission to achieve this balance, the Legislature created the Office of Consumer Advocate and the Office of Small Business Advocate to evaluate the utility’s filings with the welfare of consumers and small businesses in mind.  The Commission has its Office of Trial Staff to look at the filing from the point of view of the public interest.  Numerous private parties participate to evaluate the filing from the point of view of large industrial customers, electric generation suppliers, and other interests.  These parties pore over the Company’s claims and promulgate as much discovery as the time period for rate cases permits.  Then and only then, they present the Commission with their opinions and their own expert testimony.  </w:t>
      </w:r>
    </w:p>
    <w:p w:rsidR="00915753" w:rsidRDefault="00915753" w:rsidP="00915753">
      <w:pPr>
        <w:ind w:firstLine="1440"/>
        <w:jc w:val="left"/>
      </w:pPr>
    </w:p>
    <w:p w:rsidR="00915753" w:rsidRDefault="00915753" w:rsidP="00915753">
      <w:pPr>
        <w:ind w:firstLine="1440"/>
        <w:jc w:val="left"/>
      </w:pPr>
      <w:r>
        <w:t xml:space="preserve">The result is a fair evaluation of the Company’s claims.  Here, the parties have settled upon a revenue requirement that is less than the amount originally requested.  The Company explained that the infrastructure must be replaced from time to time, and </w:t>
      </w:r>
      <w:r w:rsidR="002F3C7E">
        <w:t xml:space="preserve">that </w:t>
      </w:r>
      <w:r>
        <w:t>electricity is too dangerous to provide anything but safe service.  In addition:</w:t>
      </w:r>
    </w:p>
    <w:p w:rsidR="00915753" w:rsidRDefault="00915753" w:rsidP="008228F6">
      <w:pPr>
        <w:ind w:left="1440" w:right="1440"/>
        <w:jc w:val="left"/>
      </w:pPr>
    </w:p>
    <w:p w:rsidR="00915753" w:rsidRDefault="00915753" w:rsidP="00915753">
      <w:pPr>
        <w:spacing w:line="240" w:lineRule="auto"/>
        <w:ind w:left="1440" w:right="1440" w:firstLine="720"/>
        <w:jc w:val="left"/>
      </w:pPr>
      <w:r>
        <w:t xml:space="preserve">The company does not ask for rate increases as the first option.  It’s the last option.  This company agonized over filing this case for many, many months.  And it’s only a last resort when the company feels that in order to improve and provide safe and reliable service to customers and to raise the money in the capital markets we need to do that, that we have to file for a rate increase.  </w:t>
      </w:r>
      <w:r>
        <w:lastRenderedPageBreak/>
        <w:t xml:space="preserve">And we don’t do it lightly and we understand the impact it has on our customers. </w:t>
      </w:r>
    </w:p>
    <w:p w:rsidR="00915753" w:rsidRDefault="00915753" w:rsidP="00915753">
      <w:pPr>
        <w:spacing w:line="240" w:lineRule="auto"/>
        <w:ind w:left="1440" w:right="1440"/>
        <w:jc w:val="left"/>
      </w:pPr>
    </w:p>
    <w:p w:rsidR="00915753" w:rsidRDefault="00915753" w:rsidP="00915753">
      <w:pPr>
        <w:ind w:left="1440" w:right="1440" w:hanging="1440"/>
        <w:jc w:val="left"/>
      </w:pPr>
      <w:r>
        <w:t>Tr. 195 (comments of Company counsel at public input hearing).</w:t>
      </w:r>
    </w:p>
    <w:p w:rsidR="00915753" w:rsidRDefault="00915753" w:rsidP="00915753">
      <w:pPr>
        <w:jc w:val="left"/>
      </w:pPr>
    </w:p>
    <w:p w:rsidR="00915753" w:rsidRDefault="00915753" w:rsidP="00915753">
      <w:pPr>
        <w:ind w:firstLine="1440"/>
        <w:jc w:val="left"/>
      </w:pPr>
      <w:r>
        <w:t>With the understanding that, just as the costs of materials and service in the homes of the customers have risen, so have the cost incurred by the companies providing service, this Recommended Decision does two things:  it recommends that the Commission approve the Joint Petition for Partial Settlement and addresses the remainder of the issues as presented by the parties.</w:t>
      </w:r>
    </w:p>
    <w:p w:rsidR="00915753" w:rsidRDefault="00915753" w:rsidP="00915753">
      <w:pPr>
        <w:jc w:val="left"/>
      </w:pPr>
    </w:p>
    <w:p w:rsidR="00915753" w:rsidRPr="00B33995" w:rsidRDefault="00915753" w:rsidP="00915753">
      <w:pPr>
        <w:rPr>
          <w:u w:val="single"/>
        </w:rPr>
      </w:pPr>
      <w:r w:rsidRPr="0022570F">
        <w:t>II.</w:t>
      </w:r>
      <w:r>
        <w:tab/>
      </w:r>
      <w:r>
        <w:rPr>
          <w:u w:val="single"/>
        </w:rPr>
        <w:t>HISTORY OF THE PROCEEDINGS</w:t>
      </w:r>
      <w:r w:rsidR="00CE0415">
        <w:rPr>
          <w:u w:val="single"/>
        </w:rPr>
        <w:fldChar w:fldCharType="begin"/>
      </w:r>
      <w:r>
        <w:instrText xml:space="preserve"> TC "</w:instrText>
      </w:r>
      <w:bookmarkStart w:id="3" w:name="_Toc274905742"/>
      <w:bookmarkStart w:id="4" w:name="_Toc274906152"/>
      <w:bookmarkStart w:id="5" w:name="_Toc274912156"/>
      <w:r w:rsidRPr="00B06375">
        <w:instrText>II.</w:instrText>
      </w:r>
      <w:r w:rsidRPr="00B06375">
        <w:tab/>
      </w:r>
      <w:r w:rsidRPr="00B06375">
        <w:rPr>
          <w:u w:val="single"/>
        </w:rPr>
        <w:instrText>HISTORY OF THE PROCEEDINGS</w:instrText>
      </w:r>
      <w:bookmarkEnd w:id="3"/>
      <w:bookmarkEnd w:id="4"/>
      <w:bookmarkEnd w:id="5"/>
      <w:r>
        <w:instrText xml:space="preserve">" \f C \l "1" </w:instrText>
      </w:r>
      <w:r w:rsidR="00CE0415">
        <w:rPr>
          <w:u w:val="single"/>
        </w:rPr>
        <w:fldChar w:fldCharType="end"/>
      </w:r>
    </w:p>
    <w:p w:rsidR="00915753" w:rsidRDefault="00915753" w:rsidP="00915753"/>
    <w:p w:rsidR="00915753" w:rsidRDefault="00915753" w:rsidP="00915753">
      <w:pPr>
        <w:ind w:firstLine="1440"/>
        <w:jc w:val="left"/>
      </w:pPr>
      <w:r>
        <w:t xml:space="preserve">On March 31, 2010, PPL Electric Utilities Corporation filed its Supplement No. 83 to Tariff Electric – Pa. P.U.C. No. 201 (Supplement No. 54) to become effective June 1, 2010, seeking Commission approval of rates and rate changes that would modify existing tariff provisions and increase the level of rates charged for providing electric distribution service.  </w:t>
      </w:r>
    </w:p>
    <w:p w:rsidR="00915753" w:rsidRDefault="00915753" w:rsidP="00915753">
      <w:pPr>
        <w:ind w:firstLine="1440"/>
        <w:jc w:val="left"/>
      </w:pPr>
    </w:p>
    <w:p w:rsidR="00915753" w:rsidRDefault="00915753" w:rsidP="00915753">
      <w:pPr>
        <w:ind w:firstLine="1440"/>
        <w:jc w:val="left"/>
      </w:pPr>
      <w:r>
        <w:t xml:space="preserve">Formal complaints against the proposed rate increase were filed by the Office of Consumer Advocate (OCA); Office of Small Business Advocate (OSBA); PP&amp;L Industrial Customer Alliance (PPLICA); Elaine &amp; Clayton Andrews, Jr.; Ashley A. Buck; Donald L. Foreman (note that Mr. Foreman withdrew his Complaint on May 10, 2010); Eric J. Epstein; Stephen F. Goldstein; Peter Grieger; William P. Hart; Linda M. Johnson; Gerard Martin; Eugene R. Ruoff; Elaine B. Santarelli (Ms. Santarelli withdrew her Complaint by letter dated October 4, 2010); George R. Snyder; Shannon Stiffler; and Whitehall Township.  </w:t>
      </w:r>
    </w:p>
    <w:p w:rsidR="00915753" w:rsidRDefault="00915753" w:rsidP="00915753">
      <w:pPr>
        <w:ind w:firstLine="1440"/>
        <w:jc w:val="left"/>
      </w:pPr>
    </w:p>
    <w:p w:rsidR="00915753" w:rsidRDefault="00915753" w:rsidP="00915753">
      <w:pPr>
        <w:ind w:firstLine="1440"/>
        <w:jc w:val="left"/>
      </w:pPr>
      <w:r>
        <w:t xml:space="preserve">A prehearing conference was scheduled for and held on Wednesday, May 26, 2010 in Harrisburg.  Petitions to intervene filed by the following were granted:  Commission on Economic Opportunity (CEO); Dominion Retail, Inc., and Sustainable Energy Fund of Central Eastern Pennsylvania (SEF); International Brotherhood of Electrical Workers, Local 1600 (IBEW); Richards Energy Group; Citizens for Pennsylvania’s Future (PennFuture); Retail </w:t>
      </w:r>
      <w:r>
        <w:lastRenderedPageBreak/>
        <w:t xml:space="preserve">Energy Supply Association (RESA).  A petition to intervene filed by Washington Gas Energy Services was not addressed as the time for filing a response had not run. </w:t>
      </w:r>
    </w:p>
    <w:p w:rsidR="00915753" w:rsidRDefault="00915753" w:rsidP="00915753">
      <w:pPr>
        <w:jc w:val="left"/>
      </w:pPr>
    </w:p>
    <w:p w:rsidR="00915753" w:rsidRDefault="00915753" w:rsidP="00915753">
      <w:pPr>
        <w:ind w:firstLine="1440"/>
        <w:jc w:val="left"/>
      </w:pPr>
      <w:r>
        <w:t xml:space="preserve">Office of Trial Staff (OTS) filed a Notice of Intervention.  </w:t>
      </w:r>
    </w:p>
    <w:p w:rsidR="00915753" w:rsidRDefault="00915753" w:rsidP="00915753">
      <w:pPr>
        <w:jc w:val="left"/>
      </w:pPr>
    </w:p>
    <w:p w:rsidR="00915753" w:rsidRDefault="00915753" w:rsidP="00915753">
      <w:pPr>
        <w:ind w:firstLine="1440"/>
        <w:jc w:val="left"/>
      </w:pPr>
      <w:r>
        <w:t xml:space="preserve">The parties agreed upon a litigation schedule, and upon modifications to the Commission’s discovery regulations, which were adopted in the Scheduling Order issued </w:t>
      </w:r>
    </w:p>
    <w:p w:rsidR="00915753" w:rsidRDefault="00915753" w:rsidP="00915753">
      <w:pPr>
        <w:jc w:val="left"/>
      </w:pPr>
      <w:r>
        <w:t xml:space="preserve">May 27, 2010.  </w:t>
      </w:r>
    </w:p>
    <w:p w:rsidR="00915753" w:rsidRDefault="00915753" w:rsidP="00915753">
      <w:pPr>
        <w:jc w:val="left"/>
      </w:pPr>
    </w:p>
    <w:p w:rsidR="00915753" w:rsidRDefault="00915753" w:rsidP="00915753">
      <w:pPr>
        <w:tabs>
          <w:tab w:val="left" w:pos="2160"/>
        </w:tabs>
        <w:ind w:firstLine="1440"/>
        <w:jc w:val="left"/>
      </w:pPr>
      <w:r>
        <w:t>Public input hearings were scheduled and held in Scranton and Wilkes-Barre on June 14, 2010, in Bethlehem and Allentown on June 21, 2010, and in Harrisburg on June 23, 2010.</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On June 21, 2010, PPL filed Objections to the Interrogatories and Requests for Production of Documents Propounded by Citizens for Pennsylvania’s Future – Set I, stating that they were not relevant to the case nor were they likely to lead to the discovery of relevant, admissible evidence.</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 xml:space="preserve">On June 24, 2010, PennFuture filed a Motion to Direct the Answering of Interrogatories against PPL seeking a directive to the Company to answer its first set of interrogatories.  Following a conference call on June 24, 2010, to permit argument on the Motion, an Order was issued denying it.  </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No response was filed to the Petition to Intervene filed by Washington Gas Energy Services.  It was denied by Initial Decision due to the entity’s failure to provide proof of required legal representation.</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Parties other than the Company served direct testimony and accompanying exhibits on June 29, 2010, and PPL Electric served supplemental testimony to address issues r</w:t>
      </w:r>
      <w:r w:rsidR="004E7CF8">
        <w:t>aised by the Commission in its S</w:t>
      </w:r>
      <w:r>
        <w:t xml:space="preserve">uspension Order.  On July 27, 2010, rebuttal testimony and </w:t>
      </w:r>
      <w:r>
        <w:lastRenderedPageBreak/>
        <w:t>exhibits w</w:t>
      </w:r>
      <w:r w:rsidR="004E7CF8">
        <w:t>ere served, and on August 9, 2010</w:t>
      </w:r>
      <w:r>
        <w:t xml:space="preserve">, PPL Electric served rejoinder testimony and exhibits.  </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 xml:space="preserve">The evidentiary hearing was held on August 11, 2010 for the following purposes:  (1) to support the partial settlement; (2) to provide evidence for the issues not settled; and (3) to hear the testimony of complainant Elaine Andrews, whose complaint had been treated as informal when it should have been formal, in order to provide due process to her. </w:t>
      </w:r>
      <w:r w:rsidRPr="00EB6EC4">
        <w:rPr>
          <w:rStyle w:val="FootnoteReference"/>
          <w:vertAlign w:val="superscript"/>
        </w:rPr>
        <w:footnoteReference w:id="4"/>
      </w:r>
      <w:r>
        <w:t xml:space="preserve"> </w:t>
      </w:r>
    </w:p>
    <w:p w:rsidR="00915753" w:rsidRDefault="00915753" w:rsidP="00915753">
      <w:pPr>
        <w:tabs>
          <w:tab w:val="left" w:pos="2160"/>
        </w:tabs>
        <w:ind w:firstLine="1440"/>
        <w:jc w:val="left"/>
      </w:pPr>
    </w:p>
    <w:p w:rsidR="00915753" w:rsidRDefault="00915753" w:rsidP="00915753">
      <w:pPr>
        <w:tabs>
          <w:tab w:val="left" w:pos="2160"/>
        </w:tabs>
        <w:ind w:firstLine="1440"/>
        <w:jc w:val="left"/>
      </w:pPr>
      <w:r>
        <w:t>On August 26, 2010, the following parties filed a Joint Petition for Partial Settlement and various statements in support:  PPL Electric, OCA, Richards Energy Group, Inc., OTS.  PPLICA, Dominion Retail, Inc., CEO, OSBA, SEF, Mr. Epstein, PennFuture and RESA did not oppose it.  The certificate of service indicates that it was served upon all parties of record, including the formal pro se complainants.  A letter indicating that the remaining formal complainants had until October 8, 2010, to file comments in writing was sent September 28, 2010, along with another copy of the Joint Petition for Partial Settlement.  No comments were received.  For the remainder of the issues, main briefs were filed on September 3, 2010, and reply briefs on September 14, 2010.  The record closed upon their receipt.  The matter is ready for resolution.</w:t>
      </w:r>
    </w:p>
    <w:p w:rsidR="00915753" w:rsidRDefault="00915753" w:rsidP="00915753">
      <w:pPr>
        <w:jc w:val="left"/>
      </w:pPr>
    </w:p>
    <w:p w:rsidR="00915753" w:rsidRPr="00561DC1" w:rsidRDefault="00915753" w:rsidP="00915753">
      <w:pPr>
        <w:rPr>
          <w:u w:val="single"/>
        </w:rPr>
      </w:pPr>
      <w:r w:rsidRPr="0032595D">
        <w:t>II</w:t>
      </w:r>
      <w:r>
        <w:t>I</w:t>
      </w:r>
      <w:r w:rsidRPr="0032595D">
        <w:t>.</w:t>
      </w:r>
      <w:r w:rsidRPr="0032595D">
        <w:tab/>
      </w:r>
      <w:r>
        <w:rPr>
          <w:u w:val="single"/>
        </w:rPr>
        <w:t>FINDINGS OF FACT</w:t>
      </w:r>
      <w:r w:rsidR="00585865">
        <w:rPr>
          <w:u w:val="single"/>
        </w:rPr>
        <w:fldChar w:fldCharType="begin"/>
      </w:r>
      <w:r w:rsidR="00585865">
        <w:instrText xml:space="preserve"> TC "</w:instrText>
      </w:r>
      <w:bookmarkStart w:id="6" w:name="_Toc274912157"/>
      <w:r w:rsidR="00585865" w:rsidRPr="00A86958">
        <w:instrText>III.</w:instrText>
      </w:r>
      <w:r w:rsidR="00585865" w:rsidRPr="00A86958">
        <w:tab/>
      </w:r>
      <w:r w:rsidR="00585865" w:rsidRPr="00A86958">
        <w:rPr>
          <w:u w:val="single"/>
        </w:rPr>
        <w:instrText>FINDINGS OF FACT</w:instrText>
      </w:r>
      <w:bookmarkEnd w:id="6"/>
      <w:r w:rsidR="00585865">
        <w:instrText xml:space="preserve">" \f C \l "1" </w:instrText>
      </w:r>
      <w:r w:rsidR="00585865">
        <w:rPr>
          <w:u w:val="single"/>
        </w:rPr>
        <w:fldChar w:fldCharType="end"/>
      </w:r>
    </w:p>
    <w:p w:rsidR="00915753" w:rsidRDefault="00915753" w:rsidP="00915753">
      <w:pPr>
        <w:jc w:val="left"/>
      </w:pPr>
    </w:p>
    <w:p w:rsidR="00915753" w:rsidRDefault="00915753" w:rsidP="00915753">
      <w:pPr>
        <w:jc w:val="left"/>
      </w:pPr>
      <w:r>
        <w:tab/>
      </w:r>
      <w:r>
        <w:tab/>
        <w:t>The first eleven Findings of Fact are Paragraphs 21 through 31 of the Joint Petition for Partial Settlement.  The corresponding paragraphs are provided in parentheses.</w:t>
      </w:r>
    </w:p>
    <w:p w:rsidR="00915753" w:rsidRDefault="00915753" w:rsidP="00915753">
      <w:pPr>
        <w:spacing w:line="240" w:lineRule="auto"/>
        <w:jc w:val="left"/>
      </w:pPr>
    </w:p>
    <w:p w:rsidR="00915753" w:rsidRPr="00270D27" w:rsidRDefault="00915753" w:rsidP="00BF4DB5">
      <w:pPr>
        <w:pStyle w:val="Pleading2L1"/>
        <w:keepNext/>
        <w:keepLines/>
        <w:numPr>
          <w:ilvl w:val="0"/>
          <w:numId w:val="0"/>
        </w:numPr>
        <w:spacing w:before="240" w:line="360" w:lineRule="auto"/>
        <w:jc w:val="left"/>
        <w:rPr>
          <w:b w:val="0"/>
        </w:rPr>
      </w:pPr>
      <w:r w:rsidRPr="002A4D71">
        <w:rPr>
          <w:b w:val="0"/>
          <w:u w:val="none"/>
        </w:rPr>
        <w:t>1.</w:t>
      </w:r>
      <w:r w:rsidRPr="002A4D71">
        <w:rPr>
          <w:b w:val="0"/>
          <w:u w:val="none"/>
        </w:rPr>
        <w:tab/>
      </w:r>
      <w:r w:rsidRPr="00270D27">
        <w:rPr>
          <w:b w:val="0"/>
        </w:rPr>
        <w:t>SETTLEMENT PROVISIONS</w:t>
      </w:r>
      <w:r w:rsidR="00CE0415">
        <w:rPr>
          <w:b w:val="0"/>
        </w:rPr>
        <w:fldChar w:fldCharType="begin"/>
      </w:r>
      <w:r>
        <w:instrText xml:space="preserve"> TC "</w:instrText>
      </w:r>
      <w:bookmarkStart w:id="7" w:name="_Toc274905745"/>
      <w:bookmarkStart w:id="8" w:name="_Toc274906155"/>
      <w:bookmarkStart w:id="9" w:name="_Toc274912158"/>
      <w:r w:rsidRPr="00AF530F">
        <w:rPr>
          <w:b w:val="0"/>
          <w:u w:val="none"/>
        </w:rPr>
        <w:instrText>1.</w:instrText>
      </w:r>
      <w:r w:rsidRPr="00AF530F">
        <w:rPr>
          <w:b w:val="0"/>
          <w:u w:val="none"/>
        </w:rPr>
        <w:tab/>
      </w:r>
      <w:r w:rsidRPr="00AF530F">
        <w:rPr>
          <w:b w:val="0"/>
        </w:rPr>
        <w:instrText>SETTLEMENT PROVISIONS</w:instrText>
      </w:r>
      <w:bookmarkEnd w:id="7"/>
      <w:bookmarkEnd w:id="8"/>
      <w:bookmarkEnd w:id="9"/>
      <w:r>
        <w:instrText xml:space="preserve">" \f C \l "2" </w:instrText>
      </w:r>
      <w:r w:rsidR="00CE0415">
        <w:rPr>
          <w:b w:val="0"/>
        </w:rPr>
        <w:fldChar w:fldCharType="end"/>
      </w:r>
      <w:r w:rsidRPr="00270D27">
        <w:rPr>
          <w:b w:val="0"/>
        </w:rPr>
        <w:t xml:space="preserve">  </w:t>
      </w:r>
    </w:p>
    <w:p w:rsidR="00915753" w:rsidRDefault="00915753" w:rsidP="00BF4DB5">
      <w:pPr>
        <w:pStyle w:val="Pleading2L3"/>
        <w:numPr>
          <w:ilvl w:val="0"/>
          <w:numId w:val="0"/>
        </w:numPr>
        <w:spacing w:line="360" w:lineRule="auto"/>
        <w:ind w:left="1440" w:right="1440" w:firstLine="720"/>
        <w:contextualSpacing/>
      </w:pPr>
      <w:r>
        <w:t xml:space="preserve">The Joint Petitioners, as to their respective interests, agree that, except as follows, PPL Electric’s filing is approved:  </w:t>
      </w:r>
    </w:p>
    <w:p w:rsidR="00915753" w:rsidRDefault="00915753" w:rsidP="00915753">
      <w:pPr>
        <w:pStyle w:val="Pleading2L3"/>
        <w:numPr>
          <w:ilvl w:val="0"/>
          <w:numId w:val="0"/>
        </w:numPr>
        <w:spacing w:line="360" w:lineRule="auto"/>
        <w:ind w:left="1440" w:right="1440" w:firstLine="720"/>
        <w:contextualSpacing/>
      </w:pPr>
    </w:p>
    <w:p w:rsidR="00915753" w:rsidRDefault="00915753" w:rsidP="00915753">
      <w:pPr>
        <w:spacing w:line="240" w:lineRule="auto"/>
        <w:jc w:val="left"/>
        <w:rPr>
          <w:rFonts w:eastAsia="Times New Roman"/>
          <w:szCs w:val="20"/>
          <w:u w:val="single"/>
        </w:rPr>
      </w:pPr>
      <w:r>
        <w:rPr>
          <w:u w:val="single"/>
        </w:rPr>
        <w:br w:type="page"/>
      </w:r>
    </w:p>
    <w:p w:rsidR="00915753" w:rsidRPr="00486D68" w:rsidRDefault="00915753" w:rsidP="00915753">
      <w:pPr>
        <w:pStyle w:val="Pleading2L2"/>
        <w:tabs>
          <w:tab w:val="clear" w:pos="2250"/>
          <w:tab w:val="num" w:pos="2160"/>
          <w:tab w:val="left" w:pos="2880"/>
        </w:tabs>
        <w:spacing w:line="240" w:lineRule="auto"/>
        <w:ind w:left="1440" w:right="1440"/>
        <w:contextualSpacing/>
        <w:rPr>
          <w:u w:val="single"/>
        </w:rPr>
      </w:pPr>
      <w:r w:rsidRPr="00486D68">
        <w:rPr>
          <w:u w:val="single"/>
        </w:rPr>
        <w:lastRenderedPageBreak/>
        <w:t>Revenue Requirement</w:t>
      </w:r>
      <w:r w:rsidR="00CE0415" w:rsidRPr="00486D68">
        <w:rPr>
          <w:u w:val="single"/>
        </w:rPr>
        <w:fldChar w:fldCharType="begin"/>
      </w:r>
      <w:r w:rsidRPr="00486D68">
        <w:rPr>
          <w:u w:val="single"/>
        </w:rPr>
        <w:instrText xml:space="preserve"> TC "</w:instrText>
      </w:r>
      <w:bookmarkStart w:id="10" w:name="_Toc274905746"/>
      <w:bookmarkStart w:id="11" w:name="_Toc274906156"/>
      <w:bookmarkStart w:id="12" w:name="_Toc274912159"/>
      <w:r w:rsidRPr="00486D68">
        <w:rPr>
          <w:u w:val="single"/>
        </w:rPr>
        <w:instrText>REVENUE REQUIREMENT</w:instrText>
      </w:r>
      <w:bookmarkEnd w:id="10"/>
      <w:bookmarkEnd w:id="11"/>
      <w:bookmarkEnd w:id="12"/>
      <w:r w:rsidRPr="00486D68">
        <w:rPr>
          <w:u w:val="single"/>
        </w:rPr>
        <w:instrText xml:space="preserve">" \f C \l "3" </w:instrText>
      </w:r>
      <w:r w:rsidR="00CE0415" w:rsidRPr="00486D68">
        <w:rPr>
          <w:u w:val="single"/>
        </w:rPr>
        <w:fldChar w:fldCharType="end"/>
      </w:r>
    </w:p>
    <w:p w:rsidR="00915753" w:rsidRDefault="00915753" w:rsidP="00915753">
      <w:pPr>
        <w:pStyle w:val="Pleading2L2"/>
        <w:numPr>
          <w:ilvl w:val="0"/>
          <w:numId w:val="0"/>
        </w:numPr>
        <w:tabs>
          <w:tab w:val="num" w:pos="2160"/>
          <w:tab w:val="num" w:pos="2250"/>
          <w:tab w:val="left" w:pos="2880"/>
        </w:tabs>
        <w:spacing w:line="360" w:lineRule="auto"/>
        <w:ind w:left="1440" w:right="1440" w:hanging="720"/>
        <w:contextualSpacing/>
        <w:rPr>
          <w:b/>
        </w:rPr>
      </w:pPr>
    </w:p>
    <w:p w:rsidR="00915753" w:rsidRDefault="00915753" w:rsidP="00915753">
      <w:pPr>
        <w:pStyle w:val="Pleading2L3"/>
        <w:tabs>
          <w:tab w:val="clear" w:pos="2970"/>
        </w:tabs>
        <w:spacing w:line="240" w:lineRule="auto"/>
        <w:ind w:left="2160" w:right="1440"/>
        <w:contextualSpacing/>
      </w:pPr>
      <w:r>
        <w:t xml:space="preserve">(JP¶ 21)  PPL Electric will be permitted to submit a revised supplement to PPL Electric’s Tariff – Electric Pa. P.U.C. No. 201 designed to produce an annual distribution rate revenue increase of approximately $77.5 million, to become effective for service rendered on and after January 1, 2011.  This increase in annual operating revenue is in lieu of the requested increase of approximately $114.7 million.  As explained below, certain issues raised in this proceeding are reserved for litigation.  It is the understanding of the Parties that the resolutions of the issues reserved for litigation will not result in any change to the increase in annual distribution operating revenues of $77.5 million agreed to above.    </w:t>
      </w:r>
    </w:p>
    <w:p w:rsidR="00915753" w:rsidRDefault="00915753" w:rsidP="00915753">
      <w:pPr>
        <w:pStyle w:val="Pleading2L3"/>
        <w:numPr>
          <w:ilvl w:val="0"/>
          <w:numId w:val="0"/>
        </w:numPr>
        <w:tabs>
          <w:tab w:val="left" w:pos="1440"/>
          <w:tab w:val="num" w:pos="2160"/>
          <w:tab w:val="left" w:pos="2880"/>
        </w:tabs>
        <w:spacing w:line="240" w:lineRule="auto"/>
        <w:ind w:left="2160" w:right="1440" w:hanging="720"/>
        <w:contextualSpacing/>
      </w:pPr>
    </w:p>
    <w:p w:rsidR="00915753" w:rsidRDefault="00915753" w:rsidP="00915753">
      <w:pPr>
        <w:pStyle w:val="Pleading2L3"/>
        <w:tabs>
          <w:tab w:val="clear" w:pos="2970"/>
        </w:tabs>
        <w:spacing w:line="240" w:lineRule="auto"/>
        <w:ind w:left="2160" w:right="1440"/>
        <w:contextualSpacing/>
      </w:pPr>
      <w:r>
        <w:t>(JP¶2)  The settlement as to revenue requirement shall be a “black box” settlement, except for the following items:  (a) the settlement rates include PPL Electric’s proposed storm insurance premiums; (b) the settlement rates include the Company’s claim for Company Use generation supply; (c) the settlement rates reflect the adoption of the tax accounting method provided for in Regulation Section 1.162-4 of the Internal Revenue Service regarding repair allowance as explained in Mr. Kleha’s testimonies; and (d) the settlement rates include $5.09 million of customer education costs discussed in Mr. Krall’s rebuttal testimony and do not reflect the $39,000 of education and marketing for the Company’s time-of-use rates identified in SEF’s testimony.</w:t>
      </w:r>
      <w:r>
        <w:rPr>
          <w:rStyle w:val="FootnoteReference"/>
          <w:vertAlign w:val="superscript"/>
        </w:rPr>
        <w:footnoteReference w:id="5"/>
      </w:r>
      <w:r>
        <w:t xml:space="preserve">  </w:t>
      </w:r>
    </w:p>
    <w:p w:rsidR="00915753" w:rsidRDefault="00915753" w:rsidP="00915753">
      <w:pPr>
        <w:pStyle w:val="Pleading2L3"/>
        <w:numPr>
          <w:ilvl w:val="0"/>
          <w:numId w:val="0"/>
        </w:numPr>
        <w:tabs>
          <w:tab w:val="left" w:pos="1440"/>
        </w:tabs>
        <w:spacing w:line="240" w:lineRule="auto"/>
        <w:ind w:left="2160" w:right="1440" w:hanging="720"/>
        <w:contextualSpacing/>
      </w:pPr>
    </w:p>
    <w:p w:rsidR="00915753" w:rsidRDefault="00915753" w:rsidP="00915753">
      <w:pPr>
        <w:pStyle w:val="Pleading2L3"/>
        <w:tabs>
          <w:tab w:val="clear" w:pos="2970"/>
        </w:tabs>
        <w:spacing w:line="240" w:lineRule="auto"/>
        <w:ind w:left="2160" w:right="1440"/>
        <w:contextualSpacing/>
      </w:pPr>
      <w:r>
        <w:t xml:space="preserve">(JP¶3)  In order to meet the Commission’s smart meter surcharge requirements in </w:t>
      </w:r>
      <w:r>
        <w:rPr>
          <w:i/>
        </w:rPr>
        <w:t>Petition of PPL Electric Utilities Corporation for Approval of Smart Meter Technology Procurement and Installation Plan</w:t>
      </w:r>
      <w:r>
        <w:t xml:space="preserve">, Order entered on June 24, 2010 at Docket No. M-2009-2123945, and for that purpose only, PPL Electric will use a 10.0% common equity cost rate and the capital structure proposed by PPL Electric in this proceeding.  The designated return on common equity and capital structure ratios are established solely for purposes of establishing the smart meter surcharge.  It is understood and agreed that this Settlement </w:t>
      </w:r>
      <w:r>
        <w:lastRenderedPageBreak/>
        <w:t xml:space="preserve">is the result of compromises and does not necessarily reflect any Party’s position with respect to the current cost of common equity or capital structure for PPL Electric.  The Parties agree that the common equity cost rate and capital structure set forth in this agreement shall not be cited as precedent by any Party in this or any other proceeding except to establish a smart meter surcharge for PPL Electric.  This agreement is made without any admission against, or prejudice to, any position which any Party to this Settlement may adopt during litigation of any other proceeding other than proceedings to establish a smart meter surcharge for PPL Electric.  The Commission’s approval of this Settlement shall not be construed to represent approval of any Party’s position on these issues. </w:t>
      </w:r>
    </w:p>
    <w:p w:rsidR="00915753" w:rsidRDefault="00915753" w:rsidP="00915753">
      <w:pPr>
        <w:pStyle w:val="Pleading2L3"/>
        <w:numPr>
          <w:ilvl w:val="0"/>
          <w:numId w:val="0"/>
        </w:numPr>
        <w:tabs>
          <w:tab w:val="num" w:pos="2970"/>
        </w:tabs>
        <w:spacing w:line="240" w:lineRule="auto"/>
        <w:ind w:left="2160" w:right="1440" w:hanging="720"/>
        <w:contextualSpacing/>
      </w:pPr>
    </w:p>
    <w:p w:rsidR="00915753" w:rsidRDefault="00915753" w:rsidP="00915753">
      <w:pPr>
        <w:pStyle w:val="Pleading2L3"/>
        <w:tabs>
          <w:tab w:val="clear" w:pos="2970"/>
          <w:tab w:val="num" w:pos="0"/>
        </w:tabs>
        <w:spacing w:line="240" w:lineRule="auto"/>
        <w:ind w:left="2160" w:right="1440"/>
        <w:contextualSpacing/>
      </w:pPr>
      <w:r>
        <w:t xml:space="preserve">(JP¶24)  PPL Electric agrees that, if it adopts the tax accounting treatment regarding repair allowances that may be authorized by Regulation Section 1.263 of the regulations of the Internal Revenue Code, PPL Electric will implement for Regulation Section 1.263 the same ratemaking procedures that it has implemented for Regulation Section 1.162-4 of the regulations of the Internal Revenue Code under which additional tax benefits are recorded as deferred income taxes, the unamortized balances of which will be deducted from rate base in future base rate proceedings, unless the Commission directs otherwise.  </w:t>
      </w:r>
    </w:p>
    <w:p w:rsidR="00915753" w:rsidRDefault="00915753" w:rsidP="00915753">
      <w:pPr>
        <w:pStyle w:val="Pleading2L3"/>
        <w:numPr>
          <w:ilvl w:val="0"/>
          <w:numId w:val="0"/>
        </w:numPr>
        <w:tabs>
          <w:tab w:val="left" w:pos="1440"/>
          <w:tab w:val="num" w:pos="2160"/>
          <w:tab w:val="left" w:pos="2880"/>
          <w:tab w:val="num" w:pos="2970"/>
        </w:tabs>
        <w:spacing w:line="240" w:lineRule="auto"/>
        <w:ind w:left="2160" w:right="1440" w:hanging="1440"/>
        <w:contextualSpacing/>
      </w:pPr>
    </w:p>
    <w:p w:rsidR="00915753" w:rsidRPr="00486D68" w:rsidRDefault="00915753" w:rsidP="00915753">
      <w:pPr>
        <w:pStyle w:val="Pleading2L2"/>
        <w:keepNext/>
        <w:keepLines/>
        <w:numPr>
          <w:ilvl w:val="0"/>
          <w:numId w:val="0"/>
        </w:numPr>
        <w:tabs>
          <w:tab w:val="left" w:pos="1440"/>
          <w:tab w:val="num" w:pos="2160"/>
          <w:tab w:val="left" w:pos="2880"/>
        </w:tabs>
        <w:spacing w:line="240" w:lineRule="auto"/>
        <w:ind w:left="2160" w:right="1440" w:hanging="1440"/>
        <w:contextualSpacing/>
      </w:pPr>
      <w:r w:rsidRPr="00486D68">
        <w:t>B.</w:t>
      </w:r>
      <w:r w:rsidRPr="00486D68">
        <w:tab/>
      </w:r>
      <w:r w:rsidRPr="00486D68">
        <w:rPr>
          <w:u w:val="single"/>
        </w:rPr>
        <w:t>Revenue Allocation</w:t>
      </w:r>
      <w:r w:rsidR="00CE0415" w:rsidRPr="00486D68">
        <w:fldChar w:fldCharType="begin"/>
      </w:r>
      <w:r w:rsidRPr="00486D68">
        <w:instrText xml:space="preserve"> TC "</w:instrText>
      </w:r>
      <w:bookmarkStart w:id="13" w:name="_Toc274905747"/>
      <w:bookmarkStart w:id="14" w:name="_Toc274906157"/>
      <w:bookmarkStart w:id="15" w:name="_Toc274912160"/>
      <w:r w:rsidRPr="00486D68">
        <w:instrText>B.</w:instrText>
      </w:r>
      <w:r w:rsidRPr="00486D68">
        <w:tab/>
        <w:instrText>REVENUE ALLOCATION</w:instrText>
      </w:r>
      <w:bookmarkEnd w:id="13"/>
      <w:bookmarkEnd w:id="14"/>
      <w:bookmarkEnd w:id="15"/>
      <w:r w:rsidRPr="00486D68">
        <w:instrText xml:space="preserve">" \f C \l "3" </w:instrText>
      </w:r>
      <w:r w:rsidR="00CE0415" w:rsidRPr="00486D68">
        <w:fldChar w:fldCharType="end"/>
      </w:r>
    </w:p>
    <w:p w:rsidR="00915753" w:rsidRDefault="00915753" w:rsidP="00915753">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rPr>
      </w:pPr>
    </w:p>
    <w:p w:rsidR="00915753" w:rsidRDefault="00915753" w:rsidP="00915753">
      <w:pPr>
        <w:pStyle w:val="Pleading2L3"/>
        <w:numPr>
          <w:ilvl w:val="0"/>
          <w:numId w:val="0"/>
        </w:numPr>
        <w:spacing w:line="240" w:lineRule="auto"/>
        <w:ind w:left="2160" w:right="1440" w:hanging="720"/>
        <w:contextualSpacing/>
      </w:pPr>
      <w:r>
        <w:t>5.</w:t>
      </w:r>
      <w:r>
        <w:tab/>
        <w:t xml:space="preserve">(JP¶ 25) The proposal of the Office of Consumer Advocate regarding Rate Schedule RTS is accepted.  The present customer charge will remain in effect, and the revenue increase to Rate Schedule RTS will be limited to 150 percent of the percentage increase to the entire Residential class.  Any revenue shortfall resulting from application of this provision will be recovered from customers served under Rate Schedule RS.  </w:t>
      </w:r>
    </w:p>
    <w:p w:rsidR="00915753" w:rsidRDefault="00915753" w:rsidP="00915753">
      <w:pPr>
        <w:pStyle w:val="Pleading2L3"/>
        <w:numPr>
          <w:ilvl w:val="0"/>
          <w:numId w:val="0"/>
        </w:numPr>
        <w:tabs>
          <w:tab w:val="left" w:pos="1440"/>
          <w:tab w:val="num" w:pos="2160"/>
          <w:tab w:val="left" w:pos="2880"/>
          <w:tab w:val="num" w:pos="2970"/>
        </w:tabs>
        <w:spacing w:line="240" w:lineRule="auto"/>
        <w:ind w:left="2160" w:right="1440" w:hanging="1440"/>
        <w:contextualSpacing/>
      </w:pPr>
    </w:p>
    <w:p w:rsidR="00915753" w:rsidRPr="00486D68" w:rsidRDefault="00915753" w:rsidP="00915753">
      <w:pPr>
        <w:pStyle w:val="Pleading2L2"/>
        <w:keepNext/>
        <w:keepLines/>
        <w:numPr>
          <w:ilvl w:val="0"/>
          <w:numId w:val="0"/>
        </w:numPr>
        <w:tabs>
          <w:tab w:val="left" w:pos="1440"/>
          <w:tab w:val="num" w:pos="2160"/>
          <w:tab w:val="left" w:pos="2880"/>
        </w:tabs>
        <w:spacing w:line="240" w:lineRule="auto"/>
        <w:ind w:left="2160" w:right="1440" w:hanging="1440"/>
        <w:contextualSpacing/>
      </w:pPr>
      <w:r w:rsidRPr="00486D68">
        <w:t>C.</w:t>
      </w:r>
      <w:r w:rsidRPr="00486D68">
        <w:tab/>
      </w:r>
      <w:r w:rsidRPr="00486D68">
        <w:rPr>
          <w:u w:val="single"/>
        </w:rPr>
        <w:t>Rate Design</w:t>
      </w:r>
      <w:r w:rsidR="00CE0415" w:rsidRPr="00486D68">
        <w:rPr>
          <w:u w:val="single"/>
        </w:rPr>
        <w:fldChar w:fldCharType="begin"/>
      </w:r>
      <w:r w:rsidRPr="00486D68">
        <w:rPr>
          <w:u w:val="single"/>
        </w:rPr>
        <w:instrText xml:space="preserve"> TC "</w:instrText>
      </w:r>
      <w:bookmarkStart w:id="16" w:name="_Toc274905748"/>
      <w:bookmarkStart w:id="17" w:name="_Toc274906158"/>
      <w:bookmarkStart w:id="18" w:name="_Toc274912161"/>
      <w:r w:rsidRPr="00486D68">
        <w:rPr>
          <w:u w:val="single"/>
        </w:rPr>
        <w:instrText>C.</w:instrText>
      </w:r>
      <w:r w:rsidRPr="00486D68">
        <w:rPr>
          <w:u w:val="single"/>
        </w:rPr>
        <w:tab/>
        <w:instrText>RATE DESIGN</w:instrText>
      </w:r>
      <w:bookmarkEnd w:id="16"/>
      <w:bookmarkEnd w:id="17"/>
      <w:bookmarkEnd w:id="18"/>
      <w:r w:rsidRPr="00486D68">
        <w:rPr>
          <w:u w:val="single"/>
        </w:rPr>
        <w:instrText xml:space="preserve">" \f C \l "3" </w:instrText>
      </w:r>
      <w:r w:rsidR="00CE0415" w:rsidRPr="00486D68">
        <w:rPr>
          <w:u w:val="single"/>
        </w:rPr>
        <w:fldChar w:fldCharType="end"/>
      </w:r>
      <w:r w:rsidRPr="00486D68">
        <w:t xml:space="preserve"> </w:t>
      </w:r>
    </w:p>
    <w:p w:rsidR="00915753" w:rsidRDefault="00915753" w:rsidP="00915753">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pPr>
    </w:p>
    <w:p w:rsidR="00915753" w:rsidRDefault="00915753" w:rsidP="00915753">
      <w:pPr>
        <w:pStyle w:val="Pleading2L3"/>
        <w:numPr>
          <w:ilvl w:val="0"/>
          <w:numId w:val="0"/>
        </w:numPr>
        <w:spacing w:line="240" w:lineRule="auto"/>
        <w:ind w:left="2160" w:right="1440" w:hanging="720"/>
        <w:contextualSpacing/>
      </w:pPr>
      <w:r>
        <w:t>6.</w:t>
      </w:r>
      <w:r>
        <w:tab/>
        <w:t xml:space="preserve">(JP¶26) The RS customer charge will be $8.75 per month.  The Universal Service Rider charge will be removed from the customer charge and recovered through energy charges.  There will be a flat energy rate.    </w:t>
      </w:r>
    </w:p>
    <w:p w:rsidR="00915753" w:rsidRDefault="00915753" w:rsidP="00915753">
      <w:pPr>
        <w:pStyle w:val="Pleading2L3"/>
        <w:numPr>
          <w:ilvl w:val="0"/>
          <w:numId w:val="0"/>
        </w:numPr>
        <w:tabs>
          <w:tab w:val="left" w:pos="1440"/>
          <w:tab w:val="num" w:pos="2160"/>
          <w:tab w:val="left" w:pos="2880"/>
        </w:tabs>
        <w:spacing w:line="240" w:lineRule="auto"/>
        <w:ind w:left="2160" w:right="1440" w:hanging="1440"/>
        <w:contextualSpacing/>
      </w:pPr>
    </w:p>
    <w:p w:rsidR="00915753" w:rsidRDefault="00915753" w:rsidP="00915753">
      <w:pPr>
        <w:pStyle w:val="Pleading2L2"/>
        <w:keepNext/>
        <w:keepLines/>
        <w:numPr>
          <w:ilvl w:val="0"/>
          <w:numId w:val="0"/>
        </w:numPr>
        <w:tabs>
          <w:tab w:val="left" w:pos="1440"/>
          <w:tab w:val="num" w:pos="2160"/>
          <w:tab w:val="left" w:pos="2880"/>
        </w:tabs>
        <w:spacing w:line="240" w:lineRule="auto"/>
        <w:ind w:left="2160" w:right="1440" w:hanging="1440"/>
        <w:contextualSpacing/>
        <w:rPr>
          <w:b/>
        </w:rPr>
      </w:pPr>
      <w:r w:rsidRPr="00486D68">
        <w:lastRenderedPageBreak/>
        <w:t>D.</w:t>
      </w:r>
      <w:r>
        <w:rPr>
          <w:b/>
        </w:rPr>
        <w:tab/>
      </w:r>
      <w:r w:rsidRPr="00486D68">
        <w:rPr>
          <w:u w:val="single"/>
        </w:rPr>
        <w:t>Tariff Language</w:t>
      </w:r>
      <w:r w:rsidR="00CE0415">
        <w:rPr>
          <w:b/>
        </w:rPr>
        <w:fldChar w:fldCharType="begin"/>
      </w:r>
      <w:r>
        <w:instrText xml:space="preserve"> TC "</w:instrText>
      </w:r>
      <w:bookmarkStart w:id="19" w:name="_Toc274905749"/>
      <w:bookmarkStart w:id="20" w:name="_Toc274906159"/>
      <w:bookmarkStart w:id="21" w:name="_Toc274912162"/>
      <w:r w:rsidRPr="00F135D5">
        <w:rPr>
          <w:b/>
        </w:rPr>
        <w:instrText>D.</w:instrText>
      </w:r>
      <w:r w:rsidRPr="00F135D5">
        <w:rPr>
          <w:b/>
        </w:rPr>
        <w:tab/>
        <w:instrText>TARIFF LANGUAGE</w:instrText>
      </w:r>
      <w:bookmarkEnd w:id="19"/>
      <w:bookmarkEnd w:id="20"/>
      <w:bookmarkEnd w:id="21"/>
      <w:r>
        <w:instrText xml:space="preserve">" \f C \l "3" </w:instrText>
      </w:r>
      <w:r w:rsidR="00CE0415">
        <w:rPr>
          <w:b/>
        </w:rPr>
        <w:fldChar w:fldCharType="end"/>
      </w:r>
    </w:p>
    <w:p w:rsidR="00915753" w:rsidRDefault="00915753" w:rsidP="00915753">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rPr>
      </w:pPr>
    </w:p>
    <w:p w:rsidR="00915753" w:rsidRDefault="00915753" w:rsidP="00915753">
      <w:pPr>
        <w:pStyle w:val="Pleading2L3"/>
        <w:numPr>
          <w:ilvl w:val="0"/>
          <w:numId w:val="0"/>
        </w:numPr>
        <w:spacing w:line="240" w:lineRule="auto"/>
        <w:ind w:left="2160" w:right="1440" w:hanging="720"/>
        <w:contextualSpacing/>
      </w:pPr>
      <w:r>
        <w:t>7.</w:t>
      </w:r>
      <w:r>
        <w:tab/>
        <w:t>(JP¶27) In response to the testimony of REG, PPL Electric will modify its proposal regarding Tariff Rule 4 as set forth in Supplement No. 83.  The word “overhead” will be removed from the first sentence and the following new sentence will be added to Tariff Rule 4:  “Standard service includes overhead service and underground service at new residential developments, locations where the Company in its discretion has elected to install underground facilities and at locations where the customer has paid for the incremental cost of installing facilities underground.”</w:t>
      </w:r>
    </w:p>
    <w:p w:rsidR="00915753" w:rsidRDefault="00915753" w:rsidP="00915753">
      <w:pPr>
        <w:pStyle w:val="Pleading2L3"/>
        <w:numPr>
          <w:ilvl w:val="0"/>
          <w:numId w:val="0"/>
        </w:numPr>
        <w:tabs>
          <w:tab w:val="num" w:pos="2160"/>
          <w:tab w:val="num" w:pos="2970"/>
        </w:tabs>
        <w:spacing w:line="240" w:lineRule="auto"/>
        <w:ind w:left="2160" w:right="1440" w:hanging="720"/>
        <w:contextualSpacing/>
      </w:pPr>
    </w:p>
    <w:p w:rsidR="00915753" w:rsidRPr="00486D68" w:rsidRDefault="00915753" w:rsidP="00915753">
      <w:pPr>
        <w:pStyle w:val="Pleading2L2"/>
        <w:keepNext/>
        <w:keepLines/>
        <w:numPr>
          <w:ilvl w:val="0"/>
          <w:numId w:val="0"/>
        </w:numPr>
        <w:tabs>
          <w:tab w:val="left" w:pos="1440"/>
          <w:tab w:val="num" w:pos="2160"/>
          <w:tab w:val="left" w:pos="2880"/>
        </w:tabs>
        <w:spacing w:line="240" w:lineRule="auto"/>
        <w:ind w:left="2160" w:right="1440" w:hanging="1440"/>
        <w:contextualSpacing/>
        <w:rPr>
          <w:u w:val="single"/>
        </w:rPr>
      </w:pPr>
      <w:r w:rsidRPr="00486D68">
        <w:t>E.</w:t>
      </w:r>
      <w:r w:rsidRPr="00486D68">
        <w:tab/>
      </w:r>
      <w:r w:rsidRPr="00486D68">
        <w:rPr>
          <w:u w:val="single"/>
        </w:rPr>
        <w:t>Universal Service</w:t>
      </w:r>
      <w:r w:rsidR="00CE0415" w:rsidRPr="00486D68">
        <w:rPr>
          <w:u w:val="single"/>
        </w:rPr>
        <w:fldChar w:fldCharType="begin"/>
      </w:r>
      <w:r w:rsidRPr="00486D68">
        <w:rPr>
          <w:u w:val="single"/>
        </w:rPr>
        <w:instrText xml:space="preserve"> TC "</w:instrText>
      </w:r>
      <w:bookmarkStart w:id="22" w:name="_Toc274905750"/>
      <w:bookmarkStart w:id="23" w:name="_Toc274906160"/>
      <w:bookmarkStart w:id="24" w:name="_Toc274912163"/>
      <w:r w:rsidRPr="00486D68">
        <w:rPr>
          <w:u w:val="single"/>
        </w:rPr>
        <w:instrText>E.</w:instrText>
      </w:r>
      <w:r w:rsidRPr="00486D68">
        <w:rPr>
          <w:u w:val="single"/>
        </w:rPr>
        <w:tab/>
        <w:instrText>UNIVERSAL SERVICE</w:instrText>
      </w:r>
      <w:bookmarkEnd w:id="22"/>
      <w:bookmarkEnd w:id="23"/>
      <w:bookmarkEnd w:id="24"/>
      <w:r w:rsidRPr="00486D68">
        <w:rPr>
          <w:u w:val="single"/>
        </w:rPr>
        <w:instrText xml:space="preserve">" \f C \l "3" </w:instrText>
      </w:r>
      <w:r w:rsidR="00CE0415" w:rsidRPr="00486D68">
        <w:rPr>
          <w:u w:val="single"/>
        </w:rPr>
        <w:fldChar w:fldCharType="end"/>
      </w:r>
    </w:p>
    <w:p w:rsidR="00915753" w:rsidRDefault="00915753" w:rsidP="00915753">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rPr>
      </w:pPr>
    </w:p>
    <w:p w:rsidR="00915753" w:rsidRDefault="00915753" w:rsidP="00915753">
      <w:pPr>
        <w:pStyle w:val="Pleading2L3"/>
        <w:numPr>
          <w:ilvl w:val="0"/>
          <w:numId w:val="0"/>
        </w:numPr>
        <w:tabs>
          <w:tab w:val="num" w:pos="2160"/>
        </w:tabs>
        <w:spacing w:line="240" w:lineRule="auto"/>
        <w:ind w:left="2160" w:right="1440" w:hanging="720"/>
        <w:contextualSpacing/>
      </w:pPr>
      <w:r>
        <w:t>8.</w:t>
      </w:r>
      <w:r>
        <w:tab/>
        <w:t xml:space="preserve">(JP¶28) PPL Electric will agree to a credit of $50 per customer for incremental OnTrack customers above 32,500, with an annual true-up for the number of customers.  </w:t>
      </w:r>
    </w:p>
    <w:p w:rsidR="00915753" w:rsidRDefault="00915753" w:rsidP="00915753">
      <w:pPr>
        <w:pStyle w:val="Pleading2L3"/>
        <w:numPr>
          <w:ilvl w:val="0"/>
          <w:numId w:val="0"/>
        </w:numPr>
        <w:tabs>
          <w:tab w:val="num" w:pos="2160"/>
        </w:tabs>
        <w:spacing w:line="240" w:lineRule="auto"/>
        <w:ind w:left="2160" w:right="1440" w:hanging="720"/>
        <w:contextualSpacing/>
      </w:pPr>
    </w:p>
    <w:p w:rsidR="00915753" w:rsidRDefault="00915753" w:rsidP="00915753">
      <w:pPr>
        <w:pStyle w:val="Pleading2L3"/>
        <w:numPr>
          <w:ilvl w:val="0"/>
          <w:numId w:val="0"/>
        </w:numPr>
        <w:tabs>
          <w:tab w:val="num" w:pos="2160"/>
        </w:tabs>
        <w:spacing w:line="240" w:lineRule="auto"/>
        <w:ind w:left="2160" w:right="1440" w:hanging="720"/>
        <w:contextualSpacing/>
      </w:pPr>
      <w:r>
        <w:t>9.</w:t>
      </w:r>
      <w:r>
        <w:tab/>
        <w:t xml:space="preserve">(JP¶29) PPL Electric plans to continue to use community based organizations to assist in the implementation of its universal service programs and will continue to do so as long as use of those organizations remains an efficient and cost-effective practice.  </w:t>
      </w:r>
    </w:p>
    <w:p w:rsidR="00915753" w:rsidRDefault="00915753" w:rsidP="00915753">
      <w:pPr>
        <w:pStyle w:val="Pleading2L3"/>
        <w:numPr>
          <w:ilvl w:val="0"/>
          <w:numId w:val="0"/>
        </w:numPr>
        <w:tabs>
          <w:tab w:val="num" w:pos="2160"/>
          <w:tab w:val="num" w:pos="2970"/>
        </w:tabs>
        <w:spacing w:line="240" w:lineRule="auto"/>
        <w:ind w:left="2160" w:right="1440" w:hanging="720"/>
        <w:contextualSpacing/>
      </w:pPr>
    </w:p>
    <w:p w:rsidR="00915753" w:rsidRDefault="00915753" w:rsidP="00915753">
      <w:pPr>
        <w:pStyle w:val="Pleading2L3"/>
        <w:numPr>
          <w:ilvl w:val="0"/>
          <w:numId w:val="0"/>
        </w:numPr>
        <w:tabs>
          <w:tab w:val="num" w:pos="2160"/>
        </w:tabs>
        <w:spacing w:line="240" w:lineRule="auto"/>
        <w:ind w:left="2160" w:right="1440" w:hanging="720"/>
        <w:contextualSpacing/>
      </w:pPr>
      <w:r>
        <w:t>10.</w:t>
      </w:r>
      <w:r>
        <w:tab/>
        <w:t xml:space="preserve">(JP¶30) PPL Electric agrees to adopt OCA’s CAP Plus methodology and will implement the proposal no later than the 2011-2012 heating season, unless the Department of Public Welfare changes its current policy and allows PPL Electric to apply Low Income Home Energy Assistance Program grants to Customer Assistance Program credits.    </w:t>
      </w:r>
    </w:p>
    <w:p w:rsidR="00915753" w:rsidRDefault="00915753" w:rsidP="00915753">
      <w:pPr>
        <w:pStyle w:val="Pleading2L3"/>
        <w:numPr>
          <w:ilvl w:val="0"/>
          <w:numId w:val="0"/>
        </w:numPr>
        <w:tabs>
          <w:tab w:val="num" w:pos="2160"/>
        </w:tabs>
        <w:spacing w:line="240" w:lineRule="auto"/>
        <w:ind w:left="2160" w:right="1440" w:hanging="720"/>
        <w:contextualSpacing/>
      </w:pPr>
    </w:p>
    <w:p w:rsidR="00915753" w:rsidRDefault="00915753" w:rsidP="00915753">
      <w:pPr>
        <w:pStyle w:val="Pleading2L3"/>
        <w:numPr>
          <w:ilvl w:val="0"/>
          <w:numId w:val="0"/>
        </w:numPr>
        <w:tabs>
          <w:tab w:val="num" w:pos="2160"/>
        </w:tabs>
        <w:spacing w:line="240" w:lineRule="auto"/>
        <w:ind w:left="2160" w:right="1440" w:hanging="720"/>
        <w:contextualSpacing/>
      </w:pPr>
      <w:r>
        <w:t>11.</w:t>
      </w:r>
      <w:r>
        <w:tab/>
        <w:t>This settlement does not abridge or expand Mr. Epstein’s rights regarding PPL Electric’s Universal Service and Energy Conservation Plan, 2011-2013, Docket No. M</w:t>
      </w:r>
      <w:r>
        <w:noBreakHyphen/>
        <w:t>2010-2179796.</w:t>
      </w:r>
      <w:r w:rsidRPr="00396502">
        <w:rPr>
          <w:rStyle w:val="FootnoteReference"/>
          <w:vertAlign w:val="superscript"/>
        </w:rPr>
        <w:footnoteReference w:id="6"/>
      </w:r>
      <w:r>
        <w:t xml:space="preserve">  PPL Electric agrees to meet with Mr. Epstein and other interested parties to develop a proposed schedule for resolution of this proceeding, consistent with all Commission adopted procedures.  </w:t>
      </w:r>
    </w:p>
    <w:p w:rsidR="00915753" w:rsidRDefault="00915753" w:rsidP="00915753">
      <w:pPr>
        <w:pStyle w:val="Pleading2L3"/>
        <w:numPr>
          <w:ilvl w:val="0"/>
          <w:numId w:val="0"/>
        </w:numPr>
        <w:spacing w:line="240" w:lineRule="auto"/>
        <w:ind w:left="1440" w:right="1440"/>
        <w:contextualSpacing/>
      </w:pPr>
    </w:p>
    <w:p w:rsidR="00915753" w:rsidRPr="00A645E7" w:rsidRDefault="00915753" w:rsidP="00915753">
      <w:pPr>
        <w:pStyle w:val="Pleading2L3"/>
        <w:numPr>
          <w:ilvl w:val="0"/>
          <w:numId w:val="0"/>
        </w:numPr>
        <w:spacing w:line="240" w:lineRule="auto"/>
        <w:ind w:left="1440" w:right="1440"/>
        <w:contextualSpacing/>
        <w:jc w:val="center"/>
        <w:rPr>
          <w:b/>
        </w:rPr>
      </w:pPr>
      <w:r w:rsidRPr="00A645E7">
        <w:rPr>
          <w:b/>
        </w:rPr>
        <w:t>(End Settlement Provisions)</w:t>
      </w:r>
    </w:p>
    <w:p w:rsidR="00915753" w:rsidRDefault="00915753" w:rsidP="00915753">
      <w:pPr>
        <w:pStyle w:val="Pleading2L3"/>
        <w:numPr>
          <w:ilvl w:val="0"/>
          <w:numId w:val="0"/>
        </w:numPr>
        <w:spacing w:line="240" w:lineRule="auto"/>
        <w:ind w:left="720" w:right="1440"/>
        <w:contextualSpacing/>
        <w:jc w:val="center"/>
      </w:pPr>
    </w:p>
    <w:p w:rsidR="00915753" w:rsidRDefault="00915753" w:rsidP="00915753">
      <w:pPr>
        <w:pStyle w:val="Pleading2L3"/>
        <w:numPr>
          <w:ilvl w:val="0"/>
          <w:numId w:val="0"/>
        </w:numPr>
        <w:spacing w:line="240" w:lineRule="auto"/>
        <w:ind w:right="1440"/>
        <w:contextualSpacing/>
        <w:rPr>
          <w:u w:val="single"/>
        </w:rPr>
      </w:pPr>
      <w:r w:rsidRPr="0032595D">
        <w:lastRenderedPageBreak/>
        <w:t>2.</w:t>
      </w:r>
      <w:r w:rsidRPr="0032595D">
        <w:tab/>
      </w:r>
      <w:r w:rsidR="004E7CF8">
        <w:rPr>
          <w:u w:val="single"/>
        </w:rPr>
        <w:t>ALJ’</w:t>
      </w:r>
      <w:r w:rsidRPr="00222C96">
        <w:rPr>
          <w:u w:val="single"/>
        </w:rPr>
        <w:t>s FINDINGS OF FACTS</w:t>
      </w:r>
    </w:p>
    <w:p w:rsidR="00915753" w:rsidRPr="00222C96" w:rsidRDefault="00CE0415" w:rsidP="00915753">
      <w:pPr>
        <w:pStyle w:val="Pleading2L3"/>
        <w:numPr>
          <w:ilvl w:val="0"/>
          <w:numId w:val="0"/>
        </w:numPr>
        <w:spacing w:line="240" w:lineRule="auto"/>
        <w:ind w:left="720" w:right="1440"/>
        <w:contextualSpacing/>
        <w:rPr>
          <w:u w:val="single"/>
        </w:rPr>
      </w:pPr>
      <w:r>
        <w:rPr>
          <w:u w:val="single"/>
        </w:rPr>
        <w:fldChar w:fldCharType="begin"/>
      </w:r>
      <w:r w:rsidR="00915753">
        <w:instrText xml:space="preserve"> TC "</w:instrText>
      </w:r>
      <w:bookmarkStart w:id="25" w:name="_Toc274905751"/>
      <w:bookmarkStart w:id="26" w:name="_Toc274906161"/>
      <w:bookmarkStart w:id="27" w:name="_Toc274912164"/>
      <w:r w:rsidR="00915753" w:rsidRPr="00373B4A">
        <w:instrText>2.</w:instrText>
      </w:r>
      <w:r w:rsidR="00915753" w:rsidRPr="00373B4A">
        <w:tab/>
      </w:r>
      <w:r w:rsidR="00915753" w:rsidRPr="00373B4A">
        <w:rPr>
          <w:u w:val="single"/>
        </w:rPr>
        <w:instrText>ALJ’s FINDINGS OF FACTS</w:instrText>
      </w:r>
      <w:bookmarkEnd w:id="25"/>
      <w:bookmarkEnd w:id="26"/>
      <w:bookmarkEnd w:id="27"/>
      <w:r w:rsidR="00915753">
        <w:instrText xml:space="preserve">" \f C \l "2" </w:instrText>
      </w:r>
      <w:r>
        <w:rPr>
          <w:u w:val="single"/>
        </w:rPr>
        <w:fldChar w:fldCharType="end"/>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12.</w:t>
      </w:r>
      <w:r>
        <w:tab/>
        <w:t>PPL Electric Utilities Corporation is an electric distribution company providing service to approximately 1.4 million customers in its certificated service territory over about 10,000 square miles in 29 counties of the Commonwealth.  PPL Initial Brief at 1 (citations omitted).</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Pr="00A839C5" w:rsidRDefault="00915753" w:rsidP="00915753">
      <w:pPr>
        <w:pStyle w:val="Pleading2L3"/>
        <w:numPr>
          <w:ilvl w:val="0"/>
          <w:numId w:val="0"/>
        </w:numPr>
        <w:tabs>
          <w:tab w:val="num" w:pos="0"/>
          <w:tab w:val="left" w:pos="2160"/>
        </w:tabs>
        <w:spacing w:line="360" w:lineRule="auto"/>
        <w:ind w:firstLine="1440"/>
        <w:contextualSpacing/>
      </w:pPr>
      <w:r>
        <w:t>13.</w:t>
      </w:r>
      <w:r>
        <w:tab/>
        <w:t xml:space="preserve">OCA is a statutorily created public advocate empowered to represent the interests of consumers before the Public Utility Commission pursuant to Act 161 of the General Assembly, as amended, 71 P.S. §§ 309-1 </w:t>
      </w:r>
      <w:r>
        <w:rPr>
          <w:i/>
        </w:rPr>
        <w:t>et seq.</w:t>
      </w:r>
      <w:r>
        <w:t xml:space="preserve">  OCA Complaint and Notice of Intervention.</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14.</w:t>
      </w:r>
      <w:r>
        <w:tab/>
        <w:t>OTS is an office within the Commission charged with representing the public interest in matters involving utility rates.  OTS Initial Brief at 1.</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15.</w:t>
      </w:r>
      <w:r>
        <w:tab/>
        <w:t>OSBA is authorized to represent the interests of small business customers of utility services before the Commission pursuant to the provisions of the Small Business Advocate Act, Act 181 of 1988, 73 P.S. §§ 399.41-399.50.  OSBA Prehearing Memo at 1.</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16.</w:t>
      </w:r>
      <w:r>
        <w:tab/>
        <w:t>SEF is a Pennsylvania corporation established at the conclusion of PPL Electric’s restructuring proceeding and pursuant to the terms of the joint settlement filed in that proceeding.  Its mission is to promote and invest in energy efficiency, renewable energy and energy conservation in order to provide opportunities and benefits for PPL Electric’s ratepayers.  SEF Initial Brief at 3.</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17.</w:t>
      </w:r>
      <w:r>
        <w:tab/>
        <w:t>Richards Energy Group, Inc</w:t>
      </w:r>
      <w:r w:rsidR="0037233E">
        <w:t>.</w:t>
      </w:r>
      <w:r>
        <w:t xml:space="preserve"> is a licensed electric generation supplier, A</w:t>
      </w:r>
      <w:r>
        <w:noBreakHyphen/>
        <w:t xml:space="preserve">110072, authorized to provide service to commercial, industrial, and institutional customers within the Commonwealth.  REG Petition to Intervene at 2.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left" w:pos="2160"/>
        </w:tabs>
        <w:spacing w:line="360" w:lineRule="auto"/>
        <w:ind w:firstLine="1440"/>
        <w:contextualSpacing/>
      </w:pPr>
      <w:r>
        <w:t>18.</w:t>
      </w:r>
      <w:r>
        <w:tab/>
        <w:t xml:space="preserve">RESA is a trade association of power marketers, independent power producers, and a broad range of companies within the Mid-Atlantic marketplace, whose members at the time of filing included ConEd Solutions; Constellation NewEnergy, Inc.; Direct </w:t>
      </w:r>
      <w:r>
        <w:lastRenderedPageBreak/>
        <w:t>Energy Services, LLC; Exelon Energy Company’ GDF SUEZ Energy Resources NA, Inc.; GEXA Energy; Green Mountain Energy Company; Hess Corporation; Integrys Energy Services, Inc.; Just Energy; Liberty Power; PPL EnergyPlus; and Sempra Energy Solutions LLC.  RESA Petition to Intervene at 1.</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19.</w:t>
      </w:r>
      <w:r>
        <w:tab/>
        <w:t>PPLICA is a an organization of industrial and commercial users which included the following at the time of filing:  Air Products and Chemicals, Inc.; Armstrong World Industries, Inc.; Cinram manufacturing Inc.; Donsco, Inc.; General Dynamics-OTS Scranton; Hercules Cement Company; High Industries, Inc.; Lafarge North America; Linde LLC; Rieter Automotive North America, Carpet; SAPA Extrusions, Inc.; The Hershey Company; TIMET North America; and Wegmans Food Markets, Inc.  PPLICA Complaint.</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20.</w:t>
      </w:r>
      <w:r>
        <w:tab/>
        <w:t xml:space="preserve">Dominion Retail, Inc., is a licensed electric generation supplier in PPL Electric’s service territory and currently serves over 200,000 residential, commercial and industrial customers in that territory.  Dominion Retail Petition to Intervene at 1.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21.</w:t>
      </w:r>
      <w:r>
        <w:tab/>
        <w:t>Commission on Economic Opportunity is a not-for-profit corporation organized and existing under the laws of Pennsylvania with the purpose of advocating for the low income population of Luzerne County through counseling, advice, payment assistance and energy conservation measures.  CEO Petition to Intervene at 1.</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22.</w:t>
      </w:r>
      <w:r>
        <w:tab/>
        <w:t xml:space="preserve">Eric Joseph Epstein is a residential customer of PPL Electric with a history of intervention in PPL Electric’s cases before the Commission.  Epstein Complaint at 1-2.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23.</w:t>
      </w:r>
      <w:r>
        <w:tab/>
        <w:t>Citizens for Pennsylvania’s Future is a nonprofit corporation engaged in policy development, public education.  Litigation and other strategies to achieve its goals, including promoting clean sources of energy and protecting Pennsylvania’s environment.  PennFUTURE Petition to Intervene at 1.</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tabs>
          <w:tab w:val="left" w:pos="2160"/>
        </w:tabs>
        <w:ind w:firstLine="1440"/>
        <w:contextualSpacing/>
        <w:jc w:val="left"/>
      </w:pPr>
      <w:r>
        <w:lastRenderedPageBreak/>
        <w:t>24.</w:t>
      </w:r>
      <w:r>
        <w:tab/>
        <w:t>Five public input hearing were held throughout the PPL Electric service territory over a two-week period in June 2010.  All were attended by the Company, OTS, OCA, SEF and Mr. Epstein.  CEO attended the public input held in Wilkes-Barre.</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tabs>
          <w:tab w:val="left" w:pos="2160"/>
        </w:tabs>
        <w:ind w:firstLine="1440"/>
        <w:contextualSpacing/>
        <w:jc w:val="left"/>
      </w:pPr>
      <w:r>
        <w:t>25.</w:t>
      </w:r>
      <w:r>
        <w:tab/>
        <w:t xml:space="preserve">At each public input hearing, the Company explained: (1) the separation of PPL Electric Utilities Corporation from the other companies affiliated with PPL Corporation; (2) expiration of the generation rate caps; and (3) why the sizeable increase in the overall electric bill which occurred when the rate caps expired for this Company on December 31, 2009 did not benefit this utility.  The Company provided a poster-sized electric bill and a simple break-down of the PPL Corporation’s structure as visual aids.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26.</w:t>
      </w:r>
      <w:r>
        <w:tab/>
        <w:t>The Company’s cost of service study allocates the total cost of service to the various rate classes, calculated the rate of return provided by each class, and compares the rate of return provided by each rate class to the system average rate of return to determine if each rate class is paying above or below its allocated cost of service.  PPL Electric Initial Brief at 13.</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27.</w:t>
      </w:r>
      <w:r>
        <w:tab/>
        <w:t xml:space="preserve">The Company presents two </w:t>
      </w:r>
      <w:r w:rsidR="0037233E">
        <w:t>costs</w:t>
      </w:r>
      <w:r>
        <w:t xml:space="preserve"> of service studies f</w:t>
      </w:r>
      <w:r w:rsidR="002C0BBE">
        <w:t>or consideration:  JMK-2A uses</w:t>
      </w:r>
      <w:r>
        <w:t xml:space="preserve"> its previous methodology with the modification that substations are classified as entirely demand-related.  JMK-2B follows the same methodology used in prior cases in which all primary voltage facilities are classified as demand related.  PPL Electric Initial Brief at 14-15.</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28.</w:t>
      </w:r>
      <w:r>
        <w:tab/>
        <w:t>Distribution costs are sub-functionalized between the primary system (three phase system that operates at 12 or 23 kV) and secondary (single phase facilities that operate at or below 12 kV).  PPL Electric Initial Brief at 17.</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29.</w:t>
      </w:r>
      <w:r>
        <w:tab/>
        <w:t>Distribution system costs are either demand or customer related.  PPL Electric Initial Brief at 17.</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30.</w:t>
      </w:r>
      <w:r>
        <w:tab/>
        <w:t xml:space="preserve">The Company’s approach to performing cost of service studies is consistent with the NARUC Manual.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lastRenderedPageBreak/>
        <w:t>31.</w:t>
      </w:r>
      <w:r>
        <w:tab/>
        <w:t xml:space="preserve">Those facilities classified as partly customer related and partly demand related were apportioned using the minimum size system methodology, consistent with past practice and the NARUC Manual.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32.</w:t>
      </w:r>
      <w:r>
        <w:tab/>
        <w:t xml:space="preserve">The Company has presented a revenue allocation methodology which continues to move all classes at or near the full cost of providing service while also moving all classes towards the system average rate of return.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33.</w:t>
      </w:r>
      <w:r>
        <w:tab/>
        <w:t>In the settlement of the remand of the 2004 base rate case, the Company agreed to move its distribution rates for all major rate classes to at or near full cost of service in three rate cases:  the 2004 remand, the 2007 case (which settled completely), and this case.</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left" w:pos="2160"/>
        </w:tabs>
        <w:spacing w:line="360" w:lineRule="auto"/>
        <w:ind w:firstLine="1440"/>
        <w:contextualSpacing/>
      </w:pPr>
      <w:r>
        <w:t>34.</w:t>
      </w:r>
      <w:r>
        <w:tab/>
        <w:t xml:space="preserve">Developing a cost of service study is subject to considerable discretion and requires a substantial level of judgment.  PPL St. 7 at 24.  Cost allocation studies involve art as much as science and are subjective by their very nature.  OCA St. 3 at 4.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35.</w:t>
      </w:r>
      <w:r>
        <w:tab/>
        <w:t>Energy costs are those which vary in proportion to the amount of electricity delivered, but no distribution costs are caused by the amounts of energy delivered.  PPL Electric Initial Brief at 17.</w:t>
      </w:r>
      <w:r>
        <w:tab/>
      </w:r>
      <w:r>
        <w:tab/>
      </w:r>
      <w:r>
        <w:tab/>
      </w:r>
    </w:p>
    <w:p w:rsidR="00915753" w:rsidRDefault="00915753" w:rsidP="00915753">
      <w:pPr>
        <w:pStyle w:val="Pleading2L2"/>
        <w:keepNext/>
        <w:keepLines/>
        <w:numPr>
          <w:ilvl w:val="0"/>
          <w:numId w:val="0"/>
        </w:numPr>
        <w:tabs>
          <w:tab w:val="left" w:pos="2160"/>
        </w:tabs>
        <w:ind w:left="720" w:firstLine="1440"/>
        <w:rPr>
          <w:b/>
        </w:rPr>
      </w:pPr>
    </w:p>
    <w:p w:rsidR="00915753" w:rsidRDefault="00915753" w:rsidP="00915753">
      <w:pPr>
        <w:pStyle w:val="FootnoteText"/>
        <w:tabs>
          <w:tab w:val="left" w:pos="2160"/>
        </w:tabs>
        <w:spacing w:line="360" w:lineRule="auto"/>
        <w:ind w:firstLine="1440"/>
        <w:contextualSpacing/>
        <w:rPr>
          <w:sz w:val="24"/>
          <w:szCs w:val="24"/>
        </w:rPr>
      </w:pPr>
      <w:r w:rsidRPr="003B1C5F">
        <w:rPr>
          <w:sz w:val="24"/>
          <w:szCs w:val="24"/>
        </w:rPr>
        <w:t>3</w:t>
      </w:r>
      <w:r>
        <w:rPr>
          <w:sz w:val="24"/>
          <w:szCs w:val="24"/>
        </w:rPr>
        <w:t>6</w:t>
      </w:r>
      <w:r w:rsidRPr="003B1C5F">
        <w:rPr>
          <w:sz w:val="24"/>
          <w:szCs w:val="24"/>
        </w:rPr>
        <w:t>.</w:t>
      </w:r>
      <w:r w:rsidRPr="003B1C5F">
        <w:rPr>
          <w:sz w:val="24"/>
          <w:szCs w:val="24"/>
        </w:rPr>
        <w:tab/>
        <w:t>Distribution substations costs are normally classified as demand-related.  This classification is adopted because substations are normally built to serve a particular load and their size is not affected by the nu</w:t>
      </w:r>
      <w:r>
        <w:rPr>
          <w:sz w:val="24"/>
          <w:szCs w:val="24"/>
        </w:rPr>
        <w:t>mber of customers to be served.</w:t>
      </w:r>
      <w:r w:rsidRPr="003B1C5F">
        <w:rPr>
          <w:sz w:val="24"/>
          <w:szCs w:val="24"/>
        </w:rPr>
        <w:t xml:space="preserve">  NARUC Manual at 90.  </w:t>
      </w:r>
    </w:p>
    <w:p w:rsidR="00915753" w:rsidRDefault="00915753" w:rsidP="00915753">
      <w:pPr>
        <w:pStyle w:val="FootnoteText"/>
        <w:tabs>
          <w:tab w:val="left" w:pos="2160"/>
        </w:tabs>
        <w:spacing w:line="360" w:lineRule="auto"/>
        <w:ind w:firstLine="1440"/>
        <w:contextualSpacing/>
        <w:rPr>
          <w:sz w:val="24"/>
          <w:szCs w:val="24"/>
        </w:rPr>
      </w:pPr>
    </w:p>
    <w:p w:rsidR="00915753" w:rsidRDefault="00915753" w:rsidP="00915753">
      <w:pPr>
        <w:pStyle w:val="FootnoteText"/>
        <w:tabs>
          <w:tab w:val="left" w:pos="2160"/>
        </w:tabs>
        <w:spacing w:line="360" w:lineRule="auto"/>
        <w:ind w:firstLine="1440"/>
        <w:contextualSpacing/>
        <w:rPr>
          <w:sz w:val="24"/>
          <w:szCs w:val="24"/>
        </w:rPr>
      </w:pPr>
      <w:r>
        <w:rPr>
          <w:sz w:val="24"/>
          <w:szCs w:val="24"/>
        </w:rPr>
        <w:t>37.</w:t>
      </w:r>
      <w:r>
        <w:rPr>
          <w:sz w:val="24"/>
          <w:szCs w:val="24"/>
        </w:rPr>
        <w:tab/>
      </w:r>
      <w:r w:rsidRPr="002D29D1">
        <w:rPr>
          <w:sz w:val="24"/>
          <w:szCs w:val="24"/>
        </w:rPr>
        <w:t>In order to implement REG’s proposal, it would be necessary for PPL Electr</w:t>
      </w:r>
      <w:r w:rsidR="004E7CF8">
        <w:rPr>
          <w:sz w:val="24"/>
          <w:szCs w:val="24"/>
        </w:rPr>
        <w:t>ic to replace meters at premises</w:t>
      </w:r>
      <w:r w:rsidRPr="002D29D1">
        <w:rPr>
          <w:sz w:val="24"/>
          <w:szCs w:val="24"/>
        </w:rPr>
        <w:t xml:space="preserve"> of all customers who pay demand rates.  Presently, that would involve replacing more than 200,000 meters.  The cost of such meters is approximately $130 each, including the installation cost.  Further, REG’s proposal would require substantial reprogramming of PPL Electric’s billing system and reprogramming of the automated meter reading system.  PPL Electric St. 8-R, p. 32.  </w:t>
      </w:r>
      <w:r w:rsidRPr="002D29D1">
        <w:rPr>
          <w:sz w:val="24"/>
          <w:szCs w:val="24"/>
        </w:rPr>
        <w:tab/>
      </w:r>
    </w:p>
    <w:p w:rsidR="00915753" w:rsidRDefault="00915753" w:rsidP="00915753">
      <w:pPr>
        <w:pStyle w:val="FootnoteText"/>
        <w:tabs>
          <w:tab w:val="left" w:pos="2160"/>
        </w:tabs>
        <w:spacing w:line="360" w:lineRule="auto"/>
        <w:ind w:firstLine="1440"/>
        <w:contextualSpacing/>
        <w:rPr>
          <w:sz w:val="24"/>
          <w:szCs w:val="24"/>
        </w:rPr>
      </w:pPr>
    </w:p>
    <w:p w:rsidR="00915753" w:rsidRDefault="00915753" w:rsidP="00915753">
      <w:pPr>
        <w:pStyle w:val="FootnoteText"/>
        <w:tabs>
          <w:tab w:val="left" w:pos="2160"/>
        </w:tabs>
        <w:spacing w:line="360" w:lineRule="auto"/>
        <w:ind w:firstLine="1440"/>
        <w:contextualSpacing/>
        <w:rPr>
          <w:sz w:val="24"/>
          <w:szCs w:val="24"/>
        </w:rPr>
      </w:pPr>
      <w:r>
        <w:rPr>
          <w:sz w:val="24"/>
          <w:szCs w:val="24"/>
        </w:rPr>
        <w:lastRenderedPageBreak/>
        <w:t>38.</w:t>
      </w:r>
      <w:r>
        <w:rPr>
          <w:sz w:val="24"/>
          <w:szCs w:val="24"/>
        </w:rPr>
        <w:tab/>
      </w:r>
      <w:r w:rsidRPr="006B0A49">
        <w:rPr>
          <w:sz w:val="24"/>
          <w:szCs w:val="24"/>
        </w:rPr>
        <w:t xml:space="preserve">Net Metering customers continue to be connected to the Company’s distribution system and continue to use that system both as a consumer of electricity and as a generator of electricity.  The customer charge is designed to recover costs associated with connecting a customer to the system regardless of the customer usage (either as buyer or as a seller).  </w:t>
      </w:r>
    </w:p>
    <w:p w:rsidR="00915753" w:rsidRDefault="00915753" w:rsidP="00915753">
      <w:pPr>
        <w:pStyle w:val="FootnoteText"/>
        <w:tabs>
          <w:tab w:val="left" w:pos="2160"/>
        </w:tabs>
        <w:spacing w:line="360" w:lineRule="auto"/>
        <w:ind w:firstLine="1440"/>
        <w:contextualSpacing/>
        <w:rPr>
          <w:sz w:val="24"/>
          <w:szCs w:val="24"/>
        </w:rPr>
      </w:pPr>
    </w:p>
    <w:p w:rsidR="00915753" w:rsidRDefault="00915753" w:rsidP="00915753">
      <w:pPr>
        <w:pStyle w:val="FootnoteText"/>
        <w:tabs>
          <w:tab w:val="left" w:pos="2160"/>
        </w:tabs>
        <w:spacing w:line="360" w:lineRule="auto"/>
        <w:ind w:firstLine="1440"/>
        <w:contextualSpacing/>
        <w:rPr>
          <w:sz w:val="24"/>
          <w:szCs w:val="24"/>
        </w:rPr>
      </w:pPr>
      <w:r>
        <w:rPr>
          <w:sz w:val="24"/>
          <w:szCs w:val="24"/>
        </w:rPr>
        <w:t>39.</w:t>
      </w:r>
      <w:r>
        <w:rPr>
          <w:sz w:val="24"/>
          <w:szCs w:val="24"/>
        </w:rPr>
        <w:tab/>
      </w:r>
      <w:r w:rsidRPr="006B0A49">
        <w:rPr>
          <w:sz w:val="24"/>
          <w:szCs w:val="24"/>
        </w:rPr>
        <w:t xml:space="preserve">The demand charge is designed to recover the costs associated with the maximum demand a customer places on the system (again either as a buyer or as a seller).  There is therefore no rational basis for eliminating the customer charge or demand charge as part of the Net Metering Rider.  PPL Electric St. 8-RJ, p. 8.  </w:t>
      </w:r>
    </w:p>
    <w:p w:rsidR="00915753" w:rsidRDefault="00915753" w:rsidP="00915753">
      <w:pPr>
        <w:pStyle w:val="FootnoteText"/>
        <w:tabs>
          <w:tab w:val="left" w:pos="2160"/>
        </w:tabs>
        <w:spacing w:line="360" w:lineRule="auto"/>
        <w:ind w:firstLine="1440"/>
        <w:contextualSpacing/>
        <w:rPr>
          <w:sz w:val="24"/>
          <w:szCs w:val="24"/>
        </w:rPr>
      </w:pPr>
    </w:p>
    <w:p w:rsidR="00915753" w:rsidRDefault="00915753" w:rsidP="00915753">
      <w:pPr>
        <w:pStyle w:val="Pleading2L3"/>
        <w:numPr>
          <w:ilvl w:val="0"/>
          <w:numId w:val="0"/>
        </w:numPr>
        <w:tabs>
          <w:tab w:val="left" w:pos="2160"/>
        </w:tabs>
        <w:spacing w:line="360" w:lineRule="auto"/>
        <w:ind w:firstLine="1440"/>
        <w:contextualSpacing/>
      </w:pPr>
      <w:r>
        <w:rPr>
          <w:szCs w:val="24"/>
        </w:rPr>
        <w:t>40.</w:t>
      </w:r>
      <w:r>
        <w:rPr>
          <w:szCs w:val="24"/>
        </w:rPr>
        <w:tab/>
        <w:t>A</w:t>
      </w:r>
      <w:r>
        <w:t xml:space="preserve">ny reference to an annual period should conform to the AEPS compliance reporting period of June 1 through May 31, which is the PJM planning year.  This Commission believes that keeping any references to annual periods consistent throughout these regulations will eliminate confusion and provide the greatest administrative ease for all involved.  Final Omitted Rulemaking Order in </w:t>
      </w:r>
      <w:r>
        <w:rPr>
          <w:i/>
        </w:rPr>
        <w:t xml:space="preserve">Implementation of Act 35 of 2007; Net Metering and Interconnection, </w:t>
      </w:r>
      <w:r>
        <w:t xml:space="preserve">L-00050174 (entered July 2, 2008) at 12.  </w:t>
      </w:r>
    </w:p>
    <w:p w:rsidR="00915753" w:rsidRDefault="00915753" w:rsidP="00915753">
      <w:pPr>
        <w:pStyle w:val="Pleading2L3"/>
        <w:numPr>
          <w:ilvl w:val="0"/>
          <w:numId w:val="0"/>
        </w:numPr>
        <w:tabs>
          <w:tab w:val="left" w:pos="2160"/>
        </w:tabs>
        <w:spacing w:line="360" w:lineRule="auto"/>
        <w:ind w:firstLine="1440"/>
        <w:contextualSpacing/>
      </w:pPr>
    </w:p>
    <w:p w:rsidR="00915753" w:rsidRDefault="00915753" w:rsidP="00915753">
      <w:pPr>
        <w:pStyle w:val="BodyText2"/>
        <w:tabs>
          <w:tab w:val="left" w:pos="2160"/>
        </w:tabs>
        <w:spacing w:after="0" w:line="360" w:lineRule="auto"/>
        <w:ind w:firstLine="1440"/>
        <w:contextualSpacing/>
        <w:jc w:val="left"/>
      </w:pPr>
      <w:r>
        <w:t>41.</w:t>
      </w:r>
      <w:r>
        <w:tab/>
        <w:t xml:space="preserve">In 2010, for example, PPL Electric’s weatherization budget for low-income customers is $16 million, which includes $8.0 million from the traditional WRAP and $8.0 million under Act 129.  </w:t>
      </w:r>
    </w:p>
    <w:p w:rsidR="00915753" w:rsidRDefault="00915753" w:rsidP="00915753">
      <w:pPr>
        <w:pStyle w:val="Pleading2L3"/>
        <w:numPr>
          <w:ilvl w:val="0"/>
          <w:numId w:val="0"/>
        </w:numPr>
        <w:tabs>
          <w:tab w:val="left" w:pos="2160"/>
        </w:tabs>
        <w:spacing w:line="360" w:lineRule="auto"/>
        <w:ind w:firstLine="1440"/>
        <w:contextualSpacing/>
      </w:pPr>
    </w:p>
    <w:p w:rsidR="00915753" w:rsidRDefault="00915753" w:rsidP="00915753">
      <w:pPr>
        <w:pStyle w:val="Pleading2L3"/>
        <w:numPr>
          <w:ilvl w:val="0"/>
          <w:numId w:val="0"/>
        </w:numPr>
        <w:tabs>
          <w:tab w:val="left" w:pos="2160"/>
        </w:tabs>
        <w:spacing w:line="360" w:lineRule="auto"/>
        <w:ind w:firstLine="1440"/>
        <w:contextualSpacing/>
      </w:pPr>
      <w:r>
        <w:t>42.</w:t>
      </w:r>
      <w:r>
        <w:tab/>
        <w:t>PPL Electric’s Operation HELP pays for any type of home heating bill for low-income customers.  The fund is supported by donations from customers, employees, and PPL Corporation.  PPL Electric Ex. TRD-1.  No portion of the funding for Operation HELP is raised through rates.</w:t>
      </w:r>
    </w:p>
    <w:p w:rsidR="00915753" w:rsidRDefault="00915753" w:rsidP="00915753">
      <w:pPr>
        <w:pStyle w:val="Pleading2L3"/>
        <w:numPr>
          <w:ilvl w:val="0"/>
          <w:numId w:val="0"/>
        </w:numPr>
        <w:tabs>
          <w:tab w:val="left" w:pos="2160"/>
        </w:tabs>
        <w:spacing w:line="360" w:lineRule="auto"/>
        <w:ind w:firstLine="1440"/>
      </w:pPr>
    </w:p>
    <w:p w:rsidR="00915753" w:rsidRDefault="00915753" w:rsidP="00915753">
      <w:pPr>
        <w:pStyle w:val="Pleading2L3"/>
        <w:numPr>
          <w:ilvl w:val="0"/>
          <w:numId w:val="0"/>
        </w:numPr>
        <w:tabs>
          <w:tab w:val="num" w:pos="0"/>
          <w:tab w:val="left" w:pos="2160"/>
        </w:tabs>
        <w:spacing w:line="360" w:lineRule="auto"/>
        <w:ind w:firstLine="1440"/>
        <w:contextualSpacing/>
      </w:pPr>
      <w:r>
        <w:rPr>
          <w:szCs w:val="24"/>
        </w:rPr>
        <w:t>43.</w:t>
      </w:r>
      <w:r>
        <w:rPr>
          <w:szCs w:val="24"/>
        </w:rPr>
        <w:tab/>
      </w:r>
      <w:r>
        <w:t>In the Commission’s judgment, a POR program is an essential tool to reduce barriers to entry by EGS firms and to create the fully functional retail market for generation envisioned by the General Assembly in Chapter 28.</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lastRenderedPageBreak/>
        <w:t>44.</w:t>
      </w:r>
      <w:r>
        <w:tab/>
      </w:r>
      <w:r w:rsidRPr="00A13D96">
        <w:t>Just as default customers should not subsidize those customers who shop, shopping customers should not be required to subsidize the electric service of default customers who remain with the Company.</w:t>
      </w:r>
      <w:r>
        <w:t xml:space="preserve">  </w:t>
      </w:r>
      <w:r>
        <w:rPr>
          <w:i/>
        </w:rPr>
        <w:t xml:space="preserve">PPL Electric Utilities Corporation Retail Markets, </w:t>
      </w:r>
      <w:r>
        <w:t>Docket No. M-2009-2104271 (Order entered August 11, 2009) at 27-29. (emphasis added)</w:t>
      </w:r>
    </w:p>
    <w:p w:rsidR="00915753" w:rsidRDefault="00915753" w:rsidP="00915753">
      <w:pPr>
        <w:pStyle w:val="FootnoteText"/>
        <w:tabs>
          <w:tab w:val="left" w:pos="2160"/>
        </w:tabs>
        <w:spacing w:line="360" w:lineRule="auto"/>
        <w:ind w:firstLine="1440"/>
        <w:contextualSpacing/>
        <w:rPr>
          <w:sz w:val="24"/>
          <w:szCs w:val="24"/>
        </w:rPr>
      </w:pPr>
    </w:p>
    <w:p w:rsidR="00915753" w:rsidRDefault="00915753" w:rsidP="00915753">
      <w:pPr>
        <w:pStyle w:val="BodyText2"/>
        <w:tabs>
          <w:tab w:val="left" w:pos="2160"/>
        </w:tabs>
        <w:spacing w:after="0" w:line="360" w:lineRule="auto"/>
        <w:ind w:firstLine="1440"/>
        <w:contextualSpacing/>
        <w:jc w:val="left"/>
      </w:pPr>
      <w:r>
        <w:t>45.</w:t>
      </w:r>
      <w:r>
        <w:tab/>
        <w:t xml:space="preserve">The purchase and sale of accounts receivable is a financial instrument employed by commercial entities to avoid credit and collection activities and to take advantage of the time-value of money.  In its most basic sense, accounts receivable are moneys owed for specific services rendered.  Tr. 442.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46.</w:t>
      </w:r>
      <w:r>
        <w:tab/>
        <w:t xml:space="preserve">In the absence of a POR program, the entity rendering the service is responsible for the costs and efforts associated with the billing and collection of the amounts owed by its customer and bears the risk that the customer will not timely remit payment and/or not pay the outstanding amount in full.  Under a POR program, the entity rendering the service sells its accounts receivable to a third party and receives immediate payment for the receivables less an agreed upon discount to reflect collection risk and the time value of money.  Tr. 443.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47.</w:t>
      </w:r>
      <w:r>
        <w:tab/>
        <w:t>A POR program allows the seller of the receivable to receive payment sooner and avoid the costs and risks associated with collecting any delinquent amounts owed by the customer.  Tr. 443.</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48.</w:t>
      </w:r>
      <w:r>
        <w:tab/>
        <w:t xml:space="preserve">The current POR program was the result of a partial settlement and the Commission’s resolution of two issues reserved for litigation.  </w:t>
      </w:r>
      <w:r>
        <w:rPr>
          <w:i/>
        </w:rPr>
        <w:t>Petition of PPL Utilities Corporation Requesting Approval of a Voluntary Purchase of Accounts Receivables Program and Merchant Function Charge</w:t>
      </w:r>
      <w:r>
        <w:t>, Docket No. P-2009-2129502, 279 PUR4th 539, 2009 Pa. PUC LEXIS 266 at *9 (November 19, 2009) (</w:t>
      </w:r>
      <w:r>
        <w:rPr>
          <w:i/>
        </w:rPr>
        <w:t>PPL Electric POR Program”</w:t>
      </w:r>
      <w:r>
        <w:t xml:space="preserve">).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49.</w:t>
      </w:r>
      <w:r>
        <w:tab/>
        <w:t xml:space="preserve">The accounts receivable purchased by PPL Electric are the moneys owed by shopping customers to the EGS for generation services.  PPL Electric purchases these accounts receivable at a discount from the standard supply charges to offset the risks and </w:t>
      </w:r>
      <w:r>
        <w:lastRenderedPageBreak/>
        <w:t>expenses associated with accounts that may ultimately be uncollectible.  PPL Electric St. 6-R, p. 4.</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50.</w:t>
      </w:r>
      <w:r>
        <w:tab/>
        <w:t xml:space="preserve">The discount rate is composed of two components:  (1) an uncollectible accounts expense percentage factor; and (2) a POR development, implementation, and administration percentage factor.  PPL Electric St. 6, p. 8.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51.</w:t>
      </w:r>
      <w:r>
        <w:tab/>
        <w:t xml:space="preserve">The uncollectible accounts expense percentage factor primarily is based on an average of the Company’s actual bad debt write-offs for the most recent five calendar years.  PPL Electric St. 7, p. 33; PPL Electric Ex. JKM-7.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52.</w:t>
      </w:r>
      <w:r>
        <w:tab/>
        <w:t>The POR administrative percentage factor is based on:  (a) PPL Electric’s POR administrative costs; (b) shopping levels; (c) POR program participation levels; and (d) average competitive supply rates.  PPL Electric St. 7, p. 33.</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53.</w:t>
      </w:r>
      <w:r>
        <w:tab/>
        <w:t>In conjunction with its POR program, PPL Electric also implemented a Merchant Function Charge (“MFC”), which unbundles from its distribution base rates the uncollectible accounts expense associated with generation supply.  As a result, the uncollectible accounts expense related to distribution service is recovered from all ratepayers through distribution charges.  In turn, the uncollectible accounts expense related to generation service is separated from PPL Electric’s distribution rates and recovered as follows:  (1) by the Company from default service customers through the MFC; or (2) by individual EGSs from shopping customers taking competitive supply as a component of their generation price.  PPL Electric St. 6-R, p. 2.  Thus, residential and small c&amp;i customers who contract for generation supply with an EGS do not pay the MFC.  However, the MFC is added to the Price to Compare so that EGSs are able to reflect generation uncollectible costs in their competitive supply offers.</w:t>
      </w:r>
      <w:r w:rsidRPr="005576E9">
        <w:rPr>
          <w:rStyle w:val="FootnoteReference"/>
          <w:vertAlign w:val="superscript"/>
        </w:rPr>
        <w:footnoteReference w:id="7"/>
      </w:r>
      <w:r>
        <w:t xml:space="preserve">  PPL Electric St. 7, p. 30.</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lastRenderedPageBreak/>
        <w:t>54.</w:t>
      </w:r>
      <w:r>
        <w:tab/>
        <w:t xml:space="preserve">The Company has set forth a rational approach towards determining the appropriate charges, as evidenced by the fact that the Commission has already approved the POR program, and the newness of the program prevents actual costs from being used, the use of historic data is reasonable in light of the fact that the POR is still in its first year of operation.  PPL Electric Reply Brief at 31.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55.</w:t>
      </w:r>
      <w:r>
        <w:tab/>
        <w:t xml:space="preserve">In the absence of the “all-in/all-out” requirement, an EGS could potentially maintain the billing and collection responsibilities for low risk, good-paying residential customers, while shifting the risk of residential customers with poor credit or payment histories to PPL Electric through use of its consolidated billing.  As a result, the Company’s actual uncollectible accounts expense would likely be higher than the average for all residential customers, and it might be significantly higher due to the moratorium on residential winter terminations under chapter 56.  PPL Electric Stmt. 6-R at 5-6.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56.</w:t>
      </w:r>
      <w:r>
        <w:tab/>
        <w:t xml:space="preserve">Currently, two thirds of the large c&amp;i customers who are taking competitive supply are being billed separately by their EGS.  Many of these customers are enrolled in complex, customized products.  PPL Electric St. 6-R, pp. 19-20.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57.</w:t>
      </w:r>
      <w:r>
        <w:tab/>
        <w:t xml:space="preserve">EDC consolidated billing format is not compatible for such complex, customized products offered by EGSs.  RESA St. 1, p. 14.  </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58.</w:t>
      </w:r>
      <w:r>
        <w:tab/>
        <w:t>Changing the structure of the large c&amp;i POR program would involve significant programming and put efforts to install other functionality intended to encourage a competitive market at risk of not being completed in a timely manner.  PPL Electric St. 6-R, p. 20.</w:t>
      </w:r>
    </w:p>
    <w:p w:rsidR="00915753" w:rsidRDefault="00915753" w:rsidP="00915753">
      <w:pPr>
        <w:pStyle w:val="BodyText2"/>
        <w:tabs>
          <w:tab w:val="left" w:pos="2160"/>
        </w:tabs>
        <w:spacing w:after="0" w:line="360" w:lineRule="auto"/>
        <w:ind w:firstLine="1440"/>
        <w:contextualSpacing/>
        <w:jc w:val="left"/>
      </w:pPr>
    </w:p>
    <w:p w:rsidR="00915753" w:rsidRDefault="00915753" w:rsidP="00915753">
      <w:pPr>
        <w:pStyle w:val="BodyText2"/>
        <w:tabs>
          <w:tab w:val="left" w:pos="2160"/>
        </w:tabs>
        <w:spacing w:after="0" w:line="360" w:lineRule="auto"/>
        <w:ind w:firstLine="1440"/>
        <w:contextualSpacing/>
        <w:jc w:val="left"/>
      </w:pPr>
      <w:r>
        <w:t>59.</w:t>
      </w:r>
      <w:r>
        <w:tab/>
        <w:t>To the extent that a customer’s operations reduce costs to generators, such as operations that use electricity during off-peak periods, the customers should receive prices reflecting those cost reductions from the generators.</w:t>
      </w:r>
    </w:p>
    <w:p w:rsidR="00915753" w:rsidRDefault="00915753" w:rsidP="00915753">
      <w:pPr>
        <w:jc w:val="left"/>
      </w:pPr>
    </w:p>
    <w:p w:rsidR="00915753" w:rsidRDefault="00915753" w:rsidP="00915753">
      <w:pPr>
        <w:jc w:val="left"/>
      </w:pPr>
    </w:p>
    <w:p w:rsidR="00915753" w:rsidRDefault="00915753" w:rsidP="00915753">
      <w:pPr>
        <w:rPr>
          <w:u w:val="single"/>
        </w:rPr>
      </w:pPr>
      <w:r w:rsidRPr="0032595D">
        <w:lastRenderedPageBreak/>
        <w:t>III.</w:t>
      </w:r>
      <w:r w:rsidRPr="0032595D">
        <w:tab/>
      </w:r>
      <w:r>
        <w:rPr>
          <w:u w:val="single"/>
        </w:rPr>
        <w:t>DISCUSSION</w:t>
      </w:r>
    </w:p>
    <w:p w:rsidR="00915753" w:rsidRDefault="00CE0415" w:rsidP="00915753">
      <w:pPr>
        <w:rPr>
          <w:u w:val="single"/>
        </w:rPr>
      </w:pPr>
      <w:r>
        <w:rPr>
          <w:u w:val="single"/>
        </w:rPr>
        <w:fldChar w:fldCharType="begin"/>
      </w:r>
      <w:r w:rsidR="00915753">
        <w:instrText xml:space="preserve"> TC "</w:instrText>
      </w:r>
      <w:bookmarkStart w:id="28" w:name="_Toc274905752"/>
      <w:bookmarkStart w:id="29" w:name="_Toc274906162"/>
      <w:bookmarkStart w:id="30" w:name="_Toc274912165"/>
      <w:r w:rsidR="00915753" w:rsidRPr="0086571F">
        <w:instrText>III.</w:instrText>
      </w:r>
      <w:r w:rsidR="00915753" w:rsidRPr="0086571F">
        <w:tab/>
      </w:r>
      <w:r w:rsidR="00915753" w:rsidRPr="0086571F">
        <w:rPr>
          <w:u w:val="single"/>
        </w:rPr>
        <w:instrText>DISCUSSION</w:instrText>
      </w:r>
      <w:bookmarkEnd w:id="28"/>
      <w:bookmarkEnd w:id="29"/>
      <w:bookmarkEnd w:id="30"/>
      <w:r w:rsidR="00915753">
        <w:instrText xml:space="preserve">" \f C \l "1" </w:instrText>
      </w:r>
      <w:r>
        <w:rPr>
          <w:u w:val="single"/>
        </w:rPr>
        <w:fldChar w:fldCharType="end"/>
      </w:r>
    </w:p>
    <w:p w:rsidR="00915753" w:rsidRPr="00C9039A" w:rsidRDefault="00915753" w:rsidP="00915753">
      <w:pPr>
        <w:jc w:val="left"/>
      </w:pPr>
      <w:r w:rsidRPr="00C9039A">
        <w:t>1.</w:t>
      </w:r>
      <w:r w:rsidRPr="00C9039A">
        <w:tab/>
      </w:r>
      <w:r w:rsidRPr="00C9039A">
        <w:rPr>
          <w:u w:val="single"/>
        </w:rPr>
        <w:t>INTRODUCTION</w:t>
      </w:r>
      <w:r w:rsidR="00CE0415" w:rsidRPr="00C9039A">
        <w:fldChar w:fldCharType="begin"/>
      </w:r>
      <w:r w:rsidRPr="00C9039A">
        <w:instrText xml:space="preserve"> TC "</w:instrText>
      </w:r>
      <w:bookmarkStart w:id="31" w:name="_Toc274905753"/>
      <w:bookmarkStart w:id="32" w:name="_Toc274906163"/>
      <w:bookmarkStart w:id="33" w:name="_Toc274912166"/>
      <w:r w:rsidRPr="00C9039A">
        <w:instrText>1.</w:instrText>
      </w:r>
      <w:r w:rsidRPr="00C9039A">
        <w:tab/>
        <w:instrText>Introduction</w:instrText>
      </w:r>
      <w:bookmarkEnd w:id="31"/>
      <w:bookmarkEnd w:id="32"/>
      <w:bookmarkEnd w:id="33"/>
      <w:r w:rsidRPr="00C9039A">
        <w:instrText xml:space="preserve">" \f C \l "2" </w:instrText>
      </w:r>
      <w:r w:rsidR="00CE0415" w:rsidRPr="00C9039A">
        <w:fldChar w:fldCharType="end"/>
      </w:r>
    </w:p>
    <w:p w:rsidR="00915753" w:rsidRDefault="00915753" w:rsidP="00915753">
      <w:pPr>
        <w:jc w:val="left"/>
      </w:pPr>
    </w:p>
    <w:p w:rsidR="00915753" w:rsidRPr="007D7110" w:rsidRDefault="00915753" w:rsidP="00915753">
      <w:pPr>
        <w:jc w:val="left"/>
      </w:pPr>
      <w:r>
        <w:tab/>
      </w:r>
      <w:r>
        <w:tab/>
        <w:t>The topics appearing in an electric distribution base rate case include revenue requirement, revenue allocation and rate design, universal service, and tariff and competitive issues.  In this instance the litigating parties agreed upon revenue requirement and universal service issues, in addition to residential rate design issues.  Remaining issues for adjudication are revenue allocation, non-residential rate design and certain tariff and competitive issues.</w:t>
      </w:r>
    </w:p>
    <w:p w:rsidR="00915753" w:rsidRPr="00561DC1" w:rsidRDefault="00915753" w:rsidP="00915753">
      <w:pPr>
        <w:jc w:val="left"/>
      </w:pPr>
    </w:p>
    <w:p w:rsidR="00915753" w:rsidRDefault="00915753" w:rsidP="00915753">
      <w:pPr>
        <w:jc w:val="left"/>
      </w:pPr>
      <w:r>
        <w:tab/>
      </w:r>
      <w:r>
        <w:tab/>
        <w:t>Parties were directed in the scheduling order to follow the standard rate case briefing format, and I note that the Commission’s Order suspending this rate filing, entered May 20, 2010, indicates particular areas of concern which the Commission directs the parties to address.  The parties were directed to indicate, at the beginning of each section in their main briefs, which of these areas of concern are covered in each section.  This was intended to provide a quick way for Commission staff to reference the parties’ arguments when reviewing the case.</w:t>
      </w:r>
    </w:p>
    <w:p w:rsidR="00915753" w:rsidRDefault="00915753" w:rsidP="00915753">
      <w:pPr>
        <w:jc w:val="left"/>
      </w:pPr>
    </w:p>
    <w:p w:rsidR="00915753" w:rsidRDefault="00915753" w:rsidP="00915753">
      <w:pPr>
        <w:jc w:val="left"/>
      </w:pPr>
      <w:r>
        <w:tab/>
      </w:r>
      <w:r>
        <w:tab/>
        <w:t>In this case, as in the routine handling of every base rate case, the parties were provided the standard guideline as an attachment to the scheduling order, which they followed as much as possible within the unique factors of this particular case.</w:t>
      </w:r>
    </w:p>
    <w:p w:rsidR="00915753" w:rsidRDefault="00915753" w:rsidP="00915753">
      <w:pPr>
        <w:jc w:val="left"/>
        <w:rPr>
          <w:b/>
        </w:rPr>
      </w:pPr>
    </w:p>
    <w:p w:rsidR="00915753" w:rsidRPr="00C9039A" w:rsidRDefault="00915753" w:rsidP="00915753">
      <w:pPr>
        <w:tabs>
          <w:tab w:val="left" w:pos="720"/>
        </w:tabs>
        <w:jc w:val="left"/>
      </w:pPr>
      <w:r>
        <w:t>2.</w:t>
      </w:r>
      <w:r>
        <w:tab/>
      </w:r>
      <w:r w:rsidRPr="00D01176">
        <w:rPr>
          <w:u w:val="single"/>
        </w:rPr>
        <w:t>PUBLIC INPUT HEARINGS</w:t>
      </w:r>
      <w:r w:rsidR="00CE0415">
        <w:rPr>
          <w:u w:val="single"/>
        </w:rPr>
        <w:fldChar w:fldCharType="begin"/>
      </w:r>
      <w:r>
        <w:instrText xml:space="preserve"> TC "</w:instrText>
      </w:r>
      <w:bookmarkStart w:id="34" w:name="_Toc274905754"/>
      <w:bookmarkStart w:id="35" w:name="_Toc274906164"/>
      <w:bookmarkStart w:id="36" w:name="_Toc274912167"/>
      <w:r w:rsidRPr="004C2902">
        <w:instrText>2.</w:instrText>
      </w:r>
      <w:r w:rsidRPr="004C2902">
        <w:tab/>
      </w:r>
      <w:r w:rsidRPr="004C2902">
        <w:rPr>
          <w:u w:val="single"/>
        </w:rPr>
        <w:instrText>PUBLIC INPUT HEARINGS</w:instrText>
      </w:r>
      <w:bookmarkEnd w:id="34"/>
      <w:bookmarkEnd w:id="35"/>
      <w:bookmarkEnd w:id="36"/>
      <w:r>
        <w:instrText xml:space="preserve">" \f C \l "2" </w:instrText>
      </w:r>
      <w:r w:rsidR="00CE0415">
        <w:rPr>
          <w:u w:val="single"/>
        </w:rPr>
        <w:fldChar w:fldCharType="end"/>
      </w:r>
    </w:p>
    <w:p w:rsidR="00915753" w:rsidRDefault="00915753" w:rsidP="00915753">
      <w:pPr>
        <w:jc w:val="left"/>
        <w:rPr>
          <w:b/>
        </w:rPr>
      </w:pPr>
    </w:p>
    <w:p w:rsidR="00915753" w:rsidRDefault="00915753" w:rsidP="00915753">
      <w:pPr>
        <w:contextualSpacing/>
        <w:jc w:val="left"/>
      </w:pPr>
      <w:r>
        <w:tab/>
      </w:r>
      <w:r>
        <w:tab/>
        <w:t>Five public input hearing</w:t>
      </w:r>
      <w:r w:rsidR="004E7CF8">
        <w:t>s</w:t>
      </w:r>
      <w:r>
        <w:t xml:space="preserve"> were held throughout the PPL Electric service territory over a two-week period in June 2010.  All were attended by the Company, OTS, OCA, SEF and Mr. Epstein.  CEO attended the public input held in Wilkes-Barre.</w:t>
      </w:r>
    </w:p>
    <w:p w:rsidR="00915753" w:rsidRDefault="00915753" w:rsidP="00915753">
      <w:pPr>
        <w:contextualSpacing/>
        <w:jc w:val="left"/>
      </w:pPr>
    </w:p>
    <w:p w:rsidR="00915753" w:rsidRDefault="00915753" w:rsidP="00915753">
      <w:pPr>
        <w:contextualSpacing/>
        <w:jc w:val="left"/>
      </w:pPr>
      <w:r>
        <w:tab/>
      </w:r>
      <w:r>
        <w:tab/>
        <w:t xml:space="preserve">Pursuant to a request from the presiding officer, at each public input hearing, the Company explained: (1) the separation of PPL Electric Utilities Corporation from the other companies affiliated with PPL Corporation; (2) expiration of the generation rate caps; and (3) why the sizeable increase in the overall electric bill which occurred when the rate caps expired </w:t>
      </w:r>
      <w:r>
        <w:lastRenderedPageBreak/>
        <w:t xml:space="preserve">for this Company on December 31, 2009 did not benefit this utility.  The Company provided a poster-sized electric bill and a simple break-down of the PPL Corporation’s structure as visual aids.    </w:t>
      </w:r>
    </w:p>
    <w:p w:rsidR="00915753" w:rsidRDefault="00915753" w:rsidP="00915753">
      <w:pPr>
        <w:contextualSpacing/>
        <w:jc w:val="left"/>
      </w:pPr>
    </w:p>
    <w:p w:rsidR="00915753" w:rsidRDefault="00915753" w:rsidP="00915753">
      <w:pPr>
        <w:pStyle w:val="ListParagraph"/>
        <w:numPr>
          <w:ilvl w:val="0"/>
          <w:numId w:val="3"/>
        </w:numPr>
        <w:jc w:val="left"/>
        <w:rPr>
          <w:b/>
        </w:rPr>
      </w:pPr>
      <w:r w:rsidRPr="00C71D71">
        <w:rPr>
          <w:b/>
        </w:rPr>
        <w:t>June 14, 2010 Scranton State Office Building</w:t>
      </w:r>
    </w:p>
    <w:p w:rsidR="00915753" w:rsidRPr="00C71D71" w:rsidRDefault="00915753" w:rsidP="00915753">
      <w:pPr>
        <w:pStyle w:val="ListParagraph"/>
        <w:spacing w:line="240" w:lineRule="auto"/>
        <w:jc w:val="left"/>
        <w:rPr>
          <w:b/>
        </w:rPr>
      </w:pPr>
    </w:p>
    <w:p w:rsidR="00915753" w:rsidRDefault="00915753" w:rsidP="00915753">
      <w:pPr>
        <w:tabs>
          <w:tab w:val="left" w:pos="720"/>
        </w:tabs>
        <w:contextualSpacing/>
        <w:jc w:val="left"/>
      </w:pPr>
      <w:r w:rsidRPr="00C71D71">
        <w:tab/>
      </w:r>
      <w:r>
        <w:rPr>
          <w:u w:val="single"/>
        </w:rPr>
        <w:t>Marjanie Price Hellman</w:t>
      </w:r>
      <w:r>
        <w:t>, retired educator, testified regarding her experience with the Residential Thermal Storage heating system and Rate Schedule RTS.</w:t>
      </w:r>
      <w:r w:rsidRPr="00D01176">
        <w:rPr>
          <w:rStyle w:val="FootnoteReference"/>
          <w:vertAlign w:val="superscript"/>
        </w:rPr>
        <w:footnoteReference w:id="8"/>
      </w:r>
      <w:r>
        <w:t xml:space="preserve">  Her March 2009 electric bill was around $200.00, and her March 2010 electric bill was $414.00.  This exceeded the 30% increase that had been predicted for rate cap expiration.  She does not have the capital to install a new heating system.  She was given information regarding the time of use rate and shopping.  Tr. 41</w:t>
      </w:r>
      <w:r>
        <w:noBreakHyphen/>
        <w:t>50.</w:t>
      </w:r>
    </w:p>
    <w:p w:rsidR="00915753" w:rsidRDefault="00915753" w:rsidP="00915753">
      <w:pPr>
        <w:tabs>
          <w:tab w:val="left" w:pos="720"/>
        </w:tabs>
        <w:contextualSpacing/>
        <w:jc w:val="left"/>
      </w:pPr>
    </w:p>
    <w:p w:rsidR="00915753" w:rsidRDefault="00915753" w:rsidP="00915753">
      <w:pPr>
        <w:ind w:firstLine="720"/>
        <w:contextualSpacing/>
        <w:jc w:val="left"/>
      </w:pPr>
      <w:r>
        <w:rPr>
          <w:u w:val="single"/>
        </w:rPr>
        <w:t>John Hafferty,</w:t>
      </w:r>
      <w:r>
        <w:t xml:space="preserve"> retired, expressed his opinion that he could not recall seeing anything in the news stating that the Company was going to be bankrupt if the rate caps remained in effect, and now the Company is not satisfied with a 30% increase.  He stated that PPL has gotten permission increase the power at the two nuclear plants in Berwick, and this is dangerous since these plants are both halfway past their life span.  With the increased power, some of the old transmission lines cannot handle the load, so they will have to be replaced.  He did not understand why PPL Electric has to buy power on the market when these two plants are in Berwick.  Residents have to live with the spent fuel rods and the water used without cost from the Susquehanna River.  Tr. 50-54.</w:t>
      </w:r>
    </w:p>
    <w:p w:rsidR="008228F6" w:rsidRDefault="008228F6" w:rsidP="00915753">
      <w:pPr>
        <w:ind w:firstLine="720"/>
        <w:contextualSpacing/>
        <w:jc w:val="left"/>
      </w:pPr>
    </w:p>
    <w:p w:rsidR="00915753" w:rsidRDefault="00915753" w:rsidP="00915753">
      <w:pPr>
        <w:ind w:firstLine="720"/>
        <w:contextualSpacing/>
        <w:jc w:val="left"/>
      </w:pPr>
      <w:r>
        <w:rPr>
          <w:u w:val="single"/>
        </w:rPr>
        <w:t>Rosemary Gallagher</w:t>
      </w:r>
      <w:r>
        <w:t xml:space="preserve">, retired from Blue Ridge Mines as Director of PR and Development, testified that she believes that the low number of participants at the public input hearing was because people do not have faith in the PUC.  It seems that the PUC is in the utility’s corner, the </w:t>
      </w:r>
      <w:r>
        <w:lastRenderedPageBreak/>
        <w:t>Commission always grants the raise no matter how much customers resent it.  She hopes that the PUC has a conscience and understands that they are there for a reason.  In her opinion, PPL is a very well-run company and she does not understand why they continually need more revenue.  She listened to the speech on the differences on the bill but is only interested in the bottom line, as she thinks most people are.  The fact is that they just got a 30% raise, and now they plan to raise it again.  She suggests hiring more people like Rich Beasley, the customer service representative who attended the public input hearing for the Company because he is a super person.  He takes care of issues right away.  She spoke against cap-and-trade.  She doesn’t want to shop because she is so satisfied with this company, but she does ask the PUC to deny this request for a rate increase.  Tr. 55-59.</w:t>
      </w:r>
    </w:p>
    <w:p w:rsidR="00915753" w:rsidRDefault="00915753" w:rsidP="00915753">
      <w:pPr>
        <w:ind w:firstLine="720"/>
        <w:contextualSpacing/>
        <w:jc w:val="left"/>
      </w:pPr>
    </w:p>
    <w:p w:rsidR="00915753" w:rsidRDefault="00915753" w:rsidP="00915753">
      <w:pPr>
        <w:ind w:firstLine="720"/>
        <w:contextualSpacing/>
        <w:jc w:val="left"/>
      </w:pPr>
      <w:r>
        <w:rPr>
          <w:u w:val="single"/>
        </w:rPr>
        <w:t>David Kveragas</w:t>
      </w:r>
      <w:r w:rsidRPr="002C4143">
        <w:t xml:space="preserve">, </w:t>
      </w:r>
      <w:r>
        <w:t>ERSI construction demolition waste disposal, testified that he also had a ceramic heater system that worked very well.  He also testified in the Susquehanna-Roseland Transmission Line case at public input hearings, and he also shares the concern regarding the reliability of aging nuclear plants.  He is just waiting for the Company to say it has to raise rates to build new nuclear plants because these are too old.  He stated that the bills are too complex to be easily understood, and the PPL companies all lead back to the same body, which is PPL, and inefficient.  His property has a PPL right-of-way on it and PPL hired a contractor to clear it back further than it had historically been cleared but the contractor did not know why, and he believes this is indicative of waste.  He provided his opinion regarding the route chosen for the transmission line and concludes that the chosen route is wasteful.  He stated that his power goes out all the time but did not provide specifics.  He concludes further that the Company needs to be told “no.”  Tr. 60-69.</w:t>
      </w:r>
    </w:p>
    <w:p w:rsidR="00915753" w:rsidRDefault="00915753" w:rsidP="00915753">
      <w:pPr>
        <w:ind w:firstLine="720"/>
        <w:contextualSpacing/>
        <w:jc w:val="left"/>
      </w:pPr>
    </w:p>
    <w:p w:rsidR="00915753" w:rsidRDefault="00915753" w:rsidP="00915753">
      <w:pPr>
        <w:ind w:firstLine="720"/>
        <w:contextualSpacing/>
        <w:jc w:val="left"/>
      </w:pPr>
      <w:r>
        <w:rPr>
          <w:u w:val="single"/>
        </w:rPr>
        <w:t>Robert C. Neveroski</w:t>
      </w:r>
      <w:r>
        <w:t>, retired from Maislin Transportation, identified himself as the president of the Hill Neighborhood Association, and presented a letter marked as Neveroski Exhibit 1.  The letter opposes the rate increase, after the Company imposed a 30% increase on January 1</w:t>
      </w:r>
      <w:r w:rsidRPr="00C00B3A">
        <w:rPr>
          <w:vertAlign w:val="superscript"/>
        </w:rPr>
        <w:t>st</w:t>
      </w:r>
      <w:r>
        <w:t xml:space="preserve">, lost 500,000 customers, and now they are trying a ploy to get more money by imposing a bogus rate increase.  His inquiries led him to believe that saving money on off-peak hours would not be practical, but neither was his suggestion that he run an extension cord from PPL counsel’s house to his own.  He does not like utilities in general, and he did not get an </w:t>
      </w:r>
      <w:r>
        <w:lastRenderedPageBreak/>
        <w:t>increase in his Social Security this year.  He does not believe that there is a local benefit to running electric lines from Berwick to New Jersey.  He recommends that the PUC remove the “public” from its title because they have never turned down a rate increase, and they should.  This company does not need the money.  Stand up for the consumer.  Tr. 69-74.</w:t>
      </w:r>
    </w:p>
    <w:p w:rsidR="00915753" w:rsidRDefault="00915753" w:rsidP="00915753">
      <w:pPr>
        <w:ind w:firstLine="720"/>
        <w:contextualSpacing/>
        <w:jc w:val="left"/>
      </w:pPr>
    </w:p>
    <w:p w:rsidR="00915753" w:rsidRDefault="00915753" w:rsidP="00915753">
      <w:pPr>
        <w:ind w:firstLine="720"/>
        <w:contextualSpacing/>
        <w:jc w:val="left"/>
      </w:pPr>
      <w:r>
        <w:rPr>
          <w:u w:val="single"/>
        </w:rPr>
        <w:t>Marie Schumacher</w:t>
      </w:r>
      <w:r>
        <w:t xml:space="preserve">, retired from Lockheed-Martin Corporation, expressed her disappointment because she expected a presentation to explain why the rate increase is needed.  She testified at the Susquehanna-Roseland public input and is irritated that the citizens weren’t listened to there.  She cannot believe consumers are being asked to pay for the third generation plant at Berwick.  People are being hit with bills from all sides, and they’re losing their homes.  It’s time that the utilities tighten their belts the way a lot of people are having to tighten their belts.  Tr. 74-77. </w:t>
      </w:r>
    </w:p>
    <w:p w:rsidR="00915753" w:rsidRDefault="00915753" w:rsidP="00915753">
      <w:pPr>
        <w:contextualSpacing/>
        <w:jc w:val="left"/>
      </w:pPr>
    </w:p>
    <w:p w:rsidR="00915753" w:rsidRDefault="00915753" w:rsidP="00915753">
      <w:pPr>
        <w:pStyle w:val="ListParagraph"/>
        <w:numPr>
          <w:ilvl w:val="0"/>
          <w:numId w:val="3"/>
        </w:numPr>
        <w:jc w:val="left"/>
        <w:rPr>
          <w:b/>
        </w:rPr>
      </w:pPr>
      <w:r w:rsidRPr="00C71D71">
        <w:rPr>
          <w:b/>
        </w:rPr>
        <w:t>June 14, 2010 Quality Inns &amp; Suites, Wilkes-Barre</w:t>
      </w:r>
    </w:p>
    <w:p w:rsidR="00915753" w:rsidRPr="00C71D71" w:rsidRDefault="00915753" w:rsidP="00915753">
      <w:pPr>
        <w:pStyle w:val="ListParagraph"/>
        <w:spacing w:line="240" w:lineRule="auto"/>
        <w:jc w:val="left"/>
        <w:rPr>
          <w:b/>
        </w:rPr>
      </w:pPr>
    </w:p>
    <w:p w:rsidR="00915753" w:rsidRDefault="00915753" w:rsidP="00915753">
      <w:pPr>
        <w:ind w:firstLine="720"/>
        <w:contextualSpacing/>
        <w:jc w:val="left"/>
      </w:pPr>
      <w:r>
        <w:rPr>
          <w:u w:val="single"/>
        </w:rPr>
        <w:t>Frank Berbick, Jr.,</w:t>
      </w:r>
      <w:r>
        <w:t xml:space="preserve"> whose business is repair of electric motors, read his letter objecting to the proposed rate increase into the record.  He does not believe there should be a customer charge at all, and transmission lines should be the company’s responsibility.  He raised a question whether electric lines should be made of aluminum or copper.</w:t>
      </w:r>
      <w:r w:rsidRPr="00D01176">
        <w:rPr>
          <w:rStyle w:val="FootnoteReference"/>
          <w:vertAlign w:val="superscript"/>
        </w:rPr>
        <w:footnoteReference w:id="9"/>
      </w:r>
      <w:r>
        <w:t xml:space="preserve">  He questioned the wisdom of purchasing utilities in other states when they were “kicked out” of South America after purchasing utilities there.  He asked where the funding came from.  Tr. 97-111.</w:t>
      </w:r>
    </w:p>
    <w:p w:rsidR="00915753" w:rsidRDefault="00915753" w:rsidP="00915753">
      <w:pPr>
        <w:ind w:firstLine="720"/>
        <w:contextualSpacing/>
        <w:jc w:val="left"/>
      </w:pPr>
    </w:p>
    <w:p w:rsidR="00915753" w:rsidRDefault="00915753" w:rsidP="00915753">
      <w:pPr>
        <w:ind w:firstLine="720"/>
        <w:contextualSpacing/>
        <w:jc w:val="left"/>
      </w:pPr>
      <w:r>
        <w:rPr>
          <w:u w:val="single"/>
        </w:rPr>
        <w:t>Edwin Kern</w:t>
      </w:r>
      <w:r>
        <w:t>, presently working part-time in the medical field, sought information regarding the Company’s net profit.  His family is impacted since his son is a single parent with a three-to-four hundred dollar monthly electric bill.  The Company just ha</w:t>
      </w:r>
      <w:r w:rsidR="002C4143">
        <w:t>d</w:t>
      </w:r>
      <w:r>
        <w:t xml:space="preserve"> an increase in January, and this is ridiculous.  The people in Harrisburg have got to put a stop to this, taxpayers cannot pay for everything that comes up.  Tr. 111-115.</w:t>
      </w:r>
    </w:p>
    <w:p w:rsidR="00915753" w:rsidRDefault="00915753" w:rsidP="00915753">
      <w:pPr>
        <w:ind w:firstLine="720"/>
        <w:contextualSpacing/>
        <w:jc w:val="left"/>
      </w:pPr>
    </w:p>
    <w:p w:rsidR="00915753" w:rsidRDefault="00915753" w:rsidP="00915753">
      <w:pPr>
        <w:ind w:firstLine="720"/>
        <w:contextualSpacing/>
        <w:jc w:val="left"/>
      </w:pPr>
      <w:r>
        <w:rPr>
          <w:u w:val="single"/>
        </w:rPr>
        <w:lastRenderedPageBreak/>
        <w:t>Bonnie J. Wasilewski,</w:t>
      </w:r>
      <w:r>
        <w:t xml:space="preserve"> employed by the State Police until her job was eliminate by the government, asked whether there is an affordability criteria to determine whether grants and loans and assistance are available? These programs get state funding, which puts a burden on taxes.  She expressed her concern with the perceived downward spiral of a system which creates more need as it assists more people, and doubts whether the societal framework can support much more.  She stated that this Company provides fantastic service but she would like to know where the funding is going. Tr. 116-120.</w:t>
      </w:r>
    </w:p>
    <w:p w:rsidR="00915753" w:rsidRDefault="00915753" w:rsidP="00915753">
      <w:pPr>
        <w:ind w:firstLine="720"/>
        <w:contextualSpacing/>
        <w:jc w:val="left"/>
      </w:pPr>
    </w:p>
    <w:p w:rsidR="00915753" w:rsidRDefault="00915753" w:rsidP="00915753">
      <w:pPr>
        <w:ind w:firstLine="720"/>
        <w:contextualSpacing/>
        <w:jc w:val="left"/>
      </w:pPr>
      <w:r>
        <w:rPr>
          <w:u w:val="single"/>
        </w:rPr>
        <w:t>Robert Wojack,</w:t>
      </w:r>
      <w:r>
        <w:t xml:space="preserve"> printer, expressed his frustration with this request when he knows that PPL Corporation issued dividends and the Company had a 30% increase in January.  He stated that people in Luzerne County are skeptical of judges, legislators, commissioners and big business because they are not out to do what is right.  He asks that everyone do their job and make sure whatever rates, are fair and the right thing to do.  Tr. 122-125.</w:t>
      </w:r>
    </w:p>
    <w:p w:rsidR="00915753" w:rsidRDefault="00915753" w:rsidP="00915753">
      <w:pPr>
        <w:ind w:firstLine="720"/>
        <w:contextualSpacing/>
        <w:jc w:val="left"/>
      </w:pPr>
    </w:p>
    <w:p w:rsidR="00915753" w:rsidRDefault="00915753" w:rsidP="00915753">
      <w:pPr>
        <w:ind w:firstLine="720"/>
        <w:contextualSpacing/>
        <w:jc w:val="left"/>
      </w:pPr>
      <w:r>
        <w:rPr>
          <w:u w:val="single"/>
        </w:rPr>
        <w:t>Joe Marczak,</w:t>
      </w:r>
      <w:r>
        <w:t xml:space="preserve"> ice plant owner in Wilkes-Barre, has seen his electric bill double in the last ten years.  The demand charge is based on a 15 minute snapshot every hour, which results in a higher charge for the entire month if he draws over his base amount of 25 kilowatts.  He stated that the demand charge could be triggered by someone hitting a telephone pole in a car accident, or by a lightning strike, because he does not turn his equipment off.  The Company could cause him to have a bigger bill by switching and making his equipment go off and restart, which uses more power.</w:t>
      </w:r>
      <w:r w:rsidRPr="005D75D0">
        <w:rPr>
          <w:rStyle w:val="FootnoteReference"/>
          <w:vertAlign w:val="superscript"/>
        </w:rPr>
        <w:footnoteReference w:id="10"/>
      </w:r>
      <w:r>
        <w:t xml:space="preserve">  He had no problems with the Company’s service.  He could not understand how another company can sell him electricity for less money.  He was referred to the Office of Small Business Advocate.  Tr. 125-129.</w:t>
      </w:r>
    </w:p>
    <w:p w:rsidR="00915753" w:rsidRDefault="00915753" w:rsidP="00915753">
      <w:pPr>
        <w:ind w:firstLine="720"/>
        <w:contextualSpacing/>
        <w:jc w:val="left"/>
      </w:pPr>
    </w:p>
    <w:p w:rsidR="00915753" w:rsidRDefault="00915753" w:rsidP="00915753">
      <w:pPr>
        <w:ind w:firstLine="720"/>
        <w:contextualSpacing/>
        <w:jc w:val="left"/>
      </w:pPr>
      <w:r>
        <w:rPr>
          <w:u w:val="single"/>
        </w:rPr>
        <w:t>Allen Rosenbaum</w:t>
      </w:r>
      <w:r>
        <w:t xml:space="preserve">, census taker, testified regarding the reliability of aluminum and copper.  He expressed his opinion that a reduction in employees from </w:t>
      </w:r>
      <w:r w:rsidR="002C4143">
        <w:t>6,000</w:t>
      </w:r>
      <w:r>
        <w:t xml:space="preserve"> ten years ago to the present complement of </w:t>
      </w:r>
      <w:r w:rsidR="002C4143">
        <w:t>3,000</w:t>
      </w:r>
      <w:r>
        <w:t xml:space="preserve"> means that the Company does not get an increase.  He charged that it takes five or six minutes to get through to a person when calling the Company, which is bad service.  He stated that he called the Company twenty times that month and no one could tell him </w:t>
      </w:r>
      <w:r>
        <w:lastRenderedPageBreak/>
        <w:t>what the president of PPL makes.  He told several stories regarding his experience with aluminum conductor.  Tr. 129-140.</w:t>
      </w:r>
    </w:p>
    <w:p w:rsidR="00915753" w:rsidRDefault="00915753" w:rsidP="00915753">
      <w:pPr>
        <w:contextualSpacing/>
        <w:jc w:val="left"/>
      </w:pPr>
    </w:p>
    <w:p w:rsidR="00915753" w:rsidRDefault="00915753" w:rsidP="00915753">
      <w:pPr>
        <w:pStyle w:val="ListParagraph"/>
        <w:numPr>
          <w:ilvl w:val="0"/>
          <w:numId w:val="3"/>
        </w:numPr>
        <w:jc w:val="left"/>
        <w:rPr>
          <w:b/>
        </w:rPr>
      </w:pPr>
      <w:r w:rsidRPr="00ED3DC3">
        <w:rPr>
          <w:b/>
        </w:rPr>
        <w:t>June 21, 2010 Northampton College, Bethlehem</w:t>
      </w:r>
    </w:p>
    <w:p w:rsidR="00915753" w:rsidRPr="00ED3DC3" w:rsidRDefault="00915753" w:rsidP="00915753">
      <w:pPr>
        <w:pStyle w:val="ListParagraph"/>
        <w:spacing w:line="240" w:lineRule="auto"/>
        <w:jc w:val="left"/>
        <w:rPr>
          <w:b/>
        </w:rPr>
      </w:pPr>
    </w:p>
    <w:p w:rsidR="00915753" w:rsidRDefault="00915753" w:rsidP="00915753">
      <w:pPr>
        <w:ind w:firstLine="720"/>
        <w:contextualSpacing/>
        <w:jc w:val="left"/>
      </w:pPr>
      <w:r>
        <w:rPr>
          <w:u w:val="single"/>
        </w:rPr>
        <w:t>John N. McDowell, Jr.</w:t>
      </w:r>
      <w:r w:rsidRPr="000B5B85">
        <w:t xml:space="preserve">, </w:t>
      </w:r>
      <w:r>
        <w:t>investment advisor, semi-retired senior citizen had just experienced a 30% increase in his electric bill at the same time he and many others saw a great reduction in the income stream.  He explained that he needed to know why the Company needs the money.  He is appalled that the utility executives command exorbitant salaries when one of ten people in the Lehigh Valley is unemployed.   He believes that the people who keep the utility running are the linemen, plant operators and customer relations people, and during strikes, it takes very few to keep the company running.  He expressed concern that the public advocates were outnumbered by the experts brought in by the utilities in cases like these.  He also expressed concern about the construction of a new nuclear power program, which is very expensive, and the purchase of utilities owned by a German company called Eon.  He did not like the complexity of the PPL Corporation and the bills. Tr. 168-174.</w:t>
      </w:r>
    </w:p>
    <w:p w:rsidR="00915753" w:rsidRDefault="00915753" w:rsidP="00915753">
      <w:pPr>
        <w:contextualSpacing/>
        <w:jc w:val="left"/>
      </w:pPr>
    </w:p>
    <w:p w:rsidR="00915753" w:rsidRDefault="00915753" w:rsidP="00915753">
      <w:pPr>
        <w:ind w:firstLine="720"/>
        <w:contextualSpacing/>
        <w:jc w:val="left"/>
      </w:pPr>
      <w:r>
        <w:rPr>
          <w:u w:val="single"/>
        </w:rPr>
        <w:t>Doris Fenner</w:t>
      </w:r>
      <w:r>
        <w:t>, retired postmaster, is contesting the proposed increase because the amount is outrageous.  It is hard for seniors or anyone on a fixed income to absorb increases such as these.  She read that the president of PPL Corporation, James Miller, earns $13 million a year, and she does not believe that anyone is worth that much.  Why can’t he back off a little bit?  She is planning to conserve electricity like crazy to keep her bill as low as possible, and let the electric company suffer, because they don’t care about consumers.  Tr. 175-179.</w:t>
      </w:r>
    </w:p>
    <w:p w:rsidR="00915753" w:rsidRDefault="00915753" w:rsidP="00915753">
      <w:pPr>
        <w:ind w:firstLine="720"/>
        <w:contextualSpacing/>
        <w:jc w:val="left"/>
      </w:pPr>
    </w:p>
    <w:p w:rsidR="00915753" w:rsidRDefault="00915753" w:rsidP="00915753">
      <w:pPr>
        <w:ind w:firstLine="720"/>
        <w:contextualSpacing/>
        <w:jc w:val="left"/>
      </w:pPr>
      <w:r>
        <w:rPr>
          <w:u w:val="single"/>
        </w:rPr>
        <w:t>Walter Sigfried</w:t>
      </w:r>
      <w:r>
        <w:t>, recently retired from a fast food restaurant, is now living on a budget, wonders if this rate increase is because the Company recently lost a lot of customers due to electricity shopping?  He was assured by Company counsel that</w:t>
      </w:r>
      <w:r w:rsidR="0060483E">
        <w:t xml:space="preserve"> this makes no difference.  Tr. </w:t>
      </w:r>
      <w:r>
        <w:t>179-182.</w:t>
      </w:r>
    </w:p>
    <w:p w:rsidR="0060483E" w:rsidRDefault="0060483E" w:rsidP="00915753">
      <w:pPr>
        <w:ind w:firstLine="720"/>
        <w:contextualSpacing/>
        <w:jc w:val="left"/>
      </w:pPr>
    </w:p>
    <w:p w:rsidR="00915753" w:rsidRDefault="00915753" w:rsidP="00915753">
      <w:pPr>
        <w:ind w:firstLine="720"/>
        <w:contextualSpacing/>
        <w:jc w:val="left"/>
      </w:pPr>
      <w:r>
        <w:rPr>
          <w:u w:val="single"/>
        </w:rPr>
        <w:lastRenderedPageBreak/>
        <w:t>Peter Lucas</w:t>
      </w:r>
      <w:r>
        <w:t>, retired from his job as a Local 30 operating engineer, expressed his opinion that the amount of the rate increase sought is excessive.  He wondered where the money would go, to salaries, maintenance, etc.  Tr. 182-185.</w:t>
      </w:r>
    </w:p>
    <w:p w:rsidR="00915753" w:rsidRDefault="00915753" w:rsidP="00915753">
      <w:pPr>
        <w:ind w:firstLine="720"/>
        <w:contextualSpacing/>
        <w:jc w:val="left"/>
      </w:pPr>
    </w:p>
    <w:p w:rsidR="00915753" w:rsidRDefault="00915753" w:rsidP="00915753">
      <w:pPr>
        <w:ind w:firstLine="720"/>
        <w:contextualSpacing/>
        <w:jc w:val="left"/>
      </w:pPr>
      <w:r>
        <w:rPr>
          <w:u w:val="single"/>
        </w:rPr>
        <w:t>Michael Costantino</w:t>
      </w:r>
      <w:r>
        <w:t>, unemployed, believes that the infrastructure should be separated from the other PPL affiliates.  He stated that the billing has made no sense for a long time and now that generation is separated out, it makes even less sense.  He believes that since the infrastructure is there, billing him by the amount he uses on a graduated structure doesn’t make sense. He recommends a flat rate.  Tr. 185-187.</w:t>
      </w:r>
    </w:p>
    <w:p w:rsidR="00915753" w:rsidRDefault="00915753" w:rsidP="00915753">
      <w:pPr>
        <w:ind w:firstLine="720"/>
        <w:contextualSpacing/>
        <w:jc w:val="left"/>
      </w:pPr>
    </w:p>
    <w:p w:rsidR="00915753" w:rsidRDefault="00915753" w:rsidP="00915753">
      <w:pPr>
        <w:ind w:firstLine="720"/>
        <w:contextualSpacing/>
        <w:jc w:val="left"/>
      </w:pPr>
      <w:r>
        <w:rPr>
          <w:u w:val="single"/>
        </w:rPr>
        <w:t>William Endean</w:t>
      </w:r>
      <w:r>
        <w:t xml:space="preserve">, employed part-time as a truck driver, stated that the 30% increase is outrageous and should never happen.  He attempted to oppose it but it happened anyway.  Now his whole disability check goes to pay the mortgage and PPL.  When you hear about the money that goes for naming rights for a stadium, the whole increase is unjustified and ridiculous.  He is raising his grandson, he has </w:t>
      </w:r>
      <w:r w:rsidR="002C4143">
        <w:t xml:space="preserve">a </w:t>
      </w:r>
      <w:r>
        <w:t>mortgage, car payments, and now another increase.  He described it as like two hands hitting you in the face at one time.  Tr. 187-190.</w:t>
      </w:r>
    </w:p>
    <w:p w:rsidR="00915753" w:rsidRDefault="00915753" w:rsidP="00915753">
      <w:pPr>
        <w:ind w:firstLine="720"/>
        <w:contextualSpacing/>
        <w:jc w:val="left"/>
      </w:pPr>
    </w:p>
    <w:p w:rsidR="00915753" w:rsidRDefault="00915753" w:rsidP="00915753">
      <w:pPr>
        <w:ind w:firstLine="720"/>
        <w:contextualSpacing/>
        <w:jc w:val="left"/>
      </w:pPr>
      <w:r>
        <w:rPr>
          <w:u w:val="single"/>
        </w:rPr>
        <w:t>Christi Delp</w:t>
      </w:r>
      <w:r>
        <w:t>, part-time wedding photographer and full-time mother, has served in the U.S. Air Force and her husband is full-time military.  She is very careful with her budget.  Her electric bill rose from $200 budget bill to $325.  This is higher than a 30% increase. She knew it was coming and worked to decrease her family power usage by 7%.  She filed an objection as well.</w:t>
      </w:r>
      <w:r w:rsidRPr="005D75D0">
        <w:rPr>
          <w:rStyle w:val="FootnoteReference"/>
          <w:vertAlign w:val="superscript"/>
        </w:rPr>
        <w:footnoteReference w:id="11"/>
      </w:r>
      <w:r>
        <w:rPr>
          <w:vertAlign w:val="superscript"/>
        </w:rPr>
        <w:t xml:space="preserve"> </w:t>
      </w:r>
      <w:r>
        <w:t xml:space="preserve"> She congratulated PPL for making the Fortune 500 list at number 314, a boost from 346, which tells her that the company is not doing badly.  She stated, “with those increases, instead of asking for the increases from us people who live in Pennsylvania here who feel the very heavy burden from taxes, from utility increases, from the very high unemployment rate, we’re really feeling the squeeze from all areas and I do believe that this increase, even though it seems like a small percent, anywhere, you know, from 2.8 to 7.8 percent, to you may seem like a small number but for those of us who really are on a very tight budget and to work very hard at providing our families with the best that we can, it’s very difficult for us.”  Tr. 193.  She wants </w:t>
      </w:r>
      <w:r>
        <w:lastRenderedPageBreak/>
        <w:t xml:space="preserve">the Commission and the Company to understand that this increase cannot be isolated from the other demands and increases.  Utilities are necessary, and the increase will be onerous.  Her family sacrificed a family vacation this past year, they have installed a wood-burning stove, and she asked the utility how they expect </w:t>
      </w:r>
      <w:r w:rsidR="002C4143">
        <w:t>t</w:t>
      </w:r>
      <w:r>
        <w:t>his increase to impact the residents, small businesses and corporation of Pennsylvania.  Her family uses less electricity.  Tr. 190-204.</w:t>
      </w:r>
    </w:p>
    <w:p w:rsidR="00915753" w:rsidRDefault="00915753" w:rsidP="00915753">
      <w:pPr>
        <w:ind w:firstLine="720"/>
        <w:contextualSpacing/>
        <w:jc w:val="left"/>
      </w:pPr>
    </w:p>
    <w:p w:rsidR="00915753" w:rsidRDefault="00915753" w:rsidP="00915753">
      <w:pPr>
        <w:ind w:firstLine="720"/>
        <w:contextualSpacing/>
        <w:jc w:val="left"/>
      </w:pPr>
      <w:r>
        <w:rPr>
          <w:u w:val="single"/>
        </w:rPr>
        <w:t>Al Siess</w:t>
      </w:r>
      <w:r>
        <w:t>, retired from Bethlehem Steel, self-employed as an economic environmental consultant, stated that this increase is simply outrageous.  It is structured to increase demand for electricity consumption and to penalize the consumers who try to reduce consumption.  Tr. 204-207.</w:t>
      </w:r>
    </w:p>
    <w:p w:rsidR="00915753" w:rsidRDefault="00915753" w:rsidP="00915753">
      <w:pPr>
        <w:ind w:firstLine="720"/>
        <w:contextualSpacing/>
        <w:jc w:val="left"/>
      </w:pPr>
    </w:p>
    <w:p w:rsidR="00915753" w:rsidRDefault="00915753" w:rsidP="00915753">
      <w:pPr>
        <w:ind w:firstLine="720"/>
        <w:contextualSpacing/>
        <w:jc w:val="left"/>
      </w:pPr>
      <w:r>
        <w:rPr>
          <w:u w:val="single"/>
        </w:rPr>
        <w:t>Timothy Bollinger</w:t>
      </w:r>
      <w:r>
        <w:t>, electrical contractor and security systems contractor, owns a solar system on his house and business and sought clarity regarding the distribution charge increase.  He stated that a person conserving energy is not saving with a fixed distribution charge, except on generation.  There is less incentive to install a solar system.  He discussed net metering, and whether persons selling power back to the grid can shop.  He discussed this matter with Company counsel, and then commended PPL for reliable service.  He encourages the Commission to look at aspects of renewable energy, clean energy and to look at this structure in terms of what the Commonwealth is trying to achieve.   Tr. 207-217.</w:t>
      </w:r>
    </w:p>
    <w:p w:rsidR="00915753" w:rsidRDefault="00915753" w:rsidP="00915753">
      <w:pPr>
        <w:ind w:firstLine="720"/>
        <w:contextualSpacing/>
        <w:jc w:val="left"/>
      </w:pPr>
    </w:p>
    <w:p w:rsidR="00915753" w:rsidRDefault="00915753" w:rsidP="00915753">
      <w:pPr>
        <w:ind w:firstLine="720"/>
        <w:contextualSpacing/>
        <w:jc w:val="left"/>
      </w:pPr>
      <w:r>
        <w:rPr>
          <w:u w:val="single"/>
        </w:rPr>
        <w:t>Don Beecher</w:t>
      </w:r>
      <w:r w:rsidR="002C4143">
        <w:t xml:space="preserve">, </w:t>
      </w:r>
      <w:r>
        <w:t xml:space="preserve">retired, former Air Force officer and chemical engineer, formerly worked for Westinghouse, Ingersol Rand, Bethlehem Steel and Fuller Company, looked for Senator Boscola and Chairman Cawley and PPL officials but none were present.  He recognized that the companies being regulated needed to be profitable enough to serve the people.  He would like to see re-regulation of the electric industry, caps on increases, denial of this rate increase, and reintegration of the PPL companies into one so that one side cannot charge the other side, which claims that there’s no profit because that what their costs are.  He wanted to know why PPL buys electricity at a higher cost than the alternate suppliers.  He indicated that states which have remained regulated have electric costs which are 40 percent lower than ours.  He reported that the 30 percent rebate for using an energy star item needs to be special ordered at the local stores, </w:t>
      </w:r>
      <w:r>
        <w:lastRenderedPageBreak/>
        <w:t>and the special order costs 30 percent.  He asked why the Company did not replace the infrastructure with the money they took in over the years.  Tr. 217-229.</w:t>
      </w:r>
    </w:p>
    <w:p w:rsidR="00915753" w:rsidRDefault="00915753" w:rsidP="00915753">
      <w:pPr>
        <w:contextualSpacing/>
        <w:jc w:val="left"/>
      </w:pPr>
    </w:p>
    <w:p w:rsidR="00915753" w:rsidRDefault="00915753" w:rsidP="00915753">
      <w:pPr>
        <w:pStyle w:val="ListParagraph"/>
        <w:numPr>
          <w:ilvl w:val="0"/>
          <w:numId w:val="3"/>
        </w:numPr>
        <w:jc w:val="left"/>
        <w:rPr>
          <w:b/>
        </w:rPr>
      </w:pPr>
      <w:r w:rsidRPr="00ED3DC3">
        <w:rPr>
          <w:b/>
        </w:rPr>
        <w:t>June 21, 2010 Allentown City Hall</w:t>
      </w:r>
    </w:p>
    <w:p w:rsidR="00915753" w:rsidRPr="00ED3DC3" w:rsidRDefault="00915753" w:rsidP="00915753">
      <w:pPr>
        <w:pStyle w:val="ListParagraph"/>
        <w:spacing w:line="240" w:lineRule="auto"/>
        <w:jc w:val="left"/>
        <w:rPr>
          <w:b/>
        </w:rPr>
      </w:pPr>
    </w:p>
    <w:p w:rsidR="00915753" w:rsidRDefault="00915753" w:rsidP="00915753">
      <w:pPr>
        <w:ind w:firstLine="720"/>
        <w:contextualSpacing/>
        <w:jc w:val="left"/>
      </w:pPr>
      <w:r>
        <w:rPr>
          <w:u w:val="single"/>
        </w:rPr>
        <w:t>Lester Wenger</w:t>
      </w:r>
      <w:r>
        <w:t>, electrical engineer employed by a thermostat company, stated that he thought there was an error in presentation with continuing the block rate structure on distribution. He believes it is inequitable for the Company to hold the consumer hostage if the federal government has contributed to rebuilding the infrastructure.  He pointed out that this case makes the Company look like a money grabber, plain and simple.  He is a conservative electric power user but sees no incentive for it.  Tr. 252-256.</w:t>
      </w:r>
    </w:p>
    <w:p w:rsidR="00915753" w:rsidRDefault="00915753" w:rsidP="00915753">
      <w:pPr>
        <w:ind w:firstLine="720"/>
        <w:contextualSpacing/>
        <w:jc w:val="left"/>
      </w:pPr>
    </w:p>
    <w:p w:rsidR="00915753" w:rsidRDefault="00915753" w:rsidP="00915753">
      <w:pPr>
        <w:ind w:firstLine="720"/>
        <w:contextualSpacing/>
        <w:jc w:val="left"/>
      </w:pPr>
      <w:r>
        <w:rPr>
          <w:u w:val="single"/>
        </w:rPr>
        <w:t>Pete Zachman</w:t>
      </w:r>
      <w:r>
        <w:t>, employed by Green Spring Energy, a solar installer of PV systems and thermal solar systems, discussed net metering and block distribution rates and the effect on encouraging conservation.  Tr. 256-262.</w:t>
      </w:r>
    </w:p>
    <w:p w:rsidR="00915753" w:rsidRDefault="00915753" w:rsidP="00915753">
      <w:pPr>
        <w:ind w:firstLine="720"/>
        <w:contextualSpacing/>
        <w:jc w:val="left"/>
      </w:pPr>
    </w:p>
    <w:p w:rsidR="00915753" w:rsidRDefault="00915753" w:rsidP="00915753">
      <w:pPr>
        <w:ind w:firstLine="720"/>
        <w:contextualSpacing/>
        <w:jc w:val="left"/>
      </w:pPr>
      <w:r>
        <w:rPr>
          <w:u w:val="single"/>
        </w:rPr>
        <w:t>Donald S. Heintzelman,</w:t>
      </w:r>
      <w:r>
        <w:t xml:space="preserve"> semi-retired as a professional ornithologist and author, offered no comments after determining that no part of this increase would pay for a 500 kV transmission line.  Tr. 262-263.</w:t>
      </w:r>
    </w:p>
    <w:p w:rsidR="00915753" w:rsidRDefault="00915753" w:rsidP="00915753">
      <w:pPr>
        <w:ind w:firstLine="720"/>
        <w:contextualSpacing/>
        <w:jc w:val="left"/>
      </w:pPr>
    </w:p>
    <w:p w:rsidR="00915753" w:rsidRDefault="00915753" w:rsidP="00915753">
      <w:pPr>
        <w:ind w:firstLine="720"/>
        <w:contextualSpacing/>
        <w:jc w:val="left"/>
      </w:pPr>
      <w:r>
        <w:rPr>
          <w:u w:val="single"/>
        </w:rPr>
        <w:t>Jeff Goodling</w:t>
      </w:r>
      <w:r>
        <w:t>, self-employed information technology consultant, sought to determine the impact of his recent installation of a solar PV system on his house.  He discussed the situation with Company counsel.  Tr. 264-267.</w:t>
      </w:r>
    </w:p>
    <w:p w:rsidR="00915753" w:rsidRDefault="00915753" w:rsidP="00915753">
      <w:pPr>
        <w:ind w:firstLine="720"/>
        <w:contextualSpacing/>
        <w:jc w:val="left"/>
      </w:pPr>
    </w:p>
    <w:p w:rsidR="00915753" w:rsidRDefault="00915753" w:rsidP="00915753">
      <w:pPr>
        <w:ind w:firstLine="720"/>
        <w:contextualSpacing/>
        <w:jc w:val="left"/>
      </w:pPr>
      <w:r>
        <w:rPr>
          <w:u w:val="single"/>
        </w:rPr>
        <w:t>Jean Gerding</w:t>
      </w:r>
      <w:r>
        <w:t>, paralegal, stated that this increase is unfair.  She did shop for a 10% decrease, and now PPL is taking that benefit away.  She cannot economize more than what she does.  She stated that a twin sister is reaching the end of unemployment benefits and will not be able to afford this increase.  She has not had a raise in two years and does not see where PPL employees should have one, either.  Tr. 267-270.</w:t>
      </w:r>
    </w:p>
    <w:p w:rsidR="00915753" w:rsidRDefault="00915753" w:rsidP="00915753">
      <w:pPr>
        <w:ind w:firstLine="720"/>
        <w:contextualSpacing/>
        <w:jc w:val="left"/>
      </w:pPr>
      <w:r>
        <w:rPr>
          <w:u w:val="single"/>
        </w:rPr>
        <w:lastRenderedPageBreak/>
        <w:t>Robert O’Connor</w:t>
      </w:r>
      <w:r>
        <w:t>, no longer employed, objects to the flat rate and believes that there should be incentive for conservation.  He stated that PPL used to be a legitimate, ethical firm but this is a disgrace.  Tr. 269-272.</w:t>
      </w:r>
    </w:p>
    <w:p w:rsidR="00915753" w:rsidRDefault="00915753" w:rsidP="00915753">
      <w:pPr>
        <w:ind w:firstLine="720"/>
        <w:contextualSpacing/>
        <w:jc w:val="left"/>
      </w:pPr>
    </w:p>
    <w:p w:rsidR="00915753" w:rsidRDefault="00915753" w:rsidP="00915753">
      <w:pPr>
        <w:ind w:firstLine="720"/>
        <w:contextualSpacing/>
        <w:jc w:val="left"/>
      </w:pPr>
      <w:r>
        <w:rPr>
          <w:u w:val="single"/>
        </w:rPr>
        <w:t>Jerry Gallagher</w:t>
      </w:r>
      <w:r>
        <w:t>, family therapist for Children’s Home of Easton, noted that after 40 years as a customer of PPL, he has yet to see a reduction in rates.  There has been little public outcry although this is outrageous in a time when everyone else is cutting back, people are hurting, people are not getting raises and are unemployed, and PPL is buying utilities in Kentucky.  Nobody can afford this, and he is disappointed in the Public Utility Commission. Tr. 275-278.</w:t>
      </w:r>
    </w:p>
    <w:p w:rsidR="00915753" w:rsidRDefault="00915753" w:rsidP="00915753">
      <w:pPr>
        <w:ind w:firstLine="720"/>
        <w:contextualSpacing/>
        <w:jc w:val="left"/>
      </w:pPr>
    </w:p>
    <w:p w:rsidR="00915753" w:rsidRDefault="00915753" w:rsidP="00915753">
      <w:pPr>
        <w:ind w:firstLine="720"/>
        <w:contextualSpacing/>
        <w:jc w:val="left"/>
      </w:pPr>
      <w:r>
        <w:rPr>
          <w:u w:val="single"/>
        </w:rPr>
        <w:t>Vera Cole</w:t>
      </w:r>
      <w:r>
        <w:t>, senior lecturer at Penn State University in Engineering, is also on the Board of the Mid Atlantic Renewable Energy Association and has written a book on the Pennsylvania Homeowners Guide to Solar Electricity.  A big factor in the decision to install a solar system is the impact it will have on the electric bills.  She wondered how net metering would work with time-of-use pricing.  She is concerned about transparency in billing and the complex bills.  She recommends that the Commission help utilities move toward tariff structures that reward efficient behavior.  Tr. 279-283.</w:t>
      </w:r>
    </w:p>
    <w:p w:rsidR="00915753" w:rsidRDefault="00915753" w:rsidP="00915753">
      <w:pPr>
        <w:contextualSpacing/>
        <w:jc w:val="left"/>
      </w:pPr>
    </w:p>
    <w:p w:rsidR="00915753" w:rsidRDefault="00915753" w:rsidP="00915753">
      <w:pPr>
        <w:pStyle w:val="ListParagraph"/>
        <w:numPr>
          <w:ilvl w:val="0"/>
          <w:numId w:val="3"/>
        </w:numPr>
        <w:jc w:val="left"/>
        <w:rPr>
          <w:b/>
        </w:rPr>
      </w:pPr>
      <w:r w:rsidRPr="00ED3DC3">
        <w:rPr>
          <w:b/>
        </w:rPr>
        <w:t>June 23, 2010  Harrisburg Hearing Room 1</w:t>
      </w:r>
    </w:p>
    <w:p w:rsidR="00915753" w:rsidRPr="00ED3DC3" w:rsidRDefault="00915753" w:rsidP="00915753">
      <w:pPr>
        <w:pStyle w:val="ListParagraph"/>
        <w:spacing w:line="240" w:lineRule="auto"/>
        <w:jc w:val="left"/>
        <w:rPr>
          <w:b/>
        </w:rPr>
      </w:pPr>
    </w:p>
    <w:p w:rsidR="00915753" w:rsidRDefault="00915753" w:rsidP="00915753">
      <w:pPr>
        <w:ind w:firstLine="720"/>
        <w:contextualSpacing/>
        <w:jc w:val="left"/>
      </w:pPr>
      <w:r w:rsidRPr="00545440">
        <w:rPr>
          <w:u w:val="single"/>
        </w:rPr>
        <w:t>Filippo Bruzzese</w:t>
      </w:r>
      <w:r>
        <w:rPr>
          <w:b/>
          <w:u w:val="single"/>
        </w:rPr>
        <w:t>,</w:t>
      </w:r>
      <w:r>
        <w:t xml:space="preserve"> retired, stated that his pay does not increase, and making ends meet is already difficult.  Many people on fixed incomes will have trouble with this.  Tr. 308-210.</w:t>
      </w:r>
    </w:p>
    <w:p w:rsidR="00915753" w:rsidRDefault="00915753" w:rsidP="00915753">
      <w:pPr>
        <w:ind w:firstLine="720"/>
        <w:contextualSpacing/>
        <w:jc w:val="left"/>
      </w:pPr>
    </w:p>
    <w:p w:rsidR="00915753" w:rsidRDefault="00915753" w:rsidP="00915753">
      <w:pPr>
        <w:ind w:firstLine="720"/>
        <w:contextualSpacing/>
        <w:jc w:val="left"/>
      </w:pPr>
      <w:r>
        <w:rPr>
          <w:u w:val="single"/>
        </w:rPr>
        <w:t>Jean Marquart,</w:t>
      </w:r>
      <w:r>
        <w:t xml:space="preserve"> retired, appreciates the electricity that we are privileged to have in our country, but there has to be an understanding that with a fixed income and all bills rising, it’s going to be a big problem for some people. She recommends that there be a predictable budget plan so that seniors can anticipate their bills.  Tr. 311-315.</w:t>
      </w:r>
    </w:p>
    <w:p w:rsidR="00915753" w:rsidRDefault="00915753" w:rsidP="00915753">
      <w:pPr>
        <w:ind w:firstLine="720"/>
        <w:contextualSpacing/>
        <w:jc w:val="left"/>
      </w:pPr>
    </w:p>
    <w:p w:rsidR="00915753" w:rsidRDefault="00915753" w:rsidP="00C434E6">
      <w:pPr>
        <w:ind w:firstLine="720"/>
        <w:contextualSpacing/>
        <w:jc w:val="left"/>
      </w:pPr>
      <w:r>
        <w:rPr>
          <w:u w:val="single"/>
        </w:rPr>
        <w:t>Dennis Baylor,</w:t>
      </w:r>
      <w:r>
        <w:t xml:space="preserve"> told a construction story and suggested that PPL is not so much upgrading their system as making it compatible with the smart grid technology that’s coming down the road.  Upgrading the system will increase its efficiency, which means that the Company will </w:t>
      </w:r>
      <w:r>
        <w:lastRenderedPageBreak/>
        <w:t>recoup its investment and should not have to hit the rate payers.  He charged that there are numerous Act 129 issues being used to justify this increase, and the Company already has $246 million to implement Act 129.  These people are making record profits.  Tr. 315-321.</w:t>
      </w:r>
    </w:p>
    <w:p w:rsidR="00915753" w:rsidRDefault="00915753" w:rsidP="00C434E6">
      <w:pPr>
        <w:ind w:firstLine="720"/>
        <w:contextualSpacing/>
        <w:jc w:val="left"/>
      </w:pPr>
    </w:p>
    <w:p w:rsidR="00915753" w:rsidRDefault="00915753" w:rsidP="00C434E6">
      <w:pPr>
        <w:ind w:firstLine="720"/>
        <w:contextualSpacing/>
        <w:jc w:val="left"/>
      </w:pPr>
      <w:r>
        <w:rPr>
          <w:u w:val="single"/>
        </w:rPr>
        <w:t>Gene Stilp</w:t>
      </w:r>
      <w:r>
        <w:t>, consultant, spoke but did not address this case.  Tr. 322-327.</w:t>
      </w:r>
    </w:p>
    <w:p w:rsidR="00915753" w:rsidRDefault="00915753" w:rsidP="00C434E6">
      <w:pPr>
        <w:ind w:firstLine="720"/>
        <w:contextualSpacing/>
        <w:jc w:val="left"/>
      </w:pPr>
    </w:p>
    <w:p w:rsidR="00915753" w:rsidRDefault="00915753" w:rsidP="00C434E6">
      <w:pPr>
        <w:ind w:firstLine="720"/>
        <w:contextualSpacing/>
        <w:jc w:val="left"/>
      </w:pPr>
      <w:r>
        <w:rPr>
          <w:u w:val="single"/>
        </w:rPr>
        <w:t>John Erickson</w:t>
      </w:r>
      <w:r>
        <w:t>, retired, testified that he was able to reduce his consumption but has reached the level that he cannot go beneath.  If rate payers are required to pay a f</w:t>
      </w:r>
      <w:r w:rsidR="00C434E6">
        <w:t>l</w:t>
      </w:r>
      <w:r>
        <w:t>at rate above what they are already paying, they are being penalized for saving electricity.  He is weary of being asked for more money after all the effort he expended to save electricity.  Tr. 327-332.</w:t>
      </w:r>
    </w:p>
    <w:p w:rsidR="00915753" w:rsidRDefault="00915753" w:rsidP="00C434E6">
      <w:pPr>
        <w:contextualSpacing/>
        <w:jc w:val="left"/>
      </w:pPr>
    </w:p>
    <w:p w:rsidR="00915753" w:rsidRPr="002532EF" w:rsidRDefault="00915753" w:rsidP="00C434E6">
      <w:pPr>
        <w:contextualSpacing/>
        <w:jc w:val="left"/>
      </w:pPr>
      <w:r w:rsidRPr="002532EF">
        <w:t>3.</w:t>
      </w:r>
      <w:r w:rsidRPr="002532EF">
        <w:tab/>
      </w:r>
      <w:r w:rsidRPr="002532EF">
        <w:rPr>
          <w:u w:val="single"/>
        </w:rPr>
        <w:t xml:space="preserve">THE JOINT PETITION FOR </w:t>
      </w:r>
      <w:r>
        <w:rPr>
          <w:u w:val="single"/>
        </w:rPr>
        <w:t xml:space="preserve">PARTIAL </w:t>
      </w:r>
      <w:r w:rsidRPr="002532EF">
        <w:rPr>
          <w:u w:val="single"/>
        </w:rPr>
        <w:t>SETTLEMENT</w:t>
      </w:r>
      <w:r w:rsidR="0065198A">
        <w:rPr>
          <w:u w:val="single"/>
        </w:rPr>
        <w:fldChar w:fldCharType="begin"/>
      </w:r>
      <w:r w:rsidR="0065198A">
        <w:instrText xml:space="preserve"> TC "</w:instrText>
      </w:r>
      <w:bookmarkStart w:id="37" w:name="_Toc274912168"/>
      <w:r w:rsidR="0065198A" w:rsidRPr="00AF3102">
        <w:rPr>
          <w:u w:val="single"/>
        </w:rPr>
        <w:instrText>THE JOINT PETITION FOR PARTIAL SETTLEMENT</w:instrText>
      </w:r>
      <w:bookmarkEnd w:id="37"/>
      <w:r w:rsidR="0065198A">
        <w:instrText xml:space="preserve">" \f C \l "2" </w:instrText>
      </w:r>
      <w:r w:rsidR="0065198A">
        <w:rPr>
          <w:u w:val="single"/>
        </w:rPr>
        <w:fldChar w:fldCharType="end"/>
      </w:r>
    </w:p>
    <w:p w:rsidR="00915753" w:rsidRDefault="00915753" w:rsidP="00C434E6">
      <w:pPr>
        <w:spacing w:line="240" w:lineRule="auto"/>
        <w:ind w:left="720"/>
        <w:jc w:val="left"/>
        <w:rPr>
          <w:b/>
        </w:rPr>
      </w:pPr>
    </w:p>
    <w:p w:rsidR="00915753" w:rsidRDefault="00915753" w:rsidP="0080287F">
      <w:pPr>
        <w:pStyle w:val="BodyText"/>
        <w:spacing w:after="0"/>
        <w:ind w:firstLine="1440"/>
        <w:jc w:val="left"/>
      </w:pPr>
      <w:r>
        <w:t>Settlement in principle of a number of issues was reached prior to the hearing dates, and therefore, parties sponsored their written testimony into the record but did not conduct cross examination on the issues settled.  The Joint Petition for Partial Settlement is not signed by all parties but it is not opposed by any litigating party.  It was served on the formal complainants, none of which filed a response other than the statements in support or letters of non-opposition discussed here;</w:t>
      </w:r>
    </w:p>
    <w:p w:rsidR="0080287F" w:rsidRDefault="0080287F" w:rsidP="0080287F">
      <w:pPr>
        <w:pStyle w:val="BodyText"/>
        <w:spacing w:after="0" w:line="240" w:lineRule="auto"/>
        <w:ind w:firstLine="1440"/>
        <w:jc w:val="left"/>
      </w:pPr>
    </w:p>
    <w:p w:rsidR="00915753" w:rsidRDefault="00915753" w:rsidP="00C434E6">
      <w:pPr>
        <w:pStyle w:val="BodyText"/>
        <w:spacing w:after="0"/>
        <w:ind w:firstLine="1440"/>
        <w:jc w:val="left"/>
      </w:pPr>
      <w:r>
        <w:t>It is the Commission’s policy to encourage and support settlements:</w:t>
      </w:r>
    </w:p>
    <w:p w:rsidR="00915753" w:rsidRDefault="00915753" w:rsidP="00C434E6">
      <w:pPr>
        <w:pStyle w:val="BodyText"/>
        <w:spacing w:after="0" w:line="240" w:lineRule="auto"/>
        <w:ind w:left="1440" w:right="1440"/>
        <w:contextualSpacing/>
        <w:jc w:val="left"/>
      </w:pPr>
      <w:r>
        <w:t>In the Commission’s judgment, the results achieved from a negotiated settlement or stipulation, or both, in which the interested parties have had an opportunity to participate are often preferable to those achieved at the conclusion of a fully litigated proceeding. . . .</w:t>
      </w:r>
    </w:p>
    <w:p w:rsidR="00915753" w:rsidRDefault="00915753" w:rsidP="00C434E6">
      <w:pPr>
        <w:pStyle w:val="BodyText"/>
        <w:spacing w:after="0" w:line="240" w:lineRule="auto"/>
        <w:ind w:left="1440" w:right="1440"/>
        <w:contextualSpacing/>
        <w:jc w:val="left"/>
      </w:pPr>
    </w:p>
    <w:p w:rsidR="00915753" w:rsidRDefault="00915753" w:rsidP="00C434E6">
      <w:pPr>
        <w:pStyle w:val="BodyText"/>
        <w:spacing w:after="0"/>
        <w:ind w:left="1440" w:right="1440" w:hanging="1440"/>
        <w:contextualSpacing/>
        <w:jc w:val="left"/>
      </w:pPr>
      <w:r>
        <w:t>52 Pa. Code § 69.401 (in pertinent part).</w:t>
      </w:r>
    </w:p>
    <w:p w:rsidR="00915753" w:rsidRDefault="00915753" w:rsidP="00C434E6">
      <w:pPr>
        <w:pStyle w:val="BodyText"/>
        <w:spacing w:after="0"/>
        <w:ind w:left="1440" w:right="1440"/>
        <w:contextualSpacing/>
        <w:jc w:val="left"/>
      </w:pPr>
    </w:p>
    <w:p w:rsidR="00915753" w:rsidRDefault="00915753" w:rsidP="00C434E6">
      <w:pPr>
        <w:pStyle w:val="BodyText"/>
        <w:spacing w:after="0"/>
        <w:ind w:firstLine="1440"/>
        <w:contextualSpacing/>
        <w:jc w:val="left"/>
      </w:pPr>
      <w:r>
        <w:t xml:space="preserve">It is in the public interest to provide a public utility the </w:t>
      </w:r>
      <w:r w:rsidRPr="00F63007">
        <w:t>financial</w:t>
      </w:r>
      <w:r>
        <w:t xml:space="preserve"> ability to proffer safe and adequate service to its customers.  In terms of revenue requirement, the original filing sought a distribution revenue increase of $114.7 million, and the Settlement is for $77.5 million, or approximately 67.6%.  The Company lists the following reasons for seeking the increase:</w:t>
      </w:r>
    </w:p>
    <w:p w:rsidR="00915753" w:rsidRDefault="00915753" w:rsidP="00C434E6">
      <w:pPr>
        <w:pStyle w:val="BodyText"/>
        <w:tabs>
          <w:tab w:val="left" w:pos="2160"/>
        </w:tabs>
        <w:spacing w:after="0" w:line="240" w:lineRule="auto"/>
        <w:ind w:left="1440" w:right="1440"/>
        <w:contextualSpacing/>
        <w:jc w:val="left"/>
      </w:pPr>
    </w:p>
    <w:p w:rsidR="00915753" w:rsidRDefault="00915753" w:rsidP="00C434E6">
      <w:pPr>
        <w:pStyle w:val="BodyText"/>
        <w:tabs>
          <w:tab w:val="left" w:pos="2160"/>
        </w:tabs>
        <w:spacing w:after="0" w:line="240" w:lineRule="auto"/>
        <w:ind w:left="1440" w:right="1440"/>
        <w:contextualSpacing/>
        <w:jc w:val="left"/>
      </w:pPr>
      <w:r>
        <w:lastRenderedPageBreak/>
        <w:t>1.</w:t>
      </w:r>
      <w:r>
        <w:tab/>
        <w:t>Decline in distribution sales</w:t>
      </w:r>
    </w:p>
    <w:p w:rsidR="00915753" w:rsidRDefault="00915753" w:rsidP="00C434E6">
      <w:pPr>
        <w:pStyle w:val="BodyText"/>
        <w:tabs>
          <w:tab w:val="left" w:pos="2160"/>
        </w:tabs>
        <w:spacing w:after="0" w:line="240" w:lineRule="auto"/>
        <w:ind w:left="1440" w:right="1440"/>
        <w:contextualSpacing/>
        <w:jc w:val="left"/>
      </w:pPr>
    </w:p>
    <w:p w:rsidR="00915753" w:rsidRDefault="00915753" w:rsidP="00C434E6">
      <w:pPr>
        <w:pStyle w:val="BodyText"/>
        <w:tabs>
          <w:tab w:val="left" w:pos="2160"/>
        </w:tabs>
        <w:spacing w:after="0" w:line="240" w:lineRule="auto"/>
        <w:ind w:left="1440" w:right="1440"/>
        <w:contextualSpacing/>
        <w:jc w:val="left"/>
      </w:pPr>
      <w:r>
        <w:t>2.</w:t>
      </w:r>
      <w:r>
        <w:tab/>
        <w:t>Increase in operation and maintenance expenses</w:t>
      </w:r>
    </w:p>
    <w:p w:rsidR="00915753" w:rsidRDefault="00915753" w:rsidP="00C434E6">
      <w:pPr>
        <w:pStyle w:val="BodyText"/>
        <w:tabs>
          <w:tab w:val="left" w:pos="2160"/>
        </w:tabs>
        <w:spacing w:after="0" w:line="240" w:lineRule="auto"/>
        <w:ind w:left="1440" w:right="1440"/>
        <w:contextualSpacing/>
        <w:jc w:val="left"/>
      </w:pPr>
    </w:p>
    <w:p w:rsidR="00915753" w:rsidRDefault="00915753" w:rsidP="00C434E6">
      <w:pPr>
        <w:pStyle w:val="BodyText"/>
        <w:tabs>
          <w:tab w:val="left" w:pos="2160"/>
        </w:tabs>
        <w:spacing w:after="0" w:line="240" w:lineRule="auto"/>
        <w:ind w:left="2160" w:right="1440" w:hanging="720"/>
        <w:contextualSpacing/>
        <w:jc w:val="left"/>
      </w:pPr>
      <w:r>
        <w:t>3.</w:t>
      </w:r>
      <w:r>
        <w:tab/>
        <w:t>Need for substantial investments in distribution assets in order to reinforce aging infrastructure; and</w:t>
      </w:r>
    </w:p>
    <w:p w:rsidR="00915753" w:rsidRDefault="00915753" w:rsidP="00C434E6">
      <w:pPr>
        <w:pStyle w:val="BodyText"/>
        <w:tabs>
          <w:tab w:val="left" w:pos="2160"/>
        </w:tabs>
        <w:spacing w:after="0" w:line="240" w:lineRule="auto"/>
        <w:ind w:left="1440" w:right="1440"/>
        <w:contextualSpacing/>
        <w:jc w:val="left"/>
      </w:pPr>
    </w:p>
    <w:p w:rsidR="00915753" w:rsidRDefault="00915753" w:rsidP="00C434E6">
      <w:pPr>
        <w:pStyle w:val="BodyText"/>
        <w:tabs>
          <w:tab w:val="left" w:pos="2160"/>
        </w:tabs>
        <w:spacing w:after="0" w:line="240" w:lineRule="auto"/>
        <w:ind w:left="2160" w:right="1440" w:hanging="720"/>
        <w:contextualSpacing/>
        <w:jc w:val="left"/>
      </w:pPr>
      <w:r>
        <w:t>4.</w:t>
      </w:r>
      <w:r>
        <w:tab/>
        <w:t xml:space="preserve">Need to raise capital to pay for those investments at a time when capital markets are constrained. </w:t>
      </w:r>
    </w:p>
    <w:p w:rsidR="00915753" w:rsidRDefault="00915753" w:rsidP="00C434E6">
      <w:pPr>
        <w:pStyle w:val="BodyText"/>
        <w:tabs>
          <w:tab w:val="left" w:pos="1800"/>
        </w:tabs>
        <w:spacing w:after="0" w:line="240" w:lineRule="auto"/>
        <w:ind w:left="1800" w:right="720" w:hanging="360"/>
        <w:contextualSpacing/>
        <w:jc w:val="left"/>
      </w:pPr>
    </w:p>
    <w:p w:rsidR="00915753" w:rsidRDefault="00915753" w:rsidP="00C434E6">
      <w:pPr>
        <w:pStyle w:val="BodyText"/>
        <w:spacing w:after="0"/>
        <w:contextualSpacing/>
        <w:jc w:val="left"/>
      </w:pPr>
      <w:r>
        <w:t>PPL Stmt. in Support at 3-4.</w:t>
      </w:r>
    </w:p>
    <w:p w:rsidR="00915753" w:rsidRDefault="00915753" w:rsidP="00C434E6">
      <w:pPr>
        <w:pStyle w:val="BodyText"/>
        <w:spacing w:after="0"/>
        <w:ind w:firstLine="1440"/>
        <w:contextualSpacing/>
        <w:jc w:val="left"/>
      </w:pPr>
    </w:p>
    <w:p w:rsidR="00915753" w:rsidRDefault="00915753" w:rsidP="00C434E6">
      <w:pPr>
        <w:pStyle w:val="BodyText"/>
        <w:spacing w:after="0"/>
        <w:ind w:firstLine="1440"/>
        <w:contextualSpacing/>
        <w:jc w:val="left"/>
      </w:pPr>
      <w:r>
        <w:t>Company testimony is that the return on equity would decline to about 4% in 2010, and further decline to about 2% in 2011 without rate relief.  The Company is satisfied that the $77.5 million increase will provide the opportunity to earn a reasonable return, and thereby attract capital on reasonable terms and conditions to allow it to continue to provide safe and reliable service.  PPL Stmt. in Support at 4.</w:t>
      </w:r>
    </w:p>
    <w:p w:rsidR="00915753" w:rsidRDefault="00915753" w:rsidP="00C434E6">
      <w:pPr>
        <w:pStyle w:val="BodyText"/>
        <w:spacing w:after="0"/>
        <w:ind w:firstLine="1440"/>
        <w:contextualSpacing/>
        <w:jc w:val="left"/>
      </w:pPr>
    </w:p>
    <w:p w:rsidR="00915753" w:rsidRDefault="00915753" w:rsidP="00C434E6">
      <w:pPr>
        <w:pStyle w:val="BodyText"/>
        <w:spacing w:after="0"/>
        <w:ind w:firstLine="1440"/>
        <w:contextualSpacing/>
        <w:jc w:val="left"/>
      </w:pPr>
      <w:r>
        <w:t>PPL cites the installation of extensive advanced metering systems, a mobile operations management project which equipped all construction vehicles with mobile data terminals with GPS tracking capability to streamline operations and improve efficiency, an automated system for employees to respond to after-hours service interruptions and emergencies, a new storm management site, improvements to call center technology with expanded self-service capabilities for conducting business after hours and on weekends.  The Company avers that the increase will permit it to raise capital efficiently even in the present constrained market in order to fund these types of expenditures.  PPL Stmt. in Support at 4 - 5.</w:t>
      </w:r>
      <w:r>
        <w:tab/>
      </w:r>
    </w:p>
    <w:p w:rsidR="00915753" w:rsidRDefault="00915753" w:rsidP="00C434E6">
      <w:pPr>
        <w:pStyle w:val="BodyText"/>
        <w:spacing w:after="0"/>
        <w:ind w:firstLine="1440"/>
        <w:contextualSpacing/>
        <w:jc w:val="left"/>
      </w:pPr>
    </w:p>
    <w:p w:rsidR="00915753" w:rsidRDefault="00915753" w:rsidP="00C434E6">
      <w:pPr>
        <w:pStyle w:val="BodyText"/>
        <w:spacing w:after="0"/>
        <w:ind w:firstLine="1440"/>
        <w:contextualSpacing/>
        <w:jc w:val="left"/>
      </w:pPr>
      <w:r>
        <w:t>The Company, OTS and OCA were the three parties which presented evidence regarding revenue requirement, and all three are signatories to the Joint Petition for Partial Settlement.</w:t>
      </w:r>
    </w:p>
    <w:p w:rsidR="00915753" w:rsidRDefault="00915753" w:rsidP="00C434E6">
      <w:pPr>
        <w:pStyle w:val="BodyText"/>
        <w:spacing w:after="0"/>
        <w:ind w:firstLine="1440"/>
        <w:contextualSpacing/>
        <w:jc w:val="left"/>
      </w:pPr>
    </w:p>
    <w:p w:rsidR="00915753" w:rsidRDefault="00915753" w:rsidP="0080287F">
      <w:pPr>
        <w:pStyle w:val="BodyText"/>
        <w:spacing w:after="0"/>
        <w:ind w:firstLine="1440"/>
        <w:contextualSpacing/>
        <w:jc w:val="left"/>
      </w:pPr>
      <w:r>
        <w:t xml:space="preserve">OCA states that its witness Lafayette Morgan thoroughly reviewed PPL’s claimed revenue and expense items and its claimed level of rate base in this proceeding.  This review has </w:t>
      </w:r>
      <w:r>
        <w:lastRenderedPageBreak/>
        <w:t xml:space="preserve">enabled the OCA to agree to the level of revenue increase appropriate in this case.  OCA Stmt. in Support at 4-5.  </w:t>
      </w:r>
    </w:p>
    <w:p w:rsidR="00915753" w:rsidRDefault="00915753" w:rsidP="0080287F">
      <w:pPr>
        <w:pStyle w:val="BodyText"/>
        <w:spacing w:after="0"/>
        <w:ind w:firstLine="1440"/>
        <w:contextualSpacing/>
        <w:jc w:val="left"/>
      </w:pPr>
    </w:p>
    <w:p w:rsidR="00915753" w:rsidRDefault="00915753" w:rsidP="0080287F">
      <w:pPr>
        <w:pStyle w:val="BodyText"/>
        <w:spacing w:after="0"/>
        <w:ind w:firstLine="1440"/>
        <w:contextualSpacing/>
        <w:jc w:val="left"/>
      </w:pPr>
      <w:r>
        <w:t xml:space="preserve">Paragraph 22 of the Joint Petition for Settlement provides for inclusion of the Company’s proposed storm insurance premiums, discussed by OCA witness Morgan at OCA Statement 1 at 15-17.  </w:t>
      </w:r>
    </w:p>
    <w:p w:rsidR="00915753" w:rsidRDefault="00915753" w:rsidP="0080287F">
      <w:pPr>
        <w:pStyle w:val="BodyText"/>
        <w:spacing w:after="0"/>
        <w:ind w:firstLine="1440"/>
        <w:contextualSpacing/>
        <w:jc w:val="left"/>
      </w:pPr>
    </w:p>
    <w:p w:rsidR="00915753" w:rsidRDefault="00915753" w:rsidP="0080287F">
      <w:pPr>
        <w:pStyle w:val="BodyText"/>
        <w:spacing w:after="0"/>
        <w:ind w:firstLine="1440"/>
        <w:contextualSpacing/>
        <w:jc w:val="left"/>
      </w:pPr>
      <w:r>
        <w:t>The Settlement provision here that includes PPL’s storm insurance premiums within the revenue requirement agreed to in the Settlement is a reasonable resolution of this issue as raised by the OCA and will ensure that ratepayers receive the benefit of the storm insurance as part of the proposed revenue requirement in this proceeding.</w:t>
      </w:r>
    </w:p>
    <w:p w:rsidR="00915753" w:rsidRDefault="00915753" w:rsidP="0080287F">
      <w:pPr>
        <w:pStyle w:val="BodyText"/>
        <w:spacing w:after="0"/>
        <w:contextualSpacing/>
        <w:jc w:val="left"/>
      </w:pPr>
      <w:r>
        <w:t>OCA Stmt. in Support at 5.</w:t>
      </w:r>
    </w:p>
    <w:p w:rsidR="00915753" w:rsidRDefault="00915753" w:rsidP="0080287F">
      <w:pPr>
        <w:pStyle w:val="BodyText"/>
        <w:spacing w:after="0"/>
        <w:contextualSpacing/>
        <w:jc w:val="left"/>
      </w:pPr>
    </w:p>
    <w:p w:rsidR="00915753" w:rsidRDefault="00915753" w:rsidP="0080287F">
      <w:pPr>
        <w:pStyle w:val="BodyText"/>
        <w:spacing w:after="0"/>
        <w:ind w:firstLine="1440"/>
        <w:contextualSpacing/>
        <w:jc w:val="left"/>
      </w:pPr>
      <w:r>
        <w:t>Richards Energy Group saw one of its six issues settled by the Joint Petition for Settlement ¶27, which clarifies that standard service includes both overhead and underground service, assuring that low tension network customers will continue to have available to them both overhead and underground service.  REG Stmt. in Support at 2.</w:t>
      </w:r>
    </w:p>
    <w:p w:rsidR="00915753" w:rsidRDefault="00915753" w:rsidP="0080287F">
      <w:pPr>
        <w:pStyle w:val="BodyText"/>
        <w:spacing w:after="0"/>
        <w:contextualSpacing/>
        <w:jc w:val="left"/>
      </w:pPr>
    </w:p>
    <w:p w:rsidR="00915753" w:rsidRDefault="00915753" w:rsidP="0080287F">
      <w:pPr>
        <w:pStyle w:val="BodyText"/>
        <w:spacing w:after="0"/>
        <w:ind w:firstLine="1440"/>
        <w:contextualSpacing/>
        <w:jc w:val="left"/>
      </w:pPr>
      <w:r>
        <w:t>Letters of non-opposition were filed by PPLICA, Dominion Retail, Inc., Eric Epstein, PennFuture, CEO, and SEF.</w:t>
      </w:r>
    </w:p>
    <w:p w:rsidR="00915753" w:rsidRDefault="00915753" w:rsidP="0080287F">
      <w:pPr>
        <w:pStyle w:val="BodyText"/>
        <w:spacing w:after="0"/>
        <w:contextualSpacing/>
        <w:jc w:val="left"/>
      </w:pPr>
    </w:p>
    <w:p w:rsidR="00915753" w:rsidRDefault="00915753" w:rsidP="0080287F">
      <w:pPr>
        <w:pStyle w:val="BodyText"/>
        <w:spacing w:after="0"/>
        <w:ind w:firstLine="1440"/>
        <w:contextualSpacing/>
        <w:jc w:val="left"/>
      </w:pPr>
      <w:r>
        <w:t>The Joint Petition for Partial Settlement states:</w:t>
      </w:r>
    </w:p>
    <w:p w:rsidR="00915753" w:rsidRDefault="00915753" w:rsidP="0080287F">
      <w:pPr>
        <w:pStyle w:val="BodyText"/>
        <w:spacing w:after="0"/>
        <w:contextualSpacing/>
        <w:jc w:val="left"/>
      </w:pPr>
    </w:p>
    <w:p w:rsidR="00915753" w:rsidRDefault="00915753" w:rsidP="0080287F">
      <w:pPr>
        <w:pStyle w:val="Pleading2L1"/>
        <w:keepNext/>
        <w:keepLines/>
        <w:spacing w:after="0" w:line="360" w:lineRule="auto"/>
      </w:pPr>
      <w:r>
        <w:t>The public interest</w:t>
      </w:r>
    </w:p>
    <w:p w:rsidR="00915753" w:rsidRPr="00091543" w:rsidRDefault="00915753" w:rsidP="0080287F">
      <w:pPr>
        <w:pStyle w:val="BodyText"/>
        <w:spacing w:after="0"/>
      </w:pPr>
    </w:p>
    <w:p w:rsidR="00915753" w:rsidRDefault="00915753" w:rsidP="0080287F">
      <w:pPr>
        <w:pStyle w:val="Pleading2L3"/>
        <w:numPr>
          <w:ilvl w:val="0"/>
          <w:numId w:val="0"/>
        </w:numPr>
        <w:tabs>
          <w:tab w:val="num" w:pos="2160"/>
        </w:tabs>
        <w:spacing w:line="240" w:lineRule="auto"/>
        <w:ind w:left="1440" w:right="1440"/>
        <w:contextualSpacing/>
      </w:pPr>
      <w:r>
        <w:t>38.</w:t>
      </w:r>
      <w:r>
        <w:tab/>
        <w:t xml:space="preserve">This Settlement was achieved by the Joint Petitioners after an extensive investigation of PPL Electric’s filing, including extensive informal and formal discovery and the filing of direct, rebuttal, surrebuttal and rejoinder testimony.  </w:t>
      </w:r>
    </w:p>
    <w:p w:rsidR="00915753" w:rsidRDefault="00915753" w:rsidP="0080287F">
      <w:pPr>
        <w:pStyle w:val="Pleading2L3"/>
        <w:numPr>
          <w:ilvl w:val="0"/>
          <w:numId w:val="0"/>
        </w:numPr>
        <w:tabs>
          <w:tab w:val="num" w:pos="2160"/>
        </w:tabs>
        <w:spacing w:line="240" w:lineRule="auto"/>
        <w:ind w:left="1440" w:right="1440"/>
        <w:contextualSpacing/>
      </w:pPr>
    </w:p>
    <w:p w:rsidR="00915753" w:rsidRDefault="00915753" w:rsidP="0080287F">
      <w:pPr>
        <w:pStyle w:val="Pleading2L3"/>
        <w:numPr>
          <w:ilvl w:val="0"/>
          <w:numId w:val="0"/>
        </w:numPr>
        <w:tabs>
          <w:tab w:val="num" w:pos="2160"/>
        </w:tabs>
        <w:spacing w:line="240" w:lineRule="auto"/>
        <w:ind w:left="1440" w:right="1440"/>
        <w:contextualSpacing/>
      </w:pPr>
      <w:r>
        <w:t>39.</w:t>
      </w:r>
      <w:r>
        <w:tab/>
        <w:t xml:space="preserve">Acceptance of the Settlement will reduce the necessity of further administrative and potential appellate proceedings, which could impose a substantial cost on the Joint Petitioners and PPL Electric’s customers.  </w:t>
      </w:r>
    </w:p>
    <w:p w:rsidR="00915753" w:rsidRDefault="00915753" w:rsidP="00915753">
      <w:pPr>
        <w:pStyle w:val="Pleading2L3"/>
        <w:numPr>
          <w:ilvl w:val="0"/>
          <w:numId w:val="0"/>
        </w:numPr>
        <w:tabs>
          <w:tab w:val="num" w:pos="2160"/>
        </w:tabs>
        <w:spacing w:line="240" w:lineRule="auto"/>
        <w:ind w:left="1440" w:right="1440"/>
        <w:contextualSpacing/>
      </w:pPr>
      <w:r>
        <w:lastRenderedPageBreak/>
        <w:t>40.</w:t>
      </w:r>
      <w:r>
        <w:tab/>
        <w:t>Joint Petitioners are submitting their respective Statements in Support of this Settlement under separate cover.  In their respective Statements in Support, each Joint Petitioner explains why, in its view, the Settlement is fair, just and reasonable and reflects a reasonable compromise of the disputed issues in this proceeding.  It is noted that, because certain Joint Petitioners only participated with regard to certain issues in this proceeding, some of the Statements in Support may be limited in the scope of issues addressed.</w:t>
      </w:r>
    </w:p>
    <w:p w:rsidR="00915753" w:rsidRDefault="00915753" w:rsidP="00915753">
      <w:pPr>
        <w:pStyle w:val="Pleading2L3"/>
        <w:numPr>
          <w:ilvl w:val="0"/>
          <w:numId w:val="0"/>
        </w:numPr>
        <w:tabs>
          <w:tab w:val="num" w:pos="2160"/>
        </w:tabs>
        <w:spacing w:line="240" w:lineRule="auto"/>
        <w:ind w:left="1440" w:right="1440"/>
        <w:contextualSpacing/>
      </w:pPr>
    </w:p>
    <w:p w:rsidR="00915753" w:rsidRDefault="00915753" w:rsidP="00915753">
      <w:pPr>
        <w:pStyle w:val="Pleading2L3"/>
        <w:numPr>
          <w:ilvl w:val="0"/>
          <w:numId w:val="0"/>
        </w:numPr>
        <w:tabs>
          <w:tab w:val="num" w:pos="2160"/>
        </w:tabs>
        <w:spacing w:line="360" w:lineRule="auto"/>
        <w:ind w:left="1440" w:right="1440" w:hanging="1440"/>
        <w:contextualSpacing/>
      </w:pPr>
      <w:r>
        <w:t>Joint Petition for Partial Settlement at 9-10.</w:t>
      </w:r>
    </w:p>
    <w:p w:rsidR="00915753" w:rsidRDefault="00915753" w:rsidP="00915753">
      <w:pPr>
        <w:pStyle w:val="BodyText"/>
        <w:spacing w:after="0"/>
        <w:ind w:firstLine="1440"/>
        <w:jc w:val="left"/>
      </w:pPr>
    </w:p>
    <w:p w:rsidR="00915753" w:rsidRDefault="00915753" w:rsidP="00915753">
      <w:pPr>
        <w:pStyle w:val="BodyText"/>
        <w:spacing w:after="0"/>
        <w:ind w:firstLine="1440"/>
        <w:jc w:val="left"/>
      </w:pPr>
      <w:r>
        <w:t>In its Statement in Support, PPL Electric notes that the fact that no party opposes the Settlement in this major electric rate proceeding is itself strong evidence that the settlement is reasonable and in the public interest, particularly given the diverse interests of the parties and their role in this investigation.</w:t>
      </w:r>
    </w:p>
    <w:p w:rsidR="00915753" w:rsidRDefault="00915753" w:rsidP="00915753">
      <w:pPr>
        <w:pStyle w:val="BodyText"/>
        <w:spacing w:after="0"/>
        <w:ind w:firstLine="720"/>
        <w:contextualSpacing/>
        <w:jc w:val="left"/>
      </w:pPr>
    </w:p>
    <w:p w:rsidR="00915753" w:rsidRDefault="00915753" w:rsidP="00915753">
      <w:pPr>
        <w:pStyle w:val="BodyText"/>
        <w:spacing w:after="0"/>
        <w:ind w:firstLine="1440"/>
        <w:contextualSpacing/>
        <w:jc w:val="left"/>
      </w:pPr>
      <w:r>
        <w:t>The Company points out that the Settlement was achieved only after a comprehensive investigation of PPL Electric’s operations.  In addition to informal discovery, PPL Electric responded to more than 630 formal discovery requests, many of which had multiple subparts.  Parties filed five rounds of testimony, including PPL Electric’s direct testimony, other parties’ direct testimony, rebuttal testimony, surrebuttal testimony and rejoinder testimony.  Moreover, the parties participated in numerous settlement discussions and formal negotiations which ultimately led to the Settlement.</w:t>
      </w:r>
    </w:p>
    <w:p w:rsidR="00915753" w:rsidRDefault="00915753" w:rsidP="00915753">
      <w:pPr>
        <w:pStyle w:val="BodyText"/>
        <w:spacing w:after="0"/>
        <w:ind w:firstLine="720"/>
        <w:contextualSpacing/>
        <w:jc w:val="left"/>
      </w:pPr>
    </w:p>
    <w:p w:rsidR="00915753" w:rsidRDefault="00915753" w:rsidP="00915753">
      <w:pPr>
        <w:pStyle w:val="BodyText"/>
        <w:spacing w:after="0"/>
        <w:ind w:firstLine="1440"/>
        <w:contextualSpacing/>
        <w:jc w:val="left"/>
      </w:pPr>
      <w:r>
        <w:t>Finally, the parties in this proceeding, and their counsel, have considerable experience in rate proceedings.  Their knowledge, experience and ability to evaluate the strengths and weaknesses of their litigation positions provided a strong base upon which to build a consensus in this proceeding on the settled issues.  PPL Stmt. in Support at 2.</w:t>
      </w:r>
    </w:p>
    <w:p w:rsidR="00915753" w:rsidRDefault="00915753" w:rsidP="00915753">
      <w:pPr>
        <w:pStyle w:val="BodyText"/>
        <w:spacing w:after="0"/>
        <w:ind w:firstLine="1440"/>
        <w:jc w:val="left"/>
      </w:pPr>
    </w:p>
    <w:p w:rsidR="00915753" w:rsidRDefault="00915753" w:rsidP="00915753">
      <w:pPr>
        <w:pStyle w:val="BodyText"/>
        <w:spacing w:after="0"/>
        <w:ind w:firstLine="1440"/>
        <w:jc w:val="left"/>
      </w:pPr>
      <w:r>
        <w:t xml:space="preserve">It is important to emphasize that the settlement was reached only after the parties had completed a thorough investigation of the Company’s claims, through extensive discovery and review of prepared testimony.  Given the statutory duties of the public advocates, their </w:t>
      </w:r>
      <w:r>
        <w:lastRenderedPageBreak/>
        <w:t xml:space="preserve">signatures on this settlement indicates complete confidence that they are serving the public interest in doing so.  </w:t>
      </w:r>
    </w:p>
    <w:p w:rsidR="00915753" w:rsidRDefault="00915753" w:rsidP="00915753">
      <w:pPr>
        <w:pStyle w:val="BodyText"/>
        <w:spacing w:after="0"/>
        <w:ind w:firstLine="1440"/>
        <w:jc w:val="left"/>
      </w:pPr>
    </w:p>
    <w:p w:rsidR="00915753" w:rsidRDefault="00915753" w:rsidP="00915753">
      <w:pPr>
        <w:pStyle w:val="BodyText"/>
        <w:spacing w:after="0"/>
        <w:ind w:firstLine="1440"/>
        <w:jc w:val="left"/>
      </w:pPr>
      <w:r>
        <w:t>The parties identify the partial settlement as a “black box.”  In this context, OTS explains both the concept and its benefits:</w:t>
      </w:r>
    </w:p>
    <w:p w:rsidR="00915753" w:rsidRDefault="00915753" w:rsidP="00915753">
      <w:pPr>
        <w:pStyle w:val="BodyText"/>
        <w:spacing w:after="0"/>
        <w:ind w:firstLine="1440"/>
        <w:jc w:val="left"/>
      </w:pPr>
    </w:p>
    <w:p w:rsidR="00915753" w:rsidRDefault="00915753" w:rsidP="00915753">
      <w:pPr>
        <w:tabs>
          <w:tab w:val="left" w:pos="-720"/>
        </w:tabs>
        <w:suppressAutoHyphens/>
        <w:spacing w:line="240" w:lineRule="auto"/>
        <w:ind w:left="1440" w:right="1440"/>
        <w:contextualSpacing/>
        <w:jc w:val="left"/>
        <w:rPr>
          <w:spacing w:val="-3"/>
        </w:rPr>
      </w:pPr>
      <w:r w:rsidRPr="00AC54E5">
        <w:rPr>
          <w:spacing w:val="-3"/>
        </w:rPr>
        <w:t>12.</w:t>
      </w:r>
      <w:r w:rsidRPr="00AC54E5">
        <w:rPr>
          <w:spacing w:val="-3"/>
        </w:rPr>
        <w:tab/>
        <w:t>The additional base rate revenue has been agreed to in the context of a “Black Box” settlement with a few, limited, exceptions.  A “Black Box” agreement does not specifically identify the resolution of any disputed issues.  Instead, an overall increase to base rates is agreed to and parties retain all rights to further challenge all issues in subsequent proceedings.  “Black Box” settlements benefit ratepayers as it allows for the resolution of a proceeding in a timely manner while avoiding significant additional expenses.  OTS is of the opinion that an agreement as to the resolution of each and every disputed issue in this proceeding would not have been possible without judicial intervention.  The involvement of the ALJ would have added time and expense to an already cumbersome proceeding.  Avoiding this necessity will benefit ratepayers by keeping the expenses associated with this filing at a reasonable level.</w:t>
      </w:r>
    </w:p>
    <w:p w:rsidR="00915753" w:rsidRPr="00AC54E5" w:rsidRDefault="00915753" w:rsidP="00915753">
      <w:pPr>
        <w:tabs>
          <w:tab w:val="left" w:pos="-720"/>
        </w:tabs>
        <w:suppressAutoHyphens/>
        <w:spacing w:line="240" w:lineRule="auto"/>
        <w:ind w:left="1440" w:right="1440"/>
        <w:contextualSpacing/>
        <w:jc w:val="left"/>
        <w:rPr>
          <w:spacing w:val="-3"/>
        </w:rPr>
      </w:pPr>
    </w:p>
    <w:p w:rsidR="00915753" w:rsidRDefault="00915753" w:rsidP="00915753">
      <w:pPr>
        <w:tabs>
          <w:tab w:val="left" w:pos="-720"/>
        </w:tabs>
        <w:suppressAutoHyphens/>
        <w:spacing w:line="240" w:lineRule="auto"/>
        <w:ind w:left="1440" w:right="1440" w:firstLine="720"/>
        <w:contextualSpacing/>
        <w:jc w:val="left"/>
        <w:rPr>
          <w:spacing w:val="-3"/>
        </w:rPr>
      </w:pPr>
      <w:r w:rsidRPr="00AC54E5">
        <w:rPr>
          <w:spacing w:val="-3"/>
        </w:rPr>
        <w:t>This increased level of “Black Box” revenue adequately balances the interests of ratepayers, shareholders and the Company.  The Company will receive sufficient operating funds in order to provide safe and adequate service while earning an acceptable return on its investment for its shareholders.   Ratepayers are protected as the resulting increase minimizes the impact of the Company’s initial proposal.  The negotiated compromise represents approximately 67.6% of the Company’s filed request.  Mitigation of the level of the rate increase benefits ratepayers and results in rates that are just and reasonable.  As such, this element supports the standard for approval of a settlement as they are just and reasonable and in accordance with the Public Utility Code and all pertinent case law.</w:t>
      </w:r>
    </w:p>
    <w:p w:rsidR="00915753" w:rsidRPr="00AC54E5" w:rsidRDefault="00915753" w:rsidP="00915753">
      <w:pPr>
        <w:tabs>
          <w:tab w:val="left" w:pos="-720"/>
        </w:tabs>
        <w:suppressAutoHyphens/>
        <w:spacing w:line="240" w:lineRule="auto"/>
        <w:ind w:left="1440" w:right="1440"/>
        <w:contextualSpacing/>
        <w:jc w:val="left"/>
        <w:rPr>
          <w:spacing w:val="-3"/>
        </w:rPr>
      </w:pPr>
    </w:p>
    <w:p w:rsidR="00915753" w:rsidRDefault="00915753" w:rsidP="00915753">
      <w:pPr>
        <w:tabs>
          <w:tab w:val="left" w:pos="-720"/>
        </w:tabs>
        <w:suppressAutoHyphens/>
        <w:spacing w:line="240" w:lineRule="auto"/>
        <w:ind w:left="1440" w:right="1440" w:firstLine="720"/>
        <w:contextualSpacing/>
        <w:jc w:val="left"/>
        <w:rPr>
          <w:spacing w:val="-3"/>
        </w:rPr>
      </w:pPr>
      <w:r w:rsidRPr="00AC54E5">
        <w:rPr>
          <w:spacing w:val="-3"/>
        </w:rPr>
        <w:t xml:space="preserve">Utility regulation in Pennsylvania allows for the recovery of prudently incurred expenses as well as allowing the utility the opportunity to earn a reasonable return on the value of the assets used and useful in serving the public.  The increase agreed to by the parties in this proceeding respects this principle by providing adequate income to the Company to satisfy its operational and investment needs.  At the same time, the limitation on the increase </w:t>
      </w:r>
      <w:r>
        <w:rPr>
          <w:spacing w:val="-3"/>
        </w:rPr>
        <w:br/>
      </w:r>
    </w:p>
    <w:p w:rsidR="00915753" w:rsidRDefault="00915753" w:rsidP="00915753">
      <w:pPr>
        <w:spacing w:line="240" w:lineRule="auto"/>
        <w:jc w:val="left"/>
        <w:rPr>
          <w:spacing w:val="-3"/>
        </w:rPr>
      </w:pPr>
      <w:r>
        <w:rPr>
          <w:spacing w:val="-3"/>
        </w:rPr>
        <w:br w:type="page"/>
      </w:r>
    </w:p>
    <w:p w:rsidR="00915753" w:rsidRDefault="00915753" w:rsidP="00915753">
      <w:pPr>
        <w:tabs>
          <w:tab w:val="left" w:pos="-720"/>
        </w:tabs>
        <w:suppressAutoHyphens/>
        <w:spacing w:line="240" w:lineRule="auto"/>
        <w:ind w:left="1440" w:right="1440"/>
        <w:contextualSpacing/>
        <w:jc w:val="left"/>
        <w:rPr>
          <w:spacing w:val="-3"/>
        </w:rPr>
      </w:pPr>
      <w:r w:rsidRPr="00AC54E5">
        <w:rPr>
          <w:spacing w:val="-3"/>
        </w:rPr>
        <w:lastRenderedPageBreak/>
        <w:t>protects ratepayers by ensuring that their rates are just and reasonable and that no excess revenue is included in the tariff rates being charged.</w:t>
      </w:r>
    </w:p>
    <w:p w:rsidR="00915753" w:rsidRPr="00AC54E5" w:rsidRDefault="00915753" w:rsidP="00915753">
      <w:pPr>
        <w:tabs>
          <w:tab w:val="left" w:pos="-720"/>
        </w:tabs>
        <w:suppressAutoHyphens/>
        <w:spacing w:line="240" w:lineRule="auto"/>
        <w:ind w:left="1440" w:right="1440"/>
        <w:contextualSpacing/>
        <w:jc w:val="left"/>
        <w:rPr>
          <w:spacing w:val="-3"/>
        </w:rPr>
      </w:pPr>
    </w:p>
    <w:p w:rsidR="00915753" w:rsidRDefault="00915753" w:rsidP="00915753">
      <w:pPr>
        <w:tabs>
          <w:tab w:val="left" w:pos="-720"/>
        </w:tabs>
        <w:suppressAutoHyphens/>
        <w:ind w:left="1440" w:right="1440" w:hanging="1440"/>
        <w:contextualSpacing/>
        <w:jc w:val="left"/>
        <w:rPr>
          <w:spacing w:val="-3"/>
        </w:rPr>
      </w:pPr>
      <w:r w:rsidRPr="00AC54E5">
        <w:rPr>
          <w:spacing w:val="-3"/>
        </w:rPr>
        <w:t>OTS Stmt. in Support at 6</w:t>
      </w:r>
      <w:r>
        <w:rPr>
          <w:spacing w:val="-3"/>
        </w:rPr>
        <w:t>-7</w:t>
      </w:r>
      <w:r w:rsidRPr="00AC54E5">
        <w:rPr>
          <w:spacing w:val="-3"/>
        </w:rPr>
        <w:t>.</w:t>
      </w:r>
    </w:p>
    <w:p w:rsidR="00915753" w:rsidRPr="00AC54E5" w:rsidRDefault="00915753" w:rsidP="00915753">
      <w:pPr>
        <w:tabs>
          <w:tab w:val="left" w:pos="-720"/>
        </w:tabs>
        <w:suppressAutoHyphens/>
        <w:ind w:left="1440" w:right="1440" w:hanging="1440"/>
        <w:contextualSpacing/>
        <w:jc w:val="left"/>
        <w:rPr>
          <w:spacing w:val="-3"/>
        </w:rPr>
      </w:pPr>
    </w:p>
    <w:p w:rsidR="00915753" w:rsidRDefault="00915753" w:rsidP="00915753">
      <w:pPr>
        <w:pStyle w:val="BodyText"/>
        <w:spacing w:after="0"/>
        <w:ind w:firstLine="1440"/>
        <w:jc w:val="left"/>
      </w:pPr>
      <w:r>
        <w:t xml:space="preserve">OCA fashions its Statement in Support as describing the resolution of each issue in the public interest.  There are a number of settled issues that have been championed by the OCA which are beneficial to ratepayers.  </w:t>
      </w:r>
    </w:p>
    <w:p w:rsidR="00915753" w:rsidRDefault="00915753" w:rsidP="00915753">
      <w:pPr>
        <w:pStyle w:val="BodyText"/>
        <w:spacing w:after="0"/>
        <w:ind w:firstLine="1440"/>
        <w:jc w:val="left"/>
      </w:pPr>
    </w:p>
    <w:p w:rsidR="00915753" w:rsidRDefault="00915753" w:rsidP="00915753">
      <w:pPr>
        <w:pStyle w:val="BodyText"/>
        <w:spacing w:after="0"/>
        <w:ind w:firstLine="1440"/>
        <w:jc w:val="left"/>
      </w:pPr>
      <w:r>
        <w:t xml:space="preserve">The reduced increase is a benefit to consumers, at 4; the inclusion of the storm insurance in the smaller increase is a benefit to consumers, at 5; the inclusion of a portion of consumer education cost within the limited increase is a benefit to consumers, at 6; the use of a 10.0% common equity cost rate for the smart meter surcharge is a benefit because it is lower than the percentage sought, at 6; the RTS rate increase is limited to 150% of the percentage increase of the residential class instead of the 200% proposed by the filing, at 8; the residential customer charge will be $8.75 per month, reduced from the $15.38 originally sought, at 10-11; the implementation of an adjustment that will offset CAP credit amounts and pre-program arrearages by $50 per customer applied to the number of CAP participants over 32,500 on an average annual basis, establishing a reasonable level of offset to avoid double recovery of bad debt expense, at 12-13;and  inclusion of a CAP-Plus program that will allow PPL to comply with the DPW directive regarding use of LIHEAP funds without passing higher costs to non-participating ratepayers, at 12-14.  These specific terms all support a finding that the Joint Petition for Settlement is in the public interest.  </w:t>
      </w:r>
    </w:p>
    <w:p w:rsidR="00915753" w:rsidRDefault="00915753" w:rsidP="00915753">
      <w:pPr>
        <w:pStyle w:val="BodyText"/>
        <w:spacing w:after="0"/>
        <w:ind w:firstLine="1440"/>
        <w:jc w:val="left"/>
      </w:pPr>
    </w:p>
    <w:p w:rsidR="00915753" w:rsidRDefault="00915753" w:rsidP="00915753">
      <w:pPr>
        <w:pStyle w:val="BodyText"/>
        <w:spacing w:after="0"/>
        <w:ind w:firstLine="1440"/>
        <w:jc w:val="left"/>
      </w:pPr>
      <w:r>
        <w:t>Interests represented by the litigating parties include consumers, small business, large C&amp;I customers, EGSs, and the public interest at large.  For the reasons stated herein and in their statements in support, the Joint Petition for Settlement is in the public interest and is approved without modification.</w:t>
      </w:r>
    </w:p>
    <w:p w:rsidR="00915753" w:rsidRDefault="00915753" w:rsidP="00915753">
      <w:pPr>
        <w:pStyle w:val="BodyText"/>
        <w:spacing w:after="0"/>
        <w:ind w:firstLine="1440"/>
        <w:jc w:val="left"/>
      </w:pPr>
    </w:p>
    <w:p w:rsidR="00915753" w:rsidRDefault="00915753" w:rsidP="00915753">
      <w:pPr>
        <w:ind w:left="720" w:hanging="720"/>
        <w:contextualSpacing/>
        <w:jc w:val="left"/>
      </w:pPr>
    </w:p>
    <w:p w:rsidR="00915753" w:rsidRPr="00A60BA3" w:rsidRDefault="00915753" w:rsidP="00915753">
      <w:pPr>
        <w:ind w:left="720" w:hanging="720"/>
        <w:contextualSpacing/>
        <w:jc w:val="left"/>
      </w:pPr>
      <w:r w:rsidRPr="00A60BA3">
        <w:lastRenderedPageBreak/>
        <w:t>4.</w:t>
      </w:r>
      <w:r w:rsidRPr="00A60BA3">
        <w:tab/>
      </w:r>
      <w:r w:rsidRPr="008648C7">
        <w:rPr>
          <w:u w:val="single"/>
        </w:rPr>
        <w:t>LEGAL STANDARD FOR ISSUES NOT INCLUDED IN THE JOINT PETITION FOR SETTLEMENT</w:t>
      </w:r>
      <w:r w:rsidR="00CE0415">
        <w:fldChar w:fldCharType="begin"/>
      </w:r>
      <w:r>
        <w:instrText xml:space="preserve"> TC "</w:instrText>
      </w:r>
      <w:bookmarkStart w:id="38" w:name="_Toc274905756"/>
      <w:bookmarkStart w:id="39" w:name="_Toc274906166"/>
      <w:bookmarkStart w:id="40" w:name="_Toc274912169"/>
      <w:r w:rsidRPr="002A7AD4">
        <w:instrText>4.</w:instrText>
      </w:r>
      <w:r w:rsidRPr="002A7AD4">
        <w:tab/>
        <w:instrText>Legal Standard for Issues Not Included in the Joint Petition for Settlement</w:instrText>
      </w:r>
      <w:bookmarkEnd w:id="38"/>
      <w:bookmarkEnd w:id="39"/>
      <w:bookmarkEnd w:id="40"/>
      <w:r>
        <w:instrText xml:space="preserve">" \f C \l "2" </w:instrText>
      </w:r>
      <w:r w:rsidR="00CE0415">
        <w:fldChar w:fldCharType="end"/>
      </w:r>
    </w:p>
    <w:p w:rsidR="00915753" w:rsidRDefault="00915753" w:rsidP="00915753">
      <w:pPr>
        <w:contextualSpacing/>
        <w:jc w:val="left"/>
      </w:pPr>
    </w:p>
    <w:p w:rsidR="00915753" w:rsidRDefault="00915753" w:rsidP="00915753">
      <w:pPr>
        <w:tabs>
          <w:tab w:val="left" w:pos="-720"/>
        </w:tabs>
        <w:suppressAutoHyphens/>
        <w:ind w:firstLine="1440"/>
        <w:jc w:val="left"/>
        <w:rPr>
          <w:spacing w:val="-3"/>
        </w:rPr>
      </w:pPr>
      <w:r>
        <w:t>S</w:t>
      </w:r>
      <w:r w:rsidRPr="00BB3554">
        <w:t xml:space="preserve">ection 1301 of the Public Utility Code, 66 Pa.C.S. § 1301, provides:  “every rate made, demanded, or received by any public utility, or by any two or more public utilities jointly, shall be just and reasonable, and in conformity with regulations or orders of the commission.”  </w:t>
      </w:r>
      <w:r w:rsidRPr="00BB3554">
        <w:rPr>
          <w:spacing w:val="-3"/>
        </w:rPr>
        <w:t xml:space="preserve">In deciding any general rate increase case brought under Section 1308(d) of the Code, 66 Pa.C.S. </w:t>
      </w:r>
    </w:p>
    <w:p w:rsidR="00915753" w:rsidRDefault="00915753" w:rsidP="00915753">
      <w:pPr>
        <w:tabs>
          <w:tab w:val="left" w:pos="-720"/>
        </w:tabs>
        <w:suppressAutoHyphens/>
        <w:jc w:val="left"/>
        <w:rPr>
          <w:spacing w:val="-3"/>
        </w:rPr>
      </w:pPr>
      <w:r w:rsidRPr="00BB3554">
        <w:rPr>
          <w:spacing w:val="-3"/>
        </w:rPr>
        <w:t xml:space="preserve">§ 101 </w:t>
      </w:r>
      <w:r w:rsidRPr="00BB3554">
        <w:rPr>
          <w:i/>
          <w:spacing w:val="-3"/>
        </w:rPr>
        <w:t>et seq.</w:t>
      </w:r>
      <w:r w:rsidRPr="00BB3554">
        <w:rPr>
          <w:spacing w:val="-3"/>
        </w:rPr>
        <w:t xml:space="preserve">, certain general legal standards always apply.  </w:t>
      </w:r>
    </w:p>
    <w:p w:rsidR="00915753" w:rsidRPr="00BB3554" w:rsidRDefault="00915753" w:rsidP="00915753">
      <w:pPr>
        <w:tabs>
          <w:tab w:val="left" w:pos="-720"/>
        </w:tabs>
        <w:suppressAutoHyphens/>
        <w:jc w:val="left"/>
        <w:rPr>
          <w:spacing w:val="-3"/>
        </w:rPr>
      </w:pPr>
    </w:p>
    <w:p w:rsidR="00915753" w:rsidRPr="00BB3554" w:rsidRDefault="00915753" w:rsidP="00915753">
      <w:pPr>
        <w:widowControl w:val="0"/>
        <w:ind w:firstLine="1440"/>
        <w:jc w:val="left"/>
      </w:pPr>
      <w:r w:rsidRPr="00BB3554">
        <w:t xml:space="preserve">The burden of proof to establish the justness and reasonableness of every element of the utility’s rate increase rests solely upon the public utility.  66 Pa.C.S. § 315(a).  “It is well-established that the evidence adduced by a utility to meet this burden must be substantial.”  </w:t>
      </w:r>
      <w:r w:rsidRPr="00BB3554">
        <w:rPr>
          <w:i/>
        </w:rPr>
        <w:t>Lower Frederick Twp. v. Pennsylvania Pub. Util. Comm’n</w:t>
      </w:r>
      <w:r w:rsidRPr="00BB3554">
        <w:t xml:space="preserve">, 409 A.2d 505, 507 (Pa.Cmwlth. 1980).  </w:t>
      </w:r>
    </w:p>
    <w:p w:rsidR="00915753" w:rsidRPr="00BB3554" w:rsidRDefault="00915753" w:rsidP="00915753">
      <w:pPr>
        <w:widowControl w:val="0"/>
        <w:ind w:firstLine="1440"/>
        <w:jc w:val="left"/>
      </w:pPr>
    </w:p>
    <w:p w:rsidR="00915753" w:rsidRPr="00BB3554" w:rsidRDefault="00915753" w:rsidP="00915753">
      <w:pPr>
        <w:widowControl w:val="0"/>
        <w:tabs>
          <w:tab w:val="left" w:pos="2160"/>
        </w:tabs>
        <w:ind w:firstLine="1440"/>
        <w:jc w:val="left"/>
      </w:pPr>
      <w:r w:rsidRPr="00BB3554">
        <w:t xml:space="preserve">While the burden of proof remains with the public utility throughout the rate proceeding, the Commission has stated that where a party proposes an adjustment to a ratemaking claim of a utility, the proposing party bears the </w:t>
      </w:r>
      <w:r w:rsidRPr="00BB3554">
        <w:rPr>
          <w:bCs/>
        </w:rPr>
        <w:t>burden</w:t>
      </w:r>
      <w:r w:rsidRPr="00BB3554">
        <w:t xml:space="preserve"> of presenting some evidence or analysis tending to demonstrate the reasonableness of the adjustment.  </w:t>
      </w:r>
      <w:r w:rsidRPr="00BB3554">
        <w:rPr>
          <w:i/>
        </w:rPr>
        <w:t>Pennsylvania Pub. Util. Comm’n v. Aqua Pennsylvania, Inc</w:t>
      </w:r>
      <w:r w:rsidRPr="00BB3554">
        <w:t xml:space="preserve">., Docket No. R-00072711 (Commission Opinion and Order entered July 17, 2008).  As stated in </w:t>
      </w:r>
      <w:r w:rsidRPr="00BB3554">
        <w:rPr>
          <w:i/>
        </w:rPr>
        <w:t>Pennsylvania Public Utility Commission</w:t>
      </w:r>
      <w:r w:rsidRPr="00BB3554">
        <w:t xml:space="preserve"> v. </w:t>
      </w:r>
      <w:r w:rsidRPr="00BB3554">
        <w:rPr>
          <w:i/>
        </w:rPr>
        <w:t>Philadelphia Gas Works</w:t>
      </w:r>
      <w:r w:rsidRPr="00BB3554">
        <w:t>, Docket No. R-00061931 (Commission Opinion and Order entered September 28, 2007) at 12:  “</w:t>
      </w:r>
      <w:r w:rsidRPr="00BB3554">
        <w:rPr>
          <w:color w:val="000000"/>
        </w:rPr>
        <w:t>Section 315(a) of the Code, 66 Pa.C.S. § 315(a), applies since this is a proceeding on Commission Motion.  However, after the utility establishes a prima facie case, the burden of going forward or the burden of persuasion shifts to the other parties to rebut the prima facie case.”</w:t>
      </w:r>
    </w:p>
    <w:p w:rsidR="00915753" w:rsidRDefault="00915753" w:rsidP="00915753">
      <w:pPr>
        <w:tabs>
          <w:tab w:val="left" w:pos="-720"/>
          <w:tab w:val="left" w:pos="2160"/>
        </w:tabs>
        <w:suppressAutoHyphens/>
        <w:ind w:firstLine="1440"/>
        <w:jc w:val="left"/>
      </w:pPr>
    </w:p>
    <w:p w:rsidR="00915753" w:rsidRDefault="00915753" w:rsidP="00915753">
      <w:pPr>
        <w:tabs>
          <w:tab w:val="left" w:pos="-720"/>
          <w:tab w:val="left" w:pos="2160"/>
        </w:tabs>
        <w:suppressAutoHyphens/>
        <w:ind w:firstLine="1440"/>
        <w:jc w:val="left"/>
      </w:pPr>
      <w:r>
        <w:t xml:space="preserve">In addition, </w:t>
      </w:r>
      <w:r w:rsidRPr="00BB3554">
        <w:t xml:space="preserve">Section 523 of the Public Utility </w:t>
      </w:r>
      <w:r>
        <w:t>Code, 66 Pa.C.S. § </w:t>
      </w:r>
      <w:r w:rsidRPr="00BB3554">
        <w:t>523, requires the Commission to “consider .</w:t>
      </w:r>
      <w:r>
        <w:t xml:space="preserve"> </w:t>
      </w:r>
      <w:r w:rsidRPr="00BB3554">
        <w:t>.</w:t>
      </w:r>
      <w:r>
        <w:t xml:space="preserve"> </w:t>
      </w:r>
      <w:r w:rsidRPr="00BB3554">
        <w:t xml:space="preserve">. the efficiency, effectiveness and adequacy of service of each utility when determining just and reasonable rates. . . .”  In exchange for customers paying rates for service, which include the cost of utility plant in service and a rate of return, a public utility is </w:t>
      </w:r>
      <w:r w:rsidRPr="00BB3554">
        <w:lastRenderedPageBreak/>
        <w:t xml:space="preserve">obligated to provide safe, adequate and reasonable service.  “[I]n exchange for the utility’s provision of safe, adequate and reasonable service, the ratepayers are obligated to pay rates which cover the cost of service which includes reasonable operation and maintenance expenses, depreciation, taxes and a fair rate of return for the utility’s investors . . . </w:t>
      </w:r>
      <w:r>
        <w:t xml:space="preserve"> </w:t>
      </w:r>
      <w:r w:rsidRPr="00BB3554">
        <w:t>In return for providing safe and adequate service, the utility is entitled to recover, through ra</w:t>
      </w:r>
      <w:r>
        <w:t xml:space="preserve">tes, these enumerated costs.”  </w:t>
      </w:r>
      <w:r w:rsidRPr="00BB3554">
        <w:rPr>
          <w:i/>
          <w:spacing w:val="-3"/>
        </w:rPr>
        <w:t xml:space="preserve">Pennsylvania Pub. Util. Comm’n </w:t>
      </w:r>
      <w:r w:rsidRPr="00BB3554">
        <w:rPr>
          <w:i/>
        </w:rPr>
        <w:t xml:space="preserve"> v. Pennsylvania Gas &amp; Water Co., </w:t>
      </w:r>
      <w:r w:rsidRPr="00BB3554">
        <w:t>61 Pa. PUC 409, 415-16 (1986); 66 Pa.C.S. § 1501.  Accordingly, the General Assembly has given the Commission discretionary authority to deny a proposed rate increase, in whole or in part, if the Commission finds “that the service rendered by the public utilit</w:t>
      </w:r>
      <w:r>
        <w:t>y is inadequate.”  66 Pa.C.S. § </w:t>
      </w:r>
      <w:r w:rsidRPr="00BB3554">
        <w:t>526(a).</w:t>
      </w:r>
    </w:p>
    <w:p w:rsidR="00915753" w:rsidRPr="00BB3554" w:rsidRDefault="00915753" w:rsidP="00915753">
      <w:pPr>
        <w:tabs>
          <w:tab w:val="left" w:pos="-720"/>
          <w:tab w:val="left" w:pos="2160"/>
        </w:tabs>
        <w:suppressAutoHyphens/>
        <w:ind w:firstLine="1440"/>
        <w:jc w:val="left"/>
        <w:rPr>
          <w:spacing w:val="-3"/>
        </w:rPr>
      </w:pPr>
    </w:p>
    <w:p w:rsidR="00915753" w:rsidRDefault="00915753" w:rsidP="0080287F">
      <w:pPr>
        <w:pStyle w:val="BodyText"/>
        <w:tabs>
          <w:tab w:val="left" w:pos="2160"/>
        </w:tabs>
        <w:spacing w:after="0"/>
        <w:ind w:firstLine="1440"/>
        <w:jc w:val="left"/>
      </w:pPr>
      <w:r>
        <w:t xml:space="preserve">The Joint Petition for Partial Settlement identifies the following issues as reserved for litigation: </w:t>
      </w:r>
    </w:p>
    <w:p w:rsidR="0080287F" w:rsidRDefault="0080287F" w:rsidP="0080287F">
      <w:pPr>
        <w:pStyle w:val="BodyText"/>
        <w:tabs>
          <w:tab w:val="left" w:pos="2160"/>
        </w:tabs>
        <w:spacing w:after="0"/>
        <w:ind w:firstLine="1440"/>
        <w:jc w:val="left"/>
      </w:pPr>
    </w:p>
    <w:p w:rsidR="00915753" w:rsidRDefault="00915753" w:rsidP="00915753">
      <w:pPr>
        <w:pStyle w:val="Pleading2L3"/>
        <w:numPr>
          <w:ilvl w:val="0"/>
          <w:numId w:val="0"/>
        </w:numPr>
        <w:tabs>
          <w:tab w:val="left" w:pos="2160"/>
        </w:tabs>
        <w:spacing w:line="360" w:lineRule="auto"/>
        <w:ind w:firstLine="1440"/>
        <w:contextualSpacing/>
      </w:pPr>
      <w:r>
        <w:t>1.</w:t>
      </w:r>
      <w:r>
        <w:tab/>
        <w:t xml:space="preserve">Revenue Requirement Allocation.  </w:t>
      </w:r>
    </w:p>
    <w:p w:rsidR="00915753" w:rsidRDefault="00915753" w:rsidP="00915753">
      <w:pPr>
        <w:pStyle w:val="Pleading2L3"/>
        <w:numPr>
          <w:ilvl w:val="0"/>
          <w:numId w:val="0"/>
        </w:numPr>
        <w:tabs>
          <w:tab w:val="left" w:pos="2160"/>
        </w:tabs>
        <w:spacing w:line="360" w:lineRule="auto"/>
        <w:ind w:firstLine="1440"/>
        <w:contextualSpacing/>
      </w:pPr>
    </w:p>
    <w:p w:rsidR="00915753" w:rsidRDefault="00915753" w:rsidP="00915753">
      <w:pPr>
        <w:pStyle w:val="Pleading2L3"/>
        <w:numPr>
          <w:ilvl w:val="0"/>
          <w:numId w:val="0"/>
        </w:numPr>
        <w:tabs>
          <w:tab w:val="left" w:pos="2160"/>
        </w:tabs>
        <w:spacing w:line="360" w:lineRule="auto"/>
        <w:ind w:firstLine="1440"/>
        <w:contextualSpacing/>
      </w:pPr>
      <w:r>
        <w:t>2.</w:t>
      </w:r>
      <w:r>
        <w:tab/>
        <w:t xml:space="preserve">Richards Energy Group Issues include the allocation of additional revenue requirement to customers under Rate Schedule GS-3, the determination of billing demand under Rate Schedules GS-1 and GS-3, the definition of billing demand and the availability of certain data to customers and Electric Generation Suppliers.    </w:t>
      </w:r>
    </w:p>
    <w:p w:rsidR="00915753" w:rsidRDefault="00915753" w:rsidP="00915753">
      <w:pPr>
        <w:pStyle w:val="Pleading2L3"/>
        <w:numPr>
          <w:ilvl w:val="0"/>
          <w:numId w:val="0"/>
        </w:numPr>
        <w:tabs>
          <w:tab w:val="left" w:pos="2160"/>
        </w:tabs>
        <w:spacing w:line="360" w:lineRule="auto"/>
        <w:ind w:firstLine="1440"/>
        <w:contextualSpacing/>
      </w:pPr>
    </w:p>
    <w:p w:rsidR="00915753" w:rsidRDefault="00915753" w:rsidP="00915753">
      <w:pPr>
        <w:pStyle w:val="Pleading2L3"/>
        <w:numPr>
          <w:ilvl w:val="0"/>
          <w:numId w:val="0"/>
        </w:numPr>
        <w:tabs>
          <w:tab w:val="left" w:pos="2160"/>
        </w:tabs>
        <w:spacing w:line="360" w:lineRule="auto"/>
        <w:ind w:firstLine="1440"/>
        <w:contextualSpacing/>
      </w:pPr>
      <w:r>
        <w:t>3.</w:t>
      </w:r>
      <w:r>
        <w:tab/>
        <w:t xml:space="preserve">SEF Issues include Net Metering tariff language, compensation for customer-generators who generate and deliver to PPL Electric in any month or year more kilowatt hours than </w:t>
      </w:r>
      <w:r>
        <w:tab/>
        <w:t xml:space="preserve">PPL Electric delivers to the customer-generator.   </w:t>
      </w:r>
    </w:p>
    <w:p w:rsidR="00915753" w:rsidRDefault="00915753" w:rsidP="00915753">
      <w:pPr>
        <w:pStyle w:val="Pleading2L3"/>
        <w:numPr>
          <w:ilvl w:val="0"/>
          <w:numId w:val="0"/>
        </w:numPr>
        <w:tabs>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4.</w:t>
      </w:r>
      <w:r>
        <w:tab/>
        <w:t xml:space="preserve">CEO  Issues include the level of funding for PPL Electric’s WRAP and HELP programs. </w:t>
      </w:r>
    </w:p>
    <w:p w:rsidR="00915753" w:rsidRDefault="00915753" w:rsidP="00915753">
      <w:pPr>
        <w:pStyle w:val="Pleading2L3"/>
        <w:numPr>
          <w:ilvl w:val="0"/>
          <w:numId w:val="0"/>
        </w:numPr>
        <w:tabs>
          <w:tab w:val="num" w:pos="0"/>
          <w:tab w:val="left" w:pos="2160"/>
        </w:tabs>
        <w:spacing w:line="360" w:lineRule="auto"/>
        <w:ind w:firstLine="1440"/>
        <w:contextualSpacing/>
      </w:pPr>
    </w:p>
    <w:p w:rsidR="00915753" w:rsidRDefault="00915753" w:rsidP="00915753">
      <w:pPr>
        <w:pStyle w:val="Pleading2L3"/>
        <w:numPr>
          <w:ilvl w:val="0"/>
          <w:numId w:val="0"/>
        </w:numPr>
        <w:tabs>
          <w:tab w:val="num" w:pos="0"/>
          <w:tab w:val="left" w:pos="2160"/>
        </w:tabs>
        <w:spacing w:line="360" w:lineRule="auto"/>
        <w:ind w:firstLine="1440"/>
        <w:contextualSpacing/>
      </w:pPr>
      <w:r>
        <w:t>5.</w:t>
      </w:r>
      <w:r>
        <w:tab/>
        <w:t xml:space="preserve">RESA Issues are related to PPL Electric’s purchase of receivables program including the recovery of generation-related uncollectible accounts expense through a non-bypassable Merchant Function Charge, the discount in the price paid by PPL Electric to </w:t>
      </w:r>
      <w:r>
        <w:lastRenderedPageBreak/>
        <w:t xml:space="preserve">Electric Generation Suppliers to purchase receivables and expansion of the purchase of receivables program to large commercial and industrial customers.  </w:t>
      </w:r>
    </w:p>
    <w:p w:rsidR="00915753" w:rsidRDefault="00915753" w:rsidP="00915753">
      <w:pPr>
        <w:pStyle w:val="Pleading2L3"/>
        <w:numPr>
          <w:ilvl w:val="0"/>
          <w:numId w:val="0"/>
        </w:numPr>
        <w:tabs>
          <w:tab w:val="num" w:pos="0"/>
          <w:tab w:val="left" w:pos="2160"/>
        </w:tabs>
        <w:spacing w:line="360" w:lineRule="auto"/>
        <w:ind w:firstLine="1440"/>
        <w:contextualSpacing/>
        <w:rPr>
          <w:b/>
        </w:rPr>
      </w:pPr>
    </w:p>
    <w:p w:rsidR="00915753" w:rsidRDefault="00915753" w:rsidP="00915753">
      <w:pPr>
        <w:pStyle w:val="Pleading2L3"/>
        <w:numPr>
          <w:ilvl w:val="0"/>
          <w:numId w:val="0"/>
        </w:numPr>
        <w:tabs>
          <w:tab w:val="num" w:pos="0"/>
          <w:tab w:val="left" w:pos="2160"/>
        </w:tabs>
        <w:spacing w:line="360" w:lineRule="auto"/>
        <w:ind w:firstLine="1440"/>
        <w:contextualSpacing/>
        <w:rPr>
          <w:b/>
        </w:rPr>
      </w:pPr>
      <w:r>
        <w:t>6.</w:t>
      </w:r>
      <w:r>
        <w:tab/>
        <w:t xml:space="preserve">PPLICA Issue is its rate design proposal to modify Rate Schedule LP-4.       </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rPr>
          <w:u w:val="single"/>
        </w:rPr>
      </w:pPr>
      <w:r>
        <w:t>5</w:t>
      </w:r>
      <w:r w:rsidRPr="00264B4E">
        <w:t>.</w:t>
      </w:r>
      <w:r w:rsidRPr="00264B4E">
        <w:tab/>
      </w:r>
      <w:r w:rsidRPr="00264B4E">
        <w:rPr>
          <w:u w:val="single"/>
        </w:rPr>
        <w:t>REVENUE REQUIREMENT ALLOCATION</w:t>
      </w:r>
      <w:r w:rsidR="00B835E0">
        <w:rPr>
          <w:u w:val="single"/>
        </w:rPr>
        <w:fldChar w:fldCharType="begin"/>
      </w:r>
      <w:r w:rsidR="00B835E0">
        <w:instrText xml:space="preserve"> TC "</w:instrText>
      </w:r>
      <w:r w:rsidR="00B835E0" w:rsidRPr="00E3226E">
        <w:instrText>5.</w:instrText>
      </w:r>
      <w:r w:rsidR="00B835E0" w:rsidRPr="00E3226E">
        <w:tab/>
      </w:r>
      <w:r w:rsidR="00B835E0" w:rsidRPr="00E3226E">
        <w:rPr>
          <w:u w:val="single"/>
        </w:rPr>
        <w:instrText>REVENUE REQUIREMENT ALLOCATION</w:instrText>
      </w:r>
      <w:r w:rsidR="00B835E0">
        <w:instrText xml:space="preserve">" \f C \l "2" </w:instrText>
      </w:r>
      <w:r w:rsidR="00B835E0">
        <w:rPr>
          <w:u w:val="single"/>
        </w:rPr>
        <w:fldChar w:fldCharType="end"/>
      </w:r>
    </w:p>
    <w:p w:rsidR="00915753" w:rsidRPr="00264B4E" w:rsidRDefault="00915753" w:rsidP="00915753">
      <w:pPr>
        <w:pStyle w:val="Pleading2L3"/>
        <w:numPr>
          <w:ilvl w:val="0"/>
          <w:numId w:val="0"/>
        </w:numPr>
        <w:spacing w:line="360" w:lineRule="auto"/>
        <w:rPr>
          <w:u w:val="single"/>
        </w:rPr>
      </w:pPr>
    </w:p>
    <w:p w:rsidR="00915753" w:rsidRPr="00486D68" w:rsidRDefault="00915753" w:rsidP="00915753">
      <w:pPr>
        <w:pStyle w:val="Pleading2L3"/>
        <w:numPr>
          <w:ilvl w:val="0"/>
          <w:numId w:val="0"/>
        </w:numPr>
        <w:tabs>
          <w:tab w:val="left" w:pos="1440"/>
        </w:tabs>
        <w:spacing w:line="360" w:lineRule="auto"/>
        <w:ind w:firstLine="720"/>
      </w:pPr>
      <w:r w:rsidRPr="00486D68">
        <w:t>A.</w:t>
      </w:r>
      <w:r w:rsidRPr="00486D68">
        <w:tab/>
      </w:r>
      <w:r w:rsidRPr="00486D68">
        <w:rPr>
          <w:u w:val="single"/>
        </w:rPr>
        <w:t>Cost of Service</w:t>
      </w:r>
      <w:r>
        <w:rPr>
          <w:u w:val="single"/>
        </w:rPr>
        <w:t xml:space="preserve"> Study</w:t>
      </w:r>
      <w:r w:rsidR="00CE0415">
        <w:rPr>
          <w:u w:val="single"/>
        </w:rPr>
        <w:fldChar w:fldCharType="begin"/>
      </w:r>
      <w:r>
        <w:instrText xml:space="preserve"> TC "</w:instrText>
      </w:r>
      <w:bookmarkStart w:id="41" w:name="_Toc274905758"/>
      <w:bookmarkStart w:id="42" w:name="_Toc274906168"/>
      <w:bookmarkStart w:id="43" w:name="_Toc274912171"/>
      <w:r w:rsidRPr="0052281C">
        <w:instrText>A.</w:instrText>
      </w:r>
      <w:r w:rsidRPr="0052281C">
        <w:tab/>
      </w:r>
      <w:r w:rsidRPr="0052281C">
        <w:rPr>
          <w:u w:val="single"/>
        </w:rPr>
        <w:instrText>Cost of Service Study</w:instrText>
      </w:r>
      <w:bookmarkEnd w:id="41"/>
      <w:bookmarkEnd w:id="42"/>
      <w:bookmarkEnd w:id="43"/>
      <w:r>
        <w:instrText xml:space="preserve">" \f C \l "3" </w:instrText>
      </w:r>
      <w:r w:rsidR="00CE0415">
        <w:rPr>
          <w:u w:val="single"/>
        </w:rPr>
        <w:fldChar w:fldCharType="end"/>
      </w:r>
    </w:p>
    <w:p w:rsidR="00915753" w:rsidRPr="00A52941" w:rsidRDefault="00915753" w:rsidP="00915753">
      <w:pPr>
        <w:pStyle w:val="Pleading2L3"/>
        <w:numPr>
          <w:ilvl w:val="0"/>
          <w:numId w:val="0"/>
        </w:numPr>
        <w:tabs>
          <w:tab w:val="left" w:pos="1440"/>
        </w:tabs>
        <w:spacing w:line="360" w:lineRule="auto"/>
        <w:ind w:firstLine="720"/>
        <w:rPr>
          <w:b/>
        </w:rPr>
      </w:pPr>
    </w:p>
    <w:p w:rsidR="00915753" w:rsidRDefault="00915753" w:rsidP="00915753">
      <w:pPr>
        <w:pStyle w:val="Pleading2L3"/>
        <w:numPr>
          <w:ilvl w:val="0"/>
          <w:numId w:val="0"/>
        </w:numPr>
        <w:spacing w:line="360" w:lineRule="auto"/>
        <w:ind w:firstLine="1440"/>
      </w:pPr>
      <w:r>
        <w:t xml:space="preserve">When a utility files for a rate increase, it must file a cost-of-service study assigning to each customer class a rate based upon operating costs that it incurred in providing that service.  52 Pa. Code § 53.53 Exhibit C.IV.E. </w:t>
      </w:r>
      <w:r>
        <w:rPr>
          <w:i/>
        </w:rPr>
        <w:t xml:space="preserve"> Lloyd v. Pa. Publ. Util. Comm’n, </w:t>
      </w:r>
      <w:r>
        <w:t xml:space="preserve">904 A.2d 1010 (Pa. Cmwlth. 2006) </w:t>
      </w:r>
      <w:r>
        <w:rPr>
          <w:i/>
        </w:rPr>
        <w:t xml:space="preserve">appeal denied </w:t>
      </w:r>
      <w:r>
        <w:t>591 Pa. 676, 916 A.2d 1104, fn. 10 (2007)(</w:t>
      </w:r>
      <w:r>
        <w:rPr>
          <w:i/>
        </w:rPr>
        <w:t>Lloyd</w:t>
      </w:r>
      <w:r>
        <w:t>).</w:t>
      </w:r>
    </w:p>
    <w:p w:rsidR="00915753" w:rsidRPr="000A74B9" w:rsidRDefault="00915753" w:rsidP="00915753">
      <w:pPr>
        <w:pStyle w:val="Pleading2L3"/>
        <w:numPr>
          <w:ilvl w:val="0"/>
          <w:numId w:val="0"/>
        </w:numPr>
        <w:spacing w:line="360" w:lineRule="auto"/>
        <w:ind w:firstLine="1440"/>
      </w:pPr>
    </w:p>
    <w:p w:rsidR="00915753" w:rsidRPr="00463601" w:rsidRDefault="00915753" w:rsidP="00915753">
      <w:pPr>
        <w:pStyle w:val="Pleading2L3"/>
        <w:numPr>
          <w:ilvl w:val="0"/>
          <w:numId w:val="0"/>
        </w:numPr>
        <w:spacing w:line="360" w:lineRule="auto"/>
        <w:ind w:firstLine="1440"/>
      </w:pPr>
      <w:r>
        <w:t xml:space="preserve">The Company explains that it has no inherent interest in allocating the increase to one rate class over another and has sought to present the increase in a fair and impartial manner.  Its proposed revenue allocation was guided by the Commonwealth Court decision arising from the 2004 rate case, which held that the cost of service should be the “polestar” of utility ratemaking.  </w:t>
      </w:r>
      <w:r>
        <w:rPr>
          <w:i/>
        </w:rPr>
        <w:t>Lloyd</w:t>
      </w:r>
      <w:r>
        <w:t xml:space="preserve"> at 1020.  The method of determining the cost of service is a matter of some contention in any rate case, and this one is no exception.  While all agree that a cost of service study (COSS) is important, opinions differ on how to conduct the study.   The Company, the OCA and OSBA submitted COSS.</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 xml:space="preserve">Simply put, “[T]he underlying principle of a COSS is that costs are assigned to the rate classes that </w:t>
      </w:r>
      <w:r>
        <w:rPr>
          <w:i/>
        </w:rPr>
        <w:t>cause</w:t>
      </w:r>
      <w:r>
        <w:t xml:space="preserve"> the utility to incur those costs.”  OSBA Stmt. 1 at 4.  The Company states:</w:t>
      </w:r>
    </w:p>
    <w:p w:rsidR="00915753" w:rsidRDefault="00915753" w:rsidP="00915753">
      <w:pPr>
        <w:pStyle w:val="Pleading2L3"/>
        <w:numPr>
          <w:ilvl w:val="0"/>
          <w:numId w:val="0"/>
        </w:numPr>
        <w:spacing w:line="240" w:lineRule="auto"/>
        <w:ind w:firstLine="1440"/>
      </w:pPr>
    </w:p>
    <w:p w:rsidR="00915753" w:rsidRDefault="00915753" w:rsidP="00915753">
      <w:pPr>
        <w:pStyle w:val="Pleading2L3"/>
        <w:numPr>
          <w:ilvl w:val="0"/>
          <w:numId w:val="0"/>
        </w:numPr>
        <w:spacing w:line="240" w:lineRule="auto"/>
        <w:ind w:left="1440" w:right="1440" w:firstLine="720"/>
        <w:contextualSpacing/>
      </w:pPr>
      <w:r>
        <w:t xml:space="preserve">Fully allocated cost of service studies, such as those presented by PPL Electric in this proceeding, take the Company’s overall total cost of service and allocate it to the various rate classes and then calculate the rate of return provided by that class.  The studies then compare the rate of return provided by each rate class to the system average rate of return to determine if each rate </w:t>
      </w:r>
      <w:r>
        <w:lastRenderedPageBreak/>
        <w:t>class is paying above or below its allocated cost of service.  That conclusion provides important guidance in base rate proceedings as to whether a rate class should receive a rate increase, and if so, the amount of the increase.</w:t>
      </w:r>
    </w:p>
    <w:p w:rsidR="00915753" w:rsidRDefault="00915753" w:rsidP="00915753">
      <w:pPr>
        <w:pStyle w:val="Pleading2L3"/>
        <w:numPr>
          <w:ilvl w:val="0"/>
          <w:numId w:val="0"/>
        </w:numPr>
        <w:spacing w:line="240" w:lineRule="auto"/>
        <w:ind w:left="1440" w:right="1440" w:hanging="1440"/>
        <w:contextualSpacing/>
      </w:pPr>
    </w:p>
    <w:p w:rsidR="00915753" w:rsidRDefault="00915753" w:rsidP="00915753">
      <w:pPr>
        <w:pStyle w:val="Pleading2L3"/>
        <w:numPr>
          <w:ilvl w:val="0"/>
          <w:numId w:val="0"/>
        </w:numPr>
        <w:spacing w:line="360" w:lineRule="auto"/>
        <w:ind w:left="1440" w:right="1440" w:hanging="1440"/>
        <w:contextualSpacing/>
      </w:pPr>
      <w:r>
        <w:t>PPL Electric Initial Brief at 13.</w:t>
      </w:r>
    </w:p>
    <w:p w:rsidR="00915753" w:rsidRDefault="00915753" w:rsidP="00915753">
      <w:pPr>
        <w:pStyle w:val="Pleading2L3"/>
        <w:numPr>
          <w:ilvl w:val="0"/>
          <w:numId w:val="0"/>
        </w:numPr>
        <w:spacing w:line="360" w:lineRule="auto"/>
        <w:ind w:left="1440" w:right="1440" w:hanging="1440"/>
        <w:contextualSpacing/>
      </w:pPr>
    </w:p>
    <w:p w:rsidR="00915753" w:rsidRDefault="00915753" w:rsidP="00915753">
      <w:pPr>
        <w:pStyle w:val="Pleading2L3"/>
        <w:numPr>
          <w:ilvl w:val="0"/>
          <w:numId w:val="0"/>
        </w:numPr>
        <w:spacing w:line="360" w:lineRule="auto"/>
        <w:ind w:firstLine="1440"/>
      </w:pPr>
      <w:r>
        <w:t>The first two of the Company’s COSS, JMK-1 and JMK-2 were part of the original filing and were for the historic and future test years.  During the discovery process, the Company found certain errors in JMK-2 and replaced it with JMK-2 (Rev.), which was admitted into evidence.  JMK-2A classifies substations as entirely demand-related and was updated to reflect the Company’s final accounting exhibit, PPL Electric Ex. Future 1 (Revised).  JMK-2B was created to follow the methodology used in prior cases in which all primary voltage facilities are classified as demand related.  PPL Electric Initial Brief at 14-15.</w:t>
      </w:r>
    </w:p>
    <w:p w:rsidR="00915753" w:rsidRDefault="00915753" w:rsidP="00915753">
      <w:pPr>
        <w:spacing w:line="240" w:lineRule="auto"/>
        <w:jc w:val="left"/>
        <w:rPr>
          <w:rFonts w:eastAsia="Times New Roman"/>
          <w:szCs w:val="20"/>
        </w:rPr>
      </w:pPr>
    </w:p>
    <w:p w:rsidR="00915753" w:rsidRDefault="00915753" w:rsidP="0080287F">
      <w:pPr>
        <w:pStyle w:val="Pleading2L3"/>
        <w:numPr>
          <w:ilvl w:val="0"/>
          <w:numId w:val="0"/>
        </w:numPr>
        <w:spacing w:line="360" w:lineRule="auto"/>
        <w:ind w:firstLine="1440"/>
      </w:pPr>
      <w:r>
        <w:t>Cost of service studies follow three basic steps:</w:t>
      </w:r>
    </w:p>
    <w:p w:rsidR="00915753" w:rsidRDefault="00915753" w:rsidP="0080287F">
      <w:pPr>
        <w:pStyle w:val="Pleading2L3"/>
        <w:numPr>
          <w:ilvl w:val="0"/>
          <w:numId w:val="0"/>
        </w:numPr>
        <w:spacing w:line="360" w:lineRule="auto"/>
        <w:ind w:firstLine="1440"/>
      </w:pPr>
    </w:p>
    <w:p w:rsidR="00915753" w:rsidRDefault="00915753" w:rsidP="00915753">
      <w:pPr>
        <w:pStyle w:val="Pleading2L3"/>
        <w:numPr>
          <w:ilvl w:val="0"/>
          <w:numId w:val="0"/>
        </w:numPr>
        <w:tabs>
          <w:tab w:val="left" w:pos="2160"/>
        </w:tabs>
        <w:spacing w:line="360" w:lineRule="auto"/>
        <w:ind w:firstLine="1440"/>
      </w:pPr>
      <w:r>
        <w:t>1.</w:t>
      </w:r>
      <w:r>
        <w:tab/>
        <w:t>Costs are functionalized into generation, transmission or distribution.</w:t>
      </w:r>
    </w:p>
    <w:p w:rsidR="00915753" w:rsidRDefault="00915753" w:rsidP="00915753">
      <w:pPr>
        <w:pStyle w:val="Pleading2L3"/>
        <w:numPr>
          <w:ilvl w:val="0"/>
          <w:numId w:val="0"/>
        </w:numPr>
        <w:spacing w:line="360" w:lineRule="auto"/>
      </w:pPr>
      <w:r>
        <w:t>Distribution costs are sub-functionalized between the primary system (three phase system that operates at 12 or 23 kV) and secondary (single phase facilities that operate at or below 12 kV).</w:t>
      </w:r>
    </w:p>
    <w:p w:rsidR="00915753" w:rsidRDefault="00915753" w:rsidP="00915753">
      <w:pPr>
        <w:pStyle w:val="Pleading2L3"/>
        <w:numPr>
          <w:ilvl w:val="0"/>
          <w:numId w:val="0"/>
        </w:numPr>
        <w:spacing w:line="240" w:lineRule="auto"/>
      </w:pPr>
    </w:p>
    <w:p w:rsidR="00915753" w:rsidRDefault="00915753" w:rsidP="00915753">
      <w:pPr>
        <w:pStyle w:val="Pleading2L3"/>
        <w:numPr>
          <w:ilvl w:val="0"/>
          <w:numId w:val="0"/>
        </w:numPr>
        <w:tabs>
          <w:tab w:val="left" w:pos="2160"/>
        </w:tabs>
        <w:spacing w:line="240" w:lineRule="auto"/>
        <w:ind w:firstLine="1440"/>
      </w:pPr>
      <w:r>
        <w:t>2.</w:t>
      </w:r>
      <w:r>
        <w:tab/>
        <w:t>Costs are classified as demand, customer or energy-related.</w:t>
      </w:r>
    </w:p>
    <w:p w:rsidR="00915753" w:rsidRDefault="00915753" w:rsidP="00915753">
      <w:pPr>
        <w:pStyle w:val="Pleading2L3"/>
        <w:numPr>
          <w:ilvl w:val="0"/>
          <w:numId w:val="0"/>
        </w:numPr>
        <w:tabs>
          <w:tab w:val="left" w:pos="2160"/>
        </w:tabs>
        <w:spacing w:line="240" w:lineRule="auto"/>
        <w:ind w:firstLine="1440"/>
      </w:pPr>
    </w:p>
    <w:p w:rsidR="00915753" w:rsidRDefault="00915753" w:rsidP="00915753">
      <w:pPr>
        <w:pStyle w:val="Pleading2L3"/>
        <w:numPr>
          <w:ilvl w:val="0"/>
          <w:numId w:val="0"/>
        </w:numPr>
        <w:tabs>
          <w:tab w:val="left" w:pos="2160"/>
        </w:tabs>
        <w:spacing w:line="240" w:lineRule="auto"/>
        <w:ind w:firstLine="1440"/>
      </w:pPr>
      <w:r>
        <w:t>3.</w:t>
      </w:r>
      <w:r>
        <w:tab/>
        <w:t>Costs are allocated among the rate classes.</w:t>
      </w:r>
    </w:p>
    <w:p w:rsidR="00915753" w:rsidRDefault="00915753" w:rsidP="00915753">
      <w:pPr>
        <w:pStyle w:val="Pleading2L3"/>
        <w:numPr>
          <w:ilvl w:val="0"/>
          <w:numId w:val="0"/>
        </w:numPr>
        <w:tabs>
          <w:tab w:val="left" w:pos="2160"/>
        </w:tabs>
        <w:spacing w:line="240" w:lineRule="auto"/>
        <w:ind w:firstLine="1440"/>
      </w:pPr>
    </w:p>
    <w:p w:rsidR="00915753" w:rsidRDefault="00915753" w:rsidP="00C976A3">
      <w:pPr>
        <w:pStyle w:val="Pleading2L3"/>
        <w:numPr>
          <w:ilvl w:val="0"/>
          <w:numId w:val="0"/>
        </w:numPr>
        <w:tabs>
          <w:tab w:val="left" w:pos="2160"/>
        </w:tabs>
        <w:spacing w:line="360" w:lineRule="auto"/>
      </w:pPr>
      <w:r>
        <w:t>PPL Electric Initial Brief at 16-17 (citations omitted).</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tabs>
          <w:tab w:val="left" w:pos="2160"/>
        </w:tabs>
        <w:spacing w:line="360" w:lineRule="auto"/>
        <w:ind w:firstLine="1440"/>
      </w:pPr>
      <w:r>
        <w:t>Note that those revenues and expenses which are recovered through specific cost recovery mechanisms under Section 1307 of the Public Utility Code, 66 Pa. C.S. § 1307, are removed from the COSS.  PPL Electric Initial Brief at 16.</w:t>
      </w:r>
    </w:p>
    <w:p w:rsidR="00915753" w:rsidRDefault="00915753" w:rsidP="00915753">
      <w:pPr>
        <w:pStyle w:val="Pleading2L3"/>
        <w:numPr>
          <w:ilvl w:val="0"/>
          <w:numId w:val="0"/>
        </w:numPr>
        <w:tabs>
          <w:tab w:val="left" w:pos="2160"/>
        </w:tabs>
        <w:spacing w:line="360" w:lineRule="auto"/>
        <w:ind w:firstLine="1440"/>
      </w:pPr>
    </w:p>
    <w:p w:rsidR="00915753" w:rsidRDefault="00915753" w:rsidP="00915753">
      <w:pPr>
        <w:pStyle w:val="Pleading2L3"/>
        <w:numPr>
          <w:ilvl w:val="0"/>
          <w:numId w:val="0"/>
        </w:numPr>
        <w:tabs>
          <w:tab w:val="left" w:pos="2160"/>
        </w:tabs>
        <w:spacing w:line="360" w:lineRule="auto"/>
        <w:ind w:firstLine="1440"/>
      </w:pPr>
      <w:r>
        <w:t>The parties agree that the development of a cost of service study is not an exact science:</w:t>
      </w:r>
    </w:p>
    <w:p w:rsidR="00C976A3" w:rsidRDefault="00C976A3" w:rsidP="00915753">
      <w:pPr>
        <w:pStyle w:val="Pleading2L3"/>
        <w:numPr>
          <w:ilvl w:val="0"/>
          <w:numId w:val="0"/>
        </w:numPr>
        <w:tabs>
          <w:tab w:val="left" w:pos="2160"/>
        </w:tabs>
        <w:spacing w:line="360" w:lineRule="auto"/>
        <w:ind w:firstLine="1440"/>
      </w:pPr>
    </w:p>
    <w:p w:rsidR="00915753" w:rsidRDefault="00915753" w:rsidP="00915753">
      <w:pPr>
        <w:pStyle w:val="Pleading2L3"/>
        <w:numPr>
          <w:ilvl w:val="0"/>
          <w:numId w:val="0"/>
        </w:numPr>
        <w:spacing w:line="240" w:lineRule="auto"/>
        <w:ind w:left="1440" w:right="1440" w:firstLine="720"/>
        <w:contextualSpacing/>
      </w:pPr>
      <w:r>
        <w:lastRenderedPageBreak/>
        <w:t>Both Company witness Kleha and OCA witness Watkins testified that the process of developing a cost of service study is subject to considerable discretion.  As Company witness Kleha testified, the “process inherently requires a substantial level of judgment and can be more accurately described as engineering/accounting art, rather than science.”  PPL St. 7 at 24.  OCA witness Watkins explained that, “Cost allocation studies involve art as much as science and are subjective by their very nature.”  OCA St. 3 at 4.  As both PPL witness Kleha and OCA witness Watkins testified, the cost of service study should serve as a guide and one of a number of tools in assigning revenue responsibility.  OCA St. 3 at 4; PPL St. 7 at 19-23.</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OCA Main Brief at 19.</w:t>
      </w:r>
    </w:p>
    <w:p w:rsidR="00915753" w:rsidRDefault="00915753" w:rsidP="00915753">
      <w:pPr>
        <w:pStyle w:val="Pleading2L3"/>
        <w:numPr>
          <w:ilvl w:val="0"/>
          <w:numId w:val="0"/>
        </w:numPr>
        <w:spacing w:line="360" w:lineRule="auto"/>
      </w:pPr>
    </w:p>
    <w:p w:rsidR="00915753" w:rsidRDefault="00915753" w:rsidP="00BF32BF">
      <w:pPr>
        <w:pStyle w:val="Pleading2L3"/>
        <w:numPr>
          <w:ilvl w:val="0"/>
          <w:numId w:val="0"/>
        </w:numPr>
        <w:spacing w:line="360" w:lineRule="auto"/>
        <w:ind w:firstLine="1440"/>
      </w:pPr>
      <w:r>
        <w:t>1.</w:t>
      </w:r>
      <w:r>
        <w:tab/>
        <w:t xml:space="preserve">Costs are functionalized into generation, transmission or distribution.  The Company explains that generation no longer plays a role, and that distribution costs are sub-functionalized between the primary system (three phase system that operates at 12 or 23 kV) and secondary (single phase facilities that operate at or below 12 kV).  PPL Electric Initial Brief at 17.  </w:t>
      </w:r>
    </w:p>
    <w:p w:rsidR="00915753" w:rsidRDefault="00915753" w:rsidP="00BF32BF">
      <w:pPr>
        <w:pStyle w:val="Pleading2L3"/>
        <w:numPr>
          <w:ilvl w:val="0"/>
          <w:numId w:val="0"/>
        </w:numPr>
        <w:spacing w:line="360" w:lineRule="auto"/>
      </w:pPr>
    </w:p>
    <w:p w:rsidR="00915753" w:rsidRDefault="00915753" w:rsidP="00BF32BF">
      <w:pPr>
        <w:pStyle w:val="Pleading2L3"/>
        <w:numPr>
          <w:ilvl w:val="0"/>
          <w:numId w:val="0"/>
        </w:numPr>
        <w:spacing w:line="360" w:lineRule="auto"/>
        <w:ind w:firstLine="1440"/>
      </w:pPr>
      <w:r>
        <w:t>2.</w:t>
      </w:r>
      <w:r>
        <w:tab/>
        <w:t>Costs are classified as demand, customer or energy-related.</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 xml:space="preserve">The Company states that distribution system costs are categorized as either demand or customer related – but not energy related.  </w:t>
      </w:r>
    </w:p>
    <w:p w:rsidR="00915753" w:rsidRDefault="00915753" w:rsidP="00EC0BA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240" w:lineRule="auto"/>
        <w:ind w:left="1440" w:right="1440" w:firstLine="720"/>
        <w:contextualSpacing/>
      </w:pPr>
      <w:r>
        <w:t xml:space="preserve">A portion of distribution plant costs is incurred to meet peak demand because each component of the distribution system must be sized to meet the peak demand placed on it.  Similarly, a portion of distribution plant costs is incurred in proportion to the number of customers served, </w:t>
      </w:r>
      <w:r>
        <w:rPr>
          <w:i/>
        </w:rPr>
        <w:t>i.e.,</w:t>
      </w:r>
      <w:r>
        <w:t xml:space="preserve"> it varies with the number of customers served. Such costs, which include for example billing costs, meters and services, are classified as customer related.  OSBA St. 1, pp. 5</w:t>
      </w:r>
      <w:r>
        <w:noBreakHyphen/>
        <w:t>6.</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PPL Electric Initial Brief at 17.</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lastRenderedPageBreak/>
        <w:t>The Company points out that energy costs are those which vary in proportion to the amount of electricity delivered, but no distribution costs are caused by the amounts of energy delivered.  PPL Electric Initial Brief at 17.</w:t>
      </w:r>
    </w:p>
    <w:p w:rsidR="00C976A3" w:rsidRDefault="00C976A3"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 xml:space="preserve">The Company’s approach is consistent with the National Association of Regulatory Utility Commissioners (NARUC) manual, </w:t>
      </w:r>
      <w:r>
        <w:rPr>
          <w:i/>
        </w:rPr>
        <w:t xml:space="preserve">Electric Utility Cost Allocation Manual </w:t>
      </w:r>
      <w:r>
        <w:t>(January 1992) (NARUC Manual), a portion of which is attached to PPLICA Statement 2-R as Exhibit RAB 1-R:</w:t>
      </w:r>
    </w:p>
    <w:p w:rsidR="00C976A3" w:rsidRDefault="00C976A3" w:rsidP="00C976A3">
      <w:pPr>
        <w:pStyle w:val="Pleading2L3"/>
        <w:numPr>
          <w:ilvl w:val="0"/>
          <w:numId w:val="0"/>
        </w:numPr>
        <w:spacing w:line="360" w:lineRule="auto"/>
        <w:ind w:firstLine="1440"/>
      </w:pPr>
    </w:p>
    <w:p w:rsidR="00915753" w:rsidRDefault="00915753" w:rsidP="00915753">
      <w:pPr>
        <w:pStyle w:val="Pleading2L3"/>
        <w:numPr>
          <w:ilvl w:val="0"/>
          <w:numId w:val="0"/>
        </w:numPr>
        <w:spacing w:line="240" w:lineRule="auto"/>
        <w:ind w:left="1440" w:right="1440" w:firstLine="720"/>
        <w:contextualSpacing/>
      </w:pPr>
      <w:r>
        <w:t>When the utility installs distribution plant to provide service to a customer and to meet the individual customer’s peak demand requirements, the utility must classify distribution plant data separately into demand- and customer-related costs.</w:t>
      </w:r>
    </w:p>
    <w:p w:rsidR="00915753" w:rsidRDefault="00915753" w:rsidP="00915753">
      <w:pPr>
        <w:pStyle w:val="Pleading2L3"/>
        <w:numPr>
          <w:ilvl w:val="0"/>
          <w:numId w:val="0"/>
        </w:numPr>
        <w:spacing w:line="240" w:lineRule="auto"/>
        <w:ind w:left="1440" w:right="1440" w:firstLine="720"/>
        <w:contextualSpacing/>
      </w:pPr>
      <w:r>
        <w:t>Classifying distribution plant as a demand cost assigns investment of that plant to a customer or group of customers based upon its contribution to some total peak load.  The reason is that costs are incurred to serve area load, rather than a specific number of customers.</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NARUC Manual at 90; PPLICA Ex. RAB-1-R.</w:t>
      </w:r>
    </w:p>
    <w:p w:rsidR="00915753" w:rsidRDefault="00915753" w:rsidP="00915753">
      <w:pPr>
        <w:pStyle w:val="Pleading2L3"/>
        <w:numPr>
          <w:ilvl w:val="0"/>
          <w:numId w:val="0"/>
        </w:numPr>
        <w:spacing w:line="360" w:lineRule="auto"/>
        <w:ind w:left="1440" w:right="1440" w:hanging="1440"/>
        <w:contextualSpacing/>
      </w:pPr>
    </w:p>
    <w:p w:rsidR="00915753" w:rsidRDefault="00915753" w:rsidP="00915753">
      <w:pPr>
        <w:pStyle w:val="Pleading2L3"/>
        <w:numPr>
          <w:ilvl w:val="0"/>
          <w:numId w:val="0"/>
        </w:numPr>
        <w:spacing w:line="360" w:lineRule="auto"/>
        <w:ind w:firstLine="1440"/>
      </w:pPr>
      <w:r>
        <w:t>The Company explains that it classified certain plant as 100 percent customer-related (meters), but that most plant is classified as partly customer related and partly demand related.  Quantities were apportioned using the “minimum size system” methodology, consistent with past practice and the NARUC Manual (which recognizes two methods):</w:t>
      </w:r>
    </w:p>
    <w:p w:rsidR="00915753" w:rsidRDefault="00915753" w:rsidP="00915753">
      <w:pPr>
        <w:pStyle w:val="Pleading2L3"/>
        <w:numPr>
          <w:ilvl w:val="0"/>
          <w:numId w:val="0"/>
        </w:numPr>
        <w:spacing w:line="360" w:lineRule="auto"/>
        <w:ind w:left="1440" w:right="1440"/>
        <w:contextualSpacing/>
      </w:pPr>
    </w:p>
    <w:p w:rsidR="00915753" w:rsidRDefault="00915753" w:rsidP="00915753">
      <w:pPr>
        <w:pStyle w:val="Pleading2L3"/>
        <w:numPr>
          <w:ilvl w:val="0"/>
          <w:numId w:val="0"/>
        </w:numPr>
        <w:spacing w:line="240" w:lineRule="auto"/>
        <w:ind w:left="1440" w:right="1440" w:firstLine="720"/>
        <w:contextualSpacing/>
      </w:pPr>
      <w:r>
        <w:t xml:space="preserve">Classifying distribution plant with the minimum-size method assumes that a minimum size distribution system can be built to serve the minimum loading requirements of the customer.  The minimum-size method involves determining the minimum size pole, conductor, cable, transformer, and service that is currently installed by the utility.  Normally, the average book cost for each piece of equipment determines the price of all installed units.  Once determined for each primary plant account, the minimum size distribution system is classified as customer-related costs.  The demand-related costs for each account are the difference between the total investment in the account and customer-related costs.  Comparative studies between the minimum-size and other methods </w:t>
      </w:r>
      <w:r>
        <w:lastRenderedPageBreak/>
        <w:t xml:space="preserve">show that it generally produces a larger customer component than the zero-intercept method . . . . </w:t>
      </w:r>
    </w:p>
    <w:p w:rsidR="00915753" w:rsidRDefault="00915753" w:rsidP="00915753">
      <w:pPr>
        <w:pStyle w:val="Pleading2L3"/>
        <w:numPr>
          <w:ilvl w:val="0"/>
          <w:numId w:val="0"/>
        </w:numPr>
        <w:spacing w:line="240" w:lineRule="auto"/>
        <w:ind w:left="1440" w:right="1260"/>
        <w:contextualSpacing/>
      </w:pPr>
    </w:p>
    <w:p w:rsidR="00915753" w:rsidRPr="00CB0644" w:rsidRDefault="00915753" w:rsidP="00915753">
      <w:pPr>
        <w:pStyle w:val="Pleading2L3"/>
        <w:numPr>
          <w:ilvl w:val="0"/>
          <w:numId w:val="0"/>
        </w:numPr>
        <w:spacing w:line="360" w:lineRule="auto"/>
        <w:ind w:left="1440" w:right="1260" w:hanging="1440"/>
        <w:contextualSpacing/>
      </w:pPr>
      <w:r>
        <w:t xml:space="preserve">PPLICA Exhibit RAB 1-R.  </w:t>
      </w:r>
      <w:r>
        <w:rPr>
          <w:i/>
        </w:rPr>
        <w:t xml:space="preserve">See also </w:t>
      </w:r>
      <w:r>
        <w:t>PPL Electric Initial Brief at 18.</w:t>
      </w:r>
    </w:p>
    <w:p w:rsidR="00915753" w:rsidRDefault="00915753" w:rsidP="00915753">
      <w:pPr>
        <w:pStyle w:val="Pleading2L3"/>
        <w:numPr>
          <w:ilvl w:val="0"/>
          <w:numId w:val="0"/>
        </w:numPr>
        <w:spacing w:line="360" w:lineRule="auto"/>
      </w:pPr>
    </w:p>
    <w:p w:rsidR="00915753" w:rsidRPr="00901FC2" w:rsidRDefault="00915753" w:rsidP="00915753">
      <w:pPr>
        <w:pStyle w:val="Pleading2L3"/>
        <w:numPr>
          <w:ilvl w:val="0"/>
          <w:numId w:val="0"/>
        </w:numPr>
        <w:spacing w:line="360" w:lineRule="auto"/>
        <w:ind w:firstLine="1440"/>
      </w:pPr>
      <w:r>
        <w:t>The Company followed this methodology with two “refinements” added in response to criticisms in prior cases.  First, the Company identified the “no load” portion of overhead and underground transformers in order to classify the “no load” portion as customer-related.  PPL Stmt. 7 at 23-24.  Second, the Company applied the minimum system study to both the primary and secondary distribution systems and developed specific customer and demand components for each sub-system instead of assuming that the primary distribution system was all demand related.  Exhibit JMK-2A treats substations as demand-related</w:t>
      </w:r>
      <w:r w:rsidR="00EC0BA3">
        <w:t>,</w:t>
      </w:r>
      <w:r w:rsidRPr="00A90129">
        <w:rPr>
          <w:rStyle w:val="FootnoteReference"/>
          <w:vertAlign w:val="superscript"/>
        </w:rPr>
        <w:footnoteReference w:id="12"/>
      </w:r>
      <w:r>
        <w:t xml:space="preserve"> and JMK-2B applies PPL Electric’s traditional methodology used in prior cases, in which all primary voltage facilities are classifies ad demand related.  </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3.</w:t>
      </w:r>
      <w:r>
        <w:tab/>
      </w:r>
      <w:r w:rsidRPr="00C744EB">
        <w:t>Costs are allocated among the rate classes</w:t>
      </w:r>
      <w:r>
        <w:t>.  At this point, classified costs are either assigned to the specific rate classes or are distributed among rate classes using an allocation factor consistent with the underlying cost classification.  The Company fully supports Exhibit JMK-2A, which it characterizes as more precise than its historical approach. PPL Electric Initial Brief at 20.</w:t>
      </w:r>
      <w:r w:rsidRPr="00A90129">
        <w:rPr>
          <w:rStyle w:val="FootnoteReference"/>
          <w:vertAlign w:val="superscript"/>
        </w:rPr>
        <w:footnoteReference w:id="13"/>
      </w:r>
      <w:r>
        <w:t xml:space="preserve">   </w:t>
      </w:r>
    </w:p>
    <w:p w:rsidR="00915753" w:rsidRDefault="00915753" w:rsidP="00915753">
      <w:pPr>
        <w:pStyle w:val="Pleading2L3"/>
        <w:numPr>
          <w:ilvl w:val="0"/>
          <w:numId w:val="0"/>
        </w:numPr>
        <w:spacing w:line="360" w:lineRule="auto"/>
      </w:pPr>
    </w:p>
    <w:p w:rsidR="00915753" w:rsidRDefault="00915753" w:rsidP="00A52750">
      <w:pPr>
        <w:pStyle w:val="Pleading2L3"/>
        <w:numPr>
          <w:ilvl w:val="0"/>
          <w:numId w:val="0"/>
        </w:numPr>
        <w:spacing w:line="240" w:lineRule="auto"/>
        <w:ind w:firstLine="1440"/>
      </w:pPr>
      <w:r>
        <w:t>PPLICA states:</w:t>
      </w:r>
    </w:p>
    <w:p w:rsidR="00AF6FDA" w:rsidRDefault="00AF6FDA"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240" w:lineRule="auto"/>
        <w:ind w:left="1440" w:right="1440" w:firstLine="720"/>
        <w:contextualSpacing/>
      </w:pPr>
      <w:r>
        <w:t>Upon review, PPLICA does not object to the Company’s filed CCOSS</w:t>
      </w:r>
      <w:r w:rsidR="00814CCD" w:rsidRPr="00814CCD">
        <w:rPr>
          <w:rStyle w:val="FootnoteReference"/>
          <w:vertAlign w:val="superscript"/>
        </w:rPr>
        <w:footnoteReference w:id="14"/>
      </w:r>
      <w:r>
        <w:t xml:space="preserve"> and believes that the CCOSS is a reasonable basis upon which to make a determination of the appropriate allocation of any PUC-authorized increase in distribution revenue requirements.  The refinement regarding the allocation of primary voltage distribution facilities based on both a customer and </w:t>
      </w:r>
      <w:r>
        <w:lastRenderedPageBreak/>
        <w:t xml:space="preserve">demand proponent is appropriate, fully supported by the Company and is consistent with NARUC recommendations.  Although cost allocation may be an art, not an exact science, PPL’s CCOSS provides a reasonable basis for assessing distribution-related rates of return for each rate schedule.  </w:t>
      </w:r>
    </w:p>
    <w:p w:rsidR="00915753" w:rsidRDefault="00915753" w:rsidP="00915753">
      <w:pPr>
        <w:pStyle w:val="Pleading2L3"/>
        <w:numPr>
          <w:ilvl w:val="0"/>
          <w:numId w:val="0"/>
        </w:numPr>
        <w:spacing w:line="240" w:lineRule="auto"/>
        <w:ind w:left="1440" w:right="1440"/>
        <w:contextualSpacing/>
      </w:pPr>
    </w:p>
    <w:p w:rsidR="00915753" w:rsidRPr="002804FD" w:rsidRDefault="00915753" w:rsidP="00915753">
      <w:pPr>
        <w:pStyle w:val="Pleading2L3"/>
        <w:numPr>
          <w:ilvl w:val="0"/>
          <w:numId w:val="0"/>
        </w:numPr>
        <w:spacing w:line="360" w:lineRule="auto"/>
        <w:ind w:left="1440" w:right="1440" w:hanging="1440"/>
        <w:contextualSpacing/>
      </w:pPr>
      <w:r>
        <w:t>PPLICA Main Brief at 9.</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In supporting the Company’s approach over the others presented, PPLICA explains:</w:t>
      </w:r>
    </w:p>
    <w:p w:rsidR="00A52750" w:rsidRDefault="00A52750" w:rsidP="00A52750">
      <w:pPr>
        <w:pStyle w:val="Pleading2L3"/>
        <w:numPr>
          <w:ilvl w:val="0"/>
          <w:numId w:val="0"/>
        </w:numPr>
        <w:spacing w:line="240" w:lineRule="auto"/>
        <w:ind w:firstLine="1440"/>
      </w:pPr>
    </w:p>
    <w:p w:rsidR="00915753" w:rsidRDefault="00915753" w:rsidP="00915753">
      <w:pPr>
        <w:pStyle w:val="Pleading2L3"/>
        <w:numPr>
          <w:ilvl w:val="0"/>
          <w:numId w:val="0"/>
        </w:numPr>
        <w:spacing w:line="240" w:lineRule="auto"/>
        <w:ind w:left="1440" w:right="1440" w:firstLine="720"/>
        <w:contextualSpacing/>
      </w:pPr>
      <w:r>
        <w:t xml:space="preserve">Notably, while allocating the entire increase to the residential class does little to alleviate the substantial current overcollection experienced by Rate Schedule LP-4, the Company’s </w:t>
      </w:r>
    </w:p>
    <w:p w:rsidR="00915753" w:rsidRDefault="00915753" w:rsidP="00915753">
      <w:pPr>
        <w:pStyle w:val="Pleading2L3"/>
        <w:numPr>
          <w:ilvl w:val="0"/>
          <w:numId w:val="0"/>
        </w:numPr>
        <w:spacing w:line="240" w:lineRule="auto"/>
        <w:ind w:left="1440" w:right="1440"/>
        <w:contextualSpacing/>
      </w:pPr>
      <w:r>
        <w:t xml:space="preserve">proposal is the only one presented that would not further burden Rate Schedule LP-4 customers.  As indicated by the Company’s CCOSS, LP-4 customers are already paying excessive rates. . . . </w:t>
      </w:r>
    </w:p>
    <w:p w:rsidR="00915753" w:rsidRDefault="00915753" w:rsidP="00915753">
      <w:pPr>
        <w:pStyle w:val="Pleading2L3"/>
        <w:numPr>
          <w:ilvl w:val="0"/>
          <w:numId w:val="0"/>
        </w:numPr>
        <w:spacing w:line="240" w:lineRule="auto"/>
        <w:ind w:left="1440" w:right="1440" w:firstLine="720"/>
        <w:contextualSpacing/>
      </w:pPr>
      <w:r>
        <w:t xml:space="preserve">The Company has presented a revenue allocation methodology that, in line with its previous distribution cases, continues to move all classes “at or near” the full cost of providing service while also moving all classes towards the system average rate of return.  As a result, the allocation of the distribution increase only to residential customers is reasonable and should be accepted by the Commission.  </w:t>
      </w:r>
    </w:p>
    <w:p w:rsidR="00915753" w:rsidRDefault="00915753" w:rsidP="00915753">
      <w:pPr>
        <w:pStyle w:val="Pleading2L3"/>
        <w:numPr>
          <w:ilvl w:val="0"/>
          <w:numId w:val="0"/>
        </w:numPr>
        <w:spacing w:line="240" w:lineRule="auto"/>
        <w:ind w:left="1440" w:right="1440"/>
        <w:contextualSpacing/>
      </w:pPr>
    </w:p>
    <w:p w:rsidR="00915753" w:rsidRPr="00EB74BD" w:rsidRDefault="00915753" w:rsidP="00915753">
      <w:pPr>
        <w:pStyle w:val="Pleading2L3"/>
        <w:numPr>
          <w:ilvl w:val="0"/>
          <w:numId w:val="0"/>
        </w:numPr>
        <w:spacing w:line="360" w:lineRule="auto"/>
        <w:ind w:left="1440" w:right="1440" w:hanging="1440"/>
        <w:contextualSpacing/>
      </w:pPr>
      <w:r>
        <w:t xml:space="preserve">PPLICA Main Brief at 11-12.  </w:t>
      </w:r>
      <w:r>
        <w:rPr>
          <w:i/>
        </w:rPr>
        <w:t xml:space="preserve">See also </w:t>
      </w:r>
      <w:r>
        <w:t>PPLICA Reply Brief at 8.</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OSBA states that “there is no material difference between PPL and the OSBA with respect to the COSSs upon which the ALJ and the Commission should rely for revenue allocation and rate design purposes.”  OSBA Main Brief at 6.  Consequently, it is only OCA which disagrees with the PPL CCOSS.</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 xml:space="preserve">OCA argues that PPL’s classification of the joint costs of its primary and secondary distribution plant partially on the basis of number of customers and partially on the basis of demand is contrary to PPL’s 2004 and 2007 rate case methodology which allocated all such costs on a demand basis is “seriously flawed” and must be rejected.  OCA Main Brief at 21-22.   OCA questions the allocation of some joint costs based on customer counts and other joint </w:t>
      </w:r>
      <w:r>
        <w:lastRenderedPageBreak/>
        <w:t>costs based on the demands placed by customers on the distribution system.  The results can vary greatly:</w:t>
      </w:r>
    </w:p>
    <w:p w:rsidR="00915753" w:rsidRDefault="00915753" w:rsidP="00915753">
      <w:pPr>
        <w:pStyle w:val="Pleading2L3"/>
        <w:numPr>
          <w:ilvl w:val="0"/>
          <w:numId w:val="0"/>
        </w:numPr>
        <w:spacing w:line="240" w:lineRule="auto"/>
        <w:ind w:left="1440" w:right="1440" w:firstLine="720"/>
        <w:contextualSpacing/>
      </w:pPr>
      <w:r>
        <w:t xml:space="preserve">Using the PPL 2004/2007 Method, where Primary distribution plant is classified as 100% demand-related, the residential return at current rates was 5.23%.  OCA St. 3-S at 7.  Using the PPL 2010 Method, where Primary distribution is classified substantially as customer related and only partially as demand-related, the residential return was 3.12%. </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OCA Main Brief at 23.</w:t>
      </w:r>
    </w:p>
    <w:p w:rsidR="00D6271B" w:rsidRDefault="00D6271B" w:rsidP="00915753">
      <w:pPr>
        <w:pStyle w:val="Pleading2L3"/>
        <w:numPr>
          <w:ilvl w:val="0"/>
          <w:numId w:val="0"/>
        </w:numPr>
        <w:spacing w:line="360" w:lineRule="auto"/>
        <w:ind w:left="1440" w:right="1440" w:hanging="1440"/>
        <w:contextualSpacing/>
      </w:pPr>
    </w:p>
    <w:p w:rsidR="00915753" w:rsidRDefault="00915753" w:rsidP="00915753">
      <w:pPr>
        <w:pStyle w:val="Pleading2L3"/>
        <w:numPr>
          <w:ilvl w:val="0"/>
          <w:numId w:val="0"/>
        </w:numPr>
        <w:spacing w:line="360" w:lineRule="auto"/>
        <w:ind w:firstLine="1440"/>
      </w:pPr>
      <w:r>
        <w:t xml:space="preserve">Regarding this comparison, PPLICA states, “As a result, the OCA argues, ‘the Company has proposed a major modification in its CCOSS that is not reasonable at this time.’  In essence, because PPL’s 2010 CCOSS has a detrimental impact on the residential class, the OCA is not supporting it.”  PPLICA Reply Brief at 7-8 (citation omitted).  </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PPLICA states its recommendation:</w:t>
      </w:r>
    </w:p>
    <w:p w:rsidR="00D6271B" w:rsidRDefault="00D6271B" w:rsidP="00A52750">
      <w:pPr>
        <w:pStyle w:val="Pleading2L3"/>
        <w:numPr>
          <w:ilvl w:val="0"/>
          <w:numId w:val="0"/>
        </w:numPr>
        <w:spacing w:line="240" w:lineRule="auto"/>
        <w:ind w:firstLine="1440"/>
      </w:pPr>
    </w:p>
    <w:p w:rsidR="00915753" w:rsidRDefault="00915753" w:rsidP="00915753">
      <w:pPr>
        <w:pStyle w:val="Pleading2L3"/>
        <w:numPr>
          <w:ilvl w:val="0"/>
          <w:numId w:val="0"/>
        </w:numPr>
        <w:spacing w:line="240" w:lineRule="auto"/>
        <w:ind w:left="1440" w:right="1440" w:firstLine="720"/>
        <w:contextualSpacing/>
      </w:pPr>
      <w:r>
        <w:t xml:space="preserve">While PPLICA acknowledges that this CCOSS modification has a substantial impact on the residential class’ return, this impact, without more, should not be enough for the Commission to use generalized assumptions when specific data is available.  Rather, the Commission must look at the underlying disputed allocation to determine what is more appropriate.  The NARUC Manual and the record here fully supports classifying PPL’s Primary distribution system as partially customer-related and partially demand-related.  The OCA’s 100% demand allocation of all Primary distribution costs should be rejected.  </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PPLICA Reply Brief at 8.</w:t>
      </w:r>
    </w:p>
    <w:p w:rsidR="00915753" w:rsidRDefault="00915753" w:rsidP="00915753">
      <w:pPr>
        <w:pStyle w:val="Pleading2L3"/>
        <w:numPr>
          <w:ilvl w:val="0"/>
          <w:numId w:val="0"/>
        </w:numPr>
        <w:spacing w:line="360" w:lineRule="auto"/>
      </w:pPr>
    </w:p>
    <w:p w:rsidR="00915753" w:rsidRDefault="00915753" w:rsidP="00D6271B">
      <w:pPr>
        <w:pStyle w:val="Pleading2L3"/>
        <w:numPr>
          <w:ilvl w:val="0"/>
          <w:numId w:val="0"/>
        </w:numPr>
        <w:spacing w:line="360" w:lineRule="auto"/>
        <w:ind w:firstLine="1440"/>
      </w:pPr>
      <w:r w:rsidRPr="00B1090C">
        <w:t>OCA advocates an analysis of PPL</w:t>
      </w:r>
      <w:r>
        <w:t xml:space="preserve"> Electric’s service territory based on customer mix and density:</w:t>
      </w:r>
    </w:p>
    <w:p w:rsidR="00D6271B" w:rsidRDefault="00D6271B" w:rsidP="00A52750">
      <w:pPr>
        <w:pStyle w:val="Pleading2L3"/>
        <w:numPr>
          <w:ilvl w:val="0"/>
          <w:numId w:val="0"/>
        </w:numPr>
        <w:spacing w:line="240" w:lineRule="auto"/>
        <w:ind w:firstLine="1440"/>
      </w:pPr>
    </w:p>
    <w:p w:rsidR="00915753" w:rsidRDefault="00915753" w:rsidP="00915753">
      <w:pPr>
        <w:pStyle w:val="Pleading2L3"/>
        <w:numPr>
          <w:ilvl w:val="0"/>
          <w:numId w:val="0"/>
        </w:numPr>
        <w:spacing w:line="240" w:lineRule="auto"/>
        <w:ind w:left="1440" w:right="1440" w:firstLine="720"/>
        <w:contextualSpacing/>
      </w:pPr>
      <w:r>
        <w:t xml:space="preserve">Even though investment is made in distribution plant and equipment to meet the energy needs of its customers at required power levels, there may be considerable differences in both customer densities and the mix of customers throughout a utility’s service area.  As a hypothetical, suppose a utility serves both an </w:t>
      </w:r>
      <w:r>
        <w:lastRenderedPageBreak/>
        <w:t>urban area and a rural area.  In this situation, many customers’ electrical needs are served with relatively few miles of conductors, few poles, etc. in the urban area, while many more miles of conductors, more poles, etc. are required to serve the requirements of relatively few customers in the rural area.  If the distribution of customers (customer mix) is relatively similar in both the rural and urban areas, there is no need to consider customer counts (number of customers) within the allocation process, because all classes use the utility’s joint distribution facilities proportionately across the service area.  However, if the customer mix is such that Commercial and Industrial customers are predominately clustered in the urban area, while the rural portion of the service territory consists almost entirely of Residential customers, it may be unreasonable to allocate the total Company’s investment based on usage or demand; i.e., a large investment in many miles of line is required to serve predominately Residential customers in the rural area while the Commercial and Industrial electrical needs are met with much fewer miles of lines in the urban area.  Under this circumstance, an allocation of costs based on a weighting of customers and demand is usually considered equitable and appropriate.  OCA St. 3 at 6.</w:t>
      </w:r>
    </w:p>
    <w:p w:rsidR="00915753" w:rsidRDefault="00915753" w:rsidP="00915753">
      <w:pPr>
        <w:pStyle w:val="Pleading2L3"/>
        <w:numPr>
          <w:ilvl w:val="0"/>
          <w:numId w:val="0"/>
        </w:numPr>
        <w:spacing w:line="240" w:lineRule="auto"/>
        <w:ind w:left="1440" w:right="1440"/>
        <w:contextualSpacing/>
      </w:pPr>
    </w:p>
    <w:p w:rsidR="00915753" w:rsidRDefault="00915753" w:rsidP="00D6271B">
      <w:pPr>
        <w:pStyle w:val="Pleading2L3"/>
        <w:numPr>
          <w:ilvl w:val="0"/>
          <w:numId w:val="0"/>
        </w:numPr>
        <w:spacing w:line="360" w:lineRule="auto"/>
        <w:ind w:left="1440" w:right="1440" w:hanging="1440"/>
        <w:contextualSpacing/>
      </w:pPr>
      <w:r>
        <w:t>OCA Main Brief at 23-24.</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To enable further analysis, OCA witness Watkins conducted a postal zip-code evaluation to determine distribution of customers across rural, suburban and urban areas.  He found that the PPL customers were dispersed in a reasonably proportional manner throughout its service territory, and concluded that the Company’s distribution plant and expenses are properly assigned to classes based only on utilization and any consideration of customer counts is improper for the allocation distribution plant.  OCA recommends that distribution plan be classified as 100% demand related.  OCA Main Brief at 25-26, citing OCA St. 3 at 11-12.</w:t>
      </w:r>
    </w:p>
    <w:p w:rsidR="00915753" w:rsidRDefault="00915753"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 xml:space="preserve">In addition, OCA attacks the minimum system study as based on a misconception, i.e., that the smallest size installed equipment makes up the distribution network to connect customers, and that all larger sizes of equipment serve peak demands.  The minimum cost per unit is multiplied by the total number of those units to determine the total amount to be allocated as customer related.  That number is divided by the total cost for the account to determine customer percentage.  OCA Main Brief at 27.  This is perceived to be a problem because “this </w:t>
      </w:r>
      <w:r>
        <w:lastRenderedPageBreak/>
        <w:t>method overstates the customer percentage because even the smallest installed size is used to meet the required level of peak demand.  The primary weakness of the zero-intercept method is that more data and a working knowledge of statistical linear regression analyses are required.”  OCA St. 3 at 13, quoted in OCA Main Brief at 28.</w:t>
      </w:r>
    </w:p>
    <w:p w:rsidR="00915753" w:rsidRDefault="00915753"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 xml:space="preserve">OCA states that the Company’s allocation of 44% of substation equipment based on number of customers is an error, because substations are used to reduce the bulk transmission high voltage current down to a lower voltage used within the distribution system.  OCA witness Watkins stated that these facilities are universally deemed 100% demand-related in the industry.  OCA Main Brief at 29-30.  </w:t>
      </w:r>
      <w:r>
        <w:rPr>
          <w:i/>
        </w:rPr>
        <w:t xml:space="preserve">See </w:t>
      </w:r>
      <w:r>
        <w:t xml:space="preserve">NARUC Manual at 90.  </w:t>
      </w:r>
    </w:p>
    <w:p w:rsidR="00A97709" w:rsidRDefault="00A97709"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Accordingly, OCA advocates the use of its first CCOSS, which better reflects cost causation of the customer classes and should be used as a primary guide in setting rates.  OCA Main Brief at 30.  The OCA CCOSS classified distribution plant other than “services and meters’ on the basis of 100% demand, and allocated the primary and secondary distribution plant based on each class’s noncoincident peak (NCP) demand.  The second study was a “peak and average” study.  OCA Main Brief at 30-31.</w:t>
      </w:r>
    </w:p>
    <w:p w:rsidR="00915753" w:rsidRDefault="00915753"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 xml:space="preserve">PPL Electric, OSBA and PPLICA all find fault with the OCA CCOSS, the fundamental disagreement characterized by OSBA as follows:  OCA’s witness Watkins does not believe that any distribution plan costs should be allocated based upon the number of customers.  OCA Stmt. 1 at 14; OSBA Stmt. 2 at 2; OSBA Main Brief at 7.  </w:t>
      </w:r>
    </w:p>
    <w:p w:rsidR="00915753" w:rsidRDefault="00915753" w:rsidP="00915753">
      <w:pPr>
        <w:pStyle w:val="Pleading2L3"/>
        <w:numPr>
          <w:ilvl w:val="0"/>
          <w:numId w:val="0"/>
        </w:numPr>
        <w:spacing w:line="360" w:lineRule="auto"/>
      </w:pPr>
    </w:p>
    <w:p w:rsidR="00915753" w:rsidRDefault="00915753" w:rsidP="00A52750">
      <w:pPr>
        <w:pStyle w:val="Pleading2L3"/>
        <w:numPr>
          <w:ilvl w:val="0"/>
          <w:numId w:val="0"/>
        </w:numPr>
        <w:spacing w:line="240" w:lineRule="auto"/>
        <w:ind w:firstLine="1440"/>
      </w:pPr>
      <w:r>
        <w:t>OSBA further criticizes the OCA approach:</w:t>
      </w:r>
    </w:p>
    <w:p w:rsidR="00915753" w:rsidRDefault="00915753" w:rsidP="00A52750">
      <w:pPr>
        <w:pStyle w:val="Pleading2L3"/>
        <w:numPr>
          <w:ilvl w:val="0"/>
          <w:numId w:val="0"/>
        </w:numPr>
        <w:spacing w:line="240" w:lineRule="auto"/>
        <w:ind w:firstLine="1440"/>
      </w:pPr>
    </w:p>
    <w:p w:rsidR="00AE0A5F" w:rsidRDefault="00915753" w:rsidP="00915753">
      <w:pPr>
        <w:pStyle w:val="Pleading2L3"/>
        <w:numPr>
          <w:ilvl w:val="0"/>
          <w:numId w:val="0"/>
        </w:numPr>
        <w:spacing w:line="240" w:lineRule="auto"/>
        <w:ind w:left="1440" w:right="1440" w:firstLine="720"/>
        <w:contextualSpacing/>
      </w:pPr>
      <w:r>
        <w:t xml:space="preserve">The implication of the OCA’s argument is that the cost of service study that should act as the “polestar” for setting rates in this proceeding is the COSS used by PPL in its previous two base rates cases (JMK 2-B) rather than the one proposed by the Company in this case (JMK 2-A).  However, the OCA did not advocate what its rhetoric implies.  Instead, the OCA relied on a COSS prepared by its witness, Glenn A. Watkins.  The COSS developed by Mr. Watkins included a series of “modifications” to PPL’s COSS and resulted in what the OCA claims is a COSS that is “more closely aligned with the Cost of Service study utilized by </w:t>
      </w:r>
    </w:p>
    <w:p w:rsidR="00915753" w:rsidRDefault="00915753" w:rsidP="00AE0A5F">
      <w:pPr>
        <w:pStyle w:val="Pleading2L3"/>
        <w:numPr>
          <w:ilvl w:val="0"/>
          <w:numId w:val="0"/>
        </w:numPr>
        <w:spacing w:line="240" w:lineRule="auto"/>
        <w:ind w:left="1440" w:right="1440"/>
        <w:contextualSpacing/>
      </w:pPr>
      <w:r>
        <w:lastRenderedPageBreak/>
        <w:t xml:space="preserve">the Company in its 2004 and 2007 base rate proceedings and provided by the Company in its rebuttal testimony [in this proceeding].”  OCA Main Brief, at 16.  Essentially, the OCA has concluded that it is acceptable to move the goal line if moving the goal line benefits residential customers.  </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OSBA Main Brief at 4-5.</w:t>
      </w:r>
    </w:p>
    <w:p w:rsidR="00915753" w:rsidRPr="000F31EA"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 xml:space="preserve">The parties agree that the fundamental difference between JMK 2A and JMK 2B is that in the 2004 and 2007 base rate proceeding, the Company allocated 100% of the primary distribution plant on a demand basis.  In this case, the Company has classified a majority of its primary distribution plant on a customer-count basis.  OCA Main Brief at 38; OSBA Reply Brief at 6.  OSBA illustrates the different results between the OCA and PPL Electric JMK-2B in its Reply Briefs.  OSBA opposes the OCA CCOSS, advocates the PPL Electric modified traditional CCOSS, JMK-2A, but would accept the PPL Electric traditional CCOSS, JMK-2B.  </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 xml:space="preserve">PPLICA asks the Commission to reject the OCA arguments.  The first, that joint-use distribution plant costs should not have a customer component, has not been adopted by the Commission in any prior PPL rate case, and is not consistent with the NARUC Manual.  As previously indicated, distribution plant is a fixed investment in facilities which does not vary with the consumption of energy and which is closest to the point of use.  Therefore, distribution plant is classified as demand and customer-related cost.”  PPLICA Reply Brief at 5, citing PPL Electric Initial Brief at 22.  </w:t>
      </w:r>
    </w:p>
    <w:p w:rsidR="00915753" w:rsidRDefault="00915753" w:rsidP="00915753">
      <w:pPr>
        <w:pStyle w:val="Pleading2L3"/>
        <w:numPr>
          <w:ilvl w:val="0"/>
          <w:numId w:val="0"/>
        </w:numPr>
        <w:spacing w:line="360" w:lineRule="auto"/>
        <w:ind w:firstLine="1440"/>
        <w:contextualSpacing/>
      </w:pPr>
    </w:p>
    <w:p w:rsidR="00915753" w:rsidRDefault="00915753" w:rsidP="00915753">
      <w:pPr>
        <w:pStyle w:val="Pleading2L3"/>
        <w:numPr>
          <w:ilvl w:val="0"/>
          <w:numId w:val="0"/>
        </w:numPr>
        <w:spacing w:line="360" w:lineRule="auto"/>
        <w:ind w:firstLine="1440"/>
        <w:contextualSpacing/>
      </w:pPr>
      <w:r>
        <w:t>PPLICA recommends approval of the Company’s revenue allocation methodology and rejection of OCA’s, which PPLICA characterizes as unjust and unreasonable under 66 Pa. C.S. § 1301.  Specifically, PPLICA objects to the proposal to allocate $4.755 million to Rate Schedule LP-4, as well as the proposal to allocate $196,000 to Rate Schedules LP-5 and LP-6 (large industrial schedules):</w:t>
      </w:r>
    </w:p>
    <w:p w:rsidR="00915753" w:rsidRDefault="00915753" w:rsidP="00915753">
      <w:pPr>
        <w:pStyle w:val="Pleading2L3"/>
        <w:numPr>
          <w:ilvl w:val="0"/>
          <w:numId w:val="0"/>
        </w:numPr>
        <w:spacing w:line="360" w:lineRule="auto"/>
        <w:ind w:left="1440" w:right="1440"/>
      </w:pPr>
    </w:p>
    <w:p w:rsidR="00915753" w:rsidRDefault="00915753" w:rsidP="00915753">
      <w:pPr>
        <w:pStyle w:val="Pleading2L3"/>
        <w:numPr>
          <w:ilvl w:val="0"/>
          <w:numId w:val="0"/>
        </w:numPr>
        <w:spacing w:line="240" w:lineRule="auto"/>
        <w:ind w:left="1440" w:right="1440" w:firstLine="720"/>
      </w:pPr>
      <w:r>
        <w:t xml:space="preserve">Although PPL’s CCOSS shows that these rate schedules are earning a return that is below the system average return, the 17.37% increase that the OCA proposes for these customers is higher than any other class under the OCA’s proposal.  Any rate </w:t>
      </w:r>
      <w:r>
        <w:lastRenderedPageBreak/>
        <w:t>increase assigned to Rate Schedules LP-5 and LP-6 must comport with gradualism.</w:t>
      </w:r>
    </w:p>
    <w:p w:rsidR="00915753" w:rsidRDefault="00915753" w:rsidP="00915753">
      <w:pPr>
        <w:pStyle w:val="Pleading2L3"/>
        <w:numPr>
          <w:ilvl w:val="0"/>
          <w:numId w:val="0"/>
        </w:numPr>
        <w:spacing w:line="240" w:lineRule="auto"/>
        <w:ind w:left="1440" w:right="1440"/>
      </w:pPr>
    </w:p>
    <w:p w:rsidR="00915753" w:rsidRDefault="00915753" w:rsidP="00915753">
      <w:pPr>
        <w:pStyle w:val="Pleading2L3"/>
        <w:numPr>
          <w:ilvl w:val="0"/>
          <w:numId w:val="0"/>
        </w:numPr>
        <w:spacing w:line="360" w:lineRule="auto"/>
        <w:ind w:left="1440" w:right="1440" w:hanging="1440"/>
      </w:pPr>
      <w:r>
        <w:t>PPLICA Reply Brief at 9.</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PPLICA specifically recommends that the Commission use a specific CCOSS, and not an average of the current and prior studies per OSBA’s suggestion.  PPLICA asks the Commission to reject the OSBA recommendations for the large industrials’ schedules:</w:t>
      </w:r>
    </w:p>
    <w:p w:rsidR="00915753" w:rsidRDefault="00915753" w:rsidP="00AE0A5F">
      <w:pPr>
        <w:pStyle w:val="Pleading2L3"/>
        <w:numPr>
          <w:ilvl w:val="0"/>
          <w:numId w:val="0"/>
        </w:numPr>
        <w:spacing w:line="360" w:lineRule="auto"/>
        <w:ind w:left="1440" w:right="1440"/>
      </w:pPr>
    </w:p>
    <w:p w:rsidR="00915753" w:rsidRDefault="00915753" w:rsidP="00915753">
      <w:pPr>
        <w:pStyle w:val="Pleading2L3"/>
        <w:numPr>
          <w:ilvl w:val="0"/>
          <w:numId w:val="0"/>
        </w:numPr>
        <w:spacing w:line="240" w:lineRule="auto"/>
        <w:ind w:left="1440" w:right="1440" w:firstLine="720"/>
      </w:pPr>
      <w:r>
        <w:t xml:space="preserve">In addition, the OSBA’s proposed increase for Rate Schedules LP-5 and LP-6 is clearly inappropriate and excessive.  The OSBA’s proposed allocation of the $77.5 million settlement revenue requirement allocates $1.211 million to Rate Schedules LP-5 and LP-6.  </w:t>
      </w:r>
      <w:r>
        <w:rPr>
          <w:u w:val="single"/>
        </w:rPr>
        <w:t xml:space="preserve">See </w:t>
      </w:r>
      <w:r>
        <w:t xml:space="preserve">OSBA M.B. at 21.  This represents a 107% increase for the Rate Schedule LP-5 and LP-6 customers.  This is clearly unjust, unreasonable and excessive.  No other class is being subjected to such an excessive increase.  Although OSBA claims that this is appropriate because the overall distribution rates paid by these customers are low when viewed on a cents per kWh basis, this does not change the reality that proper ratemaking principles should be followed.  These customers did not get immediate reductions to cost-based rates in prior cases when the CCOSS showed that the classes were providing excessive returns.  </w:t>
      </w:r>
      <w:r>
        <w:rPr>
          <w:u w:val="single"/>
        </w:rPr>
        <w:t>See</w:t>
      </w:r>
      <w:r>
        <w:t xml:space="preserve"> PPLICA St. No. 2-R at 9.  These customers should be entitled to the benefits of gradualism in this proceeding.  </w:t>
      </w:r>
    </w:p>
    <w:p w:rsidR="00915753" w:rsidRDefault="00915753" w:rsidP="00915753">
      <w:pPr>
        <w:pStyle w:val="Pleading2L3"/>
        <w:numPr>
          <w:ilvl w:val="0"/>
          <w:numId w:val="0"/>
        </w:numPr>
        <w:spacing w:line="240" w:lineRule="auto"/>
        <w:ind w:left="1440" w:right="1440"/>
      </w:pPr>
    </w:p>
    <w:p w:rsidR="00915753" w:rsidRPr="008F116E" w:rsidRDefault="00915753" w:rsidP="00AE0A5F">
      <w:pPr>
        <w:pStyle w:val="Pleading2L3"/>
        <w:numPr>
          <w:ilvl w:val="0"/>
          <w:numId w:val="0"/>
        </w:numPr>
        <w:spacing w:line="360" w:lineRule="auto"/>
        <w:ind w:left="1440" w:right="1440" w:hanging="1440"/>
      </w:pPr>
      <w:r>
        <w:t>PPLICA Reply Brief at 10.</w:t>
      </w:r>
    </w:p>
    <w:p w:rsidR="00915753" w:rsidRDefault="00915753" w:rsidP="00AE0A5F">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OCA’s point that bringing rate schedules as close to their cost of service over a three case period requires that there be some consistency among the three methods of evaluation is well-taken.  However, there is no requirement that the cost of service study used in this proceeding be identical to the others, and if there is an opportunity to make it more accurate, then that opportunity should be taken.  Therefore, as the most accurate, the Company’s JMK-2A is the CCOSS which should be used to allocate rates as it conforms most closely with the NARUC Manual.</w:t>
      </w:r>
    </w:p>
    <w:p w:rsidR="00915753" w:rsidRDefault="00915753" w:rsidP="00915753">
      <w:pPr>
        <w:pStyle w:val="Pleading2L3"/>
        <w:numPr>
          <w:ilvl w:val="0"/>
          <w:numId w:val="0"/>
        </w:numPr>
        <w:spacing w:line="360" w:lineRule="auto"/>
      </w:pPr>
    </w:p>
    <w:p w:rsidR="00E33EF4" w:rsidRDefault="00E33EF4" w:rsidP="00915753">
      <w:pPr>
        <w:pStyle w:val="Pleading2L3"/>
        <w:numPr>
          <w:ilvl w:val="0"/>
          <w:numId w:val="0"/>
        </w:numPr>
        <w:spacing w:line="360" w:lineRule="auto"/>
        <w:ind w:firstLine="720"/>
      </w:pPr>
    </w:p>
    <w:p w:rsidR="00E33EF4" w:rsidRDefault="00E33EF4" w:rsidP="00915753">
      <w:pPr>
        <w:pStyle w:val="Pleading2L3"/>
        <w:numPr>
          <w:ilvl w:val="0"/>
          <w:numId w:val="0"/>
        </w:numPr>
        <w:spacing w:line="360" w:lineRule="auto"/>
        <w:ind w:firstLine="720"/>
      </w:pPr>
    </w:p>
    <w:p w:rsidR="00915753" w:rsidRDefault="00915753" w:rsidP="00915753">
      <w:pPr>
        <w:pStyle w:val="Pleading2L3"/>
        <w:numPr>
          <w:ilvl w:val="0"/>
          <w:numId w:val="0"/>
        </w:numPr>
        <w:spacing w:line="360" w:lineRule="auto"/>
        <w:ind w:firstLine="720"/>
        <w:rPr>
          <w:u w:val="single"/>
        </w:rPr>
      </w:pPr>
      <w:r w:rsidRPr="00AA5833">
        <w:lastRenderedPageBreak/>
        <w:t>B.</w:t>
      </w:r>
      <w:r w:rsidRPr="00AA5833">
        <w:tab/>
      </w:r>
      <w:r w:rsidRPr="00AA5833">
        <w:rPr>
          <w:u w:val="single"/>
        </w:rPr>
        <w:t xml:space="preserve">Revenue </w:t>
      </w:r>
      <w:r>
        <w:rPr>
          <w:u w:val="single"/>
        </w:rPr>
        <w:t>Allocation Among Rate Schedules</w:t>
      </w:r>
      <w:r w:rsidR="005956BA">
        <w:rPr>
          <w:u w:val="single"/>
        </w:rPr>
        <w:fldChar w:fldCharType="begin"/>
      </w:r>
      <w:r w:rsidR="005956BA">
        <w:instrText xml:space="preserve"> TC "</w:instrText>
      </w:r>
      <w:bookmarkStart w:id="44" w:name="_Toc274912172"/>
      <w:r w:rsidR="005956BA" w:rsidRPr="005609C4">
        <w:instrText>B.</w:instrText>
      </w:r>
      <w:r w:rsidR="005956BA" w:rsidRPr="005609C4">
        <w:tab/>
      </w:r>
      <w:r w:rsidR="005956BA" w:rsidRPr="005609C4">
        <w:rPr>
          <w:u w:val="single"/>
        </w:rPr>
        <w:instrText>Revenue Allocation Among Rate Schedules</w:instrText>
      </w:r>
      <w:bookmarkEnd w:id="44"/>
      <w:r w:rsidR="005956BA">
        <w:instrText xml:space="preserve">" \f C \l "3" </w:instrText>
      </w:r>
      <w:r w:rsidR="005956BA">
        <w:rPr>
          <w:u w:val="single"/>
        </w:rPr>
        <w:fldChar w:fldCharType="end"/>
      </w:r>
    </w:p>
    <w:p w:rsidR="00915753" w:rsidRDefault="00915753" w:rsidP="00915753">
      <w:pPr>
        <w:pStyle w:val="Pleading2L3"/>
        <w:numPr>
          <w:ilvl w:val="0"/>
          <w:numId w:val="0"/>
        </w:numPr>
        <w:spacing w:line="360" w:lineRule="auto"/>
        <w:ind w:firstLine="720"/>
        <w:rPr>
          <w:u w:val="single"/>
        </w:rPr>
      </w:pPr>
    </w:p>
    <w:p w:rsidR="00915753" w:rsidRPr="009933DA" w:rsidRDefault="005956BA" w:rsidP="00915753">
      <w:pPr>
        <w:pStyle w:val="Pleading2L3"/>
        <w:numPr>
          <w:ilvl w:val="0"/>
          <w:numId w:val="0"/>
        </w:numPr>
        <w:spacing w:line="360" w:lineRule="auto"/>
        <w:ind w:firstLine="720"/>
      </w:pPr>
      <w:r>
        <w:tab/>
      </w:r>
      <w:r w:rsidR="00915753">
        <w:t xml:space="preserve">Overall revenue allocation is governed by established Commonwealth Court decisions: </w:t>
      </w:r>
    </w:p>
    <w:p w:rsidR="00915753" w:rsidRPr="00AA5833" w:rsidRDefault="00915753" w:rsidP="00537116">
      <w:pPr>
        <w:pStyle w:val="Pleading2L3"/>
        <w:numPr>
          <w:ilvl w:val="0"/>
          <w:numId w:val="0"/>
        </w:numPr>
        <w:spacing w:line="240" w:lineRule="auto"/>
        <w:ind w:firstLine="720"/>
        <w:rPr>
          <w:u w:val="single"/>
        </w:rPr>
      </w:pPr>
    </w:p>
    <w:p w:rsidR="00915753" w:rsidRPr="00B71D80" w:rsidRDefault="00915753" w:rsidP="00915753">
      <w:pPr>
        <w:spacing w:line="240" w:lineRule="auto"/>
        <w:ind w:left="1440" w:right="1440" w:firstLine="720"/>
        <w:contextualSpacing/>
        <w:jc w:val="left"/>
        <w:rPr>
          <w:rFonts w:eastAsia="Times New Roman"/>
        </w:rPr>
      </w:pPr>
      <w:r w:rsidRPr="00B71D80">
        <w:rPr>
          <w:rFonts w:eastAsia="Times New Roman"/>
        </w:rPr>
        <w:t>There is no requirement that rates for different classes of service must be either uniform or equal or that they must be equally profitable. Differences in rates between classes of customers based on such criteria as the quantity of electricity used, the nature of the use, the time of the use, the pattern of the use, or based on differences of conditions of service, or cost of service are not only permissible but often are desirable and even necessary to achieve reasonable efficiency and economy of operation.  Rate structure, which is an essential, integral component of rate-making, is not merely a mathematical exercise applying theoretical principles. Rate structure must be based on the hard economic facts of life and a complete and thorough knowledge and understanding of all the facts and circumstances which affect rates and services; and the rates must be designed to furnish the most efficient and satisfactory service at the lowest reasonable price for the greatest number of customers, i.e., the public generally. While cost to serve is important, other relevant factors may also be considered.</w:t>
      </w:r>
    </w:p>
    <w:p w:rsidR="00915753" w:rsidRPr="00B71D80" w:rsidRDefault="00915753" w:rsidP="00915753">
      <w:pPr>
        <w:spacing w:line="240" w:lineRule="auto"/>
        <w:ind w:left="1440" w:right="1440"/>
        <w:contextualSpacing/>
        <w:jc w:val="left"/>
        <w:rPr>
          <w:rFonts w:eastAsia="Times New Roman"/>
        </w:rPr>
      </w:pPr>
      <w:r w:rsidRPr="00B71D80">
        <w:rPr>
          <w:rFonts w:eastAsia="Times New Roman"/>
        </w:rPr>
        <w:t xml:space="preserve">In a later case, </w:t>
      </w:r>
      <w:hyperlink r:id="rId13" w:history="1">
        <w:r w:rsidRPr="00B71D80">
          <w:rPr>
            <w:rFonts w:eastAsia="Times New Roman"/>
            <w:i/>
            <w:iCs/>
            <w:u w:val="single"/>
          </w:rPr>
          <w:t>Philadelphia Suburban Water Company v. Pennsylvania Public Utility Commission</w:t>
        </w:r>
        <w:r w:rsidRPr="00B71D80">
          <w:rPr>
            <w:rFonts w:eastAsia="Times New Roman"/>
            <w:u w:val="single"/>
          </w:rPr>
          <w:t>, 808 A.2d 1044, 1060 (Pa. Cmwlth. 2002)</w:t>
        </w:r>
      </w:hyperlink>
      <w:r w:rsidRPr="00B71D80">
        <w:rPr>
          <w:rFonts w:eastAsia="Times New Roman"/>
        </w:rPr>
        <w:t xml:space="preserve">, where a rate was being challenged as unreasonable, we stated: </w:t>
      </w:r>
    </w:p>
    <w:p w:rsidR="00915753" w:rsidRDefault="00915753" w:rsidP="00915753">
      <w:pPr>
        <w:spacing w:line="240" w:lineRule="auto"/>
        <w:ind w:left="1440" w:right="1440"/>
        <w:contextualSpacing/>
        <w:jc w:val="left"/>
        <w:rPr>
          <w:rFonts w:eastAsia="Times New Roman"/>
        </w:rPr>
      </w:pPr>
      <w:bookmarkStart w:id="45" w:name="clsccl8"/>
      <w:bookmarkEnd w:id="45"/>
      <w:r w:rsidRPr="00B71D80">
        <w:rPr>
          <w:rFonts w:eastAsia="Times New Roman"/>
        </w:rPr>
        <w:t xml:space="preserve"> [I]n order for a rate differential to survive a challenge brought under </w:t>
      </w:r>
      <w:hyperlink r:id="rId14" w:history="1">
        <w:r w:rsidRPr="00B71D80">
          <w:rPr>
            <w:rFonts w:eastAsia="Times New Roman"/>
            <w:u w:val="single"/>
          </w:rPr>
          <w:t>Section 1304</w:t>
        </w:r>
      </w:hyperlink>
      <w:r w:rsidRPr="00B71D80">
        <w:rPr>
          <w:rFonts w:eastAsia="Times New Roman"/>
        </w:rPr>
        <w:t xml:space="preserve"> of the Public Utility Code, </w:t>
      </w:r>
      <w:hyperlink r:id="rId15" w:history="1">
        <w:r w:rsidRPr="00B71D80">
          <w:rPr>
            <w:rFonts w:eastAsia="Times New Roman"/>
            <w:u w:val="single"/>
          </w:rPr>
          <w:t>66 Pa. C.S. § 1304</w:t>
        </w:r>
      </w:hyperlink>
      <w:r w:rsidRPr="00B71D80">
        <w:rPr>
          <w:rFonts w:eastAsia="Times New Roman"/>
        </w:rPr>
        <w:t xml:space="preserve">, the utility must show that the differential can be justified by the difference in costs required to deliver service to each class. The rate cannot be illegally high for one class and illegally low for another.   </w:t>
      </w:r>
      <w:hyperlink r:id="rId16" w:history="1">
        <w:r w:rsidRPr="00B71D80">
          <w:rPr>
            <w:rFonts w:eastAsia="Times New Roman"/>
            <w:i/>
            <w:iCs/>
            <w:u w:val="single"/>
          </w:rPr>
          <w:t>Allegheny Ludlum Corp.</w:t>
        </w:r>
        <w:r w:rsidRPr="00B71D80">
          <w:rPr>
            <w:rFonts w:eastAsia="Times New Roman"/>
            <w:u w:val="single"/>
          </w:rPr>
          <w:t>, 149 Pa. Commw. 106, 612 A.2d 604 at 611</w:t>
        </w:r>
      </w:hyperlink>
      <w:r w:rsidRPr="00B71D80">
        <w:rPr>
          <w:rFonts w:eastAsia="Times New Roman"/>
        </w:rPr>
        <w:t>. Overall, the rate differentials must advance efficient and satisfactory service to the greatest number at the lowest overall charge.</w:t>
      </w:r>
    </w:p>
    <w:p w:rsidR="00915753" w:rsidRPr="00B71D80" w:rsidRDefault="00915753" w:rsidP="00915753">
      <w:pPr>
        <w:spacing w:line="240" w:lineRule="auto"/>
        <w:ind w:left="1440" w:right="1440"/>
        <w:contextualSpacing/>
        <w:jc w:val="left"/>
        <w:rPr>
          <w:rFonts w:eastAsia="Times New Roman"/>
        </w:rPr>
      </w:pPr>
    </w:p>
    <w:p w:rsidR="00915753" w:rsidRDefault="00915753" w:rsidP="00915753">
      <w:pPr>
        <w:pStyle w:val="Pleading2L3"/>
        <w:numPr>
          <w:ilvl w:val="0"/>
          <w:numId w:val="0"/>
        </w:numPr>
        <w:spacing w:line="360" w:lineRule="auto"/>
        <w:rPr>
          <w:szCs w:val="24"/>
        </w:rPr>
      </w:pPr>
      <w:r w:rsidRPr="007B2EF5">
        <w:rPr>
          <w:i/>
          <w:szCs w:val="24"/>
        </w:rPr>
        <w:t>Lloyd</w:t>
      </w:r>
      <w:r>
        <w:rPr>
          <w:szCs w:val="24"/>
        </w:rPr>
        <w:t xml:space="preserve"> at 1016.</w:t>
      </w:r>
    </w:p>
    <w:p w:rsidR="00915753" w:rsidRDefault="00915753" w:rsidP="00915753">
      <w:pPr>
        <w:pStyle w:val="Pleading2L3"/>
        <w:numPr>
          <w:ilvl w:val="0"/>
          <w:numId w:val="0"/>
        </w:numPr>
        <w:spacing w:line="360" w:lineRule="auto"/>
        <w:rPr>
          <w:szCs w:val="24"/>
        </w:rPr>
      </w:pPr>
    </w:p>
    <w:p w:rsidR="00915753" w:rsidRPr="00BF4F1B" w:rsidRDefault="00915753" w:rsidP="00915753">
      <w:pPr>
        <w:pStyle w:val="Pleading2L3"/>
        <w:numPr>
          <w:ilvl w:val="0"/>
          <w:numId w:val="0"/>
        </w:numPr>
        <w:spacing w:line="360" w:lineRule="auto"/>
        <w:ind w:firstLine="1440"/>
        <w:rPr>
          <w:szCs w:val="24"/>
        </w:rPr>
      </w:pPr>
      <w:r>
        <w:t xml:space="preserve">The </w:t>
      </w:r>
      <w:r w:rsidRPr="007B2EF5">
        <w:rPr>
          <w:i/>
        </w:rPr>
        <w:t>Lloyd</w:t>
      </w:r>
      <w:r>
        <w:t xml:space="preserve"> Court explained “gradualism” as follows:</w:t>
      </w:r>
    </w:p>
    <w:p w:rsidR="00915753" w:rsidRDefault="00915753" w:rsidP="00537116">
      <w:pPr>
        <w:pStyle w:val="Pleading2L3"/>
        <w:numPr>
          <w:ilvl w:val="0"/>
          <w:numId w:val="0"/>
        </w:numPr>
        <w:spacing w:line="240" w:lineRule="auto"/>
        <w:ind w:left="1440" w:right="1440"/>
      </w:pPr>
    </w:p>
    <w:p w:rsidR="00915753" w:rsidRDefault="00915753" w:rsidP="00915753">
      <w:pPr>
        <w:pStyle w:val="Pleading2L3"/>
        <w:numPr>
          <w:ilvl w:val="0"/>
          <w:numId w:val="0"/>
        </w:numPr>
        <w:spacing w:line="240" w:lineRule="auto"/>
        <w:ind w:left="1440" w:right="1440" w:firstLine="720"/>
        <w:contextualSpacing/>
        <w:rPr>
          <w:szCs w:val="24"/>
        </w:rPr>
      </w:pPr>
      <w:r w:rsidRPr="00042917">
        <w:rPr>
          <w:szCs w:val="24"/>
        </w:rPr>
        <w:t xml:space="preserve">"Gradualism" is a principle of rate design that rates will be </w:t>
      </w:r>
      <w:r>
        <w:rPr>
          <w:szCs w:val="24"/>
        </w:rPr>
        <w:t>g</w:t>
      </w:r>
      <w:r w:rsidRPr="00042917">
        <w:rPr>
          <w:szCs w:val="24"/>
        </w:rPr>
        <w:t xml:space="preserve">radually increased to avoid "rate shock" - in this case caused by transition from capped rates to rates set more closely to the </w:t>
      </w:r>
      <w:r w:rsidRPr="00042917">
        <w:rPr>
          <w:szCs w:val="24"/>
        </w:rPr>
        <w:lastRenderedPageBreak/>
        <w:t>traditional ratemaking process by "gradually" reducing rate of return differentials between the classes. Large rate increases have the potential to cause "rate shock" among customers. Technically, rate shock applies when a rate increase is associated with a significant drop in usage, reflecting the unwillingness or inability of customers to pay for those services. Due to the inelastic demand for essential services, such as utilities, any decrease in usage is minor and transitory. There is a non-technical definition of "rate shock" which is used to describe the public outcry associated with rate increases. To mitigate both forms of rate shock, the remedy is "gradualism," i.e., phasing in rates or closing rate differentials over a longer period of time allowing consumers to gradually make the adjustments in the "elastic" part of their spending so as to pay for increased utility costs, not to mention lessening the pressure on</w:t>
      </w:r>
      <w:r w:rsidRPr="005956DE">
        <w:rPr>
          <w:szCs w:val="24"/>
          <w:bdr w:val="single" w:sz="6" w:space="4" w:color="DEDEDE" w:frame="1"/>
        </w:rPr>
        <w:t xml:space="preserve"> </w:t>
      </w:r>
      <w:r w:rsidRPr="00042917">
        <w:rPr>
          <w:szCs w:val="24"/>
        </w:rPr>
        <w:t>the Commission and the utilities to dampen rate increases.</w:t>
      </w:r>
    </w:p>
    <w:p w:rsidR="00915753" w:rsidRPr="005956DE" w:rsidRDefault="00915753" w:rsidP="00915753">
      <w:pPr>
        <w:pStyle w:val="Pleading2L3"/>
        <w:numPr>
          <w:ilvl w:val="0"/>
          <w:numId w:val="0"/>
        </w:numPr>
        <w:spacing w:line="240" w:lineRule="auto"/>
        <w:ind w:left="1440" w:right="1440" w:firstLine="720"/>
        <w:contextualSpacing/>
        <w:rPr>
          <w:szCs w:val="24"/>
        </w:rPr>
      </w:pPr>
    </w:p>
    <w:p w:rsidR="00915753" w:rsidRDefault="00915753" w:rsidP="00915753">
      <w:pPr>
        <w:pStyle w:val="Pleading2L3"/>
        <w:numPr>
          <w:ilvl w:val="0"/>
          <w:numId w:val="0"/>
        </w:numPr>
        <w:spacing w:line="360" w:lineRule="auto"/>
      </w:pPr>
      <w:r w:rsidRPr="007B2EF5">
        <w:rPr>
          <w:i/>
        </w:rPr>
        <w:t>Lloyd</w:t>
      </w:r>
      <w:r>
        <w:t xml:space="preserve"> at 1018, fn. 14.</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240" w:lineRule="auto"/>
        <w:ind w:left="1440" w:right="1440" w:firstLine="720"/>
        <w:contextualSpacing/>
        <w:rPr>
          <w:b/>
          <w:bCs/>
          <w:szCs w:val="24"/>
        </w:rPr>
      </w:pPr>
      <w:r w:rsidRPr="00042917">
        <w:rPr>
          <w:szCs w:val="24"/>
        </w:rPr>
        <w:t xml:space="preserve">Pennsylvania does not specifically authorize the Commission to use the principle of "gradualism" in setting rates, as part of what is overall considered a reasonable rate under the circumstances, but it has been permitted in large rate increases as long as it does not violate the principle of retroactive ratemaking. </w:t>
      </w:r>
      <w:hyperlink r:id="rId17" w:history="1">
        <w:r w:rsidRPr="00042917">
          <w:rPr>
            <w:i/>
            <w:iCs/>
            <w:szCs w:val="24"/>
            <w:u w:val="single"/>
          </w:rPr>
          <w:t>Sharon Steel Corporation v. Pennsylvania Public Utility Commission</w:t>
        </w:r>
        <w:r w:rsidRPr="00042917">
          <w:rPr>
            <w:szCs w:val="24"/>
            <w:u w:val="single"/>
          </w:rPr>
          <w:t>, 78 Pa. Commw. 447, 468 A.2d 860 (Pa. Cmwlth. 1983)</w:t>
        </w:r>
      </w:hyperlink>
      <w:r w:rsidRPr="00042917">
        <w:rPr>
          <w:szCs w:val="24"/>
        </w:rPr>
        <w:t xml:space="preserve"> ("Sharon has not been able to cite any legal basis for treating the risk and gradualism criteria as impermissible bases for</w:t>
      </w:r>
      <w:r w:rsidRPr="004D5AE2">
        <w:rPr>
          <w:szCs w:val="24"/>
          <w:bdr w:val="single" w:sz="6" w:space="4" w:color="DEDEDE" w:frame="1"/>
        </w:rPr>
        <w:t xml:space="preserve"> </w:t>
      </w:r>
      <w:r w:rsidRPr="00042917">
        <w:rPr>
          <w:szCs w:val="24"/>
        </w:rPr>
        <w:t xml:space="preserve">justifying customer classification and the consequent rate differences."); </w:t>
      </w:r>
      <w:hyperlink r:id="rId18" w:history="1">
        <w:r w:rsidRPr="004D5AE2">
          <w:rPr>
            <w:i/>
            <w:iCs/>
            <w:szCs w:val="24"/>
            <w:u w:val="single"/>
          </w:rPr>
          <w:t>Barasch v. Pennsylvania Public Utility Commission</w:t>
        </w:r>
        <w:r w:rsidRPr="004D5AE2">
          <w:rPr>
            <w:szCs w:val="24"/>
            <w:u w:val="single"/>
          </w:rPr>
          <w:t>, 101 Pa. Commw. 76, 515 A.2d 651</w:t>
        </w:r>
      </w:hyperlink>
      <w:r w:rsidRPr="004D5AE2">
        <w:rPr>
          <w:szCs w:val="24"/>
          <w:bdr w:val="single" w:sz="6" w:space="4" w:color="DEDEDE" w:frame="1"/>
        </w:rPr>
        <w:t xml:space="preserve"> </w:t>
      </w:r>
      <w:r w:rsidRPr="00042917">
        <w:rPr>
          <w:szCs w:val="24"/>
        </w:rPr>
        <w:t xml:space="preserve">(Pa. Cmwlth. 1986.); </w:t>
      </w:r>
      <w:r w:rsidRPr="00042917">
        <w:rPr>
          <w:i/>
          <w:iCs/>
          <w:szCs w:val="24"/>
        </w:rPr>
        <w:t xml:space="preserve">see also </w:t>
      </w:r>
      <w:hyperlink r:id="rId19" w:history="1">
        <w:r w:rsidRPr="004D5AE2">
          <w:rPr>
            <w:i/>
            <w:iCs/>
            <w:szCs w:val="24"/>
            <w:u w:val="single"/>
          </w:rPr>
          <w:t>Office of Consumer Counsel v. Department of Public Utility Control</w:t>
        </w:r>
        <w:r w:rsidRPr="004D5AE2">
          <w:rPr>
            <w:szCs w:val="24"/>
            <w:u w:val="single"/>
          </w:rPr>
          <w:t>, 252 Conn. 115, 742 A.2d 1257 (2000)</w:t>
        </w:r>
      </w:hyperlink>
      <w:r w:rsidRPr="00042917">
        <w:rPr>
          <w:szCs w:val="24"/>
        </w:rPr>
        <w:t xml:space="preserve">; </w:t>
      </w:r>
      <w:hyperlink r:id="rId20" w:history="1">
        <w:r w:rsidRPr="004D5AE2">
          <w:rPr>
            <w:i/>
            <w:iCs/>
            <w:szCs w:val="24"/>
            <w:u w:val="single"/>
          </w:rPr>
          <w:t>Citizens Action Coalition of Indiana v. Northern Indiana Public Service Company</w:t>
        </w:r>
        <w:r w:rsidRPr="004D5AE2">
          <w:rPr>
            <w:szCs w:val="24"/>
            <w:u w:val="single"/>
          </w:rPr>
          <w:t>, 582 N.E.2d 387 (Ind. App. 1991)</w:t>
        </w:r>
      </w:hyperlink>
      <w:r w:rsidRPr="00042917">
        <w:rPr>
          <w:szCs w:val="24"/>
        </w:rPr>
        <w:t xml:space="preserve">; </w:t>
      </w:r>
      <w:hyperlink r:id="rId21" w:history="1">
        <w:r w:rsidRPr="004D5AE2">
          <w:rPr>
            <w:i/>
            <w:iCs/>
            <w:szCs w:val="24"/>
            <w:u w:val="single"/>
          </w:rPr>
          <w:t>Mississippi Public Service Commission v. Dixie Land and Water Company</w:t>
        </w:r>
        <w:r w:rsidRPr="004D5AE2">
          <w:rPr>
            <w:szCs w:val="24"/>
            <w:u w:val="single"/>
          </w:rPr>
          <w:t>, 707 So. 2d 1086 (1998)</w:t>
        </w:r>
      </w:hyperlink>
      <w:r w:rsidRPr="00042917">
        <w:rPr>
          <w:szCs w:val="24"/>
        </w:rPr>
        <w:t xml:space="preserve">; </w:t>
      </w:r>
      <w:hyperlink r:id="rId22" w:history="1">
        <w:r w:rsidRPr="004D5AE2">
          <w:rPr>
            <w:i/>
            <w:iCs/>
            <w:szCs w:val="24"/>
            <w:u w:val="single"/>
          </w:rPr>
          <w:t>In Re PNM Gas Services</w:t>
        </w:r>
        <w:r w:rsidRPr="004D5AE2">
          <w:rPr>
            <w:szCs w:val="24"/>
            <w:u w:val="single"/>
          </w:rPr>
          <w:t>, 2000 NMSC 12, 129 N.M. 1, 1 P.3d 383 (2000)</w:t>
        </w:r>
      </w:hyperlink>
      <w:r w:rsidRPr="00042917">
        <w:rPr>
          <w:szCs w:val="24"/>
        </w:rPr>
        <w:t xml:space="preserve">; </w:t>
      </w:r>
      <w:hyperlink r:id="rId23" w:history="1">
        <w:r w:rsidRPr="004D5AE2">
          <w:rPr>
            <w:i/>
            <w:iCs/>
            <w:szCs w:val="24"/>
            <w:u w:val="single"/>
          </w:rPr>
          <w:t>State of North Carolina v. Carolina Utility Customers</w:t>
        </w:r>
        <w:r w:rsidRPr="004D5AE2">
          <w:rPr>
            <w:szCs w:val="24"/>
            <w:u w:val="single"/>
          </w:rPr>
          <w:t>, 351 N.C. 223, 524 S.E. 2d 10 (2000)</w:t>
        </w:r>
      </w:hyperlink>
      <w:r w:rsidRPr="00042917">
        <w:rPr>
          <w:szCs w:val="24"/>
        </w:rPr>
        <w:t xml:space="preserve">; </w:t>
      </w:r>
      <w:hyperlink r:id="rId24" w:history="1">
        <w:r w:rsidRPr="004D5AE2">
          <w:rPr>
            <w:i/>
            <w:iCs/>
            <w:szCs w:val="24"/>
            <w:u w:val="single"/>
          </w:rPr>
          <w:t>Hamm v. South Carolina Public Service Commission</w:t>
        </w:r>
        <w:r w:rsidRPr="004D5AE2">
          <w:rPr>
            <w:szCs w:val="24"/>
            <w:u w:val="single"/>
          </w:rPr>
          <w:t>, 294 S.C. 320, 364 S.E. 2d 455 (1988)</w:t>
        </w:r>
      </w:hyperlink>
      <w:r w:rsidRPr="00042917">
        <w:rPr>
          <w:szCs w:val="24"/>
        </w:rPr>
        <w:t xml:space="preserve">; </w:t>
      </w:r>
      <w:hyperlink r:id="rId25" w:history="1">
        <w:r w:rsidRPr="004D5AE2">
          <w:rPr>
            <w:i/>
            <w:iCs/>
            <w:szCs w:val="24"/>
            <w:u w:val="single"/>
          </w:rPr>
          <w:t>In the Matter of the Establishment of Switched Access Rates for US West Communications, Inc. v. AT&amp;T</w:t>
        </w:r>
        <w:r w:rsidRPr="004D5AE2">
          <w:rPr>
            <w:szCs w:val="24"/>
            <w:u w:val="single"/>
          </w:rPr>
          <w:t>, 2000 SD 140, 618 N.W.2d 847 (2000)</w:t>
        </w:r>
      </w:hyperlink>
      <w:r w:rsidRPr="00042917">
        <w:rPr>
          <w:szCs w:val="24"/>
        </w:rPr>
        <w:t xml:space="preserve">. </w:t>
      </w:r>
      <w:r w:rsidRPr="00042917">
        <w:rPr>
          <w:i/>
          <w:iCs/>
          <w:szCs w:val="24"/>
        </w:rPr>
        <w:t xml:space="preserve">But see </w:t>
      </w:r>
      <w:hyperlink r:id="rId26" w:history="1">
        <w:r w:rsidRPr="004D5AE2">
          <w:rPr>
            <w:i/>
            <w:iCs/>
            <w:szCs w:val="24"/>
            <w:u w:val="single"/>
          </w:rPr>
          <w:t>State ex rel. Utilities Commission v. Public Staff, North Carolina Utilities Commission</w:t>
        </w:r>
        <w:r w:rsidRPr="004D5AE2">
          <w:rPr>
            <w:szCs w:val="24"/>
            <w:u w:val="single"/>
          </w:rPr>
          <w:t>, 331 N.C. 215, 415 S.E.2d 354 (1992)</w:t>
        </w:r>
      </w:hyperlink>
      <w:r>
        <w:rPr>
          <w:szCs w:val="24"/>
        </w:rPr>
        <w:t xml:space="preserve">. </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lastRenderedPageBreak/>
        <w:t xml:space="preserve">In the settlement of the remand of the 2004 rate case, the Company agreed to move its distribution rates for all major rate classes to at or near full cost of service in three rate cases, the 2004, 2007 and the present case being the third.  </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The Company states that its first revenue allocation in this matter was developed to strictly follow the cost of service and move all rate classes to the proposed system average rate of return.  PPL Electric did not present this, however, as the increase to the residential rate classes would have been far in excess of the total increase requested in this case, and the other classes would have received substantial rate decreases.  Rate Schedule RTS, for example, would have received an increase of about 200 percent.  PPL Electric Initial Brief at 35-36, citing PPL Electric Stmt. 6 at 19.</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The Company’s proposal seeks to avoid unreasonable increases in any customer class, and therefore, allocates the entire proposed rate increase to residential customers and no increase or decrease to any customer class.  The Rate RTS proposal moved the schedule from its present negative 54 percent of the system average to approximately zero, an increase of about 60% for that schedule.  PPL Electric Initial Brief at 36, citing PPL Electric Stmt. 6 at 19-20.</w:t>
      </w:r>
    </w:p>
    <w:p w:rsidR="00915753" w:rsidRDefault="00915753"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 xml:space="preserve">The Company promotes its allocation as following the results of its cost of service study (JMK-2A) and as moving all rate classes significantly toward the system average rate of return, as shown by the chart below: </w:t>
      </w:r>
    </w:p>
    <w:p w:rsidR="00915753" w:rsidRDefault="00915753" w:rsidP="00915753">
      <w:pPr>
        <w:pStyle w:val="Pleading2L3"/>
        <w:numPr>
          <w:ilvl w:val="0"/>
          <w:numId w:val="0"/>
        </w:numPr>
        <w:spacing w:line="360" w:lineRule="auto"/>
      </w:pPr>
    </w:p>
    <w:tbl>
      <w:tblPr>
        <w:tblW w:w="0" w:type="auto"/>
        <w:tblInd w:w="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737"/>
        <w:gridCol w:w="2231"/>
        <w:gridCol w:w="2595"/>
      </w:tblGrid>
      <w:tr w:rsidR="00915753" w:rsidRPr="00047C95" w:rsidTr="008228F6">
        <w:tc>
          <w:tcPr>
            <w:tcW w:w="2737" w:type="dxa"/>
          </w:tcPr>
          <w:p w:rsidR="00915753" w:rsidRDefault="00915753" w:rsidP="008228F6">
            <w:pPr>
              <w:pStyle w:val="BodyText"/>
              <w:spacing w:after="0" w:line="276" w:lineRule="auto"/>
              <w:rPr>
                <w:b/>
              </w:rPr>
            </w:pPr>
          </w:p>
          <w:p w:rsidR="00915753" w:rsidRPr="00047C95" w:rsidRDefault="00915753" w:rsidP="008228F6">
            <w:pPr>
              <w:pStyle w:val="BodyText"/>
              <w:spacing w:after="0" w:line="276" w:lineRule="auto"/>
              <w:rPr>
                <w:b/>
              </w:rPr>
            </w:pPr>
            <w:r w:rsidRPr="00047C95">
              <w:rPr>
                <w:b/>
              </w:rPr>
              <w:t>Rate Classes</w:t>
            </w:r>
          </w:p>
        </w:tc>
        <w:tc>
          <w:tcPr>
            <w:tcW w:w="2231" w:type="dxa"/>
          </w:tcPr>
          <w:p w:rsidR="00915753" w:rsidRPr="00047C95" w:rsidRDefault="00915753" w:rsidP="008228F6">
            <w:pPr>
              <w:pStyle w:val="BodyText"/>
              <w:spacing w:after="0" w:line="276" w:lineRule="auto"/>
              <w:rPr>
                <w:b/>
              </w:rPr>
            </w:pPr>
            <w:r w:rsidRPr="00047C95">
              <w:rPr>
                <w:b/>
              </w:rPr>
              <w:t>Relative Return at Present Rates</w:t>
            </w:r>
          </w:p>
        </w:tc>
        <w:tc>
          <w:tcPr>
            <w:tcW w:w="2595" w:type="dxa"/>
          </w:tcPr>
          <w:p w:rsidR="00915753" w:rsidRPr="00047C95" w:rsidRDefault="00915753" w:rsidP="008228F6">
            <w:pPr>
              <w:pStyle w:val="BodyText"/>
              <w:spacing w:after="0" w:line="276" w:lineRule="auto"/>
              <w:rPr>
                <w:b/>
              </w:rPr>
            </w:pPr>
            <w:r w:rsidRPr="00047C95">
              <w:rPr>
                <w:b/>
              </w:rPr>
              <w:t xml:space="preserve">Relative Return </w:t>
            </w:r>
            <w:r w:rsidRPr="00047C95">
              <w:rPr>
                <w:b/>
              </w:rPr>
              <w:br/>
              <w:t>at Proposed Rates</w:t>
            </w:r>
          </w:p>
        </w:tc>
      </w:tr>
      <w:tr w:rsidR="00915753" w:rsidTr="008228F6">
        <w:tc>
          <w:tcPr>
            <w:tcW w:w="2737" w:type="dxa"/>
          </w:tcPr>
          <w:p w:rsidR="00915753" w:rsidRDefault="00915753" w:rsidP="008228F6">
            <w:pPr>
              <w:pStyle w:val="BodyText"/>
              <w:spacing w:after="0" w:line="276" w:lineRule="auto"/>
              <w:ind w:firstLine="342"/>
            </w:pPr>
            <w:r>
              <w:t>PA Jurisdiction Distribution</w:t>
            </w:r>
          </w:p>
        </w:tc>
        <w:tc>
          <w:tcPr>
            <w:tcW w:w="2231" w:type="dxa"/>
          </w:tcPr>
          <w:p w:rsidR="00915753" w:rsidRDefault="00915753" w:rsidP="008228F6">
            <w:pPr>
              <w:pStyle w:val="BodyText"/>
              <w:tabs>
                <w:tab w:val="decimal" w:pos="895"/>
                <w:tab w:val="decimal" w:pos="3600"/>
              </w:tabs>
              <w:spacing w:after="0" w:line="276" w:lineRule="auto"/>
              <w:jc w:val="left"/>
            </w:pPr>
            <w:r>
              <w:tab/>
            </w:r>
          </w:p>
          <w:p w:rsidR="00915753" w:rsidRDefault="00915753" w:rsidP="008228F6">
            <w:pPr>
              <w:pStyle w:val="BodyText"/>
              <w:tabs>
                <w:tab w:val="decimal" w:pos="895"/>
                <w:tab w:val="decimal" w:pos="3600"/>
              </w:tabs>
              <w:spacing w:after="0" w:line="276" w:lineRule="auto"/>
              <w:ind w:right="619"/>
              <w:jc w:val="right"/>
            </w:pPr>
            <w:r>
              <w:t>100.00%</w:t>
            </w:r>
          </w:p>
        </w:tc>
        <w:tc>
          <w:tcPr>
            <w:tcW w:w="2595" w:type="dxa"/>
          </w:tcPr>
          <w:p w:rsidR="00915753" w:rsidRDefault="00915753" w:rsidP="008228F6">
            <w:pPr>
              <w:pStyle w:val="BodyText"/>
              <w:tabs>
                <w:tab w:val="decimal" w:pos="895"/>
                <w:tab w:val="decimal" w:pos="3600"/>
              </w:tabs>
              <w:spacing w:after="0" w:line="276" w:lineRule="auto"/>
              <w:jc w:val="left"/>
            </w:pPr>
            <w:r>
              <w:tab/>
            </w:r>
          </w:p>
          <w:p w:rsidR="00915753" w:rsidRDefault="00915753" w:rsidP="008228F6">
            <w:pPr>
              <w:pStyle w:val="BodyText"/>
              <w:tabs>
                <w:tab w:val="decimal" w:pos="895"/>
                <w:tab w:val="decimal" w:pos="3600"/>
              </w:tabs>
              <w:spacing w:after="0" w:line="276" w:lineRule="auto"/>
              <w:ind w:right="964"/>
              <w:jc w:val="right"/>
            </w:pPr>
            <w:r>
              <w:t>100.00%</w:t>
            </w:r>
          </w:p>
        </w:tc>
      </w:tr>
      <w:tr w:rsidR="00915753" w:rsidTr="008228F6">
        <w:tc>
          <w:tcPr>
            <w:tcW w:w="2737" w:type="dxa"/>
          </w:tcPr>
          <w:p w:rsidR="00915753" w:rsidRDefault="00915753" w:rsidP="008228F6">
            <w:pPr>
              <w:pStyle w:val="BodyText"/>
              <w:spacing w:after="0" w:line="276" w:lineRule="auto"/>
              <w:ind w:right="1088"/>
              <w:jc w:val="right"/>
            </w:pPr>
            <w:r>
              <w:t>RS</w:t>
            </w:r>
          </w:p>
        </w:tc>
        <w:tc>
          <w:tcPr>
            <w:tcW w:w="2231" w:type="dxa"/>
          </w:tcPr>
          <w:p w:rsidR="00915753" w:rsidRDefault="00915753" w:rsidP="008228F6">
            <w:pPr>
              <w:pStyle w:val="BodyText"/>
              <w:tabs>
                <w:tab w:val="decimal" w:pos="895"/>
                <w:tab w:val="decimal" w:pos="3600"/>
              </w:tabs>
              <w:spacing w:after="0" w:line="276" w:lineRule="auto"/>
              <w:jc w:val="left"/>
            </w:pPr>
            <w:r>
              <w:tab/>
              <w:t>53.10%</w:t>
            </w:r>
          </w:p>
        </w:tc>
        <w:tc>
          <w:tcPr>
            <w:tcW w:w="2595" w:type="dxa"/>
          </w:tcPr>
          <w:p w:rsidR="00915753" w:rsidRDefault="00915753" w:rsidP="008228F6">
            <w:pPr>
              <w:pStyle w:val="BodyText"/>
              <w:tabs>
                <w:tab w:val="decimal" w:pos="895"/>
                <w:tab w:val="decimal" w:pos="3600"/>
              </w:tabs>
              <w:spacing w:after="0" w:line="276" w:lineRule="auto"/>
              <w:jc w:val="left"/>
            </w:pPr>
            <w:r>
              <w:tab/>
              <w:t>78.61%</w:t>
            </w:r>
          </w:p>
        </w:tc>
      </w:tr>
      <w:tr w:rsidR="00915753" w:rsidTr="008228F6">
        <w:tc>
          <w:tcPr>
            <w:tcW w:w="2737" w:type="dxa"/>
          </w:tcPr>
          <w:p w:rsidR="00915753" w:rsidRDefault="00915753" w:rsidP="008228F6">
            <w:pPr>
              <w:pStyle w:val="BodyText"/>
              <w:spacing w:after="0" w:line="276" w:lineRule="auto"/>
              <w:ind w:right="1088"/>
              <w:jc w:val="right"/>
            </w:pPr>
            <w:r>
              <w:t>RTS</w:t>
            </w:r>
          </w:p>
        </w:tc>
        <w:tc>
          <w:tcPr>
            <w:tcW w:w="2231" w:type="dxa"/>
          </w:tcPr>
          <w:p w:rsidR="00915753" w:rsidRDefault="00915753" w:rsidP="008228F6">
            <w:pPr>
              <w:pStyle w:val="BodyText"/>
              <w:tabs>
                <w:tab w:val="decimal" w:pos="895"/>
                <w:tab w:val="decimal" w:pos="3600"/>
              </w:tabs>
              <w:spacing w:after="0" w:line="276" w:lineRule="auto"/>
              <w:jc w:val="left"/>
            </w:pPr>
            <w:r>
              <w:tab/>
              <w:t>-59.94%</w:t>
            </w:r>
          </w:p>
        </w:tc>
        <w:tc>
          <w:tcPr>
            <w:tcW w:w="2595" w:type="dxa"/>
          </w:tcPr>
          <w:p w:rsidR="00915753" w:rsidRDefault="00915753" w:rsidP="008228F6">
            <w:pPr>
              <w:pStyle w:val="BodyText"/>
              <w:tabs>
                <w:tab w:val="decimal" w:pos="895"/>
                <w:tab w:val="decimal" w:pos="3600"/>
              </w:tabs>
              <w:spacing w:after="0" w:line="276" w:lineRule="auto"/>
              <w:jc w:val="left"/>
            </w:pPr>
            <w:r>
              <w:tab/>
              <w:t>-2.65%</w:t>
            </w:r>
          </w:p>
        </w:tc>
      </w:tr>
      <w:tr w:rsidR="00915753" w:rsidTr="008228F6">
        <w:tc>
          <w:tcPr>
            <w:tcW w:w="2737" w:type="dxa"/>
          </w:tcPr>
          <w:p w:rsidR="00915753" w:rsidRDefault="00915753" w:rsidP="008228F6">
            <w:pPr>
              <w:pStyle w:val="BodyText"/>
              <w:spacing w:after="0" w:line="276" w:lineRule="auto"/>
              <w:ind w:right="1088"/>
              <w:jc w:val="right"/>
            </w:pPr>
            <w:r>
              <w:t>GS-1</w:t>
            </w:r>
          </w:p>
        </w:tc>
        <w:tc>
          <w:tcPr>
            <w:tcW w:w="2231" w:type="dxa"/>
          </w:tcPr>
          <w:p w:rsidR="00915753" w:rsidRDefault="00915753" w:rsidP="008228F6">
            <w:pPr>
              <w:pStyle w:val="BodyText"/>
              <w:tabs>
                <w:tab w:val="decimal" w:pos="895"/>
                <w:tab w:val="decimal" w:pos="3600"/>
              </w:tabs>
              <w:spacing w:after="0" w:line="276" w:lineRule="auto"/>
              <w:jc w:val="left"/>
            </w:pPr>
            <w:r>
              <w:tab/>
              <w:t>163.91%</w:t>
            </w:r>
          </w:p>
        </w:tc>
        <w:tc>
          <w:tcPr>
            <w:tcW w:w="2595" w:type="dxa"/>
          </w:tcPr>
          <w:p w:rsidR="00915753" w:rsidRDefault="00915753" w:rsidP="008228F6">
            <w:pPr>
              <w:pStyle w:val="BodyText"/>
              <w:tabs>
                <w:tab w:val="decimal" w:pos="895"/>
                <w:tab w:val="decimal" w:pos="3600"/>
              </w:tabs>
              <w:spacing w:after="0" w:line="276" w:lineRule="auto"/>
              <w:jc w:val="left"/>
            </w:pPr>
            <w:r>
              <w:tab/>
              <w:t>113.17%</w:t>
            </w:r>
          </w:p>
        </w:tc>
      </w:tr>
      <w:tr w:rsidR="00915753" w:rsidTr="008228F6">
        <w:tc>
          <w:tcPr>
            <w:tcW w:w="2737" w:type="dxa"/>
          </w:tcPr>
          <w:p w:rsidR="00915753" w:rsidRDefault="00915753" w:rsidP="008228F6">
            <w:pPr>
              <w:pStyle w:val="BodyText"/>
              <w:spacing w:after="0" w:line="276" w:lineRule="auto"/>
              <w:ind w:right="1088"/>
              <w:jc w:val="right"/>
            </w:pPr>
            <w:r>
              <w:t>GS-3</w:t>
            </w:r>
          </w:p>
        </w:tc>
        <w:tc>
          <w:tcPr>
            <w:tcW w:w="2231" w:type="dxa"/>
          </w:tcPr>
          <w:p w:rsidR="00915753" w:rsidRDefault="00915753" w:rsidP="008228F6">
            <w:pPr>
              <w:pStyle w:val="BodyText"/>
              <w:tabs>
                <w:tab w:val="decimal" w:pos="895"/>
                <w:tab w:val="decimal" w:pos="3600"/>
              </w:tabs>
              <w:spacing w:after="0" w:line="276" w:lineRule="auto"/>
              <w:jc w:val="left"/>
            </w:pPr>
            <w:r>
              <w:tab/>
              <w:t>360.73%</w:t>
            </w:r>
          </w:p>
        </w:tc>
        <w:tc>
          <w:tcPr>
            <w:tcW w:w="2595" w:type="dxa"/>
          </w:tcPr>
          <w:p w:rsidR="00915753" w:rsidRDefault="00915753" w:rsidP="008228F6">
            <w:pPr>
              <w:pStyle w:val="BodyText"/>
              <w:tabs>
                <w:tab w:val="decimal" w:pos="895"/>
                <w:tab w:val="decimal" w:pos="3600"/>
              </w:tabs>
              <w:spacing w:after="0" w:line="276" w:lineRule="auto"/>
              <w:jc w:val="left"/>
            </w:pPr>
            <w:r>
              <w:tab/>
              <w:t>250.06%</w:t>
            </w:r>
          </w:p>
        </w:tc>
      </w:tr>
      <w:tr w:rsidR="00915753" w:rsidTr="008228F6">
        <w:tc>
          <w:tcPr>
            <w:tcW w:w="2737" w:type="dxa"/>
          </w:tcPr>
          <w:p w:rsidR="00915753" w:rsidRDefault="00915753" w:rsidP="008228F6">
            <w:pPr>
              <w:pStyle w:val="BodyText"/>
              <w:spacing w:after="0" w:line="276" w:lineRule="auto"/>
              <w:ind w:right="1088"/>
              <w:jc w:val="right"/>
            </w:pPr>
            <w:r>
              <w:t>LP-4</w:t>
            </w:r>
          </w:p>
        </w:tc>
        <w:tc>
          <w:tcPr>
            <w:tcW w:w="2231" w:type="dxa"/>
          </w:tcPr>
          <w:p w:rsidR="00915753" w:rsidRDefault="00915753" w:rsidP="008228F6">
            <w:pPr>
              <w:pStyle w:val="BodyText"/>
              <w:tabs>
                <w:tab w:val="decimal" w:pos="895"/>
                <w:tab w:val="decimal" w:pos="3600"/>
              </w:tabs>
              <w:spacing w:after="0" w:line="276" w:lineRule="auto"/>
              <w:jc w:val="left"/>
            </w:pPr>
            <w:r>
              <w:tab/>
              <w:t>212.88%</w:t>
            </w:r>
          </w:p>
        </w:tc>
        <w:tc>
          <w:tcPr>
            <w:tcW w:w="2595" w:type="dxa"/>
          </w:tcPr>
          <w:p w:rsidR="00915753" w:rsidRDefault="00915753" w:rsidP="008228F6">
            <w:pPr>
              <w:pStyle w:val="BodyText"/>
              <w:tabs>
                <w:tab w:val="decimal" w:pos="895"/>
                <w:tab w:val="decimal" w:pos="3600"/>
              </w:tabs>
              <w:spacing w:after="0" w:line="276" w:lineRule="auto"/>
              <w:jc w:val="left"/>
            </w:pPr>
            <w:r>
              <w:tab/>
              <w:t>145.20%</w:t>
            </w:r>
          </w:p>
        </w:tc>
      </w:tr>
      <w:tr w:rsidR="00915753" w:rsidTr="008228F6">
        <w:tc>
          <w:tcPr>
            <w:tcW w:w="2737" w:type="dxa"/>
          </w:tcPr>
          <w:p w:rsidR="00915753" w:rsidRDefault="00915753" w:rsidP="008228F6">
            <w:pPr>
              <w:pStyle w:val="BodyText"/>
              <w:spacing w:after="0" w:line="276" w:lineRule="auto"/>
              <w:ind w:right="1088"/>
              <w:jc w:val="right"/>
            </w:pPr>
            <w:r>
              <w:t>ISP</w:t>
            </w:r>
          </w:p>
        </w:tc>
        <w:tc>
          <w:tcPr>
            <w:tcW w:w="2231" w:type="dxa"/>
          </w:tcPr>
          <w:p w:rsidR="00915753" w:rsidRDefault="00915753" w:rsidP="008228F6">
            <w:pPr>
              <w:pStyle w:val="BodyText"/>
              <w:tabs>
                <w:tab w:val="decimal" w:pos="895"/>
                <w:tab w:val="decimal" w:pos="3600"/>
              </w:tabs>
              <w:spacing w:after="0" w:line="276" w:lineRule="auto"/>
              <w:jc w:val="left"/>
            </w:pPr>
            <w:r>
              <w:tab/>
              <w:t>140.06%</w:t>
            </w:r>
          </w:p>
        </w:tc>
        <w:tc>
          <w:tcPr>
            <w:tcW w:w="2595" w:type="dxa"/>
          </w:tcPr>
          <w:p w:rsidR="00915753" w:rsidRDefault="00915753" w:rsidP="008228F6">
            <w:pPr>
              <w:pStyle w:val="BodyText"/>
              <w:tabs>
                <w:tab w:val="decimal" w:pos="895"/>
                <w:tab w:val="decimal" w:pos="3600"/>
              </w:tabs>
              <w:spacing w:after="0" w:line="276" w:lineRule="auto"/>
              <w:jc w:val="left"/>
            </w:pPr>
            <w:r>
              <w:tab/>
              <w:t>135.83%</w:t>
            </w:r>
          </w:p>
        </w:tc>
      </w:tr>
      <w:tr w:rsidR="00915753" w:rsidTr="008228F6">
        <w:tc>
          <w:tcPr>
            <w:tcW w:w="2737" w:type="dxa"/>
          </w:tcPr>
          <w:p w:rsidR="00915753" w:rsidRDefault="00915753" w:rsidP="008228F6">
            <w:pPr>
              <w:pStyle w:val="BodyText"/>
              <w:spacing w:after="0" w:line="276" w:lineRule="auto"/>
              <w:ind w:right="1088"/>
              <w:jc w:val="right"/>
            </w:pPr>
            <w:r>
              <w:t>LP-5</w:t>
            </w:r>
          </w:p>
        </w:tc>
        <w:tc>
          <w:tcPr>
            <w:tcW w:w="2231" w:type="dxa"/>
          </w:tcPr>
          <w:p w:rsidR="00915753" w:rsidRDefault="00915753" w:rsidP="008228F6">
            <w:pPr>
              <w:pStyle w:val="BodyText"/>
              <w:tabs>
                <w:tab w:val="decimal" w:pos="895"/>
                <w:tab w:val="decimal" w:pos="3600"/>
              </w:tabs>
              <w:spacing w:after="0" w:line="276" w:lineRule="auto"/>
              <w:jc w:val="left"/>
            </w:pPr>
            <w:r>
              <w:tab/>
              <w:t>-372.02%</w:t>
            </w:r>
          </w:p>
        </w:tc>
        <w:tc>
          <w:tcPr>
            <w:tcW w:w="2595" w:type="dxa"/>
          </w:tcPr>
          <w:p w:rsidR="00915753" w:rsidRDefault="00915753" w:rsidP="008228F6">
            <w:pPr>
              <w:pStyle w:val="BodyText"/>
              <w:tabs>
                <w:tab w:val="decimal" w:pos="895"/>
                <w:tab w:val="decimal" w:pos="3600"/>
              </w:tabs>
              <w:spacing w:after="0" w:line="276" w:lineRule="auto"/>
              <w:jc w:val="left"/>
            </w:pPr>
            <w:r>
              <w:tab/>
              <w:t>-237.33%</w:t>
            </w:r>
          </w:p>
        </w:tc>
      </w:tr>
      <w:tr w:rsidR="00915753" w:rsidTr="008228F6">
        <w:tc>
          <w:tcPr>
            <w:tcW w:w="2737" w:type="dxa"/>
          </w:tcPr>
          <w:p w:rsidR="00915753" w:rsidRDefault="00915753" w:rsidP="008228F6">
            <w:pPr>
              <w:pStyle w:val="BodyText"/>
              <w:spacing w:after="0" w:line="276" w:lineRule="auto"/>
              <w:ind w:right="1088"/>
              <w:jc w:val="right"/>
            </w:pPr>
            <w:r>
              <w:lastRenderedPageBreak/>
              <w:t>LP-6</w:t>
            </w:r>
          </w:p>
        </w:tc>
        <w:tc>
          <w:tcPr>
            <w:tcW w:w="2231" w:type="dxa"/>
          </w:tcPr>
          <w:p w:rsidR="00915753" w:rsidRDefault="00915753" w:rsidP="008228F6">
            <w:pPr>
              <w:pStyle w:val="BodyText"/>
              <w:tabs>
                <w:tab w:val="decimal" w:pos="895"/>
                <w:tab w:val="decimal" w:pos="3600"/>
              </w:tabs>
              <w:spacing w:after="0" w:line="276" w:lineRule="auto"/>
              <w:jc w:val="left"/>
            </w:pPr>
            <w:r>
              <w:tab/>
              <w:t>-1064.39%</w:t>
            </w:r>
          </w:p>
        </w:tc>
        <w:tc>
          <w:tcPr>
            <w:tcW w:w="2595" w:type="dxa"/>
          </w:tcPr>
          <w:p w:rsidR="00915753" w:rsidRDefault="00915753" w:rsidP="008228F6">
            <w:pPr>
              <w:pStyle w:val="BodyText"/>
              <w:tabs>
                <w:tab w:val="decimal" w:pos="895"/>
                <w:tab w:val="decimal" w:pos="3600"/>
              </w:tabs>
              <w:spacing w:after="0" w:line="276" w:lineRule="auto"/>
              <w:jc w:val="left"/>
            </w:pPr>
            <w:r>
              <w:tab/>
              <w:t>-831.53%</w:t>
            </w:r>
          </w:p>
        </w:tc>
      </w:tr>
      <w:tr w:rsidR="00915753" w:rsidTr="008228F6">
        <w:tc>
          <w:tcPr>
            <w:tcW w:w="2737" w:type="dxa"/>
          </w:tcPr>
          <w:p w:rsidR="00915753" w:rsidRDefault="00915753" w:rsidP="008228F6">
            <w:pPr>
              <w:pStyle w:val="BodyText"/>
              <w:spacing w:after="0" w:line="276" w:lineRule="auto"/>
              <w:ind w:right="1088"/>
              <w:jc w:val="right"/>
            </w:pPr>
            <w:r>
              <w:t>LPEP</w:t>
            </w:r>
          </w:p>
        </w:tc>
        <w:tc>
          <w:tcPr>
            <w:tcW w:w="2231" w:type="dxa"/>
          </w:tcPr>
          <w:p w:rsidR="00915753" w:rsidRDefault="00915753" w:rsidP="008228F6">
            <w:pPr>
              <w:pStyle w:val="BodyText"/>
              <w:tabs>
                <w:tab w:val="decimal" w:pos="895"/>
                <w:tab w:val="decimal" w:pos="3600"/>
              </w:tabs>
              <w:spacing w:after="0" w:line="276" w:lineRule="auto"/>
              <w:jc w:val="left"/>
            </w:pPr>
            <w:r>
              <w:tab/>
              <w:t>237.36%</w:t>
            </w:r>
          </w:p>
        </w:tc>
        <w:tc>
          <w:tcPr>
            <w:tcW w:w="2595" w:type="dxa"/>
          </w:tcPr>
          <w:p w:rsidR="00915753" w:rsidRDefault="00915753" w:rsidP="008228F6">
            <w:pPr>
              <w:pStyle w:val="BodyText"/>
              <w:tabs>
                <w:tab w:val="decimal" w:pos="895"/>
                <w:tab w:val="decimal" w:pos="3600"/>
              </w:tabs>
              <w:spacing w:after="0" w:line="276" w:lineRule="auto"/>
              <w:jc w:val="left"/>
            </w:pPr>
            <w:r>
              <w:tab/>
              <w:t>163.51%</w:t>
            </w:r>
          </w:p>
        </w:tc>
      </w:tr>
      <w:tr w:rsidR="00915753" w:rsidTr="008228F6">
        <w:tc>
          <w:tcPr>
            <w:tcW w:w="2737" w:type="dxa"/>
          </w:tcPr>
          <w:p w:rsidR="00915753" w:rsidRDefault="00915753" w:rsidP="008228F6">
            <w:pPr>
              <w:pStyle w:val="BodyText"/>
              <w:spacing w:after="0" w:line="276" w:lineRule="auto"/>
              <w:ind w:right="1088"/>
              <w:jc w:val="right"/>
            </w:pPr>
            <w:r>
              <w:t>GH</w:t>
            </w:r>
          </w:p>
        </w:tc>
        <w:tc>
          <w:tcPr>
            <w:tcW w:w="2231" w:type="dxa"/>
          </w:tcPr>
          <w:p w:rsidR="00915753" w:rsidRDefault="00915753" w:rsidP="008228F6">
            <w:pPr>
              <w:pStyle w:val="BodyText"/>
              <w:tabs>
                <w:tab w:val="decimal" w:pos="895"/>
                <w:tab w:val="decimal" w:pos="3600"/>
              </w:tabs>
              <w:spacing w:after="0" w:line="276" w:lineRule="auto"/>
              <w:jc w:val="left"/>
            </w:pPr>
            <w:r>
              <w:tab/>
              <w:t>217.81%</w:t>
            </w:r>
          </w:p>
        </w:tc>
        <w:tc>
          <w:tcPr>
            <w:tcW w:w="2595" w:type="dxa"/>
          </w:tcPr>
          <w:p w:rsidR="00915753" w:rsidRDefault="00915753" w:rsidP="008228F6">
            <w:pPr>
              <w:pStyle w:val="BodyText"/>
              <w:tabs>
                <w:tab w:val="decimal" w:pos="895"/>
                <w:tab w:val="decimal" w:pos="3600"/>
              </w:tabs>
              <w:spacing w:after="0" w:line="276" w:lineRule="auto"/>
              <w:jc w:val="left"/>
            </w:pPr>
            <w:r>
              <w:tab/>
              <w:t>150.94%</w:t>
            </w:r>
          </w:p>
        </w:tc>
      </w:tr>
      <w:tr w:rsidR="00915753" w:rsidTr="008228F6">
        <w:tc>
          <w:tcPr>
            <w:tcW w:w="2737" w:type="dxa"/>
          </w:tcPr>
          <w:p w:rsidR="00915753" w:rsidRDefault="00915753" w:rsidP="008228F6">
            <w:pPr>
              <w:pStyle w:val="BodyText"/>
              <w:spacing w:after="0" w:line="276" w:lineRule="auto"/>
              <w:ind w:right="1088"/>
              <w:jc w:val="right"/>
            </w:pPr>
            <w:r>
              <w:t>SL/AL</w:t>
            </w:r>
          </w:p>
        </w:tc>
        <w:tc>
          <w:tcPr>
            <w:tcW w:w="2231" w:type="dxa"/>
          </w:tcPr>
          <w:p w:rsidR="00915753" w:rsidRDefault="00915753" w:rsidP="008228F6">
            <w:pPr>
              <w:pStyle w:val="BodyText"/>
              <w:tabs>
                <w:tab w:val="decimal" w:pos="895"/>
                <w:tab w:val="decimal" w:pos="3600"/>
              </w:tabs>
              <w:spacing w:after="0" w:line="276" w:lineRule="auto"/>
              <w:jc w:val="left"/>
            </w:pPr>
            <w:r>
              <w:tab/>
              <w:t>145.47%</w:t>
            </w:r>
          </w:p>
        </w:tc>
        <w:tc>
          <w:tcPr>
            <w:tcW w:w="2595" w:type="dxa"/>
          </w:tcPr>
          <w:p w:rsidR="00915753" w:rsidRDefault="00915753" w:rsidP="008228F6">
            <w:pPr>
              <w:pStyle w:val="BodyText"/>
              <w:tabs>
                <w:tab w:val="decimal" w:pos="895"/>
                <w:tab w:val="decimal" w:pos="3600"/>
              </w:tabs>
              <w:spacing w:after="0" w:line="276" w:lineRule="auto"/>
              <w:jc w:val="left"/>
            </w:pPr>
            <w:r>
              <w:tab/>
              <w:t>100.77%</w:t>
            </w:r>
          </w:p>
        </w:tc>
      </w:tr>
    </w:tbl>
    <w:p w:rsidR="00915753" w:rsidRDefault="00915753" w:rsidP="00915753">
      <w:pPr>
        <w:pStyle w:val="Pleading2L3"/>
        <w:numPr>
          <w:ilvl w:val="0"/>
          <w:numId w:val="0"/>
        </w:numPr>
        <w:spacing w:line="240" w:lineRule="auto"/>
      </w:pPr>
    </w:p>
    <w:p w:rsidR="00915753" w:rsidRDefault="00915753" w:rsidP="00915753">
      <w:pPr>
        <w:pStyle w:val="Pleading2L3"/>
        <w:numPr>
          <w:ilvl w:val="0"/>
          <w:numId w:val="0"/>
        </w:numPr>
        <w:spacing w:line="360" w:lineRule="auto"/>
      </w:pPr>
      <w:r>
        <w:t>PPL Electric Initial Brief at 37, citing PPL Electric Ex. JMK-2A at 8-11.</w:t>
      </w:r>
    </w:p>
    <w:p w:rsidR="00915753" w:rsidRDefault="00915753" w:rsidP="00915753">
      <w:pPr>
        <w:pStyle w:val="Pleading2L3"/>
        <w:numPr>
          <w:ilvl w:val="0"/>
          <w:numId w:val="0"/>
        </w:numPr>
        <w:spacing w:line="360" w:lineRule="auto"/>
      </w:pPr>
    </w:p>
    <w:p w:rsidR="00915753" w:rsidRDefault="00915753" w:rsidP="00915753">
      <w:pPr>
        <w:pStyle w:val="Pleading2L3"/>
        <w:numPr>
          <w:ilvl w:val="0"/>
          <w:numId w:val="0"/>
        </w:numPr>
        <w:spacing w:line="360" w:lineRule="auto"/>
        <w:ind w:firstLine="1440"/>
      </w:pPr>
      <w:r>
        <w:t>PPLICA agrees with this approach as consistent with its previous distribution cases, and one which continues to move all classes “at or near” the full cost of providing service while also moving all classes toward the system average rate of return.  As a result, PPLICA agrees with the Company that allocating the distribution increase primarily to residential customers is reasonable and should be accepted by the Commission.  PPLICA Main Brief at 11; PPLICA Reply Brief at 8.</w:t>
      </w:r>
    </w:p>
    <w:p w:rsidR="003A1C44" w:rsidRDefault="003A1C44" w:rsidP="00915753">
      <w:pPr>
        <w:pStyle w:val="Pleading2L3"/>
        <w:numPr>
          <w:ilvl w:val="0"/>
          <w:numId w:val="0"/>
        </w:numPr>
        <w:spacing w:line="360" w:lineRule="auto"/>
        <w:ind w:firstLine="1440"/>
      </w:pPr>
    </w:p>
    <w:p w:rsidR="00915753" w:rsidRDefault="00915753" w:rsidP="00915753">
      <w:pPr>
        <w:pStyle w:val="Pleading2L3"/>
        <w:numPr>
          <w:ilvl w:val="0"/>
          <w:numId w:val="0"/>
        </w:numPr>
        <w:spacing w:line="360" w:lineRule="auto"/>
        <w:ind w:firstLine="1440"/>
      </w:pPr>
      <w:r>
        <w:t>By way of further argument, PPLICA states:</w:t>
      </w:r>
    </w:p>
    <w:p w:rsidR="00915753" w:rsidRDefault="00915753" w:rsidP="00537116">
      <w:pPr>
        <w:pStyle w:val="Pleading2L3"/>
        <w:numPr>
          <w:ilvl w:val="0"/>
          <w:numId w:val="0"/>
        </w:numPr>
        <w:spacing w:line="240" w:lineRule="auto"/>
      </w:pPr>
    </w:p>
    <w:p w:rsidR="00915753" w:rsidRDefault="00915753" w:rsidP="00915753">
      <w:pPr>
        <w:pStyle w:val="Pleading2L3"/>
        <w:numPr>
          <w:ilvl w:val="0"/>
          <w:numId w:val="0"/>
        </w:numPr>
        <w:spacing w:line="240" w:lineRule="auto"/>
        <w:ind w:left="1440" w:right="1440" w:firstLine="720"/>
        <w:contextualSpacing/>
      </w:pPr>
      <w:r>
        <w:t xml:space="preserve">Notably, while allocating the entire increase to the residential class does little to alleviate the substantial current overcollection experienced by Rate Schedule LP-4, the Company’s proposal is the only one presented that would not further burden Rate Schedule LP-4 customers.  As indicated by the Company’s CCOSS, LP-4 customers are already paying excessive rates, 17.93% compared to the overall system return of 6.33%.  Under the Company’s proposed rates, Rate Schedule LP-4’s relative rate of return is still 9.11%, or 194% of the system average.  </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PPLICA Main Brief at 11, citing PPLICA Stmt. 2 at 4.</w:t>
      </w:r>
      <w:r w:rsidRPr="003B1AA6">
        <w:rPr>
          <w:rStyle w:val="FootnoteReference"/>
          <w:vertAlign w:val="superscript"/>
        </w:rPr>
        <w:footnoteReference w:id="15"/>
      </w:r>
      <w:r>
        <w:t xml:space="preserve">  </w:t>
      </w:r>
    </w:p>
    <w:p w:rsidR="00915753" w:rsidRDefault="00915753" w:rsidP="00915753">
      <w:pPr>
        <w:pStyle w:val="Pleading2L3"/>
        <w:numPr>
          <w:ilvl w:val="0"/>
          <w:numId w:val="0"/>
        </w:numPr>
        <w:spacing w:line="360" w:lineRule="auto"/>
        <w:ind w:left="1440" w:right="1440"/>
        <w:contextualSpacing/>
      </w:pPr>
    </w:p>
    <w:p w:rsidR="00915753" w:rsidRDefault="00915753" w:rsidP="00915753">
      <w:pPr>
        <w:pStyle w:val="Pleading2L3"/>
        <w:numPr>
          <w:ilvl w:val="0"/>
          <w:numId w:val="0"/>
        </w:numPr>
        <w:spacing w:line="360" w:lineRule="auto"/>
        <w:ind w:firstLine="1440"/>
        <w:contextualSpacing/>
      </w:pPr>
      <w:r>
        <w:t>OSBA makes the following points in comparing the present rate structure:</w:t>
      </w:r>
    </w:p>
    <w:p w:rsidR="00915753" w:rsidRDefault="00915753" w:rsidP="00537116">
      <w:pPr>
        <w:pStyle w:val="Pleading2L3"/>
        <w:numPr>
          <w:ilvl w:val="0"/>
          <w:numId w:val="0"/>
        </w:numPr>
        <w:spacing w:line="240" w:lineRule="auto"/>
        <w:contextualSpacing/>
      </w:pPr>
    </w:p>
    <w:p w:rsidR="00915753" w:rsidRDefault="00915753" w:rsidP="00915753">
      <w:pPr>
        <w:pStyle w:val="Pleading2L3"/>
        <w:numPr>
          <w:ilvl w:val="0"/>
          <w:numId w:val="0"/>
        </w:numPr>
        <w:spacing w:line="240" w:lineRule="auto"/>
        <w:ind w:left="1440" w:right="1440" w:firstLine="720"/>
        <w:contextualSpacing/>
      </w:pPr>
      <w:r>
        <w:t>The RS class is underpaying its cost of service, the RTS class is significantly underpaying its cost of service, the GS-1 and GS-3 classes are overpaying their cost of service, Rate classes LP</w:t>
      </w:r>
      <w:r>
        <w:noBreakHyphen/>
        <w:t xml:space="preserve">5 and LP-6 are underpaying their cost of service, LPEP and street lighting classes are overpaying.  The choice of CCOSS makes a marked difference for rate schedules LP-4, ISP, and GH.  </w:t>
      </w:r>
      <w:r>
        <w:lastRenderedPageBreak/>
        <w:t xml:space="preserve">OSBA Main Brief at 10.  OSBA witness Knecht configured the rates of return under both JMK-2A and JMK-2B, and then averaged the class rates of return, which he believes will create a fair result.  He reasons that JMK-2A is most consistent with the dictates of the NARUC manual, and because he believes that the costs for the primary distribution system contain both a customer and a demand component.  However, he believes it will overstate the customer-related component of distributions costs due to the load carrying capability of the minimum system and therefore, relies in part on the classic CCOSS presented by JMK-2B.   </w:t>
      </w:r>
    </w:p>
    <w:p w:rsidR="00915753" w:rsidRDefault="00915753" w:rsidP="00915753">
      <w:pPr>
        <w:pStyle w:val="Pleading2L3"/>
        <w:numPr>
          <w:ilvl w:val="0"/>
          <w:numId w:val="0"/>
        </w:numPr>
        <w:spacing w:line="240" w:lineRule="auto"/>
        <w:ind w:left="1440" w:right="1440" w:firstLine="720"/>
        <w:contextualSpacing/>
      </w:pPr>
    </w:p>
    <w:p w:rsidR="00915753" w:rsidRDefault="00915753" w:rsidP="003B1AA6">
      <w:pPr>
        <w:pStyle w:val="Pleading2L3"/>
        <w:numPr>
          <w:ilvl w:val="0"/>
          <w:numId w:val="0"/>
        </w:numPr>
        <w:spacing w:line="360" w:lineRule="auto"/>
        <w:ind w:left="1440" w:right="1440" w:hanging="1440"/>
        <w:contextualSpacing/>
      </w:pPr>
      <w:r>
        <w:t xml:space="preserve">OSBA Main Brief at 12, citing OSBA Stmt. 3 at 2.  </w:t>
      </w:r>
    </w:p>
    <w:p w:rsidR="00915753" w:rsidRDefault="00915753" w:rsidP="00915753">
      <w:pPr>
        <w:pStyle w:val="Pleading2L3"/>
        <w:numPr>
          <w:ilvl w:val="0"/>
          <w:numId w:val="0"/>
        </w:numPr>
        <w:spacing w:line="360" w:lineRule="auto"/>
        <w:ind w:left="1440" w:right="1440" w:hanging="1440"/>
        <w:contextualSpacing/>
      </w:pPr>
    </w:p>
    <w:p w:rsidR="00915753" w:rsidRDefault="00915753" w:rsidP="00915753">
      <w:pPr>
        <w:ind w:firstLine="1440"/>
        <w:jc w:val="left"/>
      </w:pPr>
      <w:r>
        <w:t>The class rates of return resulting from the OSBA’s simple average of the JMK-2A and JMK-2B rates of return are as follows:</w:t>
      </w:r>
    </w:p>
    <w:p w:rsidR="00FD60C9" w:rsidRPr="00800464" w:rsidRDefault="00FD60C9" w:rsidP="00915753">
      <w:pPr>
        <w:ind w:firstLine="1440"/>
        <w:jc w:val="left"/>
        <w:rPr>
          <w:rFonts w:eastAsia="Times New Roman"/>
          <w:szCs w:val="20"/>
        </w:rPr>
      </w:pPr>
    </w:p>
    <w:tbl>
      <w:tblPr>
        <w:tblStyle w:val="TableGrid"/>
        <w:tblW w:w="0" w:type="auto"/>
        <w:tblInd w:w="1548" w:type="dxa"/>
        <w:tblLook w:val="04A0"/>
      </w:tblPr>
      <w:tblGrid>
        <w:gridCol w:w="2430"/>
        <w:gridCol w:w="2790"/>
      </w:tblGrid>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RS</w:t>
            </w:r>
          </w:p>
        </w:tc>
        <w:tc>
          <w:tcPr>
            <w:tcW w:w="2790" w:type="dxa"/>
          </w:tcPr>
          <w:p w:rsidR="00915753" w:rsidRDefault="00915753" w:rsidP="008228F6">
            <w:pPr>
              <w:pStyle w:val="Pleading2L3"/>
              <w:numPr>
                <w:ilvl w:val="0"/>
                <w:numId w:val="0"/>
              </w:numPr>
              <w:spacing w:line="276" w:lineRule="auto"/>
              <w:ind w:right="702"/>
              <w:contextualSpacing/>
              <w:jc w:val="right"/>
            </w:pPr>
            <w:r>
              <w:t>8.4%</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RTS</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-0.6%</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GS-1</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11.3%</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GS-3</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16.7%</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LP-4</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8.1%</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ISP</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7.4%</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LP-5</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-8.0%</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LP-6</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-10.6%</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LPEP</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16.4%</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GH</w:t>
            </w:r>
          </w:p>
        </w:tc>
        <w:tc>
          <w:tcPr>
            <w:tcW w:w="2790" w:type="dxa"/>
          </w:tcPr>
          <w:p w:rsidR="00915753" w:rsidRDefault="00915753" w:rsidP="008228F6">
            <w:pPr>
              <w:pStyle w:val="Pleading2L3"/>
              <w:numPr>
                <w:ilvl w:val="0"/>
                <w:numId w:val="0"/>
              </w:numPr>
              <w:tabs>
                <w:tab w:val="left" w:pos="1152"/>
              </w:tabs>
              <w:spacing w:line="276" w:lineRule="auto"/>
              <w:ind w:right="702"/>
              <w:contextualSpacing/>
              <w:jc w:val="right"/>
            </w:pPr>
            <w:r>
              <w:t>10.0%</w:t>
            </w:r>
          </w:p>
        </w:tc>
      </w:tr>
      <w:tr w:rsidR="00915753" w:rsidTr="008228F6">
        <w:tc>
          <w:tcPr>
            <w:tcW w:w="2430" w:type="dxa"/>
          </w:tcPr>
          <w:p w:rsidR="00915753" w:rsidRDefault="00915753" w:rsidP="008228F6">
            <w:pPr>
              <w:pStyle w:val="Pleading2L3"/>
              <w:numPr>
                <w:ilvl w:val="0"/>
                <w:numId w:val="0"/>
              </w:numPr>
              <w:spacing w:line="276" w:lineRule="auto"/>
              <w:ind w:right="792"/>
              <w:contextualSpacing/>
              <w:jc w:val="right"/>
            </w:pPr>
            <w:r>
              <w:t>SL/AL</w:t>
            </w:r>
          </w:p>
        </w:tc>
        <w:tc>
          <w:tcPr>
            <w:tcW w:w="2790" w:type="dxa"/>
          </w:tcPr>
          <w:p w:rsidR="00D25518" w:rsidRDefault="00915753" w:rsidP="008228F6">
            <w:pPr>
              <w:pStyle w:val="Pleading2L3"/>
              <w:numPr>
                <w:ilvl w:val="0"/>
                <w:numId w:val="0"/>
              </w:numPr>
              <w:tabs>
                <w:tab w:val="left" w:pos="1152"/>
              </w:tabs>
              <w:spacing w:line="276" w:lineRule="auto"/>
              <w:ind w:right="702"/>
              <w:contextualSpacing/>
              <w:jc w:val="right"/>
            </w:pPr>
            <w:r>
              <w:t>9.0%</w:t>
            </w:r>
          </w:p>
        </w:tc>
      </w:tr>
      <w:tr w:rsidR="00D25518" w:rsidTr="008228F6">
        <w:tc>
          <w:tcPr>
            <w:tcW w:w="2430" w:type="dxa"/>
          </w:tcPr>
          <w:p w:rsidR="00D25518" w:rsidRPr="00D25518" w:rsidRDefault="00D25518" w:rsidP="008228F6">
            <w:pPr>
              <w:pStyle w:val="Pleading2L3"/>
              <w:numPr>
                <w:ilvl w:val="0"/>
                <w:numId w:val="0"/>
              </w:numPr>
              <w:spacing w:line="276" w:lineRule="auto"/>
              <w:ind w:right="792"/>
              <w:contextualSpacing/>
              <w:jc w:val="right"/>
              <w:rPr>
                <w:b/>
              </w:rPr>
            </w:pPr>
            <w:r>
              <w:rPr>
                <w:b/>
              </w:rPr>
              <w:t>Total</w:t>
            </w:r>
          </w:p>
        </w:tc>
        <w:tc>
          <w:tcPr>
            <w:tcW w:w="2790" w:type="dxa"/>
          </w:tcPr>
          <w:p w:rsidR="00D25518" w:rsidRPr="00D25518" w:rsidRDefault="00D25518" w:rsidP="008228F6">
            <w:pPr>
              <w:pStyle w:val="Pleading2L3"/>
              <w:numPr>
                <w:ilvl w:val="0"/>
                <w:numId w:val="0"/>
              </w:numPr>
              <w:tabs>
                <w:tab w:val="left" w:pos="1152"/>
              </w:tabs>
              <w:spacing w:line="276" w:lineRule="auto"/>
              <w:ind w:right="702"/>
              <w:contextualSpacing/>
              <w:jc w:val="right"/>
              <w:rPr>
                <w:b/>
              </w:rPr>
            </w:pPr>
            <w:r w:rsidRPr="00D25518">
              <w:rPr>
                <w:b/>
              </w:rPr>
              <w:t>9.1%</w:t>
            </w:r>
          </w:p>
        </w:tc>
      </w:tr>
    </w:tbl>
    <w:p w:rsidR="00915753" w:rsidRDefault="00915753" w:rsidP="00FD60C9">
      <w:pPr>
        <w:pStyle w:val="Pleading2L3"/>
        <w:numPr>
          <w:ilvl w:val="0"/>
          <w:numId w:val="0"/>
        </w:numPr>
        <w:spacing w:line="240" w:lineRule="auto"/>
        <w:contextualSpacing/>
      </w:pPr>
    </w:p>
    <w:p w:rsidR="00915753" w:rsidRDefault="00915753" w:rsidP="00915753">
      <w:pPr>
        <w:pStyle w:val="Pleading2L3"/>
        <w:numPr>
          <w:ilvl w:val="0"/>
          <w:numId w:val="0"/>
        </w:numPr>
        <w:spacing w:line="360" w:lineRule="auto"/>
        <w:contextualSpacing/>
      </w:pPr>
      <w:r>
        <w:t>OSBA Main Brief at 13.</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 xml:space="preserve">OSBA recommends assigning a $1.85 million increase to Rate Class LP-4 and a $0.15 million increase to rate class ISP at the full revenue requirement, which would reduce the share of the $114.675 million increase to the residential rate class.  To address the rate of returns of LP-5 and LP-6, which are below the system average, OSBA recommends assigning a total increase of $1.2 million to those two classes, thus reducing the increase to the residential rate classes.  OSBA Main Brief at 14, citing OSBA Stmt. 1 at 27.  This leaves the OSBA revenue </w:t>
      </w:r>
      <w:r>
        <w:lastRenderedPageBreak/>
        <w:t xml:space="preserve">allocation </w:t>
      </w:r>
      <w:r>
        <w:rPr>
          <w:i/>
        </w:rPr>
        <w:t xml:space="preserve">for the original amount requested by the Company, not the reduced settlement amount, </w:t>
      </w:r>
      <w:r>
        <w:t>as follows:</w:t>
      </w:r>
    </w:p>
    <w:p w:rsidR="00915753" w:rsidRDefault="00915753" w:rsidP="00915753">
      <w:pPr>
        <w:pStyle w:val="Pleading2L3"/>
        <w:numPr>
          <w:ilvl w:val="0"/>
          <w:numId w:val="0"/>
        </w:numPr>
        <w:spacing w:line="240" w:lineRule="auto"/>
        <w:ind w:firstLine="1440"/>
        <w:contextualSpacing/>
      </w:pPr>
    </w:p>
    <w:tbl>
      <w:tblPr>
        <w:tblStyle w:val="TableGrid"/>
        <w:tblW w:w="0" w:type="auto"/>
        <w:tblInd w:w="1548" w:type="dxa"/>
        <w:tblLook w:val="04A0"/>
      </w:tblPr>
      <w:tblGrid>
        <w:gridCol w:w="2430"/>
        <w:gridCol w:w="2790"/>
      </w:tblGrid>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RS</w:t>
            </w:r>
          </w:p>
        </w:tc>
        <w:tc>
          <w:tcPr>
            <w:tcW w:w="2790" w:type="dxa"/>
          </w:tcPr>
          <w:p w:rsidR="00915753" w:rsidRDefault="00915753" w:rsidP="008228F6">
            <w:pPr>
              <w:pStyle w:val="Pleading2L3"/>
              <w:numPr>
                <w:ilvl w:val="0"/>
                <w:numId w:val="0"/>
              </w:numPr>
              <w:spacing w:line="276" w:lineRule="auto"/>
              <w:ind w:right="864"/>
              <w:contextualSpacing/>
              <w:jc w:val="right"/>
            </w:pPr>
            <w:r>
              <w:t>$109,162</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RTS</w:t>
            </w:r>
          </w:p>
        </w:tc>
        <w:tc>
          <w:tcPr>
            <w:tcW w:w="2790" w:type="dxa"/>
          </w:tcPr>
          <w:p w:rsidR="00915753" w:rsidRDefault="00915753" w:rsidP="008228F6">
            <w:pPr>
              <w:pStyle w:val="Pleading2L3"/>
              <w:numPr>
                <w:ilvl w:val="0"/>
                <w:numId w:val="0"/>
              </w:numPr>
              <w:tabs>
                <w:tab w:val="left" w:pos="1152"/>
              </w:tabs>
              <w:spacing w:line="276" w:lineRule="auto"/>
              <w:ind w:right="864"/>
              <w:contextualSpacing/>
              <w:jc w:val="right"/>
            </w:pPr>
            <w:r>
              <w:t>$    2,240</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GS-1</w:t>
            </w:r>
          </w:p>
        </w:tc>
        <w:tc>
          <w:tcPr>
            <w:tcW w:w="2790" w:type="dxa"/>
          </w:tcPr>
          <w:p w:rsidR="00915753" w:rsidRDefault="00915753" w:rsidP="008228F6">
            <w:pPr>
              <w:pStyle w:val="Pleading2L3"/>
              <w:numPr>
                <w:ilvl w:val="0"/>
                <w:numId w:val="0"/>
              </w:numPr>
              <w:tabs>
                <w:tab w:val="left" w:pos="1152"/>
              </w:tabs>
              <w:spacing w:line="276" w:lineRule="auto"/>
              <w:ind w:right="864"/>
              <w:contextualSpacing/>
              <w:jc w:val="right"/>
            </w:pPr>
            <w:r>
              <w:t>---</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GS-3</w:t>
            </w:r>
          </w:p>
        </w:tc>
        <w:tc>
          <w:tcPr>
            <w:tcW w:w="2790" w:type="dxa"/>
          </w:tcPr>
          <w:p w:rsidR="00915753" w:rsidRDefault="00915753" w:rsidP="008228F6">
            <w:pPr>
              <w:pStyle w:val="Pleading2L3"/>
              <w:numPr>
                <w:ilvl w:val="0"/>
                <w:numId w:val="0"/>
              </w:numPr>
              <w:spacing w:line="276" w:lineRule="auto"/>
              <w:ind w:right="864"/>
              <w:contextualSpacing/>
              <w:jc w:val="right"/>
            </w:pPr>
            <w:r>
              <w:t>---</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LP-4</w:t>
            </w:r>
          </w:p>
        </w:tc>
        <w:tc>
          <w:tcPr>
            <w:tcW w:w="2790" w:type="dxa"/>
          </w:tcPr>
          <w:p w:rsidR="00915753" w:rsidRDefault="00915753" w:rsidP="008228F6">
            <w:pPr>
              <w:pStyle w:val="Pleading2L3"/>
              <w:numPr>
                <w:ilvl w:val="0"/>
                <w:numId w:val="0"/>
              </w:numPr>
              <w:spacing w:line="276" w:lineRule="auto"/>
              <w:ind w:right="864"/>
              <w:contextualSpacing/>
              <w:jc w:val="right"/>
            </w:pPr>
            <w:r>
              <w:t>$    1,605</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ISP</w:t>
            </w:r>
          </w:p>
        </w:tc>
        <w:tc>
          <w:tcPr>
            <w:tcW w:w="2790" w:type="dxa"/>
          </w:tcPr>
          <w:p w:rsidR="00915753" w:rsidRDefault="00915753" w:rsidP="008228F6">
            <w:pPr>
              <w:pStyle w:val="Pleading2L3"/>
              <w:numPr>
                <w:ilvl w:val="0"/>
                <w:numId w:val="0"/>
              </w:numPr>
              <w:spacing w:line="276" w:lineRule="auto"/>
              <w:ind w:right="864"/>
              <w:contextualSpacing/>
              <w:jc w:val="right"/>
            </w:pPr>
            <w:r>
              <w:t>$       397</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LP-5</w:t>
            </w:r>
          </w:p>
        </w:tc>
        <w:tc>
          <w:tcPr>
            <w:tcW w:w="2790" w:type="dxa"/>
          </w:tcPr>
          <w:p w:rsidR="00915753" w:rsidRDefault="00915753" w:rsidP="008228F6">
            <w:pPr>
              <w:pStyle w:val="Pleading2L3"/>
              <w:numPr>
                <w:ilvl w:val="0"/>
                <w:numId w:val="0"/>
              </w:numPr>
              <w:spacing w:line="276" w:lineRule="auto"/>
              <w:ind w:right="864"/>
              <w:contextualSpacing/>
              <w:jc w:val="right"/>
            </w:pPr>
            <w:r>
              <w:t>$    1,241</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LP-6</w:t>
            </w:r>
          </w:p>
        </w:tc>
        <w:tc>
          <w:tcPr>
            <w:tcW w:w="2790" w:type="dxa"/>
          </w:tcPr>
          <w:p w:rsidR="00915753" w:rsidRDefault="00915753" w:rsidP="008228F6">
            <w:pPr>
              <w:pStyle w:val="Pleading2L3"/>
              <w:numPr>
                <w:ilvl w:val="0"/>
                <w:numId w:val="0"/>
              </w:numPr>
              <w:spacing w:line="276" w:lineRule="auto"/>
              <w:ind w:right="864"/>
              <w:contextualSpacing/>
              <w:jc w:val="right"/>
            </w:pPr>
            <w:r>
              <w:t>$         30</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LPEP</w:t>
            </w:r>
          </w:p>
        </w:tc>
        <w:tc>
          <w:tcPr>
            <w:tcW w:w="2790" w:type="dxa"/>
          </w:tcPr>
          <w:p w:rsidR="00915753" w:rsidRDefault="00915753" w:rsidP="008228F6">
            <w:pPr>
              <w:pStyle w:val="Pleading2L3"/>
              <w:numPr>
                <w:ilvl w:val="0"/>
                <w:numId w:val="0"/>
              </w:numPr>
              <w:spacing w:line="276" w:lineRule="auto"/>
              <w:ind w:right="864"/>
              <w:contextualSpacing/>
              <w:jc w:val="right"/>
            </w:pPr>
            <w:r>
              <w:t>--</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GH</w:t>
            </w:r>
          </w:p>
        </w:tc>
        <w:tc>
          <w:tcPr>
            <w:tcW w:w="2790" w:type="dxa"/>
          </w:tcPr>
          <w:p w:rsidR="00915753" w:rsidRDefault="00915753" w:rsidP="008228F6">
            <w:pPr>
              <w:pStyle w:val="Pleading2L3"/>
              <w:numPr>
                <w:ilvl w:val="0"/>
                <w:numId w:val="0"/>
              </w:numPr>
              <w:spacing w:line="276" w:lineRule="auto"/>
              <w:ind w:right="864"/>
              <w:contextualSpacing/>
              <w:jc w:val="right"/>
            </w:pPr>
            <w:r>
              <w:t>--</w:t>
            </w:r>
          </w:p>
        </w:tc>
      </w:tr>
      <w:tr w:rsidR="00915753" w:rsidTr="008228F6">
        <w:tc>
          <w:tcPr>
            <w:tcW w:w="2430" w:type="dxa"/>
          </w:tcPr>
          <w:p w:rsidR="00915753" w:rsidRDefault="00915753" w:rsidP="008228F6">
            <w:pPr>
              <w:pStyle w:val="Pleading2L3"/>
              <w:numPr>
                <w:ilvl w:val="0"/>
                <w:numId w:val="0"/>
              </w:numPr>
              <w:spacing w:line="276" w:lineRule="auto"/>
              <w:ind w:right="864"/>
              <w:contextualSpacing/>
              <w:jc w:val="right"/>
            </w:pPr>
            <w:r>
              <w:t>SL/AL</w:t>
            </w:r>
          </w:p>
        </w:tc>
        <w:tc>
          <w:tcPr>
            <w:tcW w:w="2790" w:type="dxa"/>
          </w:tcPr>
          <w:p w:rsidR="00915753" w:rsidRDefault="00915753" w:rsidP="008228F6">
            <w:pPr>
              <w:pStyle w:val="Pleading2L3"/>
              <w:numPr>
                <w:ilvl w:val="0"/>
                <w:numId w:val="0"/>
              </w:numPr>
              <w:spacing w:line="276" w:lineRule="auto"/>
              <w:ind w:right="864"/>
              <w:contextualSpacing/>
              <w:jc w:val="right"/>
            </w:pPr>
            <w:r>
              <w:t>--</w:t>
            </w:r>
          </w:p>
        </w:tc>
      </w:tr>
      <w:tr w:rsidR="00915753" w:rsidTr="008228F6">
        <w:tc>
          <w:tcPr>
            <w:tcW w:w="2430" w:type="dxa"/>
          </w:tcPr>
          <w:p w:rsidR="00915753" w:rsidRPr="00C16894" w:rsidRDefault="00915753" w:rsidP="008228F6">
            <w:pPr>
              <w:pStyle w:val="Pleading2L3"/>
              <w:numPr>
                <w:ilvl w:val="0"/>
                <w:numId w:val="0"/>
              </w:numPr>
              <w:spacing w:line="276" w:lineRule="auto"/>
              <w:ind w:right="864"/>
              <w:contextualSpacing/>
              <w:jc w:val="right"/>
              <w:rPr>
                <w:b/>
              </w:rPr>
            </w:pPr>
            <w:r w:rsidRPr="00C16894">
              <w:rPr>
                <w:b/>
              </w:rPr>
              <w:t>Total</w:t>
            </w:r>
          </w:p>
        </w:tc>
        <w:tc>
          <w:tcPr>
            <w:tcW w:w="2790" w:type="dxa"/>
          </w:tcPr>
          <w:p w:rsidR="00915753" w:rsidRPr="00C16894" w:rsidRDefault="00915753" w:rsidP="008228F6">
            <w:pPr>
              <w:pStyle w:val="Pleading2L3"/>
              <w:numPr>
                <w:ilvl w:val="0"/>
                <w:numId w:val="0"/>
              </w:numPr>
              <w:spacing w:line="276" w:lineRule="auto"/>
              <w:ind w:right="864"/>
              <w:contextualSpacing/>
              <w:jc w:val="right"/>
              <w:rPr>
                <w:b/>
              </w:rPr>
            </w:pPr>
            <w:r w:rsidRPr="00C16894">
              <w:rPr>
                <w:b/>
              </w:rPr>
              <w:t>$114,675</w:t>
            </w:r>
          </w:p>
        </w:tc>
      </w:tr>
    </w:tbl>
    <w:p w:rsidR="00915753" w:rsidRDefault="00915753" w:rsidP="00FD60C9">
      <w:pPr>
        <w:pStyle w:val="Pleading2L3"/>
        <w:numPr>
          <w:ilvl w:val="0"/>
          <w:numId w:val="0"/>
        </w:numPr>
        <w:spacing w:line="240" w:lineRule="auto"/>
        <w:contextualSpacing/>
      </w:pPr>
    </w:p>
    <w:p w:rsidR="00915753" w:rsidRDefault="00915753" w:rsidP="00915753">
      <w:pPr>
        <w:pStyle w:val="Pleading2L3"/>
        <w:numPr>
          <w:ilvl w:val="0"/>
          <w:numId w:val="0"/>
        </w:numPr>
        <w:spacing w:line="360" w:lineRule="auto"/>
        <w:contextualSpacing/>
      </w:pPr>
      <w:r>
        <w:t>OSBA Main Brief at 15, reflecting OSBA Stmt. 1 at 11, Table IEc-R1.</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 xml:space="preserve">OSBA presents the full requirement allocation first in order to set up its recommendation for the reduced settlement amount.  OSBA recommends that the reduced amount be allocated by providing first dollar relief (FDR) to GS-1, GS-3 and LPEP rate classes.  OSBA recommends that the first $18.135 million of the difference between the filed proposal and the settlement be applied to those rate classes whose rate of return is above the system average before addressing the remaining amount.  As some classes are not slated for an increase, </w:t>
      </w:r>
    </w:p>
    <w:p w:rsidR="00915753" w:rsidRDefault="00915753" w:rsidP="00C16894">
      <w:pPr>
        <w:pStyle w:val="Pleading2L3"/>
        <w:numPr>
          <w:ilvl w:val="0"/>
          <w:numId w:val="0"/>
        </w:numPr>
        <w:spacing w:line="240" w:lineRule="auto"/>
        <w:ind w:firstLine="1440"/>
        <w:contextualSpacing/>
      </w:pPr>
    </w:p>
    <w:p w:rsidR="00915753" w:rsidRDefault="001524AE" w:rsidP="00915753">
      <w:pPr>
        <w:pStyle w:val="Pleading2L3"/>
        <w:numPr>
          <w:ilvl w:val="0"/>
          <w:numId w:val="0"/>
        </w:numPr>
        <w:spacing w:line="240" w:lineRule="auto"/>
        <w:ind w:left="1440" w:right="1440"/>
        <w:contextualSpacing/>
      </w:pPr>
      <w:r>
        <w:t>A</w:t>
      </w:r>
      <w:r w:rsidR="00915753">
        <w:t xml:space="preserve"> proportional scaleback of the settlement amount would therefore share none of the reduced revenue requirement with the classes assigned a rate decrease, and would have the perverse effect of actually increasing the revenue from those classes assigned a rate decrease.  I therefore recommend that any further reduction be applied to all rate classes, in proportion to class distribution revenues after the increase and after the FDR.  Thus, for example, an additional reduction of $20 million after FDR would represent about 2.4 percent of distribution revenues.  Every class’ distribution revenues after FDR would therefore be reduced by 2.4 percent.</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OSBA Main Brief at 20, citing OSBA Stmt. 3 at 31.</w:t>
      </w:r>
    </w:p>
    <w:p w:rsidR="00915753" w:rsidRDefault="00915753" w:rsidP="00915753">
      <w:pPr>
        <w:pStyle w:val="Pleading2L3"/>
        <w:numPr>
          <w:ilvl w:val="0"/>
          <w:numId w:val="0"/>
        </w:numPr>
        <w:spacing w:line="360" w:lineRule="auto"/>
        <w:ind w:firstLine="1440"/>
        <w:contextualSpacing/>
      </w:pPr>
      <w:r>
        <w:lastRenderedPageBreak/>
        <w:t xml:space="preserve">This would result in rate </w:t>
      </w:r>
      <w:r>
        <w:rPr>
          <w:i/>
        </w:rPr>
        <w:t xml:space="preserve">decreases </w:t>
      </w:r>
      <w:r>
        <w:t>for five rate classes, which OSBA submits is appropriate in the Company’s quest to move all rate classes toward the system average rate of return and cost-based rates.  OSBA Main Brief at 21.</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OSBA’s concern is that no change in the rates of the GS-1 class would actually increase the excess return above the system average from 3.3 to 4.3 percentage points, which represents a substantial increase in the cross subsidy.  It argues that while the Company’s original proposal for a zero rate increase for the GS-1 class may have been reasonable at the full proposed revenue requirement, it does not follow that it will reasonable at the settlement amount.  OSBA Main Brief at 22.</w:t>
      </w:r>
    </w:p>
    <w:p w:rsidR="00915753" w:rsidRDefault="00915753" w:rsidP="00915753">
      <w:pPr>
        <w:pStyle w:val="Pleading2L3"/>
        <w:numPr>
          <w:ilvl w:val="0"/>
          <w:numId w:val="0"/>
        </w:numPr>
        <w:spacing w:line="360" w:lineRule="auto"/>
        <w:ind w:firstLine="1440"/>
        <w:contextualSpacing/>
      </w:pPr>
    </w:p>
    <w:p w:rsidR="00915753" w:rsidRDefault="00915753" w:rsidP="00915753">
      <w:pPr>
        <w:pStyle w:val="Pleading2L3"/>
        <w:numPr>
          <w:ilvl w:val="0"/>
          <w:numId w:val="0"/>
        </w:numPr>
        <w:spacing w:line="360" w:lineRule="auto"/>
        <w:ind w:firstLine="1440"/>
        <w:contextualSpacing/>
      </w:pPr>
      <w:r>
        <w:t>To further support its claims, OSBA claims that the Company’s commitment to move rate classes closer to the system average rate of return means that its original proposal of $114,638 million for the residential classes was fair and reasonable.  Therefore, that amount can still be assigned to the residential classes and the FDR can be applied to the three other rate schedules.  OSBA Reply Brief at 15.</w:t>
      </w:r>
    </w:p>
    <w:p w:rsidR="00915753" w:rsidRDefault="00915753" w:rsidP="00915753">
      <w:pPr>
        <w:pStyle w:val="Pleading2L3"/>
        <w:numPr>
          <w:ilvl w:val="0"/>
          <w:numId w:val="0"/>
        </w:numPr>
        <w:spacing w:line="360" w:lineRule="auto"/>
        <w:ind w:firstLine="1440"/>
        <w:contextualSpacing/>
      </w:pPr>
    </w:p>
    <w:p w:rsidR="00915753" w:rsidRDefault="00915753" w:rsidP="00915753">
      <w:pPr>
        <w:pStyle w:val="Pleading2L3"/>
        <w:numPr>
          <w:ilvl w:val="0"/>
          <w:numId w:val="0"/>
        </w:numPr>
        <w:spacing w:line="360" w:lineRule="auto"/>
        <w:ind w:firstLine="1440"/>
        <w:contextualSpacing/>
      </w:pPr>
      <w:r>
        <w:t>PPLICA advocates rejection of the OSBA recommendation that averages the two Company CCOSS in order to establish a consistent method for determining which classes are paying rates above and below the system average return.  PPLICA Reply Brief at 10.  PPLICA also states that the OSBA proposed allocation of $1.211 million to Rate Schedules LP-5 and LP06 represents a 107% increase for them, which is unjust, unreasonable and excessive.  Proper ratemaking principles (gradualism) should be followed.  PPLICA Reply Brief at 10.</w:t>
      </w:r>
    </w:p>
    <w:p w:rsidR="00915753" w:rsidRDefault="00915753" w:rsidP="005D018D">
      <w:pPr>
        <w:pStyle w:val="Pleading2L3"/>
        <w:numPr>
          <w:ilvl w:val="0"/>
          <w:numId w:val="0"/>
        </w:numPr>
        <w:spacing w:line="360" w:lineRule="auto"/>
        <w:ind w:firstLine="1440"/>
        <w:contextualSpacing/>
      </w:pPr>
    </w:p>
    <w:p w:rsidR="00915753" w:rsidRDefault="00915753" w:rsidP="005D018D">
      <w:pPr>
        <w:pStyle w:val="Pleading2L3"/>
        <w:numPr>
          <w:ilvl w:val="0"/>
          <w:numId w:val="0"/>
        </w:numPr>
        <w:spacing w:line="360" w:lineRule="auto"/>
        <w:ind w:firstLine="1440"/>
        <w:contextualSpacing/>
      </w:pPr>
      <w:r>
        <w:t>The OCA states:</w:t>
      </w:r>
    </w:p>
    <w:p w:rsidR="00915753" w:rsidRDefault="00915753" w:rsidP="00C16894">
      <w:pPr>
        <w:pStyle w:val="Pleading2L3"/>
        <w:numPr>
          <w:ilvl w:val="0"/>
          <w:numId w:val="0"/>
        </w:numPr>
        <w:spacing w:line="240" w:lineRule="auto"/>
        <w:contextualSpacing/>
      </w:pPr>
    </w:p>
    <w:p w:rsidR="00915753" w:rsidRDefault="00915753" w:rsidP="00915753">
      <w:pPr>
        <w:pStyle w:val="Pleading2L3"/>
        <w:numPr>
          <w:ilvl w:val="0"/>
          <w:numId w:val="0"/>
        </w:numPr>
        <w:spacing w:line="240" w:lineRule="auto"/>
        <w:ind w:left="1440" w:right="1440" w:firstLine="720"/>
        <w:contextualSpacing/>
      </w:pPr>
      <w:r>
        <w:t xml:space="preserve">Under First Dollar Relief (“FDR”), OSBA proposes to treat the difference between the requested revenue increase ($114.7 million) and the Commission-approved increase ($77.5 Million if approved) as a source of funding to be used in part to </w:t>
      </w:r>
      <w:r>
        <w:rPr>
          <w:i/>
        </w:rPr>
        <w:t>reduce</w:t>
      </w:r>
      <w:r>
        <w:t xml:space="preserve"> rates for some customer classes below current levels, in order to to [sic] bring classes that are above the system average rate of return in the OSBA’s preferred cost of service study down to the system average in an expedited manner.  </w:t>
      </w:r>
      <w:r>
        <w:rPr>
          <w:u w:val="single"/>
        </w:rPr>
        <w:t>See</w:t>
      </w:r>
      <w:r>
        <w:t xml:space="preserve"> OSBA MB at 19.  The result </w:t>
      </w:r>
      <w:r>
        <w:lastRenderedPageBreak/>
        <w:t xml:space="preserve">of the OSBA’s proposal is that residential customers would pay </w:t>
      </w:r>
      <w:r>
        <w:rPr>
          <w:i/>
        </w:rPr>
        <w:t>more than 100%</w:t>
      </w:r>
      <w:r>
        <w:t xml:space="preserve"> of the Company’s total increase.  The OCA submits that such a result is unreasonable and should not be accepted by the Commission.</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 xml:space="preserve">OCA Reply Brief at 24.  </w:t>
      </w:r>
    </w:p>
    <w:p w:rsidR="00915753" w:rsidRPr="005C3270"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 xml:space="preserve">The Company responds to the OSBA proposal by pointing out that simple fairness would dictate that if the residential customers are to receive the entire or almost the entire increase, they should be the primary beneficiary of any scaleback.  PPL Electric Initial Brief at 39.  In addition, this FDR approach is unprecedented (the cases cited by OSBA in support of its approach, </w:t>
      </w:r>
      <w:r>
        <w:rPr>
          <w:i/>
        </w:rPr>
        <w:t>see</w:t>
      </w:r>
      <w:r>
        <w:t xml:space="preserve"> OSBA Main Brief at 19 were reduced increases, not decreases of existing rates).  OSBA proposes FDR to produce a rate decrease for a rate class, which is not supported by any existing case law.  </w:t>
      </w:r>
    </w:p>
    <w:p w:rsidR="00915753" w:rsidRDefault="00915753" w:rsidP="00915753">
      <w:pPr>
        <w:pStyle w:val="Pleading2L3"/>
        <w:numPr>
          <w:ilvl w:val="0"/>
          <w:numId w:val="0"/>
        </w:numPr>
        <w:spacing w:line="360" w:lineRule="auto"/>
        <w:ind w:firstLine="1440"/>
        <w:contextualSpacing/>
      </w:pPr>
    </w:p>
    <w:p w:rsidR="00915753" w:rsidRDefault="00915753" w:rsidP="00915753">
      <w:pPr>
        <w:pStyle w:val="Pleading2L3"/>
        <w:numPr>
          <w:ilvl w:val="0"/>
          <w:numId w:val="0"/>
        </w:numPr>
        <w:spacing w:line="360" w:lineRule="auto"/>
        <w:ind w:firstLine="1440"/>
        <w:contextualSpacing/>
      </w:pPr>
      <w:r>
        <w:t>The Company recommends two ways to apply the settlement amount, depending on which CCOSS is used:</w:t>
      </w:r>
    </w:p>
    <w:p w:rsidR="00915753" w:rsidRDefault="00915753" w:rsidP="00C16894">
      <w:pPr>
        <w:pStyle w:val="Pleading2L3"/>
        <w:numPr>
          <w:ilvl w:val="0"/>
          <w:numId w:val="0"/>
        </w:numPr>
        <w:spacing w:line="240" w:lineRule="auto"/>
        <w:contextualSpacing/>
      </w:pPr>
    </w:p>
    <w:p w:rsidR="00915753" w:rsidRDefault="00915753" w:rsidP="00C16894">
      <w:pPr>
        <w:pStyle w:val="BodyText2"/>
        <w:spacing w:after="0" w:line="240" w:lineRule="auto"/>
        <w:ind w:left="1440" w:right="1440" w:firstLine="720"/>
        <w:contextualSpacing/>
        <w:jc w:val="left"/>
      </w:pPr>
      <w:r>
        <w:t xml:space="preserve">If the ALJ and the Commission rely primarily on PPL Electric Ex. JMK-2A, PPL Electric’s preferred cost of service study, which classifies primary plant (except substations) as partly customer-related, then the ALJ and the Commission should simply reduce the rate increase allocated to residential customers from $114.675 million under originally proposed rates to $77.5 million.  As PPL Electric has explained, it is only fair that, if all of the increase is allocated to residential customers, as PPL Electric proposed, then residential customers should receive the entire benefit of the scale back.  PPL Electric Initial Brief, p. 42.  As shown on PPL Electric Ex. JMK-2A, pp. 8-11, under PPL Electric’s proposed allocation of the originally-proposed rate increase all rate classes will move substantially toward the system average rate of return.  As explained by Mr. Kasper, the same result will occur under the scaleback of the proposed rate increase.  PPL Electric, St. 8-RJ, pp. 9-10.  </w:t>
      </w:r>
    </w:p>
    <w:p w:rsidR="00915753" w:rsidRDefault="00915753" w:rsidP="00C16894">
      <w:pPr>
        <w:pStyle w:val="BodyText2"/>
        <w:spacing w:after="0" w:line="240" w:lineRule="auto"/>
        <w:ind w:left="1440" w:right="1440" w:firstLine="720"/>
        <w:contextualSpacing/>
        <w:jc w:val="left"/>
      </w:pPr>
      <w:r>
        <w:t xml:space="preserve">If, on the other hand, the ALJ and the Commission decide to rely on PPL Electric Ex. JMK-2B, which follows exactly the less accurate cost of service methodology used by PPL Electric in prior rate cases, then a somewhat different allocation would be reasonable.  The starting point of an appropriate scaleback based on PPL Electric Ex. JMK-2B would begin with the OSBA’s </w:t>
      </w:r>
      <w:r>
        <w:lastRenderedPageBreak/>
        <w:t xml:space="preserve">proposed allocation of the initial rate increase.  This allocation is shown in the table on page 38 of PPL Electric’s Initial Brief.  </w:t>
      </w:r>
      <w:r>
        <w:rPr>
          <w:i/>
        </w:rPr>
        <w:t>See also</w:t>
      </w:r>
      <w:r>
        <w:t xml:space="preserve"> OSBA St. 1, p. 27.  Then, the ALJ and the Commission should simply scale back OSBA’s proposed allocation by multiplying each amount by the scaleback fraction ($77.5 million ÷ $114.675 million).  The allocation to the RS and RTS rate classes would then have to be adjusted to reflect the Partial Settlement under which the increase to the RTS rate class is limited to 150% of the increase to the residential rate class with any shortfall reallocated to Rate Schedule RS.  </w:t>
      </w:r>
    </w:p>
    <w:p w:rsidR="00915753" w:rsidRDefault="00915753" w:rsidP="00C16894">
      <w:pPr>
        <w:pStyle w:val="BodyText2"/>
        <w:spacing w:after="0" w:line="240" w:lineRule="auto"/>
        <w:ind w:left="1440" w:right="1440" w:firstLine="720"/>
        <w:contextualSpacing/>
        <w:jc w:val="left"/>
      </w:pPr>
      <w:r>
        <w:t>Additionally, it should be noted that OSBA’s initial allocation of revenue requirement to LP-5 and LP-6 rate classes was $1.2 million.  The scaled back amount would be $811,000.  Even this amount, however, would produce a substantial percentage increase to Rate Schedule LP-5 and LP-6 customers, because their combined distribution revenues at present rates is only $1.57 million.  PPL Electric Ex. JMK-2B, p.8, line 8.  Therefore, an increase of $811,000 would mean a 51.66 percent increase.  The increase to the LP-5 and LP-6 rate classes should be moderated to approximately the percentage increase allocated to residential customers.  The resulting shortfall could be recovered instead from customers served under Rate Schedules LP-4 and ISP, because their combined distribution revenues at present rates are much greater, $36.251 million.  PPL Electric Ex. JMK-2B, p. 8, line 8.  This adjustment would not substantially increase the percentage increase to customers served under Rate</w:t>
      </w:r>
      <w:r w:rsidR="005D018D">
        <w:t xml:space="preserve"> Schedules LP</w:t>
      </w:r>
      <w:r w:rsidR="005D018D">
        <w:noBreakHyphen/>
      </w:r>
      <w:r>
        <w:t xml:space="preserve">4 and ISP.  </w:t>
      </w:r>
    </w:p>
    <w:p w:rsidR="00915753" w:rsidRDefault="00915753" w:rsidP="00C16894">
      <w:pPr>
        <w:pStyle w:val="BodyText2"/>
        <w:spacing w:after="0" w:line="240" w:lineRule="auto"/>
        <w:ind w:left="1440" w:right="1440" w:firstLine="720"/>
        <w:contextualSpacing/>
        <w:jc w:val="left"/>
      </w:pPr>
    </w:p>
    <w:p w:rsidR="00915753" w:rsidRPr="00446337" w:rsidRDefault="00915753" w:rsidP="005D018D">
      <w:pPr>
        <w:pStyle w:val="Pleading2L3"/>
        <w:numPr>
          <w:ilvl w:val="0"/>
          <w:numId w:val="0"/>
        </w:numPr>
        <w:spacing w:line="360" w:lineRule="auto"/>
        <w:ind w:left="1440" w:right="1440" w:hanging="1440"/>
        <w:contextualSpacing/>
      </w:pPr>
      <w:r>
        <w:t>PPL Electric Reply Brief at 16-18.</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 xml:space="preserve">The basic flaw in OSBA’s reasoning is that it assumes that the Company was entitled to the full amount it originally sought, and that, therefore, the amount of the reduction is available for application to existing rates.  This is incorrect.  Because the Commission has not approved the initial request, neither it nor the reduction amount has any value in determining the allocation of the approved revenue requirement. As OCA points out, “a reduced amount of a rate increase does not provide a source of “funding” as OSBA assumes.”  OCA Reply Brief at 25.  Rather, it is simply nonexistent.  Therefore, using it to </w:t>
      </w:r>
      <w:r>
        <w:rPr>
          <w:i/>
        </w:rPr>
        <w:t>reduce</w:t>
      </w:r>
      <w:r>
        <w:t xml:space="preserve"> existing rates for classes which were not slated to incur an increase, thus increasing the rates of those which were slated for increases, is inconsistent with traditional ratemaking principles.  The OSBA’s first dollar reduction proposal is rejected.  </w:t>
      </w:r>
    </w:p>
    <w:p w:rsidR="00915753" w:rsidRDefault="00915753" w:rsidP="00915753">
      <w:pPr>
        <w:pStyle w:val="Pleading2L3"/>
        <w:numPr>
          <w:ilvl w:val="0"/>
          <w:numId w:val="0"/>
        </w:numPr>
        <w:spacing w:line="360" w:lineRule="auto"/>
        <w:ind w:firstLine="1440"/>
        <w:contextualSpacing/>
      </w:pPr>
      <w:r>
        <w:lastRenderedPageBreak/>
        <w:t>The OCA also presents an alternative to the Company’s revenue allocation.  OCA witness Watkins states:</w:t>
      </w:r>
    </w:p>
    <w:p w:rsidR="00915753" w:rsidRDefault="00915753" w:rsidP="005D018D">
      <w:pPr>
        <w:pStyle w:val="Pleading2L3"/>
        <w:numPr>
          <w:ilvl w:val="0"/>
          <w:numId w:val="0"/>
        </w:numPr>
        <w:spacing w:line="240" w:lineRule="auto"/>
        <w:ind w:firstLine="1440"/>
        <w:contextualSpacing/>
      </w:pPr>
    </w:p>
    <w:p w:rsidR="00915753" w:rsidRDefault="00915753" w:rsidP="00C16894">
      <w:pPr>
        <w:pStyle w:val="Pleading2L3"/>
        <w:numPr>
          <w:ilvl w:val="0"/>
          <w:numId w:val="0"/>
        </w:numPr>
        <w:spacing w:line="240" w:lineRule="auto"/>
        <w:ind w:left="1440" w:right="1440" w:firstLine="720"/>
      </w:pPr>
      <w:r>
        <w:t>. . . I have developed a revenue allocation that relies on CCOSS results as a guide and is fair to all classes.  Specifically, I recommend no increase to the GS-1, LPEP, or Lighting Classes.  Given the magnitude (in percentage terms) of PPL’s proposed increase [sic].  Although these class’ rates are clearly substantially deficient and warrant a larger increase than 150% of the system average, in the interest of avoiding rate shock, I have limited (or capped this increase).   Although the GS-3 class has a relative ROR higher than the system average (111%), some increase in revenue responsibility is warranted given the absolute ROR of about 7.1%.  As such, I recommend this class’ revenue responsibility be increased at 80% of the system-wide percentage increase.  I recommend the remaining three classes (Residential, LP-4/ISP, and GH) be increased at equal percentages to satisfy the remaining revenue increase requirement.</w:t>
      </w:r>
    </w:p>
    <w:p w:rsidR="005D018D" w:rsidRDefault="005D018D" w:rsidP="00915753">
      <w:pPr>
        <w:pStyle w:val="Pleading2L3"/>
        <w:numPr>
          <w:ilvl w:val="0"/>
          <w:numId w:val="0"/>
        </w:numPr>
        <w:spacing w:line="240" w:lineRule="auto"/>
        <w:ind w:left="1440" w:right="1440" w:firstLine="1440"/>
      </w:pPr>
    </w:p>
    <w:p w:rsidR="00915753" w:rsidRDefault="00915753" w:rsidP="005D018D">
      <w:pPr>
        <w:pStyle w:val="Pleading2L3"/>
        <w:numPr>
          <w:ilvl w:val="0"/>
          <w:numId w:val="0"/>
        </w:numPr>
        <w:spacing w:line="240" w:lineRule="auto"/>
        <w:ind w:left="1440" w:right="1440" w:hanging="1440"/>
      </w:pPr>
      <w:r>
        <w:t>OCA St. 3 at 28; OCA Main Brief at 43.</w:t>
      </w:r>
    </w:p>
    <w:p w:rsidR="00915753" w:rsidRDefault="00915753" w:rsidP="005D018D">
      <w:pPr>
        <w:pStyle w:val="Pleading2L3"/>
        <w:numPr>
          <w:ilvl w:val="0"/>
          <w:numId w:val="0"/>
        </w:numPr>
        <w:spacing w:line="240" w:lineRule="auto"/>
        <w:ind w:firstLine="1440"/>
        <w:contextualSpacing/>
      </w:pPr>
    </w:p>
    <w:p w:rsidR="00915753" w:rsidRDefault="00915753" w:rsidP="00915753">
      <w:pPr>
        <w:pStyle w:val="Pleading2L3"/>
        <w:numPr>
          <w:ilvl w:val="0"/>
          <w:numId w:val="0"/>
        </w:numPr>
        <w:spacing w:line="240" w:lineRule="auto"/>
        <w:ind w:left="1440" w:right="1440" w:firstLine="720"/>
        <w:contextualSpacing/>
      </w:pPr>
      <w:r>
        <w:t>Under my recommended approach, the Residential, LP-4/ISP, and GH classes serve</w:t>
      </w:r>
      <w:r w:rsidR="001524AE">
        <w:t>d</w:t>
      </w:r>
      <w:r>
        <w:t xml:space="preserve"> as the “residual” to achieve the required revenue increase.  As indicated, these residual classes receive equal percentage increases of 21.68% which is 126% of the system-wide percentage increase of 17.14%.</w:t>
      </w:r>
    </w:p>
    <w:p w:rsidR="00915753" w:rsidRDefault="00915753" w:rsidP="00915753">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360" w:lineRule="auto"/>
        <w:ind w:left="1440" w:right="1440" w:hanging="1440"/>
        <w:contextualSpacing/>
      </w:pPr>
      <w:r>
        <w:t>OCA Main Brief at 44, citing OCA Stmt. 3 at 29.</w:t>
      </w:r>
    </w:p>
    <w:p w:rsidR="00915753" w:rsidRDefault="00915753" w:rsidP="00915753">
      <w:pPr>
        <w:pStyle w:val="Pleading2L3"/>
        <w:numPr>
          <w:ilvl w:val="0"/>
          <w:numId w:val="0"/>
        </w:numPr>
        <w:spacing w:line="360" w:lineRule="auto"/>
        <w:contextualSpacing/>
      </w:pPr>
    </w:p>
    <w:p w:rsidR="00915753" w:rsidRDefault="00915753" w:rsidP="00915753">
      <w:pPr>
        <w:pStyle w:val="Pleading2L3"/>
        <w:numPr>
          <w:ilvl w:val="0"/>
          <w:numId w:val="0"/>
        </w:numPr>
        <w:spacing w:line="360" w:lineRule="auto"/>
        <w:ind w:firstLine="1440"/>
        <w:contextualSpacing/>
      </w:pPr>
      <w:r>
        <w:t xml:space="preserve">This approach would move classes closer to the system average return based on its CCOSS, gradualism, and avoidance of rate shock, consistent with </w:t>
      </w:r>
      <w:r>
        <w:rPr>
          <w:i/>
        </w:rPr>
        <w:t>Lloyd</w:t>
      </w:r>
      <w:r>
        <w:t>.  OCA submits that the 2004 and 2007 cases were guided by the PPL CCOSS which is JMK-2B here, not the recommended JMK-2A.  As explained earlier, there is a material change between the two studies, and OCA argues that the prior methodology should be used in this case as well.  The OCA allocation is based on its own CCOSS, which it claims to be close to JMK-2B, which OCA claims is appropriate.  OCA Reply Brief at 21-22.</w:t>
      </w:r>
    </w:p>
    <w:p w:rsidR="00915753" w:rsidRDefault="00915753" w:rsidP="00915753">
      <w:pPr>
        <w:pStyle w:val="Pleading2L3"/>
        <w:numPr>
          <w:ilvl w:val="0"/>
          <w:numId w:val="0"/>
        </w:numPr>
        <w:spacing w:line="360" w:lineRule="auto"/>
        <w:ind w:firstLine="1440"/>
        <w:contextualSpacing/>
      </w:pPr>
    </w:p>
    <w:p w:rsidR="00915753" w:rsidRDefault="00915753" w:rsidP="00915753">
      <w:pPr>
        <w:pStyle w:val="Pleading2L3"/>
        <w:numPr>
          <w:ilvl w:val="0"/>
          <w:numId w:val="0"/>
        </w:numPr>
        <w:spacing w:line="360" w:lineRule="auto"/>
        <w:ind w:firstLine="1440"/>
        <w:contextualSpacing/>
      </w:pPr>
      <w:r>
        <w:lastRenderedPageBreak/>
        <w:t>The OCA recommendation is to proportionately scale back this allocation should the Commission approve the reduced revenue requirement in the Joint Petition for Settlement.  OCA Main Brief at 44.</w:t>
      </w:r>
    </w:p>
    <w:p w:rsidR="00915753" w:rsidRDefault="00915753" w:rsidP="00915753">
      <w:pPr>
        <w:pStyle w:val="Pleading2L3"/>
        <w:numPr>
          <w:ilvl w:val="0"/>
          <w:numId w:val="0"/>
        </w:numPr>
        <w:spacing w:line="360" w:lineRule="auto"/>
        <w:ind w:firstLine="1440"/>
        <w:contextualSpacing/>
      </w:pPr>
    </w:p>
    <w:p w:rsidR="00915753" w:rsidRPr="00CA000B" w:rsidRDefault="00915753" w:rsidP="00915753">
      <w:pPr>
        <w:pStyle w:val="Pleading2L3"/>
        <w:numPr>
          <w:ilvl w:val="0"/>
          <w:numId w:val="0"/>
        </w:numPr>
        <w:spacing w:line="360" w:lineRule="auto"/>
        <w:contextualSpacing/>
        <w:jc w:val="center"/>
        <w:rPr>
          <w:u w:val="single"/>
        </w:rPr>
      </w:pPr>
      <w:r w:rsidRPr="00CA000B">
        <w:rPr>
          <w:u w:val="single"/>
        </w:rPr>
        <w:t>OCA PROPOSED ALLOCATION OF SETTLEMENT AMOUNT ($77.5 Million)</w:t>
      </w:r>
    </w:p>
    <w:p w:rsidR="00915753" w:rsidRDefault="00915753" w:rsidP="00915753">
      <w:pPr>
        <w:pStyle w:val="Pleading2L3"/>
        <w:numPr>
          <w:ilvl w:val="0"/>
          <w:numId w:val="0"/>
        </w:numPr>
        <w:spacing w:line="240" w:lineRule="auto"/>
        <w:contextualSpacing/>
        <w:jc w:val="center"/>
      </w:pPr>
    </w:p>
    <w:tbl>
      <w:tblPr>
        <w:tblW w:w="0" w:type="auto"/>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343"/>
        <w:gridCol w:w="2080"/>
        <w:gridCol w:w="2338"/>
        <w:gridCol w:w="1908"/>
      </w:tblGrid>
      <w:tr w:rsidR="00915753" w:rsidRPr="00047C95" w:rsidTr="008228F6">
        <w:tc>
          <w:tcPr>
            <w:tcW w:w="2343" w:type="dxa"/>
          </w:tcPr>
          <w:p w:rsidR="00915753" w:rsidRDefault="00915753" w:rsidP="007C2B54">
            <w:pPr>
              <w:pStyle w:val="BodyText"/>
              <w:spacing w:after="0" w:line="276" w:lineRule="auto"/>
              <w:rPr>
                <w:b/>
              </w:rPr>
            </w:pPr>
          </w:p>
          <w:p w:rsidR="00915753" w:rsidRPr="00047C95" w:rsidRDefault="00915753" w:rsidP="007C2B54">
            <w:pPr>
              <w:pStyle w:val="BodyText"/>
              <w:spacing w:after="0" w:line="276" w:lineRule="auto"/>
              <w:rPr>
                <w:b/>
              </w:rPr>
            </w:pPr>
            <w:r w:rsidRPr="00047C95">
              <w:rPr>
                <w:b/>
              </w:rPr>
              <w:t>Rate Classes</w:t>
            </w:r>
          </w:p>
        </w:tc>
        <w:tc>
          <w:tcPr>
            <w:tcW w:w="2080" w:type="dxa"/>
          </w:tcPr>
          <w:p w:rsidR="00915753" w:rsidRPr="00CA000B" w:rsidRDefault="00915753" w:rsidP="007C2B54">
            <w:pPr>
              <w:pStyle w:val="BodyText"/>
              <w:spacing w:after="0" w:line="276" w:lineRule="auto"/>
              <w:rPr>
                <w:b/>
              </w:rPr>
            </w:pPr>
            <w:r w:rsidRPr="00CA000B">
              <w:rPr>
                <w:b/>
              </w:rPr>
              <w:t>Percent of System Average Increase</w:t>
            </w:r>
          </w:p>
        </w:tc>
        <w:tc>
          <w:tcPr>
            <w:tcW w:w="2338" w:type="dxa"/>
          </w:tcPr>
          <w:p w:rsidR="00915753" w:rsidRDefault="00915753" w:rsidP="007C2B54">
            <w:pPr>
              <w:pStyle w:val="BodyText"/>
              <w:spacing w:after="0" w:line="276" w:lineRule="auto"/>
              <w:rPr>
                <w:b/>
              </w:rPr>
            </w:pPr>
          </w:p>
          <w:p w:rsidR="00915753" w:rsidRPr="00047C95" w:rsidRDefault="00915753" w:rsidP="007C2B54">
            <w:pPr>
              <w:pStyle w:val="BodyText"/>
              <w:spacing w:after="0" w:line="276" w:lineRule="auto"/>
              <w:rPr>
                <w:b/>
              </w:rPr>
            </w:pPr>
            <w:r>
              <w:rPr>
                <w:b/>
              </w:rPr>
              <w:t>Dollar Increase</w:t>
            </w:r>
          </w:p>
        </w:tc>
        <w:tc>
          <w:tcPr>
            <w:tcW w:w="1908" w:type="dxa"/>
          </w:tcPr>
          <w:p w:rsidR="00915753" w:rsidRPr="00CA000B" w:rsidRDefault="00915753" w:rsidP="007C2B54">
            <w:pPr>
              <w:pStyle w:val="BodyText"/>
              <w:spacing w:after="0" w:line="276" w:lineRule="auto"/>
              <w:rPr>
                <w:b/>
                <w:highlight w:val="yellow"/>
              </w:rPr>
            </w:pPr>
            <w:r w:rsidRPr="00BD50C2">
              <w:rPr>
                <w:b/>
              </w:rPr>
              <w:t>P</w:t>
            </w:r>
            <w:r>
              <w:rPr>
                <w:b/>
              </w:rPr>
              <w:t>ercent Increase</w:t>
            </w:r>
          </w:p>
        </w:tc>
      </w:tr>
      <w:tr w:rsidR="00915753" w:rsidTr="008228F6">
        <w:tc>
          <w:tcPr>
            <w:tcW w:w="2343" w:type="dxa"/>
          </w:tcPr>
          <w:p w:rsidR="00915753" w:rsidRDefault="00915753" w:rsidP="007C2B54">
            <w:pPr>
              <w:pStyle w:val="BodyText"/>
              <w:spacing w:after="0" w:line="276" w:lineRule="auto"/>
              <w:ind w:firstLine="8"/>
              <w:jc w:val="left"/>
            </w:pPr>
            <w:r>
              <w:t>Residential</w:t>
            </w:r>
          </w:p>
        </w:tc>
        <w:tc>
          <w:tcPr>
            <w:tcW w:w="2080" w:type="dxa"/>
          </w:tcPr>
          <w:p w:rsidR="00915753" w:rsidRDefault="00915753" w:rsidP="007C2B54">
            <w:pPr>
              <w:pStyle w:val="BodyText"/>
              <w:tabs>
                <w:tab w:val="decimal" w:pos="895"/>
                <w:tab w:val="decimal" w:pos="3600"/>
              </w:tabs>
              <w:spacing w:after="0" w:line="276" w:lineRule="auto"/>
              <w:ind w:left="97"/>
              <w:jc w:val="left"/>
            </w:pPr>
            <w:r>
              <w:t>Residual</w:t>
            </w:r>
          </w:p>
        </w:tc>
        <w:tc>
          <w:tcPr>
            <w:tcW w:w="2338" w:type="dxa"/>
          </w:tcPr>
          <w:p w:rsidR="00915753" w:rsidRDefault="00915753" w:rsidP="007C2B54">
            <w:pPr>
              <w:pStyle w:val="BodyText"/>
              <w:tabs>
                <w:tab w:val="decimal" w:pos="895"/>
                <w:tab w:val="decimal" w:pos="3600"/>
              </w:tabs>
              <w:spacing w:after="0" w:line="276" w:lineRule="auto"/>
              <w:ind w:left="97"/>
              <w:jc w:val="left"/>
            </w:pPr>
            <w:r>
              <w:t>$60,689</w:t>
            </w:r>
          </w:p>
        </w:tc>
        <w:tc>
          <w:tcPr>
            <w:tcW w:w="1908" w:type="dxa"/>
          </w:tcPr>
          <w:p w:rsidR="00915753" w:rsidRDefault="00915753" w:rsidP="007C2B54">
            <w:pPr>
              <w:pStyle w:val="BodyText"/>
              <w:tabs>
                <w:tab w:val="decimal" w:pos="895"/>
                <w:tab w:val="decimal" w:pos="3600"/>
              </w:tabs>
              <w:spacing w:after="0" w:line="276" w:lineRule="auto"/>
              <w:ind w:left="97"/>
              <w:jc w:val="left"/>
            </w:pPr>
            <w:r>
              <w:t>14.65%</w:t>
            </w:r>
          </w:p>
        </w:tc>
      </w:tr>
      <w:tr w:rsidR="00915753" w:rsidTr="008228F6">
        <w:tc>
          <w:tcPr>
            <w:tcW w:w="2343" w:type="dxa"/>
          </w:tcPr>
          <w:p w:rsidR="00915753" w:rsidRDefault="00915753" w:rsidP="007C2B54">
            <w:pPr>
              <w:pStyle w:val="BodyText"/>
              <w:spacing w:after="0" w:line="276" w:lineRule="auto"/>
              <w:jc w:val="left"/>
            </w:pPr>
            <w:r>
              <w:t>GS-1</w:t>
            </w:r>
          </w:p>
        </w:tc>
        <w:tc>
          <w:tcPr>
            <w:tcW w:w="2080" w:type="dxa"/>
          </w:tcPr>
          <w:p w:rsidR="00915753" w:rsidRDefault="00915753" w:rsidP="007C2B54">
            <w:pPr>
              <w:pStyle w:val="BodyText"/>
              <w:tabs>
                <w:tab w:val="decimal" w:pos="895"/>
                <w:tab w:val="decimal" w:pos="3600"/>
              </w:tabs>
              <w:spacing w:after="0" w:line="276" w:lineRule="auto"/>
              <w:ind w:left="97"/>
              <w:jc w:val="left"/>
            </w:pPr>
            <w:r>
              <w:t>0%</w:t>
            </w:r>
          </w:p>
        </w:tc>
        <w:tc>
          <w:tcPr>
            <w:tcW w:w="2338" w:type="dxa"/>
          </w:tcPr>
          <w:p w:rsidR="00915753" w:rsidRDefault="00915753" w:rsidP="007C2B54">
            <w:pPr>
              <w:pStyle w:val="BodyText"/>
              <w:tabs>
                <w:tab w:val="decimal" w:pos="895"/>
                <w:tab w:val="decimal" w:pos="3600"/>
              </w:tabs>
              <w:spacing w:after="0" w:line="276" w:lineRule="auto"/>
              <w:ind w:left="97"/>
              <w:jc w:val="left"/>
            </w:pPr>
            <w:r>
              <w:t>$0</w:t>
            </w:r>
          </w:p>
        </w:tc>
        <w:tc>
          <w:tcPr>
            <w:tcW w:w="1908" w:type="dxa"/>
          </w:tcPr>
          <w:p w:rsidR="00915753" w:rsidRDefault="00915753" w:rsidP="007C2B54">
            <w:pPr>
              <w:pStyle w:val="BodyText"/>
              <w:tabs>
                <w:tab w:val="decimal" w:pos="895"/>
                <w:tab w:val="decimal" w:pos="3600"/>
              </w:tabs>
              <w:spacing w:after="0" w:line="276" w:lineRule="auto"/>
              <w:ind w:left="97"/>
              <w:jc w:val="left"/>
            </w:pPr>
            <w:r>
              <w:t>0.00%</w:t>
            </w:r>
          </w:p>
        </w:tc>
      </w:tr>
      <w:tr w:rsidR="00915753" w:rsidTr="008228F6">
        <w:tc>
          <w:tcPr>
            <w:tcW w:w="2343" w:type="dxa"/>
          </w:tcPr>
          <w:p w:rsidR="00915753" w:rsidRDefault="00915753" w:rsidP="007C2B54">
            <w:pPr>
              <w:pStyle w:val="BodyText"/>
              <w:spacing w:after="0" w:line="276" w:lineRule="auto"/>
              <w:jc w:val="left"/>
            </w:pPr>
            <w:r>
              <w:t>GS-3</w:t>
            </w:r>
          </w:p>
        </w:tc>
        <w:tc>
          <w:tcPr>
            <w:tcW w:w="2080" w:type="dxa"/>
          </w:tcPr>
          <w:p w:rsidR="00915753" w:rsidRDefault="00915753" w:rsidP="007C2B54">
            <w:pPr>
              <w:pStyle w:val="BodyText"/>
              <w:tabs>
                <w:tab w:val="decimal" w:pos="895"/>
                <w:tab w:val="decimal" w:pos="3600"/>
              </w:tabs>
              <w:spacing w:after="0" w:line="276" w:lineRule="auto"/>
              <w:ind w:left="97"/>
              <w:jc w:val="left"/>
            </w:pPr>
            <w:r>
              <w:t>80%</w:t>
            </w:r>
          </w:p>
        </w:tc>
        <w:tc>
          <w:tcPr>
            <w:tcW w:w="2338" w:type="dxa"/>
          </w:tcPr>
          <w:p w:rsidR="00915753" w:rsidRDefault="00915753" w:rsidP="007C2B54">
            <w:pPr>
              <w:pStyle w:val="BodyText"/>
              <w:tabs>
                <w:tab w:val="decimal" w:pos="895"/>
                <w:tab w:val="decimal" w:pos="3600"/>
              </w:tabs>
              <w:spacing w:after="0" w:line="276" w:lineRule="auto"/>
              <w:ind w:left="97"/>
              <w:jc w:val="left"/>
            </w:pPr>
            <w:r>
              <w:t>$10,925</w:t>
            </w:r>
          </w:p>
        </w:tc>
        <w:tc>
          <w:tcPr>
            <w:tcW w:w="1908" w:type="dxa"/>
          </w:tcPr>
          <w:p w:rsidR="00915753" w:rsidRDefault="00915753" w:rsidP="007C2B54">
            <w:pPr>
              <w:pStyle w:val="BodyText"/>
              <w:tabs>
                <w:tab w:val="decimal" w:pos="895"/>
                <w:tab w:val="decimal" w:pos="3600"/>
              </w:tabs>
              <w:spacing w:after="0" w:line="276" w:lineRule="auto"/>
              <w:ind w:left="97"/>
              <w:jc w:val="left"/>
            </w:pPr>
            <w:r>
              <w:t>9.27%</w:t>
            </w:r>
          </w:p>
        </w:tc>
      </w:tr>
      <w:tr w:rsidR="00915753" w:rsidTr="008228F6">
        <w:tc>
          <w:tcPr>
            <w:tcW w:w="2343" w:type="dxa"/>
          </w:tcPr>
          <w:p w:rsidR="00915753" w:rsidRDefault="00915753" w:rsidP="007C2B54">
            <w:pPr>
              <w:pStyle w:val="BodyText"/>
              <w:spacing w:after="0" w:line="276" w:lineRule="auto"/>
              <w:jc w:val="left"/>
            </w:pPr>
            <w:r>
              <w:t>LP-4/ISP</w:t>
            </w:r>
          </w:p>
        </w:tc>
        <w:tc>
          <w:tcPr>
            <w:tcW w:w="2080" w:type="dxa"/>
          </w:tcPr>
          <w:p w:rsidR="00915753" w:rsidRDefault="00915753" w:rsidP="007C2B54">
            <w:pPr>
              <w:pStyle w:val="BodyText"/>
              <w:tabs>
                <w:tab w:val="decimal" w:pos="895"/>
                <w:tab w:val="decimal" w:pos="3600"/>
              </w:tabs>
              <w:spacing w:after="0" w:line="276" w:lineRule="auto"/>
              <w:ind w:left="97"/>
              <w:jc w:val="left"/>
            </w:pPr>
            <w:r>
              <w:t>Residual</w:t>
            </w:r>
          </w:p>
        </w:tc>
        <w:tc>
          <w:tcPr>
            <w:tcW w:w="2338" w:type="dxa"/>
          </w:tcPr>
          <w:p w:rsidR="00915753" w:rsidRDefault="00915753" w:rsidP="007C2B54">
            <w:pPr>
              <w:pStyle w:val="BodyText"/>
              <w:tabs>
                <w:tab w:val="decimal" w:pos="895"/>
                <w:tab w:val="decimal" w:pos="3600"/>
              </w:tabs>
              <w:spacing w:after="0" w:line="276" w:lineRule="auto"/>
              <w:ind w:left="97"/>
              <w:jc w:val="left"/>
            </w:pPr>
            <w:r>
              <w:t>$4,755</w:t>
            </w:r>
          </w:p>
        </w:tc>
        <w:tc>
          <w:tcPr>
            <w:tcW w:w="1908" w:type="dxa"/>
          </w:tcPr>
          <w:p w:rsidR="00915753" w:rsidRDefault="00915753" w:rsidP="007C2B54">
            <w:pPr>
              <w:pStyle w:val="BodyText"/>
              <w:tabs>
                <w:tab w:val="decimal" w:pos="895"/>
                <w:tab w:val="decimal" w:pos="3600"/>
              </w:tabs>
              <w:spacing w:after="0" w:line="276" w:lineRule="auto"/>
              <w:ind w:left="97"/>
              <w:jc w:val="left"/>
            </w:pPr>
            <w:r>
              <w:t>14.65%</w:t>
            </w:r>
          </w:p>
        </w:tc>
      </w:tr>
      <w:tr w:rsidR="00915753" w:rsidTr="008228F6">
        <w:tc>
          <w:tcPr>
            <w:tcW w:w="2343" w:type="dxa"/>
          </w:tcPr>
          <w:p w:rsidR="00915753" w:rsidRDefault="00915753" w:rsidP="007C2B54">
            <w:pPr>
              <w:pStyle w:val="BodyText"/>
              <w:spacing w:after="0" w:line="276" w:lineRule="auto"/>
              <w:jc w:val="left"/>
            </w:pPr>
            <w:r>
              <w:t>LP-5/LP-6</w:t>
            </w:r>
          </w:p>
        </w:tc>
        <w:tc>
          <w:tcPr>
            <w:tcW w:w="2080" w:type="dxa"/>
          </w:tcPr>
          <w:p w:rsidR="00915753" w:rsidRDefault="00915753" w:rsidP="007C2B54">
            <w:pPr>
              <w:pStyle w:val="BodyText"/>
              <w:tabs>
                <w:tab w:val="decimal" w:pos="895"/>
                <w:tab w:val="decimal" w:pos="3600"/>
              </w:tabs>
              <w:spacing w:after="0" w:line="276" w:lineRule="auto"/>
              <w:ind w:left="97"/>
              <w:jc w:val="left"/>
            </w:pPr>
            <w:r>
              <w:t>150%</w:t>
            </w:r>
          </w:p>
        </w:tc>
        <w:tc>
          <w:tcPr>
            <w:tcW w:w="2338" w:type="dxa"/>
          </w:tcPr>
          <w:p w:rsidR="00915753" w:rsidRDefault="00915753" w:rsidP="007C2B54">
            <w:pPr>
              <w:pStyle w:val="BodyText"/>
              <w:tabs>
                <w:tab w:val="decimal" w:pos="895"/>
                <w:tab w:val="decimal" w:pos="3600"/>
              </w:tabs>
              <w:spacing w:after="0" w:line="276" w:lineRule="auto"/>
              <w:ind w:left="97"/>
              <w:jc w:val="left"/>
            </w:pPr>
            <w:r>
              <w:t>$196</w:t>
            </w:r>
          </w:p>
        </w:tc>
        <w:tc>
          <w:tcPr>
            <w:tcW w:w="1908" w:type="dxa"/>
          </w:tcPr>
          <w:p w:rsidR="00915753" w:rsidRDefault="00915753" w:rsidP="007C2B54">
            <w:pPr>
              <w:pStyle w:val="BodyText"/>
              <w:tabs>
                <w:tab w:val="decimal" w:pos="895"/>
                <w:tab w:val="decimal" w:pos="3600"/>
              </w:tabs>
              <w:spacing w:after="0" w:line="276" w:lineRule="auto"/>
              <w:ind w:left="97"/>
              <w:jc w:val="left"/>
            </w:pPr>
            <w:r>
              <w:t>17.37%</w:t>
            </w:r>
          </w:p>
        </w:tc>
      </w:tr>
      <w:tr w:rsidR="00915753" w:rsidTr="008228F6">
        <w:tc>
          <w:tcPr>
            <w:tcW w:w="2343" w:type="dxa"/>
          </w:tcPr>
          <w:p w:rsidR="00915753" w:rsidRDefault="00915753" w:rsidP="007C2B54">
            <w:pPr>
              <w:pStyle w:val="BodyText"/>
              <w:spacing w:after="0" w:line="276" w:lineRule="auto"/>
              <w:jc w:val="left"/>
            </w:pPr>
            <w:r>
              <w:t>LPEP</w:t>
            </w:r>
          </w:p>
        </w:tc>
        <w:tc>
          <w:tcPr>
            <w:tcW w:w="2080" w:type="dxa"/>
          </w:tcPr>
          <w:p w:rsidR="00915753" w:rsidRDefault="00915753" w:rsidP="007C2B54">
            <w:pPr>
              <w:pStyle w:val="BodyText"/>
              <w:tabs>
                <w:tab w:val="decimal" w:pos="895"/>
                <w:tab w:val="decimal" w:pos="3600"/>
              </w:tabs>
              <w:spacing w:after="0" w:line="276" w:lineRule="auto"/>
              <w:ind w:left="97"/>
              <w:jc w:val="left"/>
            </w:pPr>
            <w:r>
              <w:t>0%</w:t>
            </w:r>
          </w:p>
        </w:tc>
        <w:tc>
          <w:tcPr>
            <w:tcW w:w="2338" w:type="dxa"/>
          </w:tcPr>
          <w:p w:rsidR="00915753" w:rsidRDefault="00915753" w:rsidP="007C2B54">
            <w:pPr>
              <w:pStyle w:val="BodyText"/>
              <w:tabs>
                <w:tab w:val="decimal" w:pos="895"/>
                <w:tab w:val="decimal" w:pos="3600"/>
              </w:tabs>
              <w:spacing w:after="0" w:line="276" w:lineRule="auto"/>
              <w:ind w:left="97"/>
              <w:jc w:val="left"/>
            </w:pPr>
            <w:r>
              <w:t>$0</w:t>
            </w:r>
          </w:p>
        </w:tc>
        <w:tc>
          <w:tcPr>
            <w:tcW w:w="1908" w:type="dxa"/>
          </w:tcPr>
          <w:p w:rsidR="00915753" w:rsidRDefault="00915753" w:rsidP="007C2B54">
            <w:pPr>
              <w:pStyle w:val="BodyText"/>
              <w:tabs>
                <w:tab w:val="decimal" w:pos="895"/>
                <w:tab w:val="decimal" w:pos="3600"/>
              </w:tabs>
              <w:spacing w:after="0" w:line="276" w:lineRule="auto"/>
              <w:ind w:left="97"/>
              <w:jc w:val="left"/>
            </w:pPr>
            <w:r>
              <w:t>0.00%</w:t>
            </w:r>
          </w:p>
        </w:tc>
      </w:tr>
      <w:tr w:rsidR="00915753" w:rsidTr="008228F6">
        <w:tc>
          <w:tcPr>
            <w:tcW w:w="2343" w:type="dxa"/>
          </w:tcPr>
          <w:p w:rsidR="00915753" w:rsidRDefault="00915753" w:rsidP="007C2B54">
            <w:pPr>
              <w:pStyle w:val="BodyText"/>
              <w:spacing w:after="0" w:line="276" w:lineRule="auto"/>
              <w:jc w:val="left"/>
            </w:pPr>
            <w:r>
              <w:t>GH</w:t>
            </w:r>
          </w:p>
        </w:tc>
        <w:tc>
          <w:tcPr>
            <w:tcW w:w="2080" w:type="dxa"/>
          </w:tcPr>
          <w:p w:rsidR="00915753" w:rsidRDefault="00915753" w:rsidP="007C2B54">
            <w:pPr>
              <w:pStyle w:val="BodyText"/>
              <w:tabs>
                <w:tab w:val="decimal" w:pos="895"/>
                <w:tab w:val="decimal" w:pos="3600"/>
              </w:tabs>
              <w:spacing w:after="0" w:line="276" w:lineRule="auto"/>
              <w:ind w:left="97"/>
              <w:jc w:val="left"/>
            </w:pPr>
            <w:r>
              <w:t>Residual</w:t>
            </w:r>
          </w:p>
        </w:tc>
        <w:tc>
          <w:tcPr>
            <w:tcW w:w="2338" w:type="dxa"/>
          </w:tcPr>
          <w:p w:rsidR="00915753" w:rsidRDefault="00915753" w:rsidP="007C2B54">
            <w:pPr>
              <w:pStyle w:val="BodyText"/>
              <w:tabs>
                <w:tab w:val="decimal" w:pos="895"/>
                <w:tab w:val="decimal" w:pos="3600"/>
              </w:tabs>
              <w:spacing w:after="0" w:line="276" w:lineRule="auto"/>
              <w:ind w:left="97"/>
              <w:jc w:val="left"/>
            </w:pPr>
            <w:r>
              <w:t>$934</w:t>
            </w:r>
          </w:p>
        </w:tc>
        <w:tc>
          <w:tcPr>
            <w:tcW w:w="1908" w:type="dxa"/>
          </w:tcPr>
          <w:p w:rsidR="00915753" w:rsidRDefault="00915753" w:rsidP="007C2B54">
            <w:pPr>
              <w:pStyle w:val="BodyText"/>
              <w:tabs>
                <w:tab w:val="decimal" w:pos="895"/>
                <w:tab w:val="decimal" w:pos="3600"/>
              </w:tabs>
              <w:spacing w:after="0" w:line="276" w:lineRule="auto"/>
              <w:ind w:left="97"/>
              <w:jc w:val="left"/>
            </w:pPr>
            <w:r>
              <w:t>14.65%</w:t>
            </w:r>
          </w:p>
        </w:tc>
      </w:tr>
      <w:tr w:rsidR="00915753" w:rsidTr="008228F6">
        <w:tc>
          <w:tcPr>
            <w:tcW w:w="2343" w:type="dxa"/>
          </w:tcPr>
          <w:p w:rsidR="00915753" w:rsidRDefault="00915753" w:rsidP="007C2B54">
            <w:pPr>
              <w:pStyle w:val="BodyText"/>
              <w:spacing w:after="0" w:line="276" w:lineRule="auto"/>
              <w:jc w:val="left"/>
            </w:pPr>
            <w:r>
              <w:t>Lighting</w:t>
            </w:r>
          </w:p>
        </w:tc>
        <w:tc>
          <w:tcPr>
            <w:tcW w:w="2080" w:type="dxa"/>
          </w:tcPr>
          <w:p w:rsidR="00915753" w:rsidRDefault="00915753" w:rsidP="007C2B54">
            <w:pPr>
              <w:pStyle w:val="BodyText"/>
              <w:tabs>
                <w:tab w:val="decimal" w:pos="895"/>
                <w:tab w:val="decimal" w:pos="3600"/>
              </w:tabs>
              <w:spacing w:after="0" w:line="276" w:lineRule="auto"/>
              <w:ind w:left="97"/>
              <w:jc w:val="left"/>
            </w:pPr>
            <w:r>
              <w:t>0%</w:t>
            </w:r>
          </w:p>
        </w:tc>
        <w:tc>
          <w:tcPr>
            <w:tcW w:w="2338" w:type="dxa"/>
          </w:tcPr>
          <w:p w:rsidR="00915753" w:rsidRDefault="00915753" w:rsidP="007C2B54">
            <w:pPr>
              <w:pStyle w:val="BodyText"/>
              <w:tabs>
                <w:tab w:val="decimal" w:pos="895"/>
                <w:tab w:val="decimal" w:pos="3600"/>
              </w:tabs>
              <w:spacing w:after="0" w:line="276" w:lineRule="auto"/>
              <w:ind w:left="97"/>
              <w:jc w:val="left"/>
            </w:pPr>
            <w:r>
              <w:t>$0</w:t>
            </w:r>
          </w:p>
        </w:tc>
        <w:tc>
          <w:tcPr>
            <w:tcW w:w="1908" w:type="dxa"/>
          </w:tcPr>
          <w:p w:rsidR="00915753" w:rsidRDefault="00915753" w:rsidP="007C2B54">
            <w:pPr>
              <w:pStyle w:val="BodyText"/>
              <w:tabs>
                <w:tab w:val="decimal" w:pos="895"/>
                <w:tab w:val="decimal" w:pos="3600"/>
              </w:tabs>
              <w:spacing w:after="0" w:line="276" w:lineRule="auto"/>
              <w:ind w:left="97"/>
              <w:jc w:val="left"/>
            </w:pPr>
            <w:r>
              <w:t>0.00%</w:t>
            </w:r>
          </w:p>
        </w:tc>
      </w:tr>
      <w:tr w:rsidR="00915753" w:rsidTr="008228F6">
        <w:tc>
          <w:tcPr>
            <w:tcW w:w="2343" w:type="dxa"/>
          </w:tcPr>
          <w:p w:rsidR="00915753" w:rsidRPr="00F546A1" w:rsidRDefault="00915753" w:rsidP="007C2B54">
            <w:pPr>
              <w:pStyle w:val="BodyText"/>
              <w:spacing w:after="0" w:line="276" w:lineRule="auto"/>
              <w:jc w:val="left"/>
              <w:rPr>
                <w:b/>
              </w:rPr>
            </w:pPr>
            <w:r>
              <w:rPr>
                <w:b/>
              </w:rPr>
              <w:t>SYSTEM TOTAL</w:t>
            </w:r>
          </w:p>
        </w:tc>
        <w:tc>
          <w:tcPr>
            <w:tcW w:w="2080" w:type="dxa"/>
          </w:tcPr>
          <w:p w:rsidR="00915753" w:rsidRDefault="00915753" w:rsidP="007C2B54">
            <w:pPr>
              <w:pStyle w:val="BodyText"/>
              <w:tabs>
                <w:tab w:val="decimal" w:pos="895"/>
                <w:tab w:val="decimal" w:pos="3600"/>
              </w:tabs>
              <w:spacing w:after="0" w:line="276" w:lineRule="auto"/>
              <w:ind w:left="97"/>
              <w:jc w:val="left"/>
            </w:pPr>
          </w:p>
        </w:tc>
        <w:tc>
          <w:tcPr>
            <w:tcW w:w="2338" w:type="dxa"/>
          </w:tcPr>
          <w:p w:rsidR="00915753" w:rsidRPr="00F546A1" w:rsidRDefault="00915753" w:rsidP="007C2B54">
            <w:pPr>
              <w:pStyle w:val="BodyText"/>
              <w:tabs>
                <w:tab w:val="decimal" w:pos="895"/>
                <w:tab w:val="decimal" w:pos="3600"/>
              </w:tabs>
              <w:spacing w:after="0" w:line="276" w:lineRule="auto"/>
              <w:ind w:left="97"/>
              <w:jc w:val="left"/>
              <w:rPr>
                <w:b/>
              </w:rPr>
            </w:pPr>
            <w:r w:rsidRPr="00F546A1">
              <w:rPr>
                <w:b/>
              </w:rPr>
              <w:t>$77,500</w:t>
            </w:r>
          </w:p>
        </w:tc>
        <w:tc>
          <w:tcPr>
            <w:tcW w:w="1908" w:type="dxa"/>
          </w:tcPr>
          <w:p w:rsidR="00915753" w:rsidRPr="00F546A1" w:rsidRDefault="00915753" w:rsidP="007C2B54">
            <w:pPr>
              <w:pStyle w:val="BodyText"/>
              <w:tabs>
                <w:tab w:val="decimal" w:pos="895"/>
                <w:tab w:val="decimal" w:pos="3600"/>
              </w:tabs>
              <w:spacing w:after="0" w:line="276" w:lineRule="auto"/>
              <w:ind w:left="97"/>
              <w:jc w:val="left"/>
              <w:rPr>
                <w:b/>
              </w:rPr>
            </w:pPr>
            <w:r w:rsidRPr="00F546A1">
              <w:rPr>
                <w:b/>
              </w:rPr>
              <w:t>11.58%</w:t>
            </w:r>
          </w:p>
        </w:tc>
      </w:tr>
    </w:tbl>
    <w:p w:rsidR="00915753" w:rsidRDefault="00915753" w:rsidP="00915753">
      <w:pPr>
        <w:pStyle w:val="Pleading2L3"/>
        <w:numPr>
          <w:ilvl w:val="0"/>
          <w:numId w:val="0"/>
        </w:numPr>
        <w:spacing w:line="360" w:lineRule="auto"/>
        <w:contextualSpacing/>
        <w:jc w:val="center"/>
      </w:pPr>
    </w:p>
    <w:p w:rsidR="00915753" w:rsidRDefault="00915753" w:rsidP="00915753">
      <w:pPr>
        <w:pStyle w:val="Pleading2L3"/>
        <w:numPr>
          <w:ilvl w:val="0"/>
          <w:numId w:val="0"/>
        </w:numPr>
        <w:spacing w:line="360" w:lineRule="auto"/>
        <w:contextualSpacing/>
      </w:pPr>
      <w:r>
        <w:tab/>
      </w:r>
      <w:r>
        <w:tab/>
        <w:t>The Company points out that the OCA allocation is strongly influenced by its own CCOSS, both of which are opposed by the other parties and are not recommended for adoption here.</w:t>
      </w:r>
      <w:r w:rsidRPr="00D55A78">
        <w:rPr>
          <w:rStyle w:val="FootnoteReference"/>
          <w:vertAlign w:val="superscript"/>
        </w:rPr>
        <w:footnoteReference w:id="16"/>
      </w:r>
      <w:r w:rsidRPr="00D55A78">
        <w:rPr>
          <w:vertAlign w:val="superscript"/>
        </w:rPr>
        <w:t xml:space="preserve">  </w:t>
      </w:r>
    </w:p>
    <w:p w:rsidR="00D55A78" w:rsidRDefault="00D55A78" w:rsidP="00D55A78">
      <w:pPr>
        <w:pStyle w:val="Pleading2L3"/>
        <w:numPr>
          <w:ilvl w:val="0"/>
          <w:numId w:val="0"/>
        </w:numPr>
        <w:spacing w:line="240" w:lineRule="auto"/>
        <w:ind w:left="1440" w:right="1440"/>
        <w:contextualSpacing/>
      </w:pPr>
    </w:p>
    <w:p w:rsidR="00915753" w:rsidRDefault="00915753" w:rsidP="00915753">
      <w:pPr>
        <w:pStyle w:val="Pleading2L3"/>
        <w:numPr>
          <w:ilvl w:val="0"/>
          <w:numId w:val="0"/>
        </w:numPr>
        <w:spacing w:line="240" w:lineRule="auto"/>
        <w:ind w:left="1440" w:right="1440"/>
        <w:contextualSpacing/>
      </w:pPr>
      <w:r>
        <w:t>In PPL Electric’s view, because the residential rate classes would have received the entire rate increase under PPL Electric’s filing, the residential rate classes should benefit from the entire scaleback of the original proposed increase in annual distribution operating revenues.  Under PPL Electric’s preferred costs of service study, PPL Electric Ex. JMK-2A, all rate classes at proposed rates show substantial movement toward the system average rate of return.  PPL Electric St. 8-RJ, p. 9.</w:t>
      </w:r>
    </w:p>
    <w:p w:rsidR="007C2B54" w:rsidRDefault="007C2B54" w:rsidP="00915753">
      <w:pPr>
        <w:pStyle w:val="Pleading2L3"/>
        <w:numPr>
          <w:ilvl w:val="0"/>
          <w:numId w:val="0"/>
        </w:numPr>
        <w:spacing w:line="240" w:lineRule="auto"/>
        <w:ind w:left="1440" w:right="1440"/>
        <w:contextualSpacing/>
      </w:pPr>
    </w:p>
    <w:p w:rsidR="00915753" w:rsidRDefault="00915753" w:rsidP="007C2B54">
      <w:pPr>
        <w:pStyle w:val="Pleading2L3"/>
        <w:numPr>
          <w:ilvl w:val="0"/>
          <w:numId w:val="0"/>
        </w:numPr>
        <w:spacing w:line="240" w:lineRule="auto"/>
        <w:ind w:left="1440" w:right="1440" w:hanging="1440"/>
        <w:contextualSpacing/>
      </w:pPr>
      <w:r>
        <w:t>PPL Electric Initial Brief at 42.</w:t>
      </w:r>
    </w:p>
    <w:p w:rsidR="00915753" w:rsidRDefault="00915753" w:rsidP="00915753">
      <w:pPr>
        <w:pStyle w:val="Pleading2L3"/>
        <w:numPr>
          <w:ilvl w:val="0"/>
          <w:numId w:val="0"/>
        </w:numPr>
        <w:spacing w:line="360" w:lineRule="auto"/>
        <w:contextualSpacing/>
      </w:pPr>
    </w:p>
    <w:p w:rsidR="00DB75AF" w:rsidRDefault="00915753" w:rsidP="007C2B54">
      <w:pPr>
        <w:pStyle w:val="Pleading2L3"/>
        <w:numPr>
          <w:ilvl w:val="0"/>
          <w:numId w:val="0"/>
        </w:numPr>
        <w:spacing w:line="360" w:lineRule="auto"/>
        <w:contextualSpacing/>
      </w:pPr>
      <w:r>
        <w:lastRenderedPageBreak/>
        <w:tab/>
      </w:r>
      <w:r>
        <w:tab/>
        <w:t xml:space="preserve">The Company’s recommendation according to JMK-2A is persuasive.  Again, there is no monetary value to the “scaleback” since the higher amount had never been implemented nor even approved.  Therefore, there is no reason to allocate revenue requirement </w:t>
      </w:r>
      <w:r w:rsidRPr="006A0CE5">
        <w:rPr>
          <w:i/>
        </w:rPr>
        <w:t>reductions</w:t>
      </w:r>
      <w:r>
        <w:t xml:space="preserve"> here.  Rather, the revenue requirement amount of $77.5 million should be allocated to the rate classes proportional to the Company’s originally requested amount in order to bring their rates more closely in line with the costs incurred by the Company to serve them.</w:t>
      </w:r>
    </w:p>
    <w:p w:rsidR="007C2B54" w:rsidRDefault="007C2B54" w:rsidP="007C2B54">
      <w:pPr>
        <w:pStyle w:val="Pleading2L3"/>
        <w:numPr>
          <w:ilvl w:val="0"/>
          <w:numId w:val="0"/>
        </w:numPr>
        <w:spacing w:line="360" w:lineRule="auto"/>
        <w:contextualSpacing/>
        <w:rPr>
          <w:b/>
        </w:rPr>
      </w:pPr>
    </w:p>
    <w:p w:rsidR="000E7AB9" w:rsidRPr="00DB75AF" w:rsidRDefault="00DB75AF" w:rsidP="000E7AB9">
      <w:pPr>
        <w:pStyle w:val="Pleading2L3"/>
        <w:numPr>
          <w:ilvl w:val="0"/>
          <w:numId w:val="0"/>
        </w:numPr>
        <w:spacing w:line="360" w:lineRule="auto"/>
        <w:contextualSpacing/>
        <w:rPr>
          <w:u w:val="single"/>
        </w:rPr>
      </w:pPr>
      <w:r w:rsidRPr="00A86A11">
        <w:t>6.</w:t>
      </w:r>
      <w:r w:rsidRPr="00A86A11">
        <w:tab/>
      </w:r>
      <w:r w:rsidRPr="00DB75AF">
        <w:rPr>
          <w:u w:val="single"/>
        </w:rPr>
        <w:t>ISSUES SPECIFIC TO A PARTY</w:t>
      </w:r>
      <w:r w:rsidR="001524AE">
        <w:rPr>
          <w:u w:val="single"/>
        </w:rPr>
        <w:fldChar w:fldCharType="begin"/>
      </w:r>
      <w:r w:rsidR="001524AE">
        <w:instrText xml:space="preserve"> TC "</w:instrText>
      </w:r>
      <w:bookmarkStart w:id="46" w:name="_Toc274912173"/>
      <w:r w:rsidR="001524AE" w:rsidRPr="003144F9">
        <w:instrText>6.</w:instrText>
      </w:r>
      <w:r w:rsidR="001524AE" w:rsidRPr="003144F9">
        <w:tab/>
      </w:r>
      <w:r w:rsidR="001524AE" w:rsidRPr="003144F9">
        <w:rPr>
          <w:u w:val="single"/>
        </w:rPr>
        <w:instrText>ISSUES SPECIFIC TO A PARTY</w:instrText>
      </w:r>
      <w:bookmarkEnd w:id="46"/>
      <w:r w:rsidR="001524AE">
        <w:instrText xml:space="preserve">" \f C \l "2" </w:instrText>
      </w:r>
      <w:r w:rsidR="001524AE">
        <w:rPr>
          <w:u w:val="single"/>
        </w:rPr>
        <w:fldChar w:fldCharType="end"/>
      </w:r>
    </w:p>
    <w:p w:rsidR="000E7AB9" w:rsidRDefault="000E7AB9" w:rsidP="000E7AB9">
      <w:pPr>
        <w:pStyle w:val="Pleading2L3"/>
        <w:numPr>
          <w:ilvl w:val="0"/>
          <w:numId w:val="0"/>
        </w:numPr>
        <w:spacing w:line="360" w:lineRule="auto"/>
        <w:contextualSpacing/>
      </w:pPr>
    </w:p>
    <w:p w:rsidR="000E7AB9" w:rsidRPr="00B16EE9" w:rsidRDefault="000E7AB9" w:rsidP="000E7AB9">
      <w:pPr>
        <w:pStyle w:val="Pleading2L3"/>
        <w:numPr>
          <w:ilvl w:val="0"/>
          <w:numId w:val="0"/>
        </w:numPr>
        <w:spacing w:line="360" w:lineRule="auto"/>
        <w:rPr>
          <w:u w:val="single"/>
        </w:rPr>
      </w:pPr>
      <w:r>
        <w:tab/>
      </w:r>
      <w:r w:rsidRPr="00B16EE9">
        <w:t>A.</w:t>
      </w:r>
      <w:r w:rsidRPr="00B16EE9">
        <w:tab/>
      </w:r>
      <w:r w:rsidRPr="00B16EE9">
        <w:rPr>
          <w:u w:val="single"/>
        </w:rPr>
        <w:t>Richards Energy Group Issues.</w:t>
      </w:r>
      <w:r w:rsidR="00CE0415" w:rsidRPr="00B16EE9">
        <w:rPr>
          <w:u w:val="single"/>
        </w:rPr>
        <w:fldChar w:fldCharType="begin"/>
      </w:r>
      <w:r w:rsidR="00DA7BC2" w:rsidRPr="00B16EE9">
        <w:rPr>
          <w:u w:val="single"/>
        </w:rPr>
        <w:instrText xml:space="preserve"> TC "</w:instrText>
      </w:r>
      <w:bookmarkStart w:id="47" w:name="_Toc274905760"/>
      <w:bookmarkStart w:id="48" w:name="_Toc274906170"/>
      <w:bookmarkStart w:id="49" w:name="_Toc274912174"/>
      <w:r w:rsidR="00DA7BC2" w:rsidRPr="00B16EE9">
        <w:rPr>
          <w:u w:val="single"/>
        </w:rPr>
        <w:instrText>A.</w:instrText>
      </w:r>
      <w:r w:rsidR="00DA7BC2" w:rsidRPr="00B16EE9">
        <w:rPr>
          <w:u w:val="single"/>
        </w:rPr>
        <w:tab/>
        <w:instrText>Richards Energy Group Issues.</w:instrText>
      </w:r>
      <w:bookmarkEnd w:id="47"/>
      <w:bookmarkEnd w:id="48"/>
      <w:bookmarkEnd w:id="49"/>
      <w:r w:rsidR="00DA7BC2" w:rsidRPr="00B16EE9">
        <w:rPr>
          <w:u w:val="single"/>
        </w:rPr>
        <w:instrText xml:space="preserve">" \f C \l "3" </w:instrText>
      </w:r>
      <w:r w:rsidR="00CE0415" w:rsidRPr="00B16EE9">
        <w:rPr>
          <w:u w:val="single"/>
        </w:rPr>
        <w:fldChar w:fldCharType="end"/>
      </w:r>
      <w:r w:rsidRPr="00B16EE9">
        <w:rPr>
          <w:u w:val="single"/>
        </w:rPr>
        <w:t xml:space="preserve">  </w:t>
      </w:r>
    </w:p>
    <w:p w:rsidR="000E7AB9" w:rsidRDefault="000E7AB9" w:rsidP="000E7AB9">
      <w:pPr>
        <w:pStyle w:val="Pleading2L3"/>
        <w:numPr>
          <w:ilvl w:val="0"/>
          <w:numId w:val="0"/>
        </w:numPr>
        <w:spacing w:line="360" w:lineRule="auto"/>
      </w:pPr>
    </w:p>
    <w:p w:rsidR="000E7AB9" w:rsidRPr="0099505C" w:rsidRDefault="000E7AB9" w:rsidP="0099505C">
      <w:pPr>
        <w:pStyle w:val="Pleading2L3"/>
        <w:numPr>
          <w:ilvl w:val="0"/>
          <w:numId w:val="0"/>
        </w:numPr>
        <w:spacing w:line="360" w:lineRule="auto"/>
        <w:ind w:firstLine="2160"/>
      </w:pPr>
      <w:r w:rsidRPr="0099505C">
        <w:t>i.</w:t>
      </w:r>
      <w:r w:rsidRPr="0099505C">
        <w:tab/>
      </w:r>
      <w:r w:rsidRPr="0099505C">
        <w:rPr>
          <w:u w:val="single"/>
        </w:rPr>
        <w:t>Rate Schedules GS-1 and GS-3 Rate Design</w:t>
      </w:r>
      <w:r w:rsidR="00CE0415" w:rsidRPr="0099505C">
        <w:fldChar w:fldCharType="begin"/>
      </w:r>
      <w:r w:rsidR="00B16EE9" w:rsidRPr="0099505C">
        <w:instrText xml:space="preserve"> TC "</w:instrText>
      </w:r>
      <w:bookmarkStart w:id="50" w:name="_Toc274905761"/>
      <w:bookmarkStart w:id="51" w:name="_Toc274906171"/>
      <w:bookmarkStart w:id="52" w:name="_Toc274912175"/>
      <w:r w:rsidR="00B16EE9" w:rsidRPr="0099505C">
        <w:instrText>i.</w:instrText>
      </w:r>
      <w:r w:rsidR="00B16EE9" w:rsidRPr="0099505C">
        <w:tab/>
        <w:instrText>Rate Schedules GS-1 and GS-3 Rate Design</w:instrText>
      </w:r>
      <w:bookmarkEnd w:id="50"/>
      <w:bookmarkEnd w:id="51"/>
      <w:bookmarkEnd w:id="52"/>
      <w:r w:rsidR="00B16EE9" w:rsidRPr="0099505C">
        <w:instrText xml:space="preserve">" \f C \l "4" </w:instrText>
      </w:r>
      <w:r w:rsidR="00CE0415" w:rsidRPr="0099505C">
        <w:fldChar w:fldCharType="end"/>
      </w:r>
    </w:p>
    <w:p w:rsidR="000E7AB9" w:rsidRDefault="000E7AB9" w:rsidP="000E7AB9">
      <w:pPr>
        <w:pStyle w:val="Pleading2L3"/>
        <w:numPr>
          <w:ilvl w:val="0"/>
          <w:numId w:val="0"/>
        </w:numPr>
        <w:spacing w:line="360" w:lineRule="auto"/>
      </w:pPr>
    </w:p>
    <w:p w:rsidR="000E7AB9" w:rsidRDefault="000E7AB9" w:rsidP="00B16EE9">
      <w:pPr>
        <w:pStyle w:val="Pleading2L3"/>
        <w:numPr>
          <w:ilvl w:val="0"/>
          <w:numId w:val="0"/>
        </w:numPr>
        <w:spacing w:line="360" w:lineRule="auto"/>
        <w:ind w:firstLine="2160"/>
      </w:pPr>
      <w:r>
        <w:t xml:space="preserve">REG requests that the Commission permit PPL to alter its GS-3 rate schedule to impose a customer charge of $30.00 per month, a billing demand charge of $4.5106 per kW of billing demand, and to eliminate the 25 kW minimum billing demand for GS-3 customers and the 5 kW billing demand minimum for GS-1 customers.  </w:t>
      </w:r>
      <w:r w:rsidRPr="00B16EE9">
        <w:t>REG Main Brief at 9-10.</w:t>
      </w:r>
      <w:r>
        <w:rPr>
          <w:color w:val="0070C0"/>
        </w:rPr>
        <w:t xml:space="preserve">  </w:t>
      </w:r>
      <w:r>
        <w:t>The Company responds:</w:t>
      </w:r>
    </w:p>
    <w:p w:rsidR="00B16EE9" w:rsidRDefault="00B16EE9" w:rsidP="007C2B54">
      <w:pPr>
        <w:pStyle w:val="Pleading2L3"/>
        <w:numPr>
          <w:ilvl w:val="0"/>
          <w:numId w:val="0"/>
        </w:numPr>
        <w:spacing w:line="240" w:lineRule="auto"/>
        <w:ind w:firstLine="2160"/>
      </w:pPr>
    </w:p>
    <w:p w:rsidR="00B16EE9" w:rsidRDefault="000E7AB9" w:rsidP="000E7AB9">
      <w:pPr>
        <w:pStyle w:val="Pleading2L3"/>
        <w:numPr>
          <w:ilvl w:val="0"/>
          <w:numId w:val="0"/>
        </w:numPr>
        <w:spacing w:line="240" w:lineRule="auto"/>
        <w:ind w:left="1440" w:right="1440"/>
        <w:contextualSpacing/>
      </w:pPr>
      <w:r>
        <w:tab/>
        <w:t xml:space="preserve">As a result of REG’s concerns, OSBA made an alternative proposal with respect to Rate Schedule GS-3.  Specifically, OSBA proposed to reduce the Rate Schedule GS-3 customer charge from $50 to $30 per month.  OSBA also proposed to increase the Rate Schedule GS-3 billing demand charge from the $4.266 per kW originally proposed by PPL Electric to $4.5106 per kW.  As explained by OSBA, although the smaller Rate Schedule GS-3 customers will experience a rate increase, OSBA’s proposal will mitigate the impact upon those customers.  </w:t>
      </w:r>
    </w:p>
    <w:p w:rsidR="00B16EE9" w:rsidRDefault="00B16EE9" w:rsidP="000E7AB9">
      <w:pPr>
        <w:pStyle w:val="Pleading2L3"/>
        <w:numPr>
          <w:ilvl w:val="0"/>
          <w:numId w:val="0"/>
        </w:numPr>
        <w:spacing w:line="240" w:lineRule="auto"/>
        <w:ind w:left="1440" w:right="1440"/>
        <w:contextualSpacing/>
      </w:pPr>
    </w:p>
    <w:p w:rsidR="000E7AB9" w:rsidRDefault="000E7AB9" w:rsidP="00B16EE9">
      <w:pPr>
        <w:pStyle w:val="Pleading2L3"/>
        <w:numPr>
          <w:ilvl w:val="0"/>
          <w:numId w:val="0"/>
        </w:numPr>
        <w:spacing w:line="240" w:lineRule="auto"/>
        <w:ind w:left="1440" w:right="1440" w:hanging="1440"/>
        <w:contextualSpacing/>
      </w:pPr>
      <w:r>
        <w:rPr>
          <w:i/>
        </w:rPr>
        <w:t>See</w:t>
      </w:r>
      <w:r>
        <w:t xml:space="preserve"> OSBA Initial Brief, pp. 24-25.  </w:t>
      </w:r>
    </w:p>
    <w:p w:rsidR="00B16EE9" w:rsidRDefault="00B16EE9" w:rsidP="00B16EE9">
      <w:pPr>
        <w:pStyle w:val="Pleading2L3"/>
        <w:numPr>
          <w:ilvl w:val="0"/>
          <w:numId w:val="0"/>
        </w:numPr>
        <w:spacing w:line="240" w:lineRule="auto"/>
        <w:ind w:left="1440" w:right="1440" w:hanging="1440"/>
        <w:contextualSpacing/>
      </w:pPr>
    </w:p>
    <w:p w:rsidR="000E7AB9" w:rsidRDefault="000E7AB9" w:rsidP="000E7AB9">
      <w:pPr>
        <w:pStyle w:val="Pleading2L3"/>
        <w:numPr>
          <w:ilvl w:val="0"/>
          <w:numId w:val="0"/>
        </w:numPr>
        <w:spacing w:line="240" w:lineRule="auto"/>
        <w:ind w:left="1440" w:right="1440"/>
        <w:contextualSpacing/>
      </w:pPr>
      <w:r>
        <w:tab/>
        <w:t xml:space="preserve">REG recommends that PPL Electric adopt the proposal of OSBA to mitigate the effect on small Rate Schedule GS-3 customers.  </w:t>
      </w:r>
      <w:r>
        <w:rPr>
          <w:i/>
        </w:rPr>
        <w:t>See</w:t>
      </w:r>
      <w:r>
        <w:t xml:space="preserve"> REG Initial Brief, p. 9.  PPL Electric does not oppose OSBA’s alternative proposal with respect to Rate Schedule GS-3.  Acceptance of OSBA’s proposal for Rate Schedule GS-3 </w:t>
      </w:r>
      <w:r>
        <w:lastRenderedPageBreak/>
        <w:t>ameliorates REG’s concerns with the proposed rate design for this customer class.</w:t>
      </w:r>
    </w:p>
    <w:p w:rsidR="00B16EE9" w:rsidRDefault="00B16EE9" w:rsidP="00B16EE9">
      <w:pPr>
        <w:pStyle w:val="Pleading2L3"/>
        <w:numPr>
          <w:ilvl w:val="0"/>
          <w:numId w:val="0"/>
        </w:numPr>
        <w:spacing w:line="240" w:lineRule="auto"/>
        <w:ind w:left="1440" w:right="1440" w:hanging="1440"/>
        <w:contextualSpacing/>
      </w:pPr>
    </w:p>
    <w:p w:rsidR="000E7AB9" w:rsidRDefault="000E7AB9" w:rsidP="00B16EE9">
      <w:pPr>
        <w:pStyle w:val="Pleading2L3"/>
        <w:numPr>
          <w:ilvl w:val="0"/>
          <w:numId w:val="0"/>
        </w:numPr>
        <w:spacing w:line="360" w:lineRule="auto"/>
        <w:ind w:left="1440" w:right="1440" w:hanging="1440"/>
        <w:contextualSpacing/>
      </w:pPr>
      <w:r>
        <w:t xml:space="preserve">PPL Reply Brief at 22-23. </w:t>
      </w:r>
    </w:p>
    <w:p w:rsidR="000E7AB9" w:rsidRDefault="000E7AB9" w:rsidP="00B16EE9">
      <w:pPr>
        <w:pStyle w:val="Pleading2L3"/>
        <w:numPr>
          <w:ilvl w:val="0"/>
          <w:numId w:val="0"/>
        </w:numPr>
        <w:spacing w:line="360" w:lineRule="auto"/>
      </w:pPr>
    </w:p>
    <w:p w:rsidR="000E7AB9" w:rsidRDefault="000E7AB9" w:rsidP="00291984">
      <w:pPr>
        <w:pStyle w:val="Pleading2L3"/>
        <w:numPr>
          <w:ilvl w:val="0"/>
          <w:numId w:val="0"/>
        </w:numPr>
        <w:spacing w:line="360" w:lineRule="auto"/>
        <w:ind w:firstLine="2160"/>
        <w:contextualSpacing/>
      </w:pPr>
      <w:r>
        <w:t xml:space="preserve">The intent is to mitigate the effect on smaller GS-3 customers, some of which were facing an increase of twice the system average distribution increase.  Adoption of the OSBA proposal would produce the same revenues as the Company’s proposal but would reduce the bill impact on a 25 kW Gs-3 customer from 34 percent to 22 percent.  OSBA Stmt. 2 at 19-20; REG Brief at 9.  </w:t>
      </w:r>
    </w:p>
    <w:p w:rsidR="000E7AB9" w:rsidRDefault="000E7AB9" w:rsidP="000E7AB9">
      <w:pPr>
        <w:pStyle w:val="Pleading2L3"/>
        <w:numPr>
          <w:ilvl w:val="0"/>
          <w:numId w:val="0"/>
        </w:numPr>
        <w:spacing w:line="360" w:lineRule="auto"/>
        <w:contextualSpacing/>
      </w:pPr>
    </w:p>
    <w:p w:rsidR="000E7AB9" w:rsidRDefault="000E7AB9" w:rsidP="00291984">
      <w:pPr>
        <w:pStyle w:val="Pleading2L3"/>
        <w:numPr>
          <w:ilvl w:val="0"/>
          <w:numId w:val="0"/>
        </w:numPr>
        <w:spacing w:line="360" w:lineRule="auto"/>
        <w:ind w:firstLine="2160"/>
        <w:contextualSpacing/>
      </w:pPr>
      <w:r>
        <w:t>As this compromise is just and reasonable, and addresses the REG concerns on this issue without having any impact on other parties, it is approved.</w:t>
      </w:r>
    </w:p>
    <w:p w:rsidR="000E7AB9" w:rsidRDefault="000E7AB9" w:rsidP="000E7AB9">
      <w:pPr>
        <w:pStyle w:val="Pleading2L3"/>
        <w:numPr>
          <w:ilvl w:val="0"/>
          <w:numId w:val="0"/>
        </w:numPr>
        <w:spacing w:line="360" w:lineRule="auto"/>
        <w:contextualSpacing/>
      </w:pPr>
    </w:p>
    <w:p w:rsidR="000E7AB9" w:rsidRPr="009C5D54" w:rsidRDefault="000E7AB9" w:rsidP="009C5D54">
      <w:pPr>
        <w:pStyle w:val="Pleading2L3"/>
        <w:numPr>
          <w:ilvl w:val="0"/>
          <w:numId w:val="0"/>
        </w:numPr>
        <w:spacing w:line="240" w:lineRule="auto"/>
        <w:ind w:firstLine="2160"/>
      </w:pPr>
      <w:r w:rsidRPr="009C5D54">
        <w:t>ii.</w:t>
      </w:r>
      <w:r w:rsidRPr="009C5D54">
        <w:tab/>
      </w:r>
      <w:r w:rsidRPr="009C5D54">
        <w:rPr>
          <w:u w:val="single"/>
        </w:rPr>
        <w:t>Billing demand and the availability of certain data to customers and Electric Generation Suppliers</w:t>
      </w:r>
      <w:r w:rsidR="00D174CC">
        <w:rPr>
          <w:u w:val="single"/>
        </w:rPr>
        <w:fldChar w:fldCharType="begin"/>
      </w:r>
      <w:r w:rsidR="00D174CC">
        <w:instrText xml:space="preserve"> TC "</w:instrText>
      </w:r>
      <w:bookmarkStart w:id="53" w:name="_Toc274912176"/>
      <w:r w:rsidR="00D174CC" w:rsidRPr="008D444D">
        <w:instrText>ii.</w:instrText>
      </w:r>
      <w:r w:rsidR="00D174CC" w:rsidRPr="008D444D">
        <w:tab/>
      </w:r>
      <w:r w:rsidR="00D174CC" w:rsidRPr="008D444D">
        <w:rPr>
          <w:u w:val="single"/>
        </w:rPr>
        <w:instrText>Billing demand and the availability of certain data to customers and Electric Generation Suppliers</w:instrText>
      </w:r>
      <w:bookmarkEnd w:id="53"/>
      <w:r w:rsidR="00D174CC">
        <w:instrText xml:space="preserve">" \f C \l "4" </w:instrText>
      </w:r>
      <w:r w:rsidR="00D174CC">
        <w:rPr>
          <w:u w:val="single"/>
        </w:rPr>
        <w:fldChar w:fldCharType="end"/>
      </w:r>
    </w:p>
    <w:p w:rsidR="000E7AB9" w:rsidRPr="003B7319" w:rsidRDefault="000E7AB9" w:rsidP="000E7AB9">
      <w:pPr>
        <w:pStyle w:val="Pleading2L3"/>
        <w:numPr>
          <w:ilvl w:val="0"/>
          <w:numId w:val="0"/>
        </w:numPr>
        <w:rPr>
          <w:b/>
        </w:rPr>
      </w:pPr>
    </w:p>
    <w:p w:rsidR="000E7AB9" w:rsidRDefault="000E7AB9" w:rsidP="00291984">
      <w:pPr>
        <w:pStyle w:val="Pleading2L3"/>
        <w:numPr>
          <w:ilvl w:val="0"/>
          <w:numId w:val="0"/>
        </w:numPr>
        <w:spacing w:line="360" w:lineRule="auto"/>
        <w:ind w:firstLine="2160"/>
      </w:pPr>
      <w:r>
        <w:t>REG admits that the Company has progressed in its ability to keep its customers informed but asks the Commission to direct PPL to form a working group to review and recommend enhancements to the information being provided to C&amp;I customers on PPL’s web site.  REG Brief at 3-5.  Currently, PPL calculates billing demand in 15 minute increments but provides hourly data, which makes it impossible for a customer to get an accurate picture of its peak.  REG submits that “it is vital that a customer have the ability to see a complete picture of his or her electric consumption in order to make informed bus</w:t>
      </w:r>
      <w:r w:rsidR="007C2B54">
        <w:t>iness decisions.”  REG Brief at </w:t>
      </w:r>
      <w:r>
        <w:t xml:space="preserve">4.   In addition, REG posits that the calculation of some Tariff rates requires data that is not readily available on PPL’s website, including annual peak load contribution kW values, and annual transmission obligation kW values.  These should be made available or at least provided when REG request 5-year billing history data.  REG Brief at 4.  </w:t>
      </w:r>
    </w:p>
    <w:p w:rsidR="000E7AB9" w:rsidRDefault="000E7AB9" w:rsidP="000E7AB9">
      <w:pPr>
        <w:pStyle w:val="Pleading2L3"/>
        <w:numPr>
          <w:ilvl w:val="0"/>
          <w:numId w:val="0"/>
        </w:numPr>
        <w:spacing w:line="360" w:lineRule="auto"/>
      </w:pPr>
    </w:p>
    <w:p w:rsidR="000E7AB9" w:rsidRDefault="000E7AB9" w:rsidP="00291984">
      <w:pPr>
        <w:pStyle w:val="Pleading2L3"/>
        <w:numPr>
          <w:ilvl w:val="0"/>
          <w:numId w:val="0"/>
        </w:numPr>
        <w:spacing w:line="360" w:lineRule="auto"/>
        <w:ind w:firstLine="2160"/>
      </w:pPr>
      <w:r>
        <w:t xml:space="preserve">REG acknowledges that these changes “may involve technical issues which need to be explored in a context other than a rate proceeding.  Accordingly, Richards respectfully requests that Your Honor recommend to the Commission that a PPL specific </w:t>
      </w:r>
      <w:r>
        <w:lastRenderedPageBreak/>
        <w:t>working group be formed to, by mutual agreement, review and recommend enhancements to the information being provided to C&amp;I customers on PPL’s web site.”  REG Brief at 5.</w:t>
      </w:r>
    </w:p>
    <w:p w:rsidR="000E7AB9" w:rsidRDefault="000E7AB9" w:rsidP="000E7AB9">
      <w:pPr>
        <w:pStyle w:val="Pleading2L3"/>
        <w:numPr>
          <w:ilvl w:val="0"/>
          <w:numId w:val="0"/>
        </w:numPr>
        <w:spacing w:line="360" w:lineRule="auto"/>
      </w:pPr>
    </w:p>
    <w:p w:rsidR="000E7AB9" w:rsidRDefault="000E7AB9" w:rsidP="00291984">
      <w:pPr>
        <w:pStyle w:val="Pleading2L3"/>
        <w:numPr>
          <w:ilvl w:val="0"/>
          <w:numId w:val="0"/>
        </w:numPr>
        <w:spacing w:line="360" w:lineRule="auto"/>
        <w:ind w:firstLine="2160"/>
      </w:pPr>
      <w:r>
        <w:t>The Company states:</w:t>
      </w:r>
    </w:p>
    <w:p w:rsidR="00291984" w:rsidRDefault="00291984" w:rsidP="00D42731">
      <w:pPr>
        <w:pStyle w:val="Pleading2L3"/>
        <w:numPr>
          <w:ilvl w:val="0"/>
          <w:numId w:val="0"/>
        </w:numPr>
        <w:spacing w:line="240" w:lineRule="auto"/>
      </w:pPr>
    </w:p>
    <w:p w:rsidR="000E7AB9" w:rsidRDefault="000E7AB9" w:rsidP="000E7AB9">
      <w:pPr>
        <w:pStyle w:val="Pleading2L3"/>
        <w:numPr>
          <w:ilvl w:val="0"/>
          <w:numId w:val="0"/>
        </w:numPr>
        <w:spacing w:line="240" w:lineRule="auto"/>
        <w:ind w:left="1440" w:right="1440"/>
        <w:contextualSpacing/>
      </w:pPr>
      <w:r>
        <w:tab/>
        <w:t>PPL Electric currently bills GS-1 and GS-3 customers on 15-minute increment demands.  PPL Electric St. 8-R, p. 30.  For billing purposes, PPL Electric uses data from the meter’s demand register.  The demand register saves that greatest usage during any 15-minute interval.  When a new level of highest use in an interval occurs, the register replaces the prior level of usage, which information is not retained in the register.  That process is repeated until the register is reset at the next meter reading.  PPL Electric St. 8-R, p. 31.</w:t>
      </w:r>
    </w:p>
    <w:p w:rsidR="000E7AB9" w:rsidRDefault="000E7AB9" w:rsidP="000E7AB9">
      <w:pPr>
        <w:pStyle w:val="Pleading2L3"/>
        <w:numPr>
          <w:ilvl w:val="0"/>
          <w:numId w:val="0"/>
        </w:numPr>
        <w:spacing w:line="240" w:lineRule="auto"/>
        <w:ind w:left="1440" w:right="1440"/>
        <w:contextualSpacing/>
      </w:pPr>
      <w:r>
        <w:tab/>
        <w:t xml:space="preserve"> Although the electronic memory in the meters presently installed at Rate Schedule GS-1 and GS-3 customers’ premises do save information regarding hourly usage, the saved data is not sufficiently reliable to be used for billing purposes.  PPL Electric St. 8_R, p. 31.  Unlike the demand register, the meter’s electronic memory saves hourly data for three eight hour periods.  If the data is not successfully transmitted to PPL Electric’s Automated Meter Reading (“AMR”) billing system within the three eight-hour periods, the meter begins to save data from the next eight-hour period and erases the data from the first eight hour period.  PPL Electric St. 8-R, p. 31.  However, it is not uncommon for data from the electronic memory, as distinguished from the demand register, to be lost due to delays in transmitting the data.  Transmissions can be interrupted due to delays caused by even brief outages.  Therefore, hourly usage information from the electronic memory often is incomplete.  In addition, the data saved in the electronic memory is rounded.  Between transmission delays and rounding, the data from the electronic memory is simply not sufficiently reliable to be used for billing purp</w:t>
      </w:r>
      <w:r w:rsidR="00291984">
        <w:t>oses.  PPL Electric St. 8-R, p. </w:t>
      </w:r>
      <w:r>
        <w:t>31.</w:t>
      </w:r>
    </w:p>
    <w:p w:rsidR="000E7AB9" w:rsidRDefault="000E7AB9" w:rsidP="000E7AB9">
      <w:pPr>
        <w:pStyle w:val="Pleading2L3"/>
        <w:numPr>
          <w:ilvl w:val="0"/>
          <w:numId w:val="0"/>
        </w:numPr>
        <w:spacing w:line="240" w:lineRule="auto"/>
        <w:ind w:left="1440" w:right="1440"/>
        <w:contextualSpacing/>
      </w:pPr>
      <w:r>
        <w:tab/>
        <w:t xml:space="preserve">REG’s proposal to switch to hourly demand for GS-1 and GS-3 customers is impractical because it would require expensive new metering at all premises of all customers who pay demand charges.  PPL Electric St. 8-R, p. 30.  In order to implement REG’s proposal, it would be necessary for PPL Electric to replace meters at premises of all customers who pay demand rates.  Presently, that would involve replacing more than 200,000 meters.  The cost of such meters is approximately $130 each, including the installation cost.  Further, REG’s proposal would require substantial reprogramming of PPL Electric’s billing system and </w:t>
      </w:r>
      <w:r>
        <w:lastRenderedPageBreak/>
        <w:t>reprogramming of the automated meter reading system.  PPL Electric St. 8-R, p. 32.  Finally, it would not be practical to implement hourly interval billing in this proceeding because PPL Electric does not know what the number of demand billing units would be, and therefore, sufficient information is not available to design rates.  PPL Electric St. 8-R, p. 32.</w:t>
      </w:r>
    </w:p>
    <w:p w:rsidR="000E7AB9" w:rsidRDefault="000E7AB9" w:rsidP="000E7AB9">
      <w:pPr>
        <w:pStyle w:val="Pleading2L3"/>
        <w:numPr>
          <w:ilvl w:val="0"/>
          <w:numId w:val="0"/>
        </w:numPr>
        <w:spacing w:line="240" w:lineRule="auto"/>
        <w:ind w:left="1440" w:right="1440"/>
        <w:contextualSpacing/>
      </w:pPr>
      <w:r>
        <w:t>PPL Initial Brief at 62-63.</w:t>
      </w:r>
    </w:p>
    <w:p w:rsidR="00D174CC" w:rsidRDefault="00D174CC" w:rsidP="00D174CC">
      <w:pPr>
        <w:pStyle w:val="Pleading2L3"/>
        <w:numPr>
          <w:ilvl w:val="0"/>
          <w:numId w:val="0"/>
        </w:numPr>
        <w:spacing w:line="240" w:lineRule="auto"/>
        <w:ind w:left="1440" w:right="1440"/>
      </w:pPr>
      <w:r>
        <w:tab/>
      </w:r>
      <w:r w:rsidR="000E7AB9">
        <w:t>In addition,</w:t>
      </w:r>
      <w:r>
        <w:t xml:space="preserve"> </w:t>
      </w:r>
      <w:r w:rsidR="000E7AB9">
        <w:t>…</w:t>
      </w:r>
    </w:p>
    <w:p w:rsidR="000E7AB9" w:rsidRPr="00D174CC" w:rsidRDefault="000E7AB9" w:rsidP="00D174CC">
      <w:pPr>
        <w:pStyle w:val="Pleading2L3"/>
        <w:numPr>
          <w:ilvl w:val="0"/>
          <w:numId w:val="0"/>
        </w:numPr>
        <w:spacing w:line="240" w:lineRule="auto"/>
        <w:ind w:left="1440" w:right="1440"/>
      </w:pPr>
      <w:r>
        <w:t xml:space="preserve"> the annual Peak Load Contribution and Transmission Obligation are values used to provide an accurate depiction of the size of the customer, which allows suppliers to better design their approach to market to and serve customers.  </w:t>
      </w:r>
      <w:r>
        <w:rPr>
          <w:i/>
        </w:rPr>
        <w:t xml:space="preserve">PPL Electric Utilities Corporation Retail Markets, </w:t>
      </w:r>
      <w:r>
        <w:t xml:space="preserve">Docket No. M-2009-2104271, 2009 Pa. PUC LEXIS 261 at 21 (August 11, 2009).  These values ensure that there are adequate resources and capacity, and allow suppliers to price the cost of capacity for a customer.  </w:t>
      </w:r>
      <w:r>
        <w:rPr>
          <w:i/>
        </w:rPr>
        <w:t>Id.</w:t>
      </w:r>
    </w:p>
    <w:p w:rsidR="000E7AB9" w:rsidRDefault="000E7AB9" w:rsidP="000E7AB9">
      <w:pPr>
        <w:pStyle w:val="Pleading2L3"/>
        <w:numPr>
          <w:ilvl w:val="0"/>
          <w:numId w:val="0"/>
        </w:numPr>
        <w:spacing w:line="240" w:lineRule="auto"/>
        <w:ind w:left="1440" w:right="1440"/>
        <w:contextualSpacing/>
      </w:pPr>
      <w:r>
        <w:rPr>
          <w:i/>
        </w:rPr>
        <w:tab/>
      </w:r>
      <w:r>
        <w:t xml:space="preserve">PPL Electric only uses the annual Peak Load Contribution and Transmission values to bill Transmission Obligation and Capacity Obligation if a large C&amp;I customer is taking default service from the Company at real-time rates.  The Peak Load Contribution and Transmission Obligation values are available to suppliers and aggregators in the Eligible Customer List.  PPL Electric St. 8-R, p. 34.  The Peak Load Contribution and Transmission Obligation values are not stored in the customer records in the PPL Electric customer information system and, therefore, would not be available to customers through the customer web interface.  PPL Electric St. 8-R, p. 34.  </w:t>
      </w:r>
    </w:p>
    <w:p w:rsidR="000E7AB9" w:rsidRDefault="000E7AB9" w:rsidP="000E7AB9">
      <w:pPr>
        <w:pStyle w:val="Pleading2L3"/>
        <w:numPr>
          <w:ilvl w:val="0"/>
          <w:numId w:val="0"/>
        </w:numPr>
        <w:spacing w:line="240" w:lineRule="auto"/>
        <w:ind w:left="1440" w:right="1440"/>
        <w:contextualSpacing/>
      </w:pPr>
      <w:r>
        <w:t>PPL Reply Brief at 28.</w:t>
      </w:r>
    </w:p>
    <w:p w:rsidR="000E7AB9" w:rsidRDefault="000E7AB9" w:rsidP="000E7AB9">
      <w:pPr>
        <w:pStyle w:val="Pleading2L3"/>
        <w:numPr>
          <w:ilvl w:val="0"/>
          <w:numId w:val="0"/>
        </w:numPr>
      </w:pPr>
    </w:p>
    <w:p w:rsidR="000E7AB9" w:rsidRDefault="000E7AB9" w:rsidP="000E7AB9">
      <w:pPr>
        <w:pStyle w:val="Pleading2L3"/>
        <w:numPr>
          <w:ilvl w:val="0"/>
          <w:numId w:val="0"/>
        </w:numPr>
        <w:spacing w:line="360" w:lineRule="auto"/>
      </w:pPr>
      <w:r>
        <w:tab/>
      </w:r>
      <w:r>
        <w:tab/>
        <w:t>While it might be helpful for REG to access the requested information, it is clear that providing it would require PPL Electric to make significant changes to its metering and customer records system.  Whether to direct the formation of a working group is more appropriate to a separate proceeding which would evaluate all aspects of the metering and customer records systems and result in a comprehensive recommendation.  Accordingly, the request to include direction regarding this matter as part of a rate request is denied.</w:t>
      </w:r>
    </w:p>
    <w:p w:rsidR="000E7AB9" w:rsidRDefault="000E7AB9" w:rsidP="007C2B54">
      <w:pPr>
        <w:pStyle w:val="Pleading2L3"/>
        <w:numPr>
          <w:ilvl w:val="0"/>
          <w:numId w:val="0"/>
        </w:numPr>
        <w:spacing w:line="360" w:lineRule="auto"/>
      </w:pPr>
    </w:p>
    <w:p w:rsidR="007C2B54" w:rsidRDefault="000E7AB9" w:rsidP="000E7AB9">
      <w:pPr>
        <w:pStyle w:val="Pleading2L3"/>
        <w:numPr>
          <w:ilvl w:val="0"/>
          <w:numId w:val="0"/>
        </w:numPr>
        <w:spacing w:line="360" w:lineRule="auto"/>
        <w:rPr>
          <w:b/>
        </w:rPr>
      </w:pPr>
      <w:r>
        <w:rPr>
          <w:b/>
        </w:rPr>
        <w:tab/>
      </w:r>
    </w:p>
    <w:p w:rsidR="007C2B54" w:rsidRDefault="007C2B54">
      <w:pPr>
        <w:spacing w:line="240" w:lineRule="auto"/>
        <w:jc w:val="left"/>
        <w:rPr>
          <w:rFonts w:eastAsia="Times New Roman"/>
          <w:b/>
          <w:szCs w:val="20"/>
        </w:rPr>
      </w:pPr>
      <w:r>
        <w:rPr>
          <w:b/>
        </w:rPr>
        <w:br w:type="page"/>
      </w:r>
    </w:p>
    <w:p w:rsidR="000E7AB9" w:rsidRPr="00972001" w:rsidRDefault="000E7AB9" w:rsidP="00461C65">
      <w:pPr>
        <w:pStyle w:val="Pleading2L3"/>
        <w:numPr>
          <w:ilvl w:val="0"/>
          <w:numId w:val="0"/>
        </w:numPr>
        <w:spacing w:line="360" w:lineRule="auto"/>
        <w:ind w:firstLine="720"/>
      </w:pPr>
      <w:r w:rsidRPr="00972001">
        <w:lastRenderedPageBreak/>
        <w:t>B.</w:t>
      </w:r>
      <w:r w:rsidRPr="00972001">
        <w:tab/>
      </w:r>
      <w:r w:rsidRPr="00972001">
        <w:rPr>
          <w:u w:val="single"/>
        </w:rPr>
        <w:t>Net Metering -- SEF</w:t>
      </w:r>
      <w:r w:rsidR="00CE0415">
        <w:rPr>
          <w:u w:val="single"/>
        </w:rPr>
        <w:fldChar w:fldCharType="begin"/>
      </w:r>
      <w:r w:rsidR="009C5D54">
        <w:instrText xml:space="preserve"> TC "</w:instrText>
      </w:r>
      <w:bookmarkStart w:id="54" w:name="_Toc274905764"/>
      <w:bookmarkStart w:id="55" w:name="_Toc274906174"/>
      <w:bookmarkStart w:id="56" w:name="_Toc274912177"/>
      <w:r w:rsidR="009C5D54" w:rsidRPr="00724530">
        <w:instrText>B.</w:instrText>
      </w:r>
      <w:r w:rsidR="009C5D54" w:rsidRPr="00724530">
        <w:tab/>
      </w:r>
      <w:r w:rsidR="009C5D54" w:rsidRPr="00724530">
        <w:rPr>
          <w:u w:val="single"/>
        </w:rPr>
        <w:instrText>Net Metering -- SEF</w:instrText>
      </w:r>
      <w:bookmarkEnd w:id="54"/>
      <w:bookmarkEnd w:id="55"/>
      <w:bookmarkEnd w:id="56"/>
      <w:r w:rsidR="009C5D54">
        <w:instrText xml:space="preserve">" \f C \l "3" </w:instrText>
      </w:r>
      <w:r w:rsidR="00CE0415">
        <w:rPr>
          <w:u w:val="single"/>
        </w:rPr>
        <w:fldChar w:fldCharType="end"/>
      </w:r>
    </w:p>
    <w:p w:rsidR="000E7AB9" w:rsidRPr="006005B4" w:rsidRDefault="000E7AB9" w:rsidP="00461C65">
      <w:pPr>
        <w:pStyle w:val="Pleading2L3"/>
        <w:numPr>
          <w:ilvl w:val="0"/>
          <w:numId w:val="0"/>
        </w:numPr>
        <w:spacing w:line="360" w:lineRule="auto"/>
        <w:rPr>
          <w:b/>
        </w:rPr>
      </w:pPr>
    </w:p>
    <w:p w:rsidR="000E7AB9" w:rsidRDefault="000E7AB9" w:rsidP="00461C65">
      <w:pPr>
        <w:pStyle w:val="Pleading2L3"/>
        <w:numPr>
          <w:ilvl w:val="0"/>
          <w:numId w:val="0"/>
        </w:numPr>
        <w:spacing w:line="360" w:lineRule="auto"/>
      </w:pPr>
      <w:r>
        <w:tab/>
      </w:r>
      <w:r>
        <w:tab/>
        <w:t xml:space="preserve">SEF’s remaining issue is Net Metering tariff language, compensation for customer-generators who generate and deliver to PPL Electric in any month or year more kilowatt hours than PPL Electric delivers to the customer-generator.   </w:t>
      </w:r>
    </w:p>
    <w:p w:rsidR="000E7AB9" w:rsidRDefault="000E7AB9" w:rsidP="000E7AB9">
      <w:pPr>
        <w:pStyle w:val="Pleading2L3"/>
        <w:numPr>
          <w:ilvl w:val="0"/>
          <w:numId w:val="0"/>
        </w:numPr>
        <w:spacing w:line="360" w:lineRule="auto"/>
      </w:pPr>
    </w:p>
    <w:p w:rsidR="000E7AB9" w:rsidRDefault="000E7AB9" w:rsidP="00461C65">
      <w:pPr>
        <w:pStyle w:val="Pleading2L3"/>
        <w:numPr>
          <w:ilvl w:val="0"/>
          <w:numId w:val="0"/>
        </w:numPr>
        <w:spacing w:line="240" w:lineRule="auto"/>
      </w:pPr>
      <w:r>
        <w:tab/>
      </w:r>
      <w:r>
        <w:tab/>
        <w:t>Commission regulations define “net metering” as follows:</w:t>
      </w:r>
    </w:p>
    <w:p w:rsidR="00597428" w:rsidRDefault="00597428" w:rsidP="00461C65">
      <w:pPr>
        <w:pStyle w:val="Pleading2L3"/>
        <w:numPr>
          <w:ilvl w:val="0"/>
          <w:numId w:val="0"/>
        </w:numPr>
        <w:spacing w:line="240" w:lineRule="auto"/>
      </w:pPr>
    </w:p>
    <w:p w:rsidR="00597428" w:rsidRDefault="000E7AB9" w:rsidP="00597428">
      <w:pPr>
        <w:spacing w:line="240" w:lineRule="auto"/>
        <w:ind w:left="1440" w:right="1440"/>
        <w:jc w:val="left"/>
        <w:outlineLvl w:val="3"/>
        <w:rPr>
          <w:rFonts w:eastAsia="Times New Roman"/>
          <w:bCs/>
          <w:sz w:val="27"/>
          <w:szCs w:val="27"/>
        </w:rPr>
      </w:pPr>
      <w:r w:rsidRPr="0032708F">
        <w:rPr>
          <w:rFonts w:eastAsia="Times New Roman"/>
        </w:rPr>
        <w:t>     </w:t>
      </w:r>
      <w:r w:rsidRPr="0032708F">
        <w:rPr>
          <w:rFonts w:eastAsia="Times New Roman"/>
          <w:i/>
          <w:iCs/>
        </w:rPr>
        <w:t>Net metering</w:t>
      </w:r>
      <w:r w:rsidRPr="0032708F">
        <w:rPr>
          <w:rFonts w:eastAsia="Times New Roman"/>
        </w:rPr>
        <w:t xml:space="preserve">—The means of measuring the difference between the electricity supplied by an electric utility or EGS and the electricity generated by a customer-generator when any portion of the electricity generated by the alternative energy generating system is used to offset part or all of the customer-generator’s requirements for electricity. </w:t>
      </w:r>
      <w:r w:rsidRPr="0032708F">
        <w:rPr>
          <w:rFonts w:eastAsia="Times New Roman"/>
        </w:rPr>
        <w:br/>
      </w:r>
    </w:p>
    <w:p w:rsidR="000E7AB9" w:rsidRPr="0032708F" w:rsidRDefault="000E7AB9" w:rsidP="00597428">
      <w:pPr>
        <w:ind w:left="1440" w:right="1440" w:hanging="1440"/>
        <w:jc w:val="left"/>
        <w:outlineLvl w:val="3"/>
        <w:rPr>
          <w:rFonts w:eastAsia="Times New Roman"/>
          <w:bCs/>
        </w:rPr>
      </w:pPr>
      <w:r w:rsidRPr="00E0770F">
        <w:rPr>
          <w:rFonts w:eastAsia="Times New Roman"/>
          <w:bCs/>
          <w:sz w:val="27"/>
          <w:szCs w:val="27"/>
        </w:rPr>
        <w:t xml:space="preserve">52 Pa. Code </w:t>
      </w:r>
      <w:r w:rsidRPr="0032708F">
        <w:rPr>
          <w:rFonts w:eastAsia="Times New Roman"/>
          <w:bCs/>
          <w:sz w:val="27"/>
          <w:szCs w:val="27"/>
        </w:rPr>
        <w:t>§ 75.12</w:t>
      </w:r>
      <w:r w:rsidRPr="00E0770F">
        <w:rPr>
          <w:rFonts w:eastAsia="Times New Roman"/>
          <w:bCs/>
          <w:sz w:val="27"/>
          <w:szCs w:val="27"/>
        </w:rPr>
        <w:t xml:space="preserve"> (d</w:t>
      </w:r>
      <w:r w:rsidRPr="0032708F">
        <w:rPr>
          <w:rFonts w:eastAsia="Times New Roman"/>
          <w:bCs/>
        </w:rPr>
        <w:t>efinitions</w:t>
      </w:r>
      <w:r w:rsidRPr="00E0770F">
        <w:rPr>
          <w:rFonts w:eastAsia="Times New Roman"/>
          <w:bCs/>
        </w:rPr>
        <w:t>)</w:t>
      </w:r>
      <w:r w:rsidRPr="0032708F">
        <w:rPr>
          <w:rFonts w:eastAsia="Times New Roman"/>
          <w:bCs/>
        </w:rPr>
        <w:t>.</w:t>
      </w:r>
    </w:p>
    <w:p w:rsidR="000E7AB9" w:rsidRDefault="000E7AB9" w:rsidP="00597428">
      <w:pPr>
        <w:pStyle w:val="Pleading2L3"/>
        <w:numPr>
          <w:ilvl w:val="0"/>
          <w:numId w:val="0"/>
        </w:numPr>
        <w:spacing w:line="360" w:lineRule="auto"/>
      </w:pPr>
    </w:p>
    <w:p w:rsidR="000E7AB9" w:rsidRDefault="000E7AB9" w:rsidP="000E7AB9">
      <w:pPr>
        <w:pStyle w:val="Pleading2L3"/>
        <w:numPr>
          <w:ilvl w:val="0"/>
          <w:numId w:val="0"/>
        </w:numPr>
        <w:spacing w:line="360" w:lineRule="auto"/>
      </w:pPr>
      <w:r>
        <w:tab/>
      </w:r>
      <w:r>
        <w:tab/>
        <w:t>PPL Electric is proposing several changes to its Net Metering for Renewable Customer-Generators Rider, with the stated intent to coordinate with the Alternative Energy Portfolio Standards Act, Act of November 30, 2004, P.L. 1672, as amended, 73 P.S. §§ 1648.1-1648.8 (AEPS Act), and the Commission’s regulations implementing the AEPS Act, 52 Pa. Code §§ 75.61-75.70.  The changes are:</w:t>
      </w:r>
    </w:p>
    <w:p w:rsidR="00972001" w:rsidRDefault="00972001" w:rsidP="00461C65">
      <w:pPr>
        <w:pStyle w:val="Pleading2L3"/>
        <w:numPr>
          <w:ilvl w:val="0"/>
          <w:numId w:val="0"/>
        </w:numPr>
        <w:spacing w:line="240" w:lineRule="auto"/>
      </w:pPr>
    </w:p>
    <w:p w:rsidR="000E7AB9" w:rsidRDefault="000E7AB9" w:rsidP="000E7AB9">
      <w:pPr>
        <w:pStyle w:val="Pleading2L3"/>
        <w:numPr>
          <w:ilvl w:val="0"/>
          <w:numId w:val="0"/>
        </w:numPr>
        <w:spacing w:line="240" w:lineRule="auto"/>
        <w:ind w:left="1440" w:right="1440"/>
      </w:pPr>
      <w:r>
        <w:t>1.</w:t>
      </w:r>
      <w:r>
        <w:tab/>
        <w:t>Revision of the billing provision to provide for annual payments for excess generation at PPL Electric’s Price to Compare; and</w:t>
      </w:r>
    </w:p>
    <w:p w:rsidR="000E7AB9" w:rsidRDefault="000E7AB9" w:rsidP="000E7AB9">
      <w:pPr>
        <w:pStyle w:val="Pleading2L3"/>
        <w:numPr>
          <w:ilvl w:val="0"/>
          <w:numId w:val="0"/>
        </w:numPr>
        <w:spacing w:line="240" w:lineRule="auto"/>
        <w:ind w:left="1440" w:right="1440"/>
      </w:pPr>
    </w:p>
    <w:p w:rsidR="000E7AB9" w:rsidRDefault="000E7AB9" w:rsidP="000E7AB9">
      <w:pPr>
        <w:pStyle w:val="Pleading2L3"/>
        <w:numPr>
          <w:ilvl w:val="0"/>
          <w:numId w:val="0"/>
        </w:numPr>
        <w:spacing w:line="240" w:lineRule="auto"/>
        <w:ind w:left="1440" w:right="1440"/>
      </w:pPr>
      <w:r>
        <w:t>2.</w:t>
      </w:r>
      <w:r>
        <w:tab/>
        <w:t xml:space="preserve">Conditions under which shopping customers can qualify and participate in the net metering program.  </w:t>
      </w:r>
    </w:p>
    <w:p w:rsidR="000E7AB9" w:rsidRDefault="000E7AB9" w:rsidP="000E7AB9">
      <w:pPr>
        <w:pStyle w:val="Pleading2L3"/>
        <w:numPr>
          <w:ilvl w:val="0"/>
          <w:numId w:val="0"/>
        </w:numPr>
        <w:spacing w:line="240" w:lineRule="auto"/>
        <w:ind w:left="1440" w:right="1440"/>
      </w:pPr>
      <w:r>
        <w:t>PPL Electric Initial Brief at 64 (citations omitted) and PPL Reply Brief at 23.</w:t>
      </w:r>
    </w:p>
    <w:p w:rsidR="000E7AB9" w:rsidRDefault="000E7AB9" w:rsidP="000E7AB9">
      <w:pPr>
        <w:pStyle w:val="Pleading2L3"/>
        <w:numPr>
          <w:ilvl w:val="0"/>
          <w:numId w:val="0"/>
        </w:numPr>
        <w:spacing w:line="360" w:lineRule="auto"/>
      </w:pPr>
    </w:p>
    <w:p w:rsidR="000E7AB9" w:rsidRDefault="000E7AB9" w:rsidP="000E7AB9">
      <w:pPr>
        <w:pStyle w:val="Pleading2L3"/>
        <w:numPr>
          <w:ilvl w:val="0"/>
          <w:numId w:val="0"/>
        </w:numPr>
        <w:spacing w:line="360" w:lineRule="auto"/>
      </w:pPr>
      <w:r>
        <w:tab/>
      </w:r>
      <w:r>
        <w:tab/>
        <w:t xml:space="preserve">SEF argues that PPL Electric’s proposal is inconsistent with the Commission’s Final Omitted Rulemaking Order in </w:t>
      </w:r>
      <w:r>
        <w:rPr>
          <w:i/>
        </w:rPr>
        <w:t xml:space="preserve">Implementation of Act 35 of 2007; Net Metering and Interconnection, </w:t>
      </w:r>
      <w:r>
        <w:t xml:space="preserve">L-00050174 (entered July 2, 2008).  SEF argues that the PPL price to compare is not the correct measure of compensation for excess generation annually because it does not credit customer and demand charges that these customers incur.  </w:t>
      </w:r>
    </w:p>
    <w:p w:rsidR="000E7AB9" w:rsidRDefault="000E7AB9" w:rsidP="00972001">
      <w:pPr>
        <w:pStyle w:val="Pleading2L3"/>
        <w:numPr>
          <w:ilvl w:val="0"/>
          <w:numId w:val="0"/>
        </w:numPr>
        <w:spacing w:line="360" w:lineRule="auto"/>
      </w:pPr>
      <w:r>
        <w:lastRenderedPageBreak/>
        <w:tab/>
      </w:r>
      <w:r>
        <w:tab/>
        <w:t>PPL states:</w:t>
      </w:r>
    </w:p>
    <w:p w:rsidR="00972001" w:rsidRDefault="00972001" w:rsidP="00972001">
      <w:pPr>
        <w:pStyle w:val="Pleading2L3"/>
        <w:numPr>
          <w:ilvl w:val="0"/>
          <w:numId w:val="0"/>
        </w:numPr>
        <w:spacing w:line="240" w:lineRule="auto"/>
      </w:pPr>
    </w:p>
    <w:p w:rsidR="000E7AB9" w:rsidRDefault="000E7AB9" w:rsidP="000E7AB9">
      <w:pPr>
        <w:pStyle w:val="Pleading2L3"/>
        <w:numPr>
          <w:ilvl w:val="0"/>
          <w:numId w:val="0"/>
        </w:numPr>
        <w:spacing w:line="240" w:lineRule="auto"/>
        <w:ind w:left="1440" w:right="1440"/>
        <w:contextualSpacing/>
      </w:pPr>
      <w:r>
        <w:tab/>
        <w:t>Under the Net Metering Rider, the kilowatt-hours generated by the customer is automatically credited against the kilowatt-hours of usage by the two-way net metering equipment which nets customer usage and customer generation.  The customer is given full retail value for the kilowatt-hours generated for distribution (if kilowatt-hour charges exist in the rate schedule), Act 129 charges, transmission, energy &amp; capacity, and competitive transition charge.  Pursuant to PPL Electric’s currently effective and approved tariff, customers are responsible for the customer charge, the minimum bill, and any demand that may have been registered on the meter, even if customer generation was equal to or exceeded customer usage.  PPL Electric St. 8-0RJ, p. 8; PPL Electric Ex. OGK</w:t>
      </w:r>
      <w:r w:rsidR="00440907">
        <w:t xml:space="preserve">-1, 0. 19L.3.  </w:t>
      </w:r>
      <w:r>
        <w:t>As explained in the rebuttal testimony of Mr. Kasper, over 90% of the charges on the average customer’s bill are comprised of kWh charges.  PPL Electric St. 8-R, p. 9.  Therefore, PPL Electric is crediting over 90 percent of the distribution charges for residential customers.</w:t>
      </w:r>
    </w:p>
    <w:p w:rsidR="000E7AB9" w:rsidRDefault="000E7AB9" w:rsidP="000E7AB9">
      <w:pPr>
        <w:pStyle w:val="Pleading2L3"/>
        <w:numPr>
          <w:ilvl w:val="0"/>
          <w:numId w:val="0"/>
        </w:numPr>
        <w:spacing w:line="240" w:lineRule="auto"/>
        <w:ind w:left="1440" w:right="1440"/>
        <w:contextualSpacing/>
      </w:pPr>
      <w:r>
        <w:tab/>
        <w:t>These requirements have not changed in the proposed tariff.  This is a reasonable and appropriate result.  Net Metering customers continue to be connected to the Company’s distribution system and continue to use that system both as a consumer of electricity and as a generator of electricity.  The customer charge is designed to recover costs associated with connecting a customer to the system regardless of the customer usage (either as buyer or as a seller).  The demand charge is designed to recover the costs associated with the maximum demand a customer places on the system (again either as a buyer or as a seller).  There is therefore no rational basis for eliminating the customer charge or demand charge as part of the Net Metering Rider.  PPL Electric St. 8-RJ, p. 8.  As explained above, clearly it is inconsistent with the Commission’s regulations on this point, and is unnecessary given over 90% of charges are energy based.</w:t>
      </w:r>
    </w:p>
    <w:p w:rsidR="00440907" w:rsidRDefault="00440907" w:rsidP="00440907">
      <w:pPr>
        <w:pStyle w:val="Pleading2L3"/>
        <w:numPr>
          <w:ilvl w:val="0"/>
          <w:numId w:val="0"/>
        </w:numPr>
        <w:spacing w:line="240" w:lineRule="auto"/>
        <w:ind w:left="1440" w:right="1440" w:hanging="1350"/>
        <w:contextualSpacing/>
      </w:pPr>
    </w:p>
    <w:p w:rsidR="000E7AB9" w:rsidRDefault="000E7AB9" w:rsidP="00F226FD">
      <w:pPr>
        <w:pStyle w:val="Pleading2L3"/>
        <w:numPr>
          <w:ilvl w:val="0"/>
          <w:numId w:val="0"/>
        </w:numPr>
        <w:spacing w:line="360" w:lineRule="auto"/>
        <w:ind w:left="1440" w:right="1440" w:hanging="1350"/>
        <w:contextualSpacing/>
      </w:pPr>
      <w:r>
        <w:t>PPL Initial Brief at 65-66.</w:t>
      </w:r>
    </w:p>
    <w:p w:rsidR="000E7AB9" w:rsidRDefault="000E7AB9" w:rsidP="000E7AB9">
      <w:pPr>
        <w:pStyle w:val="Pleading2L3"/>
        <w:numPr>
          <w:ilvl w:val="0"/>
          <w:numId w:val="0"/>
        </w:numPr>
        <w:spacing w:line="240" w:lineRule="auto"/>
      </w:pPr>
    </w:p>
    <w:p w:rsidR="000E7AB9" w:rsidRDefault="000E7AB9" w:rsidP="00F226FD">
      <w:pPr>
        <w:pStyle w:val="Pleading2L3"/>
        <w:numPr>
          <w:ilvl w:val="0"/>
          <w:numId w:val="0"/>
        </w:numPr>
        <w:spacing w:line="240" w:lineRule="auto"/>
      </w:pPr>
      <w:r>
        <w:tab/>
      </w:r>
      <w:r>
        <w:tab/>
        <w:t>The Commission’s Final Omitted Rulemaking Order agrees:</w:t>
      </w:r>
    </w:p>
    <w:p w:rsidR="00440907" w:rsidRDefault="00440907" w:rsidP="007407C2">
      <w:pPr>
        <w:pStyle w:val="Pleading2L3"/>
        <w:numPr>
          <w:ilvl w:val="0"/>
          <w:numId w:val="0"/>
        </w:numPr>
        <w:spacing w:line="240" w:lineRule="auto"/>
      </w:pPr>
    </w:p>
    <w:p w:rsidR="000E7AB9" w:rsidRDefault="000E7AB9" w:rsidP="000E7AB9">
      <w:pPr>
        <w:pStyle w:val="Pleading2L3"/>
        <w:numPr>
          <w:ilvl w:val="0"/>
          <w:numId w:val="0"/>
        </w:numPr>
        <w:spacing w:line="240" w:lineRule="auto"/>
        <w:ind w:left="1440" w:right="1440"/>
        <w:contextualSpacing/>
      </w:pPr>
      <w:r>
        <w:tab/>
        <w:t xml:space="preserve">However, the Commission does agree with IECPA that as customer-generators will continue to use an EDC’s distribution systems, it would be unreasonable to allow them to use those systems free of charge by shifting the costs for their use of those systems onto other customers.  Thus, this Commission believes that it would be unreasonable and not in the public interest to </w:t>
      </w:r>
      <w:r>
        <w:lastRenderedPageBreak/>
        <w:t>include distribution and transition charges within the compensation provided to customer-generators for any remaining excess generation credits at the end of the compliance year.</w:t>
      </w:r>
    </w:p>
    <w:p w:rsidR="000E7AB9" w:rsidRDefault="000E7AB9" w:rsidP="000E7AB9">
      <w:pPr>
        <w:pStyle w:val="Pleading2L3"/>
        <w:numPr>
          <w:ilvl w:val="0"/>
          <w:numId w:val="0"/>
        </w:numPr>
        <w:spacing w:line="240" w:lineRule="auto"/>
        <w:ind w:left="1440" w:right="1440"/>
        <w:contextualSpacing/>
      </w:pPr>
      <w:r>
        <w:t xml:space="preserve">Final Omitted Rulemaking Order in </w:t>
      </w:r>
      <w:r>
        <w:rPr>
          <w:i/>
        </w:rPr>
        <w:t xml:space="preserve">Implementation of Act 35 of 2007; Net Metering and Interconnection, </w:t>
      </w:r>
      <w:r>
        <w:t>L-00050174 (entered July 2, 2008) at 20.</w:t>
      </w:r>
    </w:p>
    <w:p w:rsidR="000E7AB9" w:rsidRDefault="000E7AB9" w:rsidP="000E7AB9">
      <w:pPr>
        <w:pStyle w:val="Pleading2L3"/>
        <w:numPr>
          <w:ilvl w:val="0"/>
          <w:numId w:val="0"/>
        </w:numPr>
        <w:spacing w:line="360" w:lineRule="auto"/>
      </w:pPr>
    </w:p>
    <w:p w:rsidR="000E7AB9" w:rsidRDefault="000E7AB9" w:rsidP="000E7AB9">
      <w:pPr>
        <w:pStyle w:val="Pleading2L3"/>
        <w:numPr>
          <w:ilvl w:val="0"/>
          <w:numId w:val="0"/>
        </w:numPr>
        <w:spacing w:line="360" w:lineRule="auto"/>
        <w:rPr>
          <w:bCs/>
        </w:rPr>
      </w:pPr>
      <w:r>
        <w:tab/>
      </w:r>
      <w:r>
        <w:tab/>
      </w:r>
      <w:bookmarkStart w:id="57" w:name="75.13."/>
      <w:r w:rsidRPr="000A48E5">
        <w:rPr>
          <w:bCs/>
          <w:szCs w:val="24"/>
        </w:rPr>
        <w:t>The regulation itself</w:t>
      </w:r>
      <w:r>
        <w:rPr>
          <w:bCs/>
        </w:rPr>
        <w:t xml:space="preserve"> states that the credit will include distribution charges until the customer-generator generates more power than he or she uses.  The credit for surplus generated power is not required to include distribution charges:</w:t>
      </w:r>
    </w:p>
    <w:p w:rsidR="00496830" w:rsidRPr="000A48E5" w:rsidRDefault="00496830" w:rsidP="000E7AB9">
      <w:pPr>
        <w:pStyle w:val="Pleading2L3"/>
        <w:numPr>
          <w:ilvl w:val="0"/>
          <w:numId w:val="0"/>
        </w:numPr>
        <w:spacing w:line="360" w:lineRule="auto"/>
        <w:rPr>
          <w:bCs/>
          <w:szCs w:val="24"/>
        </w:rPr>
      </w:pPr>
    </w:p>
    <w:p w:rsidR="000E7AB9" w:rsidRDefault="000E7AB9" w:rsidP="00496830">
      <w:pPr>
        <w:spacing w:line="240" w:lineRule="auto"/>
        <w:ind w:left="1440" w:right="1440"/>
        <w:contextualSpacing/>
        <w:jc w:val="left"/>
        <w:outlineLvl w:val="3"/>
        <w:rPr>
          <w:rFonts w:eastAsia="Times New Roman"/>
          <w:b/>
          <w:bCs/>
        </w:rPr>
      </w:pPr>
      <w:r w:rsidRPr="0032708F">
        <w:rPr>
          <w:rFonts w:eastAsia="Times New Roman"/>
          <w:b/>
          <w:bCs/>
          <w:sz w:val="27"/>
          <w:szCs w:val="27"/>
        </w:rPr>
        <w:t>§ 75.13. </w:t>
      </w:r>
      <w:r w:rsidRPr="0032708F">
        <w:rPr>
          <w:rFonts w:eastAsia="Times New Roman"/>
          <w:b/>
          <w:bCs/>
        </w:rPr>
        <w:t>General provisions.</w:t>
      </w:r>
    </w:p>
    <w:p w:rsidR="007407C2" w:rsidRPr="0032708F" w:rsidRDefault="007407C2" w:rsidP="00496830">
      <w:pPr>
        <w:spacing w:line="240" w:lineRule="auto"/>
        <w:ind w:left="1440" w:right="1440"/>
        <w:contextualSpacing/>
        <w:jc w:val="left"/>
        <w:outlineLvl w:val="3"/>
        <w:rPr>
          <w:rFonts w:eastAsia="Times New Roman"/>
          <w:b/>
          <w:bCs/>
        </w:rPr>
      </w:pPr>
    </w:p>
    <w:p w:rsidR="000E7AB9" w:rsidRDefault="000E7AB9" w:rsidP="00496830">
      <w:pPr>
        <w:spacing w:line="240" w:lineRule="auto"/>
        <w:ind w:left="1440" w:right="1440"/>
        <w:contextualSpacing/>
        <w:rPr>
          <w:rFonts w:eastAsia="Times New Roman"/>
        </w:rPr>
      </w:pPr>
      <w:r>
        <w:rPr>
          <w:rFonts w:eastAsia="Times New Roman"/>
        </w:rPr>
        <w:t>* * *</w:t>
      </w:r>
    </w:p>
    <w:p w:rsidR="000E7AB9" w:rsidRPr="0032708F" w:rsidRDefault="000E7AB9" w:rsidP="00496830">
      <w:pPr>
        <w:spacing w:line="240" w:lineRule="auto"/>
        <w:ind w:left="1440" w:right="1440"/>
        <w:contextualSpacing/>
        <w:jc w:val="left"/>
        <w:rPr>
          <w:rFonts w:eastAsia="Times New Roman"/>
        </w:rPr>
      </w:pPr>
      <w:r w:rsidRPr="0032708F">
        <w:rPr>
          <w:rFonts w:eastAsia="Times New Roman"/>
        </w:rPr>
        <w:t xml:space="preserve"> (c)  The EDC shall credit a customer-generator at the full retail rate, which shall include generation, transmission and distribution charges, for each kilowatt-hour produced by a Tier I or Tier II resource installed on the customer-generator’s side of the electric revenue meter, up to the total amount of electricity used by that customer during the billing period. If a customer generator supplies more electricity to the electric distribution system than the EDC delivers to the customer-generator in a given billing period, the excess kilowatt hours shall be carried forward and credited against the customer-generator’s usage in subsequent billing periods at the full retail rate. Any excess kilowatt hours shall continue to accumulate until the end of the year. For customer-generators involved in virtual meter aggregation programs, a credit shall be applied first to the meter through which the generating facility supplies electricity to the distribution system, then through the remaining meters for the customer-generator’s account equally at each meter’s designated rate. </w:t>
      </w:r>
    </w:p>
    <w:p w:rsidR="000E7AB9" w:rsidRPr="0032708F" w:rsidRDefault="000E7AB9" w:rsidP="000E7AB9">
      <w:pPr>
        <w:spacing w:before="100" w:beforeAutospacing="1" w:after="100" w:afterAutospacing="1" w:line="240" w:lineRule="auto"/>
        <w:ind w:left="1440" w:right="1440"/>
        <w:contextualSpacing/>
        <w:jc w:val="left"/>
        <w:rPr>
          <w:rFonts w:eastAsia="Times New Roman"/>
        </w:rPr>
      </w:pPr>
      <w:r w:rsidRPr="0032708F">
        <w:rPr>
          <w:rFonts w:eastAsia="Times New Roman"/>
        </w:rPr>
        <w:t xml:space="preserve"> (d)  At the end of each year, the EDC shall compensate the customer-generator for any excess kilowatt-hours generated by the customer-generator over the amount of kilowatt hours delivered by the EDC during the same year at the EDC’s price to compare. </w:t>
      </w:r>
    </w:p>
    <w:p w:rsidR="000E7AB9" w:rsidRDefault="000E7AB9" w:rsidP="000E7AB9">
      <w:pPr>
        <w:spacing w:before="100" w:beforeAutospacing="1" w:after="100" w:afterAutospacing="1" w:line="240" w:lineRule="auto"/>
        <w:ind w:left="1440" w:right="1440"/>
        <w:contextualSpacing/>
        <w:jc w:val="left"/>
        <w:rPr>
          <w:rFonts w:eastAsia="Times New Roman"/>
        </w:rPr>
      </w:pPr>
      <w:r w:rsidRPr="0032708F">
        <w:rPr>
          <w:rFonts w:eastAsia="Times New Roman"/>
        </w:rPr>
        <w:t> (e)  The credit or compensation terms for excess electricity produced by customer-generators who are customers of EGSs shall be stated in the service agreement between the customer-generator and the EGS.</w:t>
      </w:r>
    </w:p>
    <w:p w:rsidR="007407C2" w:rsidRDefault="007407C2" w:rsidP="000E7AB9">
      <w:pPr>
        <w:spacing w:before="100" w:beforeAutospacing="1" w:after="100" w:afterAutospacing="1" w:line="240" w:lineRule="auto"/>
        <w:ind w:left="1440" w:right="1440"/>
        <w:contextualSpacing/>
        <w:jc w:val="left"/>
        <w:rPr>
          <w:rFonts w:eastAsia="Times New Roman"/>
        </w:rPr>
      </w:pPr>
    </w:p>
    <w:p w:rsidR="007407C2" w:rsidRDefault="007407C2" w:rsidP="007407C2">
      <w:pPr>
        <w:spacing w:before="100" w:beforeAutospacing="1" w:after="100" w:afterAutospacing="1" w:line="240" w:lineRule="auto"/>
        <w:ind w:left="1440" w:right="1440" w:hanging="1440"/>
        <w:contextualSpacing/>
        <w:jc w:val="left"/>
        <w:rPr>
          <w:rFonts w:eastAsia="Times New Roman"/>
        </w:rPr>
      </w:pPr>
      <w:r>
        <w:rPr>
          <w:rFonts w:eastAsia="Times New Roman"/>
        </w:rPr>
        <w:t>52 Pa. Code §73.13(c), (d) and (e).</w:t>
      </w:r>
    </w:p>
    <w:p w:rsidR="007407C2" w:rsidRDefault="007407C2" w:rsidP="007407C2">
      <w:pPr>
        <w:spacing w:line="240" w:lineRule="auto"/>
        <w:ind w:left="1440" w:right="1440"/>
        <w:contextualSpacing/>
        <w:jc w:val="left"/>
        <w:rPr>
          <w:rFonts w:eastAsia="Times New Roman"/>
        </w:rPr>
      </w:pPr>
    </w:p>
    <w:p w:rsidR="000E7AB9" w:rsidRPr="0032708F" w:rsidRDefault="000E7AB9" w:rsidP="007407C2">
      <w:pPr>
        <w:spacing w:line="240" w:lineRule="auto"/>
        <w:ind w:left="1440" w:right="1440"/>
        <w:contextualSpacing/>
        <w:rPr>
          <w:rFonts w:eastAsia="Times New Roman"/>
        </w:rPr>
      </w:pPr>
      <w:r>
        <w:rPr>
          <w:rFonts w:eastAsia="Times New Roman"/>
        </w:rPr>
        <w:t>* * *</w:t>
      </w:r>
    </w:p>
    <w:bookmarkEnd w:id="57"/>
    <w:p w:rsidR="000E7AB9" w:rsidRDefault="000E7AB9" w:rsidP="00496830">
      <w:pPr>
        <w:spacing w:line="240" w:lineRule="auto"/>
        <w:ind w:right="1440"/>
        <w:contextualSpacing/>
        <w:jc w:val="left"/>
        <w:rPr>
          <w:rFonts w:eastAsia="Times New Roman"/>
        </w:rPr>
      </w:pPr>
    </w:p>
    <w:p w:rsidR="000E7AB9" w:rsidRDefault="000E7AB9" w:rsidP="000E7AB9">
      <w:pPr>
        <w:spacing w:before="100" w:beforeAutospacing="1" w:after="100" w:afterAutospacing="1"/>
        <w:jc w:val="left"/>
        <w:rPr>
          <w:rFonts w:eastAsia="Times New Roman"/>
        </w:rPr>
      </w:pPr>
      <w:r>
        <w:rPr>
          <w:rFonts w:eastAsia="Times New Roman"/>
        </w:rPr>
        <w:lastRenderedPageBreak/>
        <w:tab/>
      </w:r>
      <w:r>
        <w:rPr>
          <w:rFonts w:eastAsia="Times New Roman"/>
        </w:rPr>
        <w:tab/>
        <w:t>SEF’s objection is to PPL’s use of the term “PPL’s Price to Compare,” defined in the Commission’s regulations regarding default service as:</w:t>
      </w:r>
    </w:p>
    <w:p w:rsidR="000E7AB9" w:rsidRDefault="000E7AB9" w:rsidP="000E7AB9">
      <w:pPr>
        <w:spacing w:before="100" w:beforeAutospacing="1" w:after="100" w:afterAutospacing="1" w:line="240" w:lineRule="auto"/>
        <w:ind w:left="1440" w:right="1440"/>
        <w:contextualSpacing/>
        <w:jc w:val="left"/>
      </w:pPr>
      <w:r>
        <w:rPr>
          <w:i/>
          <w:iCs/>
        </w:rPr>
        <w:t>PTC—Price-to-compare</w:t>
      </w:r>
      <w:r>
        <w:t>—A line item that appears on a retail customer’s monthly bill for default service. The PTC is equal to the sum of all unbundled generation and transmission related charges to a default service customer for that month of service.</w:t>
      </w:r>
    </w:p>
    <w:p w:rsidR="000E7AB9" w:rsidRDefault="000E7AB9" w:rsidP="00496830">
      <w:pPr>
        <w:spacing w:line="240" w:lineRule="auto"/>
        <w:ind w:left="1440" w:right="1440"/>
        <w:contextualSpacing/>
        <w:jc w:val="left"/>
      </w:pPr>
      <w:r>
        <w:t xml:space="preserve">52 Pa. Code § 54.182. </w:t>
      </w:r>
    </w:p>
    <w:p w:rsidR="00496830" w:rsidRDefault="000E7AB9" w:rsidP="00496830">
      <w:pPr>
        <w:pStyle w:val="Pleading2L3"/>
        <w:numPr>
          <w:ilvl w:val="0"/>
          <w:numId w:val="0"/>
        </w:numPr>
        <w:spacing w:line="360" w:lineRule="auto"/>
      </w:pPr>
      <w:r>
        <w:tab/>
      </w:r>
      <w:r>
        <w:tab/>
      </w:r>
    </w:p>
    <w:p w:rsidR="009C5D54" w:rsidRDefault="00496830" w:rsidP="00496830">
      <w:pPr>
        <w:pStyle w:val="Pleading2L3"/>
        <w:numPr>
          <w:ilvl w:val="0"/>
          <w:numId w:val="0"/>
        </w:numPr>
        <w:spacing w:line="360" w:lineRule="auto"/>
      </w:pPr>
      <w:r>
        <w:tab/>
      </w:r>
      <w:r>
        <w:tab/>
      </w:r>
      <w:r w:rsidR="000E7AB9">
        <w:t>Distribution charges are not included in the definition.  The Commission’s Final Omitted Rulemaking Order states:</w:t>
      </w:r>
      <w:r w:rsidR="000E7AB9">
        <w:tab/>
      </w:r>
    </w:p>
    <w:p w:rsidR="009C5D54" w:rsidRDefault="009C5D54" w:rsidP="00496830">
      <w:pPr>
        <w:pStyle w:val="Pleading2L3"/>
        <w:numPr>
          <w:ilvl w:val="0"/>
          <w:numId w:val="0"/>
        </w:numPr>
        <w:spacing w:line="240" w:lineRule="auto"/>
        <w:ind w:left="1440" w:right="1440"/>
        <w:contextualSpacing/>
      </w:pPr>
    </w:p>
    <w:p w:rsidR="000E7AB9" w:rsidRDefault="000E7AB9" w:rsidP="000E7AB9">
      <w:pPr>
        <w:pStyle w:val="Pleading2L3"/>
        <w:numPr>
          <w:ilvl w:val="0"/>
          <w:numId w:val="0"/>
        </w:numPr>
        <w:spacing w:line="240" w:lineRule="auto"/>
        <w:ind w:left="1440" w:right="1440"/>
        <w:contextualSpacing/>
      </w:pPr>
      <w:r>
        <w:t xml:space="preserve">To summarize, the Commission is amending 52 Pa. Code </w:t>
      </w:r>
    </w:p>
    <w:p w:rsidR="000E7AB9" w:rsidRDefault="000E7AB9" w:rsidP="000E7AB9">
      <w:pPr>
        <w:pStyle w:val="Pleading2L3"/>
        <w:numPr>
          <w:ilvl w:val="0"/>
          <w:numId w:val="0"/>
        </w:numPr>
        <w:spacing w:line="240" w:lineRule="auto"/>
        <w:ind w:left="1440" w:right="1440"/>
        <w:contextualSpacing/>
      </w:pPr>
      <w:r>
        <w:t>§ 75.13(d) such that, for any unused kilowatt-hours accumulated at the end of the annualized period, compensation to the customer-generator shall equal the price-to-compare rate, as defined in 52 Pa. Code § 54.182, which includes the retail generation and transmission components of the retail rate, and which consumers also utilize when choosing whether or not to obtain supply service from an EGS.  Since the EDC’s retail generation and transmission rates may fluctuate during a year, such compensation shall be calculated by using the weighted average generation and transmission rates, with the weighting based on the rates in effect when the monthly excess generation actually was delivered by the customer-generator to the EDC.  If the transmission or generation rate designs incorporate time of use rates, the weighted average rates should reflect the rates in effect during the time that the customer-generator delivered it generation to the EDC.</w:t>
      </w:r>
    </w:p>
    <w:p w:rsidR="000E7AB9" w:rsidRDefault="000E7AB9" w:rsidP="000E7AB9">
      <w:pPr>
        <w:pStyle w:val="Pleading2L3"/>
        <w:numPr>
          <w:ilvl w:val="0"/>
          <w:numId w:val="0"/>
        </w:numPr>
        <w:spacing w:line="240" w:lineRule="auto"/>
        <w:ind w:left="1440" w:right="1440"/>
        <w:contextualSpacing/>
      </w:pPr>
      <w:r>
        <w:t xml:space="preserve">Final Omitted Rulemaking Order in </w:t>
      </w:r>
      <w:r>
        <w:rPr>
          <w:i/>
        </w:rPr>
        <w:t xml:space="preserve">Implementation of Act 35 of 2007; Net Metering and Interconnection, </w:t>
      </w:r>
      <w:r>
        <w:t xml:space="preserve">L-00050174 (entered July 2, 2008) at 20-21.  </w:t>
      </w:r>
    </w:p>
    <w:p w:rsidR="000E7AB9" w:rsidRDefault="000E7AB9" w:rsidP="000E7AB9">
      <w:pPr>
        <w:pStyle w:val="Pleading2L3"/>
        <w:numPr>
          <w:ilvl w:val="0"/>
          <w:numId w:val="0"/>
        </w:numPr>
        <w:spacing w:line="360" w:lineRule="auto"/>
      </w:pPr>
      <w:r>
        <w:t xml:space="preserve"> </w:t>
      </w:r>
    </w:p>
    <w:p w:rsidR="000E7AB9" w:rsidRDefault="000E7AB9" w:rsidP="000E7AB9">
      <w:pPr>
        <w:pStyle w:val="Pleading2L3"/>
        <w:numPr>
          <w:ilvl w:val="0"/>
          <w:numId w:val="0"/>
        </w:numPr>
        <w:spacing w:line="360" w:lineRule="auto"/>
      </w:pPr>
      <w:r>
        <w:tab/>
      </w:r>
      <w:r>
        <w:tab/>
        <w:t xml:space="preserve">The regulation and Commission intent as reflected in its implementation order are that distribution charges are to be included in the credit to customer-generators </w:t>
      </w:r>
      <w:r w:rsidRPr="0004689C">
        <w:rPr>
          <w:i/>
        </w:rPr>
        <w:t>until those customer-generators generate more power than they consume.</w:t>
      </w:r>
      <w:r>
        <w:t xml:space="preserve">  At that point, the amount credited need not include distribution charges.</w:t>
      </w:r>
      <w:r>
        <w:tab/>
      </w:r>
    </w:p>
    <w:p w:rsidR="000E7AB9" w:rsidRDefault="000E7AB9" w:rsidP="000E7AB9">
      <w:pPr>
        <w:pStyle w:val="Pleading2L3"/>
        <w:numPr>
          <w:ilvl w:val="0"/>
          <w:numId w:val="0"/>
        </w:numPr>
        <w:spacing w:line="360" w:lineRule="auto"/>
      </w:pPr>
      <w:r>
        <w:tab/>
      </w:r>
    </w:p>
    <w:p w:rsidR="000E7AB9" w:rsidRDefault="000E7AB9" w:rsidP="000E7AB9">
      <w:pPr>
        <w:pStyle w:val="Pleading2L3"/>
        <w:numPr>
          <w:ilvl w:val="0"/>
          <w:numId w:val="0"/>
        </w:numPr>
        <w:spacing w:line="360" w:lineRule="auto"/>
      </w:pPr>
      <w:r>
        <w:tab/>
      </w:r>
      <w:r>
        <w:tab/>
        <w:t>PPL Electric’s proposed change is consistent with applicable law and should be approved.</w:t>
      </w:r>
    </w:p>
    <w:p w:rsidR="000E7AB9" w:rsidRDefault="000E7AB9" w:rsidP="000E7AB9">
      <w:pPr>
        <w:pStyle w:val="Pleading2L3"/>
        <w:numPr>
          <w:ilvl w:val="0"/>
          <w:numId w:val="0"/>
        </w:numPr>
        <w:spacing w:line="360" w:lineRule="auto"/>
      </w:pPr>
    </w:p>
    <w:p w:rsidR="000E7AB9" w:rsidRDefault="000E7AB9" w:rsidP="000E7AB9">
      <w:pPr>
        <w:pStyle w:val="Pleading2L3"/>
        <w:numPr>
          <w:ilvl w:val="0"/>
          <w:numId w:val="0"/>
        </w:numPr>
        <w:spacing w:line="360" w:lineRule="auto"/>
      </w:pPr>
      <w:r>
        <w:lastRenderedPageBreak/>
        <w:tab/>
      </w:r>
      <w:r>
        <w:tab/>
        <w:t xml:space="preserve">SEF seeks to simplify the terms to make the tariff more understandable.  This change accomplishes that by substituting a term which has both a regulatory definition and has become easily recognizable in its own right (Price to Compare).  </w:t>
      </w:r>
    </w:p>
    <w:p w:rsidR="000E7AB9" w:rsidRDefault="000E7AB9" w:rsidP="000E7AB9">
      <w:pPr>
        <w:pStyle w:val="Pleading2L3"/>
        <w:numPr>
          <w:ilvl w:val="0"/>
          <w:numId w:val="0"/>
        </w:numPr>
        <w:spacing w:line="360" w:lineRule="auto"/>
      </w:pPr>
    </w:p>
    <w:p w:rsidR="000E7AB9" w:rsidRDefault="000E7AB9" w:rsidP="000E7AB9">
      <w:pPr>
        <w:pStyle w:val="Pleading2L3"/>
        <w:numPr>
          <w:ilvl w:val="0"/>
          <w:numId w:val="0"/>
        </w:numPr>
        <w:spacing w:line="360" w:lineRule="auto"/>
      </w:pPr>
      <w:r>
        <w:tab/>
      </w:r>
      <w:r>
        <w:tab/>
        <w:t xml:space="preserve">SEF also seeks to substitute the terms “within 15 days of May 31 of each year,” for “PJM” or “PJM Planning period.”  SEF Initial Brief at 12.  PPL Electric contends that this is unnecessary and supports its terminology with the Commission’s regulation:   </w:t>
      </w:r>
    </w:p>
    <w:p w:rsidR="00972001" w:rsidRDefault="000E7AB9" w:rsidP="003E16B5">
      <w:pPr>
        <w:pStyle w:val="Pleading2L3"/>
        <w:numPr>
          <w:ilvl w:val="0"/>
          <w:numId w:val="0"/>
        </w:numPr>
        <w:spacing w:line="240" w:lineRule="auto"/>
        <w:rPr>
          <w:i/>
          <w:iCs/>
        </w:rPr>
      </w:pPr>
      <w:r>
        <w:tab/>
      </w:r>
      <w:r>
        <w:tab/>
      </w:r>
    </w:p>
    <w:p w:rsidR="000E7AB9" w:rsidRDefault="000E7AB9" w:rsidP="000E7AB9">
      <w:pPr>
        <w:pStyle w:val="Pleading2L3"/>
        <w:numPr>
          <w:ilvl w:val="0"/>
          <w:numId w:val="0"/>
        </w:numPr>
        <w:spacing w:line="240" w:lineRule="auto"/>
        <w:ind w:left="1440" w:right="1440"/>
        <w:contextualSpacing/>
      </w:pPr>
      <w:r w:rsidRPr="0032708F">
        <w:rPr>
          <w:i/>
          <w:iCs/>
        </w:rPr>
        <w:t>Year and yearly</w:t>
      </w:r>
      <w:r w:rsidRPr="0032708F">
        <w:t>—Planning year as determined by the PJM Interconnection, LLC regional transmission organization.</w:t>
      </w:r>
    </w:p>
    <w:p w:rsidR="000E7AB9" w:rsidRDefault="000E7AB9" w:rsidP="00B7471C">
      <w:pPr>
        <w:spacing w:before="100" w:beforeAutospacing="1" w:after="100" w:afterAutospacing="1" w:line="240" w:lineRule="auto"/>
        <w:ind w:left="1440" w:right="1440" w:hanging="1440"/>
        <w:contextualSpacing/>
        <w:jc w:val="left"/>
      </w:pPr>
      <w:r>
        <w:t xml:space="preserve">52 Pa. Code § 75.12 (definitions).  </w:t>
      </w:r>
    </w:p>
    <w:p w:rsidR="000E7AB9" w:rsidRDefault="000E7AB9" w:rsidP="003E16B5">
      <w:pPr>
        <w:pStyle w:val="Pleading2L3"/>
        <w:numPr>
          <w:ilvl w:val="0"/>
          <w:numId w:val="0"/>
        </w:numPr>
        <w:spacing w:line="240" w:lineRule="auto"/>
      </w:pPr>
    </w:p>
    <w:p w:rsidR="000E7AB9" w:rsidRDefault="000E7AB9" w:rsidP="003E16B5">
      <w:pPr>
        <w:pStyle w:val="Pleading2L3"/>
        <w:numPr>
          <w:ilvl w:val="0"/>
          <w:numId w:val="0"/>
        </w:numPr>
        <w:spacing w:line="240" w:lineRule="auto"/>
        <w:ind w:firstLine="1440"/>
      </w:pPr>
      <w:r>
        <w:t>The implementation order also states:</w:t>
      </w:r>
    </w:p>
    <w:p w:rsidR="000E7AB9" w:rsidRDefault="000E7AB9" w:rsidP="003E16B5">
      <w:pPr>
        <w:pStyle w:val="Pleading2L3"/>
        <w:numPr>
          <w:ilvl w:val="0"/>
          <w:numId w:val="0"/>
        </w:numPr>
        <w:spacing w:line="240" w:lineRule="auto"/>
      </w:pPr>
    </w:p>
    <w:p w:rsidR="000E7AB9" w:rsidRDefault="000E7AB9" w:rsidP="000E7AB9">
      <w:pPr>
        <w:pStyle w:val="Pleading2L3"/>
        <w:numPr>
          <w:ilvl w:val="0"/>
          <w:numId w:val="0"/>
        </w:numPr>
        <w:spacing w:line="240" w:lineRule="auto"/>
        <w:ind w:left="1440" w:right="1440"/>
      </w:pPr>
      <w:r>
        <w:tab/>
        <w:t>The Commission agrees with EAP, OSBA and PECO that since these regulations are intended to implement portions of the AEPS Act, as amended, any reference to an annual period should conform to the AEPS compliance reporting period of June 1 through May 31, which is the PJM planning year.  This Commission believes that keeping any references to annual periods consistent throughout these regulations will eliminate confusion and provide the greatest administrative ease for all involved.</w:t>
      </w:r>
    </w:p>
    <w:p w:rsidR="000E7AB9" w:rsidRDefault="000E7AB9" w:rsidP="000E7AB9">
      <w:pPr>
        <w:pStyle w:val="Pleading2L3"/>
        <w:numPr>
          <w:ilvl w:val="0"/>
          <w:numId w:val="0"/>
        </w:numPr>
        <w:spacing w:line="240" w:lineRule="auto"/>
        <w:ind w:left="1440" w:right="1440"/>
        <w:contextualSpacing/>
      </w:pPr>
      <w:r>
        <w:t xml:space="preserve">Final Omitted Rulemaking Order in </w:t>
      </w:r>
      <w:r>
        <w:rPr>
          <w:i/>
        </w:rPr>
        <w:t xml:space="preserve">Implementation of Act 35 of 2007; Net Metering and Interconnection, </w:t>
      </w:r>
      <w:r>
        <w:t xml:space="preserve">L-00050174 (entered July 2, 2008) at 12.  </w:t>
      </w:r>
    </w:p>
    <w:p w:rsidR="000E7AB9" w:rsidRDefault="000E7AB9" w:rsidP="000E7AB9">
      <w:pPr>
        <w:pStyle w:val="Pleading2L3"/>
        <w:numPr>
          <w:ilvl w:val="0"/>
          <w:numId w:val="0"/>
        </w:numPr>
        <w:spacing w:line="360" w:lineRule="auto"/>
      </w:pPr>
    </w:p>
    <w:p w:rsidR="000E7AB9" w:rsidRDefault="000E7AB9" w:rsidP="000E7AB9">
      <w:pPr>
        <w:pStyle w:val="Pleading2L3"/>
        <w:numPr>
          <w:ilvl w:val="0"/>
          <w:numId w:val="0"/>
        </w:numPr>
        <w:spacing w:line="360" w:lineRule="auto"/>
      </w:pPr>
      <w:r>
        <w:tab/>
      </w:r>
      <w:r>
        <w:tab/>
        <w:t xml:space="preserve">For consistency, using common terminology is preferred, and that is what PPL Electric proposes to do.  Consequently, there is no overriding reason to change it.  </w:t>
      </w:r>
    </w:p>
    <w:p w:rsidR="000E7AB9" w:rsidRDefault="000E7AB9" w:rsidP="00496830">
      <w:pPr>
        <w:pStyle w:val="Pleading2L3"/>
        <w:numPr>
          <w:ilvl w:val="0"/>
          <w:numId w:val="0"/>
        </w:numPr>
        <w:spacing w:line="360" w:lineRule="auto"/>
      </w:pPr>
    </w:p>
    <w:p w:rsidR="000E7AB9" w:rsidRPr="00972001" w:rsidRDefault="000E7AB9" w:rsidP="00496830">
      <w:pPr>
        <w:pStyle w:val="Pleading2L3"/>
        <w:numPr>
          <w:ilvl w:val="0"/>
          <w:numId w:val="0"/>
        </w:numPr>
        <w:spacing w:line="360" w:lineRule="auto"/>
        <w:ind w:firstLine="720"/>
      </w:pPr>
      <w:r w:rsidRPr="00972001">
        <w:t>C.</w:t>
      </w:r>
      <w:r w:rsidRPr="00972001">
        <w:tab/>
      </w:r>
      <w:r w:rsidRPr="00B7471C">
        <w:rPr>
          <w:u w:val="single"/>
        </w:rPr>
        <w:t>Fu</w:t>
      </w:r>
      <w:r w:rsidR="00D42731">
        <w:rPr>
          <w:u w:val="single"/>
        </w:rPr>
        <w:t>nding Levels for WRAP and HELP P</w:t>
      </w:r>
      <w:r w:rsidRPr="00B7471C">
        <w:rPr>
          <w:u w:val="single"/>
        </w:rPr>
        <w:t>rograms -- CEO</w:t>
      </w:r>
      <w:r w:rsidR="00CE0415">
        <w:rPr>
          <w:u w:val="single"/>
        </w:rPr>
        <w:fldChar w:fldCharType="begin"/>
      </w:r>
      <w:r w:rsidR="00861D6F">
        <w:instrText xml:space="preserve"> TC "</w:instrText>
      </w:r>
      <w:bookmarkStart w:id="58" w:name="_Toc274905765"/>
      <w:bookmarkStart w:id="59" w:name="_Toc274906175"/>
      <w:bookmarkStart w:id="60" w:name="_Toc274912178"/>
      <w:r w:rsidR="00861D6F" w:rsidRPr="008C5962">
        <w:instrText>C.</w:instrText>
      </w:r>
      <w:r w:rsidR="00861D6F" w:rsidRPr="008C5962">
        <w:tab/>
      </w:r>
      <w:r w:rsidR="00861D6F" w:rsidRPr="008C5962">
        <w:rPr>
          <w:u w:val="single"/>
        </w:rPr>
        <w:instrText>Funding levels for WRAP and HELP programs -- CEO</w:instrText>
      </w:r>
      <w:bookmarkEnd w:id="58"/>
      <w:bookmarkEnd w:id="59"/>
      <w:bookmarkEnd w:id="60"/>
      <w:r w:rsidR="00861D6F">
        <w:instrText xml:space="preserve">" \f C \l "3" </w:instrText>
      </w:r>
      <w:r w:rsidR="00CE0415">
        <w:rPr>
          <w:u w:val="single"/>
        </w:rPr>
        <w:fldChar w:fldCharType="end"/>
      </w:r>
    </w:p>
    <w:p w:rsidR="000E7AB9" w:rsidRDefault="000E7AB9" w:rsidP="000E7AB9">
      <w:pPr>
        <w:pStyle w:val="Pleading2L3"/>
        <w:numPr>
          <w:ilvl w:val="0"/>
          <w:numId w:val="0"/>
        </w:numPr>
        <w:tabs>
          <w:tab w:val="num" w:pos="0"/>
        </w:tabs>
        <w:spacing w:line="360" w:lineRule="auto"/>
        <w:contextualSpacing/>
      </w:pPr>
    </w:p>
    <w:p w:rsidR="000E7AB9" w:rsidRDefault="000E7AB9" w:rsidP="00861D6F">
      <w:pPr>
        <w:pStyle w:val="Pleading2L3"/>
        <w:numPr>
          <w:ilvl w:val="0"/>
          <w:numId w:val="0"/>
        </w:numPr>
        <w:tabs>
          <w:tab w:val="num" w:pos="0"/>
        </w:tabs>
        <w:spacing w:line="360" w:lineRule="auto"/>
        <w:ind w:firstLine="1440"/>
        <w:contextualSpacing/>
      </w:pPr>
      <w:r>
        <w:t>PPL Electric proposes to maintain the current level of $8 million annually through 2013 for WRAP, which is its Low Income Usage Reduction program mandated by Commission regulations at 52 Pa. Code Chapter 58. PPL Electric Stmt. 9 at 12; PPL Initial Brief at 97.</w:t>
      </w:r>
    </w:p>
    <w:p w:rsidR="000E7AB9" w:rsidRDefault="000E7AB9" w:rsidP="000E7AB9">
      <w:pPr>
        <w:pStyle w:val="Pleading2L3"/>
        <w:numPr>
          <w:ilvl w:val="0"/>
          <w:numId w:val="0"/>
        </w:numPr>
        <w:tabs>
          <w:tab w:val="num" w:pos="0"/>
        </w:tabs>
        <w:spacing w:line="360" w:lineRule="auto"/>
        <w:contextualSpacing/>
      </w:pPr>
    </w:p>
    <w:p w:rsidR="000E7AB9" w:rsidRDefault="000E7AB9" w:rsidP="000E7AB9">
      <w:pPr>
        <w:pStyle w:val="Pleading2L3"/>
        <w:numPr>
          <w:ilvl w:val="0"/>
          <w:numId w:val="0"/>
        </w:numPr>
        <w:tabs>
          <w:tab w:val="num" w:pos="0"/>
        </w:tabs>
        <w:spacing w:line="360" w:lineRule="auto"/>
        <w:contextualSpacing/>
      </w:pPr>
      <w:r>
        <w:lastRenderedPageBreak/>
        <w:tab/>
      </w:r>
      <w:r>
        <w:tab/>
        <w:t xml:space="preserve">CEO asks that the annual finding for WRAP be increased to $9.5 million or commensurate with the percentage distribution increase on the residential class in this proceeding, and that annual funding for Operation Help be set at a minimum of $1.6 million or commensurate with the percentage distribution increase on the residential class in this proceeding.  CEO Brief at 7.  </w:t>
      </w:r>
    </w:p>
    <w:p w:rsidR="000E7AB9" w:rsidRDefault="000E7AB9" w:rsidP="000E7AB9">
      <w:pPr>
        <w:pStyle w:val="Pleading2L3"/>
        <w:numPr>
          <w:ilvl w:val="0"/>
          <w:numId w:val="0"/>
        </w:numPr>
        <w:tabs>
          <w:tab w:val="num" w:pos="0"/>
        </w:tabs>
        <w:spacing w:line="360" w:lineRule="auto"/>
        <w:contextualSpacing/>
      </w:pPr>
    </w:p>
    <w:p w:rsidR="000E7AB9" w:rsidRDefault="000E7AB9" w:rsidP="000E7AB9">
      <w:pPr>
        <w:pStyle w:val="Pleading2L3"/>
        <w:numPr>
          <w:ilvl w:val="0"/>
          <w:numId w:val="0"/>
        </w:numPr>
        <w:tabs>
          <w:tab w:val="num" w:pos="0"/>
        </w:tabs>
        <w:spacing w:line="360" w:lineRule="auto"/>
        <w:contextualSpacing/>
      </w:pPr>
      <w:r>
        <w:tab/>
      </w:r>
      <w:r>
        <w:tab/>
        <w:t xml:space="preserve">CEO opines that often the only defense a poor person has to rising utility costs is conservation, and WRAP increases a person’s ability to conserve.  CEO Stmt. 1 at 6.  CEO Witness Brady reasons </w:t>
      </w:r>
      <w:r w:rsidRPr="00861D6F">
        <w:t>that because of the</w:t>
      </w:r>
      <w:r>
        <w:t xml:space="preserve"> PPL Electric increase on the residential class and the move towards higher fixed charges, more help has to be given to the low-income residential customer.  Energy conservation measures are an essential part of helping low income consumers deal with rising energy costs.  CEO Stmt. 1 at 7.  </w:t>
      </w:r>
    </w:p>
    <w:p w:rsidR="000E7AB9" w:rsidRDefault="000E7AB9" w:rsidP="000E7AB9">
      <w:pPr>
        <w:pStyle w:val="Pleading2L3"/>
        <w:numPr>
          <w:ilvl w:val="0"/>
          <w:numId w:val="0"/>
        </w:numPr>
        <w:tabs>
          <w:tab w:val="num" w:pos="0"/>
        </w:tabs>
        <w:spacing w:line="360" w:lineRule="auto"/>
        <w:contextualSpacing/>
      </w:pPr>
    </w:p>
    <w:p w:rsidR="000E7AB9" w:rsidRDefault="000E7AB9" w:rsidP="000E7AB9">
      <w:pPr>
        <w:pStyle w:val="Pleading2L3"/>
        <w:numPr>
          <w:ilvl w:val="0"/>
          <w:numId w:val="0"/>
        </w:numPr>
        <w:tabs>
          <w:tab w:val="num" w:pos="0"/>
        </w:tabs>
        <w:spacing w:line="360" w:lineRule="auto"/>
        <w:contextualSpacing/>
      </w:pPr>
      <w:r>
        <w:tab/>
      </w:r>
      <w:r>
        <w:tab/>
        <w:t xml:space="preserve">While no party questions the importance of low income programs or the truth of the statements made, there is no evidence to support the CEO recommendation.  As PPL Electric points out, CEO’s request is not supported by evidence, which it must provide when proposing an adjustment which would result in an additional expense for the utility.  </w:t>
      </w:r>
      <w:r>
        <w:rPr>
          <w:i/>
        </w:rPr>
        <w:t xml:space="preserve">Pa. Publ. Util. Comm’n v. Metropolitan Edison Company, </w:t>
      </w:r>
      <w:r>
        <w:t>Docket No. R-00061366, 2007 Pa. PUC LEXIS 5 (January 11, 2007); PPL Electric Initial Brief at 98.  The burden of proving that this expense is justified is CEO’s, and this burden has not been met.  In addition, PPL Electric points out:</w:t>
      </w:r>
    </w:p>
    <w:p w:rsidR="000E7AB9" w:rsidRDefault="000E7AB9" w:rsidP="000E7AB9">
      <w:pPr>
        <w:pStyle w:val="Pleading2L3"/>
        <w:numPr>
          <w:ilvl w:val="0"/>
          <w:numId w:val="0"/>
        </w:numPr>
        <w:tabs>
          <w:tab w:val="num" w:pos="0"/>
        </w:tabs>
        <w:spacing w:line="360" w:lineRule="auto"/>
        <w:contextualSpacing/>
      </w:pPr>
    </w:p>
    <w:p w:rsidR="000E7AB9" w:rsidRDefault="000E7AB9" w:rsidP="00496830">
      <w:pPr>
        <w:pStyle w:val="BodyText2"/>
        <w:spacing w:after="0" w:line="240" w:lineRule="auto"/>
        <w:ind w:left="1440" w:right="1440"/>
        <w:contextualSpacing/>
        <w:jc w:val="left"/>
      </w:pPr>
      <w:r>
        <w:t xml:space="preserve">CEO ignores the fact that, with the implementation of Act 129, PPL Electric has already nearly doubled its annual budget for low-income weatherization.  Over the next 4 years, PPL Electric will expend an </w:t>
      </w:r>
      <w:r>
        <w:rPr>
          <w:b/>
        </w:rPr>
        <w:t>additional $29 million</w:t>
      </w:r>
      <w:r>
        <w:t xml:space="preserve"> for low-income weatherization over and above projects from traditional WRAP.  This funding will go to existing weatherization community based organizations (“CBOs”) and contractors, including CEO, who currently administer WRAP.  In 2010, for example, PPL Electric’s weatherization budget for low-income customers is $16 million, which includes $8.0 million from the traditional WRAP and $8.0 million under Act 129.  </w:t>
      </w:r>
    </w:p>
    <w:p w:rsidR="000E7AB9" w:rsidRDefault="000E7AB9" w:rsidP="000E7AB9">
      <w:pPr>
        <w:pStyle w:val="BodyText2"/>
        <w:spacing w:line="240" w:lineRule="auto"/>
        <w:ind w:left="1440" w:right="1440"/>
        <w:contextualSpacing/>
        <w:jc w:val="left"/>
      </w:pPr>
    </w:p>
    <w:p w:rsidR="000E7AB9" w:rsidRDefault="000E7AB9" w:rsidP="00496830">
      <w:pPr>
        <w:pStyle w:val="BodyText2"/>
        <w:spacing w:after="0" w:line="240" w:lineRule="auto"/>
        <w:ind w:left="1440" w:right="1440"/>
        <w:contextualSpacing/>
        <w:jc w:val="left"/>
      </w:pPr>
      <w:r>
        <w:tab/>
        <w:t xml:space="preserve">An additional source of funding for low-income weatherization projects is the federal stimulus package under the American Recovery and Reinvestment Act (“ARRA”).  This </w:t>
      </w:r>
      <w:r>
        <w:lastRenderedPageBreak/>
        <w:t xml:space="preserve">package has provided an unprecedented level of funding for such programs.  So far, the Pennsylvania Department of Community and Economic Development has received about $252 million in ARRA funding for low-income weatherization programs to be spent over the next 3 years.  Expending this significant additional amount of weatherization funding will be challenging because it will require expanding training capabilities and increasing the production capacity of the Pennsylvania Department of Community and Economic Development’s contractors.  </w:t>
      </w:r>
    </w:p>
    <w:p w:rsidR="000E7AB9" w:rsidRDefault="000E7AB9" w:rsidP="000E7AB9">
      <w:pPr>
        <w:pStyle w:val="BodyText2"/>
        <w:spacing w:line="240" w:lineRule="auto"/>
        <w:ind w:left="1440" w:right="1440"/>
        <w:contextualSpacing/>
        <w:jc w:val="left"/>
      </w:pPr>
    </w:p>
    <w:p w:rsidR="000E7AB9" w:rsidRDefault="000E7AB9" w:rsidP="00496830">
      <w:pPr>
        <w:pStyle w:val="BodyText2"/>
        <w:spacing w:after="0" w:line="240" w:lineRule="auto"/>
        <w:ind w:left="1440" w:right="1440"/>
        <w:contextualSpacing/>
        <w:jc w:val="left"/>
      </w:pPr>
      <w:r>
        <w:tab/>
        <w:t xml:space="preserve">In addition to the ARRA funding, the Department of Community and Economic Development will continue to receive traditional funding from the United States Department of Energy and the transfer of weatherization funding from LIHEAP.  The Department of Public Welfare (“DPW”) transfers up to 15% of its total federal LIHEAP allocation to the Department of Community and Economic Development’s weatherization program.  For the 2009-2010 LIHEAP program year, DPW transferred $15.5 million to the Department of Community and Economic Development.  </w:t>
      </w:r>
    </w:p>
    <w:p w:rsidR="000E7AB9" w:rsidRDefault="000E7AB9" w:rsidP="000E7AB9">
      <w:pPr>
        <w:pStyle w:val="BodyText2"/>
        <w:spacing w:line="240" w:lineRule="auto"/>
        <w:ind w:left="1440" w:right="1440"/>
        <w:contextualSpacing/>
        <w:jc w:val="left"/>
      </w:pPr>
      <w:r>
        <w:t xml:space="preserve">Thus, there are currently five funding streams for low-income weatherization programs – (1) utility LIHEAP program such as WRAP, (2) funds under Act 129, (3) Department of Energy funding, (4) transfer of LIHEAP funding to the Department of Community and Economic Development, and (5) funding under the ARRA.  Given the above factors and numerous sources of substantial funds, PPL Electric believes that its funding of its traditional WRAP at $8.0 million annually is appropriate.  The needs for funding of low-income weatherization programs should be balanced against the costs borne by other residential customers who pay for them.  </w:t>
      </w:r>
    </w:p>
    <w:p w:rsidR="000E7AB9" w:rsidRDefault="000E7AB9" w:rsidP="000E7AB9">
      <w:pPr>
        <w:pStyle w:val="BodyText2"/>
        <w:spacing w:line="240" w:lineRule="auto"/>
        <w:ind w:left="1440" w:right="1440"/>
        <w:contextualSpacing/>
        <w:jc w:val="left"/>
      </w:pPr>
    </w:p>
    <w:p w:rsidR="000E7AB9" w:rsidRDefault="000E7AB9" w:rsidP="00496830">
      <w:pPr>
        <w:pStyle w:val="BodyText2"/>
        <w:spacing w:after="0" w:line="240" w:lineRule="auto"/>
        <w:ind w:left="1440" w:right="1440"/>
        <w:contextualSpacing/>
        <w:jc w:val="left"/>
      </w:pPr>
      <w:r>
        <w:tab/>
        <w:t xml:space="preserve">CEO’s recommendation regarding PPL Electric’s Operation Help also should be rejected.  PPL Electric’s Operation HELP pays for any type of home heating bill for low-income customers.  The fund is supported by donations from customers, employees, and PPL Corporation.  PPL Electric Ex. TRD-1.  No portion of the funding for Operation HELP is raised through rates. </w:t>
      </w:r>
    </w:p>
    <w:p w:rsidR="000E7AB9" w:rsidRDefault="000E7AB9" w:rsidP="00496830">
      <w:pPr>
        <w:pStyle w:val="BodyText2"/>
        <w:spacing w:after="0" w:line="240" w:lineRule="auto"/>
        <w:ind w:left="1440" w:right="1440"/>
        <w:contextualSpacing/>
        <w:jc w:val="left"/>
      </w:pPr>
      <w:r>
        <w:t xml:space="preserve">CEO’s proposal, to require PPL Electric to guarantee a minimum funding level of $1.6 million should be rejected for numerous reasons.  First, although PPL Electric will continue to promote donations to Operation HELP, it is inappropriate for PPL Electric to be required to guarantee any set amount.  Total donations to the program have increased over the past 5 years from approximately $912,000 in 2005 to just over $1.4 million in 2009.  PPL Corporation’s donation of $1 million annually to Operation HELP is the largest such donation of any electric or gas utility in </w:t>
      </w:r>
      <w:r>
        <w:lastRenderedPageBreak/>
        <w:t xml:space="preserve">Pennsylvania.  PPL Electric St. 9-R, p. 6.  PPL Corporation has demonstrated generosity despite the absence of any legal requirement to do so.  </w:t>
      </w:r>
    </w:p>
    <w:p w:rsidR="000E7AB9" w:rsidRDefault="000E7AB9" w:rsidP="000E7AB9">
      <w:pPr>
        <w:pStyle w:val="BodyText2"/>
        <w:spacing w:line="240" w:lineRule="auto"/>
        <w:ind w:left="1440" w:right="1440"/>
        <w:contextualSpacing/>
        <w:jc w:val="left"/>
      </w:pPr>
    </w:p>
    <w:p w:rsidR="000E7AB9" w:rsidRDefault="000E7AB9" w:rsidP="00496830">
      <w:pPr>
        <w:pStyle w:val="BodyText2"/>
        <w:spacing w:after="0" w:line="240" w:lineRule="auto"/>
        <w:ind w:left="1440" w:right="1440"/>
        <w:contextualSpacing/>
        <w:jc w:val="left"/>
      </w:pPr>
      <w:r>
        <w:tab/>
        <w:t>Second, substantial additional funds are not needed for Operation HELP because it is not designed to serve a large number of low-income customers or any customer over an extended period of time.  Instead, Operation HELP supplements larger programs such as LIHEAP by providing assistance to customers who are just over the LIHEAP program income levels or cannot receive assistance because the program is cl</w:t>
      </w:r>
      <w:r w:rsidR="00861D6F">
        <w:t>osed.  PPL Electric St. 9-R, p. </w:t>
      </w:r>
      <w:r>
        <w:t xml:space="preserve">7.  </w:t>
      </w:r>
    </w:p>
    <w:p w:rsidR="000E7AB9" w:rsidRDefault="000E7AB9" w:rsidP="000E7AB9">
      <w:pPr>
        <w:pStyle w:val="BodyText2"/>
        <w:spacing w:line="240" w:lineRule="auto"/>
        <w:ind w:left="1440" w:right="1440"/>
        <w:contextualSpacing/>
        <w:jc w:val="left"/>
      </w:pPr>
    </w:p>
    <w:p w:rsidR="000E7AB9" w:rsidRDefault="000E7AB9" w:rsidP="00496830">
      <w:pPr>
        <w:pStyle w:val="BodyText2"/>
        <w:spacing w:after="0" w:line="240" w:lineRule="auto"/>
        <w:ind w:left="1440" w:right="1440"/>
        <w:contextualSpacing/>
        <w:jc w:val="left"/>
      </w:pPr>
      <w:r>
        <w:tab/>
        <w:t xml:space="preserve">Third, as a legal matter, because no portion of Operation HELP’s funding is included in rates, the Commission cannot order an increase in contributions by PPL Electric or PPL Corporation or their employees or customers.  The program is voluntary for all participants.  In </w:t>
      </w:r>
      <w:r>
        <w:rPr>
          <w:i/>
        </w:rPr>
        <w:t xml:space="preserve">Re. Pennsylvania-American Water Co., </w:t>
      </w:r>
      <w:r>
        <w:t>231 PUR 4</w:t>
      </w:r>
      <w:r>
        <w:rPr>
          <w:vertAlign w:val="superscript"/>
        </w:rPr>
        <w:t>th</w:t>
      </w:r>
      <w:r>
        <w:t xml:space="preserve"> 277, 315 (2004), this Commission stated that:  [q]uite simply, the Commission is without authority to require PAWC or any public utility, to either make or increase contributions derived solely from shareholder funds.”  See also </w:t>
      </w:r>
      <w:r>
        <w:rPr>
          <w:i/>
        </w:rPr>
        <w:t>Pa. P.U.C. v. PPL Electric Utilities Corp.</w:t>
      </w:r>
      <w:r>
        <w:t xml:space="preserve">, Docket No. R-00049255, p. 95 (Dec. 22, 2004), where the Commission stated as follows: </w:t>
      </w:r>
    </w:p>
    <w:p w:rsidR="000E7AB9" w:rsidRDefault="000E7AB9" w:rsidP="00496830">
      <w:pPr>
        <w:pStyle w:val="IndentSingle"/>
        <w:spacing w:after="0"/>
        <w:ind w:left="2160"/>
        <w:contextualSpacing/>
        <w:jc w:val="left"/>
      </w:pPr>
      <w:r>
        <w:tab/>
        <w:t xml:space="preserve">Operation HELP is wholly funded by contributions from the Company’s shareholders, customers and employees.  As such, we agree with the ALJ’s determination that the Commission lacks jurisdiction to direct further contributions to Operation HELP or mandate the manner in which the Company chooses to distribute these contributions.  The Exceptions filed by the CEO and OCA are denied.    </w:t>
      </w:r>
    </w:p>
    <w:p w:rsidR="000E7AB9" w:rsidRDefault="000E7AB9" w:rsidP="000E7AB9">
      <w:pPr>
        <w:pStyle w:val="Quote"/>
        <w:spacing w:after="0"/>
        <w:ind w:left="1440" w:right="1440" w:firstLine="0"/>
        <w:contextualSpacing/>
        <w:jc w:val="left"/>
      </w:pPr>
      <w:r>
        <w:tab/>
        <w:t>Operation HELP is beyond the Commission’s jurisdiction, and there is no legal basis to require PPL Electric to file a plan with the Commission or for a program over which the Commission has no control or jurisdiction.</w:t>
      </w:r>
    </w:p>
    <w:p w:rsidR="000E7AB9" w:rsidRDefault="000E7AB9" w:rsidP="000E7AB9">
      <w:pPr>
        <w:pStyle w:val="Quote"/>
        <w:spacing w:after="0"/>
        <w:ind w:left="1440" w:right="1440" w:firstLine="0"/>
        <w:contextualSpacing/>
        <w:jc w:val="left"/>
      </w:pPr>
    </w:p>
    <w:p w:rsidR="000E7AB9" w:rsidRDefault="000E7AB9" w:rsidP="00496830">
      <w:pPr>
        <w:pStyle w:val="BodyText2"/>
        <w:spacing w:after="0" w:line="240" w:lineRule="auto"/>
        <w:ind w:left="1440" w:right="1440"/>
        <w:contextualSpacing/>
        <w:jc w:val="left"/>
      </w:pPr>
      <w:r>
        <w:tab/>
        <w:t>For the foregoing reasons, CEO’s proposed increases in funding of Operation HELP and the WRAP should be denied.</w:t>
      </w:r>
    </w:p>
    <w:p w:rsidR="000E7AB9" w:rsidRDefault="000E7AB9" w:rsidP="000E7AB9">
      <w:pPr>
        <w:pStyle w:val="Pleading2L3"/>
        <w:numPr>
          <w:ilvl w:val="0"/>
          <w:numId w:val="0"/>
        </w:numPr>
        <w:tabs>
          <w:tab w:val="num" w:pos="0"/>
        </w:tabs>
        <w:spacing w:line="240" w:lineRule="auto"/>
        <w:ind w:left="1440" w:right="1440"/>
        <w:contextualSpacing/>
      </w:pPr>
      <w:r>
        <w:t>PPL Electric Initial Brief at 98-101.</w:t>
      </w:r>
    </w:p>
    <w:p w:rsidR="000E7AB9" w:rsidRDefault="000E7AB9" w:rsidP="000E7AB9">
      <w:pPr>
        <w:pStyle w:val="Pleading2L3"/>
        <w:numPr>
          <w:ilvl w:val="0"/>
          <w:numId w:val="0"/>
        </w:numPr>
        <w:tabs>
          <w:tab w:val="num" w:pos="0"/>
        </w:tabs>
        <w:spacing w:line="360" w:lineRule="auto"/>
      </w:pPr>
      <w:r>
        <w:tab/>
      </w:r>
      <w:r>
        <w:tab/>
      </w:r>
    </w:p>
    <w:p w:rsidR="000E7AB9" w:rsidRDefault="000E7AB9" w:rsidP="00861D6F">
      <w:pPr>
        <w:pStyle w:val="Pleading2L3"/>
        <w:numPr>
          <w:ilvl w:val="0"/>
          <w:numId w:val="0"/>
        </w:numPr>
        <w:tabs>
          <w:tab w:val="num" w:pos="0"/>
        </w:tabs>
        <w:spacing w:line="360" w:lineRule="auto"/>
      </w:pPr>
      <w:r>
        <w:tab/>
      </w:r>
      <w:r>
        <w:tab/>
        <w:t>While recognizing the gravity of the circumstances in which many PPL Electric customers find themselves, the CEO recommendations regarding increasing funding for WRAP and Operation Help are not adopted for the reasons given by PPL Electric, above.</w:t>
      </w:r>
    </w:p>
    <w:p w:rsidR="000E7AB9" w:rsidRDefault="000E7AB9" w:rsidP="00861D6F">
      <w:pPr>
        <w:pStyle w:val="Pleading2L3"/>
        <w:numPr>
          <w:ilvl w:val="0"/>
          <w:numId w:val="0"/>
        </w:numPr>
        <w:spacing w:line="360" w:lineRule="auto"/>
        <w:ind w:firstLine="720"/>
        <w:rPr>
          <w:u w:val="single"/>
        </w:rPr>
      </w:pPr>
      <w:r w:rsidRPr="00861D6F">
        <w:lastRenderedPageBreak/>
        <w:t>D.</w:t>
      </w:r>
      <w:r w:rsidRPr="00861D6F">
        <w:tab/>
      </w:r>
      <w:r w:rsidRPr="00861D6F">
        <w:rPr>
          <w:u w:val="single"/>
        </w:rPr>
        <w:t>Purchase of Receivables – RESA</w:t>
      </w:r>
      <w:r w:rsidR="00CE0415">
        <w:rPr>
          <w:u w:val="single"/>
        </w:rPr>
        <w:fldChar w:fldCharType="begin"/>
      </w:r>
      <w:r w:rsidR="00861D6F">
        <w:instrText xml:space="preserve"> TC "</w:instrText>
      </w:r>
      <w:bookmarkStart w:id="61" w:name="_Toc274905766"/>
      <w:bookmarkStart w:id="62" w:name="_Toc274906176"/>
      <w:bookmarkStart w:id="63" w:name="_Toc274912179"/>
      <w:r w:rsidR="00861D6F" w:rsidRPr="002B67EA">
        <w:instrText>D.</w:instrText>
      </w:r>
      <w:r w:rsidR="00861D6F" w:rsidRPr="002B67EA">
        <w:tab/>
      </w:r>
      <w:r w:rsidR="00861D6F" w:rsidRPr="002B67EA">
        <w:rPr>
          <w:u w:val="single"/>
        </w:rPr>
        <w:instrText>Purchase of Receivables – RESA</w:instrText>
      </w:r>
      <w:bookmarkEnd w:id="61"/>
      <w:bookmarkEnd w:id="62"/>
      <w:bookmarkEnd w:id="63"/>
      <w:r w:rsidR="00861D6F">
        <w:instrText xml:space="preserve">" \f C \l "3" </w:instrText>
      </w:r>
      <w:r w:rsidR="00CE0415">
        <w:rPr>
          <w:u w:val="single"/>
        </w:rPr>
        <w:fldChar w:fldCharType="end"/>
      </w:r>
    </w:p>
    <w:p w:rsidR="00861D6F" w:rsidRPr="00861D6F" w:rsidRDefault="00861D6F" w:rsidP="00861D6F">
      <w:pPr>
        <w:pStyle w:val="Pleading2L3"/>
        <w:numPr>
          <w:ilvl w:val="0"/>
          <w:numId w:val="0"/>
        </w:numPr>
        <w:spacing w:line="360" w:lineRule="auto"/>
        <w:ind w:firstLine="720"/>
      </w:pPr>
    </w:p>
    <w:p w:rsidR="000E7AB9" w:rsidRDefault="000E7AB9" w:rsidP="000E7AB9">
      <w:pPr>
        <w:pStyle w:val="Pleading2L3"/>
        <w:numPr>
          <w:ilvl w:val="0"/>
          <w:numId w:val="0"/>
        </w:numPr>
        <w:tabs>
          <w:tab w:val="num" w:pos="0"/>
        </w:tabs>
        <w:spacing w:line="360" w:lineRule="auto"/>
      </w:pPr>
      <w:r>
        <w:tab/>
      </w:r>
      <w:r>
        <w:tab/>
        <w:t xml:space="preserve">PPL Electric provides a thorough history and explanation of its current POR program in its Initial Brief beginning on page 78, stating that in this proceeding, it is proposing that the purchase of receivables (“POR”) program approved by the Commission for the period January 1, 2010 through December 31, 2010 be extended to operate beyond December 31, 2010.  PPL Electric St. 6, pp. 6-7.  PPL Electric believes that the POR program currently in place is well understood by the EGSs and is able to meet most of their needs, as well as the needs of their customers.  PPL Electric St. 6, p. 14; PPL Electric St. 6-R, p. 5.  </w:t>
      </w:r>
    </w:p>
    <w:p w:rsidR="000E7AB9" w:rsidRDefault="000E7AB9" w:rsidP="000E7AB9">
      <w:pPr>
        <w:pStyle w:val="Pleading2L3"/>
        <w:numPr>
          <w:ilvl w:val="0"/>
          <w:numId w:val="0"/>
        </w:numPr>
        <w:tabs>
          <w:tab w:val="num" w:pos="0"/>
        </w:tabs>
        <w:spacing w:line="360" w:lineRule="auto"/>
      </w:pPr>
    </w:p>
    <w:p w:rsidR="000E7AB9" w:rsidRDefault="000E7AB9" w:rsidP="000E7AB9">
      <w:pPr>
        <w:pStyle w:val="Pleading2L3"/>
        <w:numPr>
          <w:ilvl w:val="0"/>
          <w:numId w:val="0"/>
        </w:numPr>
        <w:tabs>
          <w:tab w:val="num" w:pos="0"/>
        </w:tabs>
        <w:spacing w:line="360" w:lineRule="auto"/>
      </w:pPr>
      <w:r>
        <w:tab/>
      </w:r>
      <w:r>
        <w:tab/>
        <w:t>Commission jurisdiction in the matter of purchase of receivables programs is a matter of some contention between PPL Electric and RESA.  PPL avers that its POR program is voluntary and that the Commission lacks jurisdiction to require its filing.  PPL cites the Commission in its Order approving the current POR program:</w:t>
      </w:r>
    </w:p>
    <w:p w:rsidR="000E7AB9" w:rsidRDefault="000E7AB9" w:rsidP="004453BE">
      <w:pPr>
        <w:pStyle w:val="Pleading2L3"/>
        <w:numPr>
          <w:ilvl w:val="0"/>
          <w:numId w:val="0"/>
        </w:numPr>
        <w:tabs>
          <w:tab w:val="num" w:pos="0"/>
        </w:tabs>
        <w:spacing w:line="240" w:lineRule="auto"/>
      </w:pPr>
    </w:p>
    <w:p w:rsidR="000E7AB9" w:rsidRDefault="000E7AB9" w:rsidP="00027CB9">
      <w:pPr>
        <w:pStyle w:val="IndentSingle"/>
        <w:spacing w:after="0"/>
        <w:contextualSpacing/>
        <w:jc w:val="left"/>
      </w:pPr>
      <w:r>
        <w:t xml:space="preserve">Specifically, PPL contends that it voluntarily filed its POR Program with the Commission in response to the Retail Markets Order, and does not believe that the Commission has the authority to require it to purchase an EGS’ receivables.  </w:t>
      </w:r>
      <w:r>
        <w:rPr>
          <w:u w:val="single"/>
        </w:rPr>
        <w:t>We agree</w:t>
      </w:r>
      <w:r>
        <w:t xml:space="preserve">.  In </w:t>
      </w:r>
      <w:r>
        <w:rPr>
          <w:i/>
        </w:rPr>
        <w:t>PECO Energy Co. v. Pa. PUC</w:t>
      </w:r>
      <w:r>
        <w:t>, 568 Pa. 39, 791 A.2d 1155 (2002), the Supreme Court of Pennsylvania stated as follows:</w:t>
      </w:r>
    </w:p>
    <w:p w:rsidR="000E7AB9" w:rsidRDefault="000E7AB9" w:rsidP="00027CB9">
      <w:pPr>
        <w:pStyle w:val="IndentDouble"/>
        <w:spacing w:after="0"/>
        <w:ind w:left="1440" w:right="1440"/>
        <w:contextualSpacing/>
        <w:jc w:val="left"/>
      </w:pPr>
      <w:r>
        <w:t>The power of the Commission is statutory, arising either from words contained in the enabling statutes or by a strong and necessary implication from those words, and the legislative grant of power in any particular case must be clear.</w:t>
      </w:r>
    </w:p>
    <w:p w:rsidR="000E7AB9" w:rsidRDefault="000E7AB9" w:rsidP="00027CB9">
      <w:pPr>
        <w:pStyle w:val="IndentSingle"/>
        <w:spacing w:after="0"/>
        <w:contextualSpacing/>
        <w:jc w:val="left"/>
      </w:pPr>
      <w:r>
        <w:t>No provision of the Code either expressly or by “strong and necessary implication” provides the Commission with the authority to require EDCs to purchase accounts receivable from EGSs.</w:t>
      </w:r>
    </w:p>
    <w:p w:rsidR="000E7AB9" w:rsidRDefault="000E7AB9" w:rsidP="00027CB9">
      <w:pPr>
        <w:pStyle w:val="BodyText2"/>
        <w:spacing w:after="0" w:line="240" w:lineRule="auto"/>
        <w:ind w:left="1440" w:right="1440"/>
        <w:contextualSpacing/>
        <w:jc w:val="left"/>
      </w:pPr>
      <w:r>
        <w:rPr>
          <w:i/>
        </w:rPr>
        <w:t xml:space="preserve">PPL Electric POR Petition, </w:t>
      </w:r>
      <w:r>
        <w:t xml:space="preserve">at *12 (emphasis added).  </w:t>
      </w:r>
      <w:r>
        <w:rPr>
          <w:i/>
        </w:rPr>
        <w:t xml:space="preserve">See also </w:t>
      </w:r>
      <w:r>
        <w:t>OTS Main Brief at 12-13.</w:t>
      </w:r>
    </w:p>
    <w:p w:rsidR="000E7AB9" w:rsidRPr="006B78E0" w:rsidRDefault="000E7AB9" w:rsidP="004453BE">
      <w:pPr>
        <w:pStyle w:val="BodyText2"/>
        <w:spacing w:after="0" w:line="360" w:lineRule="auto"/>
        <w:ind w:left="1440" w:right="1440"/>
        <w:contextualSpacing/>
        <w:jc w:val="left"/>
      </w:pPr>
    </w:p>
    <w:p w:rsidR="003B4E41" w:rsidRDefault="000E7AB9" w:rsidP="000E7AB9">
      <w:pPr>
        <w:pStyle w:val="Pleading2L3"/>
        <w:numPr>
          <w:ilvl w:val="0"/>
          <w:numId w:val="0"/>
        </w:numPr>
        <w:tabs>
          <w:tab w:val="num" w:pos="0"/>
        </w:tabs>
        <w:spacing w:line="360" w:lineRule="auto"/>
      </w:pPr>
      <w:r>
        <w:tab/>
      </w:r>
      <w:r>
        <w:tab/>
        <w:t>RESA contends that the Commission need not address whether it has the authority to require a utility to offer a POR program in order to require the changes to the PPL Electric POR that RESA recommends in this proceeding.  As any thorough legal analysis begins with an examination and definition of the jurisdiction of the forum, a review of that jurisdiction is our starting point.</w:t>
      </w:r>
    </w:p>
    <w:p w:rsidR="000E7AB9" w:rsidRDefault="000E7AB9" w:rsidP="000E7AB9">
      <w:pPr>
        <w:pStyle w:val="Pleading2L3"/>
        <w:numPr>
          <w:ilvl w:val="0"/>
          <w:numId w:val="0"/>
        </w:numPr>
        <w:tabs>
          <w:tab w:val="num" w:pos="0"/>
        </w:tabs>
        <w:spacing w:line="360" w:lineRule="auto"/>
      </w:pPr>
      <w:r>
        <w:lastRenderedPageBreak/>
        <w:tab/>
      </w:r>
      <w:r>
        <w:tab/>
        <w:t xml:space="preserve">RESA cites to a series of Commission orders regarding POR programs for both gas and electric utilities, which provide a chronology of the development of POR programs before the Commission as well as a guide to the Commission’s preferred approach.  In </w:t>
      </w:r>
      <w:r>
        <w:rPr>
          <w:i/>
        </w:rPr>
        <w:t xml:space="preserve">Investigation into the Natural Gas Supply Market:  Report on Stakeholders’ Working Group (SEARCH); Action Plan for Increasing Effective Competition in Pennsylvania’s Retail Natural Gas Supply Services Market, </w:t>
      </w:r>
      <w:r>
        <w:t>Docket No. I-00040103F0002 (Order entered September 11, 2008), the Commission was addressing the prior finding that there was no effective competition in the Commonwealth’s natural gas market:</w:t>
      </w:r>
    </w:p>
    <w:p w:rsidR="00861D6F" w:rsidRDefault="00861D6F" w:rsidP="003B4E41">
      <w:pPr>
        <w:pStyle w:val="Pleading2L3"/>
        <w:numPr>
          <w:ilvl w:val="0"/>
          <w:numId w:val="0"/>
        </w:numPr>
        <w:tabs>
          <w:tab w:val="num" w:pos="0"/>
        </w:tabs>
        <w:spacing w:line="360" w:lineRule="auto"/>
      </w:pPr>
    </w:p>
    <w:p w:rsidR="000E7AB9" w:rsidRPr="002F3FB3" w:rsidRDefault="000E7AB9" w:rsidP="000E7AB9">
      <w:pPr>
        <w:pStyle w:val="Pleading2L3"/>
        <w:numPr>
          <w:ilvl w:val="0"/>
          <w:numId w:val="0"/>
        </w:numPr>
        <w:tabs>
          <w:tab w:val="num" w:pos="0"/>
        </w:tabs>
        <w:spacing w:line="240" w:lineRule="auto"/>
        <w:ind w:left="1440" w:right="1440"/>
        <w:rPr>
          <w:b/>
        </w:rPr>
      </w:pPr>
      <w:r>
        <w:tab/>
        <w:t xml:space="preserve">The </w:t>
      </w:r>
      <w:r w:rsidRPr="006E783D">
        <w:rPr>
          <w:i/>
        </w:rPr>
        <w:t>SEARCH Report</w:t>
      </w:r>
      <w:r>
        <w:t xml:space="preserve"> recognizes that there are economic, legal and regulatory issues associated with mandating that NGDCs implement POR programs, and that establishing uniform rules to govern such programs would require further consideration of the various options to accomplish such programs in a manner that is fair to all stakeholders.  </w:t>
      </w:r>
      <w:r w:rsidRPr="006E783D">
        <w:rPr>
          <w:i/>
        </w:rPr>
        <w:t>SEARCH Report</w:t>
      </w:r>
      <w:r>
        <w:rPr>
          <w:i/>
        </w:rPr>
        <w:t xml:space="preserve">, </w:t>
      </w:r>
      <w:r w:rsidRPr="006E783D">
        <w:t xml:space="preserve">pp. 16-18.  </w:t>
      </w:r>
      <w:r w:rsidRPr="002F3FB3">
        <w:rPr>
          <w:b/>
        </w:rPr>
        <w:t>However, it is clear that POR programs may be voluntarily implemented by NGDCs, subject to Commission approval. . . .</w:t>
      </w:r>
    </w:p>
    <w:p w:rsidR="000E7AB9" w:rsidRDefault="000E7AB9" w:rsidP="000E7AB9">
      <w:pPr>
        <w:pStyle w:val="Pleading2L3"/>
        <w:numPr>
          <w:ilvl w:val="0"/>
          <w:numId w:val="0"/>
        </w:numPr>
        <w:tabs>
          <w:tab w:val="num" w:pos="0"/>
        </w:tabs>
        <w:spacing w:line="240" w:lineRule="auto"/>
        <w:ind w:left="1440" w:right="1440"/>
      </w:pPr>
      <w:r>
        <w:tab/>
      </w:r>
      <w:r w:rsidRPr="006E783D">
        <w:t xml:space="preserve"> </w:t>
      </w:r>
      <w:r>
        <w:t xml:space="preserve">Also, as part of its policy statement on </w:t>
      </w:r>
      <w:r w:rsidRPr="00C84861">
        <w:rPr>
          <w:i/>
        </w:rPr>
        <w:t>Default Service and Retail Electric Markets</w:t>
      </w:r>
      <w:r>
        <w:t xml:space="preserve">, the Commission determined that the public interest would be served by further consideration of a purchase of EGS receivables program. </w:t>
      </w:r>
      <w:r>
        <w:rPr>
          <w:i/>
        </w:rPr>
        <w:t xml:space="preserve">See </w:t>
      </w:r>
      <w:r>
        <w:t xml:space="preserve">52 Pa. Code § 69.1814 (relating to purchase of receivables); </w:t>
      </w:r>
      <w:r>
        <w:rPr>
          <w:i/>
        </w:rPr>
        <w:t xml:space="preserve">Policy Statement on Default Service and Retail Electric Markets, </w:t>
      </w:r>
      <w:r>
        <w:t>Order adopted May 10, 2007 at Docket No. M-00072009.</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rPr>
          <w:b/>
        </w:rPr>
      </w:pPr>
      <w:r>
        <w:rPr>
          <w:b/>
        </w:rPr>
        <w:t>Disposition</w:t>
      </w:r>
    </w:p>
    <w:p w:rsidR="000E7AB9" w:rsidRDefault="000E7AB9" w:rsidP="000E7AB9">
      <w:pPr>
        <w:pStyle w:val="Pleading2L3"/>
        <w:numPr>
          <w:ilvl w:val="0"/>
          <w:numId w:val="0"/>
        </w:numPr>
        <w:tabs>
          <w:tab w:val="num" w:pos="0"/>
        </w:tabs>
        <w:spacing w:line="240" w:lineRule="auto"/>
        <w:ind w:left="1440" w:right="1440"/>
      </w:pPr>
      <w:r>
        <w:rPr>
          <w:b/>
        </w:rPr>
        <w:tab/>
      </w:r>
      <w:r>
        <w:t>The Commission agrees with the NGS comments that the use of POR programs can promote efficiencies, reduce costs to consumers and reduce barriers to market entry by alternative natural gas suppliers.  The NGSs have long argued, and we agree, that the inclusion of billing and collection resources and costs in distribution rates provides an unfair subsidy in the provision of utility sales service and requires shopping customers to, in effect, pay twice for billing and collection.  If this barrier to competition is reduced, the net result, for the benefit of consumers, is greater access to alternative supplier offers and competitive prices.  At the same time, the Commission recognizes that any such program involves costs and risks that should be apportioned fairly between the NGDC and the NGS firms that participate in the program.</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pPr>
      <w:r>
        <w:tab/>
        <w:t xml:space="preserve">Moreover, this apportionment of costs and risks should also seek to eliminate redundancy in costs paid by NGS customers.  For </w:t>
      </w:r>
      <w:r>
        <w:lastRenderedPageBreak/>
        <w:t xml:space="preserve">example, a NGDC’s base rates contain costs for service related to bad debt and billing and collection.  Because of this, a customer purchasing gas from a NGS is paying twice for bad debt and billing and collection service, one in NGDC base rates and again in NGS gas supply rates.  The best way to prevent this situation, which will at the same time create a competitive marketplace, is by further unbundling the NGDC distribution rates and recognizing all of the costs related to gas supply service in the Price to Compare.  For purposes of POR programs, the redundancy in cost situation affecting NGS customers may be prevented by requiring that the NGDC provide to the NGSs and its customers without additional charge those services that are already paid for in base rates, namely services related to bad debt and billing and collection. </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pPr>
      <w:r>
        <w:tab/>
        <w:t>In summary, while re-tooling the Price to Compare, in the long run, will assist in the establishment of a competitive retail market, we believe that properly designed purchase of receivables programs have a greater potential to immediately increase supplier participation in the market and, thus, would immediately increase “effective competition” in the retail market, which is the goal of this proceeding.</w:t>
      </w:r>
    </w:p>
    <w:p w:rsidR="000E7AB9" w:rsidRDefault="000E7AB9" w:rsidP="000E7AB9">
      <w:pPr>
        <w:pStyle w:val="Pleading2L3"/>
        <w:numPr>
          <w:ilvl w:val="0"/>
          <w:numId w:val="0"/>
        </w:numPr>
        <w:tabs>
          <w:tab w:val="num" w:pos="0"/>
        </w:tabs>
        <w:spacing w:line="240" w:lineRule="auto"/>
        <w:ind w:left="1440" w:right="1440"/>
        <w:jc w:val="center"/>
      </w:pPr>
      <w:r>
        <w:t>* * *</w:t>
      </w:r>
    </w:p>
    <w:p w:rsidR="000E7AB9" w:rsidRDefault="000E7AB9" w:rsidP="000E7AB9">
      <w:pPr>
        <w:pStyle w:val="Pleading2L3"/>
        <w:numPr>
          <w:ilvl w:val="0"/>
          <w:numId w:val="0"/>
        </w:numPr>
        <w:tabs>
          <w:tab w:val="num" w:pos="0"/>
        </w:tabs>
        <w:spacing w:line="240" w:lineRule="auto"/>
        <w:ind w:left="1440" w:right="1440"/>
      </w:pPr>
      <w:r>
        <w:tab/>
        <w:t>For those NGDCs that fail to file a proposed POR program by that date, the Commission will require each such NGDC to include, in its next base rate case or its next section 1307(f) gas cost proceeding, whichever comes first, fully allocated cost of service data by which the Commission can investigate the unbundling of natural gas procurement costs from base rates.  In this fashion, the Commission will be able to investigate, evaluate and decide whether further unbundling of natural gas costs is warranted for that NGDC.</w:t>
      </w:r>
    </w:p>
    <w:p w:rsidR="00861D6F" w:rsidRDefault="00861D6F" w:rsidP="00861D6F">
      <w:pPr>
        <w:pStyle w:val="Pleading2L3"/>
        <w:numPr>
          <w:ilvl w:val="0"/>
          <w:numId w:val="0"/>
        </w:numPr>
        <w:tabs>
          <w:tab w:val="num" w:pos="0"/>
        </w:tabs>
        <w:spacing w:line="240" w:lineRule="auto"/>
        <w:ind w:left="1440" w:right="1440" w:hanging="1440"/>
        <w:rPr>
          <w:i/>
        </w:rPr>
      </w:pPr>
    </w:p>
    <w:p w:rsidR="000E7AB9" w:rsidRDefault="000E7AB9" w:rsidP="00861D6F">
      <w:pPr>
        <w:pStyle w:val="Pleading2L3"/>
        <w:numPr>
          <w:ilvl w:val="0"/>
          <w:numId w:val="0"/>
        </w:numPr>
        <w:tabs>
          <w:tab w:val="num" w:pos="0"/>
        </w:tabs>
        <w:spacing w:line="360" w:lineRule="auto"/>
        <w:ind w:left="1440" w:right="1440" w:hanging="1440"/>
      </w:pPr>
      <w:r>
        <w:rPr>
          <w:i/>
        </w:rPr>
        <w:t xml:space="preserve">Investigation into the Natural Gas Supply Market, </w:t>
      </w:r>
      <w:r>
        <w:t>at 10-13 (emphasis added).</w:t>
      </w:r>
    </w:p>
    <w:p w:rsidR="000E7AB9" w:rsidRDefault="000E7AB9" w:rsidP="003B4E41">
      <w:pPr>
        <w:pStyle w:val="Pleading2L3"/>
        <w:numPr>
          <w:ilvl w:val="0"/>
          <w:numId w:val="0"/>
        </w:numPr>
        <w:tabs>
          <w:tab w:val="num" w:pos="0"/>
        </w:tabs>
        <w:spacing w:line="360" w:lineRule="auto"/>
        <w:ind w:left="1440" w:right="1440"/>
      </w:pPr>
    </w:p>
    <w:p w:rsidR="000E7AB9" w:rsidRDefault="000E7AB9" w:rsidP="000E7AB9">
      <w:pPr>
        <w:pStyle w:val="Pleading2L3"/>
        <w:numPr>
          <w:ilvl w:val="0"/>
          <w:numId w:val="0"/>
        </w:numPr>
        <w:tabs>
          <w:tab w:val="num" w:pos="0"/>
        </w:tabs>
        <w:spacing w:line="360" w:lineRule="auto"/>
      </w:pPr>
      <w:r>
        <w:tab/>
      </w:r>
      <w:r>
        <w:tab/>
        <w:t>This Order established that there are inequities in the positions of the NGDC and NGS which would need to be addressed, either through a POR program or unbundling of gas procurement costs to determine where those costs should be allocated, at the choice of the utility.  The Commission then evaluated the comments and reply comments in its next related gas order:</w:t>
      </w:r>
    </w:p>
    <w:p w:rsidR="00580F01" w:rsidRDefault="00580F01" w:rsidP="000E7AB9">
      <w:pPr>
        <w:pStyle w:val="Pleading2L3"/>
        <w:numPr>
          <w:ilvl w:val="0"/>
          <w:numId w:val="0"/>
        </w:numPr>
        <w:tabs>
          <w:tab w:val="num" w:pos="0"/>
        </w:tabs>
        <w:spacing w:line="240" w:lineRule="auto"/>
        <w:ind w:left="1440" w:right="1440"/>
        <w:rPr>
          <w:b/>
        </w:rPr>
      </w:pPr>
    </w:p>
    <w:p w:rsidR="000E7AB9" w:rsidRDefault="000E7AB9" w:rsidP="000E7AB9">
      <w:pPr>
        <w:pStyle w:val="Pleading2L3"/>
        <w:numPr>
          <w:ilvl w:val="0"/>
          <w:numId w:val="0"/>
        </w:numPr>
        <w:tabs>
          <w:tab w:val="num" w:pos="0"/>
        </w:tabs>
        <w:spacing w:line="240" w:lineRule="auto"/>
        <w:ind w:left="1440" w:right="1440"/>
        <w:rPr>
          <w:b/>
        </w:rPr>
      </w:pPr>
      <w:r>
        <w:rPr>
          <w:b/>
        </w:rPr>
        <w:t>Resolution</w:t>
      </w:r>
    </w:p>
    <w:p w:rsidR="000E7AB9" w:rsidRDefault="000E7AB9" w:rsidP="000E7AB9">
      <w:pPr>
        <w:pStyle w:val="Pleading2L3"/>
        <w:numPr>
          <w:ilvl w:val="0"/>
          <w:numId w:val="0"/>
        </w:numPr>
        <w:tabs>
          <w:tab w:val="num" w:pos="0"/>
        </w:tabs>
        <w:spacing w:line="240" w:lineRule="auto"/>
        <w:ind w:left="1440" w:right="1440"/>
      </w:pPr>
      <w:r>
        <w:tab/>
        <w:t>We do not agree with the commenters that state that Section 2205(c)(5) prevents the Commission from directing the filing of voluntary POR programs.  This section reads as follow:</w:t>
      </w:r>
    </w:p>
    <w:p w:rsidR="000E7AB9" w:rsidRDefault="000E7AB9" w:rsidP="000E7AB9">
      <w:pPr>
        <w:pStyle w:val="Pleading2L3"/>
        <w:numPr>
          <w:ilvl w:val="0"/>
          <w:numId w:val="0"/>
        </w:numPr>
        <w:tabs>
          <w:tab w:val="num" w:pos="0"/>
        </w:tabs>
        <w:spacing w:line="240" w:lineRule="auto"/>
        <w:ind w:left="1440" w:right="1440"/>
      </w:pPr>
      <w:r w:rsidRPr="00644BB8">
        <w:rPr>
          <w:b/>
        </w:rPr>
        <w:lastRenderedPageBreak/>
        <w:t>(c)</w:t>
      </w:r>
      <w:r>
        <w:rPr>
          <w:b/>
        </w:rPr>
        <w:t xml:space="preserve"> </w:t>
      </w:r>
      <w:r w:rsidRPr="00644BB8">
        <w:rPr>
          <w:b/>
        </w:rPr>
        <w:t>Customer billing</w:t>
      </w:r>
      <w:r>
        <w:t xml:space="preserve"> –</w:t>
      </w:r>
    </w:p>
    <w:p w:rsidR="000E7AB9" w:rsidRDefault="000E7AB9" w:rsidP="000E7AB9">
      <w:pPr>
        <w:pStyle w:val="Pleading2L3"/>
        <w:numPr>
          <w:ilvl w:val="0"/>
          <w:numId w:val="0"/>
        </w:numPr>
        <w:tabs>
          <w:tab w:val="num" w:pos="0"/>
        </w:tabs>
        <w:spacing w:line="240" w:lineRule="auto"/>
        <w:ind w:left="1440" w:right="1440"/>
        <w:jc w:val="center"/>
      </w:pPr>
      <w:r>
        <w:t>* * *</w:t>
      </w:r>
    </w:p>
    <w:p w:rsidR="000E7AB9" w:rsidRDefault="000E7AB9" w:rsidP="000E7AB9">
      <w:pPr>
        <w:pStyle w:val="Pleading2L3"/>
        <w:numPr>
          <w:ilvl w:val="0"/>
          <w:numId w:val="0"/>
        </w:numPr>
        <w:tabs>
          <w:tab w:val="num" w:pos="0"/>
        </w:tabs>
        <w:spacing w:line="240" w:lineRule="auto"/>
        <w:ind w:left="2160" w:right="1440"/>
      </w:pPr>
      <w:r>
        <w:tab/>
        <w:t>(5)</w:t>
      </w:r>
      <w:r>
        <w:tab/>
        <w:t>No natural gas distribution company shall be required to forward payment to entities providing services to customers and on whose behalf the natural gas distribution company is billing those customers before the natural gas distribution company has received payment for those services from customers.  The commission shall issue guidelines addressing the application of partial payments.</w:t>
      </w:r>
    </w:p>
    <w:p w:rsidR="003B4E41" w:rsidRDefault="000E7AB9" w:rsidP="003B4E41">
      <w:pPr>
        <w:pStyle w:val="Pleading2L3"/>
        <w:numPr>
          <w:ilvl w:val="0"/>
          <w:numId w:val="0"/>
        </w:numPr>
        <w:tabs>
          <w:tab w:val="num" w:pos="0"/>
        </w:tabs>
        <w:spacing w:line="240" w:lineRule="auto"/>
      </w:pPr>
      <w:r>
        <w:tab/>
      </w:r>
      <w:r>
        <w:tab/>
      </w:r>
    </w:p>
    <w:p w:rsidR="000E7AB9" w:rsidRDefault="000E7AB9" w:rsidP="003B4E41">
      <w:pPr>
        <w:pStyle w:val="Pleading2L3"/>
        <w:numPr>
          <w:ilvl w:val="0"/>
          <w:numId w:val="0"/>
        </w:numPr>
        <w:tabs>
          <w:tab w:val="num" w:pos="0"/>
        </w:tabs>
        <w:spacing w:line="240" w:lineRule="auto"/>
        <w:rPr>
          <w:vertAlign w:val="superscript"/>
        </w:rPr>
      </w:pPr>
      <w:r>
        <w:t>66 Pa. C.S.</w:t>
      </w:r>
      <w:r w:rsidR="00B06DFA">
        <w:t xml:space="preserve"> </w:t>
      </w:r>
      <w:r>
        <w:t>§ 2205((5).</w:t>
      </w:r>
      <w:r w:rsidRPr="008A1691">
        <w:rPr>
          <w:rStyle w:val="FootnoteReference"/>
          <w:vertAlign w:val="superscript"/>
        </w:rPr>
        <w:footnoteReference w:id="17"/>
      </w:r>
      <w:r w:rsidRPr="008A1691">
        <w:rPr>
          <w:vertAlign w:val="superscript"/>
        </w:rPr>
        <w:t xml:space="preserve"> </w:t>
      </w:r>
    </w:p>
    <w:p w:rsidR="003B4E41" w:rsidRPr="00912473" w:rsidRDefault="003B4E41" w:rsidP="003B4E41">
      <w:pPr>
        <w:pStyle w:val="Pleading2L3"/>
        <w:numPr>
          <w:ilvl w:val="0"/>
          <w:numId w:val="0"/>
        </w:numPr>
        <w:tabs>
          <w:tab w:val="num" w:pos="0"/>
        </w:tabs>
        <w:spacing w:line="240" w:lineRule="auto"/>
      </w:pPr>
    </w:p>
    <w:p w:rsidR="000E7AB9" w:rsidRPr="00587292" w:rsidRDefault="000E7AB9" w:rsidP="000E7AB9">
      <w:pPr>
        <w:pStyle w:val="Pleading2L3"/>
        <w:numPr>
          <w:ilvl w:val="0"/>
          <w:numId w:val="0"/>
        </w:numPr>
        <w:tabs>
          <w:tab w:val="num" w:pos="0"/>
        </w:tabs>
        <w:spacing w:line="240" w:lineRule="auto"/>
        <w:ind w:left="1440" w:right="1440"/>
      </w:pPr>
      <w:r>
        <w:tab/>
        <w:t xml:space="preserve">The plain language of this section demonstrates that it is solely directed to the mechanics of customer billing on behalf of suppliers, </w:t>
      </w:r>
      <w:r>
        <w:rPr>
          <w:i/>
        </w:rPr>
        <w:t xml:space="preserve">i.e., </w:t>
      </w:r>
      <w:r>
        <w:t xml:space="preserve">the NGDC must be paid first before it is required to forward payment to the NGS in situations where the NGS has chosen to use the billing services of the NGDC.  It does not address POR programs in which the NGDC purchases, at the outset, the NGS accounts receivables and becomes the new creditor for the customer accounts.  Thus in our opinion, Section 2205(c)(5) at most only sets forth a parameter that must be considered in the design of POR programs, and does not address, let alone limit, our authority to encourage NGDCs to voluntarily file interim POR programs proposals.   </w:t>
      </w:r>
    </w:p>
    <w:p w:rsidR="000E7AB9" w:rsidRDefault="000E7AB9" w:rsidP="000E7AB9">
      <w:pPr>
        <w:pStyle w:val="Pleading2L3"/>
        <w:numPr>
          <w:ilvl w:val="0"/>
          <w:numId w:val="0"/>
        </w:numPr>
        <w:tabs>
          <w:tab w:val="num" w:pos="0"/>
        </w:tabs>
        <w:spacing w:line="240" w:lineRule="auto"/>
        <w:ind w:left="1440" w:right="1440"/>
      </w:pPr>
      <w:r>
        <w:rPr>
          <w:i/>
        </w:rPr>
        <w:t xml:space="preserve">Establishment of Interim Guidelines for Purchase of Receivables (POR) Programs, </w:t>
      </w:r>
      <w:r>
        <w:t xml:space="preserve">Docket Nos. M-2008-2068982, </w:t>
      </w:r>
    </w:p>
    <w:p w:rsidR="000E7AB9" w:rsidRPr="006B1262" w:rsidRDefault="000E7AB9" w:rsidP="000E7AB9">
      <w:pPr>
        <w:pStyle w:val="Pleading2L3"/>
        <w:numPr>
          <w:ilvl w:val="0"/>
          <w:numId w:val="0"/>
        </w:numPr>
        <w:tabs>
          <w:tab w:val="num" w:pos="0"/>
        </w:tabs>
        <w:spacing w:line="240" w:lineRule="auto"/>
        <w:ind w:left="1440" w:right="1440"/>
      </w:pPr>
      <w:r>
        <w:t>I-00040103F0002 (order entered December 19, 2008) at 4-5.</w:t>
      </w:r>
    </w:p>
    <w:p w:rsidR="000E7AB9" w:rsidRDefault="000E7AB9" w:rsidP="00B06DFA">
      <w:pPr>
        <w:pStyle w:val="Pleading2L3"/>
        <w:numPr>
          <w:ilvl w:val="0"/>
          <w:numId w:val="0"/>
        </w:numPr>
        <w:tabs>
          <w:tab w:val="num" w:pos="0"/>
        </w:tabs>
        <w:spacing w:line="360" w:lineRule="auto"/>
      </w:pPr>
    </w:p>
    <w:p w:rsidR="000E7AB9" w:rsidRDefault="000E7AB9" w:rsidP="00B06DFA">
      <w:pPr>
        <w:pStyle w:val="Pleading2L3"/>
        <w:numPr>
          <w:ilvl w:val="0"/>
          <w:numId w:val="0"/>
        </w:numPr>
        <w:tabs>
          <w:tab w:val="num" w:pos="0"/>
        </w:tabs>
        <w:spacing w:line="360" w:lineRule="auto"/>
      </w:pPr>
      <w:r>
        <w:tab/>
      </w:r>
      <w:r>
        <w:tab/>
        <w:t xml:space="preserve">The Commission was careful to label the gas industry POR programs as voluntary and nowhere did the Commission </w:t>
      </w:r>
      <w:r w:rsidRPr="00AD1303">
        <w:rPr>
          <w:i/>
        </w:rPr>
        <w:t>order</w:t>
      </w:r>
      <w:r>
        <w:t xml:space="preserve"> the gas utilities to establish and file the programs.</w:t>
      </w:r>
    </w:p>
    <w:p w:rsidR="000E7AB9" w:rsidRDefault="000E7AB9" w:rsidP="00B06DFA">
      <w:pPr>
        <w:pStyle w:val="Pleading2L3"/>
        <w:numPr>
          <w:ilvl w:val="0"/>
          <w:numId w:val="0"/>
        </w:numPr>
        <w:tabs>
          <w:tab w:val="num" w:pos="0"/>
        </w:tabs>
        <w:spacing w:line="360" w:lineRule="auto"/>
      </w:pPr>
    </w:p>
    <w:p w:rsidR="000E7AB9" w:rsidRDefault="000E7AB9" w:rsidP="00B06DFA">
      <w:pPr>
        <w:pStyle w:val="Pleading2L3"/>
        <w:numPr>
          <w:ilvl w:val="0"/>
          <w:numId w:val="0"/>
        </w:numPr>
        <w:tabs>
          <w:tab w:val="num" w:pos="0"/>
        </w:tabs>
        <w:spacing w:line="360" w:lineRule="auto"/>
      </w:pPr>
      <w:r>
        <w:tab/>
      </w:r>
      <w:r>
        <w:tab/>
        <w:t xml:space="preserve">This language was applied to the electric industry in </w:t>
      </w:r>
      <w:r>
        <w:rPr>
          <w:i/>
        </w:rPr>
        <w:t xml:space="preserve">PPL Electric Utilities Corporation Retail Markets, </w:t>
      </w:r>
      <w:r>
        <w:t>Docket No. M-2009-2104271 (Order entered August 11, 2009):</w:t>
      </w:r>
    </w:p>
    <w:p w:rsidR="000E7AB9" w:rsidRDefault="000E7AB9" w:rsidP="00B06DFA">
      <w:pPr>
        <w:pStyle w:val="Pleading2L3"/>
        <w:numPr>
          <w:ilvl w:val="0"/>
          <w:numId w:val="0"/>
        </w:numPr>
        <w:tabs>
          <w:tab w:val="num" w:pos="0"/>
        </w:tabs>
        <w:spacing w:line="360" w:lineRule="auto"/>
      </w:pPr>
    </w:p>
    <w:p w:rsidR="000E7AB9" w:rsidRDefault="000E7AB9" w:rsidP="000E7AB9">
      <w:pPr>
        <w:pStyle w:val="Pleading2L3"/>
        <w:numPr>
          <w:ilvl w:val="0"/>
          <w:numId w:val="0"/>
        </w:numPr>
        <w:tabs>
          <w:tab w:val="num" w:pos="0"/>
        </w:tabs>
        <w:spacing w:line="240" w:lineRule="auto"/>
        <w:ind w:left="1440" w:right="1440"/>
        <w:rPr>
          <w:b/>
        </w:rPr>
      </w:pPr>
      <w:r>
        <w:rPr>
          <w:b/>
        </w:rPr>
        <w:t>Resolution (of POR issue)</w:t>
      </w:r>
    </w:p>
    <w:p w:rsidR="000E7AB9" w:rsidRDefault="000E7AB9" w:rsidP="000E7AB9">
      <w:pPr>
        <w:pStyle w:val="Pleading2L3"/>
        <w:numPr>
          <w:ilvl w:val="0"/>
          <w:numId w:val="0"/>
        </w:numPr>
        <w:tabs>
          <w:tab w:val="num" w:pos="0"/>
        </w:tabs>
        <w:spacing w:line="240" w:lineRule="auto"/>
        <w:ind w:left="1440" w:right="1440"/>
      </w:pPr>
      <w:r>
        <w:tab/>
        <w:t>The Public Utility Code gives us the requisite authority regarding POR plans under our general authority (</w:t>
      </w:r>
      <w:r>
        <w:rPr>
          <w:i/>
        </w:rPr>
        <w:t>see</w:t>
      </w:r>
      <w:r>
        <w:t xml:space="preserve">, Title 66 Pa. C.S., Chapters 5 and 13) as well as the Competition Act to regulate </w:t>
      </w:r>
      <w:r>
        <w:lastRenderedPageBreak/>
        <w:t>the terms and conditions of these plans.  In particular, based on several years’ experience during the transition period, it is the Commission’s judgment that a viable POR program is an essential element to the creation of a competitive market for generation in Pennsylvania, as envisioned by the Competition Act.  66 Pa. C.S.</w:t>
      </w:r>
    </w:p>
    <w:p w:rsidR="000E7AB9" w:rsidRDefault="000E7AB9" w:rsidP="000E7AB9">
      <w:pPr>
        <w:pStyle w:val="Pleading2L3"/>
        <w:numPr>
          <w:ilvl w:val="0"/>
          <w:numId w:val="0"/>
        </w:numPr>
        <w:tabs>
          <w:tab w:val="num" w:pos="0"/>
        </w:tabs>
        <w:spacing w:line="240" w:lineRule="auto"/>
        <w:ind w:left="1440" w:right="1440"/>
      </w:pPr>
      <w:r>
        <w:t xml:space="preserve">§ 3802(2).  Moreover, we are convinced that establishment of a properly structured POR program </w:t>
      </w:r>
      <w:r>
        <w:rPr>
          <w:i/>
        </w:rPr>
        <w:t xml:space="preserve">by the end of the transition </w:t>
      </w:r>
      <w:r w:rsidRPr="00FF4533">
        <w:t xml:space="preserve">period </w:t>
      </w:r>
      <w:r>
        <w:t>is necessary to faithfully carry out the provisions of Chapter 28.  66 Pa. C.S. § 510(a).  And that absent a viable POR program in place to coincide with the expiration of rate caps and substantial increase in default service rates, consumers in PPL’s service territory will not likely have the competitive market and customer choice that the legislation intended when the rate caps expire on December 31, 2009.</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pPr>
      <w:r>
        <w:tab/>
        <w:t>In addition, so long as PPL’s rates remain bundled, the EGS is placed at a disadvantage vis-à-vis the EDC so long as the EDC does not, or cannot, terminate service to a non-paying EGS customer on the same basis as it terminates service to its own non-paying default service customer.  The Competition Act requires that we:</w:t>
      </w:r>
    </w:p>
    <w:p w:rsidR="000E7AB9" w:rsidRDefault="000E7AB9" w:rsidP="000E7AB9">
      <w:pPr>
        <w:pStyle w:val="Pleading2L3"/>
        <w:numPr>
          <w:ilvl w:val="0"/>
          <w:numId w:val="0"/>
        </w:numPr>
        <w:tabs>
          <w:tab w:val="num" w:pos="0"/>
        </w:tabs>
        <w:spacing w:line="240" w:lineRule="auto"/>
        <w:ind w:left="2160" w:right="1440"/>
      </w:pPr>
      <w:r>
        <w:t>shall require that a public utility that owns or operates jurisdictional transmission and distribution facilities shall provide transmission and distribution service to all retail electric customers in their service territory and to electric cooperative corporations and electric generation suppliers, affiliated or nonaffiliated, on rates, terms of access and conditions that are comparable to the utility’s own use of its system.</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pPr>
      <w:r>
        <w:t>66 Pa C.S. § 3804(6).  Thus, we have the authority and, moreover, the obligation to correct disparities, eliminate cross-subsidies and other anomalies in this, or any other program, operated by an electric utility.  In the Commission’s judgment, a POR program is an essential tool to reduce barriers to entry by EGS firms and to create the fully functional retail market for generation envisioned by the General Assembly in Chapter 28.</w:t>
      </w:r>
    </w:p>
    <w:p w:rsidR="000E7AB9" w:rsidRDefault="000E7AB9" w:rsidP="000E7AB9">
      <w:pPr>
        <w:pStyle w:val="Pleading2L3"/>
        <w:numPr>
          <w:ilvl w:val="0"/>
          <w:numId w:val="0"/>
        </w:numPr>
        <w:tabs>
          <w:tab w:val="num" w:pos="0"/>
        </w:tabs>
        <w:spacing w:line="240" w:lineRule="auto"/>
        <w:ind w:left="1440" w:right="1440"/>
      </w:pPr>
    </w:p>
    <w:p w:rsidR="000E7AB9" w:rsidRDefault="000E7AB9" w:rsidP="000E7AB9">
      <w:pPr>
        <w:pStyle w:val="Pleading2L3"/>
        <w:numPr>
          <w:ilvl w:val="0"/>
          <w:numId w:val="0"/>
        </w:numPr>
        <w:tabs>
          <w:tab w:val="num" w:pos="0"/>
        </w:tabs>
        <w:spacing w:line="240" w:lineRule="auto"/>
        <w:ind w:left="1440" w:right="1440"/>
      </w:pPr>
      <w:r>
        <w:tab/>
        <w:t>With regard to those who contend that section 2807(c)(3) of the Public Utility Code (66 Pa. C.S. § 2807(c)(3)) prohibits POR programs, we have spoken to this argument in the past.  Section 2807(c)(3) prohibits “advance” payments to an EGS.  As we explained, with reference to section 2205(c)(5) (66 Pa. C.S.</w:t>
      </w:r>
    </w:p>
    <w:p w:rsidR="000E7AB9" w:rsidRDefault="000E7AB9" w:rsidP="000E7AB9">
      <w:pPr>
        <w:pStyle w:val="Pleading2L3"/>
        <w:numPr>
          <w:ilvl w:val="0"/>
          <w:numId w:val="0"/>
        </w:numPr>
        <w:tabs>
          <w:tab w:val="num" w:pos="0"/>
        </w:tabs>
        <w:spacing w:line="240" w:lineRule="auto"/>
        <w:ind w:left="1440" w:right="1440"/>
      </w:pPr>
      <w:r>
        <w:t xml:space="preserve"> § 2205(c)(5)) which places the same directive on us with regard to natural gas utilities:</w:t>
      </w:r>
    </w:p>
    <w:p w:rsidR="000E7AB9" w:rsidRDefault="000E7AB9" w:rsidP="000E7AB9">
      <w:pPr>
        <w:pStyle w:val="Pleading2L3"/>
        <w:numPr>
          <w:ilvl w:val="0"/>
          <w:numId w:val="0"/>
        </w:numPr>
        <w:tabs>
          <w:tab w:val="num" w:pos="0"/>
        </w:tabs>
        <w:spacing w:line="240" w:lineRule="auto"/>
        <w:ind w:left="2160" w:right="1440"/>
      </w:pPr>
      <w:r>
        <w:lastRenderedPageBreak/>
        <w:t xml:space="preserve">The plain language of this section demonstrates that it is solely directed to the mechanics of customer billing on behalf of suppliers, </w:t>
      </w:r>
      <w:r>
        <w:rPr>
          <w:i/>
        </w:rPr>
        <w:t xml:space="preserve">i.e., </w:t>
      </w:r>
      <w:r>
        <w:t xml:space="preserve">the NGDC must be paid first before it is required to forward payment to the NGS in situations where the NGS has chosen to use the billing services of the NGDC.  It does not address POR programs in which the NGDC purchases, at the outset, the NGS accounts receivables and becomes the new creditor for the customer accounts.  Thus in our opinion, Section 2205(c)(5) at most only sets forth a parameter that must be considered in the design of POR programs, and does not address, let alone limit, our authority to encourage NGDCs to voluntarily file interim POR programs proposals.  </w:t>
      </w:r>
    </w:p>
    <w:p w:rsidR="000E7AB9" w:rsidRPr="00587292" w:rsidRDefault="000E7AB9" w:rsidP="000E7AB9">
      <w:pPr>
        <w:pStyle w:val="Pleading2L3"/>
        <w:numPr>
          <w:ilvl w:val="0"/>
          <w:numId w:val="0"/>
        </w:numPr>
        <w:tabs>
          <w:tab w:val="num" w:pos="0"/>
        </w:tabs>
        <w:spacing w:line="240" w:lineRule="auto"/>
        <w:ind w:left="1440" w:right="1440"/>
      </w:pPr>
      <w:r>
        <w:t xml:space="preserve"> </w:t>
      </w:r>
    </w:p>
    <w:p w:rsidR="000E7AB9" w:rsidRDefault="000E7AB9" w:rsidP="000E7AB9">
      <w:pPr>
        <w:pStyle w:val="Pleading2L3"/>
        <w:numPr>
          <w:ilvl w:val="0"/>
          <w:numId w:val="0"/>
        </w:numPr>
        <w:tabs>
          <w:tab w:val="num" w:pos="0"/>
        </w:tabs>
        <w:spacing w:line="240" w:lineRule="auto"/>
        <w:ind w:left="1440" w:right="1440"/>
      </w:pPr>
      <w:r w:rsidRPr="00F10E36">
        <w:t>Establishment of Interim Guidelines for Purchase of Receivables (POR) Programs</w:t>
      </w:r>
      <w:r w:rsidR="00E30298">
        <w:t>, Docket Nos. M-2008-2068982, I</w:t>
      </w:r>
      <w:r w:rsidR="00E30298">
        <w:noBreakHyphen/>
      </w:r>
      <w:r w:rsidRPr="00F10E36">
        <w:t>00040103F0002 (order entered December 19, 2008) at 4-5.</w:t>
      </w:r>
      <w:r>
        <w:t xml:space="preserve"> We see no difference in the administration of a POR plan for natural gas with that of one for electricity.  While the energy products are different, the process of payment and collection of bills is materially the same.  There is no reason why our determination regarding the Electric Competition Act should not be consistent with our determination with respect to the Natural Gas Competition Act in this regard. </w:t>
      </w:r>
    </w:p>
    <w:p w:rsidR="000E7AB9" w:rsidRDefault="000E7AB9" w:rsidP="000E7AB9">
      <w:pPr>
        <w:pStyle w:val="Pleading2L3"/>
        <w:numPr>
          <w:ilvl w:val="0"/>
          <w:numId w:val="0"/>
        </w:numPr>
        <w:tabs>
          <w:tab w:val="num" w:pos="0"/>
        </w:tabs>
        <w:spacing w:line="240" w:lineRule="auto"/>
        <w:ind w:left="1440" w:right="1440"/>
      </w:pPr>
      <w:r>
        <w:tab/>
      </w:r>
    </w:p>
    <w:p w:rsidR="000E7AB9" w:rsidRPr="00145876" w:rsidRDefault="000E7AB9" w:rsidP="000E7AB9">
      <w:pPr>
        <w:pStyle w:val="Pleading2L3"/>
        <w:numPr>
          <w:ilvl w:val="0"/>
          <w:numId w:val="0"/>
        </w:numPr>
        <w:tabs>
          <w:tab w:val="num" w:pos="0"/>
        </w:tabs>
        <w:spacing w:line="240" w:lineRule="auto"/>
        <w:ind w:left="1440" w:right="1440"/>
      </w:pPr>
      <w:r>
        <w:tab/>
        <w:t xml:space="preserve">PPL is already operating a POR program.  We are not directing it to undertake something completely new.  Here we are only calling for modifications which, we believe, will eliminate unfair subsidies and improve the climate for competition.  Our modifications will remain in place until it is supplanted by the program created through the DSP settlement is implemented.  We anticipate that the program to be subsequently negotiated and filed will adhere to the principles set forth herein and in the Tentative Order.  </w:t>
      </w:r>
      <w:r w:rsidRPr="00AD192F">
        <w:rPr>
          <w:b/>
        </w:rPr>
        <w:t>Just as default customers should not subsidize those customers who shop, shopping customers should not be required to subsidize the electric service of default customers who remain with the Company.</w:t>
      </w:r>
      <w:r>
        <w:rPr>
          <w:b/>
        </w:rPr>
        <w:t xml:space="preserve"> (</w:t>
      </w:r>
      <w:r>
        <w:t>emphasis added)</w:t>
      </w:r>
    </w:p>
    <w:p w:rsidR="000E7AB9" w:rsidRDefault="000E7AB9" w:rsidP="000E7AB9">
      <w:pPr>
        <w:pStyle w:val="Pleading2L3"/>
        <w:numPr>
          <w:ilvl w:val="0"/>
          <w:numId w:val="0"/>
        </w:numPr>
        <w:tabs>
          <w:tab w:val="num" w:pos="0"/>
        </w:tabs>
        <w:spacing w:line="240" w:lineRule="auto"/>
        <w:ind w:left="1440" w:right="1440"/>
        <w:rPr>
          <w:b/>
        </w:rPr>
      </w:pPr>
    </w:p>
    <w:p w:rsidR="000E7AB9" w:rsidRDefault="000E7AB9" w:rsidP="000E7AB9">
      <w:pPr>
        <w:pStyle w:val="Pleading2L3"/>
        <w:numPr>
          <w:ilvl w:val="0"/>
          <w:numId w:val="0"/>
        </w:numPr>
        <w:tabs>
          <w:tab w:val="num" w:pos="0"/>
        </w:tabs>
        <w:spacing w:line="240" w:lineRule="auto"/>
        <w:ind w:left="1440" w:right="1440"/>
      </w:pPr>
      <w:r>
        <w:rPr>
          <w:b/>
        </w:rPr>
        <w:tab/>
        <w:t>. . .</w:t>
      </w:r>
      <w:r w:rsidRPr="00145876">
        <w:t xml:space="preserve"> . Under the current POR plan, shopping custo</w:t>
      </w:r>
      <w:r>
        <w:t xml:space="preserve">mers must bear the risk of non-payment through the rates charged by their EGS </w:t>
      </w:r>
      <w:r>
        <w:rPr>
          <w:b/>
        </w:rPr>
        <w:t xml:space="preserve">and </w:t>
      </w:r>
      <w:r w:rsidRPr="00145876">
        <w:t>the risk of non-payment by DSP customers</w:t>
      </w:r>
      <w:r>
        <w:t xml:space="preserve"> through PPL’s base distribution rates.  </w:t>
      </w:r>
      <w:r w:rsidRPr="00344603">
        <w:rPr>
          <w:u w:val="single"/>
        </w:rPr>
        <w:t>We would prefer to see this disparity eliminated through a base rate proceeding, but understand that the filing of such an application is voluntary</w:t>
      </w:r>
      <w:r>
        <w:t xml:space="preserve">.  Should PPL choose not to make such a filing, it should eliminate cross subsidies via its POR program regardless of which direction they flow.  Thus, any </w:t>
      </w:r>
      <w:r>
        <w:lastRenderedPageBreak/>
        <w:t xml:space="preserve">discount in the purchase of receives (sic) should, as much as possible, reflect only the Company’s actual expenses.  This should not be a mechanism for the company to make money.  Therefore, the request for clarification of RESA is granted and the discount rate reflect only actual incremental costs incurred by PPL. </w:t>
      </w:r>
      <w:r>
        <w:rPr>
          <w:i/>
        </w:rPr>
        <w:t xml:space="preserve">PPL Electric Utilities Corporation Retail Markets, </w:t>
      </w:r>
      <w:r>
        <w:t>Docket No. M-2009-2104271 (Order entered August 11, 2009) at 27-29. (emphasis added)</w:t>
      </w:r>
      <w:r w:rsidR="00B06DFA">
        <w:t>.</w:t>
      </w:r>
    </w:p>
    <w:p w:rsidR="001E7DF6" w:rsidRDefault="001E7DF6" w:rsidP="00B06DFA">
      <w:pPr>
        <w:pStyle w:val="Pleading2L3"/>
        <w:numPr>
          <w:ilvl w:val="0"/>
          <w:numId w:val="0"/>
        </w:numPr>
        <w:tabs>
          <w:tab w:val="num" w:pos="0"/>
        </w:tabs>
        <w:spacing w:line="360" w:lineRule="auto"/>
        <w:ind w:left="1440" w:right="1440"/>
      </w:pPr>
    </w:p>
    <w:p w:rsidR="000E7AB9" w:rsidRPr="00C84861" w:rsidRDefault="000E7AB9" w:rsidP="00B06DFA">
      <w:pPr>
        <w:pStyle w:val="Pleading2L3"/>
        <w:numPr>
          <w:ilvl w:val="0"/>
          <w:numId w:val="0"/>
        </w:numPr>
        <w:tabs>
          <w:tab w:val="num" w:pos="0"/>
        </w:tabs>
        <w:spacing w:line="360" w:lineRule="auto"/>
      </w:pPr>
      <w:r>
        <w:tab/>
      </w:r>
      <w:r>
        <w:tab/>
        <w:t xml:space="preserve">From this language we learn two things:  (1) the Commission understands that the implementation of a POR program is voluntary but that the terms of that program can be approved or disapproved by the Commission; and (2) </w:t>
      </w:r>
      <w:r w:rsidRPr="00663BE4">
        <w:t xml:space="preserve">default customers should not subsidize those customers who shop, </w:t>
      </w:r>
      <w:r>
        <w:t xml:space="preserve">and </w:t>
      </w:r>
      <w:r w:rsidRPr="00663BE4">
        <w:t>shopping customers should not be required to subsidize the electric service of default customers who remain with the Company</w:t>
      </w:r>
      <w:r>
        <w:t xml:space="preserve">.  This becomes important later in this discussion.  </w:t>
      </w:r>
    </w:p>
    <w:p w:rsidR="000E7AB9" w:rsidRDefault="000E7AB9" w:rsidP="000E7AB9">
      <w:pPr>
        <w:pStyle w:val="Pleading2L3"/>
        <w:numPr>
          <w:ilvl w:val="0"/>
          <w:numId w:val="0"/>
        </w:numPr>
        <w:tabs>
          <w:tab w:val="num" w:pos="0"/>
        </w:tabs>
        <w:spacing w:line="360" w:lineRule="auto"/>
      </w:pPr>
    </w:p>
    <w:p w:rsidR="000E7AB9" w:rsidRDefault="000E7AB9" w:rsidP="000E7AB9">
      <w:pPr>
        <w:pStyle w:val="Pleading2L3"/>
        <w:numPr>
          <w:ilvl w:val="0"/>
          <w:numId w:val="0"/>
        </w:numPr>
        <w:tabs>
          <w:tab w:val="num" w:pos="0"/>
        </w:tabs>
        <w:spacing w:line="360" w:lineRule="auto"/>
      </w:pPr>
      <w:r>
        <w:tab/>
      </w:r>
      <w:r>
        <w:tab/>
        <w:t xml:space="preserve">On August 10, 2010, the Commission entered its </w:t>
      </w:r>
      <w:r w:rsidRPr="008D1E67">
        <w:t xml:space="preserve">Advance Notice of Final Rulemaking Order </w:t>
      </w:r>
      <w:r w:rsidRPr="00467F68">
        <w:t>in</w:t>
      </w:r>
      <w:r>
        <w:rPr>
          <w:i/>
        </w:rPr>
        <w:t xml:space="preserve"> Natural Gas Distribution Companies and Promotion of Competitive Retail Markets </w:t>
      </w:r>
      <w:r>
        <w:t xml:space="preserve">proceeding, Docket no. L-2008-2069114, which resolves a number of issues in the gas industry, including preferred terms of POR programs.  The Commission has declared its intent to require an NGS to use consolidated billing in order to qualify for participation in a POR program unless the NGDC’s system cannot accommodate it, or if the NGS wants to offer products that are bundled with non-basic services.  At 24-25; §62.224(2).  This Order will be referred to as a guide to Commission preferences in this matter. </w:t>
      </w:r>
    </w:p>
    <w:p w:rsidR="000E7AB9" w:rsidRPr="008D1E67" w:rsidRDefault="000E7AB9" w:rsidP="000E7AB9">
      <w:pPr>
        <w:pStyle w:val="Pleading2L3"/>
        <w:numPr>
          <w:ilvl w:val="0"/>
          <w:numId w:val="0"/>
        </w:numPr>
        <w:tabs>
          <w:tab w:val="num" w:pos="0"/>
        </w:tabs>
        <w:spacing w:line="360" w:lineRule="auto"/>
      </w:pPr>
    </w:p>
    <w:p w:rsidR="000E7AB9" w:rsidRDefault="000E7AB9" w:rsidP="000E7AB9">
      <w:pPr>
        <w:pStyle w:val="Pleading2L3"/>
        <w:numPr>
          <w:ilvl w:val="0"/>
          <w:numId w:val="0"/>
        </w:numPr>
        <w:tabs>
          <w:tab w:val="num" w:pos="0"/>
        </w:tabs>
        <w:spacing w:line="360" w:lineRule="auto"/>
      </w:pPr>
      <w:r>
        <w:tab/>
      </w:r>
      <w:r>
        <w:tab/>
        <w:t xml:space="preserve">As stated above, the burden of proving entitlement to its proposed rates rests on the utility.  The burden of persuasion shifts to other parties (RESA) to prove that there are factors which weigh against the Company’s prima facie case.  </w:t>
      </w:r>
    </w:p>
    <w:p w:rsidR="000E7AB9" w:rsidRDefault="000E7AB9" w:rsidP="000E7AB9">
      <w:pPr>
        <w:pStyle w:val="Pleading2L3"/>
        <w:numPr>
          <w:ilvl w:val="0"/>
          <w:numId w:val="0"/>
        </w:numPr>
        <w:tabs>
          <w:tab w:val="num" w:pos="0"/>
        </w:tabs>
        <w:spacing w:line="360" w:lineRule="auto"/>
      </w:pPr>
    </w:p>
    <w:p w:rsidR="000E7AB9" w:rsidRDefault="000E7AB9" w:rsidP="000E7AB9">
      <w:pPr>
        <w:ind w:firstLine="1440"/>
        <w:jc w:val="left"/>
        <w:rPr>
          <w:spacing w:val="-3"/>
        </w:rPr>
      </w:pPr>
      <w:r>
        <w:t>However, the burden of proving that the Company should implement something other than its own proposal is on the party proposing something else.  The C</w:t>
      </w:r>
      <w:r>
        <w:rPr>
          <w:spacing w:val="-3"/>
        </w:rPr>
        <w:t xml:space="preserve">omplainant has the burden of showing that the utility is responsible or accountable for the problem described in the Complaint in order to prevail.  </w:t>
      </w:r>
      <w:r>
        <w:rPr>
          <w:i/>
          <w:spacing w:val="-3"/>
        </w:rPr>
        <w:t xml:space="preserve">Patterson v. Bell Telephone Company of </w:t>
      </w:r>
      <w:smartTag w:uri="urn:schemas-microsoft-com:office:smarttags" w:element="State">
        <w:r>
          <w:rPr>
            <w:i/>
            <w:spacing w:val="-3"/>
          </w:rPr>
          <w:t>Pennsylvania</w:t>
        </w:r>
      </w:smartTag>
      <w:r>
        <w:rPr>
          <w:spacing w:val="-3"/>
        </w:rPr>
        <w:t xml:space="preserve">, 72 </w:t>
      </w:r>
      <w:smartTag w:uri="urn:schemas-microsoft-com:office:smarttags" w:element="State">
        <w:r>
          <w:rPr>
            <w:spacing w:val="-3"/>
          </w:rPr>
          <w:t>Pa.</w:t>
        </w:r>
      </w:smartTag>
      <w:r>
        <w:rPr>
          <w:spacing w:val="-3"/>
        </w:rPr>
        <w:t xml:space="preserve"> PUC 196 (1990); </w:t>
      </w:r>
      <w:r>
        <w:rPr>
          <w:i/>
          <w:spacing w:val="-3"/>
        </w:rPr>
        <w:t>Feinstein v. Philadelphia Suburban Water Company</w:t>
      </w:r>
      <w:r>
        <w:rPr>
          <w:spacing w:val="-3"/>
        </w:rPr>
        <w:t xml:space="preserve">, 50 </w:t>
      </w:r>
      <w:smartTag w:uri="urn:schemas-microsoft-com:office:smarttags" w:element="place">
        <w:smartTag w:uri="urn:schemas-microsoft-com:office:smarttags" w:element="State">
          <w:r>
            <w:rPr>
              <w:spacing w:val="-3"/>
            </w:rPr>
            <w:t>Pa.</w:t>
          </w:r>
        </w:smartTag>
      </w:smartTag>
      <w:r>
        <w:rPr>
          <w:spacing w:val="-3"/>
        </w:rPr>
        <w:t xml:space="preserve"> PUC 300 (1976).  This </w:t>
      </w:r>
      <w:r>
        <w:rPr>
          <w:spacing w:val="-3"/>
        </w:rPr>
        <w:lastRenderedPageBreak/>
        <w:t xml:space="preserve">must be shown by a preponderance of the evidence.  </w:t>
      </w:r>
      <w:r>
        <w:rPr>
          <w:i/>
          <w:spacing w:val="-3"/>
        </w:rPr>
        <w:t>Samuel J. Lansberry, Inc. v. PA Public Utility Comm’n</w:t>
      </w:r>
      <w:r>
        <w:rPr>
          <w:spacing w:val="-3"/>
        </w:rPr>
        <w:t xml:space="preserve">, 578 A.2d 600 (Pa. Cmwlth.1990), </w:t>
      </w:r>
      <w:r>
        <w:rPr>
          <w:i/>
          <w:spacing w:val="-3"/>
        </w:rPr>
        <w:t>alloc. den.</w:t>
      </w:r>
      <w:r>
        <w:rPr>
          <w:spacing w:val="-3"/>
        </w:rPr>
        <w:t xml:space="preserve">, 529 A.2d 654, 602 A.2d 863 (1992).  That is, by presenting evidence more convincing, by even the smallest amount, than that presented by the other party.  </w:t>
      </w:r>
      <w:r>
        <w:rPr>
          <w:i/>
          <w:spacing w:val="-3"/>
        </w:rPr>
        <w:t>Se-Ling Hosiery v. Margulies</w:t>
      </w:r>
      <w:r>
        <w:rPr>
          <w:spacing w:val="-3"/>
        </w:rPr>
        <w:t xml:space="preserve">, 364 </w:t>
      </w:r>
      <w:smartTag w:uri="urn:schemas-microsoft-com:office:smarttags" w:element="place">
        <w:smartTag w:uri="urn:schemas-microsoft-com:office:smarttags" w:element="State">
          <w:r>
            <w:rPr>
              <w:spacing w:val="-3"/>
            </w:rPr>
            <w:t>Pa.</w:t>
          </w:r>
        </w:smartTag>
      </w:smartTag>
      <w:r>
        <w:rPr>
          <w:spacing w:val="-3"/>
        </w:rPr>
        <w:t xml:space="preserve"> 45, 70 A.2d 854 (1950).  </w:t>
      </w:r>
    </w:p>
    <w:p w:rsidR="000E7AB9" w:rsidRDefault="000E7AB9" w:rsidP="000E7AB9">
      <w:pPr>
        <w:ind w:firstLine="1440"/>
        <w:jc w:val="left"/>
        <w:rPr>
          <w:spacing w:val="-3"/>
        </w:rPr>
      </w:pPr>
    </w:p>
    <w:p w:rsidR="000E7AB9" w:rsidRDefault="000E7AB9" w:rsidP="000E7AB9">
      <w:pPr>
        <w:ind w:firstLine="1440"/>
        <w:jc w:val="left"/>
        <w:rPr>
          <w:spacing w:val="-3"/>
        </w:rPr>
      </w:pPr>
      <w:r>
        <w:rPr>
          <w:spacing w:val="-3"/>
        </w:rPr>
        <w:t xml:space="preserve">Additionally, any finding of fact necessary to support the Commission’s adjudication must be based upon substantial evidence.  </w:t>
      </w:r>
      <w:r>
        <w:rPr>
          <w:i/>
          <w:spacing w:val="-3"/>
        </w:rPr>
        <w:t>Mill v. Comm’w., PA Public Utility Comm’n</w:t>
      </w:r>
      <w:r>
        <w:rPr>
          <w:spacing w:val="-3"/>
        </w:rPr>
        <w:t>, 447 A.2d 1100 (</w:t>
      </w:r>
      <w:smartTag w:uri="urn:schemas-microsoft-com:office:smarttags" w:element="State">
        <w:r>
          <w:rPr>
            <w:spacing w:val="-3"/>
          </w:rPr>
          <w:t>Pa.</w:t>
        </w:r>
      </w:smartTag>
      <w:r>
        <w:rPr>
          <w:spacing w:val="-3"/>
        </w:rPr>
        <w:t xml:space="preserve"> Cmwlth.1982); </w:t>
      </w:r>
      <w:r>
        <w:rPr>
          <w:i/>
          <w:spacing w:val="-3"/>
        </w:rPr>
        <w:t>Edan Transportation Corp. v. PA Public Utility Comm’n,</w:t>
      </w:r>
      <w:r>
        <w:rPr>
          <w:spacing w:val="-3"/>
        </w:rPr>
        <w:t xml:space="preserve"> 623 A.2d 6 (</w:t>
      </w:r>
      <w:smartTag w:uri="urn:schemas-microsoft-com:office:smarttags" w:element="place">
        <w:smartTag w:uri="urn:schemas-microsoft-com:office:smarttags" w:element="State">
          <w:r>
            <w:rPr>
              <w:spacing w:val="-3"/>
            </w:rPr>
            <w:t>Pa.</w:t>
          </w:r>
        </w:smartTag>
      </w:smartTag>
      <w:r>
        <w:rPr>
          <w:spacing w:val="-3"/>
        </w:rPr>
        <w:t xml:space="preserve"> Cmwlth.1993), 2 Pa.C.S. §704.  More is required than a mere trace of evidence or a suspicion of the existence of a fact sought to be established.  </w:t>
      </w:r>
      <w:smartTag w:uri="urn:schemas-microsoft-com:office:smarttags" w:element="City">
        <w:r>
          <w:rPr>
            <w:i/>
            <w:spacing w:val="-3"/>
          </w:rPr>
          <w:t>Norfolk</w:t>
        </w:r>
      </w:smartTag>
      <w:r>
        <w:rPr>
          <w:i/>
          <w:spacing w:val="-3"/>
        </w:rPr>
        <w:t xml:space="preserve"> and Western Ry. v. PA Public Utility Comm’n</w:t>
      </w:r>
      <w:r>
        <w:rPr>
          <w:spacing w:val="-3"/>
        </w:rPr>
        <w:t xml:space="preserve">, 489 </w:t>
      </w:r>
      <w:smartTag w:uri="urn:schemas-microsoft-com:office:smarttags" w:element="State">
        <w:r>
          <w:rPr>
            <w:spacing w:val="-3"/>
          </w:rPr>
          <w:t>Pa.</w:t>
        </w:r>
      </w:smartTag>
      <w:r>
        <w:rPr>
          <w:spacing w:val="-3"/>
        </w:rPr>
        <w:t xml:space="preserve"> 109, 413 A.2d 1037 (1980); </w:t>
      </w:r>
      <w:r>
        <w:rPr>
          <w:i/>
          <w:spacing w:val="-3"/>
        </w:rPr>
        <w:t>Erie Resistor Corp. v. Unemployment Compensation Bd. of Review</w:t>
      </w:r>
      <w:r>
        <w:rPr>
          <w:spacing w:val="-3"/>
        </w:rPr>
        <w:t>, 166 A.2d 96 (</w:t>
      </w:r>
      <w:smartTag w:uri="urn:schemas-microsoft-com:office:smarttags" w:element="place">
        <w:smartTag w:uri="urn:schemas-microsoft-com:office:smarttags" w:element="State">
          <w:r>
            <w:rPr>
              <w:spacing w:val="-3"/>
            </w:rPr>
            <w:t>Pa.</w:t>
          </w:r>
        </w:smartTag>
      </w:smartTag>
      <w:r>
        <w:rPr>
          <w:spacing w:val="-3"/>
        </w:rPr>
        <w:t xml:space="preserve"> Super.1960); </w:t>
      </w:r>
      <w:r>
        <w:rPr>
          <w:i/>
          <w:spacing w:val="-3"/>
        </w:rPr>
        <w:t xml:space="preserve">Murphy v. Commonwealth, Dep’t. of Public Welfare, </w:t>
      </w:r>
      <w:smartTag w:uri="urn:schemas-microsoft-com:office:smarttags" w:element="PlaceName">
        <w:r>
          <w:rPr>
            <w:i/>
            <w:spacing w:val="-3"/>
          </w:rPr>
          <w:t>White</w:t>
        </w:r>
      </w:smartTag>
      <w:r>
        <w:rPr>
          <w:i/>
          <w:spacing w:val="-3"/>
        </w:rPr>
        <w:t xml:space="preserve"> </w:t>
      </w:r>
      <w:smartTag w:uri="urn:schemas-microsoft-com:office:smarttags" w:element="PlaceName">
        <w:r>
          <w:rPr>
            <w:i/>
            <w:spacing w:val="-3"/>
          </w:rPr>
          <w:t>Haven</w:t>
        </w:r>
      </w:smartTag>
      <w:r>
        <w:rPr>
          <w:i/>
          <w:spacing w:val="-3"/>
        </w:rPr>
        <w:t xml:space="preserve"> </w:t>
      </w:r>
      <w:smartTag w:uri="urn:schemas-microsoft-com:office:smarttags" w:element="PlaceType">
        <w:r>
          <w:rPr>
            <w:i/>
            <w:spacing w:val="-3"/>
          </w:rPr>
          <w:t>Center</w:t>
        </w:r>
      </w:smartTag>
      <w:r>
        <w:rPr>
          <w:spacing w:val="-3"/>
        </w:rPr>
        <w:t>, 480 A.2d 382 (</w:t>
      </w:r>
      <w:smartTag w:uri="urn:schemas-microsoft-com:office:smarttags" w:element="place">
        <w:smartTag w:uri="urn:schemas-microsoft-com:office:smarttags" w:element="State">
          <w:r>
            <w:rPr>
              <w:spacing w:val="-3"/>
            </w:rPr>
            <w:t>Pa.</w:t>
          </w:r>
        </w:smartTag>
      </w:smartTag>
      <w:r>
        <w:rPr>
          <w:spacing w:val="-3"/>
        </w:rPr>
        <w:t xml:space="preserve"> Cmwlth.1984).</w:t>
      </w:r>
    </w:p>
    <w:p w:rsidR="000E7AB9" w:rsidRDefault="000E7AB9" w:rsidP="000E7AB9">
      <w:pPr>
        <w:ind w:firstLine="1440"/>
        <w:jc w:val="left"/>
        <w:rPr>
          <w:spacing w:val="-3"/>
        </w:rPr>
      </w:pPr>
    </w:p>
    <w:p w:rsidR="000E7AB9" w:rsidRDefault="000E7AB9" w:rsidP="001E7DF6">
      <w:pPr>
        <w:pStyle w:val="Pleading2L3"/>
        <w:numPr>
          <w:ilvl w:val="0"/>
          <w:numId w:val="0"/>
        </w:numPr>
        <w:tabs>
          <w:tab w:val="num" w:pos="0"/>
        </w:tabs>
        <w:spacing w:line="360" w:lineRule="auto"/>
      </w:pPr>
      <w:r>
        <w:tab/>
      </w:r>
      <w:r>
        <w:tab/>
        <w:t>Therefore, the Company has the burden of proving entitlement to its own proposal.  The burden of proving that changes should be made to the POR program rests on RESA.</w:t>
      </w:r>
    </w:p>
    <w:p w:rsidR="000E7AB9" w:rsidRDefault="000E7AB9" w:rsidP="001E7DF6">
      <w:pPr>
        <w:pStyle w:val="Pleading2L3"/>
        <w:numPr>
          <w:ilvl w:val="0"/>
          <w:numId w:val="0"/>
        </w:numPr>
        <w:tabs>
          <w:tab w:val="num" w:pos="0"/>
        </w:tabs>
      </w:pPr>
    </w:p>
    <w:p w:rsidR="000E7AB9" w:rsidRPr="00066854" w:rsidRDefault="000E7AB9" w:rsidP="001E7DF6">
      <w:pPr>
        <w:pStyle w:val="BodyText2"/>
        <w:spacing w:after="0"/>
        <w:jc w:val="left"/>
        <w:rPr>
          <w:b/>
        </w:rPr>
      </w:pPr>
      <w:r w:rsidRPr="00066854">
        <w:rPr>
          <w:b/>
        </w:rPr>
        <w:t>Introduction</w:t>
      </w:r>
      <w:r>
        <w:rPr>
          <w:b/>
        </w:rPr>
        <w:t xml:space="preserve"> to PPL Electric’s POR Program</w:t>
      </w:r>
    </w:p>
    <w:p w:rsidR="000E7AB9" w:rsidRDefault="000E7AB9" w:rsidP="008A1691">
      <w:pPr>
        <w:pStyle w:val="BodyText2"/>
        <w:spacing w:after="0" w:line="240" w:lineRule="auto"/>
        <w:ind w:left="1440" w:right="1440"/>
        <w:jc w:val="left"/>
      </w:pPr>
      <w:r>
        <w:tab/>
        <w:t>The purchase and sale of accounts receivable is a financial instrument employed by commercial entities to avoid credit and collection activities and to take advantage of the time-value of money.  In its most basic sense, accounts receivable are moneys owed for specific services rendered.  Tr. 442.  In the absence of a POR program, the entity rendering the service is responsible for the costs and efforts associated with the billing and collection of the amounts owed by its customer and bears the risk that the customer will not timely remit payment and/or not pay the outstanding amount in full.  Under a POR program, the entity rendering the service sells its accounts receivable to a third party and receives immediate payment for the receivables less an agreed upon discount to reflect collection risk and the time value of money.  Tr. 443.  A POR program therefore allows the seller of the receivable to receive payment sooner and avoid the costs and risks associated with collecting any delinquent amounts owed by the customer.  Tr. 443.</w:t>
      </w:r>
      <w:r w:rsidR="008A1691">
        <w:t xml:space="preserve">  </w:t>
      </w:r>
      <w:r>
        <w:t>PPL Electric Initial Brief at 78.</w:t>
      </w:r>
    </w:p>
    <w:p w:rsidR="000E7AB9" w:rsidRDefault="000E7AB9" w:rsidP="008A1691">
      <w:pPr>
        <w:pStyle w:val="BodyText2"/>
        <w:spacing w:after="0" w:line="240" w:lineRule="auto"/>
      </w:pPr>
      <w:r>
        <w:lastRenderedPageBreak/>
        <w:t>* * *</w:t>
      </w:r>
    </w:p>
    <w:p w:rsidR="008A1691" w:rsidRDefault="008A1691" w:rsidP="008A1691">
      <w:pPr>
        <w:pStyle w:val="BodyText2"/>
        <w:spacing w:after="0" w:line="240" w:lineRule="auto"/>
      </w:pPr>
    </w:p>
    <w:p w:rsidR="000E7AB9" w:rsidRDefault="000E7AB9" w:rsidP="001E7DF6">
      <w:pPr>
        <w:pStyle w:val="BodyText2"/>
        <w:spacing w:after="0" w:line="240" w:lineRule="auto"/>
        <w:ind w:left="1440" w:right="1440"/>
        <w:jc w:val="left"/>
      </w:pPr>
      <w:r>
        <w:t>In 2009, as part of the settlement of the Company’s Default Service Plan for the Period January 1, 2011 through May 31, 2013, PPL Electric agreed to file a revised POR plan as either part of its next distribution rate case or a stand-alone POR plan to become effective on January 1, 2011.</w:t>
      </w:r>
      <w:r w:rsidRPr="008A1691">
        <w:rPr>
          <w:rStyle w:val="FootnoteReference"/>
          <w:vertAlign w:val="superscript"/>
        </w:rPr>
        <w:footnoteReference w:id="18"/>
      </w:r>
      <w:r>
        <w:t xml:space="preserve">  </w:t>
      </w:r>
      <w:r>
        <w:rPr>
          <w:color w:val="000000"/>
        </w:rPr>
        <w:t>Thereafter, the Commission issued an order on August 11, 2009, directing PPL Electric to file a POR program to be effective on January 1, 2010.</w:t>
      </w:r>
      <w:r w:rsidRPr="008A1691">
        <w:rPr>
          <w:rStyle w:val="FootnoteReference"/>
          <w:color w:val="000000"/>
          <w:vertAlign w:val="superscript"/>
        </w:rPr>
        <w:footnoteReference w:id="19"/>
      </w:r>
      <w:r>
        <w:rPr>
          <w:color w:val="000000"/>
        </w:rPr>
        <w:t xml:space="preserve">  </w:t>
      </w:r>
      <w:r>
        <w:t xml:space="preserve">Pursuant thereto, PPL Electric filed a voluntary POR program, together with a Merchant Function Charge (“MFC”), which was approved by the Commission for the period January 1, 2010 through December 31, 2010.  </w:t>
      </w:r>
      <w:r>
        <w:rPr>
          <w:i/>
        </w:rPr>
        <w:t>Petition of PPL Utilities Corporation Requesting Approval of a Voluntary Purchase of Accounts Receivables Program and Merchant Function Charge</w:t>
      </w:r>
      <w:r>
        <w:t>, Docket No. P-2009-2129502, 279 PUR4th 539, 2009 Pa. PUC LEXIS 266 at *9 (November 19, 2009) (</w:t>
      </w:r>
      <w:r>
        <w:rPr>
          <w:i/>
        </w:rPr>
        <w:t>PPL Electric POR Program”</w:t>
      </w:r>
      <w:r>
        <w:t xml:space="preserve">).  The current POR program was the result of a partial settlement and the Commission’s resolution of two issues reserved for litigation.  In approving the current POR program, the Commission specifically held that POR programs are voluntary and the Commission is without authority to require electric distribution companies (“EDCs”) to offer POR programs.  </w:t>
      </w:r>
      <w:r>
        <w:rPr>
          <w:i/>
        </w:rPr>
        <w:t>Id</w:t>
      </w:r>
      <w:r>
        <w:t>. at *12-13.</w:t>
      </w:r>
    </w:p>
    <w:p w:rsidR="000E7AB9" w:rsidRDefault="000E7AB9" w:rsidP="001E7DF6">
      <w:pPr>
        <w:pStyle w:val="BodyText2"/>
        <w:spacing w:after="0" w:line="240" w:lineRule="auto"/>
        <w:ind w:left="1440" w:right="1440"/>
        <w:jc w:val="left"/>
      </w:pPr>
      <w:r>
        <w:tab/>
        <w:t>In this proceeding, PPL Electric is proposing to extend its voluntary Commission-approved POR program beyond its expiration date of December 31, 2010.  PPL Electric’s POR program applies to residential and small commercial and industrial customers (“c&amp;i”); it does not apply to large c&amp;i customers.  PPL Electric St. 6, p. 8.  The accounts receivable purchased by PPL Electric are the moneys owed by shopping customers to the EGS for generation services.  PPL Electric purchases these accounts receivable at a discount from the standard supply charges to offset the risks and expenses associated with accounts that may ultimately be uncollectible.  PPL Electric St. 6-R, p. 4.</w:t>
      </w:r>
    </w:p>
    <w:p w:rsidR="000E7AB9" w:rsidRDefault="000E7AB9" w:rsidP="001E7DF6">
      <w:pPr>
        <w:pStyle w:val="BodyText2"/>
        <w:spacing w:after="0" w:line="240" w:lineRule="auto"/>
        <w:ind w:left="1440" w:right="1440"/>
        <w:jc w:val="left"/>
      </w:pPr>
      <w:r>
        <w:tab/>
        <w:t xml:space="preserve">The discount rate is composed of two components:  (1) an uncollectible accounts expense percentage factor; and (2) a POR development, implementation, and administration percentage factor.  PPL Electric St. 6, p. 8.  The uncollectible accounts expense percentage factor primarily is based on an average of the Company’s actual bad debt write-offs for the most recent five calendar years.  PPL Electric St. 7, p. 33; PPL Electric Ex. JKM-7.  The POR administrative percentage factor is based on:  (a) PPL </w:t>
      </w:r>
      <w:r>
        <w:lastRenderedPageBreak/>
        <w:t>Electric’s POR administrative costs; (b) shopping levels; (c) POR program participation levels; and (d) average competitive supply rates.  PPL Electric St. 7, p. 33.</w:t>
      </w:r>
    </w:p>
    <w:p w:rsidR="000E7AB9" w:rsidRDefault="000E7AB9" w:rsidP="001E7DF6">
      <w:pPr>
        <w:pStyle w:val="BodyText2"/>
        <w:spacing w:after="0" w:line="240" w:lineRule="auto"/>
        <w:ind w:left="1440" w:right="1440"/>
        <w:jc w:val="left"/>
      </w:pPr>
      <w:r>
        <w:tab/>
        <w:t>Given the different energy requirements, collection mechanisms available, and uncollectible accounts expense percentages, the discount rates for the residential and small c&amp;i customers are different.  PPL Electric St. 6, p. 8.  The proposed discount rate for the residential customers is 1.855%, which reflects an uncollectible accounts expense percentage factor of 1.805% and an administrative cost factor of 0.05%.  The proposed discount rate for the small c&amp;i customers is 0.06%, which reflects an uncollectible accounts expense percentage factor of 0.01% and an administrative cost factor of 0.05%.  PPL Electric St. 7, p. 32.  Because the Company has very limited experience regarding the operation of its current POR program, which only began January 1, 2010, PPL Electric is proposing to continue using its current POR administrative percentage factor of 0.05% to recover its POR administrative costs until such time as it obtains more actual experience with the implementation of the program.  PPL Electric St. 7, pp. 33-34.</w:t>
      </w:r>
    </w:p>
    <w:p w:rsidR="000E7AB9" w:rsidRDefault="000E7AB9" w:rsidP="001E7DF6">
      <w:pPr>
        <w:pStyle w:val="BodyText2"/>
        <w:spacing w:after="0" w:line="240" w:lineRule="auto"/>
        <w:ind w:left="1440" w:right="1440"/>
        <w:jc w:val="left"/>
      </w:pPr>
      <w:r>
        <w:tab/>
        <w:t>In conjunction with its POR program, PPL Electric also implemented a Merchant Function Charge (“MFC”), which unbundles from its distribution base rates the uncollectible accounts expense associated with generation supply.  As a result, the uncollectible accounts expense related to distribution service is recovered from all ratepayers through distribution charges.  In turn, the uncollectible accounts expense related to generation service is separated from PPL Electric’s distribution rates and recovered as follows:  (1) by the Company from default service customers through the MFC; or (2) by individual EGSs from shopping customers taking competitive supply as a component of their generation price.  PPL Electric St. 6-R, p. 2.  Thus, residential and small c&amp;i customers who contract for generation supply with an EGS do not pay the MFC.  However, the MFC is added to the Price to Compare so that EGSs are able to reflect generation uncollectible costs in their competitive supply offers.</w:t>
      </w:r>
      <w:r w:rsidRPr="00E02C13">
        <w:rPr>
          <w:rStyle w:val="FootnoteReference"/>
          <w:vertAlign w:val="superscript"/>
        </w:rPr>
        <w:footnoteReference w:id="20"/>
      </w:r>
      <w:r>
        <w:t xml:space="preserve">  PPL Electric St. 7, p. 30.</w:t>
      </w:r>
    </w:p>
    <w:p w:rsidR="000E7AB9" w:rsidRDefault="000E7AB9" w:rsidP="001E7DF6">
      <w:pPr>
        <w:pStyle w:val="BodyText2"/>
        <w:spacing w:after="0" w:line="240" w:lineRule="auto"/>
        <w:ind w:left="1440" w:right="1440"/>
        <w:jc w:val="left"/>
      </w:pPr>
      <w:r>
        <w:tab/>
        <w:t xml:space="preserve">PPL Electric’s POR program is entirely voluntary, </w:t>
      </w:r>
      <w:r>
        <w:rPr>
          <w:i/>
        </w:rPr>
        <w:t>i.e.</w:t>
      </w:r>
      <w:r>
        <w:t xml:space="preserve">, EGSs can elect to participate or not participate in the program.  PPL Electric St. 7, p. 30.  Under the residential customers program, an EGS must sell all of its accounts receivable for that rate class and use PPL Electric’s consolidated billing to participate in the POR program.  PPL Electric St. 6-R, p. 12.  For the small c&amp;i </w:t>
      </w:r>
      <w:r>
        <w:lastRenderedPageBreak/>
        <w:t>customers, an EGS may elect to participate in the POR program for some or all of its small c&amp;i customers, but must use EDC consolidated billing for those customers in the POR program.  PPL Electric St. 6-R, p. 12.</w:t>
      </w:r>
    </w:p>
    <w:p w:rsidR="000E7AB9" w:rsidRDefault="000E7AB9" w:rsidP="001E7DF6">
      <w:pPr>
        <w:pStyle w:val="BodyText2"/>
        <w:spacing w:after="0" w:line="240" w:lineRule="auto"/>
        <w:ind w:left="1440" w:right="1440"/>
        <w:jc w:val="left"/>
      </w:pPr>
      <w:r>
        <w:tab/>
        <w:t>Under the current and proposed POR program, the EGS calculates customer charges for its generation service and transmits those charges to PPL Electric.</w:t>
      </w:r>
      <w:r w:rsidRPr="00E02C13">
        <w:rPr>
          <w:rStyle w:val="FootnoteReference"/>
          <w:vertAlign w:val="superscript"/>
        </w:rPr>
        <w:footnoteReference w:id="21"/>
      </w:r>
      <w:r>
        <w:t xml:space="preserve">  PPL Electric includes the generation charge on behalf of the EGS on the consolidated bill that the Company prepares and sends to the customer.  Importantly, when PPL Electric renders a bill with EGS charges, the Company takes on the obligation to remit the total amount of generation charges, less the appropriate discount, to the EGS within 25 days for residential customers and 20 days for small c&amp;i customers, regardless of whether the customer has actually paid the Company.  PPL Electric St. 6, p. 11.</w:t>
      </w:r>
    </w:p>
    <w:p w:rsidR="000E7AB9" w:rsidRDefault="000E7AB9" w:rsidP="001E7DF6">
      <w:pPr>
        <w:pStyle w:val="BodyText2"/>
        <w:spacing w:after="0" w:line="240" w:lineRule="auto"/>
        <w:ind w:left="1440" w:right="1440"/>
        <w:jc w:val="left"/>
      </w:pPr>
      <w:r>
        <w:tab/>
        <w:t>When the Company purchases the EGSs’ receivables, it obtains the right to pursue collection activities against the customer, including termination, to recover unpaid amounts for generation service owed by the customer.  However, PPL Electric has no recourse to seek recovery of any unpaid amounts from the EGS.  PPL Electric St. 6-R, pp. 6-7.</w:t>
      </w:r>
    </w:p>
    <w:p w:rsidR="000E7AB9" w:rsidRDefault="000E7AB9" w:rsidP="001E7DF6">
      <w:pPr>
        <w:pStyle w:val="BodyText2"/>
        <w:spacing w:after="0" w:line="240" w:lineRule="auto"/>
        <w:ind w:left="1440" w:right="1440"/>
        <w:jc w:val="left"/>
      </w:pPr>
      <w:r>
        <w:tab/>
        <w:t>To implement the current POR program, it was necessary for PPL Electric to make a significant number of programming and business changes.  The implementation of the current POR program required very significant effort in terms of the amount of resources invested, the short time frame, the criticality of the systems modified, and the timing of the work.  PPL Electric St. 6, pp. 12-13.  Importantly, the current POR program has only been in effect since January 1, 2010, and PPL Electric is still in the process of fully implementing the program.</w:t>
      </w:r>
    </w:p>
    <w:p w:rsidR="000E7AB9" w:rsidRDefault="000E7AB9" w:rsidP="001E7DF6">
      <w:pPr>
        <w:pStyle w:val="BodyText2"/>
        <w:spacing w:after="0" w:line="240" w:lineRule="auto"/>
        <w:ind w:left="1440" w:right="1440"/>
        <w:jc w:val="left"/>
      </w:pPr>
      <w:r>
        <w:t>PPL Initial Brief at 78-82.</w:t>
      </w:r>
    </w:p>
    <w:p w:rsidR="000E7AB9" w:rsidRDefault="000E7AB9" w:rsidP="000814EF">
      <w:pPr>
        <w:pStyle w:val="BodyText2"/>
        <w:spacing w:after="0" w:line="240" w:lineRule="auto"/>
        <w:ind w:left="1440" w:right="1440"/>
        <w:jc w:val="left"/>
      </w:pPr>
    </w:p>
    <w:p w:rsidR="000814EF" w:rsidRDefault="000814EF" w:rsidP="000814EF">
      <w:pPr>
        <w:pStyle w:val="BodyText2"/>
        <w:spacing w:after="0" w:line="240" w:lineRule="auto"/>
        <w:ind w:left="1440" w:right="1440"/>
        <w:jc w:val="left"/>
      </w:pPr>
    </w:p>
    <w:p w:rsidR="000E7AB9" w:rsidRDefault="000E7AB9" w:rsidP="001E7DF6">
      <w:pPr>
        <w:pStyle w:val="BodyText2"/>
        <w:spacing w:after="0" w:line="360" w:lineRule="auto"/>
        <w:jc w:val="left"/>
      </w:pPr>
      <w:r>
        <w:tab/>
      </w:r>
      <w:r>
        <w:tab/>
        <w:t>RESA states that “a properly structured POR program enables competitors to efficiently and reasonably reach customers and is a critical component to establishing robust retail competition.  The discounted price PPL will pay to purchase the accounts receivable of the EGS as well as which customer classes will be eligible to participate in the POR program are the two key issues in dispute here.”  RESA Main Brief at 1</w:t>
      </w:r>
      <w:r w:rsidRPr="00B06465">
        <w:t xml:space="preserve">.  </w:t>
      </w:r>
      <w:bookmarkStart w:id="64" w:name="_Toc271015684"/>
      <w:bookmarkStart w:id="65" w:name="_Toc271031926"/>
      <w:bookmarkStart w:id="66" w:name="_Toc271032727"/>
      <w:bookmarkStart w:id="67" w:name="_Toc271034674"/>
      <w:bookmarkStart w:id="68" w:name="_Toc271100750"/>
      <w:bookmarkStart w:id="69" w:name="_Toc271103080"/>
      <w:bookmarkStart w:id="70" w:name="_Toc271103299"/>
      <w:bookmarkStart w:id="71" w:name="_Toc271107367"/>
      <w:bookmarkStart w:id="72" w:name="_Toc271107702"/>
      <w:bookmarkStart w:id="73" w:name="_Toc271110824"/>
      <w:bookmarkStart w:id="74" w:name="_Toc271114899"/>
      <w:bookmarkStart w:id="75" w:name="_Toc271120683"/>
      <w:bookmarkStart w:id="76" w:name="_Toc271121538"/>
      <w:bookmarkStart w:id="77" w:name="_Toc271121584"/>
      <w:bookmarkStart w:id="78" w:name="_Toc271126825"/>
      <w:bookmarkStart w:id="79" w:name="_Toc271130413"/>
      <w:bookmarkStart w:id="80" w:name="_Toc271134827"/>
      <w:bookmarkStart w:id="81" w:name="_Toc271136390"/>
      <w:bookmarkStart w:id="82" w:name="_Toc271186133"/>
      <w:bookmarkStart w:id="83" w:name="_Toc271190848"/>
      <w:bookmarkStart w:id="84" w:name="_Toc271191669"/>
      <w:bookmarkStart w:id="85" w:name="_Toc271194751"/>
      <w:r>
        <w:t xml:space="preserve">RESA charges that PPL Electric has provided no evidence to support its numbers and therefore, its proposed increase should be denied.  </w:t>
      </w:r>
    </w:p>
    <w:p w:rsidR="000E7AB9" w:rsidRDefault="000E7AB9" w:rsidP="001E7DF6">
      <w:pPr>
        <w:pStyle w:val="BodyText2"/>
        <w:spacing w:after="0" w:line="360" w:lineRule="auto"/>
        <w:jc w:val="left"/>
      </w:pPr>
      <w:r>
        <w:lastRenderedPageBreak/>
        <w:tab/>
      </w:r>
      <w:r>
        <w:tab/>
        <w:t>PPL Electric cites the following testimony:</w:t>
      </w:r>
    </w:p>
    <w:p w:rsidR="000814EF" w:rsidRDefault="000814EF" w:rsidP="000814EF">
      <w:pPr>
        <w:pStyle w:val="BodyText2"/>
        <w:spacing w:after="0" w:line="240" w:lineRule="auto"/>
        <w:jc w:val="left"/>
      </w:pPr>
    </w:p>
    <w:p w:rsidR="000E7AB9" w:rsidRDefault="000E7AB9" w:rsidP="000E7AB9">
      <w:pPr>
        <w:pStyle w:val="BodyText2"/>
        <w:spacing w:line="240" w:lineRule="auto"/>
        <w:ind w:left="1440" w:right="1440"/>
        <w:contextualSpacing/>
        <w:jc w:val="left"/>
      </w:pPr>
      <w:r>
        <w:t>Q:</w:t>
      </w:r>
      <w:r>
        <w:tab/>
        <w:t>How is the POR administrative factor percentage developed?</w:t>
      </w:r>
    </w:p>
    <w:p w:rsidR="000E7AB9" w:rsidRDefault="000E7AB9" w:rsidP="000E7AB9">
      <w:pPr>
        <w:pStyle w:val="BodyText2"/>
        <w:spacing w:line="240" w:lineRule="auto"/>
        <w:ind w:left="1440" w:right="1440"/>
        <w:contextualSpacing/>
        <w:jc w:val="left"/>
      </w:pPr>
      <w:r>
        <w:t>A:</w:t>
      </w:r>
      <w:r>
        <w:tab/>
        <w:t>Under its current POR Program, the Company recovers its POR administrative costs as a percentage of EGSs’ supply charges to shopping customers.  Therefore, in order to develop a POR administrative percentage factor, the Company must estimate:  (1) its POR administrative costs, (2) shopping levels, (3) POR Program participation levels, and (4) average competitive supply rates.  However, because the Company has very limited experience regarding the operation of its current POR Program, which began on January 1, 2010, PPL Electric is proposing to continue using its current POR administrative percentage factor of 0.05% to recover its POR administrative costs, until such time as it obtains more actual experience with the implementation of its POR Program.</w:t>
      </w:r>
    </w:p>
    <w:p w:rsidR="000E7AB9" w:rsidRDefault="000E7AB9" w:rsidP="001E7DF6">
      <w:pPr>
        <w:pStyle w:val="BodyText2"/>
        <w:spacing w:after="0" w:line="240" w:lineRule="auto"/>
        <w:ind w:left="1440" w:right="1440"/>
        <w:contextualSpacing/>
        <w:jc w:val="left"/>
      </w:pPr>
      <w:r>
        <w:t xml:space="preserve">PPL Electric Stmt. 7 at 33-34 (testimony of Joseph M. Kleha). </w:t>
      </w:r>
    </w:p>
    <w:p w:rsidR="000E7AB9" w:rsidRDefault="000E7AB9" w:rsidP="000814EF">
      <w:pPr>
        <w:pStyle w:val="BodyText2"/>
        <w:spacing w:after="0" w:line="240" w:lineRule="auto"/>
        <w:jc w:val="left"/>
      </w:pPr>
    </w:p>
    <w:p w:rsidR="000814EF" w:rsidRDefault="000814EF" w:rsidP="000814EF">
      <w:pPr>
        <w:pStyle w:val="BodyText2"/>
        <w:spacing w:after="0" w:line="240" w:lineRule="auto"/>
        <w:jc w:val="left"/>
      </w:pPr>
    </w:p>
    <w:p w:rsidR="000E7AB9" w:rsidRDefault="000E7AB9" w:rsidP="001E7DF6">
      <w:pPr>
        <w:pStyle w:val="BodyText2"/>
        <w:spacing w:after="0" w:line="360" w:lineRule="auto"/>
        <w:jc w:val="left"/>
      </w:pPr>
      <w:r>
        <w:tab/>
      </w:r>
      <w:r>
        <w:tab/>
        <w:t>In addition, its budgeted uncollectible accounts expense is based on an average of the actual bad debt write-offs for the most recent five calendar years.  PPL Electric Stmt. 7 at 33; Exhibit JMK-7.  RESA’s Reply Brief cites its own Main Brief as authority for its contention that PPL has not identified the amount of uncollectible accounts expense generated by shopping customers and, therefore, has not proven that its class-average uncollectible accounts expense is a direct assignment of the true costs.  RESA Reply Brief at 4.  RESA continues:</w:t>
      </w:r>
    </w:p>
    <w:p w:rsidR="001E7DF6" w:rsidRDefault="001E7DF6" w:rsidP="001E7DF6">
      <w:pPr>
        <w:pStyle w:val="BodyText2"/>
        <w:spacing w:after="0" w:line="360" w:lineRule="auto"/>
        <w:jc w:val="left"/>
      </w:pPr>
    </w:p>
    <w:p w:rsidR="000E7AB9" w:rsidRDefault="000E7AB9" w:rsidP="00F47DF9">
      <w:pPr>
        <w:pStyle w:val="BodyText2"/>
        <w:spacing w:after="0" w:line="240" w:lineRule="auto"/>
        <w:ind w:left="1440" w:right="1440"/>
        <w:contextualSpacing/>
        <w:jc w:val="left"/>
      </w:pPr>
      <w:r>
        <w:t>Moreover and despite PPL’s statement that “EGSs should bear the collection risk for their own customers,” all customers benefit from the availability of competitive offers and all customers benefit from the ability of the EDC to use its vast collections and staff to minimize the risk of uncollectible accounts expense which benefits all customers.  In consideration of all these factors, a full socialization of this cost – as RESA supports here – for residential customers is a just and reasonable way to handle this cost for the benefit of all consumers.</w:t>
      </w:r>
    </w:p>
    <w:p w:rsidR="000E7AB9" w:rsidRDefault="000E7AB9" w:rsidP="000E7AB9">
      <w:pPr>
        <w:pStyle w:val="BodyText2"/>
        <w:spacing w:line="240" w:lineRule="auto"/>
        <w:ind w:left="1440" w:right="1440"/>
        <w:contextualSpacing/>
        <w:jc w:val="left"/>
      </w:pPr>
      <w:r>
        <w:t xml:space="preserve">RESA Reply Brief at 4-5.  </w:t>
      </w:r>
    </w:p>
    <w:p w:rsidR="000814EF" w:rsidRDefault="000814EF" w:rsidP="000814EF">
      <w:pPr>
        <w:pStyle w:val="BodyText2"/>
        <w:spacing w:line="240" w:lineRule="auto"/>
        <w:ind w:left="1440" w:right="1440"/>
        <w:contextualSpacing/>
        <w:jc w:val="left"/>
      </w:pPr>
    </w:p>
    <w:p w:rsidR="000814EF" w:rsidRDefault="000814EF" w:rsidP="000814EF">
      <w:pPr>
        <w:pStyle w:val="BodyText2"/>
        <w:spacing w:line="240" w:lineRule="auto"/>
        <w:ind w:left="1440" w:right="1440"/>
        <w:contextualSpacing/>
        <w:jc w:val="left"/>
      </w:pPr>
    </w:p>
    <w:p w:rsidR="000E7AB9" w:rsidRDefault="000E7AB9" w:rsidP="00F47DF9">
      <w:pPr>
        <w:pStyle w:val="BodyText2"/>
        <w:spacing w:after="0" w:line="360" w:lineRule="auto"/>
        <w:jc w:val="left"/>
      </w:pPr>
      <w:r>
        <w:tab/>
      </w:r>
      <w:r>
        <w:tab/>
        <w:t xml:space="preserve">Contrary to RESA’s claim that uncollectible expenses for shopping customers should be borne by all PPL customers, public policy supports an approach which limits the rates charged to customers to costs incurred by serving similarly situated customers.  Therefore, costs </w:t>
      </w:r>
      <w:r>
        <w:lastRenderedPageBreak/>
        <w:t>caused by shopping customers should be borne by shopping customers, and costs incurred by non-shopping customers should be borne by non-shopping customers.</w:t>
      </w:r>
      <w:r w:rsidRPr="00E02C13">
        <w:rPr>
          <w:rStyle w:val="FootnoteReference"/>
          <w:vertAlign w:val="superscript"/>
        </w:rPr>
        <w:footnoteReference w:id="22"/>
      </w:r>
      <w:r>
        <w:t xml:space="preserve">  The Commission’s stated view on this subject is consistent with PPL Electric’s:</w:t>
      </w:r>
    </w:p>
    <w:p w:rsidR="00F47DF9" w:rsidRDefault="00F47DF9" w:rsidP="000814EF">
      <w:pPr>
        <w:pStyle w:val="BodyText2"/>
        <w:spacing w:after="0" w:line="240" w:lineRule="auto"/>
        <w:jc w:val="left"/>
      </w:pPr>
    </w:p>
    <w:p w:rsidR="000E7AB9" w:rsidRDefault="000E7AB9" w:rsidP="00F47DF9">
      <w:pPr>
        <w:pStyle w:val="BodyText2"/>
        <w:spacing w:after="0" w:line="240" w:lineRule="auto"/>
        <w:ind w:left="1440" w:right="1440"/>
        <w:jc w:val="left"/>
        <w:rPr>
          <w:b/>
        </w:rPr>
      </w:pPr>
      <w:r w:rsidRPr="00AD33BD">
        <w:t>Just as default customers should not subsidize those customers who shop, shopping customers should not be required to subsidize the electric service of default customers who remain with the Company.</w:t>
      </w:r>
      <w:r>
        <w:rPr>
          <w:b/>
        </w:rPr>
        <w:t xml:space="preserve">  </w:t>
      </w:r>
    </w:p>
    <w:p w:rsidR="00E30298" w:rsidRDefault="00E30298" w:rsidP="00F47DF9">
      <w:pPr>
        <w:pStyle w:val="BodyText2"/>
        <w:spacing w:after="0" w:line="240" w:lineRule="auto"/>
        <w:ind w:left="1440" w:right="1440"/>
        <w:jc w:val="left"/>
        <w:rPr>
          <w:i/>
        </w:rPr>
      </w:pPr>
    </w:p>
    <w:p w:rsidR="000E7AB9" w:rsidRDefault="000E7AB9" w:rsidP="00F56349">
      <w:pPr>
        <w:pStyle w:val="BodyText2"/>
        <w:spacing w:after="0" w:line="240" w:lineRule="auto"/>
        <w:ind w:right="1440"/>
        <w:jc w:val="left"/>
      </w:pPr>
      <w:r>
        <w:rPr>
          <w:i/>
        </w:rPr>
        <w:t xml:space="preserve">PPL Electric Utilities Corporation Retail Markets, </w:t>
      </w:r>
      <w:r w:rsidR="00E02C13">
        <w:t>Docket No. M</w:t>
      </w:r>
      <w:r w:rsidR="00E02C13">
        <w:noBreakHyphen/>
      </w:r>
      <w:r>
        <w:t>2009-2104271 (Order entered August 11, 2009) at 27-29.</w:t>
      </w:r>
    </w:p>
    <w:p w:rsidR="000E7AB9" w:rsidRDefault="000E7AB9" w:rsidP="00F56349">
      <w:pPr>
        <w:pStyle w:val="BodyText2"/>
        <w:spacing w:after="0" w:line="360" w:lineRule="auto"/>
        <w:jc w:val="left"/>
      </w:pPr>
    </w:p>
    <w:p w:rsidR="000E7AB9" w:rsidRDefault="000E7AB9" w:rsidP="001E7DF6">
      <w:pPr>
        <w:pStyle w:val="BodyText2"/>
        <w:spacing w:after="0" w:line="360" w:lineRule="auto"/>
        <w:jc w:val="left"/>
      </w:pPr>
      <w:r>
        <w:tab/>
      </w:r>
      <w:r>
        <w:tab/>
        <w:t>The analysis turns to whether the Company has presented substantial evidence to support its approach.  As the Company has set forth a rational approach towards determining the appropriate charges, as evidenced by the fact that the Commission has already approved the program, and the newness of the program prevents actual costs from being used, the use of historic data is reasonable in light of the fact that the POR is still in its first year of operation.  PPL Electric Reply Brief at 31.  This is sufficient evidence to support continuing the program under the terms explained by the Company.</w:t>
      </w:r>
    </w:p>
    <w:p w:rsidR="000E7AB9" w:rsidRDefault="000E7AB9" w:rsidP="001E7DF6">
      <w:pPr>
        <w:pStyle w:val="BodyText2"/>
        <w:spacing w:after="0" w:line="360" w:lineRule="auto"/>
        <w:jc w:val="left"/>
      </w:pPr>
    </w:p>
    <w:p w:rsidR="000E7AB9" w:rsidRPr="00B06465" w:rsidRDefault="000E7AB9" w:rsidP="001E7DF6">
      <w:pPr>
        <w:pStyle w:val="BodyText2"/>
        <w:spacing w:after="0" w:line="360" w:lineRule="auto"/>
        <w:jc w:val="left"/>
      </w:pPr>
      <w:r>
        <w:tab/>
      </w:r>
      <w:r>
        <w:tab/>
      </w:r>
      <w:r w:rsidRPr="00B06465">
        <w:t>RESA makes the following recommendations for modifications</w:t>
      </w:r>
      <w:r>
        <w:t xml:space="preserve"> of the Company’s POR</w:t>
      </w:r>
      <w:r w:rsidRPr="00B06465">
        <w:t>:</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rsidR="000E7AB9" w:rsidRDefault="000E7AB9" w:rsidP="00F56349">
      <w:pPr>
        <w:pStyle w:val="BodyText2"/>
        <w:tabs>
          <w:tab w:val="left" w:pos="2160"/>
        </w:tabs>
        <w:spacing w:after="0" w:line="240" w:lineRule="auto"/>
        <w:ind w:left="720" w:firstLine="720"/>
        <w:jc w:val="left"/>
      </w:pPr>
      <w:r>
        <w:t xml:space="preserve"> (a) elimination of the uncollectible accounts expense percentage factor from the discount rate and recover the costs associated with all generation-related uncollectible accounts expense through the application of a non-bypassable MFC to both shopping and non-shopping customers; </w:t>
      </w:r>
    </w:p>
    <w:p w:rsidR="000E7AB9" w:rsidRDefault="000E7AB9" w:rsidP="00F56349">
      <w:pPr>
        <w:pStyle w:val="BodyText2"/>
        <w:tabs>
          <w:tab w:val="left" w:pos="2160"/>
        </w:tabs>
        <w:spacing w:after="0" w:line="240" w:lineRule="auto"/>
        <w:ind w:left="720" w:firstLine="720"/>
        <w:jc w:val="left"/>
      </w:pPr>
      <w:r>
        <w:t>(b) elimination of the “all-in/all-out” requirement for residential customers;</w:t>
      </w:r>
    </w:p>
    <w:p w:rsidR="000E7AB9" w:rsidRDefault="000E7AB9" w:rsidP="00F56349">
      <w:pPr>
        <w:pStyle w:val="BodyText2"/>
        <w:tabs>
          <w:tab w:val="left" w:pos="2160"/>
        </w:tabs>
        <w:spacing w:after="0" w:line="240" w:lineRule="auto"/>
        <w:ind w:left="720" w:firstLine="720"/>
        <w:jc w:val="left"/>
      </w:pPr>
      <w:r>
        <w:t xml:space="preserve">(c) elimination of the current tracking mechanism to monitor individual EGS uncollectible percentages for small c&amp;i customers; and </w:t>
      </w:r>
    </w:p>
    <w:p w:rsidR="00F47DF9" w:rsidRDefault="000E7AB9" w:rsidP="00F56349">
      <w:pPr>
        <w:pStyle w:val="BodyText2"/>
        <w:tabs>
          <w:tab w:val="left" w:pos="2160"/>
        </w:tabs>
        <w:spacing w:after="0" w:line="240" w:lineRule="auto"/>
        <w:ind w:left="720" w:firstLine="720"/>
        <w:jc w:val="left"/>
      </w:pPr>
      <w:r>
        <w:t xml:space="preserve">(d) expansion of the POR program to apply to large c&amp;i customers. </w:t>
      </w:r>
    </w:p>
    <w:p w:rsidR="000E7AB9" w:rsidRDefault="000E7AB9" w:rsidP="00F47DF9">
      <w:pPr>
        <w:pStyle w:val="BodyText2"/>
        <w:spacing w:after="0" w:line="360" w:lineRule="auto"/>
        <w:ind w:left="720"/>
        <w:jc w:val="left"/>
      </w:pPr>
      <w:r>
        <w:t xml:space="preserve"> </w:t>
      </w:r>
    </w:p>
    <w:p w:rsidR="000E7AB9" w:rsidRDefault="000E7AB9" w:rsidP="00F47DF9">
      <w:pPr>
        <w:pStyle w:val="BodyText2"/>
        <w:spacing w:after="0" w:line="360" w:lineRule="auto"/>
        <w:jc w:val="left"/>
      </w:pPr>
      <w:r>
        <w:tab/>
      </w:r>
      <w:r>
        <w:tab/>
        <w:t>As RESA is introducing these proposals, RESA bears the burden of proving by substantial evidence that they should be adopted.</w:t>
      </w:r>
    </w:p>
    <w:p w:rsidR="00F47DF9" w:rsidRDefault="00F47DF9" w:rsidP="00F47DF9">
      <w:pPr>
        <w:pStyle w:val="BodyText2"/>
        <w:spacing w:after="0" w:line="360" w:lineRule="auto"/>
        <w:jc w:val="left"/>
      </w:pPr>
    </w:p>
    <w:p w:rsidR="000E7AB9" w:rsidRDefault="000E7AB9" w:rsidP="00F47DF9">
      <w:pPr>
        <w:pStyle w:val="BodyText2"/>
        <w:spacing w:after="0" w:line="240" w:lineRule="auto"/>
        <w:jc w:val="left"/>
        <w:rPr>
          <w:b/>
        </w:rPr>
      </w:pPr>
      <w:r w:rsidRPr="00B06465">
        <w:rPr>
          <w:b/>
        </w:rPr>
        <w:lastRenderedPageBreak/>
        <w:t>(a) Elimination of uncollectible accounts expense percentage factor and implementation of a non-bypassable MFC to both shopping and non-shopping customers.</w:t>
      </w:r>
    </w:p>
    <w:p w:rsidR="000E7AB9" w:rsidRDefault="000E7AB9" w:rsidP="00314315">
      <w:pPr>
        <w:pStyle w:val="BodyText2"/>
        <w:spacing w:after="0" w:line="360" w:lineRule="auto"/>
        <w:jc w:val="left"/>
        <w:rPr>
          <w:b/>
        </w:rPr>
      </w:pPr>
    </w:p>
    <w:p w:rsidR="000E7AB9" w:rsidRDefault="000E7AB9" w:rsidP="00F47DF9">
      <w:pPr>
        <w:pStyle w:val="BodyText2"/>
        <w:spacing w:after="0" w:line="360" w:lineRule="auto"/>
        <w:jc w:val="left"/>
      </w:pPr>
      <w:r>
        <w:rPr>
          <w:b/>
        </w:rPr>
        <w:tab/>
      </w:r>
      <w:r>
        <w:rPr>
          <w:b/>
        </w:rPr>
        <w:tab/>
      </w:r>
      <w:r>
        <w:t>The essential question here is whether non-shopping customers should bear a portion of the uncollectibles of the shopping customers.  The issue is addressed above and RESA must prove that its alternative recommendation is appropriate.  The Company disagrees with RESA’s proposal:</w:t>
      </w:r>
    </w:p>
    <w:p w:rsidR="006B36B2" w:rsidRPr="008B0096" w:rsidRDefault="006B36B2" w:rsidP="00314315">
      <w:pPr>
        <w:pStyle w:val="BodyText2"/>
        <w:spacing w:after="0" w:line="360" w:lineRule="auto"/>
        <w:jc w:val="left"/>
      </w:pPr>
    </w:p>
    <w:p w:rsidR="000E7AB9" w:rsidRDefault="000E7AB9" w:rsidP="006B36B2">
      <w:pPr>
        <w:pStyle w:val="BodyText2"/>
        <w:spacing w:after="0" w:line="240" w:lineRule="auto"/>
        <w:ind w:left="1440" w:right="1440"/>
        <w:contextualSpacing/>
        <w:jc w:val="left"/>
      </w:pPr>
      <w:r>
        <w:t xml:space="preserve">. . .  PPL Electric, with express Commission approval, has unbundled the generation supply-related uncollectible accounts expense from its distribution base rates and recovers this expense through the MFC.  PPL Electric St. 6-R, p. 4.  The MFC is paid by all POLR customers, and PPL Electric includes the MFC in its Price to Compare.  PPL Electric St. 7, p. 35.  The MFC, however, is a bypassable charge, </w:t>
      </w:r>
      <w:r>
        <w:rPr>
          <w:i/>
        </w:rPr>
        <w:t>i.e.</w:t>
      </w:r>
      <w:r>
        <w:t xml:space="preserve">, shopping customers do not pay the MFC.   This construct provides EGSs with two options for dealing with the risk of collection.  One option is to not participate in the POR program and reflect the risk of uncollectibles in the price they charge shopping customers.  The second option is to sell the account receivable to PPL Electric at a discount and have the Company assume the costs of collection and the risk of non-collection.  Accordingly, under the voluntary POR program, EGSs are provided with the competitive advantage of determining the extent of the generation-related uncollectible accounts expense that they are willing to bear.  </w:t>
      </w:r>
    </w:p>
    <w:p w:rsidR="000E7AB9" w:rsidRDefault="000E7AB9" w:rsidP="006B36B2">
      <w:pPr>
        <w:pStyle w:val="BodyText2"/>
        <w:spacing w:after="0" w:line="240" w:lineRule="auto"/>
        <w:ind w:left="1440" w:right="1440"/>
        <w:contextualSpacing/>
        <w:jc w:val="left"/>
      </w:pPr>
      <w:r>
        <w:tab/>
        <w:t xml:space="preserve">RESA in essence now seeks a third option.  RESA proposes to eliminate the uncollectible accounts expense from the discount percentage factor, thereby increasing the amount that PPL Electric pays EGSs for their accounts receivable, eliminating all EGS collection risk, and shifting the risk of non-payment for competitive supply to all customers through a non-bypassable MFC, which would be paid by all distribution customers whether or not they shop for their energy supply.  RESA St. 1, p. 11.  Stated otherwise, RESA’s proposal attempts to shift the risk of non-payment for competitive supply from EGSs, and their shopping customers, to all customers.  PPL Electric, in contrast, believes that EGSs should bear the collection risk for their own customers, either by including it in the charges to those customers or by selling their receivables to PPL Electric at a discount.  In no event, however, should this risk and cost be borne by non-shopping POLR customers.  PPL Electric St. 6-R, pp. 10-11.  </w:t>
      </w:r>
    </w:p>
    <w:p w:rsidR="000E7AB9" w:rsidRDefault="000E7AB9" w:rsidP="006B36B2">
      <w:pPr>
        <w:pStyle w:val="BodyText2"/>
        <w:spacing w:after="0" w:line="240" w:lineRule="auto"/>
        <w:ind w:left="1440" w:right="1440"/>
        <w:contextualSpacing/>
        <w:jc w:val="left"/>
      </w:pPr>
      <w:r>
        <w:t>PPL Electric Initial Brief at 82-83.</w:t>
      </w:r>
    </w:p>
    <w:p w:rsidR="006B36B2" w:rsidRDefault="006B36B2" w:rsidP="006B36B2">
      <w:pPr>
        <w:pStyle w:val="BodyText2"/>
        <w:spacing w:after="0" w:line="360" w:lineRule="auto"/>
        <w:ind w:left="1440" w:right="1440"/>
        <w:contextualSpacing/>
        <w:jc w:val="left"/>
      </w:pPr>
    </w:p>
    <w:p w:rsidR="000E7AB9" w:rsidRDefault="000E7AB9" w:rsidP="006B36B2">
      <w:pPr>
        <w:pStyle w:val="BodyText2"/>
        <w:spacing w:after="0" w:line="360" w:lineRule="auto"/>
        <w:jc w:val="left"/>
      </w:pPr>
      <w:r>
        <w:lastRenderedPageBreak/>
        <w:tab/>
      </w:r>
      <w:r>
        <w:tab/>
        <w:t xml:space="preserve">PPL Electric points out that both OTS and OSBA agree that the collection risk for shopping customers should remain with the EGSs and, therefore, recommend that the Commission reject RESA’s proposal for a non-bypassable MFC.  OTS witness Wilson testified: </w:t>
      </w:r>
    </w:p>
    <w:p w:rsidR="006B36B2" w:rsidRDefault="006B36B2" w:rsidP="006B36B2">
      <w:pPr>
        <w:pStyle w:val="BodyText2"/>
        <w:spacing w:after="0" w:line="240" w:lineRule="auto"/>
        <w:jc w:val="left"/>
      </w:pPr>
    </w:p>
    <w:p w:rsidR="000E7AB9" w:rsidRDefault="000E7AB9" w:rsidP="006B36B2">
      <w:pPr>
        <w:pStyle w:val="IndentSingle"/>
        <w:spacing w:after="0"/>
        <w:jc w:val="left"/>
      </w:pPr>
      <w:r>
        <w:t>I disagree with Mr. Hudson’s proposal to eliminate the uncollectible accounts expense percentage factor from the discount rate and recover the costs associated with all generation-related uncollectible accounts expense through the non-bypassable assessment of the Merchant Function Charge on all distribution customers.</w:t>
      </w:r>
    </w:p>
    <w:p w:rsidR="000E7AB9" w:rsidRDefault="000E7AB9" w:rsidP="006B36B2">
      <w:pPr>
        <w:pStyle w:val="IndentSingle"/>
        <w:spacing w:after="0"/>
        <w:jc w:val="center"/>
      </w:pPr>
      <w:r>
        <w:t>***</w:t>
      </w:r>
    </w:p>
    <w:p w:rsidR="000E7AB9" w:rsidRDefault="000E7AB9" w:rsidP="006B36B2">
      <w:pPr>
        <w:pStyle w:val="IndentSingle"/>
        <w:spacing w:after="0"/>
        <w:jc w:val="left"/>
      </w:pPr>
      <w:r>
        <w:t>A collection risk from sales is a typical cost of conducting business.  The EGSs take on collection risks when they sell electricity to a wholesaler, retailer, or the end user.  When an EGS enters the retail market and participates in a public utility’s POR program, their collection risk should remain part of their profit-oriented business.  In a POR program, the public utility is able to inform an EGS in advance what the collection risk is based on the historic experience with their customer base.  (This is known as the utility’s uncollectible or bad debt expense ratio).  The collection risk associated with electricity commodity sales (the business being conducted) should remain with the entity that is recognizing the commodity sales revenue.  In other words, the collection risk associated with the residential and small commercial and industrial customers electing to purchase electricity form an EGS, rather than the public utility, should remain with the EGS.  Therefore, the bad debt rate should remain a component of a POR discount to appropriately move the business risk to the business carrying on the sales.</w:t>
      </w:r>
    </w:p>
    <w:p w:rsidR="006B36B2" w:rsidRDefault="006B36B2" w:rsidP="006B36B2">
      <w:pPr>
        <w:pStyle w:val="BodyText2"/>
        <w:spacing w:after="0" w:line="240" w:lineRule="auto"/>
        <w:ind w:left="1440" w:right="1440"/>
        <w:jc w:val="left"/>
      </w:pPr>
    </w:p>
    <w:p w:rsidR="000E7AB9" w:rsidRDefault="000E7AB9" w:rsidP="006B36B2">
      <w:pPr>
        <w:pStyle w:val="BodyText2"/>
        <w:spacing w:after="0" w:line="240" w:lineRule="auto"/>
        <w:ind w:left="1440" w:right="1440"/>
        <w:jc w:val="left"/>
      </w:pPr>
      <w:r>
        <w:t>OTS St. 2-R, pp. 9-10.  Similarly, Mr. Knecht, on behalf of OSBA, opposed RESA’s proposal, stating as follows:</w:t>
      </w:r>
    </w:p>
    <w:p w:rsidR="000E7AB9" w:rsidRDefault="000E7AB9" w:rsidP="006C5D61">
      <w:pPr>
        <w:pStyle w:val="IndentSingle"/>
        <w:spacing w:after="0"/>
        <w:ind w:firstLine="720"/>
        <w:jc w:val="left"/>
      </w:pPr>
      <w:r>
        <w:t>My disagreement with Mr. Hudson is based on the fact that the EGSs who service customers outside the PoR program are responsible for collecting the bills from those customers and are therefore responsible for uncollectibles costs related to those customers.</w:t>
      </w:r>
    </w:p>
    <w:p w:rsidR="006C5D61" w:rsidRPr="006C5D61" w:rsidRDefault="006C5D61" w:rsidP="006C5D61">
      <w:pPr>
        <w:pStyle w:val="BodyText"/>
        <w:spacing w:line="240" w:lineRule="auto"/>
      </w:pPr>
    </w:p>
    <w:p w:rsidR="000E7AB9" w:rsidRDefault="000E7AB9" w:rsidP="00180DA6">
      <w:pPr>
        <w:pStyle w:val="IndentSingle"/>
        <w:spacing w:after="0"/>
        <w:jc w:val="left"/>
      </w:pPr>
      <w:r>
        <w:t>By requiring customers outside the PoR program to pay the MFC, Mr. Hudson’s proposal will put the EGSs who wish to provide service outside the PoR program at a competitive disadvantage.  Customers who are outside the PoR program will pay the non-bypassable MFC, and will implicitly absorb their own EGS’s uncollectibles costs in the rates paid to the EGS.</w:t>
      </w:r>
    </w:p>
    <w:p w:rsidR="000E7AB9" w:rsidRDefault="000E7AB9" w:rsidP="00180DA6">
      <w:pPr>
        <w:pStyle w:val="IndentSingle"/>
        <w:spacing w:after="0"/>
        <w:jc w:val="center"/>
      </w:pPr>
      <w:r>
        <w:t>***</w:t>
      </w:r>
    </w:p>
    <w:p w:rsidR="000E7AB9" w:rsidRDefault="000E7AB9" w:rsidP="00180DA6">
      <w:pPr>
        <w:pStyle w:val="IndentSingle"/>
        <w:spacing w:after="0"/>
        <w:jc w:val="left"/>
      </w:pPr>
      <w:r>
        <w:lastRenderedPageBreak/>
        <w:t>In reality, EGSs incorporate the risk of incurring uncollectibles into their pricing margins, and those margins are passed on to their customers.  Therefore, competition cannot shield the shopping customers who are outside the PoR program from double-paying for generation-related uncollectible costs.</w:t>
      </w:r>
    </w:p>
    <w:p w:rsidR="000E7AB9" w:rsidRDefault="000E7AB9" w:rsidP="00180DA6">
      <w:pPr>
        <w:pStyle w:val="IndentSingle"/>
        <w:spacing w:after="0"/>
        <w:jc w:val="center"/>
      </w:pPr>
      <w:r>
        <w:t>***</w:t>
      </w:r>
    </w:p>
    <w:p w:rsidR="000E7AB9" w:rsidRDefault="000E7AB9" w:rsidP="00180DA6">
      <w:pPr>
        <w:pStyle w:val="IndentSingle"/>
        <w:spacing w:after="0"/>
        <w:jc w:val="left"/>
      </w:pPr>
      <w:r>
        <w:t>In PPL Electric’s proposal, non-shopping customers pay for uncollectibles through the PPL Electric MFC, which applies only to non-shopping customers.  Shopping customers in the PoR program implicitly pay for the uncollectibles cost in the discount applied by PPL Electric to its purchase price for receivables.  Shopping customers outside the PoR program implicitly pay for the uncollectible costs in the rates charge by their EGS.</w:t>
      </w:r>
    </w:p>
    <w:p w:rsidR="000E7AB9" w:rsidRDefault="000E7AB9" w:rsidP="00180DA6">
      <w:pPr>
        <w:pStyle w:val="BodyText2"/>
        <w:spacing w:after="0"/>
        <w:jc w:val="left"/>
      </w:pPr>
      <w:r>
        <w:tab/>
      </w:r>
      <w:r>
        <w:tab/>
        <w:t>OSBA St. 2, pp. 22-23; PPL Electric Initial Brief at 86-87.</w:t>
      </w:r>
    </w:p>
    <w:p w:rsidR="000E7AB9" w:rsidRDefault="000E7AB9" w:rsidP="00180DA6">
      <w:pPr>
        <w:pStyle w:val="BodyText2"/>
        <w:spacing w:after="0" w:line="240" w:lineRule="auto"/>
        <w:ind w:left="1440" w:right="1440"/>
        <w:contextualSpacing/>
        <w:jc w:val="left"/>
      </w:pPr>
      <w:r>
        <w:tab/>
        <w:t>RESA further contends that the current POR program is inconsistent with the requirements of the settlement in the default service proceeding wherein the parties agreed to establish a POR program  RESA St. 1, p. 8.  However, RESA disregards the language of the Commission’s order in the default service proceeding, which provides, in pertinent part, as follows:</w:t>
      </w:r>
    </w:p>
    <w:p w:rsidR="000E7AB9" w:rsidRDefault="000E7AB9" w:rsidP="00180DA6">
      <w:pPr>
        <w:pStyle w:val="IndentSingle"/>
        <w:spacing w:after="0"/>
        <w:ind w:left="2160"/>
        <w:jc w:val="left"/>
      </w:pPr>
      <w:r>
        <w:t>[D]iscounts to POR payments to suppliers to reflect incremental uncollectible expenses not included in distribution rates, which may include the unbundled uncollectible accounts percentage; provided, however, that customers will not be responsible for any reconciliation of the discount against actual results.</w:t>
      </w:r>
    </w:p>
    <w:p w:rsidR="00180DA6" w:rsidRDefault="00180DA6" w:rsidP="00180DA6">
      <w:pPr>
        <w:pStyle w:val="BodyText2"/>
        <w:spacing w:after="0" w:line="240" w:lineRule="auto"/>
        <w:ind w:left="1440" w:right="1440"/>
        <w:contextualSpacing/>
        <w:jc w:val="left"/>
        <w:rPr>
          <w:i/>
        </w:rPr>
      </w:pPr>
    </w:p>
    <w:p w:rsidR="000E7AB9" w:rsidRDefault="000E7AB9" w:rsidP="00180DA6">
      <w:pPr>
        <w:pStyle w:val="BodyText2"/>
        <w:spacing w:after="0" w:line="240" w:lineRule="auto"/>
        <w:ind w:left="1440" w:right="1440"/>
        <w:contextualSpacing/>
        <w:jc w:val="left"/>
      </w:pPr>
      <w:r>
        <w:rPr>
          <w:i/>
        </w:rPr>
        <w:t>Petition of PPL Electric Utilities Corporation for Approval of a Default Service Program and Procurement Plan for the Period January 1, 2011 Through May 31, 2013</w:t>
      </w:r>
      <w:r>
        <w:t>, Docket No. P-2008-2060309 (June 30, 2009).  The Commission’s order clearly provides that the discount “may include the unbundled uncollectible accounts percentage.”  Consistent therewith, the discount applied in PPL Electric’s POR program does reflect the full, unbundled generation-related uncollectible accounts percentage, as well as a component to recover administrative costs.  PPL Electric St. 6-R, p. 8.</w:t>
      </w:r>
    </w:p>
    <w:p w:rsidR="00180DA6" w:rsidRDefault="00180DA6" w:rsidP="00180DA6">
      <w:pPr>
        <w:pStyle w:val="BodyText2"/>
        <w:spacing w:after="0" w:line="240" w:lineRule="auto"/>
        <w:ind w:left="1440" w:right="1440" w:hanging="1440"/>
        <w:contextualSpacing/>
        <w:jc w:val="left"/>
      </w:pPr>
    </w:p>
    <w:p w:rsidR="000E7AB9" w:rsidRDefault="000E7AB9" w:rsidP="00180DA6">
      <w:pPr>
        <w:pStyle w:val="BodyText2"/>
        <w:spacing w:after="0" w:line="240" w:lineRule="auto"/>
        <w:ind w:left="1440" w:right="1440" w:hanging="1440"/>
        <w:contextualSpacing/>
        <w:jc w:val="left"/>
      </w:pPr>
      <w:r>
        <w:t xml:space="preserve">PPL Electric Initial Brief at 85-90 (in pertinent part). </w:t>
      </w:r>
    </w:p>
    <w:p w:rsidR="000E7AB9" w:rsidRDefault="000E7AB9" w:rsidP="00180DA6">
      <w:pPr>
        <w:pStyle w:val="BodyText2"/>
        <w:spacing w:after="0" w:line="360" w:lineRule="auto"/>
        <w:ind w:left="1440" w:right="1440"/>
        <w:contextualSpacing/>
        <w:jc w:val="left"/>
      </w:pPr>
    </w:p>
    <w:p w:rsidR="000E7AB9" w:rsidRDefault="000E7AB9" w:rsidP="00180DA6">
      <w:pPr>
        <w:pStyle w:val="BodyText2"/>
        <w:spacing w:after="0" w:line="360" w:lineRule="auto"/>
        <w:jc w:val="left"/>
      </w:pPr>
      <w:r>
        <w:tab/>
      </w:r>
      <w:r>
        <w:tab/>
        <w:t>To counter the RESA claim that the current POR program is inconsistent with recent actions by the Commission regarding POR programs in the service territories of other electric distribution companies (“EDCs”), RESA St. 1, p. 12, the Company responds:</w:t>
      </w:r>
    </w:p>
    <w:p w:rsidR="00180DA6" w:rsidRDefault="00180DA6" w:rsidP="00180DA6">
      <w:pPr>
        <w:pStyle w:val="BodyText2"/>
        <w:spacing w:after="0" w:line="360" w:lineRule="auto"/>
        <w:jc w:val="left"/>
      </w:pPr>
    </w:p>
    <w:p w:rsidR="000E7AB9" w:rsidRDefault="000E7AB9" w:rsidP="00180DA6">
      <w:pPr>
        <w:pStyle w:val="BodyText2"/>
        <w:spacing w:after="0" w:line="240" w:lineRule="auto"/>
        <w:ind w:left="1440" w:right="1440"/>
        <w:contextualSpacing/>
        <w:jc w:val="left"/>
      </w:pPr>
      <w:r>
        <w:t>However, the POR programs of other EDCs do not establish a statewide standard.</w:t>
      </w:r>
      <w:r w:rsidRPr="002978CD">
        <w:rPr>
          <w:rStyle w:val="FootnoteReference"/>
          <w:vertAlign w:val="superscript"/>
        </w:rPr>
        <w:footnoteReference w:id="23"/>
      </w:r>
      <w:r>
        <w:t xml:space="preserve">  PPL Electric St. 6-R, p. 8.  Rather, each POR program adopted by an EDC reflects the unique circumstances of the individual EDC, including the ability of its customer information and billing systems to accommodate specific program structures.</w:t>
      </w:r>
      <w:r w:rsidRPr="002978CD">
        <w:rPr>
          <w:rStyle w:val="FootnoteReference"/>
          <w:vertAlign w:val="superscript"/>
        </w:rPr>
        <w:footnoteReference w:id="24"/>
      </w:r>
      <w:r>
        <w:t xml:space="preserve">  PPL Electric St. 6-R, p. 9.  Indeed, RESA relies on the POR program adopted by PECO; however, RESA disregards that, unlike PPL Electric, PECO has not unbundled its uncollectible accounts expense.  Further, the Company believes that its POR program is consistent with the POR program administered by Duquesne Light.  </w:t>
      </w:r>
      <w:r>
        <w:rPr>
          <w:i/>
        </w:rPr>
        <w:t>See Pa. P.U.C. v. Duquesne Light Company</w:t>
      </w:r>
      <w:r>
        <w:t>, Docket No. R-00061346 (December 1, 2006).  Importantly, because POR programs are voluntary as explained above, the fact that another EDC’s POR program has conditions that are different from those proposed by PPL Electric has no bearing on PPL Electric’s voluntarily offered POR program.  PPL Electric St. 6-R, pp. 9-10.</w:t>
      </w:r>
    </w:p>
    <w:p w:rsidR="000E7AB9" w:rsidRDefault="000E7AB9" w:rsidP="00180DA6">
      <w:pPr>
        <w:pStyle w:val="BodyText2"/>
        <w:spacing w:after="0" w:line="240" w:lineRule="auto"/>
        <w:ind w:left="1440" w:right="1440"/>
        <w:contextualSpacing/>
        <w:jc w:val="left"/>
      </w:pPr>
    </w:p>
    <w:p w:rsidR="00314315" w:rsidRDefault="000E7AB9" w:rsidP="00180DA6">
      <w:pPr>
        <w:pStyle w:val="BodyText2"/>
        <w:spacing w:after="0" w:line="240" w:lineRule="auto"/>
        <w:ind w:left="1440" w:right="1440"/>
        <w:contextualSpacing/>
        <w:jc w:val="left"/>
      </w:pPr>
      <w:r>
        <w:tab/>
        <w:t xml:space="preserve">Finally, if RESA’s proposal were adopted and the uncollectible accounts expense was recovered through a non-bypassable charge to all customers, the discount factor would be eliminated from the POR program, at which point there would be no reason for a POR program.  The whole purpose of a POR program is to sell accounts receivables to a third party to take advantage of the time value of money and to receive immediate payment for the receivables less an agreed upon discount to reflect collection risk.  Tr. 442-43.  If the discount to reflect the collection </w:t>
      </w:r>
    </w:p>
    <w:p w:rsidR="000E7AB9" w:rsidRDefault="000E7AB9" w:rsidP="00180DA6">
      <w:pPr>
        <w:pStyle w:val="BodyText2"/>
        <w:spacing w:after="0" w:line="240" w:lineRule="auto"/>
        <w:ind w:left="1440" w:right="1440"/>
        <w:contextualSpacing/>
        <w:jc w:val="left"/>
      </w:pPr>
      <w:r>
        <w:t xml:space="preserve">risk is removed, there simply would be no point in purchasing the accounts receivable.  Accordingly, RESA’s proposal should be rejected.  </w:t>
      </w:r>
    </w:p>
    <w:p w:rsidR="00180DA6" w:rsidRDefault="00180DA6" w:rsidP="000E7AB9">
      <w:pPr>
        <w:pStyle w:val="BodyText2"/>
        <w:spacing w:line="240" w:lineRule="auto"/>
        <w:ind w:left="1440" w:right="1440"/>
        <w:contextualSpacing/>
        <w:jc w:val="left"/>
      </w:pPr>
    </w:p>
    <w:p w:rsidR="000E7AB9" w:rsidRDefault="000E7AB9" w:rsidP="00180DA6">
      <w:pPr>
        <w:pStyle w:val="BodyText2"/>
        <w:spacing w:after="0" w:line="360" w:lineRule="auto"/>
        <w:ind w:left="1440" w:right="1440" w:hanging="1440"/>
        <w:contextualSpacing/>
        <w:jc w:val="left"/>
      </w:pPr>
      <w:r>
        <w:t>PPL Electric Initial Brief at 90-91.</w:t>
      </w:r>
    </w:p>
    <w:p w:rsidR="000E7AB9" w:rsidRDefault="000E7AB9" w:rsidP="00180DA6">
      <w:pPr>
        <w:pStyle w:val="BodyText2"/>
        <w:spacing w:line="360" w:lineRule="auto"/>
        <w:ind w:left="1440" w:right="1440"/>
        <w:contextualSpacing/>
        <w:jc w:val="left"/>
      </w:pPr>
    </w:p>
    <w:p w:rsidR="000E7AB9" w:rsidRDefault="000E7AB9" w:rsidP="000E7AB9">
      <w:pPr>
        <w:pStyle w:val="BodyText2"/>
        <w:spacing w:line="360" w:lineRule="auto"/>
        <w:contextualSpacing/>
        <w:jc w:val="left"/>
      </w:pPr>
      <w:r>
        <w:lastRenderedPageBreak/>
        <w:tab/>
      </w:r>
      <w:r>
        <w:tab/>
        <w:t>RESA has not sustained its burden of proving that the non-bypassable MCF is a superior method of recouping uncollectibles and its first proposed modification is denied.</w:t>
      </w:r>
    </w:p>
    <w:p w:rsidR="000E7AB9" w:rsidRDefault="000E7AB9" w:rsidP="000E7AB9">
      <w:pPr>
        <w:pStyle w:val="BodyText2"/>
        <w:spacing w:line="240" w:lineRule="auto"/>
        <w:ind w:left="1440" w:right="1440"/>
        <w:contextualSpacing/>
        <w:jc w:val="left"/>
      </w:pPr>
    </w:p>
    <w:p w:rsidR="000E7AB9" w:rsidRDefault="000E7AB9" w:rsidP="00314315">
      <w:pPr>
        <w:pStyle w:val="Heading4"/>
        <w:keepNext/>
        <w:keepLines/>
        <w:numPr>
          <w:ilvl w:val="3"/>
          <w:numId w:val="0"/>
        </w:numPr>
        <w:tabs>
          <w:tab w:val="num" w:pos="0"/>
        </w:tabs>
        <w:spacing w:before="0" w:beforeAutospacing="0" w:after="0" w:afterAutospacing="0" w:line="360" w:lineRule="auto"/>
        <w:ind w:left="2880" w:hanging="2880"/>
      </w:pPr>
      <w:r w:rsidRPr="00312C11">
        <w:t xml:space="preserve"> (b)  All-in/All-out provision</w:t>
      </w:r>
    </w:p>
    <w:p w:rsidR="00314315" w:rsidRDefault="00314315" w:rsidP="00314315">
      <w:pPr>
        <w:pStyle w:val="Heading4"/>
        <w:keepNext/>
        <w:keepLines/>
        <w:numPr>
          <w:ilvl w:val="3"/>
          <w:numId w:val="0"/>
        </w:numPr>
        <w:tabs>
          <w:tab w:val="num" w:pos="0"/>
        </w:tabs>
        <w:spacing w:before="0" w:beforeAutospacing="0" w:after="0" w:afterAutospacing="0" w:line="360" w:lineRule="auto"/>
        <w:ind w:left="2880" w:hanging="2880"/>
      </w:pPr>
    </w:p>
    <w:p w:rsidR="000E7AB9" w:rsidRDefault="000E7AB9" w:rsidP="00180DA6">
      <w:pPr>
        <w:pStyle w:val="Heading4"/>
        <w:keepNext/>
        <w:keepLines/>
        <w:numPr>
          <w:ilvl w:val="3"/>
          <w:numId w:val="0"/>
        </w:numPr>
        <w:tabs>
          <w:tab w:val="num" w:pos="0"/>
        </w:tabs>
        <w:spacing w:before="0" w:beforeAutospacing="0" w:after="0" w:afterAutospacing="0" w:line="360" w:lineRule="auto"/>
        <w:rPr>
          <w:b w:val="0"/>
        </w:rPr>
      </w:pPr>
      <w:r>
        <w:tab/>
      </w:r>
      <w:r>
        <w:tab/>
      </w:r>
      <w:r w:rsidRPr="00C938BB">
        <w:rPr>
          <w:b w:val="0"/>
        </w:rPr>
        <w:t>PPL</w:t>
      </w:r>
      <w:r>
        <w:rPr>
          <w:b w:val="0"/>
        </w:rPr>
        <w:t xml:space="preserve"> Electric proposed to maintain its POR program for residential customers as either handling all customers for the EGS, or none:</w:t>
      </w:r>
    </w:p>
    <w:p w:rsidR="00180DA6" w:rsidRDefault="00180DA6" w:rsidP="00314315">
      <w:pPr>
        <w:pStyle w:val="Heading4"/>
        <w:keepNext/>
        <w:keepLines/>
        <w:numPr>
          <w:ilvl w:val="3"/>
          <w:numId w:val="0"/>
        </w:numPr>
        <w:tabs>
          <w:tab w:val="num" w:pos="0"/>
        </w:tabs>
        <w:spacing w:before="0" w:beforeAutospacing="0" w:after="0" w:afterAutospacing="0" w:line="360" w:lineRule="auto"/>
        <w:rPr>
          <w:b w:val="0"/>
        </w:rPr>
      </w:pPr>
    </w:p>
    <w:p w:rsidR="000E7AB9" w:rsidRDefault="000E7AB9" w:rsidP="00314315">
      <w:pPr>
        <w:pStyle w:val="BodyText2"/>
        <w:spacing w:after="0" w:line="240" w:lineRule="auto"/>
        <w:ind w:left="1440" w:right="1440"/>
        <w:jc w:val="left"/>
      </w:pPr>
      <w:r>
        <w:t xml:space="preserve">PPL Electric’s POR program is entirely voluntary, </w:t>
      </w:r>
      <w:r>
        <w:rPr>
          <w:i/>
        </w:rPr>
        <w:t>i.e.</w:t>
      </w:r>
      <w:r>
        <w:t>, EGSs can elect to participate or not participate in the program.  PPL Electric St. 7, p. 30.  Under the residential customers program, an EGS must sell all of its accounts receivable for that rate class and use PPL Electric’s consolidated billing to participate in the POR program.  PPL Electric St. 6-R, p. 12.  For the small c&amp;i customers, an EGS may elect to participate in the POR program for some or all of its small c&amp;i customers, but must use EDC consolidated billing for those customers in the POR program.  PPL Electric St. 6-R, p. 12.</w:t>
      </w:r>
    </w:p>
    <w:p w:rsidR="000E7AB9" w:rsidRPr="00312C11" w:rsidRDefault="000E7AB9" w:rsidP="00314315">
      <w:pPr>
        <w:pStyle w:val="Heading4"/>
        <w:keepNext/>
        <w:keepLines/>
        <w:numPr>
          <w:ilvl w:val="3"/>
          <w:numId w:val="0"/>
        </w:numPr>
        <w:tabs>
          <w:tab w:val="num" w:pos="0"/>
        </w:tabs>
        <w:spacing w:before="0" w:beforeAutospacing="0" w:after="0" w:afterAutospacing="0" w:line="360" w:lineRule="auto"/>
        <w:ind w:left="2880" w:hanging="2880"/>
      </w:pPr>
    </w:p>
    <w:p w:rsidR="000E7AB9" w:rsidRDefault="000E7AB9" w:rsidP="000675AB">
      <w:pPr>
        <w:pStyle w:val="BodyText2"/>
        <w:spacing w:after="0" w:line="360" w:lineRule="auto"/>
        <w:jc w:val="left"/>
      </w:pPr>
      <w:r>
        <w:tab/>
      </w:r>
      <w:r>
        <w:tab/>
        <w:t xml:space="preserve">RESA argues that this  restriction prevents an EGS from serving residential customers on a simple, fixed-price rate with the convenience of a single EDC consolidated bill while, at the same time, providing another set of residential customers a more complex, customized product via dual billing.  RESA St. 1, p. 14.  </w:t>
      </w:r>
    </w:p>
    <w:p w:rsidR="000675AB" w:rsidRDefault="000675AB" w:rsidP="000675AB">
      <w:pPr>
        <w:pStyle w:val="BodyText2"/>
        <w:spacing w:after="0" w:line="360" w:lineRule="auto"/>
        <w:jc w:val="left"/>
      </w:pPr>
    </w:p>
    <w:p w:rsidR="001D54B2" w:rsidRDefault="000E7AB9" w:rsidP="002978CD">
      <w:pPr>
        <w:pStyle w:val="BodyText2"/>
        <w:spacing w:after="0" w:line="360" w:lineRule="auto"/>
        <w:jc w:val="left"/>
        <w:sectPr w:rsidR="001D54B2" w:rsidSect="00C71E16">
          <w:headerReference w:type="first" r:id="rId27"/>
          <w:footerReference w:type="first" r:id="rId28"/>
          <w:pgSz w:w="12240" w:h="15840" w:code="1"/>
          <w:pgMar w:top="1440" w:right="1440" w:bottom="1440" w:left="1440" w:header="720" w:footer="720" w:gutter="0"/>
          <w:pgNumType w:start="1"/>
          <w:cols w:space="720"/>
          <w:titlePg/>
          <w:docGrid w:linePitch="360"/>
        </w:sectPr>
      </w:pPr>
      <w:r>
        <w:tab/>
      </w:r>
      <w:r>
        <w:tab/>
        <w:t xml:space="preserve">From the EDC’s point of view, this ensures that an EGS serving residential customers is unable to place certain residential accounts on POR/consolidated billing while billing other residential accounts through dual billing without POR.  RESA concedes that there is a risk that the Company could under recover its generation uncollectible accounts expense if EGSs were permitted to selectively enroll poor paying customers.  RESA St. 1, p. 10.  </w:t>
      </w:r>
    </w:p>
    <w:p w:rsidR="000E7AB9" w:rsidRDefault="000E7AB9" w:rsidP="002978CD">
      <w:pPr>
        <w:pStyle w:val="BodyText2"/>
        <w:spacing w:after="0" w:line="360" w:lineRule="auto"/>
        <w:ind w:firstLine="1440"/>
        <w:jc w:val="left"/>
      </w:pPr>
      <w:r>
        <w:lastRenderedPageBreak/>
        <w:t xml:space="preserve">The Company believes that this risk is greater for residential customers as compared to other classes for several reasons:  The residential class includes low-income customers; the uncollectible accounts expense is much higher for the residential class; the limitations on the ability to terminate service under Chapter 56, including the moratorium on winter shutoffs; and the Company’s ability to pursue collections is subject to Chapter 56.  PPL Electric St. 6-R, p. 13.  </w:t>
      </w:r>
    </w:p>
    <w:p w:rsidR="002978CD" w:rsidRDefault="002978CD" w:rsidP="002978CD">
      <w:pPr>
        <w:pStyle w:val="BodyText2"/>
        <w:spacing w:after="0" w:line="360" w:lineRule="auto"/>
        <w:ind w:firstLine="1440"/>
        <w:jc w:val="left"/>
      </w:pPr>
    </w:p>
    <w:p w:rsidR="000E7AB9" w:rsidRDefault="000E7AB9" w:rsidP="00461141">
      <w:pPr>
        <w:pStyle w:val="BodyText2"/>
        <w:spacing w:after="0" w:line="240" w:lineRule="auto"/>
        <w:ind w:left="1440" w:right="1440"/>
        <w:contextualSpacing/>
        <w:jc w:val="left"/>
      </w:pPr>
      <w:r>
        <w:t>In the absence of the “all-in/all-out” requirement, an EGS could potentially maintain the billing and collection responsibilities for low risk, good-paying residential customers, while shifting the risk of residential customers with poor credit or payment histories to PPL Electric through use of its consolidated billing.  As a result, the Company’s actual uncollectible accounts expense would likely be higher than the average for all residential customers, and it might be significantly higher due to the moratorium on residential winter terminations under chapter 56.  The “all in/all out” requirement was a protection, under the Company’s current POR program, as an appropriate mechanism to address this concern.  PPL Electric St. 6-R, p. 13.  RESA has failed to introduce evidence of any conditions that have changed since the settlement that established the current POR that would alter the risk acknowledged by RESA.</w:t>
      </w:r>
    </w:p>
    <w:p w:rsidR="000E7AB9" w:rsidRDefault="000E7AB9" w:rsidP="00461141">
      <w:pPr>
        <w:pStyle w:val="BodyText2"/>
        <w:spacing w:after="0" w:line="240" w:lineRule="auto"/>
        <w:ind w:left="1440" w:right="1440"/>
        <w:contextualSpacing/>
        <w:jc w:val="left"/>
      </w:pPr>
      <w:r>
        <w:t>Further, as explained above, the large number of residential customers currently taking competitive supply within the PPL Electric service territory and the large number of EGSs serving residential customers does not suggest that the “all-in/all-out” requirement has been any impediment to EGS participation in the development of a robust competitive market.  PPL Electric St. 6-R, pp. 5-6, 13.</w:t>
      </w:r>
    </w:p>
    <w:p w:rsidR="002978CD" w:rsidRDefault="002978CD" w:rsidP="000675AB">
      <w:pPr>
        <w:pStyle w:val="BodyText2"/>
        <w:spacing w:after="0" w:line="240" w:lineRule="auto"/>
        <w:ind w:left="1440" w:right="1440"/>
        <w:contextualSpacing/>
        <w:jc w:val="left"/>
      </w:pPr>
    </w:p>
    <w:p w:rsidR="000E7AB9" w:rsidRDefault="000E7AB9" w:rsidP="001D54B2">
      <w:pPr>
        <w:pStyle w:val="BodyText2"/>
        <w:spacing w:after="0" w:line="360" w:lineRule="auto"/>
        <w:ind w:left="1440" w:right="1440" w:hanging="1440"/>
        <w:contextualSpacing/>
        <w:jc w:val="left"/>
      </w:pPr>
      <w:r>
        <w:t>PPL Electric Initial Brief at 91-93.</w:t>
      </w:r>
    </w:p>
    <w:p w:rsidR="001D54B2" w:rsidRDefault="001D54B2" w:rsidP="001D54B2">
      <w:pPr>
        <w:pStyle w:val="BodyText2"/>
        <w:spacing w:after="0" w:line="360" w:lineRule="auto"/>
        <w:ind w:left="1440" w:right="1440" w:hanging="1440"/>
        <w:contextualSpacing/>
        <w:jc w:val="left"/>
      </w:pPr>
    </w:p>
    <w:p w:rsidR="000E7AB9" w:rsidRDefault="000E7AB9" w:rsidP="000675AB">
      <w:pPr>
        <w:pStyle w:val="BodyText2"/>
        <w:spacing w:after="0" w:line="360" w:lineRule="auto"/>
        <w:contextualSpacing/>
        <w:jc w:val="left"/>
      </w:pPr>
      <w:r>
        <w:tab/>
      </w:r>
      <w:r>
        <w:tab/>
        <w:t xml:space="preserve">The Commission stated its preference in its </w:t>
      </w:r>
      <w:r w:rsidRPr="008D1E67">
        <w:t xml:space="preserve">Advance Notice of Final Rulemaking Order </w:t>
      </w:r>
      <w:r w:rsidRPr="00467F68">
        <w:t>in</w:t>
      </w:r>
      <w:r>
        <w:rPr>
          <w:i/>
        </w:rPr>
        <w:t xml:space="preserve"> Natural Gas Distribution Companies and Promotion of Competitive Retail Markets </w:t>
      </w:r>
      <w:r>
        <w:t xml:space="preserve">proceeding, Docket No. L-2008-2069114 (Order entered August 10, 2010), which resolves a number of issues in the gas industry, including preferred terms of POR programs.  The Commission has declared its intent to require an NGS to use consolidated billing – for all customers -- in order to qualify for participation in a POR program with two specific exceptions:  (1) if the NGDC’s system cannot accommodate it; or (2)  if the NGS wants to offer products that are bundled with non-basic services.  At 24-25; proposed §62.224(2).  Accordingly, PPL </w:t>
      </w:r>
      <w:r>
        <w:lastRenderedPageBreak/>
        <w:t>Electric’s proposal to use its “all in/all out” provision is consistent with the Commission’s regulations in the gas industry, and RESA’s proposed modification is not adopted.</w:t>
      </w:r>
    </w:p>
    <w:p w:rsidR="000E7AB9" w:rsidRDefault="000E7AB9" w:rsidP="000675AB">
      <w:pPr>
        <w:pStyle w:val="BodyText2"/>
        <w:spacing w:after="0" w:line="360" w:lineRule="auto"/>
        <w:contextualSpacing/>
        <w:jc w:val="left"/>
      </w:pPr>
    </w:p>
    <w:p w:rsidR="000E7AB9" w:rsidRDefault="000E7AB9" w:rsidP="000675AB">
      <w:pPr>
        <w:pStyle w:val="BodyText2"/>
        <w:spacing w:after="0" w:line="240" w:lineRule="auto"/>
        <w:jc w:val="left"/>
        <w:rPr>
          <w:b/>
        </w:rPr>
      </w:pPr>
      <w:r w:rsidRPr="00B32FEA">
        <w:rPr>
          <w:b/>
        </w:rPr>
        <w:t>(c) Whether the current tracking mechanism for the small C&amp;I customer POR program should be eliminated</w:t>
      </w:r>
    </w:p>
    <w:p w:rsidR="000E7AB9" w:rsidRPr="00B32FEA" w:rsidRDefault="000E7AB9" w:rsidP="00461141">
      <w:pPr>
        <w:pStyle w:val="BodyText2"/>
        <w:spacing w:after="0" w:line="360" w:lineRule="auto"/>
        <w:jc w:val="left"/>
        <w:rPr>
          <w:b/>
        </w:rPr>
      </w:pPr>
    </w:p>
    <w:p w:rsidR="000E7AB9" w:rsidRDefault="000E7AB9" w:rsidP="000675AB">
      <w:pPr>
        <w:pStyle w:val="BodyText2"/>
        <w:spacing w:after="0" w:line="360" w:lineRule="auto"/>
        <w:jc w:val="left"/>
      </w:pPr>
      <w:r>
        <w:tab/>
      </w:r>
      <w:r>
        <w:tab/>
        <w:t>In opposition to PPL Electric’s proposal to continue its current POR program, RESA recommends that the Company should eliminate the current tracking mechanism to monitor individual EGS uncollectible percentages for small c&amp;i customers.  RESA contends that the tracking of EGS uncollectible accounts expense under the POR program is complicated and can impede development of the competitive market.  RESA St. 1, p. 9.  RESA asserts that the need for such a mechanism is obviated if RESA’s proposal to recover uncollectible accounts expense through a nonbypassable mechanism is adopted because the costs of uncollectible accounts expense would be recovered from all distribution ratepayers.  RESA Main Brief at 17.</w:t>
      </w:r>
      <w:r>
        <w:tab/>
      </w:r>
    </w:p>
    <w:p w:rsidR="000E7AB9" w:rsidRDefault="000E7AB9" w:rsidP="000675AB">
      <w:pPr>
        <w:pStyle w:val="BodyText2"/>
        <w:spacing w:after="0" w:line="360" w:lineRule="auto"/>
        <w:jc w:val="left"/>
      </w:pPr>
      <w:r>
        <w:t>This mechanism was rejected above, and RESA must provide substantial evidence to support a Commission directive ordering the Company to cease monitoring this matter.</w:t>
      </w:r>
    </w:p>
    <w:p w:rsidR="000675AB" w:rsidRDefault="000675AB" w:rsidP="000675AB">
      <w:pPr>
        <w:pStyle w:val="BodyText2"/>
        <w:spacing w:after="0" w:line="360" w:lineRule="auto"/>
        <w:jc w:val="left"/>
      </w:pPr>
    </w:p>
    <w:p w:rsidR="000E7AB9" w:rsidRDefault="000E7AB9" w:rsidP="00461141">
      <w:pPr>
        <w:pStyle w:val="BodyText2"/>
        <w:spacing w:after="0" w:line="360" w:lineRule="auto"/>
        <w:jc w:val="left"/>
      </w:pPr>
      <w:r>
        <w:tab/>
      </w:r>
      <w:r>
        <w:tab/>
        <w:t>PPL Electric objects to this proposal:</w:t>
      </w:r>
    </w:p>
    <w:p w:rsidR="00461141" w:rsidRDefault="00461141" w:rsidP="00461141">
      <w:pPr>
        <w:pStyle w:val="BodyText2"/>
        <w:spacing w:after="0" w:line="240" w:lineRule="auto"/>
        <w:jc w:val="left"/>
      </w:pPr>
    </w:p>
    <w:p w:rsidR="000E7AB9" w:rsidRDefault="000E7AB9" w:rsidP="000675AB">
      <w:pPr>
        <w:pStyle w:val="BodyText2"/>
        <w:spacing w:after="0" w:line="240" w:lineRule="auto"/>
        <w:ind w:left="1440" w:right="1440"/>
        <w:contextualSpacing/>
        <w:jc w:val="left"/>
      </w:pPr>
      <w:r>
        <w:tab/>
        <w:t>The small C&amp;I class program differs from residential rate classes in that an EGS may selectively enroll small c&amp;i customers in the POR program through consolidated billing, while serving other customers through dual billing.  PPL Electric St. 6-R, p. 12; RESA St. 1, p. 16.  As a result, an EGS can maintain the billing and collection responsibilities for low risk, good-paying small c&amp;i customers, while shifting the risk of small c&amp;i customers with poor credit or payment histories to PPL Electric through use of its consolidated billing.  To discourage such “cherry-picking” activities, the parties to the settlement of the Company’s default service provider case mutually agreed to a tracking mechanism to monitor individual EGS uncollectible accounts expense for small c&amp;i customers when the EGS does not enroll all accounts in the POR program.  RESA St. 1, p. 16.</w:t>
      </w:r>
    </w:p>
    <w:p w:rsidR="000E7AB9" w:rsidRDefault="000E7AB9" w:rsidP="000675AB">
      <w:pPr>
        <w:pStyle w:val="BodyText2"/>
        <w:spacing w:after="0" w:line="240" w:lineRule="auto"/>
        <w:ind w:left="1440" w:right="1440"/>
        <w:contextualSpacing/>
        <w:jc w:val="left"/>
      </w:pPr>
      <w:r>
        <w:tab/>
        <w:t xml:space="preserve">PPL Electric currently is capturing the data necessary to report on EGS uncollectibles by individual EGS.  PPL Electric St. 6-R, pp. 16-18.  Although PPL Electric has not yet produced a report on EGS uncollectibles due to limited data and implementation issues, PPL Electric St. 6-R, pp. 16-18, the large number of small c&amp;i customers currently taking competitive supply within the PPL Electric service territory and the large </w:t>
      </w:r>
      <w:r>
        <w:lastRenderedPageBreak/>
        <w:t>number of EGSs serving small c&amp;i customers does not suggest that there are significant impediments to EGS participation.  PPL Electric St. 6-R, pp. 5-6, 14.</w:t>
      </w:r>
    </w:p>
    <w:p w:rsidR="000E7AB9" w:rsidRDefault="000E7AB9" w:rsidP="000675AB">
      <w:pPr>
        <w:pStyle w:val="BodyText2"/>
        <w:spacing w:after="0" w:line="240" w:lineRule="auto"/>
        <w:ind w:left="1440" w:right="1440"/>
        <w:contextualSpacing/>
        <w:jc w:val="left"/>
      </w:pPr>
      <w:r>
        <w:tab/>
        <w:t>Further, PPL Electric notes that the obligation to track is a burden on the Company, not EGSs.  The tracking requires no action by EGSs and does not alter the normal flow of enrollments, the processing of billing information, the rendering of bills, or the processing of remittances to EGSs.  PPL Electric St. 6-R, p. 14.  Further, it is important to note that the Company is proposing to decrease the uncollectible accounts percentage factor for small c&amp;i customers (as well as the MFC for that class) from 0.12% to 0.010%.  PPL Electric St. 7-R, p. 32; PPL Electric Ex. JMK-7.  Thus, it is difficult to see how EGSs serving this class are harmed either by the existence of the tracking provision or by PPL Electric’s decision to delay reporting on the results of the tracking.  PPL Electric St. 6-R, pp. 17-18.</w:t>
      </w:r>
    </w:p>
    <w:p w:rsidR="002978CD" w:rsidRDefault="002978CD" w:rsidP="00461141">
      <w:pPr>
        <w:pStyle w:val="BodyText2"/>
        <w:spacing w:after="0" w:line="240" w:lineRule="auto"/>
        <w:ind w:left="1440" w:right="1440" w:hanging="1440"/>
        <w:contextualSpacing/>
        <w:jc w:val="left"/>
      </w:pPr>
    </w:p>
    <w:p w:rsidR="000E7AB9" w:rsidRDefault="000E7AB9" w:rsidP="000675AB">
      <w:pPr>
        <w:pStyle w:val="BodyText2"/>
        <w:spacing w:after="0" w:line="240" w:lineRule="auto"/>
        <w:ind w:left="1440" w:right="1440" w:hanging="1440"/>
        <w:contextualSpacing/>
        <w:jc w:val="left"/>
      </w:pPr>
      <w:r>
        <w:t>PPL Electric Initial Brief at 93-94.</w:t>
      </w:r>
    </w:p>
    <w:p w:rsidR="000E7AB9" w:rsidRDefault="000E7AB9" w:rsidP="000675AB">
      <w:pPr>
        <w:pStyle w:val="BodyText2"/>
        <w:spacing w:after="0"/>
        <w:jc w:val="left"/>
      </w:pPr>
    </w:p>
    <w:p w:rsidR="000E7AB9" w:rsidRDefault="000E7AB9" w:rsidP="002978CD">
      <w:pPr>
        <w:pStyle w:val="BodyText2"/>
        <w:spacing w:after="0" w:line="360" w:lineRule="auto"/>
        <w:jc w:val="left"/>
      </w:pPr>
      <w:r>
        <w:tab/>
      </w:r>
      <w:r>
        <w:tab/>
        <w:t>It is difficult to see how the gathering of information regarding the effectiveness and use of the POR program can be anything but positive, and RESA’s proposal to direct PPL Electric to cease its monitoring is denied.</w:t>
      </w:r>
    </w:p>
    <w:p w:rsidR="002978CD" w:rsidRDefault="002978CD" w:rsidP="002978CD">
      <w:pPr>
        <w:pStyle w:val="BodyText2"/>
        <w:spacing w:after="0" w:line="360" w:lineRule="auto"/>
        <w:jc w:val="left"/>
      </w:pPr>
    </w:p>
    <w:p w:rsidR="000E7AB9" w:rsidRDefault="000E7AB9" w:rsidP="002978CD">
      <w:pPr>
        <w:pStyle w:val="BodyText2"/>
        <w:spacing w:after="0" w:line="360" w:lineRule="auto"/>
        <w:jc w:val="left"/>
        <w:rPr>
          <w:b/>
        </w:rPr>
      </w:pPr>
      <w:r w:rsidRPr="00FF2F09">
        <w:rPr>
          <w:b/>
        </w:rPr>
        <w:t>(d) Whether the POR Program should be expanded to include large C&amp;I customers</w:t>
      </w:r>
    </w:p>
    <w:p w:rsidR="002978CD" w:rsidRPr="00FF2F09" w:rsidRDefault="002978CD" w:rsidP="002978CD">
      <w:pPr>
        <w:pStyle w:val="BodyText2"/>
        <w:spacing w:after="0" w:line="360" w:lineRule="auto"/>
        <w:jc w:val="left"/>
        <w:rPr>
          <w:b/>
        </w:rPr>
      </w:pPr>
    </w:p>
    <w:p w:rsidR="000E7AB9" w:rsidRDefault="000E7AB9" w:rsidP="002978CD">
      <w:pPr>
        <w:pStyle w:val="BodyText2"/>
        <w:spacing w:after="0" w:line="360" w:lineRule="auto"/>
        <w:jc w:val="left"/>
      </w:pPr>
      <w:r>
        <w:tab/>
      </w:r>
      <w:r>
        <w:tab/>
        <w:t xml:space="preserve">RESA also recommends that the Company should expand the current POR program to apply to large c&amp;i customers.  RESA’s rationale is that by “not offering POR to large c&amp;i customers, PPL’s default service for this customer class is at a competitive advantage as compared to EGS offers because EGS offers for this class must reflect the cost of expected uncollectible accounts expense whereas PPL’s default service does not reflect any generation related uncollectible account expense.”  RESA St. 1, p. 19.  </w:t>
      </w:r>
    </w:p>
    <w:p w:rsidR="007E51FC" w:rsidRDefault="007E51FC" w:rsidP="002978CD">
      <w:pPr>
        <w:pStyle w:val="BodyText2"/>
        <w:spacing w:after="0" w:line="360" w:lineRule="auto"/>
        <w:jc w:val="left"/>
      </w:pPr>
    </w:p>
    <w:p w:rsidR="000E7AB9" w:rsidRDefault="000E7AB9" w:rsidP="000675AB">
      <w:pPr>
        <w:pStyle w:val="BodyText2"/>
        <w:spacing w:after="0" w:line="360" w:lineRule="auto"/>
        <w:jc w:val="left"/>
      </w:pPr>
      <w:r>
        <w:tab/>
      </w:r>
      <w:r>
        <w:tab/>
        <w:t>PPLICA asserts that it does not oppose expansion of PPL Electric’s POR program to large C&amp;I customers with the following reservations:  (1) the removal of the nonbypassable uncollectible charge, and (2) agreement that EGSs will bear the incremental costs of implementation and administration through application of an appropriate discount rate:</w:t>
      </w:r>
    </w:p>
    <w:p w:rsidR="007E51FC" w:rsidRDefault="007E51FC" w:rsidP="002978CD">
      <w:pPr>
        <w:pStyle w:val="BodyText2"/>
        <w:spacing w:after="0" w:line="240" w:lineRule="auto"/>
        <w:ind w:left="1440" w:right="1440"/>
        <w:contextualSpacing/>
        <w:jc w:val="left"/>
      </w:pPr>
    </w:p>
    <w:p w:rsidR="000E7AB9" w:rsidRDefault="000E7AB9" w:rsidP="002978CD">
      <w:pPr>
        <w:pStyle w:val="BodyText2"/>
        <w:spacing w:after="0" w:line="240" w:lineRule="auto"/>
        <w:ind w:left="1440" w:right="1440"/>
        <w:contextualSpacing/>
        <w:jc w:val="left"/>
      </w:pPr>
      <w:r>
        <w:lastRenderedPageBreak/>
        <w:t xml:space="preserve">. . . PPLICA’s agreement to this concept is expressly contingent on Large C&amp;I customers not being required to pay the implementation costs and ongoing administration costs of the POR program.  As PPL’s testimony notes, EGSs have been able to attract Large C&amp;I customers in the territory as of January 1, 2010, without this type of POR program for the class.  </w:t>
      </w:r>
      <w:r>
        <w:rPr>
          <w:u w:val="single"/>
        </w:rPr>
        <w:t>See</w:t>
      </w:r>
      <w:r>
        <w:t xml:space="preserve"> PPL Electric Utilities Corporation Statement No. 6-R, Rebuttal Testimony of Douglas A. Krall at 20.  If Large C&amp;I customers, rather than EGSs were expected to pay for the implementation of the revised POR program, PPLICA would respectfully question whether that additional cost for the Large C&amp;I customers is reasonable, necessary and appropriate given the large number of customers that are already purchasing supply from EGSs.</w:t>
      </w:r>
    </w:p>
    <w:p w:rsidR="000E7AB9" w:rsidRDefault="000E7AB9" w:rsidP="002978CD">
      <w:pPr>
        <w:pStyle w:val="BodyText2"/>
        <w:spacing w:after="0" w:line="240" w:lineRule="auto"/>
        <w:ind w:left="1440" w:right="1440"/>
        <w:contextualSpacing/>
        <w:jc w:val="left"/>
      </w:pPr>
      <w:r>
        <w:t>PPLICA Main Brief at 7-8.</w:t>
      </w:r>
    </w:p>
    <w:p w:rsidR="007E51FC" w:rsidRDefault="007E51FC" w:rsidP="002978CD">
      <w:pPr>
        <w:pStyle w:val="BodyText2"/>
        <w:spacing w:after="0" w:line="240" w:lineRule="auto"/>
        <w:ind w:left="1440" w:right="1440"/>
        <w:contextualSpacing/>
        <w:jc w:val="left"/>
      </w:pPr>
    </w:p>
    <w:p w:rsidR="000E7AB9" w:rsidRDefault="000E7AB9" w:rsidP="002978CD">
      <w:pPr>
        <w:pStyle w:val="BodyText2"/>
        <w:spacing w:after="0" w:line="240" w:lineRule="auto"/>
        <w:ind w:left="1440" w:right="1440"/>
        <w:contextualSpacing/>
        <w:jc w:val="left"/>
      </w:pPr>
      <w:r>
        <w:t xml:space="preserve">  </w:t>
      </w:r>
      <w:r>
        <w:tab/>
        <w:t>The present program for large C&amp;I customers is not part of the current POR program for the residential and small c&amp;i customers.  PPL Electric St. 6-R, p. 19.  Under PPL Electric’s large c&amp;i POR program, the Company pays the EGS in full, without a discount, for a period of three months.  After the three month-period, if the customer has a 60-day arrearage, the Company initiates a change to move the customer from consolidated billing to dual billing, meaning that the EGS then will become responsible for the billing of its own charges.  Once dual billing is selected, there is no receivable being transferred from the EGS to the Company.  Similar to residential and small c&amp;i customers, the Company has no recourse to seek from the EGS recovery of any amounts not paid by the large c&amp;i customers.  PPL Electric St. 6-R, pp. 7, 19.</w:t>
      </w:r>
    </w:p>
    <w:p w:rsidR="007E51FC" w:rsidRDefault="007E51FC" w:rsidP="002978CD">
      <w:pPr>
        <w:pStyle w:val="BodyText2"/>
        <w:spacing w:after="0" w:line="240" w:lineRule="auto"/>
        <w:ind w:left="1440" w:right="1440"/>
        <w:contextualSpacing/>
        <w:jc w:val="left"/>
      </w:pPr>
    </w:p>
    <w:p w:rsidR="000E7AB9" w:rsidRDefault="000E7AB9" w:rsidP="002978CD">
      <w:pPr>
        <w:pStyle w:val="BodyText2"/>
        <w:spacing w:after="0" w:line="240" w:lineRule="auto"/>
        <w:ind w:left="1440" w:right="1440"/>
        <w:jc w:val="left"/>
      </w:pPr>
      <w:r>
        <w:tab/>
        <w:t>RESA’s contention that EGSs are at a competitive disadvantage because they must reflect the uncollectible accounts expense in their offers to large c&amp;i customers is overstated.  The uncollectible accounts expense percentage factor for the large c&amp;i customers is only 0.010%.  PPL Electric St. 7-R, p. 32; PPL Electric Ex. JMK-7.  Consequently, any competitive disadvantage that may exist after the first three months is not significant.  PPL Electric St. 6-R, p. 19.</w:t>
      </w:r>
    </w:p>
    <w:p w:rsidR="007E51FC" w:rsidRDefault="007E51FC" w:rsidP="002978CD">
      <w:pPr>
        <w:pStyle w:val="BodyText2"/>
        <w:spacing w:after="0" w:line="240" w:lineRule="auto"/>
        <w:ind w:left="1440" w:right="1440"/>
        <w:jc w:val="left"/>
      </w:pPr>
    </w:p>
    <w:p w:rsidR="000E7AB9" w:rsidRDefault="000E7AB9" w:rsidP="002978CD">
      <w:pPr>
        <w:pStyle w:val="BodyText2"/>
        <w:spacing w:after="0" w:line="240" w:lineRule="auto"/>
        <w:ind w:left="1440" w:right="1440"/>
        <w:contextualSpacing/>
        <w:jc w:val="left"/>
      </w:pPr>
      <w:r>
        <w:tab/>
        <w:t xml:space="preserve">RESA’s proposal to expand the POR program to large c&amp;i customers would create a significant risk for the Company, as well as other customers, in the event that a large c&amp;i customer declares bankruptcy because the low uncollectible accounts expense percentage factor for the large c&amp;i customers does not reflect the risk of bankruptcy.  </w:t>
      </w:r>
      <w:r>
        <w:rPr>
          <w:i/>
        </w:rPr>
        <w:t>See</w:t>
      </w:r>
      <w:r>
        <w:t xml:space="preserve"> RESA St. 1-SR, p. 19 (acknowledging that if large c&amp;i customer’s generation-related charges are uncollectible, the amount would be substantial).  In order to adequately offset such risk, PPL Electric would either have to </w:t>
      </w:r>
      <w:r>
        <w:lastRenderedPageBreak/>
        <w:t xml:space="preserve">substantially upwardly adjust the uncollectible accounts percentage or require a substantial deposit to reflect this bankruptcy risk.  </w:t>
      </w:r>
    </w:p>
    <w:p w:rsidR="007E51FC" w:rsidRDefault="000E7AB9" w:rsidP="002978CD">
      <w:pPr>
        <w:pStyle w:val="BodyText2"/>
        <w:spacing w:after="0" w:line="240" w:lineRule="auto"/>
        <w:ind w:left="1440" w:right="1440"/>
        <w:contextualSpacing/>
        <w:jc w:val="left"/>
      </w:pPr>
      <w:r>
        <w:tab/>
      </w:r>
    </w:p>
    <w:p w:rsidR="000E7AB9" w:rsidRDefault="000E7AB9" w:rsidP="007E51FC">
      <w:pPr>
        <w:pStyle w:val="BodyText2"/>
        <w:spacing w:after="0" w:line="240" w:lineRule="auto"/>
        <w:ind w:left="1440" w:right="1440" w:firstLine="720"/>
        <w:contextualSpacing/>
        <w:jc w:val="left"/>
      </w:pPr>
      <w:r>
        <w:t>The risk faced by PPL Electric and its customers in the event a large c&amp;i customer declares bankruptcy is exacerbated because, under the current tariff, it is not clear that the Company may obtain deposits for costs associated with generation service.  Under Rule 10.C of PPL Electric’s tariff, the Company can obtain a deposit or guarantee of payment only for service provided by the Company.  PPL Electric Ex. OGK-1, p. 14A.  Although it could be argued that once PPL Electric purchases the account receivable for generation service it is included as a service provided by the Company, it is not clear whether shopping customer’s generation service can be included in the deposit or guarantee of payment.  Thus, to avoid the significant risk created by the bankruptcy of a large c&amp;i customer, PPL Electric’s tariff would need to be amended to clearly grant PPL Electric the ability to obtain a deposit for generation service when a large c&amp;i customer is enrolled in the POR program.</w:t>
      </w:r>
    </w:p>
    <w:p w:rsidR="007E51FC" w:rsidRDefault="007E51FC" w:rsidP="007E51FC">
      <w:pPr>
        <w:pStyle w:val="BodyText2"/>
        <w:spacing w:after="0" w:line="240" w:lineRule="auto"/>
        <w:ind w:left="1440" w:right="1440" w:firstLine="720"/>
        <w:contextualSpacing/>
        <w:jc w:val="left"/>
      </w:pPr>
    </w:p>
    <w:p w:rsidR="000E7AB9" w:rsidRDefault="000E7AB9" w:rsidP="002978CD">
      <w:pPr>
        <w:pStyle w:val="BodyText2"/>
        <w:spacing w:after="0" w:line="240" w:lineRule="auto"/>
        <w:ind w:left="1440" w:right="1440"/>
        <w:contextualSpacing/>
        <w:jc w:val="left"/>
      </w:pPr>
      <w:r>
        <w:tab/>
        <w:t>Further, a significant number of the shopping customers in this class receive a separate bill from their EGS and, therefore, would not be affected by a POR program.  Indeed, currently, two thirds of the large c&amp;i customers who are taking competitive supply are being billed separately by their EGS.  Many of these customers are enrolled in complex, customized products.  PPL Electric St. 6-R, pp. 19-20.  As conceded by RESA, the EDC consolidated billing format is simply not compatible for such complex, customized products o</w:t>
      </w:r>
      <w:r w:rsidR="00C24ACC">
        <w:t>ffered by EGSs.  RESA St. 1, p. </w:t>
      </w:r>
      <w:r>
        <w:t>14.  Changing the structure of the large c&amp;i POR program would involve significant programming and put efforts to install other functionality intended to encourage a competitive market at risk of not being completed in a timely ma</w:t>
      </w:r>
      <w:r w:rsidR="00C24ACC">
        <w:t>nner.  PPL Electric St. 6-R, p. </w:t>
      </w:r>
      <w:r>
        <w:t>20.</w:t>
      </w:r>
    </w:p>
    <w:p w:rsidR="007E51FC" w:rsidRDefault="007E51FC" w:rsidP="002978CD">
      <w:pPr>
        <w:pStyle w:val="BodyText2"/>
        <w:spacing w:after="0" w:line="240" w:lineRule="auto"/>
        <w:ind w:left="1440" w:right="1440"/>
        <w:contextualSpacing/>
        <w:jc w:val="left"/>
      </w:pPr>
    </w:p>
    <w:p w:rsidR="000E7AB9" w:rsidRDefault="000E7AB9" w:rsidP="00C24ACC">
      <w:pPr>
        <w:pStyle w:val="BodyText2"/>
        <w:spacing w:after="0" w:line="240" w:lineRule="auto"/>
        <w:ind w:left="1440" w:right="1440"/>
        <w:contextualSpacing/>
        <w:jc w:val="left"/>
      </w:pPr>
      <w:r>
        <w:tab/>
        <w:t>Finally, PPL Electric notes that the large c&amp;i POR program currently in place appears not to have been a significant impediment to the development of the competitive market.  As of July 3, 2010, 993 large c&amp;i customers (or 78.7% of the total number of large c&amp;i customers) were either taking service from an EGS or were signed up to begin supply pending the issuance of their next bill.  Further, information used to develop the Company’s most recent quarterly report on shopping filed with the Commission indicates that 24 different EGSs were actively supplying large c&amp;i customers.  PPL Electric St. 6-R, p. 20.</w:t>
      </w:r>
    </w:p>
    <w:p w:rsidR="00C24ACC" w:rsidRDefault="00C24ACC" w:rsidP="00C24ACC">
      <w:pPr>
        <w:pStyle w:val="Pleading2L3"/>
        <w:numPr>
          <w:ilvl w:val="0"/>
          <w:numId w:val="0"/>
        </w:numPr>
        <w:tabs>
          <w:tab w:val="num" w:pos="0"/>
        </w:tabs>
        <w:spacing w:line="240" w:lineRule="auto"/>
      </w:pPr>
    </w:p>
    <w:p w:rsidR="000E7AB9" w:rsidRDefault="000E7AB9" w:rsidP="00461141">
      <w:pPr>
        <w:pStyle w:val="Pleading2L3"/>
        <w:numPr>
          <w:ilvl w:val="0"/>
          <w:numId w:val="0"/>
        </w:numPr>
        <w:tabs>
          <w:tab w:val="num" w:pos="0"/>
        </w:tabs>
        <w:spacing w:line="360" w:lineRule="auto"/>
      </w:pPr>
      <w:r>
        <w:t>PPL Electric Initial Brief at 96-97.</w:t>
      </w:r>
    </w:p>
    <w:p w:rsidR="000E7AB9" w:rsidRDefault="000E7AB9" w:rsidP="000E7AB9">
      <w:pPr>
        <w:pStyle w:val="Pleading2L3"/>
        <w:numPr>
          <w:ilvl w:val="0"/>
          <w:numId w:val="0"/>
        </w:numPr>
        <w:tabs>
          <w:tab w:val="num" w:pos="0"/>
        </w:tabs>
        <w:spacing w:line="360" w:lineRule="auto"/>
      </w:pPr>
      <w:r>
        <w:lastRenderedPageBreak/>
        <w:tab/>
      </w:r>
      <w:r>
        <w:tab/>
        <w:t>Notably, the request for this modification comes from RESA and not from PPLICA, which has merely stated its non-opposition as long as RESA changes its modification to remove the nonbypassable uncollectible charge from this rate class’s POR and the agreement that EGSs will bear the incremental costs of implementation and administration through application of an appropriate discount rate.  In other words, large industrials will not oppose the POR as long as it does not cost them anything.</w:t>
      </w:r>
      <w:r w:rsidRPr="00C24ACC">
        <w:rPr>
          <w:rStyle w:val="FootnoteReference"/>
          <w:vertAlign w:val="superscript"/>
        </w:rPr>
        <w:footnoteReference w:id="25"/>
      </w:r>
      <w:r>
        <w:t xml:space="preserve">  The large industrials are not unhappy with PPL Electric’s present method of billing them, whether or not they are shopping customers.  RESA has not sustained its burden of proving that the proposed modification to the POR program for the Large C&amp;I customer class should be required of PPL Electric.  </w:t>
      </w:r>
    </w:p>
    <w:p w:rsidR="000E7AB9" w:rsidRDefault="000E7AB9" w:rsidP="001D54B2">
      <w:pPr>
        <w:pStyle w:val="Pleading2L3"/>
        <w:numPr>
          <w:ilvl w:val="0"/>
          <w:numId w:val="0"/>
        </w:numPr>
        <w:tabs>
          <w:tab w:val="num" w:pos="0"/>
        </w:tabs>
        <w:spacing w:line="240" w:lineRule="auto"/>
      </w:pPr>
      <w:r>
        <w:tab/>
      </w:r>
      <w:r>
        <w:tab/>
      </w:r>
    </w:p>
    <w:p w:rsidR="000E7AB9" w:rsidRPr="001C7919" w:rsidRDefault="000E7AB9" w:rsidP="000E7AB9">
      <w:pPr>
        <w:pStyle w:val="Pleading2L3"/>
        <w:numPr>
          <w:ilvl w:val="0"/>
          <w:numId w:val="0"/>
        </w:numPr>
        <w:tabs>
          <w:tab w:val="num" w:pos="0"/>
        </w:tabs>
        <w:rPr>
          <w:b/>
        </w:rPr>
      </w:pPr>
      <w:r>
        <w:rPr>
          <w:b/>
        </w:rPr>
        <w:t xml:space="preserve">Disposition </w:t>
      </w:r>
    </w:p>
    <w:p w:rsidR="000E7AB9" w:rsidRDefault="000E7AB9" w:rsidP="000E7AB9">
      <w:pPr>
        <w:pStyle w:val="Pleading2L3"/>
        <w:numPr>
          <w:ilvl w:val="0"/>
          <w:numId w:val="0"/>
        </w:numPr>
        <w:tabs>
          <w:tab w:val="num" w:pos="0"/>
        </w:tabs>
        <w:spacing w:line="360" w:lineRule="auto"/>
        <w:contextualSpacing/>
      </w:pPr>
      <w:r>
        <w:t xml:space="preserve"> </w:t>
      </w:r>
      <w:r>
        <w:tab/>
      </w:r>
      <w:r>
        <w:tab/>
        <w:t>The utility has presented sufficient evidence to support its proposal, here</w:t>
      </w:r>
      <w:r w:rsidR="001763BD">
        <w:t>, that is</w:t>
      </w:r>
      <w:r>
        <w:t xml:space="preserve"> the continuance of its POR program with the same terms implemented after reaching a partial settlement and the Commission’s resolution of two issues reserved for litigation. The current POR program has only been in effect since January 1, 2010, and PPL Electric is still in the process of fully implementing the program.  It is fair to allow additional time for full implementation of the current POR program and subsequent evaluation of its effectiveness before directing any changes.  As OTS states:</w:t>
      </w:r>
    </w:p>
    <w:p w:rsidR="00842DA8" w:rsidRDefault="000E7AB9" w:rsidP="000E7AB9">
      <w:pPr>
        <w:pStyle w:val="Pleading2L3"/>
        <w:numPr>
          <w:ilvl w:val="0"/>
          <w:numId w:val="0"/>
        </w:numPr>
        <w:tabs>
          <w:tab w:val="num" w:pos="0"/>
        </w:tabs>
        <w:spacing w:line="240" w:lineRule="auto"/>
        <w:ind w:left="1440" w:right="1440"/>
        <w:contextualSpacing/>
      </w:pPr>
      <w:r>
        <w:tab/>
      </w:r>
    </w:p>
    <w:p w:rsidR="000E7AB9" w:rsidRDefault="000E7AB9" w:rsidP="00842DA8">
      <w:pPr>
        <w:pStyle w:val="Pleading2L3"/>
        <w:numPr>
          <w:ilvl w:val="0"/>
          <w:numId w:val="0"/>
        </w:numPr>
        <w:tabs>
          <w:tab w:val="num" w:pos="0"/>
        </w:tabs>
        <w:spacing w:line="240" w:lineRule="auto"/>
        <w:ind w:left="1440" w:right="1440" w:firstLine="720"/>
        <w:contextualSpacing/>
      </w:pPr>
      <w:r>
        <w:t>. . . PPL’s POR program has been operating since the Company was restructured more than 10 years ago.  Last year, the Commission initiated a number of changes in that program which PPL, with the active participation of its customers and EGSs, implemented.  That plan should be afforded an opportunity to operate without major changes impose by PPL, the EGSs operating on its system or its customers.  The plan has only been operating with those changes for a period of less than a year since the cap on generation expired.  The Company, the EGSs and, most of all, consumers would benefit from a period of plan stability.</w:t>
      </w:r>
    </w:p>
    <w:p w:rsidR="000E7AB9" w:rsidRDefault="000E7AB9" w:rsidP="000E7AB9">
      <w:pPr>
        <w:pStyle w:val="Pleading2L3"/>
        <w:numPr>
          <w:ilvl w:val="0"/>
          <w:numId w:val="0"/>
        </w:numPr>
        <w:tabs>
          <w:tab w:val="num" w:pos="0"/>
        </w:tabs>
        <w:spacing w:line="240" w:lineRule="auto"/>
        <w:ind w:left="1440" w:right="1440"/>
        <w:contextualSpacing/>
      </w:pPr>
      <w:r>
        <w:tab/>
        <w:t>The only change which would make sense, and the only change which PPL has requested is updating of the discount rates so that these rates accurately reflect current conditions.  This is consistent with traditional ratemaking principles and should be approved by the Commission.</w:t>
      </w:r>
    </w:p>
    <w:p w:rsidR="00842DA8" w:rsidRDefault="00842DA8" w:rsidP="00842DA8">
      <w:pPr>
        <w:pStyle w:val="Pleading2L3"/>
        <w:numPr>
          <w:ilvl w:val="0"/>
          <w:numId w:val="0"/>
        </w:numPr>
        <w:tabs>
          <w:tab w:val="num" w:pos="0"/>
        </w:tabs>
        <w:spacing w:line="240" w:lineRule="auto"/>
        <w:ind w:left="1440" w:right="1440" w:hanging="1440"/>
        <w:contextualSpacing/>
      </w:pPr>
    </w:p>
    <w:p w:rsidR="000E7AB9" w:rsidRDefault="000E7AB9" w:rsidP="00461141">
      <w:pPr>
        <w:pStyle w:val="Pleading2L3"/>
        <w:numPr>
          <w:ilvl w:val="0"/>
          <w:numId w:val="0"/>
        </w:numPr>
        <w:tabs>
          <w:tab w:val="num" w:pos="0"/>
        </w:tabs>
        <w:spacing w:line="360" w:lineRule="auto"/>
        <w:ind w:left="1440" w:right="1440" w:hanging="1440"/>
        <w:contextualSpacing/>
      </w:pPr>
      <w:r>
        <w:t>OTS Main Brief at 12.</w:t>
      </w:r>
    </w:p>
    <w:p w:rsidR="000E7AB9" w:rsidRDefault="000E7AB9" w:rsidP="000E7AB9">
      <w:pPr>
        <w:pStyle w:val="Pleading2L3"/>
        <w:numPr>
          <w:ilvl w:val="0"/>
          <w:numId w:val="0"/>
        </w:numPr>
        <w:tabs>
          <w:tab w:val="num" w:pos="0"/>
        </w:tabs>
        <w:spacing w:line="360" w:lineRule="auto"/>
      </w:pPr>
      <w:r>
        <w:lastRenderedPageBreak/>
        <w:tab/>
      </w:r>
      <w:r>
        <w:tab/>
        <w:t>Accordingly, the modifications proposed by PPL Electric are approved and the modifications recommended by RESA are denied.</w:t>
      </w:r>
    </w:p>
    <w:p w:rsidR="000E7AB9" w:rsidRDefault="000E7AB9" w:rsidP="00F379FC">
      <w:pPr>
        <w:pStyle w:val="Pleading2L3"/>
        <w:numPr>
          <w:ilvl w:val="0"/>
          <w:numId w:val="0"/>
        </w:numPr>
        <w:tabs>
          <w:tab w:val="num" w:pos="0"/>
        </w:tabs>
        <w:spacing w:line="360" w:lineRule="auto"/>
      </w:pPr>
    </w:p>
    <w:p w:rsidR="00F53E26" w:rsidRDefault="000E7AB9" w:rsidP="00F53E26">
      <w:pPr>
        <w:pStyle w:val="Pleading2L3"/>
        <w:numPr>
          <w:ilvl w:val="0"/>
          <w:numId w:val="0"/>
        </w:numPr>
        <w:tabs>
          <w:tab w:val="num" w:pos="0"/>
        </w:tabs>
        <w:spacing w:line="360" w:lineRule="auto"/>
        <w:rPr>
          <w:b/>
        </w:rPr>
      </w:pPr>
      <w:r w:rsidRPr="00495C08">
        <w:rPr>
          <w:b/>
        </w:rPr>
        <w:t>6.</w:t>
      </w:r>
      <w:r w:rsidRPr="00495C08">
        <w:rPr>
          <w:b/>
        </w:rPr>
        <w:tab/>
        <w:t>PPLICA’s rate design proposa</w:t>
      </w:r>
      <w:r w:rsidR="00F53E26">
        <w:rPr>
          <w:b/>
        </w:rPr>
        <w:t>l to modify Rate Schedule LP-4</w:t>
      </w:r>
    </w:p>
    <w:p w:rsidR="000E7AB9" w:rsidRPr="00495C08" w:rsidRDefault="000E7AB9" w:rsidP="00F53E26">
      <w:pPr>
        <w:pStyle w:val="Pleading2L3"/>
        <w:numPr>
          <w:ilvl w:val="0"/>
          <w:numId w:val="0"/>
        </w:numPr>
        <w:tabs>
          <w:tab w:val="num" w:pos="0"/>
        </w:tabs>
        <w:spacing w:line="360" w:lineRule="auto"/>
        <w:rPr>
          <w:b/>
        </w:rPr>
      </w:pPr>
    </w:p>
    <w:p w:rsidR="000E7AB9" w:rsidRDefault="000E7AB9" w:rsidP="000E7AB9">
      <w:pPr>
        <w:tabs>
          <w:tab w:val="left" w:pos="-720"/>
        </w:tabs>
        <w:suppressAutoHyphens/>
        <w:ind w:firstLine="1440"/>
        <w:jc w:val="left"/>
        <w:rPr>
          <w:spacing w:val="-3"/>
        </w:rPr>
      </w:pPr>
      <w:r>
        <w:rPr>
          <w:spacing w:val="-3"/>
        </w:rPr>
        <w:t>By presenting the circumstances of a large industrial customer, Donsco (currently served under Rate Schedule LP-4), PPLICA advocates the creation of a negotiated contract-based tariff schedule under Section 2806(h) of the Public Utility Code, 66 Pa. C.S. § 2806(h), as well as the negotiation of a rate for distribution service that is more commensurate with the rates charged to other foundries in the PPL territory that are served on Rate Schedules LP-5 or LP-6 and the distribution rates that Donsco had been paying under PPL’s Time-of-Day option.  PPLICA Main Brief at 12.</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sidRPr="00F53E26">
        <w:rPr>
          <w:spacing w:val="-3"/>
        </w:rPr>
        <w:t>By way of background, PPLICA presented the testimony of Christopher Buck, plant manager for the Wrightsville foundry owned by Donsco.  Donsco</w:t>
      </w:r>
      <w:r>
        <w:rPr>
          <w:spacing w:val="-3"/>
        </w:rPr>
        <w:t xml:space="preserve"> operates two foundries in PPL Electric’s service territory, one in Wrightsville and the other in Mount Joy, and both purchase distribution service from PPL Electric on Rate Schedule LP-4, as well as generation supply service from PPL EnergyPlus, a licensed EGS.  PPLICA Stmt. 1 at 2.  </w:t>
      </w:r>
    </w:p>
    <w:p w:rsidR="000E7AB9" w:rsidRDefault="000E7AB9" w:rsidP="000E7AB9">
      <w:pPr>
        <w:tabs>
          <w:tab w:val="left" w:pos="-720"/>
        </w:tabs>
        <w:suppressAutoHyphens/>
        <w:ind w:firstLine="1440"/>
        <w:jc w:val="left"/>
        <w:rPr>
          <w:spacing w:val="-3"/>
        </w:rPr>
      </w:pPr>
    </w:p>
    <w:p w:rsidR="000E7AB9" w:rsidRDefault="000E7AB9" w:rsidP="00E60866">
      <w:pPr>
        <w:tabs>
          <w:tab w:val="left" w:pos="-720"/>
        </w:tabs>
        <w:suppressAutoHyphens/>
        <w:ind w:firstLine="1440"/>
        <w:jc w:val="left"/>
        <w:rPr>
          <w:spacing w:val="-3"/>
        </w:rPr>
      </w:pPr>
      <w:r>
        <w:rPr>
          <w:spacing w:val="-3"/>
        </w:rPr>
        <w:t>At the Wrightsville facility, Donsco uses approximately 27 million kWh of electricity annually, operating only a “third shift,” resulting in usage peak between 8:00 pm and 6:00 am.  Until January 1, 2010, Donsco participated in (1) PPL Electric’s Time-of-Day billing program for Rate Schedule LP-4, which provided incentive to ensure that the peak occurred outside of the time that the PJM Interconnection, LLC (PJM) system tends to peak; and (2) the Economic Development Initiative (EDI) program.  PPLICA Stmt. 1 at 2-3</w:t>
      </w:r>
    </w:p>
    <w:p w:rsidR="000E7AB9" w:rsidRDefault="000E7AB9" w:rsidP="0009459A">
      <w:pPr>
        <w:tabs>
          <w:tab w:val="left" w:pos="-720"/>
        </w:tabs>
        <w:suppressAutoHyphens/>
        <w:ind w:firstLine="1440"/>
        <w:jc w:val="left"/>
        <w:rPr>
          <w:spacing w:val="-3"/>
        </w:rPr>
      </w:pPr>
    </w:p>
    <w:p w:rsidR="000E7AB9" w:rsidRDefault="000E7AB9" w:rsidP="0009459A">
      <w:pPr>
        <w:tabs>
          <w:tab w:val="left" w:pos="-720"/>
        </w:tabs>
        <w:suppressAutoHyphens/>
        <w:ind w:firstLine="1440"/>
        <w:jc w:val="left"/>
        <w:rPr>
          <w:spacing w:val="-3"/>
        </w:rPr>
      </w:pPr>
      <w:r>
        <w:rPr>
          <w:spacing w:val="-3"/>
        </w:rPr>
        <w:t>At the Mount Joy facility, Donsco uses approximately 20 million kWh of electricity annually operating two shifts, meaning that the furnaces operate around 20 hours per day.  Usage peak is approximately 5 MW.  Mount Joy participated in PPL Electric’s Price Response Service (PRS) option prior to January 1, 2010.  PPLICA Stmt. 1 at 3.</w:t>
      </w:r>
    </w:p>
    <w:p w:rsidR="000E7AB9" w:rsidRDefault="000E7AB9" w:rsidP="0009459A">
      <w:pPr>
        <w:tabs>
          <w:tab w:val="left" w:pos="-720"/>
        </w:tabs>
        <w:suppressAutoHyphens/>
        <w:ind w:firstLine="1440"/>
        <w:jc w:val="left"/>
        <w:rPr>
          <w:spacing w:val="-3"/>
        </w:rPr>
      </w:pPr>
    </w:p>
    <w:p w:rsidR="000E7AB9" w:rsidRDefault="000E7AB9" w:rsidP="0009459A">
      <w:pPr>
        <w:tabs>
          <w:tab w:val="left" w:pos="-720"/>
        </w:tabs>
        <w:suppressAutoHyphens/>
        <w:ind w:firstLine="1440"/>
        <w:jc w:val="left"/>
        <w:rPr>
          <w:spacing w:val="-3"/>
        </w:rPr>
      </w:pPr>
      <w:r>
        <w:rPr>
          <w:spacing w:val="-3"/>
        </w:rPr>
        <w:lastRenderedPageBreak/>
        <w:t>The original Wrightsville facility, built in 1906 to produce iron for hardware locks, pulleys and hinges, used a homemade cupola furnace with steam to melt.  In 1971, Donsco began a five-year process to build a new foundry, including a holding furnace, a new cupola and a scrubber system.  In 2000, pursuant to pressure from DEP, the cupola was removed and the process converted to electric melting operations.  PPLICA Stmt. 1 at 3-4.</w:t>
      </w:r>
    </w:p>
    <w:p w:rsidR="000E7AB9" w:rsidRDefault="000E7AB9" w:rsidP="0009459A">
      <w:pPr>
        <w:tabs>
          <w:tab w:val="left" w:pos="-720"/>
        </w:tabs>
        <w:suppressAutoHyphens/>
        <w:ind w:firstLine="1440"/>
        <w:jc w:val="left"/>
        <w:rPr>
          <w:spacing w:val="-3"/>
        </w:rPr>
      </w:pPr>
    </w:p>
    <w:p w:rsidR="000E7AB9" w:rsidRDefault="000E7AB9" w:rsidP="0009459A">
      <w:pPr>
        <w:tabs>
          <w:tab w:val="left" w:pos="-720"/>
        </w:tabs>
        <w:suppressAutoHyphens/>
        <w:ind w:firstLine="1440"/>
        <w:jc w:val="left"/>
        <w:rPr>
          <w:spacing w:val="-3"/>
        </w:rPr>
      </w:pPr>
      <w:r>
        <w:rPr>
          <w:spacing w:val="-3"/>
        </w:rPr>
        <w:t>The Time-of-Day option motivated Donsco to ensure that its peaks occurred during the PJM off-peak period, and in Wrightsville, Donsco moved its entire operation to third shift to permit this.  The action resulted in the loss of employees who could not make the transition to night shift.  PPLICA Stmt. 1 at 6.  Exhibit CAB-1 shows monthly usage, distribution charges, billing demand and peak demand for Wrightsville for the prior 27 months.  Exhibit CAB-2 shows what those costs would have been at the tariff rate.  PPLICA Stmt. 1 at 6.</w:t>
      </w:r>
    </w:p>
    <w:p w:rsidR="000E7AB9" w:rsidRDefault="000E7AB9" w:rsidP="0009459A">
      <w:pPr>
        <w:tabs>
          <w:tab w:val="left" w:pos="-720"/>
        </w:tabs>
        <w:suppressAutoHyphens/>
        <w:ind w:firstLine="1440"/>
        <w:jc w:val="left"/>
        <w:rPr>
          <w:spacing w:val="-3"/>
        </w:rPr>
      </w:pPr>
    </w:p>
    <w:p w:rsidR="000E7AB9" w:rsidRDefault="000E7AB9" w:rsidP="0009459A">
      <w:pPr>
        <w:tabs>
          <w:tab w:val="left" w:pos="-720"/>
        </w:tabs>
        <w:suppressAutoHyphens/>
        <w:ind w:firstLine="1440"/>
        <w:jc w:val="left"/>
        <w:rPr>
          <w:spacing w:val="-3"/>
        </w:rPr>
      </w:pPr>
      <w:r>
        <w:rPr>
          <w:spacing w:val="-3"/>
        </w:rPr>
        <w:t>Donsco’s Wrightsville facility’s distribution rates increased from approximately $2,500 per month prior to January 1, 2010 to $20,000 to $35,000 per month.  PPLICA Stmt. 1 at 7.</w:t>
      </w:r>
    </w:p>
    <w:p w:rsidR="000E7AB9" w:rsidRDefault="000E7AB9" w:rsidP="0009459A">
      <w:pPr>
        <w:tabs>
          <w:tab w:val="left" w:pos="-720"/>
        </w:tabs>
        <w:suppressAutoHyphens/>
        <w:ind w:firstLine="1440"/>
        <w:jc w:val="left"/>
        <w:rPr>
          <w:spacing w:val="-3"/>
        </w:rPr>
      </w:pPr>
    </w:p>
    <w:p w:rsidR="000E7AB9" w:rsidRDefault="000E7AB9" w:rsidP="0009459A">
      <w:pPr>
        <w:tabs>
          <w:tab w:val="left" w:pos="-720"/>
        </w:tabs>
        <w:suppressAutoHyphens/>
        <w:ind w:firstLine="1440"/>
        <w:jc w:val="left"/>
        <w:rPr>
          <w:spacing w:val="-3"/>
        </w:rPr>
      </w:pPr>
      <w:r>
        <w:rPr>
          <w:spacing w:val="-3"/>
        </w:rPr>
        <w:t>Donsco attempted to convince PPL Electric to serve it on Rate Schedule LP-5,</w:t>
      </w:r>
      <w:r w:rsidRPr="00E60866">
        <w:rPr>
          <w:rStyle w:val="FootnoteReference"/>
          <w:spacing w:val="-3"/>
          <w:vertAlign w:val="superscript"/>
        </w:rPr>
        <w:footnoteReference w:id="26"/>
      </w:r>
      <w:r>
        <w:rPr>
          <w:spacing w:val="-3"/>
        </w:rPr>
        <w:t xml:space="preserve"> which would reduce its distribution costs significantly.  Testimony shows that alternatives were explored when the Wrightsville facility was converted to electric melting but the options presented were either not cost effective or were environmentally prohibitive.  PPLICA Stmt. 1 at 9-11.  PPL Electric did extend two 12,470 volt lines across the river from the North Columbia 69/12 KV substation which are dedicated to the Donsco facility.  Donsco guaranteed a total payment of $914,000 for distribution service during the five-year period following this extension and due to renegotiation, paid approximately $548,000 towards the extension, which was short of the full amount.  PPLICA Stmt. 1 at 9-10.</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lastRenderedPageBreak/>
        <w:t xml:space="preserve">Donsco believes that it is a unique customer for the following reasons:  it is much larger than the average LP-4 or LP-5 customer and its demands are 5 MW and 16 MW in a class where the average monthly demand is approximately 1 MW;  the facility is in close proximity to a 69 kV facility (within 2 miles); it can document environmental, economic or other impediments to converting to 69 kV service (the Susquehanna River); the reduced distribution costs will assist in the retention of jobs and possibly the creation of new jobs; and its Wrightsville facility provided a guarantee for the construction of the dedicated facilities to serve the account.  PPLICA Stmt. 1 at 12-14.  </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 xml:space="preserve">PPLICA’s second witness, Richard A. Baudino, is a consultant who notes that the PPL Electric Economic Development Rider, Intangible Transition Charge, Remand Riders 1 and 2, Interruptible Service by Agreement, and Competitive Rate Rider were all removed from Tariff 20, in addition to the expiration of the Time-of-Day demand measurement for commercial and industrial customers on January 1, 2010.  The impact on Donsco was to increase its monthly distribution charges from $4,956 to $23,121, an increase of 366%.  PPLICA Stmt. 2 at 2-3.  </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PPLICA’s recommendation is to create a new LP-4 Special Industrial tariff  (LP-4 SI), which would be part of the existing LP-4 tariff, open to large general service customers whose maximum billing demands are 4 MW or greater, who are specially situated on PPL’s system and who could otherwise qualify for the LP-5 rate.</w:t>
      </w:r>
      <w:r>
        <w:rPr>
          <w:spacing w:val="-3"/>
        </w:rPr>
        <w:tab/>
        <w:t xml:space="preserve"> PPLICA Stmt. 2 at 6.  </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PPLICA argues that the Commission is authorized to approve a negotiated contract-based tariff under Section 2806(h) of the Public Utility Code:</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spacing w:line="240" w:lineRule="auto"/>
        <w:ind w:left="1440" w:right="1440"/>
        <w:contextualSpacing/>
        <w:jc w:val="left"/>
        <w:rPr>
          <w:spacing w:val="-3"/>
        </w:rPr>
      </w:pPr>
      <w:r>
        <w:rPr>
          <w:b/>
          <w:spacing w:val="-3"/>
        </w:rPr>
        <w:t>(h) Flexible pricing.—</w:t>
      </w:r>
      <w:r>
        <w:rPr>
          <w:spacing w:val="-3"/>
        </w:rPr>
        <w:t>In addition to the implicit authority of the commission under section 502 (relating to general powers), the commission has the authority to approve flexible pricing and flexible rates, including negotiated, contract-based tariffs designed to meet the specific needs of a utility customer and to address competitive alternatives.</w:t>
      </w:r>
    </w:p>
    <w:p w:rsidR="00A46B3A" w:rsidRDefault="00A46B3A" w:rsidP="00A46B3A">
      <w:pPr>
        <w:tabs>
          <w:tab w:val="left" w:pos="-720"/>
        </w:tabs>
        <w:suppressAutoHyphens/>
        <w:spacing w:line="240" w:lineRule="auto"/>
        <w:ind w:left="1440" w:right="1440" w:hanging="1440"/>
        <w:contextualSpacing/>
        <w:jc w:val="left"/>
        <w:rPr>
          <w:spacing w:val="-3"/>
        </w:rPr>
      </w:pPr>
    </w:p>
    <w:p w:rsidR="000E7AB9" w:rsidRPr="005C3AD4" w:rsidRDefault="000E7AB9" w:rsidP="00A46B3A">
      <w:pPr>
        <w:tabs>
          <w:tab w:val="left" w:pos="-720"/>
        </w:tabs>
        <w:suppressAutoHyphens/>
        <w:spacing w:line="240" w:lineRule="auto"/>
        <w:ind w:left="1440" w:right="1440" w:hanging="1440"/>
        <w:contextualSpacing/>
        <w:jc w:val="left"/>
        <w:rPr>
          <w:spacing w:val="-3"/>
        </w:rPr>
      </w:pPr>
      <w:r>
        <w:rPr>
          <w:spacing w:val="-3"/>
        </w:rPr>
        <w:t>66 Pa. C.S. § 2806(h).</w:t>
      </w:r>
    </w:p>
    <w:p w:rsidR="00A46B3A" w:rsidRDefault="00A46B3A" w:rsidP="000E7AB9">
      <w:pPr>
        <w:tabs>
          <w:tab w:val="left" w:pos="-720"/>
        </w:tabs>
        <w:suppressAutoHyphens/>
        <w:ind w:firstLine="1440"/>
        <w:jc w:val="left"/>
        <w:rPr>
          <w:spacing w:val="-3"/>
        </w:rPr>
        <w:sectPr w:rsidR="00A46B3A" w:rsidSect="00C71E16">
          <w:pgSz w:w="12240" w:h="15840" w:code="1"/>
          <w:pgMar w:top="1296" w:right="1440" w:bottom="1296" w:left="1440" w:header="720" w:footer="720" w:gutter="0"/>
          <w:cols w:space="720"/>
          <w:titlePg/>
          <w:docGrid w:linePitch="360"/>
        </w:sectPr>
      </w:pPr>
    </w:p>
    <w:p w:rsidR="000E7AB9" w:rsidRDefault="000E7AB9" w:rsidP="000E7AB9">
      <w:pPr>
        <w:tabs>
          <w:tab w:val="left" w:pos="-720"/>
        </w:tabs>
        <w:suppressAutoHyphens/>
        <w:jc w:val="left"/>
        <w:rPr>
          <w:spacing w:val="-3"/>
        </w:rPr>
      </w:pPr>
      <w:r>
        <w:rPr>
          <w:spacing w:val="-3"/>
        </w:rPr>
        <w:lastRenderedPageBreak/>
        <w:tab/>
      </w:r>
      <w:r>
        <w:rPr>
          <w:spacing w:val="-3"/>
        </w:rPr>
        <w:tab/>
        <w:t xml:space="preserve">Under the LP-4 rates, the majority of the distribution costs are allocated through demand charges, which places a higher portion of the rate burden on higher demand customers, including Donsco.  Under the proposed rates, Donsco’s two accounts would pay approximately 2% of the LP-4 revenue requirement although they are 0.2% of the customers in the class.  PPLICA Stmt. 1 at 13.  </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 xml:space="preserve">PPL Electric opposes the PPLICA proposal.  The Company points out that PPLICA is not opposing the rate proposed in this case but is, instead, seeking relief from the expiration of the time-of-day option and other generation-related discounts which expired December 31, 2009, along with the generation rate caps.  The expiration became effective pursuant to PPL Electric’s restructuring proceeding, </w:t>
      </w:r>
      <w:r>
        <w:rPr>
          <w:i/>
          <w:spacing w:val="-3"/>
        </w:rPr>
        <w:t xml:space="preserve">Application of Pennsylvania Power &amp; Light Company for approval of Restructuring Plan under Section 2806 of the Public Utility Code, </w:t>
      </w:r>
      <w:r>
        <w:rPr>
          <w:spacing w:val="-3"/>
        </w:rPr>
        <w:t>Docket No. R-0093954 (August 27, 1998).   The Company explains:</w:t>
      </w:r>
    </w:p>
    <w:p w:rsidR="00A46B3A" w:rsidRDefault="00A46B3A" w:rsidP="000E7AB9">
      <w:pPr>
        <w:tabs>
          <w:tab w:val="left" w:pos="-720"/>
        </w:tabs>
        <w:suppressAutoHyphens/>
        <w:ind w:firstLine="1440"/>
        <w:jc w:val="left"/>
        <w:rPr>
          <w:spacing w:val="-3"/>
        </w:rPr>
      </w:pPr>
    </w:p>
    <w:p w:rsidR="000E7AB9" w:rsidRDefault="000E7AB9" w:rsidP="00607A12">
      <w:pPr>
        <w:pStyle w:val="BodyText2"/>
        <w:spacing w:after="0" w:line="240" w:lineRule="auto"/>
        <w:ind w:left="1440" w:right="1440"/>
        <w:contextualSpacing/>
        <w:jc w:val="left"/>
      </w:pPr>
      <w:r>
        <w:t xml:space="preserve">These tariff provisions, although they were contained in PPL Electric’s distribution rates, clearly pertained to generation.  The TOD option recognized that generation costs are lower during off-peak hours, and the EDI rider was intended to promote economic development which would make greater use of generation assets.  PPL Electric Ex. OGK-1A, pp. 19, 27A.  These rates were legacy rates that made sense when PPL Electric was a vertically integrated electric public utility that owned and operated substantial generation facilities.  Pursuant to PPL Electric’s Commission-approved tariff, these generation related discounts in distribution rates expired on December 31, 2009.  Since restructuring of the electric industry and since PPL Electric divested its generation facilities, it no longer makes sense for PPL Electric, an electric distribution company, to make rates offerings related to generation costs.  PPL Electric St. 8-R, p. 7.  Any savings related to costs of generation now should be attained through prices offered by electric generation suppliers.  </w:t>
      </w:r>
    </w:p>
    <w:p w:rsidR="00607A12" w:rsidRDefault="000E7AB9" w:rsidP="00607A12">
      <w:pPr>
        <w:pStyle w:val="BodyText2"/>
        <w:spacing w:after="0" w:line="240" w:lineRule="auto"/>
        <w:ind w:left="1440" w:right="1440"/>
        <w:contextualSpacing/>
        <w:jc w:val="left"/>
      </w:pPr>
      <w:r>
        <w:t xml:space="preserve">Indeed, this logic underlies the unbundling of electric rates into separate distribution, transmission and generation components under Section 2804(3) of the Electricity Generation Customer Choice and Competition Act, 66 Pa.C.S. § 2804(3).  The essence of unbundling is that charges for generation services, charges for distribution services and charges for transmission services should each stand on their own and not subsidize each other.  For these reasons, discounts in PPL Electric’s distribution rates related to </w:t>
      </w:r>
      <w:r>
        <w:lastRenderedPageBreak/>
        <w:t xml:space="preserve">generation costs pursuant to PPL Electric’s Commission-approved tariff, expired with the generation rate caps on December 31, 2009. </w:t>
      </w:r>
    </w:p>
    <w:p w:rsidR="000E7AB9" w:rsidRDefault="000E7AB9" w:rsidP="00607A12">
      <w:pPr>
        <w:pStyle w:val="BodyText2"/>
        <w:spacing w:after="0" w:line="240" w:lineRule="auto"/>
        <w:ind w:left="1440" w:right="1440"/>
        <w:contextualSpacing/>
        <w:jc w:val="left"/>
      </w:pPr>
      <w:r>
        <w:t xml:space="preserve">  </w:t>
      </w:r>
    </w:p>
    <w:p w:rsidR="000E7AB9" w:rsidRDefault="000E7AB9" w:rsidP="00607A12">
      <w:pPr>
        <w:tabs>
          <w:tab w:val="left" w:pos="-720"/>
        </w:tabs>
        <w:suppressAutoHyphens/>
        <w:jc w:val="left"/>
        <w:rPr>
          <w:spacing w:val="-3"/>
        </w:rPr>
      </w:pPr>
      <w:r>
        <w:rPr>
          <w:spacing w:val="-3"/>
        </w:rPr>
        <w:t>PPL Electric Initial Brief at 45.</w:t>
      </w:r>
    </w:p>
    <w:p w:rsidR="000E7AB9" w:rsidRDefault="000E7AB9" w:rsidP="00607A12">
      <w:pPr>
        <w:tabs>
          <w:tab w:val="left" w:pos="-720"/>
        </w:tabs>
        <w:suppressAutoHyphens/>
        <w:spacing w:line="276" w:lineRule="auto"/>
        <w:ind w:firstLine="1440"/>
        <w:jc w:val="left"/>
        <w:rPr>
          <w:spacing w:val="-3"/>
        </w:rPr>
      </w:pPr>
    </w:p>
    <w:p w:rsidR="000E7AB9" w:rsidRDefault="000E7AB9" w:rsidP="000E7AB9">
      <w:pPr>
        <w:tabs>
          <w:tab w:val="left" w:pos="-720"/>
        </w:tabs>
        <w:suppressAutoHyphens/>
        <w:ind w:firstLine="1440"/>
        <w:jc w:val="left"/>
        <w:rPr>
          <w:spacing w:val="-3"/>
        </w:rPr>
      </w:pPr>
      <w:r>
        <w:rPr>
          <w:spacing w:val="-3"/>
        </w:rPr>
        <w:t xml:space="preserve">The Company disputes Donsco’s claim of special circumstances.  PPL Electric serves approximately 20 customers under Rate Schedule LP-4 with demands of 4 MW or greater;  the claim that conversion to 69 kV service is not economically or environmentally feasible is the same for larger LP-4 customers; it is not unusual for LP-4 customers to be within 2 miles of 69 kV facilities; line extension agreements do not necessarily pay for the cost of the facilities.  PPL Electric Initial Brief at 54-55.  </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 xml:space="preserve">Neither has PPLICA provided cost justification for the rate, nor the level of costs that should be recovered through a rate for Donsco.  There is no basis for determining revenue from a discounted rate to develop rates for other customers.  PPL Electric Initial Brief at 55-56.  </w:t>
      </w:r>
    </w:p>
    <w:p w:rsidR="000E7AB9" w:rsidRDefault="000E7AB9" w:rsidP="000E7AB9">
      <w:pPr>
        <w:tabs>
          <w:tab w:val="left" w:pos="-720"/>
        </w:tabs>
        <w:suppressAutoHyphens/>
        <w:ind w:firstLine="1440"/>
        <w:jc w:val="left"/>
        <w:rPr>
          <w:spacing w:val="-3"/>
        </w:rPr>
      </w:pPr>
    </w:p>
    <w:p w:rsidR="000E7AB9" w:rsidRPr="00816950" w:rsidRDefault="000E7AB9" w:rsidP="000E7AB9">
      <w:pPr>
        <w:tabs>
          <w:tab w:val="left" w:pos="-720"/>
        </w:tabs>
        <w:suppressAutoHyphens/>
        <w:ind w:firstLine="1440"/>
        <w:jc w:val="left"/>
        <w:rPr>
          <w:spacing w:val="-3"/>
        </w:rPr>
      </w:pPr>
      <w:r>
        <w:rPr>
          <w:spacing w:val="-3"/>
        </w:rPr>
        <w:t xml:space="preserve"> Under case law precedent, it is clear that the argument that a customer is unique and therefore deserving of a special rate is not persuasive and has been rejected repeatedly in the past.  </w:t>
      </w:r>
    </w:p>
    <w:p w:rsidR="000E7AB9" w:rsidRDefault="000E7AB9" w:rsidP="00607A12">
      <w:pPr>
        <w:tabs>
          <w:tab w:val="left" w:pos="-720"/>
        </w:tabs>
        <w:suppressAutoHyphens/>
        <w:spacing w:line="240" w:lineRule="auto"/>
        <w:ind w:firstLine="1440"/>
        <w:jc w:val="left"/>
        <w:rPr>
          <w:spacing w:val="-3"/>
        </w:rPr>
      </w:pPr>
    </w:p>
    <w:p w:rsidR="000E7AB9" w:rsidRPr="00F06F42" w:rsidRDefault="000E7AB9" w:rsidP="00683E8B">
      <w:pPr>
        <w:tabs>
          <w:tab w:val="left" w:pos="-720"/>
        </w:tabs>
        <w:suppressAutoHyphens/>
        <w:jc w:val="left"/>
        <w:rPr>
          <w:b/>
          <w:spacing w:val="-3"/>
        </w:rPr>
      </w:pPr>
      <w:r>
        <w:rPr>
          <w:b/>
          <w:spacing w:val="-3"/>
        </w:rPr>
        <w:t>Disposition</w:t>
      </w:r>
    </w:p>
    <w:p w:rsidR="000E7AB9" w:rsidRDefault="000E7AB9" w:rsidP="000E7AB9">
      <w:pPr>
        <w:tabs>
          <w:tab w:val="left" w:pos="-720"/>
        </w:tabs>
        <w:suppressAutoHyphens/>
        <w:ind w:firstLine="1440"/>
        <w:jc w:val="left"/>
        <w:rPr>
          <w:spacing w:val="-3"/>
        </w:rPr>
      </w:pPr>
      <w:r>
        <w:rPr>
          <w:spacing w:val="-3"/>
        </w:rPr>
        <w:t>As Donsco testified, it has been hit quite hard by the expiration of the rate schedules which provi</w:t>
      </w:r>
      <w:r w:rsidR="00A46B3A">
        <w:rPr>
          <w:spacing w:val="-3"/>
        </w:rPr>
        <w:t>ded discounts as well as by its:</w:t>
      </w:r>
    </w:p>
    <w:p w:rsidR="00A46B3A" w:rsidRDefault="00A46B3A" w:rsidP="00607A12">
      <w:pPr>
        <w:tabs>
          <w:tab w:val="left" w:pos="-720"/>
        </w:tabs>
        <w:suppressAutoHyphens/>
        <w:spacing w:line="240" w:lineRule="auto"/>
        <w:ind w:firstLine="1440"/>
        <w:jc w:val="left"/>
        <w:rPr>
          <w:spacing w:val="-3"/>
        </w:rPr>
      </w:pPr>
    </w:p>
    <w:p w:rsidR="000E7AB9" w:rsidRDefault="000E7AB9" w:rsidP="00683E8B">
      <w:pPr>
        <w:tabs>
          <w:tab w:val="left" w:pos="-720"/>
        </w:tabs>
        <w:suppressAutoHyphens/>
        <w:spacing w:line="240" w:lineRule="auto"/>
        <w:ind w:left="1440" w:right="1440"/>
        <w:jc w:val="left"/>
        <w:rPr>
          <w:spacing w:val="-3"/>
        </w:rPr>
      </w:pPr>
      <w:r>
        <w:rPr>
          <w:spacing w:val="-3"/>
        </w:rPr>
        <w:t xml:space="preserve">. . . “[t]rying to be a good corporate citizen and trying to be responsive to Pennsylvania’s policy goals.  First, we converted from a cupola to electric melting at the behest of the DEP to reduce our emissions.  Second, we agreed to a more environmentally-friendly plan for service at Wrightsville in 2000 by originally agreeing to take service as 12,470 volts, rather than 69 KV.  Third, we would like to continue supporting an environmentally economically conscious approach to this situation by not pursuing the 69 KV line over (or under) the Susquehanna River.  Finally, we spent the last ten years benefitting the electric grid and reliability by keeping the majority of our usage at Wrightsville off-peak.  When the Time-of-Day option was eliminated, this resulted in approximately a 900% increase to our distribution costs. </w:t>
      </w:r>
    </w:p>
    <w:p w:rsidR="00607A12" w:rsidRDefault="00607A12" w:rsidP="00607A12">
      <w:pPr>
        <w:tabs>
          <w:tab w:val="left" w:pos="-720"/>
        </w:tabs>
        <w:suppressAutoHyphens/>
        <w:spacing w:line="240" w:lineRule="auto"/>
        <w:ind w:left="1440" w:right="1440" w:hanging="1440"/>
        <w:jc w:val="left"/>
        <w:rPr>
          <w:spacing w:val="-3"/>
        </w:rPr>
      </w:pPr>
    </w:p>
    <w:p w:rsidR="000E7AB9" w:rsidRDefault="000E7AB9" w:rsidP="00607A12">
      <w:pPr>
        <w:tabs>
          <w:tab w:val="left" w:pos="-720"/>
        </w:tabs>
        <w:suppressAutoHyphens/>
        <w:spacing w:line="240" w:lineRule="auto"/>
        <w:ind w:left="1440" w:right="1440" w:hanging="1440"/>
        <w:jc w:val="left"/>
        <w:rPr>
          <w:spacing w:val="-3"/>
        </w:rPr>
      </w:pPr>
      <w:r>
        <w:rPr>
          <w:spacing w:val="-3"/>
        </w:rPr>
        <w:t xml:space="preserve">PPLICA Stmt. 1 at 14-15. </w:t>
      </w:r>
    </w:p>
    <w:p w:rsidR="000E7AB9" w:rsidRDefault="000E7AB9" w:rsidP="000E7AB9">
      <w:pPr>
        <w:tabs>
          <w:tab w:val="left" w:pos="-720"/>
        </w:tabs>
        <w:suppressAutoHyphens/>
        <w:contextualSpacing/>
        <w:jc w:val="left"/>
        <w:rPr>
          <w:spacing w:val="-3"/>
        </w:rPr>
      </w:pPr>
      <w:r>
        <w:rPr>
          <w:spacing w:val="-3"/>
        </w:rPr>
        <w:lastRenderedPageBreak/>
        <w:tab/>
      </w:r>
      <w:r>
        <w:rPr>
          <w:spacing w:val="-3"/>
        </w:rPr>
        <w:tab/>
        <w:t xml:space="preserve">Because PPLICA is seeking relief from existing rates with its own rate proposal, PPLICA has the burden of proving entitlement to the special rate.  </w:t>
      </w:r>
    </w:p>
    <w:p w:rsidR="000E7AB9" w:rsidRDefault="000E7AB9" w:rsidP="000E7AB9">
      <w:pPr>
        <w:tabs>
          <w:tab w:val="left" w:pos="-720"/>
        </w:tabs>
        <w:suppressAutoHyphens/>
        <w:contextualSpacing/>
        <w:jc w:val="left"/>
        <w:rPr>
          <w:spacing w:val="-3"/>
        </w:rPr>
      </w:pPr>
      <w:r>
        <w:rPr>
          <w:spacing w:val="-3"/>
        </w:rPr>
        <w:tab/>
      </w:r>
    </w:p>
    <w:p w:rsidR="000E7AB9" w:rsidRDefault="000E7AB9" w:rsidP="000E7AB9">
      <w:pPr>
        <w:tabs>
          <w:tab w:val="left" w:pos="-720"/>
        </w:tabs>
        <w:suppressAutoHyphens/>
        <w:contextualSpacing/>
        <w:jc w:val="left"/>
        <w:rPr>
          <w:spacing w:val="-3"/>
        </w:rPr>
      </w:pPr>
      <w:r>
        <w:rPr>
          <w:spacing w:val="-3"/>
        </w:rPr>
        <w:tab/>
      </w:r>
      <w:r>
        <w:rPr>
          <w:spacing w:val="-3"/>
        </w:rPr>
        <w:tab/>
        <w:t xml:space="preserve">It is important to note that this is not a service complaint.  Both PPL Electric and PPLICA chronicle meetings between the Company and Donsco which occur over a period of some years in an attempt to find a better way to serve the foundry, and both admit that the alternatives are not practical for one reason or another.  </w:t>
      </w:r>
      <w:r>
        <w:rPr>
          <w:i/>
          <w:spacing w:val="-3"/>
        </w:rPr>
        <w:t xml:space="preserve">See </w:t>
      </w:r>
      <w:r>
        <w:rPr>
          <w:spacing w:val="-3"/>
        </w:rPr>
        <w:t xml:space="preserve">PPL Electric Initial Brief at 47-48; PPLICA Main Brief at 14-19.  </w:t>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contextualSpacing/>
        <w:jc w:val="left"/>
        <w:rPr>
          <w:spacing w:val="-3"/>
        </w:rPr>
      </w:pPr>
      <w:r>
        <w:rPr>
          <w:spacing w:val="-3"/>
        </w:rPr>
        <w:tab/>
      </w:r>
      <w:r>
        <w:rPr>
          <w:spacing w:val="-3"/>
        </w:rPr>
        <w:tab/>
        <w:t xml:space="preserve">While PPLICA takes issue with this statement, PPLICA Reply Brief at 13, it is careful to state that Donsco has questioned the adequacy of PPL Electric’s service.  A review of the PPLICA complaint shows two things:  the complainant is PPLICA, not Donsco; and the subject matter is comprised of general rate case issues, not the specific complaint of a specific customer.  It is true that proof of inadequate service may be used to deny all or a portion of a utility’s request for a rate increase.  Therefore, a clear claim of inadequate service and supporting evidence could be presented for that purpose.  It was not.  Rather, PPLICA’s focus in its testimony and Main Brief was describing the </w:t>
      </w:r>
      <w:r w:rsidRPr="00496A3C">
        <w:rPr>
          <w:i/>
          <w:spacing w:val="-3"/>
        </w:rPr>
        <w:t xml:space="preserve">unique circumstances </w:t>
      </w:r>
      <w:r>
        <w:rPr>
          <w:spacing w:val="-3"/>
        </w:rPr>
        <w:t>of Donsco.  The claim that these unique circumstances and PPL Electric’s handling of them constitutes inadequate service was clearly set forth for the first time in the PPLICA Reply Brief.</w:t>
      </w:r>
      <w:r w:rsidRPr="00683E8B">
        <w:rPr>
          <w:rStyle w:val="FootnoteReference"/>
          <w:spacing w:val="-3"/>
          <w:vertAlign w:val="superscript"/>
        </w:rPr>
        <w:footnoteReference w:id="27"/>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contextualSpacing/>
        <w:jc w:val="left"/>
        <w:rPr>
          <w:spacing w:val="-3"/>
        </w:rPr>
      </w:pPr>
      <w:r>
        <w:rPr>
          <w:spacing w:val="-3"/>
        </w:rPr>
        <w:tab/>
      </w:r>
      <w:r>
        <w:rPr>
          <w:spacing w:val="-3"/>
        </w:rPr>
        <w:tab/>
        <w:t xml:space="preserve">In addition, in order for Donsco to receive service at Rate Schedule LP-4, PPL Electric constructed two new 12 kV conductors from the North Columbia 69-12 kV substation to Donsco’s Wrightsville plant.  Without new conductors, PPL Electric would not have had the capacity to service Donsco’s needs and the other customers on the west side of the Susquehanna River.  PPL Electric Initial Brief at 48, citing PPL Electric Stmt. 8-R at 3. While Donsco was </w:t>
      </w:r>
      <w:r>
        <w:rPr>
          <w:spacing w:val="-3"/>
        </w:rPr>
        <w:lastRenderedPageBreak/>
        <w:t xml:space="preserve">required to enter into a five-year line extension guarantee, the agreement was terminated after three years in exchange for an agreement that service to Donsco could be interrupted when necessary to continue service to other  customers in the area, and Donsco’s payments to PPL Electric were only for its distribution rates.  PPL Electric had expended over $1 million to construct the service facilities, PPL Electric Initial Brief at 49, and Donsco’s total line extension payments were “over $548,000.”  PPLICA Main Brief at 14.  There is no evidence to support a finding of inadequate service.  </w:t>
      </w:r>
    </w:p>
    <w:p w:rsidR="000E7AB9" w:rsidRDefault="000E7AB9" w:rsidP="000E7AB9">
      <w:pPr>
        <w:tabs>
          <w:tab w:val="left" w:pos="-720"/>
        </w:tabs>
        <w:suppressAutoHyphens/>
        <w:contextualSpacing/>
        <w:jc w:val="left"/>
        <w:rPr>
          <w:spacing w:val="-3"/>
        </w:rPr>
      </w:pPr>
    </w:p>
    <w:p w:rsidR="000E7AB9" w:rsidRDefault="000E7AB9" w:rsidP="00683E8B">
      <w:pPr>
        <w:tabs>
          <w:tab w:val="left" w:pos="-720"/>
        </w:tabs>
        <w:suppressAutoHyphens/>
        <w:contextualSpacing/>
        <w:jc w:val="left"/>
        <w:rPr>
          <w:spacing w:val="-3"/>
        </w:rPr>
      </w:pPr>
      <w:r>
        <w:rPr>
          <w:spacing w:val="-3"/>
        </w:rPr>
        <w:tab/>
      </w:r>
      <w:r>
        <w:rPr>
          <w:spacing w:val="-3"/>
        </w:rPr>
        <w:tab/>
        <w:t xml:space="preserve">PPLICA seeks a Commission order directing PPL Electric to establish a new rate schedule for entities meeting specific standards:  </w:t>
      </w:r>
    </w:p>
    <w:p w:rsidR="00683E8B" w:rsidRDefault="00683E8B" w:rsidP="00683E8B">
      <w:pPr>
        <w:tabs>
          <w:tab w:val="left" w:pos="-720"/>
        </w:tabs>
        <w:suppressAutoHyphens/>
        <w:contextualSpacing/>
        <w:jc w:val="left"/>
        <w:rPr>
          <w:spacing w:val="-3"/>
        </w:rPr>
      </w:pPr>
    </w:p>
    <w:p w:rsidR="000E7AB9" w:rsidRDefault="000E7AB9" w:rsidP="000E7AB9">
      <w:pPr>
        <w:tabs>
          <w:tab w:val="left" w:pos="-720"/>
        </w:tabs>
        <w:suppressAutoHyphens/>
        <w:ind w:left="1440"/>
        <w:contextualSpacing/>
        <w:jc w:val="left"/>
        <w:rPr>
          <w:spacing w:val="-3"/>
        </w:rPr>
      </w:pPr>
      <w:r>
        <w:rPr>
          <w:spacing w:val="-3"/>
        </w:rPr>
        <w:t>1.</w:t>
      </w:r>
      <w:r>
        <w:rPr>
          <w:spacing w:val="-3"/>
        </w:rPr>
        <w:tab/>
        <w:t>Customer demand must be reasonably consistent with LP-5;</w:t>
      </w:r>
    </w:p>
    <w:p w:rsidR="000E7AB9" w:rsidRDefault="000E7AB9" w:rsidP="000E7AB9">
      <w:pPr>
        <w:tabs>
          <w:tab w:val="left" w:pos="-720"/>
        </w:tabs>
        <w:suppressAutoHyphens/>
        <w:ind w:left="1440"/>
        <w:contextualSpacing/>
        <w:jc w:val="left"/>
        <w:rPr>
          <w:spacing w:val="-3"/>
        </w:rPr>
      </w:pPr>
      <w:r>
        <w:rPr>
          <w:spacing w:val="-3"/>
        </w:rPr>
        <w:t>2.</w:t>
      </w:r>
      <w:r>
        <w:rPr>
          <w:spacing w:val="-3"/>
        </w:rPr>
        <w:tab/>
        <w:t>Factors such as economic development, load retention and employment could be considered;</w:t>
      </w:r>
    </w:p>
    <w:p w:rsidR="000E7AB9" w:rsidRDefault="000E7AB9" w:rsidP="000E7AB9">
      <w:pPr>
        <w:tabs>
          <w:tab w:val="left" w:pos="-720"/>
        </w:tabs>
        <w:suppressAutoHyphens/>
        <w:ind w:left="1440"/>
        <w:contextualSpacing/>
        <w:jc w:val="left"/>
        <w:rPr>
          <w:spacing w:val="-3"/>
        </w:rPr>
      </w:pPr>
      <w:r>
        <w:rPr>
          <w:spacing w:val="-3"/>
        </w:rPr>
        <w:t>3.</w:t>
      </w:r>
      <w:r>
        <w:rPr>
          <w:spacing w:val="-3"/>
        </w:rPr>
        <w:tab/>
        <w:t>The economic and/or environmental feasibility of converting the account to transmission voltage service in Rate Schedule 5 could be considered;</w:t>
      </w:r>
    </w:p>
    <w:p w:rsidR="000E7AB9" w:rsidRDefault="000E7AB9" w:rsidP="000E7AB9">
      <w:pPr>
        <w:tabs>
          <w:tab w:val="left" w:pos="-720"/>
        </w:tabs>
        <w:suppressAutoHyphens/>
        <w:ind w:left="1440"/>
        <w:contextualSpacing/>
        <w:jc w:val="left"/>
        <w:rPr>
          <w:spacing w:val="-3"/>
        </w:rPr>
      </w:pPr>
      <w:r>
        <w:rPr>
          <w:spacing w:val="-3"/>
        </w:rPr>
        <w:t>4.</w:t>
      </w:r>
      <w:r>
        <w:rPr>
          <w:spacing w:val="-3"/>
        </w:rPr>
        <w:tab/>
        <w:t>the proximity to 69 kV (or higher) facilities and/or the ability to specifically identify the lines and equipment used to serve the facility could be considered; and</w:t>
      </w:r>
    </w:p>
    <w:p w:rsidR="000E7AB9" w:rsidRDefault="000E7AB9" w:rsidP="000E7AB9">
      <w:pPr>
        <w:tabs>
          <w:tab w:val="left" w:pos="-720"/>
        </w:tabs>
        <w:suppressAutoHyphens/>
        <w:ind w:left="1440"/>
        <w:contextualSpacing/>
        <w:jc w:val="left"/>
        <w:rPr>
          <w:spacing w:val="-3"/>
        </w:rPr>
      </w:pPr>
      <w:r>
        <w:rPr>
          <w:spacing w:val="-3"/>
        </w:rPr>
        <w:t>5.</w:t>
      </w:r>
      <w:r>
        <w:rPr>
          <w:spacing w:val="-3"/>
        </w:rPr>
        <w:tab/>
        <w:t xml:space="preserve">If the customer paid a contribution in aid of construction or provided a guarantee for the line extension, they should be eligible for this negotiated rate option.  </w:t>
      </w:r>
    </w:p>
    <w:p w:rsidR="00683E8B" w:rsidRDefault="00683E8B" w:rsidP="00683E8B">
      <w:pPr>
        <w:tabs>
          <w:tab w:val="left" w:pos="-720"/>
        </w:tabs>
        <w:suppressAutoHyphens/>
        <w:spacing w:line="240" w:lineRule="auto"/>
        <w:ind w:left="1440" w:hanging="1440"/>
        <w:contextualSpacing/>
        <w:jc w:val="left"/>
        <w:rPr>
          <w:spacing w:val="-3"/>
        </w:rPr>
      </w:pPr>
    </w:p>
    <w:p w:rsidR="000E7AB9" w:rsidRDefault="000E7AB9" w:rsidP="00142651">
      <w:pPr>
        <w:tabs>
          <w:tab w:val="left" w:pos="-720"/>
        </w:tabs>
        <w:suppressAutoHyphens/>
        <w:ind w:left="1440" w:hanging="1440"/>
        <w:contextualSpacing/>
        <w:jc w:val="left"/>
        <w:rPr>
          <w:spacing w:val="-3"/>
        </w:rPr>
      </w:pPr>
      <w:r>
        <w:rPr>
          <w:spacing w:val="-3"/>
        </w:rPr>
        <w:t>PPLICA Main Brief at 22-23.</w:t>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contextualSpacing/>
        <w:jc w:val="left"/>
        <w:rPr>
          <w:spacing w:val="-3"/>
        </w:rPr>
      </w:pPr>
      <w:r>
        <w:rPr>
          <w:spacing w:val="-3"/>
        </w:rPr>
        <w:tab/>
      </w:r>
      <w:r>
        <w:rPr>
          <w:spacing w:val="-3"/>
        </w:rPr>
        <w:tab/>
        <w:t xml:space="preserve">What PPLICA fails to state is support for its proposition that the Commission should </w:t>
      </w:r>
      <w:r w:rsidRPr="00E509F5">
        <w:rPr>
          <w:i/>
          <w:spacing w:val="-3"/>
        </w:rPr>
        <w:t>order</w:t>
      </w:r>
      <w:r>
        <w:rPr>
          <w:spacing w:val="-3"/>
        </w:rPr>
        <w:t xml:space="preserve"> (not </w:t>
      </w:r>
      <w:r w:rsidRPr="009D7661">
        <w:rPr>
          <w:spacing w:val="-3"/>
          <w:u w:val="single"/>
        </w:rPr>
        <w:t>approve</w:t>
      </w:r>
      <w:r>
        <w:rPr>
          <w:spacing w:val="-3"/>
        </w:rPr>
        <w:t xml:space="preserve">, as the flexible pricing provision states) the establishment of a new rate schedule to suit the needs of a particular customer.  </w:t>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contextualSpacing/>
        <w:jc w:val="left"/>
        <w:rPr>
          <w:spacing w:val="-3"/>
        </w:rPr>
      </w:pPr>
      <w:r>
        <w:rPr>
          <w:spacing w:val="-3"/>
        </w:rPr>
        <w:tab/>
      </w:r>
      <w:r>
        <w:rPr>
          <w:spacing w:val="-3"/>
        </w:rPr>
        <w:tab/>
        <w:t>While Donsco would surely benefit from creation of a new schedule which reduces its rates, the same could be said of any customer, and the Company states:</w:t>
      </w:r>
    </w:p>
    <w:p w:rsidR="000E7AB9" w:rsidRDefault="000E7AB9" w:rsidP="000E7AB9">
      <w:pPr>
        <w:tabs>
          <w:tab w:val="left" w:pos="-720"/>
        </w:tabs>
        <w:suppressAutoHyphens/>
        <w:contextualSpacing/>
        <w:jc w:val="left"/>
        <w:rPr>
          <w:spacing w:val="-3"/>
        </w:rPr>
      </w:pPr>
    </w:p>
    <w:p w:rsidR="00142651" w:rsidRDefault="000E7AB9" w:rsidP="00142651">
      <w:pPr>
        <w:pStyle w:val="BodyText2"/>
        <w:spacing w:after="0" w:line="240" w:lineRule="auto"/>
        <w:ind w:left="1440" w:right="1440"/>
        <w:contextualSpacing/>
        <w:jc w:val="left"/>
      </w:pPr>
      <w:r>
        <w:lastRenderedPageBreak/>
        <w:t>No special rate is appropriate for Donsco.  Such rate would be unfair to other customers in at least three different respects.  First, rates for other customers being served on Rate Schedule LP-4 would have to increased [sic] to offset a rate reduction for Donsco and other similarly-situated customers who could qualify for any rate beneficial to Donsco.  In fact, under Donsco’s proposal, other LP-4 customers would be required to pay higher rates even though they would not receive any additional benefits.  PPL Electric St. 8-R, p. 6.  Second, such a rate would not be fair to other former LP-4 customers who paid the costs, often significant,</w:t>
      </w:r>
      <w:r w:rsidRPr="00C34EA4">
        <w:rPr>
          <w:rStyle w:val="FootnoteReference"/>
          <w:vertAlign w:val="superscript"/>
        </w:rPr>
        <w:footnoteReference w:id="28"/>
      </w:r>
      <w:r>
        <w:t xml:space="preserve"> of installing 69 kV facilities in order to be eligible for service on Rate Schedule LP-5, which has significantly lower rates because none of the costs of the 12 kV secondary distribution system are allocated to service at 69 kV or greater voltages under Rate Schedule LP-5.  PPL Electric St. 8-R, p. 6.  Third, even Section 2806(h), which PPLICA cites in favor of its contentions, recognizes the competitive effect of rate reductions.  A rate reduction for Donsco would be unfair to its competitors, </w:t>
      </w:r>
      <w:r>
        <w:rPr>
          <w:i/>
        </w:rPr>
        <w:t>i.e.</w:t>
      </w:r>
      <w:r>
        <w:t xml:space="preserve">, other forges, unless similar rate reductions were made available to the other forges, which would have the effect of increasing the burden to be shifted to other customers of PPL Electric under Rate Schedule LP-4, which are not forges. </w:t>
      </w:r>
    </w:p>
    <w:p w:rsidR="000E7AB9" w:rsidRDefault="000E7AB9" w:rsidP="000E78BB">
      <w:pPr>
        <w:pStyle w:val="BodyText2"/>
        <w:spacing w:after="0" w:line="240" w:lineRule="auto"/>
        <w:ind w:left="1440" w:right="1440"/>
        <w:contextualSpacing/>
        <w:jc w:val="left"/>
      </w:pPr>
      <w:r>
        <w:t xml:space="preserve">  </w:t>
      </w:r>
    </w:p>
    <w:p w:rsidR="000E7AB9" w:rsidRPr="00DA0046" w:rsidRDefault="000E7AB9" w:rsidP="000E78BB">
      <w:pPr>
        <w:tabs>
          <w:tab w:val="left" w:pos="-720"/>
        </w:tabs>
        <w:suppressAutoHyphens/>
        <w:contextualSpacing/>
        <w:jc w:val="left"/>
        <w:rPr>
          <w:spacing w:val="-3"/>
        </w:rPr>
      </w:pPr>
      <w:r>
        <w:rPr>
          <w:spacing w:val="-3"/>
        </w:rPr>
        <w:t>PPL Electric Initial Brief at 50.</w:t>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contextualSpacing/>
        <w:jc w:val="left"/>
        <w:rPr>
          <w:spacing w:val="-3"/>
        </w:rPr>
      </w:pPr>
      <w:r>
        <w:rPr>
          <w:spacing w:val="-3"/>
        </w:rPr>
        <w:tab/>
      </w:r>
      <w:r>
        <w:rPr>
          <w:spacing w:val="-3"/>
        </w:rPr>
        <w:tab/>
        <w:t xml:space="preserve">The bottom line is this:  the tariff provisions which eased Donsco’s costs prior to December 31, 2009, and have expired, were for generation-related costs.  Under Electric Competition, it is improper and illogical for the distribution company to establish </w:t>
      </w:r>
      <w:r w:rsidRPr="000E5006">
        <w:rPr>
          <w:i/>
          <w:spacing w:val="-3"/>
        </w:rPr>
        <w:t>generation</w:t>
      </w:r>
      <w:r>
        <w:rPr>
          <w:spacing w:val="-3"/>
        </w:rPr>
        <w:t xml:space="preserve"> relief tariff schedules for </w:t>
      </w:r>
      <w:r w:rsidRPr="000E5006">
        <w:rPr>
          <w:i/>
          <w:spacing w:val="-3"/>
        </w:rPr>
        <w:t>distribution</w:t>
      </w:r>
      <w:r>
        <w:rPr>
          <w:spacing w:val="-3"/>
        </w:rPr>
        <w:t xml:space="preserve"> customers where those “saved” costs would be incurred anyway and then redistributed to the other members of the rate class.</w:t>
      </w:r>
      <w:r w:rsidRPr="000E78BB">
        <w:rPr>
          <w:rStyle w:val="FootnoteReference"/>
          <w:spacing w:val="-3"/>
          <w:vertAlign w:val="superscript"/>
        </w:rPr>
        <w:footnoteReference w:id="29"/>
      </w:r>
    </w:p>
    <w:p w:rsidR="000E7AB9" w:rsidRDefault="000E7AB9" w:rsidP="0053151D">
      <w:pPr>
        <w:tabs>
          <w:tab w:val="left" w:pos="-720"/>
        </w:tabs>
        <w:suppressAutoHyphens/>
        <w:ind w:firstLine="1440"/>
        <w:jc w:val="left"/>
        <w:rPr>
          <w:spacing w:val="-3"/>
        </w:rPr>
      </w:pPr>
    </w:p>
    <w:p w:rsidR="0053151D" w:rsidRDefault="000E7AB9" w:rsidP="000E78BB">
      <w:pPr>
        <w:pStyle w:val="BodyText2"/>
        <w:spacing w:after="0" w:line="240" w:lineRule="auto"/>
        <w:ind w:left="1440" w:right="1440"/>
        <w:contextualSpacing/>
        <w:jc w:val="left"/>
      </w:pPr>
      <w:r>
        <w:t xml:space="preserve">To the extent that a customer’s operations reduce costs to generators, such as operations that use electricity during off-peak periods, the customers should receive prices reflecting those cost reductions from the generators – the electric generation suppliers – and not from a distribution company such as PPL Electric.  For </w:t>
      </w:r>
    </w:p>
    <w:p w:rsidR="0053151D" w:rsidRDefault="0053151D">
      <w:pPr>
        <w:spacing w:line="240" w:lineRule="auto"/>
        <w:jc w:val="left"/>
      </w:pPr>
      <w:r>
        <w:br w:type="page"/>
      </w:r>
    </w:p>
    <w:p w:rsidR="000E7AB9" w:rsidRDefault="000E7AB9" w:rsidP="000E78BB">
      <w:pPr>
        <w:pStyle w:val="BodyText2"/>
        <w:spacing w:after="0" w:line="240" w:lineRule="auto"/>
        <w:ind w:left="1440" w:right="1440"/>
        <w:contextualSpacing/>
        <w:jc w:val="left"/>
      </w:pPr>
      <w:r>
        <w:lastRenderedPageBreak/>
        <w:t xml:space="preserve">these reasons, it is no longer appropriate for such generation-related discounts to be included in PPL Electric’s distribution rates.  PPL Electric St. 8-R, p. 7.  </w:t>
      </w:r>
    </w:p>
    <w:p w:rsidR="0053151D" w:rsidRDefault="0053151D" w:rsidP="0053151D">
      <w:pPr>
        <w:tabs>
          <w:tab w:val="left" w:pos="-720"/>
        </w:tabs>
        <w:suppressAutoHyphens/>
        <w:spacing w:line="240" w:lineRule="auto"/>
        <w:jc w:val="left"/>
        <w:rPr>
          <w:spacing w:val="-3"/>
        </w:rPr>
      </w:pPr>
    </w:p>
    <w:p w:rsidR="000E7AB9" w:rsidRDefault="000E7AB9" w:rsidP="0053151D">
      <w:pPr>
        <w:tabs>
          <w:tab w:val="left" w:pos="-720"/>
        </w:tabs>
        <w:suppressAutoHyphens/>
        <w:jc w:val="left"/>
        <w:rPr>
          <w:spacing w:val="-3"/>
        </w:rPr>
      </w:pPr>
      <w:r>
        <w:rPr>
          <w:spacing w:val="-3"/>
        </w:rPr>
        <w:t>PPL Electric Initial Brief at 52.</w:t>
      </w:r>
    </w:p>
    <w:p w:rsidR="000E7AB9" w:rsidRDefault="000E7AB9" w:rsidP="000E7AB9">
      <w:pPr>
        <w:tabs>
          <w:tab w:val="left" w:pos="-720"/>
        </w:tabs>
        <w:suppressAutoHyphens/>
        <w:ind w:firstLine="1440"/>
        <w:jc w:val="left"/>
        <w:rPr>
          <w:spacing w:val="-3"/>
        </w:rPr>
      </w:pPr>
    </w:p>
    <w:p w:rsidR="000E7AB9" w:rsidRPr="00842A01" w:rsidRDefault="000E7AB9" w:rsidP="000E7AB9">
      <w:pPr>
        <w:tabs>
          <w:tab w:val="left" w:pos="-720"/>
        </w:tabs>
        <w:suppressAutoHyphens/>
        <w:ind w:firstLine="1440"/>
        <w:jc w:val="left"/>
        <w:rPr>
          <w:spacing w:val="-3"/>
        </w:rPr>
      </w:pPr>
      <w:r>
        <w:rPr>
          <w:spacing w:val="-3"/>
        </w:rPr>
        <w:t xml:space="preserve">As the Company points out, this is essentially a rate discrimination claim, and to prevail, the claimant must prove that its rates are unreasonably high and that the rates of other customers are unreasonably low.  </w:t>
      </w:r>
      <w:r>
        <w:rPr>
          <w:i/>
          <w:spacing w:val="-3"/>
        </w:rPr>
        <w:t xml:space="preserve">Pa. Publ. Util. Comm’n v. Pennsylvania-America Water Co., </w:t>
      </w:r>
      <w:r>
        <w:rPr>
          <w:spacing w:val="-3"/>
        </w:rPr>
        <w:t xml:space="preserve">Docket Nos. R-00943231, </w:t>
      </w:r>
      <w:r w:rsidRPr="00842A01">
        <w:rPr>
          <w:i/>
          <w:spacing w:val="-3"/>
        </w:rPr>
        <w:t>et al</w:t>
      </w:r>
      <w:r>
        <w:rPr>
          <w:spacing w:val="-3"/>
        </w:rPr>
        <w:t xml:space="preserve">., 172 Pa. PUC 160 1996 Pa. PUC LEXIS 141 at 17 (June 6, 1996); </w:t>
      </w:r>
      <w:r>
        <w:rPr>
          <w:i/>
          <w:spacing w:val="-3"/>
        </w:rPr>
        <w:t>see also</w:t>
      </w:r>
      <w:r>
        <w:rPr>
          <w:spacing w:val="-3"/>
        </w:rPr>
        <w:t xml:space="preserve"> </w:t>
      </w:r>
      <w:r>
        <w:rPr>
          <w:i/>
          <w:spacing w:val="-3"/>
        </w:rPr>
        <w:t xml:space="preserve">Building Owners and Managers Association v. Pa. P.U.C., </w:t>
      </w:r>
      <w:r>
        <w:rPr>
          <w:spacing w:val="-3"/>
        </w:rPr>
        <w:t>470 A.2d 1092, 1096 (Pa. Cmwlth. 1984).   PPLICA has not presented comparisons which support a finding of discriminatory rates.  PPL Electric Initial Brief at 51.  Accordingly, it has not sustained its burden.</w:t>
      </w:r>
    </w:p>
    <w:p w:rsidR="00974D3B" w:rsidRDefault="00974D3B" w:rsidP="000E7AB9">
      <w:pPr>
        <w:tabs>
          <w:tab w:val="left" w:pos="-720"/>
        </w:tabs>
        <w:suppressAutoHyphens/>
        <w:ind w:firstLine="1440"/>
        <w:rPr>
          <w:spacing w:val="-3"/>
        </w:rPr>
      </w:pPr>
    </w:p>
    <w:p w:rsidR="000E7AB9" w:rsidRPr="004D3233" w:rsidRDefault="004D3233" w:rsidP="004D3233">
      <w:pPr>
        <w:tabs>
          <w:tab w:val="left" w:pos="-720"/>
        </w:tabs>
        <w:suppressAutoHyphens/>
        <w:rPr>
          <w:spacing w:val="-3"/>
        </w:rPr>
      </w:pPr>
      <w:r>
        <w:rPr>
          <w:spacing w:val="-3"/>
        </w:rPr>
        <w:t>VI.</w:t>
      </w:r>
      <w:r>
        <w:rPr>
          <w:spacing w:val="-3"/>
        </w:rPr>
        <w:tab/>
      </w:r>
      <w:r w:rsidR="000E7AB9" w:rsidRPr="004D3233">
        <w:rPr>
          <w:spacing w:val="-3"/>
          <w:u w:val="single"/>
        </w:rPr>
        <w:t>CONCLUSIONS OF LAW</w:t>
      </w:r>
      <w:r w:rsidR="00CE0415">
        <w:rPr>
          <w:spacing w:val="-3"/>
          <w:u w:val="single"/>
        </w:rPr>
        <w:fldChar w:fldCharType="begin"/>
      </w:r>
      <w:r w:rsidR="00FD0C1C">
        <w:instrText xml:space="preserve"> TC "</w:instrText>
      </w:r>
      <w:bookmarkStart w:id="86" w:name="_Toc274905767"/>
      <w:bookmarkStart w:id="87" w:name="_Toc274906177"/>
      <w:bookmarkStart w:id="88" w:name="_Toc274912180"/>
      <w:r w:rsidR="00FD0C1C" w:rsidRPr="006265B9">
        <w:rPr>
          <w:spacing w:val="-3"/>
        </w:rPr>
        <w:instrText>VI.</w:instrText>
      </w:r>
      <w:r w:rsidR="00FD0C1C" w:rsidRPr="006265B9">
        <w:rPr>
          <w:spacing w:val="-3"/>
        </w:rPr>
        <w:tab/>
      </w:r>
      <w:r w:rsidR="00FD0C1C" w:rsidRPr="006265B9">
        <w:rPr>
          <w:spacing w:val="-3"/>
          <w:u w:val="single"/>
        </w:rPr>
        <w:instrText>CONCLUSIONS OF LAW</w:instrText>
      </w:r>
      <w:bookmarkEnd w:id="86"/>
      <w:bookmarkEnd w:id="87"/>
      <w:bookmarkEnd w:id="88"/>
      <w:r w:rsidR="00FD0C1C">
        <w:instrText xml:space="preserve">" \f C \l "1" </w:instrText>
      </w:r>
      <w:r w:rsidR="00CE0415">
        <w:rPr>
          <w:spacing w:val="-3"/>
          <w:u w:val="single"/>
        </w:rPr>
        <w:fldChar w:fldCharType="end"/>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pPr>
      <w:r>
        <w:t>1.</w:t>
      </w:r>
      <w:r>
        <w:tab/>
        <w:t>Ev</w:t>
      </w:r>
      <w:r w:rsidRPr="00BB3554">
        <w:t>ery rate made, demanded, or received by any public utility, or by any two or more public utilities jointly, shall be just and reasonable, and in conformity with regulatio</w:t>
      </w:r>
      <w:r>
        <w:t>ns or orders of the commission.</w:t>
      </w:r>
      <w:r w:rsidRPr="00BB3554">
        <w:t xml:space="preserve">  </w:t>
      </w:r>
      <w:r>
        <w:t xml:space="preserve"> 66 Pa.C.S. § 1301.</w:t>
      </w:r>
    </w:p>
    <w:p w:rsidR="000E7AB9" w:rsidRDefault="000E7AB9" w:rsidP="000E7AB9">
      <w:pPr>
        <w:tabs>
          <w:tab w:val="left" w:pos="-720"/>
        </w:tabs>
        <w:suppressAutoHyphens/>
        <w:ind w:firstLine="1440"/>
        <w:jc w:val="left"/>
        <w:rPr>
          <w:spacing w:val="-3"/>
        </w:rPr>
      </w:pPr>
    </w:p>
    <w:p w:rsidR="000E7AB9" w:rsidRPr="00BB3554" w:rsidRDefault="000E7AB9" w:rsidP="000E7AB9">
      <w:pPr>
        <w:tabs>
          <w:tab w:val="left" w:pos="-720"/>
        </w:tabs>
        <w:suppressAutoHyphens/>
        <w:ind w:firstLine="1440"/>
        <w:jc w:val="left"/>
        <w:rPr>
          <w:spacing w:val="-3"/>
        </w:rPr>
      </w:pPr>
      <w:r>
        <w:rPr>
          <w:spacing w:val="-3"/>
        </w:rPr>
        <w:t>2.</w:t>
      </w:r>
      <w:r>
        <w:rPr>
          <w:spacing w:val="-3"/>
        </w:rPr>
        <w:tab/>
      </w:r>
      <w:r w:rsidRPr="00BB3554">
        <w:rPr>
          <w:spacing w:val="-3"/>
        </w:rPr>
        <w:t xml:space="preserve">In deciding any general rate increase case brought under Section 1308(d) of the Code, 66 Pa.C.S. § 101 </w:t>
      </w:r>
      <w:r w:rsidRPr="00BB3554">
        <w:rPr>
          <w:i/>
          <w:spacing w:val="-3"/>
        </w:rPr>
        <w:t>et seq.</w:t>
      </w:r>
      <w:r w:rsidRPr="00BB3554">
        <w:rPr>
          <w:spacing w:val="-3"/>
        </w:rPr>
        <w:t xml:space="preserve">, certain general legal standards always apply.  </w:t>
      </w:r>
    </w:p>
    <w:p w:rsidR="000E7AB9" w:rsidRPr="00BB3554" w:rsidRDefault="000E7AB9" w:rsidP="000E7AB9">
      <w:pPr>
        <w:widowControl w:val="0"/>
        <w:ind w:firstLine="1440"/>
        <w:jc w:val="left"/>
      </w:pPr>
    </w:p>
    <w:p w:rsidR="000E7AB9" w:rsidRDefault="000E7AB9" w:rsidP="000E7AB9">
      <w:pPr>
        <w:widowControl w:val="0"/>
        <w:ind w:firstLine="1440"/>
        <w:jc w:val="left"/>
      </w:pPr>
      <w:r>
        <w:t>3.</w:t>
      </w:r>
      <w:r>
        <w:tab/>
      </w:r>
      <w:r w:rsidRPr="00BB3554">
        <w:t xml:space="preserve">The burden of proof to establish the justness and reasonableness of every element of the utility’s rate increase rests solely upon the public utility.  66 Pa.C.S. § 315(a).  </w:t>
      </w:r>
    </w:p>
    <w:p w:rsidR="000E7AB9" w:rsidRDefault="000E7AB9" w:rsidP="000E7AB9">
      <w:pPr>
        <w:widowControl w:val="0"/>
        <w:ind w:firstLine="1440"/>
        <w:jc w:val="left"/>
      </w:pPr>
    </w:p>
    <w:p w:rsidR="000E7AB9" w:rsidRPr="00BB3554" w:rsidRDefault="000E7AB9" w:rsidP="000E7AB9">
      <w:pPr>
        <w:widowControl w:val="0"/>
        <w:ind w:firstLine="1440"/>
        <w:jc w:val="left"/>
      </w:pPr>
      <w:r>
        <w:t>4.</w:t>
      </w:r>
      <w:r>
        <w:tab/>
        <w:t>E</w:t>
      </w:r>
      <w:r w:rsidRPr="00BB3554">
        <w:t xml:space="preserve">vidence adduced by a utility to meet this burden must be substantial.  </w:t>
      </w:r>
      <w:r w:rsidRPr="00BB3554">
        <w:rPr>
          <w:i/>
        </w:rPr>
        <w:t>Lower Frederick Twp. v. Pennsylvania Pub. Util. Comm’n</w:t>
      </w:r>
      <w:r w:rsidRPr="00BB3554">
        <w:t xml:space="preserve">, 409 A.2d 505, 507 (Pa.Cmwlth. 1980).  </w:t>
      </w:r>
    </w:p>
    <w:p w:rsidR="000E7AB9" w:rsidRPr="00BB3554" w:rsidRDefault="000E7AB9" w:rsidP="000E7AB9">
      <w:pPr>
        <w:widowControl w:val="0"/>
        <w:ind w:firstLine="1440"/>
        <w:jc w:val="left"/>
      </w:pPr>
    </w:p>
    <w:p w:rsidR="000E7AB9" w:rsidRDefault="000E7AB9" w:rsidP="000E7AB9">
      <w:pPr>
        <w:widowControl w:val="0"/>
        <w:jc w:val="left"/>
        <w:rPr>
          <w:color w:val="000000"/>
        </w:rPr>
      </w:pPr>
      <w:r>
        <w:tab/>
      </w:r>
      <w:r>
        <w:tab/>
        <w:t>5.</w:t>
      </w:r>
      <w:r>
        <w:tab/>
      </w:r>
      <w:r w:rsidRPr="00BB3554">
        <w:t xml:space="preserve">While the burden of proof remains with the public utility throughout the rate proceeding, the Commission has stated that where a party proposes an adjustment to a </w:t>
      </w:r>
      <w:r w:rsidRPr="00BB3554">
        <w:lastRenderedPageBreak/>
        <w:t xml:space="preserve">ratemaking claim of a utility, the proposing party bears the </w:t>
      </w:r>
      <w:r w:rsidRPr="00BB3554">
        <w:rPr>
          <w:bCs/>
        </w:rPr>
        <w:t>burden</w:t>
      </w:r>
      <w:r w:rsidRPr="00BB3554">
        <w:t xml:space="preserve"> of presenting some evidence or analysis tending to demonstrate the reasonableness of the adjustment.  </w:t>
      </w:r>
      <w:r w:rsidRPr="00BB3554">
        <w:rPr>
          <w:i/>
        </w:rPr>
        <w:t>Pennsylvania Pub. Util. Comm’n v. Aqua Pennsylvania, Inc</w:t>
      </w:r>
      <w:r w:rsidRPr="00BB3554">
        <w:t xml:space="preserve">., Docket No. R-00072711 (Commission Opinion and Order entered July 17, 2008).  As stated in </w:t>
      </w:r>
      <w:r w:rsidRPr="00BB3554">
        <w:rPr>
          <w:i/>
        </w:rPr>
        <w:t>Pennsylvania Public Utility Commission</w:t>
      </w:r>
      <w:r w:rsidRPr="00BB3554">
        <w:t xml:space="preserve"> v. </w:t>
      </w:r>
      <w:r w:rsidRPr="00BB3554">
        <w:rPr>
          <w:i/>
        </w:rPr>
        <w:t>Philadelphia Gas Works</w:t>
      </w:r>
      <w:r w:rsidRPr="00BB3554">
        <w:t>, Docket No. R-00061931 (Commission Opinion and Order entered September 28, 2007) at 12:  “</w:t>
      </w:r>
      <w:r w:rsidRPr="00BB3554">
        <w:rPr>
          <w:color w:val="000000"/>
        </w:rPr>
        <w:t>Section 315(a) of the Code, 66 Pa.C.S. § 315(a), applies since this is a proceeding on Commission Motion.  However, after the utility establishes a prima facie case, the burden of going forward or the burden of persuasion shifts to the other parties to rebut the prima facie case.”</w:t>
      </w:r>
    </w:p>
    <w:p w:rsidR="000E7AB9" w:rsidRDefault="000E7AB9" w:rsidP="000E7AB9">
      <w:pPr>
        <w:widowControl w:val="0"/>
        <w:jc w:val="left"/>
        <w:rPr>
          <w:color w:val="000000"/>
        </w:rPr>
      </w:pPr>
    </w:p>
    <w:p w:rsidR="000E7AB9" w:rsidRDefault="000E7AB9" w:rsidP="000E7AB9">
      <w:pPr>
        <w:widowControl w:val="0"/>
        <w:jc w:val="left"/>
        <w:rPr>
          <w:spacing w:val="-3"/>
        </w:rPr>
      </w:pPr>
      <w:r>
        <w:rPr>
          <w:color w:val="000000"/>
        </w:rPr>
        <w:tab/>
      </w:r>
      <w:r>
        <w:rPr>
          <w:color w:val="000000"/>
        </w:rPr>
        <w:tab/>
        <w:t>6.</w:t>
      </w:r>
      <w:r>
        <w:rPr>
          <w:color w:val="000000"/>
        </w:rPr>
        <w:tab/>
      </w:r>
      <w:r>
        <w:t>An approved tariff provision is presumed to be just and reasonable, and the challenging party bears the burden of proving otherwise.  T</w:t>
      </w:r>
      <w:r>
        <w:rPr>
          <w:spacing w:val="-3"/>
        </w:rPr>
        <w:t xml:space="preserve">he claimant must prove that its rates are unreasonably high and that the rates of other customers are unreasonably low.  </w:t>
      </w:r>
      <w:r>
        <w:rPr>
          <w:i/>
          <w:spacing w:val="-3"/>
        </w:rPr>
        <w:t xml:space="preserve">Pa. Publ. Util. Comm’n v. Pennsylvania-America Water Co., </w:t>
      </w:r>
      <w:r>
        <w:rPr>
          <w:spacing w:val="-3"/>
        </w:rPr>
        <w:t xml:space="preserve">Docket Nos. R-00943231, </w:t>
      </w:r>
      <w:r w:rsidRPr="00842A01">
        <w:rPr>
          <w:i/>
          <w:spacing w:val="-3"/>
        </w:rPr>
        <w:t>et al</w:t>
      </w:r>
      <w:r>
        <w:rPr>
          <w:spacing w:val="-3"/>
        </w:rPr>
        <w:t xml:space="preserve">., 172 Pa. PUC 160 1996 Pa. PUC LEXIS 141 at 17 (June 6, 1996); </w:t>
      </w:r>
      <w:r>
        <w:rPr>
          <w:i/>
          <w:spacing w:val="-3"/>
        </w:rPr>
        <w:t>see also</w:t>
      </w:r>
      <w:r>
        <w:rPr>
          <w:spacing w:val="-3"/>
        </w:rPr>
        <w:t xml:space="preserve"> </w:t>
      </w:r>
      <w:r>
        <w:rPr>
          <w:i/>
          <w:spacing w:val="-3"/>
        </w:rPr>
        <w:t xml:space="preserve">Building Owners and Managers Association v. Pa. P.U.C., </w:t>
      </w:r>
      <w:r>
        <w:rPr>
          <w:spacing w:val="-3"/>
        </w:rPr>
        <w:t xml:space="preserve">470 A.2d 1092, 1096 (Pa. Cmwlth. 1984).  </w:t>
      </w:r>
    </w:p>
    <w:p w:rsidR="000E7AB9" w:rsidRDefault="000E7AB9" w:rsidP="000E7AB9">
      <w:pPr>
        <w:widowControl w:val="0"/>
        <w:jc w:val="left"/>
        <w:rPr>
          <w:spacing w:val="-3"/>
        </w:rPr>
      </w:pPr>
    </w:p>
    <w:p w:rsidR="000E7AB9" w:rsidRDefault="000E7AB9" w:rsidP="000E7AB9">
      <w:pPr>
        <w:pStyle w:val="Pleading2L3"/>
        <w:numPr>
          <w:ilvl w:val="0"/>
          <w:numId w:val="0"/>
        </w:numPr>
        <w:spacing w:line="360" w:lineRule="auto"/>
      </w:pPr>
      <w:r>
        <w:rPr>
          <w:spacing w:val="-3"/>
        </w:rPr>
        <w:tab/>
      </w:r>
      <w:r>
        <w:rPr>
          <w:spacing w:val="-3"/>
        </w:rPr>
        <w:tab/>
        <w:t>7.</w:t>
      </w:r>
      <w:r>
        <w:rPr>
          <w:spacing w:val="-3"/>
        </w:rPr>
        <w:tab/>
      </w:r>
      <w:r>
        <w:t xml:space="preserve">When a utility files for a rate increase, it must file a cost-of-service study assigning to each customer class a rate based upon operating costs that it incurred in providing that service.  52 Pa. Code § 53.53 Exhibit C.IV.E. </w:t>
      </w:r>
      <w:r>
        <w:rPr>
          <w:i/>
        </w:rPr>
        <w:t xml:space="preserve"> Lloyd v. Pa. Publ. Util. Comm’n, </w:t>
      </w:r>
      <w:r w:rsidR="00D20A50">
        <w:t xml:space="preserve">at 1015, </w:t>
      </w:r>
      <w:r w:rsidRPr="00D20A50">
        <w:rPr>
          <w:i/>
        </w:rPr>
        <w:t>fn. 10.</w:t>
      </w:r>
    </w:p>
    <w:p w:rsidR="000E7AB9" w:rsidRDefault="000E7AB9" w:rsidP="000E7AB9">
      <w:pPr>
        <w:widowControl w:val="0"/>
        <w:jc w:val="left"/>
      </w:pPr>
    </w:p>
    <w:p w:rsidR="000E7AB9" w:rsidRDefault="000E7AB9" w:rsidP="000E7AB9">
      <w:pPr>
        <w:tabs>
          <w:tab w:val="left" w:pos="-720"/>
        </w:tabs>
        <w:suppressAutoHyphens/>
        <w:ind w:firstLine="1440"/>
        <w:jc w:val="left"/>
        <w:rPr>
          <w:spacing w:val="-3"/>
        </w:rPr>
      </w:pPr>
      <w:r>
        <w:rPr>
          <w:spacing w:val="-3"/>
        </w:rPr>
        <w:t>8.</w:t>
      </w:r>
      <w:r>
        <w:rPr>
          <w:spacing w:val="-3"/>
        </w:rPr>
        <w:tab/>
        <w:t>T</w:t>
      </w:r>
      <w:r>
        <w:t xml:space="preserve">he cost of service should be the “polestar” of utility ratemaking.  </w:t>
      </w:r>
      <w:r>
        <w:rPr>
          <w:i/>
        </w:rPr>
        <w:t xml:space="preserve">Lloyd v. Pa. Publ. Util. Comm’n, </w:t>
      </w:r>
      <w:r>
        <w:t xml:space="preserve">904 A.2d 1010 (Pa. Cmwlth. Ct. 2006) </w:t>
      </w:r>
      <w:r>
        <w:rPr>
          <w:i/>
        </w:rPr>
        <w:t xml:space="preserve">appeal denied </w:t>
      </w:r>
      <w:r>
        <w:t>591 Pa. 676, 916 A.2d 1104 (2007)(</w:t>
      </w:r>
      <w:r>
        <w:rPr>
          <w:i/>
        </w:rPr>
        <w:t>Lloyd</w:t>
      </w:r>
      <w:r>
        <w:t>).</w:t>
      </w:r>
    </w:p>
    <w:p w:rsidR="000E7AB9" w:rsidRDefault="000E7AB9" w:rsidP="000E7AB9">
      <w:pPr>
        <w:tabs>
          <w:tab w:val="left" w:pos="-720"/>
        </w:tabs>
        <w:suppressAutoHyphens/>
        <w:ind w:firstLine="1440"/>
        <w:jc w:val="left"/>
        <w:rPr>
          <w:spacing w:val="-3"/>
        </w:rPr>
      </w:pPr>
    </w:p>
    <w:p w:rsidR="000E7AB9" w:rsidRDefault="000E7AB9" w:rsidP="000E7AB9">
      <w:pPr>
        <w:tabs>
          <w:tab w:val="left" w:pos="-720"/>
        </w:tabs>
        <w:suppressAutoHyphens/>
        <w:ind w:firstLine="1440"/>
        <w:jc w:val="left"/>
        <w:rPr>
          <w:spacing w:val="-3"/>
        </w:rPr>
      </w:pPr>
      <w:r>
        <w:rPr>
          <w:spacing w:val="-3"/>
        </w:rPr>
        <w:t>9.</w:t>
      </w:r>
      <w:r>
        <w:rPr>
          <w:spacing w:val="-3"/>
        </w:rPr>
        <w:tab/>
      </w:r>
      <w:r>
        <w:t xml:space="preserve">Revenues and expenses which are recovered through specific cost recovery mechanisms under Section 1307 of the Public Utility Code, 66 Pa. C.S. § 1307, are not included in the cost of service study.  </w:t>
      </w:r>
      <w:r>
        <w:rPr>
          <w:spacing w:val="-3"/>
        </w:rPr>
        <w:tab/>
      </w:r>
    </w:p>
    <w:p w:rsidR="00833AB7" w:rsidRDefault="00833AB7" w:rsidP="0015411C">
      <w:pPr>
        <w:pStyle w:val="Pleading2L3"/>
        <w:numPr>
          <w:ilvl w:val="0"/>
          <w:numId w:val="0"/>
        </w:numPr>
        <w:tabs>
          <w:tab w:val="left" w:pos="2160"/>
        </w:tabs>
        <w:spacing w:line="360" w:lineRule="auto"/>
        <w:ind w:firstLine="1440"/>
        <w:contextualSpacing/>
        <w:rPr>
          <w:rFonts w:eastAsia="Calibri"/>
          <w:spacing w:val="-3"/>
          <w:szCs w:val="24"/>
        </w:rPr>
      </w:pPr>
    </w:p>
    <w:p w:rsidR="000E7AB9" w:rsidRDefault="000E7AB9" w:rsidP="0015411C">
      <w:pPr>
        <w:pStyle w:val="Pleading2L3"/>
        <w:numPr>
          <w:ilvl w:val="0"/>
          <w:numId w:val="0"/>
        </w:numPr>
        <w:tabs>
          <w:tab w:val="left" w:pos="2160"/>
        </w:tabs>
        <w:spacing w:line="360" w:lineRule="auto"/>
        <w:ind w:firstLine="1440"/>
        <w:contextualSpacing/>
      </w:pPr>
      <w:r>
        <w:rPr>
          <w:spacing w:val="-3"/>
        </w:rPr>
        <w:lastRenderedPageBreak/>
        <w:t>10.</w:t>
      </w:r>
      <w:r>
        <w:rPr>
          <w:spacing w:val="-3"/>
        </w:rPr>
        <w:tab/>
      </w:r>
      <w:r w:rsidRPr="00C71E16">
        <w:rPr>
          <w:szCs w:val="24"/>
        </w:rPr>
        <w:t>"Gradualism" is a principle of rate design that rates will be gradually increased to avoid "rate shock" - in this case caused by transition from capped rates to rates set more closely to the traditional ratemaking process by "gradually" reducing rate of return differentials between the classes. Large rate increases have the potential to cause "rate shock" among customers. Technically, rate shock applies when a rate increase is associated with a significant drop in usage, reflecting the unwillingness or inability of customers to pay for those services. Due to the inelastic demand for essential services, such as utilities, any decrease in usage is minor and transitory. There is a non-technical definition of "rate shock" which is used to describe the public outcry associated with rate increases. To mitigate both forms of rate shock, the remedy is "gradualism," i.e., phasing in rates or closing rate differentials over a longer period of time allowing consumers to gradually make the adjustments in the "elastic" part of their spending so as to pay for increased utility costs, not to mention lessening the pressure on the Commission and the utilities to dampen rate increases.</w:t>
      </w:r>
      <w:r w:rsidR="002C0BBE">
        <w:rPr>
          <w:szCs w:val="24"/>
        </w:rPr>
        <w:t xml:space="preserve">  </w:t>
      </w:r>
      <w:r w:rsidRPr="007B2EF5">
        <w:rPr>
          <w:i/>
        </w:rPr>
        <w:t>Lloyd</w:t>
      </w:r>
      <w:r>
        <w:t xml:space="preserve"> at 1018, fn. 14.</w:t>
      </w:r>
    </w:p>
    <w:p w:rsidR="0078165E" w:rsidRDefault="0078165E" w:rsidP="0015411C">
      <w:pPr>
        <w:pStyle w:val="Pleading2L3"/>
        <w:numPr>
          <w:ilvl w:val="0"/>
          <w:numId w:val="0"/>
        </w:numPr>
        <w:tabs>
          <w:tab w:val="left" w:pos="2160"/>
        </w:tabs>
        <w:spacing w:line="360" w:lineRule="auto"/>
        <w:ind w:firstLine="1440"/>
        <w:contextualSpacing/>
      </w:pPr>
    </w:p>
    <w:p w:rsidR="000E7AB9" w:rsidRDefault="000E7AB9" w:rsidP="0015411C">
      <w:pPr>
        <w:tabs>
          <w:tab w:val="left" w:pos="-720"/>
        </w:tabs>
        <w:suppressAutoHyphens/>
        <w:ind w:firstLine="1440"/>
        <w:contextualSpacing/>
        <w:jc w:val="left"/>
        <w:rPr>
          <w:spacing w:val="-3"/>
        </w:rPr>
      </w:pPr>
      <w:r>
        <w:rPr>
          <w:spacing w:val="-3"/>
        </w:rPr>
        <w:t>11.</w:t>
      </w:r>
      <w:r>
        <w:rPr>
          <w:spacing w:val="-3"/>
        </w:rPr>
        <w:tab/>
        <w:t>The Commission promotes settlements.  52 Pa. Code § 69.401.</w:t>
      </w:r>
    </w:p>
    <w:p w:rsidR="000E7AB9" w:rsidRDefault="000E7AB9" w:rsidP="0015411C">
      <w:pPr>
        <w:tabs>
          <w:tab w:val="left" w:pos="-720"/>
        </w:tabs>
        <w:suppressAutoHyphens/>
        <w:ind w:firstLine="1440"/>
        <w:contextualSpacing/>
        <w:jc w:val="left"/>
        <w:rPr>
          <w:spacing w:val="-3"/>
        </w:rPr>
      </w:pPr>
    </w:p>
    <w:p w:rsidR="000E7AB9" w:rsidRDefault="000E7AB9" w:rsidP="0015411C">
      <w:pPr>
        <w:contextualSpacing/>
        <w:jc w:val="left"/>
        <w:outlineLvl w:val="3"/>
        <w:rPr>
          <w:rFonts w:eastAsia="Times New Roman"/>
          <w:bCs/>
        </w:rPr>
      </w:pPr>
      <w:r>
        <w:rPr>
          <w:spacing w:val="-3"/>
        </w:rPr>
        <w:tab/>
      </w:r>
      <w:r>
        <w:rPr>
          <w:spacing w:val="-3"/>
        </w:rPr>
        <w:tab/>
        <w:t>12.</w:t>
      </w:r>
      <w:r>
        <w:rPr>
          <w:spacing w:val="-3"/>
        </w:rPr>
        <w:tab/>
      </w:r>
      <w:r w:rsidRPr="0032708F">
        <w:rPr>
          <w:rFonts w:eastAsia="Times New Roman"/>
        </w:rPr>
        <w:t>    </w:t>
      </w:r>
      <w:r>
        <w:rPr>
          <w:rFonts w:eastAsia="Times New Roman"/>
        </w:rPr>
        <w:t>The definition of n</w:t>
      </w:r>
      <w:r w:rsidRPr="004852A7">
        <w:rPr>
          <w:rFonts w:eastAsia="Times New Roman"/>
          <w:iCs/>
        </w:rPr>
        <w:t>et metering</w:t>
      </w:r>
      <w:r>
        <w:rPr>
          <w:rFonts w:eastAsia="Times New Roman"/>
          <w:iCs/>
        </w:rPr>
        <w:t xml:space="preserve"> is t</w:t>
      </w:r>
      <w:r w:rsidRPr="0032708F">
        <w:rPr>
          <w:rFonts w:eastAsia="Times New Roman"/>
        </w:rPr>
        <w:t xml:space="preserve">he means of measuring the difference between the electricity supplied by an electric utility or EGS and the electricity generated by a customer-generator when any portion of the electricity generated by the alternative energy generating system is used to offset part or all of the customer-generator’s requirements for electricity. </w:t>
      </w:r>
      <w:r>
        <w:rPr>
          <w:rFonts w:eastAsia="Times New Roman"/>
        </w:rPr>
        <w:t xml:space="preserve"> </w:t>
      </w:r>
      <w:r w:rsidRPr="004852A7">
        <w:rPr>
          <w:rFonts w:eastAsia="Times New Roman"/>
          <w:bCs/>
        </w:rPr>
        <w:t>52 Pa. Code § 75.12 (definitions).</w:t>
      </w:r>
    </w:p>
    <w:p w:rsidR="000E7AB9" w:rsidRDefault="000E7AB9" w:rsidP="0015411C">
      <w:pPr>
        <w:jc w:val="left"/>
        <w:outlineLvl w:val="3"/>
        <w:rPr>
          <w:rFonts w:eastAsia="Times New Roman"/>
          <w:bCs/>
        </w:rPr>
      </w:pPr>
    </w:p>
    <w:p w:rsidR="000E7AB9" w:rsidRDefault="000E7AB9" w:rsidP="0015411C">
      <w:pPr>
        <w:pStyle w:val="Pleading2L3"/>
        <w:numPr>
          <w:ilvl w:val="0"/>
          <w:numId w:val="0"/>
        </w:numPr>
        <w:spacing w:line="360" w:lineRule="auto"/>
        <w:contextualSpacing/>
      </w:pPr>
      <w:r>
        <w:rPr>
          <w:bCs/>
        </w:rPr>
        <w:tab/>
      </w:r>
      <w:r>
        <w:rPr>
          <w:bCs/>
        </w:rPr>
        <w:tab/>
        <w:t>13.</w:t>
      </w:r>
      <w:r>
        <w:rPr>
          <w:bCs/>
        </w:rPr>
        <w:tab/>
      </w:r>
      <w:r>
        <w:t xml:space="preserve">The Commission believes that it would be unreasonable and not in the public interest to include distribution and transition charges within the compensation provided to customer-generators for any remaining excess generation credits at the end of the compliance year.  Final Omitted Rulemaking Order in </w:t>
      </w:r>
      <w:r>
        <w:rPr>
          <w:i/>
        </w:rPr>
        <w:t xml:space="preserve">Implementation of Act 35 of 2007; Net Metering and Interconnection, </w:t>
      </w:r>
      <w:r>
        <w:t>L-00050174 (entered July 2, 2008) at 20.</w:t>
      </w:r>
    </w:p>
    <w:p w:rsidR="000E7AB9" w:rsidRDefault="000E7AB9" w:rsidP="0015411C">
      <w:pPr>
        <w:pStyle w:val="Pleading2L3"/>
        <w:numPr>
          <w:ilvl w:val="0"/>
          <w:numId w:val="0"/>
        </w:numPr>
        <w:spacing w:line="360" w:lineRule="auto"/>
        <w:contextualSpacing/>
      </w:pPr>
    </w:p>
    <w:p w:rsidR="00833AB7" w:rsidRDefault="000E7AB9" w:rsidP="0015411C">
      <w:pPr>
        <w:contextualSpacing/>
        <w:jc w:val="left"/>
      </w:pPr>
      <w:r>
        <w:tab/>
      </w:r>
      <w:r>
        <w:tab/>
      </w:r>
    </w:p>
    <w:p w:rsidR="00833AB7" w:rsidRDefault="00833AB7">
      <w:pPr>
        <w:spacing w:line="240" w:lineRule="auto"/>
        <w:jc w:val="left"/>
      </w:pPr>
      <w:r>
        <w:br w:type="page"/>
      </w:r>
    </w:p>
    <w:p w:rsidR="000E7AB9" w:rsidRDefault="00833AB7" w:rsidP="0015411C">
      <w:pPr>
        <w:contextualSpacing/>
        <w:jc w:val="left"/>
      </w:pPr>
      <w:r>
        <w:lastRenderedPageBreak/>
        <w:tab/>
      </w:r>
      <w:r>
        <w:tab/>
      </w:r>
      <w:r w:rsidR="000E7AB9">
        <w:t>14.</w:t>
      </w:r>
      <w:r w:rsidR="000E7AB9">
        <w:tab/>
        <w:t xml:space="preserve">The </w:t>
      </w:r>
      <w:r>
        <w:t>Price to Compare (</w:t>
      </w:r>
      <w:r w:rsidR="000E7AB9">
        <w:t>PTC</w:t>
      </w:r>
      <w:r>
        <w:t>) is a line item that appears on a retail costumer’s monthly bill for default service and</w:t>
      </w:r>
      <w:r w:rsidR="000E7AB9">
        <w:t xml:space="preserve"> is equal to the sum of all unbundled generation and transmission related charges to a default service customer for that month of service.</w:t>
      </w:r>
    </w:p>
    <w:p w:rsidR="00833AB7" w:rsidRDefault="00833AB7" w:rsidP="00833AB7">
      <w:pPr>
        <w:spacing w:line="240" w:lineRule="auto"/>
        <w:contextualSpacing/>
        <w:jc w:val="left"/>
      </w:pPr>
    </w:p>
    <w:p w:rsidR="000E7AB9" w:rsidRDefault="000E7AB9" w:rsidP="00833AB7">
      <w:pPr>
        <w:spacing w:line="240" w:lineRule="auto"/>
        <w:contextualSpacing/>
        <w:jc w:val="left"/>
      </w:pPr>
      <w:r>
        <w:t xml:space="preserve">52 Pa. Code § 54.182. </w:t>
      </w:r>
    </w:p>
    <w:p w:rsidR="000E7AB9" w:rsidRDefault="000E7AB9" w:rsidP="000E7AB9">
      <w:pPr>
        <w:spacing w:before="100" w:beforeAutospacing="1" w:after="100" w:afterAutospacing="1"/>
        <w:contextualSpacing/>
        <w:jc w:val="left"/>
      </w:pPr>
    </w:p>
    <w:p w:rsidR="000E7AB9" w:rsidRDefault="000E7AB9" w:rsidP="000E7AB9">
      <w:pPr>
        <w:pStyle w:val="BodyText2"/>
        <w:spacing w:line="360" w:lineRule="auto"/>
        <w:contextualSpacing/>
        <w:jc w:val="left"/>
      </w:pPr>
      <w:r>
        <w:tab/>
      </w:r>
      <w:r>
        <w:tab/>
        <w:t>15.</w:t>
      </w:r>
      <w:r>
        <w:tab/>
        <w:t xml:space="preserve">Operation HELP is wholly funded by contributions from the Company’s shareholders, customers and employees.  </w:t>
      </w:r>
      <w:r w:rsidR="00833AB7">
        <w:t>T</w:t>
      </w:r>
      <w:r>
        <w:t>he Commission lacks jurisdiction to direct further contributions to Operation HELP or</w:t>
      </w:r>
      <w:r w:rsidR="00833AB7">
        <w:t xml:space="preserve"> to</w:t>
      </w:r>
      <w:r>
        <w:t xml:space="preserve"> mandate the manner in which the Company chooses to distribute these contributions.  </w:t>
      </w:r>
      <w:r>
        <w:rPr>
          <w:i/>
        </w:rPr>
        <w:t>Pa. P.U.C. v. PPL Electric Utilities Corp.</w:t>
      </w:r>
      <w:r w:rsidR="00833AB7">
        <w:t>, Docket No. R</w:t>
      </w:r>
      <w:r w:rsidR="00833AB7">
        <w:noBreakHyphen/>
      </w:r>
      <w:r>
        <w:t>00049255, p. 95 (Dec. 22, 2004).</w:t>
      </w:r>
    </w:p>
    <w:p w:rsidR="000E7AB9" w:rsidRDefault="000E7AB9" w:rsidP="0015411C">
      <w:pPr>
        <w:pStyle w:val="BodyText2"/>
        <w:spacing w:after="0" w:line="360" w:lineRule="auto"/>
        <w:contextualSpacing/>
        <w:jc w:val="left"/>
      </w:pPr>
    </w:p>
    <w:p w:rsidR="000E7AB9" w:rsidRDefault="000E7AB9" w:rsidP="000E7AB9">
      <w:pPr>
        <w:pStyle w:val="FootnoteText"/>
        <w:spacing w:line="360" w:lineRule="auto"/>
        <w:rPr>
          <w:sz w:val="24"/>
          <w:szCs w:val="24"/>
        </w:rPr>
      </w:pPr>
      <w:r>
        <w:tab/>
      </w:r>
      <w:r>
        <w:tab/>
      </w:r>
      <w:r w:rsidRPr="00810971">
        <w:rPr>
          <w:sz w:val="24"/>
          <w:szCs w:val="24"/>
        </w:rPr>
        <w:t>16.</w:t>
      </w:r>
      <w:r w:rsidRPr="00810971">
        <w:rPr>
          <w:sz w:val="24"/>
          <w:szCs w:val="24"/>
        </w:rPr>
        <w:tab/>
        <w:t>The electric distribution company shall not be required to forward payment to entities providing services to customers, and on whose behalf the electric distribution company is billing those customers, before the electric distribution company has received payment for those services from customers.  66 Pa. C.S.A. § 2807(c)(3).</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17.</w:t>
      </w:r>
      <w:r>
        <w:rPr>
          <w:sz w:val="24"/>
          <w:szCs w:val="24"/>
        </w:rPr>
        <w:tab/>
      </w:r>
      <w:r w:rsidRPr="00446066">
        <w:rPr>
          <w:sz w:val="24"/>
          <w:szCs w:val="24"/>
        </w:rPr>
        <w:t>RESA has not sustained its burden of proving that the non-bypassable MCF is a superior method of recouping uncollectibles</w:t>
      </w:r>
      <w:r>
        <w:rPr>
          <w:sz w:val="24"/>
          <w:szCs w:val="24"/>
        </w:rPr>
        <w:t xml:space="preserve">. </w:t>
      </w:r>
    </w:p>
    <w:p w:rsidR="000E7AB9" w:rsidRDefault="000E7AB9" w:rsidP="000E7AB9">
      <w:pPr>
        <w:pStyle w:val="FootnoteText"/>
        <w:spacing w:line="360" w:lineRule="auto"/>
        <w:rPr>
          <w:sz w:val="24"/>
          <w:szCs w:val="24"/>
        </w:rPr>
      </w:pPr>
    </w:p>
    <w:p w:rsidR="000E7AB9" w:rsidRDefault="000E7AB9" w:rsidP="000E7AB9">
      <w:pPr>
        <w:tabs>
          <w:tab w:val="left" w:pos="-720"/>
        </w:tabs>
        <w:suppressAutoHyphens/>
        <w:contextualSpacing/>
        <w:jc w:val="left"/>
        <w:rPr>
          <w:spacing w:val="-3"/>
        </w:rPr>
      </w:pPr>
      <w:r>
        <w:tab/>
      </w:r>
      <w:r>
        <w:tab/>
        <w:t>18.</w:t>
      </w:r>
      <w:r>
        <w:tab/>
      </w:r>
      <w:r>
        <w:rPr>
          <w:spacing w:val="-3"/>
        </w:rPr>
        <w:t>In addition to the implicit authority of the commission under section 502 (relating to general powers), the commission has the authority to approve flexible pricing and flexible rates, including negotiated, contract-based tariffs designed to meet the specific needs of a utility customer and to address competitive alternatives.  66 Pa. C.S. § 2806(h).</w:t>
      </w:r>
    </w:p>
    <w:p w:rsidR="000E7AB9" w:rsidRDefault="000E7AB9" w:rsidP="000E7AB9">
      <w:pPr>
        <w:tabs>
          <w:tab w:val="left" w:pos="-720"/>
        </w:tabs>
        <w:suppressAutoHyphens/>
        <w:contextualSpacing/>
        <w:jc w:val="left"/>
        <w:rPr>
          <w:spacing w:val="-3"/>
        </w:rPr>
      </w:pPr>
    </w:p>
    <w:p w:rsidR="000E7AB9" w:rsidRDefault="000E7AB9" w:rsidP="000E7AB9">
      <w:pPr>
        <w:pStyle w:val="Pleading2L3"/>
        <w:numPr>
          <w:ilvl w:val="0"/>
          <w:numId w:val="0"/>
        </w:numPr>
        <w:spacing w:line="360" w:lineRule="auto"/>
        <w:contextualSpacing/>
      </w:pPr>
      <w:r>
        <w:rPr>
          <w:spacing w:val="-3"/>
        </w:rPr>
        <w:tab/>
      </w:r>
      <w:r>
        <w:rPr>
          <w:spacing w:val="-3"/>
        </w:rPr>
        <w:tab/>
        <w:t>19.</w:t>
      </w:r>
      <w:r>
        <w:rPr>
          <w:spacing w:val="-3"/>
        </w:rPr>
        <w:tab/>
      </w:r>
      <w:r>
        <w:t xml:space="preserve">Using First Dollar Relief methodology to </w:t>
      </w:r>
      <w:r>
        <w:rPr>
          <w:i/>
        </w:rPr>
        <w:t>reduce</w:t>
      </w:r>
      <w:r>
        <w:t xml:space="preserve"> existing rates for classes which were not slated to incur an increase, thus increasing the rates of those which were slated for increases, is inconsistent with traditional ratemaking principles.  </w:t>
      </w:r>
    </w:p>
    <w:p w:rsidR="000E7AB9" w:rsidRDefault="000E7AB9" w:rsidP="000E7AB9">
      <w:pPr>
        <w:tabs>
          <w:tab w:val="left" w:pos="-720"/>
        </w:tabs>
        <w:suppressAutoHyphens/>
        <w:contextualSpacing/>
        <w:jc w:val="left"/>
        <w:rPr>
          <w:spacing w:val="-3"/>
        </w:rPr>
      </w:pPr>
    </w:p>
    <w:p w:rsidR="000E7AB9" w:rsidRDefault="000E7AB9" w:rsidP="000E7AB9">
      <w:pPr>
        <w:tabs>
          <w:tab w:val="left" w:pos="-720"/>
        </w:tabs>
        <w:suppressAutoHyphens/>
        <w:jc w:val="left"/>
      </w:pPr>
      <w:r>
        <w:rPr>
          <w:spacing w:val="-3"/>
        </w:rPr>
        <w:tab/>
      </w:r>
      <w:r>
        <w:rPr>
          <w:spacing w:val="-3"/>
        </w:rPr>
        <w:tab/>
        <w:t>20.</w:t>
      </w:r>
      <w:r>
        <w:rPr>
          <w:spacing w:val="-3"/>
        </w:rPr>
        <w:tab/>
      </w:r>
      <w:r w:rsidRPr="00BB3554">
        <w:t xml:space="preserve">Section 523 of the Public Utility </w:t>
      </w:r>
      <w:r>
        <w:t>Code, 66 Pa.C.S. § </w:t>
      </w:r>
      <w:r w:rsidRPr="00BB3554">
        <w:t>523, requires the Commission to “consider .</w:t>
      </w:r>
      <w:r>
        <w:t xml:space="preserve"> </w:t>
      </w:r>
      <w:r w:rsidRPr="00BB3554">
        <w:t>.</w:t>
      </w:r>
      <w:r>
        <w:t xml:space="preserve"> </w:t>
      </w:r>
      <w:r w:rsidRPr="00BB3554">
        <w:t xml:space="preserve">. the efficiency, effectiveness and adequacy of service of each utility </w:t>
      </w:r>
      <w:r w:rsidRPr="00BB3554">
        <w:lastRenderedPageBreak/>
        <w:t xml:space="preserve">when determining just and reasonable rates. . . .”  In exchange for customers paying rates for service, which include the cost of utility plant in service and a rate of return, a public utility is obligated to provide safe, adequate and reasonable service. </w:t>
      </w:r>
    </w:p>
    <w:p w:rsidR="000E7AB9" w:rsidRDefault="000E7AB9" w:rsidP="000E7AB9">
      <w:pPr>
        <w:tabs>
          <w:tab w:val="left" w:pos="-720"/>
        </w:tabs>
        <w:suppressAutoHyphens/>
        <w:jc w:val="left"/>
      </w:pPr>
    </w:p>
    <w:p w:rsidR="000E7AB9" w:rsidRDefault="000E7AB9" w:rsidP="000E7AB9">
      <w:pPr>
        <w:tabs>
          <w:tab w:val="left" w:pos="-720"/>
        </w:tabs>
        <w:suppressAutoHyphens/>
        <w:jc w:val="left"/>
      </w:pPr>
      <w:r>
        <w:tab/>
      </w:r>
      <w:r>
        <w:tab/>
        <w:t>21.</w:t>
      </w:r>
      <w:r>
        <w:tab/>
      </w:r>
      <w:r w:rsidRPr="00BB3554">
        <w:t xml:space="preserve"> “[I]n exchange for the utility’s provision of safe, adequate and reasonable service, the ratepayers are obligated to pay rates which cover the cost of service which includes reasonable operation and maintenance expenses, depreciation, taxes and a fair rate of return for the utility’s investors . . . </w:t>
      </w:r>
      <w:r>
        <w:t xml:space="preserve"> </w:t>
      </w:r>
      <w:r w:rsidRPr="00BB3554">
        <w:t>In return for providing safe and adequate service, the utility is entitled to recover, through ra</w:t>
      </w:r>
      <w:r>
        <w:t xml:space="preserve">tes, these enumerated costs.”  </w:t>
      </w:r>
      <w:r w:rsidRPr="00BB3554">
        <w:rPr>
          <w:i/>
          <w:spacing w:val="-3"/>
        </w:rPr>
        <w:t xml:space="preserve">Pennsylvania Pub. Util. Comm’n </w:t>
      </w:r>
      <w:r w:rsidRPr="00BB3554">
        <w:rPr>
          <w:i/>
        </w:rPr>
        <w:t xml:space="preserve"> v. Pennsylvania Gas &amp; Water Co., </w:t>
      </w:r>
      <w:r w:rsidRPr="00BB3554">
        <w:t xml:space="preserve">61 Pa. PUC 409, 415-16 (1986); 66 Pa.C.S. § 1501.  </w:t>
      </w:r>
    </w:p>
    <w:p w:rsidR="000E7AB9" w:rsidRDefault="000E7AB9" w:rsidP="000E7AB9">
      <w:pPr>
        <w:tabs>
          <w:tab w:val="left" w:pos="-720"/>
        </w:tabs>
        <w:suppressAutoHyphens/>
        <w:jc w:val="left"/>
      </w:pPr>
    </w:p>
    <w:p w:rsidR="000E7AB9" w:rsidRPr="00BB3554" w:rsidRDefault="000E7AB9" w:rsidP="000E7AB9">
      <w:pPr>
        <w:tabs>
          <w:tab w:val="left" w:pos="-720"/>
        </w:tabs>
        <w:suppressAutoHyphens/>
        <w:jc w:val="left"/>
        <w:rPr>
          <w:spacing w:val="-3"/>
        </w:rPr>
      </w:pPr>
      <w:r>
        <w:tab/>
      </w:r>
      <w:r>
        <w:tab/>
        <w:t>22.</w:t>
      </w:r>
      <w:r>
        <w:tab/>
        <w:t>T</w:t>
      </w:r>
      <w:r w:rsidRPr="00BB3554">
        <w:t>he General Assembly has given the Commission discretionary authority to deny a proposed rate increase, in whole or in part, if the Commission finds “that the service rendered by the public utilit</w:t>
      </w:r>
      <w:r>
        <w:t>y is inadequate.”  66 Pa.C.S. § </w:t>
      </w:r>
      <w:r w:rsidRPr="00BB3554">
        <w:t>526(a).</w:t>
      </w:r>
    </w:p>
    <w:p w:rsidR="000E7AB9" w:rsidRDefault="000E7AB9" w:rsidP="000E7AB9">
      <w:pPr>
        <w:pStyle w:val="FootnoteText"/>
        <w:spacing w:line="360" w:lineRule="auto"/>
        <w:rPr>
          <w:sz w:val="24"/>
          <w:szCs w:val="24"/>
        </w:rPr>
      </w:pPr>
    </w:p>
    <w:p w:rsidR="000E7AB9" w:rsidRDefault="00294151" w:rsidP="00294151">
      <w:pPr>
        <w:pStyle w:val="FootnoteText"/>
        <w:spacing w:line="360" w:lineRule="auto"/>
        <w:jc w:val="center"/>
        <w:rPr>
          <w:sz w:val="24"/>
          <w:szCs w:val="24"/>
        </w:rPr>
      </w:pPr>
      <w:r w:rsidRPr="00294151">
        <w:rPr>
          <w:sz w:val="24"/>
          <w:szCs w:val="24"/>
        </w:rPr>
        <w:t>V.</w:t>
      </w:r>
      <w:r w:rsidRPr="00294151">
        <w:rPr>
          <w:sz w:val="24"/>
          <w:szCs w:val="24"/>
        </w:rPr>
        <w:tab/>
      </w:r>
      <w:r w:rsidR="000E7AB9" w:rsidRPr="00FD0C1C">
        <w:rPr>
          <w:sz w:val="24"/>
          <w:szCs w:val="24"/>
          <w:u w:val="single"/>
        </w:rPr>
        <w:t>ORDER</w:t>
      </w:r>
      <w:r>
        <w:rPr>
          <w:sz w:val="24"/>
          <w:szCs w:val="24"/>
          <w:u w:val="single"/>
        </w:rPr>
        <w:fldChar w:fldCharType="begin"/>
      </w:r>
      <w:r>
        <w:instrText xml:space="preserve"> TC "</w:instrText>
      </w:r>
      <w:bookmarkStart w:id="89" w:name="_Toc274912181"/>
      <w:r w:rsidRPr="00BA3F32">
        <w:rPr>
          <w:sz w:val="24"/>
          <w:szCs w:val="24"/>
        </w:rPr>
        <w:instrText>V.</w:instrText>
      </w:r>
      <w:r w:rsidRPr="00BA3F32">
        <w:rPr>
          <w:sz w:val="24"/>
          <w:szCs w:val="24"/>
        </w:rPr>
        <w:tab/>
      </w:r>
      <w:r w:rsidRPr="00BA3F32">
        <w:rPr>
          <w:sz w:val="24"/>
          <w:szCs w:val="24"/>
          <w:u w:val="single"/>
        </w:rPr>
        <w:instrText>ORDER</w:instrText>
      </w:r>
      <w:bookmarkEnd w:id="89"/>
      <w:r>
        <w:instrText xml:space="preserve">" \f C \l "1" </w:instrText>
      </w:r>
      <w:r>
        <w:rPr>
          <w:sz w:val="24"/>
          <w:szCs w:val="24"/>
          <w:u w:val="single"/>
        </w:rPr>
        <w:fldChar w:fldCharType="end"/>
      </w:r>
    </w:p>
    <w:p w:rsidR="00294151" w:rsidRDefault="000E7AB9" w:rsidP="00294151">
      <w:pPr>
        <w:pStyle w:val="FootnoteText"/>
        <w:spacing w:line="360" w:lineRule="auto"/>
        <w:rPr>
          <w:sz w:val="24"/>
          <w:szCs w:val="24"/>
        </w:rPr>
      </w:pPr>
      <w:r>
        <w:rPr>
          <w:sz w:val="24"/>
          <w:szCs w:val="24"/>
        </w:rPr>
        <w:tab/>
      </w:r>
      <w:r>
        <w:rPr>
          <w:sz w:val="24"/>
          <w:szCs w:val="24"/>
        </w:rPr>
        <w:tab/>
      </w:r>
    </w:p>
    <w:p w:rsidR="000E7AB9" w:rsidRDefault="00294151" w:rsidP="00294151">
      <w:pPr>
        <w:pStyle w:val="FootnoteText"/>
        <w:spacing w:line="360" w:lineRule="auto"/>
        <w:rPr>
          <w:sz w:val="24"/>
          <w:szCs w:val="24"/>
        </w:rPr>
      </w:pPr>
      <w:r>
        <w:rPr>
          <w:sz w:val="24"/>
          <w:szCs w:val="24"/>
        </w:rPr>
        <w:tab/>
      </w:r>
      <w:r>
        <w:rPr>
          <w:sz w:val="24"/>
          <w:szCs w:val="24"/>
        </w:rPr>
        <w:tab/>
      </w:r>
      <w:r w:rsidR="000E7AB9">
        <w:rPr>
          <w:sz w:val="24"/>
          <w:szCs w:val="24"/>
        </w:rPr>
        <w:t>THEREFORE,</w:t>
      </w:r>
    </w:p>
    <w:p w:rsidR="000E7AB9" w:rsidRDefault="000E7AB9" w:rsidP="00294151">
      <w:pPr>
        <w:pStyle w:val="FootnoteText"/>
        <w:spacing w:line="360" w:lineRule="auto"/>
        <w:rPr>
          <w:sz w:val="24"/>
          <w:szCs w:val="24"/>
        </w:rPr>
      </w:pPr>
    </w:p>
    <w:p w:rsidR="000E7AB9" w:rsidRDefault="000E7AB9" w:rsidP="00294151">
      <w:pPr>
        <w:pStyle w:val="FootnoteText"/>
        <w:spacing w:line="360" w:lineRule="auto"/>
        <w:rPr>
          <w:sz w:val="24"/>
          <w:szCs w:val="24"/>
        </w:rPr>
      </w:pPr>
      <w:r>
        <w:rPr>
          <w:sz w:val="24"/>
          <w:szCs w:val="24"/>
        </w:rPr>
        <w:tab/>
      </w:r>
      <w:r>
        <w:rPr>
          <w:sz w:val="24"/>
          <w:szCs w:val="24"/>
        </w:rPr>
        <w:tab/>
        <w:t xml:space="preserve">IT IS </w:t>
      </w:r>
      <w:r w:rsidR="00FD0C1C">
        <w:rPr>
          <w:sz w:val="24"/>
          <w:szCs w:val="24"/>
        </w:rPr>
        <w:t>RECOMMENDED</w:t>
      </w:r>
      <w:r>
        <w:rPr>
          <w:sz w:val="24"/>
          <w:szCs w:val="24"/>
        </w:rPr>
        <w:t>:</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1.</w:t>
      </w:r>
      <w:r>
        <w:rPr>
          <w:sz w:val="24"/>
          <w:szCs w:val="24"/>
        </w:rPr>
        <w:tab/>
        <w:t>That PPL Electric Utilities Corporation shall not place into effect the rules, rates and regulations contained in Supplement 83 to its Tariff-Electric Pa. P.U.C. No. 201, as filed.</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2.</w:t>
      </w:r>
      <w:r>
        <w:rPr>
          <w:sz w:val="24"/>
          <w:szCs w:val="24"/>
        </w:rPr>
        <w:tab/>
        <w:t>That the Joint Petition for Partial Settlement, signed by PPL Electric Utilities Corporation, Office of Trial Staff, Office of Consumer Advocate, and Richards Energy Group, is approved without modification.</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3.</w:t>
      </w:r>
      <w:r>
        <w:rPr>
          <w:sz w:val="24"/>
          <w:szCs w:val="24"/>
        </w:rPr>
        <w:tab/>
        <w:t xml:space="preserve">That PPL Electric Utilities Corporation is authorized to file a revised supplement to PPL Electric’s Tariff – Electric Pa. P.U.C. No. 201 designed to produce an annual </w:t>
      </w:r>
      <w:r>
        <w:rPr>
          <w:sz w:val="24"/>
          <w:szCs w:val="24"/>
        </w:rPr>
        <w:lastRenderedPageBreak/>
        <w:t xml:space="preserve">distribution rate revenue increase of approximately $77.5 million, to become effective for service rendered on and after January 1, 2011.  </w:t>
      </w:r>
    </w:p>
    <w:p w:rsidR="0050210F" w:rsidRDefault="000E7AB9" w:rsidP="000E7AB9">
      <w:pPr>
        <w:pStyle w:val="FootnoteText"/>
        <w:spacing w:line="360" w:lineRule="auto"/>
        <w:rPr>
          <w:sz w:val="24"/>
          <w:szCs w:val="24"/>
        </w:rPr>
      </w:pPr>
      <w:r>
        <w:rPr>
          <w:sz w:val="24"/>
          <w:szCs w:val="24"/>
        </w:rPr>
        <w:tab/>
      </w:r>
    </w:p>
    <w:p w:rsidR="000E7AB9" w:rsidRDefault="0050210F" w:rsidP="000E7AB9">
      <w:pPr>
        <w:pStyle w:val="FootnoteText"/>
        <w:spacing w:line="360" w:lineRule="auto"/>
        <w:rPr>
          <w:sz w:val="24"/>
          <w:szCs w:val="24"/>
        </w:rPr>
      </w:pPr>
      <w:r>
        <w:rPr>
          <w:sz w:val="24"/>
          <w:szCs w:val="24"/>
        </w:rPr>
        <w:tab/>
      </w:r>
      <w:r w:rsidR="000E7AB9">
        <w:rPr>
          <w:sz w:val="24"/>
          <w:szCs w:val="24"/>
        </w:rPr>
        <w:tab/>
        <w:t>4.</w:t>
      </w:r>
      <w:r w:rsidR="000E7AB9">
        <w:rPr>
          <w:sz w:val="24"/>
          <w:szCs w:val="24"/>
        </w:rPr>
        <w:tab/>
        <w:t>That PPL Electric Utilities Corporation shall file detailed calculations with its tariff filing which demonstrates to the parties’ satisfaction that the filed tariff adjustments comply with the provisions of the final Commission Order</w:t>
      </w:r>
      <w:r w:rsidR="00294151">
        <w:rPr>
          <w:sz w:val="24"/>
          <w:szCs w:val="24"/>
        </w:rPr>
        <w:t xml:space="preserve"> in this case</w:t>
      </w:r>
      <w:r w:rsidR="000E7AB9">
        <w:rPr>
          <w:sz w:val="24"/>
          <w:szCs w:val="24"/>
        </w:rPr>
        <w:t>.</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5.</w:t>
      </w:r>
      <w:r>
        <w:rPr>
          <w:sz w:val="24"/>
          <w:szCs w:val="24"/>
        </w:rPr>
        <w:tab/>
        <w:t>That PPL Electric Utilities Corporation shall allocate the authorized increase in operating revenue to each customer class and rate schedule within each in the manner prescribed in the final Commission Order</w:t>
      </w:r>
      <w:r w:rsidR="00294151">
        <w:rPr>
          <w:sz w:val="24"/>
          <w:szCs w:val="24"/>
        </w:rPr>
        <w:t xml:space="preserve"> in this case</w:t>
      </w:r>
      <w:r>
        <w:rPr>
          <w:sz w:val="24"/>
          <w:szCs w:val="24"/>
        </w:rPr>
        <w:t>.</w:t>
      </w:r>
    </w:p>
    <w:p w:rsidR="000E7AB9" w:rsidRDefault="000E7AB9" w:rsidP="000E7AB9">
      <w:pPr>
        <w:pStyle w:val="FootnoteText"/>
        <w:spacing w:line="360" w:lineRule="auto"/>
        <w:rPr>
          <w:sz w:val="24"/>
          <w:szCs w:val="24"/>
        </w:rPr>
      </w:pPr>
    </w:p>
    <w:p w:rsidR="000E7AB9" w:rsidRDefault="000E7AB9" w:rsidP="000E7AB9">
      <w:pPr>
        <w:pStyle w:val="FootnoteText"/>
        <w:spacing w:line="360" w:lineRule="auto"/>
        <w:rPr>
          <w:sz w:val="24"/>
          <w:szCs w:val="24"/>
        </w:rPr>
      </w:pPr>
      <w:r>
        <w:rPr>
          <w:sz w:val="24"/>
          <w:szCs w:val="24"/>
        </w:rPr>
        <w:tab/>
      </w:r>
      <w:r>
        <w:rPr>
          <w:sz w:val="24"/>
          <w:szCs w:val="24"/>
        </w:rPr>
        <w:tab/>
        <w:t>6.</w:t>
      </w:r>
      <w:r>
        <w:rPr>
          <w:sz w:val="24"/>
          <w:szCs w:val="24"/>
        </w:rPr>
        <w:tab/>
        <w:t>T</w:t>
      </w:r>
      <w:r w:rsidR="00294151">
        <w:rPr>
          <w:sz w:val="24"/>
          <w:szCs w:val="24"/>
        </w:rPr>
        <w:t>hat t</w:t>
      </w:r>
      <w:r>
        <w:rPr>
          <w:sz w:val="24"/>
          <w:szCs w:val="24"/>
        </w:rPr>
        <w:t>he investigation at Docket Number R-2010-2161694 is hereby terminated and shall be marked closed.</w:t>
      </w:r>
    </w:p>
    <w:p w:rsidR="000E7AB9" w:rsidRDefault="000E7AB9" w:rsidP="000E7AB9">
      <w:pPr>
        <w:pStyle w:val="FootnoteText"/>
        <w:spacing w:line="360" w:lineRule="auto"/>
        <w:rPr>
          <w:sz w:val="24"/>
          <w:szCs w:val="24"/>
        </w:rPr>
      </w:pPr>
    </w:p>
    <w:p w:rsidR="000E7AB9" w:rsidRDefault="000E7AB9" w:rsidP="000E7AB9">
      <w:pPr>
        <w:jc w:val="left"/>
      </w:pPr>
      <w:r>
        <w:tab/>
      </w:r>
      <w:r>
        <w:tab/>
        <w:t>7.</w:t>
      </w:r>
      <w:r>
        <w:tab/>
        <w:t>That the complaints filed by the Office of Consumer Advocate (OCA); Office of Small Business Advocate (OSBA) and PP&amp;L Industrial Customer Alliance (PPLICA) are s</w:t>
      </w:r>
      <w:r w:rsidR="00294151">
        <w:t>ustained</w:t>
      </w:r>
      <w:r>
        <w:t xml:space="preserve"> in part and dismissed </w:t>
      </w:r>
      <w:r w:rsidR="00104992">
        <w:t xml:space="preserve">in </w:t>
      </w:r>
      <w:r>
        <w:t>part consistent with this Order.</w:t>
      </w:r>
    </w:p>
    <w:p w:rsidR="000E7AB9" w:rsidRDefault="000E7AB9" w:rsidP="000E7AB9">
      <w:pPr>
        <w:jc w:val="left"/>
      </w:pPr>
    </w:p>
    <w:p w:rsidR="000E7AB9" w:rsidRDefault="000E7AB9" w:rsidP="000E7AB9">
      <w:pPr>
        <w:jc w:val="left"/>
      </w:pPr>
      <w:r>
        <w:tab/>
      </w:r>
      <w:r>
        <w:tab/>
        <w:t>8.</w:t>
      </w:r>
      <w:r>
        <w:tab/>
        <w:t xml:space="preserve">That the complaints filed by Elaine &amp; Clayton Andrews, Jr.; Ashley A. Buck; Eric J. Epstein; Stephen F. Goldstein; Peter Grieger; William P. Hart; Linda M. Johnson; Gerard Martin; Eugene R. Ruoff; George R. Snyder; Shannon Stiffler; and Whitehall Township, and any other </w:t>
      </w:r>
      <w:r w:rsidR="00104992">
        <w:t xml:space="preserve">complaint </w:t>
      </w:r>
      <w:r>
        <w:t>not specifically noted but filed prior to issuance of this Order are hereby dismissed.</w:t>
      </w:r>
    </w:p>
    <w:p w:rsidR="000E7AB9" w:rsidRDefault="000E7AB9" w:rsidP="000E7AB9">
      <w:pPr>
        <w:jc w:val="left"/>
      </w:pPr>
    </w:p>
    <w:p w:rsidR="00974D3B" w:rsidRDefault="00974D3B" w:rsidP="000E7AB9">
      <w:pPr>
        <w:jc w:val="left"/>
      </w:pPr>
    </w:p>
    <w:p w:rsidR="000E7AB9" w:rsidRDefault="000E7AB9" w:rsidP="000E7AB9">
      <w:pPr>
        <w:spacing w:line="240" w:lineRule="auto"/>
        <w:contextualSpacing/>
        <w:jc w:val="left"/>
      </w:pPr>
      <w:r>
        <w:t xml:space="preserve">Dated: </w:t>
      </w:r>
      <w:r>
        <w:rPr>
          <w:u w:val="single"/>
        </w:rPr>
        <w:t>October 15, 2010</w:t>
      </w:r>
      <w:r>
        <w:tab/>
      </w:r>
      <w:r>
        <w:tab/>
      </w:r>
      <w:r>
        <w:tab/>
      </w:r>
      <w:r>
        <w:tab/>
        <w:t>___________________________________</w:t>
      </w:r>
      <w:r>
        <w:tab/>
      </w:r>
    </w:p>
    <w:p w:rsidR="000E7AB9" w:rsidRDefault="000E7AB9" w:rsidP="000E7AB9">
      <w:pPr>
        <w:spacing w:line="240" w:lineRule="auto"/>
        <w:contextualSpacing/>
        <w:jc w:val="left"/>
      </w:pPr>
      <w:r>
        <w:tab/>
      </w:r>
      <w:r>
        <w:tab/>
      </w:r>
      <w:r>
        <w:tab/>
      </w:r>
      <w:r>
        <w:tab/>
      </w:r>
      <w:r>
        <w:tab/>
      </w:r>
      <w:r>
        <w:tab/>
      </w:r>
      <w:r>
        <w:tab/>
        <w:t>Susan D. Colwell</w:t>
      </w:r>
    </w:p>
    <w:p w:rsidR="000E7AB9" w:rsidRDefault="000E7AB9" w:rsidP="000E7AB9">
      <w:pPr>
        <w:spacing w:line="240" w:lineRule="auto"/>
        <w:contextualSpacing/>
        <w:jc w:val="left"/>
      </w:pPr>
      <w:r>
        <w:tab/>
      </w:r>
      <w:r>
        <w:tab/>
      </w:r>
      <w:r>
        <w:tab/>
      </w:r>
      <w:r>
        <w:tab/>
      </w:r>
      <w:r>
        <w:tab/>
      </w:r>
      <w:r>
        <w:tab/>
      </w:r>
      <w:r>
        <w:tab/>
        <w:t>Administrative Law Judge</w:t>
      </w:r>
      <w:r>
        <w:tab/>
        <w:t xml:space="preserve"> </w:t>
      </w:r>
    </w:p>
    <w:p w:rsidR="000E7AB9" w:rsidRPr="00F4188B" w:rsidRDefault="000E7AB9" w:rsidP="000E7AB9">
      <w:pPr>
        <w:pStyle w:val="FootnoteText"/>
        <w:spacing w:line="360" w:lineRule="auto"/>
        <w:rPr>
          <w:sz w:val="24"/>
          <w:szCs w:val="24"/>
        </w:rPr>
      </w:pPr>
    </w:p>
    <w:p w:rsidR="000E7AB9" w:rsidRDefault="000E7AB9" w:rsidP="000E7AB9">
      <w:pPr>
        <w:pStyle w:val="BodyText2"/>
        <w:spacing w:line="360" w:lineRule="auto"/>
        <w:contextualSpacing/>
        <w:jc w:val="left"/>
      </w:pPr>
    </w:p>
    <w:p w:rsidR="000E7AB9" w:rsidRDefault="000E7AB9" w:rsidP="000E7AB9">
      <w:pPr>
        <w:pStyle w:val="Pleading2L3"/>
        <w:numPr>
          <w:ilvl w:val="0"/>
          <w:numId w:val="0"/>
        </w:numPr>
        <w:spacing w:line="360" w:lineRule="auto"/>
        <w:contextualSpacing/>
      </w:pPr>
    </w:p>
    <w:p w:rsidR="000E7AB9" w:rsidRPr="0050210F" w:rsidRDefault="000E7AB9" w:rsidP="0050210F">
      <w:pPr>
        <w:tabs>
          <w:tab w:val="left" w:pos="-720"/>
        </w:tabs>
        <w:suppressAutoHyphens/>
        <w:rPr>
          <w:b/>
          <w:spacing w:val="-3"/>
          <w:u w:val="single"/>
        </w:rPr>
      </w:pPr>
      <w:r>
        <w:rPr>
          <w:spacing w:val="-3"/>
        </w:rPr>
        <w:br w:type="page"/>
      </w:r>
      <w:r w:rsidRPr="0050210F">
        <w:rPr>
          <w:b/>
          <w:spacing w:val="-3"/>
          <w:u w:val="single"/>
        </w:rPr>
        <w:lastRenderedPageBreak/>
        <w:t>APPENDIX C</w:t>
      </w:r>
    </w:p>
    <w:p w:rsidR="000E7AB9" w:rsidRPr="00BB3554" w:rsidRDefault="000E7AB9" w:rsidP="000E7AB9">
      <w:pPr>
        <w:tabs>
          <w:tab w:val="left" w:pos="-720"/>
        </w:tabs>
        <w:suppressAutoHyphens/>
        <w:jc w:val="left"/>
        <w:rPr>
          <w:spacing w:val="-3"/>
        </w:rPr>
      </w:pPr>
    </w:p>
    <w:p w:rsidR="000E7AB9" w:rsidRPr="0050210F" w:rsidRDefault="000E7AB9" w:rsidP="000E7AB9">
      <w:pPr>
        <w:rPr>
          <w:u w:val="single"/>
        </w:rPr>
      </w:pPr>
      <w:r w:rsidRPr="0050210F">
        <w:rPr>
          <w:u w:val="single"/>
        </w:rPr>
        <w:t>PPL RATE CASE ACRONYMS</w:t>
      </w:r>
    </w:p>
    <w:p w:rsidR="000E7AB9" w:rsidRDefault="000E7AB9" w:rsidP="000E7AB9"/>
    <w:p w:rsidR="000E7AB9" w:rsidRDefault="000E7AB9" w:rsidP="0050210F">
      <w:pPr>
        <w:tabs>
          <w:tab w:val="left" w:pos="1440"/>
        </w:tabs>
        <w:jc w:val="left"/>
      </w:pPr>
      <w:r>
        <w:t>A&amp;G</w:t>
      </w:r>
      <w:r>
        <w:tab/>
      </w:r>
      <w:r w:rsidR="0050210F">
        <w:t>Administrative and General C</w:t>
      </w:r>
      <w:r>
        <w:t>osts</w:t>
      </w:r>
    </w:p>
    <w:p w:rsidR="000E7AB9" w:rsidRDefault="000E7AB9" w:rsidP="0050210F">
      <w:pPr>
        <w:tabs>
          <w:tab w:val="left" w:pos="1440"/>
        </w:tabs>
        <w:jc w:val="left"/>
      </w:pPr>
      <w:r>
        <w:t>ACR</w:t>
      </w:r>
      <w:r>
        <w:tab/>
        <w:t>Act 129 Compliance Rider</w:t>
      </w:r>
    </w:p>
    <w:p w:rsidR="000E7AB9" w:rsidRDefault="000E7AB9" w:rsidP="0050210F">
      <w:pPr>
        <w:tabs>
          <w:tab w:val="left" w:pos="1440"/>
        </w:tabs>
        <w:jc w:val="left"/>
      </w:pPr>
      <w:r>
        <w:t>AFUDC</w:t>
      </w:r>
      <w:r>
        <w:tab/>
        <w:t xml:space="preserve">Allowance for </w:t>
      </w:r>
      <w:r w:rsidR="0050210F">
        <w:t>F</w:t>
      </w:r>
      <w:r>
        <w:t xml:space="preserve">unds </w:t>
      </w:r>
      <w:r w:rsidR="0050210F">
        <w:t>Used During Construction</w:t>
      </w:r>
    </w:p>
    <w:p w:rsidR="000E7AB9" w:rsidRDefault="000E7AB9" w:rsidP="0050210F">
      <w:pPr>
        <w:tabs>
          <w:tab w:val="left" w:pos="1440"/>
        </w:tabs>
        <w:jc w:val="left"/>
      </w:pPr>
      <w:r>
        <w:t>AIS</w:t>
      </w:r>
      <w:r>
        <w:tab/>
        <w:t xml:space="preserve">Davies Asset Investment System </w:t>
      </w:r>
      <w:r w:rsidR="0050210F">
        <w:t>Software</w:t>
      </w:r>
    </w:p>
    <w:p w:rsidR="000E7AB9" w:rsidRDefault="000E7AB9" w:rsidP="0050210F">
      <w:pPr>
        <w:tabs>
          <w:tab w:val="left" w:pos="1440"/>
        </w:tabs>
        <w:jc w:val="left"/>
      </w:pPr>
      <w:r>
        <w:t>AMR</w:t>
      </w:r>
      <w:r>
        <w:tab/>
        <w:t>Automated Meter Reading</w:t>
      </w:r>
    </w:p>
    <w:p w:rsidR="000E7AB9" w:rsidRDefault="000E7AB9" w:rsidP="0050210F">
      <w:pPr>
        <w:tabs>
          <w:tab w:val="left" w:pos="1440"/>
        </w:tabs>
        <w:jc w:val="left"/>
      </w:pPr>
      <w:r>
        <w:t>AOS</w:t>
      </w:r>
      <w:r>
        <w:tab/>
        <w:t>Asset Optimization Strategy</w:t>
      </w:r>
    </w:p>
    <w:p w:rsidR="000E7AB9" w:rsidRDefault="000E7AB9" w:rsidP="0050210F">
      <w:pPr>
        <w:tabs>
          <w:tab w:val="left" w:pos="1440"/>
        </w:tabs>
        <w:jc w:val="left"/>
      </w:pPr>
      <w:r>
        <w:t>C&amp;I</w:t>
      </w:r>
      <w:r>
        <w:tab/>
      </w:r>
      <w:r w:rsidR="0050210F">
        <w:t>Commercial and I</w:t>
      </w:r>
      <w:r>
        <w:t>ndustrial</w:t>
      </w:r>
    </w:p>
    <w:p w:rsidR="000E7AB9" w:rsidRDefault="000E7AB9" w:rsidP="0050210F">
      <w:pPr>
        <w:tabs>
          <w:tab w:val="left" w:pos="1440"/>
        </w:tabs>
        <w:jc w:val="left"/>
      </w:pPr>
      <w:r>
        <w:t>CAIDI</w:t>
      </w:r>
      <w:r>
        <w:tab/>
        <w:t>Customer Average Interruption Duration Index</w:t>
      </w:r>
    </w:p>
    <w:p w:rsidR="000E7AB9" w:rsidRDefault="000E7AB9" w:rsidP="0050210F">
      <w:pPr>
        <w:tabs>
          <w:tab w:val="left" w:pos="1440"/>
        </w:tabs>
        <w:jc w:val="left"/>
      </w:pPr>
      <w:r>
        <w:t>CAP</w:t>
      </w:r>
      <w:r>
        <w:tab/>
      </w:r>
      <w:r w:rsidR="0050210F">
        <w:t>Customer Assistance Program</w:t>
      </w:r>
    </w:p>
    <w:p w:rsidR="000E7AB9" w:rsidRDefault="0050210F" w:rsidP="0050210F">
      <w:pPr>
        <w:tabs>
          <w:tab w:val="left" w:pos="1440"/>
        </w:tabs>
        <w:jc w:val="left"/>
      </w:pPr>
      <w:r>
        <w:t>CAPM</w:t>
      </w:r>
      <w:r>
        <w:tab/>
        <w:t xml:space="preserve"> </w:t>
      </w:r>
      <w:r w:rsidR="000E7AB9">
        <w:t>Capital Asset Pricing Model</w:t>
      </w:r>
    </w:p>
    <w:p w:rsidR="000E7AB9" w:rsidRDefault="000E7AB9" w:rsidP="0050210F">
      <w:pPr>
        <w:tabs>
          <w:tab w:val="left" w:pos="1440"/>
        </w:tabs>
        <w:jc w:val="left"/>
      </w:pPr>
      <w:r>
        <w:t>CBOs</w:t>
      </w:r>
      <w:r>
        <w:tab/>
        <w:t>Community Based Organizations</w:t>
      </w:r>
    </w:p>
    <w:p w:rsidR="000E7AB9" w:rsidRDefault="000E7AB9" w:rsidP="0050210F">
      <w:pPr>
        <w:tabs>
          <w:tab w:val="left" w:pos="1440"/>
        </w:tabs>
        <w:jc w:val="left"/>
      </w:pPr>
      <w:r>
        <w:t>CCR</w:t>
      </w:r>
      <w:r>
        <w:tab/>
        <w:t xml:space="preserve">Corporate </w:t>
      </w:r>
      <w:r w:rsidR="00C27BA1">
        <w:t>Credit Rating</w:t>
      </w:r>
    </w:p>
    <w:p w:rsidR="000E7AB9" w:rsidRDefault="000E7AB9" w:rsidP="0050210F">
      <w:pPr>
        <w:tabs>
          <w:tab w:val="left" w:pos="1440"/>
        </w:tabs>
        <w:jc w:val="left"/>
      </w:pPr>
      <w:r>
        <w:t>CE</w:t>
      </w:r>
      <w:r>
        <w:tab/>
        <w:t xml:space="preserve">Comparable </w:t>
      </w:r>
      <w:r w:rsidR="00C27BA1">
        <w:t>Earnings</w:t>
      </w:r>
    </w:p>
    <w:p w:rsidR="000E7AB9" w:rsidRDefault="000E7AB9" w:rsidP="0050210F">
      <w:pPr>
        <w:tabs>
          <w:tab w:val="left" w:pos="1440"/>
        </w:tabs>
        <w:jc w:val="left"/>
      </w:pPr>
      <w:r>
        <w:t>CEMI</w:t>
      </w:r>
      <w:r>
        <w:tab/>
        <w:t>Customers Experiencing Multiple Interruptions</w:t>
      </w:r>
    </w:p>
    <w:p w:rsidR="000E7AB9" w:rsidRDefault="000E7AB9" w:rsidP="0050210F">
      <w:pPr>
        <w:tabs>
          <w:tab w:val="left" w:pos="1440"/>
        </w:tabs>
        <w:jc w:val="left"/>
      </w:pPr>
      <w:r>
        <w:t>CP</w:t>
      </w:r>
      <w:r>
        <w:tab/>
      </w:r>
      <w:r w:rsidR="00C27BA1">
        <w:t>Coincident Peak</w:t>
      </w:r>
    </w:p>
    <w:p w:rsidR="000E7AB9" w:rsidRDefault="000E7AB9" w:rsidP="0050210F">
      <w:pPr>
        <w:tabs>
          <w:tab w:val="left" w:pos="1440"/>
        </w:tabs>
        <w:jc w:val="left"/>
      </w:pPr>
      <w:r>
        <w:t>CSRs</w:t>
      </w:r>
      <w:r>
        <w:tab/>
        <w:t>Customer Service Representatives</w:t>
      </w:r>
    </w:p>
    <w:p w:rsidR="000E7AB9" w:rsidRDefault="000E7AB9" w:rsidP="0050210F">
      <w:pPr>
        <w:tabs>
          <w:tab w:val="left" w:pos="1440"/>
        </w:tabs>
        <w:jc w:val="left"/>
      </w:pPr>
      <w:r>
        <w:t>CTC</w:t>
      </w:r>
      <w:r>
        <w:tab/>
        <w:t>Competitive Transition Charge</w:t>
      </w:r>
    </w:p>
    <w:p w:rsidR="000E7AB9" w:rsidRDefault="000E7AB9" w:rsidP="0050210F">
      <w:pPr>
        <w:tabs>
          <w:tab w:val="left" w:pos="1440"/>
        </w:tabs>
        <w:jc w:val="left"/>
      </w:pPr>
      <w:r>
        <w:t>DA</w:t>
      </w:r>
      <w:r>
        <w:tab/>
        <w:t>Distribution Automation</w:t>
      </w:r>
    </w:p>
    <w:p w:rsidR="000E7AB9" w:rsidRDefault="000E7AB9" w:rsidP="0050210F">
      <w:pPr>
        <w:tabs>
          <w:tab w:val="left" w:pos="1440"/>
        </w:tabs>
        <w:jc w:val="left"/>
      </w:pPr>
      <w:r>
        <w:t>DCF</w:t>
      </w:r>
      <w:r>
        <w:tab/>
      </w:r>
      <w:r w:rsidR="00C27BA1">
        <w:t>Discounted Cash Flow</w:t>
      </w:r>
    </w:p>
    <w:p w:rsidR="000E7AB9" w:rsidRDefault="000E7AB9" w:rsidP="0050210F">
      <w:pPr>
        <w:tabs>
          <w:tab w:val="left" w:pos="1440"/>
        </w:tabs>
        <w:jc w:val="left"/>
      </w:pPr>
      <w:r>
        <w:t>DMS</w:t>
      </w:r>
      <w:r>
        <w:tab/>
        <w:t>Distribution Management System</w:t>
      </w:r>
    </w:p>
    <w:p w:rsidR="000E7AB9" w:rsidRDefault="000E7AB9" w:rsidP="0050210F">
      <w:pPr>
        <w:tabs>
          <w:tab w:val="left" w:pos="1440"/>
        </w:tabs>
        <w:jc w:val="left"/>
      </w:pPr>
      <w:r>
        <w:t>E</w:t>
      </w:r>
      <w:r>
        <w:tab/>
      </w:r>
      <w:r w:rsidR="00C27BA1">
        <w:t>Common Equity Ratio</w:t>
      </w:r>
    </w:p>
    <w:p w:rsidR="000E7AB9" w:rsidRDefault="000E7AB9" w:rsidP="0050210F">
      <w:pPr>
        <w:tabs>
          <w:tab w:val="left" w:pos="1440"/>
        </w:tabs>
        <w:jc w:val="left"/>
      </w:pPr>
      <w:r>
        <w:t>EAP</w:t>
      </w:r>
      <w:r>
        <w:tab/>
        <w:t>Energy Association of Pennsylvania</w:t>
      </w:r>
    </w:p>
    <w:p w:rsidR="000E7AB9" w:rsidRDefault="000E7AB9" w:rsidP="0050210F">
      <w:pPr>
        <w:tabs>
          <w:tab w:val="left" w:pos="1440"/>
        </w:tabs>
        <w:jc w:val="left"/>
      </w:pPr>
      <w:r>
        <w:t>EDEWG</w:t>
      </w:r>
      <w:r>
        <w:tab/>
        <w:t>Electronic Data Exchange Working Group</w:t>
      </w:r>
    </w:p>
    <w:p w:rsidR="000E7AB9" w:rsidRDefault="000E7AB9" w:rsidP="0050210F">
      <w:pPr>
        <w:tabs>
          <w:tab w:val="left" w:pos="1440"/>
        </w:tabs>
        <w:jc w:val="left"/>
      </w:pPr>
      <w:r>
        <w:t>EDC</w:t>
      </w:r>
      <w:r>
        <w:tab/>
      </w:r>
      <w:r w:rsidR="00C27BA1">
        <w:t>Electric Distribution Company</w:t>
      </w:r>
    </w:p>
    <w:p w:rsidR="000E7AB9" w:rsidRDefault="000E7AB9" w:rsidP="0050210F">
      <w:pPr>
        <w:tabs>
          <w:tab w:val="left" w:pos="1440"/>
        </w:tabs>
        <w:jc w:val="left"/>
      </w:pPr>
      <w:r>
        <w:t>EDI</w:t>
      </w:r>
      <w:r>
        <w:tab/>
      </w:r>
      <w:r w:rsidR="00C27BA1">
        <w:t>Electronic Data Interchange Stmt.</w:t>
      </w:r>
      <w:r>
        <w:t xml:space="preserve"> 6 at 9</w:t>
      </w:r>
    </w:p>
    <w:p w:rsidR="000E7AB9" w:rsidRDefault="000E7AB9" w:rsidP="0050210F">
      <w:pPr>
        <w:tabs>
          <w:tab w:val="left" w:pos="1440"/>
        </w:tabs>
        <w:jc w:val="left"/>
      </w:pPr>
      <w:r>
        <w:t>EE&amp;C</w:t>
      </w:r>
      <w:r>
        <w:tab/>
        <w:t xml:space="preserve">Energy Efficiency and Conservation </w:t>
      </w:r>
      <w:r w:rsidR="00C27BA1">
        <w:t>Pl</w:t>
      </w:r>
      <w:r>
        <w:t>an</w:t>
      </w:r>
    </w:p>
    <w:p w:rsidR="000E7AB9" w:rsidRDefault="000E7AB9" w:rsidP="0050210F">
      <w:pPr>
        <w:tabs>
          <w:tab w:val="left" w:pos="1440"/>
        </w:tabs>
        <w:jc w:val="left"/>
      </w:pPr>
      <w:r>
        <w:t>EEI</w:t>
      </w:r>
      <w:r>
        <w:tab/>
        <w:t>Edison Electric Institute</w:t>
      </w:r>
    </w:p>
    <w:p w:rsidR="000E7AB9" w:rsidRDefault="000E7AB9" w:rsidP="0050210F">
      <w:pPr>
        <w:tabs>
          <w:tab w:val="left" w:pos="1440"/>
        </w:tabs>
        <w:jc w:val="left"/>
      </w:pPr>
      <w:r>
        <w:lastRenderedPageBreak/>
        <w:t>EGS</w:t>
      </w:r>
      <w:r>
        <w:tab/>
      </w:r>
      <w:r w:rsidR="00C27BA1">
        <w:t>Electric Generation Supplier</w:t>
      </w:r>
    </w:p>
    <w:p w:rsidR="000E7AB9" w:rsidRDefault="000E7AB9" w:rsidP="0050210F">
      <w:pPr>
        <w:tabs>
          <w:tab w:val="left" w:pos="1440"/>
        </w:tabs>
        <w:jc w:val="left"/>
      </w:pPr>
      <w:r>
        <w:t>EPACT</w:t>
      </w:r>
      <w:r>
        <w:tab/>
        <w:t>National Energy Policy Act</w:t>
      </w:r>
    </w:p>
    <w:p w:rsidR="000E7AB9" w:rsidRDefault="000E7AB9" w:rsidP="0050210F">
      <w:pPr>
        <w:tabs>
          <w:tab w:val="left" w:pos="1440"/>
        </w:tabs>
        <w:jc w:val="left"/>
      </w:pPr>
      <w:r>
        <w:t>FDR</w:t>
      </w:r>
      <w:r>
        <w:tab/>
      </w:r>
      <w:r w:rsidR="00C27BA1">
        <w:t>First Dollar Relief</w:t>
      </w:r>
    </w:p>
    <w:p w:rsidR="000E7AB9" w:rsidRDefault="00C27BA1" w:rsidP="0050210F">
      <w:pPr>
        <w:tabs>
          <w:tab w:val="left" w:pos="1440"/>
        </w:tabs>
        <w:jc w:val="left"/>
      </w:pPr>
      <w:r>
        <w:t>FOMC</w:t>
      </w:r>
      <w:r>
        <w:tab/>
      </w:r>
      <w:r w:rsidR="000E7AB9">
        <w:t>Federal Open Market Committee</w:t>
      </w:r>
    </w:p>
    <w:p w:rsidR="000E7AB9" w:rsidRDefault="000E7AB9" w:rsidP="0050210F">
      <w:pPr>
        <w:tabs>
          <w:tab w:val="left" w:pos="1440"/>
        </w:tabs>
        <w:jc w:val="left"/>
      </w:pPr>
      <w:r>
        <w:t>G</w:t>
      </w:r>
      <w:r>
        <w:tab/>
      </w:r>
      <w:r w:rsidR="00C27BA1">
        <w:t>Growth Rate</w:t>
      </w:r>
    </w:p>
    <w:p w:rsidR="000E7AB9" w:rsidRDefault="000E7AB9" w:rsidP="0050210F">
      <w:pPr>
        <w:tabs>
          <w:tab w:val="left" w:pos="1440"/>
        </w:tabs>
        <w:jc w:val="left"/>
      </w:pPr>
      <w:r>
        <w:t>GSC</w:t>
      </w:r>
      <w:r>
        <w:tab/>
        <w:t>Genera</w:t>
      </w:r>
      <w:r w:rsidR="00365F4C">
        <w:t>t</w:t>
      </w:r>
      <w:r>
        <w:t>ion Supply Charge</w:t>
      </w:r>
    </w:p>
    <w:p w:rsidR="000E7AB9" w:rsidRDefault="000E7AB9" w:rsidP="0050210F">
      <w:pPr>
        <w:tabs>
          <w:tab w:val="left" w:pos="1440"/>
        </w:tabs>
        <w:jc w:val="left"/>
      </w:pPr>
      <w:r>
        <w:t>IGF</w:t>
      </w:r>
      <w:r>
        <w:tab/>
        <w:t>Internally Generated Funds</w:t>
      </w:r>
    </w:p>
    <w:p w:rsidR="000E7AB9" w:rsidRDefault="000E7AB9" w:rsidP="0050210F">
      <w:pPr>
        <w:tabs>
          <w:tab w:val="left" w:pos="1440"/>
        </w:tabs>
        <w:jc w:val="left"/>
      </w:pPr>
      <w:r>
        <w:t>IVR</w:t>
      </w:r>
      <w:r>
        <w:tab/>
        <w:t>Interactive Voice Response</w:t>
      </w:r>
    </w:p>
    <w:p w:rsidR="000E7AB9" w:rsidRDefault="00C27BA1" w:rsidP="0050210F">
      <w:pPr>
        <w:tabs>
          <w:tab w:val="left" w:pos="1440"/>
        </w:tabs>
        <w:jc w:val="left"/>
      </w:pPr>
      <w:r>
        <w:t>LT</w:t>
      </w:r>
      <w:r>
        <w:tab/>
        <w:t>Long T</w:t>
      </w:r>
      <w:r w:rsidR="000E7AB9">
        <w:t>erm</w:t>
      </w:r>
    </w:p>
    <w:p w:rsidR="000E7AB9" w:rsidRDefault="00C27BA1" w:rsidP="0050210F">
      <w:pPr>
        <w:tabs>
          <w:tab w:val="left" w:pos="1440"/>
        </w:tabs>
        <w:jc w:val="left"/>
      </w:pPr>
      <w:r>
        <w:t xml:space="preserve">LIURP </w:t>
      </w:r>
      <w:r>
        <w:tab/>
      </w:r>
      <w:r w:rsidR="000E7AB9">
        <w:t>Low Income Usage Reduction Program</w:t>
      </w:r>
    </w:p>
    <w:p w:rsidR="000E7AB9" w:rsidRDefault="000E7AB9" w:rsidP="0050210F">
      <w:pPr>
        <w:tabs>
          <w:tab w:val="left" w:pos="1440"/>
        </w:tabs>
        <w:jc w:val="left"/>
      </w:pPr>
      <w:r>
        <w:t>MEPR</w:t>
      </w:r>
      <w:r>
        <w:tab/>
        <w:t>Modified Earnings-Price Ratio</w:t>
      </w:r>
    </w:p>
    <w:p w:rsidR="000E7AB9" w:rsidRDefault="000E7AB9" w:rsidP="0050210F">
      <w:pPr>
        <w:tabs>
          <w:tab w:val="left" w:pos="1440"/>
        </w:tabs>
        <w:jc w:val="left"/>
      </w:pPr>
      <w:r>
        <w:t>MFC</w:t>
      </w:r>
      <w:r>
        <w:tab/>
        <w:t xml:space="preserve">Merchant Function Charge </w:t>
      </w:r>
    </w:p>
    <w:p w:rsidR="000E7AB9" w:rsidRDefault="000E7AB9" w:rsidP="0050210F">
      <w:pPr>
        <w:tabs>
          <w:tab w:val="left" w:pos="1440"/>
        </w:tabs>
        <w:jc w:val="left"/>
      </w:pPr>
      <w:r>
        <w:t>MTB</w:t>
      </w:r>
      <w:r>
        <w:tab/>
        <w:t xml:space="preserve">Market to Book Ratio </w:t>
      </w:r>
    </w:p>
    <w:p w:rsidR="000E7AB9" w:rsidRDefault="000E7AB9" w:rsidP="0050210F">
      <w:pPr>
        <w:tabs>
          <w:tab w:val="left" w:pos="1440"/>
        </w:tabs>
        <w:jc w:val="left"/>
      </w:pPr>
      <w:r>
        <w:t>MOM</w:t>
      </w:r>
      <w:r>
        <w:tab/>
        <w:t>Mobile Operations Management</w:t>
      </w:r>
    </w:p>
    <w:p w:rsidR="000E7AB9" w:rsidRDefault="000E7AB9" w:rsidP="0050210F">
      <w:pPr>
        <w:tabs>
          <w:tab w:val="left" w:pos="1440"/>
        </w:tabs>
        <w:jc w:val="left"/>
      </w:pPr>
      <w:r>
        <w:t>NCP</w:t>
      </w:r>
      <w:r>
        <w:tab/>
      </w:r>
      <w:r w:rsidR="00C27BA1">
        <w:t>Noncoincident Peak</w:t>
      </w:r>
    </w:p>
    <w:p w:rsidR="000E7AB9" w:rsidRDefault="000E7AB9" w:rsidP="0050210F">
      <w:pPr>
        <w:tabs>
          <w:tab w:val="left" w:pos="1440"/>
        </w:tabs>
        <w:jc w:val="left"/>
      </w:pPr>
      <w:r>
        <w:t>NUGS</w:t>
      </w:r>
      <w:r>
        <w:tab/>
      </w:r>
      <w:r w:rsidR="00C27BA1">
        <w:t>Non Utility Generators</w:t>
      </w:r>
    </w:p>
    <w:p w:rsidR="000E7AB9" w:rsidRDefault="000E7AB9" w:rsidP="0050210F">
      <w:pPr>
        <w:tabs>
          <w:tab w:val="left" w:pos="1440"/>
        </w:tabs>
        <w:jc w:val="left"/>
      </w:pPr>
      <w:r>
        <w:t xml:space="preserve">OCI </w:t>
      </w:r>
      <w:r>
        <w:tab/>
        <w:t xml:space="preserve">Other </w:t>
      </w:r>
      <w:r w:rsidR="00C27BA1">
        <w:t>Comprehensive Income</w:t>
      </w:r>
    </w:p>
    <w:p w:rsidR="000E7AB9" w:rsidRDefault="000E7AB9" w:rsidP="0050210F">
      <w:pPr>
        <w:tabs>
          <w:tab w:val="left" w:pos="1440"/>
        </w:tabs>
        <w:jc w:val="left"/>
      </w:pPr>
      <w:r>
        <w:t>OCRs</w:t>
      </w:r>
      <w:r>
        <w:tab/>
        <w:t xml:space="preserve">Oil Circuit Reclosers </w:t>
      </w:r>
    </w:p>
    <w:p w:rsidR="000E7AB9" w:rsidRDefault="000E7AB9" w:rsidP="0050210F">
      <w:pPr>
        <w:tabs>
          <w:tab w:val="left" w:pos="1440"/>
        </w:tabs>
        <w:jc w:val="left"/>
      </w:pPr>
      <w:r>
        <w:t>O&amp;M</w:t>
      </w:r>
      <w:r>
        <w:tab/>
        <w:t>Operation and Maintenance</w:t>
      </w:r>
    </w:p>
    <w:p w:rsidR="000E7AB9" w:rsidRDefault="000E7AB9" w:rsidP="0050210F">
      <w:pPr>
        <w:tabs>
          <w:tab w:val="left" w:pos="1440"/>
        </w:tabs>
        <w:jc w:val="left"/>
      </w:pPr>
      <w:r>
        <w:t>P</w:t>
      </w:r>
      <w:r>
        <w:tab/>
      </w:r>
      <w:r w:rsidR="00C27BA1">
        <w:t xml:space="preserve">Preferred </w:t>
      </w:r>
      <w:r w:rsidR="00BF4DB5">
        <w:t>a</w:t>
      </w:r>
      <w:r w:rsidR="00C27BA1">
        <w:t>nd Preference Stock</w:t>
      </w:r>
    </w:p>
    <w:p w:rsidR="000E7AB9" w:rsidRDefault="000E7AB9" w:rsidP="0050210F">
      <w:pPr>
        <w:tabs>
          <w:tab w:val="left" w:pos="1440"/>
        </w:tabs>
        <w:jc w:val="left"/>
      </w:pPr>
      <w:r>
        <w:t>PES</w:t>
      </w:r>
      <w:r>
        <w:tab/>
        <w:t xml:space="preserve">Provide </w:t>
      </w:r>
      <w:r w:rsidR="00C27BA1">
        <w:t>Electrical Service</w:t>
      </w:r>
      <w:r>
        <w:t xml:space="preserve">, or </w:t>
      </w:r>
      <w:r w:rsidR="00C27BA1" w:rsidRPr="00C27BA1">
        <w:t>New Customer Connections</w:t>
      </w:r>
    </w:p>
    <w:p w:rsidR="000E7AB9" w:rsidRDefault="000E7AB9" w:rsidP="0050210F">
      <w:pPr>
        <w:tabs>
          <w:tab w:val="left" w:pos="1440"/>
        </w:tabs>
        <w:jc w:val="left"/>
      </w:pPr>
      <w:r>
        <w:t>PJM</w:t>
      </w:r>
      <w:r>
        <w:tab/>
        <w:t>PJM Interconnection, LLC</w:t>
      </w:r>
    </w:p>
    <w:p w:rsidR="000E7AB9" w:rsidRDefault="000E7AB9" w:rsidP="0050210F">
      <w:pPr>
        <w:tabs>
          <w:tab w:val="left" w:pos="1440"/>
        </w:tabs>
        <w:jc w:val="left"/>
      </w:pPr>
      <w:r>
        <w:t>POLR</w:t>
      </w:r>
      <w:r>
        <w:tab/>
        <w:t xml:space="preserve">Provider of </w:t>
      </w:r>
      <w:r w:rsidR="00C27BA1">
        <w:t>Last Resort</w:t>
      </w:r>
    </w:p>
    <w:p w:rsidR="000E7AB9" w:rsidRDefault="000E7AB9" w:rsidP="0050210F">
      <w:pPr>
        <w:tabs>
          <w:tab w:val="left" w:pos="1440"/>
        </w:tabs>
        <w:jc w:val="left"/>
      </w:pPr>
      <w:r>
        <w:t>POR</w:t>
      </w:r>
      <w:r>
        <w:tab/>
      </w:r>
      <w:r w:rsidR="00C27BA1">
        <w:t>P</w:t>
      </w:r>
      <w:r>
        <w:t>urchase of</w:t>
      </w:r>
      <w:r w:rsidR="00C27BA1">
        <w:t xml:space="preserve"> R</w:t>
      </w:r>
      <w:r>
        <w:t>eceivables</w:t>
      </w:r>
    </w:p>
    <w:p w:rsidR="000E7AB9" w:rsidRDefault="000E7AB9" w:rsidP="0050210F">
      <w:pPr>
        <w:tabs>
          <w:tab w:val="left" w:pos="1440"/>
        </w:tabs>
        <w:jc w:val="left"/>
      </w:pPr>
      <w:r>
        <w:t>PUHCA</w:t>
      </w:r>
      <w:r>
        <w:tab/>
        <w:t>Public Utility Holding Company Act</w:t>
      </w:r>
    </w:p>
    <w:p w:rsidR="000E7AB9" w:rsidRDefault="000E7AB9" w:rsidP="0050210F">
      <w:pPr>
        <w:tabs>
          <w:tab w:val="left" w:pos="1440"/>
        </w:tabs>
        <w:jc w:val="left"/>
      </w:pPr>
      <w:r>
        <w:t>PTC</w:t>
      </w:r>
      <w:r>
        <w:tab/>
        <w:t>Price to Compare</w:t>
      </w:r>
    </w:p>
    <w:p w:rsidR="000E7AB9" w:rsidRDefault="000E7AB9" w:rsidP="0050210F">
      <w:pPr>
        <w:tabs>
          <w:tab w:val="left" w:pos="1440"/>
        </w:tabs>
        <w:jc w:val="left"/>
      </w:pPr>
      <w:r>
        <w:t>RP</w:t>
      </w:r>
      <w:r>
        <w:tab/>
        <w:t>Risk Premium</w:t>
      </w:r>
    </w:p>
    <w:p w:rsidR="000E7AB9" w:rsidRDefault="000E7AB9" w:rsidP="0050210F">
      <w:pPr>
        <w:tabs>
          <w:tab w:val="left" w:pos="1440"/>
        </w:tabs>
        <w:jc w:val="left"/>
      </w:pPr>
      <w:r>
        <w:t>RTC</w:t>
      </w:r>
      <w:r>
        <w:tab/>
        <w:t xml:space="preserve">Restore the Customer </w:t>
      </w:r>
      <w:r w:rsidR="00C27BA1">
        <w:t>O</w:t>
      </w:r>
      <w:r>
        <w:t>rganization (initial response to interruptions)</w:t>
      </w:r>
    </w:p>
    <w:p w:rsidR="000E7AB9" w:rsidRDefault="000E7AB9" w:rsidP="0050210F">
      <w:pPr>
        <w:tabs>
          <w:tab w:val="left" w:pos="1440"/>
        </w:tabs>
        <w:jc w:val="left"/>
      </w:pPr>
      <w:r>
        <w:t>RTO</w:t>
      </w:r>
      <w:r>
        <w:tab/>
        <w:t>Regional Transmission Organizations</w:t>
      </w:r>
    </w:p>
    <w:p w:rsidR="000E7AB9" w:rsidRDefault="000E7AB9" w:rsidP="0050210F">
      <w:pPr>
        <w:tabs>
          <w:tab w:val="left" w:pos="1440"/>
        </w:tabs>
        <w:jc w:val="left"/>
      </w:pPr>
      <w:r>
        <w:t>RTS</w:t>
      </w:r>
      <w:r>
        <w:tab/>
        <w:t xml:space="preserve">Residential Thermal Unit </w:t>
      </w:r>
      <w:r w:rsidR="00C27BA1">
        <w:t>Rate S</w:t>
      </w:r>
      <w:r>
        <w:t>chedule</w:t>
      </w:r>
    </w:p>
    <w:p w:rsidR="000E7AB9" w:rsidRDefault="000E7AB9" w:rsidP="0050210F">
      <w:pPr>
        <w:tabs>
          <w:tab w:val="left" w:pos="1440"/>
        </w:tabs>
        <w:jc w:val="left"/>
      </w:pPr>
      <w:r>
        <w:t>S&amp;P</w:t>
      </w:r>
      <w:r>
        <w:tab/>
        <w:t>Standard &amp; Poor’s</w:t>
      </w:r>
    </w:p>
    <w:p w:rsidR="000E7AB9" w:rsidRDefault="000E7AB9" w:rsidP="0050210F">
      <w:pPr>
        <w:tabs>
          <w:tab w:val="left" w:pos="1440"/>
        </w:tabs>
        <w:jc w:val="left"/>
      </w:pPr>
      <w:r>
        <w:lastRenderedPageBreak/>
        <w:t>SAIDI</w:t>
      </w:r>
      <w:r>
        <w:tab/>
        <w:t>System Average Interruption Duration Index</w:t>
      </w:r>
    </w:p>
    <w:p w:rsidR="000E7AB9" w:rsidRDefault="000E7AB9" w:rsidP="0050210F">
      <w:pPr>
        <w:tabs>
          <w:tab w:val="left" w:pos="1440"/>
        </w:tabs>
        <w:jc w:val="left"/>
      </w:pPr>
      <w:r>
        <w:t>SAIFI</w:t>
      </w:r>
      <w:r>
        <w:tab/>
        <w:t>System Average Interruption Frequency Index</w:t>
      </w:r>
    </w:p>
    <w:p w:rsidR="000E7AB9" w:rsidRDefault="000E7AB9" w:rsidP="0050210F">
      <w:pPr>
        <w:tabs>
          <w:tab w:val="left" w:pos="1440"/>
        </w:tabs>
        <w:jc w:val="left"/>
      </w:pPr>
      <w:r>
        <w:t>SOX</w:t>
      </w:r>
      <w:r>
        <w:tab/>
        <w:t xml:space="preserve">Sarbanes-Oxley </w:t>
      </w:r>
      <w:r>
        <w:tab/>
      </w:r>
    </w:p>
    <w:p w:rsidR="000E7AB9" w:rsidRDefault="000E7AB9" w:rsidP="0050210F">
      <w:pPr>
        <w:tabs>
          <w:tab w:val="left" w:pos="1440"/>
        </w:tabs>
        <w:jc w:val="left"/>
      </w:pPr>
      <w:r>
        <w:t>STAS</w:t>
      </w:r>
      <w:r>
        <w:tab/>
        <w:t xml:space="preserve">State Tax Adjustment Surcharge </w:t>
      </w:r>
    </w:p>
    <w:p w:rsidR="000E7AB9" w:rsidRDefault="000E7AB9" w:rsidP="0050210F">
      <w:pPr>
        <w:tabs>
          <w:tab w:val="left" w:pos="1440"/>
        </w:tabs>
        <w:jc w:val="left"/>
      </w:pPr>
      <w:r>
        <w:t>TSC</w:t>
      </w:r>
      <w:r>
        <w:tab/>
        <w:t>Transmission Service Charge</w:t>
      </w:r>
    </w:p>
    <w:p w:rsidR="000E7AB9" w:rsidRDefault="000E7AB9" w:rsidP="0050210F">
      <w:pPr>
        <w:tabs>
          <w:tab w:val="left" w:pos="1440"/>
        </w:tabs>
        <w:jc w:val="left"/>
      </w:pPr>
      <w:r>
        <w:t>USR</w:t>
      </w:r>
      <w:r>
        <w:tab/>
        <w:t>Universal Service Rider</w:t>
      </w:r>
    </w:p>
    <w:p w:rsidR="000E7AB9" w:rsidRDefault="000E7AB9" w:rsidP="0050210F">
      <w:pPr>
        <w:tabs>
          <w:tab w:val="left" w:pos="1440"/>
        </w:tabs>
        <w:jc w:val="left"/>
      </w:pPr>
      <w:r>
        <w:t>VEE</w:t>
      </w:r>
      <w:r>
        <w:tab/>
        <w:t xml:space="preserve">Validation, Estimating and Editing of </w:t>
      </w:r>
      <w:r w:rsidR="00365F4C">
        <w:t>Interval Meter Data</w:t>
      </w:r>
    </w:p>
    <w:p w:rsidR="000E7AB9" w:rsidRDefault="000E7AB9" w:rsidP="0050210F">
      <w:pPr>
        <w:tabs>
          <w:tab w:val="left" w:pos="1440"/>
        </w:tabs>
        <w:jc w:val="left"/>
      </w:pPr>
      <w:r>
        <w:t xml:space="preserve">WRAP  </w:t>
      </w:r>
      <w:r w:rsidR="00365F4C">
        <w:tab/>
      </w:r>
      <w:r>
        <w:t>Winter Relief Assistance Program</w:t>
      </w:r>
    </w:p>
    <w:p w:rsidR="000E7AB9" w:rsidRDefault="00365F4C" w:rsidP="0050210F">
      <w:pPr>
        <w:tabs>
          <w:tab w:val="left" w:pos="1440"/>
        </w:tabs>
        <w:jc w:val="left"/>
      </w:pPr>
      <w:r>
        <w:t>YM</w:t>
      </w:r>
      <w:r w:rsidR="000E7AB9">
        <w:tab/>
      </w:r>
      <w:r>
        <w:t>Yield</w:t>
      </w:r>
      <w:r w:rsidR="000E7AB9">
        <w:t xml:space="preserve"> to </w:t>
      </w:r>
      <w:r>
        <w:t>Maturity</w:t>
      </w:r>
    </w:p>
    <w:p w:rsidR="00661538" w:rsidRDefault="000D1F31" w:rsidP="000D1F31">
      <w:pPr>
        <w:pStyle w:val="BodyText"/>
        <w:rPr>
          <w:spacing w:val="-3"/>
        </w:rPr>
      </w:pPr>
      <w:r>
        <w:rPr>
          <w:spacing w:val="-3"/>
        </w:rPr>
        <w:t xml:space="preserve"> </w:t>
      </w:r>
    </w:p>
    <w:p w:rsidR="00F574CA" w:rsidRPr="00F574CA" w:rsidRDefault="00F574CA" w:rsidP="00285CDC">
      <w:pPr>
        <w:spacing w:line="240" w:lineRule="auto"/>
        <w:contextualSpacing/>
        <w:jc w:val="left"/>
      </w:pPr>
    </w:p>
    <w:sectPr w:rsidR="00F574CA" w:rsidRPr="00F574CA" w:rsidSect="00C71E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A0D" w:rsidRDefault="00D21A0D" w:rsidP="001136B9">
      <w:pPr>
        <w:spacing w:line="240" w:lineRule="auto"/>
      </w:pPr>
      <w:r>
        <w:separator/>
      </w:r>
    </w:p>
  </w:endnote>
  <w:endnote w:type="continuationSeparator" w:id="0">
    <w:p w:rsidR="00D21A0D" w:rsidRDefault="00D21A0D" w:rsidP="001136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Pr="00BA05D9" w:rsidRDefault="00D00120" w:rsidP="00142651">
    <w:pPr>
      <w:pStyle w:val="Footer"/>
      <w:tabs>
        <w:tab w:val="clear" w:pos="4680"/>
        <w:tab w:val="center" w:pos="4320"/>
      </w:tabs>
      <w:rPr>
        <w:sz w:val="20"/>
        <w:szCs w:val="20"/>
      </w:rPr>
    </w:pPr>
    <w:r w:rsidRPr="00BA05D9">
      <w:rPr>
        <w:sz w:val="20"/>
        <w:szCs w:val="20"/>
      </w:rPr>
      <w:fldChar w:fldCharType="begin"/>
    </w:r>
    <w:r w:rsidRPr="00BA05D9">
      <w:rPr>
        <w:sz w:val="20"/>
        <w:szCs w:val="20"/>
      </w:rPr>
      <w:instrText xml:space="preserve"> PAGE   \* MERGEFORMAT </w:instrText>
    </w:r>
    <w:r w:rsidRPr="00BA05D9">
      <w:rPr>
        <w:sz w:val="20"/>
        <w:szCs w:val="20"/>
      </w:rPr>
      <w:fldChar w:fldCharType="separate"/>
    </w:r>
    <w:r w:rsidR="00011608">
      <w:rPr>
        <w:noProof/>
        <w:sz w:val="20"/>
        <w:szCs w:val="20"/>
      </w:rPr>
      <w:t>107</w:t>
    </w:r>
    <w:r w:rsidRPr="00BA05D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Default="00D00120" w:rsidP="00496F88">
    <w:pPr>
      <w:pStyle w:val="Footer"/>
      <w:tabs>
        <w:tab w:val="clear" w:pos="4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Default="00D00120" w:rsidP="00496F88">
    <w:pPr>
      <w:pStyle w:val="Footer"/>
      <w:tabs>
        <w:tab w:val="clear" w:pos="4680"/>
      </w:tabs>
    </w:pPr>
    <w:fldSimple w:instr=" PAGE   \* MERGEFORMAT ">
      <w:r w:rsidR="00AB3DA8">
        <w:rPr>
          <w:noProof/>
        </w:rPr>
        <w:t>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Pr="00BA05D9" w:rsidRDefault="00D00120" w:rsidP="00BA05D9">
    <w:pPr>
      <w:pStyle w:val="Footer"/>
      <w:tabs>
        <w:tab w:val="clear" w:pos="4680"/>
      </w:tabs>
      <w:rPr>
        <w:sz w:val="20"/>
        <w:szCs w:val="20"/>
      </w:rPr>
    </w:pPr>
    <w:r w:rsidRPr="00A46B3A">
      <w:rPr>
        <w:sz w:val="20"/>
        <w:szCs w:val="20"/>
      </w:rPr>
      <w:fldChar w:fldCharType="begin"/>
    </w:r>
    <w:r w:rsidRPr="00A46B3A">
      <w:rPr>
        <w:sz w:val="20"/>
        <w:szCs w:val="20"/>
      </w:rPr>
      <w:instrText xml:space="preserve"> PAGE   \* MERGEFORMAT </w:instrText>
    </w:r>
    <w:r w:rsidRPr="00A46B3A">
      <w:rPr>
        <w:sz w:val="20"/>
        <w:szCs w:val="20"/>
      </w:rPr>
      <w:fldChar w:fldCharType="separate"/>
    </w:r>
    <w:r w:rsidR="00AB3DA8">
      <w:rPr>
        <w:noProof/>
        <w:sz w:val="20"/>
        <w:szCs w:val="20"/>
      </w:rPr>
      <w:t>97</w:t>
    </w:r>
    <w:r w:rsidRPr="00A46B3A">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A0D" w:rsidRDefault="00D21A0D" w:rsidP="001136B9">
      <w:pPr>
        <w:spacing w:line="240" w:lineRule="auto"/>
      </w:pPr>
      <w:r>
        <w:separator/>
      </w:r>
    </w:p>
  </w:footnote>
  <w:footnote w:type="continuationSeparator" w:id="0">
    <w:p w:rsidR="00D21A0D" w:rsidRDefault="00D21A0D" w:rsidP="001136B9">
      <w:pPr>
        <w:spacing w:line="240" w:lineRule="auto"/>
      </w:pPr>
      <w:r>
        <w:continuationSeparator/>
      </w:r>
    </w:p>
  </w:footnote>
  <w:footnote w:id="1">
    <w:p w:rsidR="00D00120" w:rsidRDefault="00D00120" w:rsidP="00915753">
      <w:pPr>
        <w:pStyle w:val="FootnoteText"/>
        <w:tabs>
          <w:tab w:val="left" w:pos="720"/>
        </w:tabs>
      </w:pPr>
      <w:r w:rsidRPr="00106D0F">
        <w:rPr>
          <w:rStyle w:val="FootnoteReference"/>
          <w:vertAlign w:val="superscript"/>
        </w:rPr>
        <w:footnoteRef/>
      </w:r>
      <w:r>
        <w:tab/>
        <w:t>These customers can be divided into three categories:  those who do not understand shopping, those who understand and do shop, and those who understand but choose not to shop.  There are indications of all three.</w:t>
      </w:r>
    </w:p>
    <w:p w:rsidR="00D00120" w:rsidRDefault="00D00120" w:rsidP="00915753">
      <w:pPr>
        <w:pStyle w:val="FootnoteText"/>
        <w:tabs>
          <w:tab w:val="left" w:pos="720"/>
        </w:tabs>
      </w:pPr>
    </w:p>
  </w:footnote>
  <w:footnote w:id="2">
    <w:p w:rsidR="00D00120" w:rsidRDefault="00D00120" w:rsidP="00915753">
      <w:pPr>
        <w:pStyle w:val="FootnoteText"/>
        <w:tabs>
          <w:tab w:val="left" w:pos="720"/>
        </w:tabs>
      </w:pPr>
      <w:r w:rsidRPr="00106D0F">
        <w:rPr>
          <w:rStyle w:val="FootnoteReference"/>
          <w:vertAlign w:val="superscript"/>
        </w:rPr>
        <w:footnoteRef/>
      </w:r>
      <w:r>
        <w:tab/>
        <w:t xml:space="preserve">While a number of these stated that the customer did not believe that anyone read these, every one of them was read by the presiding officer and evaluated for information which might indicate a service complaint (a few were referred back to BCS), or qualification for a customer assistance program, or information indicating that it was intended to be a formal complaint (two were identified and addressed).  </w:t>
      </w:r>
    </w:p>
    <w:p w:rsidR="00D00120" w:rsidRDefault="00D00120" w:rsidP="00915753">
      <w:pPr>
        <w:pStyle w:val="FootnoteText"/>
        <w:tabs>
          <w:tab w:val="left" w:pos="720"/>
        </w:tabs>
      </w:pPr>
    </w:p>
  </w:footnote>
  <w:footnote w:id="3">
    <w:p w:rsidR="00D00120" w:rsidRDefault="00D00120" w:rsidP="00915753">
      <w:pPr>
        <w:pStyle w:val="FootnoteText"/>
        <w:tabs>
          <w:tab w:val="left" w:pos="720"/>
        </w:tabs>
      </w:pPr>
      <w:r w:rsidRPr="00106D0F">
        <w:rPr>
          <w:rStyle w:val="FootnoteReference"/>
          <w:vertAlign w:val="superscript"/>
        </w:rPr>
        <w:footnoteRef/>
      </w:r>
      <w:r>
        <w:tab/>
        <w:t>Letters were received from Senator Lisa Boscola and Representatives Jim Wansacz, 114</w:t>
      </w:r>
      <w:r w:rsidRPr="00FC43B9">
        <w:rPr>
          <w:vertAlign w:val="superscript"/>
        </w:rPr>
        <w:t>th</w:t>
      </w:r>
      <w:r>
        <w:t xml:space="preserve"> District, Karen Bobeck, 117</w:t>
      </w:r>
      <w:r w:rsidRPr="00FC43B9">
        <w:rPr>
          <w:vertAlign w:val="superscript"/>
        </w:rPr>
        <w:t>th</w:t>
      </w:r>
      <w:r>
        <w:t xml:space="preserve"> District, and Michael Hanna, 76</w:t>
      </w:r>
      <w:r w:rsidRPr="00FC43B9">
        <w:rPr>
          <w:vertAlign w:val="superscript"/>
        </w:rPr>
        <w:t>th</w:t>
      </w:r>
      <w:r>
        <w:t xml:space="preserve"> District, as well as one joint letter from the Northeast Delegation.   </w:t>
      </w:r>
    </w:p>
  </w:footnote>
  <w:footnote w:id="4">
    <w:p w:rsidR="00D00120" w:rsidRDefault="00D00120" w:rsidP="00915753">
      <w:pPr>
        <w:pStyle w:val="FootnoteText"/>
        <w:tabs>
          <w:tab w:val="left" w:pos="720"/>
        </w:tabs>
      </w:pPr>
      <w:r w:rsidRPr="00374E24">
        <w:rPr>
          <w:rStyle w:val="FootnoteReference"/>
          <w:vertAlign w:val="superscript"/>
        </w:rPr>
        <w:footnoteRef/>
      </w:r>
      <w:r>
        <w:tab/>
        <w:t xml:space="preserve">A second complainant, whose complaint was treated as informal until the informal file was read, declined to participate in the proceeding due to failing health.  </w:t>
      </w:r>
    </w:p>
  </w:footnote>
  <w:footnote w:id="5">
    <w:p w:rsidR="00D00120" w:rsidRDefault="00D00120" w:rsidP="00915753">
      <w:pPr>
        <w:pStyle w:val="FootnoteText"/>
        <w:tabs>
          <w:tab w:val="left" w:pos="720"/>
        </w:tabs>
      </w:pPr>
      <w:r w:rsidRPr="00704208">
        <w:rPr>
          <w:rStyle w:val="FootnoteReference"/>
          <w:vertAlign w:val="superscript"/>
        </w:rPr>
        <w:footnoteRef/>
      </w:r>
      <w:r>
        <w:tab/>
        <w:t xml:space="preserve">All education and marketing expenses for PPL Electric’s time-of-use rates will be recovered through PPL Electric’s Generation Service Charge (“GSC”) pursuant to the Commission’s Order in PPL Electric Time-of-Use proceeding at Docket No. R-2009-2122718 entered March 9, 2010.   </w:t>
      </w:r>
    </w:p>
  </w:footnote>
  <w:footnote w:id="6">
    <w:p w:rsidR="00D00120" w:rsidRPr="0087407A" w:rsidRDefault="00D00120" w:rsidP="00915753">
      <w:pPr>
        <w:pStyle w:val="FootnoteText"/>
        <w:tabs>
          <w:tab w:val="left" w:pos="720"/>
        </w:tabs>
      </w:pPr>
      <w:r w:rsidRPr="00396502">
        <w:rPr>
          <w:rStyle w:val="FootnoteReference"/>
          <w:vertAlign w:val="superscript"/>
        </w:rPr>
        <w:footnoteRef/>
      </w:r>
      <w:r w:rsidRPr="00396502">
        <w:rPr>
          <w:vertAlign w:val="superscript"/>
        </w:rPr>
        <w:t xml:space="preserve"> </w:t>
      </w:r>
      <w:r>
        <w:rPr>
          <w:vertAlign w:val="superscript"/>
        </w:rPr>
        <w:tab/>
      </w:r>
      <w:r>
        <w:t xml:space="preserve">Note that the Commission has directed the Office of Administrative Law Judge to conduct hearings and preparation of a Recommended Decision in this matter.  </w:t>
      </w:r>
      <w:r>
        <w:rPr>
          <w:i/>
        </w:rPr>
        <w:t>PPL Electric Utilities Corporation Universal Service and Energy Conservation Plan for 2011-2013</w:t>
      </w:r>
      <w:r>
        <w:t xml:space="preserve"> (Order entered September 24, 2010).</w:t>
      </w:r>
    </w:p>
  </w:footnote>
  <w:footnote w:id="7">
    <w:p w:rsidR="00D00120" w:rsidRDefault="00D00120" w:rsidP="00915753">
      <w:pPr>
        <w:pStyle w:val="FootnoteText"/>
        <w:tabs>
          <w:tab w:val="left" w:pos="720"/>
        </w:tabs>
        <w:spacing w:after="120"/>
      </w:pPr>
      <w:r w:rsidRPr="005576E9">
        <w:rPr>
          <w:rStyle w:val="FootnoteReference"/>
          <w:vertAlign w:val="superscript"/>
        </w:rPr>
        <w:footnoteRef/>
      </w:r>
      <w:r>
        <w:tab/>
        <w:t>For both the residential and small c&amp;i rate classes, the MFC is equal to the uncollectible accounts expense percentage included in the discount percentage under the current and proposed POR program.  PPL Electric St. No. 7, p. 35.</w:t>
      </w:r>
    </w:p>
  </w:footnote>
  <w:footnote w:id="8">
    <w:p w:rsidR="00D00120" w:rsidRDefault="00D00120" w:rsidP="00915753">
      <w:pPr>
        <w:pStyle w:val="FootnoteText"/>
        <w:tabs>
          <w:tab w:val="left" w:pos="720"/>
        </w:tabs>
      </w:pPr>
      <w:r w:rsidRPr="00D01176">
        <w:rPr>
          <w:rStyle w:val="FootnoteReference"/>
          <w:vertAlign w:val="superscript"/>
        </w:rPr>
        <w:footnoteRef/>
      </w:r>
      <w:r>
        <w:tab/>
        <w:t xml:space="preserve">Rate Schedule RTS was established to alleviate the peak load on PPL’s system in the morning hours by designing a system to store heat.  These systems were installed in the 1980s and early 1990s, and the customers were charged reduced rates in exchange for using electricity at off-peak times.  Following the implementation of the Electric Choice Act, 66 Pa. C.S. § 2801 et  seq., electric companies were required to structure rates so that by and large, the cost of service to a particular rate class was borne by that rate class.  </w:t>
      </w:r>
      <w:r>
        <w:rPr>
          <w:i/>
        </w:rPr>
        <w:t xml:space="preserve">Lloyd v. Pa. Publ. Util. Comm’n, </w:t>
      </w:r>
      <w:r>
        <w:t xml:space="preserve">904 A.2d 1010 (2005).  The distribution company can no longer give price breaks for generation costs, and the difference in price for RTS customers following the rate cap expiration was more marked than for other residential customers.   </w:t>
      </w:r>
    </w:p>
  </w:footnote>
  <w:footnote w:id="9">
    <w:p w:rsidR="00D00120" w:rsidRDefault="00D00120" w:rsidP="00915753">
      <w:pPr>
        <w:pStyle w:val="FootnoteText"/>
        <w:tabs>
          <w:tab w:val="left" w:pos="720"/>
        </w:tabs>
      </w:pPr>
      <w:r w:rsidRPr="00ED3DC3">
        <w:rPr>
          <w:rStyle w:val="FootnoteReference"/>
          <w:vertAlign w:val="superscript"/>
        </w:rPr>
        <w:footnoteRef/>
      </w:r>
      <w:r>
        <w:rPr>
          <w:vertAlign w:val="superscript"/>
        </w:rPr>
        <w:tab/>
      </w:r>
      <w:r w:rsidRPr="00ED3DC3">
        <w:t>The</w:t>
      </w:r>
      <w:r>
        <w:t xml:space="preserve"> Company provides a response in its Main Brief, where it explained that the National Electric Code relied upon by Mr. Berbick is not the same as the National Electric Safety Code that applies to the public electric utilities.  Aluminum is now used for virtually all overhead primary (12 kV) and secondary voltage distribution lines and service wires.  PPL Electric Main Brief at 102, citing PPL Electric Stmt. 8-R at 27-29.  A copy of his letter was delivered to the Commission’s Bureau of CEEP, where it was answered by staff.  </w:t>
      </w:r>
    </w:p>
  </w:footnote>
  <w:footnote w:id="10">
    <w:p w:rsidR="00D00120" w:rsidRDefault="00D00120" w:rsidP="00915753">
      <w:pPr>
        <w:pStyle w:val="FootnoteText"/>
        <w:tabs>
          <w:tab w:val="left" w:pos="720"/>
        </w:tabs>
      </w:pPr>
      <w:r w:rsidRPr="005D75D0">
        <w:rPr>
          <w:rStyle w:val="FootnoteReference"/>
          <w:vertAlign w:val="superscript"/>
        </w:rPr>
        <w:footnoteRef/>
      </w:r>
      <w:r>
        <w:tab/>
        <w:t>The Company was having a Key Account Manager contact Mr. Marczak to provide an evaluation of the situation and determine what needed to be done to address his concerns.  PPL Electric Initial Brief at 103.</w:t>
      </w:r>
    </w:p>
  </w:footnote>
  <w:footnote w:id="11">
    <w:p w:rsidR="00D00120" w:rsidRDefault="00D00120" w:rsidP="00915753">
      <w:pPr>
        <w:pStyle w:val="FootnoteText"/>
        <w:tabs>
          <w:tab w:val="left" w:pos="720"/>
        </w:tabs>
      </w:pPr>
      <w:r w:rsidRPr="005D75D0">
        <w:rPr>
          <w:rStyle w:val="FootnoteReference"/>
          <w:vertAlign w:val="superscript"/>
        </w:rPr>
        <w:footnoteRef/>
      </w:r>
      <w:r>
        <w:tab/>
        <w:t>Ms. Delp indicated that she filed a formal complaint but investigation into Commission records indicated that she had filed an Objection or Comment to Proposed Rate Increase Filing, not a formal complaint.</w:t>
      </w:r>
    </w:p>
  </w:footnote>
  <w:footnote w:id="12">
    <w:p w:rsidR="00D00120" w:rsidRDefault="00D00120" w:rsidP="00915753">
      <w:pPr>
        <w:pStyle w:val="FootnoteText"/>
        <w:tabs>
          <w:tab w:val="left" w:pos="720"/>
        </w:tabs>
      </w:pPr>
      <w:r w:rsidRPr="00A90129">
        <w:rPr>
          <w:rStyle w:val="FootnoteReference"/>
          <w:vertAlign w:val="superscript"/>
        </w:rPr>
        <w:footnoteRef/>
      </w:r>
      <w:r w:rsidRPr="00A90129">
        <w:rPr>
          <w:vertAlign w:val="superscript"/>
        </w:rPr>
        <w:t xml:space="preserve"> </w:t>
      </w:r>
      <w:r>
        <w:rPr>
          <w:vertAlign w:val="superscript"/>
        </w:rPr>
        <w:tab/>
      </w:r>
      <w:r>
        <w:t xml:space="preserve">“Distribution substations costs . . . are normally classified as demand-related.  This classification is adopted because substations are normally built to serve a particular load and their size is not affected by the number of customers to be served.”  NARUC Manual at 90.  </w:t>
      </w:r>
    </w:p>
    <w:p w:rsidR="00D00120" w:rsidRDefault="00D00120" w:rsidP="00915753">
      <w:pPr>
        <w:pStyle w:val="FootnoteText"/>
        <w:tabs>
          <w:tab w:val="left" w:pos="720"/>
        </w:tabs>
      </w:pPr>
    </w:p>
  </w:footnote>
  <w:footnote w:id="13">
    <w:p w:rsidR="00D00120" w:rsidRDefault="00D00120" w:rsidP="00915753">
      <w:pPr>
        <w:pStyle w:val="FootnoteText"/>
        <w:tabs>
          <w:tab w:val="left" w:pos="720"/>
        </w:tabs>
      </w:pPr>
      <w:r w:rsidRPr="00A90129">
        <w:rPr>
          <w:rStyle w:val="FootnoteReference"/>
          <w:vertAlign w:val="superscript"/>
        </w:rPr>
        <w:footnoteRef/>
      </w:r>
      <w:r>
        <w:t xml:space="preserve"> </w:t>
      </w:r>
      <w:r>
        <w:tab/>
        <w:t>The Company notes that its Exhibit JMK-2B follows the traditional approach without “refinements,” should the Commission wish to follow the method used in prior rate cases.  PPL Electric Initial Brief at 21.</w:t>
      </w:r>
    </w:p>
    <w:p w:rsidR="00814CCD" w:rsidRDefault="00814CCD" w:rsidP="00915753">
      <w:pPr>
        <w:pStyle w:val="FootnoteText"/>
        <w:tabs>
          <w:tab w:val="left" w:pos="720"/>
        </w:tabs>
      </w:pPr>
    </w:p>
  </w:footnote>
  <w:footnote w:id="14">
    <w:p w:rsidR="00814CCD" w:rsidRPr="00814CCD" w:rsidRDefault="00814CCD" w:rsidP="00814CCD">
      <w:pPr>
        <w:pStyle w:val="FootnoteText"/>
        <w:tabs>
          <w:tab w:val="left" w:pos="720"/>
        </w:tabs>
        <w:rPr>
          <w:vertAlign w:val="superscript"/>
        </w:rPr>
      </w:pPr>
      <w:r w:rsidRPr="00814CCD">
        <w:rPr>
          <w:rStyle w:val="FootnoteReference"/>
          <w:vertAlign w:val="superscript"/>
        </w:rPr>
        <w:footnoteRef/>
      </w:r>
      <w:r>
        <w:rPr>
          <w:vertAlign w:val="superscript"/>
        </w:rPr>
        <w:tab/>
      </w:r>
      <w:r>
        <w:t>The parties used either CCOSS or COSS to indicate the customer cost of service study.</w:t>
      </w:r>
      <w:r w:rsidRPr="00814CCD">
        <w:rPr>
          <w:vertAlign w:val="superscript"/>
        </w:rPr>
        <w:t xml:space="preserve"> </w:t>
      </w:r>
    </w:p>
  </w:footnote>
  <w:footnote w:id="15">
    <w:p w:rsidR="00D00120" w:rsidRDefault="00D00120" w:rsidP="003B1AA6">
      <w:pPr>
        <w:pStyle w:val="FootnoteText"/>
        <w:tabs>
          <w:tab w:val="left" w:pos="720"/>
        </w:tabs>
      </w:pPr>
      <w:r w:rsidRPr="003B1AA6">
        <w:rPr>
          <w:rStyle w:val="FootnoteReference"/>
          <w:vertAlign w:val="superscript"/>
        </w:rPr>
        <w:footnoteRef/>
      </w:r>
      <w:r>
        <w:tab/>
        <w:t xml:space="preserve">The Company’s proposed rates referred to in this quote were the numbers generated based on the original revenue request, not the reduced amount in the Joint Petition for Partial Settlement. </w:t>
      </w:r>
    </w:p>
  </w:footnote>
  <w:footnote w:id="16">
    <w:p w:rsidR="00D00120" w:rsidRDefault="00D00120" w:rsidP="00D55A78">
      <w:pPr>
        <w:pStyle w:val="FootnoteText"/>
        <w:tabs>
          <w:tab w:val="left" w:pos="720"/>
        </w:tabs>
      </w:pPr>
      <w:r w:rsidRPr="00D55A78">
        <w:rPr>
          <w:rStyle w:val="FootnoteReference"/>
          <w:vertAlign w:val="superscript"/>
        </w:rPr>
        <w:footnoteRef/>
      </w:r>
      <w:r>
        <w:tab/>
        <w:t>“In summary, OCA’s Demand Non-coincident peak study, under which all distribution plant is classified as demand-related should be rejected because it is based on the assumption that there is no customer component of distribution plant, contrary to the NARUC manual, general industry practices and decisions of this Commission in prior PPL Electric rate proceedings.</w:t>
      </w:r>
    </w:p>
    <w:p w:rsidR="00D00120" w:rsidRDefault="00D00120" w:rsidP="00915753">
      <w:pPr>
        <w:pStyle w:val="FootnoteText"/>
      </w:pPr>
      <w:r>
        <w:tab/>
        <w:t>Similarly, OCA’s Peak and Average Study should be disregarded because there is no credible argument that investment in plant is made to meet average or annual customers load, i.e., the peak and average study is not based on cause causation.”  PPL Electric Initial Brief at 41.</w:t>
      </w:r>
    </w:p>
  </w:footnote>
  <w:footnote w:id="17">
    <w:p w:rsidR="00D00120" w:rsidRDefault="00D00120" w:rsidP="00D45B88">
      <w:pPr>
        <w:pStyle w:val="FootnoteText"/>
        <w:tabs>
          <w:tab w:val="left" w:pos="720"/>
        </w:tabs>
      </w:pPr>
      <w:r w:rsidRPr="00D45B88">
        <w:rPr>
          <w:rStyle w:val="FootnoteReference"/>
          <w:vertAlign w:val="superscript"/>
        </w:rPr>
        <w:footnoteRef/>
      </w:r>
      <w:r>
        <w:tab/>
        <w:t>A similar statutory provision exists in the Electric Choice Act:</w:t>
      </w:r>
    </w:p>
    <w:p w:rsidR="00D00120" w:rsidRDefault="00D00120" w:rsidP="00D45B88">
      <w:pPr>
        <w:pStyle w:val="FootnoteText"/>
        <w:ind w:firstLine="1440"/>
      </w:pPr>
      <w:r>
        <w:t>(3)</w:t>
      </w:r>
      <w:r>
        <w:tab/>
        <w:t>The electric distribution company shall not be required to forward payment to entities providing services to customers, and on whose behalf the electric distribution company is billing those customers, before the electric distribution company has received payment for those services from customers.  66 Pa. C.S.A. § 2807(c)(3).</w:t>
      </w:r>
    </w:p>
  </w:footnote>
  <w:footnote w:id="18">
    <w:p w:rsidR="00D00120" w:rsidRDefault="00D00120" w:rsidP="008A1691">
      <w:pPr>
        <w:pStyle w:val="FootnoteText"/>
        <w:tabs>
          <w:tab w:val="left" w:pos="720"/>
        </w:tabs>
        <w:rPr>
          <w:color w:val="000000"/>
        </w:rPr>
      </w:pPr>
      <w:r w:rsidRPr="008A1691">
        <w:rPr>
          <w:rStyle w:val="FootnoteReference"/>
          <w:vertAlign w:val="superscript"/>
        </w:rPr>
        <w:footnoteRef/>
      </w:r>
      <w:r>
        <w:tab/>
      </w:r>
      <w:r>
        <w:rPr>
          <w:i/>
          <w:color w:val="000000"/>
        </w:rPr>
        <w:t>Petition of PPL Electric Utilities Corporation for Approval of a Default Service Program and Procurement Plan for the Period January 1, 2011 Through May 31, 2013</w:t>
      </w:r>
      <w:r>
        <w:rPr>
          <w:color w:val="000000"/>
        </w:rPr>
        <w:t xml:space="preserve">, Docket No. P-2008-2060309 (June 30, 2009).  </w:t>
      </w:r>
    </w:p>
    <w:p w:rsidR="00D00120" w:rsidRDefault="00D00120" w:rsidP="008A1691">
      <w:pPr>
        <w:pStyle w:val="FootnoteText"/>
        <w:tabs>
          <w:tab w:val="left" w:pos="720"/>
        </w:tabs>
        <w:jc w:val="both"/>
      </w:pPr>
    </w:p>
  </w:footnote>
  <w:footnote w:id="19">
    <w:p w:rsidR="00D00120" w:rsidRDefault="00D00120" w:rsidP="008A1691">
      <w:pPr>
        <w:pStyle w:val="FootnoteText"/>
        <w:tabs>
          <w:tab w:val="left" w:pos="720"/>
        </w:tabs>
      </w:pPr>
      <w:r w:rsidRPr="008A1691">
        <w:rPr>
          <w:rStyle w:val="FootnoteReference"/>
          <w:vertAlign w:val="superscript"/>
        </w:rPr>
        <w:footnoteRef/>
      </w:r>
      <w:r>
        <w:tab/>
      </w:r>
      <w:r>
        <w:rPr>
          <w:i/>
        </w:rPr>
        <w:t>PPL Electric Utilities Corporation Retail Markets</w:t>
      </w:r>
      <w:r>
        <w:t xml:space="preserve">, Docket No. M-2009-2104271 (August 11, 2009).  </w:t>
      </w:r>
    </w:p>
  </w:footnote>
  <w:footnote w:id="20">
    <w:p w:rsidR="00D00120" w:rsidRDefault="00D00120" w:rsidP="00E02C13">
      <w:pPr>
        <w:pStyle w:val="FootnoteText"/>
        <w:tabs>
          <w:tab w:val="left" w:pos="720"/>
        </w:tabs>
        <w:spacing w:after="120"/>
      </w:pPr>
      <w:r w:rsidRPr="00E02C13">
        <w:rPr>
          <w:rStyle w:val="FootnoteReference"/>
          <w:vertAlign w:val="superscript"/>
        </w:rPr>
        <w:footnoteRef/>
      </w:r>
      <w:r>
        <w:tab/>
        <w:t>For both the residential and small c&amp;i rate classes, the MFC is equal to the uncollectible accounts expense percentage included in the discount percentage under the current and proposed POR program.  PPL Electric St. No. 7, p. 35.</w:t>
      </w:r>
    </w:p>
  </w:footnote>
  <w:footnote w:id="21">
    <w:p w:rsidR="00D00120" w:rsidRDefault="00D00120" w:rsidP="00E02C13">
      <w:pPr>
        <w:pStyle w:val="FootnoteText"/>
        <w:tabs>
          <w:tab w:val="left" w:pos="720"/>
        </w:tabs>
        <w:spacing w:after="120"/>
      </w:pPr>
      <w:r w:rsidRPr="00E02C13">
        <w:rPr>
          <w:rStyle w:val="FootnoteReference"/>
          <w:vertAlign w:val="superscript"/>
        </w:rPr>
        <w:footnoteRef/>
      </w:r>
      <w:r>
        <w:tab/>
        <w:t>The current and proposed POR program accommodates EGS budget billing.  In the event that the EGS offers budget billing for its charges, the EGS will send the Company an amount to be included on the consolidated bill that reflects the EGS’ budget amount.  PPL Electric St. No. 6, p. 12.</w:t>
      </w:r>
    </w:p>
  </w:footnote>
  <w:footnote w:id="22">
    <w:p w:rsidR="00D00120" w:rsidRDefault="00D00120" w:rsidP="00E02C13">
      <w:pPr>
        <w:pStyle w:val="FootnoteText"/>
        <w:tabs>
          <w:tab w:val="left" w:pos="720"/>
        </w:tabs>
      </w:pPr>
      <w:r w:rsidRPr="00E02C13">
        <w:rPr>
          <w:rStyle w:val="FootnoteReference"/>
          <w:vertAlign w:val="superscript"/>
        </w:rPr>
        <w:footnoteRef/>
      </w:r>
      <w:r>
        <w:tab/>
        <w:t xml:space="preserve">This argument is not unlike the often-raised contention that low-income assistance program costs should be borne by all customer classes since all customers benefit from a society where people all have basic utility service.  The Commission has consistently held that low-income assistance programs apply only to the residential class, which should bear </w:t>
      </w:r>
      <w:r w:rsidR="00F56349">
        <w:t>the costs of the programs.</w:t>
      </w:r>
    </w:p>
  </w:footnote>
  <w:footnote w:id="23">
    <w:p w:rsidR="00D00120" w:rsidRDefault="00D00120" w:rsidP="00180DA6">
      <w:pPr>
        <w:pStyle w:val="FootnoteText"/>
        <w:tabs>
          <w:tab w:val="left" w:pos="720"/>
        </w:tabs>
      </w:pPr>
      <w:r w:rsidRPr="002978CD">
        <w:rPr>
          <w:rStyle w:val="FootnoteReference"/>
          <w:vertAlign w:val="superscript"/>
        </w:rPr>
        <w:footnoteRef/>
      </w:r>
      <w:r>
        <w:tab/>
        <w:t xml:space="preserve">To the extent that there is sufficient justification for a statewide standard POR program, such standard should be developed through a rulemaking proceeding where all affected EDCs, EGSs, and customers are afforded the opportunity to participate and comment on any proposed standard POR program.  PPL Electric St. No. 6-R, p. 8.  In the alternative, the Commission should convene a working group to comprehensively address all issues related to the design and administration of uniform standards for POR programs.  In fact, PPL Electric notes that the Retail Markets Working Group, under the oversight of the Commission’s Law Bureau, is tasked with the responsibility to develop policy recommendations on matters including “consideration of an EGS receivables purchase program in each service territory.”  </w:t>
      </w:r>
      <w:r>
        <w:rPr>
          <w:i/>
        </w:rPr>
        <w:t>See</w:t>
      </w:r>
      <w:r>
        <w:t xml:space="preserve"> Commission’s Secretarial Letter, Docket No. M-0007209 (April 15, 2008).</w:t>
      </w:r>
    </w:p>
    <w:p w:rsidR="00D00120" w:rsidRDefault="00D00120" w:rsidP="002978CD">
      <w:pPr>
        <w:pStyle w:val="FootnoteText"/>
        <w:tabs>
          <w:tab w:val="left" w:pos="720"/>
        </w:tabs>
        <w:jc w:val="both"/>
      </w:pPr>
    </w:p>
  </w:footnote>
  <w:footnote w:id="24">
    <w:p w:rsidR="00D00120" w:rsidRDefault="00D00120" w:rsidP="00180DA6">
      <w:pPr>
        <w:pStyle w:val="FootnoteText"/>
        <w:tabs>
          <w:tab w:val="left" w:pos="720"/>
        </w:tabs>
      </w:pPr>
      <w:r w:rsidRPr="002978CD">
        <w:rPr>
          <w:rStyle w:val="FootnoteReference"/>
          <w:vertAlign w:val="superscript"/>
        </w:rPr>
        <w:footnoteRef/>
      </w:r>
      <w:r>
        <w:rPr>
          <w:i/>
        </w:rPr>
        <w:tab/>
        <w:t>See, e.g., Establishment of Interim Guidelines for Purchase of Receivables (POR) Programs</w:t>
      </w:r>
      <w:r>
        <w:t>, Docket No. M-2008-2068982, I-00040103F0002, Slip Op. at 9 (December 19, 2008) (wherein the Commission held that it will review and approve POR programs for natural gas distribution companies on a case-by-case basis).</w:t>
      </w:r>
    </w:p>
  </w:footnote>
  <w:footnote w:id="25">
    <w:p w:rsidR="00D00120" w:rsidRDefault="00D00120" w:rsidP="00C24ACC">
      <w:pPr>
        <w:pStyle w:val="FootnoteText"/>
        <w:tabs>
          <w:tab w:val="left" w:pos="720"/>
        </w:tabs>
      </w:pPr>
      <w:r w:rsidRPr="00C24ACC">
        <w:rPr>
          <w:rStyle w:val="FootnoteReference"/>
          <w:vertAlign w:val="superscript"/>
        </w:rPr>
        <w:footnoteRef/>
      </w:r>
      <w:r>
        <w:tab/>
        <w:t>Although RESA claims that PPLICA “supports” its plan, RESA Reply Brief at page 19, a review of the PPLICA Briefs shows that they simply do not oppose it.</w:t>
      </w:r>
    </w:p>
  </w:footnote>
  <w:footnote w:id="26">
    <w:p w:rsidR="00D00120" w:rsidRPr="000B7A25" w:rsidRDefault="00D00120" w:rsidP="00E60866">
      <w:pPr>
        <w:pStyle w:val="FootnoteText"/>
        <w:tabs>
          <w:tab w:val="left" w:pos="720"/>
        </w:tabs>
      </w:pPr>
      <w:r w:rsidRPr="00E60866">
        <w:rPr>
          <w:rStyle w:val="FootnoteReference"/>
          <w:vertAlign w:val="superscript"/>
        </w:rPr>
        <w:footnoteRef/>
      </w:r>
      <w:r>
        <w:tab/>
        <w:t xml:space="preserve">Rate Schedule LP-4 is for large general service supplied from available lines of three-phase 12,470 volts or single phase 7,200 volts when the customer furnishes and maintains all equipment necessary to transform the energy from line voltage.  Rate Schedule LP-5 is for large general service supplied from available lines of 69,000 volts or higher, with the customer furnishing and maintaining all equipment necessary to transform the energy from the line voltage and applies to three phase 60 Hertz service. Rate Schedule LP-6 is for large general service supplied from available lined of 69,000 volts or higher, with the customer furnishing and maintaining all equipment necessary to transform the energy from the line voltage.  </w:t>
      </w:r>
      <w:r>
        <w:rPr>
          <w:i/>
        </w:rPr>
        <w:t xml:space="preserve">See </w:t>
      </w:r>
      <w:r>
        <w:t xml:space="preserve"> PPL Electric Tariff No. 201, Suppl. No. 91 page 27, Suppl. No. 93 pp. 28 and 28B.</w:t>
      </w:r>
    </w:p>
  </w:footnote>
  <w:footnote w:id="27">
    <w:p w:rsidR="00D00120" w:rsidRDefault="00D00120" w:rsidP="00683E8B">
      <w:pPr>
        <w:pStyle w:val="FootnoteText"/>
        <w:tabs>
          <w:tab w:val="left" w:pos="720"/>
        </w:tabs>
      </w:pPr>
      <w:r w:rsidRPr="00683E8B">
        <w:rPr>
          <w:rStyle w:val="FootnoteReference"/>
          <w:vertAlign w:val="superscript"/>
        </w:rPr>
        <w:footnoteRef/>
      </w:r>
      <w:r>
        <w:rPr>
          <w:vertAlign w:val="superscript"/>
        </w:rPr>
        <w:tab/>
      </w:r>
      <w:r>
        <w:t xml:space="preserve">PPLICA cites its testimony wherein Mr. Buck states, “[g]iven PPL’s apparent failure to consider Donsco’s service needs in undertaking that project, we at Donsco must question whether PPL is fulfilling its obligation to provide adequate and reliable service.”  PPLICA Stmt. 1-S at 2-3; PPLICA Reply Brief at 14.  This gentle questioning, appearing in </w:t>
      </w:r>
      <w:r w:rsidRPr="004E1964">
        <w:rPr>
          <w:i/>
        </w:rPr>
        <w:t>testimony</w:t>
      </w:r>
      <w:r>
        <w:t xml:space="preserve">, does not meet the requirement that a </w:t>
      </w:r>
      <w:r w:rsidRPr="00496A3C">
        <w:rPr>
          <w:i/>
          <w:u w:val="single"/>
        </w:rPr>
        <w:t>complaint</w:t>
      </w:r>
      <w:r>
        <w:t xml:space="preserve"> contain “a clear and concise statement of the act or omission being complained of,” and “a clear and concise statement of the relief sought.”  52 Pa. Code § 5.22(a)(5), (6).  If, during the course of the proceeding, it became evident that PPLICA wished to change the nature of its complaint, it should have sought permission to amend the complaint to conform to the evidence.  52 Pa. Code § 5.92.  It did not.  Because no specific service complaint was included in the complaint, PPLICA’s Complaint is against the filing of PPL Electric and is not a service complaint of a specific PPLICA member.  </w:t>
      </w:r>
    </w:p>
  </w:footnote>
  <w:footnote w:id="28">
    <w:p w:rsidR="00D00120" w:rsidRDefault="00D00120" w:rsidP="000E78BB">
      <w:pPr>
        <w:pStyle w:val="FootnoteText"/>
        <w:tabs>
          <w:tab w:val="left" w:pos="720"/>
        </w:tabs>
        <w:jc w:val="both"/>
      </w:pPr>
      <w:r w:rsidRPr="000E78BB">
        <w:rPr>
          <w:rStyle w:val="FootnoteReference"/>
          <w:vertAlign w:val="superscript"/>
        </w:rPr>
        <w:footnoteRef/>
      </w:r>
      <w:r>
        <w:rPr>
          <w:vertAlign w:val="superscript"/>
        </w:rPr>
        <w:tab/>
      </w:r>
      <w:r>
        <w:t xml:space="preserve">Such payments have at times exceeded $10 million.  PPL Electric, St. 8-R, p. 5.  </w:t>
      </w:r>
    </w:p>
    <w:p w:rsidR="00D00120" w:rsidRDefault="00D00120" w:rsidP="000E78BB">
      <w:pPr>
        <w:pStyle w:val="FootnoteText"/>
        <w:tabs>
          <w:tab w:val="left" w:pos="720"/>
        </w:tabs>
        <w:jc w:val="both"/>
      </w:pPr>
    </w:p>
  </w:footnote>
  <w:footnote w:id="29">
    <w:p w:rsidR="00D00120" w:rsidRDefault="00D00120" w:rsidP="000E78BB">
      <w:pPr>
        <w:pStyle w:val="FootnoteText"/>
        <w:tabs>
          <w:tab w:val="left" w:pos="720"/>
        </w:tabs>
      </w:pPr>
      <w:r w:rsidRPr="000E78BB">
        <w:rPr>
          <w:rStyle w:val="FootnoteReference"/>
          <w:vertAlign w:val="superscript"/>
        </w:rPr>
        <w:footnoteRef/>
      </w:r>
      <w:r>
        <w:tab/>
        <w:t xml:space="preserve">This is different from a time of use rate for default service customers, where customers pay actual costs of electric generation when they use generation supplies, and customers can shift operations to off peak periods.  PPL Electric Initial Brief at 53.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Pr="002E1DF4" w:rsidRDefault="00D00120" w:rsidP="002E1DF4">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Default="00D00120" w:rsidP="00496F88">
    <w:pPr>
      <w:pStyle w:val="Header"/>
      <w:tabs>
        <w:tab w:val="clear" w:pos="46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20" w:rsidRPr="00496F88" w:rsidRDefault="00D00120" w:rsidP="00496F88">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1">
    <w:nsid w:val="3E1566CA"/>
    <w:multiLevelType w:val="hybridMultilevel"/>
    <w:tmpl w:val="98F8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443EB6"/>
    <w:rsid w:val="0000039F"/>
    <w:rsid w:val="00001E3A"/>
    <w:rsid w:val="00001EF6"/>
    <w:rsid w:val="0000219F"/>
    <w:rsid w:val="00003959"/>
    <w:rsid w:val="00003D11"/>
    <w:rsid w:val="0000431B"/>
    <w:rsid w:val="00005558"/>
    <w:rsid w:val="000079FE"/>
    <w:rsid w:val="00010476"/>
    <w:rsid w:val="00011608"/>
    <w:rsid w:val="00012104"/>
    <w:rsid w:val="0001305A"/>
    <w:rsid w:val="00015946"/>
    <w:rsid w:val="00016E55"/>
    <w:rsid w:val="0002105C"/>
    <w:rsid w:val="00022BAD"/>
    <w:rsid w:val="0002364A"/>
    <w:rsid w:val="00025D7A"/>
    <w:rsid w:val="00027CB9"/>
    <w:rsid w:val="00030425"/>
    <w:rsid w:val="00032379"/>
    <w:rsid w:val="0003317D"/>
    <w:rsid w:val="00033303"/>
    <w:rsid w:val="00035BB8"/>
    <w:rsid w:val="00037ACF"/>
    <w:rsid w:val="00040D76"/>
    <w:rsid w:val="00040EB6"/>
    <w:rsid w:val="00041816"/>
    <w:rsid w:val="00042917"/>
    <w:rsid w:val="00043173"/>
    <w:rsid w:val="00044B8B"/>
    <w:rsid w:val="00044FC0"/>
    <w:rsid w:val="0004689C"/>
    <w:rsid w:val="00047C95"/>
    <w:rsid w:val="0005109A"/>
    <w:rsid w:val="00051637"/>
    <w:rsid w:val="000541C0"/>
    <w:rsid w:val="0005423F"/>
    <w:rsid w:val="00054D34"/>
    <w:rsid w:val="00055078"/>
    <w:rsid w:val="000552AD"/>
    <w:rsid w:val="0005573B"/>
    <w:rsid w:val="00055CC5"/>
    <w:rsid w:val="000576ED"/>
    <w:rsid w:val="0006038C"/>
    <w:rsid w:val="000605B6"/>
    <w:rsid w:val="00061278"/>
    <w:rsid w:val="000634EB"/>
    <w:rsid w:val="00063801"/>
    <w:rsid w:val="00065E20"/>
    <w:rsid w:val="000661B0"/>
    <w:rsid w:val="00066854"/>
    <w:rsid w:val="000675AB"/>
    <w:rsid w:val="000676B2"/>
    <w:rsid w:val="000676F8"/>
    <w:rsid w:val="00067CBC"/>
    <w:rsid w:val="00070AA1"/>
    <w:rsid w:val="000712EE"/>
    <w:rsid w:val="00072595"/>
    <w:rsid w:val="00072D46"/>
    <w:rsid w:val="00073BE1"/>
    <w:rsid w:val="00073BF8"/>
    <w:rsid w:val="00074065"/>
    <w:rsid w:val="00076092"/>
    <w:rsid w:val="00077A5D"/>
    <w:rsid w:val="000814EF"/>
    <w:rsid w:val="0008165F"/>
    <w:rsid w:val="00081E6A"/>
    <w:rsid w:val="00082363"/>
    <w:rsid w:val="0008742A"/>
    <w:rsid w:val="000874FE"/>
    <w:rsid w:val="000902E3"/>
    <w:rsid w:val="00090727"/>
    <w:rsid w:val="00091543"/>
    <w:rsid w:val="00091F08"/>
    <w:rsid w:val="0009220F"/>
    <w:rsid w:val="00092B4E"/>
    <w:rsid w:val="00092E44"/>
    <w:rsid w:val="0009318F"/>
    <w:rsid w:val="000931F7"/>
    <w:rsid w:val="0009322B"/>
    <w:rsid w:val="00093562"/>
    <w:rsid w:val="0009390F"/>
    <w:rsid w:val="0009459A"/>
    <w:rsid w:val="00096920"/>
    <w:rsid w:val="00097D77"/>
    <w:rsid w:val="000A2192"/>
    <w:rsid w:val="000A2C0D"/>
    <w:rsid w:val="000A48E5"/>
    <w:rsid w:val="000A4B85"/>
    <w:rsid w:val="000A573F"/>
    <w:rsid w:val="000A5CDC"/>
    <w:rsid w:val="000A5DEA"/>
    <w:rsid w:val="000A6001"/>
    <w:rsid w:val="000A652E"/>
    <w:rsid w:val="000A6A9C"/>
    <w:rsid w:val="000A74B9"/>
    <w:rsid w:val="000A770B"/>
    <w:rsid w:val="000B04C9"/>
    <w:rsid w:val="000B2D0C"/>
    <w:rsid w:val="000B339A"/>
    <w:rsid w:val="000B5B85"/>
    <w:rsid w:val="000B7111"/>
    <w:rsid w:val="000B7A25"/>
    <w:rsid w:val="000C0A90"/>
    <w:rsid w:val="000C0F21"/>
    <w:rsid w:val="000C2696"/>
    <w:rsid w:val="000C2A2B"/>
    <w:rsid w:val="000C34F3"/>
    <w:rsid w:val="000C4163"/>
    <w:rsid w:val="000C554F"/>
    <w:rsid w:val="000C5F86"/>
    <w:rsid w:val="000C6B6E"/>
    <w:rsid w:val="000C6EF0"/>
    <w:rsid w:val="000D1F31"/>
    <w:rsid w:val="000D29BA"/>
    <w:rsid w:val="000D3E49"/>
    <w:rsid w:val="000D4753"/>
    <w:rsid w:val="000D4B74"/>
    <w:rsid w:val="000D5271"/>
    <w:rsid w:val="000D5B3D"/>
    <w:rsid w:val="000E2F36"/>
    <w:rsid w:val="000E49AA"/>
    <w:rsid w:val="000E49E6"/>
    <w:rsid w:val="000E5006"/>
    <w:rsid w:val="000E54C1"/>
    <w:rsid w:val="000E78BB"/>
    <w:rsid w:val="000E7AB9"/>
    <w:rsid w:val="000E7EF5"/>
    <w:rsid w:val="000F019E"/>
    <w:rsid w:val="000F13F5"/>
    <w:rsid w:val="000F1890"/>
    <w:rsid w:val="000F27FD"/>
    <w:rsid w:val="000F2E5F"/>
    <w:rsid w:val="000F31EA"/>
    <w:rsid w:val="000F47F1"/>
    <w:rsid w:val="000F5E1C"/>
    <w:rsid w:val="000F678B"/>
    <w:rsid w:val="000F78BE"/>
    <w:rsid w:val="001021FB"/>
    <w:rsid w:val="00102A77"/>
    <w:rsid w:val="0010420D"/>
    <w:rsid w:val="00104992"/>
    <w:rsid w:val="001050E3"/>
    <w:rsid w:val="00106D0F"/>
    <w:rsid w:val="00106EE8"/>
    <w:rsid w:val="001077F1"/>
    <w:rsid w:val="0011191C"/>
    <w:rsid w:val="001136B9"/>
    <w:rsid w:val="001138F0"/>
    <w:rsid w:val="00114C6E"/>
    <w:rsid w:val="00115BB6"/>
    <w:rsid w:val="00116578"/>
    <w:rsid w:val="0012035F"/>
    <w:rsid w:val="00120D02"/>
    <w:rsid w:val="00121291"/>
    <w:rsid w:val="001219A5"/>
    <w:rsid w:val="00124101"/>
    <w:rsid w:val="001247C7"/>
    <w:rsid w:val="00124D49"/>
    <w:rsid w:val="00126739"/>
    <w:rsid w:val="00126E7E"/>
    <w:rsid w:val="0013068D"/>
    <w:rsid w:val="00131EA8"/>
    <w:rsid w:val="001324D9"/>
    <w:rsid w:val="00135526"/>
    <w:rsid w:val="00137B9D"/>
    <w:rsid w:val="00140273"/>
    <w:rsid w:val="0014105E"/>
    <w:rsid w:val="00142651"/>
    <w:rsid w:val="00143142"/>
    <w:rsid w:val="001434DC"/>
    <w:rsid w:val="00145876"/>
    <w:rsid w:val="001460EC"/>
    <w:rsid w:val="00146683"/>
    <w:rsid w:val="00150AB2"/>
    <w:rsid w:val="00150DFA"/>
    <w:rsid w:val="00151EA8"/>
    <w:rsid w:val="001524AE"/>
    <w:rsid w:val="00152FD8"/>
    <w:rsid w:val="001537E3"/>
    <w:rsid w:val="00153C39"/>
    <w:rsid w:val="0015411C"/>
    <w:rsid w:val="0015419A"/>
    <w:rsid w:val="0015470C"/>
    <w:rsid w:val="00154F0C"/>
    <w:rsid w:val="0015569F"/>
    <w:rsid w:val="00155E87"/>
    <w:rsid w:val="0015737B"/>
    <w:rsid w:val="00157E46"/>
    <w:rsid w:val="00160B8B"/>
    <w:rsid w:val="00162D2F"/>
    <w:rsid w:val="00162F1C"/>
    <w:rsid w:val="00163BE9"/>
    <w:rsid w:val="0016521D"/>
    <w:rsid w:val="0016723A"/>
    <w:rsid w:val="00167644"/>
    <w:rsid w:val="00170FE6"/>
    <w:rsid w:val="00172857"/>
    <w:rsid w:val="00172B0B"/>
    <w:rsid w:val="00172E8C"/>
    <w:rsid w:val="00173570"/>
    <w:rsid w:val="00173C70"/>
    <w:rsid w:val="00174B09"/>
    <w:rsid w:val="00174F7E"/>
    <w:rsid w:val="0017580D"/>
    <w:rsid w:val="00175F76"/>
    <w:rsid w:val="001763BD"/>
    <w:rsid w:val="00176C44"/>
    <w:rsid w:val="00180DA6"/>
    <w:rsid w:val="00181AB1"/>
    <w:rsid w:val="0018368F"/>
    <w:rsid w:val="0018389E"/>
    <w:rsid w:val="001850D5"/>
    <w:rsid w:val="001857EA"/>
    <w:rsid w:val="00186328"/>
    <w:rsid w:val="00191522"/>
    <w:rsid w:val="00191715"/>
    <w:rsid w:val="00191A0A"/>
    <w:rsid w:val="00191FEB"/>
    <w:rsid w:val="00192B16"/>
    <w:rsid w:val="00192EB5"/>
    <w:rsid w:val="00193F95"/>
    <w:rsid w:val="001966CB"/>
    <w:rsid w:val="001969A7"/>
    <w:rsid w:val="00196C5A"/>
    <w:rsid w:val="0019791B"/>
    <w:rsid w:val="00197AC3"/>
    <w:rsid w:val="00197E5D"/>
    <w:rsid w:val="001A0F84"/>
    <w:rsid w:val="001A103D"/>
    <w:rsid w:val="001A162B"/>
    <w:rsid w:val="001A1644"/>
    <w:rsid w:val="001A216A"/>
    <w:rsid w:val="001A3A31"/>
    <w:rsid w:val="001A3D48"/>
    <w:rsid w:val="001A5421"/>
    <w:rsid w:val="001A54DA"/>
    <w:rsid w:val="001A55E8"/>
    <w:rsid w:val="001A640D"/>
    <w:rsid w:val="001A6FDF"/>
    <w:rsid w:val="001A7F95"/>
    <w:rsid w:val="001B06B8"/>
    <w:rsid w:val="001B1637"/>
    <w:rsid w:val="001B1B1D"/>
    <w:rsid w:val="001B316F"/>
    <w:rsid w:val="001B3572"/>
    <w:rsid w:val="001B3D6F"/>
    <w:rsid w:val="001B4B2B"/>
    <w:rsid w:val="001B6470"/>
    <w:rsid w:val="001C250C"/>
    <w:rsid w:val="001C7919"/>
    <w:rsid w:val="001D05DB"/>
    <w:rsid w:val="001D0876"/>
    <w:rsid w:val="001D19F3"/>
    <w:rsid w:val="001D1F1B"/>
    <w:rsid w:val="001D222C"/>
    <w:rsid w:val="001D367C"/>
    <w:rsid w:val="001D4223"/>
    <w:rsid w:val="001D54B2"/>
    <w:rsid w:val="001D5DE6"/>
    <w:rsid w:val="001E2642"/>
    <w:rsid w:val="001E326B"/>
    <w:rsid w:val="001E3C9A"/>
    <w:rsid w:val="001E4475"/>
    <w:rsid w:val="001E480B"/>
    <w:rsid w:val="001E5447"/>
    <w:rsid w:val="001E5DF5"/>
    <w:rsid w:val="001E604F"/>
    <w:rsid w:val="001E6824"/>
    <w:rsid w:val="001E79A7"/>
    <w:rsid w:val="001E7DF6"/>
    <w:rsid w:val="001F0835"/>
    <w:rsid w:val="001F1049"/>
    <w:rsid w:val="001F4882"/>
    <w:rsid w:val="001F50B4"/>
    <w:rsid w:val="001F59E2"/>
    <w:rsid w:val="001F6E43"/>
    <w:rsid w:val="001F6F77"/>
    <w:rsid w:val="001F74FC"/>
    <w:rsid w:val="002004A8"/>
    <w:rsid w:val="002019B1"/>
    <w:rsid w:val="00201E65"/>
    <w:rsid w:val="002044AE"/>
    <w:rsid w:val="0021162B"/>
    <w:rsid w:val="002125E4"/>
    <w:rsid w:val="00215381"/>
    <w:rsid w:val="002162A0"/>
    <w:rsid w:val="00216C32"/>
    <w:rsid w:val="00216F76"/>
    <w:rsid w:val="0021750E"/>
    <w:rsid w:val="00220D97"/>
    <w:rsid w:val="00221A88"/>
    <w:rsid w:val="00221AA6"/>
    <w:rsid w:val="00221C55"/>
    <w:rsid w:val="0022271F"/>
    <w:rsid w:val="00222C96"/>
    <w:rsid w:val="00222D18"/>
    <w:rsid w:val="002241D0"/>
    <w:rsid w:val="00224756"/>
    <w:rsid w:val="0022570F"/>
    <w:rsid w:val="00227A4A"/>
    <w:rsid w:val="0023041A"/>
    <w:rsid w:val="00230CC6"/>
    <w:rsid w:val="00231380"/>
    <w:rsid w:val="00231505"/>
    <w:rsid w:val="0023230B"/>
    <w:rsid w:val="002337D7"/>
    <w:rsid w:val="00234DEB"/>
    <w:rsid w:val="0023584A"/>
    <w:rsid w:val="00236C44"/>
    <w:rsid w:val="002422D0"/>
    <w:rsid w:val="002451F7"/>
    <w:rsid w:val="002455CC"/>
    <w:rsid w:val="002459A8"/>
    <w:rsid w:val="00246523"/>
    <w:rsid w:val="00247A1F"/>
    <w:rsid w:val="00247CE0"/>
    <w:rsid w:val="002503D1"/>
    <w:rsid w:val="00251E5A"/>
    <w:rsid w:val="00252DB6"/>
    <w:rsid w:val="00252F2A"/>
    <w:rsid w:val="002532EF"/>
    <w:rsid w:val="002539EC"/>
    <w:rsid w:val="002546D8"/>
    <w:rsid w:val="00254D5A"/>
    <w:rsid w:val="002558A3"/>
    <w:rsid w:val="00255A7D"/>
    <w:rsid w:val="00255D14"/>
    <w:rsid w:val="00256505"/>
    <w:rsid w:val="0025731A"/>
    <w:rsid w:val="00257727"/>
    <w:rsid w:val="00257B43"/>
    <w:rsid w:val="00257DEC"/>
    <w:rsid w:val="00260459"/>
    <w:rsid w:val="00260814"/>
    <w:rsid w:val="00262DE6"/>
    <w:rsid w:val="002636AC"/>
    <w:rsid w:val="00263AD5"/>
    <w:rsid w:val="00264B4E"/>
    <w:rsid w:val="0026705F"/>
    <w:rsid w:val="00267332"/>
    <w:rsid w:val="00267EB0"/>
    <w:rsid w:val="002704DD"/>
    <w:rsid w:val="00270D27"/>
    <w:rsid w:val="002715D9"/>
    <w:rsid w:val="0027210A"/>
    <w:rsid w:val="00273AB1"/>
    <w:rsid w:val="002748C2"/>
    <w:rsid w:val="002752C3"/>
    <w:rsid w:val="00276015"/>
    <w:rsid w:val="002761DE"/>
    <w:rsid w:val="00277591"/>
    <w:rsid w:val="002804FD"/>
    <w:rsid w:val="00280C10"/>
    <w:rsid w:val="002817A0"/>
    <w:rsid w:val="00281FBD"/>
    <w:rsid w:val="00284760"/>
    <w:rsid w:val="00285465"/>
    <w:rsid w:val="00285CDC"/>
    <w:rsid w:val="00286C9F"/>
    <w:rsid w:val="00287CB1"/>
    <w:rsid w:val="0029096F"/>
    <w:rsid w:val="00290AD2"/>
    <w:rsid w:val="00291984"/>
    <w:rsid w:val="002926F4"/>
    <w:rsid w:val="0029353E"/>
    <w:rsid w:val="0029388D"/>
    <w:rsid w:val="00294151"/>
    <w:rsid w:val="00296359"/>
    <w:rsid w:val="002965FC"/>
    <w:rsid w:val="00297286"/>
    <w:rsid w:val="002974A9"/>
    <w:rsid w:val="0029766C"/>
    <w:rsid w:val="002978CD"/>
    <w:rsid w:val="002A05C6"/>
    <w:rsid w:val="002A33AF"/>
    <w:rsid w:val="002A4D71"/>
    <w:rsid w:val="002A5F4D"/>
    <w:rsid w:val="002A6114"/>
    <w:rsid w:val="002A70E9"/>
    <w:rsid w:val="002A7A0A"/>
    <w:rsid w:val="002B0801"/>
    <w:rsid w:val="002B541A"/>
    <w:rsid w:val="002B754D"/>
    <w:rsid w:val="002C0BBE"/>
    <w:rsid w:val="002C1023"/>
    <w:rsid w:val="002C2EB6"/>
    <w:rsid w:val="002C4143"/>
    <w:rsid w:val="002C4F02"/>
    <w:rsid w:val="002C69AD"/>
    <w:rsid w:val="002C76C8"/>
    <w:rsid w:val="002D0E4D"/>
    <w:rsid w:val="002D2097"/>
    <w:rsid w:val="002D29D1"/>
    <w:rsid w:val="002D7978"/>
    <w:rsid w:val="002E15C7"/>
    <w:rsid w:val="002E1DF4"/>
    <w:rsid w:val="002E4777"/>
    <w:rsid w:val="002E6ACF"/>
    <w:rsid w:val="002E7CB7"/>
    <w:rsid w:val="002E7DDB"/>
    <w:rsid w:val="002F222D"/>
    <w:rsid w:val="002F39D2"/>
    <w:rsid w:val="002F3C7E"/>
    <w:rsid w:val="002F3FB3"/>
    <w:rsid w:val="002F42FC"/>
    <w:rsid w:val="002F5C03"/>
    <w:rsid w:val="002F6F4F"/>
    <w:rsid w:val="002F75DA"/>
    <w:rsid w:val="0030000F"/>
    <w:rsid w:val="0030011D"/>
    <w:rsid w:val="00302937"/>
    <w:rsid w:val="003046B0"/>
    <w:rsid w:val="00304AA1"/>
    <w:rsid w:val="00306C33"/>
    <w:rsid w:val="00311B03"/>
    <w:rsid w:val="00312C11"/>
    <w:rsid w:val="00312F06"/>
    <w:rsid w:val="00313568"/>
    <w:rsid w:val="00314088"/>
    <w:rsid w:val="0031425A"/>
    <w:rsid w:val="00314315"/>
    <w:rsid w:val="00314713"/>
    <w:rsid w:val="003149F5"/>
    <w:rsid w:val="003151E4"/>
    <w:rsid w:val="003156D7"/>
    <w:rsid w:val="00317261"/>
    <w:rsid w:val="00321DB1"/>
    <w:rsid w:val="003222FD"/>
    <w:rsid w:val="0032595D"/>
    <w:rsid w:val="00326F3E"/>
    <w:rsid w:val="0032708F"/>
    <w:rsid w:val="00330A67"/>
    <w:rsid w:val="00332A51"/>
    <w:rsid w:val="00333ADD"/>
    <w:rsid w:val="00334988"/>
    <w:rsid w:val="00334F62"/>
    <w:rsid w:val="00335E94"/>
    <w:rsid w:val="003364EB"/>
    <w:rsid w:val="00340271"/>
    <w:rsid w:val="00342305"/>
    <w:rsid w:val="0034272B"/>
    <w:rsid w:val="00342BFE"/>
    <w:rsid w:val="0034398D"/>
    <w:rsid w:val="00344603"/>
    <w:rsid w:val="00344ABF"/>
    <w:rsid w:val="00344C34"/>
    <w:rsid w:val="003470E8"/>
    <w:rsid w:val="003521B2"/>
    <w:rsid w:val="00353126"/>
    <w:rsid w:val="003531A1"/>
    <w:rsid w:val="003544E5"/>
    <w:rsid w:val="00354574"/>
    <w:rsid w:val="003550C3"/>
    <w:rsid w:val="00356987"/>
    <w:rsid w:val="00356988"/>
    <w:rsid w:val="00360F5F"/>
    <w:rsid w:val="0036124A"/>
    <w:rsid w:val="003643C9"/>
    <w:rsid w:val="003657F1"/>
    <w:rsid w:val="00365A2F"/>
    <w:rsid w:val="00365F4C"/>
    <w:rsid w:val="003663D1"/>
    <w:rsid w:val="00366493"/>
    <w:rsid w:val="0036754C"/>
    <w:rsid w:val="0037233E"/>
    <w:rsid w:val="00374E24"/>
    <w:rsid w:val="00375053"/>
    <w:rsid w:val="00375B15"/>
    <w:rsid w:val="00375E42"/>
    <w:rsid w:val="0038156E"/>
    <w:rsid w:val="00381B05"/>
    <w:rsid w:val="0038560C"/>
    <w:rsid w:val="00385BF0"/>
    <w:rsid w:val="00385DAD"/>
    <w:rsid w:val="00386626"/>
    <w:rsid w:val="00387A95"/>
    <w:rsid w:val="003908D7"/>
    <w:rsid w:val="00390929"/>
    <w:rsid w:val="00390DBB"/>
    <w:rsid w:val="00391E8D"/>
    <w:rsid w:val="003921E2"/>
    <w:rsid w:val="003924CC"/>
    <w:rsid w:val="00395374"/>
    <w:rsid w:val="00396502"/>
    <w:rsid w:val="00396812"/>
    <w:rsid w:val="0039716B"/>
    <w:rsid w:val="003A0B9C"/>
    <w:rsid w:val="003A0E5A"/>
    <w:rsid w:val="003A1C44"/>
    <w:rsid w:val="003A4390"/>
    <w:rsid w:val="003A5E83"/>
    <w:rsid w:val="003A6A5F"/>
    <w:rsid w:val="003A7581"/>
    <w:rsid w:val="003B1AA6"/>
    <w:rsid w:val="003B1C5F"/>
    <w:rsid w:val="003B2E77"/>
    <w:rsid w:val="003B3FDD"/>
    <w:rsid w:val="003B4D40"/>
    <w:rsid w:val="003B4E41"/>
    <w:rsid w:val="003B5D19"/>
    <w:rsid w:val="003B610B"/>
    <w:rsid w:val="003B7319"/>
    <w:rsid w:val="003B744A"/>
    <w:rsid w:val="003B7806"/>
    <w:rsid w:val="003C22A6"/>
    <w:rsid w:val="003C2C17"/>
    <w:rsid w:val="003C47E8"/>
    <w:rsid w:val="003C4B78"/>
    <w:rsid w:val="003C5102"/>
    <w:rsid w:val="003C6962"/>
    <w:rsid w:val="003C6F65"/>
    <w:rsid w:val="003C78D3"/>
    <w:rsid w:val="003D1F46"/>
    <w:rsid w:val="003D27C4"/>
    <w:rsid w:val="003D413F"/>
    <w:rsid w:val="003D5631"/>
    <w:rsid w:val="003D67CE"/>
    <w:rsid w:val="003E16B5"/>
    <w:rsid w:val="003E29C2"/>
    <w:rsid w:val="003E2B14"/>
    <w:rsid w:val="003E51B6"/>
    <w:rsid w:val="003F01A7"/>
    <w:rsid w:val="003F2E62"/>
    <w:rsid w:val="003F3943"/>
    <w:rsid w:val="003F4373"/>
    <w:rsid w:val="003F67D3"/>
    <w:rsid w:val="00401860"/>
    <w:rsid w:val="00401F1D"/>
    <w:rsid w:val="004047B1"/>
    <w:rsid w:val="00404C22"/>
    <w:rsid w:val="0040584C"/>
    <w:rsid w:val="00405C40"/>
    <w:rsid w:val="00406807"/>
    <w:rsid w:val="00407C2F"/>
    <w:rsid w:val="0041082C"/>
    <w:rsid w:val="00411425"/>
    <w:rsid w:val="00413B28"/>
    <w:rsid w:val="00413BA5"/>
    <w:rsid w:val="00413DAC"/>
    <w:rsid w:val="00414B68"/>
    <w:rsid w:val="0041623E"/>
    <w:rsid w:val="00416AB2"/>
    <w:rsid w:val="00421203"/>
    <w:rsid w:val="00421F80"/>
    <w:rsid w:val="00423359"/>
    <w:rsid w:val="00425C94"/>
    <w:rsid w:val="00425F40"/>
    <w:rsid w:val="00426045"/>
    <w:rsid w:val="00426277"/>
    <w:rsid w:val="004262B3"/>
    <w:rsid w:val="00426988"/>
    <w:rsid w:val="0042749E"/>
    <w:rsid w:val="00430CEA"/>
    <w:rsid w:val="00431130"/>
    <w:rsid w:val="004312E6"/>
    <w:rsid w:val="0043485A"/>
    <w:rsid w:val="00440083"/>
    <w:rsid w:val="00440521"/>
    <w:rsid w:val="004407EE"/>
    <w:rsid w:val="00440907"/>
    <w:rsid w:val="00441078"/>
    <w:rsid w:val="00442254"/>
    <w:rsid w:val="00443307"/>
    <w:rsid w:val="0044367D"/>
    <w:rsid w:val="00443EB6"/>
    <w:rsid w:val="00444E41"/>
    <w:rsid w:val="004453BE"/>
    <w:rsid w:val="004458BA"/>
    <w:rsid w:val="00446066"/>
    <w:rsid w:val="00446337"/>
    <w:rsid w:val="00446B02"/>
    <w:rsid w:val="00447A63"/>
    <w:rsid w:val="004521D4"/>
    <w:rsid w:val="0045300F"/>
    <w:rsid w:val="00454158"/>
    <w:rsid w:val="00454723"/>
    <w:rsid w:val="004553DE"/>
    <w:rsid w:val="0045575A"/>
    <w:rsid w:val="004568F7"/>
    <w:rsid w:val="00456D83"/>
    <w:rsid w:val="00460140"/>
    <w:rsid w:val="00460F62"/>
    <w:rsid w:val="00461141"/>
    <w:rsid w:val="0046195C"/>
    <w:rsid w:val="00461C65"/>
    <w:rsid w:val="0046238B"/>
    <w:rsid w:val="00462468"/>
    <w:rsid w:val="00463601"/>
    <w:rsid w:val="0046586B"/>
    <w:rsid w:val="00465D71"/>
    <w:rsid w:val="004662B7"/>
    <w:rsid w:val="00467F68"/>
    <w:rsid w:val="004763DA"/>
    <w:rsid w:val="00477A71"/>
    <w:rsid w:val="00477B18"/>
    <w:rsid w:val="00480D3C"/>
    <w:rsid w:val="00481479"/>
    <w:rsid w:val="00481928"/>
    <w:rsid w:val="00482F13"/>
    <w:rsid w:val="00484BCE"/>
    <w:rsid w:val="004852A7"/>
    <w:rsid w:val="00486D68"/>
    <w:rsid w:val="004875E2"/>
    <w:rsid w:val="00491F39"/>
    <w:rsid w:val="0049475D"/>
    <w:rsid w:val="0049575D"/>
    <w:rsid w:val="00495C08"/>
    <w:rsid w:val="00495F9A"/>
    <w:rsid w:val="00496830"/>
    <w:rsid w:val="00496A3C"/>
    <w:rsid w:val="00496DB8"/>
    <w:rsid w:val="00496F88"/>
    <w:rsid w:val="004A07B5"/>
    <w:rsid w:val="004A2AED"/>
    <w:rsid w:val="004A3A53"/>
    <w:rsid w:val="004A5318"/>
    <w:rsid w:val="004A57FA"/>
    <w:rsid w:val="004A741E"/>
    <w:rsid w:val="004A78F0"/>
    <w:rsid w:val="004B0321"/>
    <w:rsid w:val="004B1ADE"/>
    <w:rsid w:val="004B2F55"/>
    <w:rsid w:val="004B37E4"/>
    <w:rsid w:val="004B4326"/>
    <w:rsid w:val="004B54A4"/>
    <w:rsid w:val="004B570B"/>
    <w:rsid w:val="004B6091"/>
    <w:rsid w:val="004B6109"/>
    <w:rsid w:val="004B652A"/>
    <w:rsid w:val="004B7DB2"/>
    <w:rsid w:val="004C0F83"/>
    <w:rsid w:val="004C1EEB"/>
    <w:rsid w:val="004C30D2"/>
    <w:rsid w:val="004C3AE2"/>
    <w:rsid w:val="004D090C"/>
    <w:rsid w:val="004D0BE0"/>
    <w:rsid w:val="004D14F0"/>
    <w:rsid w:val="004D3233"/>
    <w:rsid w:val="004D49CF"/>
    <w:rsid w:val="004D4A68"/>
    <w:rsid w:val="004D52DC"/>
    <w:rsid w:val="004D5AE2"/>
    <w:rsid w:val="004D5DFE"/>
    <w:rsid w:val="004E0562"/>
    <w:rsid w:val="004E1964"/>
    <w:rsid w:val="004E429F"/>
    <w:rsid w:val="004E44F5"/>
    <w:rsid w:val="004E585B"/>
    <w:rsid w:val="004E5928"/>
    <w:rsid w:val="004E7CF8"/>
    <w:rsid w:val="004F07EE"/>
    <w:rsid w:val="004F160A"/>
    <w:rsid w:val="004F35A5"/>
    <w:rsid w:val="004F37CB"/>
    <w:rsid w:val="004F410E"/>
    <w:rsid w:val="004F45CA"/>
    <w:rsid w:val="004F4B83"/>
    <w:rsid w:val="004F6787"/>
    <w:rsid w:val="00500A53"/>
    <w:rsid w:val="0050210F"/>
    <w:rsid w:val="005039CC"/>
    <w:rsid w:val="0050412B"/>
    <w:rsid w:val="00504F92"/>
    <w:rsid w:val="00505551"/>
    <w:rsid w:val="0050660B"/>
    <w:rsid w:val="005078B3"/>
    <w:rsid w:val="00507B51"/>
    <w:rsid w:val="00511C54"/>
    <w:rsid w:val="00513133"/>
    <w:rsid w:val="005151AE"/>
    <w:rsid w:val="00520C27"/>
    <w:rsid w:val="00521B57"/>
    <w:rsid w:val="0052282B"/>
    <w:rsid w:val="00522DE9"/>
    <w:rsid w:val="00522EF8"/>
    <w:rsid w:val="0052399F"/>
    <w:rsid w:val="00523FBA"/>
    <w:rsid w:val="00524079"/>
    <w:rsid w:val="005255C0"/>
    <w:rsid w:val="0052764F"/>
    <w:rsid w:val="00527AFE"/>
    <w:rsid w:val="0053151D"/>
    <w:rsid w:val="005328F4"/>
    <w:rsid w:val="00535220"/>
    <w:rsid w:val="00535ED2"/>
    <w:rsid w:val="00537116"/>
    <w:rsid w:val="0054061D"/>
    <w:rsid w:val="00540ED6"/>
    <w:rsid w:val="00541C1D"/>
    <w:rsid w:val="00544A16"/>
    <w:rsid w:val="0054530A"/>
    <w:rsid w:val="00545440"/>
    <w:rsid w:val="00546D4C"/>
    <w:rsid w:val="005472EC"/>
    <w:rsid w:val="00547C82"/>
    <w:rsid w:val="00551821"/>
    <w:rsid w:val="00551B23"/>
    <w:rsid w:val="00551C4D"/>
    <w:rsid w:val="00552915"/>
    <w:rsid w:val="00553457"/>
    <w:rsid w:val="005534BD"/>
    <w:rsid w:val="005551F3"/>
    <w:rsid w:val="005576E9"/>
    <w:rsid w:val="00561DC1"/>
    <w:rsid w:val="005620F6"/>
    <w:rsid w:val="005623DE"/>
    <w:rsid w:val="0056353D"/>
    <w:rsid w:val="00564A3A"/>
    <w:rsid w:val="00565F17"/>
    <w:rsid w:val="005674EF"/>
    <w:rsid w:val="00570C2E"/>
    <w:rsid w:val="00570C73"/>
    <w:rsid w:val="00571577"/>
    <w:rsid w:val="00571702"/>
    <w:rsid w:val="00572112"/>
    <w:rsid w:val="0057213D"/>
    <w:rsid w:val="005732E9"/>
    <w:rsid w:val="00575A10"/>
    <w:rsid w:val="00575D4F"/>
    <w:rsid w:val="00575F27"/>
    <w:rsid w:val="0058036C"/>
    <w:rsid w:val="0058073B"/>
    <w:rsid w:val="00580815"/>
    <w:rsid w:val="00580AE3"/>
    <w:rsid w:val="00580F01"/>
    <w:rsid w:val="00581D00"/>
    <w:rsid w:val="00582289"/>
    <w:rsid w:val="00582295"/>
    <w:rsid w:val="0058339E"/>
    <w:rsid w:val="00583830"/>
    <w:rsid w:val="005840CD"/>
    <w:rsid w:val="00585865"/>
    <w:rsid w:val="00585BD9"/>
    <w:rsid w:val="00587292"/>
    <w:rsid w:val="00593FF1"/>
    <w:rsid w:val="005956BA"/>
    <w:rsid w:val="005956DE"/>
    <w:rsid w:val="0059623B"/>
    <w:rsid w:val="00596740"/>
    <w:rsid w:val="00597428"/>
    <w:rsid w:val="005A1839"/>
    <w:rsid w:val="005A2923"/>
    <w:rsid w:val="005A3146"/>
    <w:rsid w:val="005A3759"/>
    <w:rsid w:val="005A449A"/>
    <w:rsid w:val="005A7D3D"/>
    <w:rsid w:val="005B3A9E"/>
    <w:rsid w:val="005B3AFF"/>
    <w:rsid w:val="005B3C07"/>
    <w:rsid w:val="005B3D45"/>
    <w:rsid w:val="005B56B6"/>
    <w:rsid w:val="005B571B"/>
    <w:rsid w:val="005B7781"/>
    <w:rsid w:val="005B78C4"/>
    <w:rsid w:val="005C1EB3"/>
    <w:rsid w:val="005C3270"/>
    <w:rsid w:val="005C373B"/>
    <w:rsid w:val="005C3AD4"/>
    <w:rsid w:val="005C3DD2"/>
    <w:rsid w:val="005C4AAA"/>
    <w:rsid w:val="005D018D"/>
    <w:rsid w:val="005D05CF"/>
    <w:rsid w:val="005D1442"/>
    <w:rsid w:val="005D3722"/>
    <w:rsid w:val="005D67CA"/>
    <w:rsid w:val="005D75D0"/>
    <w:rsid w:val="005E024F"/>
    <w:rsid w:val="005E049F"/>
    <w:rsid w:val="005E06D4"/>
    <w:rsid w:val="005E1572"/>
    <w:rsid w:val="005E53F5"/>
    <w:rsid w:val="005F064D"/>
    <w:rsid w:val="005F1F09"/>
    <w:rsid w:val="005F259A"/>
    <w:rsid w:val="005F435A"/>
    <w:rsid w:val="005F512E"/>
    <w:rsid w:val="005F5A21"/>
    <w:rsid w:val="005F7171"/>
    <w:rsid w:val="005F7F09"/>
    <w:rsid w:val="00600458"/>
    <w:rsid w:val="006005B4"/>
    <w:rsid w:val="0060369E"/>
    <w:rsid w:val="00603824"/>
    <w:rsid w:val="0060483E"/>
    <w:rsid w:val="006049EE"/>
    <w:rsid w:val="00604CCF"/>
    <w:rsid w:val="00607258"/>
    <w:rsid w:val="006073B5"/>
    <w:rsid w:val="00607A12"/>
    <w:rsid w:val="006113D8"/>
    <w:rsid w:val="0061177B"/>
    <w:rsid w:val="00614B25"/>
    <w:rsid w:val="00615BBB"/>
    <w:rsid w:val="00616232"/>
    <w:rsid w:val="00617EB3"/>
    <w:rsid w:val="00620850"/>
    <w:rsid w:val="006225AC"/>
    <w:rsid w:val="00622B16"/>
    <w:rsid w:val="006230A9"/>
    <w:rsid w:val="006242AB"/>
    <w:rsid w:val="00624AAF"/>
    <w:rsid w:val="00624D32"/>
    <w:rsid w:val="00626A1E"/>
    <w:rsid w:val="006273ED"/>
    <w:rsid w:val="00627FCD"/>
    <w:rsid w:val="00631F8D"/>
    <w:rsid w:val="006344FD"/>
    <w:rsid w:val="0063516D"/>
    <w:rsid w:val="00635AE1"/>
    <w:rsid w:val="00641CB9"/>
    <w:rsid w:val="0064349A"/>
    <w:rsid w:val="00644BB8"/>
    <w:rsid w:val="0064750C"/>
    <w:rsid w:val="00650E01"/>
    <w:rsid w:val="0065198A"/>
    <w:rsid w:val="00651F0A"/>
    <w:rsid w:val="00653982"/>
    <w:rsid w:val="00653A33"/>
    <w:rsid w:val="00653B4F"/>
    <w:rsid w:val="006543FB"/>
    <w:rsid w:val="00655505"/>
    <w:rsid w:val="00655AA7"/>
    <w:rsid w:val="00655F80"/>
    <w:rsid w:val="00656541"/>
    <w:rsid w:val="00661323"/>
    <w:rsid w:val="00661538"/>
    <w:rsid w:val="006618C4"/>
    <w:rsid w:val="006621E9"/>
    <w:rsid w:val="00662904"/>
    <w:rsid w:val="00663BE4"/>
    <w:rsid w:val="00664C73"/>
    <w:rsid w:val="0066612B"/>
    <w:rsid w:val="00666CE9"/>
    <w:rsid w:val="00666F6F"/>
    <w:rsid w:val="006713A5"/>
    <w:rsid w:val="00671999"/>
    <w:rsid w:val="00680B65"/>
    <w:rsid w:val="00681287"/>
    <w:rsid w:val="006815A6"/>
    <w:rsid w:val="0068285E"/>
    <w:rsid w:val="0068308A"/>
    <w:rsid w:val="00683E8B"/>
    <w:rsid w:val="00684EF6"/>
    <w:rsid w:val="006856E2"/>
    <w:rsid w:val="006874B5"/>
    <w:rsid w:val="00695397"/>
    <w:rsid w:val="0069562F"/>
    <w:rsid w:val="006A1009"/>
    <w:rsid w:val="006A177A"/>
    <w:rsid w:val="006A551B"/>
    <w:rsid w:val="006A5F8B"/>
    <w:rsid w:val="006A600F"/>
    <w:rsid w:val="006B0A49"/>
    <w:rsid w:val="006B1043"/>
    <w:rsid w:val="006B1262"/>
    <w:rsid w:val="006B1A6D"/>
    <w:rsid w:val="006B2B00"/>
    <w:rsid w:val="006B2FA8"/>
    <w:rsid w:val="006B36B2"/>
    <w:rsid w:val="006B3E08"/>
    <w:rsid w:val="006B529B"/>
    <w:rsid w:val="006B78E0"/>
    <w:rsid w:val="006B7C74"/>
    <w:rsid w:val="006C218B"/>
    <w:rsid w:val="006C25C4"/>
    <w:rsid w:val="006C3BAF"/>
    <w:rsid w:val="006C4489"/>
    <w:rsid w:val="006C4536"/>
    <w:rsid w:val="006C4C8E"/>
    <w:rsid w:val="006C51E2"/>
    <w:rsid w:val="006C5247"/>
    <w:rsid w:val="006C5D61"/>
    <w:rsid w:val="006C62F8"/>
    <w:rsid w:val="006C71BB"/>
    <w:rsid w:val="006D071F"/>
    <w:rsid w:val="006D1276"/>
    <w:rsid w:val="006D13C4"/>
    <w:rsid w:val="006D24B8"/>
    <w:rsid w:val="006D2C14"/>
    <w:rsid w:val="006D3945"/>
    <w:rsid w:val="006D3A42"/>
    <w:rsid w:val="006D4C15"/>
    <w:rsid w:val="006D5355"/>
    <w:rsid w:val="006D7692"/>
    <w:rsid w:val="006E0670"/>
    <w:rsid w:val="006E24EA"/>
    <w:rsid w:val="006E5D2E"/>
    <w:rsid w:val="006E670A"/>
    <w:rsid w:val="006E7028"/>
    <w:rsid w:val="006E783D"/>
    <w:rsid w:val="006F15E9"/>
    <w:rsid w:val="006F2437"/>
    <w:rsid w:val="006F252A"/>
    <w:rsid w:val="006F27FC"/>
    <w:rsid w:val="006F3153"/>
    <w:rsid w:val="006F4B6F"/>
    <w:rsid w:val="006F4F6D"/>
    <w:rsid w:val="006F52B3"/>
    <w:rsid w:val="006F571A"/>
    <w:rsid w:val="006F6C7B"/>
    <w:rsid w:val="0070008A"/>
    <w:rsid w:val="00703526"/>
    <w:rsid w:val="0070357F"/>
    <w:rsid w:val="00703DA7"/>
    <w:rsid w:val="00703E05"/>
    <w:rsid w:val="00704208"/>
    <w:rsid w:val="00705262"/>
    <w:rsid w:val="00705CA5"/>
    <w:rsid w:val="0070637A"/>
    <w:rsid w:val="0070653C"/>
    <w:rsid w:val="00706ED7"/>
    <w:rsid w:val="007070FC"/>
    <w:rsid w:val="0071054D"/>
    <w:rsid w:val="00710877"/>
    <w:rsid w:val="00711F34"/>
    <w:rsid w:val="00713444"/>
    <w:rsid w:val="00714612"/>
    <w:rsid w:val="00716D0A"/>
    <w:rsid w:val="00717A52"/>
    <w:rsid w:val="00717AF6"/>
    <w:rsid w:val="00720728"/>
    <w:rsid w:val="00721ECF"/>
    <w:rsid w:val="00722D13"/>
    <w:rsid w:val="007230FE"/>
    <w:rsid w:val="00724C29"/>
    <w:rsid w:val="00725BEA"/>
    <w:rsid w:val="00726409"/>
    <w:rsid w:val="007306D1"/>
    <w:rsid w:val="00731E92"/>
    <w:rsid w:val="00733BBF"/>
    <w:rsid w:val="007344C3"/>
    <w:rsid w:val="00736804"/>
    <w:rsid w:val="00736C31"/>
    <w:rsid w:val="0073725A"/>
    <w:rsid w:val="00737A01"/>
    <w:rsid w:val="007407C2"/>
    <w:rsid w:val="00740866"/>
    <w:rsid w:val="00742CE1"/>
    <w:rsid w:val="0074372C"/>
    <w:rsid w:val="0074437F"/>
    <w:rsid w:val="007446C4"/>
    <w:rsid w:val="00744C7C"/>
    <w:rsid w:val="007462DF"/>
    <w:rsid w:val="00746657"/>
    <w:rsid w:val="00746AFD"/>
    <w:rsid w:val="00747C4D"/>
    <w:rsid w:val="00754948"/>
    <w:rsid w:val="00754F15"/>
    <w:rsid w:val="0075585E"/>
    <w:rsid w:val="00761F10"/>
    <w:rsid w:val="00772458"/>
    <w:rsid w:val="00775666"/>
    <w:rsid w:val="00775812"/>
    <w:rsid w:val="00776EB6"/>
    <w:rsid w:val="0078165E"/>
    <w:rsid w:val="00781AFB"/>
    <w:rsid w:val="00782461"/>
    <w:rsid w:val="0078470A"/>
    <w:rsid w:val="0078583D"/>
    <w:rsid w:val="00785939"/>
    <w:rsid w:val="00787AE5"/>
    <w:rsid w:val="00787AF1"/>
    <w:rsid w:val="00790E3F"/>
    <w:rsid w:val="0079132B"/>
    <w:rsid w:val="007928A6"/>
    <w:rsid w:val="0079468C"/>
    <w:rsid w:val="00795117"/>
    <w:rsid w:val="007969E6"/>
    <w:rsid w:val="00796DA1"/>
    <w:rsid w:val="007A2C57"/>
    <w:rsid w:val="007A3440"/>
    <w:rsid w:val="007A34B3"/>
    <w:rsid w:val="007A4E29"/>
    <w:rsid w:val="007A56B2"/>
    <w:rsid w:val="007A76F7"/>
    <w:rsid w:val="007B1039"/>
    <w:rsid w:val="007B1644"/>
    <w:rsid w:val="007B20A1"/>
    <w:rsid w:val="007B2C06"/>
    <w:rsid w:val="007B2EF5"/>
    <w:rsid w:val="007B413B"/>
    <w:rsid w:val="007B5461"/>
    <w:rsid w:val="007B690C"/>
    <w:rsid w:val="007C2B54"/>
    <w:rsid w:val="007C2D2E"/>
    <w:rsid w:val="007C4746"/>
    <w:rsid w:val="007C60E2"/>
    <w:rsid w:val="007C68D2"/>
    <w:rsid w:val="007C6D04"/>
    <w:rsid w:val="007C7F8F"/>
    <w:rsid w:val="007D5B1C"/>
    <w:rsid w:val="007D7110"/>
    <w:rsid w:val="007E0ADA"/>
    <w:rsid w:val="007E15CF"/>
    <w:rsid w:val="007E51FC"/>
    <w:rsid w:val="007E5866"/>
    <w:rsid w:val="007E5DD8"/>
    <w:rsid w:val="007E7049"/>
    <w:rsid w:val="007F07AF"/>
    <w:rsid w:val="007F2A44"/>
    <w:rsid w:val="007F6E2B"/>
    <w:rsid w:val="007F7433"/>
    <w:rsid w:val="007F773D"/>
    <w:rsid w:val="00800464"/>
    <w:rsid w:val="00802760"/>
    <w:rsid w:val="0080287F"/>
    <w:rsid w:val="00804065"/>
    <w:rsid w:val="008047DD"/>
    <w:rsid w:val="00806213"/>
    <w:rsid w:val="00806756"/>
    <w:rsid w:val="00810223"/>
    <w:rsid w:val="00810971"/>
    <w:rsid w:val="00812297"/>
    <w:rsid w:val="00812B80"/>
    <w:rsid w:val="0081409A"/>
    <w:rsid w:val="00814160"/>
    <w:rsid w:val="00814CCD"/>
    <w:rsid w:val="0081558A"/>
    <w:rsid w:val="00815770"/>
    <w:rsid w:val="00816950"/>
    <w:rsid w:val="008213E7"/>
    <w:rsid w:val="00821687"/>
    <w:rsid w:val="0082217D"/>
    <w:rsid w:val="008228F6"/>
    <w:rsid w:val="00822A40"/>
    <w:rsid w:val="00827ADB"/>
    <w:rsid w:val="00830A48"/>
    <w:rsid w:val="00833331"/>
    <w:rsid w:val="008335F1"/>
    <w:rsid w:val="00833AB7"/>
    <w:rsid w:val="00834B96"/>
    <w:rsid w:val="00835609"/>
    <w:rsid w:val="00836B47"/>
    <w:rsid w:val="00836F1D"/>
    <w:rsid w:val="00840A53"/>
    <w:rsid w:val="0084148D"/>
    <w:rsid w:val="008427B3"/>
    <w:rsid w:val="00842A01"/>
    <w:rsid w:val="00842DA8"/>
    <w:rsid w:val="008441D1"/>
    <w:rsid w:val="0085047D"/>
    <w:rsid w:val="00850AAB"/>
    <w:rsid w:val="00851A81"/>
    <w:rsid w:val="008524EA"/>
    <w:rsid w:val="008530B9"/>
    <w:rsid w:val="00853B5C"/>
    <w:rsid w:val="0085688C"/>
    <w:rsid w:val="00857642"/>
    <w:rsid w:val="00857F8E"/>
    <w:rsid w:val="00861D6F"/>
    <w:rsid w:val="0086268A"/>
    <w:rsid w:val="00862833"/>
    <w:rsid w:val="00862EB0"/>
    <w:rsid w:val="008648C7"/>
    <w:rsid w:val="00864B15"/>
    <w:rsid w:val="00865C18"/>
    <w:rsid w:val="0086621E"/>
    <w:rsid w:val="008731BB"/>
    <w:rsid w:val="00873B0D"/>
    <w:rsid w:val="0087407A"/>
    <w:rsid w:val="00874996"/>
    <w:rsid w:val="00881569"/>
    <w:rsid w:val="00882CB8"/>
    <w:rsid w:val="008841D2"/>
    <w:rsid w:val="008844C6"/>
    <w:rsid w:val="00884650"/>
    <w:rsid w:val="00884968"/>
    <w:rsid w:val="00885F50"/>
    <w:rsid w:val="00887314"/>
    <w:rsid w:val="0089123F"/>
    <w:rsid w:val="00893622"/>
    <w:rsid w:val="00893901"/>
    <w:rsid w:val="00896171"/>
    <w:rsid w:val="00896340"/>
    <w:rsid w:val="0089728F"/>
    <w:rsid w:val="008A06D8"/>
    <w:rsid w:val="008A0874"/>
    <w:rsid w:val="008A08F3"/>
    <w:rsid w:val="008A090C"/>
    <w:rsid w:val="008A1691"/>
    <w:rsid w:val="008A3BFB"/>
    <w:rsid w:val="008A46CD"/>
    <w:rsid w:val="008A4BB1"/>
    <w:rsid w:val="008A51AD"/>
    <w:rsid w:val="008A6276"/>
    <w:rsid w:val="008A74C7"/>
    <w:rsid w:val="008B0096"/>
    <w:rsid w:val="008B2982"/>
    <w:rsid w:val="008B2CD8"/>
    <w:rsid w:val="008B36CF"/>
    <w:rsid w:val="008B4146"/>
    <w:rsid w:val="008B456E"/>
    <w:rsid w:val="008B46CF"/>
    <w:rsid w:val="008B51B9"/>
    <w:rsid w:val="008B5867"/>
    <w:rsid w:val="008C03AD"/>
    <w:rsid w:val="008C0A08"/>
    <w:rsid w:val="008C11EE"/>
    <w:rsid w:val="008C1485"/>
    <w:rsid w:val="008C6C9E"/>
    <w:rsid w:val="008C7CB6"/>
    <w:rsid w:val="008C7E04"/>
    <w:rsid w:val="008D0038"/>
    <w:rsid w:val="008D0128"/>
    <w:rsid w:val="008D13DD"/>
    <w:rsid w:val="008D1E67"/>
    <w:rsid w:val="008D2DBA"/>
    <w:rsid w:val="008D530C"/>
    <w:rsid w:val="008D56D1"/>
    <w:rsid w:val="008D5F18"/>
    <w:rsid w:val="008D638B"/>
    <w:rsid w:val="008D7ECE"/>
    <w:rsid w:val="008E0F30"/>
    <w:rsid w:val="008E44FF"/>
    <w:rsid w:val="008E4917"/>
    <w:rsid w:val="008E5F96"/>
    <w:rsid w:val="008E6FB7"/>
    <w:rsid w:val="008E7FE5"/>
    <w:rsid w:val="008F08EF"/>
    <w:rsid w:val="008F116E"/>
    <w:rsid w:val="008F1917"/>
    <w:rsid w:val="008F1A4B"/>
    <w:rsid w:val="008F25DF"/>
    <w:rsid w:val="008F29E0"/>
    <w:rsid w:val="008F4FCE"/>
    <w:rsid w:val="008F55FE"/>
    <w:rsid w:val="008F58AE"/>
    <w:rsid w:val="008F5F45"/>
    <w:rsid w:val="008F63E4"/>
    <w:rsid w:val="008F7E61"/>
    <w:rsid w:val="00900008"/>
    <w:rsid w:val="00900578"/>
    <w:rsid w:val="00901FC2"/>
    <w:rsid w:val="00902EB1"/>
    <w:rsid w:val="009050BB"/>
    <w:rsid w:val="00905F7A"/>
    <w:rsid w:val="00906A31"/>
    <w:rsid w:val="00906B1B"/>
    <w:rsid w:val="00906FE6"/>
    <w:rsid w:val="00910398"/>
    <w:rsid w:val="0091039C"/>
    <w:rsid w:val="00911640"/>
    <w:rsid w:val="00911A5F"/>
    <w:rsid w:val="00911CC7"/>
    <w:rsid w:val="0091213F"/>
    <w:rsid w:val="00912473"/>
    <w:rsid w:val="00912783"/>
    <w:rsid w:val="00913BBB"/>
    <w:rsid w:val="0091451C"/>
    <w:rsid w:val="00915753"/>
    <w:rsid w:val="00915C3E"/>
    <w:rsid w:val="00915D45"/>
    <w:rsid w:val="009163BF"/>
    <w:rsid w:val="00920153"/>
    <w:rsid w:val="009201A7"/>
    <w:rsid w:val="009205F2"/>
    <w:rsid w:val="00923349"/>
    <w:rsid w:val="009252D3"/>
    <w:rsid w:val="00925882"/>
    <w:rsid w:val="00926002"/>
    <w:rsid w:val="00930EBA"/>
    <w:rsid w:val="00931AFB"/>
    <w:rsid w:val="0093353A"/>
    <w:rsid w:val="00934347"/>
    <w:rsid w:val="009354FF"/>
    <w:rsid w:val="00935580"/>
    <w:rsid w:val="00935826"/>
    <w:rsid w:val="009366E0"/>
    <w:rsid w:val="0093742A"/>
    <w:rsid w:val="00940622"/>
    <w:rsid w:val="009412D9"/>
    <w:rsid w:val="00941AC9"/>
    <w:rsid w:val="0094303A"/>
    <w:rsid w:val="009440AF"/>
    <w:rsid w:val="00944730"/>
    <w:rsid w:val="009471B5"/>
    <w:rsid w:val="00951A6C"/>
    <w:rsid w:val="00952928"/>
    <w:rsid w:val="00953137"/>
    <w:rsid w:val="009531DA"/>
    <w:rsid w:val="00953CFD"/>
    <w:rsid w:val="00954A90"/>
    <w:rsid w:val="0095537D"/>
    <w:rsid w:val="00961F79"/>
    <w:rsid w:val="00964EED"/>
    <w:rsid w:val="00966971"/>
    <w:rsid w:val="009669E3"/>
    <w:rsid w:val="009671DB"/>
    <w:rsid w:val="00972001"/>
    <w:rsid w:val="00972738"/>
    <w:rsid w:val="009730A0"/>
    <w:rsid w:val="00973CA9"/>
    <w:rsid w:val="00974D3B"/>
    <w:rsid w:val="00976E81"/>
    <w:rsid w:val="009808B0"/>
    <w:rsid w:val="00980958"/>
    <w:rsid w:val="00983EDB"/>
    <w:rsid w:val="00987014"/>
    <w:rsid w:val="009871AC"/>
    <w:rsid w:val="0099505C"/>
    <w:rsid w:val="00995484"/>
    <w:rsid w:val="00997443"/>
    <w:rsid w:val="009A13A2"/>
    <w:rsid w:val="009A15FA"/>
    <w:rsid w:val="009A33A4"/>
    <w:rsid w:val="009A3B62"/>
    <w:rsid w:val="009A5C47"/>
    <w:rsid w:val="009A64EF"/>
    <w:rsid w:val="009A68E7"/>
    <w:rsid w:val="009A6EA3"/>
    <w:rsid w:val="009A7C80"/>
    <w:rsid w:val="009B2CD7"/>
    <w:rsid w:val="009B4A92"/>
    <w:rsid w:val="009B4FF2"/>
    <w:rsid w:val="009B66C0"/>
    <w:rsid w:val="009B72A1"/>
    <w:rsid w:val="009B74A5"/>
    <w:rsid w:val="009B7C0E"/>
    <w:rsid w:val="009C24F9"/>
    <w:rsid w:val="009C5D54"/>
    <w:rsid w:val="009D3AAC"/>
    <w:rsid w:val="009D5427"/>
    <w:rsid w:val="009D5B63"/>
    <w:rsid w:val="009D67C1"/>
    <w:rsid w:val="009D761D"/>
    <w:rsid w:val="009E1679"/>
    <w:rsid w:val="009E180E"/>
    <w:rsid w:val="009E2348"/>
    <w:rsid w:val="009E239E"/>
    <w:rsid w:val="009E271D"/>
    <w:rsid w:val="009E362F"/>
    <w:rsid w:val="009E59CA"/>
    <w:rsid w:val="009F1EA5"/>
    <w:rsid w:val="009F274D"/>
    <w:rsid w:val="009F768D"/>
    <w:rsid w:val="00A00F26"/>
    <w:rsid w:val="00A00FA2"/>
    <w:rsid w:val="00A018F7"/>
    <w:rsid w:val="00A039B4"/>
    <w:rsid w:val="00A04305"/>
    <w:rsid w:val="00A04AC0"/>
    <w:rsid w:val="00A063F2"/>
    <w:rsid w:val="00A0799C"/>
    <w:rsid w:val="00A07D8F"/>
    <w:rsid w:val="00A10951"/>
    <w:rsid w:val="00A13C95"/>
    <w:rsid w:val="00A13D96"/>
    <w:rsid w:val="00A15176"/>
    <w:rsid w:val="00A16103"/>
    <w:rsid w:val="00A1707A"/>
    <w:rsid w:val="00A17D25"/>
    <w:rsid w:val="00A21AC8"/>
    <w:rsid w:val="00A23803"/>
    <w:rsid w:val="00A249F6"/>
    <w:rsid w:val="00A25B11"/>
    <w:rsid w:val="00A267C8"/>
    <w:rsid w:val="00A27248"/>
    <w:rsid w:val="00A27289"/>
    <w:rsid w:val="00A30CDA"/>
    <w:rsid w:val="00A342CA"/>
    <w:rsid w:val="00A34AEC"/>
    <w:rsid w:val="00A35AFD"/>
    <w:rsid w:val="00A35C16"/>
    <w:rsid w:val="00A3604D"/>
    <w:rsid w:val="00A36B8D"/>
    <w:rsid w:val="00A373C3"/>
    <w:rsid w:val="00A40731"/>
    <w:rsid w:val="00A41C30"/>
    <w:rsid w:val="00A429D5"/>
    <w:rsid w:val="00A433E2"/>
    <w:rsid w:val="00A448EF"/>
    <w:rsid w:val="00A4598C"/>
    <w:rsid w:val="00A46B3A"/>
    <w:rsid w:val="00A471C2"/>
    <w:rsid w:val="00A4725B"/>
    <w:rsid w:val="00A473B6"/>
    <w:rsid w:val="00A502F2"/>
    <w:rsid w:val="00A510EE"/>
    <w:rsid w:val="00A52750"/>
    <w:rsid w:val="00A52941"/>
    <w:rsid w:val="00A52A4E"/>
    <w:rsid w:val="00A52EA3"/>
    <w:rsid w:val="00A5343C"/>
    <w:rsid w:val="00A60BA3"/>
    <w:rsid w:val="00A61579"/>
    <w:rsid w:val="00A62CAD"/>
    <w:rsid w:val="00A645E7"/>
    <w:rsid w:val="00A64C8D"/>
    <w:rsid w:val="00A70355"/>
    <w:rsid w:val="00A70AEE"/>
    <w:rsid w:val="00A70F3C"/>
    <w:rsid w:val="00A71388"/>
    <w:rsid w:val="00A7233E"/>
    <w:rsid w:val="00A73D4F"/>
    <w:rsid w:val="00A74128"/>
    <w:rsid w:val="00A7538D"/>
    <w:rsid w:val="00A75DD6"/>
    <w:rsid w:val="00A77155"/>
    <w:rsid w:val="00A7725A"/>
    <w:rsid w:val="00A77757"/>
    <w:rsid w:val="00A77CF8"/>
    <w:rsid w:val="00A8008F"/>
    <w:rsid w:val="00A80823"/>
    <w:rsid w:val="00A8092D"/>
    <w:rsid w:val="00A80E74"/>
    <w:rsid w:val="00A82516"/>
    <w:rsid w:val="00A839C5"/>
    <w:rsid w:val="00A851A4"/>
    <w:rsid w:val="00A86A11"/>
    <w:rsid w:val="00A86BD8"/>
    <w:rsid w:val="00A87EDF"/>
    <w:rsid w:val="00A90129"/>
    <w:rsid w:val="00A90897"/>
    <w:rsid w:val="00A90C67"/>
    <w:rsid w:val="00A91C07"/>
    <w:rsid w:val="00A92965"/>
    <w:rsid w:val="00A92B4B"/>
    <w:rsid w:val="00A95CD8"/>
    <w:rsid w:val="00A96F45"/>
    <w:rsid w:val="00A97160"/>
    <w:rsid w:val="00A97709"/>
    <w:rsid w:val="00AA013D"/>
    <w:rsid w:val="00AA0FB8"/>
    <w:rsid w:val="00AA1496"/>
    <w:rsid w:val="00AA155D"/>
    <w:rsid w:val="00AA16C6"/>
    <w:rsid w:val="00AA3D06"/>
    <w:rsid w:val="00AA4899"/>
    <w:rsid w:val="00AA4D37"/>
    <w:rsid w:val="00AA5833"/>
    <w:rsid w:val="00AA59F2"/>
    <w:rsid w:val="00AA639F"/>
    <w:rsid w:val="00AA7802"/>
    <w:rsid w:val="00AB3DA8"/>
    <w:rsid w:val="00AB3E2B"/>
    <w:rsid w:val="00AB4FFB"/>
    <w:rsid w:val="00AB671D"/>
    <w:rsid w:val="00AB7054"/>
    <w:rsid w:val="00AB7130"/>
    <w:rsid w:val="00AB7E81"/>
    <w:rsid w:val="00AC0D42"/>
    <w:rsid w:val="00AC245A"/>
    <w:rsid w:val="00AC2C30"/>
    <w:rsid w:val="00AC3558"/>
    <w:rsid w:val="00AC46EE"/>
    <w:rsid w:val="00AC54E5"/>
    <w:rsid w:val="00AC5B4A"/>
    <w:rsid w:val="00AC701A"/>
    <w:rsid w:val="00AC74A3"/>
    <w:rsid w:val="00AC7DAD"/>
    <w:rsid w:val="00AD1303"/>
    <w:rsid w:val="00AD192F"/>
    <w:rsid w:val="00AD2B41"/>
    <w:rsid w:val="00AD2D8F"/>
    <w:rsid w:val="00AD33BD"/>
    <w:rsid w:val="00AD344D"/>
    <w:rsid w:val="00AD49BE"/>
    <w:rsid w:val="00AD55C5"/>
    <w:rsid w:val="00AD5E7B"/>
    <w:rsid w:val="00AD7340"/>
    <w:rsid w:val="00AD7989"/>
    <w:rsid w:val="00AE09BC"/>
    <w:rsid w:val="00AE0A5F"/>
    <w:rsid w:val="00AE0E70"/>
    <w:rsid w:val="00AE1A08"/>
    <w:rsid w:val="00AE1BBA"/>
    <w:rsid w:val="00AE2E5D"/>
    <w:rsid w:val="00AE4BA3"/>
    <w:rsid w:val="00AE4DA6"/>
    <w:rsid w:val="00AE6376"/>
    <w:rsid w:val="00AE7E8A"/>
    <w:rsid w:val="00AF080D"/>
    <w:rsid w:val="00AF1A49"/>
    <w:rsid w:val="00AF2ECB"/>
    <w:rsid w:val="00AF32D8"/>
    <w:rsid w:val="00AF3F64"/>
    <w:rsid w:val="00AF4C64"/>
    <w:rsid w:val="00AF56DB"/>
    <w:rsid w:val="00AF6353"/>
    <w:rsid w:val="00AF6FDA"/>
    <w:rsid w:val="00AF70FF"/>
    <w:rsid w:val="00B005EF"/>
    <w:rsid w:val="00B00A44"/>
    <w:rsid w:val="00B01BE5"/>
    <w:rsid w:val="00B02385"/>
    <w:rsid w:val="00B03878"/>
    <w:rsid w:val="00B05050"/>
    <w:rsid w:val="00B058F5"/>
    <w:rsid w:val="00B06465"/>
    <w:rsid w:val="00B06DDF"/>
    <w:rsid w:val="00B06DFA"/>
    <w:rsid w:val="00B07809"/>
    <w:rsid w:val="00B079A5"/>
    <w:rsid w:val="00B1090C"/>
    <w:rsid w:val="00B10A3D"/>
    <w:rsid w:val="00B10FDB"/>
    <w:rsid w:val="00B11101"/>
    <w:rsid w:val="00B136CC"/>
    <w:rsid w:val="00B157F5"/>
    <w:rsid w:val="00B16A8E"/>
    <w:rsid w:val="00B16EE5"/>
    <w:rsid w:val="00B16EE9"/>
    <w:rsid w:val="00B20FAA"/>
    <w:rsid w:val="00B21CD8"/>
    <w:rsid w:val="00B21FBA"/>
    <w:rsid w:val="00B23036"/>
    <w:rsid w:val="00B23B48"/>
    <w:rsid w:val="00B249EE"/>
    <w:rsid w:val="00B26388"/>
    <w:rsid w:val="00B2793E"/>
    <w:rsid w:val="00B3022C"/>
    <w:rsid w:val="00B32FEA"/>
    <w:rsid w:val="00B33B37"/>
    <w:rsid w:val="00B374E5"/>
    <w:rsid w:val="00B41FA0"/>
    <w:rsid w:val="00B42374"/>
    <w:rsid w:val="00B42826"/>
    <w:rsid w:val="00B42962"/>
    <w:rsid w:val="00B436D1"/>
    <w:rsid w:val="00B43982"/>
    <w:rsid w:val="00B4520F"/>
    <w:rsid w:val="00B459AF"/>
    <w:rsid w:val="00B46434"/>
    <w:rsid w:val="00B55869"/>
    <w:rsid w:val="00B567F1"/>
    <w:rsid w:val="00B569FA"/>
    <w:rsid w:val="00B56DAF"/>
    <w:rsid w:val="00B571D3"/>
    <w:rsid w:val="00B604B1"/>
    <w:rsid w:val="00B64CAA"/>
    <w:rsid w:val="00B66D36"/>
    <w:rsid w:val="00B6776A"/>
    <w:rsid w:val="00B67D32"/>
    <w:rsid w:val="00B71904"/>
    <w:rsid w:val="00B71D80"/>
    <w:rsid w:val="00B7342D"/>
    <w:rsid w:val="00B7378B"/>
    <w:rsid w:val="00B73906"/>
    <w:rsid w:val="00B73BCE"/>
    <w:rsid w:val="00B7471C"/>
    <w:rsid w:val="00B7490A"/>
    <w:rsid w:val="00B74E6D"/>
    <w:rsid w:val="00B759EC"/>
    <w:rsid w:val="00B75F96"/>
    <w:rsid w:val="00B766C5"/>
    <w:rsid w:val="00B773AD"/>
    <w:rsid w:val="00B778CB"/>
    <w:rsid w:val="00B8058C"/>
    <w:rsid w:val="00B8168B"/>
    <w:rsid w:val="00B824F8"/>
    <w:rsid w:val="00B833AF"/>
    <w:rsid w:val="00B835E0"/>
    <w:rsid w:val="00B8362D"/>
    <w:rsid w:val="00B8368B"/>
    <w:rsid w:val="00B8589E"/>
    <w:rsid w:val="00B86380"/>
    <w:rsid w:val="00B86F52"/>
    <w:rsid w:val="00B8741F"/>
    <w:rsid w:val="00B906EA"/>
    <w:rsid w:val="00B91893"/>
    <w:rsid w:val="00B926BD"/>
    <w:rsid w:val="00B92DE8"/>
    <w:rsid w:val="00B94326"/>
    <w:rsid w:val="00B956E6"/>
    <w:rsid w:val="00B95BF3"/>
    <w:rsid w:val="00B96A32"/>
    <w:rsid w:val="00B9764A"/>
    <w:rsid w:val="00B9799D"/>
    <w:rsid w:val="00BA05D9"/>
    <w:rsid w:val="00BA0CAE"/>
    <w:rsid w:val="00BA1322"/>
    <w:rsid w:val="00BA1DF3"/>
    <w:rsid w:val="00BA3AA7"/>
    <w:rsid w:val="00BA3C3F"/>
    <w:rsid w:val="00BA5CEA"/>
    <w:rsid w:val="00BA7612"/>
    <w:rsid w:val="00BB1D36"/>
    <w:rsid w:val="00BB399F"/>
    <w:rsid w:val="00BB3FF6"/>
    <w:rsid w:val="00BB413D"/>
    <w:rsid w:val="00BB5630"/>
    <w:rsid w:val="00BB6938"/>
    <w:rsid w:val="00BB6BE1"/>
    <w:rsid w:val="00BB6C17"/>
    <w:rsid w:val="00BC107E"/>
    <w:rsid w:val="00BC4CD6"/>
    <w:rsid w:val="00BC60A6"/>
    <w:rsid w:val="00BC62E0"/>
    <w:rsid w:val="00BC6FBF"/>
    <w:rsid w:val="00BD00D9"/>
    <w:rsid w:val="00BD2C7B"/>
    <w:rsid w:val="00BD3C0E"/>
    <w:rsid w:val="00BD40BC"/>
    <w:rsid w:val="00BD50C2"/>
    <w:rsid w:val="00BD6234"/>
    <w:rsid w:val="00BD6DEF"/>
    <w:rsid w:val="00BE0437"/>
    <w:rsid w:val="00BE107D"/>
    <w:rsid w:val="00BE3F4B"/>
    <w:rsid w:val="00BE54AC"/>
    <w:rsid w:val="00BE5B79"/>
    <w:rsid w:val="00BE5D1C"/>
    <w:rsid w:val="00BE68FF"/>
    <w:rsid w:val="00BE7640"/>
    <w:rsid w:val="00BF0242"/>
    <w:rsid w:val="00BF1285"/>
    <w:rsid w:val="00BF144D"/>
    <w:rsid w:val="00BF214A"/>
    <w:rsid w:val="00BF32BF"/>
    <w:rsid w:val="00BF3E1B"/>
    <w:rsid w:val="00BF4485"/>
    <w:rsid w:val="00BF4DB5"/>
    <w:rsid w:val="00BF4F1B"/>
    <w:rsid w:val="00BF7D51"/>
    <w:rsid w:val="00C00B3A"/>
    <w:rsid w:val="00C02723"/>
    <w:rsid w:val="00C02A91"/>
    <w:rsid w:val="00C03F3C"/>
    <w:rsid w:val="00C04960"/>
    <w:rsid w:val="00C06163"/>
    <w:rsid w:val="00C0696A"/>
    <w:rsid w:val="00C11391"/>
    <w:rsid w:val="00C11F5F"/>
    <w:rsid w:val="00C12761"/>
    <w:rsid w:val="00C1324E"/>
    <w:rsid w:val="00C138A5"/>
    <w:rsid w:val="00C14B96"/>
    <w:rsid w:val="00C158D4"/>
    <w:rsid w:val="00C16894"/>
    <w:rsid w:val="00C171ED"/>
    <w:rsid w:val="00C17DCD"/>
    <w:rsid w:val="00C201A6"/>
    <w:rsid w:val="00C211F9"/>
    <w:rsid w:val="00C21AAE"/>
    <w:rsid w:val="00C22F92"/>
    <w:rsid w:val="00C23F1E"/>
    <w:rsid w:val="00C24ACC"/>
    <w:rsid w:val="00C25927"/>
    <w:rsid w:val="00C26622"/>
    <w:rsid w:val="00C27126"/>
    <w:rsid w:val="00C273AB"/>
    <w:rsid w:val="00C27BA1"/>
    <w:rsid w:val="00C310B8"/>
    <w:rsid w:val="00C31DBD"/>
    <w:rsid w:val="00C31EF1"/>
    <w:rsid w:val="00C33189"/>
    <w:rsid w:val="00C332BD"/>
    <w:rsid w:val="00C3343C"/>
    <w:rsid w:val="00C3343E"/>
    <w:rsid w:val="00C34172"/>
    <w:rsid w:val="00C34EA4"/>
    <w:rsid w:val="00C35BA4"/>
    <w:rsid w:val="00C36C29"/>
    <w:rsid w:val="00C42C11"/>
    <w:rsid w:val="00C434E6"/>
    <w:rsid w:val="00C43A88"/>
    <w:rsid w:val="00C44749"/>
    <w:rsid w:val="00C45F2F"/>
    <w:rsid w:val="00C469B7"/>
    <w:rsid w:val="00C470AA"/>
    <w:rsid w:val="00C502DD"/>
    <w:rsid w:val="00C50347"/>
    <w:rsid w:val="00C50FFB"/>
    <w:rsid w:val="00C51058"/>
    <w:rsid w:val="00C52D3B"/>
    <w:rsid w:val="00C62FA4"/>
    <w:rsid w:val="00C64ED6"/>
    <w:rsid w:val="00C65047"/>
    <w:rsid w:val="00C653CC"/>
    <w:rsid w:val="00C665D4"/>
    <w:rsid w:val="00C71D71"/>
    <w:rsid w:val="00C71E16"/>
    <w:rsid w:val="00C744EB"/>
    <w:rsid w:val="00C74775"/>
    <w:rsid w:val="00C74BB5"/>
    <w:rsid w:val="00C76F9B"/>
    <w:rsid w:val="00C77038"/>
    <w:rsid w:val="00C77264"/>
    <w:rsid w:val="00C8039E"/>
    <w:rsid w:val="00C80AB6"/>
    <w:rsid w:val="00C833D6"/>
    <w:rsid w:val="00C838CA"/>
    <w:rsid w:val="00C8477E"/>
    <w:rsid w:val="00C84861"/>
    <w:rsid w:val="00C84CDE"/>
    <w:rsid w:val="00C8683C"/>
    <w:rsid w:val="00C8762A"/>
    <w:rsid w:val="00C87D11"/>
    <w:rsid w:val="00C9039A"/>
    <w:rsid w:val="00C938BB"/>
    <w:rsid w:val="00C95318"/>
    <w:rsid w:val="00C956FC"/>
    <w:rsid w:val="00C95A99"/>
    <w:rsid w:val="00C95FEF"/>
    <w:rsid w:val="00C9643D"/>
    <w:rsid w:val="00C96746"/>
    <w:rsid w:val="00C96B98"/>
    <w:rsid w:val="00C96F6B"/>
    <w:rsid w:val="00C976A3"/>
    <w:rsid w:val="00CA000B"/>
    <w:rsid w:val="00CA043D"/>
    <w:rsid w:val="00CA069B"/>
    <w:rsid w:val="00CA1C23"/>
    <w:rsid w:val="00CA27F9"/>
    <w:rsid w:val="00CA294D"/>
    <w:rsid w:val="00CA2CBF"/>
    <w:rsid w:val="00CA4F28"/>
    <w:rsid w:val="00CA7088"/>
    <w:rsid w:val="00CA7F4C"/>
    <w:rsid w:val="00CB0644"/>
    <w:rsid w:val="00CB0CFB"/>
    <w:rsid w:val="00CB15CA"/>
    <w:rsid w:val="00CB263C"/>
    <w:rsid w:val="00CB26B3"/>
    <w:rsid w:val="00CB3B7D"/>
    <w:rsid w:val="00CB480E"/>
    <w:rsid w:val="00CB687E"/>
    <w:rsid w:val="00CC0399"/>
    <w:rsid w:val="00CC0546"/>
    <w:rsid w:val="00CC074E"/>
    <w:rsid w:val="00CC1659"/>
    <w:rsid w:val="00CC30C3"/>
    <w:rsid w:val="00CC363A"/>
    <w:rsid w:val="00CC3D4E"/>
    <w:rsid w:val="00CC4313"/>
    <w:rsid w:val="00CC6082"/>
    <w:rsid w:val="00CC74BD"/>
    <w:rsid w:val="00CD0768"/>
    <w:rsid w:val="00CD26CB"/>
    <w:rsid w:val="00CD3CC4"/>
    <w:rsid w:val="00CD3FE2"/>
    <w:rsid w:val="00CD77CA"/>
    <w:rsid w:val="00CE0415"/>
    <w:rsid w:val="00CE047D"/>
    <w:rsid w:val="00CE43AF"/>
    <w:rsid w:val="00CE4E16"/>
    <w:rsid w:val="00CE665D"/>
    <w:rsid w:val="00CE6758"/>
    <w:rsid w:val="00CE7731"/>
    <w:rsid w:val="00CF47C3"/>
    <w:rsid w:val="00CF4809"/>
    <w:rsid w:val="00CF6A79"/>
    <w:rsid w:val="00CF73D7"/>
    <w:rsid w:val="00D00120"/>
    <w:rsid w:val="00D00A1D"/>
    <w:rsid w:val="00D00AAE"/>
    <w:rsid w:val="00D01176"/>
    <w:rsid w:val="00D01499"/>
    <w:rsid w:val="00D02D5A"/>
    <w:rsid w:val="00D03B9D"/>
    <w:rsid w:val="00D06EF9"/>
    <w:rsid w:val="00D06F2D"/>
    <w:rsid w:val="00D13B2D"/>
    <w:rsid w:val="00D14EDF"/>
    <w:rsid w:val="00D14F69"/>
    <w:rsid w:val="00D152AF"/>
    <w:rsid w:val="00D15660"/>
    <w:rsid w:val="00D16E7D"/>
    <w:rsid w:val="00D1705B"/>
    <w:rsid w:val="00D174CC"/>
    <w:rsid w:val="00D17731"/>
    <w:rsid w:val="00D17ABA"/>
    <w:rsid w:val="00D20850"/>
    <w:rsid w:val="00D20A50"/>
    <w:rsid w:val="00D21A0D"/>
    <w:rsid w:val="00D21DFB"/>
    <w:rsid w:val="00D227C4"/>
    <w:rsid w:val="00D23048"/>
    <w:rsid w:val="00D23DD0"/>
    <w:rsid w:val="00D251C3"/>
    <w:rsid w:val="00D25518"/>
    <w:rsid w:val="00D3235C"/>
    <w:rsid w:val="00D32AEC"/>
    <w:rsid w:val="00D33231"/>
    <w:rsid w:val="00D34101"/>
    <w:rsid w:val="00D35627"/>
    <w:rsid w:val="00D36240"/>
    <w:rsid w:val="00D36DB7"/>
    <w:rsid w:val="00D4003B"/>
    <w:rsid w:val="00D40E5E"/>
    <w:rsid w:val="00D4138D"/>
    <w:rsid w:val="00D41493"/>
    <w:rsid w:val="00D4152F"/>
    <w:rsid w:val="00D42731"/>
    <w:rsid w:val="00D43EF1"/>
    <w:rsid w:val="00D43F6F"/>
    <w:rsid w:val="00D450F0"/>
    <w:rsid w:val="00D45B88"/>
    <w:rsid w:val="00D46755"/>
    <w:rsid w:val="00D46CFF"/>
    <w:rsid w:val="00D46FBF"/>
    <w:rsid w:val="00D472D0"/>
    <w:rsid w:val="00D47BB6"/>
    <w:rsid w:val="00D51010"/>
    <w:rsid w:val="00D527DD"/>
    <w:rsid w:val="00D55A78"/>
    <w:rsid w:val="00D57FE5"/>
    <w:rsid w:val="00D62214"/>
    <w:rsid w:val="00D6271B"/>
    <w:rsid w:val="00D62E56"/>
    <w:rsid w:val="00D6313F"/>
    <w:rsid w:val="00D632D1"/>
    <w:rsid w:val="00D65E10"/>
    <w:rsid w:val="00D66AB3"/>
    <w:rsid w:val="00D66ACD"/>
    <w:rsid w:val="00D709A0"/>
    <w:rsid w:val="00D70A78"/>
    <w:rsid w:val="00D71394"/>
    <w:rsid w:val="00D7252A"/>
    <w:rsid w:val="00D73BC0"/>
    <w:rsid w:val="00D75344"/>
    <w:rsid w:val="00D76C93"/>
    <w:rsid w:val="00D80E07"/>
    <w:rsid w:val="00D81512"/>
    <w:rsid w:val="00D85346"/>
    <w:rsid w:val="00D86300"/>
    <w:rsid w:val="00D87E61"/>
    <w:rsid w:val="00D87F2C"/>
    <w:rsid w:val="00D914CE"/>
    <w:rsid w:val="00D91ADC"/>
    <w:rsid w:val="00D94ABB"/>
    <w:rsid w:val="00D97105"/>
    <w:rsid w:val="00D97418"/>
    <w:rsid w:val="00DA0046"/>
    <w:rsid w:val="00DA0625"/>
    <w:rsid w:val="00DA104D"/>
    <w:rsid w:val="00DA22DB"/>
    <w:rsid w:val="00DA2938"/>
    <w:rsid w:val="00DA2F50"/>
    <w:rsid w:val="00DA302A"/>
    <w:rsid w:val="00DA3084"/>
    <w:rsid w:val="00DA3748"/>
    <w:rsid w:val="00DA4164"/>
    <w:rsid w:val="00DA604B"/>
    <w:rsid w:val="00DA671A"/>
    <w:rsid w:val="00DA756A"/>
    <w:rsid w:val="00DA78D9"/>
    <w:rsid w:val="00DA7BC2"/>
    <w:rsid w:val="00DA7E6E"/>
    <w:rsid w:val="00DB07B8"/>
    <w:rsid w:val="00DB2D76"/>
    <w:rsid w:val="00DB3186"/>
    <w:rsid w:val="00DB45E2"/>
    <w:rsid w:val="00DB4CFF"/>
    <w:rsid w:val="00DB4F49"/>
    <w:rsid w:val="00DB691D"/>
    <w:rsid w:val="00DB6D5A"/>
    <w:rsid w:val="00DB71AC"/>
    <w:rsid w:val="00DB75AF"/>
    <w:rsid w:val="00DC0417"/>
    <w:rsid w:val="00DC0888"/>
    <w:rsid w:val="00DC1A37"/>
    <w:rsid w:val="00DC1D95"/>
    <w:rsid w:val="00DC40FF"/>
    <w:rsid w:val="00DC4772"/>
    <w:rsid w:val="00DC48CF"/>
    <w:rsid w:val="00DC4B03"/>
    <w:rsid w:val="00DC5A91"/>
    <w:rsid w:val="00DC62A8"/>
    <w:rsid w:val="00DC6711"/>
    <w:rsid w:val="00DC6826"/>
    <w:rsid w:val="00DC7B14"/>
    <w:rsid w:val="00DD1170"/>
    <w:rsid w:val="00DD20E3"/>
    <w:rsid w:val="00DD5F86"/>
    <w:rsid w:val="00DD6047"/>
    <w:rsid w:val="00DD6C04"/>
    <w:rsid w:val="00DD771A"/>
    <w:rsid w:val="00DD7F78"/>
    <w:rsid w:val="00DE0012"/>
    <w:rsid w:val="00DE2759"/>
    <w:rsid w:val="00DE2977"/>
    <w:rsid w:val="00DE4037"/>
    <w:rsid w:val="00DE43F4"/>
    <w:rsid w:val="00DE466B"/>
    <w:rsid w:val="00DE4A72"/>
    <w:rsid w:val="00DE78A3"/>
    <w:rsid w:val="00DF2338"/>
    <w:rsid w:val="00DF4C70"/>
    <w:rsid w:val="00DF63EB"/>
    <w:rsid w:val="00DF78BC"/>
    <w:rsid w:val="00E02C13"/>
    <w:rsid w:val="00E030AE"/>
    <w:rsid w:val="00E04EFF"/>
    <w:rsid w:val="00E05D02"/>
    <w:rsid w:val="00E060B7"/>
    <w:rsid w:val="00E060BB"/>
    <w:rsid w:val="00E0770F"/>
    <w:rsid w:val="00E101A9"/>
    <w:rsid w:val="00E12954"/>
    <w:rsid w:val="00E12FAE"/>
    <w:rsid w:val="00E12FDC"/>
    <w:rsid w:val="00E13468"/>
    <w:rsid w:val="00E17B0D"/>
    <w:rsid w:val="00E2109D"/>
    <w:rsid w:val="00E2457B"/>
    <w:rsid w:val="00E247DE"/>
    <w:rsid w:val="00E257AB"/>
    <w:rsid w:val="00E257B7"/>
    <w:rsid w:val="00E30298"/>
    <w:rsid w:val="00E31AC1"/>
    <w:rsid w:val="00E3212A"/>
    <w:rsid w:val="00E32512"/>
    <w:rsid w:val="00E333C7"/>
    <w:rsid w:val="00E3367D"/>
    <w:rsid w:val="00E336CB"/>
    <w:rsid w:val="00E3374E"/>
    <w:rsid w:val="00E33EF4"/>
    <w:rsid w:val="00E34A79"/>
    <w:rsid w:val="00E37BB4"/>
    <w:rsid w:val="00E40515"/>
    <w:rsid w:val="00E4104D"/>
    <w:rsid w:val="00E41293"/>
    <w:rsid w:val="00E42DC6"/>
    <w:rsid w:val="00E44479"/>
    <w:rsid w:val="00E44CD7"/>
    <w:rsid w:val="00E45108"/>
    <w:rsid w:val="00E475F0"/>
    <w:rsid w:val="00E509F5"/>
    <w:rsid w:val="00E50CA8"/>
    <w:rsid w:val="00E5228F"/>
    <w:rsid w:val="00E538E6"/>
    <w:rsid w:val="00E5426F"/>
    <w:rsid w:val="00E54798"/>
    <w:rsid w:val="00E54FD3"/>
    <w:rsid w:val="00E553E9"/>
    <w:rsid w:val="00E577FD"/>
    <w:rsid w:val="00E60866"/>
    <w:rsid w:val="00E61098"/>
    <w:rsid w:val="00E6166E"/>
    <w:rsid w:val="00E62177"/>
    <w:rsid w:val="00E6494D"/>
    <w:rsid w:val="00E65373"/>
    <w:rsid w:val="00E6716A"/>
    <w:rsid w:val="00E67F40"/>
    <w:rsid w:val="00E70167"/>
    <w:rsid w:val="00E703C3"/>
    <w:rsid w:val="00E70A82"/>
    <w:rsid w:val="00E73F29"/>
    <w:rsid w:val="00E74899"/>
    <w:rsid w:val="00E80333"/>
    <w:rsid w:val="00E806DF"/>
    <w:rsid w:val="00E8107B"/>
    <w:rsid w:val="00E81716"/>
    <w:rsid w:val="00E81FDA"/>
    <w:rsid w:val="00E838DB"/>
    <w:rsid w:val="00E83D57"/>
    <w:rsid w:val="00E92C66"/>
    <w:rsid w:val="00E9310C"/>
    <w:rsid w:val="00E93315"/>
    <w:rsid w:val="00E93979"/>
    <w:rsid w:val="00E93CD3"/>
    <w:rsid w:val="00E9501F"/>
    <w:rsid w:val="00E9676A"/>
    <w:rsid w:val="00EA000C"/>
    <w:rsid w:val="00EA0A54"/>
    <w:rsid w:val="00EA3D0F"/>
    <w:rsid w:val="00EA4CB5"/>
    <w:rsid w:val="00EA67B2"/>
    <w:rsid w:val="00EB3FF7"/>
    <w:rsid w:val="00EB5D98"/>
    <w:rsid w:val="00EB66BD"/>
    <w:rsid w:val="00EB6EC4"/>
    <w:rsid w:val="00EB74BD"/>
    <w:rsid w:val="00EB7854"/>
    <w:rsid w:val="00EB7A35"/>
    <w:rsid w:val="00EC05B4"/>
    <w:rsid w:val="00EC074E"/>
    <w:rsid w:val="00EC0B57"/>
    <w:rsid w:val="00EC0BA3"/>
    <w:rsid w:val="00EC33EA"/>
    <w:rsid w:val="00EC3CD0"/>
    <w:rsid w:val="00EC62F1"/>
    <w:rsid w:val="00ED0AA7"/>
    <w:rsid w:val="00ED2F8A"/>
    <w:rsid w:val="00ED3DC3"/>
    <w:rsid w:val="00ED4A0F"/>
    <w:rsid w:val="00ED5134"/>
    <w:rsid w:val="00ED5D6F"/>
    <w:rsid w:val="00ED6085"/>
    <w:rsid w:val="00ED6139"/>
    <w:rsid w:val="00ED6EFE"/>
    <w:rsid w:val="00ED729D"/>
    <w:rsid w:val="00ED7658"/>
    <w:rsid w:val="00EE14DC"/>
    <w:rsid w:val="00EE1EE5"/>
    <w:rsid w:val="00EE2928"/>
    <w:rsid w:val="00EE359A"/>
    <w:rsid w:val="00EE3A32"/>
    <w:rsid w:val="00EF19FF"/>
    <w:rsid w:val="00EF2966"/>
    <w:rsid w:val="00EF7235"/>
    <w:rsid w:val="00EF7C74"/>
    <w:rsid w:val="00F00325"/>
    <w:rsid w:val="00F01EA8"/>
    <w:rsid w:val="00F023A3"/>
    <w:rsid w:val="00F030F9"/>
    <w:rsid w:val="00F033A4"/>
    <w:rsid w:val="00F04C8C"/>
    <w:rsid w:val="00F04CC0"/>
    <w:rsid w:val="00F054DA"/>
    <w:rsid w:val="00F06F42"/>
    <w:rsid w:val="00F07BCF"/>
    <w:rsid w:val="00F104D8"/>
    <w:rsid w:val="00F10E36"/>
    <w:rsid w:val="00F12AEA"/>
    <w:rsid w:val="00F157E2"/>
    <w:rsid w:val="00F16FAB"/>
    <w:rsid w:val="00F205B2"/>
    <w:rsid w:val="00F21CA5"/>
    <w:rsid w:val="00F22104"/>
    <w:rsid w:val="00F226FD"/>
    <w:rsid w:val="00F22EEB"/>
    <w:rsid w:val="00F23E76"/>
    <w:rsid w:val="00F24BAD"/>
    <w:rsid w:val="00F303E9"/>
    <w:rsid w:val="00F31625"/>
    <w:rsid w:val="00F31BDC"/>
    <w:rsid w:val="00F32242"/>
    <w:rsid w:val="00F33649"/>
    <w:rsid w:val="00F340F1"/>
    <w:rsid w:val="00F34444"/>
    <w:rsid w:val="00F3578D"/>
    <w:rsid w:val="00F36E39"/>
    <w:rsid w:val="00F379FC"/>
    <w:rsid w:val="00F40A8F"/>
    <w:rsid w:val="00F40FF5"/>
    <w:rsid w:val="00F4188B"/>
    <w:rsid w:val="00F42B28"/>
    <w:rsid w:val="00F45144"/>
    <w:rsid w:val="00F4680B"/>
    <w:rsid w:val="00F47445"/>
    <w:rsid w:val="00F47DF9"/>
    <w:rsid w:val="00F5046F"/>
    <w:rsid w:val="00F5088C"/>
    <w:rsid w:val="00F510AC"/>
    <w:rsid w:val="00F52FAA"/>
    <w:rsid w:val="00F53E26"/>
    <w:rsid w:val="00F546A1"/>
    <w:rsid w:val="00F55E69"/>
    <w:rsid w:val="00F56349"/>
    <w:rsid w:val="00F56F97"/>
    <w:rsid w:val="00F574CA"/>
    <w:rsid w:val="00F626E7"/>
    <w:rsid w:val="00F62D04"/>
    <w:rsid w:val="00F63007"/>
    <w:rsid w:val="00F640EB"/>
    <w:rsid w:val="00F6434A"/>
    <w:rsid w:val="00F70324"/>
    <w:rsid w:val="00F70694"/>
    <w:rsid w:val="00F70887"/>
    <w:rsid w:val="00F70A7D"/>
    <w:rsid w:val="00F748DD"/>
    <w:rsid w:val="00F74DED"/>
    <w:rsid w:val="00F77EEC"/>
    <w:rsid w:val="00F83E64"/>
    <w:rsid w:val="00F86EF9"/>
    <w:rsid w:val="00F86FB1"/>
    <w:rsid w:val="00F908A8"/>
    <w:rsid w:val="00F908E0"/>
    <w:rsid w:val="00F918F0"/>
    <w:rsid w:val="00F9335A"/>
    <w:rsid w:val="00F93755"/>
    <w:rsid w:val="00F93A32"/>
    <w:rsid w:val="00F95D5E"/>
    <w:rsid w:val="00F966DC"/>
    <w:rsid w:val="00F97EE2"/>
    <w:rsid w:val="00FA0810"/>
    <w:rsid w:val="00FA2895"/>
    <w:rsid w:val="00FA3DD7"/>
    <w:rsid w:val="00FA480C"/>
    <w:rsid w:val="00FA4992"/>
    <w:rsid w:val="00FA4F47"/>
    <w:rsid w:val="00FA5031"/>
    <w:rsid w:val="00FA5CE2"/>
    <w:rsid w:val="00FB1895"/>
    <w:rsid w:val="00FB2C4E"/>
    <w:rsid w:val="00FB3D1D"/>
    <w:rsid w:val="00FB4C6F"/>
    <w:rsid w:val="00FB64A1"/>
    <w:rsid w:val="00FB6732"/>
    <w:rsid w:val="00FB7D16"/>
    <w:rsid w:val="00FC110D"/>
    <w:rsid w:val="00FC1CF5"/>
    <w:rsid w:val="00FC3800"/>
    <w:rsid w:val="00FC43B9"/>
    <w:rsid w:val="00FC65BE"/>
    <w:rsid w:val="00FC6BE9"/>
    <w:rsid w:val="00FD0309"/>
    <w:rsid w:val="00FD08CB"/>
    <w:rsid w:val="00FD0C1C"/>
    <w:rsid w:val="00FD1EEA"/>
    <w:rsid w:val="00FD30C0"/>
    <w:rsid w:val="00FD36CA"/>
    <w:rsid w:val="00FD3B41"/>
    <w:rsid w:val="00FD60C9"/>
    <w:rsid w:val="00FD636D"/>
    <w:rsid w:val="00FD6C73"/>
    <w:rsid w:val="00FD7FE0"/>
    <w:rsid w:val="00FE1253"/>
    <w:rsid w:val="00FE578A"/>
    <w:rsid w:val="00FE6136"/>
    <w:rsid w:val="00FF05E9"/>
    <w:rsid w:val="00FF0BE2"/>
    <w:rsid w:val="00FF14A5"/>
    <w:rsid w:val="00FF2F09"/>
    <w:rsid w:val="00FF4533"/>
    <w:rsid w:val="00FF4F47"/>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B6"/>
    <w:pPr>
      <w:spacing w:line="360" w:lineRule="auto"/>
      <w:jc w:val="center"/>
    </w:pPr>
    <w:rPr>
      <w:sz w:val="24"/>
      <w:szCs w:val="24"/>
    </w:rPr>
  </w:style>
  <w:style w:type="paragraph" w:styleId="Heading1">
    <w:name w:val="heading 1"/>
    <w:basedOn w:val="Normal"/>
    <w:next w:val="Normal"/>
    <w:link w:val="Heading1Char"/>
    <w:uiPriority w:val="9"/>
    <w:qFormat/>
    <w:rsid w:val="00DA30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62468"/>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32708F"/>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35627"/>
    <w:rPr>
      <w:sz w:val="20"/>
      <w:szCs w:val="20"/>
    </w:rPr>
  </w:style>
  <w:style w:type="paragraph" w:customStyle="1" w:styleId="Pleading2L1">
    <w:name w:val="Pleading2_L1"/>
    <w:basedOn w:val="Normal"/>
    <w:next w:val="BodyText"/>
    <w:rsid w:val="001136B9"/>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1136B9"/>
    <w:pPr>
      <w:numPr>
        <w:ilvl w:val="1"/>
      </w:numPr>
      <w:spacing w:after="0" w:line="480" w:lineRule="auto"/>
      <w:jc w:val="left"/>
      <w:outlineLvl w:val="1"/>
    </w:pPr>
    <w:rPr>
      <w:b w:val="0"/>
      <w:caps w:val="0"/>
      <w:u w:val="none"/>
    </w:rPr>
  </w:style>
  <w:style w:type="paragraph" w:customStyle="1" w:styleId="Pleading2L3">
    <w:name w:val="Pleading2_L3"/>
    <w:basedOn w:val="Pleading2L2"/>
    <w:rsid w:val="001136B9"/>
    <w:pPr>
      <w:numPr>
        <w:ilvl w:val="2"/>
      </w:numPr>
      <w:outlineLvl w:val="2"/>
    </w:pPr>
  </w:style>
  <w:style w:type="paragraph" w:customStyle="1" w:styleId="Pleading2L4">
    <w:name w:val="Pleading2_L4"/>
    <w:basedOn w:val="Pleading2L3"/>
    <w:rsid w:val="001136B9"/>
    <w:pPr>
      <w:numPr>
        <w:ilvl w:val="3"/>
      </w:numPr>
      <w:outlineLvl w:val="3"/>
    </w:pPr>
  </w:style>
  <w:style w:type="paragraph" w:customStyle="1" w:styleId="Pleading2L5">
    <w:name w:val="Pleading2_L5"/>
    <w:basedOn w:val="Pleading2L4"/>
    <w:rsid w:val="001136B9"/>
    <w:pPr>
      <w:keepNext/>
      <w:keepLines/>
      <w:widowControl w:val="0"/>
      <w:numPr>
        <w:ilvl w:val="4"/>
      </w:numPr>
      <w:spacing w:after="240" w:line="240" w:lineRule="auto"/>
      <w:outlineLvl w:val="4"/>
    </w:pPr>
  </w:style>
  <w:style w:type="paragraph" w:customStyle="1" w:styleId="Pleading2L6">
    <w:name w:val="Pleading2_L6"/>
    <w:basedOn w:val="Pleading2L5"/>
    <w:rsid w:val="001136B9"/>
    <w:pPr>
      <w:numPr>
        <w:ilvl w:val="5"/>
      </w:numPr>
      <w:outlineLvl w:val="5"/>
    </w:pPr>
  </w:style>
  <w:style w:type="paragraph" w:customStyle="1" w:styleId="Pleading2L7">
    <w:name w:val="Pleading2_L7"/>
    <w:basedOn w:val="Pleading2L6"/>
    <w:rsid w:val="001136B9"/>
    <w:pPr>
      <w:numPr>
        <w:ilvl w:val="6"/>
      </w:numPr>
      <w:outlineLvl w:val="6"/>
    </w:pPr>
  </w:style>
  <w:style w:type="paragraph" w:customStyle="1" w:styleId="Pleading2L8">
    <w:name w:val="Pleading2_L8"/>
    <w:basedOn w:val="Pleading2L7"/>
    <w:rsid w:val="001136B9"/>
    <w:pPr>
      <w:numPr>
        <w:ilvl w:val="7"/>
      </w:numPr>
      <w:outlineLvl w:val="7"/>
    </w:pPr>
  </w:style>
  <w:style w:type="paragraph" w:customStyle="1" w:styleId="Pleading2L9">
    <w:name w:val="Pleading2_L9"/>
    <w:basedOn w:val="Pleading2L8"/>
    <w:rsid w:val="001136B9"/>
    <w:pPr>
      <w:numPr>
        <w:ilvl w:val="8"/>
      </w:numPr>
      <w:outlineLvl w:val="8"/>
    </w:pPr>
  </w:style>
  <w:style w:type="paragraph" w:styleId="FootnoteText">
    <w:name w:val="footnote text"/>
    <w:basedOn w:val="Normal"/>
    <w:link w:val="FootnoteTextChar"/>
    <w:semiHidden/>
    <w:rsid w:val="001136B9"/>
    <w:pPr>
      <w:widowControl w:val="0"/>
      <w:spacing w:line="240" w:lineRule="auto"/>
      <w:jc w:val="left"/>
    </w:pPr>
    <w:rPr>
      <w:rFonts w:eastAsia="Times New Roman"/>
      <w:snapToGrid w:val="0"/>
      <w:sz w:val="20"/>
      <w:szCs w:val="20"/>
    </w:rPr>
  </w:style>
  <w:style w:type="character" w:customStyle="1" w:styleId="FootnoteTextChar">
    <w:name w:val="Footnote Text Char"/>
    <w:basedOn w:val="DefaultParagraphFont"/>
    <w:link w:val="FootnoteText"/>
    <w:semiHidden/>
    <w:rsid w:val="001136B9"/>
    <w:rPr>
      <w:rFonts w:eastAsia="Times New Roman"/>
      <w:snapToGrid w:val="0"/>
    </w:rPr>
  </w:style>
  <w:style w:type="character" w:styleId="CommentReference">
    <w:name w:val="annotation reference"/>
    <w:basedOn w:val="DefaultParagraphFont"/>
    <w:semiHidden/>
    <w:rsid w:val="001136B9"/>
    <w:rPr>
      <w:sz w:val="16"/>
      <w:szCs w:val="16"/>
    </w:rPr>
  </w:style>
  <w:style w:type="paragraph" w:styleId="BodyText">
    <w:name w:val="Body Text"/>
    <w:basedOn w:val="Normal"/>
    <w:link w:val="BodyTextChar"/>
    <w:uiPriority w:val="99"/>
    <w:unhideWhenUsed/>
    <w:rsid w:val="001136B9"/>
    <w:pPr>
      <w:spacing w:after="120"/>
    </w:pPr>
  </w:style>
  <w:style w:type="character" w:customStyle="1" w:styleId="BodyTextChar">
    <w:name w:val="Body Text Char"/>
    <w:basedOn w:val="DefaultParagraphFont"/>
    <w:link w:val="BodyText"/>
    <w:uiPriority w:val="99"/>
    <w:rsid w:val="001136B9"/>
    <w:rPr>
      <w:sz w:val="24"/>
      <w:szCs w:val="24"/>
    </w:rPr>
  </w:style>
  <w:style w:type="character" w:customStyle="1" w:styleId="Heading4Char">
    <w:name w:val="Heading 4 Char"/>
    <w:basedOn w:val="DefaultParagraphFont"/>
    <w:link w:val="Heading4"/>
    <w:uiPriority w:val="9"/>
    <w:rsid w:val="0032708F"/>
    <w:rPr>
      <w:rFonts w:eastAsia="Times New Roman"/>
      <w:b/>
      <w:bCs/>
      <w:sz w:val="24"/>
      <w:szCs w:val="24"/>
    </w:rPr>
  </w:style>
  <w:style w:type="paragraph" w:styleId="NormalWeb">
    <w:name w:val="Normal (Web)"/>
    <w:basedOn w:val="Normal"/>
    <w:uiPriority w:val="99"/>
    <w:semiHidden/>
    <w:unhideWhenUsed/>
    <w:rsid w:val="0032708F"/>
    <w:pPr>
      <w:spacing w:before="100" w:beforeAutospacing="1" w:after="100" w:afterAutospacing="1" w:line="240" w:lineRule="auto"/>
      <w:jc w:val="left"/>
    </w:pPr>
    <w:rPr>
      <w:rFonts w:eastAsia="Times New Roman"/>
    </w:rPr>
  </w:style>
  <w:style w:type="paragraph" w:styleId="BodyText2">
    <w:name w:val="Body Text 2"/>
    <w:basedOn w:val="Normal"/>
    <w:link w:val="BodyText2Char"/>
    <w:uiPriority w:val="99"/>
    <w:unhideWhenUsed/>
    <w:rsid w:val="00DE78A3"/>
    <w:pPr>
      <w:spacing w:after="120" w:line="480" w:lineRule="auto"/>
    </w:pPr>
  </w:style>
  <w:style w:type="character" w:customStyle="1" w:styleId="BodyText2Char">
    <w:name w:val="Body Text 2 Char"/>
    <w:basedOn w:val="DefaultParagraphFont"/>
    <w:link w:val="BodyText2"/>
    <w:uiPriority w:val="99"/>
    <w:rsid w:val="00DE78A3"/>
    <w:rPr>
      <w:sz w:val="24"/>
      <w:szCs w:val="24"/>
    </w:rPr>
  </w:style>
  <w:style w:type="paragraph" w:customStyle="1" w:styleId="IndentSingle">
    <w:name w:val="Indent Single"/>
    <w:basedOn w:val="Normal"/>
    <w:next w:val="BodyText"/>
    <w:link w:val="IndentSingleChar"/>
    <w:rsid w:val="00DE78A3"/>
    <w:pPr>
      <w:spacing w:after="240" w:line="240" w:lineRule="auto"/>
      <w:ind w:left="1440" w:right="1440"/>
      <w:jc w:val="both"/>
    </w:pPr>
    <w:rPr>
      <w:rFonts w:eastAsia="Times New Roman"/>
    </w:rPr>
  </w:style>
  <w:style w:type="paragraph" w:styleId="ListBullet2">
    <w:name w:val="List Bullet 2"/>
    <w:aliases w:val="b2"/>
    <w:basedOn w:val="Normal"/>
    <w:rsid w:val="00DE78A3"/>
    <w:pPr>
      <w:numPr>
        <w:numId w:val="2"/>
      </w:numPr>
      <w:spacing w:after="240" w:line="240" w:lineRule="auto"/>
      <w:jc w:val="both"/>
    </w:pPr>
    <w:rPr>
      <w:rFonts w:eastAsia="Times New Roman"/>
      <w:szCs w:val="20"/>
    </w:rPr>
  </w:style>
  <w:style w:type="paragraph" w:styleId="Quote">
    <w:name w:val="Quote"/>
    <w:basedOn w:val="Normal"/>
    <w:link w:val="QuoteChar"/>
    <w:qFormat/>
    <w:rsid w:val="00DE78A3"/>
    <w:pPr>
      <w:spacing w:after="240" w:line="240" w:lineRule="auto"/>
      <w:ind w:left="2160" w:right="720" w:hanging="720"/>
      <w:jc w:val="both"/>
    </w:pPr>
    <w:rPr>
      <w:rFonts w:eastAsia="Times New Roman"/>
    </w:rPr>
  </w:style>
  <w:style w:type="character" w:customStyle="1" w:styleId="QuoteChar">
    <w:name w:val="Quote Char"/>
    <w:basedOn w:val="DefaultParagraphFont"/>
    <w:link w:val="Quote"/>
    <w:rsid w:val="00DE78A3"/>
    <w:rPr>
      <w:rFonts w:eastAsia="Times New Roman"/>
      <w:sz w:val="24"/>
      <w:szCs w:val="24"/>
    </w:rPr>
  </w:style>
  <w:style w:type="character" w:customStyle="1" w:styleId="IndentSingleChar">
    <w:name w:val="Indent Single Char"/>
    <w:basedOn w:val="DefaultParagraphFont"/>
    <w:link w:val="IndentSingle"/>
    <w:rsid w:val="00DE78A3"/>
    <w:rPr>
      <w:rFonts w:eastAsia="Times New Roman"/>
      <w:sz w:val="24"/>
      <w:szCs w:val="24"/>
    </w:rPr>
  </w:style>
  <w:style w:type="character" w:customStyle="1" w:styleId="Heading3Char">
    <w:name w:val="Heading 3 Char"/>
    <w:basedOn w:val="DefaultParagraphFont"/>
    <w:link w:val="Heading3"/>
    <w:uiPriority w:val="9"/>
    <w:semiHidden/>
    <w:rsid w:val="00462468"/>
    <w:rPr>
      <w:rFonts w:ascii="Cambria" w:eastAsia="Times New Roman" w:hAnsi="Cambria" w:cs="Times New Roman"/>
      <w:b/>
      <w:bCs/>
      <w:sz w:val="26"/>
      <w:szCs w:val="26"/>
    </w:rPr>
  </w:style>
  <w:style w:type="paragraph" w:customStyle="1" w:styleId="IndentDouble">
    <w:name w:val="Indent Double"/>
    <w:basedOn w:val="Normal"/>
    <w:next w:val="BodyText"/>
    <w:rsid w:val="00462468"/>
    <w:pPr>
      <w:spacing w:after="240" w:line="240" w:lineRule="auto"/>
      <w:ind w:left="2160" w:right="2160"/>
      <w:jc w:val="both"/>
    </w:pPr>
    <w:rPr>
      <w:rFonts w:eastAsia="Times New Roman"/>
    </w:rPr>
  </w:style>
  <w:style w:type="paragraph" w:styleId="Header">
    <w:name w:val="header"/>
    <w:basedOn w:val="Normal"/>
    <w:link w:val="HeaderChar"/>
    <w:uiPriority w:val="99"/>
    <w:semiHidden/>
    <w:unhideWhenUsed/>
    <w:rsid w:val="0015419A"/>
    <w:pPr>
      <w:tabs>
        <w:tab w:val="center" w:pos="4680"/>
        <w:tab w:val="right" w:pos="9360"/>
      </w:tabs>
    </w:pPr>
  </w:style>
  <w:style w:type="character" w:customStyle="1" w:styleId="HeaderChar">
    <w:name w:val="Header Char"/>
    <w:basedOn w:val="DefaultParagraphFont"/>
    <w:link w:val="Header"/>
    <w:uiPriority w:val="99"/>
    <w:semiHidden/>
    <w:rsid w:val="0015419A"/>
    <w:rPr>
      <w:sz w:val="24"/>
      <w:szCs w:val="24"/>
    </w:rPr>
  </w:style>
  <w:style w:type="paragraph" w:styleId="Footer">
    <w:name w:val="footer"/>
    <w:basedOn w:val="Normal"/>
    <w:link w:val="FooterChar"/>
    <w:uiPriority w:val="99"/>
    <w:unhideWhenUsed/>
    <w:rsid w:val="0015419A"/>
    <w:pPr>
      <w:tabs>
        <w:tab w:val="center" w:pos="4680"/>
        <w:tab w:val="right" w:pos="9360"/>
      </w:tabs>
    </w:pPr>
  </w:style>
  <w:style w:type="character" w:customStyle="1" w:styleId="FooterChar">
    <w:name w:val="Footer Char"/>
    <w:basedOn w:val="DefaultParagraphFont"/>
    <w:link w:val="Footer"/>
    <w:uiPriority w:val="99"/>
    <w:rsid w:val="0015419A"/>
    <w:rPr>
      <w:sz w:val="24"/>
      <w:szCs w:val="24"/>
    </w:rPr>
  </w:style>
  <w:style w:type="paragraph" w:styleId="BalloonText">
    <w:name w:val="Balloon Text"/>
    <w:basedOn w:val="Normal"/>
    <w:link w:val="BalloonTextChar"/>
    <w:uiPriority w:val="99"/>
    <w:semiHidden/>
    <w:unhideWhenUsed/>
    <w:rsid w:val="00B71D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80"/>
    <w:rPr>
      <w:rFonts w:ascii="Tahoma" w:eastAsia="Calibri" w:hAnsi="Tahoma" w:cs="Tahoma"/>
      <w:sz w:val="16"/>
      <w:szCs w:val="16"/>
    </w:rPr>
  </w:style>
  <w:style w:type="table" w:styleId="TableGrid">
    <w:name w:val="Table Grid"/>
    <w:basedOn w:val="TableNormal"/>
    <w:rsid w:val="00047C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302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A302A"/>
    <w:pPr>
      <w:spacing w:line="276" w:lineRule="auto"/>
      <w:jc w:val="left"/>
      <w:outlineLvl w:val="9"/>
    </w:pPr>
  </w:style>
  <w:style w:type="paragraph" w:styleId="TOC1">
    <w:name w:val="toc 1"/>
    <w:basedOn w:val="Normal"/>
    <w:next w:val="Normal"/>
    <w:autoRedefine/>
    <w:uiPriority w:val="39"/>
    <w:unhideWhenUsed/>
    <w:rsid w:val="00666F6F"/>
    <w:pPr>
      <w:tabs>
        <w:tab w:val="left" w:pos="720"/>
        <w:tab w:val="right" w:leader="dot" w:pos="9350"/>
      </w:tabs>
      <w:spacing w:after="100"/>
      <w:jc w:val="left"/>
    </w:pPr>
  </w:style>
  <w:style w:type="paragraph" w:styleId="TOC3">
    <w:name w:val="toc 3"/>
    <w:basedOn w:val="Normal"/>
    <w:next w:val="Normal"/>
    <w:autoRedefine/>
    <w:uiPriority w:val="39"/>
    <w:unhideWhenUsed/>
    <w:rsid w:val="00A71388"/>
    <w:pPr>
      <w:tabs>
        <w:tab w:val="left" w:pos="2160"/>
        <w:tab w:val="left" w:pos="2880"/>
        <w:tab w:val="right" w:leader="dot" w:pos="9350"/>
      </w:tabs>
      <w:spacing w:after="100"/>
      <w:ind w:left="2160" w:hanging="720"/>
      <w:jc w:val="left"/>
    </w:pPr>
    <w:rPr>
      <w:noProof/>
    </w:rPr>
  </w:style>
  <w:style w:type="paragraph" w:styleId="TOC2">
    <w:name w:val="toc 2"/>
    <w:basedOn w:val="Normal"/>
    <w:next w:val="Normal"/>
    <w:autoRedefine/>
    <w:uiPriority w:val="39"/>
    <w:unhideWhenUsed/>
    <w:rsid w:val="0050412B"/>
    <w:pPr>
      <w:tabs>
        <w:tab w:val="left" w:pos="1440"/>
        <w:tab w:val="right" w:leader="dot" w:pos="9350"/>
      </w:tabs>
      <w:spacing w:after="100"/>
      <w:ind w:firstLine="720"/>
      <w:jc w:val="left"/>
    </w:pPr>
  </w:style>
  <w:style w:type="paragraph" w:styleId="TOC4">
    <w:name w:val="toc 4"/>
    <w:basedOn w:val="Normal"/>
    <w:next w:val="Normal"/>
    <w:autoRedefine/>
    <w:uiPriority w:val="39"/>
    <w:unhideWhenUsed/>
    <w:rsid w:val="00B835E0"/>
    <w:pPr>
      <w:tabs>
        <w:tab w:val="left" w:pos="2880"/>
        <w:tab w:val="right" w:leader="dot" w:pos="9350"/>
      </w:tabs>
      <w:spacing w:after="100" w:line="276" w:lineRule="auto"/>
      <w:ind w:left="2790" w:hanging="63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A302A"/>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A302A"/>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A302A"/>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A302A"/>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A302A"/>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A302A"/>
    <w:rPr>
      <w:color w:val="0000FF" w:themeColor="hyperlink"/>
      <w:u w:val="single"/>
    </w:rPr>
  </w:style>
  <w:style w:type="paragraph" w:styleId="ListParagraph">
    <w:name w:val="List Paragraph"/>
    <w:basedOn w:val="Normal"/>
    <w:uiPriority w:val="34"/>
    <w:qFormat/>
    <w:rsid w:val="00E54FD3"/>
    <w:pPr>
      <w:ind w:left="720"/>
      <w:contextualSpacing/>
    </w:pPr>
  </w:style>
</w:styles>
</file>

<file path=word/webSettings.xml><?xml version="1.0" encoding="utf-8"?>
<w:webSettings xmlns:r="http://schemas.openxmlformats.org/officeDocument/2006/relationships" xmlns:w="http://schemas.openxmlformats.org/wordprocessingml/2006/main">
  <w:divs>
    <w:div w:id="1342584497">
      <w:bodyDiv w:val="1"/>
      <w:marLeft w:val="0"/>
      <w:marRight w:val="0"/>
      <w:marTop w:val="0"/>
      <w:marBottom w:val="0"/>
      <w:divBdr>
        <w:top w:val="none" w:sz="0" w:space="0" w:color="auto"/>
        <w:left w:val="none" w:sz="0" w:space="0" w:color="auto"/>
        <w:bottom w:val="none" w:sz="0" w:space="0" w:color="auto"/>
        <w:right w:val="none" w:sz="0" w:space="0" w:color="auto"/>
      </w:divBdr>
      <w:divsChild>
        <w:div w:id="77216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xis.com/research/buttonTFLink?_m=37f0ee095363575720fa6f40b2c0e0bd&amp;_xfercite=%3ccite%20cc%3d%22USA%22%3e%3c%21%5bCDATA%5b904%20A.2d%201010%5d%5d%3e%3c%2fcite%3e&amp;_butType=3&amp;_butStat=2&amp;_butNum=65&amp;_butInline=1&amp;_butinfo=%3ccite%20cc%3d%22USA%22%3e%3c%21%5bCDATA%5b808%20A.2d%201044%2c%201060%5d%5d%3e%3c%2fcite%3e&amp;_fmtstr=FULL&amp;docnum=1&amp;_startdoc=1&amp;wchp=dGLzVtb-zSkAl&amp;_md5=f9f899a54d3d6d5f10c61baec9e8016c" TargetMode="External"/><Relationship Id="rId18" Type="http://schemas.openxmlformats.org/officeDocument/2006/relationships/hyperlink" Target="https://www.lexis.com/research/buttonTFLink?_m=37f0ee095363575720fa6f40b2c0e0bd&amp;_xfercite=%3ccite%20cc%3d%22USA%22%3e%3c%21%5bCDATA%5b904%20A.2d%201010%5d%5d%3e%3c%2fcite%3e&amp;_butType=3&amp;_butStat=2&amp;_butNum=75&amp;_butInline=1&amp;_butinfo=%3ccite%20cc%3d%22USA%22%3e%3c%21%5bCDATA%5b101%20Pa.%20Commw.%2076%5d%5d%3e%3c%2fcite%3e&amp;_fmtstr=FULL&amp;docnum=1&amp;_startdoc=1&amp;wchp=dGLzVtb-zSkAl&amp;_md5=018b6e2b187f08c49a12322a242c5f88" TargetMode="External"/><Relationship Id="rId26" Type="http://schemas.openxmlformats.org/officeDocument/2006/relationships/hyperlink" Target="https://www.lexis.com/research/buttonTFLink?_m=37f0ee095363575720fa6f40b2c0e0bd&amp;_xfercite=%3ccite%20cc%3d%22USA%22%3e%3c%21%5bCDATA%5b904%20A.2d%201010%5d%5d%3e%3c%2fcite%3e&amp;_butType=3&amp;_butStat=2&amp;_butNum=83&amp;_butInline=1&amp;_butinfo=%3ccite%20cc%3d%22USA%22%3e%3c%21%5bCDATA%5b331%20N.C.%20215%5d%5d%3e%3c%2fcite%3e&amp;_fmtstr=FULL&amp;docnum=1&amp;_startdoc=1&amp;wchp=dGLzVtb-zSkAl&amp;_md5=b486c907043e72cb84680447101adc10" TargetMode="External"/><Relationship Id="rId3" Type="http://schemas.openxmlformats.org/officeDocument/2006/relationships/styles" Target="styles.xml"/><Relationship Id="rId21" Type="http://schemas.openxmlformats.org/officeDocument/2006/relationships/hyperlink" Target="https://www.lexis.com/research/buttonTFLink?_m=37f0ee095363575720fa6f40b2c0e0bd&amp;_xfercite=%3ccite%20cc%3d%22USA%22%3e%3c%21%5bCDATA%5b904%20A.2d%201010%5d%5d%3e%3c%2fcite%3e&amp;_butType=3&amp;_butStat=2&amp;_butNum=78&amp;_butInline=1&amp;_butinfo=%3ccite%20cc%3d%22USA%22%3e%3c%21%5bCDATA%5b707%20So.%202d%201086%5d%5d%3e%3c%2fcite%3e&amp;_fmtstr=FULL&amp;docnum=1&amp;_startdoc=1&amp;wchp=dGLzVtb-zSkAl&amp;_md5=5f4d8d47ffee95bf7cb41e226a5b529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exis.com/research/buttonTFLink?_m=37f0ee095363575720fa6f40b2c0e0bd&amp;_xfercite=%3ccite%20cc%3d%22USA%22%3e%3c%21%5bCDATA%5b904%20A.2d%201010%5d%5d%3e%3c%2fcite%3e&amp;_butType=3&amp;_butStat=2&amp;_butNum=74&amp;_butInline=1&amp;_butinfo=%3ccite%20cc%3d%22USA%22%3e%3c%21%5bCDATA%5b78%20Pa.%20Commw.%20447%5d%5d%3e%3c%2fcite%3e&amp;_fmtstr=FULL&amp;docnum=1&amp;_startdoc=1&amp;wchp=dGLzVtb-zSkAl&amp;_md5=15ca5f8f0b93c205836cdc977619c373" TargetMode="External"/><Relationship Id="rId25" Type="http://schemas.openxmlformats.org/officeDocument/2006/relationships/hyperlink" Target="https://www.lexis.com/research/buttonTFLink?_m=37f0ee095363575720fa6f40b2c0e0bd&amp;_xfercite=%3ccite%20cc%3d%22USA%22%3e%3c%21%5bCDATA%5b904%20A.2d%201010%5d%5d%3e%3c%2fcite%3e&amp;_butType=3&amp;_butStat=2&amp;_butNum=82&amp;_butInline=1&amp;_butinfo=%3ccite%20cc%3d%22USA%22%3e%3c%21%5bCDATA%5b2000%20SD%20140%5d%5d%3e%3c%2fcite%3e&amp;_fmtstr=FULL&amp;docnum=1&amp;_startdoc=1&amp;wchp=dGLzVtb-zSkAl&amp;_md5=18f08d8a96ee8771e501f517bd0ce470" TargetMode="External"/><Relationship Id="rId2" Type="http://schemas.openxmlformats.org/officeDocument/2006/relationships/numbering" Target="numbering.xml"/><Relationship Id="rId16" Type="http://schemas.openxmlformats.org/officeDocument/2006/relationships/hyperlink" Target="https://www.lexis.com/research/buttonTFLink?_m=37f0ee095363575720fa6f40b2c0e0bd&amp;_xfercite=%3ccite%20cc%3d%22USA%22%3e%3c%21%5bCDATA%5b904%20A.2d%201010%5d%5d%3e%3c%2fcite%3e&amp;_butType=3&amp;_butStat=2&amp;_butNum=69&amp;_butInline=1&amp;_butinfo=%3ccite%20cc%3d%22USA%22%3e%3c%21%5bCDATA%5b612%20A.2d%20604%2c%20611%5d%5d%3e%3c%2fcite%3e&amp;_fmtstr=FULL&amp;docnum=1&amp;_startdoc=1&amp;wchp=dGLzVtb-zSkAl&amp;_md5=d0c73da19879e20b95d1e8aafd30f965" TargetMode="External"/><Relationship Id="rId20" Type="http://schemas.openxmlformats.org/officeDocument/2006/relationships/hyperlink" Target="https://www.lexis.com/research/buttonTFLink?_m=37f0ee095363575720fa6f40b2c0e0bd&amp;_xfercite=%3ccite%20cc%3d%22USA%22%3e%3c%21%5bCDATA%5b904%20A.2d%201010%5d%5d%3e%3c%2fcite%3e&amp;_butType=3&amp;_butStat=2&amp;_butNum=77&amp;_butInline=1&amp;_butinfo=%3ccite%20cc%3d%22USA%22%3e%3c%21%5bCDATA%5b582%20N.E.2d%20387%5d%5d%3e%3c%2fcite%3e&amp;_fmtstr=FULL&amp;docnum=1&amp;_startdoc=1&amp;wchp=dGLzVtb-zSkAl&amp;_md5=02bfc5879381935fc6be05fd38a9884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exis.com/research/buttonTFLink?_m=37f0ee095363575720fa6f40b2c0e0bd&amp;_xfercite=%3ccite%20cc%3d%22USA%22%3e%3c%21%5bCDATA%5b904%20A.2d%201010%5d%5d%3e%3c%2fcite%3e&amp;_butType=3&amp;_butStat=2&amp;_butNum=81&amp;_butInline=1&amp;_butinfo=%3ccite%20cc%3d%22USA%22%3e%3c%21%5bCDATA%5b294%20S.C.%20320%5d%5d%3e%3c%2fcite%3e&amp;_fmtstr=FULL&amp;docnum=1&amp;_startdoc=1&amp;wchp=dGLzVtb-zSkAl&amp;_md5=ac058c99c5c1031d85436189850c2665" TargetMode="External"/><Relationship Id="rId5" Type="http://schemas.openxmlformats.org/officeDocument/2006/relationships/webSettings" Target="webSettings.xml"/><Relationship Id="rId15" Type="http://schemas.openxmlformats.org/officeDocument/2006/relationships/hyperlink" Target="https://www.lexis.com/research/buttonTFLink?_m=37f0ee095363575720fa6f40b2c0e0bd&amp;_xfercite=%3ccite%20cc%3d%22USA%22%3e%3c%21%5bCDATA%5b904%20A.2d%201010%5d%5d%3e%3c%2fcite%3e&amp;_butType=4&amp;_butStat=0&amp;_butNum=68&amp;_butInline=1&amp;_butinfo=66%20PA.C.S.%201304&amp;_fmtstr=FULL&amp;docnum=1&amp;_startdoc=1&amp;wchp=dGLzVtb-zSkAl&amp;_md5=766ff7485e9b7e275dc2367dc7cc97b8" TargetMode="External"/><Relationship Id="rId23" Type="http://schemas.openxmlformats.org/officeDocument/2006/relationships/hyperlink" Target="https://www.lexis.com/research/buttonTFLink?_m=37f0ee095363575720fa6f40b2c0e0bd&amp;_xfercite=%3ccite%20cc%3d%22USA%22%3e%3c%21%5bCDATA%5b904%20A.2d%201010%5d%5d%3e%3c%2fcite%3e&amp;_butType=3&amp;_butStat=2&amp;_butNum=80&amp;_butInline=1&amp;_butinfo=%3ccite%20cc%3d%22USA%22%3e%3c%21%5bCDATA%5b351%20N.C.%20223%5d%5d%3e%3c%2fcite%3e&amp;_fmtstr=FULL&amp;docnum=1&amp;_startdoc=1&amp;wchp=dGLzVtb-zSkAl&amp;_md5=c877b263c94e3b1e1df0eecf2df2cdf3"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lexis.com/research/buttonTFLink?_m=37f0ee095363575720fa6f40b2c0e0bd&amp;_xfercite=%3ccite%20cc%3d%22USA%22%3e%3c%21%5bCDATA%5b904%20A.2d%201010%5d%5d%3e%3c%2fcite%3e&amp;_butType=3&amp;_butStat=2&amp;_butNum=76&amp;_butInline=1&amp;_butinfo=%3ccite%20cc%3d%22USA%22%3e%3c%21%5bCDATA%5b252%20Conn.%20115%5d%5d%3e%3c%2fcite%3e&amp;_fmtstr=FULL&amp;docnum=1&amp;_startdoc=1&amp;wchp=dGLzVtb-zSkAl&amp;_md5=9783f47740f12b54a7bc3e942910e4f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xis.com/research/buttonTFLink?_m=37f0ee095363575720fa6f40b2c0e0bd&amp;_xfercite=%3ccite%20cc%3d%22USA%22%3e%3c%21%5bCDATA%5b904%20A.2d%201010%5d%5d%3e%3c%2fcite%3e&amp;_butType=4&amp;_butStat=0&amp;_butNum=67&amp;_butInline=1&amp;_butinfo=66%20PA.C.S.%201304&amp;_fmtstr=FULL&amp;docnum=1&amp;_startdoc=1&amp;wchp=dGLzVtb-zSkAl&amp;_md5=96080a714b3bb3db4cb1bc59ebef3d2a" TargetMode="External"/><Relationship Id="rId22" Type="http://schemas.openxmlformats.org/officeDocument/2006/relationships/hyperlink" Target="https://www.lexis.com/research/buttonTFLink?_m=37f0ee095363575720fa6f40b2c0e0bd&amp;_xfercite=%3ccite%20cc%3d%22USA%22%3e%3c%21%5bCDATA%5b904%20A.2d%201010%5d%5d%3e%3c%2fcite%3e&amp;_butType=3&amp;_butStat=2&amp;_butNum=79&amp;_butInline=1&amp;_butinfo=%3ccite%20cc%3d%22USA%22%3e%3c%21%5bCDATA%5b129%20N.M.%201%5d%5d%3e%3c%2fcite%3e&amp;_fmtstr=FULL&amp;docnum=1&amp;_startdoc=1&amp;wchp=dGLzVtb-zSkAl&amp;_md5=41ae5586ee3944dd37382a2c7c6a16eb"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2555-4FFA-4C56-8EEC-C9FD152E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1</Pages>
  <Words>35354</Words>
  <Characters>201518</Characters>
  <Application>Microsoft Office Word</Application>
  <DocSecurity>0</DocSecurity>
  <Lines>1679</Lines>
  <Paragraphs>472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236400</CharactersWithSpaces>
  <SharedDoc>false</SharedDoc>
  <HLinks>
    <vt:vector size="84" baseType="variant">
      <vt:variant>
        <vt:i4>3866655</vt:i4>
      </vt:variant>
      <vt:variant>
        <vt:i4>39</vt:i4>
      </vt:variant>
      <vt:variant>
        <vt:i4>0</vt:i4>
      </vt:variant>
      <vt:variant>
        <vt:i4>5</vt:i4>
      </vt:variant>
      <vt:variant>
        <vt:lpwstr>https://www.lexis.com/research/buttonTFLink?_m=37f0ee095363575720fa6f40b2c0e0bd&amp;_xfercite=%3ccite%20cc%3d%22USA%22%3e%3c%21%5bCDATA%5b904%20A.2d%201010%5d%5d%3e%3c%2fcite%3e&amp;_butType=3&amp;_butStat=2&amp;_butNum=83&amp;_butInline=1&amp;_butinfo=%3ccite%20cc%3d%22USA%22%3e%3c%21%5bCDATA%5b331%20N.C.%20215%5d%5d%3e%3c%2fcite%3e&amp;_fmtstr=FULL&amp;docnum=1&amp;_startdoc=1&amp;wchp=dGLzVtb-zSkAl&amp;_md5=b486c907043e72cb84680447101adc10</vt:lpwstr>
      </vt:variant>
      <vt:variant>
        <vt:lpwstr/>
      </vt:variant>
      <vt:variant>
        <vt:i4>3801119</vt:i4>
      </vt:variant>
      <vt:variant>
        <vt:i4>36</vt:i4>
      </vt:variant>
      <vt:variant>
        <vt:i4>0</vt:i4>
      </vt:variant>
      <vt:variant>
        <vt:i4>5</vt:i4>
      </vt:variant>
      <vt:variant>
        <vt:lpwstr>https://www.lexis.com/research/buttonTFLink?_m=37f0ee095363575720fa6f40b2c0e0bd&amp;_xfercite=%3ccite%20cc%3d%22USA%22%3e%3c%21%5bCDATA%5b904%20A.2d%201010%5d%5d%3e%3c%2fcite%3e&amp;_butType=3&amp;_butStat=2&amp;_butNum=82&amp;_butInline=1&amp;_butinfo=%3ccite%20cc%3d%22USA%22%3e%3c%21%5bCDATA%5b2000%20SD%20140%5d%5d%3e%3c%2fcite%3e&amp;_fmtstr=FULL&amp;docnum=1&amp;_startdoc=1&amp;wchp=dGLzVtb-zSkAl&amp;_md5=18f08d8a96ee8771e501f517bd0ce470</vt:lpwstr>
      </vt:variant>
      <vt:variant>
        <vt:lpwstr/>
      </vt:variant>
      <vt:variant>
        <vt:i4>3735583</vt:i4>
      </vt:variant>
      <vt:variant>
        <vt:i4>33</vt:i4>
      </vt:variant>
      <vt:variant>
        <vt:i4>0</vt:i4>
      </vt:variant>
      <vt:variant>
        <vt:i4>5</vt:i4>
      </vt:variant>
      <vt:variant>
        <vt:lpwstr>https://www.lexis.com/research/buttonTFLink?_m=37f0ee095363575720fa6f40b2c0e0bd&amp;_xfercite=%3ccite%20cc%3d%22USA%22%3e%3c%21%5bCDATA%5b904%20A.2d%201010%5d%5d%3e%3c%2fcite%3e&amp;_butType=3&amp;_butStat=2&amp;_butNum=81&amp;_butInline=1&amp;_butinfo=%3ccite%20cc%3d%22USA%22%3e%3c%21%5bCDATA%5b294%20S.C.%20320%5d%5d%3e%3c%2fcite%3e&amp;_fmtstr=FULL&amp;docnum=1&amp;_startdoc=1&amp;wchp=dGLzVtb-zSkAl&amp;_md5=ac058c99c5c1031d85436189850c2665</vt:lpwstr>
      </vt:variant>
      <vt:variant>
        <vt:lpwstr/>
      </vt:variant>
      <vt:variant>
        <vt:i4>3670047</vt:i4>
      </vt:variant>
      <vt:variant>
        <vt:i4>30</vt:i4>
      </vt:variant>
      <vt:variant>
        <vt:i4>0</vt:i4>
      </vt:variant>
      <vt:variant>
        <vt:i4>5</vt:i4>
      </vt:variant>
      <vt:variant>
        <vt:lpwstr>https://www.lexis.com/research/buttonTFLink?_m=37f0ee095363575720fa6f40b2c0e0bd&amp;_xfercite=%3ccite%20cc%3d%22USA%22%3e%3c%21%5bCDATA%5b904%20A.2d%201010%5d%5d%3e%3c%2fcite%3e&amp;_butType=3&amp;_butStat=2&amp;_butNum=80&amp;_butInline=1&amp;_butinfo=%3ccite%20cc%3d%22USA%22%3e%3c%21%5bCDATA%5b351%20N.C.%20223%5d%5d%3e%3c%2fcite%3e&amp;_fmtstr=FULL&amp;docnum=1&amp;_startdoc=1&amp;wchp=dGLzVtb-zSkAl&amp;_md5=c877b263c94e3b1e1df0eecf2df2cdf3</vt:lpwstr>
      </vt:variant>
      <vt:variant>
        <vt:lpwstr/>
      </vt:variant>
      <vt:variant>
        <vt:i4>3211280</vt:i4>
      </vt:variant>
      <vt:variant>
        <vt:i4>27</vt:i4>
      </vt:variant>
      <vt:variant>
        <vt:i4>0</vt:i4>
      </vt:variant>
      <vt:variant>
        <vt:i4>5</vt:i4>
      </vt:variant>
      <vt:variant>
        <vt:lpwstr>https://www.lexis.com/research/buttonTFLink?_m=37f0ee095363575720fa6f40b2c0e0bd&amp;_xfercite=%3ccite%20cc%3d%22USA%22%3e%3c%21%5bCDATA%5b904%20A.2d%201010%5d%5d%3e%3c%2fcite%3e&amp;_butType=3&amp;_butStat=2&amp;_butNum=79&amp;_butInline=1&amp;_butinfo=%3ccite%20cc%3d%22USA%22%3e%3c%21%5bCDATA%5b129%20N.M.%201%5d%5d%3e%3c%2fcite%3e&amp;_fmtstr=FULL&amp;docnum=1&amp;_startdoc=1&amp;wchp=dGLzVtb-zSkAl&amp;_md5=41ae5586ee3944dd37382a2c7c6a16eb</vt:lpwstr>
      </vt:variant>
      <vt:variant>
        <vt:lpwstr/>
      </vt:variant>
      <vt:variant>
        <vt:i4>3145744</vt:i4>
      </vt:variant>
      <vt:variant>
        <vt:i4>24</vt:i4>
      </vt:variant>
      <vt:variant>
        <vt:i4>0</vt:i4>
      </vt:variant>
      <vt:variant>
        <vt:i4>5</vt:i4>
      </vt:variant>
      <vt:variant>
        <vt:lpwstr>https://www.lexis.com/research/buttonTFLink?_m=37f0ee095363575720fa6f40b2c0e0bd&amp;_xfercite=%3ccite%20cc%3d%22USA%22%3e%3c%21%5bCDATA%5b904%20A.2d%201010%5d%5d%3e%3c%2fcite%3e&amp;_butType=3&amp;_butStat=2&amp;_butNum=78&amp;_butInline=1&amp;_butinfo=%3ccite%20cc%3d%22USA%22%3e%3c%21%5bCDATA%5b707%20So.%202d%201086%5d%5d%3e%3c%2fcite%3e&amp;_fmtstr=FULL&amp;docnum=1&amp;_startdoc=1&amp;wchp=dGLzVtb-zSkAl&amp;_md5=5f4d8d47ffee95bf7cb41e226a5b529a</vt:lpwstr>
      </vt:variant>
      <vt:variant>
        <vt:lpwstr/>
      </vt:variant>
      <vt:variant>
        <vt:i4>4128784</vt:i4>
      </vt:variant>
      <vt:variant>
        <vt:i4>21</vt:i4>
      </vt:variant>
      <vt:variant>
        <vt:i4>0</vt:i4>
      </vt:variant>
      <vt:variant>
        <vt:i4>5</vt:i4>
      </vt:variant>
      <vt:variant>
        <vt:lpwstr>https://www.lexis.com/research/buttonTFLink?_m=37f0ee095363575720fa6f40b2c0e0bd&amp;_xfercite=%3ccite%20cc%3d%22USA%22%3e%3c%21%5bCDATA%5b904%20A.2d%201010%5d%5d%3e%3c%2fcite%3e&amp;_butType=3&amp;_butStat=2&amp;_butNum=77&amp;_butInline=1&amp;_butinfo=%3ccite%20cc%3d%22USA%22%3e%3c%21%5bCDATA%5b582%20N.E.2d%20387%5d%5d%3e%3c%2fcite%3e&amp;_fmtstr=FULL&amp;docnum=1&amp;_startdoc=1&amp;wchp=dGLzVtb-zSkAl&amp;_md5=02bfc5879381935fc6be05fd38a98841</vt:lpwstr>
      </vt:variant>
      <vt:variant>
        <vt:lpwstr/>
      </vt:variant>
      <vt:variant>
        <vt:i4>4063248</vt:i4>
      </vt:variant>
      <vt:variant>
        <vt:i4>18</vt:i4>
      </vt:variant>
      <vt:variant>
        <vt:i4>0</vt:i4>
      </vt:variant>
      <vt:variant>
        <vt:i4>5</vt:i4>
      </vt:variant>
      <vt:variant>
        <vt:lpwstr>https://www.lexis.com/research/buttonTFLink?_m=37f0ee095363575720fa6f40b2c0e0bd&amp;_xfercite=%3ccite%20cc%3d%22USA%22%3e%3c%21%5bCDATA%5b904%20A.2d%201010%5d%5d%3e%3c%2fcite%3e&amp;_butType=3&amp;_butStat=2&amp;_butNum=76&amp;_butInline=1&amp;_butinfo=%3ccite%20cc%3d%22USA%22%3e%3c%21%5bCDATA%5b252%20Conn.%20115%5d%5d%3e%3c%2fcite%3e&amp;_fmtstr=FULL&amp;docnum=1&amp;_startdoc=1&amp;wchp=dGLzVtb-zSkAl&amp;_md5=9783f47740f12b54a7bc3e942910e4f7</vt:lpwstr>
      </vt:variant>
      <vt:variant>
        <vt:lpwstr/>
      </vt:variant>
      <vt:variant>
        <vt:i4>3997712</vt:i4>
      </vt:variant>
      <vt:variant>
        <vt:i4>15</vt:i4>
      </vt:variant>
      <vt:variant>
        <vt:i4>0</vt:i4>
      </vt:variant>
      <vt:variant>
        <vt:i4>5</vt:i4>
      </vt:variant>
      <vt:variant>
        <vt:lpwstr>https://www.lexis.com/research/buttonTFLink?_m=37f0ee095363575720fa6f40b2c0e0bd&amp;_xfercite=%3ccite%20cc%3d%22USA%22%3e%3c%21%5bCDATA%5b904%20A.2d%201010%5d%5d%3e%3c%2fcite%3e&amp;_butType=3&amp;_butStat=2&amp;_butNum=75&amp;_butInline=1&amp;_butinfo=%3ccite%20cc%3d%22USA%22%3e%3c%21%5bCDATA%5b101%20Pa.%20Commw.%2076%5d%5d%3e%3c%2fcite%3e&amp;_fmtstr=FULL&amp;docnum=1&amp;_startdoc=1&amp;wchp=dGLzVtb-zSkAl&amp;_md5=018b6e2b187f08c49a12322a242c5f88</vt:lpwstr>
      </vt:variant>
      <vt:variant>
        <vt:lpwstr/>
      </vt:variant>
      <vt:variant>
        <vt:i4>3932176</vt:i4>
      </vt:variant>
      <vt:variant>
        <vt:i4>12</vt:i4>
      </vt:variant>
      <vt:variant>
        <vt:i4>0</vt:i4>
      </vt:variant>
      <vt:variant>
        <vt:i4>5</vt:i4>
      </vt:variant>
      <vt:variant>
        <vt:lpwstr>https://www.lexis.com/research/buttonTFLink?_m=37f0ee095363575720fa6f40b2c0e0bd&amp;_xfercite=%3ccite%20cc%3d%22USA%22%3e%3c%21%5bCDATA%5b904%20A.2d%201010%5d%5d%3e%3c%2fcite%3e&amp;_butType=3&amp;_butStat=2&amp;_butNum=74&amp;_butInline=1&amp;_butinfo=%3ccite%20cc%3d%22USA%22%3e%3c%21%5bCDATA%5b78%20Pa.%20Commw.%20447%5d%5d%3e%3c%2fcite%3e&amp;_fmtstr=FULL&amp;docnum=1&amp;_startdoc=1&amp;wchp=dGLzVtb-zSkAl&amp;_md5=15ca5f8f0b93c205836cdc977619c373</vt:lpwstr>
      </vt:variant>
      <vt:variant>
        <vt:lpwstr/>
      </vt:variant>
      <vt:variant>
        <vt:i4>3211281</vt:i4>
      </vt:variant>
      <vt:variant>
        <vt:i4>9</vt:i4>
      </vt:variant>
      <vt:variant>
        <vt:i4>0</vt:i4>
      </vt:variant>
      <vt:variant>
        <vt:i4>5</vt:i4>
      </vt:variant>
      <vt:variant>
        <vt:lpwstr>https://www.lexis.com/research/buttonTFLink?_m=37f0ee095363575720fa6f40b2c0e0bd&amp;_xfercite=%3ccite%20cc%3d%22USA%22%3e%3c%21%5bCDATA%5b904%20A.2d%201010%5d%5d%3e%3c%2fcite%3e&amp;_butType=3&amp;_butStat=2&amp;_butNum=69&amp;_butInline=1&amp;_butinfo=%3ccite%20cc%3d%22USA%22%3e%3c%21%5bCDATA%5b612%20A.2d%20604%2c%20611%5d%5d%3e%3c%2fcite%3e&amp;_fmtstr=FULL&amp;docnum=1&amp;_startdoc=1&amp;wchp=dGLzVtb-zSkAl&amp;_md5=d0c73da19879e20b95d1e8aafd30f965</vt:lpwstr>
      </vt:variant>
      <vt:variant>
        <vt:lpwstr/>
      </vt:variant>
      <vt:variant>
        <vt:i4>6094940</vt:i4>
      </vt:variant>
      <vt:variant>
        <vt:i4>6</vt:i4>
      </vt:variant>
      <vt:variant>
        <vt:i4>0</vt:i4>
      </vt:variant>
      <vt:variant>
        <vt:i4>5</vt:i4>
      </vt:variant>
      <vt:variant>
        <vt:lpwstr>https://www.lexis.com/research/buttonTFLink?_m=37f0ee095363575720fa6f40b2c0e0bd&amp;_xfercite=%3ccite%20cc%3d%22USA%22%3e%3c%21%5bCDATA%5b904%20A.2d%201010%5d%5d%3e%3c%2fcite%3e&amp;_butType=4&amp;_butStat=0&amp;_butNum=68&amp;_butInline=1&amp;_butinfo=66%20PA.C.S.%201304&amp;_fmtstr=FULL&amp;docnum=1&amp;_startdoc=1&amp;wchp=dGLzVtb-zSkAl&amp;_md5=766ff7485e9b7e275dc2367dc7cc97b8</vt:lpwstr>
      </vt:variant>
      <vt:variant>
        <vt:lpwstr/>
      </vt:variant>
      <vt:variant>
        <vt:i4>5374044</vt:i4>
      </vt:variant>
      <vt:variant>
        <vt:i4>3</vt:i4>
      </vt:variant>
      <vt:variant>
        <vt:i4>0</vt:i4>
      </vt:variant>
      <vt:variant>
        <vt:i4>5</vt:i4>
      </vt:variant>
      <vt:variant>
        <vt:lpwstr>https://www.lexis.com/research/buttonTFLink?_m=37f0ee095363575720fa6f40b2c0e0bd&amp;_xfercite=%3ccite%20cc%3d%22USA%22%3e%3c%21%5bCDATA%5b904%20A.2d%201010%5d%5d%3e%3c%2fcite%3e&amp;_butType=4&amp;_butStat=0&amp;_butNum=67&amp;_butInline=1&amp;_butinfo=66%20PA.C.S.%201304&amp;_fmtstr=FULL&amp;docnum=1&amp;_startdoc=1&amp;wchp=dGLzVtb-zSkAl&amp;_md5=96080a714b3bb3db4cb1bc59ebef3d2a</vt:lpwstr>
      </vt:variant>
      <vt:variant>
        <vt:lpwstr/>
      </vt:variant>
      <vt:variant>
        <vt:i4>3997713</vt:i4>
      </vt:variant>
      <vt:variant>
        <vt:i4>0</vt:i4>
      </vt:variant>
      <vt:variant>
        <vt:i4>0</vt:i4>
      </vt:variant>
      <vt:variant>
        <vt:i4>5</vt:i4>
      </vt:variant>
      <vt:variant>
        <vt:lpwstr>https://www.lexis.com/research/buttonTFLink?_m=37f0ee095363575720fa6f40b2c0e0bd&amp;_xfercite=%3ccite%20cc%3d%22USA%22%3e%3c%21%5bCDATA%5b904%20A.2d%201010%5d%5d%3e%3c%2fcite%3e&amp;_butType=3&amp;_butStat=2&amp;_butNum=65&amp;_butInline=1&amp;_butinfo=%3ccite%20cc%3d%22USA%22%3e%3c%21%5bCDATA%5b808%20A.2d%201044%2c%201060%5d%5d%3e%3c%2fcite%3e&amp;_fmtstr=FULL&amp;docnum=1&amp;_startdoc=1&amp;wchp=dGLzVtb-zSkAl&amp;_md5=f9f899a54d3d6d5f10c61baec9e8016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shoffner</cp:lastModifiedBy>
  <cp:revision>75</cp:revision>
  <cp:lastPrinted>2010-10-15T17:30:00Z</cp:lastPrinted>
  <dcterms:created xsi:type="dcterms:W3CDTF">2010-10-12T16:12:00Z</dcterms:created>
  <dcterms:modified xsi:type="dcterms:W3CDTF">2010-10-15T17:38:00Z</dcterms:modified>
</cp:coreProperties>
</file>