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55" w:rsidRPr="009A52FA" w:rsidRDefault="00283355" w:rsidP="00283355">
      <w:pPr>
        <w:widowControl w:val="0"/>
        <w:jc w:val="center"/>
        <w:rPr>
          <w:b/>
          <w:bCs/>
          <w:szCs w:val="24"/>
        </w:rPr>
      </w:pPr>
      <w:r w:rsidRPr="009A52FA">
        <w:rPr>
          <w:b/>
          <w:bCs/>
          <w:szCs w:val="24"/>
        </w:rPr>
        <w:t>BEFORE THE</w:t>
      </w:r>
    </w:p>
    <w:p w:rsidR="00283355" w:rsidRPr="009A52FA" w:rsidRDefault="00283355" w:rsidP="00283355">
      <w:pPr>
        <w:widowControl w:val="0"/>
        <w:jc w:val="center"/>
        <w:rPr>
          <w:b/>
          <w:bCs/>
          <w:szCs w:val="24"/>
        </w:rPr>
      </w:pPr>
      <w:r w:rsidRPr="009A52FA">
        <w:rPr>
          <w:b/>
          <w:bCs/>
          <w:szCs w:val="24"/>
        </w:rPr>
        <w:t>PENNSYLVANIA PUBLIC UTILITY COMMISSION</w:t>
      </w:r>
    </w:p>
    <w:p w:rsidR="00283355" w:rsidRPr="009A52FA" w:rsidRDefault="00283355" w:rsidP="00283355">
      <w:pPr>
        <w:widowControl w:val="0"/>
        <w:jc w:val="center"/>
        <w:rPr>
          <w:b/>
          <w:bCs/>
          <w:szCs w:val="24"/>
        </w:rPr>
      </w:pPr>
    </w:p>
    <w:p w:rsidR="00283355" w:rsidRPr="009A52FA" w:rsidRDefault="00283355" w:rsidP="00283355">
      <w:pPr>
        <w:widowControl w:val="0"/>
        <w:jc w:val="center"/>
        <w:rPr>
          <w:b/>
          <w:bCs/>
          <w:szCs w:val="24"/>
        </w:rPr>
      </w:pPr>
    </w:p>
    <w:p w:rsidR="00283355" w:rsidRDefault="00283355" w:rsidP="00283355">
      <w:pPr>
        <w:widowControl w:val="0"/>
        <w:spacing w:line="240" w:lineRule="auto"/>
        <w:rPr>
          <w:bCs/>
          <w:szCs w:val="24"/>
        </w:rPr>
      </w:pPr>
      <w:r w:rsidRPr="00D66A31">
        <w:rPr>
          <w:bCs/>
          <w:szCs w:val="24"/>
        </w:rPr>
        <w:t>PPL Electric Utilities Corporation</w:t>
      </w:r>
      <w:r w:rsidR="002F682F">
        <w:rPr>
          <w:bCs/>
          <w:szCs w:val="24"/>
        </w:rPr>
        <w:tab/>
      </w:r>
      <w:r w:rsidR="002F682F">
        <w:rPr>
          <w:bCs/>
          <w:szCs w:val="24"/>
        </w:rPr>
        <w:tab/>
      </w:r>
      <w:r w:rsidR="002F682F">
        <w:rPr>
          <w:bCs/>
          <w:szCs w:val="24"/>
        </w:rPr>
        <w:tab/>
        <w:t>:</w:t>
      </w:r>
    </w:p>
    <w:p w:rsidR="00283355" w:rsidRDefault="00283355" w:rsidP="00283355">
      <w:pPr>
        <w:widowControl w:val="0"/>
        <w:spacing w:line="240" w:lineRule="auto"/>
        <w:rPr>
          <w:bCs/>
          <w:szCs w:val="24"/>
        </w:rPr>
      </w:pPr>
      <w:r>
        <w:rPr>
          <w:bCs/>
          <w:szCs w:val="24"/>
        </w:rPr>
        <w:t>Universal Service and Energy Conservation</w:t>
      </w:r>
      <w:r>
        <w:rPr>
          <w:bCs/>
          <w:szCs w:val="24"/>
        </w:rPr>
        <w:tab/>
      </w:r>
      <w:r>
        <w:rPr>
          <w:bCs/>
          <w:szCs w:val="24"/>
        </w:rPr>
        <w:tab/>
        <w:t>:</w:t>
      </w:r>
      <w:r>
        <w:rPr>
          <w:bCs/>
          <w:szCs w:val="24"/>
        </w:rPr>
        <w:tab/>
      </w:r>
      <w:r>
        <w:rPr>
          <w:bCs/>
          <w:szCs w:val="24"/>
        </w:rPr>
        <w:tab/>
      </w:r>
      <w:r>
        <w:rPr>
          <w:bCs/>
          <w:szCs w:val="24"/>
        </w:rPr>
        <w:tab/>
        <w:t>M-2010-2179796</w:t>
      </w:r>
    </w:p>
    <w:p w:rsidR="00283355" w:rsidRDefault="00283355" w:rsidP="00283355">
      <w:pPr>
        <w:widowControl w:val="0"/>
        <w:spacing w:line="240" w:lineRule="auto"/>
        <w:rPr>
          <w:bCs/>
          <w:szCs w:val="24"/>
        </w:rPr>
      </w:pPr>
      <w:r>
        <w:rPr>
          <w:bCs/>
          <w:szCs w:val="24"/>
        </w:rPr>
        <w:t>Plan for 2011 through 2013</w:t>
      </w:r>
      <w:r>
        <w:rPr>
          <w:bCs/>
          <w:szCs w:val="24"/>
        </w:rPr>
        <w:tab/>
      </w:r>
      <w:r>
        <w:rPr>
          <w:bCs/>
          <w:szCs w:val="24"/>
        </w:rPr>
        <w:tab/>
      </w:r>
      <w:r>
        <w:rPr>
          <w:bCs/>
          <w:szCs w:val="24"/>
        </w:rPr>
        <w:tab/>
      </w:r>
      <w:r>
        <w:rPr>
          <w:bCs/>
          <w:szCs w:val="24"/>
        </w:rPr>
        <w:tab/>
        <w:t>:</w:t>
      </w:r>
    </w:p>
    <w:p w:rsidR="00283355" w:rsidRDefault="00283355" w:rsidP="00283355">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sidR="002F682F">
        <w:rPr>
          <w:bCs/>
          <w:szCs w:val="24"/>
        </w:rPr>
        <w:t>:</w:t>
      </w:r>
    </w:p>
    <w:p w:rsidR="00283355" w:rsidRDefault="00283355" w:rsidP="00283355">
      <w:pPr>
        <w:widowControl w:val="0"/>
        <w:spacing w:line="240" w:lineRule="auto"/>
        <w:rPr>
          <w:bCs/>
          <w:szCs w:val="24"/>
        </w:rPr>
      </w:pPr>
    </w:p>
    <w:p w:rsidR="008B2374" w:rsidRPr="009A52FA" w:rsidRDefault="008B2374" w:rsidP="00283355">
      <w:pPr>
        <w:widowControl w:val="0"/>
        <w:spacing w:line="240" w:lineRule="auto"/>
        <w:rPr>
          <w:szCs w:val="24"/>
        </w:rPr>
      </w:pPr>
    </w:p>
    <w:p w:rsidR="00C04960" w:rsidRDefault="00283355" w:rsidP="00283355">
      <w:pPr>
        <w:jc w:val="center"/>
        <w:rPr>
          <w:b/>
        </w:rPr>
      </w:pPr>
      <w:r>
        <w:rPr>
          <w:b/>
        </w:rPr>
        <w:t>SCHEDULING ORDER</w:t>
      </w:r>
    </w:p>
    <w:p w:rsidR="00283355" w:rsidRDefault="00283355" w:rsidP="00283355">
      <w:pPr>
        <w:jc w:val="center"/>
        <w:rPr>
          <w:b/>
        </w:rPr>
      </w:pPr>
      <w:r>
        <w:rPr>
          <w:b/>
        </w:rPr>
        <w:t>Second Prehearing Order</w:t>
      </w:r>
    </w:p>
    <w:p w:rsidR="00283355" w:rsidRDefault="00283355" w:rsidP="00283355">
      <w:pPr>
        <w:jc w:val="center"/>
        <w:rPr>
          <w:b/>
        </w:rPr>
      </w:pPr>
    </w:p>
    <w:p w:rsidR="00283355" w:rsidRDefault="00844F2A" w:rsidP="00283355">
      <w:r>
        <w:tab/>
      </w:r>
      <w:r>
        <w:tab/>
        <w:t xml:space="preserve">On June 1, 2010, PPL Electric Utilities Corporation (PPL or Company) filed its Universal Service and Energy Conservation Plan pursuant to 52 Pa. Code §§ 54.71-54.78.  </w:t>
      </w:r>
      <w:r w:rsidR="004E621E">
        <w:t xml:space="preserve">On July 12, 2010, Eric Joseph Epstein filed a Petition to Intervene, and on July 13, 2010, the sustainable Energy Fund of Central Eastern Pennsylvania (SEF) filed a Petition to Intervene.  On July 29, 2010, the Office of Consumer Advocate (OCA) filed a Notice of Intervention.  </w:t>
      </w:r>
    </w:p>
    <w:p w:rsidR="004E621E" w:rsidRDefault="004E621E" w:rsidP="00283355"/>
    <w:p w:rsidR="004E621E" w:rsidRDefault="004E621E" w:rsidP="00283355">
      <w:r>
        <w:tab/>
      </w:r>
      <w:r>
        <w:tab/>
        <w:t xml:space="preserve">By Order entered September 24, 2010, </w:t>
      </w:r>
      <w:r w:rsidR="006B1977">
        <w:t xml:space="preserve">the Commission granted the two petitions to intervene and assigned the matter to the Office of Administrative Law Judge for hearing and issuance of a recommended decision.  </w:t>
      </w:r>
    </w:p>
    <w:p w:rsidR="006B1977" w:rsidRDefault="006B1977" w:rsidP="00283355"/>
    <w:p w:rsidR="00A82081" w:rsidRDefault="000617C6" w:rsidP="00283355">
      <w:r>
        <w:tab/>
      </w:r>
      <w:r>
        <w:tab/>
        <w:t>On October 4, 2010, a Notice of Initial Prehearing Conference was issued which set the prehearing conference for Friday, October 29, 2010 and assigned the matter to me.</w:t>
      </w:r>
      <w:r w:rsidR="00A82081">
        <w:t xml:space="preserve"> </w:t>
      </w:r>
    </w:p>
    <w:p w:rsidR="00A82081" w:rsidRDefault="00A82081" w:rsidP="00283355"/>
    <w:p w:rsidR="001B7876" w:rsidRDefault="00A82081" w:rsidP="00283355">
      <w:r>
        <w:tab/>
      </w:r>
      <w:r>
        <w:tab/>
        <w:t>On October 6, 2010, a Notice of Appearance was filed for the Company</w:t>
      </w:r>
      <w:r w:rsidR="002077EA">
        <w:t xml:space="preserve"> counsel</w:t>
      </w:r>
      <w:r>
        <w:t xml:space="preserve">.  </w:t>
      </w:r>
    </w:p>
    <w:p w:rsidR="001B7876" w:rsidRDefault="001B7876" w:rsidP="00283355"/>
    <w:p w:rsidR="001B7876" w:rsidRDefault="001B7876" w:rsidP="00283355">
      <w:r>
        <w:tab/>
      </w:r>
      <w:r>
        <w:tab/>
        <w:t xml:space="preserve">Petitions to intervene were filed by the Commission on Economic Opportunity (CEO), October 22, 2010; PP&amp;L Industrial Customer Alliance (PPLICA), October 25, 2010; </w:t>
      </w:r>
      <w:r w:rsidR="00E53727">
        <w:t xml:space="preserve">and Pennsylvania Communities Organizing for Change (PCOC), October 24, 2010.  </w:t>
      </w:r>
    </w:p>
    <w:p w:rsidR="001B7876" w:rsidRDefault="001B7876" w:rsidP="00283355"/>
    <w:p w:rsidR="00A82081" w:rsidRDefault="001B7876" w:rsidP="00283355">
      <w:r>
        <w:lastRenderedPageBreak/>
        <w:tab/>
      </w:r>
      <w:r>
        <w:tab/>
        <w:t>Prehearing memos were filed by CEO; SEF; Mr. Epstein; OTS; OCA; PPLICA;</w:t>
      </w:r>
      <w:r w:rsidR="00A82081">
        <w:t xml:space="preserve"> </w:t>
      </w:r>
      <w:r w:rsidR="00E53727">
        <w:t xml:space="preserve">and PCOC.  </w:t>
      </w:r>
    </w:p>
    <w:p w:rsidR="00E53727" w:rsidRDefault="00E53727" w:rsidP="00283355"/>
    <w:p w:rsidR="006B1977" w:rsidRDefault="00E53727" w:rsidP="00283355">
      <w:r>
        <w:tab/>
      </w:r>
      <w:r>
        <w:tab/>
      </w:r>
      <w:r w:rsidR="00A82081">
        <w:t xml:space="preserve">The prehearing conference was held as </w:t>
      </w:r>
      <w:r w:rsidR="002077EA">
        <w:t xml:space="preserve">scheduled, with the following counsel in attendance:  David B. MacGregor, Esq., Anthony D. </w:t>
      </w:r>
      <w:proofErr w:type="spellStart"/>
      <w:r w:rsidR="002077EA">
        <w:t>Kanagy</w:t>
      </w:r>
      <w:proofErr w:type="spellEnd"/>
      <w:r w:rsidR="002077EA">
        <w:t xml:space="preserve">, Esq., and Paul E. Russell, Esq., for the Company; Todd S. Stewart, Esq., for SEF; Richard A. Kanaskie, Esq., for OTS; Shelby A. Linton-Keddie, Esq., for PPLICA; Julie George, Esq., and Harry Geller, Esq., for PCOC; Aron Beatty, Esq., for OCA; and Mr. Epstein.  </w:t>
      </w:r>
    </w:p>
    <w:p w:rsidR="009B7FF1" w:rsidRDefault="009B7FF1" w:rsidP="00283355"/>
    <w:p w:rsidR="004C73E4" w:rsidRDefault="009B7FF1" w:rsidP="00283355">
      <w:r>
        <w:tab/>
      </w:r>
      <w:r>
        <w:tab/>
        <w:t xml:space="preserve">PPLICA and CEO </w:t>
      </w:r>
      <w:r w:rsidR="004C3883">
        <w:t>petitions to</w:t>
      </w:r>
      <w:r>
        <w:t xml:space="preserve"> interven</w:t>
      </w:r>
      <w:r w:rsidR="004C3883">
        <w:t>e</w:t>
      </w:r>
      <w:r>
        <w:t xml:space="preserve"> </w:t>
      </w:r>
      <w:r w:rsidR="004C3883">
        <w:t>are unopposed and will be granted.</w:t>
      </w:r>
      <w:r>
        <w:t xml:space="preserve">  </w:t>
      </w:r>
    </w:p>
    <w:p w:rsidR="004C73E4" w:rsidRDefault="004C73E4" w:rsidP="00283355">
      <w:r>
        <w:tab/>
      </w:r>
      <w:r>
        <w:tab/>
      </w:r>
    </w:p>
    <w:p w:rsidR="004C73E4" w:rsidRDefault="004C73E4" w:rsidP="00283355">
      <w:r>
        <w:tab/>
      </w:r>
      <w:r>
        <w:tab/>
      </w:r>
      <w:r w:rsidR="009B7FF1">
        <w:t xml:space="preserve">PCOC’s petition to intervene was challenged by the Company due to lack of inclusion of necessary information, such as a description of the type of organization, whether or not the organization is a customer, whether members are customers, identification of members, and whether the verification was signed by someone in PCOC.  </w:t>
      </w:r>
      <w:r w:rsidR="00FB7F4A">
        <w:t xml:space="preserve">Counsel for PCOC indicated that the information could be obtained and submitted within a week.  PCOC was given a week to submit the information, and the Company an additional week to respond to the new information. </w:t>
      </w:r>
    </w:p>
    <w:p w:rsidR="004C73E4" w:rsidRDefault="004C73E4" w:rsidP="00283355"/>
    <w:p w:rsidR="004C73E4" w:rsidRDefault="004C73E4" w:rsidP="00283355">
      <w:r>
        <w:tab/>
      </w:r>
      <w:r>
        <w:tab/>
        <w:t xml:space="preserve">The parties agreed upon a schedule, which will be adopted here.  No party asked for discovery modifications.  </w:t>
      </w:r>
    </w:p>
    <w:p w:rsidR="004C73E4" w:rsidRDefault="004C73E4" w:rsidP="00283355"/>
    <w:p w:rsidR="00737B40" w:rsidRDefault="004C73E4" w:rsidP="00283355">
      <w:r>
        <w:tab/>
      </w:r>
      <w:r>
        <w:tab/>
        <w:t>No party reported a request for a public input hearing.  Due to time constraints, any request for a public input hearing</w:t>
      </w:r>
      <w:r w:rsidR="00737B40">
        <w:t xml:space="preserve"> must be submitted prior to November 15, 2010 to fit the procedural schedule and ensure due process for the litigating parties.  </w:t>
      </w:r>
    </w:p>
    <w:p w:rsidR="00737B40" w:rsidRDefault="00737B40" w:rsidP="00283355"/>
    <w:p w:rsidR="007F2BF9" w:rsidRDefault="007F2BF9" w:rsidP="00283355">
      <w:r>
        <w:tab/>
      </w:r>
      <w:r>
        <w:tab/>
        <w:t xml:space="preserve">The following e-mail list will be used for </w:t>
      </w:r>
      <w:r w:rsidR="005C2153">
        <w:t xml:space="preserve">communications to and between </w:t>
      </w:r>
      <w:proofErr w:type="gramStart"/>
      <w:r w:rsidR="005C2153">
        <w:t>counsel</w:t>
      </w:r>
      <w:proofErr w:type="gramEnd"/>
      <w:r w:rsidR="005C2153">
        <w:t>:</w:t>
      </w:r>
    </w:p>
    <w:p w:rsidR="005C2153" w:rsidRPr="005C2153" w:rsidRDefault="0013599E" w:rsidP="005C2153">
      <w:hyperlink r:id="rId7" w:history="1">
        <w:r w:rsidR="005C2153" w:rsidRPr="005C2153">
          <w:rPr>
            <w:rStyle w:val="Hyperlink"/>
            <w:color w:val="auto"/>
          </w:rPr>
          <w:t>dmacgregor@postschell.com</w:t>
        </w:r>
      </w:hyperlink>
    </w:p>
    <w:p w:rsidR="005C2153" w:rsidRPr="005C2153" w:rsidRDefault="0013599E" w:rsidP="005C2153">
      <w:hyperlink r:id="rId8" w:history="1">
        <w:r w:rsidR="005C2153" w:rsidRPr="005C2153">
          <w:rPr>
            <w:rStyle w:val="Hyperlink"/>
            <w:color w:val="auto"/>
          </w:rPr>
          <w:t>perussell@pplweb.com</w:t>
        </w:r>
      </w:hyperlink>
    </w:p>
    <w:p w:rsidR="005C2153" w:rsidRPr="005C2153" w:rsidRDefault="005C2153" w:rsidP="005C2153">
      <w:pPr>
        <w:rPr>
          <w:u w:val="single"/>
        </w:rPr>
      </w:pPr>
      <w:r w:rsidRPr="005C2153">
        <w:rPr>
          <w:u w:val="single"/>
        </w:rPr>
        <w:t>akanagy@postschell.com</w:t>
      </w:r>
    </w:p>
    <w:p w:rsidR="005C2153" w:rsidRPr="005C2153" w:rsidRDefault="0013599E" w:rsidP="005C2153">
      <w:hyperlink r:id="rId9" w:history="1">
        <w:r w:rsidR="005C2153" w:rsidRPr="005C2153">
          <w:rPr>
            <w:rStyle w:val="Hyperlink"/>
            <w:color w:val="auto"/>
          </w:rPr>
          <w:t>rkanaskie@state.pa.us</w:t>
        </w:r>
      </w:hyperlink>
    </w:p>
    <w:p w:rsidR="005C2153" w:rsidRPr="005C2153" w:rsidRDefault="0013599E" w:rsidP="005C2153">
      <w:hyperlink r:id="rId10" w:history="1">
        <w:r w:rsidR="005C2153" w:rsidRPr="005C2153">
          <w:rPr>
            <w:rStyle w:val="Hyperlink"/>
            <w:color w:val="auto"/>
          </w:rPr>
          <w:t>sgray@state.pa.us</w:t>
        </w:r>
      </w:hyperlink>
    </w:p>
    <w:p w:rsidR="005C2153" w:rsidRPr="005C2153" w:rsidRDefault="0013599E" w:rsidP="005C2153">
      <w:hyperlink r:id="rId11" w:history="1">
        <w:r w:rsidR="005C2153" w:rsidRPr="005C2153">
          <w:rPr>
            <w:rStyle w:val="Hyperlink"/>
            <w:color w:val="auto"/>
          </w:rPr>
          <w:t>abeatty@paoca.org</w:t>
        </w:r>
      </w:hyperlink>
    </w:p>
    <w:p w:rsidR="005C2153" w:rsidRPr="005C2153" w:rsidRDefault="0013599E" w:rsidP="005C2153">
      <w:hyperlink r:id="rId12" w:history="1">
        <w:r w:rsidR="005C2153" w:rsidRPr="005C2153">
          <w:rPr>
            <w:rStyle w:val="Hyperlink"/>
            <w:color w:val="auto"/>
          </w:rPr>
          <w:t>TMccloskey@paoca.org</w:t>
        </w:r>
      </w:hyperlink>
    </w:p>
    <w:p w:rsidR="005C2153" w:rsidRPr="005C2153" w:rsidRDefault="0013599E" w:rsidP="005C2153">
      <w:hyperlink r:id="rId13" w:history="1">
        <w:r w:rsidR="005C2153" w:rsidRPr="005C2153">
          <w:rPr>
            <w:rStyle w:val="Hyperlink"/>
            <w:color w:val="auto"/>
          </w:rPr>
          <w:t>jlvullo@aol.com</w:t>
        </w:r>
      </w:hyperlink>
    </w:p>
    <w:p w:rsidR="005C2153" w:rsidRPr="005C2153" w:rsidRDefault="0013599E" w:rsidP="005C2153">
      <w:hyperlink r:id="rId14" w:history="1">
        <w:r w:rsidR="005C2153" w:rsidRPr="005C2153">
          <w:rPr>
            <w:rStyle w:val="Hyperlink"/>
            <w:color w:val="auto"/>
          </w:rPr>
          <w:t>lechambon@comcast.net</w:t>
        </w:r>
      </w:hyperlink>
    </w:p>
    <w:p w:rsidR="005C2153" w:rsidRPr="005C2153" w:rsidRDefault="005C2153" w:rsidP="005C2153">
      <w:pPr>
        <w:rPr>
          <w:u w:val="single"/>
        </w:rPr>
      </w:pPr>
      <w:r w:rsidRPr="005C2153">
        <w:rPr>
          <w:u w:val="single"/>
        </w:rPr>
        <w:t>ppolacek@mwn.com</w:t>
      </w:r>
    </w:p>
    <w:p w:rsidR="005C2153" w:rsidRPr="005C2153" w:rsidRDefault="0013599E" w:rsidP="005C2153">
      <w:hyperlink r:id="rId15" w:history="1">
        <w:r w:rsidR="005C2153" w:rsidRPr="005C2153">
          <w:rPr>
            <w:rStyle w:val="Hyperlink"/>
            <w:color w:val="auto"/>
          </w:rPr>
          <w:t>skeddie@mwn.com</w:t>
        </w:r>
      </w:hyperlink>
    </w:p>
    <w:p w:rsidR="005C2153" w:rsidRPr="005C2153" w:rsidRDefault="0013599E" w:rsidP="005C2153">
      <w:hyperlink r:id="rId16" w:history="1">
        <w:r w:rsidR="005C2153" w:rsidRPr="005C2153">
          <w:rPr>
            <w:rStyle w:val="Hyperlink"/>
            <w:color w:val="auto"/>
          </w:rPr>
          <w:t>crburgraff@hmslegal.com</w:t>
        </w:r>
      </w:hyperlink>
    </w:p>
    <w:p w:rsidR="005C2153" w:rsidRPr="005C2153" w:rsidRDefault="005C2153" w:rsidP="005C2153">
      <w:pPr>
        <w:rPr>
          <w:szCs w:val="24"/>
          <w:u w:val="single"/>
        </w:rPr>
      </w:pPr>
      <w:r w:rsidRPr="005C2153">
        <w:rPr>
          <w:u w:val="single"/>
        </w:rPr>
        <w:t>pulp@palegalaid.net</w:t>
      </w:r>
    </w:p>
    <w:p w:rsidR="005C2153" w:rsidRDefault="005C2153" w:rsidP="00283355"/>
    <w:p w:rsidR="00737B40" w:rsidRDefault="00737B40" w:rsidP="00283355">
      <w:r>
        <w:tab/>
      </w:r>
      <w:r>
        <w:tab/>
        <w:t>THEREFORE,</w:t>
      </w:r>
    </w:p>
    <w:p w:rsidR="00737B40" w:rsidRDefault="00737B40" w:rsidP="00283355"/>
    <w:p w:rsidR="00737B40" w:rsidRDefault="00737B40" w:rsidP="00283355">
      <w:r>
        <w:tab/>
      </w:r>
      <w:r>
        <w:tab/>
        <w:t>IT IS ORDERED:</w:t>
      </w:r>
    </w:p>
    <w:p w:rsidR="00737B40" w:rsidRDefault="00737B40" w:rsidP="00283355"/>
    <w:p w:rsidR="00737B40" w:rsidRDefault="00737B40" w:rsidP="00283355">
      <w:r>
        <w:tab/>
      </w:r>
      <w:r>
        <w:tab/>
        <w:t>1.</w:t>
      </w:r>
      <w:r>
        <w:tab/>
        <w:t>That the petitions to intervene filed by PP&amp;L Industrial Customer Alliance and the Commission on Economic Opportunity are granted.</w:t>
      </w:r>
    </w:p>
    <w:p w:rsidR="00737B40" w:rsidRDefault="00737B40" w:rsidP="00283355"/>
    <w:p w:rsidR="00336DD4" w:rsidRDefault="00737B40" w:rsidP="00283355">
      <w:r>
        <w:tab/>
      </w:r>
      <w:r>
        <w:tab/>
        <w:t>2.</w:t>
      </w:r>
      <w:r>
        <w:tab/>
        <w:t>That the Pennsylvania Communities Organizing for Change shall file and serve upon all parties of record on or before Friday, November 5, 2010</w:t>
      </w:r>
      <w:r w:rsidR="00336DD4">
        <w:t xml:space="preserve"> supplemental information to its Petition to Intervene regarding the type of organization it is, whether it is a customer of PPL Electric Utilities Corporation, its membership and whether its members are customers of PPL Electric Utilities Corporation, and the relationship between the signatory to its verification and the Pennsylvania Communities Organizing for Change.</w:t>
      </w:r>
    </w:p>
    <w:p w:rsidR="00336DD4" w:rsidRDefault="00336DD4" w:rsidP="00283355"/>
    <w:p w:rsidR="00C16796" w:rsidRDefault="00336DD4" w:rsidP="00283355">
      <w:r>
        <w:tab/>
      </w:r>
      <w:r>
        <w:tab/>
        <w:t>3.</w:t>
      </w:r>
      <w:r>
        <w:tab/>
        <w:t xml:space="preserve">That parties of record other than </w:t>
      </w:r>
      <w:r w:rsidR="00C16796">
        <w:t>Pennsylvania Communities Organizing for Change shall file any response to the submission filed pursuant to Ordering Paragraph 2 on or before November 12, 2010.</w:t>
      </w:r>
    </w:p>
    <w:p w:rsidR="00C16796" w:rsidRDefault="00C16796" w:rsidP="00283355"/>
    <w:p w:rsidR="00C16796" w:rsidRDefault="00C16796" w:rsidP="00283355">
      <w:r>
        <w:tab/>
      </w:r>
      <w:r>
        <w:tab/>
        <w:t>4.</w:t>
      </w:r>
      <w:r>
        <w:tab/>
        <w:t>That any request for a public input hearing be filed and served on or before November 15, 2010 to be considered.  Such request must be supported by sufficient reason to incur the cost of scheduling and holding a public input hearing.</w:t>
      </w:r>
    </w:p>
    <w:p w:rsidR="00C16796" w:rsidRDefault="00C16796" w:rsidP="00283355"/>
    <w:p w:rsidR="007F2BF9" w:rsidRDefault="00C16796" w:rsidP="00283355">
      <w:r>
        <w:tab/>
      </w:r>
      <w:r>
        <w:tab/>
        <w:t>5.</w:t>
      </w:r>
      <w:r>
        <w:tab/>
      </w:r>
      <w:r w:rsidR="007F2BF9">
        <w:t>That the following litigation schedule is adopted:</w:t>
      </w:r>
    </w:p>
    <w:p w:rsidR="005C2153" w:rsidRDefault="005C2153" w:rsidP="005C2153">
      <w:r>
        <w:tab/>
        <w:t>Company direct testimony</w:t>
      </w:r>
      <w:r>
        <w:tab/>
        <w:t>November 10, 2010</w:t>
      </w:r>
    </w:p>
    <w:p w:rsidR="005C2153" w:rsidRDefault="005C2153" w:rsidP="005C2153">
      <w:r>
        <w:tab/>
        <w:t>Other party direct</w:t>
      </w:r>
      <w:r>
        <w:tab/>
      </w:r>
      <w:r>
        <w:tab/>
        <w:t>December 14, 2010</w:t>
      </w:r>
    </w:p>
    <w:p w:rsidR="005C2153" w:rsidRDefault="005C2153" w:rsidP="005C2153">
      <w:r>
        <w:tab/>
        <w:t>Rebuttal testimony</w:t>
      </w:r>
      <w:r>
        <w:tab/>
      </w:r>
      <w:r>
        <w:tab/>
        <w:t>January 11, 2011</w:t>
      </w:r>
    </w:p>
    <w:p w:rsidR="005C2153" w:rsidRDefault="005C2153" w:rsidP="005C2153">
      <w:r>
        <w:tab/>
        <w:t>Surrebuttal testimony</w:t>
      </w:r>
      <w:r>
        <w:tab/>
      </w:r>
      <w:r>
        <w:tab/>
        <w:t>January 25, 2011</w:t>
      </w:r>
    </w:p>
    <w:p w:rsidR="005C2153" w:rsidRDefault="005C2153" w:rsidP="005C2153">
      <w:r>
        <w:tab/>
        <w:t>Oral rejoinder outlines</w:t>
      </w:r>
      <w:r>
        <w:tab/>
        <w:t>February 1, 2011</w:t>
      </w:r>
    </w:p>
    <w:p w:rsidR="005C2153" w:rsidRDefault="005C2153" w:rsidP="005C2153">
      <w:r>
        <w:tab/>
        <w:t>Hearings</w:t>
      </w:r>
      <w:r>
        <w:tab/>
      </w:r>
      <w:r>
        <w:tab/>
      </w:r>
      <w:r>
        <w:tab/>
        <w:t>February 2 and 3, 2011</w:t>
      </w:r>
    </w:p>
    <w:p w:rsidR="005C2153" w:rsidRDefault="005C2153" w:rsidP="005C2153">
      <w:r>
        <w:tab/>
        <w:t>Main Briefs</w:t>
      </w:r>
      <w:r>
        <w:tab/>
      </w:r>
      <w:r>
        <w:tab/>
      </w:r>
      <w:r>
        <w:tab/>
        <w:t>February 23, 2011</w:t>
      </w:r>
    </w:p>
    <w:p w:rsidR="005C2153" w:rsidRDefault="005C2153" w:rsidP="005C2153">
      <w:r>
        <w:tab/>
        <w:t>Reply briefs</w:t>
      </w:r>
      <w:r>
        <w:tab/>
      </w:r>
      <w:r>
        <w:tab/>
      </w:r>
      <w:r>
        <w:tab/>
        <w:t>March 9, 2011</w:t>
      </w:r>
    </w:p>
    <w:p w:rsidR="007F2BF9" w:rsidRDefault="007F2BF9" w:rsidP="00283355"/>
    <w:p w:rsidR="008B2374" w:rsidRDefault="007F2BF9" w:rsidP="002B31D0">
      <w:r>
        <w:tab/>
      </w:r>
      <w:r w:rsidR="002B31D0">
        <w:tab/>
      </w:r>
      <w:r w:rsidR="002B31D0" w:rsidRPr="002B31D0">
        <w:t>6.</w:t>
      </w:r>
      <w:r w:rsidR="002B31D0" w:rsidRPr="002B31D0">
        <w:tab/>
        <w:t xml:space="preserve">That the Commission’s regulations regarding discovery at 52 Pa. Code </w:t>
      </w:r>
    </w:p>
    <w:p w:rsidR="002B31D0" w:rsidRPr="002B31D0" w:rsidRDefault="002B31D0" w:rsidP="002B31D0">
      <w:r w:rsidRPr="002B31D0">
        <w:t xml:space="preserve">§ 5.342(d) are modified for the purposes of this proceeding to provide that objections to discovery are in lieu of answers, and not in addition to answers.  </w:t>
      </w:r>
    </w:p>
    <w:p w:rsidR="002B31D0" w:rsidRDefault="002B31D0" w:rsidP="002B31D0"/>
    <w:p w:rsidR="008B2374" w:rsidRDefault="002B31D0" w:rsidP="002B31D0">
      <w:r>
        <w:tab/>
      </w:r>
      <w:r>
        <w:tab/>
      </w:r>
      <w:r w:rsidRPr="002B31D0">
        <w:t>7.</w:t>
      </w:r>
      <w:r w:rsidRPr="002B31D0">
        <w:tab/>
        <w:t xml:space="preserve">That due dates are in-hand, service of discovery requests, testimony, exhibits and briefs may be by electronic means on the due date if transmission occurs before </w:t>
      </w:r>
    </w:p>
    <w:p w:rsidR="002B31D0" w:rsidRPr="002B31D0" w:rsidRDefault="002B31D0" w:rsidP="002B31D0">
      <w:r w:rsidRPr="002B31D0">
        <w:t xml:space="preserve">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2B31D0" w:rsidRDefault="002B31D0" w:rsidP="002B31D0"/>
    <w:p w:rsidR="002B31D0" w:rsidRPr="002B31D0" w:rsidRDefault="002B31D0" w:rsidP="002B31D0">
      <w:r>
        <w:tab/>
      </w:r>
      <w:r>
        <w:tab/>
      </w:r>
      <w:r w:rsidRPr="002B31D0">
        <w:t>8.</w:t>
      </w:r>
      <w:r w:rsidRPr="002B31D0">
        <w:tab/>
        <w:t>That discovery disputes may be resolved via telephone conference with the presiding officer without need of a motion to compel, although the propounding party may choose to file a formal motion to compel.</w:t>
      </w:r>
    </w:p>
    <w:p w:rsidR="002B31D0" w:rsidRDefault="002B31D0" w:rsidP="002B31D0"/>
    <w:p w:rsidR="002B31D0" w:rsidRPr="00D133F8" w:rsidRDefault="002B31D0" w:rsidP="002B31D0">
      <w:pPr>
        <w:rPr>
          <w:b/>
        </w:rPr>
      </w:pPr>
      <w:r>
        <w:tab/>
      </w:r>
      <w:r>
        <w:tab/>
        <w:t>9.</w:t>
      </w:r>
      <w:r>
        <w:tab/>
      </w:r>
      <w:r w:rsidRPr="002B31D0">
        <w:t>Testimony shall be served but not filed.</w:t>
      </w:r>
      <w:r w:rsidRPr="00D133F8">
        <w:rPr>
          <w:b/>
        </w:rPr>
        <w:t xml:space="preserve">  </w:t>
      </w:r>
    </w:p>
    <w:p w:rsidR="002B31D0" w:rsidRPr="00D133F8" w:rsidRDefault="002B31D0" w:rsidP="002B31D0">
      <w:pPr>
        <w:ind w:left="720"/>
        <w:rPr>
          <w:b/>
        </w:rPr>
      </w:pPr>
    </w:p>
    <w:p w:rsidR="002B31D0" w:rsidRPr="00D133F8" w:rsidRDefault="002B31D0" w:rsidP="002B31D0">
      <w:pPr>
        <w:rPr>
          <w:b/>
        </w:rPr>
      </w:pPr>
      <w:r>
        <w:tab/>
      </w:r>
      <w:r>
        <w:tab/>
      </w:r>
      <w:r w:rsidRPr="002B31D0">
        <w:t>10.</w:t>
      </w:r>
      <w:r w:rsidRPr="002B31D0">
        <w:tab/>
        <w:t xml:space="preserve">One week prior to the start of the evidentiary hearings, the Company shall provide a completed daily witness listing and cross-examination grid to the presiding officer.  </w:t>
      </w:r>
      <w:r w:rsidRPr="002B31D0">
        <w:lastRenderedPageBreak/>
        <w:t>Parties shall complete the daily witnes</w:t>
      </w:r>
      <w:r w:rsidR="008B2374">
        <w:t xml:space="preserve">s listing and cross-examination </w:t>
      </w:r>
      <w:r w:rsidRPr="002B31D0">
        <w:t>grid as developed by the Company</w:t>
      </w:r>
      <w:r w:rsidRPr="00D133F8">
        <w:rPr>
          <w:b/>
        </w:rPr>
        <w:t xml:space="preserve">.  </w:t>
      </w:r>
    </w:p>
    <w:p w:rsidR="002B31D0" w:rsidRPr="00D133F8" w:rsidRDefault="002B31D0" w:rsidP="002B31D0">
      <w:pPr>
        <w:ind w:left="720"/>
        <w:rPr>
          <w:b/>
        </w:rPr>
      </w:pPr>
    </w:p>
    <w:p w:rsidR="002B31D0" w:rsidRDefault="002B31D0" w:rsidP="002B31D0">
      <w:r w:rsidRPr="00D133F8">
        <w:rPr>
          <w:b/>
        </w:rPr>
        <w:tab/>
      </w:r>
      <w:r w:rsidRPr="00D133F8">
        <w:rPr>
          <w:b/>
        </w:rPr>
        <w:tab/>
      </w:r>
      <w:r w:rsidRPr="002B31D0">
        <w:t>11.</w:t>
      </w:r>
      <w:r w:rsidRPr="002B31D0">
        <w:tab/>
        <w:t>All parties are directed to comply with the provisions of 52 Pa. Code</w:t>
      </w:r>
    </w:p>
    <w:p w:rsidR="002B31D0" w:rsidRPr="002B31D0" w:rsidRDefault="002B31D0" w:rsidP="002B31D0">
      <w:r w:rsidRPr="002B31D0">
        <w:t>§ 5.243(e) which prohibits the introduction of evidence during rebuttal or surrebuttal which should have been included in the case-in-chief or which substantially varies from the case-in-chief, unless the evidence is introduced in support of a proposed settlement.</w:t>
      </w:r>
    </w:p>
    <w:p w:rsidR="002B31D0" w:rsidRPr="00D133F8" w:rsidRDefault="002B31D0" w:rsidP="002B31D0">
      <w:pPr>
        <w:ind w:left="720"/>
        <w:rPr>
          <w:b/>
        </w:rPr>
      </w:pPr>
    </w:p>
    <w:p w:rsidR="002B31D0" w:rsidRDefault="002B31D0" w:rsidP="002B31D0">
      <w:r>
        <w:tab/>
      </w:r>
      <w:r>
        <w:tab/>
        <w:t>12.</w:t>
      </w:r>
      <w:r>
        <w:tab/>
        <w:t xml:space="preserve">Briefs must comply with 52 Pa. Code §§ 5.501 and 5.502.  </w:t>
      </w:r>
    </w:p>
    <w:p w:rsidR="002B31D0" w:rsidRDefault="002B31D0" w:rsidP="002B31D0">
      <w:pPr>
        <w:ind w:left="720"/>
      </w:pPr>
    </w:p>
    <w:p w:rsidR="000B62AC" w:rsidRDefault="002B31D0" w:rsidP="000B62AC">
      <w:pPr>
        <w:ind w:left="720"/>
      </w:pPr>
      <w:r>
        <w:tab/>
      </w:r>
    </w:p>
    <w:p w:rsidR="000B62AC" w:rsidRDefault="000B62AC" w:rsidP="000B62AC">
      <w:pPr>
        <w:ind w:left="720"/>
      </w:pPr>
    </w:p>
    <w:p w:rsidR="009B7FF1" w:rsidRDefault="00FB7F4A" w:rsidP="000B62AC">
      <w:pPr>
        <w:spacing w:line="240" w:lineRule="auto"/>
      </w:pPr>
      <w:r>
        <w:t xml:space="preserve"> </w:t>
      </w:r>
      <w:r w:rsidR="000B62AC">
        <w:t>Dated:</w:t>
      </w:r>
      <w:r w:rsidR="008B2374">
        <w:t xml:space="preserve"> </w:t>
      </w:r>
      <w:r w:rsidR="000B62AC">
        <w:rPr>
          <w:u w:val="single"/>
        </w:rPr>
        <w:t>October 29, 2010</w:t>
      </w:r>
      <w:r w:rsidR="000B62AC">
        <w:tab/>
      </w:r>
      <w:r w:rsidR="000B62AC">
        <w:tab/>
      </w:r>
      <w:r w:rsidR="000B62AC">
        <w:tab/>
      </w:r>
      <w:r w:rsidR="000B62AC">
        <w:tab/>
        <w:t>_________________________________</w:t>
      </w:r>
    </w:p>
    <w:p w:rsidR="000B62AC" w:rsidRDefault="000B62AC" w:rsidP="000B62AC">
      <w:pPr>
        <w:spacing w:line="240" w:lineRule="auto"/>
      </w:pPr>
      <w:r>
        <w:tab/>
      </w:r>
      <w:r>
        <w:tab/>
      </w:r>
      <w:r>
        <w:tab/>
      </w:r>
      <w:r>
        <w:tab/>
      </w:r>
      <w:r>
        <w:tab/>
      </w:r>
      <w:r>
        <w:tab/>
      </w:r>
      <w:r>
        <w:tab/>
        <w:t>Susan D. Colwell</w:t>
      </w:r>
    </w:p>
    <w:p w:rsidR="002F682F" w:rsidRDefault="000B62AC" w:rsidP="000B62AC">
      <w:pPr>
        <w:spacing w:line="240" w:lineRule="auto"/>
        <w:sectPr w:rsidR="002F682F" w:rsidSect="000B62AC">
          <w:footerReference w:type="default" r:id="rId1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2F682F" w:rsidRDefault="002F682F" w:rsidP="002F682F">
      <w:pPr>
        <w:spacing w:line="240" w:lineRule="auto"/>
        <w:rPr>
          <w:rFonts w:ascii="Microsoft Sans Serif" w:hAnsi="Microsoft Sans Serif" w:cs="Microsoft Sans Serif"/>
          <w:b/>
          <w:caps/>
          <w:noProof/>
          <w:szCs w:val="24"/>
          <w:u w:val="single"/>
        </w:rPr>
        <w:sectPr w:rsidR="002F682F" w:rsidSect="00D67F00">
          <w:pgSz w:w="12240" w:h="15840" w:code="1"/>
          <w:pgMar w:top="1440" w:right="720" w:bottom="1440" w:left="720" w:header="720" w:footer="720" w:gutter="0"/>
          <w:pgNumType w:start="1"/>
          <w:cols w:space="720"/>
          <w:noEndnote/>
          <w:titlePg/>
        </w:sectPr>
      </w:pPr>
      <w:r w:rsidRPr="00C7533C">
        <w:rPr>
          <w:rFonts w:ascii="Microsoft Sans Serif" w:hAnsi="Microsoft Sans Serif" w:cs="Microsoft Sans Serif"/>
          <w:b/>
          <w:caps/>
          <w:noProof/>
          <w:szCs w:val="24"/>
          <w:u w:val="single"/>
        </w:rPr>
        <w:lastRenderedPageBreak/>
        <w:t>M-2010-2179796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533C">
        <w:rPr>
          <w:rFonts w:ascii="Microsoft Sans Serif" w:hAnsi="Microsoft Sans Serif" w:cs="Microsoft Sans Serif"/>
          <w:b/>
          <w:caps/>
          <w:noProof/>
          <w:szCs w:val="24"/>
          <w:u w:val="single"/>
        </w:rPr>
        <w:t>PPL Electric Utilities Corporation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7533C">
        <w:rPr>
          <w:rFonts w:ascii="Microsoft Sans Serif" w:hAnsi="Microsoft Sans Serif" w:cs="Microsoft Sans Serif"/>
          <w:b/>
          <w:caps/>
          <w:noProof/>
          <w:szCs w:val="24"/>
          <w:u w:val="single"/>
        </w:rPr>
        <w:t>Universal Service and Energy Conservation Plan for 2011 through 2013</w:t>
      </w:r>
    </w:p>
    <w:p w:rsidR="002F682F" w:rsidRDefault="002F682F" w:rsidP="002F682F">
      <w:pPr>
        <w:spacing w:line="240" w:lineRule="auto"/>
        <w:rPr>
          <w:rFonts w:ascii="Microsoft Sans Serif" w:hAnsi="Microsoft Sans Serif" w:cs="Microsoft Sans Serif"/>
          <w:caps/>
          <w:szCs w:val="24"/>
        </w:rPr>
      </w:pPr>
    </w:p>
    <w:p w:rsidR="002F682F" w:rsidRPr="00057980" w:rsidRDefault="002F682F" w:rsidP="002F682F">
      <w:pPr>
        <w:spacing w:line="240" w:lineRule="auto"/>
        <w:rPr>
          <w:rFonts w:ascii="Microsoft Sans Serif" w:hAnsi="Microsoft Sans Serif" w:cs="Microsoft Sans Serif"/>
          <w:caps/>
          <w:szCs w:val="24"/>
        </w:rPr>
      </w:pPr>
    </w:p>
    <w:p w:rsidR="002F682F"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Esquire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PPL</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Two North Ninth Street</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18101-1179</w:t>
      </w:r>
    </w:p>
    <w:p w:rsidR="002F682F" w:rsidRDefault="002F682F" w:rsidP="002F682F">
      <w:pPr>
        <w:spacing w:line="240" w:lineRule="auto"/>
        <w:rPr>
          <w:rFonts w:ascii="Microsoft Sans Serif" w:hAnsi="Microsoft Sans Serif" w:cs="Microsoft Sans Serif"/>
          <w:b/>
          <w:caps/>
          <w:szCs w:val="24"/>
        </w:rPr>
      </w:pPr>
      <w:r w:rsidRPr="00C7533C">
        <w:rPr>
          <w:rFonts w:ascii="Microsoft Sans Serif" w:hAnsi="Microsoft Sans Serif" w:cs="Microsoft Sans Serif"/>
          <w:b/>
          <w:caps/>
          <w:noProof/>
          <w:szCs w:val="24"/>
        </w:rPr>
        <w:t>610.774.4254</w:t>
      </w:r>
    </w:p>
    <w:p w:rsidR="002F682F" w:rsidRPr="00057980" w:rsidRDefault="002F682F" w:rsidP="002F682F">
      <w:pPr>
        <w:spacing w:line="240" w:lineRule="auto"/>
        <w:rPr>
          <w:rFonts w:ascii="Microsoft Sans Serif" w:hAnsi="Microsoft Sans Serif" w:cs="Microsoft Sans Serif"/>
          <w:caps/>
          <w:szCs w:val="24"/>
        </w:rPr>
      </w:pPr>
    </w:p>
    <w:p w:rsidR="002F682F"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Darryl</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Lawrence</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Esquire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Office of Consumer Advocate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5th Floor Forum Place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555 Walnut Street</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17101-1923</w:t>
      </w:r>
    </w:p>
    <w:p w:rsidR="002F682F" w:rsidRPr="00057980" w:rsidRDefault="002F682F" w:rsidP="002F682F">
      <w:pPr>
        <w:spacing w:line="240" w:lineRule="auto"/>
        <w:rPr>
          <w:rFonts w:ascii="Microsoft Sans Serif" w:hAnsi="Microsoft Sans Serif" w:cs="Microsoft Sans Serif"/>
          <w:caps/>
          <w:szCs w:val="24"/>
        </w:rPr>
      </w:pPr>
    </w:p>
    <w:p w:rsidR="002F682F"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William R</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Lloyd Jr</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Esquire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Office of Small Business Advocate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 xml:space="preserve">1102 </w:t>
      </w:r>
      <w:smartTag w:uri="urn:schemas-microsoft-com:office:smarttags" w:element="PostalCode">
        <w:r w:rsidRPr="00C7533C">
          <w:rPr>
            <w:rFonts w:ascii="Microsoft Sans Serif" w:hAnsi="Microsoft Sans Serif" w:cs="Microsoft Sans Serif"/>
            <w:caps/>
            <w:noProof/>
            <w:szCs w:val="24"/>
          </w:rPr>
          <w:t>Commerce</w:t>
        </w:r>
      </w:smartTag>
      <w:r w:rsidRPr="00C7533C">
        <w:rPr>
          <w:rFonts w:ascii="Microsoft Sans Serif" w:hAnsi="Microsoft Sans Serif" w:cs="Microsoft Sans Serif"/>
          <w:caps/>
          <w:noProof/>
          <w:szCs w:val="24"/>
        </w:rPr>
        <w:t xml:space="preserve"> Building</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300 North Second Street</w:t>
      </w:r>
    </w:p>
    <w:p w:rsidR="002F682F" w:rsidRDefault="002F682F" w:rsidP="002F682F">
      <w:pPr>
        <w:spacing w:line="240" w:lineRule="auto"/>
        <w:rPr>
          <w:rFonts w:ascii="Microsoft Sans Serif" w:hAnsi="Microsoft Sans Serif" w:cs="Microsoft Sans Serif"/>
          <w:caps/>
          <w:noProof/>
          <w:szCs w:val="24"/>
        </w:rPr>
      </w:pPr>
      <w:r w:rsidRPr="00C7533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17101</w:t>
      </w:r>
    </w:p>
    <w:p w:rsidR="002F682F" w:rsidRPr="00057980" w:rsidRDefault="002F682F" w:rsidP="002F682F">
      <w:pPr>
        <w:spacing w:line="240" w:lineRule="auto"/>
        <w:rPr>
          <w:rFonts w:ascii="Microsoft Sans Serif" w:hAnsi="Microsoft Sans Serif" w:cs="Microsoft Sans Serif"/>
          <w:caps/>
          <w:szCs w:val="24"/>
        </w:rPr>
      </w:pPr>
    </w:p>
    <w:p w:rsidR="002F682F"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Richard 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Kanaskie</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Esquire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PA PUC Office of Trial Staff</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PO Box 3265</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17105-3265</w:t>
      </w:r>
    </w:p>
    <w:p w:rsidR="002F682F" w:rsidRPr="00057980" w:rsidRDefault="002F682F" w:rsidP="002F682F">
      <w:pPr>
        <w:spacing w:line="240" w:lineRule="auto"/>
        <w:rPr>
          <w:rFonts w:ascii="Microsoft Sans Serif" w:hAnsi="Microsoft Sans Serif" w:cs="Microsoft Sans Serif"/>
          <w:caps/>
          <w:szCs w:val="24"/>
        </w:rPr>
      </w:pPr>
    </w:p>
    <w:p w:rsidR="002F682F"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Craig R</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Burgraff</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Esquire</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Hawke McKeon &amp; Sniscak LLP</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100 North Tenth Street</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PO Box 1778</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17105</w:t>
      </w:r>
    </w:p>
    <w:p w:rsidR="002F682F" w:rsidRDefault="002F682F" w:rsidP="002F682F">
      <w:pPr>
        <w:spacing w:line="240" w:lineRule="auto"/>
        <w:rPr>
          <w:rFonts w:ascii="Microsoft Sans Serif" w:hAnsi="Microsoft Sans Serif" w:cs="Microsoft Sans Serif"/>
          <w:b/>
          <w:caps/>
          <w:szCs w:val="24"/>
        </w:rPr>
      </w:pPr>
      <w:r w:rsidRPr="00C7533C">
        <w:rPr>
          <w:rFonts w:ascii="Microsoft Sans Serif" w:hAnsi="Microsoft Sans Serif" w:cs="Microsoft Sans Serif"/>
          <w:b/>
          <w:caps/>
          <w:noProof/>
          <w:szCs w:val="24"/>
        </w:rPr>
        <w:t>717.236.1300</w:t>
      </w:r>
    </w:p>
    <w:p w:rsidR="002F682F" w:rsidRDefault="002F682F" w:rsidP="002F682F">
      <w:pPr>
        <w:spacing w:line="240" w:lineRule="auto"/>
        <w:rPr>
          <w:rFonts w:ascii="Microsoft Sans Serif" w:hAnsi="Microsoft Sans Serif" w:cs="Microsoft Sans Serif"/>
          <w:caps/>
          <w:szCs w:val="24"/>
        </w:rPr>
      </w:pPr>
    </w:p>
    <w:p w:rsidR="002F682F"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Eric Joseph</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Epstein</w:t>
      </w:r>
      <w:r w:rsidRPr="00057980">
        <w:rPr>
          <w:rFonts w:ascii="Microsoft Sans Serif" w:hAnsi="Microsoft Sans Serif" w:cs="Microsoft Sans Serif"/>
          <w:caps/>
          <w:szCs w:val="24"/>
        </w:rPr>
        <w:t xml:space="preserve"> </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4100 Hillsdale Road</w:t>
      </w:r>
    </w:p>
    <w:p w:rsidR="002F682F" w:rsidRPr="00057980" w:rsidRDefault="002F682F" w:rsidP="002F682F">
      <w:pPr>
        <w:spacing w:line="240" w:lineRule="auto"/>
        <w:rPr>
          <w:rFonts w:ascii="Microsoft Sans Serif" w:hAnsi="Microsoft Sans Serif" w:cs="Microsoft Sans Serif"/>
          <w:caps/>
          <w:szCs w:val="24"/>
        </w:rPr>
      </w:pPr>
      <w:r w:rsidRPr="00C7533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7533C">
        <w:rPr>
          <w:rFonts w:ascii="Microsoft Sans Serif" w:hAnsi="Microsoft Sans Serif" w:cs="Microsoft Sans Serif"/>
          <w:caps/>
          <w:noProof/>
          <w:szCs w:val="24"/>
        </w:rPr>
        <w:t>17112</w:t>
      </w:r>
    </w:p>
    <w:p w:rsidR="000B62AC" w:rsidRPr="000B62AC" w:rsidRDefault="002F682F" w:rsidP="000B62AC">
      <w:pPr>
        <w:spacing w:line="240" w:lineRule="auto"/>
      </w:pPr>
      <w:r w:rsidRPr="00C7533C">
        <w:rPr>
          <w:rFonts w:ascii="Microsoft Sans Serif" w:hAnsi="Microsoft Sans Serif" w:cs="Microsoft Sans Serif"/>
          <w:b/>
          <w:caps/>
          <w:noProof/>
          <w:szCs w:val="24"/>
        </w:rPr>
        <w:t>717.541.1101</w:t>
      </w:r>
    </w:p>
    <w:sectPr w:rsidR="000B62AC" w:rsidRPr="000B62AC" w:rsidSect="002F682F">
      <w:type w:val="continuous"/>
      <w:pgSz w:w="12240" w:h="15840" w:code="1"/>
      <w:pgMar w:top="1440" w:right="720" w:bottom="1440" w:left="72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EE6" w:rsidRDefault="001C1EE6" w:rsidP="000B62AC">
      <w:pPr>
        <w:spacing w:line="240" w:lineRule="auto"/>
      </w:pPr>
      <w:r>
        <w:separator/>
      </w:r>
    </w:p>
  </w:endnote>
  <w:endnote w:type="continuationSeparator" w:id="0">
    <w:p w:rsidR="001C1EE6" w:rsidRDefault="001C1EE6" w:rsidP="000B62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22594"/>
      <w:docPartObj>
        <w:docPartGallery w:val="Page Numbers (Bottom of Page)"/>
        <w:docPartUnique/>
      </w:docPartObj>
    </w:sdtPr>
    <w:sdtContent>
      <w:p w:rsidR="000B62AC" w:rsidRDefault="0013599E">
        <w:pPr>
          <w:pStyle w:val="Footer"/>
          <w:jc w:val="center"/>
        </w:pPr>
        <w:fldSimple w:instr=" PAGE   \* MERGEFORMAT ">
          <w:r w:rsidR="002F682F">
            <w:rPr>
              <w:noProof/>
            </w:rPr>
            <w:t>2</w:t>
          </w:r>
        </w:fldSimple>
      </w:p>
    </w:sdtContent>
  </w:sdt>
  <w:p w:rsidR="000B62AC" w:rsidRDefault="000B6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EE6" w:rsidRDefault="001C1EE6" w:rsidP="000B62AC">
      <w:pPr>
        <w:spacing w:line="240" w:lineRule="auto"/>
      </w:pPr>
      <w:r>
        <w:separator/>
      </w:r>
    </w:p>
  </w:footnote>
  <w:footnote w:type="continuationSeparator" w:id="0">
    <w:p w:rsidR="001C1EE6" w:rsidRDefault="001C1EE6" w:rsidP="000B62A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3355"/>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541C0"/>
    <w:rsid w:val="0005423F"/>
    <w:rsid w:val="00055078"/>
    <w:rsid w:val="00055CC5"/>
    <w:rsid w:val="000576ED"/>
    <w:rsid w:val="000605B6"/>
    <w:rsid w:val="00061278"/>
    <w:rsid w:val="000617C6"/>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5DEA"/>
    <w:rsid w:val="000A652E"/>
    <w:rsid w:val="000A770B"/>
    <w:rsid w:val="000B2D0C"/>
    <w:rsid w:val="000B339A"/>
    <w:rsid w:val="000B62AC"/>
    <w:rsid w:val="000B7111"/>
    <w:rsid w:val="000C2696"/>
    <w:rsid w:val="000C2A2B"/>
    <w:rsid w:val="000C34F3"/>
    <w:rsid w:val="000C4163"/>
    <w:rsid w:val="000C6B6E"/>
    <w:rsid w:val="000C6EF0"/>
    <w:rsid w:val="000D29BA"/>
    <w:rsid w:val="000D3E49"/>
    <w:rsid w:val="000E2F36"/>
    <w:rsid w:val="000E49E6"/>
    <w:rsid w:val="000E7EF5"/>
    <w:rsid w:val="000F1890"/>
    <w:rsid w:val="000F2E5F"/>
    <w:rsid w:val="000F47F1"/>
    <w:rsid w:val="000F678B"/>
    <w:rsid w:val="000F78BE"/>
    <w:rsid w:val="0010080E"/>
    <w:rsid w:val="001021FB"/>
    <w:rsid w:val="00102A77"/>
    <w:rsid w:val="0010420D"/>
    <w:rsid w:val="00106EE8"/>
    <w:rsid w:val="001077F1"/>
    <w:rsid w:val="00115BB6"/>
    <w:rsid w:val="00116578"/>
    <w:rsid w:val="0012035F"/>
    <w:rsid w:val="00120D02"/>
    <w:rsid w:val="00120DE8"/>
    <w:rsid w:val="00121291"/>
    <w:rsid w:val="001219A5"/>
    <w:rsid w:val="0012343C"/>
    <w:rsid w:val="00124101"/>
    <w:rsid w:val="00124D49"/>
    <w:rsid w:val="00126739"/>
    <w:rsid w:val="0013068D"/>
    <w:rsid w:val="00135526"/>
    <w:rsid w:val="0013599E"/>
    <w:rsid w:val="00140273"/>
    <w:rsid w:val="0014105E"/>
    <w:rsid w:val="00143142"/>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A31"/>
    <w:rsid w:val="001A3D48"/>
    <w:rsid w:val="001A5421"/>
    <w:rsid w:val="001A7F95"/>
    <w:rsid w:val="001B06B8"/>
    <w:rsid w:val="001B1B1D"/>
    <w:rsid w:val="001B3572"/>
    <w:rsid w:val="001B3D6F"/>
    <w:rsid w:val="001B4B2B"/>
    <w:rsid w:val="001B6470"/>
    <w:rsid w:val="001B7876"/>
    <w:rsid w:val="001C1EE6"/>
    <w:rsid w:val="001D05DB"/>
    <w:rsid w:val="001D0876"/>
    <w:rsid w:val="001D1F1B"/>
    <w:rsid w:val="001D4223"/>
    <w:rsid w:val="001E2642"/>
    <w:rsid w:val="001E3C9A"/>
    <w:rsid w:val="001E5447"/>
    <w:rsid w:val="001E5DF5"/>
    <w:rsid w:val="001E604F"/>
    <w:rsid w:val="001E79A7"/>
    <w:rsid w:val="001F0835"/>
    <w:rsid w:val="001F1049"/>
    <w:rsid w:val="001F4882"/>
    <w:rsid w:val="001F6E43"/>
    <w:rsid w:val="001F6F77"/>
    <w:rsid w:val="001F74FC"/>
    <w:rsid w:val="002004A8"/>
    <w:rsid w:val="002019B1"/>
    <w:rsid w:val="00201E65"/>
    <w:rsid w:val="002077EA"/>
    <w:rsid w:val="0021162B"/>
    <w:rsid w:val="002125E4"/>
    <w:rsid w:val="00215381"/>
    <w:rsid w:val="00216C32"/>
    <w:rsid w:val="00216F76"/>
    <w:rsid w:val="0021750E"/>
    <w:rsid w:val="00220D97"/>
    <w:rsid w:val="00221A88"/>
    <w:rsid w:val="002241D0"/>
    <w:rsid w:val="00224756"/>
    <w:rsid w:val="00227A4A"/>
    <w:rsid w:val="00230CC6"/>
    <w:rsid w:val="002337D7"/>
    <w:rsid w:val="00234DEB"/>
    <w:rsid w:val="0023584A"/>
    <w:rsid w:val="00236C44"/>
    <w:rsid w:val="002422D0"/>
    <w:rsid w:val="002451F7"/>
    <w:rsid w:val="002455CC"/>
    <w:rsid w:val="00246523"/>
    <w:rsid w:val="0024777B"/>
    <w:rsid w:val="00247CE0"/>
    <w:rsid w:val="00251E5A"/>
    <w:rsid w:val="00252DB6"/>
    <w:rsid w:val="00252F2A"/>
    <w:rsid w:val="0025351B"/>
    <w:rsid w:val="002546D8"/>
    <w:rsid w:val="002558A3"/>
    <w:rsid w:val="00256505"/>
    <w:rsid w:val="00260459"/>
    <w:rsid w:val="00260814"/>
    <w:rsid w:val="00263AD5"/>
    <w:rsid w:val="0026705F"/>
    <w:rsid w:val="002704DD"/>
    <w:rsid w:val="0027210A"/>
    <w:rsid w:val="002748C2"/>
    <w:rsid w:val="002752C3"/>
    <w:rsid w:val="00277591"/>
    <w:rsid w:val="00283355"/>
    <w:rsid w:val="00284760"/>
    <w:rsid w:val="00287CB1"/>
    <w:rsid w:val="0029096F"/>
    <w:rsid w:val="00290AD2"/>
    <w:rsid w:val="0029353E"/>
    <w:rsid w:val="00297286"/>
    <w:rsid w:val="002A05C6"/>
    <w:rsid w:val="002A5F4D"/>
    <w:rsid w:val="002A70E9"/>
    <w:rsid w:val="002A7A0A"/>
    <w:rsid w:val="002B31D0"/>
    <w:rsid w:val="002B541A"/>
    <w:rsid w:val="002B754D"/>
    <w:rsid w:val="002C1023"/>
    <w:rsid w:val="002C4F02"/>
    <w:rsid w:val="002C69AD"/>
    <w:rsid w:val="002D0E4D"/>
    <w:rsid w:val="002D7978"/>
    <w:rsid w:val="002E7DDB"/>
    <w:rsid w:val="002F21B6"/>
    <w:rsid w:val="002F222D"/>
    <w:rsid w:val="002F42FC"/>
    <w:rsid w:val="002F5C03"/>
    <w:rsid w:val="002F682F"/>
    <w:rsid w:val="002F6F4F"/>
    <w:rsid w:val="002F75DA"/>
    <w:rsid w:val="00304AA1"/>
    <w:rsid w:val="00306C33"/>
    <w:rsid w:val="00312F06"/>
    <w:rsid w:val="0031425A"/>
    <w:rsid w:val="00314713"/>
    <w:rsid w:val="003149F5"/>
    <w:rsid w:val="003151E4"/>
    <w:rsid w:val="003156D7"/>
    <w:rsid w:val="00317261"/>
    <w:rsid w:val="00321DB1"/>
    <w:rsid w:val="00326F3E"/>
    <w:rsid w:val="00330A67"/>
    <w:rsid w:val="00332A51"/>
    <w:rsid w:val="00333ADD"/>
    <w:rsid w:val="00334F62"/>
    <w:rsid w:val="003364EB"/>
    <w:rsid w:val="00336CE8"/>
    <w:rsid w:val="00336DD4"/>
    <w:rsid w:val="003425CF"/>
    <w:rsid w:val="0034272B"/>
    <w:rsid w:val="00342BFE"/>
    <w:rsid w:val="00344C34"/>
    <w:rsid w:val="003454EF"/>
    <w:rsid w:val="003470E8"/>
    <w:rsid w:val="00354574"/>
    <w:rsid w:val="003550C3"/>
    <w:rsid w:val="00356988"/>
    <w:rsid w:val="00360F5F"/>
    <w:rsid w:val="0036124A"/>
    <w:rsid w:val="003643C9"/>
    <w:rsid w:val="003657F1"/>
    <w:rsid w:val="00365A2F"/>
    <w:rsid w:val="0036754C"/>
    <w:rsid w:val="00375889"/>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2B14"/>
    <w:rsid w:val="003F01A7"/>
    <w:rsid w:val="003F2E62"/>
    <w:rsid w:val="004047B1"/>
    <w:rsid w:val="0040584C"/>
    <w:rsid w:val="00406807"/>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3AE5"/>
    <w:rsid w:val="0043485A"/>
    <w:rsid w:val="00440521"/>
    <w:rsid w:val="004407EE"/>
    <w:rsid w:val="00441078"/>
    <w:rsid w:val="00442254"/>
    <w:rsid w:val="00443307"/>
    <w:rsid w:val="00444E41"/>
    <w:rsid w:val="00446B02"/>
    <w:rsid w:val="00447A63"/>
    <w:rsid w:val="004521D4"/>
    <w:rsid w:val="0045300F"/>
    <w:rsid w:val="004534CE"/>
    <w:rsid w:val="00454158"/>
    <w:rsid w:val="00454723"/>
    <w:rsid w:val="00460140"/>
    <w:rsid w:val="0046238B"/>
    <w:rsid w:val="00465D71"/>
    <w:rsid w:val="00477A71"/>
    <w:rsid w:val="004839FC"/>
    <w:rsid w:val="00484BCE"/>
    <w:rsid w:val="00487E8F"/>
    <w:rsid w:val="00491F39"/>
    <w:rsid w:val="0049475D"/>
    <w:rsid w:val="0049575D"/>
    <w:rsid w:val="00496DB8"/>
    <w:rsid w:val="004A5318"/>
    <w:rsid w:val="004A741E"/>
    <w:rsid w:val="004B0321"/>
    <w:rsid w:val="004B1ADE"/>
    <w:rsid w:val="004B570B"/>
    <w:rsid w:val="004B652A"/>
    <w:rsid w:val="004B7DB2"/>
    <w:rsid w:val="004C30D2"/>
    <w:rsid w:val="004C3883"/>
    <w:rsid w:val="004C3AE2"/>
    <w:rsid w:val="004C4C1E"/>
    <w:rsid w:val="004C73E4"/>
    <w:rsid w:val="004D0BE0"/>
    <w:rsid w:val="004D14F0"/>
    <w:rsid w:val="004D4A68"/>
    <w:rsid w:val="004E429F"/>
    <w:rsid w:val="004E621E"/>
    <w:rsid w:val="004F160A"/>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2EC"/>
    <w:rsid w:val="00547C82"/>
    <w:rsid w:val="00552915"/>
    <w:rsid w:val="005534BD"/>
    <w:rsid w:val="005623DE"/>
    <w:rsid w:val="00564A3A"/>
    <w:rsid w:val="005674EF"/>
    <w:rsid w:val="00570C2E"/>
    <w:rsid w:val="00571577"/>
    <w:rsid w:val="0057213D"/>
    <w:rsid w:val="005732E9"/>
    <w:rsid w:val="00575D4F"/>
    <w:rsid w:val="00575F27"/>
    <w:rsid w:val="0058036C"/>
    <w:rsid w:val="0058073B"/>
    <w:rsid w:val="00580815"/>
    <w:rsid w:val="00582289"/>
    <w:rsid w:val="00585BD9"/>
    <w:rsid w:val="00593FF1"/>
    <w:rsid w:val="0059623B"/>
    <w:rsid w:val="005A1839"/>
    <w:rsid w:val="005A2923"/>
    <w:rsid w:val="005A3759"/>
    <w:rsid w:val="005B3D45"/>
    <w:rsid w:val="005B78C4"/>
    <w:rsid w:val="005C2153"/>
    <w:rsid w:val="005C373B"/>
    <w:rsid w:val="005C3DD2"/>
    <w:rsid w:val="005C4AAA"/>
    <w:rsid w:val="005D1442"/>
    <w:rsid w:val="005E06D4"/>
    <w:rsid w:val="005F064D"/>
    <w:rsid w:val="005F512E"/>
    <w:rsid w:val="005F5A21"/>
    <w:rsid w:val="00600458"/>
    <w:rsid w:val="0060369E"/>
    <w:rsid w:val="00603824"/>
    <w:rsid w:val="00605D75"/>
    <w:rsid w:val="006073B5"/>
    <w:rsid w:val="006113D8"/>
    <w:rsid w:val="00616232"/>
    <w:rsid w:val="00620850"/>
    <w:rsid w:val="006225AC"/>
    <w:rsid w:val="006230A9"/>
    <w:rsid w:val="00624D32"/>
    <w:rsid w:val="006273ED"/>
    <w:rsid w:val="0063516D"/>
    <w:rsid w:val="00635AE1"/>
    <w:rsid w:val="0064349A"/>
    <w:rsid w:val="006466B3"/>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977"/>
    <w:rsid w:val="006B1A6D"/>
    <w:rsid w:val="006B2B00"/>
    <w:rsid w:val="006B2FA8"/>
    <w:rsid w:val="006B3E08"/>
    <w:rsid w:val="006B529B"/>
    <w:rsid w:val="006C3BAF"/>
    <w:rsid w:val="006C4536"/>
    <w:rsid w:val="006C51E2"/>
    <w:rsid w:val="006C5247"/>
    <w:rsid w:val="006C62F8"/>
    <w:rsid w:val="006C71BB"/>
    <w:rsid w:val="006D071F"/>
    <w:rsid w:val="006D1276"/>
    <w:rsid w:val="006D13C4"/>
    <w:rsid w:val="006D2C14"/>
    <w:rsid w:val="006D3945"/>
    <w:rsid w:val="006D4C15"/>
    <w:rsid w:val="006D7692"/>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3444"/>
    <w:rsid w:val="00716D0A"/>
    <w:rsid w:val="00717AF6"/>
    <w:rsid w:val="00721ECF"/>
    <w:rsid w:val="00722D13"/>
    <w:rsid w:val="007230FE"/>
    <w:rsid w:val="00725BEA"/>
    <w:rsid w:val="00726409"/>
    <w:rsid w:val="007306D1"/>
    <w:rsid w:val="007344C3"/>
    <w:rsid w:val="00736C31"/>
    <w:rsid w:val="00737B40"/>
    <w:rsid w:val="00742CE1"/>
    <w:rsid w:val="0074372C"/>
    <w:rsid w:val="00744C7C"/>
    <w:rsid w:val="00746657"/>
    <w:rsid w:val="00747C4D"/>
    <w:rsid w:val="0075585E"/>
    <w:rsid w:val="00772458"/>
    <w:rsid w:val="00775812"/>
    <w:rsid w:val="00781AFB"/>
    <w:rsid w:val="00782461"/>
    <w:rsid w:val="0078470A"/>
    <w:rsid w:val="0078583D"/>
    <w:rsid w:val="00785939"/>
    <w:rsid w:val="00787AF1"/>
    <w:rsid w:val="0079132B"/>
    <w:rsid w:val="0079360E"/>
    <w:rsid w:val="007969E6"/>
    <w:rsid w:val="00796DA1"/>
    <w:rsid w:val="007A2C57"/>
    <w:rsid w:val="007A3440"/>
    <w:rsid w:val="007A34B3"/>
    <w:rsid w:val="007B1039"/>
    <w:rsid w:val="007B1644"/>
    <w:rsid w:val="007B413B"/>
    <w:rsid w:val="007B5461"/>
    <w:rsid w:val="007C60E2"/>
    <w:rsid w:val="007D5B1C"/>
    <w:rsid w:val="007E0ADA"/>
    <w:rsid w:val="007E15CF"/>
    <w:rsid w:val="007E5866"/>
    <w:rsid w:val="007F07AF"/>
    <w:rsid w:val="007F2A44"/>
    <w:rsid w:val="007F2BF9"/>
    <w:rsid w:val="007F6E2B"/>
    <w:rsid w:val="007F773D"/>
    <w:rsid w:val="00802118"/>
    <w:rsid w:val="00804065"/>
    <w:rsid w:val="008047DD"/>
    <w:rsid w:val="00806213"/>
    <w:rsid w:val="00812B80"/>
    <w:rsid w:val="008213E7"/>
    <w:rsid w:val="00821687"/>
    <w:rsid w:val="0082217D"/>
    <w:rsid w:val="00822A40"/>
    <w:rsid w:val="00830A48"/>
    <w:rsid w:val="00833331"/>
    <w:rsid w:val="00834B96"/>
    <w:rsid w:val="00836B47"/>
    <w:rsid w:val="00840A53"/>
    <w:rsid w:val="008427B3"/>
    <w:rsid w:val="00844F2A"/>
    <w:rsid w:val="0085047D"/>
    <w:rsid w:val="008524EA"/>
    <w:rsid w:val="008530B9"/>
    <w:rsid w:val="00857642"/>
    <w:rsid w:val="00857F8E"/>
    <w:rsid w:val="0086268A"/>
    <w:rsid w:val="00864B15"/>
    <w:rsid w:val="00864D3B"/>
    <w:rsid w:val="00865C18"/>
    <w:rsid w:val="0086621E"/>
    <w:rsid w:val="00882CB8"/>
    <w:rsid w:val="00884650"/>
    <w:rsid w:val="008851B9"/>
    <w:rsid w:val="00885F50"/>
    <w:rsid w:val="00887314"/>
    <w:rsid w:val="00893901"/>
    <w:rsid w:val="0089728F"/>
    <w:rsid w:val="008A0874"/>
    <w:rsid w:val="008A0FF6"/>
    <w:rsid w:val="008A51AD"/>
    <w:rsid w:val="008B2374"/>
    <w:rsid w:val="008B2982"/>
    <w:rsid w:val="008B456E"/>
    <w:rsid w:val="008B51B9"/>
    <w:rsid w:val="008C03AD"/>
    <w:rsid w:val="008C11EE"/>
    <w:rsid w:val="008C1485"/>
    <w:rsid w:val="008C175C"/>
    <w:rsid w:val="008D2DBA"/>
    <w:rsid w:val="008D530C"/>
    <w:rsid w:val="008D56D1"/>
    <w:rsid w:val="008D638B"/>
    <w:rsid w:val="008D7ECE"/>
    <w:rsid w:val="008E44FF"/>
    <w:rsid w:val="008E5F96"/>
    <w:rsid w:val="008E6FB7"/>
    <w:rsid w:val="008E7FE5"/>
    <w:rsid w:val="008F25DF"/>
    <w:rsid w:val="008F29E0"/>
    <w:rsid w:val="008F4FCE"/>
    <w:rsid w:val="008F63E4"/>
    <w:rsid w:val="00900008"/>
    <w:rsid w:val="00902EB1"/>
    <w:rsid w:val="00904C01"/>
    <w:rsid w:val="009050BB"/>
    <w:rsid w:val="00905F7A"/>
    <w:rsid w:val="00906A31"/>
    <w:rsid w:val="00906B1B"/>
    <w:rsid w:val="00910398"/>
    <w:rsid w:val="0091039C"/>
    <w:rsid w:val="00911640"/>
    <w:rsid w:val="0091213F"/>
    <w:rsid w:val="00912783"/>
    <w:rsid w:val="0091451C"/>
    <w:rsid w:val="00915C3E"/>
    <w:rsid w:val="00915D45"/>
    <w:rsid w:val="00923349"/>
    <w:rsid w:val="009252D3"/>
    <w:rsid w:val="00926002"/>
    <w:rsid w:val="00930EBA"/>
    <w:rsid w:val="00935580"/>
    <w:rsid w:val="009366E0"/>
    <w:rsid w:val="00940622"/>
    <w:rsid w:val="009412D9"/>
    <w:rsid w:val="00944730"/>
    <w:rsid w:val="009471B5"/>
    <w:rsid w:val="00951A6C"/>
    <w:rsid w:val="00952928"/>
    <w:rsid w:val="009531DA"/>
    <w:rsid w:val="00953CFD"/>
    <w:rsid w:val="009669E3"/>
    <w:rsid w:val="009671DB"/>
    <w:rsid w:val="00972738"/>
    <w:rsid w:val="00976E81"/>
    <w:rsid w:val="009808B0"/>
    <w:rsid w:val="00980958"/>
    <w:rsid w:val="00983EDB"/>
    <w:rsid w:val="00987014"/>
    <w:rsid w:val="009871AC"/>
    <w:rsid w:val="00997443"/>
    <w:rsid w:val="009A2DE2"/>
    <w:rsid w:val="009A3B62"/>
    <w:rsid w:val="009A5C47"/>
    <w:rsid w:val="009A68E7"/>
    <w:rsid w:val="009A6BC5"/>
    <w:rsid w:val="009B4A92"/>
    <w:rsid w:val="009B66C0"/>
    <w:rsid w:val="009B72A1"/>
    <w:rsid w:val="009B74A5"/>
    <w:rsid w:val="009B7FF1"/>
    <w:rsid w:val="009C24F9"/>
    <w:rsid w:val="009D3AAC"/>
    <w:rsid w:val="009D5B63"/>
    <w:rsid w:val="009E1679"/>
    <w:rsid w:val="009E2348"/>
    <w:rsid w:val="009E239E"/>
    <w:rsid w:val="009E271D"/>
    <w:rsid w:val="009E362F"/>
    <w:rsid w:val="009E59CA"/>
    <w:rsid w:val="009F1EA5"/>
    <w:rsid w:val="009F768D"/>
    <w:rsid w:val="00A00F26"/>
    <w:rsid w:val="00A018F7"/>
    <w:rsid w:val="00A02ABC"/>
    <w:rsid w:val="00A039B4"/>
    <w:rsid w:val="00A063F2"/>
    <w:rsid w:val="00A0799C"/>
    <w:rsid w:val="00A07D8F"/>
    <w:rsid w:val="00A13C95"/>
    <w:rsid w:val="00A1707A"/>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70355"/>
    <w:rsid w:val="00A73D4F"/>
    <w:rsid w:val="00A74128"/>
    <w:rsid w:val="00A7538D"/>
    <w:rsid w:val="00A75DD6"/>
    <w:rsid w:val="00A7618B"/>
    <w:rsid w:val="00A77155"/>
    <w:rsid w:val="00A77757"/>
    <w:rsid w:val="00A8008F"/>
    <w:rsid w:val="00A8092D"/>
    <w:rsid w:val="00A80E74"/>
    <w:rsid w:val="00A82081"/>
    <w:rsid w:val="00A851A4"/>
    <w:rsid w:val="00A86BD8"/>
    <w:rsid w:val="00A87EDF"/>
    <w:rsid w:val="00A90897"/>
    <w:rsid w:val="00A90C67"/>
    <w:rsid w:val="00A92B4B"/>
    <w:rsid w:val="00AA013D"/>
    <w:rsid w:val="00AA1496"/>
    <w:rsid w:val="00AA155D"/>
    <w:rsid w:val="00AA3D06"/>
    <w:rsid w:val="00AA4899"/>
    <w:rsid w:val="00AA4D37"/>
    <w:rsid w:val="00AA59F2"/>
    <w:rsid w:val="00AA639F"/>
    <w:rsid w:val="00AB3CE6"/>
    <w:rsid w:val="00AB3E2B"/>
    <w:rsid w:val="00AB671D"/>
    <w:rsid w:val="00AB7130"/>
    <w:rsid w:val="00AC0D42"/>
    <w:rsid w:val="00AC2C30"/>
    <w:rsid w:val="00AC3558"/>
    <w:rsid w:val="00AC46EE"/>
    <w:rsid w:val="00AC701A"/>
    <w:rsid w:val="00AC74A3"/>
    <w:rsid w:val="00AC7DAD"/>
    <w:rsid w:val="00AD344D"/>
    <w:rsid w:val="00AD49BE"/>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35A5"/>
    <w:rsid w:val="00B64CAA"/>
    <w:rsid w:val="00B66D36"/>
    <w:rsid w:val="00B7342D"/>
    <w:rsid w:val="00B73BCE"/>
    <w:rsid w:val="00B7490A"/>
    <w:rsid w:val="00B759EC"/>
    <w:rsid w:val="00B75F96"/>
    <w:rsid w:val="00B773AD"/>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60A6"/>
    <w:rsid w:val="00BC62E0"/>
    <w:rsid w:val="00BC6FBF"/>
    <w:rsid w:val="00BD00D9"/>
    <w:rsid w:val="00BD40BC"/>
    <w:rsid w:val="00BD6234"/>
    <w:rsid w:val="00BE0437"/>
    <w:rsid w:val="00BE04F6"/>
    <w:rsid w:val="00BE107D"/>
    <w:rsid w:val="00BE5D1C"/>
    <w:rsid w:val="00BE7640"/>
    <w:rsid w:val="00BF0242"/>
    <w:rsid w:val="00BF144D"/>
    <w:rsid w:val="00BF214A"/>
    <w:rsid w:val="00BF3E1B"/>
    <w:rsid w:val="00BF7D51"/>
    <w:rsid w:val="00C02723"/>
    <w:rsid w:val="00C02A91"/>
    <w:rsid w:val="00C04960"/>
    <w:rsid w:val="00C06163"/>
    <w:rsid w:val="00C11391"/>
    <w:rsid w:val="00C1324E"/>
    <w:rsid w:val="00C138A5"/>
    <w:rsid w:val="00C14B96"/>
    <w:rsid w:val="00C158D4"/>
    <w:rsid w:val="00C16796"/>
    <w:rsid w:val="00C211F9"/>
    <w:rsid w:val="00C22F92"/>
    <w:rsid w:val="00C25927"/>
    <w:rsid w:val="00C27126"/>
    <w:rsid w:val="00C310B8"/>
    <w:rsid w:val="00C31DBD"/>
    <w:rsid w:val="00C3343C"/>
    <w:rsid w:val="00C3343E"/>
    <w:rsid w:val="00C3643C"/>
    <w:rsid w:val="00C36C29"/>
    <w:rsid w:val="00C502DD"/>
    <w:rsid w:val="00C613E2"/>
    <w:rsid w:val="00C65047"/>
    <w:rsid w:val="00C653CC"/>
    <w:rsid w:val="00C665D4"/>
    <w:rsid w:val="00C74775"/>
    <w:rsid w:val="00C76F9B"/>
    <w:rsid w:val="00C80AB6"/>
    <w:rsid w:val="00C833D6"/>
    <w:rsid w:val="00C84CDE"/>
    <w:rsid w:val="00C8762A"/>
    <w:rsid w:val="00C9306D"/>
    <w:rsid w:val="00C93320"/>
    <w:rsid w:val="00C95318"/>
    <w:rsid w:val="00C95A99"/>
    <w:rsid w:val="00C96B98"/>
    <w:rsid w:val="00C96F6B"/>
    <w:rsid w:val="00CA043D"/>
    <w:rsid w:val="00CA069B"/>
    <w:rsid w:val="00CA27F9"/>
    <w:rsid w:val="00CA4F28"/>
    <w:rsid w:val="00CB15CA"/>
    <w:rsid w:val="00CB26B3"/>
    <w:rsid w:val="00CB3B7D"/>
    <w:rsid w:val="00CB687E"/>
    <w:rsid w:val="00CC074E"/>
    <w:rsid w:val="00CC1659"/>
    <w:rsid w:val="00CC30C3"/>
    <w:rsid w:val="00CC363A"/>
    <w:rsid w:val="00CC3D4E"/>
    <w:rsid w:val="00CC74BD"/>
    <w:rsid w:val="00CD0768"/>
    <w:rsid w:val="00CD3CC4"/>
    <w:rsid w:val="00CE047D"/>
    <w:rsid w:val="00CE43AF"/>
    <w:rsid w:val="00CE665D"/>
    <w:rsid w:val="00CE6758"/>
    <w:rsid w:val="00CE7731"/>
    <w:rsid w:val="00CF6A79"/>
    <w:rsid w:val="00CF73D7"/>
    <w:rsid w:val="00D00AAE"/>
    <w:rsid w:val="00D02D5A"/>
    <w:rsid w:val="00D03B9D"/>
    <w:rsid w:val="00D06F2D"/>
    <w:rsid w:val="00D13B2D"/>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6C93"/>
    <w:rsid w:val="00D81512"/>
    <w:rsid w:val="00D85346"/>
    <w:rsid w:val="00D92D94"/>
    <w:rsid w:val="00DA0625"/>
    <w:rsid w:val="00DA3748"/>
    <w:rsid w:val="00DA671A"/>
    <w:rsid w:val="00DA756A"/>
    <w:rsid w:val="00DA78D9"/>
    <w:rsid w:val="00DA7E6E"/>
    <w:rsid w:val="00DB07B8"/>
    <w:rsid w:val="00DB2D76"/>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F2338"/>
    <w:rsid w:val="00DF4C70"/>
    <w:rsid w:val="00DF63EB"/>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4A79"/>
    <w:rsid w:val="00E4104D"/>
    <w:rsid w:val="00E41293"/>
    <w:rsid w:val="00E44479"/>
    <w:rsid w:val="00E45108"/>
    <w:rsid w:val="00E475F0"/>
    <w:rsid w:val="00E50CA8"/>
    <w:rsid w:val="00E53727"/>
    <w:rsid w:val="00E538E6"/>
    <w:rsid w:val="00E553E9"/>
    <w:rsid w:val="00E577FD"/>
    <w:rsid w:val="00E61098"/>
    <w:rsid w:val="00E62177"/>
    <w:rsid w:val="00E6494D"/>
    <w:rsid w:val="00E6716A"/>
    <w:rsid w:val="00E67F40"/>
    <w:rsid w:val="00E70167"/>
    <w:rsid w:val="00E703C3"/>
    <w:rsid w:val="00E73F29"/>
    <w:rsid w:val="00E74899"/>
    <w:rsid w:val="00E80333"/>
    <w:rsid w:val="00E8107B"/>
    <w:rsid w:val="00E83629"/>
    <w:rsid w:val="00E838DB"/>
    <w:rsid w:val="00E865F0"/>
    <w:rsid w:val="00E9310C"/>
    <w:rsid w:val="00E93979"/>
    <w:rsid w:val="00E93CD3"/>
    <w:rsid w:val="00E9501F"/>
    <w:rsid w:val="00E9676A"/>
    <w:rsid w:val="00EA379C"/>
    <w:rsid w:val="00EA4CB5"/>
    <w:rsid w:val="00EA67B2"/>
    <w:rsid w:val="00EB5D98"/>
    <w:rsid w:val="00EB7A35"/>
    <w:rsid w:val="00EC027A"/>
    <w:rsid w:val="00EC05B4"/>
    <w:rsid w:val="00EC074E"/>
    <w:rsid w:val="00EC33EA"/>
    <w:rsid w:val="00EC62F1"/>
    <w:rsid w:val="00ED0AA7"/>
    <w:rsid w:val="00ED2F8A"/>
    <w:rsid w:val="00ED7658"/>
    <w:rsid w:val="00EE1EE5"/>
    <w:rsid w:val="00EE2928"/>
    <w:rsid w:val="00EE359A"/>
    <w:rsid w:val="00EF2966"/>
    <w:rsid w:val="00EF7235"/>
    <w:rsid w:val="00F01EA8"/>
    <w:rsid w:val="00F023A3"/>
    <w:rsid w:val="00F030F9"/>
    <w:rsid w:val="00F04C8C"/>
    <w:rsid w:val="00F054DA"/>
    <w:rsid w:val="00F07BCF"/>
    <w:rsid w:val="00F16FAB"/>
    <w:rsid w:val="00F21CA5"/>
    <w:rsid w:val="00F31625"/>
    <w:rsid w:val="00F31BDC"/>
    <w:rsid w:val="00F32242"/>
    <w:rsid w:val="00F36CDE"/>
    <w:rsid w:val="00F36E39"/>
    <w:rsid w:val="00F40A8F"/>
    <w:rsid w:val="00F40FF5"/>
    <w:rsid w:val="00F44759"/>
    <w:rsid w:val="00F45144"/>
    <w:rsid w:val="00F4680B"/>
    <w:rsid w:val="00F47445"/>
    <w:rsid w:val="00F5046F"/>
    <w:rsid w:val="00F5088C"/>
    <w:rsid w:val="00F510AC"/>
    <w:rsid w:val="00F5374F"/>
    <w:rsid w:val="00F55E69"/>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7EE2"/>
    <w:rsid w:val="00FA0810"/>
    <w:rsid w:val="00FA2895"/>
    <w:rsid w:val="00FA3DD7"/>
    <w:rsid w:val="00FA5031"/>
    <w:rsid w:val="00FB4C6F"/>
    <w:rsid w:val="00FB64A1"/>
    <w:rsid w:val="00FB6732"/>
    <w:rsid w:val="00FB7D16"/>
    <w:rsid w:val="00FB7F4A"/>
    <w:rsid w:val="00FC110D"/>
    <w:rsid w:val="00FC3800"/>
    <w:rsid w:val="00FC65BE"/>
    <w:rsid w:val="00FD1EEA"/>
    <w:rsid w:val="00FD30C0"/>
    <w:rsid w:val="00FD36CA"/>
    <w:rsid w:val="00FD3B41"/>
    <w:rsid w:val="00FD6C73"/>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55"/>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153"/>
    <w:rPr>
      <w:color w:val="0000FF"/>
      <w:u w:val="single"/>
    </w:rPr>
  </w:style>
  <w:style w:type="paragraph" w:styleId="Header">
    <w:name w:val="header"/>
    <w:basedOn w:val="Normal"/>
    <w:link w:val="HeaderChar"/>
    <w:uiPriority w:val="99"/>
    <w:semiHidden/>
    <w:unhideWhenUsed/>
    <w:rsid w:val="000B62A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B62AC"/>
    <w:rPr>
      <w:rFonts w:eastAsia="Times New Roman"/>
      <w:szCs w:val="20"/>
    </w:rPr>
  </w:style>
  <w:style w:type="paragraph" w:styleId="Footer">
    <w:name w:val="footer"/>
    <w:basedOn w:val="Normal"/>
    <w:link w:val="FooterChar"/>
    <w:uiPriority w:val="99"/>
    <w:unhideWhenUsed/>
    <w:rsid w:val="000B62AC"/>
    <w:pPr>
      <w:tabs>
        <w:tab w:val="center" w:pos="4680"/>
        <w:tab w:val="right" w:pos="9360"/>
      </w:tabs>
      <w:spacing w:line="240" w:lineRule="auto"/>
    </w:pPr>
  </w:style>
  <w:style w:type="character" w:customStyle="1" w:styleId="FooterChar">
    <w:name w:val="Footer Char"/>
    <w:basedOn w:val="DefaultParagraphFont"/>
    <w:link w:val="Footer"/>
    <w:uiPriority w:val="99"/>
    <w:rsid w:val="000B62AC"/>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ussell@pplweb.com" TargetMode="External"/><Relationship Id="rId13" Type="http://schemas.openxmlformats.org/officeDocument/2006/relationships/hyperlink" Target="mailto:jlvullo@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acgregor@postschell.com" TargetMode="External"/><Relationship Id="rId12" Type="http://schemas.openxmlformats.org/officeDocument/2006/relationships/hyperlink" Target="mailto:TMccloskey@paoc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kmickens11@verizon.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beatty@paoca.org" TargetMode="External"/><Relationship Id="rId5" Type="http://schemas.openxmlformats.org/officeDocument/2006/relationships/footnotes" Target="footnotes.xml"/><Relationship Id="rId15" Type="http://schemas.openxmlformats.org/officeDocument/2006/relationships/hyperlink" Target="mailto:skeddie@mwn.com" TargetMode="External"/><Relationship Id="rId10" Type="http://schemas.openxmlformats.org/officeDocument/2006/relationships/hyperlink" Target="mailto:sgray@state.pa.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kanaskie@state.pa.us" TargetMode="External"/><Relationship Id="rId14" Type="http://schemas.openxmlformats.org/officeDocument/2006/relationships/hyperlink" Target="mailto:lechambon@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6C9C-B150-4075-A804-4ACFC0AD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2010-10-29T19:53:00Z</dcterms:created>
  <dcterms:modified xsi:type="dcterms:W3CDTF">2010-10-29T19:53:00Z</dcterms:modified>
</cp:coreProperties>
</file>