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036" w:rsidRPr="0098749A" w:rsidRDefault="00A80036" w:rsidP="005C3829">
      <w:pPr>
        <w:pStyle w:val="Title"/>
        <w:rPr>
          <w:szCs w:val="24"/>
        </w:rPr>
      </w:pPr>
      <w:r w:rsidRPr="0098749A">
        <w:rPr>
          <w:szCs w:val="24"/>
        </w:rPr>
        <w:t>BEFORE THE</w:t>
      </w:r>
    </w:p>
    <w:p w:rsidR="00A80036" w:rsidRPr="0098749A" w:rsidRDefault="00A80036" w:rsidP="005C3829">
      <w:pPr>
        <w:pStyle w:val="Subtitle"/>
        <w:rPr>
          <w:szCs w:val="24"/>
        </w:rPr>
      </w:pPr>
      <w:r w:rsidRPr="0098749A">
        <w:rPr>
          <w:szCs w:val="24"/>
        </w:rPr>
        <w:t>PENNSYLVANIA PUBLIC UTILITY COMMISSION</w:t>
      </w:r>
    </w:p>
    <w:p w:rsidR="005C3829" w:rsidRPr="0098749A" w:rsidRDefault="005C3829" w:rsidP="005C3829">
      <w:pPr>
        <w:pStyle w:val="Subtitle"/>
        <w:rPr>
          <w:szCs w:val="24"/>
        </w:rPr>
      </w:pPr>
    </w:p>
    <w:p w:rsidR="00631AD8" w:rsidRPr="0098749A" w:rsidRDefault="00631AD8" w:rsidP="005C3829">
      <w:pPr>
        <w:rPr>
          <w:szCs w:val="24"/>
        </w:rPr>
      </w:pPr>
    </w:p>
    <w:p w:rsidR="0016453F" w:rsidRPr="0098749A" w:rsidRDefault="0016453F" w:rsidP="005C3829">
      <w:pPr>
        <w:rPr>
          <w:szCs w:val="24"/>
        </w:rPr>
      </w:pPr>
    </w:p>
    <w:p w:rsidR="0016453F" w:rsidRPr="0098749A" w:rsidRDefault="0035368D" w:rsidP="005C3829">
      <w:pPr>
        <w:suppressAutoHyphens/>
        <w:rPr>
          <w:spacing w:val="-3"/>
          <w:szCs w:val="24"/>
        </w:rPr>
      </w:pPr>
      <w:r w:rsidRPr="0098749A">
        <w:rPr>
          <w:spacing w:val="-3"/>
          <w:szCs w:val="24"/>
        </w:rPr>
        <w:t>Joanne Bengough</w:t>
      </w:r>
      <w:r w:rsidRPr="0098749A">
        <w:rPr>
          <w:spacing w:val="-3"/>
          <w:szCs w:val="24"/>
        </w:rPr>
        <w:tab/>
      </w:r>
      <w:r w:rsidR="00FD6BD9" w:rsidRPr="0098749A">
        <w:rPr>
          <w:spacing w:val="-3"/>
          <w:szCs w:val="24"/>
        </w:rPr>
        <w:fldChar w:fldCharType="begin"/>
      </w:r>
      <w:r w:rsidR="0016453F" w:rsidRPr="0098749A">
        <w:rPr>
          <w:spacing w:val="-3"/>
          <w:szCs w:val="24"/>
        </w:rPr>
        <w:instrText>fillin "Complainant's Name" \d ""</w:instrText>
      </w:r>
      <w:r w:rsidR="00FD6BD9" w:rsidRPr="0098749A">
        <w:rPr>
          <w:spacing w:val="-3"/>
          <w:szCs w:val="24"/>
        </w:rPr>
        <w:fldChar w:fldCharType="end"/>
      </w:r>
      <w:r w:rsidR="0016453F" w:rsidRPr="0098749A">
        <w:rPr>
          <w:spacing w:val="-3"/>
          <w:szCs w:val="24"/>
        </w:rPr>
        <w:tab/>
      </w:r>
      <w:r w:rsidR="0016453F" w:rsidRPr="0098749A">
        <w:rPr>
          <w:spacing w:val="-3"/>
          <w:szCs w:val="24"/>
        </w:rPr>
        <w:tab/>
      </w:r>
      <w:r w:rsidR="0016453F" w:rsidRPr="0098749A">
        <w:rPr>
          <w:spacing w:val="-3"/>
          <w:szCs w:val="24"/>
        </w:rPr>
        <w:tab/>
      </w:r>
      <w:r w:rsidR="005C3829" w:rsidRPr="0098749A">
        <w:rPr>
          <w:spacing w:val="-3"/>
          <w:szCs w:val="24"/>
        </w:rPr>
        <w:tab/>
      </w:r>
      <w:r w:rsidR="0016453F" w:rsidRPr="0098749A">
        <w:rPr>
          <w:spacing w:val="-3"/>
          <w:szCs w:val="24"/>
        </w:rPr>
        <w:t>:</w:t>
      </w:r>
    </w:p>
    <w:p w:rsidR="0016453F" w:rsidRPr="0098749A" w:rsidRDefault="0016453F" w:rsidP="005C3829">
      <w:pPr>
        <w:suppressAutoHyphens/>
        <w:jc w:val="both"/>
        <w:rPr>
          <w:spacing w:val="-3"/>
          <w:szCs w:val="24"/>
        </w:rPr>
      </w:pPr>
      <w:r w:rsidRPr="0098749A">
        <w:rPr>
          <w:spacing w:val="-3"/>
          <w:szCs w:val="24"/>
        </w:rPr>
        <w:tab/>
      </w:r>
      <w:r w:rsidRPr="0098749A">
        <w:rPr>
          <w:spacing w:val="-3"/>
          <w:szCs w:val="24"/>
        </w:rPr>
        <w:tab/>
      </w:r>
      <w:r w:rsidRPr="0098749A">
        <w:rPr>
          <w:spacing w:val="-3"/>
          <w:szCs w:val="24"/>
        </w:rPr>
        <w:tab/>
      </w:r>
      <w:r w:rsidRPr="0098749A">
        <w:rPr>
          <w:spacing w:val="-3"/>
          <w:szCs w:val="24"/>
        </w:rPr>
        <w:tab/>
      </w:r>
      <w:r w:rsidRPr="0098749A">
        <w:rPr>
          <w:spacing w:val="-3"/>
          <w:szCs w:val="24"/>
        </w:rPr>
        <w:tab/>
      </w:r>
      <w:r w:rsidR="005C3829" w:rsidRPr="0098749A">
        <w:rPr>
          <w:spacing w:val="-3"/>
          <w:szCs w:val="24"/>
        </w:rPr>
        <w:tab/>
      </w:r>
      <w:r w:rsidRPr="0098749A">
        <w:rPr>
          <w:spacing w:val="-3"/>
          <w:szCs w:val="24"/>
        </w:rPr>
        <w:tab/>
        <w:t>:</w:t>
      </w:r>
    </w:p>
    <w:p w:rsidR="0016453F" w:rsidRPr="0098749A" w:rsidRDefault="0016453F" w:rsidP="005C3829">
      <w:pPr>
        <w:suppressAutoHyphens/>
        <w:jc w:val="both"/>
        <w:rPr>
          <w:spacing w:val="-3"/>
          <w:szCs w:val="24"/>
        </w:rPr>
      </w:pPr>
      <w:r w:rsidRPr="0098749A">
        <w:rPr>
          <w:spacing w:val="-3"/>
          <w:szCs w:val="24"/>
        </w:rPr>
        <w:tab/>
        <w:t>v.</w:t>
      </w:r>
      <w:r w:rsidRPr="0098749A">
        <w:rPr>
          <w:spacing w:val="-3"/>
          <w:szCs w:val="24"/>
        </w:rPr>
        <w:tab/>
      </w:r>
      <w:r w:rsidRPr="0098749A">
        <w:rPr>
          <w:spacing w:val="-3"/>
          <w:szCs w:val="24"/>
        </w:rPr>
        <w:tab/>
      </w:r>
      <w:r w:rsidRPr="0098749A">
        <w:rPr>
          <w:spacing w:val="-3"/>
          <w:szCs w:val="24"/>
        </w:rPr>
        <w:tab/>
      </w:r>
      <w:r w:rsidRPr="0098749A">
        <w:rPr>
          <w:spacing w:val="-3"/>
          <w:szCs w:val="24"/>
        </w:rPr>
        <w:tab/>
      </w:r>
      <w:r w:rsidR="005C3829" w:rsidRPr="0098749A">
        <w:rPr>
          <w:spacing w:val="-3"/>
          <w:szCs w:val="24"/>
        </w:rPr>
        <w:tab/>
      </w:r>
      <w:r w:rsidRPr="0098749A">
        <w:rPr>
          <w:spacing w:val="-3"/>
          <w:szCs w:val="24"/>
        </w:rPr>
        <w:tab/>
        <w:t>:</w:t>
      </w:r>
      <w:r w:rsidRPr="0098749A">
        <w:rPr>
          <w:spacing w:val="-3"/>
          <w:szCs w:val="24"/>
        </w:rPr>
        <w:tab/>
      </w:r>
      <w:r w:rsidR="005C3829" w:rsidRPr="0098749A">
        <w:rPr>
          <w:spacing w:val="-3"/>
          <w:szCs w:val="24"/>
        </w:rPr>
        <w:tab/>
      </w:r>
      <w:r w:rsidR="00FD6BD9" w:rsidRPr="0098749A">
        <w:rPr>
          <w:spacing w:val="-3"/>
          <w:szCs w:val="24"/>
        </w:rPr>
        <w:fldChar w:fldCharType="begin"/>
      </w:r>
      <w:r w:rsidRPr="0098749A">
        <w:rPr>
          <w:spacing w:val="-3"/>
          <w:szCs w:val="24"/>
        </w:rPr>
        <w:instrText>fillin "Docket No." \d ""</w:instrText>
      </w:r>
      <w:r w:rsidR="00FD6BD9" w:rsidRPr="0098749A">
        <w:rPr>
          <w:spacing w:val="-3"/>
          <w:szCs w:val="24"/>
        </w:rPr>
        <w:fldChar w:fldCharType="end"/>
      </w:r>
      <w:r w:rsidRPr="0098749A">
        <w:rPr>
          <w:spacing w:val="-3"/>
          <w:szCs w:val="24"/>
        </w:rPr>
        <w:t>C-20</w:t>
      </w:r>
      <w:r w:rsidR="002B2F44" w:rsidRPr="0098749A">
        <w:rPr>
          <w:spacing w:val="-3"/>
          <w:szCs w:val="24"/>
        </w:rPr>
        <w:t>09</w:t>
      </w:r>
      <w:r w:rsidRPr="0098749A">
        <w:rPr>
          <w:spacing w:val="-3"/>
          <w:szCs w:val="24"/>
        </w:rPr>
        <w:t>-2</w:t>
      </w:r>
      <w:r w:rsidR="0035368D" w:rsidRPr="0098749A">
        <w:rPr>
          <w:spacing w:val="-3"/>
          <w:szCs w:val="24"/>
        </w:rPr>
        <w:t>137361</w:t>
      </w:r>
    </w:p>
    <w:p w:rsidR="0016453F" w:rsidRPr="0098749A" w:rsidRDefault="00FD6BD9" w:rsidP="005C3829">
      <w:pPr>
        <w:suppressAutoHyphens/>
        <w:jc w:val="both"/>
        <w:rPr>
          <w:spacing w:val="-3"/>
          <w:szCs w:val="24"/>
        </w:rPr>
      </w:pPr>
      <w:r w:rsidRPr="0098749A">
        <w:rPr>
          <w:spacing w:val="-3"/>
          <w:szCs w:val="24"/>
        </w:rPr>
        <w:fldChar w:fldCharType="begin"/>
      </w:r>
      <w:r w:rsidR="0016453F" w:rsidRPr="0098749A">
        <w:rPr>
          <w:spacing w:val="-3"/>
          <w:szCs w:val="24"/>
        </w:rPr>
        <w:instrText>fillin "Respondent's name" \d ""</w:instrText>
      </w:r>
      <w:r w:rsidRPr="0098749A">
        <w:rPr>
          <w:spacing w:val="-3"/>
          <w:szCs w:val="24"/>
        </w:rPr>
        <w:fldChar w:fldCharType="end"/>
      </w:r>
      <w:r w:rsidR="0016453F" w:rsidRPr="0098749A">
        <w:rPr>
          <w:spacing w:val="-3"/>
          <w:szCs w:val="24"/>
        </w:rPr>
        <w:tab/>
      </w:r>
      <w:r w:rsidR="0016453F" w:rsidRPr="0098749A">
        <w:rPr>
          <w:spacing w:val="-3"/>
          <w:szCs w:val="24"/>
        </w:rPr>
        <w:tab/>
      </w:r>
      <w:r w:rsidR="0016453F" w:rsidRPr="0098749A">
        <w:rPr>
          <w:spacing w:val="-3"/>
          <w:szCs w:val="24"/>
        </w:rPr>
        <w:tab/>
      </w:r>
      <w:r w:rsidR="0016453F" w:rsidRPr="0098749A">
        <w:rPr>
          <w:spacing w:val="-3"/>
          <w:szCs w:val="24"/>
        </w:rPr>
        <w:tab/>
      </w:r>
      <w:r w:rsidR="0016453F" w:rsidRPr="0098749A">
        <w:rPr>
          <w:spacing w:val="-3"/>
          <w:szCs w:val="24"/>
        </w:rPr>
        <w:tab/>
      </w:r>
      <w:r w:rsidR="005C3829" w:rsidRPr="0098749A">
        <w:rPr>
          <w:spacing w:val="-3"/>
          <w:szCs w:val="24"/>
        </w:rPr>
        <w:tab/>
      </w:r>
      <w:r w:rsidR="0016453F" w:rsidRPr="0098749A">
        <w:rPr>
          <w:spacing w:val="-3"/>
          <w:szCs w:val="24"/>
        </w:rPr>
        <w:tab/>
        <w:t>:</w:t>
      </w:r>
    </w:p>
    <w:p w:rsidR="0016453F" w:rsidRPr="0098749A" w:rsidRDefault="0035368D" w:rsidP="005C3829">
      <w:pPr>
        <w:suppressAutoHyphens/>
        <w:jc w:val="both"/>
        <w:rPr>
          <w:spacing w:val="-3"/>
          <w:szCs w:val="24"/>
        </w:rPr>
      </w:pPr>
      <w:r w:rsidRPr="0098749A">
        <w:rPr>
          <w:spacing w:val="-3"/>
          <w:szCs w:val="24"/>
        </w:rPr>
        <w:t>Philadelphia Gas Works</w:t>
      </w:r>
      <w:r w:rsidR="0016453F" w:rsidRPr="0098749A">
        <w:rPr>
          <w:spacing w:val="-3"/>
          <w:szCs w:val="24"/>
        </w:rPr>
        <w:tab/>
      </w:r>
      <w:r w:rsidR="0016453F" w:rsidRPr="0098749A">
        <w:rPr>
          <w:spacing w:val="-3"/>
          <w:szCs w:val="24"/>
        </w:rPr>
        <w:tab/>
      </w:r>
      <w:r w:rsidR="005C3829" w:rsidRPr="0098749A">
        <w:rPr>
          <w:spacing w:val="-3"/>
          <w:szCs w:val="24"/>
        </w:rPr>
        <w:tab/>
      </w:r>
      <w:r w:rsidR="0016453F" w:rsidRPr="0098749A">
        <w:rPr>
          <w:spacing w:val="-3"/>
          <w:szCs w:val="24"/>
        </w:rPr>
        <w:tab/>
        <w:t>:</w:t>
      </w:r>
    </w:p>
    <w:p w:rsidR="000325B0" w:rsidRPr="0098749A" w:rsidRDefault="000325B0" w:rsidP="005C3829">
      <w:pPr>
        <w:rPr>
          <w:szCs w:val="24"/>
        </w:rPr>
      </w:pPr>
    </w:p>
    <w:p w:rsidR="005C3829" w:rsidRPr="0098749A" w:rsidRDefault="005C3829" w:rsidP="005C3829">
      <w:pPr>
        <w:rPr>
          <w:szCs w:val="24"/>
        </w:rPr>
      </w:pPr>
    </w:p>
    <w:p w:rsidR="005C3829" w:rsidRPr="0098749A" w:rsidRDefault="005C3829" w:rsidP="005C3829">
      <w:pPr>
        <w:rPr>
          <w:szCs w:val="24"/>
        </w:rPr>
      </w:pPr>
    </w:p>
    <w:p w:rsidR="000325B0" w:rsidRPr="0098749A" w:rsidRDefault="005C3829" w:rsidP="005C3829">
      <w:pPr>
        <w:jc w:val="center"/>
        <w:rPr>
          <w:b/>
          <w:szCs w:val="24"/>
          <w:u w:val="single"/>
        </w:rPr>
      </w:pPr>
      <w:r w:rsidRPr="0098749A">
        <w:rPr>
          <w:b/>
          <w:szCs w:val="24"/>
          <w:u w:val="single"/>
        </w:rPr>
        <w:t>INITIAL DECISION</w:t>
      </w:r>
    </w:p>
    <w:p w:rsidR="000325B0" w:rsidRPr="0098749A" w:rsidRDefault="000325B0" w:rsidP="005C3829">
      <w:pPr>
        <w:jc w:val="center"/>
        <w:rPr>
          <w:szCs w:val="24"/>
        </w:rPr>
      </w:pPr>
    </w:p>
    <w:p w:rsidR="005C3829" w:rsidRPr="0098749A" w:rsidRDefault="005C3829" w:rsidP="005C3829">
      <w:pPr>
        <w:jc w:val="center"/>
        <w:rPr>
          <w:szCs w:val="24"/>
        </w:rPr>
      </w:pPr>
    </w:p>
    <w:p w:rsidR="000325B0" w:rsidRPr="0098749A" w:rsidRDefault="000325B0" w:rsidP="005C3829">
      <w:pPr>
        <w:jc w:val="center"/>
        <w:rPr>
          <w:szCs w:val="24"/>
        </w:rPr>
      </w:pPr>
      <w:r w:rsidRPr="0098749A">
        <w:rPr>
          <w:szCs w:val="24"/>
        </w:rPr>
        <w:t>Before</w:t>
      </w:r>
    </w:p>
    <w:p w:rsidR="000325B0" w:rsidRPr="0098749A" w:rsidRDefault="000325B0" w:rsidP="005C3829">
      <w:pPr>
        <w:jc w:val="center"/>
        <w:rPr>
          <w:szCs w:val="24"/>
        </w:rPr>
      </w:pPr>
      <w:r w:rsidRPr="0098749A">
        <w:rPr>
          <w:szCs w:val="24"/>
        </w:rPr>
        <w:t>D</w:t>
      </w:r>
      <w:r w:rsidR="0035368D" w:rsidRPr="0098749A">
        <w:rPr>
          <w:szCs w:val="24"/>
        </w:rPr>
        <w:t>ennis J. Buckley</w:t>
      </w:r>
    </w:p>
    <w:p w:rsidR="000325B0" w:rsidRPr="0098749A" w:rsidRDefault="000325B0" w:rsidP="005C3829">
      <w:pPr>
        <w:jc w:val="center"/>
        <w:rPr>
          <w:szCs w:val="24"/>
        </w:rPr>
      </w:pPr>
      <w:r w:rsidRPr="0098749A">
        <w:rPr>
          <w:szCs w:val="24"/>
        </w:rPr>
        <w:t>Administrative Law Judge</w:t>
      </w:r>
    </w:p>
    <w:p w:rsidR="000325B0" w:rsidRPr="0098749A" w:rsidRDefault="000325B0" w:rsidP="005C3829">
      <w:pPr>
        <w:jc w:val="both"/>
        <w:rPr>
          <w:szCs w:val="24"/>
        </w:rPr>
      </w:pPr>
    </w:p>
    <w:p w:rsidR="005C3829" w:rsidRPr="0098749A" w:rsidRDefault="005C3829" w:rsidP="005C3829">
      <w:pPr>
        <w:jc w:val="both"/>
        <w:rPr>
          <w:szCs w:val="24"/>
        </w:rPr>
      </w:pPr>
    </w:p>
    <w:p w:rsidR="005C3829" w:rsidRPr="0098749A" w:rsidRDefault="005C3829" w:rsidP="005C3829">
      <w:pPr>
        <w:jc w:val="center"/>
        <w:rPr>
          <w:szCs w:val="24"/>
          <w:u w:val="single"/>
        </w:rPr>
      </w:pPr>
      <w:r w:rsidRPr="0098749A">
        <w:rPr>
          <w:szCs w:val="24"/>
          <w:u w:val="single"/>
        </w:rPr>
        <w:t>HISTORY OF THE PROCEEDINGS</w:t>
      </w:r>
    </w:p>
    <w:p w:rsidR="005C3829" w:rsidRPr="0098749A" w:rsidRDefault="005C3829" w:rsidP="005C3829">
      <w:pPr>
        <w:jc w:val="center"/>
        <w:rPr>
          <w:szCs w:val="24"/>
          <w:u w:val="single"/>
        </w:rPr>
      </w:pPr>
    </w:p>
    <w:p w:rsidR="00E92075" w:rsidRPr="0098749A" w:rsidRDefault="00E92075" w:rsidP="005C3829">
      <w:pPr>
        <w:jc w:val="center"/>
        <w:rPr>
          <w:szCs w:val="24"/>
        </w:rPr>
      </w:pPr>
    </w:p>
    <w:p w:rsidR="00562ACB" w:rsidRPr="0098749A" w:rsidRDefault="00A80036" w:rsidP="005C3829">
      <w:pPr>
        <w:spacing w:line="360" w:lineRule="auto"/>
        <w:rPr>
          <w:szCs w:val="24"/>
        </w:rPr>
      </w:pPr>
      <w:r w:rsidRPr="0098749A">
        <w:rPr>
          <w:szCs w:val="24"/>
        </w:rPr>
        <w:tab/>
      </w:r>
      <w:r w:rsidRPr="0098749A">
        <w:rPr>
          <w:szCs w:val="24"/>
        </w:rPr>
        <w:tab/>
      </w:r>
      <w:r w:rsidR="00E71C20" w:rsidRPr="0098749A">
        <w:rPr>
          <w:szCs w:val="24"/>
        </w:rPr>
        <w:t xml:space="preserve">This decision </w:t>
      </w:r>
      <w:r w:rsidR="00652E3B" w:rsidRPr="0098749A">
        <w:rPr>
          <w:szCs w:val="24"/>
        </w:rPr>
        <w:t xml:space="preserve">grants </w:t>
      </w:r>
      <w:r w:rsidR="008A1CA5" w:rsidRPr="0098749A">
        <w:rPr>
          <w:szCs w:val="24"/>
        </w:rPr>
        <w:t>a</w:t>
      </w:r>
      <w:r w:rsidR="00652E3B" w:rsidRPr="0098749A">
        <w:rPr>
          <w:szCs w:val="24"/>
        </w:rPr>
        <w:t xml:space="preserve"> motion </w:t>
      </w:r>
      <w:r w:rsidR="00AD7CF6" w:rsidRPr="0098749A">
        <w:rPr>
          <w:szCs w:val="24"/>
        </w:rPr>
        <w:t xml:space="preserve">to </w:t>
      </w:r>
      <w:r w:rsidR="00E71C20" w:rsidRPr="0098749A">
        <w:rPr>
          <w:szCs w:val="24"/>
        </w:rPr>
        <w:t>dismiss</w:t>
      </w:r>
      <w:r w:rsidR="00AD7CF6" w:rsidRPr="0098749A">
        <w:rPr>
          <w:szCs w:val="24"/>
        </w:rPr>
        <w:t xml:space="preserve"> the </w:t>
      </w:r>
      <w:r w:rsidR="00E71C20" w:rsidRPr="0098749A">
        <w:rPr>
          <w:szCs w:val="24"/>
        </w:rPr>
        <w:t>complaint that</w:t>
      </w:r>
      <w:r w:rsidR="00652E3B" w:rsidRPr="0098749A">
        <w:rPr>
          <w:szCs w:val="24"/>
        </w:rPr>
        <w:t xml:space="preserve"> </w:t>
      </w:r>
      <w:r w:rsidR="0035368D" w:rsidRPr="0098749A">
        <w:rPr>
          <w:szCs w:val="24"/>
        </w:rPr>
        <w:t xml:space="preserve">Joanne Bengough </w:t>
      </w:r>
      <w:r w:rsidR="00E71C20" w:rsidRPr="0098749A">
        <w:rPr>
          <w:szCs w:val="24"/>
        </w:rPr>
        <w:t xml:space="preserve">(Complainant) filed with </w:t>
      </w:r>
      <w:r w:rsidR="00AD7CF6" w:rsidRPr="0098749A">
        <w:rPr>
          <w:szCs w:val="24"/>
        </w:rPr>
        <w:t>the Pennsylvania Public Utility Commission (</w:t>
      </w:r>
      <w:r w:rsidR="00E71C20" w:rsidRPr="0098749A">
        <w:rPr>
          <w:szCs w:val="24"/>
        </w:rPr>
        <w:t>Commission</w:t>
      </w:r>
      <w:r w:rsidR="00AD7CF6" w:rsidRPr="0098749A">
        <w:rPr>
          <w:szCs w:val="24"/>
        </w:rPr>
        <w:t>)</w:t>
      </w:r>
      <w:r w:rsidR="00E71C20" w:rsidRPr="0098749A">
        <w:rPr>
          <w:szCs w:val="24"/>
        </w:rPr>
        <w:t xml:space="preserve"> on </w:t>
      </w:r>
      <w:r w:rsidR="0035368D" w:rsidRPr="0098749A">
        <w:rPr>
          <w:szCs w:val="24"/>
        </w:rPr>
        <w:t>Oct</w:t>
      </w:r>
      <w:r w:rsidR="00505B82">
        <w:rPr>
          <w:szCs w:val="24"/>
        </w:rPr>
        <w:t>ober </w:t>
      </w:r>
      <w:r w:rsidR="0035368D" w:rsidRPr="0098749A">
        <w:rPr>
          <w:szCs w:val="24"/>
        </w:rPr>
        <w:t>9,</w:t>
      </w:r>
      <w:r w:rsidR="00505B82">
        <w:rPr>
          <w:szCs w:val="24"/>
        </w:rPr>
        <w:t> </w:t>
      </w:r>
      <w:r w:rsidR="0035368D" w:rsidRPr="0098749A">
        <w:rPr>
          <w:szCs w:val="24"/>
        </w:rPr>
        <w:t>2009</w:t>
      </w:r>
      <w:r w:rsidR="00E71C20" w:rsidRPr="0098749A">
        <w:rPr>
          <w:szCs w:val="24"/>
        </w:rPr>
        <w:t xml:space="preserve"> against </w:t>
      </w:r>
      <w:r w:rsidR="0035368D" w:rsidRPr="0098749A">
        <w:rPr>
          <w:szCs w:val="24"/>
        </w:rPr>
        <w:t>Philadelphia Gas Works</w:t>
      </w:r>
      <w:r w:rsidR="00652E3B" w:rsidRPr="0098749A">
        <w:rPr>
          <w:spacing w:val="-3"/>
          <w:szCs w:val="24"/>
        </w:rPr>
        <w:t xml:space="preserve"> </w:t>
      </w:r>
      <w:r w:rsidR="00E71C20" w:rsidRPr="0098749A">
        <w:rPr>
          <w:szCs w:val="24"/>
        </w:rPr>
        <w:t>(</w:t>
      </w:r>
      <w:r w:rsidR="0035368D" w:rsidRPr="0098749A">
        <w:rPr>
          <w:szCs w:val="24"/>
        </w:rPr>
        <w:t xml:space="preserve">PGW or </w:t>
      </w:r>
      <w:r w:rsidR="00E71C20" w:rsidRPr="0098749A">
        <w:rPr>
          <w:szCs w:val="24"/>
        </w:rPr>
        <w:t>Respondent)</w:t>
      </w:r>
      <w:r w:rsidR="00652E3B" w:rsidRPr="0098749A">
        <w:rPr>
          <w:szCs w:val="24"/>
        </w:rPr>
        <w:t>.</w:t>
      </w:r>
      <w:r w:rsidR="0035368D" w:rsidRPr="0098749A">
        <w:rPr>
          <w:szCs w:val="24"/>
        </w:rPr>
        <w:t xml:space="preserve"> </w:t>
      </w:r>
      <w:r w:rsidR="00E71C20" w:rsidRPr="0098749A">
        <w:rPr>
          <w:szCs w:val="24"/>
        </w:rPr>
        <w:t xml:space="preserve"> </w:t>
      </w:r>
    </w:p>
    <w:p w:rsidR="0035368D" w:rsidRPr="0098749A" w:rsidRDefault="0035368D" w:rsidP="005C3829">
      <w:pPr>
        <w:spacing w:line="360" w:lineRule="auto"/>
        <w:rPr>
          <w:szCs w:val="24"/>
        </w:rPr>
      </w:pPr>
    </w:p>
    <w:p w:rsidR="0065147B" w:rsidRPr="0098749A" w:rsidRDefault="00F540F6" w:rsidP="005C3829">
      <w:pPr>
        <w:spacing w:line="360" w:lineRule="auto"/>
        <w:ind w:firstLine="1440"/>
        <w:rPr>
          <w:spacing w:val="-3"/>
          <w:szCs w:val="24"/>
        </w:rPr>
      </w:pPr>
      <w:r w:rsidRPr="0098749A">
        <w:rPr>
          <w:szCs w:val="24"/>
        </w:rPr>
        <w:t xml:space="preserve">On </w:t>
      </w:r>
      <w:r w:rsidR="00493367" w:rsidRPr="0098749A">
        <w:rPr>
          <w:szCs w:val="24"/>
        </w:rPr>
        <w:t xml:space="preserve">October 9, 2009, </w:t>
      </w:r>
      <w:r w:rsidRPr="0098749A">
        <w:rPr>
          <w:szCs w:val="24"/>
        </w:rPr>
        <w:t xml:space="preserve">the Complainant filed a formal complaint with the Commission against the </w:t>
      </w:r>
      <w:r w:rsidRPr="0098749A">
        <w:rPr>
          <w:spacing w:val="-3"/>
          <w:szCs w:val="24"/>
        </w:rPr>
        <w:t>Respondent.  The Complainant alleged</w:t>
      </w:r>
      <w:r w:rsidR="0065147B" w:rsidRPr="0098749A">
        <w:rPr>
          <w:spacing w:val="-3"/>
          <w:szCs w:val="24"/>
        </w:rPr>
        <w:t xml:space="preserve"> that she had fallen behind in her payments </w:t>
      </w:r>
      <w:r w:rsidR="007B21D6" w:rsidRPr="0098749A">
        <w:rPr>
          <w:spacing w:val="-3"/>
          <w:szCs w:val="24"/>
        </w:rPr>
        <w:t xml:space="preserve">for natural gas service </w:t>
      </w:r>
      <w:r w:rsidR="0065147B" w:rsidRPr="0098749A">
        <w:rPr>
          <w:spacing w:val="-3"/>
          <w:szCs w:val="24"/>
        </w:rPr>
        <w:t xml:space="preserve">to PGW because of </w:t>
      </w:r>
      <w:r w:rsidR="007B21D6" w:rsidRPr="0098749A">
        <w:rPr>
          <w:spacing w:val="-3"/>
          <w:szCs w:val="24"/>
        </w:rPr>
        <w:t xml:space="preserve">the </w:t>
      </w:r>
      <w:r w:rsidR="0065147B" w:rsidRPr="0098749A">
        <w:rPr>
          <w:spacing w:val="-3"/>
          <w:szCs w:val="24"/>
        </w:rPr>
        <w:t xml:space="preserve">deterioration </w:t>
      </w:r>
      <w:r w:rsidR="007B21D6" w:rsidRPr="0098749A">
        <w:rPr>
          <w:spacing w:val="-3"/>
          <w:szCs w:val="24"/>
        </w:rPr>
        <w:t>of</w:t>
      </w:r>
      <w:r w:rsidR="0065147B" w:rsidRPr="0098749A">
        <w:rPr>
          <w:spacing w:val="-3"/>
          <w:szCs w:val="24"/>
        </w:rPr>
        <w:t xml:space="preserve"> her health</w:t>
      </w:r>
      <w:r w:rsidR="002B21DD" w:rsidRPr="0098749A">
        <w:rPr>
          <w:spacing w:val="-3"/>
          <w:szCs w:val="24"/>
        </w:rPr>
        <w:t xml:space="preserve">.  Complainant further alleged that due to her health problems she was </w:t>
      </w:r>
      <w:r w:rsidR="002B21DD" w:rsidRPr="0098749A">
        <w:rPr>
          <w:i/>
          <w:spacing w:val="-3"/>
          <w:szCs w:val="24"/>
        </w:rPr>
        <w:t>incommunicado</w:t>
      </w:r>
      <w:r w:rsidR="002B21DD" w:rsidRPr="0098749A">
        <w:rPr>
          <w:spacing w:val="-3"/>
          <w:szCs w:val="24"/>
        </w:rPr>
        <w:t xml:space="preserve"> </w:t>
      </w:r>
      <w:r w:rsidR="00505B82">
        <w:rPr>
          <w:spacing w:val="-3"/>
          <w:szCs w:val="24"/>
        </w:rPr>
        <w:t>from April to September 2009</w:t>
      </w:r>
      <w:r w:rsidR="00871D21" w:rsidRPr="0098749A">
        <w:rPr>
          <w:spacing w:val="-3"/>
          <w:szCs w:val="24"/>
        </w:rPr>
        <w:t xml:space="preserve"> </w:t>
      </w:r>
      <w:r w:rsidR="002B21DD" w:rsidRPr="0098749A">
        <w:rPr>
          <w:spacing w:val="-3"/>
          <w:szCs w:val="24"/>
        </w:rPr>
        <w:t>and had not received some of her bills</w:t>
      </w:r>
      <w:r w:rsidR="00871D21" w:rsidRPr="0098749A">
        <w:rPr>
          <w:spacing w:val="-3"/>
          <w:szCs w:val="24"/>
        </w:rPr>
        <w:t xml:space="preserve">.  Complainant </w:t>
      </w:r>
      <w:r w:rsidR="0065147B" w:rsidRPr="0098749A">
        <w:rPr>
          <w:spacing w:val="-3"/>
          <w:szCs w:val="24"/>
        </w:rPr>
        <w:t>requested a payment plan and to stay on “Cap and Budget Billing.”</w:t>
      </w:r>
    </w:p>
    <w:p w:rsidR="0065147B" w:rsidRPr="0098749A" w:rsidRDefault="0065147B" w:rsidP="005C3829">
      <w:pPr>
        <w:spacing w:line="360" w:lineRule="auto"/>
        <w:ind w:firstLine="1440"/>
        <w:rPr>
          <w:spacing w:val="-3"/>
          <w:szCs w:val="24"/>
        </w:rPr>
      </w:pPr>
    </w:p>
    <w:p w:rsidR="00F540F6" w:rsidRPr="0098749A" w:rsidRDefault="00F540F6" w:rsidP="002B21DD">
      <w:pPr>
        <w:pStyle w:val="BodyText"/>
        <w:tabs>
          <w:tab w:val="left" w:pos="0"/>
        </w:tabs>
        <w:rPr>
          <w:spacing w:val="-3"/>
          <w:sz w:val="24"/>
          <w:szCs w:val="24"/>
        </w:rPr>
      </w:pPr>
      <w:r w:rsidRPr="0098749A">
        <w:rPr>
          <w:spacing w:val="-3"/>
          <w:sz w:val="24"/>
          <w:szCs w:val="24"/>
        </w:rPr>
        <w:tab/>
      </w:r>
      <w:r w:rsidRPr="0098749A">
        <w:rPr>
          <w:spacing w:val="-3"/>
          <w:sz w:val="24"/>
          <w:szCs w:val="24"/>
        </w:rPr>
        <w:tab/>
        <w:t xml:space="preserve">On </w:t>
      </w:r>
      <w:r w:rsidR="002B21DD" w:rsidRPr="0098749A">
        <w:rPr>
          <w:spacing w:val="-3"/>
          <w:sz w:val="24"/>
          <w:szCs w:val="24"/>
        </w:rPr>
        <w:t>November 6, 2009, PGW</w:t>
      </w:r>
      <w:r w:rsidRPr="0098749A">
        <w:rPr>
          <w:spacing w:val="-3"/>
          <w:sz w:val="24"/>
          <w:szCs w:val="24"/>
        </w:rPr>
        <w:t xml:space="preserve"> filed an answer to the complaint</w:t>
      </w:r>
      <w:r w:rsidR="002B21DD" w:rsidRPr="0098749A">
        <w:rPr>
          <w:spacing w:val="-3"/>
          <w:sz w:val="24"/>
          <w:szCs w:val="24"/>
        </w:rPr>
        <w:t>, denying th</w:t>
      </w:r>
      <w:r w:rsidR="00871D21" w:rsidRPr="0098749A">
        <w:rPr>
          <w:spacing w:val="-3"/>
          <w:sz w:val="24"/>
          <w:szCs w:val="24"/>
        </w:rPr>
        <w:t xml:space="preserve">at the Complainant did not receive monthly bills for gas usage, denying any prior enrollment on the part of the Complainant in PGW’s Customer </w:t>
      </w:r>
      <w:r w:rsidR="00282DB4">
        <w:rPr>
          <w:spacing w:val="-3"/>
          <w:sz w:val="24"/>
          <w:szCs w:val="24"/>
        </w:rPr>
        <w:t>R</w:t>
      </w:r>
      <w:r w:rsidR="00871D21" w:rsidRPr="0098749A">
        <w:rPr>
          <w:spacing w:val="-3"/>
          <w:sz w:val="24"/>
          <w:szCs w:val="24"/>
        </w:rPr>
        <w:t>esponsibility Program, and contending that the Commission’</w:t>
      </w:r>
      <w:r w:rsidR="007B21D6" w:rsidRPr="0098749A">
        <w:rPr>
          <w:spacing w:val="-3"/>
          <w:sz w:val="24"/>
          <w:szCs w:val="24"/>
        </w:rPr>
        <w:t>s Bureau of Consumer S</w:t>
      </w:r>
      <w:r w:rsidR="00871D21" w:rsidRPr="0098749A">
        <w:rPr>
          <w:spacing w:val="-3"/>
          <w:sz w:val="24"/>
          <w:szCs w:val="24"/>
        </w:rPr>
        <w:t>ervices</w:t>
      </w:r>
      <w:r w:rsidR="007B21D6" w:rsidRPr="0098749A">
        <w:rPr>
          <w:spacing w:val="-3"/>
          <w:sz w:val="24"/>
          <w:szCs w:val="24"/>
        </w:rPr>
        <w:t xml:space="preserve"> (BCS)</w:t>
      </w:r>
      <w:r w:rsidR="00871D21" w:rsidRPr="0098749A">
        <w:rPr>
          <w:spacing w:val="-3"/>
          <w:sz w:val="24"/>
          <w:szCs w:val="24"/>
        </w:rPr>
        <w:t xml:space="preserve"> had issued a decision on September 28, 2009, </w:t>
      </w:r>
      <w:r w:rsidR="00871D21" w:rsidRPr="0098749A">
        <w:rPr>
          <w:spacing w:val="-3"/>
          <w:sz w:val="24"/>
          <w:szCs w:val="24"/>
        </w:rPr>
        <w:lastRenderedPageBreak/>
        <w:t>concluding that PGW gave Complainant proper notice prior to terminating gas service</w:t>
      </w:r>
      <w:r w:rsidR="00A379D3" w:rsidRPr="0098749A">
        <w:rPr>
          <w:spacing w:val="-3"/>
          <w:sz w:val="24"/>
          <w:szCs w:val="24"/>
        </w:rPr>
        <w:t>.</w:t>
      </w:r>
      <w:r w:rsidR="002B21DD" w:rsidRPr="0098749A">
        <w:rPr>
          <w:spacing w:val="-3"/>
          <w:sz w:val="24"/>
          <w:szCs w:val="24"/>
        </w:rPr>
        <w:t xml:space="preserve"> </w:t>
      </w:r>
      <w:r w:rsidR="007B21D6" w:rsidRPr="0098749A">
        <w:rPr>
          <w:spacing w:val="-3"/>
          <w:sz w:val="24"/>
          <w:szCs w:val="24"/>
        </w:rPr>
        <w:t xml:space="preserve"> PGW Answer at 1-2.</w:t>
      </w:r>
    </w:p>
    <w:p w:rsidR="005C0E69" w:rsidRPr="0098749A" w:rsidRDefault="005C0E69" w:rsidP="005C3829">
      <w:pPr>
        <w:pStyle w:val="BodyText"/>
        <w:tabs>
          <w:tab w:val="left" w:pos="0"/>
        </w:tabs>
        <w:rPr>
          <w:spacing w:val="-3"/>
          <w:sz w:val="24"/>
          <w:szCs w:val="24"/>
        </w:rPr>
      </w:pPr>
    </w:p>
    <w:p w:rsidR="00A379D3" w:rsidRPr="0098749A" w:rsidRDefault="005C0E69" w:rsidP="00A379D3">
      <w:pPr>
        <w:pStyle w:val="BodyText"/>
        <w:tabs>
          <w:tab w:val="left" w:pos="0"/>
        </w:tabs>
        <w:ind w:firstLine="1440"/>
        <w:rPr>
          <w:sz w:val="24"/>
          <w:szCs w:val="24"/>
        </w:rPr>
      </w:pPr>
      <w:r w:rsidRPr="0098749A">
        <w:rPr>
          <w:spacing w:val="-3"/>
          <w:sz w:val="24"/>
          <w:szCs w:val="24"/>
        </w:rPr>
        <w:t xml:space="preserve">This case was assigned to me as </w:t>
      </w:r>
      <w:r w:rsidR="00A379D3" w:rsidRPr="0098749A">
        <w:rPr>
          <w:spacing w:val="-3"/>
          <w:sz w:val="24"/>
          <w:szCs w:val="24"/>
        </w:rPr>
        <w:t>Presiding Officer</w:t>
      </w:r>
      <w:r w:rsidR="001169B6" w:rsidRPr="0098749A">
        <w:rPr>
          <w:spacing w:val="-3"/>
          <w:sz w:val="24"/>
          <w:szCs w:val="24"/>
        </w:rPr>
        <w:t xml:space="preserve"> on September 17, 2010</w:t>
      </w:r>
      <w:r w:rsidRPr="0098749A">
        <w:rPr>
          <w:spacing w:val="-3"/>
          <w:sz w:val="24"/>
          <w:szCs w:val="24"/>
        </w:rPr>
        <w:t>.</w:t>
      </w:r>
      <w:r w:rsidRPr="0098749A">
        <w:rPr>
          <w:sz w:val="24"/>
          <w:szCs w:val="24"/>
        </w:rPr>
        <w:t xml:space="preserve">  </w:t>
      </w:r>
      <w:r w:rsidR="00A379D3" w:rsidRPr="0098749A">
        <w:rPr>
          <w:sz w:val="24"/>
          <w:szCs w:val="24"/>
        </w:rPr>
        <w:t>On September 27, 2010, a hearing was held in the fourth floor offices of the Commission in Philadelphia, Pennsylvania.</w:t>
      </w:r>
    </w:p>
    <w:p w:rsidR="001169B6" w:rsidRPr="0098749A" w:rsidRDefault="001169B6" w:rsidP="00A379D3">
      <w:pPr>
        <w:pStyle w:val="BodyText"/>
        <w:tabs>
          <w:tab w:val="left" w:pos="0"/>
        </w:tabs>
        <w:ind w:firstLine="1440"/>
        <w:rPr>
          <w:sz w:val="24"/>
          <w:szCs w:val="24"/>
        </w:rPr>
      </w:pPr>
    </w:p>
    <w:p w:rsidR="007C09E7" w:rsidRPr="0098749A" w:rsidRDefault="001169B6" w:rsidP="005C3829">
      <w:pPr>
        <w:pStyle w:val="BodyText"/>
        <w:tabs>
          <w:tab w:val="left" w:pos="0"/>
        </w:tabs>
        <w:rPr>
          <w:spacing w:val="-3"/>
          <w:sz w:val="24"/>
          <w:szCs w:val="24"/>
        </w:rPr>
      </w:pPr>
      <w:r w:rsidRPr="0098749A">
        <w:rPr>
          <w:sz w:val="24"/>
          <w:szCs w:val="24"/>
        </w:rPr>
        <w:tab/>
      </w:r>
      <w:r w:rsidRPr="0098749A">
        <w:rPr>
          <w:sz w:val="24"/>
          <w:szCs w:val="24"/>
        </w:rPr>
        <w:tab/>
      </w:r>
      <w:r w:rsidR="00A379D3" w:rsidRPr="0098749A">
        <w:rPr>
          <w:sz w:val="24"/>
          <w:szCs w:val="24"/>
        </w:rPr>
        <w:t xml:space="preserve">For reasons which will be set forth below, </w:t>
      </w:r>
      <w:r w:rsidRPr="0098749A">
        <w:rPr>
          <w:sz w:val="24"/>
          <w:szCs w:val="24"/>
        </w:rPr>
        <w:t xml:space="preserve">the </w:t>
      </w:r>
      <w:r w:rsidR="00A379D3" w:rsidRPr="0098749A">
        <w:rPr>
          <w:sz w:val="24"/>
          <w:szCs w:val="24"/>
        </w:rPr>
        <w:t xml:space="preserve">Complainant failed to appear and counsel for PGW made a motion to dismiss the complaint.  </w:t>
      </w:r>
      <w:r w:rsidR="007C09E7" w:rsidRPr="0098749A">
        <w:rPr>
          <w:spacing w:val="-3"/>
          <w:sz w:val="24"/>
          <w:szCs w:val="24"/>
        </w:rPr>
        <w:t>For the reasons set forth below, I grant</w:t>
      </w:r>
      <w:r w:rsidR="00C90256" w:rsidRPr="0098749A">
        <w:rPr>
          <w:spacing w:val="-3"/>
          <w:sz w:val="24"/>
          <w:szCs w:val="24"/>
        </w:rPr>
        <w:t>ed</w:t>
      </w:r>
      <w:r w:rsidR="007C09E7" w:rsidRPr="0098749A">
        <w:rPr>
          <w:spacing w:val="-3"/>
          <w:sz w:val="24"/>
          <w:szCs w:val="24"/>
        </w:rPr>
        <w:t xml:space="preserve"> the motion and dismiss</w:t>
      </w:r>
      <w:r w:rsidR="00C90256" w:rsidRPr="0098749A">
        <w:rPr>
          <w:spacing w:val="-3"/>
          <w:sz w:val="24"/>
          <w:szCs w:val="24"/>
        </w:rPr>
        <w:t>ed</w:t>
      </w:r>
      <w:r w:rsidR="007C09E7" w:rsidRPr="0098749A">
        <w:rPr>
          <w:spacing w:val="-3"/>
          <w:sz w:val="24"/>
          <w:szCs w:val="24"/>
        </w:rPr>
        <w:t xml:space="preserve"> the complaint</w:t>
      </w:r>
      <w:r w:rsidR="00282DB4">
        <w:rPr>
          <w:spacing w:val="-3"/>
          <w:sz w:val="24"/>
          <w:szCs w:val="24"/>
        </w:rPr>
        <w:t xml:space="preserve"> pursuant to 52 Pa.</w:t>
      </w:r>
      <w:r w:rsidR="00C90256" w:rsidRPr="0098749A">
        <w:rPr>
          <w:spacing w:val="-3"/>
          <w:sz w:val="24"/>
          <w:szCs w:val="24"/>
        </w:rPr>
        <w:t xml:space="preserve"> Code § 5.103(d)(2)</w:t>
      </w:r>
      <w:r w:rsidR="007C09E7" w:rsidRPr="0098749A">
        <w:rPr>
          <w:spacing w:val="-3"/>
          <w:sz w:val="24"/>
          <w:szCs w:val="24"/>
        </w:rPr>
        <w:t>.</w:t>
      </w:r>
      <w:r w:rsidR="00FF59C8" w:rsidRPr="0098749A">
        <w:rPr>
          <w:spacing w:val="-3"/>
          <w:sz w:val="24"/>
          <w:szCs w:val="24"/>
        </w:rPr>
        <w:t xml:space="preserve">  </w:t>
      </w:r>
    </w:p>
    <w:p w:rsidR="00D414E5" w:rsidRPr="0098749A" w:rsidRDefault="00D414E5" w:rsidP="005C3829">
      <w:pPr>
        <w:pStyle w:val="BodyText"/>
        <w:tabs>
          <w:tab w:val="left" w:pos="0"/>
        </w:tabs>
        <w:rPr>
          <w:spacing w:val="-3"/>
          <w:sz w:val="24"/>
          <w:szCs w:val="24"/>
        </w:rPr>
      </w:pPr>
    </w:p>
    <w:p w:rsidR="00D414E5" w:rsidRPr="0098749A" w:rsidRDefault="00D414E5" w:rsidP="005C3829">
      <w:pPr>
        <w:spacing w:line="360" w:lineRule="auto"/>
        <w:jc w:val="center"/>
        <w:rPr>
          <w:szCs w:val="24"/>
          <w:u w:val="single"/>
        </w:rPr>
      </w:pPr>
      <w:r w:rsidRPr="0098749A">
        <w:rPr>
          <w:szCs w:val="24"/>
          <w:u w:val="single"/>
        </w:rPr>
        <w:t>DISCUSSION</w:t>
      </w:r>
    </w:p>
    <w:p w:rsidR="00CD7B95" w:rsidRPr="0098749A" w:rsidRDefault="00CD7B95" w:rsidP="00CD7B95">
      <w:pPr>
        <w:spacing w:line="360" w:lineRule="auto"/>
        <w:rPr>
          <w:szCs w:val="24"/>
        </w:rPr>
      </w:pPr>
    </w:p>
    <w:p w:rsidR="00CD7B95" w:rsidRPr="0098749A" w:rsidRDefault="00CD7B95" w:rsidP="00CD7B95">
      <w:pPr>
        <w:spacing w:line="360" w:lineRule="auto"/>
        <w:rPr>
          <w:szCs w:val="24"/>
        </w:rPr>
      </w:pPr>
      <w:r w:rsidRPr="0098749A">
        <w:rPr>
          <w:szCs w:val="24"/>
        </w:rPr>
        <w:tab/>
      </w:r>
      <w:r w:rsidR="001169B6" w:rsidRPr="0098749A">
        <w:rPr>
          <w:szCs w:val="24"/>
        </w:rPr>
        <w:tab/>
      </w:r>
      <w:r w:rsidRPr="0098749A">
        <w:rPr>
          <w:szCs w:val="24"/>
        </w:rPr>
        <w:t>In this formal complaint, Ms. Ben</w:t>
      </w:r>
      <w:r w:rsidR="00BB38BC" w:rsidRPr="0098749A">
        <w:rPr>
          <w:szCs w:val="24"/>
        </w:rPr>
        <w:t>gough</w:t>
      </w:r>
      <w:r w:rsidRPr="0098749A">
        <w:rPr>
          <w:szCs w:val="24"/>
        </w:rPr>
        <w:t xml:space="preserve"> alleged her inability to pay her gas bills and requested a payment arrangement. As the party seeking affirmative relief from the Commission, the burden of proof rests on the Complainant. 66 Pa. C.S. § 332(a)  Administrative agencies, like the Public Utility Commission, are required to provide due process to the parties appearing before them. This requirement is satisfied when the parties are afforded notice and the opportunity to appear and be heard.</w:t>
      </w:r>
      <w:r w:rsidR="001169B6" w:rsidRPr="0098749A">
        <w:rPr>
          <w:szCs w:val="24"/>
        </w:rPr>
        <w:t xml:space="preserve"> </w:t>
      </w:r>
      <w:r w:rsidRPr="0098749A">
        <w:rPr>
          <w:szCs w:val="24"/>
        </w:rPr>
        <w:t xml:space="preserve"> Schneider v. Pa. PUC, 479 A.2d 10 (Pa. Cmwlth. 1984).  A customer who files a complaint before the Commission has an affirmative duty to make himself or herself available to participate in hearings on the complaint. </w:t>
      </w:r>
      <w:r w:rsidRPr="0098749A">
        <w:rPr>
          <w:i/>
          <w:szCs w:val="24"/>
        </w:rPr>
        <w:t>Craig Sentner v. Bell Telephone Co. of Pennsylvania</w:t>
      </w:r>
      <w:r w:rsidRPr="0098749A">
        <w:rPr>
          <w:szCs w:val="24"/>
        </w:rPr>
        <w:t>, Docket No. F-00161106, Opinion and Order entered October 25, 1993, 52 Pa. Code § 1.24(a).  Furthermore, Section 332(f) of the Publi</w:t>
      </w:r>
      <w:r w:rsidR="00505B82">
        <w:rPr>
          <w:szCs w:val="24"/>
        </w:rPr>
        <w:t>c Utility Code, 66 Pa. C.S.A. § </w:t>
      </w:r>
      <w:r w:rsidRPr="0098749A">
        <w:rPr>
          <w:szCs w:val="24"/>
        </w:rPr>
        <w:t>332(f) provides in relevant part: “Any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 . . .”</w:t>
      </w:r>
    </w:p>
    <w:p w:rsidR="00CD7B95" w:rsidRPr="0098749A" w:rsidRDefault="00CD7B95" w:rsidP="00CD7B95">
      <w:pPr>
        <w:spacing w:line="360" w:lineRule="auto"/>
        <w:rPr>
          <w:szCs w:val="24"/>
        </w:rPr>
      </w:pPr>
      <w:r w:rsidRPr="0098749A">
        <w:rPr>
          <w:szCs w:val="24"/>
        </w:rPr>
        <w:br/>
      </w:r>
      <w:r w:rsidRPr="0098749A">
        <w:rPr>
          <w:szCs w:val="24"/>
        </w:rPr>
        <w:tab/>
      </w:r>
      <w:r w:rsidR="001169B6" w:rsidRPr="0098749A">
        <w:rPr>
          <w:szCs w:val="24"/>
        </w:rPr>
        <w:tab/>
      </w:r>
      <w:r w:rsidRPr="0098749A">
        <w:rPr>
          <w:szCs w:val="24"/>
        </w:rPr>
        <w:t xml:space="preserve">Unfortunately, this case is not </w:t>
      </w:r>
      <w:r w:rsidR="001169B6" w:rsidRPr="0098749A">
        <w:rPr>
          <w:szCs w:val="24"/>
        </w:rPr>
        <w:t>simply</w:t>
      </w:r>
      <w:r w:rsidRPr="0098749A">
        <w:rPr>
          <w:szCs w:val="24"/>
        </w:rPr>
        <w:t xml:space="preserve"> a “failure to prosecute.”  This case </w:t>
      </w:r>
      <w:r w:rsidR="001169B6" w:rsidRPr="0098749A">
        <w:rPr>
          <w:szCs w:val="24"/>
        </w:rPr>
        <w:t>involves</w:t>
      </w:r>
      <w:r w:rsidRPr="0098749A">
        <w:rPr>
          <w:szCs w:val="24"/>
        </w:rPr>
        <w:t xml:space="preserve"> the abatement of a cause of action due to the death of the </w:t>
      </w:r>
      <w:r w:rsidR="001169B6" w:rsidRPr="0098749A">
        <w:rPr>
          <w:szCs w:val="24"/>
        </w:rPr>
        <w:t>C</w:t>
      </w:r>
      <w:r w:rsidRPr="0098749A">
        <w:rPr>
          <w:szCs w:val="24"/>
        </w:rPr>
        <w:t>omplainant, Ms. Bengough.</w:t>
      </w:r>
    </w:p>
    <w:p w:rsidR="00CD7B95" w:rsidRPr="0098749A" w:rsidRDefault="00CD7B95" w:rsidP="00CD7B95">
      <w:pPr>
        <w:spacing w:line="360" w:lineRule="auto"/>
        <w:rPr>
          <w:szCs w:val="24"/>
        </w:rPr>
      </w:pPr>
    </w:p>
    <w:p w:rsidR="00CD7B95" w:rsidRPr="0098749A" w:rsidRDefault="00CD7B95" w:rsidP="00CD7B95">
      <w:pPr>
        <w:pStyle w:val="NormalWeb"/>
        <w:spacing w:before="0" w:beforeAutospacing="0" w:after="0" w:afterAutospacing="0" w:line="360" w:lineRule="auto"/>
        <w:rPr>
          <w:spacing w:val="-3"/>
        </w:rPr>
      </w:pPr>
      <w:r w:rsidRPr="0098749A">
        <w:lastRenderedPageBreak/>
        <w:tab/>
      </w:r>
      <w:r w:rsidR="001169B6" w:rsidRPr="0098749A">
        <w:tab/>
      </w:r>
      <w:r w:rsidR="001169B6" w:rsidRPr="0098749A">
        <w:rPr>
          <w:spacing w:val="-3"/>
        </w:rPr>
        <w:t>In this case, the C</w:t>
      </w:r>
      <w:r w:rsidRPr="0098749A">
        <w:rPr>
          <w:spacing w:val="-3"/>
        </w:rPr>
        <w:t xml:space="preserve">omplainant, Joanne Bengough, died on March 3, 2010.  We know this because a hearing notice sent to Ms. Bengough on August 27, 2010, and a corrected hearing notice sent to Ms. Bengough on September 1, 2010, were </w:t>
      </w:r>
      <w:r w:rsidR="001169B6" w:rsidRPr="0098749A">
        <w:rPr>
          <w:spacing w:val="-3"/>
        </w:rPr>
        <w:t xml:space="preserve">both </w:t>
      </w:r>
      <w:r w:rsidRPr="0098749A">
        <w:rPr>
          <w:spacing w:val="-3"/>
        </w:rPr>
        <w:t xml:space="preserve">returned to the Secretary of the Commission by the United States Postal Service marked “Deceased.”  Tr. at 5.  Looking further into the matter, I found that an obituary had been published in both the </w:t>
      </w:r>
      <w:r w:rsidRPr="0098749A">
        <w:rPr>
          <w:i/>
          <w:spacing w:val="-3"/>
        </w:rPr>
        <w:t>Philadelphia Inquirer</w:t>
      </w:r>
      <w:r w:rsidRPr="0098749A">
        <w:rPr>
          <w:spacing w:val="-3"/>
        </w:rPr>
        <w:t xml:space="preserve"> and the </w:t>
      </w:r>
      <w:r w:rsidRPr="0098749A">
        <w:rPr>
          <w:i/>
          <w:spacing w:val="-3"/>
        </w:rPr>
        <w:t>Philadelphia Daily News</w:t>
      </w:r>
      <w:r w:rsidRPr="0098749A">
        <w:rPr>
          <w:spacing w:val="-3"/>
        </w:rPr>
        <w:t xml:space="preserve"> on March 7, 2010, stating that Ms. Bengough had died on March 3, 2010.  A copy of that obituary was admitted as ALJ Exhibit 1 without objection from PGW.  Tr. at 5.  </w:t>
      </w:r>
      <w:r w:rsidR="0094179F" w:rsidRPr="0098749A">
        <w:rPr>
          <w:spacing w:val="-3"/>
        </w:rPr>
        <w:t>A</w:t>
      </w:r>
      <w:r w:rsidRPr="0098749A">
        <w:rPr>
          <w:spacing w:val="-3"/>
        </w:rPr>
        <w:t xml:space="preserve">greeing that Ms. Bengough had died, counsel for PGW </w:t>
      </w:r>
      <w:r w:rsidR="0094179F" w:rsidRPr="0098749A">
        <w:rPr>
          <w:spacing w:val="-3"/>
        </w:rPr>
        <w:t xml:space="preserve">moved to dismiss her complaint but </w:t>
      </w:r>
      <w:r w:rsidRPr="0098749A">
        <w:rPr>
          <w:spacing w:val="-3"/>
        </w:rPr>
        <w:t xml:space="preserve">stated  that her account remains open and that PGW has contacted the residents at the service address </w:t>
      </w:r>
      <w:r w:rsidR="00AE64C8" w:rsidRPr="0098749A">
        <w:rPr>
          <w:spacing w:val="-3"/>
        </w:rPr>
        <w:t xml:space="preserve">asking them </w:t>
      </w:r>
      <w:r w:rsidRPr="0098749A">
        <w:rPr>
          <w:spacing w:val="-3"/>
        </w:rPr>
        <w:t>to make application for service.  Tr. at 6.</w:t>
      </w:r>
    </w:p>
    <w:p w:rsidR="00CD7B95" w:rsidRPr="0098749A" w:rsidRDefault="00CD7B95" w:rsidP="005C3829">
      <w:pPr>
        <w:pStyle w:val="BodyText"/>
        <w:ind w:firstLine="1440"/>
        <w:rPr>
          <w:sz w:val="24"/>
          <w:szCs w:val="24"/>
        </w:rPr>
      </w:pPr>
    </w:p>
    <w:p w:rsidR="00D414E5" w:rsidRPr="0098749A" w:rsidRDefault="00D414E5" w:rsidP="005C3829">
      <w:pPr>
        <w:pStyle w:val="BodyText"/>
        <w:ind w:firstLine="1440"/>
        <w:rPr>
          <w:sz w:val="24"/>
          <w:szCs w:val="24"/>
        </w:rPr>
      </w:pPr>
      <w:r w:rsidRPr="0098749A">
        <w:rPr>
          <w:sz w:val="24"/>
          <w:szCs w:val="24"/>
        </w:rPr>
        <w:t>The Commission regulation at 52 Pa. Code § 5.</w:t>
      </w:r>
      <w:r w:rsidR="009C422E" w:rsidRPr="0098749A">
        <w:rPr>
          <w:sz w:val="24"/>
          <w:szCs w:val="24"/>
        </w:rPr>
        <w:t>103</w:t>
      </w:r>
      <w:r w:rsidRPr="0098749A">
        <w:rPr>
          <w:sz w:val="24"/>
          <w:szCs w:val="24"/>
        </w:rPr>
        <w:t xml:space="preserve"> govern</w:t>
      </w:r>
      <w:r w:rsidR="009C422E" w:rsidRPr="0098749A">
        <w:rPr>
          <w:sz w:val="24"/>
          <w:szCs w:val="24"/>
        </w:rPr>
        <w:t>s</w:t>
      </w:r>
      <w:r w:rsidRPr="0098749A">
        <w:rPr>
          <w:sz w:val="24"/>
          <w:szCs w:val="24"/>
        </w:rPr>
        <w:t xml:space="preserve"> </w:t>
      </w:r>
      <w:r w:rsidR="009C422E" w:rsidRPr="0098749A">
        <w:rPr>
          <w:sz w:val="24"/>
          <w:szCs w:val="24"/>
        </w:rPr>
        <w:t>motions for a ruling or relief</w:t>
      </w:r>
      <w:r w:rsidRPr="0098749A">
        <w:rPr>
          <w:sz w:val="24"/>
          <w:szCs w:val="24"/>
        </w:rPr>
        <w:t xml:space="preserve"> </w:t>
      </w:r>
      <w:r w:rsidR="009C422E" w:rsidRPr="0098749A">
        <w:rPr>
          <w:sz w:val="24"/>
          <w:szCs w:val="24"/>
        </w:rPr>
        <w:t xml:space="preserve">and </w:t>
      </w:r>
      <w:r w:rsidRPr="0098749A">
        <w:rPr>
          <w:sz w:val="24"/>
          <w:szCs w:val="24"/>
        </w:rPr>
        <w:t>read</w:t>
      </w:r>
      <w:r w:rsidR="009C422E" w:rsidRPr="0098749A">
        <w:rPr>
          <w:sz w:val="24"/>
          <w:szCs w:val="24"/>
        </w:rPr>
        <w:t>s</w:t>
      </w:r>
      <w:r w:rsidR="00FF59C8" w:rsidRPr="0098749A">
        <w:rPr>
          <w:sz w:val="24"/>
          <w:szCs w:val="24"/>
        </w:rPr>
        <w:t>, in part,</w:t>
      </w:r>
      <w:r w:rsidRPr="0098749A">
        <w:rPr>
          <w:sz w:val="24"/>
          <w:szCs w:val="24"/>
        </w:rPr>
        <w:t xml:space="preserve"> as follows:  </w:t>
      </w:r>
    </w:p>
    <w:p w:rsidR="00D414E5" w:rsidRPr="0098749A" w:rsidRDefault="00D414E5" w:rsidP="005C3829">
      <w:pPr>
        <w:pStyle w:val="BodyText"/>
        <w:rPr>
          <w:sz w:val="24"/>
          <w:szCs w:val="24"/>
        </w:rPr>
      </w:pPr>
    </w:p>
    <w:p w:rsidR="00D414E5" w:rsidRPr="0098749A" w:rsidRDefault="00D414E5" w:rsidP="00DA6E4F">
      <w:pPr>
        <w:ind w:left="1440" w:right="1440"/>
        <w:rPr>
          <w:b/>
          <w:bCs/>
          <w:spacing w:val="-3"/>
          <w:szCs w:val="24"/>
        </w:rPr>
      </w:pPr>
      <w:bookmarkStart w:id="0" w:name="5.371."/>
      <w:r w:rsidRPr="0098749A">
        <w:rPr>
          <w:b/>
          <w:bCs/>
          <w:spacing w:val="-3"/>
          <w:szCs w:val="24"/>
        </w:rPr>
        <w:t>5.</w:t>
      </w:r>
      <w:r w:rsidR="009C422E" w:rsidRPr="0098749A">
        <w:rPr>
          <w:b/>
          <w:bCs/>
          <w:spacing w:val="-3"/>
          <w:szCs w:val="24"/>
        </w:rPr>
        <w:t>103</w:t>
      </w:r>
      <w:r w:rsidRPr="0098749A">
        <w:rPr>
          <w:b/>
          <w:bCs/>
          <w:spacing w:val="-3"/>
          <w:szCs w:val="24"/>
        </w:rPr>
        <w:t xml:space="preserve">. </w:t>
      </w:r>
      <w:r w:rsidR="009C422E" w:rsidRPr="0098749A">
        <w:rPr>
          <w:b/>
          <w:bCs/>
          <w:spacing w:val="-3"/>
          <w:szCs w:val="24"/>
        </w:rPr>
        <w:t>Motions</w:t>
      </w:r>
      <w:r w:rsidRPr="0098749A">
        <w:rPr>
          <w:b/>
          <w:bCs/>
          <w:spacing w:val="-3"/>
          <w:szCs w:val="24"/>
        </w:rPr>
        <w:t>.</w:t>
      </w:r>
    </w:p>
    <w:p w:rsidR="00DA6E4F" w:rsidRPr="0098749A" w:rsidRDefault="00DA6E4F" w:rsidP="00DA6E4F">
      <w:pPr>
        <w:ind w:left="1440" w:right="1440"/>
        <w:rPr>
          <w:b/>
          <w:bCs/>
          <w:spacing w:val="-3"/>
          <w:szCs w:val="24"/>
        </w:rPr>
      </w:pPr>
    </w:p>
    <w:p w:rsidR="009C422E" w:rsidRPr="0098749A" w:rsidRDefault="00DA6E4F" w:rsidP="009C422E">
      <w:pPr>
        <w:ind w:left="1440" w:right="1440"/>
        <w:rPr>
          <w:spacing w:val="-3"/>
          <w:szCs w:val="24"/>
        </w:rPr>
      </w:pPr>
      <w:r w:rsidRPr="0098749A">
        <w:rPr>
          <w:spacing w:val="-3"/>
          <w:szCs w:val="24"/>
        </w:rPr>
        <w:t>(a)</w:t>
      </w:r>
      <w:r w:rsidRPr="0098749A">
        <w:rPr>
          <w:spacing w:val="-3"/>
          <w:szCs w:val="24"/>
        </w:rPr>
        <w:tab/>
      </w:r>
      <w:bookmarkStart w:id="1" w:name="5.103."/>
      <w:r w:rsidR="009C422E" w:rsidRPr="0098749A">
        <w:rPr>
          <w:spacing w:val="-3"/>
          <w:szCs w:val="24"/>
        </w:rPr>
        <w:t> </w:t>
      </w:r>
      <w:r w:rsidR="009C422E" w:rsidRPr="0098749A">
        <w:rPr>
          <w:i/>
          <w:iCs/>
          <w:spacing w:val="-3"/>
          <w:szCs w:val="24"/>
        </w:rPr>
        <w:t>Scope and content</w:t>
      </w:r>
      <w:r w:rsidR="009C422E" w:rsidRPr="0098749A">
        <w:rPr>
          <w:spacing w:val="-3"/>
          <w:szCs w:val="24"/>
        </w:rPr>
        <w:t xml:space="preserve">. A request may be made by motion for relief desired, except as may be otherwise expressly provided in this chapter and Chapters 1 and 3 (relating to rules of administrative practice and procedure; and special provisions). A motion must set forth the ruling or relief sought, and state the grounds </w:t>
      </w:r>
      <w:r w:rsidR="00BB38BC" w:rsidRPr="0098749A">
        <w:rPr>
          <w:spacing w:val="-3"/>
          <w:szCs w:val="24"/>
        </w:rPr>
        <w:t>therefore</w:t>
      </w:r>
      <w:r w:rsidR="009C422E" w:rsidRPr="0098749A">
        <w:rPr>
          <w:spacing w:val="-3"/>
          <w:szCs w:val="24"/>
        </w:rPr>
        <w:t xml:space="preserve"> and the statutory or other authority upon which it relies. </w:t>
      </w:r>
    </w:p>
    <w:p w:rsidR="009C422E" w:rsidRPr="0098749A" w:rsidRDefault="009C422E" w:rsidP="009C422E">
      <w:pPr>
        <w:ind w:left="1440" w:right="1440"/>
        <w:rPr>
          <w:spacing w:val="-3"/>
          <w:szCs w:val="24"/>
        </w:rPr>
      </w:pPr>
    </w:p>
    <w:p w:rsidR="009C422E" w:rsidRPr="0098749A" w:rsidRDefault="008F7313" w:rsidP="009C422E">
      <w:pPr>
        <w:ind w:left="1440" w:right="1440"/>
        <w:rPr>
          <w:spacing w:val="-3"/>
          <w:szCs w:val="24"/>
        </w:rPr>
      </w:pPr>
      <w:r>
        <w:rPr>
          <w:spacing w:val="-3"/>
          <w:szCs w:val="24"/>
        </w:rPr>
        <w:t>(b)</w:t>
      </w:r>
      <w:r>
        <w:rPr>
          <w:spacing w:val="-3"/>
          <w:szCs w:val="24"/>
        </w:rPr>
        <w:tab/>
      </w:r>
      <w:r w:rsidR="009C422E" w:rsidRPr="0098749A">
        <w:rPr>
          <w:i/>
          <w:iCs/>
          <w:spacing w:val="-3"/>
          <w:szCs w:val="24"/>
        </w:rPr>
        <w:t>Presentation of motions</w:t>
      </w:r>
      <w:r w:rsidR="009C422E" w:rsidRPr="0098749A">
        <w:rPr>
          <w:spacing w:val="-3"/>
          <w:szCs w:val="24"/>
        </w:rPr>
        <w:t>. A motion may be made in writing at any time, and a motion made during a hearing may be stated orally upon the record . . .</w:t>
      </w:r>
    </w:p>
    <w:p w:rsidR="009C422E" w:rsidRPr="0098749A" w:rsidRDefault="009C422E" w:rsidP="009C422E">
      <w:pPr>
        <w:ind w:left="1440" w:right="1440"/>
        <w:rPr>
          <w:spacing w:val="-3"/>
          <w:szCs w:val="24"/>
        </w:rPr>
      </w:pPr>
    </w:p>
    <w:p w:rsidR="009C422E" w:rsidRPr="0098749A" w:rsidRDefault="009C422E" w:rsidP="009C422E">
      <w:pPr>
        <w:ind w:left="1440" w:right="1440"/>
        <w:rPr>
          <w:spacing w:val="-3"/>
          <w:szCs w:val="24"/>
        </w:rPr>
      </w:pPr>
      <w:r w:rsidRPr="0098749A">
        <w:rPr>
          <w:spacing w:val="-3"/>
          <w:szCs w:val="24"/>
        </w:rPr>
        <w:t>(d)</w:t>
      </w:r>
      <w:r w:rsidR="008F7313">
        <w:rPr>
          <w:spacing w:val="-3"/>
          <w:szCs w:val="24"/>
        </w:rPr>
        <w:tab/>
      </w:r>
      <w:r w:rsidRPr="0098749A">
        <w:rPr>
          <w:i/>
          <w:iCs/>
          <w:spacing w:val="-3"/>
          <w:szCs w:val="24"/>
        </w:rPr>
        <w:t>Rulings on motions</w:t>
      </w:r>
      <w:r w:rsidRPr="0098749A">
        <w:rPr>
          <w:spacing w:val="-3"/>
          <w:szCs w:val="24"/>
        </w:rPr>
        <w:t xml:space="preserve">. </w:t>
      </w:r>
    </w:p>
    <w:p w:rsidR="00C90256" w:rsidRPr="0098749A" w:rsidRDefault="00C90256" w:rsidP="009C422E">
      <w:pPr>
        <w:ind w:left="1440" w:right="1440"/>
        <w:rPr>
          <w:spacing w:val="-3"/>
          <w:szCs w:val="24"/>
        </w:rPr>
      </w:pPr>
    </w:p>
    <w:p w:rsidR="009C422E" w:rsidRPr="0098749A" w:rsidRDefault="008F7313" w:rsidP="008F7313">
      <w:pPr>
        <w:ind w:left="1440" w:right="1440" w:firstLine="720"/>
        <w:rPr>
          <w:spacing w:val="-3"/>
          <w:szCs w:val="24"/>
        </w:rPr>
      </w:pPr>
      <w:r>
        <w:rPr>
          <w:spacing w:val="-3"/>
          <w:szCs w:val="24"/>
        </w:rPr>
        <w:t>(1)</w:t>
      </w:r>
      <w:r>
        <w:rPr>
          <w:spacing w:val="-3"/>
          <w:szCs w:val="24"/>
        </w:rPr>
        <w:tab/>
      </w:r>
      <w:r w:rsidR="009C422E" w:rsidRPr="0098749A">
        <w:rPr>
          <w:spacing w:val="-3"/>
          <w:szCs w:val="24"/>
        </w:rPr>
        <w:t xml:space="preserve">The presiding officer is authorized to rule and will rule upon motions: </w:t>
      </w:r>
    </w:p>
    <w:p w:rsidR="00C90256" w:rsidRPr="0098749A" w:rsidRDefault="00C90256" w:rsidP="009C422E">
      <w:pPr>
        <w:ind w:left="1440" w:right="1440"/>
        <w:rPr>
          <w:spacing w:val="-3"/>
          <w:szCs w:val="24"/>
        </w:rPr>
      </w:pPr>
    </w:p>
    <w:p w:rsidR="009C422E" w:rsidRPr="0098749A" w:rsidRDefault="008F7313" w:rsidP="008F7313">
      <w:pPr>
        <w:ind w:left="2160" w:right="1440" w:firstLine="720"/>
        <w:rPr>
          <w:spacing w:val="-3"/>
          <w:szCs w:val="24"/>
        </w:rPr>
      </w:pPr>
      <w:r>
        <w:rPr>
          <w:spacing w:val="-3"/>
          <w:szCs w:val="24"/>
        </w:rPr>
        <w:t>(i)</w:t>
      </w:r>
      <w:r>
        <w:rPr>
          <w:spacing w:val="-3"/>
          <w:szCs w:val="24"/>
        </w:rPr>
        <w:tab/>
      </w:r>
      <w:r w:rsidR="009C422E" w:rsidRPr="0098749A">
        <w:rPr>
          <w:spacing w:val="-3"/>
          <w:szCs w:val="24"/>
        </w:rPr>
        <w:t xml:space="preserve">Not formerly acted upon by the Commission prior to the commencement of the hearing where an immediate ruling is essential in order to proceed with the hearing. </w:t>
      </w:r>
    </w:p>
    <w:p w:rsidR="00C90256" w:rsidRPr="0098749A" w:rsidRDefault="00C90256" w:rsidP="009C422E">
      <w:pPr>
        <w:ind w:left="1440" w:right="1440"/>
        <w:rPr>
          <w:spacing w:val="-3"/>
          <w:szCs w:val="24"/>
        </w:rPr>
      </w:pPr>
    </w:p>
    <w:p w:rsidR="009C422E" w:rsidRPr="0098749A" w:rsidRDefault="008F7313" w:rsidP="008F7313">
      <w:pPr>
        <w:ind w:left="2160" w:right="1440" w:firstLine="720"/>
        <w:rPr>
          <w:spacing w:val="-3"/>
          <w:szCs w:val="24"/>
        </w:rPr>
      </w:pPr>
      <w:r>
        <w:rPr>
          <w:spacing w:val="-3"/>
          <w:szCs w:val="24"/>
        </w:rPr>
        <w:lastRenderedPageBreak/>
        <w:t>(ii)</w:t>
      </w:r>
      <w:r>
        <w:rPr>
          <w:spacing w:val="-3"/>
          <w:szCs w:val="24"/>
        </w:rPr>
        <w:tab/>
      </w:r>
      <w:r w:rsidR="009C422E" w:rsidRPr="0098749A">
        <w:rPr>
          <w:spacing w:val="-3"/>
          <w:szCs w:val="24"/>
        </w:rPr>
        <w:t xml:space="preserve">Filed or made after the commencement of the hearing and prior to the submission of a decision in the proceeding. </w:t>
      </w:r>
    </w:p>
    <w:p w:rsidR="00C90256" w:rsidRPr="0098749A" w:rsidRDefault="00C90256" w:rsidP="009C422E">
      <w:pPr>
        <w:ind w:left="1440" w:right="1440"/>
        <w:rPr>
          <w:spacing w:val="-3"/>
          <w:szCs w:val="24"/>
        </w:rPr>
      </w:pPr>
    </w:p>
    <w:p w:rsidR="009C422E" w:rsidRPr="0098749A" w:rsidRDefault="008F7313" w:rsidP="005E2D77">
      <w:pPr>
        <w:ind w:left="1440" w:right="1440" w:firstLine="720"/>
        <w:rPr>
          <w:spacing w:val="-3"/>
          <w:szCs w:val="24"/>
        </w:rPr>
      </w:pPr>
      <w:r>
        <w:rPr>
          <w:spacing w:val="-3"/>
          <w:szCs w:val="24"/>
        </w:rPr>
        <w:t>(2)</w:t>
      </w:r>
      <w:r>
        <w:rPr>
          <w:spacing w:val="-3"/>
          <w:szCs w:val="24"/>
        </w:rPr>
        <w:tab/>
      </w:r>
      <w:r w:rsidR="009C422E" w:rsidRPr="0098749A">
        <w:rPr>
          <w:spacing w:val="-3"/>
          <w:szCs w:val="24"/>
        </w:rPr>
        <w:t xml:space="preserve">A motion made during the course of hearing, which if granted would otherwise dispose of parties’ rights, should be acted upon by the presiding officer prior to taking further testimony if, in the opinion of the presiding officer, the action is warranted. </w:t>
      </w:r>
    </w:p>
    <w:p w:rsidR="009C422E" w:rsidRPr="0098749A" w:rsidRDefault="009C422E" w:rsidP="009C422E">
      <w:pPr>
        <w:ind w:left="1440" w:right="1440"/>
        <w:rPr>
          <w:spacing w:val="-3"/>
          <w:szCs w:val="24"/>
        </w:rPr>
      </w:pPr>
    </w:p>
    <w:p w:rsidR="00C74539" w:rsidRPr="0098749A" w:rsidRDefault="00FF59C8" w:rsidP="005C3829">
      <w:pPr>
        <w:pStyle w:val="NormalWeb"/>
        <w:spacing w:before="0" w:beforeAutospacing="0" w:after="0" w:afterAutospacing="0"/>
        <w:jc w:val="center"/>
        <w:rPr>
          <w:spacing w:val="-3"/>
        </w:rPr>
      </w:pPr>
      <w:bookmarkStart w:id="2" w:name="5.372."/>
      <w:bookmarkEnd w:id="0"/>
      <w:bookmarkEnd w:id="1"/>
      <w:r w:rsidRPr="0098749A">
        <w:rPr>
          <w:spacing w:val="-3"/>
        </w:rPr>
        <w:t>****************</w:t>
      </w:r>
    </w:p>
    <w:p w:rsidR="00FF5C95" w:rsidRPr="0098749A" w:rsidRDefault="00C90256" w:rsidP="00C74539">
      <w:pPr>
        <w:pStyle w:val="NormalWeb"/>
        <w:spacing w:before="0" w:beforeAutospacing="0" w:after="0" w:afterAutospacing="0" w:line="360" w:lineRule="auto"/>
        <w:rPr>
          <w:spacing w:val="-3"/>
        </w:rPr>
      </w:pPr>
      <w:r w:rsidRPr="0098749A">
        <w:rPr>
          <w:spacing w:val="-3"/>
        </w:rPr>
        <w:tab/>
      </w:r>
    </w:p>
    <w:p w:rsidR="00FF5C95" w:rsidRPr="0098749A" w:rsidRDefault="00AE64C8" w:rsidP="00C74539">
      <w:pPr>
        <w:pStyle w:val="NormalWeb"/>
        <w:spacing w:before="0" w:beforeAutospacing="0" w:after="0" w:afterAutospacing="0" w:line="360" w:lineRule="auto"/>
        <w:rPr>
          <w:spacing w:val="-3"/>
        </w:rPr>
      </w:pPr>
      <w:r w:rsidRPr="0098749A">
        <w:rPr>
          <w:spacing w:val="-3"/>
        </w:rPr>
        <w:tab/>
      </w:r>
      <w:r w:rsidR="00FF5C95" w:rsidRPr="0098749A">
        <w:rPr>
          <w:spacing w:val="-3"/>
        </w:rPr>
        <w:tab/>
        <w:t>Given the fact that</w:t>
      </w:r>
      <w:r w:rsidRPr="0098749A">
        <w:rPr>
          <w:spacing w:val="-3"/>
        </w:rPr>
        <w:t xml:space="preserve"> the C</w:t>
      </w:r>
      <w:r w:rsidR="00FF5C95" w:rsidRPr="0098749A">
        <w:rPr>
          <w:spacing w:val="-3"/>
        </w:rPr>
        <w:t xml:space="preserve">omplainant, </w:t>
      </w:r>
      <w:r w:rsidRPr="0098749A">
        <w:rPr>
          <w:spacing w:val="-3"/>
        </w:rPr>
        <w:t xml:space="preserve">Ms. Bengough, </w:t>
      </w:r>
      <w:r w:rsidR="00FF5C95" w:rsidRPr="0098749A">
        <w:rPr>
          <w:spacing w:val="-3"/>
        </w:rPr>
        <w:t>died prior to hearing, her complaint has abated, and PGW</w:t>
      </w:r>
      <w:r w:rsidR="00282DB4">
        <w:rPr>
          <w:spacing w:val="-3"/>
        </w:rPr>
        <w:t>’s motion to dismiss her complai</w:t>
      </w:r>
      <w:r w:rsidR="00FF5C95" w:rsidRPr="0098749A">
        <w:rPr>
          <w:spacing w:val="-3"/>
        </w:rPr>
        <w:t>nt is appropriate.  As a general principle, causes of action abate upon the death of a complainant</w:t>
      </w:r>
      <w:r w:rsidR="00CC2FD0" w:rsidRPr="0098749A">
        <w:rPr>
          <w:spacing w:val="-3"/>
        </w:rPr>
        <w:t xml:space="preserve">, though it is possible that the matter might be revived by survivors.  See </w:t>
      </w:r>
      <w:r w:rsidR="00CC2FD0" w:rsidRPr="0098749A">
        <w:rPr>
          <w:i/>
          <w:spacing w:val="-3"/>
        </w:rPr>
        <w:t>Freeman v. Giacomo Costa Fu Andrea</w:t>
      </w:r>
      <w:r w:rsidR="00CC2FD0" w:rsidRPr="0098749A">
        <w:rPr>
          <w:spacing w:val="-3"/>
        </w:rPr>
        <w:t xml:space="preserve">, 282 F.Supp. (E.D. Pa 1968); </w:t>
      </w:r>
      <w:r w:rsidR="00CC2FD0" w:rsidRPr="0098749A">
        <w:rPr>
          <w:i/>
          <w:spacing w:val="-3"/>
        </w:rPr>
        <w:t>Johnson v. Peoples First Nat’l. Bank &amp; Trust Co</w:t>
      </w:r>
      <w:r w:rsidR="00CC2FD0" w:rsidRPr="0098749A">
        <w:rPr>
          <w:spacing w:val="-3"/>
        </w:rPr>
        <w:t>., 394 Pa. 116, 145 A.2d 716 (1958)</w:t>
      </w:r>
      <w:r w:rsidR="00DF272C" w:rsidRPr="0098749A">
        <w:rPr>
          <w:spacing w:val="-3"/>
        </w:rPr>
        <w:t xml:space="preserve">.  </w:t>
      </w:r>
    </w:p>
    <w:p w:rsidR="00742E47" w:rsidRPr="0098749A" w:rsidRDefault="00742E47" w:rsidP="00C74539">
      <w:pPr>
        <w:pStyle w:val="NormalWeb"/>
        <w:spacing w:before="0" w:beforeAutospacing="0" w:after="0" w:afterAutospacing="0" w:line="360" w:lineRule="auto"/>
        <w:rPr>
          <w:spacing w:val="-3"/>
        </w:rPr>
      </w:pPr>
    </w:p>
    <w:p w:rsidR="00F678C5" w:rsidRPr="0098749A" w:rsidRDefault="00742E47" w:rsidP="00DF272C">
      <w:pPr>
        <w:pStyle w:val="NormalWeb"/>
        <w:spacing w:before="0" w:beforeAutospacing="0" w:after="0" w:afterAutospacing="0" w:line="360" w:lineRule="auto"/>
        <w:rPr>
          <w:spacing w:val="-3"/>
        </w:rPr>
      </w:pPr>
      <w:r w:rsidRPr="0098749A">
        <w:rPr>
          <w:spacing w:val="-3"/>
        </w:rPr>
        <w:tab/>
      </w:r>
      <w:bookmarkEnd w:id="2"/>
      <w:r w:rsidR="00AE64C8" w:rsidRPr="0098749A">
        <w:rPr>
          <w:spacing w:val="-3"/>
        </w:rPr>
        <w:tab/>
      </w:r>
      <w:r w:rsidR="00E555EB" w:rsidRPr="0098749A">
        <w:t xml:space="preserve">Granting </w:t>
      </w:r>
      <w:r w:rsidR="00DF272C" w:rsidRPr="0098749A">
        <w:t>PGW</w:t>
      </w:r>
      <w:r w:rsidR="00E555EB" w:rsidRPr="0098749A">
        <w:t>’s motion to dismiss is</w:t>
      </w:r>
      <w:r w:rsidR="00E555EB" w:rsidRPr="0098749A">
        <w:rPr>
          <w:spacing w:val="-3"/>
        </w:rPr>
        <w:t xml:space="preserve"> in the public interest.  Dismissing </w:t>
      </w:r>
      <w:r w:rsidR="00282DB4">
        <w:rPr>
          <w:spacing w:val="-3"/>
        </w:rPr>
        <w:t>Ms. </w:t>
      </w:r>
      <w:r w:rsidR="00DF272C" w:rsidRPr="0098749A">
        <w:rPr>
          <w:spacing w:val="-3"/>
        </w:rPr>
        <w:t>Bengough</w:t>
      </w:r>
      <w:r w:rsidR="00E555EB" w:rsidRPr="0098749A">
        <w:rPr>
          <w:spacing w:val="-3"/>
        </w:rPr>
        <w:t xml:space="preserve">’s complaint </w:t>
      </w:r>
      <w:r w:rsidR="00DF272C" w:rsidRPr="0098749A">
        <w:rPr>
          <w:spacing w:val="-3"/>
        </w:rPr>
        <w:t xml:space="preserve">recognizes the unfortunate reality that </w:t>
      </w:r>
      <w:r w:rsidR="00F678C5" w:rsidRPr="0098749A">
        <w:rPr>
          <w:spacing w:val="-3"/>
        </w:rPr>
        <w:t>she is beyond prosecuting this matter.  That being said, I will enter an order granting the motion to dismiss without prejudice to the estate of Ms. Bengough should her executor or personal representative wish to attempt to revive the complaint.</w:t>
      </w:r>
    </w:p>
    <w:p w:rsidR="00F678C5" w:rsidRPr="0098749A" w:rsidRDefault="00F678C5" w:rsidP="00DF272C">
      <w:pPr>
        <w:pStyle w:val="NormalWeb"/>
        <w:spacing w:before="0" w:beforeAutospacing="0" w:after="0" w:afterAutospacing="0" w:line="360" w:lineRule="auto"/>
        <w:rPr>
          <w:spacing w:val="-3"/>
        </w:rPr>
      </w:pPr>
    </w:p>
    <w:p w:rsidR="00CF6A3F" w:rsidRPr="0098749A" w:rsidRDefault="00C74539" w:rsidP="00C74539">
      <w:pPr>
        <w:pStyle w:val="BodyText"/>
        <w:jc w:val="center"/>
        <w:rPr>
          <w:sz w:val="24"/>
          <w:szCs w:val="24"/>
          <w:u w:val="single"/>
        </w:rPr>
      </w:pPr>
      <w:r w:rsidRPr="0098749A">
        <w:rPr>
          <w:sz w:val="24"/>
          <w:szCs w:val="24"/>
          <w:u w:val="single"/>
        </w:rPr>
        <w:t>CONCLUSIONS OF LAW</w:t>
      </w:r>
    </w:p>
    <w:p w:rsidR="00C74539" w:rsidRPr="0098749A" w:rsidRDefault="00C74539" w:rsidP="00C74539">
      <w:pPr>
        <w:pStyle w:val="BodyText"/>
        <w:jc w:val="center"/>
        <w:rPr>
          <w:sz w:val="24"/>
          <w:szCs w:val="24"/>
          <w:u w:val="single"/>
        </w:rPr>
      </w:pPr>
    </w:p>
    <w:p w:rsidR="00C74539" w:rsidRPr="0098749A" w:rsidRDefault="00C74539" w:rsidP="00C74539">
      <w:pPr>
        <w:pStyle w:val="BodyText"/>
        <w:numPr>
          <w:ilvl w:val="0"/>
          <w:numId w:val="4"/>
        </w:numPr>
        <w:ind w:left="0" w:firstLine="1440"/>
        <w:rPr>
          <w:sz w:val="24"/>
          <w:szCs w:val="24"/>
        </w:rPr>
      </w:pPr>
      <w:r w:rsidRPr="0098749A">
        <w:rPr>
          <w:sz w:val="24"/>
          <w:szCs w:val="24"/>
        </w:rPr>
        <w:t xml:space="preserve">The Commission has jurisdiction over the parties and subject matter in this proceeding.  </w:t>
      </w:r>
    </w:p>
    <w:p w:rsidR="00C74539" w:rsidRPr="0098749A" w:rsidRDefault="00C74539" w:rsidP="00C74539">
      <w:pPr>
        <w:pStyle w:val="BodyText"/>
        <w:jc w:val="center"/>
        <w:rPr>
          <w:sz w:val="24"/>
          <w:szCs w:val="24"/>
          <w:u w:val="single"/>
        </w:rPr>
      </w:pPr>
    </w:p>
    <w:p w:rsidR="00D5770F" w:rsidRPr="0098749A" w:rsidRDefault="00CF6A3F" w:rsidP="0094179F">
      <w:pPr>
        <w:spacing w:line="360" w:lineRule="auto"/>
        <w:rPr>
          <w:szCs w:val="24"/>
        </w:rPr>
      </w:pPr>
      <w:r w:rsidRPr="0098749A">
        <w:rPr>
          <w:szCs w:val="24"/>
        </w:rPr>
        <w:tab/>
      </w:r>
      <w:r w:rsidRPr="0098749A">
        <w:rPr>
          <w:szCs w:val="24"/>
        </w:rPr>
        <w:tab/>
        <w:t>2.</w:t>
      </w:r>
      <w:r w:rsidRPr="0098749A">
        <w:rPr>
          <w:szCs w:val="24"/>
        </w:rPr>
        <w:tab/>
      </w:r>
      <w:r w:rsidR="00AE64C8" w:rsidRPr="0098749A">
        <w:rPr>
          <w:szCs w:val="24"/>
        </w:rPr>
        <w:t>T</w:t>
      </w:r>
      <w:r w:rsidR="0094179F" w:rsidRPr="0098749A">
        <w:rPr>
          <w:szCs w:val="24"/>
        </w:rPr>
        <w:t>he Complainant, Joanne Bengough had the burden of proof in this case but was unable to go forward or to carry that burden. 66 Pa. C.S. § 332(a)</w:t>
      </w:r>
      <w:r w:rsidR="00AE64C8" w:rsidRPr="0098749A">
        <w:rPr>
          <w:szCs w:val="24"/>
        </w:rPr>
        <w:t>.</w:t>
      </w:r>
    </w:p>
    <w:p w:rsidR="00D5770F" w:rsidRPr="0098749A" w:rsidRDefault="00D5770F" w:rsidP="0094179F">
      <w:pPr>
        <w:spacing w:line="360" w:lineRule="auto"/>
        <w:rPr>
          <w:szCs w:val="24"/>
        </w:rPr>
      </w:pPr>
    </w:p>
    <w:p w:rsidR="002A6B82" w:rsidRPr="0098749A" w:rsidRDefault="00D5770F" w:rsidP="0094179F">
      <w:pPr>
        <w:spacing w:line="360" w:lineRule="auto"/>
        <w:rPr>
          <w:spacing w:val="-3"/>
          <w:szCs w:val="24"/>
        </w:rPr>
      </w:pPr>
      <w:r w:rsidRPr="0098749A">
        <w:rPr>
          <w:szCs w:val="24"/>
        </w:rPr>
        <w:tab/>
      </w:r>
      <w:r w:rsidRPr="0098749A">
        <w:rPr>
          <w:szCs w:val="24"/>
        </w:rPr>
        <w:tab/>
        <w:t>3.</w:t>
      </w:r>
      <w:r w:rsidRPr="0098749A">
        <w:rPr>
          <w:szCs w:val="24"/>
        </w:rPr>
        <w:tab/>
      </w:r>
      <w:r w:rsidR="00CF6A3F" w:rsidRPr="0098749A">
        <w:rPr>
          <w:spacing w:val="-3"/>
          <w:szCs w:val="24"/>
        </w:rPr>
        <w:t xml:space="preserve"> </w:t>
      </w:r>
      <w:r w:rsidRPr="0098749A">
        <w:rPr>
          <w:spacing w:val="-3"/>
          <w:szCs w:val="24"/>
        </w:rPr>
        <w:t xml:space="preserve">As a general principle, causes of action abate upon the death of a complainant, though it is possible that the matter might be revived by survivors.  See </w:t>
      </w:r>
      <w:r w:rsidRPr="0098749A">
        <w:rPr>
          <w:i/>
          <w:spacing w:val="-3"/>
          <w:szCs w:val="24"/>
        </w:rPr>
        <w:t xml:space="preserve">Freeman v. </w:t>
      </w:r>
      <w:r w:rsidRPr="0098749A">
        <w:rPr>
          <w:i/>
          <w:spacing w:val="-3"/>
          <w:szCs w:val="24"/>
        </w:rPr>
        <w:lastRenderedPageBreak/>
        <w:t>Giacomo Costa Fu Andrea</w:t>
      </w:r>
      <w:r w:rsidRPr="0098749A">
        <w:rPr>
          <w:spacing w:val="-3"/>
          <w:szCs w:val="24"/>
        </w:rPr>
        <w:t xml:space="preserve">, 282 F.Supp. (E.D. Pa 1968); </w:t>
      </w:r>
      <w:r w:rsidRPr="0098749A">
        <w:rPr>
          <w:i/>
          <w:spacing w:val="-3"/>
          <w:szCs w:val="24"/>
        </w:rPr>
        <w:t>Johnson v. Peoples First Nat’l. Bank &amp; Trust Co</w:t>
      </w:r>
      <w:r w:rsidRPr="0098749A">
        <w:rPr>
          <w:spacing w:val="-3"/>
          <w:szCs w:val="24"/>
        </w:rPr>
        <w:t xml:space="preserve">., 394 Pa. 116, 145 A.2d 716 (1958).  </w:t>
      </w:r>
    </w:p>
    <w:p w:rsidR="00D5770F" w:rsidRDefault="00D5770F" w:rsidP="0094179F">
      <w:pPr>
        <w:spacing w:line="360" w:lineRule="auto"/>
        <w:rPr>
          <w:spacing w:val="-3"/>
          <w:szCs w:val="24"/>
        </w:rPr>
      </w:pPr>
    </w:p>
    <w:p w:rsidR="00282DB4" w:rsidRPr="0098749A" w:rsidRDefault="00282DB4" w:rsidP="0094179F">
      <w:pPr>
        <w:spacing w:line="360" w:lineRule="auto"/>
        <w:rPr>
          <w:spacing w:val="-3"/>
          <w:szCs w:val="24"/>
        </w:rPr>
      </w:pPr>
    </w:p>
    <w:p w:rsidR="00E33CDD" w:rsidRPr="0098749A" w:rsidRDefault="00E33CDD" w:rsidP="00AE64C8">
      <w:pPr>
        <w:spacing w:line="360" w:lineRule="auto"/>
        <w:jc w:val="center"/>
        <w:rPr>
          <w:szCs w:val="24"/>
        </w:rPr>
      </w:pPr>
      <w:r w:rsidRPr="0098749A">
        <w:rPr>
          <w:szCs w:val="24"/>
          <w:u w:val="single"/>
        </w:rPr>
        <w:t>ORDER</w:t>
      </w:r>
    </w:p>
    <w:p w:rsidR="00E33CDD" w:rsidRDefault="00E33CDD" w:rsidP="005C3829">
      <w:pPr>
        <w:spacing w:line="360" w:lineRule="auto"/>
        <w:jc w:val="center"/>
        <w:rPr>
          <w:szCs w:val="24"/>
        </w:rPr>
      </w:pPr>
    </w:p>
    <w:p w:rsidR="008F7313" w:rsidRPr="0098749A" w:rsidRDefault="008F7313" w:rsidP="005C3829">
      <w:pPr>
        <w:spacing w:line="360" w:lineRule="auto"/>
        <w:jc w:val="center"/>
        <w:rPr>
          <w:szCs w:val="24"/>
        </w:rPr>
      </w:pPr>
    </w:p>
    <w:p w:rsidR="00A80036" w:rsidRPr="0098749A" w:rsidRDefault="00A80036" w:rsidP="005C3829">
      <w:pPr>
        <w:spacing w:line="360" w:lineRule="auto"/>
        <w:rPr>
          <w:szCs w:val="24"/>
        </w:rPr>
      </w:pPr>
      <w:r w:rsidRPr="0098749A">
        <w:rPr>
          <w:szCs w:val="24"/>
        </w:rPr>
        <w:tab/>
      </w:r>
      <w:r w:rsidRPr="0098749A">
        <w:rPr>
          <w:szCs w:val="24"/>
        </w:rPr>
        <w:tab/>
        <w:t>THEREFORE,</w:t>
      </w:r>
    </w:p>
    <w:p w:rsidR="00631AD8" w:rsidRPr="0098749A" w:rsidRDefault="00631AD8" w:rsidP="005C3829">
      <w:pPr>
        <w:spacing w:line="360" w:lineRule="auto"/>
        <w:rPr>
          <w:szCs w:val="24"/>
        </w:rPr>
      </w:pPr>
    </w:p>
    <w:p w:rsidR="00A80036" w:rsidRPr="0098749A" w:rsidRDefault="00A80036" w:rsidP="005C3829">
      <w:pPr>
        <w:spacing w:line="360" w:lineRule="auto"/>
        <w:rPr>
          <w:szCs w:val="24"/>
        </w:rPr>
      </w:pPr>
      <w:r w:rsidRPr="0098749A">
        <w:rPr>
          <w:szCs w:val="24"/>
        </w:rPr>
        <w:tab/>
      </w:r>
      <w:r w:rsidRPr="0098749A">
        <w:rPr>
          <w:szCs w:val="24"/>
        </w:rPr>
        <w:tab/>
        <w:t>IT IS ORDERED:</w:t>
      </w:r>
    </w:p>
    <w:p w:rsidR="00751CEB" w:rsidRPr="0098749A" w:rsidRDefault="00751CEB" w:rsidP="005C3829">
      <w:pPr>
        <w:spacing w:line="360" w:lineRule="auto"/>
        <w:rPr>
          <w:spacing w:val="-3"/>
          <w:szCs w:val="24"/>
        </w:rPr>
      </w:pPr>
    </w:p>
    <w:p w:rsidR="002A6B82" w:rsidRPr="0098749A" w:rsidRDefault="00751CEB" w:rsidP="00E33CDD">
      <w:pPr>
        <w:spacing w:line="360" w:lineRule="auto"/>
        <w:rPr>
          <w:szCs w:val="24"/>
        </w:rPr>
      </w:pPr>
      <w:r w:rsidRPr="0098749A">
        <w:rPr>
          <w:spacing w:val="-3"/>
          <w:szCs w:val="24"/>
        </w:rPr>
        <w:tab/>
      </w:r>
      <w:r w:rsidRPr="0098749A">
        <w:rPr>
          <w:spacing w:val="-3"/>
          <w:szCs w:val="24"/>
        </w:rPr>
        <w:tab/>
        <w:t>1.</w:t>
      </w:r>
      <w:r w:rsidRPr="0098749A">
        <w:rPr>
          <w:spacing w:val="-3"/>
          <w:szCs w:val="24"/>
        </w:rPr>
        <w:tab/>
      </w:r>
      <w:r w:rsidR="00D5770F" w:rsidRPr="0098749A">
        <w:rPr>
          <w:spacing w:val="-3"/>
          <w:szCs w:val="24"/>
        </w:rPr>
        <w:t xml:space="preserve">That the motion of Philadelphia Gas Works </w:t>
      </w:r>
      <w:r w:rsidR="00AE64C8" w:rsidRPr="0098749A">
        <w:rPr>
          <w:spacing w:val="-3"/>
          <w:szCs w:val="24"/>
        </w:rPr>
        <w:t>to dismiss the formal c</w:t>
      </w:r>
      <w:r w:rsidR="00D5770F" w:rsidRPr="0098749A">
        <w:rPr>
          <w:spacing w:val="-3"/>
          <w:szCs w:val="24"/>
        </w:rPr>
        <w:t>omplaint of Joanne Bengough at Docket No. C-20</w:t>
      </w:r>
      <w:r w:rsidR="002B2F44" w:rsidRPr="0098749A">
        <w:rPr>
          <w:spacing w:val="-3"/>
          <w:szCs w:val="24"/>
        </w:rPr>
        <w:t>09</w:t>
      </w:r>
      <w:r w:rsidR="00D5770F" w:rsidRPr="0098749A">
        <w:rPr>
          <w:spacing w:val="-3"/>
          <w:szCs w:val="24"/>
        </w:rPr>
        <w:t>-2137361 is granted.</w:t>
      </w:r>
      <w:r w:rsidR="00D5770F" w:rsidRPr="0098749A">
        <w:rPr>
          <w:spacing w:val="-3"/>
          <w:szCs w:val="24"/>
        </w:rPr>
        <w:br/>
      </w:r>
      <w:r w:rsidR="00D5770F" w:rsidRPr="0098749A">
        <w:rPr>
          <w:spacing w:val="-3"/>
          <w:szCs w:val="24"/>
        </w:rPr>
        <w:br/>
      </w:r>
      <w:r w:rsidR="00D5770F" w:rsidRPr="0098749A">
        <w:rPr>
          <w:spacing w:val="-3"/>
          <w:szCs w:val="24"/>
        </w:rPr>
        <w:tab/>
      </w:r>
      <w:r w:rsidR="00D5770F" w:rsidRPr="0098749A">
        <w:rPr>
          <w:spacing w:val="-3"/>
          <w:szCs w:val="24"/>
        </w:rPr>
        <w:tab/>
        <w:t>2.</w:t>
      </w:r>
      <w:r w:rsidR="00D5770F" w:rsidRPr="0098749A">
        <w:rPr>
          <w:spacing w:val="-3"/>
          <w:szCs w:val="24"/>
        </w:rPr>
        <w:tab/>
        <w:t xml:space="preserve"> That the complaint filed by Joanne Bengough against </w:t>
      </w:r>
      <w:r w:rsidR="00893719" w:rsidRPr="0098749A">
        <w:rPr>
          <w:spacing w:val="-3"/>
          <w:szCs w:val="24"/>
        </w:rPr>
        <w:t xml:space="preserve">Philadelphia Gas Works </w:t>
      </w:r>
      <w:r w:rsidR="00D5770F" w:rsidRPr="0098749A">
        <w:rPr>
          <w:spacing w:val="-3"/>
          <w:szCs w:val="24"/>
        </w:rPr>
        <w:t xml:space="preserve">at Docket No. </w:t>
      </w:r>
      <w:r w:rsidR="00893719" w:rsidRPr="0098749A">
        <w:rPr>
          <w:spacing w:val="-3"/>
          <w:szCs w:val="24"/>
        </w:rPr>
        <w:t>C-20</w:t>
      </w:r>
      <w:r w:rsidR="002B2F44" w:rsidRPr="0098749A">
        <w:rPr>
          <w:spacing w:val="-3"/>
          <w:szCs w:val="24"/>
        </w:rPr>
        <w:t>09</w:t>
      </w:r>
      <w:r w:rsidR="00893719" w:rsidRPr="0098749A">
        <w:rPr>
          <w:spacing w:val="-3"/>
          <w:szCs w:val="24"/>
        </w:rPr>
        <w:t xml:space="preserve">-2137361 </w:t>
      </w:r>
      <w:r w:rsidR="00D5770F" w:rsidRPr="0098749A">
        <w:rPr>
          <w:spacing w:val="-3"/>
          <w:szCs w:val="24"/>
        </w:rPr>
        <w:t xml:space="preserve">is dismissed without prejudice </w:t>
      </w:r>
      <w:r w:rsidR="00893719" w:rsidRPr="0098749A">
        <w:rPr>
          <w:spacing w:val="-3"/>
          <w:szCs w:val="24"/>
        </w:rPr>
        <w:t>due to the death of the complainant and the consequent abatement of her claim.</w:t>
      </w:r>
      <w:r w:rsidR="00D5770F" w:rsidRPr="0098749A">
        <w:rPr>
          <w:spacing w:val="-3"/>
          <w:szCs w:val="24"/>
        </w:rPr>
        <w:br/>
      </w:r>
      <w:r w:rsidR="00D5770F" w:rsidRPr="0098749A">
        <w:rPr>
          <w:spacing w:val="-3"/>
          <w:szCs w:val="24"/>
        </w:rPr>
        <w:br/>
      </w:r>
      <w:r w:rsidR="00893719" w:rsidRPr="0098749A">
        <w:rPr>
          <w:spacing w:val="-3"/>
          <w:szCs w:val="24"/>
        </w:rPr>
        <w:tab/>
      </w:r>
      <w:r w:rsidR="00893719" w:rsidRPr="0098749A">
        <w:rPr>
          <w:spacing w:val="-3"/>
          <w:szCs w:val="24"/>
        </w:rPr>
        <w:tab/>
      </w:r>
      <w:r w:rsidR="002A6B82" w:rsidRPr="0098749A">
        <w:rPr>
          <w:szCs w:val="24"/>
        </w:rPr>
        <w:t>3.</w:t>
      </w:r>
      <w:r w:rsidR="002A6B82" w:rsidRPr="0098749A">
        <w:rPr>
          <w:szCs w:val="24"/>
        </w:rPr>
        <w:tab/>
        <w:t xml:space="preserve">That the record at Docket No. </w:t>
      </w:r>
      <w:r w:rsidR="00893719" w:rsidRPr="0098749A">
        <w:rPr>
          <w:spacing w:val="-3"/>
          <w:szCs w:val="24"/>
        </w:rPr>
        <w:t>C-200</w:t>
      </w:r>
      <w:r w:rsidR="002B2F44" w:rsidRPr="0098749A">
        <w:rPr>
          <w:spacing w:val="-3"/>
          <w:szCs w:val="24"/>
        </w:rPr>
        <w:t>9</w:t>
      </w:r>
      <w:r w:rsidR="00893719" w:rsidRPr="0098749A">
        <w:rPr>
          <w:spacing w:val="-3"/>
          <w:szCs w:val="24"/>
        </w:rPr>
        <w:t xml:space="preserve">-2137361 </w:t>
      </w:r>
      <w:r w:rsidR="002A6B82" w:rsidRPr="0098749A">
        <w:rPr>
          <w:szCs w:val="24"/>
        </w:rPr>
        <w:t>is marked closed.</w:t>
      </w:r>
    </w:p>
    <w:p w:rsidR="002A6B82" w:rsidRPr="0098749A" w:rsidRDefault="002A6B82" w:rsidP="00E33CDD">
      <w:pPr>
        <w:spacing w:line="360" w:lineRule="auto"/>
        <w:rPr>
          <w:szCs w:val="24"/>
        </w:rPr>
      </w:pPr>
    </w:p>
    <w:p w:rsidR="00E404E0" w:rsidRPr="0098749A" w:rsidRDefault="00E404E0" w:rsidP="00E33CDD">
      <w:pPr>
        <w:spacing w:line="360" w:lineRule="auto"/>
        <w:rPr>
          <w:szCs w:val="24"/>
        </w:rPr>
      </w:pPr>
    </w:p>
    <w:p w:rsidR="00A80036" w:rsidRPr="0098749A" w:rsidRDefault="00A80036" w:rsidP="005C3829">
      <w:pPr>
        <w:rPr>
          <w:szCs w:val="24"/>
        </w:rPr>
      </w:pPr>
      <w:r w:rsidRPr="0098749A">
        <w:rPr>
          <w:szCs w:val="24"/>
        </w:rPr>
        <w:t xml:space="preserve">Date: </w:t>
      </w:r>
      <w:r w:rsidR="00893719" w:rsidRPr="0098749A">
        <w:rPr>
          <w:szCs w:val="24"/>
          <w:u w:val="single"/>
        </w:rPr>
        <w:t>October 20</w:t>
      </w:r>
      <w:r w:rsidR="00404D92" w:rsidRPr="0098749A">
        <w:rPr>
          <w:szCs w:val="24"/>
          <w:u w:val="single"/>
        </w:rPr>
        <w:t>, 2010</w:t>
      </w:r>
      <w:r w:rsidR="00E92075" w:rsidRPr="0098749A">
        <w:rPr>
          <w:szCs w:val="24"/>
        </w:rPr>
        <w:tab/>
      </w:r>
      <w:r w:rsidR="009C3C29" w:rsidRPr="0098749A">
        <w:rPr>
          <w:szCs w:val="24"/>
        </w:rPr>
        <w:tab/>
      </w:r>
      <w:r w:rsidR="00631AD8" w:rsidRPr="0098749A">
        <w:rPr>
          <w:szCs w:val="24"/>
        </w:rPr>
        <w:tab/>
      </w:r>
      <w:r w:rsidR="00631AD8" w:rsidRPr="0098749A">
        <w:rPr>
          <w:szCs w:val="24"/>
        </w:rPr>
        <w:tab/>
      </w:r>
      <w:r w:rsidRPr="0098749A">
        <w:rPr>
          <w:szCs w:val="24"/>
        </w:rPr>
        <w:t>____________________________________</w:t>
      </w:r>
    </w:p>
    <w:p w:rsidR="00A80036" w:rsidRPr="0098749A" w:rsidRDefault="00A80036" w:rsidP="005C3829">
      <w:pPr>
        <w:rPr>
          <w:szCs w:val="24"/>
        </w:rPr>
      </w:pPr>
      <w:r w:rsidRPr="0098749A">
        <w:rPr>
          <w:szCs w:val="24"/>
        </w:rPr>
        <w:tab/>
      </w:r>
      <w:r w:rsidRPr="0098749A">
        <w:rPr>
          <w:szCs w:val="24"/>
        </w:rPr>
        <w:tab/>
      </w:r>
      <w:r w:rsidRPr="0098749A">
        <w:rPr>
          <w:szCs w:val="24"/>
        </w:rPr>
        <w:tab/>
      </w:r>
      <w:r w:rsidRPr="0098749A">
        <w:rPr>
          <w:szCs w:val="24"/>
        </w:rPr>
        <w:tab/>
      </w:r>
      <w:r w:rsidRPr="0098749A">
        <w:rPr>
          <w:szCs w:val="24"/>
        </w:rPr>
        <w:tab/>
      </w:r>
      <w:r w:rsidRPr="0098749A">
        <w:rPr>
          <w:szCs w:val="24"/>
        </w:rPr>
        <w:tab/>
      </w:r>
      <w:r w:rsidR="00631AD8" w:rsidRPr="0098749A">
        <w:rPr>
          <w:szCs w:val="24"/>
        </w:rPr>
        <w:tab/>
      </w:r>
      <w:r w:rsidR="00E92075" w:rsidRPr="0098749A">
        <w:rPr>
          <w:szCs w:val="24"/>
        </w:rPr>
        <w:t>D</w:t>
      </w:r>
      <w:r w:rsidR="00893719" w:rsidRPr="0098749A">
        <w:rPr>
          <w:szCs w:val="24"/>
        </w:rPr>
        <w:t>ennis J. Buckley</w:t>
      </w:r>
    </w:p>
    <w:p w:rsidR="00631AD8" w:rsidRPr="0098749A" w:rsidRDefault="00A80036" w:rsidP="005C3829">
      <w:pPr>
        <w:pStyle w:val="Footer"/>
        <w:tabs>
          <w:tab w:val="clear" w:pos="4320"/>
          <w:tab w:val="clear" w:pos="8640"/>
        </w:tabs>
        <w:rPr>
          <w:szCs w:val="24"/>
        </w:rPr>
      </w:pPr>
      <w:r w:rsidRPr="0098749A">
        <w:rPr>
          <w:szCs w:val="24"/>
        </w:rPr>
        <w:tab/>
      </w:r>
      <w:r w:rsidRPr="0098749A">
        <w:rPr>
          <w:szCs w:val="24"/>
        </w:rPr>
        <w:tab/>
      </w:r>
      <w:r w:rsidRPr="0098749A">
        <w:rPr>
          <w:szCs w:val="24"/>
        </w:rPr>
        <w:tab/>
      </w:r>
      <w:r w:rsidRPr="0098749A">
        <w:rPr>
          <w:szCs w:val="24"/>
        </w:rPr>
        <w:tab/>
      </w:r>
      <w:r w:rsidRPr="0098749A">
        <w:rPr>
          <w:szCs w:val="24"/>
        </w:rPr>
        <w:tab/>
      </w:r>
      <w:r w:rsidRPr="0098749A">
        <w:rPr>
          <w:szCs w:val="24"/>
        </w:rPr>
        <w:tab/>
      </w:r>
      <w:r w:rsidR="00631AD8" w:rsidRPr="0098749A">
        <w:rPr>
          <w:szCs w:val="24"/>
        </w:rPr>
        <w:tab/>
      </w:r>
      <w:r w:rsidRPr="0098749A">
        <w:rPr>
          <w:szCs w:val="24"/>
        </w:rPr>
        <w:t>Administrative Law Judge</w:t>
      </w:r>
    </w:p>
    <w:sectPr w:rsidR="00631AD8" w:rsidRPr="0098749A" w:rsidSect="00FA12D3">
      <w:footerReference w:type="even" r:id="rId8"/>
      <w:footerReference w:type="default" r:id="rId9"/>
      <w:pgSz w:w="12240" w:h="15840" w:code="1"/>
      <w:pgMar w:top="1440" w:right="1440" w:bottom="1440" w:left="1440" w:header="0" w:footer="57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D18" w:rsidRDefault="00CC3D18">
      <w:r>
        <w:separator/>
      </w:r>
    </w:p>
  </w:endnote>
  <w:endnote w:type="continuationSeparator" w:id="0">
    <w:p w:rsidR="00CC3D18" w:rsidRDefault="00CC3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9CA" w:rsidRDefault="00FD6BD9">
    <w:pPr>
      <w:pStyle w:val="Footer"/>
      <w:framePr w:wrap="around" w:vAnchor="text" w:hAnchor="margin" w:xAlign="center" w:y="1"/>
      <w:rPr>
        <w:rStyle w:val="PageNumber"/>
      </w:rPr>
    </w:pPr>
    <w:r>
      <w:rPr>
        <w:rStyle w:val="PageNumber"/>
      </w:rPr>
      <w:fldChar w:fldCharType="begin"/>
    </w:r>
    <w:r w:rsidR="004749CA">
      <w:rPr>
        <w:rStyle w:val="PageNumber"/>
      </w:rPr>
      <w:instrText xml:space="preserve">PAGE  </w:instrText>
    </w:r>
    <w:r>
      <w:rPr>
        <w:rStyle w:val="PageNumber"/>
      </w:rPr>
      <w:fldChar w:fldCharType="separate"/>
    </w:r>
    <w:r w:rsidR="004749CA">
      <w:rPr>
        <w:rStyle w:val="PageNumber"/>
        <w:noProof/>
      </w:rPr>
      <w:t>1</w:t>
    </w:r>
    <w:r>
      <w:rPr>
        <w:rStyle w:val="PageNumber"/>
      </w:rPr>
      <w:fldChar w:fldCharType="end"/>
    </w:r>
  </w:p>
  <w:p w:rsidR="004749CA" w:rsidRDefault="004749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9CA" w:rsidRPr="005C3829" w:rsidRDefault="00FD6BD9" w:rsidP="005C3829">
    <w:pPr>
      <w:pStyle w:val="Footer"/>
      <w:framePr w:wrap="around" w:vAnchor="text" w:hAnchor="margin" w:xAlign="center" w:y="1"/>
      <w:jc w:val="center"/>
      <w:rPr>
        <w:rStyle w:val="PageNumber"/>
        <w:sz w:val="20"/>
      </w:rPr>
    </w:pPr>
    <w:r w:rsidRPr="005C3829">
      <w:rPr>
        <w:rStyle w:val="PageNumber"/>
        <w:sz w:val="20"/>
      </w:rPr>
      <w:fldChar w:fldCharType="begin"/>
    </w:r>
    <w:r w:rsidR="004749CA" w:rsidRPr="005C3829">
      <w:rPr>
        <w:rStyle w:val="PageNumber"/>
        <w:sz w:val="20"/>
      </w:rPr>
      <w:instrText xml:space="preserve">PAGE  </w:instrText>
    </w:r>
    <w:r w:rsidRPr="005C3829">
      <w:rPr>
        <w:rStyle w:val="PageNumber"/>
        <w:sz w:val="20"/>
      </w:rPr>
      <w:fldChar w:fldCharType="separate"/>
    </w:r>
    <w:r w:rsidR="00282DB4">
      <w:rPr>
        <w:rStyle w:val="PageNumber"/>
        <w:noProof/>
        <w:sz w:val="20"/>
      </w:rPr>
      <w:t>5</w:t>
    </w:r>
    <w:r w:rsidRPr="005C3829">
      <w:rPr>
        <w:rStyle w:val="PageNumber"/>
        <w:sz w:val="20"/>
      </w:rPr>
      <w:fldChar w:fldCharType="end"/>
    </w:r>
  </w:p>
  <w:p w:rsidR="004749CA" w:rsidRDefault="004749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D18" w:rsidRDefault="00CC3D18">
      <w:r>
        <w:separator/>
      </w:r>
    </w:p>
  </w:footnote>
  <w:footnote w:type="continuationSeparator" w:id="0">
    <w:p w:rsidR="00CC3D18" w:rsidRDefault="00CC3D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85C16"/>
    <w:multiLevelType w:val="hybridMultilevel"/>
    <w:tmpl w:val="172AF6EE"/>
    <w:lvl w:ilvl="0" w:tplc="057E2D16">
      <w:start w:val="1"/>
      <w:numFmt w:val="decimal"/>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5138215E"/>
    <w:multiLevelType w:val="hybridMultilevel"/>
    <w:tmpl w:val="711A553E"/>
    <w:lvl w:ilvl="0" w:tplc="34B0998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4632B49"/>
    <w:multiLevelType w:val="hybridMultilevel"/>
    <w:tmpl w:val="CE9CB3D4"/>
    <w:lvl w:ilvl="0" w:tplc="7FBA6F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6EB3F92"/>
    <w:multiLevelType w:val="hybridMultilevel"/>
    <w:tmpl w:val="CBA86AA8"/>
    <w:lvl w:ilvl="0" w:tplc="2D0C9B8C">
      <w:start w:val="1"/>
      <w:numFmt w:val="decimal"/>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054BF"/>
    <w:rsid w:val="000020BC"/>
    <w:rsid w:val="00005C38"/>
    <w:rsid w:val="00012C12"/>
    <w:rsid w:val="00014494"/>
    <w:rsid w:val="00015935"/>
    <w:rsid w:val="000245A4"/>
    <w:rsid w:val="00027863"/>
    <w:rsid w:val="000325B0"/>
    <w:rsid w:val="000366DE"/>
    <w:rsid w:val="00043880"/>
    <w:rsid w:val="00052612"/>
    <w:rsid w:val="00060277"/>
    <w:rsid w:val="00075870"/>
    <w:rsid w:val="00080683"/>
    <w:rsid w:val="000B391F"/>
    <w:rsid w:val="000E49E0"/>
    <w:rsid w:val="000E4D5F"/>
    <w:rsid w:val="00106DC8"/>
    <w:rsid w:val="00107DA8"/>
    <w:rsid w:val="00115F12"/>
    <w:rsid w:val="001169B6"/>
    <w:rsid w:val="00126252"/>
    <w:rsid w:val="0013597A"/>
    <w:rsid w:val="0013600A"/>
    <w:rsid w:val="00140F29"/>
    <w:rsid w:val="00142CFB"/>
    <w:rsid w:val="00142FDB"/>
    <w:rsid w:val="001443BA"/>
    <w:rsid w:val="001447CC"/>
    <w:rsid w:val="001453C3"/>
    <w:rsid w:val="00155483"/>
    <w:rsid w:val="0016453F"/>
    <w:rsid w:val="00170734"/>
    <w:rsid w:val="001715CE"/>
    <w:rsid w:val="001717BE"/>
    <w:rsid w:val="001758BB"/>
    <w:rsid w:val="00180300"/>
    <w:rsid w:val="00187779"/>
    <w:rsid w:val="001878CD"/>
    <w:rsid w:val="00191929"/>
    <w:rsid w:val="00192876"/>
    <w:rsid w:val="001A388B"/>
    <w:rsid w:val="001D03BA"/>
    <w:rsid w:val="001D0500"/>
    <w:rsid w:val="001D1BF9"/>
    <w:rsid w:val="001F12D6"/>
    <w:rsid w:val="00220137"/>
    <w:rsid w:val="00224949"/>
    <w:rsid w:val="0024707A"/>
    <w:rsid w:val="00251D20"/>
    <w:rsid w:val="002658F7"/>
    <w:rsid w:val="00276ABD"/>
    <w:rsid w:val="00277617"/>
    <w:rsid w:val="00282DB4"/>
    <w:rsid w:val="00296565"/>
    <w:rsid w:val="00296926"/>
    <w:rsid w:val="00296E46"/>
    <w:rsid w:val="002A445A"/>
    <w:rsid w:val="002A6B82"/>
    <w:rsid w:val="002B21DD"/>
    <w:rsid w:val="002B2F44"/>
    <w:rsid w:val="002C493F"/>
    <w:rsid w:val="002D1CFA"/>
    <w:rsid w:val="002D29ED"/>
    <w:rsid w:val="002F1653"/>
    <w:rsid w:val="00326FF4"/>
    <w:rsid w:val="0035368D"/>
    <w:rsid w:val="00361800"/>
    <w:rsid w:val="00375A3E"/>
    <w:rsid w:val="00383DCF"/>
    <w:rsid w:val="003863DE"/>
    <w:rsid w:val="00391324"/>
    <w:rsid w:val="00395875"/>
    <w:rsid w:val="003D068F"/>
    <w:rsid w:val="003E5852"/>
    <w:rsid w:val="00404D92"/>
    <w:rsid w:val="0040514E"/>
    <w:rsid w:val="00407DFD"/>
    <w:rsid w:val="00416EF6"/>
    <w:rsid w:val="004260DD"/>
    <w:rsid w:val="00426E45"/>
    <w:rsid w:val="00430F20"/>
    <w:rsid w:val="00445580"/>
    <w:rsid w:val="00455EC8"/>
    <w:rsid w:val="004573B0"/>
    <w:rsid w:val="00461369"/>
    <w:rsid w:val="00464F83"/>
    <w:rsid w:val="004673B9"/>
    <w:rsid w:val="0046786C"/>
    <w:rsid w:val="004749CA"/>
    <w:rsid w:val="004760E6"/>
    <w:rsid w:val="00493367"/>
    <w:rsid w:val="004B27AE"/>
    <w:rsid w:val="004B2FC6"/>
    <w:rsid w:val="004B39DF"/>
    <w:rsid w:val="004B4D2F"/>
    <w:rsid w:val="004D1772"/>
    <w:rsid w:val="004E252C"/>
    <w:rsid w:val="004F41A4"/>
    <w:rsid w:val="00505B82"/>
    <w:rsid w:val="00507706"/>
    <w:rsid w:val="00547C9C"/>
    <w:rsid w:val="00562ACB"/>
    <w:rsid w:val="005643FB"/>
    <w:rsid w:val="0056648B"/>
    <w:rsid w:val="00572173"/>
    <w:rsid w:val="00573ECA"/>
    <w:rsid w:val="0057643A"/>
    <w:rsid w:val="005C0E69"/>
    <w:rsid w:val="005C3829"/>
    <w:rsid w:val="005C5057"/>
    <w:rsid w:val="005D002E"/>
    <w:rsid w:val="005D0551"/>
    <w:rsid w:val="005D6DA6"/>
    <w:rsid w:val="005E294B"/>
    <w:rsid w:val="005E2D77"/>
    <w:rsid w:val="005E3163"/>
    <w:rsid w:val="005E66D1"/>
    <w:rsid w:val="005F0420"/>
    <w:rsid w:val="005F74A9"/>
    <w:rsid w:val="0060073C"/>
    <w:rsid w:val="00603BC0"/>
    <w:rsid w:val="0060620B"/>
    <w:rsid w:val="00607C16"/>
    <w:rsid w:val="00613170"/>
    <w:rsid w:val="00620091"/>
    <w:rsid w:val="00627E09"/>
    <w:rsid w:val="00631AD8"/>
    <w:rsid w:val="00636558"/>
    <w:rsid w:val="00640084"/>
    <w:rsid w:val="006427A8"/>
    <w:rsid w:val="00642DBC"/>
    <w:rsid w:val="0065147B"/>
    <w:rsid w:val="00652E3B"/>
    <w:rsid w:val="0066673A"/>
    <w:rsid w:val="00690A96"/>
    <w:rsid w:val="006944AB"/>
    <w:rsid w:val="006C0A7C"/>
    <w:rsid w:val="006C49A6"/>
    <w:rsid w:val="006D2AE3"/>
    <w:rsid w:val="006D61F7"/>
    <w:rsid w:val="006D73AB"/>
    <w:rsid w:val="006E31D4"/>
    <w:rsid w:val="006F434D"/>
    <w:rsid w:val="00706B5F"/>
    <w:rsid w:val="0071608C"/>
    <w:rsid w:val="00736E08"/>
    <w:rsid w:val="00742E47"/>
    <w:rsid w:val="0074718A"/>
    <w:rsid w:val="007517E1"/>
    <w:rsid w:val="00751CEB"/>
    <w:rsid w:val="00774DBF"/>
    <w:rsid w:val="007763E5"/>
    <w:rsid w:val="007818AE"/>
    <w:rsid w:val="0078467C"/>
    <w:rsid w:val="00784EDE"/>
    <w:rsid w:val="00791AC1"/>
    <w:rsid w:val="007960BE"/>
    <w:rsid w:val="007B21D6"/>
    <w:rsid w:val="007C0402"/>
    <w:rsid w:val="007C09E7"/>
    <w:rsid w:val="007C3FE8"/>
    <w:rsid w:val="007D28F8"/>
    <w:rsid w:val="007D5436"/>
    <w:rsid w:val="007D73E2"/>
    <w:rsid w:val="007E0E48"/>
    <w:rsid w:val="007E29B0"/>
    <w:rsid w:val="007E7F5A"/>
    <w:rsid w:val="007F11A5"/>
    <w:rsid w:val="007F26B0"/>
    <w:rsid w:val="007F5D78"/>
    <w:rsid w:val="00810E82"/>
    <w:rsid w:val="00817B3C"/>
    <w:rsid w:val="0082264B"/>
    <w:rsid w:val="00822ADB"/>
    <w:rsid w:val="00826627"/>
    <w:rsid w:val="008315F7"/>
    <w:rsid w:val="008325A9"/>
    <w:rsid w:val="00833738"/>
    <w:rsid w:val="008428BB"/>
    <w:rsid w:val="008475BB"/>
    <w:rsid w:val="00853938"/>
    <w:rsid w:val="00867DAB"/>
    <w:rsid w:val="00871D21"/>
    <w:rsid w:val="008817A3"/>
    <w:rsid w:val="00885D34"/>
    <w:rsid w:val="00887299"/>
    <w:rsid w:val="00893719"/>
    <w:rsid w:val="008A1CA5"/>
    <w:rsid w:val="008B02B9"/>
    <w:rsid w:val="008B1130"/>
    <w:rsid w:val="008C2CE0"/>
    <w:rsid w:val="008D1413"/>
    <w:rsid w:val="008E3A47"/>
    <w:rsid w:val="008E748B"/>
    <w:rsid w:val="008F0AE6"/>
    <w:rsid w:val="008F27C0"/>
    <w:rsid w:val="008F7313"/>
    <w:rsid w:val="009054BF"/>
    <w:rsid w:val="0091133C"/>
    <w:rsid w:val="00915CBB"/>
    <w:rsid w:val="009166C8"/>
    <w:rsid w:val="00920E7C"/>
    <w:rsid w:val="00921859"/>
    <w:rsid w:val="009340B2"/>
    <w:rsid w:val="00941526"/>
    <w:rsid w:val="0094179F"/>
    <w:rsid w:val="009621F0"/>
    <w:rsid w:val="00971728"/>
    <w:rsid w:val="00980502"/>
    <w:rsid w:val="0098749A"/>
    <w:rsid w:val="009904F3"/>
    <w:rsid w:val="00991717"/>
    <w:rsid w:val="009A1D59"/>
    <w:rsid w:val="009A7822"/>
    <w:rsid w:val="009B0C57"/>
    <w:rsid w:val="009B5E46"/>
    <w:rsid w:val="009B7923"/>
    <w:rsid w:val="009C3C29"/>
    <w:rsid w:val="009C422E"/>
    <w:rsid w:val="009D7389"/>
    <w:rsid w:val="009E0D99"/>
    <w:rsid w:val="009E4CF6"/>
    <w:rsid w:val="009F0BDD"/>
    <w:rsid w:val="009F719B"/>
    <w:rsid w:val="009F7D2C"/>
    <w:rsid w:val="00A01200"/>
    <w:rsid w:val="00A01B48"/>
    <w:rsid w:val="00A05074"/>
    <w:rsid w:val="00A1246E"/>
    <w:rsid w:val="00A274C5"/>
    <w:rsid w:val="00A379D3"/>
    <w:rsid w:val="00A73F1B"/>
    <w:rsid w:val="00A744DD"/>
    <w:rsid w:val="00A80036"/>
    <w:rsid w:val="00A87D3E"/>
    <w:rsid w:val="00A9536F"/>
    <w:rsid w:val="00A956D3"/>
    <w:rsid w:val="00AA71DF"/>
    <w:rsid w:val="00AB2299"/>
    <w:rsid w:val="00AD63FB"/>
    <w:rsid w:val="00AD7CF6"/>
    <w:rsid w:val="00AE28E7"/>
    <w:rsid w:val="00AE64C8"/>
    <w:rsid w:val="00AE7A73"/>
    <w:rsid w:val="00AF1027"/>
    <w:rsid w:val="00AF512D"/>
    <w:rsid w:val="00AF600A"/>
    <w:rsid w:val="00B01737"/>
    <w:rsid w:val="00B12671"/>
    <w:rsid w:val="00B20A0B"/>
    <w:rsid w:val="00B21403"/>
    <w:rsid w:val="00B243D2"/>
    <w:rsid w:val="00B24C8F"/>
    <w:rsid w:val="00B42C0A"/>
    <w:rsid w:val="00B467F2"/>
    <w:rsid w:val="00B476BA"/>
    <w:rsid w:val="00B479D7"/>
    <w:rsid w:val="00B50B72"/>
    <w:rsid w:val="00B53C39"/>
    <w:rsid w:val="00B56CDF"/>
    <w:rsid w:val="00B76886"/>
    <w:rsid w:val="00B77B20"/>
    <w:rsid w:val="00B80BDE"/>
    <w:rsid w:val="00B872C4"/>
    <w:rsid w:val="00B9643B"/>
    <w:rsid w:val="00BA7A4F"/>
    <w:rsid w:val="00BA7F90"/>
    <w:rsid w:val="00BB1434"/>
    <w:rsid w:val="00BB38BC"/>
    <w:rsid w:val="00BB51C8"/>
    <w:rsid w:val="00BC3ED5"/>
    <w:rsid w:val="00BE5302"/>
    <w:rsid w:val="00BF275B"/>
    <w:rsid w:val="00C104F5"/>
    <w:rsid w:val="00C10951"/>
    <w:rsid w:val="00C131BC"/>
    <w:rsid w:val="00C25A58"/>
    <w:rsid w:val="00C3000D"/>
    <w:rsid w:val="00C45782"/>
    <w:rsid w:val="00C519DD"/>
    <w:rsid w:val="00C74539"/>
    <w:rsid w:val="00C862A7"/>
    <w:rsid w:val="00C90256"/>
    <w:rsid w:val="00C90283"/>
    <w:rsid w:val="00CA3AF6"/>
    <w:rsid w:val="00CB1E07"/>
    <w:rsid w:val="00CB4603"/>
    <w:rsid w:val="00CC2FD0"/>
    <w:rsid w:val="00CC3D18"/>
    <w:rsid w:val="00CC6043"/>
    <w:rsid w:val="00CD340A"/>
    <w:rsid w:val="00CD7B95"/>
    <w:rsid w:val="00CE0B0B"/>
    <w:rsid w:val="00CE1FC1"/>
    <w:rsid w:val="00CF5C1F"/>
    <w:rsid w:val="00CF6A3F"/>
    <w:rsid w:val="00D01B74"/>
    <w:rsid w:val="00D203E2"/>
    <w:rsid w:val="00D234B3"/>
    <w:rsid w:val="00D242A4"/>
    <w:rsid w:val="00D307FE"/>
    <w:rsid w:val="00D414E5"/>
    <w:rsid w:val="00D41E01"/>
    <w:rsid w:val="00D520AB"/>
    <w:rsid w:val="00D54549"/>
    <w:rsid w:val="00D5770F"/>
    <w:rsid w:val="00D66CD6"/>
    <w:rsid w:val="00D674B8"/>
    <w:rsid w:val="00D82152"/>
    <w:rsid w:val="00DA1ABE"/>
    <w:rsid w:val="00DA2C6A"/>
    <w:rsid w:val="00DA62F6"/>
    <w:rsid w:val="00DA6E4F"/>
    <w:rsid w:val="00DA6F00"/>
    <w:rsid w:val="00DB1F9E"/>
    <w:rsid w:val="00DC202D"/>
    <w:rsid w:val="00DC6182"/>
    <w:rsid w:val="00DD1227"/>
    <w:rsid w:val="00DD2FFF"/>
    <w:rsid w:val="00DD3C45"/>
    <w:rsid w:val="00DD466A"/>
    <w:rsid w:val="00DD74C9"/>
    <w:rsid w:val="00DE5E6F"/>
    <w:rsid w:val="00DF272C"/>
    <w:rsid w:val="00E01692"/>
    <w:rsid w:val="00E03706"/>
    <w:rsid w:val="00E071DE"/>
    <w:rsid w:val="00E11E7E"/>
    <w:rsid w:val="00E12AF7"/>
    <w:rsid w:val="00E14A6B"/>
    <w:rsid w:val="00E31FEB"/>
    <w:rsid w:val="00E33CDD"/>
    <w:rsid w:val="00E404E0"/>
    <w:rsid w:val="00E411E9"/>
    <w:rsid w:val="00E46330"/>
    <w:rsid w:val="00E50251"/>
    <w:rsid w:val="00E5505B"/>
    <w:rsid w:val="00E555EB"/>
    <w:rsid w:val="00E63034"/>
    <w:rsid w:val="00E67682"/>
    <w:rsid w:val="00E7170E"/>
    <w:rsid w:val="00E71C20"/>
    <w:rsid w:val="00E752EC"/>
    <w:rsid w:val="00E92075"/>
    <w:rsid w:val="00E970B8"/>
    <w:rsid w:val="00EA4EEE"/>
    <w:rsid w:val="00EB0C62"/>
    <w:rsid w:val="00EC6D84"/>
    <w:rsid w:val="00ED116B"/>
    <w:rsid w:val="00EF4B3A"/>
    <w:rsid w:val="00F11C67"/>
    <w:rsid w:val="00F217F0"/>
    <w:rsid w:val="00F2442D"/>
    <w:rsid w:val="00F30CF0"/>
    <w:rsid w:val="00F32EDC"/>
    <w:rsid w:val="00F4549E"/>
    <w:rsid w:val="00F540F6"/>
    <w:rsid w:val="00F60FCC"/>
    <w:rsid w:val="00F678C5"/>
    <w:rsid w:val="00F67F9E"/>
    <w:rsid w:val="00F72E2C"/>
    <w:rsid w:val="00F903AA"/>
    <w:rsid w:val="00FA12D3"/>
    <w:rsid w:val="00FA1CA6"/>
    <w:rsid w:val="00FB26BB"/>
    <w:rsid w:val="00FB4ED0"/>
    <w:rsid w:val="00FD3027"/>
    <w:rsid w:val="00FD6BD9"/>
    <w:rsid w:val="00FD7FB8"/>
    <w:rsid w:val="00FE5DDE"/>
    <w:rsid w:val="00FF2ED1"/>
    <w:rsid w:val="00FF59C8"/>
    <w:rsid w:val="00FF5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6BD9"/>
    <w:rPr>
      <w:sz w:val="24"/>
    </w:rPr>
  </w:style>
  <w:style w:type="paragraph" w:styleId="Heading1">
    <w:name w:val="heading 1"/>
    <w:basedOn w:val="Normal"/>
    <w:next w:val="Normal"/>
    <w:qFormat/>
    <w:rsid w:val="00FD6BD9"/>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D6BD9"/>
    <w:pPr>
      <w:jc w:val="center"/>
    </w:pPr>
    <w:rPr>
      <w:b/>
    </w:rPr>
  </w:style>
  <w:style w:type="paragraph" w:styleId="Subtitle">
    <w:name w:val="Subtitle"/>
    <w:basedOn w:val="Normal"/>
    <w:qFormat/>
    <w:rsid w:val="00FD6BD9"/>
    <w:pPr>
      <w:jc w:val="center"/>
    </w:pPr>
    <w:rPr>
      <w:b/>
    </w:rPr>
  </w:style>
  <w:style w:type="character" w:styleId="Hyperlink">
    <w:name w:val="Hyperlink"/>
    <w:basedOn w:val="DefaultParagraphFont"/>
    <w:rsid w:val="00FD6BD9"/>
    <w:rPr>
      <w:color w:val="0000FF"/>
      <w:u w:val="single"/>
    </w:rPr>
  </w:style>
  <w:style w:type="paragraph" w:styleId="Footer">
    <w:name w:val="footer"/>
    <w:basedOn w:val="Normal"/>
    <w:rsid w:val="00FD6BD9"/>
    <w:pPr>
      <w:tabs>
        <w:tab w:val="center" w:pos="4320"/>
        <w:tab w:val="right" w:pos="8640"/>
      </w:tabs>
    </w:pPr>
  </w:style>
  <w:style w:type="character" w:styleId="PageNumber">
    <w:name w:val="page number"/>
    <w:basedOn w:val="DefaultParagraphFont"/>
    <w:rsid w:val="00FD6BD9"/>
  </w:style>
  <w:style w:type="paragraph" w:styleId="Header">
    <w:name w:val="header"/>
    <w:basedOn w:val="Normal"/>
    <w:rsid w:val="00FD6BD9"/>
    <w:pPr>
      <w:tabs>
        <w:tab w:val="center" w:pos="4320"/>
        <w:tab w:val="right" w:pos="8640"/>
      </w:tabs>
    </w:pPr>
  </w:style>
  <w:style w:type="paragraph" w:styleId="BodyTextIndent">
    <w:name w:val="Body Text Indent"/>
    <w:basedOn w:val="Normal"/>
    <w:rsid w:val="00FD6BD9"/>
    <w:pPr>
      <w:spacing w:line="360" w:lineRule="auto"/>
      <w:ind w:left="90" w:firstLine="1350"/>
    </w:pPr>
  </w:style>
  <w:style w:type="paragraph" w:styleId="FootnoteText">
    <w:name w:val="footnote text"/>
    <w:basedOn w:val="Normal"/>
    <w:semiHidden/>
    <w:rsid w:val="00FD6BD9"/>
    <w:rPr>
      <w:sz w:val="20"/>
    </w:rPr>
  </w:style>
  <w:style w:type="character" w:styleId="FootnoteReference">
    <w:name w:val="footnote reference"/>
    <w:basedOn w:val="DefaultParagraphFont"/>
    <w:semiHidden/>
    <w:rsid w:val="00FD6BD9"/>
    <w:rPr>
      <w:vertAlign w:val="superscript"/>
    </w:rPr>
  </w:style>
  <w:style w:type="paragraph" w:styleId="BodyText">
    <w:name w:val="Body Text"/>
    <w:basedOn w:val="Normal"/>
    <w:link w:val="BodyTextChar"/>
    <w:rsid w:val="00FD6BD9"/>
    <w:pPr>
      <w:spacing w:line="360" w:lineRule="auto"/>
    </w:pPr>
    <w:rPr>
      <w:sz w:val="26"/>
    </w:rPr>
  </w:style>
  <w:style w:type="paragraph" w:customStyle="1" w:styleId="ParaTab1">
    <w:name w:val="ParaTab 1"/>
    <w:rsid w:val="00080683"/>
    <w:pPr>
      <w:tabs>
        <w:tab w:val="left" w:pos="-720"/>
      </w:tabs>
      <w:suppressAutoHyphens/>
      <w:autoSpaceDE w:val="0"/>
      <w:autoSpaceDN w:val="0"/>
      <w:ind w:firstLine="1440"/>
    </w:pPr>
    <w:rPr>
      <w:rFonts w:ascii="CG Times" w:hAnsi="CG Times"/>
      <w:sz w:val="24"/>
      <w:szCs w:val="24"/>
    </w:rPr>
  </w:style>
  <w:style w:type="character" w:customStyle="1" w:styleId="BodyTextChar">
    <w:name w:val="Body Text Char"/>
    <w:basedOn w:val="DefaultParagraphFont"/>
    <w:link w:val="BodyText"/>
    <w:rsid w:val="00080683"/>
    <w:rPr>
      <w:sz w:val="26"/>
    </w:rPr>
  </w:style>
  <w:style w:type="paragraph" w:styleId="NormalWeb">
    <w:name w:val="Normal (Web)"/>
    <w:basedOn w:val="Normal"/>
    <w:uiPriority w:val="99"/>
    <w:rsid w:val="00D414E5"/>
    <w:pPr>
      <w:spacing w:before="100" w:beforeAutospacing="1" w:after="100" w:afterAutospacing="1"/>
    </w:pPr>
    <w:rPr>
      <w:szCs w:val="24"/>
    </w:rPr>
  </w:style>
  <w:style w:type="paragraph" w:styleId="ListParagraph">
    <w:name w:val="List Paragraph"/>
    <w:basedOn w:val="Normal"/>
    <w:uiPriority w:val="34"/>
    <w:qFormat/>
    <w:rsid w:val="00DA6E4F"/>
    <w:pPr>
      <w:ind w:left="720"/>
    </w:pPr>
  </w:style>
  <w:style w:type="paragraph" w:styleId="BalloonText">
    <w:name w:val="Balloon Text"/>
    <w:basedOn w:val="Normal"/>
    <w:link w:val="BalloonTextChar"/>
    <w:rsid w:val="00505B82"/>
    <w:rPr>
      <w:rFonts w:ascii="Tahoma" w:hAnsi="Tahoma" w:cs="Tahoma"/>
      <w:sz w:val="16"/>
      <w:szCs w:val="16"/>
    </w:rPr>
  </w:style>
  <w:style w:type="character" w:customStyle="1" w:styleId="BalloonTextChar">
    <w:name w:val="Balloon Text Char"/>
    <w:basedOn w:val="DefaultParagraphFont"/>
    <w:link w:val="BalloonText"/>
    <w:rsid w:val="00505B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227128">
      <w:bodyDiv w:val="1"/>
      <w:marLeft w:val="0"/>
      <w:marRight w:val="0"/>
      <w:marTop w:val="0"/>
      <w:marBottom w:val="0"/>
      <w:divBdr>
        <w:top w:val="none" w:sz="0" w:space="0" w:color="auto"/>
        <w:left w:val="none" w:sz="0" w:space="0" w:color="auto"/>
        <w:bottom w:val="none" w:sz="0" w:space="0" w:color="auto"/>
        <w:right w:val="none" w:sz="0" w:space="0" w:color="auto"/>
      </w:divBdr>
    </w:div>
    <w:div w:id="35663571">
      <w:bodyDiv w:val="1"/>
      <w:marLeft w:val="0"/>
      <w:marRight w:val="0"/>
      <w:marTop w:val="0"/>
      <w:marBottom w:val="0"/>
      <w:divBdr>
        <w:top w:val="none" w:sz="0" w:space="0" w:color="auto"/>
        <w:left w:val="none" w:sz="0" w:space="0" w:color="auto"/>
        <w:bottom w:val="none" w:sz="0" w:space="0" w:color="auto"/>
        <w:right w:val="none" w:sz="0" w:space="0" w:color="auto"/>
      </w:divBdr>
    </w:div>
    <w:div w:id="102456094">
      <w:bodyDiv w:val="1"/>
      <w:marLeft w:val="0"/>
      <w:marRight w:val="0"/>
      <w:marTop w:val="0"/>
      <w:marBottom w:val="0"/>
      <w:divBdr>
        <w:top w:val="none" w:sz="0" w:space="0" w:color="auto"/>
        <w:left w:val="none" w:sz="0" w:space="0" w:color="auto"/>
        <w:bottom w:val="none" w:sz="0" w:space="0" w:color="auto"/>
        <w:right w:val="none" w:sz="0" w:space="0" w:color="auto"/>
      </w:divBdr>
      <w:divsChild>
        <w:div w:id="1659652598">
          <w:marLeft w:val="0"/>
          <w:marRight w:val="0"/>
          <w:marTop w:val="0"/>
          <w:marBottom w:val="0"/>
          <w:divBdr>
            <w:top w:val="none" w:sz="0" w:space="0" w:color="auto"/>
            <w:left w:val="none" w:sz="0" w:space="0" w:color="auto"/>
            <w:bottom w:val="none" w:sz="0" w:space="0" w:color="auto"/>
            <w:right w:val="none" w:sz="0" w:space="0" w:color="auto"/>
          </w:divBdr>
          <w:divsChild>
            <w:div w:id="2147117529">
              <w:marLeft w:val="0"/>
              <w:marRight w:val="0"/>
              <w:marTop w:val="0"/>
              <w:marBottom w:val="0"/>
              <w:divBdr>
                <w:top w:val="none" w:sz="0" w:space="0" w:color="auto"/>
                <w:left w:val="none" w:sz="0" w:space="0" w:color="auto"/>
                <w:bottom w:val="none" w:sz="0" w:space="0" w:color="auto"/>
                <w:right w:val="none" w:sz="0" w:space="0" w:color="auto"/>
              </w:divBdr>
              <w:divsChild>
                <w:div w:id="1877229135">
                  <w:marLeft w:val="0"/>
                  <w:marRight w:val="0"/>
                  <w:marTop w:val="0"/>
                  <w:marBottom w:val="0"/>
                  <w:divBdr>
                    <w:top w:val="none" w:sz="0" w:space="0" w:color="auto"/>
                    <w:left w:val="none" w:sz="0" w:space="0" w:color="auto"/>
                    <w:bottom w:val="none" w:sz="0" w:space="0" w:color="auto"/>
                    <w:right w:val="none" w:sz="0" w:space="0" w:color="auto"/>
                  </w:divBdr>
                  <w:divsChild>
                    <w:div w:id="189399702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95553">
      <w:bodyDiv w:val="1"/>
      <w:marLeft w:val="0"/>
      <w:marRight w:val="0"/>
      <w:marTop w:val="0"/>
      <w:marBottom w:val="0"/>
      <w:divBdr>
        <w:top w:val="none" w:sz="0" w:space="0" w:color="auto"/>
        <w:left w:val="none" w:sz="0" w:space="0" w:color="auto"/>
        <w:bottom w:val="none" w:sz="0" w:space="0" w:color="auto"/>
        <w:right w:val="none" w:sz="0" w:space="0" w:color="auto"/>
      </w:divBdr>
    </w:div>
    <w:div w:id="224340624">
      <w:bodyDiv w:val="1"/>
      <w:marLeft w:val="0"/>
      <w:marRight w:val="0"/>
      <w:marTop w:val="0"/>
      <w:marBottom w:val="0"/>
      <w:divBdr>
        <w:top w:val="none" w:sz="0" w:space="0" w:color="auto"/>
        <w:left w:val="none" w:sz="0" w:space="0" w:color="auto"/>
        <w:bottom w:val="none" w:sz="0" w:space="0" w:color="auto"/>
        <w:right w:val="none" w:sz="0" w:space="0" w:color="auto"/>
      </w:divBdr>
    </w:div>
    <w:div w:id="283079601">
      <w:bodyDiv w:val="1"/>
      <w:marLeft w:val="0"/>
      <w:marRight w:val="0"/>
      <w:marTop w:val="0"/>
      <w:marBottom w:val="0"/>
      <w:divBdr>
        <w:top w:val="none" w:sz="0" w:space="0" w:color="auto"/>
        <w:left w:val="none" w:sz="0" w:space="0" w:color="auto"/>
        <w:bottom w:val="none" w:sz="0" w:space="0" w:color="auto"/>
        <w:right w:val="none" w:sz="0" w:space="0" w:color="auto"/>
      </w:divBdr>
    </w:div>
    <w:div w:id="373848671">
      <w:bodyDiv w:val="1"/>
      <w:marLeft w:val="0"/>
      <w:marRight w:val="0"/>
      <w:marTop w:val="0"/>
      <w:marBottom w:val="0"/>
      <w:divBdr>
        <w:top w:val="none" w:sz="0" w:space="0" w:color="auto"/>
        <w:left w:val="none" w:sz="0" w:space="0" w:color="auto"/>
        <w:bottom w:val="none" w:sz="0" w:space="0" w:color="auto"/>
        <w:right w:val="none" w:sz="0" w:space="0" w:color="auto"/>
      </w:divBdr>
      <w:divsChild>
        <w:div w:id="539782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8216858">
      <w:bodyDiv w:val="1"/>
      <w:marLeft w:val="0"/>
      <w:marRight w:val="0"/>
      <w:marTop w:val="0"/>
      <w:marBottom w:val="0"/>
      <w:divBdr>
        <w:top w:val="none" w:sz="0" w:space="0" w:color="auto"/>
        <w:left w:val="none" w:sz="0" w:space="0" w:color="auto"/>
        <w:bottom w:val="none" w:sz="0" w:space="0" w:color="auto"/>
        <w:right w:val="none" w:sz="0" w:space="0" w:color="auto"/>
      </w:divBdr>
    </w:div>
    <w:div w:id="485433837">
      <w:bodyDiv w:val="1"/>
      <w:marLeft w:val="0"/>
      <w:marRight w:val="0"/>
      <w:marTop w:val="0"/>
      <w:marBottom w:val="0"/>
      <w:divBdr>
        <w:top w:val="none" w:sz="0" w:space="0" w:color="auto"/>
        <w:left w:val="none" w:sz="0" w:space="0" w:color="auto"/>
        <w:bottom w:val="none" w:sz="0" w:space="0" w:color="auto"/>
        <w:right w:val="none" w:sz="0" w:space="0" w:color="auto"/>
      </w:divBdr>
    </w:div>
    <w:div w:id="618727434">
      <w:bodyDiv w:val="1"/>
      <w:marLeft w:val="0"/>
      <w:marRight w:val="0"/>
      <w:marTop w:val="0"/>
      <w:marBottom w:val="0"/>
      <w:divBdr>
        <w:top w:val="none" w:sz="0" w:space="0" w:color="auto"/>
        <w:left w:val="none" w:sz="0" w:space="0" w:color="auto"/>
        <w:bottom w:val="none" w:sz="0" w:space="0" w:color="auto"/>
        <w:right w:val="none" w:sz="0" w:space="0" w:color="auto"/>
      </w:divBdr>
    </w:div>
    <w:div w:id="725180393">
      <w:bodyDiv w:val="1"/>
      <w:marLeft w:val="0"/>
      <w:marRight w:val="0"/>
      <w:marTop w:val="0"/>
      <w:marBottom w:val="0"/>
      <w:divBdr>
        <w:top w:val="none" w:sz="0" w:space="0" w:color="auto"/>
        <w:left w:val="none" w:sz="0" w:space="0" w:color="auto"/>
        <w:bottom w:val="none" w:sz="0" w:space="0" w:color="auto"/>
        <w:right w:val="none" w:sz="0" w:space="0" w:color="auto"/>
      </w:divBdr>
    </w:div>
    <w:div w:id="750346574">
      <w:bodyDiv w:val="1"/>
      <w:marLeft w:val="0"/>
      <w:marRight w:val="0"/>
      <w:marTop w:val="0"/>
      <w:marBottom w:val="0"/>
      <w:divBdr>
        <w:top w:val="none" w:sz="0" w:space="0" w:color="auto"/>
        <w:left w:val="none" w:sz="0" w:space="0" w:color="auto"/>
        <w:bottom w:val="none" w:sz="0" w:space="0" w:color="auto"/>
        <w:right w:val="none" w:sz="0" w:space="0" w:color="auto"/>
      </w:divBdr>
      <w:divsChild>
        <w:div w:id="640572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2433865">
      <w:bodyDiv w:val="1"/>
      <w:marLeft w:val="0"/>
      <w:marRight w:val="0"/>
      <w:marTop w:val="0"/>
      <w:marBottom w:val="0"/>
      <w:divBdr>
        <w:top w:val="none" w:sz="0" w:space="0" w:color="auto"/>
        <w:left w:val="none" w:sz="0" w:space="0" w:color="auto"/>
        <w:bottom w:val="none" w:sz="0" w:space="0" w:color="auto"/>
        <w:right w:val="none" w:sz="0" w:space="0" w:color="auto"/>
      </w:divBdr>
      <w:divsChild>
        <w:div w:id="24058916">
          <w:marLeft w:val="0"/>
          <w:marRight w:val="0"/>
          <w:marTop w:val="0"/>
          <w:marBottom w:val="0"/>
          <w:divBdr>
            <w:top w:val="none" w:sz="0" w:space="0" w:color="auto"/>
            <w:left w:val="none" w:sz="0" w:space="0" w:color="auto"/>
            <w:bottom w:val="none" w:sz="0" w:space="0" w:color="auto"/>
            <w:right w:val="none" w:sz="0" w:space="0" w:color="auto"/>
          </w:divBdr>
          <w:divsChild>
            <w:div w:id="1262180605">
              <w:marLeft w:val="0"/>
              <w:marRight w:val="0"/>
              <w:marTop w:val="0"/>
              <w:marBottom w:val="0"/>
              <w:divBdr>
                <w:top w:val="none" w:sz="0" w:space="0" w:color="auto"/>
                <w:left w:val="none" w:sz="0" w:space="0" w:color="auto"/>
                <w:bottom w:val="none" w:sz="0" w:space="0" w:color="auto"/>
                <w:right w:val="none" w:sz="0" w:space="0" w:color="auto"/>
              </w:divBdr>
              <w:divsChild>
                <w:div w:id="23680962">
                  <w:marLeft w:val="0"/>
                  <w:marRight w:val="0"/>
                  <w:marTop w:val="0"/>
                  <w:marBottom w:val="0"/>
                  <w:divBdr>
                    <w:top w:val="none" w:sz="0" w:space="0" w:color="auto"/>
                    <w:left w:val="none" w:sz="0" w:space="0" w:color="auto"/>
                    <w:bottom w:val="none" w:sz="0" w:space="0" w:color="auto"/>
                    <w:right w:val="none" w:sz="0" w:space="0" w:color="auto"/>
                  </w:divBdr>
                  <w:divsChild>
                    <w:div w:id="160191406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938374">
      <w:bodyDiv w:val="1"/>
      <w:marLeft w:val="0"/>
      <w:marRight w:val="0"/>
      <w:marTop w:val="0"/>
      <w:marBottom w:val="0"/>
      <w:divBdr>
        <w:top w:val="none" w:sz="0" w:space="0" w:color="auto"/>
        <w:left w:val="none" w:sz="0" w:space="0" w:color="auto"/>
        <w:bottom w:val="none" w:sz="0" w:space="0" w:color="auto"/>
        <w:right w:val="none" w:sz="0" w:space="0" w:color="auto"/>
      </w:divBdr>
    </w:div>
    <w:div w:id="919871541">
      <w:bodyDiv w:val="1"/>
      <w:marLeft w:val="0"/>
      <w:marRight w:val="0"/>
      <w:marTop w:val="0"/>
      <w:marBottom w:val="0"/>
      <w:divBdr>
        <w:top w:val="none" w:sz="0" w:space="0" w:color="auto"/>
        <w:left w:val="none" w:sz="0" w:space="0" w:color="auto"/>
        <w:bottom w:val="none" w:sz="0" w:space="0" w:color="auto"/>
        <w:right w:val="none" w:sz="0" w:space="0" w:color="auto"/>
      </w:divBdr>
    </w:div>
    <w:div w:id="943807383">
      <w:bodyDiv w:val="1"/>
      <w:marLeft w:val="0"/>
      <w:marRight w:val="0"/>
      <w:marTop w:val="0"/>
      <w:marBottom w:val="0"/>
      <w:divBdr>
        <w:top w:val="none" w:sz="0" w:space="0" w:color="auto"/>
        <w:left w:val="none" w:sz="0" w:space="0" w:color="auto"/>
        <w:bottom w:val="none" w:sz="0" w:space="0" w:color="auto"/>
        <w:right w:val="none" w:sz="0" w:space="0" w:color="auto"/>
      </w:divBdr>
    </w:div>
    <w:div w:id="986545168">
      <w:bodyDiv w:val="1"/>
      <w:marLeft w:val="0"/>
      <w:marRight w:val="0"/>
      <w:marTop w:val="0"/>
      <w:marBottom w:val="0"/>
      <w:divBdr>
        <w:top w:val="none" w:sz="0" w:space="0" w:color="auto"/>
        <w:left w:val="none" w:sz="0" w:space="0" w:color="auto"/>
        <w:bottom w:val="none" w:sz="0" w:space="0" w:color="auto"/>
        <w:right w:val="none" w:sz="0" w:space="0" w:color="auto"/>
      </w:divBdr>
    </w:div>
    <w:div w:id="1007445309">
      <w:bodyDiv w:val="1"/>
      <w:marLeft w:val="0"/>
      <w:marRight w:val="0"/>
      <w:marTop w:val="0"/>
      <w:marBottom w:val="0"/>
      <w:divBdr>
        <w:top w:val="none" w:sz="0" w:space="0" w:color="auto"/>
        <w:left w:val="none" w:sz="0" w:space="0" w:color="auto"/>
        <w:bottom w:val="none" w:sz="0" w:space="0" w:color="auto"/>
        <w:right w:val="none" w:sz="0" w:space="0" w:color="auto"/>
      </w:divBdr>
    </w:div>
    <w:div w:id="1020012744">
      <w:bodyDiv w:val="1"/>
      <w:marLeft w:val="0"/>
      <w:marRight w:val="0"/>
      <w:marTop w:val="0"/>
      <w:marBottom w:val="0"/>
      <w:divBdr>
        <w:top w:val="none" w:sz="0" w:space="0" w:color="auto"/>
        <w:left w:val="none" w:sz="0" w:space="0" w:color="auto"/>
        <w:bottom w:val="none" w:sz="0" w:space="0" w:color="auto"/>
        <w:right w:val="none" w:sz="0" w:space="0" w:color="auto"/>
      </w:divBdr>
    </w:div>
    <w:div w:id="1148547391">
      <w:bodyDiv w:val="1"/>
      <w:marLeft w:val="0"/>
      <w:marRight w:val="0"/>
      <w:marTop w:val="0"/>
      <w:marBottom w:val="0"/>
      <w:divBdr>
        <w:top w:val="none" w:sz="0" w:space="0" w:color="auto"/>
        <w:left w:val="none" w:sz="0" w:space="0" w:color="auto"/>
        <w:bottom w:val="none" w:sz="0" w:space="0" w:color="auto"/>
        <w:right w:val="none" w:sz="0" w:space="0" w:color="auto"/>
      </w:divBdr>
    </w:div>
    <w:div w:id="1394809857">
      <w:bodyDiv w:val="1"/>
      <w:marLeft w:val="0"/>
      <w:marRight w:val="0"/>
      <w:marTop w:val="0"/>
      <w:marBottom w:val="0"/>
      <w:divBdr>
        <w:top w:val="none" w:sz="0" w:space="0" w:color="auto"/>
        <w:left w:val="none" w:sz="0" w:space="0" w:color="auto"/>
        <w:bottom w:val="none" w:sz="0" w:space="0" w:color="auto"/>
        <w:right w:val="none" w:sz="0" w:space="0" w:color="auto"/>
      </w:divBdr>
    </w:div>
    <w:div w:id="1407919067">
      <w:bodyDiv w:val="1"/>
      <w:marLeft w:val="0"/>
      <w:marRight w:val="0"/>
      <w:marTop w:val="0"/>
      <w:marBottom w:val="0"/>
      <w:divBdr>
        <w:top w:val="none" w:sz="0" w:space="0" w:color="auto"/>
        <w:left w:val="none" w:sz="0" w:space="0" w:color="auto"/>
        <w:bottom w:val="none" w:sz="0" w:space="0" w:color="auto"/>
        <w:right w:val="none" w:sz="0" w:space="0" w:color="auto"/>
      </w:divBdr>
    </w:div>
    <w:div w:id="1435512145">
      <w:bodyDiv w:val="1"/>
      <w:marLeft w:val="0"/>
      <w:marRight w:val="0"/>
      <w:marTop w:val="0"/>
      <w:marBottom w:val="0"/>
      <w:divBdr>
        <w:top w:val="none" w:sz="0" w:space="0" w:color="auto"/>
        <w:left w:val="none" w:sz="0" w:space="0" w:color="auto"/>
        <w:bottom w:val="none" w:sz="0" w:space="0" w:color="auto"/>
        <w:right w:val="none" w:sz="0" w:space="0" w:color="auto"/>
      </w:divBdr>
    </w:div>
    <w:div w:id="1667170485">
      <w:bodyDiv w:val="1"/>
      <w:marLeft w:val="0"/>
      <w:marRight w:val="0"/>
      <w:marTop w:val="0"/>
      <w:marBottom w:val="0"/>
      <w:divBdr>
        <w:top w:val="none" w:sz="0" w:space="0" w:color="auto"/>
        <w:left w:val="none" w:sz="0" w:space="0" w:color="auto"/>
        <w:bottom w:val="none" w:sz="0" w:space="0" w:color="auto"/>
        <w:right w:val="none" w:sz="0" w:space="0" w:color="auto"/>
      </w:divBdr>
      <w:divsChild>
        <w:div w:id="1767919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1540394">
      <w:bodyDiv w:val="1"/>
      <w:marLeft w:val="0"/>
      <w:marRight w:val="0"/>
      <w:marTop w:val="0"/>
      <w:marBottom w:val="0"/>
      <w:divBdr>
        <w:top w:val="none" w:sz="0" w:space="0" w:color="auto"/>
        <w:left w:val="none" w:sz="0" w:space="0" w:color="auto"/>
        <w:bottom w:val="none" w:sz="0" w:space="0" w:color="auto"/>
        <w:right w:val="none" w:sz="0" w:space="0" w:color="auto"/>
      </w:divBdr>
    </w:div>
    <w:div w:id="1855000719">
      <w:bodyDiv w:val="1"/>
      <w:marLeft w:val="0"/>
      <w:marRight w:val="0"/>
      <w:marTop w:val="0"/>
      <w:marBottom w:val="0"/>
      <w:divBdr>
        <w:top w:val="none" w:sz="0" w:space="0" w:color="auto"/>
        <w:left w:val="none" w:sz="0" w:space="0" w:color="auto"/>
        <w:bottom w:val="none" w:sz="0" w:space="0" w:color="auto"/>
        <w:right w:val="none" w:sz="0" w:space="0" w:color="auto"/>
      </w:divBdr>
    </w:div>
    <w:div w:id="1875145625">
      <w:bodyDiv w:val="1"/>
      <w:marLeft w:val="0"/>
      <w:marRight w:val="0"/>
      <w:marTop w:val="0"/>
      <w:marBottom w:val="0"/>
      <w:divBdr>
        <w:top w:val="none" w:sz="0" w:space="0" w:color="auto"/>
        <w:left w:val="none" w:sz="0" w:space="0" w:color="auto"/>
        <w:bottom w:val="none" w:sz="0" w:space="0" w:color="auto"/>
        <w:right w:val="none" w:sz="0" w:space="0" w:color="auto"/>
      </w:divBdr>
      <w:divsChild>
        <w:div w:id="1504736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6212852">
      <w:bodyDiv w:val="1"/>
      <w:marLeft w:val="0"/>
      <w:marRight w:val="0"/>
      <w:marTop w:val="0"/>
      <w:marBottom w:val="0"/>
      <w:divBdr>
        <w:top w:val="none" w:sz="0" w:space="0" w:color="auto"/>
        <w:left w:val="none" w:sz="0" w:space="0" w:color="auto"/>
        <w:bottom w:val="none" w:sz="0" w:space="0" w:color="auto"/>
        <w:right w:val="none" w:sz="0" w:space="0" w:color="auto"/>
      </w:divBdr>
      <w:divsChild>
        <w:div w:id="1522163007">
          <w:marLeft w:val="0"/>
          <w:marRight w:val="0"/>
          <w:marTop w:val="0"/>
          <w:marBottom w:val="0"/>
          <w:divBdr>
            <w:top w:val="none" w:sz="0" w:space="0" w:color="auto"/>
            <w:left w:val="none" w:sz="0" w:space="0" w:color="auto"/>
            <w:bottom w:val="none" w:sz="0" w:space="0" w:color="auto"/>
            <w:right w:val="none" w:sz="0" w:space="0" w:color="auto"/>
          </w:divBdr>
          <w:divsChild>
            <w:div w:id="2020153535">
              <w:marLeft w:val="0"/>
              <w:marRight w:val="0"/>
              <w:marTop w:val="0"/>
              <w:marBottom w:val="0"/>
              <w:divBdr>
                <w:top w:val="none" w:sz="0" w:space="0" w:color="auto"/>
                <w:left w:val="none" w:sz="0" w:space="0" w:color="auto"/>
                <w:bottom w:val="none" w:sz="0" w:space="0" w:color="auto"/>
                <w:right w:val="none" w:sz="0" w:space="0" w:color="auto"/>
              </w:divBdr>
              <w:divsChild>
                <w:div w:id="493449637">
                  <w:marLeft w:val="0"/>
                  <w:marRight w:val="0"/>
                  <w:marTop w:val="0"/>
                  <w:marBottom w:val="0"/>
                  <w:divBdr>
                    <w:top w:val="none" w:sz="0" w:space="0" w:color="auto"/>
                    <w:left w:val="none" w:sz="0" w:space="0" w:color="auto"/>
                    <w:bottom w:val="none" w:sz="0" w:space="0" w:color="auto"/>
                    <w:right w:val="none" w:sz="0" w:space="0" w:color="auto"/>
                  </w:divBdr>
                  <w:divsChild>
                    <w:div w:id="64771308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81018">
      <w:bodyDiv w:val="1"/>
      <w:marLeft w:val="0"/>
      <w:marRight w:val="0"/>
      <w:marTop w:val="0"/>
      <w:marBottom w:val="0"/>
      <w:divBdr>
        <w:top w:val="none" w:sz="0" w:space="0" w:color="auto"/>
        <w:left w:val="none" w:sz="0" w:space="0" w:color="auto"/>
        <w:bottom w:val="none" w:sz="0" w:space="0" w:color="auto"/>
        <w:right w:val="none" w:sz="0" w:space="0" w:color="auto"/>
      </w:divBdr>
    </w:div>
    <w:div w:id="2136554571">
      <w:bodyDiv w:val="1"/>
      <w:marLeft w:val="0"/>
      <w:marRight w:val="0"/>
      <w:marTop w:val="0"/>
      <w:marBottom w:val="0"/>
      <w:divBdr>
        <w:top w:val="none" w:sz="0" w:space="0" w:color="auto"/>
        <w:left w:val="none" w:sz="0" w:space="0" w:color="auto"/>
        <w:bottom w:val="none" w:sz="0" w:space="0" w:color="auto"/>
        <w:right w:val="none" w:sz="0" w:space="0" w:color="auto"/>
      </w:divBdr>
      <w:divsChild>
        <w:div w:id="1241671500">
          <w:marLeft w:val="0"/>
          <w:marRight w:val="0"/>
          <w:marTop w:val="0"/>
          <w:marBottom w:val="0"/>
          <w:divBdr>
            <w:top w:val="none" w:sz="0" w:space="0" w:color="auto"/>
            <w:left w:val="none" w:sz="0" w:space="0" w:color="auto"/>
            <w:bottom w:val="none" w:sz="0" w:space="0" w:color="auto"/>
            <w:right w:val="none" w:sz="0" w:space="0" w:color="auto"/>
          </w:divBdr>
          <w:divsChild>
            <w:div w:id="300036391">
              <w:marLeft w:val="0"/>
              <w:marRight w:val="0"/>
              <w:marTop w:val="0"/>
              <w:marBottom w:val="0"/>
              <w:divBdr>
                <w:top w:val="none" w:sz="0" w:space="0" w:color="auto"/>
                <w:left w:val="none" w:sz="0" w:space="0" w:color="auto"/>
                <w:bottom w:val="none" w:sz="0" w:space="0" w:color="auto"/>
                <w:right w:val="none" w:sz="0" w:space="0" w:color="auto"/>
              </w:divBdr>
              <w:divsChild>
                <w:div w:id="1016540580">
                  <w:marLeft w:val="0"/>
                  <w:marRight w:val="0"/>
                  <w:marTop w:val="0"/>
                  <w:marBottom w:val="0"/>
                  <w:divBdr>
                    <w:top w:val="none" w:sz="0" w:space="0" w:color="auto"/>
                    <w:left w:val="none" w:sz="0" w:space="0" w:color="auto"/>
                    <w:bottom w:val="none" w:sz="0" w:space="0" w:color="auto"/>
                    <w:right w:val="none" w:sz="0" w:space="0" w:color="auto"/>
                  </w:divBdr>
                  <w:divsChild>
                    <w:div w:id="94812038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4846F-23EC-4F77-AC94-40C7F47C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7704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dc:description/>
  <cp:lastModifiedBy>shoffner</cp:lastModifiedBy>
  <cp:revision>3</cp:revision>
  <cp:lastPrinted>2010-10-20T18:17:00Z</cp:lastPrinted>
  <dcterms:created xsi:type="dcterms:W3CDTF">2010-11-01T19:40:00Z</dcterms:created>
  <dcterms:modified xsi:type="dcterms:W3CDTF">2010-11-01T20:54:00Z</dcterms:modified>
</cp:coreProperties>
</file>