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0C1" w:rsidRPr="00446DA3" w:rsidRDefault="002D10C1" w:rsidP="002D10C1">
      <w:pPr>
        <w:suppressAutoHyphens/>
        <w:jc w:val="center"/>
        <w:outlineLvl w:val="0"/>
        <w:rPr>
          <w:rFonts w:ascii="Times New Roman" w:hAnsi="Times New Roman" w:cs="Times New Roman"/>
          <w:b/>
          <w:bCs/>
          <w:spacing w:val="-3"/>
        </w:rPr>
      </w:pPr>
      <w:r w:rsidRPr="00446DA3">
        <w:rPr>
          <w:rFonts w:ascii="Times New Roman" w:hAnsi="Times New Roman" w:cs="Times New Roman"/>
          <w:b/>
          <w:bCs/>
          <w:spacing w:val="-3"/>
        </w:rPr>
        <w:t>BEFORE THE</w:t>
      </w:r>
    </w:p>
    <w:p w:rsidR="002D10C1" w:rsidRPr="00446DA3" w:rsidRDefault="002D10C1" w:rsidP="002D10C1">
      <w:pPr>
        <w:suppressAutoHyphens/>
        <w:jc w:val="center"/>
        <w:outlineLvl w:val="0"/>
        <w:rPr>
          <w:rFonts w:ascii="Times New Roman" w:hAnsi="Times New Roman" w:cs="Times New Roman"/>
          <w:b/>
          <w:bCs/>
          <w:spacing w:val="-3"/>
        </w:rPr>
      </w:pPr>
      <w:r w:rsidRPr="00446DA3">
        <w:rPr>
          <w:rFonts w:ascii="Times New Roman" w:hAnsi="Times New Roman" w:cs="Times New Roman"/>
          <w:b/>
          <w:bCs/>
          <w:spacing w:val="-3"/>
        </w:rPr>
        <w:t>PENNSYLVANIA PUBLIC UTILITY COMMISSION</w:t>
      </w:r>
    </w:p>
    <w:p w:rsidR="002D10C1" w:rsidRPr="00446DA3" w:rsidRDefault="002D10C1" w:rsidP="002D10C1">
      <w:pPr>
        <w:suppressAutoHyphens/>
        <w:jc w:val="center"/>
        <w:outlineLvl w:val="0"/>
        <w:rPr>
          <w:rFonts w:ascii="Times New Roman" w:hAnsi="Times New Roman" w:cs="Times New Roman"/>
          <w:b/>
          <w:bCs/>
          <w:spacing w:val="-3"/>
        </w:rPr>
      </w:pPr>
    </w:p>
    <w:p w:rsidR="002D10C1" w:rsidRPr="00446DA3" w:rsidRDefault="002D10C1" w:rsidP="002D10C1">
      <w:pPr>
        <w:suppressAutoHyphens/>
        <w:jc w:val="center"/>
        <w:outlineLvl w:val="0"/>
        <w:rPr>
          <w:rFonts w:ascii="Times New Roman" w:hAnsi="Times New Roman" w:cs="Times New Roman"/>
          <w:b/>
          <w:bCs/>
          <w:spacing w:val="-3"/>
        </w:rPr>
      </w:pPr>
    </w:p>
    <w:p w:rsidR="002D10C1" w:rsidRPr="00446DA3" w:rsidRDefault="002D10C1" w:rsidP="002D10C1">
      <w:pPr>
        <w:suppressAutoHyphens/>
        <w:jc w:val="center"/>
        <w:outlineLvl w:val="0"/>
        <w:rPr>
          <w:rFonts w:ascii="Times New Roman" w:hAnsi="Times New Roman" w:cs="Times New Roman"/>
          <w:b/>
          <w:bCs/>
          <w:spacing w:val="-3"/>
        </w:rPr>
      </w:pPr>
    </w:p>
    <w:p w:rsidR="002D10C1" w:rsidRPr="00446DA3" w:rsidRDefault="002D10C1" w:rsidP="002D10C1">
      <w:pPr>
        <w:suppressAutoHyphens/>
        <w:jc w:val="both"/>
        <w:rPr>
          <w:rFonts w:ascii="Times New Roman" w:hAnsi="Times New Roman" w:cs="Times New Roman"/>
          <w:spacing w:val="-3"/>
        </w:rPr>
      </w:pPr>
      <w:r w:rsidRPr="00446DA3">
        <w:rPr>
          <w:rFonts w:ascii="Times New Roman" w:hAnsi="Times New Roman" w:cs="Times New Roman"/>
          <w:spacing w:val="-3"/>
        </w:rPr>
        <w:t xml:space="preserve">Pennsylvania Public Utility Commission   </w:t>
      </w:r>
      <w:r w:rsidRPr="00446DA3">
        <w:rPr>
          <w:rFonts w:ascii="Times New Roman" w:hAnsi="Times New Roman" w:cs="Times New Roman"/>
          <w:spacing w:val="-3"/>
        </w:rPr>
        <w:tab/>
      </w:r>
      <w:r w:rsidRPr="00446DA3">
        <w:rPr>
          <w:rFonts w:ascii="Times New Roman" w:hAnsi="Times New Roman" w:cs="Times New Roman"/>
          <w:spacing w:val="-3"/>
        </w:rPr>
        <w:tab/>
      </w:r>
      <w:r w:rsidRPr="00446DA3">
        <w:rPr>
          <w:rFonts w:ascii="Times New Roman" w:hAnsi="Times New Roman" w:cs="Times New Roman"/>
          <w:spacing w:val="-3"/>
        </w:rPr>
        <w:fldChar w:fldCharType="begin"/>
      </w:r>
      <w:r w:rsidRPr="00446DA3">
        <w:rPr>
          <w:rFonts w:ascii="Times New Roman" w:hAnsi="Times New Roman" w:cs="Times New Roman"/>
          <w:spacing w:val="-3"/>
        </w:rPr>
        <w:instrText>fillin "Complainant's name" \d ""</w:instrText>
      </w:r>
      <w:r w:rsidRPr="00446DA3">
        <w:rPr>
          <w:rFonts w:ascii="Times New Roman" w:hAnsi="Times New Roman" w:cs="Times New Roman"/>
          <w:spacing w:val="-3"/>
        </w:rPr>
        <w:fldChar w:fldCharType="end"/>
      </w:r>
      <w:r w:rsidRPr="00446DA3">
        <w:rPr>
          <w:rFonts w:ascii="Times New Roman" w:hAnsi="Times New Roman" w:cs="Times New Roman"/>
          <w:spacing w:val="-3"/>
        </w:rPr>
        <w:t>:</w:t>
      </w:r>
      <w:r>
        <w:rPr>
          <w:rFonts w:ascii="Times New Roman" w:hAnsi="Times New Roman" w:cs="Times New Roman"/>
          <w:spacing w:val="-3"/>
        </w:rPr>
        <w:tab/>
      </w:r>
      <w:r>
        <w:rPr>
          <w:rFonts w:ascii="Times New Roman" w:hAnsi="Times New Roman" w:cs="Times New Roman"/>
          <w:spacing w:val="-3"/>
        </w:rPr>
        <w:tab/>
        <w:t>R-2010-2161575</w:t>
      </w:r>
    </w:p>
    <w:p w:rsidR="002D10C1" w:rsidRDefault="002D10C1" w:rsidP="002D10C1">
      <w:pPr>
        <w:suppressAutoHyphens/>
        <w:jc w:val="both"/>
        <w:rPr>
          <w:rFonts w:ascii="Times New Roman" w:hAnsi="Times New Roman" w:cs="Times New Roman"/>
          <w:spacing w:val="-3"/>
        </w:rPr>
      </w:pPr>
      <w:r>
        <w:rPr>
          <w:rFonts w:ascii="Times New Roman" w:hAnsi="Times New Roman" w:cs="Times New Roman"/>
          <w:spacing w:val="-3"/>
        </w:rPr>
        <w:t>Office of Small Business Advocate</w:t>
      </w:r>
      <w:r w:rsidRPr="00446DA3">
        <w:rPr>
          <w:rFonts w:ascii="Times New Roman" w:hAnsi="Times New Roman" w:cs="Times New Roman"/>
          <w:spacing w:val="-3"/>
        </w:rPr>
        <w:tab/>
      </w:r>
      <w:r w:rsidRPr="00446DA3">
        <w:rPr>
          <w:rFonts w:ascii="Times New Roman" w:hAnsi="Times New Roman" w:cs="Times New Roman"/>
          <w:spacing w:val="-3"/>
        </w:rPr>
        <w:tab/>
      </w:r>
      <w:r w:rsidRPr="00446DA3">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t>C-2010-2171342</w:t>
      </w:r>
    </w:p>
    <w:p w:rsidR="002D10C1" w:rsidRDefault="002D10C1" w:rsidP="002D10C1">
      <w:pPr>
        <w:suppressAutoHyphens/>
        <w:jc w:val="both"/>
        <w:rPr>
          <w:rFonts w:ascii="Times New Roman" w:hAnsi="Times New Roman" w:cs="Times New Roman"/>
          <w:spacing w:val="-3"/>
        </w:rPr>
      </w:pPr>
      <w:r>
        <w:rPr>
          <w:rFonts w:ascii="Times New Roman" w:hAnsi="Times New Roman" w:cs="Times New Roman"/>
          <w:spacing w:val="-3"/>
        </w:rPr>
        <w:t>Office of Consumer Advocate</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t>C-2010-2172183</w:t>
      </w:r>
    </w:p>
    <w:p w:rsidR="002D10C1" w:rsidRDefault="002D10C1" w:rsidP="002D10C1">
      <w:pPr>
        <w:suppressAutoHyphens/>
        <w:jc w:val="both"/>
        <w:rPr>
          <w:rFonts w:ascii="Times New Roman" w:hAnsi="Times New Roman" w:cs="Times New Roman"/>
          <w:spacing w:val="-3"/>
        </w:rPr>
      </w:pPr>
      <w:r>
        <w:rPr>
          <w:rFonts w:ascii="Times New Roman" w:hAnsi="Times New Roman" w:cs="Times New Roman"/>
          <w:spacing w:val="-3"/>
        </w:rPr>
        <w:t>Philadelphia Area Industrial Energy Users Group</w:t>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t>C-2010-2177849</w:t>
      </w:r>
    </w:p>
    <w:p w:rsidR="002D10C1" w:rsidRDefault="002D10C1" w:rsidP="002D10C1">
      <w:pPr>
        <w:suppressAutoHyphens/>
      </w:pPr>
      <w:r>
        <w:t>Tenant Union Representative Network and</w:t>
      </w:r>
    </w:p>
    <w:p w:rsidR="002D10C1" w:rsidRDefault="002D10C1" w:rsidP="002D10C1">
      <w:pPr>
        <w:suppressAutoHyphens/>
      </w:pPr>
      <w:r>
        <w:t xml:space="preserve">Action Alliance of Senior Citizens of Greater </w:t>
      </w:r>
    </w:p>
    <w:p w:rsidR="002D10C1" w:rsidRDefault="002D10C1" w:rsidP="002D10C1">
      <w:pPr>
        <w:suppressAutoHyphens/>
        <w:rPr>
          <w:rFonts w:ascii="Times New Roman" w:hAnsi="Times New Roman" w:cs="Times New Roman"/>
          <w:spacing w:val="-3"/>
        </w:rPr>
      </w:pPr>
      <w:r>
        <w:t>Philadelphia</w:t>
      </w:r>
      <w:r>
        <w:tab/>
      </w:r>
      <w:r>
        <w:tab/>
      </w:r>
      <w:r>
        <w:tab/>
      </w:r>
      <w:r>
        <w:tab/>
      </w:r>
      <w: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t>C-2010-2176148</w:t>
      </w:r>
    </w:p>
    <w:p w:rsidR="002D10C1" w:rsidRDefault="002D10C1" w:rsidP="002D10C1">
      <w:pPr>
        <w:suppressAutoHyphens/>
        <w:rPr>
          <w:rFonts w:ascii="Times New Roman" w:hAnsi="Times New Roman" w:cs="Times New Roman"/>
          <w:spacing w:val="-3"/>
        </w:rPr>
      </w:pPr>
      <w:r>
        <w:rPr>
          <w:rFonts w:ascii="Times New Roman" w:hAnsi="Times New Roman" w:cs="Times New Roman"/>
          <w:spacing w:val="-3"/>
        </w:rPr>
        <w:t>Pennsylvania Communities Organizing for Change</w:t>
      </w:r>
    </w:p>
    <w:p w:rsidR="002D10C1" w:rsidRDefault="002D10C1" w:rsidP="002D10C1">
      <w:pPr>
        <w:suppressAutoHyphens/>
        <w:rPr>
          <w:rFonts w:ascii="Times New Roman" w:hAnsi="Times New Roman" w:cs="Times New Roman"/>
          <w:spacing w:val="-3"/>
        </w:rPr>
      </w:pPr>
      <w:r>
        <w:rPr>
          <w:rFonts w:ascii="Times New Roman" w:hAnsi="Times New Roman" w:cs="Times New Roman"/>
          <w:spacing w:val="-3"/>
        </w:rPr>
        <w:t>Inc. d/b/a Action United</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t>C-2010-2185289</w:t>
      </w:r>
    </w:p>
    <w:p w:rsidR="002D10C1" w:rsidRDefault="002D10C1" w:rsidP="002D10C1">
      <w:pPr>
        <w:suppressAutoHyphens/>
        <w:jc w:val="both"/>
        <w:rPr>
          <w:rFonts w:ascii="Times New Roman" w:hAnsi="Times New Roman" w:cs="Times New Roman"/>
          <w:spacing w:val="-3"/>
        </w:rPr>
      </w:pPr>
      <w:r>
        <w:rPr>
          <w:rFonts w:ascii="Times New Roman" w:hAnsi="Times New Roman" w:cs="Times New Roman"/>
          <w:spacing w:val="-3"/>
        </w:rPr>
        <w:t>Ryan Miller</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t>C-2010-2167594</w:t>
      </w:r>
    </w:p>
    <w:p w:rsidR="002D10C1" w:rsidRDefault="002D10C1" w:rsidP="002D10C1">
      <w:pPr>
        <w:suppressAutoHyphens/>
        <w:jc w:val="both"/>
        <w:rPr>
          <w:rFonts w:ascii="Times New Roman" w:hAnsi="Times New Roman" w:cs="Times New Roman"/>
          <w:spacing w:val="-3"/>
        </w:rPr>
      </w:pPr>
      <w:r>
        <w:rPr>
          <w:rFonts w:ascii="Times New Roman" w:hAnsi="Times New Roman" w:cs="Times New Roman"/>
          <w:spacing w:val="-3"/>
        </w:rPr>
        <w:t>Craig Vorwald</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t>C-2010-2171229</w:t>
      </w:r>
    </w:p>
    <w:p w:rsidR="002D10C1" w:rsidRDefault="002D10C1" w:rsidP="002D10C1">
      <w:pPr>
        <w:suppressAutoHyphens/>
        <w:jc w:val="both"/>
        <w:rPr>
          <w:rFonts w:ascii="Times New Roman" w:hAnsi="Times New Roman" w:cs="Times New Roman"/>
          <w:spacing w:val="-3"/>
        </w:rPr>
      </w:pPr>
      <w:r>
        <w:rPr>
          <w:rFonts w:ascii="Times New Roman" w:hAnsi="Times New Roman" w:cs="Times New Roman"/>
          <w:spacing w:val="-3"/>
        </w:rPr>
        <w:t>Cynthia Gallagher</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t>C-2010-2177260</w:t>
      </w:r>
    </w:p>
    <w:p w:rsidR="002D10C1" w:rsidRDefault="002D10C1" w:rsidP="002D10C1">
      <w:pPr>
        <w:suppressAutoHyphens/>
        <w:jc w:val="both"/>
        <w:rPr>
          <w:rFonts w:ascii="Times New Roman" w:hAnsi="Times New Roman" w:cs="Times New Roman"/>
          <w:spacing w:val="-3"/>
        </w:rPr>
      </w:pPr>
      <w:r>
        <w:rPr>
          <w:rFonts w:ascii="Times New Roman" w:hAnsi="Times New Roman" w:cs="Times New Roman"/>
          <w:spacing w:val="-3"/>
        </w:rPr>
        <w:t>Rita Griggs</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t>C-2010-2179769</w:t>
      </w:r>
    </w:p>
    <w:p w:rsidR="002D10C1" w:rsidRDefault="002D10C1" w:rsidP="002D10C1">
      <w:pPr>
        <w:suppressAutoHyphens/>
        <w:jc w:val="both"/>
        <w:rPr>
          <w:rFonts w:ascii="Times New Roman" w:hAnsi="Times New Roman" w:cs="Times New Roman"/>
          <w:spacing w:val="-3"/>
        </w:rPr>
      </w:pPr>
      <w:r>
        <w:rPr>
          <w:rFonts w:ascii="Times New Roman" w:hAnsi="Times New Roman" w:cs="Times New Roman"/>
          <w:spacing w:val="-3"/>
        </w:rPr>
        <w:t>Robert Chase</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t>C-2010-2182185</w:t>
      </w:r>
    </w:p>
    <w:p w:rsidR="002D10C1" w:rsidRDefault="002D10C1" w:rsidP="002D10C1">
      <w:pPr>
        <w:suppressAutoHyphens/>
        <w:jc w:val="both"/>
        <w:rPr>
          <w:rFonts w:ascii="Times New Roman" w:hAnsi="Times New Roman" w:cs="Times New Roman"/>
          <w:spacing w:val="-3"/>
        </w:rPr>
      </w:pPr>
      <w:r>
        <w:rPr>
          <w:rFonts w:ascii="Times New Roman" w:hAnsi="Times New Roman" w:cs="Times New Roman"/>
          <w:spacing w:val="-3"/>
        </w:rPr>
        <w:t>William B. Kazimer</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t>C-2010-2183018</w:t>
      </w:r>
    </w:p>
    <w:p w:rsidR="002D10C1" w:rsidRPr="00446DA3" w:rsidRDefault="002D10C1" w:rsidP="002D10C1">
      <w:pPr>
        <w:rPr>
          <w:rFonts w:ascii="Times New Roman" w:hAnsi="Times New Roman" w:cs="Times New Roman"/>
          <w:spacing w:val="-3"/>
        </w:rPr>
      </w:pPr>
      <w:r w:rsidRPr="00877C2F">
        <w:rPr>
          <w:rFonts w:ascii="Times New Roman" w:hAnsi="Times New Roman" w:cs="Times New Roman"/>
        </w:rPr>
        <w:t>William H. Esbiornson</w:t>
      </w:r>
      <w:r>
        <w:tab/>
      </w:r>
      <w:r>
        <w:tab/>
      </w:r>
      <w:r>
        <w:tab/>
      </w:r>
      <w:r>
        <w:tab/>
        <w:t>:</w:t>
      </w:r>
      <w:r>
        <w:tab/>
      </w:r>
      <w:r>
        <w:tab/>
      </w:r>
      <w:r>
        <w:rPr>
          <w:rFonts w:ascii="Times New Roman" w:hAnsi="Times New Roman" w:cs="Times New Roman"/>
        </w:rPr>
        <w:t>C-2010-2196250</w:t>
      </w:r>
    </w:p>
    <w:p w:rsidR="002D10C1" w:rsidRDefault="002D10C1" w:rsidP="002D10C1">
      <w:pPr>
        <w:suppressAutoHyphens/>
        <w:jc w:val="both"/>
        <w:rPr>
          <w:rFonts w:ascii="Times New Roman" w:hAnsi="Times New Roman" w:cs="Times New Roman"/>
          <w:spacing w:val="-3"/>
        </w:rPr>
      </w:pPr>
      <w:r>
        <w:rPr>
          <w:rFonts w:ascii="Times New Roman" w:hAnsi="Times New Roman" w:cs="Times New Roman"/>
          <w:spacing w:val="-3"/>
        </w:rPr>
        <w:t>Shirley T. White</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t>C-2010-2204439</w:t>
      </w:r>
    </w:p>
    <w:p w:rsidR="00A11840" w:rsidRDefault="002D10C1" w:rsidP="002D10C1">
      <w:pPr>
        <w:suppressAutoHyphens/>
        <w:jc w:val="both"/>
        <w:rPr>
          <w:rFonts w:ascii="Times New Roman" w:hAnsi="Times New Roman" w:cs="Times New Roman"/>
          <w:spacing w:val="-3"/>
        </w:rPr>
      </w:pPr>
      <w:r w:rsidRPr="00446DA3">
        <w:rPr>
          <w:rFonts w:ascii="Times New Roman" w:hAnsi="Times New Roman" w:cs="Times New Roman"/>
          <w:spacing w:val="-3"/>
        </w:rPr>
        <w:tab/>
        <w:t xml:space="preserve">          </w:t>
      </w:r>
      <w:r w:rsidR="00A11840">
        <w:rPr>
          <w:rFonts w:ascii="Times New Roman" w:hAnsi="Times New Roman" w:cs="Times New Roman"/>
          <w:spacing w:val="-3"/>
        </w:rPr>
        <w:tab/>
      </w:r>
      <w:r w:rsidR="00A11840">
        <w:rPr>
          <w:rFonts w:ascii="Times New Roman" w:hAnsi="Times New Roman" w:cs="Times New Roman"/>
          <w:spacing w:val="-3"/>
        </w:rPr>
        <w:tab/>
      </w:r>
      <w:r w:rsidR="00A11840">
        <w:rPr>
          <w:rFonts w:ascii="Times New Roman" w:hAnsi="Times New Roman" w:cs="Times New Roman"/>
          <w:spacing w:val="-3"/>
        </w:rPr>
        <w:tab/>
      </w:r>
      <w:r w:rsidR="00A11840">
        <w:rPr>
          <w:rFonts w:ascii="Times New Roman" w:hAnsi="Times New Roman" w:cs="Times New Roman"/>
          <w:spacing w:val="-3"/>
        </w:rPr>
        <w:tab/>
      </w:r>
      <w:r w:rsidR="00A11840">
        <w:rPr>
          <w:rFonts w:ascii="Times New Roman" w:hAnsi="Times New Roman" w:cs="Times New Roman"/>
          <w:spacing w:val="-3"/>
        </w:rPr>
        <w:tab/>
      </w:r>
      <w:r w:rsidR="00A11840">
        <w:rPr>
          <w:rFonts w:ascii="Times New Roman" w:hAnsi="Times New Roman" w:cs="Times New Roman"/>
          <w:spacing w:val="-3"/>
        </w:rPr>
        <w:tab/>
        <w:t>:</w:t>
      </w:r>
    </w:p>
    <w:p w:rsidR="002D10C1" w:rsidRPr="00446DA3" w:rsidRDefault="002D10C1" w:rsidP="00A11840">
      <w:pPr>
        <w:suppressAutoHyphens/>
        <w:ind w:firstLine="720"/>
        <w:jc w:val="both"/>
        <w:rPr>
          <w:rFonts w:ascii="Times New Roman" w:hAnsi="Times New Roman" w:cs="Times New Roman"/>
          <w:spacing w:val="-3"/>
        </w:rPr>
      </w:pPr>
      <w:r w:rsidRPr="00446DA3">
        <w:rPr>
          <w:rFonts w:ascii="Times New Roman" w:hAnsi="Times New Roman" w:cs="Times New Roman"/>
          <w:spacing w:val="-3"/>
        </w:rPr>
        <w:t xml:space="preserve"> v.</w:t>
      </w:r>
      <w:r w:rsidRPr="00446DA3">
        <w:rPr>
          <w:rFonts w:ascii="Times New Roman" w:hAnsi="Times New Roman" w:cs="Times New Roman"/>
          <w:spacing w:val="-3"/>
        </w:rPr>
        <w:tab/>
      </w:r>
      <w:r w:rsidRPr="00446DA3">
        <w:rPr>
          <w:rFonts w:ascii="Times New Roman" w:hAnsi="Times New Roman" w:cs="Times New Roman"/>
          <w:spacing w:val="-3"/>
        </w:rPr>
        <w:tab/>
      </w:r>
      <w:r w:rsidRPr="00446DA3">
        <w:rPr>
          <w:rFonts w:ascii="Times New Roman" w:hAnsi="Times New Roman" w:cs="Times New Roman"/>
          <w:spacing w:val="-3"/>
        </w:rPr>
        <w:tab/>
      </w:r>
      <w:r w:rsidRPr="00446DA3">
        <w:rPr>
          <w:rFonts w:ascii="Times New Roman" w:hAnsi="Times New Roman" w:cs="Times New Roman"/>
          <w:spacing w:val="-3"/>
        </w:rPr>
        <w:tab/>
      </w:r>
      <w:r w:rsidR="00A11840">
        <w:rPr>
          <w:rFonts w:ascii="Times New Roman" w:hAnsi="Times New Roman" w:cs="Times New Roman"/>
          <w:spacing w:val="-3"/>
        </w:rPr>
        <w:tab/>
      </w:r>
      <w:r w:rsidRPr="00446DA3">
        <w:rPr>
          <w:rFonts w:ascii="Times New Roman" w:hAnsi="Times New Roman" w:cs="Times New Roman"/>
          <w:spacing w:val="-3"/>
        </w:rPr>
        <w:tab/>
        <w:t>:</w:t>
      </w:r>
      <w:r w:rsidRPr="00446DA3">
        <w:rPr>
          <w:rFonts w:ascii="Times New Roman" w:hAnsi="Times New Roman" w:cs="Times New Roman"/>
          <w:spacing w:val="-3"/>
        </w:rPr>
        <w:tab/>
      </w:r>
      <w:r w:rsidRPr="00446DA3">
        <w:rPr>
          <w:rFonts w:ascii="Times New Roman" w:hAnsi="Times New Roman" w:cs="Times New Roman"/>
          <w:spacing w:val="-3"/>
        </w:rPr>
        <w:tab/>
      </w:r>
    </w:p>
    <w:p w:rsidR="002D10C1" w:rsidRPr="00446DA3" w:rsidRDefault="002D10C1" w:rsidP="002D10C1">
      <w:pPr>
        <w:suppressAutoHyphens/>
        <w:jc w:val="both"/>
        <w:rPr>
          <w:rFonts w:ascii="Times New Roman" w:hAnsi="Times New Roman" w:cs="Times New Roman"/>
          <w:spacing w:val="-3"/>
        </w:rPr>
      </w:pPr>
      <w:r w:rsidRPr="00446DA3">
        <w:rPr>
          <w:rFonts w:ascii="Times New Roman" w:hAnsi="Times New Roman" w:cs="Times New Roman"/>
          <w:spacing w:val="-3"/>
        </w:rPr>
        <w:tab/>
      </w:r>
      <w:r w:rsidRPr="00446DA3">
        <w:rPr>
          <w:rFonts w:ascii="Times New Roman" w:hAnsi="Times New Roman" w:cs="Times New Roman"/>
          <w:spacing w:val="-3"/>
        </w:rPr>
        <w:tab/>
      </w:r>
      <w:r w:rsidRPr="00446DA3">
        <w:rPr>
          <w:rFonts w:ascii="Times New Roman" w:hAnsi="Times New Roman" w:cs="Times New Roman"/>
          <w:spacing w:val="-3"/>
        </w:rPr>
        <w:tab/>
      </w:r>
      <w:r w:rsidRPr="00446DA3">
        <w:rPr>
          <w:rFonts w:ascii="Times New Roman" w:hAnsi="Times New Roman" w:cs="Times New Roman"/>
          <w:spacing w:val="-3"/>
        </w:rPr>
        <w:tab/>
      </w:r>
      <w:r w:rsidRPr="00446DA3">
        <w:rPr>
          <w:rFonts w:ascii="Times New Roman" w:hAnsi="Times New Roman" w:cs="Times New Roman"/>
          <w:spacing w:val="-3"/>
        </w:rPr>
        <w:tab/>
      </w:r>
      <w:r w:rsidRPr="00446DA3">
        <w:rPr>
          <w:rFonts w:ascii="Times New Roman" w:hAnsi="Times New Roman" w:cs="Times New Roman"/>
          <w:spacing w:val="-3"/>
        </w:rPr>
        <w:tab/>
      </w:r>
      <w:r w:rsidRPr="00446DA3">
        <w:rPr>
          <w:rFonts w:ascii="Times New Roman" w:hAnsi="Times New Roman" w:cs="Times New Roman"/>
          <w:spacing w:val="-3"/>
        </w:rPr>
        <w:tab/>
        <w:t>:</w:t>
      </w:r>
    </w:p>
    <w:p w:rsidR="002D10C1" w:rsidRPr="00446DA3" w:rsidRDefault="002D10C1" w:rsidP="002D10C1">
      <w:pPr>
        <w:suppressAutoHyphens/>
        <w:jc w:val="both"/>
        <w:rPr>
          <w:rFonts w:ascii="Times New Roman" w:hAnsi="Times New Roman" w:cs="Times New Roman"/>
          <w:spacing w:val="-3"/>
        </w:rPr>
      </w:pPr>
      <w:r w:rsidRPr="00446DA3">
        <w:rPr>
          <w:rFonts w:ascii="Times New Roman" w:hAnsi="Times New Roman" w:cs="Times New Roman"/>
          <w:spacing w:val="-3"/>
        </w:rPr>
        <w:t xml:space="preserve">PECO Energy Company – </w:t>
      </w:r>
      <w:r>
        <w:rPr>
          <w:rFonts w:ascii="Times New Roman" w:hAnsi="Times New Roman" w:cs="Times New Roman"/>
          <w:spacing w:val="-3"/>
        </w:rPr>
        <w:t>Electric</w:t>
      </w:r>
      <w:r w:rsidRPr="00446DA3">
        <w:rPr>
          <w:rFonts w:ascii="Times New Roman" w:hAnsi="Times New Roman" w:cs="Times New Roman"/>
          <w:spacing w:val="-3"/>
        </w:rPr>
        <w:t xml:space="preserve"> Division</w:t>
      </w:r>
      <w:r w:rsidRPr="00446DA3">
        <w:rPr>
          <w:rFonts w:ascii="Times New Roman" w:hAnsi="Times New Roman" w:cs="Times New Roman"/>
          <w:spacing w:val="-3"/>
        </w:rPr>
        <w:tab/>
      </w:r>
      <w:r w:rsidRPr="00446DA3">
        <w:rPr>
          <w:rFonts w:ascii="Times New Roman" w:hAnsi="Times New Roman" w:cs="Times New Roman"/>
          <w:spacing w:val="-3"/>
        </w:rPr>
        <w:tab/>
        <w:t>:</w:t>
      </w:r>
    </w:p>
    <w:p w:rsidR="002D10C1" w:rsidRDefault="002D10C1" w:rsidP="002D10C1">
      <w:pPr>
        <w:suppressAutoHyphens/>
        <w:jc w:val="both"/>
        <w:rPr>
          <w:rFonts w:ascii="Times New Roman" w:hAnsi="Times New Roman" w:cs="Times New Roman"/>
          <w:spacing w:val="-3"/>
        </w:rPr>
      </w:pPr>
    </w:p>
    <w:p w:rsidR="002D10C1" w:rsidRDefault="002D10C1" w:rsidP="002D10C1">
      <w:pPr>
        <w:suppressAutoHyphens/>
        <w:jc w:val="both"/>
        <w:rPr>
          <w:rFonts w:ascii="Times New Roman" w:hAnsi="Times New Roman" w:cs="Times New Roman"/>
          <w:spacing w:val="-3"/>
        </w:rPr>
      </w:pPr>
    </w:p>
    <w:p w:rsidR="002D10C1" w:rsidRDefault="002D10C1" w:rsidP="002D10C1">
      <w:pPr>
        <w:suppressAutoHyphens/>
        <w:jc w:val="both"/>
        <w:rPr>
          <w:rFonts w:ascii="Times New Roman" w:hAnsi="Times New Roman" w:cs="Times New Roman"/>
          <w:spacing w:val="-3"/>
        </w:rPr>
      </w:pPr>
    </w:p>
    <w:p w:rsidR="002D10C1" w:rsidRPr="00DB1D16" w:rsidRDefault="002D10C1" w:rsidP="002D10C1">
      <w:pPr>
        <w:suppressAutoHyphens/>
        <w:jc w:val="center"/>
        <w:rPr>
          <w:rFonts w:ascii="Times New Roman" w:hAnsi="Times New Roman" w:cs="Times New Roman"/>
          <w:b/>
          <w:spacing w:val="-3"/>
          <w:u w:val="single"/>
        </w:rPr>
      </w:pPr>
      <w:r w:rsidRPr="00DB1D16">
        <w:rPr>
          <w:rFonts w:ascii="Times New Roman" w:hAnsi="Times New Roman" w:cs="Times New Roman"/>
          <w:b/>
          <w:spacing w:val="-3"/>
          <w:u w:val="single"/>
        </w:rPr>
        <w:t>RECOMMENDED DECISION</w:t>
      </w:r>
    </w:p>
    <w:p w:rsidR="002D10C1" w:rsidRDefault="002D10C1" w:rsidP="002D10C1">
      <w:pPr>
        <w:suppressAutoHyphens/>
        <w:jc w:val="center"/>
        <w:rPr>
          <w:rFonts w:ascii="Times New Roman" w:hAnsi="Times New Roman" w:cs="Times New Roman"/>
          <w:spacing w:val="-3"/>
        </w:rPr>
      </w:pPr>
    </w:p>
    <w:p w:rsidR="002D10C1" w:rsidRDefault="002D10C1" w:rsidP="002D10C1">
      <w:pPr>
        <w:suppressAutoHyphens/>
        <w:jc w:val="center"/>
        <w:rPr>
          <w:rFonts w:ascii="Times New Roman" w:hAnsi="Times New Roman" w:cs="Times New Roman"/>
          <w:spacing w:val="-3"/>
        </w:rPr>
      </w:pPr>
    </w:p>
    <w:p w:rsidR="002D10C1" w:rsidRDefault="002D10C1" w:rsidP="002D10C1">
      <w:pPr>
        <w:suppressAutoHyphens/>
        <w:jc w:val="center"/>
        <w:rPr>
          <w:rFonts w:ascii="Times New Roman" w:hAnsi="Times New Roman" w:cs="Times New Roman"/>
          <w:spacing w:val="-3"/>
        </w:rPr>
      </w:pPr>
      <w:r>
        <w:rPr>
          <w:rFonts w:ascii="Times New Roman" w:hAnsi="Times New Roman" w:cs="Times New Roman"/>
          <w:spacing w:val="-3"/>
        </w:rPr>
        <w:t>Before</w:t>
      </w:r>
    </w:p>
    <w:p w:rsidR="002D10C1" w:rsidRDefault="002D10C1" w:rsidP="002D10C1">
      <w:pPr>
        <w:suppressAutoHyphens/>
        <w:jc w:val="center"/>
        <w:rPr>
          <w:rFonts w:ascii="Times New Roman" w:hAnsi="Times New Roman" w:cs="Times New Roman"/>
          <w:spacing w:val="-3"/>
        </w:rPr>
      </w:pPr>
      <w:r>
        <w:rPr>
          <w:rFonts w:ascii="Times New Roman" w:hAnsi="Times New Roman" w:cs="Times New Roman"/>
          <w:spacing w:val="-3"/>
        </w:rPr>
        <w:t>Marlane R. Chestnut</w:t>
      </w:r>
    </w:p>
    <w:p w:rsidR="002D10C1" w:rsidRDefault="002D10C1" w:rsidP="002D10C1">
      <w:pPr>
        <w:suppressAutoHyphens/>
        <w:jc w:val="center"/>
        <w:rPr>
          <w:rFonts w:ascii="Times New Roman" w:hAnsi="Times New Roman" w:cs="Times New Roman"/>
          <w:spacing w:val="-3"/>
        </w:rPr>
      </w:pPr>
      <w:r>
        <w:rPr>
          <w:rFonts w:ascii="Times New Roman" w:hAnsi="Times New Roman" w:cs="Times New Roman"/>
          <w:spacing w:val="-3"/>
        </w:rPr>
        <w:t>Administrative Law Judge</w:t>
      </w:r>
    </w:p>
    <w:p w:rsidR="002D10C1" w:rsidRDefault="002D10C1" w:rsidP="002D10C1">
      <w:pPr>
        <w:suppressAutoHyphens/>
        <w:jc w:val="center"/>
        <w:rPr>
          <w:rFonts w:ascii="Times New Roman" w:hAnsi="Times New Roman" w:cs="Times New Roman"/>
          <w:spacing w:val="-3"/>
        </w:rPr>
      </w:pPr>
    </w:p>
    <w:p w:rsidR="002D10C1" w:rsidRDefault="002D10C1" w:rsidP="002D10C1">
      <w:pPr>
        <w:suppressAutoHyphens/>
        <w:jc w:val="center"/>
        <w:rPr>
          <w:rFonts w:ascii="Times New Roman" w:hAnsi="Times New Roman" w:cs="Times New Roman"/>
          <w:spacing w:val="-3"/>
        </w:rPr>
      </w:pPr>
    </w:p>
    <w:p w:rsidR="002D10C1" w:rsidRDefault="002D10C1" w:rsidP="002D10C1">
      <w:pPr>
        <w:suppressAutoHyphens/>
        <w:jc w:val="center"/>
        <w:rPr>
          <w:rFonts w:ascii="Times New Roman" w:hAnsi="Times New Roman" w:cs="Times New Roman"/>
          <w:spacing w:val="-3"/>
        </w:rPr>
      </w:pPr>
      <w:r>
        <w:rPr>
          <w:rFonts w:ascii="Times New Roman" w:hAnsi="Times New Roman" w:cs="Times New Roman"/>
          <w:spacing w:val="-3"/>
        </w:rPr>
        <w:t>Christopher P. Pell</w:t>
      </w:r>
    </w:p>
    <w:p w:rsidR="002D10C1" w:rsidRDefault="002D10C1" w:rsidP="002D10C1">
      <w:pPr>
        <w:suppressAutoHyphens/>
        <w:jc w:val="center"/>
        <w:rPr>
          <w:rFonts w:ascii="Times New Roman" w:hAnsi="Times New Roman" w:cs="Times New Roman"/>
          <w:spacing w:val="-3"/>
        </w:rPr>
      </w:pPr>
      <w:r>
        <w:rPr>
          <w:rFonts w:ascii="Times New Roman" w:hAnsi="Times New Roman" w:cs="Times New Roman"/>
          <w:spacing w:val="-3"/>
        </w:rPr>
        <w:t>Administrative Law Judge</w:t>
      </w:r>
    </w:p>
    <w:p w:rsidR="002D10C1" w:rsidRDefault="002D10C1" w:rsidP="002D10C1"/>
    <w:p w:rsidR="002D10C1" w:rsidRDefault="002D10C1" w:rsidP="002D10C1">
      <w:pPr>
        <w:pStyle w:val="p6"/>
        <w:tabs>
          <w:tab w:val="left" w:pos="720"/>
        </w:tabs>
        <w:spacing w:line="360" w:lineRule="auto"/>
        <w:ind w:firstLine="0"/>
        <w:jc w:val="center"/>
        <w:sectPr w:rsidR="002D10C1" w:rsidSect="00CD6760">
          <w:footerReference w:type="default" r:id="rId7"/>
          <w:footerReference w:type="first" r:id="rId8"/>
          <w:pgSz w:w="12240" w:h="15840" w:code="1"/>
          <w:pgMar w:top="1440" w:right="1440" w:bottom="1440" w:left="1440" w:header="720" w:footer="576" w:gutter="0"/>
          <w:pgNumType w:fmt="lowerRoman" w:start="1"/>
          <w:cols w:space="720"/>
          <w:titlePg/>
          <w:docGrid w:linePitch="360"/>
        </w:sectPr>
      </w:pPr>
    </w:p>
    <w:p w:rsidR="002D10C1" w:rsidRDefault="002D10C1" w:rsidP="002D10C1">
      <w:pPr>
        <w:pStyle w:val="p6"/>
        <w:tabs>
          <w:tab w:val="left" w:pos="720"/>
        </w:tabs>
        <w:spacing w:line="360" w:lineRule="auto"/>
        <w:ind w:firstLine="0"/>
        <w:jc w:val="center"/>
        <w:rPr>
          <w:b/>
          <w:u w:val="single"/>
        </w:rPr>
      </w:pPr>
      <w:r w:rsidRPr="003E2577">
        <w:rPr>
          <w:b/>
          <w:u w:val="single"/>
        </w:rPr>
        <w:lastRenderedPageBreak/>
        <w:t>TABLE OF CONTENTS</w:t>
      </w:r>
    </w:p>
    <w:p w:rsidR="00C81A8C" w:rsidRPr="003E2577" w:rsidRDefault="00C81A8C" w:rsidP="002D10C1">
      <w:pPr>
        <w:pStyle w:val="p6"/>
        <w:tabs>
          <w:tab w:val="left" w:pos="720"/>
        </w:tabs>
        <w:spacing w:line="360" w:lineRule="auto"/>
        <w:ind w:firstLine="0"/>
        <w:jc w:val="center"/>
        <w:rPr>
          <w:b/>
          <w:u w:val="single"/>
        </w:rPr>
      </w:pPr>
    </w:p>
    <w:p w:rsidR="002D10C1" w:rsidRDefault="00C81A8C" w:rsidP="00C81A8C">
      <w:pPr>
        <w:pStyle w:val="p6"/>
        <w:tabs>
          <w:tab w:val="left" w:pos="720"/>
        </w:tabs>
        <w:spacing w:line="360" w:lineRule="auto"/>
        <w:ind w:firstLine="0"/>
        <w:jc w:val="right"/>
        <w:rPr>
          <w:u w:val="single"/>
        </w:rPr>
      </w:pPr>
      <w:r>
        <w:rPr>
          <w:u w:val="single"/>
        </w:rPr>
        <w:t>PAGE</w:t>
      </w:r>
    </w:p>
    <w:p w:rsidR="002D10C1" w:rsidRDefault="002D10C1" w:rsidP="00C81A8C">
      <w:pPr>
        <w:pStyle w:val="p6"/>
        <w:numPr>
          <w:ilvl w:val="0"/>
          <w:numId w:val="5"/>
        </w:numPr>
        <w:tabs>
          <w:tab w:val="clear" w:pos="1513"/>
          <w:tab w:val="clear" w:pos="2239"/>
          <w:tab w:val="left" w:leader="dot" w:pos="0"/>
          <w:tab w:val="left" w:pos="720"/>
          <w:tab w:val="left" w:pos="1440"/>
          <w:tab w:val="right" w:leader="dot" w:pos="9360"/>
        </w:tabs>
        <w:spacing w:line="360" w:lineRule="auto"/>
        <w:ind w:left="0" w:firstLine="0"/>
      </w:pPr>
      <w:r>
        <w:t xml:space="preserve">HISTORY OF THE PROCEEDING </w:t>
      </w:r>
      <w:r w:rsidR="00C81A8C">
        <w:tab/>
      </w:r>
      <w:r>
        <w:t>1</w:t>
      </w:r>
    </w:p>
    <w:p w:rsidR="002D10C1" w:rsidRDefault="002D10C1" w:rsidP="00C81A8C">
      <w:pPr>
        <w:pStyle w:val="p6"/>
        <w:tabs>
          <w:tab w:val="clear" w:pos="1513"/>
          <w:tab w:val="clear" w:pos="2239"/>
          <w:tab w:val="left" w:pos="720"/>
          <w:tab w:val="left" w:pos="1440"/>
          <w:tab w:val="right" w:leader="dot" w:pos="9360"/>
        </w:tabs>
        <w:ind w:firstLine="0"/>
      </w:pPr>
    </w:p>
    <w:p w:rsidR="002D10C1" w:rsidRDefault="002D10C1" w:rsidP="00C81A8C">
      <w:pPr>
        <w:pStyle w:val="p6"/>
        <w:numPr>
          <w:ilvl w:val="0"/>
          <w:numId w:val="5"/>
        </w:numPr>
        <w:tabs>
          <w:tab w:val="clear" w:pos="1513"/>
          <w:tab w:val="clear" w:pos="2239"/>
          <w:tab w:val="left" w:pos="-90"/>
          <w:tab w:val="left" w:pos="720"/>
          <w:tab w:val="left" w:pos="1440"/>
          <w:tab w:val="right" w:leader="dot" w:pos="9360"/>
        </w:tabs>
        <w:spacing w:line="360" w:lineRule="auto"/>
        <w:ind w:left="0" w:firstLine="0"/>
      </w:pPr>
      <w:r>
        <w:t xml:space="preserve">THE PROPOSED PARTIAL SETTLEMENT </w:t>
      </w:r>
      <w:r w:rsidR="00C81A8C">
        <w:tab/>
      </w:r>
      <w:r>
        <w:t>6</w:t>
      </w:r>
    </w:p>
    <w:p w:rsidR="002D10C1" w:rsidRDefault="002D10C1" w:rsidP="00C81A8C">
      <w:pPr>
        <w:pStyle w:val="ListParagraph"/>
        <w:tabs>
          <w:tab w:val="left" w:pos="1440"/>
          <w:tab w:val="right" w:leader="dot" w:pos="9360"/>
        </w:tabs>
        <w:ind w:left="0"/>
      </w:pPr>
    </w:p>
    <w:p w:rsidR="002D10C1" w:rsidRDefault="002D10C1" w:rsidP="00C81A8C">
      <w:pPr>
        <w:pStyle w:val="p6"/>
        <w:numPr>
          <w:ilvl w:val="0"/>
          <w:numId w:val="5"/>
        </w:numPr>
        <w:tabs>
          <w:tab w:val="clear" w:pos="1513"/>
          <w:tab w:val="clear" w:pos="2239"/>
          <w:tab w:val="left" w:pos="720"/>
          <w:tab w:val="left" w:pos="1440"/>
          <w:tab w:val="right" w:leader="dot" w:pos="9360"/>
        </w:tabs>
        <w:spacing w:line="360" w:lineRule="auto"/>
        <w:ind w:left="0" w:firstLine="0"/>
      </w:pPr>
      <w:r>
        <w:t xml:space="preserve">DISCUSSION </w:t>
      </w:r>
      <w:r w:rsidR="00C81A8C">
        <w:tab/>
      </w:r>
      <w:r>
        <w:t>11</w:t>
      </w:r>
    </w:p>
    <w:p w:rsidR="002D10C1" w:rsidRDefault="002D10C1" w:rsidP="00C81A8C">
      <w:pPr>
        <w:pStyle w:val="p6"/>
        <w:numPr>
          <w:ilvl w:val="0"/>
          <w:numId w:val="6"/>
        </w:numPr>
        <w:tabs>
          <w:tab w:val="clear" w:pos="1513"/>
          <w:tab w:val="clear" w:pos="2239"/>
          <w:tab w:val="left" w:pos="1440"/>
          <w:tab w:val="right" w:leader="dot" w:pos="9360"/>
        </w:tabs>
        <w:spacing w:line="360" w:lineRule="auto"/>
        <w:ind w:left="0" w:firstLine="720"/>
      </w:pPr>
      <w:r>
        <w:t xml:space="preserve">Applicable Legal Principles </w:t>
      </w:r>
      <w:r w:rsidR="00C81A8C">
        <w:tab/>
      </w:r>
      <w:r>
        <w:t>11</w:t>
      </w:r>
    </w:p>
    <w:p w:rsidR="002D10C1" w:rsidRDefault="002D10C1" w:rsidP="00C81A8C">
      <w:pPr>
        <w:pStyle w:val="p6"/>
        <w:numPr>
          <w:ilvl w:val="0"/>
          <w:numId w:val="6"/>
        </w:numPr>
        <w:tabs>
          <w:tab w:val="clear" w:pos="1513"/>
          <w:tab w:val="clear" w:pos="2239"/>
          <w:tab w:val="left" w:pos="1440"/>
          <w:tab w:val="right" w:leader="dot" w:pos="9360"/>
        </w:tabs>
        <w:spacing w:line="360" w:lineRule="auto"/>
        <w:ind w:left="0" w:firstLine="720"/>
      </w:pPr>
      <w:r>
        <w:t xml:space="preserve">Revenue Requirement </w:t>
      </w:r>
      <w:r w:rsidR="00C81A8C">
        <w:tab/>
      </w:r>
      <w:r w:rsidR="00FA37FA">
        <w:t>1</w:t>
      </w:r>
      <w:r>
        <w:t>3</w:t>
      </w:r>
    </w:p>
    <w:p w:rsidR="002D10C1" w:rsidRDefault="002D10C1" w:rsidP="00C81A8C">
      <w:pPr>
        <w:pStyle w:val="p6"/>
        <w:numPr>
          <w:ilvl w:val="0"/>
          <w:numId w:val="6"/>
        </w:numPr>
        <w:tabs>
          <w:tab w:val="clear" w:pos="1513"/>
          <w:tab w:val="clear" w:pos="2239"/>
          <w:tab w:val="left" w:pos="1440"/>
          <w:tab w:val="right" w:leader="dot" w:pos="9360"/>
        </w:tabs>
        <w:spacing w:line="360" w:lineRule="auto"/>
        <w:ind w:left="0" w:firstLine="720"/>
      </w:pPr>
      <w:r>
        <w:t xml:space="preserve">Revenue Allocation/Rate Design </w:t>
      </w:r>
      <w:r w:rsidR="00C81A8C">
        <w:tab/>
      </w:r>
      <w:r>
        <w:t>14</w:t>
      </w:r>
    </w:p>
    <w:p w:rsidR="002D10C1" w:rsidRDefault="002D10C1" w:rsidP="00C81A8C">
      <w:pPr>
        <w:pStyle w:val="p6"/>
        <w:numPr>
          <w:ilvl w:val="0"/>
          <w:numId w:val="6"/>
        </w:numPr>
        <w:tabs>
          <w:tab w:val="clear" w:pos="1513"/>
          <w:tab w:val="clear" w:pos="2239"/>
          <w:tab w:val="left" w:pos="1440"/>
          <w:tab w:val="right" w:leader="dot" w:pos="9360"/>
        </w:tabs>
        <w:spacing w:line="360" w:lineRule="auto"/>
        <w:ind w:left="0" w:firstLine="720"/>
      </w:pPr>
      <w:r>
        <w:t xml:space="preserve">Smart Meters </w:t>
      </w:r>
      <w:r w:rsidR="00C81A8C">
        <w:tab/>
      </w:r>
      <w:r>
        <w:t>16</w:t>
      </w:r>
    </w:p>
    <w:p w:rsidR="002D10C1" w:rsidRDefault="002D10C1" w:rsidP="00C81A8C">
      <w:pPr>
        <w:pStyle w:val="p6"/>
        <w:numPr>
          <w:ilvl w:val="0"/>
          <w:numId w:val="6"/>
        </w:numPr>
        <w:tabs>
          <w:tab w:val="clear" w:pos="1513"/>
          <w:tab w:val="clear" w:pos="2239"/>
          <w:tab w:val="left" w:pos="1440"/>
          <w:tab w:val="right" w:leader="dot" w:pos="9360"/>
        </w:tabs>
        <w:spacing w:line="360" w:lineRule="auto"/>
        <w:ind w:left="0" w:firstLine="720"/>
      </w:pPr>
      <w:r>
        <w:t xml:space="preserve">Universal Services </w:t>
      </w:r>
      <w:r w:rsidR="00C81A8C">
        <w:tab/>
      </w:r>
      <w:r>
        <w:t>17</w:t>
      </w:r>
    </w:p>
    <w:p w:rsidR="002D10C1" w:rsidRDefault="002D10C1" w:rsidP="00C81A8C">
      <w:pPr>
        <w:pStyle w:val="p6"/>
        <w:numPr>
          <w:ilvl w:val="0"/>
          <w:numId w:val="6"/>
        </w:numPr>
        <w:tabs>
          <w:tab w:val="clear" w:pos="1513"/>
          <w:tab w:val="clear" w:pos="2239"/>
          <w:tab w:val="left" w:pos="1440"/>
          <w:tab w:val="right" w:leader="dot" w:pos="9360"/>
        </w:tabs>
        <w:spacing w:line="360" w:lineRule="auto"/>
        <w:ind w:left="0" w:firstLine="720"/>
      </w:pPr>
      <w:r>
        <w:t xml:space="preserve">Tax Accounting for Repairs </w:t>
      </w:r>
      <w:r w:rsidR="00C81A8C">
        <w:tab/>
      </w:r>
      <w:r>
        <w:t>19</w:t>
      </w:r>
    </w:p>
    <w:p w:rsidR="002D10C1" w:rsidRDefault="002D10C1" w:rsidP="00C81A8C">
      <w:pPr>
        <w:pStyle w:val="p6"/>
        <w:numPr>
          <w:ilvl w:val="0"/>
          <w:numId w:val="6"/>
        </w:numPr>
        <w:tabs>
          <w:tab w:val="clear" w:pos="1513"/>
          <w:tab w:val="clear" w:pos="2239"/>
          <w:tab w:val="left" w:pos="1440"/>
          <w:tab w:val="right" w:leader="dot" w:pos="9360"/>
        </w:tabs>
        <w:spacing w:line="360" w:lineRule="auto"/>
        <w:ind w:left="0" w:firstLine="720"/>
      </w:pPr>
      <w:r>
        <w:t xml:space="preserve">Non-Residential Customer Repairs </w:t>
      </w:r>
      <w:r w:rsidR="00C81A8C">
        <w:tab/>
      </w:r>
      <w:r>
        <w:t>19</w:t>
      </w:r>
    </w:p>
    <w:p w:rsidR="002D10C1" w:rsidRDefault="002D10C1" w:rsidP="00C81A8C">
      <w:pPr>
        <w:pStyle w:val="p6"/>
        <w:numPr>
          <w:ilvl w:val="0"/>
          <w:numId w:val="6"/>
        </w:numPr>
        <w:tabs>
          <w:tab w:val="clear" w:pos="1513"/>
          <w:tab w:val="clear" w:pos="2239"/>
          <w:tab w:val="left" w:pos="1440"/>
          <w:tab w:val="right" w:leader="dot" w:pos="9360"/>
        </w:tabs>
        <w:spacing w:line="360" w:lineRule="auto"/>
        <w:ind w:left="0" w:firstLine="720"/>
      </w:pPr>
      <w:r>
        <w:t xml:space="preserve">Other Issues </w:t>
      </w:r>
      <w:r w:rsidR="00C81A8C">
        <w:tab/>
      </w:r>
      <w:r>
        <w:t>20</w:t>
      </w:r>
    </w:p>
    <w:p w:rsidR="002D10C1" w:rsidRDefault="002D10C1" w:rsidP="00C81A8C">
      <w:pPr>
        <w:pStyle w:val="p6"/>
        <w:numPr>
          <w:ilvl w:val="0"/>
          <w:numId w:val="6"/>
        </w:numPr>
        <w:tabs>
          <w:tab w:val="clear" w:pos="1513"/>
          <w:tab w:val="clear" w:pos="2239"/>
          <w:tab w:val="left" w:pos="1440"/>
          <w:tab w:val="right" w:leader="dot" w:pos="9360"/>
        </w:tabs>
        <w:spacing w:line="360" w:lineRule="auto"/>
        <w:ind w:left="0" w:firstLine="720"/>
      </w:pPr>
      <w:r>
        <w:t xml:space="preserve">Conclusion </w:t>
      </w:r>
      <w:r w:rsidR="00C81A8C">
        <w:tab/>
      </w:r>
      <w:r>
        <w:t>20</w:t>
      </w:r>
    </w:p>
    <w:p w:rsidR="002D10C1" w:rsidRDefault="002D10C1" w:rsidP="00C81A8C">
      <w:pPr>
        <w:pStyle w:val="p6"/>
        <w:tabs>
          <w:tab w:val="clear" w:pos="1513"/>
          <w:tab w:val="clear" w:pos="2239"/>
          <w:tab w:val="left" w:pos="720"/>
          <w:tab w:val="left" w:pos="1350"/>
          <w:tab w:val="left" w:pos="1440"/>
          <w:tab w:val="right" w:leader="dot" w:pos="9360"/>
        </w:tabs>
        <w:ind w:firstLine="0"/>
      </w:pPr>
    </w:p>
    <w:p w:rsidR="002D10C1" w:rsidRDefault="002D10C1" w:rsidP="00C81A8C">
      <w:pPr>
        <w:pStyle w:val="p6"/>
        <w:numPr>
          <w:ilvl w:val="0"/>
          <w:numId w:val="5"/>
        </w:numPr>
        <w:tabs>
          <w:tab w:val="clear" w:pos="1513"/>
          <w:tab w:val="clear" w:pos="2239"/>
          <w:tab w:val="left" w:pos="720"/>
          <w:tab w:val="left" w:pos="1350"/>
          <w:tab w:val="left" w:pos="1440"/>
          <w:tab w:val="right" w:leader="dot" w:pos="9360"/>
        </w:tabs>
        <w:spacing w:line="360" w:lineRule="auto"/>
        <w:ind w:left="0" w:firstLine="0"/>
      </w:pPr>
      <w:r>
        <w:t>CONTESTED ISSUE</w:t>
      </w:r>
      <w:r w:rsidR="00313E70">
        <w:t xml:space="preserve"> </w:t>
      </w:r>
      <w:r w:rsidR="00C81A8C">
        <w:tab/>
      </w:r>
      <w:r>
        <w:t>22</w:t>
      </w:r>
    </w:p>
    <w:p w:rsidR="002D10C1" w:rsidRDefault="002D10C1" w:rsidP="00C81A8C">
      <w:pPr>
        <w:pStyle w:val="p6"/>
        <w:tabs>
          <w:tab w:val="clear" w:pos="1513"/>
          <w:tab w:val="clear" w:pos="2239"/>
          <w:tab w:val="left" w:pos="720"/>
          <w:tab w:val="left" w:pos="1350"/>
          <w:tab w:val="left" w:pos="1440"/>
          <w:tab w:val="right" w:leader="dot" w:pos="9360"/>
        </w:tabs>
        <w:ind w:firstLine="0"/>
      </w:pPr>
    </w:p>
    <w:p w:rsidR="002D10C1" w:rsidRDefault="002D10C1" w:rsidP="00C81A8C">
      <w:pPr>
        <w:pStyle w:val="p6"/>
        <w:numPr>
          <w:ilvl w:val="0"/>
          <w:numId w:val="5"/>
        </w:numPr>
        <w:tabs>
          <w:tab w:val="clear" w:pos="1513"/>
          <w:tab w:val="clear" w:pos="2239"/>
          <w:tab w:val="left" w:pos="720"/>
          <w:tab w:val="left" w:pos="1350"/>
          <w:tab w:val="left" w:pos="1440"/>
          <w:tab w:val="right" w:leader="dot" w:pos="9360"/>
        </w:tabs>
        <w:spacing w:line="360" w:lineRule="auto"/>
        <w:ind w:left="0" w:firstLine="0"/>
      </w:pPr>
      <w:r>
        <w:t>CONCLUSIONS OF LAW</w:t>
      </w:r>
      <w:r w:rsidR="00313E70">
        <w:t xml:space="preserve"> </w:t>
      </w:r>
      <w:r w:rsidR="00C81A8C">
        <w:tab/>
        <w:t>27</w:t>
      </w:r>
    </w:p>
    <w:p w:rsidR="002D10C1" w:rsidRDefault="002D10C1" w:rsidP="00C81A8C">
      <w:pPr>
        <w:pStyle w:val="ListParagraph"/>
        <w:tabs>
          <w:tab w:val="left" w:pos="1440"/>
          <w:tab w:val="right" w:leader="dot" w:pos="9360"/>
        </w:tabs>
        <w:ind w:left="0"/>
      </w:pPr>
    </w:p>
    <w:p w:rsidR="002D10C1" w:rsidRDefault="002D10C1" w:rsidP="00C81A8C">
      <w:pPr>
        <w:pStyle w:val="p6"/>
        <w:numPr>
          <w:ilvl w:val="0"/>
          <w:numId w:val="5"/>
        </w:numPr>
        <w:tabs>
          <w:tab w:val="clear" w:pos="1513"/>
          <w:tab w:val="clear" w:pos="2239"/>
          <w:tab w:val="left" w:pos="720"/>
          <w:tab w:val="left" w:pos="1350"/>
          <w:tab w:val="left" w:pos="1440"/>
          <w:tab w:val="right" w:leader="dot" w:pos="9360"/>
        </w:tabs>
        <w:spacing w:line="360" w:lineRule="auto"/>
        <w:ind w:left="0" w:firstLine="0"/>
      </w:pPr>
      <w:r>
        <w:t>ORDER</w:t>
      </w:r>
      <w:r w:rsidR="00313E70">
        <w:t xml:space="preserve"> </w:t>
      </w:r>
      <w:r w:rsidR="00C81A8C">
        <w:tab/>
      </w:r>
      <w:r>
        <w:t>29</w:t>
      </w:r>
    </w:p>
    <w:p w:rsidR="002D10C1" w:rsidRDefault="002D10C1" w:rsidP="002D10C1">
      <w:pPr>
        <w:pStyle w:val="p6"/>
        <w:tabs>
          <w:tab w:val="clear" w:pos="1513"/>
          <w:tab w:val="clear" w:pos="2239"/>
          <w:tab w:val="left" w:pos="720"/>
          <w:tab w:val="left" w:pos="1350"/>
        </w:tabs>
        <w:spacing w:line="360" w:lineRule="auto"/>
      </w:pPr>
    </w:p>
    <w:p w:rsidR="002D10C1" w:rsidRDefault="002D10C1" w:rsidP="002D10C1">
      <w:pPr>
        <w:pStyle w:val="p6"/>
        <w:tabs>
          <w:tab w:val="clear" w:pos="1513"/>
          <w:tab w:val="clear" w:pos="2239"/>
          <w:tab w:val="left" w:pos="720"/>
          <w:tab w:val="left" w:pos="1350"/>
        </w:tabs>
        <w:spacing w:line="360" w:lineRule="auto"/>
        <w:sectPr w:rsidR="002D10C1" w:rsidSect="00CD6760">
          <w:pgSz w:w="12240" w:h="15840" w:code="1"/>
          <w:pgMar w:top="1440" w:right="1440" w:bottom="1440" w:left="1440" w:header="720" w:footer="576" w:gutter="0"/>
          <w:pgNumType w:fmt="lowerRoman" w:start="1"/>
          <w:cols w:space="720"/>
          <w:docGrid w:linePitch="360"/>
        </w:sectPr>
      </w:pPr>
    </w:p>
    <w:p w:rsidR="002D10C1" w:rsidRPr="007D7568" w:rsidRDefault="002D10C1" w:rsidP="002D10C1">
      <w:pPr>
        <w:autoSpaceDE/>
        <w:autoSpaceDN/>
        <w:spacing w:after="200"/>
        <w:jc w:val="center"/>
        <w:rPr>
          <w:rFonts w:ascii="Times New Roman" w:hAnsi="Times New Roman" w:cs="Times New Roman"/>
          <w:b/>
          <w:u w:val="single"/>
        </w:rPr>
      </w:pPr>
      <w:r w:rsidRPr="007D7568">
        <w:rPr>
          <w:rFonts w:ascii="Times New Roman" w:hAnsi="Times New Roman" w:cs="Times New Roman"/>
          <w:b/>
        </w:rPr>
        <w:lastRenderedPageBreak/>
        <w:t>I.</w:t>
      </w:r>
      <w:r w:rsidR="00B625C1">
        <w:rPr>
          <w:rFonts w:ascii="Times New Roman" w:hAnsi="Times New Roman" w:cs="Times New Roman"/>
          <w:b/>
        </w:rPr>
        <w:tab/>
      </w:r>
      <w:r w:rsidRPr="007D7568">
        <w:rPr>
          <w:rFonts w:ascii="Times New Roman" w:hAnsi="Times New Roman" w:cs="Times New Roman"/>
          <w:b/>
          <w:u w:val="single"/>
        </w:rPr>
        <w:t>HISTORY OF THE PROCEEDING</w:t>
      </w:r>
    </w:p>
    <w:p w:rsidR="002D10C1" w:rsidRDefault="002D10C1" w:rsidP="002D10C1">
      <w:pPr>
        <w:pStyle w:val="p6"/>
        <w:tabs>
          <w:tab w:val="clear" w:pos="1513"/>
          <w:tab w:val="clear" w:pos="2239"/>
          <w:tab w:val="left" w:pos="720"/>
          <w:tab w:val="left" w:pos="9360"/>
        </w:tabs>
        <w:spacing w:line="360" w:lineRule="auto"/>
        <w:ind w:firstLine="0"/>
      </w:pPr>
    </w:p>
    <w:p w:rsidR="002D10C1" w:rsidRDefault="002D10C1" w:rsidP="002D10C1">
      <w:pPr>
        <w:pStyle w:val="p6"/>
        <w:tabs>
          <w:tab w:val="clear" w:pos="1513"/>
          <w:tab w:val="clear" w:pos="2239"/>
          <w:tab w:val="left" w:pos="720"/>
        </w:tabs>
        <w:spacing w:line="360" w:lineRule="auto"/>
        <w:ind w:firstLine="0"/>
      </w:pPr>
      <w:r>
        <w:tab/>
      </w:r>
      <w:r>
        <w:tab/>
        <w:t>On March 31, 2010, PECO Energy Company (PECO or respondent) filed with the Pennsylvania Public Utility Commission (Commission) Supplement No. 2 to Tariff Electric – Pa. P.U.C. No. 4 to become effective May 30, 2010.  Supplement No. 2 contained proposed changes in rates, rules and regulations calculated to produce approximately $316.4 million in additional electric distribution revenues, or approximately 7% over the level of total electric distribution revenue anticipated for the future test year ending December 31, 2010.  Separately, PECO filed an Entry of Appearance on behalf of Anthony E. Gay, Esq., Jack R. Garfinkle, Esq., Thomas P. Gadsden, Esq., Anthony DeCusatis, Esq., and Catherine G. Vasudevan, Esq.</w:t>
      </w:r>
    </w:p>
    <w:p w:rsidR="002D10C1" w:rsidRDefault="002D10C1" w:rsidP="002D10C1">
      <w:pPr>
        <w:pStyle w:val="p6"/>
        <w:tabs>
          <w:tab w:val="clear" w:pos="1513"/>
          <w:tab w:val="clear" w:pos="2239"/>
          <w:tab w:val="left" w:pos="720"/>
        </w:tabs>
        <w:spacing w:line="360" w:lineRule="auto"/>
        <w:ind w:firstLine="0"/>
      </w:pPr>
    </w:p>
    <w:p w:rsidR="002D10C1" w:rsidRDefault="002D10C1" w:rsidP="002D10C1">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On April 7</w:t>
      </w:r>
      <w:r w:rsidRPr="00D956FF">
        <w:rPr>
          <w:rFonts w:ascii="Times New Roman" w:hAnsi="Times New Roman" w:cs="Times New Roman"/>
        </w:rPr>
        <w:t>, 2010, the International Dark Sky Association (IDA)</w:t>
      </w:r>
      <w:r>
        <w:rPr>
          <w:rFonts w:ascii="Times New Roman" w:hAnsi="Times New Roman" w:cs="Times New Roman"/>
        </w:rPr>
        <w:t xml:space="preserve"> filed a Petition to Intervene. </w:t>
      </w:r>
    </w:p>
    <w:p w:rsidR="002D10C1" w:rsidRDefault="002D10C1" w:rsidP="002D10C1">
      <w:pPr>
        <w:spacing w:line="360" w:lineRule="auto"/>
        <w:rPr>
          <w:rFonts w:ascii="Times New Roman" w:hAnsi="Times New Roman" w:cs="Times New Roman"/>
        </w:rPr>
      </w:pPr>
    </w:p>
    <w:p w:rsidR="002D10C1" w:rsidRDefault="002D10C1" w:rsidP="002D10C1">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On April 12, 2010, the International Brotherhood of Electrical Workers Local 614, AFL-CIO (Local 614) filed a Petition to Intervene.</w:t>
      </w:r>
    </w:p>
    <w:p w:rsidR="002D10C1" w:rsidRDefault="002D10C1" w:rsidP="002D10C1">
      <w:pPr>
        <w:spacing w:line="360" w:lineRule="auto"/>
        <w:rPr>
          <w:rFonts w:ascii="Times New Roman" w:hAnsi="Times New Roman" w:cs="Times New Roman"/>
        </w:rPr>
      </w:pPr>
    </w:p>
    <w:p w:rsidR="002D10C1" w:rsidRPr="00D956FF" w:rsidRDefault="002D10C1" w:rsidP="002D10C1">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On April 16, 2010, Dominion Retail Inc. (Dominion Retail) filed a Petition to Intervene.</w:t>
      </w:r>
    </w:p>
    <w:p w:rsidR="002D10C1" w:rsidRDefault="002D10C1" w:rsidP="002D10C1">
      <w:pPr>
        <w:pStyle w:val="p6"/>
        <w:tabs>
          <w:tab w:val="clear" w:pos="1513"/>
          <w:tab w:val="clear" w:pos="2239"/>
          <w:tab w:val="left" w:pos="720"/>
        </w:tabs>
        <w:spacing w:line="360" w:lineRule="auto"/>
        <w:ind w:firstLine="0"/>
      </w:pPr>
    </w:p>
    <w:p w:rsidR="002D10C1" w:rsidRDefault="002D10C1" w:rsidP="002D10C1">
      <w:pPr>
        <w:pStyle w:val="p6"/>
        <w:tabs>
          <w:tab w:val="clear" w:pos="1513"/>
          <w:tab w:val="clear" w:pos="2239"/>
          <w:tab w:val="left" w:pos="720"/>
        </w:tabs>
        <w:spacing w:line="360" w:lineRule="auto"/>
        <w:ind w:firstLine="0"/>
      </w:pPr>
      <w:r>
        <w:tab/>
      </w:r>
      <w:r>
        <w:tab/>
        <w:t>On April 20, 2010, the Office of Small Business Advocate (OSBA) filed a Public Statement, a Notice of Appearance on behalf of Sharon Webb, Esq., and a formal Complaint.  The Complaint was docketed at C-2010-2171342.</w:t>
      </w:r>
    </w:p>
    <w:p w:rsidR="002D10C1" w:rsidRDefault="002D10C1" w:rsidP="002D10C1">
      <w:pPr>
        <w:pStyle w:val="p6"/>
        <w:tabs>
          <w:tab w:val="clear" w:pos="1513"/>
          <w:tab w:val="clear" w:pos="2239"/>
          <w:tab w:val="left" w:pos="720"/>
        </w:tabs>
        <w:spacing w:line="360" w:lineRule="auto"/>
        <w:ind w:firstLine="0"/>
      </w:pPr>
    </w:p>
    <w:p w:rsidR="002D10C1" w:rsidRDefault="002D10C1" w:rsidP="002D10C1">
      <w:pPr>
        <w:pStyle w:val="p6"/>
        <w:tabs>
          <w:tab w:val="clear" w:pos="1513"/>
          <w:tab w:val="clear" w:pos="2239"/>
          <w:tab w:val="left" w:pos="720"/>
        </w:tabs>
        <w:spacing w:line="360" w:lineRule="auto"/>
        <w:ind w:firstLine="0"/>
      </w:pPr>
      <w:r>
        <w:tab/>
      </w:r>
      <w:r>
        <w:tab/>
        <w:t>On April 22, 2010, Johnnie E. Simms, Esq., and Adeolu A. Bakare, Esq., entered a Notice of Appearance on behalf of the Commission’s Office of Trial Staff (OTS).</w:t>
      </w:r>
    </w:p>
    <w:p w:rsidR="002D10C1" w:rsidRDefault="002D10C1" w:rsidP="002D10C1">
      <w:pPr>
        <w:pStyle w:val="p6"/>
        <w:tabs>
          <w:tab w:val="clear" w:pos="1513"/>
          <w:tab w:val="clear" w:pos="2239"/>
          <w:tab w:val="left" w:pos="720"/>
        </w:tabs>
        <w:spacing w:line="360" w:lineRule="auto"/>
        <w:ind w:firstLine="0"/>
      </w:pPr>
    </w:p>
    <w:p w:rsidR="002D10C1" w:rsidRDefault="002D10C1" w:rsidP="002D10C1">
      <w:pPr>
        <w:pStyle w:val="p6"/>
        <w:tabs>
          <w:tab w:val="clear" w:pos="1513"/>
          <w:tab w:val="clear" w:pos="2239"/>
          <w:tab w:val="left" w:pos="720"/>
        </w:tabs>
        <w:spacing w:line="360" w:lineRule="auto"/>
        <w:ind w:firstLine="0"/>
      </w:pPr>
      <w:r>
        <w:tab/>
      </w:r>
      <w:r>
        <w:tab/>
        <w:t>On April, 26, 2010, the Office of Consumer Advocate (OCA) filed a Public Statement, a Notice of Appearance on behalf of Candis A. Tunilo, Esq., and Tanya J. McCloskey, Esq., on behalf of Irwin A. Popowsky, Esq., the Consumer Advocate, and a formal Complaint.  The Complaint was docketed at C-2010-2172183.</w:t>
      </w:r>
    </w:p>
    <w:p w:rsidR="002D10C1" w:rsidRDefault="002D10C1" w:rsidP="002D10C1">
      <w:pPr>
        <w:pStyle w:val="p6"/>
        <w:tabs>
          <w:tab w:val="clear" w:pos="1513"/>
          <w:tab w:val="clear" w:pos="2239"/>
          <w:tab w:val="left" w:pos="720"/>
        </w:tabs>
        <w:spacing w:line="360" w:lineRule="auto"/>
        <w:ind w:firstLine="0"/>
      </w:pPr>
    </w:p>
    <w:p w:rsidR="002D10C1" w:rsidRDefault="002D10C1" w:rsidP="002D10C1">
      <w:pPr>
        <w:pStyle w:val="p6"/>
        <w:tabs>
          <w:tab w:val="clear" w:pos="1513"/>
          <w:tab w:val="clear" w:pos="2239"/>
          <w:tab w:val="left" w:pos="720"/>
        </w:tabs>
        <w:spacing w:line="360" w:lineRule="auto"/>
        <w:ind w:firstLine="0"/>
      </w:pPr>
      <w:r>
        <w:lastRenderedPageBreak/>
        <w:tab/>
      </w:r>
      <w:r>
        <w:tab/>
        <w:t>On May 14, 2010, Tenant Union Representative Network (TURN) and Action Alliance of Senior Citizens of Greater Philadelphia (Action Alliance) (collectively, TURN et al.) filed a formal Complaint.  The Complaint was docketed at C-2010-2176148.</w:t>
      </w:r>
    </w:p>
    <w:p w:rsidR="002D10C1" w:rsidRDefault="002D10C1" w:rsidP="002D10C1">
      <w:pPr>
        <w:pStyle w:val="p6"/>
        <w:tabs>
          <w:tab w:val="clear" w:pos="1513"/>
          <w:tab w:val="clear" w:pos="2239"/>
          <w:tab w:val="left" w:pos="720"/>
        </w:tabs>
        <w:spacing w:line="360" w:lineRule="auto"/>
        <w:ind w:firstLine="0"/>
      </w:pPr>
    </w:p>
    <w:p w:rsidR="002D10C1" w:rsidRDefault="002D10C1" w:rsidP="002D10C1">
      <w:pPr>
        <w:pStyle w:val="p6"/>
        <w:tabs>
          <w:tab w:val="clear" w:pos="1513"/>
          <w:tab w:val="clear" w:pos="2239"/>
          <w:tab w:val="left" w:pos="720"/>
        </w:tabs>
        <w:spacing w:line="360" w:lineRule="auto"/>
        <w:ind w:firstLine="0"/>
      </w:pPr>
      <w:r>
        <w:tab/>
      </w:r>
      <w:r>
        <w:tab/>
        <w:t xml:space="preserve">By Order </w:t>
      </w:r>
      <w:r w:rsidRPr="00BD0832">
        <w:t>entered</w:t>
      </w:r>
      <w:r>
        <w:t xml:space="preserve"> on </w:t>
      </w:r>
      <w:r w:rsidRPr="000F3AD7">
        <w:t>May 20, 2010</w:t>
      </w:r>
      <w:r>
        <w:t>, the Commission instituted a formal investigation to determine the lawfulness, justness and reasonableness of the existing and proposed rates, rules, and regulations and assigned the proceeding to the Office of Administrative Law Judge for resolution.  Pursuant to Section 1308(d) of the Public Utility Code, 66 Pa.C.S.A. § 1308(d), Supplement No. 2 to Tariff Electric - Pa. P.U.C. No. 4 was suspended by operation of law until December 31, 2010.</w:t>
      </w:r>
    </w:p>
    <w:p w:rsidR="002D10C1" w:rsidRDefault="002D10C1" w:rsidP="002D10C1">
      <w:pPr>
        <w:pStyle w:val="p6"/>
        <w:tabs>
          <w:tab w:val="clear" w:pos="1513"/>
          <w:tab w:val="clear" w:pos="2239"/>
          <w:tab w:val="left" w:pos="720"/>
        </w:tabs>
        <w:spacing w:line="360" w:lineRule="auto"/>
        <w:ind w:firstLine="0"/>
      </w:pPr>
    </w:p>
    <w:p w:rsidR="002D10C1" w:rsidRDefault="002D10C1" w:rsidP="002D10C1">
      <w:pPr>
        <w:pStyle w:val="p6"/>
        <w:tabs>
          <w:tab w:val="clear" w:pos="1513"/>
          <w:tab w:val="clear" w:pos="2239"/>
          <w:tab w:val="left" w:pos="720"/>
        </w:tabs>
        <w:spacing w:line="360" w:lineRule="auto"/>
        <w:ind w:firstLine="0"/>
      </w:pPr>
      <w:r>
        <w:tab/>
      </w:r>
      <w:r>
        <w:tab/>
        <w:t xml:space="preserve">By Hearing Notice dated May 20, 2010, a prehearing conference was scheduled for June 9, 2010 in Harrisburg, and the matter was assigned to us.  </w:t>
      </w:r>
    </w:p>
    <w:p w:rsidR="002D10C1" w:rsidRDefault="002D10C1" w:rsidP="002D10C1">
      <w:pPr>
        <w:pStyle w:val="p6"/>
        <w:tabs>
          <w:tab w:val="clear" w:pos="1513"/>
          <w:tab w:val="clear" w:pos="2239"/>
          <w:tab w:val="left" w:pos="720"/>
        </w:tabs>
        <w:spacing w:line="360" w:lineRule="auto"/>
        <w:ind w:firstLine="0"/>
      </w:pPr>
    </w:p>
    <w:p w:rsidR="002D10C1" w:rsidRDefault="002D10C1" w:rsidP="002D10C1">
      <w:pPr>
        <w:pStyle w:val="p6"/>
        <w:tabs>
          <w:tab w:val="clear" w:pos="1513"/>
          <w:tab w:val="clear" w:pos="2239"/>
          <w:tab w:val="left" w:pos="720"/>
        </w:tabs>
        <w:spacing w:line="360" w:lineRule="auto"/>
        <w:ind w:firstLine="0"/>
      </w:pPr>
      <w:r>
        <w:tab/>
      </w:r>
      <w:r>
        <w:tab/>
        <w:t>On May 20, 2010, the Philadelphia Area Industrial Energy Users Group (PAIEUG) filed a formal Complaint.</w:t>
      </w:r>
      <w:r>
        <w:rPr>
          <w:rStyle w:val="FootnoteReference"/>
        </w:rPr>
        <w:footnoteReference w:id="1"/>
      </w:r>
      <w:r>
        <w:t xml:space="preserve">   The Complaint was docketed at C-2010-2177849.</w:t>
      </w:r>
    </w:p>
    <w:p w:rsidR="002D10C1" w:rsidRDefault="002D10C1" w:rsidP="002D10C1">
      <w:pPr>
        <w:pStyle w:val="p6"/>
        <w:tabs>
          <w:tab w:val="clear" w:pos="1513"/>
          <w:tab w:val="clear" w:pos="2239"/>
          <w:tab w:val="left" w:pos="720"/>
        </w:tabs>
        <w:spacing w:line="360" w:lineRule="auto"/>
        <w:ind w:firstLine="0"/>
      </w:pPr>
    </w:p>
    <w:p w:rsidR="002D10C1" w:rsidRDefault="002D10C1" w:rsidP="002D10C1">
      <w:pPr>
        <w:pStyle w:val="p6"/>
        <w:tabs>
          <w:tab w:val="clear" w:pos="1513"/>
          <w:tab w:val="clear" w:pos="2239"/>
          <w:tab w:val="left" w:pos="720"/>
        </w:tabs>
        <w:spacing w:line="360" w:lineRule="auto"/>
        <w:ind w:firstLine="0"/>
      </w:pPr>
      <w:r>
        <w:tab/>
      </w:r>
      <w:r>
        <w:tab/>
        <w:t>On May 21, 2010, we issued a Prehearing Conference Order, directing the parties to comply with various procedural requirements in connection with the scheduled prehearing conference.</w:t>
      </w:r>
    </w:p>
    <w:p w:rsidR="002D10C1" w:rsidRDefault="002D10C1" w:rsidP="002D10C1">
      <w:pPr>
        <w:pStyle w:val="p6"/>
        <w:tabs>
          <w:tab w:val="clear" w:pos="1513"/>
          <w:tab w:val="clear" w:pos="2239"/>
          <w:tab w:val="left" w:pos="720"/>
        </w:tabs>
        <w:spacing w:line="360" w:lineRule="auto"/>
        <w:ind w:firstLine="0"/>
      </w:pPr>
    </w:p>
    <w:p w:rsidR="002D10C1" w:rsidRDefault="002D10C1" w:rsidP="002D10C1">
      <w:pPr>
        <w:pStyle w:val="p6"/>
        <w:tabs>
          <w:tab w:val="clear" w:pos="1513"/>
          <w:tab w:val="clear" w:pos="2239"/>
          <w:tab w:val="left" w:pos="720"/>
        </w:tabs>
        <w:spacing w:line="360" w:lineRule="auto"/>
        <w:ind w:firstLine="0"/>
      </w:pPr>
      <w:r>
        <w:tab/>
      </w:r>
      <w:r>
        <w:tab/>
        <w:t>On May 21, 2010, the City of Philadelphia filed a Petition to Intervene.</w:t>
      </w:r>
    </w:p>
    <w:p w:rsidR="002D10C1" w:rsidRDefault="002D10C1" w:rsidP="002D10C1">
      <w:pPr>
        <w:pStyle w:val="p6"/>
        <w:tabs>
          <w:tab w:val="clear" w:pos="1513"/>
          <w:tab w:val="clear" w:pos="2239"/>
          <w:tab w:val="left" w:pos="720"/>
        </w:tabs>
        <w:spacing w:line="360" w:lineRule="auto"/>
        <w:ind w:firstLine="0"/>
      </w:pPr>
    </w:p>
    <w:p w:rsidR="002D10C1" w:rsidRDefault="002D10C1" w:rsidP="002D10C1">
      <w:pPr>
        <w:pStyle w:val="p6"/>
        <w:tabs>
          <w:tab w:val="clear" w:pos="1513"/>
          <w:tab w:val="clear" w:pos="2239"/>
          <w:tab w:val="left" w:pos="720"/>
        </w:tabs>
        <w:spacing w:line="360" w:lineRule="auto"/>
        <w:ind w:firstLine="0"/>
      </w:pPr>
      <w:r>
        <w:tab/>
      </w:r>
      <w:r>
        <w:tab/>
        <w:t>On May 26, 2010, Citizens for Pennsylvania’s Future, Joy Bergey, Christine Knapp and Henry Rowan (collectively, PennFuture et al.) filed a Petition to Intervene.</w:t>
      </w:r>
    </w:p>
    <w:p w:rsidR="002D10C1" w:rsidRDefault="002D10C1" w:rsidP="002D10C1">
      <w:pPr>
        <w:pStyle w:val="p6"/>
        <w:tabs>
          <w:tab w:val="clear" w:pos="1513"/>
          <w:tab w:val="clear" w:pos="2239"/>
          <w:tab w:val="left" w:pos="720"/>
        </w:tabs>
        <w:spacing w:line="360" w:lineRule="auto"/>
        <w:ind w:firstLine="0"/>
      </w:pPr>
    </w:p>
    <w:p w:rsidR="00CD6760" w:rsidRDefault="002D10C1" w:rsidP="002D10C1">
      <w:pPr>
        <w:pStyle w:val="p6"/>
        <w:tabs>
          <w:tab w:val="clear" w:pos="1513"/>
          <w:tab w:val="clear" w:pos="2239"/>
          <w:tab w:val="left" w:pos="720"/>
        </w:tabs>
        <w:spacing w:line="360" w:lineRule="auto"/>
        <w:ind w:firstLine="0"/>
      </w:pPr>
      <w:r>
        <w:tab/>
      </w:r>
      <w:r>
        <w:tab/>
      </w:r>
    </w:p>
    <w:p w:rsidR="002D10C1" w:rsidRDefault="00CD6760" w:rsidP="002D10C1">
      <w:pPr>
        <w:pStyle w:val="p6"/>
        <w:tabs>
          <w:tab w:val="clear" w:pos="1513"/>
          <w:tab w:val="clear" w:pos="2239"/>
          <w:tab w:val="left" w:pos="720"/>
        </w:tabs>
        <w:spacing w:line="360" w:lineRule="auto"/>
        <w:ind w:firstLine="0"/>
      </w:pPr>
      <w:r>
        <w:lastRenderedPageBreak/>
        <w:tab/>
      </w:r>
      <w:r>
        <w:tab/>
      </w:r>
      <w:r w:rsidR="002D10C1">
        <w:t>On May 28, 2010, the Trustees of the University of Pennsylvania and the Hospital at the University of Pennsylvania (collectively, UPENN) filed a formal Complaint.  The Complaint was docketed at C-2010-2178725.</w:t>
      </w:r>
    </w:p>
    <w:p w:rsidR="002D10C1" w:rsidRDefault="002D10C1" w:rsidP="002D10C1">
      <w:pPr>
        <w:pStyle w:val="p6"/>
        <w:tabs>
          <w:tab w:val="clear" w:pos="1513"/>
          <w:tab w:val="clear" w:pos="2239"/>
          <w:tab w:val="left" w:pos="720"/>
        </w:tabs>
        <w:spacing w:line="360" w:lineRule="auto"/>
        <w:ind w:firstLine="0"/>
      </w:pPr>
    </w:p>
    <w:p w:rsidR="002D10C1" w:rsidRDefault="002D10C1" w:rsidP="002D10C1">
      <w:pPr>
        <w:pStyle w:val="p6"/>
        <w:tabs>
          <w:tab w:val="clear" w:pos="1513"/>
          <w:tab w:val="clear" w:pos="2239"/>
          <w:tab w:val="left" w:pos="720"/>
        </w:tabs>
        <w:spacing w:line="360" w:lineRule="auto"/>
        <w:ind w:firstLine="0"/>
      </w:pPr>
      <w:r>
        <w:tab/>
      </w:r>
      <w:r>
        <w:tab/>
        <w:t>In addition to Rate Protests filed by individuals, a number of customers filed individual Complaints.  These include Ryan Miller (C-2010-2167594); Craig Vorwald (C-2010-2171229); Cynthia Gallagher (C-2010-2177260); Rita Griggs (C-2010-2179769), Robert Chase (C-2010-2182185), William Kazimer (C-2010-2183018), William Esbiornson (C-2010-2196250) and Shirley T. White (C-2010-2204439).</w:t>
      </w:r>
      <w:r>
        <w:rPr>
          <w:rStyle w:val="FootnoteReference"/>
        </w:rPr>
        <w:footnoteReference w:id="2"/>
      </w:r>
      <w:r>
        <w:t xml:space="preserve"> </w:t>
      </w:r>
    </w:p>
    <w:p w:rsidR="002D10C1" w:rsidRDefault="002D10C1" w:rsidP="002D10C1">
      <w:pPr>
        <w:pStyle w:val="p6"/>
        <w:tabs>
          <w:tab w:val="clear" w:pos="1513"/>
          <w:tab w:val="clear" w:pos="2239"/>
          <w:tab w:val="left" w:pos="720"/>
        </w:tabs>
        <w:spacing w:line="360" w:lineRule="auto"/>
        <w:ind w:firstLine="0"/>
      </w:pPr>
      <w:r>
        <w:tab/>
      </w:r>
    </w:p>
    <w:p w:rsidR="002D10C1" w:rsidRDefault="002D10C1" w:rsidP="002D10C1">
      <w:pPr>
        <w:pStyle w:val="p6"/>
        <w:tabs>
          <w:tab w:val="clear" w:pos="1513"/>
          <w:tab w:val="clear" w:pos="2239"/>
          <w:tab w:val="left" w:pos="720"/>
        </w:tabs>
        <w:spacing w:line="360" w:lineRule="auto"/>
        <w:ind w:firstLine="0"/>
      </w:pPr>
      <w:r>
        <w:tab/>
      </w:r>
      <w:r>
        <w:tab/>
        <w:t>On June 7, 2010, the Commercial Group filed a Petition to Intervene.</w:t>
      </w:r>
      <w:r w:rsidRPr="004F666E">
        <w:rPr>
          <w:rStyle w:val="FootnoteReference"/>
        </w:rPr>
        <w:t xml:space="preserve"> </w:t>
      </w:r>
      <w:r>
        <w:rPr>
          <w:rStyle w:val="FootnoteReference"/>
        </w:rPr>
        <w:footnoteReference w:id="3"/>
      </w:r>
    </w:p>
    <w:p w:rsidR="002D10C1" w:rsidRDefault="002D10C1" w:rsidP="002D10C1">
      <w:pPr>
        <w:pStyle w:val="p6"/>
        <w:tabs>
          <w:tab w:val="clear" w:pos="1513"/>
          <w:tab w:val="clear" w:pos="2239"/>
          <w:tab w:val="left" w:pos="720"/>
        </w:tabs>
        <w:spacing w:line="360" w:lineRule="auto"/>
        <w:ind w:firstLine="0"/>
      </w:pPr>
    </w:p>
    <w:p w:rsidR="002D10C1" w:rsidRDefault="002D10C1" w:rsidP="002D10C1">
      <w:pPr>
        <w:pStyle w:val="p6"/>
        <w:tabs>
          <w:tab w:val="clear" w:pos="1513"/>
          <w:tab w:val="clear" w:pos="2239"/>
          <w:tab w:val="left" w:pos="720"/>
        </w:tabs>
        <w:spacing w:line="360" w:lineRule="auto"/>
        <w:ind w:firstLine="0"/>
      </w:pPr>
      <w:r>
        <w:tab/>
      </w:r>
      <w:r>
        <w:tab/>
        <w:t>On June 8, 2010, PECO filed a Certificate of Service of Supplemental Direct Testimony with the Secretary and served PECO St. 2S on the parties of record as of that date.</w:t>
      </w:r>
    </w:p>
    <w:p w:rsidR="002D10C1" w:rsidRDefault="002D10C1" w:rsidP="002D10C1">
      <w:pPr>
        <w:pStyle w:val="p6"/>
        <w:tabs>
          <w:tab w:val="clear" w:pos="1513"/>
          <w:tab w:val="clear" w:pos="2239"/>
          <w:tab w:val="left" w:pos="720"/>
        </w:tabs>
        <w:spacing w:line="360" w:lineRule="auto"/>
        <w:ind w:firstLine="0"/>
      </w:pPr>
    </w:p>
    <w:p w:rsidR="002D10C1" w:rsidRDefault="002D10C1" w:rsidP="002D10C1">
      <w:pPr>
        <w:pStyle w:val="p6"/>
        <w:tabs>
          <w:tab w:val="clear" w:pos="1513"/>
          <w:tab w:val="clear" w:pos="2239"/>
          <w:tab w:val="left" w:pos="720"/>
        </w:tabs>
        <w:spacing w:line="360" w:lineRule="auto"/>
        <w:ind w:firstLine="0"/>
      </w:pPr>
      <w:r>
        <w:tab/>
      </w:r>
      <w:r>
        <w:tab/>
        <w:t>The prehearing conference was held on June 9, 2010 in Harrisburg as scheduled.  Present through counsel in Harrisburg were respondent PECO, OTS, OCA, OSBA, PAIEUG, Dominion Retail, the Commercial Group, UPENN, Local 614, TURN et al., PennFuture et al. and Philadelphia.  All in attendance filed and served prehearing memoranda.  No individual complainants participated in the prehearing conference.  At the prehearing conference, the Petitions to Intervene of IDA, Local 614, Dominion Retail, Philadelphia, PennFuture et al. and the Commercial Group were granted, PECO’s Motion for a Protective Order was granted over Philadelphia’s concerns with paragraph 14 of the proposed protective order, discovery and other procedural requirements were addressed, and a litigation and briefing schedule was established.  The actions taken at the prehearing conference were memorialized in our Prehearing Order #1 dated June 15, 2010.  Additionally, on June 21, 2010, we issued a Protective Order.</w:t>
      </w:r>
    </w:p>
    <w:p w:rsidR="00D4108E" w:rsidRDefault="002D10C1" w:rsidP="002D10C1">
      <w:pPr>
        <w:pStyle w:val="p6"/>
        <w:tabs>
          <w:tab w:val="clear" w:pos="1513"/>
          <w:tab w:val="clear" w:pos="2239"/>
          <w:tab w:val="left" w:pos="720"/>
        </w:tabs>
        <w:spacing w:line="360" w:lineRule="auto"/>
        <w:ind w:firstLine="0"/>
      </w:pPr>
      <w:r>
        <w:tab/>
      </w:r>
    </w:p>
    <w:p w:rsidR="002D10C1" w:rsidRDefault="00D4108E" w:rsidP="002D10C1">
      <w:pPr>
        <w:pStyle w:val="p6"/>
        <w:tabs>
          <w:tab w:val="clear" w:pos="1513"/>
          <w:tab w:val="clear" w:pos="2239"/>
          <w:tab w:val="left" w:pos="720"/>
        </w:tabs>
        <w:spacing w:line="360" w:lineRule="auto"/>
        <w:ind w:firstLine="0"/>
      </w:pPr>
      <w:r>
        <w:lastRenderedPageBreak/>
        <w:tab/>
      </w:r>
      <w:r>
        <w:tab/>
      </w:r>
      <w:r w:rsidR="002D10C1" w:rsidRPr="00D956FF">
        <w:t>On June 30, 2010, Leo Smith, the Northeast Regional Director for IDA</w:t>
      </w:r>
      <w:r w:rsidR="002D10C1">
        <w:t>,</w:t>
      </w:r>
      <w:r w:rsidR="002D10C1" w:rsidRPr="00D956FF">
        <w:t xml:space="preserve"> fi</w:t>
      </w:r>
      <w:r w:rsidR="002D10C1">
        <w:t>led a Motion to Withdraw</w:t>
      </w:r>
      <w:r w:rsidR="002D10C1" w:rsidRPr="00D956FF">
        <w:t xml:space="preserve"> IDA’s Petition </w:t>
      </w:r>
      <w:r w:rsidR="002D10C1">
        <w:t xml:space="preserve">to Intervene </w:t>
      </w:r>
      <w:r w:rsidR="002D10C1" w:rsidRPr="00D956FF">
        <w:t xml:space="preserve">because the attorney representing </w:t>
      </w:r>
      <w:r w:rsidR="002D10C1">
        <w:t>IDA</w:t>
      </w:r>
      <w:r w:rsidR="002D10C1" w:rsidRPr="00D956FF">
        <w:t xml:space="preserve"> had withdrawn </w:t>
      </w:r>
      <w:r w:rsidR="002D10C1">
        <w:t xml:space="preserve">as counsel </w:t>
      </w:r>
      <w:r w:rsidR="002D10C1" w:rsidRPr="00D956FF">
        <w:t>and IDA could not secure replacement counsel.</w:t>
      </w:r>
      <w:r w:rsidR="002D10C1">
        <w:t xml:space="preserve">  We granted IDA’s Motion to Withdraw in an Interim Order dated July 6, 2010.</w:t>
      </w:r>
    </w:p>
    <w:p w:rsidR="002D10C1" w:rsidRDefault="002D10C1" w:rsidP="002D10C1">
      <w:pPr>
        <w:pStyle w:val="p6"/>
        <w:tabs>
          <w:tab w:val="clear" w:pos="1513"/>
          <w:tab w:val="clear" w:pos="2239"/>
          <w:tab w:val="left" w:pos="720"/>
        </w:tabs>
        <w:spacing w:line="360" w:lineRule="auto"/>
        <w:ind w:firstLine="0"/>
      </w:pPr>
    </w:p>
    <w:p w:rsidR="002D10C1" w:rsidRDefault="002D10C1" w:rsidP="002D10C1">
      <w:pPr>
        <w:pStyle w:val="p6"/>
        <w:tabs>
          <w:tab w:val="clear" w:pos="1513"/>
          <w:tab w:val="clear" w:pos="2239"/>
          <w:tab w:val="left" w:pos="720"/>
        </w:tabs>
        <w:spacing w:line="360" w:lineRule="auto"/>
        <w:ind w:firstLine="0"/>
      </w:pPr>
      <w:r>
        <w:tab/>
      </w:r>
      <w:r>
        <w:tab/>
        <w:t>On June 30, 2010, Pennsylvania Communities Organizing for Change, Inc. d/b/a Action United (PCOC) filed a formal Complaint.  The Complaint was docketed at C-2010-2185289.</w:t>
      </w:r>
    </w:p>
    <w:p w:rsidR="002D10C1" w:rsidRDefault="002D10C1" w:rsidP="002D10C1">
      <w:pPr>
        <w:pStyle w:val="p6"/>
        <w:tabs>
          <w:tab w:val="clear" w:pos="1513"/>
          <w:tab w:val="clear" w:pos="2239"/>
          <w:tab w:val="left" w:pos="720"/>
        </w:tabs>
        <w:spacing w:line="360" w:lineRule="auto"/>
        <w:ind w:firstLine="0"/>
      </w:pPr>
    </w:p>
    <w:p w:rsidR="002D10C1" w:rsidRPr="00B94F42" w:rsidRDefault="002D10C1" w:rsidP="002D10C1">
      <w:pPr>
        <w:spacing w:line="360" w:lineRule="auto"/>
        <w:ind w:firstLine="1440"/>
        <w:rPr>
          <w:rFonts w:ascii="Times New Roman" w:hAnsi="Times New Roman" w:cs="Times New Roman"/>
        </w:rPr>
      </w:pPr>
      <w:r w:rsidRPr="00B94F42">
        <w:rPr>
          <w:rFonts w:ascii="Times New Roman" w:hAnsi="Times New Roman" w:cs="Times New Roman"/>
        </w:rPr>
        <w:t xml:space="preserve">In order to allow the company’s customers the opportunity to express their concerns or opinions regarding the pending rate increase request, public input hearings were held on June 28, 2010 at 10:00 a.m. (at the Free Library of Philadelphia), on June 28, </w:t>
      </w:r>
      <w:r>
        <w:rPr>
          <w:rFonts w:ascii="Times New Roman" w:hAnsi="Times New Roman" w:cs="Times New Roman"/>
        </w:rPr>
        <w:t>2010 at 6:00 </w:t>
      </w:r>
      <w:r w:rsidRPr="00B94F42">
        <w:rPr>
          <w:rFonts w:ascii="Times New Roman" w:hAnsi="Times New Roman" w:cs="Times New Roman"/>
        </w:rPr>
        <w:t>p.m. (at the Community Academy of Philadelphia), on June 29, 2010 at 6:00 p.m. (at the Township of Worcester Community Hall) and on June 30, 2010 at 6:00 p.m. (at the Ridley Township Municipal Marina).  Present and participating through counsel at all four public input hearings were PECO, OCA and OTS.  Also, counsel for TURN et al. appeared at both June 28, 2010 public input hearings, and counsel for Philadelphia appeared at the 10:00 a.m. June 28, 2010 public input hearing.  In total, thirty-two people testified (fourteen at the first session, three at the second session, nine at the third session and six at the fourth session), two</w:t>
      </w:r>
      <w:r>
        <w:rPr>
          <w:rFonts w:ascii="Times New Roman" w:hAnsi="Times New Roman" w:cs="Times New Roman"/>
        </w:rPr>
        <w:t xml:space="preserve"> of whom (Mr. </w:t>
      </w:r>
      <w:r w:rsidRPr="00B94F42">
        <w:rPr>
          <w:rFonts w:ascii="Times New Roman" w:hAnsi="Times New Roman" w:cs="Times New Roman"/>
        </w:rPr>
        <w:t>Kazimer and Ms. White) filed formal Complaints.</w:t>
      </w:r>
    </w:p>
    <w:p w:rsidR="002D10C1" w:rsidRDefault="002D10C1" w:rsidP="002D10C1">
      <w:pPr>
        <w:spacing w:line="360" w:lineRule="auto"/>
        <w:rPr>
          <w:rFonts w:ascii="Times New Roman" w:hAnsi="Times New Roman" w:cs="Times New Roman"/>
        </w:rPr>
      </w:pPr>
    </w:p>
    <w:p w:rsidR="002D10C1" w:rsidRDefault="002D10C1" w:rsidP="002D10C1">
      <w:pPr>
        <w:pStyle w:val="p6"/>
        <w:tabs>
          <w:tab w:val="clear" w:pos="1513"/>
          <w:tab w:val="clear" w:pos="2239"/>
          <w:tab w:val="left" w:pos="720"/>
        </w:tabs>
        <w:spacing w:line="360" w:lineRule="auto"/>
        <w:ind w:firstLine="0"/>
      </w:pPr>
      <w:r>
        <w:tab/>
      </w:r>
      <w:r>
        <w:tab/>
        <w:t>Pursuant to the litigation schedule established in Prehearing Order #1, written direct testimony and exhibits were served on us and the parties by OTS, OCA, OSBA, PAIEUG, the Commercial Group, UPENN, Local 614, TURN et al., PCOC, Philadelphia and Mr. Stubbe on July 7, 2010.</w:t>
      </w:r>
    </w:p>
    <w:p w:rsidR="002D10C1" w:rsidRPr="00FE327A" w:rsidRDefault="002D10C1" w:rsidP="002D10C1">
      <w:pPr>
        <w:spacing w:line="360" w:lineRule="auto"/>
        <w:rPr>
          <w:rFonts w:ascii="Times New Roman" w:hAnsi="Times New Roman" w:cs="Times New Roman"/>
        </w:rPr>
      </w:pPr>
    </w:p>
    <w:p w:rsidR="002D10C1" w:rsidRPr="00AB37BB" w:rsidRDefault="002D10C1" w:rsidP="002D10C1">
      <w:pPr>
        <w:spacing w:line="360" w:lineRule="auto"/>
        <w:rPr>
          <w:rFonts w:ascii="Times New Roman" w:hAnsi="Times New Roman" w:cs="Times New Roman"/>
        </w:rPr>
      </w:pPr>
      <w:r>
        <w:tab/>
      </w:r>
      <w:r>
        <w:tab/>
      </w:r>
      <w:r w:rsidRPr="00AB37BB">
        <w:rPr>
          <w:rFonts w:ascii="Times New Roman" w:hAnsi="Times New Roman" w:cs="Times New Roman"/>
        </w:rPr>
        <w:t>On July 13, 2010, the Philadelphia Housing Authority (PHA) filed a Petition to Intervene.  As the Petition was not contested, it was deemed granted pursuant to Prehearing Order #1.</w:t>
      </w:r>
    </w:p>
    <w:p w:rsidR="002D10C1" w:rsidRDefault="002D10C1" w:rsidP="002D10C1">
      <w:pPr>
        <w:pStyle w:val="p6"/>
        <w:tabs>
          <w:tab w:val="clear" w:pos="1513"/>
          <w:tab w:val="clear" w:pos="2239"/>
          <w:tab w:val="left" w:pos="720"/>
        </w:tabs>
        <w:spacing w:line="360" w:lineRule="auto"/>
        <w:ind w:firstLine="0"/>
      </w:pPr>
    </w:p>
    <w:p w:rsidR="002D10C1" w:rsidRDefault="002D10C1" w:rsidP="002D10C1">
      <w:pPr>
        <w:pStyle w:val="p6"/>
        <w:tabs>
          <w:tab w:val="clear" w:pos="1513"/>
          <w:tab w:val="clear" w:pos="2239"/>
          <w:tab w:val="left" w:pos="720"/>
        </w:tabs>
        <w:spacing w:line="360" w:lineRule="auto"/>
        <w:ind w:firstLine="0"/>
      </w:pPr>
      <w:r>
        <w:tab/>
      </w:r>
      <w:r>
        <w:tab/>
        <w:t>On July 19, 2010, Stanley Stubbe filed a Petition to Intervene.  As the Petition was not contested, it was deemed granted pursuant to Prehearing Order #1.</w:t>
      </w:r>
    </w:p>
    <w:p w:rsidR="00D4108E" w:rsidRDefault="002D10C1" w:rsidP="002D10C1">
      <w:pPr>
        <w:pStyle w:val="p6"/>
        <w:tabs>
          <w:tab w:val="clear" w:pos="1513"/>
          <w:tab w:val="clear" w:pos="2239"/>
          <w:tab w:val="left" w:pos="720"/>
        </w:tabs>
        <w:spacing w:line="360" w:lineRule="auto"/>
        <w:ind w:firstLine="0"/>
      </w:pPr>
      <w:r>
        <w:lastRenderedPageBreak/>
        <w:tab/>
      </w:r>
      <w:r>
        <w:tab/>
        <w:t>On July 21, 2010, UPENN sent us a letter withdrawing its formal Complaint as well as the direct testimony and exhibits served on July 7, 2010.  UPENN’s Complaint was closed by Secretarial letter dated July 22, 2010.</w:t>
      </w:r>
    </w:p>
    <w:p w:rsidR="00D4108E" w:rsidRDefault="00D4108E" w:rsidP="002D10C1">
      <w:pPr>
        <w:pStyle w:val="p6"/>
        <w:tabs>
          <w:tab w:val="clear" w:pos="1513"/>
          <w:tab w:val="clear" w:pos="2239"/>
          <w:tab w:val="left" w:pos="720"/>
        </w:tabs>
        <w:spacing w:line="360" w:lineRule="auto"/>
        <w:ind w:firstLine="0"/>
      </w:pPr>
    </w:p>
    <w:p w:rsidR="002D10C1" w:rsidRDefault="002D10C1" w:rsidP="002D10C1">
      <w:pPr>
        <w:pStyle w:val="p6"/>
        <w:tabs>
          <w:tab w:val="clear" w:pos="1513"/>
          <w:tab w:val="clear" w:pos="2239"/>
          <w:tab w:val="left" w:pos="720"/>
        </w:tabs>
        <w:spacing w:line="360" w:lineRule="auto"/>
        <w:ind w:firstLine="0"/>
      </w:pPr>
      <w:r>
        <w:tab/>
      </w:r>
      <w:r>
        <w:tab/>
        <w:t>Rebuttal testimony and exhibits were served on us and the parties on August 3, 2010 by the Commercial Group, OSBA, OCA, Philadelphia, PAIEUG, TURN et al./PCOC and PECO.  Surrebuttal testimony was served on August 12, 2010 by OCA, OSBA, OTS, PAIEUG and PECO.</w:t>
      </w:r>
    </w:p>
    <w:p w:rsidR="002D10C1" w:rsidRDefault="002D10C1" w:rsidP="002D10C1">
      <w:pPr>
        <w:pStyle w:val="p6"/>
        <w:tabs>
          <w:tab w:val="clear" w:pos="1513"/>
          <w:tab w:val="clear" w:pos="2239"/>
          <w:tab w:val="left" w:pos="720"/>
        </w:tabs>
        <w:spacing w:line="360" w:lineRule="auto"/>
        <w:ind w:firstLine="0"/>
      </w:pPr>
    </w:p>
    <w:p w:rsidR="002D10C1" w:rsidRDefault="002D10C1" w:rsidP="002D10C1">
      <w:pPr>
        <w:pStyle w:val="p6"/>
        <w:tabs>
          <w:tab w:val="clear" w:pos="1513"/>
          <w:tab w:val="clear" w:pos="2239"/>
          <w:tab w:val="left" w:pos="720"/>
        </w:tabs>
        <w:spacing w:line="360" w:lineRule="auto"/>
        <w:ind w:firstLine="0"/>
      </w:pPr>
      <w:r>
        <w:tab/>
      </w:r>
      <w:r>
        <w:tab/>
        <w:t>As the parties informed us on August 13, 2010 that they had reached agreement on all but one of the issues involved in this proceeding, we agreed to cancel the hearing scheduled for August 16, 2010.  We cancelled the remaining hearing days after the parties informed us that they wanted to waive cross-examination and submit briefs on the remaining unresolved issue.</w:t>
      </w:r>
    </w:p>
    <w:p w:rsidR="002D10C1" w:rsidRDefault="002D10C1" w:rsidP="002D10C1">
      <w:pPr>
        <w:pStyle w:val="p6"/>
        <w:tabs>
          <w:tab w:val="clear" w:pos="1513"/>
          <w:tab w:val="clear" w:pos="2239"/>
          <w:tab w:val="left" w:pos="720"/>
        </w:tabs>
        <w:spacing w:line="360" w:lineRule="auto"/>
        <w:ind w:firstLine="0"/>
      </w:pPr>
    </w:p>
    <w:p w:rsidR="002D10C1" w:rsidRDefault="002D10C1" w:rsidP="002D10C1">
      <w:pPr>
        <w:pStyle w:val="p6"/>
        <w:tabs>
          <w:tab w:val="clear" w:pos="1513"/>
          <w:tab w:val="clear" w:pos="2239"/>
          <w:tab w:val="left" w:pos="720"/>
        </w:tabs>
        <w:spacing w:line="360" w:lineRule="auto"/>
        <w:ind w:firstLine="0"/>
      </w:pPr>
      <w:r>
        <w:tab/>
      </w:r>
      <w:r>
        <w:tab/>
        <w:t>On August 31, 2010, PECO filed and served a Joint Petition for Partial Settlement of Rate Investigation (Joint Petition or Partial Settlement).  Signatories to the Joint Petition include PECO, OCA, OSBA, Philadelphia, PAIEUG, PCOC, Dominion Retail, OTS, Local 614, TURN et al., and the Commercial Group.  Although not signatories to the Joint Petition, PennFuture et al., PHA and Mr. Stubbe, the other parties to this case, authorized the Joint Petitioners to represent that they do not oppose the settlement.</w:t>
      </w:r>
    </w:p>
    <w:p w:rsidR="002D10C1" w:rsidRDefault="002D10C1" w:rsidP="002D10C1">
      <w:pPr>
        <w:pStyle w:val="p6"/>
        <w:tabs>
          <w:tab w:val="clear" w:pos="1513"/>
          <w:tab w:val="clear" w:pos="2239"/>
          <w:tab w:val="left" w:pos="720"/>
        </w:tabs>
        <w:spacing w:line="360" w:lineRule="auto"/>
        <w:ind w:firstLine="0"/>
      </w:pPr>
    </w:p>
    <w:p w:rsidR="002D10C1" w:rsidRDefault="002D10C1" w:rsidP="002D10C1">
      <w:pPr>
        <w:pStyle w:val="p6"/>
        <w:tabs>
          <w:tab w:val="clear" w:pos="1513"/>
          <w:tab w:val="clear" w:pos="2239"/>
          <w:tab w:val="left" w:pos="720"/>
        </w:tabs>
        <w:spacing w:line="360" w:lineRule="auto"/>
        <w:ind w:firstLine="0"/>
      </w:pPr>
      <w:r>
        <w:tab/>
      </w:r>
      <w:r>
        <w:tab/>
        <w:t>Separately, also on August 31, 2010, the settling parties filed a Stipulation and Motion for Admission of Testimony and Exhibits.  The settling parties stipulated to the authenticity of the statements and exhibits listed in the Stipulation, waived the opportunity to conduct cross-examination and requested that the statements and exhibits be admitted into the record.  By Order Granting Motion to Admit Testimony and Exhibits dated September 15, 2010, the Stipulation, statements and exhibits were admitted into the record of this proceeding.</w:t>
      </w:r>
    </w:p>
    <w:p w:rsidR="002D10C1" w:rsidRDefault="002D10C1" w:rsidP="002D10C1">
      <w:pPr>
        <w:pStyle w:val="p6"/>
        <w:tabs>
          <w:tab w:val="clear" w:pos="1513"/>
          <w:tab w:val="clear" w:pos="2239"/>
          <w:tab w:val="left" w:pos="720"/>
        </w:tabs>
        <w:spacing w:line="360" w:lineRule="auto"/>
        <w:ind w:firstLine="0"/>
      </w:pPr>
    </w:p>
    <w:p w:rsidR="002D10C1" w:rsidRDefault="002D10C1" w:rsidP="002D10C1">
      <w:pPr>
        <w:pStyle w:val="p6"/>
        <w:tabs>
          <w:tab w:val="clear" w:pos="1513"/>
          <w:tab w:val="clear" w:pos="2239"/>
          <w:tab w:val="left" w:pos="720"/>
        </w:tabs>
        <w:spacing w:line="360" w:lineRule="auto"/>
        <w:ind w:firstLine="0"/>
      </w:pPr>
      <w:r>
        <w:tab/>
      </w:r>
      <w:r>
        <w:tab/>
        <w:t xml:space="preserve">By letter dated September 2, 2010, we informed the complainants of record as of that date (each of whom had been served with the Settlement Petition) of the partial settlement agreement and requested that they indicate, by no later than September 12, 2010, if they wished </w:t>
      </w:r>
      <w:r>
        <w:lastRenderedPageBreak/>
        <w:t>to join, oppose or take no position on the proposed partial settlement.  We also enclosed a signature page that the complainants could sign and return to us if they wished to join in the partial joint settlement petition.  We did not receive any responses.</w:t>
      </w:r>
      <w:r w:rsidRPr="00540858">
        <w:rPr>
          <w:rStyle w:val="FootnoteReference"/>
        </w:rPr>
        <w:t xml:space="preserve"> </w:t>
      </w:r>
    </w:p>
    <w:p w:rsidR="002D10C1" w:rsidRDefault="002D10C1" w:rsidP="002D10C1">
      <w:pPr>
        <w:pStyle w:val="p6"/>
        <w:tabs>
          <w:tab w:val="clear" w:pos="1513"/>
          <w:tab w:val="clear" w:pos="2239"/>
          <w:tab w:val="left" w:pos="720"/>
        </w:tabs>
        <w:spacing w:line="360" w:lineRule="auto"/>
        <w:ind w:firstLine="0"/>
      </w:pPr>
    </w:p>
    <w:p w:rsidR="002D10C1" w:rsidRDefault="002D10C1" w:rsidP="002D10C1">
      <w:pPr>
        <w:pStyle w:val="p6"/>
        <w:tabs>
          <w:tab w:val="clear" w:pos="1513"/>
          <w:tab w:val="clear" w:pos="2239"/>
          <w:tab w:val="left" w:pos="720"/>
        </w:tabs>
        <w:spacing w:line="360" w:lineRule="auto"/>
        <w:ind w:firstLine="0"/>
      </w:pPr>
      <w:r>
        <w:tab/>
      </w:r>
      <w:r>
        <w:tab/>
        <w:t>The record in this proceeding consists of the transcripts of the prehearing conference and the public input hearings, PECO’s filing, the statements and exhibits sponsored by the parties (and the related Stipulation) which were admitted into the record through the September 15, 2010 Order and several exhibits presented at the various public input hearings.  The Joint Petition for Partial Settlement of Rate Investigation, with its appendices, will be admitted into the record through this Recommended Decision.</w:t>
      </w:r>
    </w:p>
    <w:p w:rsidR="002D10C1" w:rsidRDefault="002D10C1" w:rsidP="002D10C1">
      <w:pPr>
        <w:pStyle w:val="p6"/>
        <w:tabs>
          <w:tab w:val="clear" w:pos="1513"/>
          <w:tab w:val="clear" w:pos="2239"/>
          <w:tab w:val="left" w:pos="720"/>
        </w:tabs>
        <w:spacing w:line="360" w:lineRule="auto"/>
        <w:ind w:firstLine="0"/>
      </w:pPr>
    </w:p>
    <w:p w:rsidR="002D10C1" w:rsidRDefault="002D10C1" w:rsidP="002D10C1">
      <w:pPr>
        <w:pStyle w:val="p6"/>
        <w:tabs>
          <w:tab w:val="clear" w:pos="1513"/>
          <w:tab w:val="clear" w:pos="2239"/>
          <w:tab w:val="left" w:pos="720"/>
        </w:tabs>
        <w:spacing w:line="360" w:lineRule="auto"/>
        <w:ind w:firstLine="0"/>
      </w:pPr>
      <w:r>
        <w:tab/>
      </w:r>
      <w:r>
        <w:tab/>
        <w:t>The parties’ position is that the proposed partial settlement, including the settlement rates, is fair, just, reasonable, non-discriminatory, lawful and in the public interest.  We agree.  The partial settlement terms appear to be a fair and reasonable resolution of the various issues, and appropriately balances the interests of the company and its customers.  Therefore, the Joint Petition for Partial Settlement of Rate Investigation should be approved without modification by the Commission as expeditiously as possible.  The parties, and the counsel representing them, are to be commended for their outstanding efforts and diligence in this proceeding.</w:t>
      </w:r>
    </w:p>
    <w:p w:rsidR="002D10C1" w:rsidRDefault="002D10C1" w:rsidP="002D10C1">
      <w:pPr>
        <w:pStyle w:val="p6"/>
        <w:tabs>
          <w:tab w:val="clear" w:pos="1513"/>
          <w:tab w:val="clear" w:pos="2239"/>
          <w:tab w:val="left" w:pos="720"/>
        </w:tabs>
        <w:spacing w:line="360" w:lineRule="auto"/>
        <w:ind w:firstLine="0"/>
      </w:pPr>
    </w:p>
    <w:p w:rsidR="002D10C1" w:rsidRPr="00F1324C" w:rsidRDefault="002D10C1" w:rsidP="002D10C1">
      <w:pPr>
        <w:pStyle w:val="p6"/>
        <w:tabs>
          <w:tab w:val="clear" w:pos="1513"/>
          <w:tab w:val="clear" w:pos="2239"/>
        </w:tabs>
        <w:spacing w:line="360" w:lineRule="auto"/>
        <w:ind w:firstLine="0"/>
        <w:jc w:val="center"/>
        <w:rPr>
          <w:b/>
          <w:u w:val="single"/>
        </w:rPr>
      </w:pPr>
      <w:r>
        <w:rPr>
          <w:b/>
        </w:rPr>
        <w:t>II.</w:t>
      </w:r>
      <w:r w:rsidR="00B625C1">
        <w:rPr>
          <w:b/>
        </w:rPr>
        <w:tab/>
      </w:r>
      <w:r w:rsidRPr="00F1324C">
        <w:rPr>
          <w:b/>
          <w:u w:val="single"/>
        </w:rPr>
        <w:t xml:space="preserve">THE PROPOSED </w:t>
      </w:r>
      <w:r>
        <w:rPr>
          <w:b/>
          <w:u w:val="single"/>
        </w:rPr>
        <w:t xml:space="preserve">PARTIAL </w:t>
      </w:r>
      <w:r w:rsidRPr="00F1324C">
        <w:rPr>
          <w:b/>
          <w:u w:val="single"/>
        </w:rPr>
        <w:t>SETTLEMENT</w:t>
      </w:r>
    </w:p>
    <w:p w:rsidR="002D10C1" w:rsidRDefault="002D10C1" w:rsidP="002D10C1">
      <w:pPr>
        <w:pStyle w:val="p6"/>
        <w:tabs>
          <w:tab w:val="clear" w:pos="1513"/>
          <w:tab w:val="clear" w:pos="2239"/>
          <w:tab w:val="left" w:pos="720"/>
        </w:tabs>
        <w:spacing w:line="360" w:lineRule="auto"/>
        <w:ind w:firstLine="0"/>
      </w:pPr>
    </w:p>
    <w:p w:rsidR="00D4108E" w:rsidRDefault="002D10C1" w:rsidP="002D10C1">
      <w:pPr>
        <w:pStyle w:val="p6"/>
        <w:tabs>
          <w:tab w:val="clear" w:pos="1513"/>
          <w:tab w:val="clear" w:pos="2239"/>
          <w:tab w:val="left" w:pos="720"/>
        </w:tabs>
        <w:spacing w:line="360" w:lineRule="auto"/>
        <w:ind w:firstLine="0"/>
      </w:pPr>
      <w:r>
        <w:tab/>
      </w:r>
      <w:r>
        <w:tab/>
        <w:t>The Joint Petition for Partial Settlement of Rate Investigation is a document signed by the PECO, OCA, OSBA, Philadelphia, PAIEUG, PCOC, Dominion Retail, OTS, Local 614, TURN et al., and the Commercial Group, a majority of the active parties.  A footnote in the Joint Petition indicated that</w:t>
      </w:r>
      <w:r w:rsidRPr="009422D9">
        <w:t xml:space="preserve"> </w:t>
      </w:r>
      <w:r>
        <w:t xml:space="preserve">PennFuture et al., PHA and Mr. Stubbe, who were active parties to this case but not signatories to the Joint Petition, authorized the Joint Petitioners to represent that they do not oppose the partial settlement.  Exhibit 1 of the Joint Petition is the proposed tariff supplement (settlement rates) (clean and black-line versions).  Exhibit 2 is the proof of revenues.  Exhibit 3 is the proposed revenue allocation.  Exhibit 4 is the universal </w:t>
      </w:r>
    </w:p>
    <w:p w:rsidR="00D4108E" w:rsidRDefault="00D4108E">
      <w:pPr>
        <w:autoSpaceDE/>
        <w:autoSpaceDN/>
        <w:rPr>
          <w:rFonts w:ascii="Times New Roman" w:hAnsi="Times New Roman" w:cs="Times New Roman"/>
        </w:rPr>
      </w:pPr>
      <w:r>
        <w:br w:type="page"/>
      </w:r>
    </w:p>
    <w:p w:rsidR="00D4108E" w:rsidRDefault="002D10C1" w:rsidP="002D10C1">
      <w:pPr>
        <w:pStyle w:val="p6"/>
        <w:tabs>
          <w:tab w:val="clear" w:pos="1513"/>
          <w:tab w:val="clear" w:pos="2239"/>
          <w:tab w:val="left" w:pos="720"/>
        </w:tabs>
        <w:spacing w:line="360" w:lineRule="auto"/>
        <w:ind w:firstLine="0"/>
      </w:pPr>
      <w:r>
        <w:lastRenderedPageBreak/>
        <w:t>service terms and conditions.  Statement A is PECO’s Statement in Support.  Statement B is OCA’s Statement in Support.  Statement C is OSBA’s Statement in Support.  Statement D is OTS’s Statement in Support.  Statement E is PAIEUG’s Statement in Support.  Statement F is Local 614’s Statement in Support.  Statement G is Dominion Retail’s Statement in Support.</w:t>
      </w:r>
    </w:p>
    <w:p w:rsidR="002D10C1" w:rsidRDefault="002D10C1" w:rsidP="002D10C1">
      <w:pPr>
        <w:pStyle w:val="p6"/>
        <w:tabs>
          <w:tab w:val="clear" w:pos="1513"/>
          <w:tab w:val="clear" w:pos="2239"/>
          <w:tab w:val="left" w:pos="720"/>
        </w:tabs>
        <w:spacing w:line="360" w:lineRule="auto"/>
        <w:ind w:firstLine="0"/>
      </w:pPr>
      <w:r>
        <w:t>Statement H is Philadelphia’s Statement in Support.  Statement I is TURN et al.’s Statement in Support.  Statement J is PCOC’s Statement in Support.  Statement K is the Commercial Group’s Statement in Support.</w:t>
      </w:r>
    </w:p>
    <w:p w:rsidR="002D10C1" w:rsidRDefault="002D10C1" w:rsidP="002D10C1">
      <w:pPr>
        <w:pStyle w:val="p6"/>
        <w:tabs>
          <w:tab w:val="clear" w:pos="1513"/>
          <w:tab w:val="clear" w:pos="2239"/>
          <w:tab w:val="left" w:pos="720"/>
        </w:tabs>
        <w:spacing w:line="360" w:lineRule="auto"/>
        <w:ind w:firstLine="0"/>
      </w:pPr>
    </w:p>
    <w:p w:rsidR="002D10C1" w:rsidRDefault="002D10C1" w:rsidP="002D10C1">
      <w:pPr>
        <w:pStyle w:val="p6"/>
        <w:tabs>
          <w:tab w:val="clear" w:pos="1513"/>
          <w:tab w:val="clear" w:pos="2239"/>
          <w:tab w:val="left" w:pos="720"/>
        </w:tabs>
        <w:spacing w:line="360" w:lineRule="auto"/>
        <w:ind w:firstLine="0"/>
      </w:pPr>
      <w:r>
        <w:tab/>
      </w:r>
      <w:r>
        <w:tab/>
        <w:t>The principal terms and conditions of the proposed partial settlement, contained in Section II of the Petition, Paragraph 7 (the original numbering is maintained here for ease of reference) provide that:</w:t>
      </w:r>
    </w:p>
    <w:p w:rsidR="002D10C1" w:rsidRDefault="002D10C1" w:rsidP="002D10C1">
      <w:pPr>
        <w:pStyle w:val="OutlineL2"/>
        <w:numPr>
          <w:ilvl w:val="0"/>
          <w:numId w:val="0"/>
        </w:numPr>
        <w:spacing w:before="0" w:after="0"/>
        <w:ind w:left="1440" w:right="1440"/>
      </w:pPr>
      <w:bookmarkStart w:id="0" w:name="_Toc269303557"/>
    </w:p>
    <w:p w:rsidR="002D10C1" w:rsidRDefault="002D10C1" w:rsidP="002D10C1">
      <w:pPr>
        <w:pStyle w:val="OutlineL2"/>
        <w:tabs>
          <w:tab w:val="clear" w:pos="720"/>
          <w:tab w:val="num" w:pos="1440"/>
        </w:tabs>
        <w:spacing w:before="0" w:after="0"/>
        <w:ind w:left="1440" w:right="1440"/>
        <w:jc w:val="left"/>
        <w:outlineLvl w:val="1"/>
      </w:pPr>
      <w:r>
        <w:t>Revenue Requirement</w:t>
      </w:r>
      <w:bookmarkEnd w:id="0"/>
    </w:p>
    <w:p w:rsidR="002D10C1" w:rsidRDefault="002D10C1" w:rsidP="002D10C1">
      <w:pPr>
        <w:pStyle w:val="OutlineL2"/>
        <w:numPr>
          <w:ilvl w:val="0"/>
          <w:numId w:val="0"/>
        </w:numPr>
        <w:spacing w:before="0" w:after="0"/>
        <w:ind w:left="1440" w:right="1440"/>
      </w:pPr>
    </w:p>
    <w:p w:rsidR="002D10C1" w:rsidRDefault="002D10C1" w:rsidP="002D10C1">
      <w:pPr>
        <w:pStyle w:val="FirmDouble05"/>
        <w:tabs>
          <w:tab w:val="num" w:pos="1440"/>
        </w:tabs>
        <w:spacing w:line="240" w:lineRule="auto"/>
        <w:ind w:left="1440" w:right="1440" w:firstLine="0"/>
      </w:pPr>
      <w:r>
        <w:tab/>
        <w:t>Upon the Commission’s approval of this Settlement, PECO will be permitted to charge, effective for service rendered on and after January 1, 2011, the Settlement Rates set forth in the Tariff Supplement attached hereto as Exhibit 1.  The Settlement Rates are designed to produce an annual distribution revenue increase of  $198.3 million, and an annual transmission revenue increase of $26.7 million as shown on the proof of revenues attached hereto as Exhibit 2.</w:t>
      </w:r>
      <w:r w:rsidRPr="00A03D33">
        <w:t xml:space="preserve">  The increase in annual operati</w:t>
      </w:r>
      <w:r>
        <w:t>ng revenue is in lieu of the as-</w:t>
      </w:r>
      <w:r w:rsidRPr="00A03D33">
        <w:t>filed net increase of approximately $</w:t>
      </w:r>
      <w:r>
        <w:t xml:space="preserve">289.7 </w:t>
      </w:r>
      <w:r w:rsidRPr="00A03D33">
        <w:t>million</w:t>
      </w:r>
      <w:r>
        <w:t xml:space="preserve"> for distribution and $26.7 million for transmission</w:t>
      </w:r>
      <w:r w:rsidRPr="00A03D33">
        <w:t>.</w:t>
      </w:r>
      <w:r>
        <w:t xml:space="preserve"> </w:t>
      </w:r>
    </w:p>
    <w:p w:rsidR="002D10C1" w:rsidRDefault="002D10C1" w:rsidP="002D10C1">
      <w:pPr>
        <w:pStyle w:val="FirmDouble05"/>
        <w:tabs>
          <w:tab w:val="num" w:pos="1440"/>
        </w:tabs>
        <w:spacing w:line="240" w:lineRule="auto"/>
        <w:ind w:left="1440" w:right="1440" w:firstLine="0"/>
      </w:pPr>
    </w:p>
    <w:p w:rsidR="002D10C1" w:rsidRDefault="002D10C1" w:rsidP="002D10C1">
      <w:pPr>
        <w:pStyle w:val="OutlineL2"/>
        <w:tabs>
          <w:tab w:val="clear" w:pos="720"/>
          <w:tab w:val="num" w:pos="1440"/>
        </w:tabs>
        <w:spacing w:before="0" w:after="0"/>
        <w:ind w:left="1440" w:right="1440"/>
        <w:jc w:val="left"/>
        <w:outlineLvl w:val="1"/>
      </w:pPr>
      <w:bookmarkStart w:id="1" w:name="_Toc269303558"/>
      <w:r>
        <w:t>Revenue Allocation and Rate Design</w:t>
      </w:r>
      <w:bookmarkEnd w:id="1"/>
    </w:p>
    <w:p w:rsidR="002D10C1" w:rsidRDefault="002D10C1" w:rsidP="002D10C1">
      <w:pPr>
        <w:pStyle w:val="OutlineL2"/>
        <w:numPr>
          <w:ilvl w:val="0"/>
          <w:numId w:val="0"/>
        </w:numPr>
        <w:spacing w:before="0" w:after="0"/>
        <w:ind w:left="1440" w:right="1440"/>
      </w:pPr>
    </w:p>
    <w:p w:rsidR="002D10C1" w:rsidRDefault="002D10C1" w:rsidP="002D10C1">
      <w:pPr>
        <w:pStyle w:val="OutlineL4"/>
        <w:tabs>
          <w:tab w:val="clear" w:pos="2160"/>
          <w:tab w:val="num" w:pos="1440"/>
        </w:tabs>
        <w:spacing w:before="0" w:after="0" w:line="240" w:lineRule="auto"/>
        <w:ind w:left="1440" w:right="1440" w:firstLine="0"/>
      </w:pPr>
      <w:r>
        <w:t>The Joint Petitioners agree to the terms set forth in Exhibit 3 attached hereto.</w:t>
      </w:r>
    </w:p>
    <w:p w:rsidR="002D10C1" w:rsidRDefault="002D10C1" w:rsidP="002D10C1">
      <w:pPr>
        <w:pStyle w:val="OutlineL4"/>
        <w:numPr>
          <w:ilvl w:val="0"/>
          <w:numId w:val="0"/>
        </w:numPr>
        <w:spacing w:before="0" w:after="0" w:line="240" w:lineRule="auto"/>
        <w:ind w:left="1440" w:right="1440"/>
      </w:pPr>
    </w:p>
    <w:p w:rsidR="002D10C1" w:rsidRDefault="002D10C1" w:rsidP="002D10C1">
      <w:pPr>
        <w:pStyle w:val="OutlineL4"/>
        <w:tabs>
          <w:tab w:val="clear" w:pos="2160"/>
          <w:tab w:val="num" w:pos="1440"/>
        </w:tabs>
        <w:spacing w:before="0" w:after="0" w:line="240" w:lineRule="auto"/>
        <w:ind w:left="1440" w:right="1440" w:firstLine="0"/>
      </w:pPr>
      <w:r w:rsidRPr="00D233D5">
        <w:t>The customer charge for Rates R and RH will be $7.</w:t>
      </w:r>
      <w:r>
        <w:t>25</w:t>
      </w:r>
      <w:r w:rsidRPr="00D233D5">
        <w:t xml:space="preserve"> per month, as opposed to the requested customer charge of $8.10 per month.  The Company’s other proposed residential rate design changes are adopted.</w:t>
      </w:r>
    </w:p>
    <w:p w:rsidR="002D10C1" w:rsidRDefault="002D10C1" w:rsidP="002D10C1">
      <w:pPr>
        <w:pStyle w:val="OutlineL4"/>
        <w:numPr>
          <w:ilvl w:val="0"/>
          <w:numId w:val="0"/>
        </w:numPr>
        <w:spacing w:before="0" w:after="0" w:line="240" w:lineRule="auto"/>
        <w:ind w:left="1440" w:right="1440"/>
      </w:pPr>
    </w:p>
    <w:p w:rsidR="002D10C1" w:rsidRPr="001E76B3" w:rsidRDefault="002D10C1" w:rsidP="002D10C1">
      <w:pPr>
        <w:pStyle w:val="OutlineL4"/>
        <w:tabs>
          <w:tab w:val="clear" w:pos="2160"/>
          <w:tab w:val="num" w:pos="1440"/>
        </w:tabs>
        <w:spacing w:before="0" w:after="0" w:line="240" w:lineRule="auto"/>
        <w:ind w:left="1440" w:right="1440" w:firstLine="0"/>
      </w:pPr>
      <w:r>
        <w:rPr>
          <w:szCs w:val="24"/>
        </w:rPr>
        <w:t>Th</w:t>
      </w:r>
      <w:r w:rsidRPr="00BA6495">
        <w:rPr>
          <w:szCs w:val="24"/>
        </w:rPr>
        <w:t xml:space="preserve">e distribution rate for </w:t>
      </w:r>
      <w:r>
        <w:rPr>
          <w:szCs w:val="24"/>
        </w:rPr>
        <w:t xml:space="preserve">customers taking service under PECO’s </w:t>
      </w:r>
      <w:r w:rsidRPr="00BA6495">
        <w:rPr>
          <w:szCs w:val="24"/>
        </w:rPr>
        <w:t xml:space="preserve">LILR </w:t>
      </w:r>
      <w:r>
        <w:rPr>
          <w:szCs w:val="24"/>
        </w:rPr>
        <w:t xml:space="preserve">rate as of April 1, 2010 </w:t>
      </w:r>
      <w:r w:rsidRPr="00BA6495">
        <w:rPr>
          <w:szCs w:val="24"/>
        </w:rPr>
        <w:t>shall be set at 50% of the full HT rate in 2011, 75% in 2012, and full HT rates in 201</w:t>
      </w:r>
      <w:r>
        <w:rPr>
          <w:szCs w:val="24"/>
        </w:rPr>
        <w:t>3.</w:t>
      </w:r>
    </w:p>
    <w:p w:rsidR="002D10C1" w:rsidRPr="00FA0829" w:rsidRDefault="002D10C1" w:rsidP="002D10C1">
      <w:pPr>
        <w:pStyle w:val="OutlineL4"/>
        <w:numPr>
          <w:ilvl w:val="0"/>
          <w:numId w:val="0"/>
        </w:numPr>
        <w:spacing w:before="0" w:after="0" w:line="240" w:lineRule="auto"/>
        <w:ind w:left="1440" w:right="1440"/>
      </w:pPr>
    </w:p>
    <w:p w:rsidR="002D10C1" w:rsidRPr="001E76B3" w:rsidRDefault="002D10C1" w:rsidP="002D10C1">
      <w:pPr>
        <w:pStyle w:val="OutlineL4"/>
        <w:tabs>
          <w:tab w:val="clear" w:pos="2160"/>
          <w:tab w:val="num" w:pos="1440"/>
        </w:tabs>
        <w:spacing w:before="0" w:after="0" w:line="240" w:lineRule="auto"/>
        <w:ind w:left="1440" w:right="1440" w:firstLine="0"/>
      </w:pPr>
      <w:r>
        <w:rPr>
          <w:szCs w:val="24"/>
        </w:rPr>
        <w:t>T</w:t>
      </w:r>
      <w:r w:rsidRPr="00BA6495">
        <w:rPr>
          <w:szCs w:val="24"/>
        </w:rPr>
        <w:t>he auxiliary service rider rate for back</w:t>
      </w:r>
      <w:r w:rsidR="00D4108E">
        <w:rPr>
          <w:szCs w:val="24"/>
        </w:rPr>
        <w:t>-</w:t>
      </w:r>
      <w:r w:rsidRPr="00BA6495">
        <w:rPr>
          <w:szCs w:val="24"/>
        </w:rPr>
        <w:t xml:space="preserve">up power </w:t>
      </w:r>
      <w:r>
        <w:rPr>
          <w:szCs w:val="24"/>
        </w:rPr>
        <w:t xml:space="preserve">and maintenance power </w:t>
      </w:r>
      <w:r w:rsidRPr="00BA6495">
        <w:rPr>
          <w:szCs w:val="24"/>
        </w:rPr>
        <w:t>shall be at 33% of the full HT rate for 2011, 66% for 2012, and full HT rates in 201</w:t>
      </w:r>
      <w:r>
        <w:rPr>
          <w:szCs w:val="24"/>
        </w:rPr>
        <w:t xml:space="preserve">3.  This three-year phase in </w:t>
      </w:r>
      <w:r>
        <w:rPr>
          <w:szCs w:val="24"/>
        </w:rPr>
        <w:lastRenderedPageBreak/>
        <w:t>of the HT rate applies to both distribution and transmission charges for customers taking service under the auxiliary service rider.</w:t>
      </w:r>
    </w:p>
    <w:p w:rsidR="002D10C1" w:rsidRPr="00FA0829" w:rsidRDefault="002D10C1" w:rsidP="002D10C1">
      <w:pPr>
        <w:pStyle w:val="OutlineL4"/>
        <w:numPr>
          <w:ilvl w:val="0"/>
          <w:numId w:val="0"/>
        </w:numPr>
        <w:spacing w:before="0" w:after="0" w:line="240" w:lineRule="auto"/>
        <w:ind w:left="1440" w:right="1440"/>
      </w:pPr>
    </w:p>
    <w:p w:rsidR="002D10C1" w:rsidRPr="001E76B3" w:rsidRDefault="002D10C1" w:rsidP="002D10C1">
      <w:pPr>
        <w:pStyle w:val="OutlineL4"/>
        <w:tabs>
          <w:tab w:val="clear" w:pos="2160"/>
          <w:tab w:val="num" w:pos="1440"/>
        </w:tabs>
        <w:spacing w:before="0" w:after="0" w:line="240" w:lineRule="auto"/>
        <w:ind w:left="1440" w:right="1440" w:firstLine="0"/>
      </w:pPr>
      <w:r>
        <w:rPr>
          <w:szCs w:val="24"/>
        </w:rPr>
        <w:t>T</w:t>
      </w:r>
      <w:r w:rsidRPr="00BA6495">
        <w:rPr>
          <w:szCs w:val="24"/>
        </w:rPr>
        <w:t xml:space="preserve">he HT, PD, </w:t>
      </w:r>
      <w:r>
        <w:rPr>
          <w:szCs w:val="24"/>
        </w:rPr>
        <w:t xml:space="preserve">and </w:t>
      </w:r>
      <w:r w:rsidRPr="00BA6495">
        <w:rPr>
          <w:szCs w:val="24"/>
        </w:rPr>
        <w:t>GS N</w:t>
      </w:r>
      <w:r>
        <w:rPr>
          <w:szCs w:val="24"/>
        </w:rPr>
        <w:t xml:space="preserve">ight </w:t>
      </w:r>
      <w:r w:rsidRPr="00BA6495">
        <w:rPr>
          <w:szCs w:val="24"/>
        </w:rPr>
        <w:t>S</w:t>
      </w:r>
      <w:r>
        <w:rPr>
          <w:szCs w:val="24"/>
        </w:rPr>
        <w:t xml:space="preserve">ervice </w:t>
      </w:r>
      <w:r w:rsidRPr="00BA6495">
        <w:rPr>
          <w:szCs w:val="24"/>
        </w:rPr>
        <w:t>R</w:t>
      </w:r>
      <w:r>
        <w:rPr>
          <w:szCs w:val="24"/>
        </w:rPr>
        <w:t>iders (“NSR”)</w:t>
      </w:r>
      <w:r w:rsidRPr="00BA6495">
        <w:rPr>
          <w:szCs w:val="24"/>
        </w:rPr>
        <w:t xml:space="preserve"> shall remain in place until the next </w:t>
      </w:r>
      <w:r>
        <w:rPr>
          <w:szCs w:val="24"/>
        </w:rPr>
        <w:t xml:space="preserve">electric distribution base </w:t>
      </w:r>
      <w:r w:rsidRPr="00BA6495">
        <w:rPr>
          <w:szCs w:val="24"/>
        </w:rPr>
        <w:t xml:space="preserve">rate case.  The </w:t>
      </w:r>
      <w:r>
        <w:rPr>
          <w:szCs w:val="24"/>
        </w:rPr>
        <w:t xml:space="preserve">percent </w:t>
      </w:r>
      <w:r w:rsidRPr="00BA6495">
        <w:rPr>
          <w:szCs w:val="24"/>
        </w:rPr>
        <w:t>increase applied to the NSR demand charge for HT, PD, GS shall be the same as the percent increase in the HT demand char</w:t>
      </w:r>
      <w:r>
        <w:rPr>
          <w:szCs w:val="24"/>
        </w:rPr>
        <w:t>ge.</w:t>
      </w:r>
    </w:p>
    <w:p w:rsidR="002D10C1" w:rsidRDefault="002D10C1" w:rsidP="002D10C1">
      <w:pPr>
        <w:pStyle w:val="OutlineL4"/>
        <w:numPr>
          <w:ilvl w:val="0"/>
          <w:numId w:val="0"/>
        </w:numPr>
        <w:spacing w:before="0" w:after="0" w:line="240" w:lineRule="auto"/>
        <w:ind w:left="1440" w:right="1440"/>
      </w:pPr>
    </w:p>
    <w:p w:rsidR="002D10C1" w:rsidRDefault="002D10C1" w:rsidP="002D10C1">
      <w:pPr>
        <w:pStyle w:val="OutlineL4"/>
        <w:tabs>
          <w:tab w:val="clear" w:pos="2160"/>
          <w:tab w:val="num" w:pos="1440"/>
        </w:tabs>
        <w:spacing w:before="0" w:after="0" w:line="240" w:lineRule="auto"/>
        <w:ind w:left="1440" w:right="1440" w:firstLine="0"/>
      </w:pPr>
      <w:r w:rsidRPr="003614F8">
        <w:t>The Company’s proposed Transmission Service Charge (</w:t>
      </w:r>
      <w:r>
        <w:t>“</w:t>
      </w:r>
      <w:r w:rsidRPr="003614F8">
        <w:t>TSC</w:t>
      </w:r>
      <w:r>
        <w:t>”</w:t>
      </w:r>
      <w:r w:rsidRPr="003614F8">
        <w:t>), Generation Supply Working Capital (</w:t>
      </w:r>
      <w:r>
        <w:t>“</w:t>
      </w:r>
      <w:r w:rsidRPr="003614F8">
        <w:t>GSWC</w:t>
      </w:r>
      <w:r>
        <w:t>”</w:t>
      </w:r>
      <w:r w:rsidRPr="003614F8">
        <w:t>) and Transmission Cost Working Capital (</w:t>
      </w:r>
      <w:r>
        <w:t>“</w:t>
      </w:r>
      <w:r w:rsidRPr="003614F8">
        <w:t>TCWC</w:t>
      </w:r>
      <w:r>
        <w:t>”</w:t>
      </w:r>
      <w:r w:rsidRPr="003614F8">
        <w:t>) riders shall be implemented as proposed.</w:t>
      </w:r>
    </w:p>
    <w:p w:rsidR="002D10C1" w:rsidRDefault="002D10C1" w:rsidP="002D10C1">
      <w:pPr>
        <w:pStyle w:val="OutlineL4"/>
        <w:numPr>
          <w:ilvl w:val="0"/>
          <w:numId w:val="0"/>
        </w:numPr>
        <w:spacing w:before="0" w:after="0" w:line="240" w:lineRule="auto"/>
        <w:ind w:left="1440" w:right="1440"/>
      </w:pPr>
    </w:p>
    <w:p w:rsidR="002D10C1" w:rsidRDefault="002D10C1" w:rsidP="002D10C1">
      <w:pPr>
        <w:pStyle w:val="OutlineL2"/>
        <w:tabs>
          <w:tab w:val="clear" w:pos="720"/>
          <w:tab w:val="num" w:pos="1440"/>
        </w:tabs>
        <w:spacing w:before="0" w:after="0"/>
        <w:ind w:left="1440" w:right="1440"/>
        <w:jc w:val="left"/>
        <w:outlineLvl w:val="1"/>
      </w:pPr>
      <w:bookmarkStart w:id="2" w:name="_Toc269303559"/>
      <w:r>
        <w:t>Smart Meters</w:t>
      </w:r>
      <w:bookmarkEnd w:id="2"/>
    </w:p>
    <w:p w:rsidR="002D10C1" w:rsidRDefault="002D10C1" w:rsidP="002D10C1">
      <w:pPr>
        <w:pStyle w:val="OutlineL2"/>
        <w:numPr>
          <w:ilvl w:val="0"/>
          <w:numId w:val="0"/>
        </w:numPr>
        <w:spacing w:before="0" w:after="0"/>
        <w:ind w:left="1440" w:right="1440"/>
      </w:pPr>
    </w:p>
    <w:p w:rsidR="002D10C1" w:rsidRDefault="002D10C1" w:rsidP="002D10C1">
      <w:pPr>
        <w:pStyle w:val="OutlineL4"/>
        <w:tabs>
          <w:tab w:val="clear" w:pos="2160"/>
          <w:tab w:val="num" w:pos="1440"/>
        </w:tabs>
        <w:spacing w:before="0" w:after="0" w:line="240" w:lineRule="auto"/>
        <w:ind w:left="1440" w:right="1440" w:firstLine="0"/>
      </w:pPr>
      <w:r>
        <w:t>PECO agree</w:t>
      </w:r>
      <w:r w:rsidRPr="00DE6146">
        <w:t>s</w:t>
      </w:r>
      <w:r>
        <w:t xml:space="preserve"> to</w:t>
      </w:r>
      <w:r w:rsidRPr="00DE6146">
        <w:t xml:space="preserve"> withdraw its proposal to unbundle its metering costs.</w:t>
      </w:r>
    </w:p>
    <w:p w:rsidR="002D10C1" w:rsidRDefault="002D10C1" w:rsidP="002D10C1">
      <w:pPr>
        <w:pStyle w:val="OutlineL4"/>
        <w:numPr>
          <w:ilvl w:val="0"/>
          <w:numId w:val="0"/>
        </w:numPr>
        <w:spacing w:before="0" w:after="0" w:line="240" w:lineRule="auto"/>
        <w:ind w:left="1440" w:right="1440"/>
      </w:pPr>
    </w:p>
    <w:p w:rsidR="002D10C1" w:rsidRDefault="002D10C1" w:rsidP="002D10C1">
      <w:pPr>
        <w:pStyle w:val="OutlineL4"/>
        <w:tabs>
          <w:tab w:val="clear" w:pos="2160"/>
          <w:tab w:val="num" w:pos="1440"/>
        </w:tabs>
        <w:spacing w:before="0" w:after="0" w:line="240" w:lineRule="auto"/>
        <w:ind w:left="1440" w:right="1440" w:firstLine="0"/>
      </w:pPr>
      <w:r w:rsidRPr="0009185A">
        <w:t xml:space="preserve">PECO has been awarded a $200 million grant in American Recovery and Reinvestment Act </w:t>
      </w:r>
      <w:r>
        <w:t xml:space="preserve">(“ARRA”) </w:t>
      </w:r>
      <w:r w:rsidRPr="0009185A">
        <w:t>funds for smart meter and smart grid projects.</w:t>
      </w:r>
      <w:r>
        <w:t xml:space="preserve">  The Company shall allocate the portion of the ARRA grant related to Act 129 smart meter costs consistent with the allocation of smart meter costs in the smart meter surcharge</w:t>
      </w:r>
      <w:r w:rsidRPr="0009185A">
        <w:t>.</w:t>
      </w:r>
    </w:p>
    <w:p w:rsidR="002D10C1" w:rsidRDefault="002D10C1" w:rsidP="002D10C1">
      <w:pPr>
        <w:pStyle w:val="OutlineL4"/>
        <w:numPr>
          <w:ilvl w:val="0"/>
          <w:numId w:val="0"/>
        </w:numPr>
        <w:spacing w:before="0" w:after="0" w:line="240" w:lineRule="auto"/>
        <w:ind w:left="1440" w:right="1440"/>
      </w:pPr>
    </w:p>
    <w:p w:rsidR="002D10C1" w:rsidRDefault="002D10C1" w:rsidP="002D10C1">
      <w:pPr>
        <w:pStyle w:val="OutlineL4"/>
        <w:tabs>
          <w:tab w:val="clear" w:pos="2160"/>
          <w:tab w:val="num" w:pos="1440"/>
        </w:tabs>
        <w:spacing w:before="0" w:after="0" w:line="240" w:lineRule="auto"/>
        <w:ind w:left="1440" w:right="1440" w:firstLine="0"/>
      </w:pPr>
      <w:r w:rsidRPr="00CF5928">
        <w:t xml:space="preserve">In order to meet the Commission’s requirement in </w:t>
      </w:r>
      <w:r w:rsidRPr="00CF5928">
        <w:rPr>
          <w:i/>
        </w:rPr>
        <w:t>Petition of PECO Energy Company for Approval of Smart Meter Technology Procurement and Installation Plan</w:t>
      </w:r>
      <w:r w:rsidRPr="00CF5928">
        <w:t>, Do</w:t>
      </w:r>
      <w:r>
        <w:t xml:space="preserve">cket No. M-2009-2123944, PECO </w:t>
      </w:r>
      <w:r w:rsidRPr="00CF5928">
        <w:t>will use a common equity</w:t>
      </w:r>
      <w:r>
        <w:t xml:space="preserve"> return rate of 10.00% for purposes of computing its smart meter charge.</w:t>
      </w:r>
      <w:r w:rsidRPr="00CF5928">
        <w:t xml:space="preserve">  The 10.</w:t>
      </w:r>
      <w:r>
        <w:t>00</w:t>
      </w:r>
      <w:r w:rsidRPr="00CF5928">
        <w:t xml:space="preserve">% return on common equity is limited solely to the smart meter surcharge and does not reflect any </w:t>
      </w:r>
      <w:r>
        <w:t>Joint Petitioner</w:t>
      </w:r>
      <w:r w:rsidRPr="00CF5928">
        <w:t>’s position with respect to PECO’s overall current cost of common equity.</w:t>
      </w:r>
    </w:p>
    <w:p w:rsidR="002D10C1" w:rsidRDefault="002D10C1" w:rsidP="002D10C1">
      <w:pPr>
        <w:pStyle w:val="OutlineL4"/>
        <w:numPr>
          <w:ilvl w:val="0"/>
          <w:numId w:val="0"/>
        </w:numPr>
        <w:spacing w:before="0" w:after="0" w:line="240" w:lineRule="auto"/>
        <w:ind w:left="1440" w:right="1440"/>
      </w:pPr>
    </w:p>
    <w:p w:rsidR="002D10C1" w:rsidRDefault="002D10C1" w:rsidP="002D10C1">
      <w:pPr>
        <w:pStyle w:val="OutlineL2"/>
        <w:tabs>
          <w:tab w:val="clear" w:pos="720"/>
          <w:tab w:val="num" w:pos="1440"/>
        </w:tabs>
        <w:spacing w:before="0" w:after="0"/>
        <w:ind w:left="1440" w:right="1440"/>
        <w:jc w:val="left"/>
        <w:outlineLvl w:val="1"/>
      </w:pPr>
      <w:bookmarkStart w:id="3" w:name="_Toc269303560"/>
      <w:r>
        <w:t>Universal Services</w:t>
      </w:r>
      <w:bookmarkEnd w:id="3"/>
    </w:p>
    <w:p w:rsidR="002D10C1" w:rsidRDefault="002D10C1" w:rsidP="002D10C1">
      <w:pPr>
        <w:pStyle w:val="OutlineL2"/>
        <w:numPr>
          <w:ilvl w:val="0"/>
          <w:numId w:val="0"/>
        </w:numPr>
        <w:spacing w:before="0" w:after="0"/>
        <w:ind w:left="1440" w:right="1440"/>
      </w:pPr>
    </w:p>
    <w:p w:rsidR="00682D4C" w:rsidRDefault="002D10C1" w:rsidP="002D10C1">
      <w:pPr>
        <w:pStyle w:val="FirmDouble05"/>
        <w:tabs>
          <w:tab w:val="num" w:pos="1440"/>
        </w:tabs>
        <w:spacing w:line="240" w:lineRule="auto"/>
        <w:ind w:left="1440" w:right="1440" w:firstLine="0"/>
      </w:pPr>
      <w:r w:rsidRPr="00D94BEB">
        <w:t xml:space="preserve">The </w:t>
      </w:r>
      <w:r>
        <w:t>Joint Petitioners</w:t>
      </w:r>
      <w:r w:rsidRPr="00D94BEB">
        <w:t xml:space="preserve"> agree to the terms set forth </w:t>
      </w:r>
      <w:r>
        <w:t>in</w:t>
      </w:r>
      <w:r w:rsidRPr="00D94BEB">
        <w:t xml:space="preserve"> </w:t>
      </w:r>
      <w:r>
        <w:t>Exhibit 4 attached</w:t>
      </w:r>
      <w:r w:rsidRPr="00D94BEB">
        <w:t xml:space="preserve"> hereto.  PECO’s proposed changes to the Universal Service Fund Charge and annual reconciliation mechanism, as set forth in its March 31, 2010 filing and Supplement No. 2 ar</w:t>
      </w:r>
      <w:r>
        <w:t xml:space="preserve">e accepted, with the following </w:t>
      </w:r>
      <w:r w:rsidRPr="00D94BEB">
        <w:t>modification to reflect moving the target for Tiers D, D1, E, and E1 from 90% CAP population affordability to 88%</w:t>
      </w:r>
      <w:r>
        <w:t>.  A</w:t>
      </w:r>
      <w:r w:rsidRPr="00D94BEB">
        <w:t xml:space="preserve">s shown in Appendix A </w:t>
      </w:r>
      <w:r>
        <w:t xml:space="preserve">to Exhibit 1, </w:t>
      </w:r>
      <w:r w:rsidRPr="00D94BEB">
        <w:t>the Base Rate Credit used to calculate the amount of Reconcilable CAP Costs recovered through base rates is ba</w:t>
      </w:r>
      <w:r>
        <w:t xml:space="preserve">sed on CAP </w:t>
      </w:r>
    </w:p>
    <w:p w:rsidR="00682D4C" w:rsidRDefault="00682D4C">
      <w:pPr>
        <w:autoSpaceDE/>
        <w:autoSpaceDN/>
        <w:rPr>
          <w:rFonts w:ascii="Times New Roman" w:hAnsi="Times New Roman" w:cs="Times New Roman"/>
        </w:rPr>
      </w:pPr>
      <w:r>
        <w:br w:type="page"/>
      </w:r>
    </w:p>
    <w:p w:rsidR="002D10C1" w:rsidRDefault="002D10C1" w:rsidP="002D10C1">
      <w:pPr>
        <w:pStyle w:val="FirmDouble05"/>
        <w:tabs>
          <w:tab w:val="num" w:pos="1440"/>
        </w:tabs>
        <w:spacing w:line="240" w:lineRule="auto"/>
        <w:ind w:left="1440" w:right="1440" w:firstLine="0"/>
      </w:pPr>
      <w:r>
        <w:lastRenderedPageBreak/>
        <w:t xml:space="preserve">discounts of $80,707,000 rather than $84,672,000 </w:t>
      </w:r>
      <w:r w:rsidRPr="00D94BEB">
        <w:t>as originally proposed in RLO-1, Schedule D-5C.  This results in a $0.0068</w:t>
      </w:r>
      <w:r>
        <w:t xml:space="preserve"> per </w:t>
      </w:r>
      <w:r w:rsidRPr="00D94BEB">
        <w:t>KWH rate to be used for annual reconciliation purposes.</w:t>
      </w:r>
      <w:r>
        <w:t xml:space="preserve"> </w:t>
      </w:r>
    </w:p>
    <w:p w:rsidR="002D10C1" w:rsidRPr="00D94BEB" w:rsidRDefault="002D10C1" w:rsidP="002D10C1">
      <w:pPr>
        <w:pStyle w:val="FirmDouble05"/>
        <w:tabs>
          <w:tab w:val="num" w:pos="1440"/>
        </w:tabs>
        <w:spacing w:line="240" w:lineRule="auto"/>
        <w:ind w:left="1440" w:right="1440" w:firstLine="0"/>
      </w:pPr>
    </w:p>
    <w:p w:rsidR="002D10C1" w:rsidRDefault="002D10C1" w:rsidP="002D10C1">
      <w:pPr>
        <w:pStyle w:val="OutlineL2"/>
        <w:tabs>
          <w:tab w:val="clear" w:pos="720"/>
          <w:tab w:val="num" w:pos="1440"/>
        </w:tabs>
        <w:spacing w:before="0" w:after="0"/>
        <w:ind w:left="1440" w:right="1440"/>
        <w:jc w:val="left"/>
        <w:outlineLvl w:val="1"/>
      </w:pPr>
      <w:bookmarkStart w:id="4" w:name="_Toc269303561"/>
      <w:r w:rsidRPr="00F03A59">
        <w:t>Tax Accounting for Repair</w:t>
      </w:r>
      <w:bookmarkEnd w:id="4"/>
      <w:r>
        <w:t>s</w:t>
      </w:r>
    </w:p>
    <w:p w:rsidR="002D10C1" w:rsidRDefault="002D10C1" w:rsidP="002D10C1">
      <w:pPr>
        <w:pStyle w:val="OutlineL2"/>
        <w:numPr>
          <w:ilvl w:val="0"/>
          <w:numId w:val="0"/>
        </w:numPr>
        <w:spacing w:before="0" w:after="0"/>
        <w:ind w:left="1440" w:right="1440"/>
      </w:pPr>
    </w:p>
    <w:p w:rsidR="002D10C1" w:rsidRDefault="002D10C1" w:rsidP="002D10C1">
      <w:pPr>
        <w:pStyle w:val="OutlineL4"/>
        <w:tabs>
          <w:tab w:val="clear" w:pos="2160"/>
          <w:tab w:val="num" w:pos="1440"/>
        </w:tabs>
        <w:spacing w:before="0" w:after="0" w:line="240" w:lineRule="auto"/>
        <w:ind w:left="1440" w:right="1440" w:firstLine="0"/>
      </w:pPr>
      <w:r w:rsidRPr="00D8014C">
        <w:t xml:space="preserve">PECO may, in the future, obtain a change in its method of tax accounting for repairs.  If it does so, it anticipates that it will be required to reflect an IRC Section 481(a) “catch-up” adjustment on its tax return for the year of that change.  PECO will notify each </w:t>
      </w:r>
      <w:r>
        <w:t>Joint Petitioner</w:t>
      </w:r>
      <w:r w:rsidRPr="00D8014C">
        <w:t xml:space="preserve"> within ten days after the IRS </w:t>
      </w:r>
      <w:r>
        <w:t xml:space="preserve">issues an Industry Issue Resolution (e.g., a published Revenue Procedure) and/or an Industry Directive regarding tax </w:t>
      </w:r>
      <w:r w:rsidRPr="00D8014C">
        <w:t xml:space="preserve">accounting for repairs applicable to electric distribution assets.  Within </w:t>
      </w:r>
      <w:r>
        <w:t xml:space="preserve">sixty </w:t>
      </w:r>
      <w:r w:rsidRPr="00D8014C">
        <w:t xml:space="preserve">days after </w:t>
      </w:r>
      <w:r>
        <w:t>such guidance</w:t>
      </w:r>
      <w:r w:rsidRPr="00D8014C">
        <w:t xml:space="preserve">, PECO will notify the </w:t>
      </w:r>
      <w:r>
        <w:t>Joint Petitioners</w:t>
      </w:r>
      <w:r w:rsidRPr="00D8014C">
        <w:t xml:space="preserve"> of its decision regarding whether or not to implement the repair method change.  If PECO determines that it will not elect to make the repair method change, it will provide its reasons therefore in the notice.  Each </w:t>
      </w:r>
      <w:r>
        <w:t>Joint Petitioner</w:t>
      </w:r>
      <w:r w:rsidRPr="00D8014C">
        <w:t xml:space="preserve"> reserves its right to challenge PECO’s decision to not elect to make the repair method change.</w:t>
      </w:r>
    </w:p>
    <w:p w:rsidR="002D10C1" w:rsidRDefault="002D10C1" w:rsidP="002D10C1">
      <w:pPr>
        <w:pStyle w:val="OutlineL4"/>
        <w:numPr>
          <w:ilvl w:val="0"/>
          <w:numId w:val="0"/>
        </w:numPr>
        <w:spacing w:before="0" w:after="0" w:line="240" w:lineRule="auto"/>
        <w:ind w:left="1440" w:right="1440"/>
      </w:pPr>
    </w:p>
    <w:p w:rsidR="002D10C1" w:rsidRDefault="002D10C1" w:rsidP="002D10C1">
      <w:pPr>
        <w:pStyle w:val="OutlineL4"/>
        <w:tabs>
          <w:tab w:val="clear" w:pos="2160"/>
          <w:tab w:val="num" w:pos="1440"/>
        </w:tabs>
        <w:spacing w:before="0" w:after="0" w:line="240" w:lineRule="auto"/>
        <w:ind w:left="1440" w:right="1440" w:firstLine="0"/>
      </w:pPr>
      <w:r w:rsidRPr="00D8014C">
        <w:t xml:space="preserve">PECO will defer the tax benefit attributable to PECO’s catch-up adjustment and commence amortizing it for ratemaking purposes over a seven-year period upon implementation of the repairs method change (i.e., the filing of its tax return for the year of the change).  Such amortization, appropriately grossed-up for taxes, shall be provided to customers through a bill credit or other mechanism.  The bill credits will be allocated to customer classes based on net electric distribution plant </w:t>
      </w:r>
      <w:r>
        <w:t xml:space="preserve">as set forth in </w:t>
      </w:r>
      <w:r w:rsidRPr="00D8014C">
        <w:t>PECO’s cost of service study. The amortization shall be without interest.  The amortization is subject to adjustment (including reflection of any interest required to be paid to the IRS) in the event the IRS disallows a portion of the catch-up adjustment.  To the extent the catch-up adjustment causes a state Net Operating Loss (</w:t>
      </w:r>
      <w:r>
        <w:t>“</w:t>
      </w:r>
      <w:r w:rsidRPr="00D8014C">
        <w:t>NOL</w:t>
      </w:r>
      <w:r>
        <w:t>”</w:t>
      </w:r>
      <w:r w:rsidRPr="00D8014C">
        <w:t>), the amount to be amortized shall be reduced to reflect any tax benefits lost because of the state NOL</w:t>
      </w:r>
      <w:r>
        <w:t>; if and when the NOL caused by the catch-up adjustment is utilized, the amount to be amortized will be adjusted accordingly</w:t>
      </w:r>
      <w:r w:rsidRPr="00D8014C">
        <w:t xml:space="preserve">. </w:t>
      </w:r>
      <w:r>
        <w:t xml:space="preserve"> </w:t>
      </w:r>
      <w:r w:rsidRPr="00D8014C">
        <w:t xml:space="preserve">At the time of PECO’s next electric distribution base rate case filing, PECO will propose accounting and rate treatment to provide to customers the tax benefits of any unamortized balance that remains at that time.  Each </w:t>
      </w:r>
      <w:r>
        <w:t>Joint Petitioner</w:t>
      </w:r>
      <w:r w:rsidRPr="00D8014C">
        <w:t xml:space="preserve"> reserves its right to challenge that proposed treatment and to propose alternatives.</w:t>
      </w:r>
    </w:p>
    <w:p w:rsidR="002D10C1" w:rsidRDefault="002D10C1" w:rsidP="002D10C1">
      <w:pPr>
        <w:pStyle w:val="OutlineL4"/>
        <w:numPr>
          <w:ilvl w:val="0"/>
          <w:numId w:val="0"/>
        </w:numPr>
        <w:spacing w:before="0" w:after="0" w:line="240" w:lineRule="auto"/>
        <w:ind w:left="1440" w:right="1440"/>
      </w:pPr>
    </w:p>
    <w:p w:rsidR="002D10C1" w:rsidRDefault="002D10C1" w:rsidP="002D10C1">
      <w:pPr>
        <w:pStyle w:val="OutlineL4"/>
        <w:tabs>
          <w:tab w:val="clear" w:pos="2160"/>
          <w:tab w:val="num" w:pos="1440"/>
        </w:tabs>
        <w:spacing w:before="0" w:after="0" w:line="240" w:lineRule="auto"/>
        <w:ind w:left="1440" w:right="1440" w:firstLine="0"/>
      </w:pPr>
      <w:r w:rsidRPr="00CA2932">
        <w:t xml:space="preserve">The annual tax benefits produced by the new repairs accounting method will be subject to “flow through” tax accounting.  As a result, the tax benefit of the ongoing repair deductions claimed using the new method will be reflected in </w:t>
      </w:r>
      <w:r w:rsidRPr="00CA2932">
        <w:lastRenderedPageBreak/>
        <w:t xml:space="preserve">computing the Company's tax expense in the year in which they are actually claimed on the Company’s tax return.  The future </w:t>
      </w:r>
    </w:p>
    <w:p w:rsidR="002D10C1" w:rsidRDefault="002D10C1" w:rsidP="002D10C1">
      <w:pPr>
        <w:pStyle w:val="OutlineL4"/>
        <w:numPr>
          <w:ilvl w:val="0"/>
          <w:numId w:val="0"/>
        </w:numPr>
        <w:spacing w:before="0" w:after="0" w:line="240" w:lineRule="auto"/>
        <w:ind w:left="1440" w:right="1440"/>
      </w:pPr>
      <w:r w:rsidRPr="00CA2932">
        <w:t xml:space="preserve">annual benefits attributable to the new repair accounting method will be reflected in the determination of revenue requirements in PECO’s next electric distribution base rate case filing. </w:t>
      </w:r>
    </w:p>
    <w:p w:rsidR="002D10C1" w:rsidRPr="00CA2932" w:rsidRDefault="002D10C1" w:rsidP="002D10C1">
      <w:pPr>
        <w:pStyle w:val="OutlineL4"/>
        <w:numPr>
          <w:ilvl w:val="0"/>
          <w:numId w:val="0"/>
        </w:numPr>
        <w:spacing w:before="0" w:after="0" w:line="240" w:lineRule="auto"/>
        <w:ind w:left="1440" w:right="1440"/>
      </w:pPr>
    </w:p>
    <w:p w:rsidR="002D10C1" w:rsidRDefault="002D10C1" w:rsidP="002D10C1">
      <w:pPr>
        <w:pStyle w:val="OutlineL2"/>
        <w:tabs>
          <w:tab w:val="clear" w:pos="720"/>
          <w:tab w:val="num" w:pos="1440"/>
        </w:tabs>
        <w:spacing w:before="0" w:after="0"/>
        <w:ind w:left="1440" w:right="1440"/>
        <w:jc w:val="left"/>
        <w:outlineLvl w:val="1"/>
      </w:pPr>
      <w:bookmarkStart w:id="5" w:name="_Toc269303562"/>
      <w:r w:rsidRPr="00F3309C">
        <w:t>Non-Residential Customer Deposits</w:t>
      </w:r>
      <w:bookmarkEnd w:id="5"/>
    </w:p>
    <w:p w:rsidR="002D10C1" w:rsidRDefault="002D10C1" w:rsidP="002D10C1">
      <w:pPr>
        <w:pStyle w:val="FirmDouble05"/>
        <w:tabs>
          <w:tab w:val="num" w:pos="1440"/>
        </w:tabs>
        <w:spacing w:line="240" w:lineRule="auto"/>
        <w:ind w:left="1440" w:right="1440" w:firstLine="0"/>
      </w:pPr>
    </w:p>
    <w:p w:rsidR="002D10C1" w:rsidRDefault="002D10C1" w:rsidP="002D10C1">
      <w:pPr>
        <w:pStyle w:val="FirmDouble05"/>
        <w:tabs>
          <w:tab w:val="num" w:pos="1440"/>
        </w:tabs>
        <w:spacing w:line="240" w:lineRule="auto"/>
        <w:ind w:left="1440" w:right="1440" w:firstLine="0"/>
      </w:pPr>
      <w:r w:rsidRPr="004E6C28">
        <w:t xml:space="preserve">PECO will modify its </w:t>
      </w:r>
      <w:r>
        <w:t>tariff</w:t>
      </w:r>
      <w:r w:rsidRPr="004E6C28">
        <w:t xml:space="preserve"> concerning the return of deposits related to non-residential customer accounts.  PECO will return the deposit on a non-residential account if the account was assessed fewer than two late payments in the previous 24 months.  In addition, the first annual review of the customer’s payment status will occur 24 months after the initial deposit date.  This change will be</w:t>
      </w:r>
      <w:r>
        <w:t>come effective</w:t>
      </w:r>
      <w:r w:rsidRPr="004E6C28">
        <w:t xml:space="preserve"> in 2011 after the appropriate tracking systems are modified to reflect the change.</w:t>
      </w:r>
    </w:p>
    <w:p w:rsidR="002D10C1" w:rsidRPr="004E6C28" w:rsidRDefault="002D10C1" w:rsidP="002D10C1">
      <w:pPr>
        <w:pStyle w:val="FirmDouble05"/>
        <w:tabs>
          <w:tab w:val="num" w:pos="1440"/>
        </w:tabs>
        <w:spacing w:line="240" w:lineRule="auto"/>
        <w:ind w:left="1440" w:right="1440" w:firstLine="0"/>
      </w:pPr>
    </w:p>
    <w:p w:rsidR="002D10C1" w:rsidRDefault="002D10C1" w:rsidP="002D10C1">
      <w:pPr>
        <w:pStyle w:val="OutlineL2"/>
        <w:tabs>
          <w:tab w:val="clear" w:pos="720"/>
          <w:tab w:val="num" w:pos="1440"/>
        </w:tabs>
        <w:spacing w:before="0" w:after="0"/>
        <w:ind w:left="1440" w:right="1440"/>
        <w:jc w:val="left"/>
        <w:outlineLvl w:val="1"/>
      </w:pPr>
      <w:bookmarkStart w:id="6" w:name="_Toc269303563"/>
      <w:r>
        <w:t>Rate Case Expense</w:t>
      </w:r>
      <w:bookmarkEnd w:id="6"/>
    </w:p>
    <w:p w:rsidR="002D10C1" w:rsidRDefault="002D10C1" w:rsidP="002D10C1">
      <w:pPr>
        <w:pStyle w:val="FirmDouble05"/>
        <w:tabs>
          <w:tab w:val="num" w:pos="1440"/>
        </w:tabs>
        <w:spacing w:line="240" w:lineRule="auto"/>
        <w:ind w:left="1440" w:right="1440" w:firstLine="0"/>
      </w:pPr>
    </w:p>
    <w:p w:rsidR="002D10C1" w:rsidRDefault="002D10C1" w:rsidP="002D10C1">
      <w:pPr>
        <w:pStyle w:val="FirmDouble05"/>
        <w:tabs>
          <w:tab w:val="num" w:pos="1440"/>
        </w:tabs>
        <w:spacing w:line="240" w:lineRule="auto"/>
        <w:ind w:left="1440" w:right="1440" w:firstLine="0"/>
      </w:pPr>
      <w:r w:rsidRPr="00B65FCE">
        <w:t>Joint Petitio</w:t>
      </w:r>
      <w:r>
        <w:t xml:space="preserve">ners agree that the rate revenues authorized by this Settlement include </w:t>
      </w:r>
      <w:r w:rsidRPr="00B65FCE">
        <w:t xml:space="preserve">a provision for rate case expense that, </w:t>
      </w:r>
      <w:r>
        <w:t xml:space="preserve">solely </w:t>
      </w:r>
      <w:r w:rsidRPr="00B65FCE">
        <w:t>for accounting purposes, is based on an expense normalization period of no less than two years from the effective date of th</w:t>
      </w:r>
      <w:r>
        <w:t>e r</w:t>
      </w:r>
      <w:r w:rsidRPr="00B65FCE">
        <w:t>ates</w:t>
      </w:r>
      <w:r>
        <w:t xml:space="preserve"> approved in this proceeding</w:t>
      </w:r>
      <w:r w:rsidRPr="00B65FCE">
        <w:t>.</w:t>
      </w:r>
    </w:p>
    <w:p w:rsidR="002D10C1" w:rsidRDefault="002D10C1" w:rsidP="002D10C1">
      <w:pPr>
        <w:pStyle w:val="OutlineL2"/>
        <w:numPr>
          <w:ilvl w:val="0"/>
          <w:numId w:val="0"/>
        </w:numPr>
        <w:spacing w:before="0" w:after="0"/>
        <w:ind w:left="1440" w:right="1440"/>
      </w:pPr>
      <w:bookmarkStart w:id="7" w:name="_Toc269303564"/>
    </w:p>
    <w:p w:rsidR="002D10C1" w:rsidRDefault="002D10C1" w:rsidP="002D10C1">
      <w:pPr>
        <w:pStyle w:val="OutlineL2"/>
        <w:tabs>
          <w:tab w:val="clear" w:pos="720"/>
          <w:tab w:val="num" w:pos="1440"/>
        </w:tabs>
        <w:spacing w:before="0" w:after="0"/>
        <w:ind w:left="1440" w:right="1440"/>
        <w:jc w:val="left"/>
        <w:outlineLvl w:val="1"/>
      </w:pPr>
      <w:r>
        <w:t>Depreciation Rates</w:t>
      </w:r>
      <w:bookmarkEnd w:id="7"/>
    </w:p>
    <w:p w:rsidR="002D10C1" w:rsidRDefault="002D10C1" w:rsidP="002D10C1">
      <w:pPr>
        <w:pStyle w:val="p6"/>
        <w:tabs>
          <w:tab w:val="clear" w:pos="1513"/>
          <w:tab w:val="clear" w:pos="2239"/>
          <w:tab w:val="left" w:pos="720"/>
          <w:tab w:val="num" w:pos="1440"/>
        </w:tabs>
        <w:ind w:left="1440" w:right="1440" w:firstLine="0"/>
      </w:pPr>
    </w:p>
    <w:p w:rsidR="002D10C1" w:rsidRDefault="002D10C1" w:rsidP="002D10C1">
      <w:pPr>
        <w:pStyle w:val="p6"/>
        <w:tabs>
          <w:tab w:val="clear" w:pos="1513"/>
          <w:tab w:val="clear" w:pos="2239"/>
          <w:tab w:val="left" w:pos="720"/>
          <w:tab w:val="num" w:pos="1440"/>
        </w:tabs>
        <w:ind w:left="1440" w:right="1440" w:firstLine="0"/>
      </w:pPr>
      <w:r w:rsidRPr="00382C28">
        <w:t>The Joint Petitioners acknowledge and agree that the depreciation rates proposed by PECO in its March 31, 20</w:t>
      </w:r>
      <w:r>
        <w:t>10</w:t>
      </w:r>
      <w:r w:rsidRPr="00382C28">
        <w:t xml:space="preserve"> filing and as set forth in </w:t>
      </w:r>
      <w:r w:rsidRPr="00C1324B">
        <w:t xml:space="preserve">PECO Exhibit </w:t>
      </w:r>
      <w:r>
        <w:t>JA-1</w:t>
      </w:r>
      <w:r w:rsidRPr="00382C28">
        <w:t xml:space="preserve"> were not challenged in this case and that the Company will use such depreciation rates to calculate the depreciation expense it records on its regulated books of account.</w:t>
      </w:r>
    </w:p>
    <w:p w:rsidR="002D10C1" w:rsidRDefault="002D10C1" w:rsidP="002D10C1">
      <w:pPr>
        <w:pStyle w:val="p6"/>
        <w:tabs>
          <w:tab w:val="clear" w:pos="1513"/>
          <w:tab w:val="clear" w:pos="2239"/>
          <w:tab w:val="left" w:pos="720"/>
        </w:tabs>
        <w:spacing w:line="360" w:lineRule="auto"/>
        <w:ind w:firstLine="0"/>
      </w:pPr>
    </w:p>
    <w:p w:rsidR="00682D4C" w:rsidRDefault="002D10C1" w:rsidP="002D10C1">
      <w:pPr>
        <w:pStyle w:val="p6"/>
        <w:tabs>
          <w:tab w:val="clear" w:pos="1513"/>
          <w:tab w:val="clear" w:pos="2239"/>
          <w:tab w:val="left" w:pos="720"/>
        </w:tabs>
        <w:spacing w:line="360" w:lineRule="auto"/>
        <w:ind w:firstLine="0"/>
      </w:pPr>
      <w:r>
        <w:tab/>
      </w:r>
      <w:r>
        <w:tab/>
        <w:t xml:space="preserve">In addition, the partial settlement petition contains the standard provisions in Section IV that the partial settlement agreement is made without prejudice to each party’s litigation position, that it is conditioned upon the Commission’s approval of the agreement without modification, that the parties agree to waive the filing of exceptions and reply exceptions if it is recommended that the Commission adopt the partial settlement without modification, that if the Commission fails to grant approval of the partial settlement petition or modifies any material term or condition of the partial settlement, any party may elect to withdraw, in whole or in part, from the partial settlement upon written notice to the Commission and the other parties </w:t>
      </w:r>
    </w:p>
    <w:p w:rsidR="00682D4C" w:rsidRDefault="00682D4C">
      <w:pPr>
        <w:autoSpaceDE/>
        <w:autoSpaceDN/>
        <w:rPr>
          <w:rFonts w:ascii="Times New Roman" w:hAnsi="Times New Roman" w:cs="Times New Roman"/>
        </w:rPr>
      </w:pPr>
      <w:r>
        <w:br w:type="page"/>
      </w:r>
    </w:p>
    <w:p w:rsidR="002D10C1" w:rsidRDefault="002D10C1" w:rsidP="002D10C1">
      <w:pPr>
        <w:pStyle w:val="p6"/>
        <w:tabs>
          <w:tab w:val="clear" w:pos="1513"/>
          <w:tab w:val="clear" w:pos="2239"/>
          <w:tab w:val="left" w:pos="720"/>
        </w:tabs>
        <w:spacing w:line="360" w:lineRule="auto"/>
        <w:ind w:firstLine="0"/>
      </w:pPr>
      <w:r>
        <w:lastRenderedPageBreak/>
        <w:t>within five business days of the entry of the Commission Order, and in that case, the partial settlement will be of no force and effect and each party reserves its right to fully litigate the case.</w:t>
      </w:r>
    </w:p>
    <w:p w:rsidR="002D10C1" w:rsidRDefault="002D10C1" w:rsidP="002D10C1">
      <w:pPr>
        <w:pStyle w:val="p6"/>
        <w:tabs>
          <w:tab w:val="clear" w:pos="1513"/>
          <w:tab w:val="clear" w:pos="2239"/>
        </w:tabs>
        <w:spacing w:line="360" w:lineRule="auto"/>
        <w:ind w:firstLine="0"/>
        <w:jc w:val="center"/>
        <w:rPr>
          <w:b/>
        </w:rPr>
      </w:pPr>
    </w:p>
    <w:p w:rsidR="002D10C1" w:rsidRPr="004861C0" w:rsidRDefault="002D10C1" w:rsidP="002D10C1">
      <w:pPr>
        <w:pStyle w:val="p6"/>
        <w:tabs>
          <w:tab w:val="clear" w:pos="1513"/>
          <w:tab w:val="clear" w:pos="2239"/>
        </w:tabs>
        <w:spacing w:line="360" w:lineRule="auto"/>
        <w:ind w:firstLine="0"/>
        <w:jc w:val="center"/>
        <w:rPr>
          <w:b/>
          <w:u w:val="single"/>
        </w:rPr>
      </w:pPr>
      <w:r w:rsidRPr="00DE257C">
        <w:rPr>
          <w:b/>
        </w:rPr>
        <w:t>III.</w:t>
      </w:r>
      <w:r w:rsidR="00B625C1">
        <w:rPr>
          <w:b/>
        </w:rPr>
        <w:tab/>
      </w:r>
      <w:r w:rsidRPr="004861C0">
        <w:rPr>
          <w:b/>
          <w:u w:val="single"/>
        </w:rPr>
        <w:t>DISCUSSION</w:t>
      </w:r>
    </w:p>
    <w:p w:rsidR="002D10C1" w:rsidRDefault="002D10C1" w:rsidP="002D10C1">
      <w:pPr>
        <w:pStyle w:val="p6"/>
        <w:tabs>
          <w:tab w:val="clear" w:pos="1513"/>
          <w:tab w:val="clear" w:pos="2239"/>
          <w:tab w:val="left" w:pos="720"/>
        </w:tabs>
        <w:spacing w:line="360" w:lineRule="auto"/>
        <w:ind w:firstLine="0"/>
      </w:pPr>
    </w:p>
    <w:p w:rsidR="002D10C1" w:rsidRPr="00183CFC" w:rsidRDefault="002D10C1" w:rsidP="002D10C1">
      <w:pPr>
        <w:spacing w:line="360" w:lineRule="auto"/>
        <w:rPr>
          <w:rFonts w:ascii="Times New Roman" w:hAnsi="Times New Roman" w:cs="Times New Roman"/>
        </w:rPr>
      </w:pPr>
      <w:r w:rsidRPr="00183CFC">
        <w:rPr>
          <w:rFonts w:ascii="Times New Roman" w:hAnsi="Times New Roman" w:cs="Times New Roman"/>
        </w:rPr>
        <w:t>A.</w:t>
      </w:r>
      <w:r w:rsidRPr="00183CFC">
        <w:rPr>
          <w:rFonts w:ascii="Times New Roman" w:hAnsi="Times New Roman" w:cs="Times New Roman"/>
          <w:b/>
        </w:rPr>
        <w:tab/>
      </w:r>
      <w:r w:rsidRPr="00183CFC">
        <w:rPr>
          <w:rFonts w:ascii="Times New Roman" w:hAnsi="Times New Roman" w:cs="Times New Roman"/>
          <w:u w:val="single"/>
        </w:rPr>
        <w:t>Applicable Legal Principles</w:t>
      </w:r>
    </w:p>
    <w:p w:rsidR="002D10C1" w:rsidRPr="00183CFC" w:rsidRDefault="002D10C1" w:rsidP="002D10C1">
      <w:pPr>
        <w:spacing w:line="360" w:lineRule="auto"/>
        <w:rPr>
          <w:rFonts w:ascii="Times New Roman" w:hAnsi="Times New Roman" w:cs="Times New Roman"/>
        </w:rPr>
      </w:pPr>
    </w:p>
    <w:p w:rsidR="002D10C1" w:rsidRPr="00C354D2" w:rsidRDefault="002D10C1" w:rsidP="002D10C1">
      <w:pPr>
        <w:spacing w:line="360" w:lineRule="auto"/>
        <w:rPr>
          <w:rFonts w:ascii="Times New Roman" w:hAnsi="Times New Roman" w:cs="Times New Roman"/>
        </w:rPr>
      </w:pPr>
      <w:r w:rsidRPr="00183CFC">
        <w:rPr>
          <w:rFonts w:ascii="Times New Roman" w:hAnsi="Times New Roman" w:cs="Times New Roman"/>
        </w:rPr>
        <w:tab/>
      </w:r>
      <w:r w:rsidRPr="00183CFC">
        <w:rPr>
          <w:rFonts w:ascii="Times New Roman" w:hAnsi="Times New Roman" w:cs="Times New Roman"/>
        </w:rPr>
        <w:tab/>
        <w:t>The purpose of this investigation is to establish rates for PECO’s gas distribution customers which are just and reasonable pursuant to Section 1301 of the Public Utility Code, 66 Pa</w:t>
      </w:r>
      <w:r w:rsidRPr="00C354D2">
        <w:rPr>
          <w:rFonts w:ascii="Times New Roman" w:hAnsi="Times New Roman" w:cs="Times New Roman"/>
        </w:rPr>
        <w:t>.C.S.</w:t>
      </w:r>
      <w:r>
        <w:rPr>
          <w:rFonts w:ascii="Times New Roman" w:hAnsi="Times New Roman" w:cs="Times New Roman"/>
        </w:rPr>
        <w:t>A.</w:t>
      </w:r>
      <w:r w:rsidRPr="00C354D2">
        <w:rPr>
          <w:rFonts w:ascii="Times New Roman" w:hAnsi="Times New Roman" w:cs="Times New Roman"/>
        </w:rPr>
        <w:t xml:space="preserve"> § 1301.  </w:t>
      </w:r>
    </w:p>
    <w:p w:rsidR="002D10C1" w:rsidRPr="00C354D2" w:rsidRDefault="002D10C1" w:rsidP="002D10C1">
      <w:pPr>
        <w:spacing w:line="360" w:lineRule="auto"/>
        <w:rPr>
          <w:rFonts w:ascii="Times New Roman" w:hAnsi="Times New Roman" w:cs="Times New Roman"/>
        </w:rPr>
      </w:pPr>
    </w:p>
    <w:p w:rsidR="002D10C1" w:rsidRDefault="002D10C1" w:rsidP="002D10C1">
      <w:pPr>
        <w:widowControl w:val="0"/>
        <w:spacing w:line="360" w:lineRule="auto"/>
        <w:ind w:firstLine="1440"/>
        <w:rPr>
          <w:rFonts w:ascii="Times New Roman" w:hAnsi="Times New Roman" w:cs="Times New Roman"/>
        </w:rPr>
      </w:pPr>
      <w:r w:rsidRPr="00C354D2">
        <w:rPr>
          <w:rFonts w:ascii="Times New Roman" w:hAnsi="Times New Roman" w:cs="Times New Roman"/>
        </w:rPr>
        <w:t>The burden of proof to establish the justness and reasonableness of every element of the utility’s rate increase rests solely upon the public utility.  66 Pa.C.S.</w:t>
      </w:r>
      <w:r>
        <w:rPr>
          <w:rFonts w:ascii="Times New Roman" w:hAnsi="Times New Roman" w:cs="Times New Roman"/>
        </w:rPr>
        <w:t>A</w:t>
      </w:r>
      <w:r w:rsidRPr="00C354D2">
        <w:rPr>
          <w:rFonts w:ascii="Times New Roman" w:hAnsi="Times New Roman" w:cs="Times New Roman"/>
        </w:rPr>
        <w:t xml:space="preserve"> § 315(a).  “It is well-established that the evidence adduced by a utility to meet this burden must be substantial.”  </w:t>
      </w:r>
      <w:r w:rsidRPr="00C354D2">
        <w:rPr>
          <w:rFonts w:ascii="Times New Roman" w:hAnsi="Times New Roman" w:cs="Times New Roman"/>
          <w:i/>
        </w:rPr>
        <w:t>Lower Frederick Twp. v. Pennsylvania Pub. Util. Comm’n</w:t>
      </w:r>
      <w:r w:rsidRPr="00C354D2">
        <w:rPr>
          <w:rFonts w:ascii="Times New Roman" w:hAnsi="Times New Roman" w:cs="Times New Roman"/>
        </w:rPr>
        <w:t xml:space="preserve">, 409 A.2d 505, 507 (Pa.Cmwlth. 1980).  </w:t>
      </w:r>
    </w:p>
    <w:p w:rsidR="002D10C1" w:rsidRPr="00183CFC" w:rsidRDefault="002D10C1" w:rsidP="002D10C1">
      <w:pPr>
        <w:widowControl w:val="0"/>
        <w:spacing w:line="360" w:lineRule="auto"/>
        <w:ind w:firstLine="1440"/>
        <w:rPr>
          <w:rFonts w:ascii="Times New Roman" w:hAnsi="Times New Roman" w:cs="Times New Roman"/>
        </w:rPr>
      </w:pPr>
    </w:p>
    <w:p w:rsidR="002D10C1" w:rsidRPr="00183CFC" w:rsidRDefault="002D10C1" w:rsidP="002D10C1">
      <w:pPr>
        <w:spacing w:line="360" w:lineRule="auto"/>
        <w:rPr>
          <w:rFonts w:ascii="Times New Roman" w:hAnsi="Times New Roman" w:cs="Times New Roman"/>
        </w:rPr>
      </w:pPr>
      <w:r w:rsidRPr="00183CFC">
        <w:rPr>
          <w:rFonts w:ascii="Times New Roman" w:hAnsi="Times New Roman" w:cs="Times New Roman"/>
        </w:rPr>
        <w:tab/>
      </w:r>
      <w:r w:rsidRPr="00183CFC">
        <w:rPr>
          <w:rFonts w:ascii="Times New Roman" w:hAnsi="Times New Roman" w:cs="Times New Roman"/>
        </w:rPr>
        <w:tab/>
        <w:t xml:space="preserve">A public utility seeking a general rate increase is entitled to an opportunity to earn a fair rate of return on the value of the property dedicated to public service.  </w:t>
      </w:r>
      <w:r w:rsidRPr="00183CFC">
        <w:rPr>
          <w:rFonts w:ascii="Times New Roman" w:hAnsi="Times New Roman" w:cs="Times New Roman"/>
          <w:i/>
        </w:rPr>
        <w:t xml:space="preserve">Pennsylvania Gas </w:t>
      </w:r>
      <w:r>
        <w:rPr>
          <w:rFonts w:ascii="Times New Roman" w:hAnsi="Times New Roman" w:cs="Times New Roman"/>
          <w:i/>
        </w:rPr>
        <w:t>&amp;</w:t>
      </w:r>
      <w:r w:rsidRPr="00183CFC">
        <w:rPr>
          <w:rFonts w:ascii="Times New Roman" w:hAnsi="Times New Roman" w:cs="Times New Roman"/>
          <w:i/>
        </w:rPr>
        <w:t xml:space="preserve"> Water Co. v. Pennsylvania Pub. Util. Comm’n</w:t>
      </w:r>
      <w:r w:rsidRPr="00183CFC">
        <w:rPr>
          <w:rFonts w:ascii="Times New Roman" w:hAnsi="Times New Roman" w:cs="Times New Roman"/>
        </w:rPr>
        <w:t xml:space="preserve">, 341 A.2d 239 (Pa. Cmwlth. 1975).  In determining what constitutes a fair rate of return, the Commission is guided by the criteria set forth in </w:t>
      </w:r>
      <w:r w:rsidRPr="00183CFC">
        <w:rPr>
          <w:rFonts w:ascii="Times New Roman" w:hAnsi="Times New Roman" w:cs="Times New Roman"/>
          <w:i/>
        </w:rPr>
        <w:t>Bluefield Water Works and Improvement Co. v. Public Service Comm</w:t>
      </w:r>
      <w:r>
        <w:rPr>
          <w:rFonts w:ascii="Times New Roman" w:hAnsi="Times New Roman" w:cs="Times New Roman"/>
          <w:i/>
        </w:rPr>
        <w:t>issio</w:t>
      </w:r>
      <w:r w:rsidRPr="00183CFC">
        <w:rPr>
          <w:rFonts w:ascii="Times New Roman" w:hAnsi="Times New Roman" w:cs="Times New Roman"/>
          <w:i/>
        </w:rPr>
        <w:t>n of West Virginia,</w:t>
      </w:r>
      <w:r w:rsidRPr="00183CFC">
        <w:rPr>
          <w:rFonts w:ascii="Times New Roman" w:hAnsi="Times New Roman" w:cs="Times New Roman"/>
        </w:rPr>
        <w:t xml:space="preserve"> 262 U.S. 679 (1923) and </w:t>
      </w:r>
      <w:r>
        <w:rPr>
          <w:rFonts w:ascii="Times New Roman" w:hAnsi="Times New Roman" w:cs="Times New Roman"/>
          <w:i/>
        </w:rPr>
        <w:t>Federal Power Commission</w:t>
      </w:r>
      <w:r w:rsidRPr="00183CFC">
        <w:rPr>
          <w:rFonts w:ascii="Times New Roman" w:hAnsi="Times New Roman" w:cs="Times New Roman"/>
          <w:i/>
        </w:rPr>
        <w:t xml:space="preserve"> v. Hope Natural Gas Co</w:t>
      </w:r>
      <w:r w:rsidRPr="00183CFC">
        <w:rPr>
          <w:rFonts w:ascii="Times New Roman" w:hAnsi="Times New Roman" w:cs="Times New Roman"/>
        </w:rPr>
        <w:t xml:space="preserve">., 320 U.S. 591 (1944).  In </w:t>
      </w:r>
      <w:r w:rsidRPr="00183CFC">
        <w:rPr>
          <w:rFonts w:ascii="Times New Roman" w:hAnsi="Times New Roman" w:cs="Times New Roman"/>
          <w:i/>
        </w:rPr>
        <w:t>Bluefield</w:t>
      </w:r>
      <w:r>
        <w:rPr>
          <w:rFonts w:ascii="Times New Roman" w:hAnsi="Times New Roman" w:cs="Times New Roman"/>
        </w:rPr>
        <w:t>,</w:t>
      </w:r>
      <w:r w:rsidRPr="00183CFC">
        <w:rPr>
          <w:rFonts w:ascii="Times New Roman" w:hAnsi="Times New Roman" w:cs="Times New Roman"/>
        </w:rPr>
        <w:t xml:space="preserve"> </w:t>
      </w:r>
      <w:r w:rsidRPr="00BB3554">
        <w:t>262 U.S. 692-93</w:t>
      </w:r>
      <w:r>
        <w:t xml:space="preserve">, the </w:t>
      </w:r>
      <w:r w:rsidRPr="00183CFC">
        <w:rPr>
          <w:rFonts w:ascii="Times New Roman" w:hAnsi="Times New Roman" w:cs="Times New Roman"/>
        </w:rPr>
        <w:t>United States Supreme Court stated:</w:t>
      </w:r>
    </w:p>
    <w:p w:rsidR="002D10C1" w:rsidRPr="00183CFC" w:rsidRDefault="002D10C1" w:rsidP="002D10C1">
      <w:pPr>
        <w:spacing w:line="360" w:lineRule="auto"/>
        <w:rPr>
          <w:rFonts w:ascii="Times New Roman" w:hAnsi="Times New Roman" w:cs="Times New Roman"/>
        </w:rPr>
      </w:pPr>
    </w:p>
    <w:p w:rsidR="00682D4C" w:rsidRDefault="002D10C1" w:rsidP="002D10C1">
      <w:pPr>
        <w:ind w:left="1440" w:right="1440"/>
        <w:rPr>
          <w:rFonts w:ascii="Times New Roman" w:hAnsi="Times New Roman" w:cs="Times New Roman"/>
        </w:rPr>
      </w:pPr>
      <w:r w:rsidRPr="00183CFC">
        <w:rPr>
          <w:rFonts w:ascii="Times New Roman" w:hAnsi="Times New Roman" w:cs="Times New Roman"/>
        </w:rPr>
        <w:t xml:space="preserve">A public utility is entitled to such rates as will permit it to earn a return on the value of the property which it employs for the convenience of the public equal to that generally being made at the same time and in the same general part of the country on investments in other business undertakings which are attended by corresponding risks and uncertainties; but it has no constitutional right to profits such as are realized or anticipated in highly profitable enterprises or speculative ventures.  The return should be reasonably sufficient to assure confidence in the financial </w:t>
      </w:r>
    </w:p>
    <w:p w:rsidR="002D10C1" w:rsidRDefault="002D10C1" w:rsidP="002D10C1">
      <w:pPr>
        <w:ind w:left="1440" w:right="1440"/>
        <w:rPr>
          <w:rFonts w:ascii="Times New Roman" w:hAnsi="Times New Roman" w:cs="Times New Roman"/>
        </w:rPr>
      </w:pPr>
      <w:r w:rsidRPr="00183CFC">
        <w:rPr>
          <w:rFonts w:ascii="Times New Roman" w:hAnsi="Times New Roman" w:cs="Times New Roman"/>
        </w:rPr>
        <w:lastRenderedPageBreak/>
        <w:t xml:space="preserve">soundness of the utility and should be adequate, under efficient and economical management, to maintain and support its credit and enable it to raise the money necessary for the proper discharge of </w:t>
      </w:r>
    </w:p>
    <w:p w:rsidR="002D10C1" w:rsidRPr="00183CFC" w:rsidRDefault="002D10C1" w:rsidP="002D10C1">
      <w:pPr>
        <w:ind w:left="1440" w:right="1440"/>
        <w:rPr>
          <w:rFonts w:ascii="Times New Roman" w:hAnsi="Times New Roman" w:cs="Times New Roman"/>
        </w:rPr>
      </w:pPr>
      <w:r w:rsidRPr="00183CFC">
        <w:rPr>
          <w:rFonts w:ascii="Times New Roman" w:hAnsi="Times New Roman" w:cs="Times New Roman"/>
        </w:rPr>
        <w:t>its public duties.  A rate of return may be too high or too low by changes affecting opportunities for investment, the money market and business conditions generally.</w:t>
      </w:r>
    </w:p>
    <w:p w:rsidR="002D10C1" w:rsidRDefault="002D10C1" w:rsidP="002D10C1">
      <w:pPr>
        <w:suppressAutoHyphens/>
        <w:spacing w:line="360" w:lineRule="auto"/>
        <w:rPr>
          <w:rFonts w:ascii="Times New Roman" w:hAnsi="Times New Roman" w:cs="Times New Roman"/>
          <w:spacing w:val="-3"/>
        </w:rPr>
      </w:pPr>
    </w:p>
    <w:p w:rsidR="002D10C1" w:rsidRPr="00183CFC" w:rsidRDefault="002D10C1" w:rsidP="002D10C1">
      <w:pPr>
        <w:suppressAutoHyphens/>
        <w:spacing w:line="360" w:lineRule="auto"/>
        <w:rPr>
          <w:rFonts w:ascii="Times New Roman" w:hAnsi="Times New Roman" w:cs="Times New Roman"/>
          <w:spacing w:val="-3"/>
        </w:rPr>
      </w:pPr>
      <w:r w:rsidRPr="00183CFC">
        <w:rPr>
          <w:rFonts w:ascii="Times New Roman" w:hAnsi="Times New Roman" w:cs="Times New Roman"/>
          <w:spacing w:val="-3"/>
        </w:rPr>
        <w:tab/>
      </w:r>
      <w:r w:rsidRPr="00183CFC">
        <w:rPr>
          <w:rFonts w:ascii="Times New Roman" w:hAnsi="Times New Roman" w:cs="Times New Roman"/>
          <w:spacing w:val="-3"/>
        </w:rPr>
        <w:tab/>
        <w:t xml:space="preserve">In analyzing a proposed general rate increase, the Commission determines a rate of return to be applied to a rate base measured by the aggregate value of all the utility’s property used and useful in the public service.  In determining a proper rate of return, the Commission calculates the utility’s capital structure and the cost of the different types of capital during the period in issue.  Because of its administrative expertise, the Commission has wide discretion in determining the cost of capital.  </w:t>
      </w:r>
      <w:r w:rsidRPr="00183CFC">
        <w:rPr>
          <w:rFonts w:ascii="Times New Roman" w:hAnsi="Times New Roman" w:cs="Times New Roman"/>
          <w:i/>
          <w:spacing w:val="-3"/>
        </w:rPr>
        <w:t>Equitable Gas Co. v. Pennsylvania Pub. Util. Comm’n</w:t>
      </w:r>
      <w:r w:rsidRPr="00183CFC">
        <w:rPr>
          <w:rFonts w:ascii="Times New Roman" w:hAnsi="Times New Roman" w:cs="Times New Roman"/>
          <w:spacing w:val="-3"/>
        </w:rPr>
        <w:t>, 405 A.2d 1055 (Pa. Cmwlth. 1979).</w:t>
      </w:r>
    </w:p>
    <w:p w:rsidR="002D10C1" w:rsidRPr="00183CFC" w:rsidRDefault="002D10C1" w:rsidP="002D10C1">
      <w:pPr>
        <w:suppressAutoHyphens/>
        <w:spacing w:line="360" w:lineRule="auto"/>
        <w:rPr>
          <w:rFonts w:ascii="Times New Roman" w:hAnsi="Times New Roman" w:cs="Times New Roman"/>
          <w:spacing w:val="-3"/>
        </w:rPr>
      </w:pPr>
    </w:p>
    <w:p w:rsidR="002D10C1" w:rsidRPr="00183CFC" w:rsidRDefault="002D10C1" w:rsidP="002D10C1">
      <w:pPr>
        <w:pStyle w:val="TxBrp3"/>
        <w:widowControl/>
        <w:tabs>
          <w:tab w:val="clear" w:pos="1474"/>
        </w:tabs>
        <w:spacing w:line="360" w:lineRule="auto"/>
        <w:ind w:firstLine="1440"/>
      </w:pPr>
      <w:r w:rsidRPr="00183CFC">
        <w:t>Commission policy promotes settlements</w:t>
      </w:r>
      <w:r>
        <w:t xml:space="preserve">.  </w:t>
      </w:r>
      <w:r w:rsidRPr="00183CFC">
        <w:t>52 Pa. Code §</w:t>
      </w:r>
      <w:r>
        <w:t xml:space="preserve"> </w:t>
      </w:r>
      <w:r w:rsidRPr="00183CFC">
        <w:t>5.231.  Settlements lessen the time and expense the parties must expend litigating a case and at the same time conserve administrative hearing resources.  The Commission has indicated that settlement results are often preferable to those achieved at the conclusion of a fully litigated proceeding.  52 Pa. Code §</w:t>
      </w:r>
      <w:r>
        <w:t xml:space="preserve"> </w:t>
      </w:r>
      <w:r w:rsidRPr="00183CFC">
        <w:t>69.401.  Rate cases are expensive to litigate and the cost of such litigation at a reasonable level is an operating expense recovered in the rates approved by the Commission.  This means that a settlement, which allows the parties to avoid the substantial costs of preparing and serving testimony and the cross-examination of witnesses in lengthy hearings, the preparation and service of briefs, reply briefs, exceptions and reply exceptions, together with the briefs and reply briefs necessitated by any appeal of the Commission’s decision, yields significant expense savings for the company’s customers.  That is one reason why settlements are encouraged by long-standing Commission policy.</w:t>
      </w:r>
    </w:p>
    <w:p w:rsidR="002D10C1" w:rsidRPr="00183CFC" w:rsidRDefault="002D10C1" w:rsidP="002D10C1">
      <w:pPr>
        <w:spacing w:line="360" w:lineRule="auto"/>
        <w:ind w:firstLine="1440"/>
        <w:rPr>
          <w:rFonts w:ascii="Times New Roman" w:hAnsi="Times New Roman" w:cs="Times New Roman"/>
        </w:rPr>
      </w:pPr>
    </w:p>
    <w:p w:rsidR="002D10C1" w:rsidRPr="00A730CE" w:rsidRDefault="002D10C1" w:rsidP="002D10C1">
      <w:pPr>
        <w:spacing w:line="360" w:lineRule="auto"/>
        <w:rPr>
          <w:rFonts w:ascii="Times New Roman" w:hAnsi="Times New Roman" w:cs="Times New Roman"/>
        </w:rPr>
      </w:pPr>
      <w:r w:rsidRPr="00183CFC">
        <w:rPr>
          <w:rFonts w:ascii="Times New Roman" w:hAnsi="Times New Roman" w:cs="Times New Roman"/>
        </w:rPr>
        <w:tab/>
      </w:r>
      <w:r w:rsidRPr="00183CFC">
        <w:rPr>
          <w:rFonts w:ascii="Times New Roman" w:hAnsi="Times New Roman" w:cs="Times New Roman"/>
        </w:rPr>
        <w:tab/>
        <w:t xml:space="preserve">In order to accept a settlement, the Commission must determine that the proposed terms and conditions are in the public interest.  </w:t>
      </w:r>
      <w:r w:rsidRPr="00183CFC">
        <w:rPr>
          <w:rFonts w:ascii="Times New Roman" w:hAnsi="Times New Roman" w:cs="Times New Roman"/>
          <w:i/>
        </w:rPr>
        <w:t>P</w:t>
      </w:r>
      <w:r>
        <w:rPr>
          <w:rFonts w:ascii="Times New Roman" w:hAnsi="Times New Roman" w:cs="Times New Roman"/>
          <w:i/>
        </w:rPr>
        <w:t>ennsylvania</w:t>
      </w:r>
      <w:r w:rsidRPr="00183CFC">
        <w:rPr>
          <w:rFonts w:ascii="Times New Roman" w:hAnsi="Times New Roman" w:cs="Times New Roman"/>
          <w:i/>
        </w:rPr>
        <w:t xml:space="preserve"> Pub. Util. Comm’n v. C S Water </w:t>
      </w:r>
      <w:r>
        <w:rPr>
          <w:rFonts w:ascii="Times New Roman" w:hAnsi="Times New Roman" w:cs="Times New Roman"/>
          <w:i/>
        </w:rPr>
        <w:t>&amp;</w:t>
      </w:r>
      <w:r w:rsidRPr="00183CFC">
        <w:rPr>
          <w:rFonts w:ascii="Times New Roman" w:hAnsi="Times New Roman" w:cs="Times New Roman"/>
          <w:i/>
        </w:rPr>
        <w:t xml:space="preserve"> Sewer Assoc.</w:t>
      </w:r>
      <w:r w:rsidRPr="00183CFC">
        <w:rPr>
          <w:rFonts w:ascii="Times New Roman" w:hAnsi="Times New Roman" w:cs="Times New Roman"/>
        </w:rPr>
        <w:t>, 74 Pa.PUC</w:t>
      </w:r>
      <w:r>
        <w:rPr>
          <w:rFonts w:ascii="Times New Roman" w:hAnsi="Times New Roman" w:cs="Times New Roman"/>
        </w:rPr>
        <w:t xml:space="preserve"> 767 (1991); </w:t>
      </w:r>
      <w:r>
        <w:rPr>
          <w:rFonts w:ascii="Times New Roman" w:hAnsi="Times New Roman" w:cs="Times New Roman"/>
          <w:i/>
        </w:rPr>
        <w:t>Pennsylvania  Pub. Util. Comm’n v. Philadelphia Electric Co.</w:t>
      </w:r>
      <w:r>
        <w:rPr>
          <w:rFonts w:ascii="Times New Roman" w:hAnsi="Times New Roman" w:cs="Times New Roman"/>
        </w:rPr>
        <w:t>, 60 Pa.PUC 1 (1985).</w:t>
      </w:r>
    </w:p>
    <w:p w:rsidR="002D10C1" w:rsidRPr="00183CFC" w:rsidRDefault="002D10C1" w:rsidP="002D10C1">
      <w:pPr>
        <w:spacing w:line="360" w:lineRule="auto"/>
        <w:rPr>
          <w:rFonts w:ascii="Times New Roman" w:hAnsi="Times New Roman" w:cs="Times New Roman"/>
        </w:rPr>
      </w:pPr>
    </w:p>
    <w:p w:rsidR="002D10C1" w:rsidRDefault="002D10C1" w:rsidP="002D10C1">
      <w:pPr>
        <w:spacing w:line="360" w:lineRule="auto"/>
        <w:rPr>
          <w:rFonts w:ascii="Times New Roman" w:hAnsi="Times New Roman" w:cs="Times New Roman"/>
        </w:rPr>
      </w:pPr>
      <w:r w:rsidRPr="00183CFC">
        <w:rPr>
          <w:rFonts w:ascii="Times New Roman" w:hAnsi="Times New Roman" w:cs="Times New Roman"/>
        </w:rPr>
        <w:lastRenderedPageBreak/>
        <w:tab/>
      </w:r>
      <w:r w:rsidRPr="00183CFC">
        <w:rPr>
          <w:rFonts w:ascii="Times New Roman" w:hAnsi="Times New Roman" w:cs="Times New Roman"/>
        </w:rPr>
        <w:tab/>
        <w:t xml:space="preserve">The Joint Petition </w:t>
      </w:r>
      <w:r>
        <w:rPr>
          <w:rFonts w:ascii="Times New Roman" w:hAnsi="Times New Roman" w:cs="Times New Roman"/>
        </w:rPr>
        <w:t xml:space="preserve">for Partial Settlement </w:t>
      </w:r>
      <w:r w:rsidRPr="00183CFC">
        <w:rPr>
          <w:rFonts w:ascii="Times New Roman" w:hAnsi="Times New Roman" w:cs="Times New Roman"/>
        </w:rPr>
        <w:t xml:space="preserve">will be examined in accordance with the above principles.  </w:t>
      </w:r>
    </w:p>
    <w:p w:rsidR="002D10C1" w:rsidRDefault="002D10C1" w:rsidP="002D10C1">
      <w:pPr>
        <w:pStyle w:val="p6"/>
        <w:tabs>
          <w:tab w:val="clear" w:pos="1513"/>
          <w:tab w:val="clear" w:pos="2239"/>
          <w:tab w:val="left" w:pos="720"/>
        </w:tabs>
        <w:spacing w:line="360" w:lineRule="auto"/>
        <w:ind w:firstLine="0"/>
      </w:pPr>
    </w:p>
    <w:p w:rsidR="002D10C1" w:rsidRDefault="002D10C1" w:rsidP="002D10C1">
      <w:pPr>
        <w:pStyle w:val="p6"/>
        <w:tabs>
          <w:tab w:val="clear" w:pos="1513"/>
          <w:tab w:val="clear" w:pos="2239"/>
          <w:tab w:val="left" w:pos="720"/>
        </w:tabs>
        <w:spacing w:line="360" w:lineRule="auto"/>
        <w:ind w:firstLine="0"/>
      </w:pPr>
      <w:r w:rsidRPr="00930FFD">
        <w:t>B.</w:t>
      </w:r>
      <w:r>
        <w:tab/>
      </w:r>
      <w:r w:rsidRPr="00C542B5">
        <w:rPr>
          <w:u w:val="single"/>
        </w:rPr>
        <w:t>Revenue Requirement</w:t>
      </w:r>
    </w:p>
    <w:p w:rsidR="002D10C1" w:rsidRDefault="002D10C1" w:rsidP="002D10C1">
      <w:pPr>
        <w:pStyle w:val="p6"/>
        <w:tabs>
          <w:tab w:val="clear" w:pos="1513"/>
          <w:tab w:val="clear" w:pos="2239"/>
          <w:tab w:val="left" w:pos="720"/>
        </w:tabs>
        <w:spacing w:line="360" w:lineRule="auto"/>
        <w:ind w:firstLine="0"/>
      </w:pPr>
    </w:p>
    <w:p w:rsidR="002D10C1" w:rsidRDefault="002D10C1" w:rsidP="002D10C1">
      <w:pPr>
        <w:pStyle w:val="p6"/>
        <w:tabs>
          <w:tab w:val="clear" w:pos="1513"/>
          <w:tab w:val="clear" w:pos="2239"/>
          <w:tab w:val="left" w:pos="720"/>
        </w:tabs>
        <w:spacing w:line="360" w:lineRule="auto"/>
        <w:ind w:firstLine="0"/>
      </w:pPr>
      <w:r>
        <w:tab/>
      </w:r>
      <w:r>
        <w:tab/>
        <w:t>First, the company has agreed to accept a lower increase in annual revenues than it had originally requested.  See, Paragraph 7(A).  The proposed settlement permits PECO to establish overall distribution rates that produce additional annual operating revenue of $225 million beginning January 1, 2011, the end of the suspension period.</w:t>
      </w:r>
    </w:p>
    <w:p w:rsidR="002D10C1" w:rsidRDefault="002D10C1" w:rsidP="002D10C1">
      <w:pPr>
        <w:pStyle w:val="p6"/>
        <w:tabs>
          <w:tab w:val="clear" w:pos="1513"/>
          <w:tab w:val="clear" w:pos="2239"/>
          <w:tab w:val="left" w:pos="720"/>
        </w:tabs>
        <w:spacing w:line="360" w:lineRule="auto"/>
        <w:ind w:firstLine="0"/>
      </w:pPr>
    </w:p>
    <w:p w:rsidR="002D10C1" w:rsidRDefault="002D10C1" w:rsidP="002D10C1">
      <w:pPr>
        <w:pStyle w:val="p6"/>
        <w:tabs>
          <w:tab w:val="clear" w:pos="1513"/>
          <w:tab w:val="clear" w:pos="2239"/>
          <w:tab w:val="left" w:pos="720"/>
        </w:tabs>
        <w:spacing w:line="360" w:lineRule="auto"/>
        <w:ind w:firstLine="0"/>
      </w:pPr>
      <w:r>
        <w:tab/>
      </w:r>
      <w:r>
        <w:tab/>
        <w:t>In its filing, PECO requested an increase in distribution revenues of $289.7 million and an increase in transmission revenues of $26.7 million, or an overall increase in operating revenues of $316.4 million.  While the agreement leaves PECO’s requested transmission revenue increase unchanged, the agreed upon distribution revenue increase represents an approximate $91.4 million decrease from PECO’s originally requested $289.7 million increase (later revised to $267.3 million).  As such, PECO’s overall annual operating revenues will increase by approximately 5% in lieu of the 7% increase requested in its base rate filing.  Even if the Joint Petition is approved sooner, its terms provide that the increase will not go into effect before January 1, 2011.</w:t>
      </w:r>
    </w:p>
    <w:p w:rsidR="002D10C1" w:rsidRDefault="002D10C1" w:rsidP="002D10C1">
      <w:pPr>
        <w:pStyle w:val="p6"/>
        <w:tabs>
          <w:tab w:val="clear" w:pos="1513"/>
          <w:tab w:val="clear" w:pos="2239"/>
          <w:tab w:val="left" w:pos="720"/>
        </w:tabs>
        <w:spacing w:line="360" w:lineRule="auto"/>
        <w:ind w:firstLine="0"/>
      </w:pPr>
    </w:p>
    <w:p w:rsidR="002D10C1" w:rsidRDefault="002D10C1" w:rsidP="002D10C1">
      <w:pPr>
        <w:pStyle w:val="p6"/>
        <w:tabs>
          <w:tab w:val="clear" w:pos="1513"/>
          <w:tab w:val="clear" w:pos="2239"/>
          <w:tab w:val="left" w:pos="720"/>
        </w:tabs>
        <w:spacing w:line="360" w:lineRule="auto"/>
        <w:ind w:firstLine="0"/>
      </w:pPr>
      <w:r>
        <w:tab/>
      </w:r>
      <w:r>
        <w:tab/>
        <w:t xml:space="preserve">The parties extensively analyzed PECO’s filing and determined that the proposed operating revenue increase of $225 million represents a result that would be within the range of likely outcomes in the event of full litigation of the case.  We agree.  The agreed-upon increase is a significant reduction from the amount originally requested and provides customers with levels of savings that might not otherwise have been obtainable had this proceeding been fully litigated.  </w:t>
      </w:r>
    </w:p>
    <w:p w:rsidR="002D10C1" w:rsidRDefault="002D10C1" w:rsidP="002D10C1">
      <w:pPr>
        <w:pStyle w:val="p6"/>
        <w:tabs>
          <w:tab w:val="clear" w:pos="1513"/>
          <w:tab w:val="clear" w:pos="2239"/>
          <w:tab w:val="left" w:pos="720"/>
        </w:tabs>
        <w:spacing w:line="360" w:lineRule="auto"/>
        <w:ind w:firstLine="0"/>
      </w:pPr>
    </w:p>
    <w:p w:rsidR="002D10C1" w:rsidRDefault="002D10C1" w:rsidP="002D10C1">
      <w:pPr>
        <w:pStyle w:val="p6"/>
        <w:tabs>
          <w:tab w:val="clear" w:pos="1513"/>
          <w:tab w:val="clear" w:pos="2239"/>
          <w:tab w:val="left" w:pos="720"/>
        </w:tabs>
        <w:spacing w:line="360" w:lineRule="auto"/>
        <w:ind w:firstLine="0"/>
      </w:pPr>
      <w:r>
        <w:tab/>
      </w:r>
      <w:r>
        <w:tab/>
        <w:t>Accordingly, the amount of the proposed rate increase is in the public interest because ratepayers will continue to receive safe and reliable service at reasonable rates while allowing sufficient additional revenues to meet PECO’s operating expenses and provide a reasonable rate of return.</w:t>
      </w:r>
    </w:p>
    <w:p w:rsidR="002D10C1" w:rsidRDefault="002D10C1" w:rsidP="002D10C1">
      <w:pPr>
        <w:pStyle w:val="p6"/>
        <w:tabs>
          <w:tab w:val="clear" w:pos="1513"/>
          <w:tab w:val="clear" w:pos="2239"/>
          <w:tab w:val="left" w:pos="720"/>
        </w:tabs>
        <w:spacing w:line="360" w:lineRule="auto"/>
        <w:ind w:firstLine="0"/>
      </w:pPr>
    </w:p>
    <w:p w:rsidR="002D10C1" w:rsidRDefault="002D10C1" w:rsidP="002D10C1">
      <w:pPr>
        <w:pStyle w:val="p6"/>
        <w:tabs>
          <w:tab w:val="clear" w:pos="1513"/>
          <w:tab w:val="clear" w:pos="2239"/>
          <w:tab w:val="left" w:pos="720"/>
        </w:tabs>
        <w:spacing w:line="360" w:lineRule="auto"/>
        <w:ind w:firstLine="0"/>
      </w:pPr>
      <w:r>
        <w:br w:type="page"/>
      </w:r>
      <w:r>
        <w:lastRenderedPageBreak/>
        <w:t>C.</w:t>
      </w:r>
      <w:r>
        <w:tab/>
      </w:r>
      <w:r w:rsidRPr="00071129">
        <w:rPr>
          <w:u w:val="single"/>
        </w:rPr>
        <w:t>Revenue Allocation and Rate Design</w:t>
      </w:r>
    </w:p>
    <w:p w:rsidR="002D10C1" w:rsidRDefault="002D10C1" w:rsidP="002D10C1">
      <w:pPr>
        <w:pStyle w:val="p6"/>
        <w:tabs>
          <w:tab w:val="clear" w:pos="1513"/>
          <w:tab w:val="clear" w:pos="2239"/>
          <w:tab w:val="left" w:pos="720"/>
        </w:tabs>
        <w:spacing w:line="360" w:lineRule="auto"/>
        <w:ind w:firstLine="0"/>
      </w:pPr>
    </w:p>
    <w:p w:rsidR="002D10C1" w:rsidRDefault="002D10C1" w:rsidP="002D10C1">
      <w:pPr>
        <w:pStyle w:val="p6"/>
        <w:tabs>
          <w:tab w:val="clear" w:pos="1513"/>
          <w:tab w:val="clear" w:pos="2239"/>
          <w:tab w:val="left" w:pos="720"/>
        </w:tabs>
        <w:spacing w:line="360" w:lineRule="auto"/>
        <w:ind w:firstLine="0"/>
      </w:pPr>
      <w:r>
        <w:tab/>
      </w:r>
      <w:r>
        <w:tab/>
        <w:t>The revenue allocation and rate design terms are included in the Settlement Petition at Paragraph 7(B) and Exhibit 3.  Under the revenue allocation agreed to by the settling parties, the PECO Electric residential class will experience a total (transmission and distribution) revenue increase of approximately $133 million instead of $183 million requested by PECO in its filing.  On a distribution-only basis, the settlement provides a $114.1 million increase for the residential classes, compared to PECO’s initial request of approximately $163.2 million.  The allocation in the settlement will move classes toward cost of service while also taking gradualism into consideration.  OCA’s Statement in Support at 6-7; Exh. 3.</w:t>
      </w:r>
    </w:p>
    <w:p w:rsidR="002D10C1" w:rsidRDefault="002D10C1" w:rsidP="002D10C1">
      <w:pPr>
        <w:pStyle w:val="p6"/>
        <w:tabs>
          <w:tab w:val="clear" w:pos="1513"/>
          <w:tab w:val="clear" w:pos="2239"/>
          <w:tab w:val="left" w:pos="720"/>
        </w:tabs>
        <w:spacing w:line="360" w:lineRule="auto"/>
        <w:ind w:firstLine="0"/>
      </w:pPr>
    </w:p>
    <w:p w:rsidR="002D10C1" w:rsidRDefault="002D10C1" w:rsidP="002D10C1">
      <w:pPr>
        <w:pStyle w:val="p6"/>
        <w:tabs>
          <w:tab w:val="clear" w:pos="1513"/>
          <w:tab w:val="clear" w:pos="2239"/>
          <w:tab w:val="left" w:pos="720"/>
        </w:tabs>
        <w:spacing w:line="360" w:lineRule="auto"/>
        <w:ind w:firstLine="0"/>
      </w:pPr>
      <w:r>
        <w:tab/>
      </w:r>
      <w:r>
        <w:tab/>
        <w:t xml:space="preserve">Additionally, Rate GS (General Service) will receive a distribution increase of $60.6 million, which is approximately the midpoint between the litigated positions of OSBA ($54.525 million) and OCA ($65.412 million).  This is a significant decrease from the $87.440 million increase for Rate GS originally proposed in PECO’s base rate filing.  Moreover, the partial settlement will move Rate GS closer to cost of service.  OSBA’s Statement in Support at 9-10; Exh. 3.  </w:t>
      </w:r>
    </w:p>
    <w:p w:rsidR="002D10C1" w:rsidRDefault="002D10C1" w:rsidP="002D10C1">
      <w:pPr>
        <w:pStyle w:val="p6"/>
        <w:tabs>
          <w:tab w:val="clear" w:pos="1513"/>
          <w:tab w:val="clear" w:pos="2239"/>
          <w:tab w:val="left" w:pos="720"/>
        </w:tabs>
        <w:spacing w:line="360" w:lineRule="auto"/>
        <w:ind w:firstLine="0"/>
      </w:pPr>
    </w:p>
    <w:p w:rsidR="002D10C1" w:rsidRDefault="002D10C1" w:rsidP="002D10C1">
      <w:pPr>
        <w:pStyle w:val="p6"/>
        <w:tabs>
          <w:tab w:val="clear" w:pos="1513"/>
          <w:tab w:val="clear" w:pos="2239"/>
          <w:tab w:val="left" w:pos="720"/>
        </w:tabs>
        <w:spacing w:line="360" w:lineRule="auto"/>
        <w:ind w:firstLine="0"/>
      </w:pPr>
      <w:r>
        <w:tab/>
      </w:r>
      <w:r>
        <w:tab/>
        <w:t xml:space="preserve">With respect to the allocation of the revenue increase, the parties’ position is that the partial settlement provides a fair, reasonable and non-discriminatory distribution of the increase among the various customer classes.  We agree.  It is necessary to balance the interests of all classes of customers; the fact that the parties to the partial settlement, who represent all major customer classes, were able to reach agreement is strong evidence that the partial settlement has appropriately balanced those interests.   </w:t>
      </w:r>
    </w:p>
    <w:p w:rsidR="002D10C1" w:rsidRDefault="002D10C1" w:rsidP="002D10C1">
      <w:pPr>
        <w:pStyle w:val="p6"/>
        <w:tabs>
          <w:tab w:val="clear" w:pos="1513"/>
          <w:tab w:val="clear" w:pos="2239"/>
          <w:tab w:val="left" w:pos="720"/>
        </w:tabs>
        <w:spacing w:line="360" w:lineRule="auto"/>
        <w:ind w:firstLine="0"/>
      </w:pPr>
    </w:p>
    <w:p w:rsidR="002D10C1" w:rsidRDefault="002D10C1" w:rsidP="002D10C1">
      <w:pPr>
        <w:pStyle w:val="p6"/>
        <w:tabs>
          <w:tab w:val="clear" w:pos="1513"/>
          <w:tab w:val="clear" w:pos="2239"/>
          <w:tab w:val="left" w:pos="720"/>
        </w:tabs>
        <w:spacing w:line="360" w:lineRule="auto"/>
        <w:ind w:firstLine="0"/>
      </w:pPr>
      <w:r>
        <w:tab/>
      </w:r>
      <w:r>
        <w:tab/>
        <w:t>The Joint Petition for Partial Settlement provides settlement rates not based on any specific cost of service study.</w:t>
      </w:r>
      <w:r>
        <w:rPr>
          <w:rStyle w:val="FootnoteReference"/>
        </w:rPr>
        <w:footnoteReference w:id="4"/>
      </w:r>
      <w:r>
        <w:t xml:space="preserve">  Instead, the partial settlement reflects a compromise of various parties’ revenue allocation and rate design proposals.</w:t>
      </w:r>
    </w:p>
    <w:p w:rsidR="002D10C1" w:rsidRDefault="002D10C1" w:rsidP="002D10C1">
      <w:pPr>
        <w:pStyle w:val="p6"/>
        <w:tabs>
          <w:tab w:val="clear" w:pos="1513"/>
          <w:tab w:val="clear" w:pos="2239"/>
          <w:tab w:val="left" w:pos="720"/>
        </w:tabs>
        <w:spacing w:line="360" w:lineRule="auto"/>
        <w:ind w:firstLine="0"/>
      </w:pPr>
    </w:p>
    <w:p w:rsidR="002D10C1" w:rsidRDefault="002D10C1" w:rsidP="002D10C1">
      <w:pPr>
        <w:pStyle w:val="p6"/>
        <w:tabs>
          <w:tab w:val="clear" w:pos="1513"/>
          <w:tab w:val="clear" w:pos="2239"/>
          <w:tab w:val="left" w:pos="720"/>
        </w:tabs>
        <w:spacing w:line="360" w:lineRule="auto"/>
        <w:ind w:firstLine="0"/>
      </w:pPr>
    </w:p>
    <w:p w:rsidR="00CD6760" w:rsidRDefault="00CD6760" w:rsidP="002D10C1">
      <w:pPr>
        <w:pStyle w:val="p6"/>
        <w:tabs>
          <w:tab w:val="clear" w:pos="1513"/>
          <w:tab w:val="clear" w:pos="2239"/>
          <w:tab w:val="left" w:pos="720"/>
        </w:tabs>
        <w:spacing w:line="360" w:lineRule="auto"/>
        <w:ind w:firstLine="1440"/>
      </w:pPr>
    </w:p>
    <w:p w:rsidR="002D10C1" w:rsidRDefault="002D10C1" w:rsidP="002D10C1">
      <w:pPr>
        <w:pStyle w:val="p6"/>
        <w:tabs>
          <w:tab w:val="clear" w:pos="1513"/>
          <w:tab w:val="clear" w:pos="2239"/>
          <w:tab w:val="left" w:pos="720"/>
        </w:tabs>
        <w:spacing w:line="360" w:lineRule="auto"/>
        <w:ind w:firstLine="1440"/>
      </w:pPr>
      <w:r>
        <w:lastRenderedPageBreak/>
        <w:t>Under the terms of the partial settlement, the monthly residential customer charge (for Rates R and RH) will increase from the currently effective $5.25 to $7.25, rather than to $8.10 as proposed in PECO’s base rate filing.  This will make it easier for customers to have the ability to reduce their bills through conservation and thus will continue to provide a motive to reduce energy consumption.</w:t>
      </w:r>
    </w:p>
    <w:p w:rsidR="002D10C1" w:rsidRDefault="002D10C1" w:rsidP="002D10C1">
      <w:pPr>
        <w:pStyle w:val="p6"/>
        <w:tabs>
          <w:tab w:val="clear" w:pos="1513"/>
          <w:tab w:val="clear" w:pos="2239"/>
          <w:tab w:val="left" w:pos="720"/>
        </w:tabs>
        <w:spacing w:line="360" w:lineRule="auto"/>
        <w:ind w:firstLine="0"/>
      </w:pPr>
    </w:p>
    <w:p w:rsidR="002D10C1" w:rsidRDefault="002D10C1" w:rsidP="002D10C1">
      <w:pPr>
        <w:pStyle w:val="p6"/>
        <w:tabs>
          <w:tab w:val="clear" w:pos="1513"/>
          <w:tab w:val="clear" w:pos="2239"/>
          <w:tab w:val="left" w:pos="720"/>
        </w:tabs>
        <w:spacing w:line="360" w:lineRule="auto"/>
        <w:ind w:firstLine="720"/>
      </w:pPr>
      <w:r>
        <w:tab/>
        <w:t>The partial settlement also provides for the phase-in of the distribution rates for customers taking service under PECO’s LILR rate over a three-year period, as well as the phase-in of the auxiliary service rider rate for back-up power and maintenance power over a three-year period.  The respective phase-in of rates will help to mitigate the rate impact on these customers.  PAIEUG Statement in Support at 5.</w:t>
      </w:r>
      <w:r>
        <w:tab/>
      </w:r>
    </w:p>
    <w:p w:rsidR="002D10C1" w:rsidRDefault="002D10C1" w:rsidP="002D10C1">
      <w:pPr>
        <w:pStyle w:val="p6"/>
        <w:tabs>
          <w:tab w:val="clear" w:pos="1513"/>
          <w:tab w:val="clear" w:pos="2239"/>
          <w:tab w:val="left" w:pos="720"/>
        </w:tabs>
        <w:spacing w:line="360" w:lineRule="auto"/>
        <w:ind w:firstLine="0"/>
      </w:pPr>
    </w:p>
    <w:p w:rsidR="002D10C1" w:rsidRDefault="002D10C1" w:rsidP="002D10C1">
      <w:pPr>
        <w:pStyle w:val="p6"/>
        <w:tabs>
          <w:tab w:val="clear" w:pos="1513"/>
          <w:tab w:val="clear" w:pos="2239"/>
          <w:tab w:val="left" w:pos="720"/>
        </w:tabs>
        <w:spacing w:line="360" w:lineRule="auto"/>
        <w:ind w:firstLine="0"/>
      </w:pPr>
      <w:r>
        <w:tab/>
      </w:r>
      <w:r>
        <w:tab/>
        <w:t>The terms of the partial settlement also provide that the HT, PD, and GS Night Service Riders (NSR) will remain in place until the next electric distribution rate case and that the percent increase applied to the NSR demand charge for HT, PD, GS shall be the same as the percent increase in the HT demand charge.  Continuing the NSRs is consistent with cost causation and the Commission’s policy on Energy and Efficiency Conservation under Act 129.  Also, limiting the percentage increase in the demand charge for the HT, PD, and GS NSRs to the percentage increase in the HT demand charge produces a reasonable increase, consistent with the concept of gradualism.  PAIEUG Statement in Support at 4-5.</w:t>
      </w:r>
    </w:p>
    <w:p w:rsidR="002D10C1" w:rsidRDefault="002D10C1" w:rsidP="002D10C1">
      <w:pPr>
        <w:pStyle w:val="p6"/>
        <w:tabs>
          <w:tab w:val="clear" w:pos="1513"/>
          <w:tab w:val="clear" w:pos="2239"/>
          <w:tab w:val="left" w:pos="720"/>
        </w:tabs>
        <w:spacing w:line="360" w:lineRule="auto"/>
        <w:ind w:firstLine="0"/>
      </w:pPr>
    </w:p>
    <w:p w:rsidR="002D10C1" w:rsidRPr="00374DDB" w:rsidRDefault="002D10C1" w:rsidP="002D10C1">
      <w:pPr>
        <w:pStyle w:val="p6"/>
        <w:tabs>
          <w:tab w:val="clear" w:pos="1513"/>
          <w:tab w:val="clear" w:pos="2239"/>
          <w:tab w:val="left" w:pos="720"/>
        </w:tabs>
        <w:spacing w:line="360" w:lineRule="auto"/>
        <w:ind w:firstLine="0"/>
      </w:pPr>
      <w:r>
        <w:tab/>
      </w:r>
      <w:r>
        <w:tab/>
        <w:t>The partial settlement also provides that PECO’s proposed Transmission Service Charge (TSC), Generation Supply Working Capital (GSWC) and Transmission Cost Working Capital (TCWC) riders will be implemented as originally proposed.  These riders will remove certain costs associated with transmission charges and with the working capital requirements for purchasing generation supply from base rates and instead will collect these amounts from default service customers only.  These riders will further unbundle specific identifiable costs related solely to default service out of base rates and collect them from default service customers.  This change should further level the playing field and allow electric generation supplier pricing to be more accurately compared to default service rates.  Dominion Retail Statement in Support at 2.</w:t>
      </w:r>
    </w:p>
    <w:p w:rsidR="002D10C1" w:rsidRDefault="002D10C1" w:rsidP="002D10C1">
      <w:pPr>
        <w:pStyle w:val="p6"/>
        <w:tabs>
          <w:tab w:val="clear" w:pos="1513"/>
          <w:tab w:val="clear" w:pos="2239"/>
          <w:tab w:val="left" w:pos="720"/>
        </w:tabs>
        <w:spacing w:line="360" w:lineRule="auto"/>
        <w:ind w:firstLine="0"/>
      </w:pPr>
    </w:p>
    <w:p w:rsidR="002D10C1" w:rsidRDefault="002D10C1" w:rsidP="002D10C1">
      <w:pPr>
        <w:pStyle w:val="p6"/>
        <w:tabs>
          <w:tab w:val="clear" w:pos="1513"/>
          <w:tab w:val="clear" w:pos="2239"/>
          <w:tab w:val="left" w:pos="720"/>
        </w:tabs>
        <w:spacing w:line="360" w:lineRule="auto"/>
        <w:ind w:firstLine="0"/>
      </w:pPr>
      <w:r>
        <w:tab/>
      </w:r>
      <w:r>
        <w:tab/>
      </w:r>
    </w:p>
    <w:p w:rsidR="002D10C1" w:rsidRDefault="002D10C1" w:rsidP="002D10C1">
      <w:pPr>
        <w:pStyle w:val="p6"/>
        <w:tabs>
          <w:tab w:val="clear" w:pos="1513"/>
          <w:tab w:val="clear" w:pos="2239"/>
          <w:tab w:val="left" w:pos="720"/>
        </w:tabs>
        <w:spacing w:line="360" w:lineRule="auto"/>
        <w:ind w:firstLine="0"/>
      </w:pPr>
      <w:r>
        <w:lastRenderedPageBreak/>
        <w:tab/>
      </w:r>
      <w:r>
        <w:tab/>
        <w:t>The Joint Petition at 10 states that the settlement rates “will allocate the agreed upon revenue requirement to each customer class in a manner that is reasonable in light of the rate structure/cost of service positions of the Joint Petitioners.”  We agree that the revenue allocation and rate design elements set forth in the partial settlement petition provide a fair, reasonable and non-discriminatory distribution of the revenue increase among the various customer classes.</w:t>
      </w:r>
    </w:p>
    <w:p w:rsidR="002D10C1" w:rsidRDefault="002D10C1" w:rsidP="002D10C1">
      <w:pPr>
        <w:pStyle w:val="p6"/>
        <w:tabs>
          <w:tab w:val="clear" w:pos="1513"/>
          <w:tab w:val="clear" w:pos="2239"/>
          <w:tab w:val="left" w:pos="720"/>
        </w:tabs>
        <w:spacing w:line="360" w:lineRule="auto"/>
        <w:ind w:firstLine="0"/>
      </w:pPr>
    </w:p>
    <w:p w:rsidR="002D10C1" w:rsidRDefault="002D10C1" w:rsidP="002D10C1">
      <w:pPr>
        <w:pStyle w:val="p6"/>
        <w:tabs>
          <w:tab w:val="clear" w:pos="1513"/>
          <w:tab w:val="clear" w:pos="2239"/>
          <w:tab w:val="left" w:pos="720"/>
        </w:tabs>
        <w:spacing w:line="360" w:lineRule="auto"/>
        <w:ind w:firstLine="0"/>
      </w:pPr>
      <w:r>
        <w:t>D.</w:t>
      </w:r>
      <w:r>
        <w:tab/>
      </w:r>
      <w:r w:rsidRPr="00FE3E55">
        <w:rPr>
          <w:u w:val="single"/>
        </w:rPr>
        <w:t>Smart Meters</w:t>
      </w:r>
    </w:p>
    <w:p w:rsidR="002D10C1" w:rsidRDefault="002D10C1" w:rsidP="002D10C1">
      <w:pPr>
        <w:pStyle w:val="p6"/>
        <w:tabs>
          <w:tab w:val="clear" w:pos="1513"/>
          <w:tab w:val="clear" w:pos="2239"/>
          <w:tab w:val="left" w:pos="720"/>
        </w:tabs>
        <w:spacing w:line="360" w:lineRule="auto"/>
        <w:ind w:firstLine="0"/>
      </w:pPr>
    </w:p>
    <w:p w:rsidR="002D10C1" w:rsidRDefault="002D10C1" w:rsidP="002D10C1">
      <w:pPr>
        <w:pStyle w:val="p6"/>
        <w:tabs>
          <w:tab w:val="clear" w:pos="1513"/>
          <w:tab w:val="clear" w:pos="2239"/>
          <w:tab w:val="left" w:pos="720"/>
        </w:tabs>
        <w:spacing w:line="360" w:lineRule="auto"/>
        <w:ind w:firstLine="0"/>
      </w:pPr>
      <w:r>
        <w:tab/>
      </w:r>
      <w:r>
        <w:tab/>
        <w:t>In its filing, PECO proposed to revise its Smart Meter Cost Recovery (SMCR) Rider, which was approved in its Act 129 Smart Meter proceeding,</w:t>
      </w:r>
      <w:r>
        <w:rPr>
          <w:rStyle w:val="FootnoteReference"/>
        </w:rPr>
        <w:footnoteReference w:id="5"/>
      </w:r>
      <w:r>
        <w:t xml:space="preserve"> to include metering and meter reading costs.  PECO indicated that it planned to roll these costs into base rates in a future base rate case, a proposal that OCA opposed.  In the partial settlement, PECO agreed to withdraw its proposal to unbundle its metering costs.  OCA maintained that withdrawing this proposal is reasonable and in the public interest, as neither Act 129 nor the Commission Order in the Smart Meter proceeding authorizes the recovery of legacy meter costs through the SMCR.  OCA Statement in Support at 12.</w:t>
      </w:r>
    </w:p>
    <w:p w:rsidR="002D10C1" w:rsidRDefault="002D10C1" w:rsidP="002D10C1">
      <w:pPr>
        <w:pStyle w:val="p6"/>
        <w:tabs>
          <w:tab w:val="clear" w:pos="1513"/>
          <w:tab w:val="clear" w:pos="2239"/>
          <w:tab w:val="left" w:pos="720"/>
        </w:tabs>
        <w:spacing w:line="360" w:lineRule="auto"/>
        <w:ind w:firstLine="0"/>
      </w:pPr>
    </w:p>
    <w:p w:rsidR="002D10C1" w:rsidRDefault="002D10C1" w:rsidP="002D10C1">
      <w:pPr>
        <w:pStyle w:val="p6"/>
        <w:tabs>
          <w:tab w:val="clear" w:pos="1513"/>
          <w:tab w:val="clear" w:pos="2239"/>
          <w:tab w:val="left" w:pos="720"/>
        </w:tabs>
        <w:spacing w:line="360" w:lineRule="auto"/>
        <w:ind w:firstLine="0"/>
      </w:pPr>
      <w:r>
        <w:tab/>
      </w:r>
      <w:r>
        <w:tab/>
        <w:t>Also in the partial settlement, the settling parties agreed that PECO will allocate the portion of the $200 million American Recovery and Reinvestment Act (ARRA) grant related to Act 129 smart meter costs consistent with the allocation of smart meter costs in the smart meter surcharge.  This allocation is fair, reasonable and in the public interest as it ensures that customers will receive the benefit of the funding in proportion to the amounts to which the customers are responsible in the SMCR.  OCA Statement in Support at 12.</w:t>
      </w:r>
    </w:p>
    <w:p w:rsidR="002D10C1" w:rsidRDefault="002D10C1" w:rsidP="002D10C1">
      <w:pPr>
        <w:pStyle w:val="p6"/>
        <w:tabs>
          <w:tab w:val="clear" w:pos="1513"/>
          <w:tab w:val="clear" w:pos="2239"/>
          <w:tab w:val="left" w:pos="720"/>
        </w:tabs>
        <w:spacing w:line="360" w:lineRule="auto"/>
        <w:ind w:firstLine="0"/>
      </w:pPr>
    </w:p>
    <w:p w:rsidR="002D10C1" w:rsidRDefault="002D10C1" w:rsidP="002D10C1">
      <w:pPr>
        <w:pStyle w:val="p6"/>
        <w:tabs>
          <w:tab w:val="clear" w:pos="1513"/>
          <w:tab w:val="clear" w:pos="2239"/>
          <w:tab w:val="left" w:pos="720"/>
        </w:tabs>
        <w:spacing w:line="360" w:lineRule="auto"/>
        <w:ind w:firstLine="0"/>
      </w:pPr>
      <w:r>
        <w:tab/>
      </w:r>
      <w:r>
        <w:tab/>
        <w:t xml:space="preserve">Lastly, in order to meet the Commission’s directive in the Smart Meter proceeding requiring the settling parties to a base rate proceeding for PECO to establish a return on common equity for purposes of computing the company’s SMCR, the parties have stipulated to a 10.00% common equity return rate for PECO to utilize for this purpose.  PECO Statement in </w:t>
      </w:r>
    </w:p>
    <w:p w:rsidR="002D10C1" w:rsidRDefault="002D10C1" w:rsidP="002D10C1">
      <w:pPr>
        <w:pStyle w:val="p6"/>
        <w:tabs>
          <w:tab w:val="clear" w:pos="1513"/>
          <w:tab w:val="clear" w:pos="2239"/>
          <w:tab w:val="left" w:pos="720"/>
        </w:tabs>
        <w:spacing w:line="360" w:lineRule="auto"/>
        <w:ind w:firstLine="0"/>
      </w:pPr>
      <w:r>
        <w:br w:type="page"/>
      </w:r>
      <w:r>
        <w:lastRenderedPageBreak/>
        <w:t>Support at 3-4; OCA Statement in Support at 12-13.  We agree with the settling parties that a 10.00% return on equity is a reasonable resolution of this issue in the context of this settlement and is in compliance with the Commission’s Smart Meter Order.</w:t>
      </w:r>
    </w:p>
    <w:p w:rsidR="002D10C1" w:rsidRDefault="002D10C1" w:rsidP="002D10C1">
      <w:pPr>
        <w:pStyle w:val="p6"/>
        <w:tabs>
          <w:tab w:val="clear" w:pos="1513"/>
          <w:tab w:val="clear" w:pos="2239"/>
          <w:tab w:val="left" w:pos="720"/>
        </w:tabs>
        <w:spacing w:line="360" w:lineRule="auto"/>
        <w:ind w:firstLine="0"/>
      </w:pPr>
    </w:p>
    <w:p w:rsidR="002D10C1" w:rsidRDefault="002D10C1" w:rsidP="002D10C1">
      <w:pPr>
        <w:pStyle w:val="p6"/>
        <w:tabs>
          <w:tab w:val="clear" w:pos="1513"/>
          <w:tab w:val="clear" w:pos="2239"/>
          <w:tab w:val="left" w:pos="720"/>
        </w:tabs>
        <w:spacing w:line="360" w:lineRule="auto"/>
        <w:ind w:firstLine="0"/>
      </w:pPr>
      <w:r>
        <w:t>E.</w:t>
      </w:r>
      <w:r>
        <w:tab/>
      </w:r>
      <w:r w:rsidRPr="00E9539C">
        <w:rPr>
          <w:u w:val="single"/>
        </w:rPr>
        <w:t>Universal Services</w:t>
      </w:r>
    </w:p>
    <w:p w:rsidR="002D10C1" w:rsidRDefault="002D10C1" w:rsidP="002D10C1">
      <w:pPr>
        <w:pStyle w:val="p6"/>
        <w:tabs>
          <w:tab w:val="clear" w:pos="1513"/>
          <w:tab w:val="clear" w:pos="2239"/>
          <w:tab w:val="left" w:pos="720"/>
        </w:tabs>
        <w:spacing w:line="360" w:lineRule="auto"/>
        <w:ind w:firstLine="0"/>
      </w:pPr>
    </w:p>
    <w:p w:rsidR="002D10C1" w:rsidRDefault="002D10C1" w:rsidP="002D10C1">
      <w:pPr>
        <w:pStyle w:val="p6"/>
        <w:tabs>
          <w:tab w:val="clear" w:pos="1513"/>
          <w:tab w:val="clear" w:pos="2239"/>
          <w:tab w:val="left" w:pos="720"/>
        </w:tabs>
        <w:spacing w:line="360" w:lineRule="auto"/>
        <w:ind w:firstLine="0"/>
      </w:pPr>
      <w:r>
        <w:tab/>
      </w:r>
      <w:r>
        <w:tab/>
        <w:t>The partial settlement includes a number of provisions addressed to universal service considerations.  See paragraph 7(D) and Exhibit 4.  PECO’s proposed changes to the Universal Service Fund Charge (USFC) and annual reconciliation mechanism were accepted, with a modification to reflect moving the target for Tiers D, D1, E and E1 from 90% CAP population affordability to 88%.  Additionally, and in response to concerns raised by the parties, the company agreed to take particular actions regarding (1) limited self-enrollment for medical certificate renewals; (2) coordination with Act 129 Energy Efficiency and Conservation Programs; (3) termination suspension for certain low-income customers; and (4) December service reconnections.</w:t>
      </w:r>
    </w:p>
    <w:p w:rsidR="002D10C1" w:rsidRDefault="002D10C1" w:rsidP="002D10C1">
      <w:pPr>
        <w:pStyle w:val="p6"/>
        <w:tabs>
          <w:tab w:val="clear" w:pos="1513"/>
          <w:tab w:val="clear" w:pos="2239"/>
          <w:tab w:val="left" w:pos="720"/>
        </w:tabs>
        <w:spacing w:line="360" w:lineRule="auto"/>
        <w:ind w:firstLine="0"/>
      </w:pPr>
    </w:p>
    <w:p w:rsidR="002D10C1" w:rsidRDefault="002D10C1" w:rsidP="002D10C1">
      <w:pPr>
        <w:pStyle w:val="p6"/>
        <w:tabs>
          <w:tab w:val="clear" w:pos="1513"/>
          <w:tab w:val="clear" w:pos="2239"/>
          <w:tab w:val="left" w:pos="720"/>
        </w:tabs>
        <w:spacing w:line="360" w:lineRule="auto"/>
        <w:ind w:firstLine="0"/>
      </w:pPr>
      <w:r>
        <w:tab/>
      </w:r>
      <w:r>
        <w:tab/>
        <w:t>With regard to PECO Electric’s CAP Rate affordability targets, the settling parties agreed to modifications to properly account for the application of LIHEAP (Low Income Home Energy Assistance Program) grants to customer’s bills.  This method of accounting addresses concerns raised by OCA that CAP Rate participants may receive ratepayer subsidies to reduce their monthly bills to a level that is lower than that which the Commission has determined to be affordable while placing an unreasonable burden on non-CAP customers.  OCA Statement in Support at 10-11.  OCA stated that these modifications are reasonable at this time.  We agree.  While it is important to provide affordable services to low-income households who fall within the CAP Rate income guidelines, it should not be done at a detriment to non-CAP participants, some of whom are also low-income but whose household income falls outside of the CAP income guidelines.</w:t>
      </w:r>
    </w:p>
    <w:p w:rsidR="002D10C1" w:rsidRDefault="002D10C1" w:rsidP="002D10C1">
      <w:pPr>
        <w:pStyle w:val="p6"/>
        <w:tabs>
          <w:tab w:val="clear" w:pos="1513"/>
          <w:tab w:val="clear" w:pos="2239"/>
          <w:tab w:val="left" w:pos="720"/>
        </w:tabs>
        <w:spacing w:line="360" w:lineRule="auto"/>
        <w:ind w:firstLine="0"/>
      </w:pPr>
    </w:p>
    <w:p w:rsidR="002D10C1" w:rsidRDefault="002D10C1" w:rsidP="002D10C1">
      <w:pPr>
        <w:pStyle w:val="p6"/>
        <w:tabs>
          <w:tab w:val="clear" w:pos="1513"/>
          <w:tab w:val="clear" w:pos="2239"/>
          <w:tab w:val="left" w:pos="720"/>
        </w:tabs>
        <w:spacing w:line="360" w:lineRule="auto"/>
        <w:ind w:firstLine="0"/>
      </w:pPr>
      <w:r>
        <w:tab/>
      </w:r>
      <w:r>
        <w:tab/>
        <w:t xml:space="preserve">As noted by the OTS in its Statement in Support at 4, the partial settlement also incorporates a proposal for an adjustable Maximum CAP Credit to ensure that PECO imposes appropriate cost containment measures.  The company will establish base level Maximum Electric Service Credit Factors of $700 for Rate R service and $1,800 for Rate RH service in </w:t>
      </w:r>
      <w:r>
        <w:lastRenderedPageBreak/>
        <w:t xml:space="preserve">conformance with the Commission’s Proposed Order in the CAP Policy Statement at Docket No. M-00072036.  Through December 31, 2010, the company will temporarily adjust the Maximum Electric Service Credit Factors by using the Consumer Price Index, and following January 1, 2011, the company will adopt a permanent adjustment mechanism utilizing the Default Service Pricing Adjustment Factor in Exhibit 1 to the partial settlement.  This adjustment mechanism will increase or decrease the Maximum Electric Service Credit Factors proportionately with current supply costs.  This adjustment protects ratepayers from inflated or inadequate cost containment factors, is reasonable and in the public interest.    </w:t>
      </w:r>
    </w:p>
    <w:p w:rsidR="002D10C1" w:rsidRDefault="002D10C1" w:rsidP="002D10C1">
      <w:pPr>
        <w:pStyle w:val="p6"/>
        <w:tabs>
          <w:tab w:val="clear" w:pos="1513"/>
          <w:tab w:val="clear" w:pos="2239"/>
          <w:tab w:val="left" w:pos="720"/>
        </w:tabs>
        <w:spacing w:line="360" w:lineRule="auto"/>
        <w:ind w:firstLine="0"/>
      </w:pPr>
    </w:p>
    <w:p w:rsidR="002D10C1" w:rsidRDefault="002D10C1" w:rsidP="002D10C1">
      <w:pPr>
        <w:pStyle w:val="p6"/>
        <w:tabs>
          <w:tab w:val="clear" w:pos="1513"/>
          <w:tab w:val="clear" w:pos="2239"/>
          <w:tab w:val="left" w:pos="720"/>
        </w:tabs>
        <w:spacing w:line="360" w:lineRule="auto"/>
        <w:ind w:firstLine="0"/>
      </w:pPr>
      <w:r>
        <w:tab/>
      </w:r>
      <w:r>
        <w:tab/>
        <w:t>TURN et al. and PCOC, in their separate but similar Statements in Support at 1-2, note that the partial settlement preserves prior settlement agreement terms</w:t>
      </w:r>
      <w:r>
        <w:rPr>
          <w:rStyle w:val="FootnoteReference"/>
        </w:rPr>
        <w:footnoteReference w:id="6"/>
      </w:r>
      <w:r>
        <w:t xml:space="preserve"> that mitigate rate increases for low-income customers following expiration of the rate caps by allowing for adjustments downward or upward of the CAP Rate discounts so that 88-90% of CAP customers will receive bills within the Commission’s affordability guidelines.  </w:t>
      </w:r>
    </w:p>
    <w:p w:rsidR="002D10C1" w:rsidRDefault="002D10C1" w:rsidP="002D10C1">
      <w:pPr>
        <w:pStyle w:val="p6"/>
        <w:tabs>
          <w:tab w:val="clear" w:pos="1513"/>
          <w:tab w:val="clear" w:pos="2239"/>
          <w:tab w:val="left" w:pos="720"/>
        </w:tabs>
        <w:spacing w:line="360" w:lineRule="auto"/>
        <w:ind w:firstLine="0"/>
      </w:pPr>
    </w:p>
    <w:p w:rsidR="002D10C1" w:rsidRDefault="002D10C1" w:rsidP="002D10C1">
      <w:pPr>
        <w:pStyle w:val="p6"/>
        <w:tabs>
          <w:tab w:val="clear" w:pos="1513"/>
          <w:tab w:val="clear" w:pos="2239"/>
          <w:tab w:val="left" w:pos="720"/>
        </w:tabs>
        <w:spacing w:line="360" w:lineRule="auto"/>
        <w:ind w:firstLine="0"/>
      </w:pPr>
      <w:r>
        <w:tab/>
      </w:r>
      <w:r>
        <w:tab/>
        <w:t>Additionally, TURN et al. and PCOC note that the partial settlement provides for CAP credit cost control constraints that are adjusted for inflation from August 30, 2007 through the end of 2010, then adjust for actual electric rate fluctuations starting in 2011.  Currently, the CAP Rate program is very close to hitting the ceiling for the credits it can provide to low income customers, and discounts will have to be scaled back as rates increase, if the ceiling is not adjusted.  TURN et al. and PCOC agree that without this provision to adjust the CAP credit ceiling, CAP bills would become unaffordable and inevitably would result in greater inability to pay, with more low income customers facing termination of service.  TURN et al. and PCOC Statements in Support at 2.</w:t>
      </w:r>
    </w:p>
    <w:p w:rsidR="002D10C1" w:rsidRDefault="002D10C1" w:rsidP="002D10C1">
      <w:pPr>
        <w:pStyle w:val="p6"/>
        <w:tabs>
          <w:tab w:val="clear" w:pos="1513"/>
          <w:tab w:val="clear" w:pos="2239"/>
          <w:tab w:val="left" w:pos="720"/>
        </w:tabs>
        <w:spacing w:line="360" w:lineRule="auto"/>
        <w:ind w:firstLine="0"/>
      </w:pPr>
    </w:p>
    <w:p w:rsidR="002D10C1" w:rsidRDefault="002D10C1" w:rsidP="002D10C1">
      <w:pPr>
        <w:pStyle w:val="p6"/>
        <w:tabs>
          <w:tab w:val="clear" w:pos="1513"/>
          <w:tab w:val="clear" w:pos="2239"/>
          <w:tab w:val="left" w:pos="720"/>
        </w:tabs>
        <w:spacing w:line="360" w:lineRule="auto"/>
        <w:ind w:firstLine="0"/>
      </w:pPr>
      <w:r>
        <w:tab/>
      </w:r>
      <w:r>
        <w:tab/>
        <w:t xml:space="preserve">Lastly, TURN et al. and PCOC note that the partial settlement provides certain protections, from January 2011 through December 2012, to vulnerable customers at risk of service termination.  The medical certification process is simplified to address the concerns of customers with medical problems, who often are elderly, by eliminating the costly and time-consuming written renewal process for medical conditions that have not changed.  PECO will </w:t>
      </w:r>
      <w:r>
        <w:lastRenderedPageBreak/>
        <w:t>suspend the termination process for 30 days when a customer is eligible for the Low Income Usage Reduction Program (LIURP) or the Act 129 Low-Income Energy Efficiency Program (LEEP) and is scheduled for a weatherization audit, and provide CAP customers with a payment agreement to catch up on the high bills that accrued prior to LIURP or LEEP assistance.  In December of each year, as customers enter the harsh cold weather, PECO will restore service to those customers who have balances of $250 or less and will waive the reconnection fee.  This provision is consistent with the Commission’s annual requests to utility CEOs to exercise leniency and discretion in their termination practices in order to minimize the numbers of customers facing the winter without heat service.  TURN et al. and PCOC Statements in Support at 2-3.</w:t>
      </w:r>
    </w:p>
    <w:p w:rsidR="002D10C1" w:rsidRDefault="002D10C1" w:rsidP="002D10C1">
      <w:pPr>
        <w:pStyle w:val="p6"/>
        <w:tabs>
          <w:tab w:val="clear" w:pos="1513"/>
          <w:tab w:val="clear" w:pos="2239"/>
          <w:tab w:val="left" w:pos="720"/>
        </w:tabs>
        <w:spacing w:line="360" w:lineRule="auto"/>
        <w:ind w:firstLine="0"/>
      </w:pPr>
    </w:p>
    <w:p w:rsidR="002D10C1" w:rsidRDefault="002D10C1" w:rsidP="002D10C1">
      <w:pPr>
        <w:pStyle w:val="p6"/>
        <w:tabs>
          <w:tab w:val="clear" w:pos="1513"/>
          <w:tab w:val="clear" w:pos="2239"/>
          <w:tab w:val="left" w:pos="720"/>
        </w:tabs>
        <w:spacing w:line="360" w:lineRule="auto"/>
        <w:ind w:firstLine="0"/>
      </w:pPr>
      <w:r>
        <w:t>F.</w:t>
      </w:r>
      <w:r>
        <w:tab/>
      </w:r>
      <w:r w:rsidRPr="008C75AC">
        <w:rPr>
          <w:u w:val="single"/>
        </w:rPr>
        <w:t>Tax Accounting for Repairs</w:t>
      </w:r>
    </w:p>
    <w:p w:rsidR="002D10C1" w:rsidRDefault="002D10C1" w:rsidP="002D10C1">
      <w:pPr>
        <w:pStyle w:val="p6"/>
        <w:tabs>
          <w:tab w:val="clear" w:pos="1513"/>
          <w:tab w:val="clear" w:pos="2239"/>
          <w:tab w:val="left" w:pos="720"/>
        </w:tabs>
        <w:spacing w:line="360" w:lineRule="auto"/>
        <w:ind w:firstLine="0"/>
      </w:pPr>
    </w:p>
    <w:p w:rsidR="002D10C1" w:rsidRDefault="002D10C1" w:rsidP="002D10C1">
      <w:pPr>
        <w:pStyle w:val="p6"/>
        <w:tabs>
          <w:tab w:val="clear" w:pos="1513"/>
          <w:tab w:val="clear" w:pos="2239"/>
          <w:tab w:val="left" w:pos="720"/>
        </w:tabs>
        <w:spacing w:line="360" w:lineRule="auto"/>
        <w:ind w:firstLine="0"/>
      </w:pPr>
      <w:r>
        <w:tab/>
      </w:r>
      <w:r>
        <w:tab/>
        <w:t>The partial settlement contains a comprehensive mechanism to address the issue of a potential change in the tax accounting treatment relating to repairs of distribution assets.  See, Paragraph 7(E).  The settlement addresses both the issue of whether PECO should be required to implement the repair method change (by notifying the parties, who have reserved their right to challenge any decision not to elect the change) as well as the ratemaking effects should PECO elect to adopt a change.  We agree that this process is a reasonable resolution of this issue, as the provisions of the settlement will adequately protect ratepayers by assuring that the benefits of a tax change will be returned to the ratepayers who pay the tax expense.</w:t>
      </w:r>
    </w:p>
    <w:p w:rsidR="002D10C1" w:rsidRDefault="002D10C1" w:rsidP="002D10C1">
      <w:pPr>
        <w:pStyle w:val="p6"/>
        <w:tabs>
          <w:tab w:val="clear" w:pos="1513"/>
          <w:tab w:val="clear" w:pos="2239"/>
          <w:tab w:val="left" w:pos="720"/>
        </w:tabs>
        <w:spacing w:line="360" w:lineRule="auto"/>
        <w:ind w:firstLine="0"/>
      </w:pPr>
    </w:p>
    <w:p w:rsidR="002D10C1" w:rsidRPr="00096C39" w:rsidRDefault="002D10C1" w:rsidP="002D10C1">
      <w:pPr>
        <w:pStyle w:val="p6"/>
        <w:tabs>
          <w:tab w:val="clear" w:pos="1513"/>
          <w:tab w:val="clear" w:pos="2239"/>
          <w:tab w:val="left" w:pos="720"/>
        </w:tabs>
        <w:spacing w:line="360" w:lineRule="auto"/>
        <w:ind w:firstLine="0"/>
        <w:rPr>
          <w:u w:val="single"/>
        </w:rPr>
      </w:pPr>
      <w:r>
        <w:t>G.</w:t>
      </w:r>
      <w:r>
        <w:tab/>
      </w:r>
      <w:r w:rsidRPr="00096C39">
        <w:rPr>
          <w:u w:val="single"/>
        </w:rPr>
        <w:t>Non-Residential Customer Deposits</w:t>
      </w:r>
    </w:p>
    <w:p w:rsidR="002D10C1" w:rsidRDefault="002D10C1" w:rsidP="002D10C1">
      <w:pPr>
        <w:pStyle w:val="p6"/>
        <w:tabs>
          <w:tab w:val="clear" w:pos="1513"/>
          <w:tab w:val="clear" w:pos="2239"/>
          <w:tab w:val="left" w:pos="720"/>
        </w:tabs>
        <w:spacing w:line="360" w:lineRule="auto"/>
        <w:ind w:firstLine="0"/>
      </w:pPr>
    </w:p>
    <w:p w:rsidR="002D10C1" w:rsidRDefault="002D10C1" w:rsidP="002D10C1">
      <w:pPr>
        <w:pStyle w:val="p6"/>
        <w:tabs>
          <w:tab w:val="clear" w:pos="1513"/>
          <w:tab w:val="clear" w:pos="2239"/>
          <w:tab w:val="left" w:pos="720"/>
        </w:tabs>
        <w:spacing w:line="360" w:lineRule="auto"/>
        <w:ind w:firstLine="0"/>
      </w:pPr>
      <w:r>
        <w:tab/>
      </w:r>
      <w:r>
        <w:tab/>
        <w:t xml:space="preserve">PECO agreed to modify its tariff concerning the return of deposits related to non-residential customer accounts.  See, Paragraph 7(F).  As PECO explained, the company will return the deposit if the account was assessed fewer than two late payments in the previous 24 months and will conduct the first annual review of the customer’s account status 24 months after the initial deposit date, after the appropriate tracking systems are modified in 2011.  This appropriately balances PECO’s collection security needs with a customer’s interest in the return </w:t>
      </w:r>
    </w:p>
    <w:p w:rsidR="002D10C1" w:rsidRDefault="002D10C1" w:rsidP="002D10C1">
      <w:pPr>
        <w:pStyle w:val="p6"/>
        <w:tabs>
          <w:tab w:val="clear" w:pos="1513"/>
          <w:tab w:val="clear" w:pos="2239"/>
          <w:tab w:val="left" w:pos="720"/>
        </w:tabs>
        <w:spacing w:line="360" w:lineRule="auto"/>
        <w:ind w:firstLine="0"/>
      </w:pPr>
    </w:p>
    <w:p w:rsidR="002D10C1" w:rsidRDefault="002D10C1" w:rsidP="002D10C1">
      <w:pPr>
        <w:pStyle w:val="p6"/>
        <w:tabs>
          <w:tab w:val="clear" w:pos="1513"/>
          <w:tab w:val="clear" w:pos="2239"/>
          <w:tab w:val="left" w:pos="720"/>
        </w:tabs>
        <w:spacing w:line="360" w:lineRule="auto"/>
        <w:ind w:firstLine="0"/>
      </w:pPr>
    </w:p>
    <w:p w:rsidR="002D10C1" w:rsidRDefault="002D10C1" w:rsidP="002D10C1">
      <w:pPr>
        <w:pStyle w:val="p6"/>
        <w:tabs>
          <w:tab w:val="clear" w:pos="1513"/>
          <w:tab w:val="clear" w:pos="2239"/>
          <w:tab w:val="left" w:pos="720"/>
        </w:tabs>
        <w:spacing w:line="360" w:lineRule="auto"/>
        <w:ind w:firstLine="0"/>
      </w:pPr>
      <w:r>
        <w:lastRenderedPageBreak/>
        <w:t>of its deposit.  PECO Statement in Support at 4-5.  Moreover, this provides non-residential customers the same protections provided to residential customers in receiving a return of their security deposit.  OSBA Statement in Support at 14.</w:t>
      </w:r>
    </w:p>
    <w:p w:rsidR="002D10C1" w:rsidRDefault="002D10C1" w:rsidP="002D10C1">
      <w:pPr>
        <w:pStyle w:val="p6"/>
        <w:tabs>
          <w:tab w:val="clear" w:pos="1513"/>
          <w:tab w:val="clear" w:pos="2239"/>
          <w:tab w:val="left" w:pos="720"/>
        </w:tabs>
        <w:spacing w:line="360" w:lineRule="auto"/>
        <w:ind w:firstLine="0"/>
      </w:pPr>
    </w:p>
    <w:p w:rsidR="002D10C1" w:rsidRDefault="002D10C1" w:rsidP="002D10C1">
      <w:pPr>
        <w:pStyle w:val="p6"/>
        <w:tabs>
          <w:tab w:val="clear" w:pos="1513"/>
          <w:tab w:val="clear" w:pos="2239"/>
          <w:tab w:val="left" w:pos="720"/>
        </w:tabs>
        <w:spacing w:line="360" w:lineRule="auto"/>
        <w:ind w:firstLine="0"/>
      </w:pPr>
      <w:r>
        <w:t>H.</w:t>
      </w:r>
      <w:r>
        <w:tab/>
      </w:r>
      <w:r>
        <w:rPr>
          <w:u w:val="single"/>
        </w:rPr>
        <w:t>Other Issues</w:t>
      </w:r>
    </w:p>
    <w:p w:rsidR="002D10C1" w:rsidRDefault="002D10C1" w:rsidP="002D10C1">
      <w:pPr>
        <w:pStyle w:val="p6"/>
        <w:tabs>
          <w:tab w:val="clear" w:pos="1513"/>
          <w:tab w:val="clear" w:pos="2239"/>
          <w:tab w:val="left" w:pos="720"/>
        </w:tabs>
        <w:spacing w:line="360" w:lineRule="auto"/>
        <w:ind w:firstLine="0"/>
      </w:pPr>
    </w:p>
    <w:p w:rsidR="002D10C1" w:rsidRDefault="002D10C1" w:rsidP="002D10C1">
      <w:pPr>
        <w:pStyle w:val="p6"/>
        <w:tabs>
          <w:tab w:val="clear" w:pos="1513"/>
          <w:tab w:val="clear" w:pos="2239"/>
          <w:tab w:val="left" w:pos="720"/>
        </w:tabs>
        <w:spacing w:line="360" w:lineRule="auto"/>
        <w:ind w:firstLine="0"/>
      </w:pPr>
      <w:r>
        <w:tab/>
      </w:r>
      <w:r>
        <w:tab/>
        <w:t>The partial settlement contains provisions that provide that the settlement rate revenue includes a provision for rate case expense that, solely for accounting purposes, is based on a two-year normalization period from the effective date of the rates approved in this proceeding (Paragraph 7(G)) and that the depreciation rates proposed by PECO in its filing were not challenged and will be used by the company to calculate the depreciation expense it records on its regulated books of account (Paragraph 7 (H)).</w:t>
      </w:r>
    </w:p>
    <w:p w:rsidR="002D10C1" w:rsidRDefault="002D10C1" w:rsidP="002D10C1">
      <w:pPr>
        <w:pStyle w:val="p6"/>
        <w:tabs>
          <w:tab w:val="clear" w:pos="1513"/>
          <w:tab w:val="clear" w:pos="2239"/>
          <w:tab w:val="left" w:pos="720"/>
        </w:tabs>
        <w:spacing w:line="360" w:lineRule="auto"/>
        <w:ind w:firstLine="0"/>
      </w:pPr>
    </w:p>
    <w:p w:rsidR="002D10C1" w:rsidRDefault="002D10C1" w:rsidP="002D10C1">
      <w:pPr>
        <w:pStyle w:val="p6"/>
        <w:tabs>
          <w:tab w:val="clear" w:pos="1513"/>
          <w:tab w:val="clear" w:pos="2239"/>
          <w:tab w:val="left" w:pos="720"/>
        </w:tabs>
        <w:spacing w:line="360" w:lineRule="auto"/>
        <w:ind w:firstLine="0"/>
      </w:pPr>
      <w:r>
        <w:tab/>
      </w:r>
      <w:r>
        <w:tab/>
        <w:t>Also, in Appendix A to its May 20, 2010 Order suspending the company’s rate filing and instituting the instant investigation, the Commission identified seven issues to which the parties to the proceeding were instructed to give particular consideration.  The company provided the parties in this proceeding with comprehensive evidence addressing the areas of concern identified by the Commission in the Suspension Order.  This evidence was carefully examined by the parties in reaching this settlement</w:t>
      </w:r>
      <w:r w:rsidRPr="00825B77">
        <w:rPr>
          <w:bCs/>
          <w:kern w:val="32"/>
        </w:rPr>
        <w:t xml:space="preserve"> </w:t>
      </w:r>
      <w:r>
        <w:rPr>
          <w:bCs/>
          <w:kern w:val="32"/>
        </w:rPr>
        <w:t>and considered by us</w:t>
      </w:r>
      <w:r>
        <w:t>.  See, PECO’s Statement in Support at 5-6 and OCA’s Statement in Support at 14-17.</w:t>
      </w:r>
    </w:p>
    <w:p w:rsidR="002D10C1" w:rsidRDefault="002D10C1" w:rsidP="002D10C1">
      <w:pPr>
        <w:pStyle w:val="p6"/>
        <w:tabs>
          <w:tab w:val="clear" w:pos="1513"/>
          <w:tab w:val="clear" w:pos="2239"/>
          <w:tab w:val="left" w:pos="720"/>
        </w:tabs>
        <w:spacing w:line="360" w:lineRule="auto"/>
        <w:ind w:firstLine="0"/>
      </w:pPr>
    </w:p>
    <w:p w:rsidR="002D10C1" w:rsidRDefault="002D10C1" w:rsidP="002D10C1">
      <w:pPr>
        <w:pStyle w:val="p6"/>
        <w:tabs>
          <w:tab w:val="clear" w:pos="1513"/>
          <w:tab w:val="clear" w:pos="2239"/>
          <w:tab w:val="left" w:pos="720"/>
        </w:tabs>
        <w:spacing w:line="360" w:lineRule="auto"/>
        <w:ind w:firstLine="0"/>
      </w:pPr>
      <w:r>
        <w:t>I.</w:t>
      </w:r>
      <w:r>
        <w:tab/>
      </w:r>
      <w:r>
        <w:rPr>
          <w:u w:val="single"/>
        </w:rPr>
        <w:t>Conclusion</w:t>
      </w:r>
    </w:p>
    <w:p w:rsidR="002D10C1" w:rsidRDefault="002D10C1" w:rsidP="002D10C1">
      <w:pPr>
        <w:pStyle w:val="p6"/>
        <w:tabs>
          <w:tab w:val="clear" w:pos="1513"/>
          <w:tab w:val="clear" w:pos="2239"/>
          <w:tab w:val="left" w:pos="720"/>
        </w:tabs>
        <w:spacing w:line="360" w:lineRule="auto"/>
        <w:ind w:firstLine="0"/>
      </w:pPr>
    </w:p>
    <w:p w:rsidR="002D10C1" w:rsidRDefault="002D10C1" w:rsidP="002D10C1">
      <w:pPr>
        <w:pStyle w:val="p6"/>
        <w:tabs>
          <w:tab w:val="clear" w:pos="1513"/>
          <w:tab w:val="clear" w:pos="2239"/>
          <w:tab w:val="left" w:pos="720"/>
        </w:tabs>
        <w:spacing w:line="360" w:lineRule="auto"/>
        <w:ind w:firstLine="0"/>
      </w:pPr>
      <w:r>
        <w:tab/>
      </w:r>
      <w:r>
        <w:tab/>
        <w:t xml:space="preserve">With the exception of the contested issue regarding the unbundling of generation-related uncollectibles, the partial settlement represents the unanimous agreement of the parties proposing a resolution of this proceeding.  This contested issue is addressed below.  The partial settlement is the result of compromise.  The Commission encourages compromises between the parties in order to dispense with costly litigation and promote judicial economy.  The partial settlement represents a just and fair compromise, by all active parties, who represent a variety of interests, of the serious issues raised in this proceeding.  The fact that all parties joined in (or did </w:t>
      </w:r>
    </w:p>
    <w:p w:rsidR="002D10C1" w:rsidRDefault="002D10C1" w:rsidP="002D10C1">
      <w:pPr>
        <w:pStyle w:val="p6"/>
        <w:tabs>
          <w:tab w:val="clear" w:pos="1513"/>
          <w:tab w:val="clear" w:pos="2239"/>
          <w:tab w:val="left" w:pos="720"/>
        </w:tabs>
        <w:spacing w:line="360" w:lineRule="auto"/>
        <w:ind w:firstLine="0"/>
      </w:pPr>
      <w:r>
        <w:br w:type="page"/>
      </w:r>
      <w:r>
        <w:lastRenderedPageBreak/>
        <w:t xml:space="preserve">not oppose) the proposed partial settlement is significant.  The partial settlement is manifestly reasonable and in the public interest and therefore should be approved without modification by the Commission.  </w:t>
      </w:r>
    </w:p>
    <w:p w:rsidR="002D10C1" w:rsidRDefault="002D10C1" w:rsidP="002D10C1">
      <w:pPr>
        <w:pStyle w:val="p6"/>
        <w:tabs>
          <w:tab w:val="clear" w:pos="1513"/>
          <w:tab w:val="clear" w:pos="2239"/>
          <w:tab w:val="left" w:pos="720"/>
        </w:tabs>
        <w:spacing w:line="360" w:lineRule="auto"/>
        <w:ind w:firstLine="0"/>
      </w:pPr>
    </w:p>
    <w:p w:rsidR="002D10C1" w:rsidRDefault="002D10C1" w:rsidP="002D10C1">
      <w:pPr>
        <w:pStyle w:val="p6"/>
        <w:tabs>
          <w:tab w:val="clear" w:pos="1513"/>
          <w:tab w:val="clear" w:pos="2239"/>
          <w:tab w:val="left" w:pos="720"/>
        </w:tabs>
        <w:spacing w:line="360" w:lineRule="auto"/>
        <w:ind w:firstLine="0"/>
      </w:pPr>
      <w:r>
        <w:tab/>
      </w:r>
      <w:r>
        <w:tab/>
        <w:t>It is important to emphasize that the partial settlement has support from a broad range of parties with diverse interests.  This includes the representatives of the public interest (OTS), residential customers (OCA), small business customers (OSBA), large customers (PAIEUG), commercial customers (Commercial Group), low income customers (PCOC and TURN et al.) and PECO employees (Local 614).  These parties all have reached agreement on a broad array of issues, clearly demonstrating that the partial settlement is in the public interest and should be approved.  The parties (and their counsel, all of whom exhibited the highest degree of professionalism throughout the proceeding) are to be commended for reaching this partial settlement.</w:t>
      </w:r>
    </w:p>
    <w:p w:rsidR="002D10C1" w:rsidRDefault="002D10C1" w:rsidP="002D10C1">
      <w:pPr>
        <w:pStyle w:val="p6"/>
        <w:tabs>
          <w:tab w:val="clear" w:pos="1513"/>
          <w:tab w:val="clear" w:pos="2239"/>
          <w:tab w:val="left" w:pos="720"/>
        </w:tabs>
        <w:spacing w:line="360" w:lineRule="auto"/>
        <w:ind w:firstLine="0"/>
      </w:pPr>
    </w:p>
    <w:p w:rsidR="002D10C1" w:rsidRDefault="002D10C1" w:rsidP="002D10C1">
      <w:pPr>
        <w:pStyle w:val="p6"/>
        <w:tabs>
          <w:tab w:val="clear" w:pos="1513"/>
          <w:tab w:val="clear" w:pos="2239"/>
          <w:tab w:val="left" w:pos="720"/>
        </w:tabs>
        <w:spacing w:line="360" w:lineRule="auto"/>
        <w:ind w:firstLine="0"/>
      </w:pPr>
      <w:r>
        <w:tab/>
      </w:r>
      <w:r>
        <w:tab/>
        <w:t>The substantial reduction in proposed revenue requirement increase, the revenue allocation, the reduction in the proposed residential customer charge, the universal service provisions, the treatment of the tax accounting change, the provisions relating to non-residential customer deposits along with all of the other terms and conditions of the partial settlement together represent a fair and reasonable partial settlement of this proceeding.</w:t>
      </w:r>
    </w:p>
    <w:p w:rsidR="002D10C1" w:rsidRDefault="002D10C1" w:rsidP="002D10C1">
      <w:pPr>
        <w:pStyle w:val="p6"/>
        <w:tabs>
          <w:tab w:val="clear" w:pos="1513"/>
          <w:tab w:val="clear" w:pos="2239"/>
          <w:tab w:val="left" w:pos="720"/>
        </w:tabs>
        <w:spacing w:line="360" w:lineRule="auto"/>
        <w:ind w:firstLine="0"/>
      </w:pPr>
    </w:p>
    <w:p w:rsidR="002D10C1" w:rsidRDefault="002D10C1" w:rsidP="002D10C1">
      <w:pPr>
        <w:pStyle w:val="p6"/>
        <w:tabs>
          <w:tab w:val="clear" w:pos="1513"/>
          <w:tab w:val="clear" w:pos="2239"/>
          <w:tab w:val="left" w:pos="720"/>
        </w:tabs>
        <w:spacing w:line="360" w:lineRule="auto"/>
        <w:ind w:firstLine="0"/>
      </w:pPr>
      <w:r>
        <w:tab/>
      </w:r>
      <w:r>
        <w:tab/>
        <w:t>As to the non-settling parties, Mr. Miller (C-2010-2167594), Mr. Vorwald (C</w:t>
      </w:r>
      <w:r>
        <w:noBreakHyphen/>
        <w:t>2010-2171229), Ms. Gallagher (C-2010-2177260), Ms. Griggs (C-2010-2179769), Mr. Chase (C-2010-2182185), Mr. Kazimer (C-2010-2183018) and Mr. Esbiornson (C-2010-2196250) were all provided a copy of the Joint Petition for Partial Settlement and offered an opportunity to comment or object to its terms and demonstrate why the case should be litigated rather than settled.  None of these complainants responded.</w:t>
      </w:r>
      <w:r>
        <w:rPr>
          <w:rStyle w:val="FootnoteReference"/>
        </w:rPr>
        <w:footnoteReference w:id="7"/>
      </w:r>
      <w:r>
        <w:t xml:space="preserve">  Inasmuch as their due process rights have been fully protected, their respective formal Complaints can be dismissed for lack of prosecution.  </w:t>
      </w:r>
    </w:p>
    <w:p w:rsidR="002D10C1" w:rsidRDefault="002D10C1" w:rsidP="002D10C1">
      <w:pPr>
        <w:pStyle w:val="p6"/>
        <w:tabs>
          <w:tab w:val="clear" w:pos="1513"/>
          <w:tab w:val="clear" w:pos="2239"/>
          <w:tab w:val="left" w:pos="720"/>
        </w:tabs>
        <w:spacing w:line="360" w:lineRule="auto"/>
        <w:ind w:firstLine="0"/>
      </w:pPr>
      <w:r>
        <w:br w:type="page"/>
      </w:r>
      <w:r>
        <w:lastRenderedPageBreak/>
        <w:t xml:space="preserve">See, </w:t>
      </w:r>
      <w:r w:rsidRPr="004861C0">
        <w:rPr>
          <w:i/>
        </w:rPr>
        <w:t>Schneider v. P</w:t>
      </w:r>
      <w:r>
        <w:rPr>
          <w:i/>
        </w:rPr>
        <w:t>ennsylvania</w:t>
      </w:r>
      <w:r w:rsidRPr="004861C0">
        <w:rPr>
          <w:i/>
        </w:rPr>
        <w:t>. Pub</w:t>
      </w:r>
      <w:r>
        <w:rPr>
          <w:i/>
        </w:rPr>
        <w:t>.</w:t>
      </w:r>
      <w:r w:rsidRPr="004861C0">
        <w:rPr>
          <w:i/>
        </w:rPr>
        <w:t xml:space="preserve"> Util</w:t>
      </w:r>
      <w:r>
        <w:rPr>
          <w:i/>
        </w:rPr>
        <w:t>.</w:t>
      </w:r>
      <w:r w:rsidRPr="004861C0">
        <w:rPr>
          <w:i/>
        </w:rPr>
        <w:t xml:space="preserve"> Comm’n</w:t>
      </w:r>
      <w:r>
        <w:t>, 83 Pa.Cmwlth. 306, 479 A.2d 10 (1984) (Commission is required to provide due process to the parties; when parties are afforded notice and an opportunity to be heard, Commission requirement to provide due process is satisfied).</w:t>
      </w:r>
    </w:p>
    <w:p w:rsidR="002D10C1" w:rsidRDefault="002D10C1" w:rsidP="002D10C1">
      <w:pPr>
        <w:pStyle w:val="p6"/>
        <w:tabs>
          <w:tab w:val="clear" w:pos="1513"/>
          <w:tab w:val="clear" w:pos="2239"/>
          <w:tab w:val="left" w:pos="720"/>
        </w:tabs>
        <w:spacing w:line="360" w:lineRule="auto"/>
        <w:ind w:firstLine="0"/>
      </w:pPr>
    </w:p>
    <w:p w:rsidR="002D10C1" w:rsidRDefault="002D10C1" w:rsidP="002D10C1">
      <w:pPr>
        <w:pStyle w:val="p6"/>
        <w:tabs>
          <w:tab w:val="clear" w:pos="1513"/>
          <w:tab w:val="clear" w:pos="2239"/>
          <w:tab w:val="left" w:pos="720"/>
        </w:tabs>
        <w:spacing w:line="360" w:lineRule="auto"/>
        <w:ind w:firstLine="0"/>
      </w:pPr>
      <w:r>
        <w:tab/>
      </w:r>
      <w:r>
        <w:tab/>
        <w:t xml:space="preserve">For all the foregoing reasons, we find the partial settlement embodied in the Joint Petition is both just and reasonable and approval of it is in the public interest.  We recommend that the Commission approve the Joint Petition for Partial Settlement, as submitted, as expeditiously as possible.  </w:t>
      </w:r>
    </w:p>
    <w:p w:rsidR="002D10C1" w:rsidRDefault="002D10C1" w:rsidP="002D10C1">
      <w:pPr>
        <w:pStyle w:val="p6"/>
        <w:tabs>
          <w:tab w:val="clear" w:pos="1513"/>
          <w:tab w:val="clear" w:pos="2239"/>
          <w:tab w:val="left" w:pos="720"/>
        </w:tabs>
        <w:spacing w:line="360" w:lineRule="auto"/>
        <w:ind w:firstLine="0"/>
      </w:pPr>
    </w:p>
    <w:p w:rsidR="002D10C1" w:rsidRPr="008058E2" w:rsidRDefault="002D10C1" w:rsidP="002D10C1">
      <w:pPr>
        <w:autoSpaceDE/>
        <w:autoSpaceDN/>
        <w:spacing w:after="200" w:line="276" w:lineRule="auto"/>
        <w:jc w:val="center"/>
        <w:rPr>
          <w:rFonts w:ascii="Times New Roman" w:hAnsi="Times New Roman" w:cs="Times New Roman"/>
          <w:b/>
          <w:u w:val="single"/>
        </w:rPr>
      </w:pPr>
      <w:r w:rsidRPr="008058E2">
        <w:rPr>
          <w:rFonts w:ascii="Times New Roman" w:hAnsi="Times New Roman" w:cs="Times New Roman"/>
          <w:b/>
        </w:rPr>
        <w:t>IV.</w:t>
      </w:r>
      <w:r w:rsidR="00B625C1">
        <w:rPr>
          <w:rFonts w:ascii="Times New Roman" w:hAnsi="Times New Roman" w:cs="Times New Roman"/>
          <w:b/>
        </w:rPr>
        <w:tab/>
      </w:r>
      <w:r w:rsidRPr="008058E2">
        <w:rPr>
          <w:rFonts w:ascii="Times New Roman" w:hAnsi="Times New Roman" w:cs="Times New Roman"/>
          <w:b/>
          <w:u w:val="single"/>
        </w:rPr>
        <w:t>CONTESTED ISSUE</w:t>
      </w:r>
    </w:p>
    <w:p w:rsidR="002D10C1" w:rsidRDefault="002D10C1" w:rsidP="002D10C1">
      <w:pPr>
        <w:pStyle w:val="p6"/>
        <w:tabs>
          <w:tab w:val="clear" w:pos="1513"/>
          <w:tab w:val="clear" w:pos="2239"/>
          <w:tab w:val="left" w:pos="720"/>
        </w:tabs>
        <w:spacing w:line="360" w:lineRule="auto"/>
        <w:ind w:firstLine="0"/>
      </w:pPr>
    </w:p>
    <w:p w:rsidR="002D10C1" w:rsidRDefault="002D10C1" w:rsidP="002D10C1">
      <w:pPr>
        <w:pStyle w:val="p6"/>
        <w:tabs>
          <w:tab w:val="clear" w:pos="1513"/>
          <w:tab w:val="clear" w:pos="2239"/>
          <w:tab w:val="left" w:pos="720"/>
        </w:tabs>
        <w:spacing w:line="360" w:lineRule="auto"/>
        <w:ind w:firstLine="0"/>
      </w:pPr>
      <w:r>
        <w:tab/>
      </w:r>
      <w:r>
        <w:tab/>
        <w:t>The sole disputed issue involves whether PECO should be required to unbundle its generation-related uncollectible accounts expense from its distribution rates for collection from residential and small commercial default service customers through a Merchant Function Charge (MFC) and purchase electric generation supplier (EGS) receivables at a discount which includes a component based on PECO’s corresponding uncollectible accounts expense rate.  PECO Main Brief at 3.  OTS is the only party objecting to PECO’s proposal, recently approved by the Commission, of recovering all uncollectible accounts expense through its distribution rates.</w:t>
      </w:r>
    </w:p>
    <w:p w:rsidR="002D10C1" w:rsidRDefault="002D10C1" w:rsidP="002D10C1">
      <w:pPr>
        <w:pStyle w:val="p6"/>
        <w:tabs>
          <w:tab w:val="clear" w:pos="1513"/>
          <w:tab w:val="clear" w:pos="2239"/>
          <w:tab w:val="left" w:pos="720"/>
        </w:tabs>
        <w:spacing w:line="360" w:lineRule="auto"/>
        <w:ind w:firstLine="0"/>
      </w:pPr>
    </w:p>
    <w:p w:rsidR="002D10C1" w:rsidRDefault="002D10C1" w:rsidP="002D10C1">
      <w:pPr>
        <w:spacing w:line="360" w:lineRule="auto"/>
        <w:ind w:firstLine="1440"/>
        <w:rPr>
          <w:rFonts w:ascii="Times New Roman" w:hAnsi="Times New Roman" w:cs="Times New Roman"/>
        </w:rPr>
      </w:pPr>
      <w:r w:rsidRPr="000D526A">
        <w:rPr>
          <w:rFonts w:ascii="Times New Roman" w:hAnsi="Times New Roman" w:cs="Times New Roman"/>
        </w:rPr>
        <w:t xml:space="preserve">In order to properly address the disputed issue, a brief history is necessary.  In a prior proceeding addressed to its revised purchase of receivables (POR) program, PECO proposed recovering all uncollectible accounts expense through its distribution rates.  </w:t>
      </w:r>
      <w:r w:rsidRPr="000D526A">
        <w:rPr>
          <w:rFonts w:ascii="Times New Roman" w:hAnsi="Times New Roman" w:cs="Times New Roman"/>
          <w:i/>
        </w:rPr>
        <w:t>Petition of PECO Energy Company for Approval of its Revised Electric Purchase of Receivables Program</w:t>
      </w:r>
      <w:r w:rsidRPr="000D526A">
        <w:rPr>
          <w:rFonts w:ascii="Times New Roman" w:hAnsi="Times New Roman" w:cs="Times New Roman"/>
        </w:rPr>
        <w:t>, Docket No. P-2009-2143607, Commission Opinion and Order enter</w:t>
      </w:r>
      <w:r>
        <w:rPr>
          <w:rFonts w:ascii="Times New Roman" w:hAnsi="Times New Roman" w:cs="Times New Roman"/>
        </w:rPr>
        <w:t xml:space="preserve">ed June 18, 2010 (POR Order).  </w:t>
      </w:r>
      <w:r w:rsidRPr="000D526A">
        <w:rPr>
          <w:rFonts w:ascii="Times New Roman" w:hAnsi="Times New Roman" w:cs="Times New Roman"/>
        </w:rPr>
        <w:t>OTS opposed that proposal and recommended that the Commission order PECO to unbundle default service generation uncollectible accounts expense relating to the residential and small commercial default service cla</w:t>
      </w:r>
      <w:r>
        <w:rPr>
          <w:rFonts w:ascii="Times New Roman" w:hAnsi="Times New Roman" w:cs="Times New Roman"/>
        </w:rPr>
        <w:t>sses and recover it through a M</w:t>
      </w:r>
      <w:r w:rsidRPr="000D526A">
        <w:rPr>
          <w:rFonts w:ascii="Times New Roman" w:hAnsi="Times New Roman" w:cs="Times New Roman"/>
        </w:rPr>
        <w:t>F</w:t>
      </w:r>
      <w:r>
        <w:rPr>
          <w:rFonts w:ascii="Times New Roman" w:hAnsi="Times New Roman" w:cs="Times New Roman"/>
        </w:rPr>
        <w:t>C</w:t>
      </w:r>
      <w:r w:rsidRPr="000D526A">
        <w:rPr>
          <w:rFonts w:ascii="Times New Roman" w:hAnsi="Times New Roman" w:cs="Times New Roman"/>
        </w:rPr>
        <w:t xml:space="preserve"> surcharge and that the purchase of EGS receivables be discounted for uncollectible accounts expense.  Seven of the nine parties in that proceeding, not including OTS, agreed to PECO’s proposal, and the Joint </w:t>
      </w:r>
    </w:p>
    <w:p w:rsidR="002D10C1" w:rsidRPr="009F26B2" w:rsidRDefault="002D10C1" w:rsidP="002D10C1">
      <w:pPr>
        <w:spacing w:line="360" w:lineRule="auto"/>
        <w:rPr>
          <w:rFonts w:ascii="Times New Roman" w:hAnsi="Times New Roman" w:cs="Times New Roman"/>
        </w:rPr>
      </w:pPr>
      <w:r>
        <w:rPr>
          <w:rFonts w:ascii="Times New Roman" w:hAnsi="Times New Roman" w:cs="Times New Roman"/>
        </w:rPr>
        <w:br w:type="page"/>
      </w:r>
      <w:r w:rsidRPr="000D526A">
        <w:rPr>
          <w:rFonts w:ascii="Times New Roman" w:hAnsi="Times New Roman" w:cs="Times New Roman"/>
        </w:rPr>
        <w:lastRenderedPageBreak/>
        <w:t xml:space="preserve">Petition for Partial Settlement filed in that case included a provision that the settling parties </w:t>
      </w:r>
      <w:r w:rsidRPr="009F26B2">
        <w:rPr>
          <w:rFonts w:ascii="Times New Roman" w:hAnsi="Times New Roman" w:cs="Times New Roman"/>
        </w:rPr>
        <w:t>agreed not to raise or revisit any of the terms and conditions of PECO’s revised POR program (as modified by the settlement) until PECO’s next default service proceeding.</w:t>
      </w:r>
    </w:p>
    <w:p w:rsidR="002D10C1" w:rsidRDefault="002D10C1" w:rsidP="002D10C1">
      <w:pPr>
        <w:spacing w:line="360" w:lineRule="auto"/>
      </w:pPr>
    </w:p>
    <w:p w:rsidR="002D10C1" w:rsidRPr="004D52BC" w:rsidRDefault="002D10C1" w:rsidP="002D10C1">
      <w:pPr>
        <w:spacing w:line="360" w:lineRule="auto"/>
        <w:rPr>
          <w:rFonts w:ascii="Times New Roman" w:hAnsi="Times New Roman" w:cs="Times New Roman"/>
        </w:rPr>
      </w:pPr>
      <w:r>
        <w:tab/>
      </w:r>
      <w:r>
        <w:tab/>
      </w:r>
      <w:r w:rsidRPr="004D52BC">
        <w:rPr>
          <w:rFonts w:ascii="Times New Roman" w:hAnsi="Times New Roman" w:cs="Times New Roman"/>
        </w:rPr>
        <w:t xml:space="preserve">In its POR Order at 48, the Commission rejected OTS’s proposal on the merits, approving “PECO’s proposal to include the entirety of uncollectible accounts expense within its distribution base rates,” and specifically adopted “Section 9(H)(1) of the Settlement which bars any of the Parties to the Settlement from seeking further unbundling of PECO’s generation-related service costs in PECO’s next distribution rate case proceeding.”  The Commission further noted that, “Any non-signatory to this Settlement is free to argue in favor of further unbundling of PECO’s generation-related service costs (e.g. uncollectible accounts expense, call center charges, etc.) in PECO’s next distribution base rate case.”  </w:t>
      </w:r>
      <w:r w:rsidRPr="009B191E">
        <w:rPr>
          <w:rFonts w:ascii="Times New Roman" w:hAnsi="Times New Roman" w:cs="Times New Roman"/>
          <w:i/>
        </w:rPr>
        <w:t>Id</w:t>
      </w:r>
      <w:r w:rsidRPr="004D52BC">
        <w:rPr>
          <w:rFonts w:ascii="Times New Roman" w:hAnsi="Times New Roman" w:cs="Times New Roman"/>
        </w:rPr>
        <w:t xml:space="preserve">.  This language specifically allows OTS, a non-signatory to the POR settlement, to renew its proposal to unbundle the residential </w:t>
      </w:r>
      <w:r>
        <w:rPr>
          <w:rFonts w:ascii="Times New Roman" w:hAnsi="Times New Roman" w:cs="Times New Roman"/>
        </w:rPr>
        <w:t xml:space="preserve">and small commercial generation-related </w:t>
      </w:r>
      <w:r w:rsidRPr="004D52BC">
        <w:rPr>
          <w:rFonts w:ascii="Times New Roman" w:hAnsi="Times New Roman" w:cs="Times New Roman"/>
        </w:rPr>
        <w:t>uncollectible accounts in this base rate proceeding.</w:t>
      </w:r>
      <w:r w:rsidRPr="004D52BC">
        <w:rPr>
          <w:rStyle w:val="FootnoteReference"/>
          <w:rFonts w:ascii="Times New Roman" w:hAnsi="Times New Roman" w:cs="Times New Roman"/>
        </w:rPr>
        <w:footnoteReference w:id="8"/>
      </w:r>
      <w:r w:rsidRPr="004D52BC">
        <w:rPr>
          <w:rFonts w:ascii="Times New Roman" w:hAnsi="Times New Roman" w:cs="Times New Roman"/>
        </w:rPr>
        <w:t xml:space="preserve"> </w:t>
      </w:r>
    </w:p>
    <w:p w:rsidR="002D10C1" w:rsidRDefault="002D10C1" w:rsidP="002D10C1">
      <w:pPr>
        <w:spacing w:line="360" w:lineRule="auto"/>
      </w:pPr>
    </w:p>
    <w:p w:rsidR="002D10C1" w:rsidRPr="00054B4F" w:rsidRDefault="002D10C1" w:rsidP="002D10C1">
      <w:pPr>
        <w:spacing w:line="360" w:lineRule="auto"/>
        <w:rPr>
          <w:rFonts w:ascii="Times New Roman" w:hAnsi="Times New Roman" w:cs="Times New Roman"/>
        </w:rPr>
      </w:pPr>
      <w:r>
        <w:tab/>
      </w:r>
      <w:r>
        <w:tab/>
      </w:r>
      <w:r w:rsidRPr="00054B4F">
        <w:rPr>
          <w:rFonts w:ascii="Times New Roman" w:hAnsi="Times New Roman" w:cs="Times New Roman"/>
        </w:rPr>
        <w:t xml:space="preserve">OTS’s initial argument is that PECO has failed to sustain its burden of proof regarding the justness and reasonableness of its proposal.  OTS Main Brief at 6-9.  We do not agree.  </w:t>
      </w:r>
    </w:p>
    <w:p w:rsidR="002D10C1" w:rsidRDefault="002D10C1" w:rsidP="002D10C1">
      <w:pPr>
        <w:spacing w:line="360" w:lineRule="auto"/>
      </w:pPr>
    </w:p>
    <w:p w:rsidR="002D10C1" w:rsidRPr="00054B4F" w:rsidRDefault="002D10C1" w:rsidP="002D10C1">
      <w:pPr>
        <w:widowControl w:val="0"/>
        <w:spacing w:line="360" w:lineRule="auto"/>
        <w:ind w:firstLine="1440"/>
        <w:rPr>
          <w:rFonts w:ascii="Times New Roman" w:hAnsi="Times New Roman" w:cs="Times New Roman"/>
        </w:rPr>
      </w:pPr>
      <w:r w:rsidRPr="00054B4F">
        <w:rPr>
          <w:rFonts w:ascii="Times New Roman" w:hAnsi="Times New Roman" w:cs="Times New Roman"/>
        </w:rPr>
        <w:t xml:space="preserve">The burden of proof to establish the justness and reasonableness of every element of the utility’s rate increase rests solely upon the public utility.  66 Pa.C.S. A. § 315(a).  “It is well-established that the evidence adduced by a utility to meet this burden must be substantial.”  </w:t>
      </w:r>
      <w:r w:rsidRPr="00054B4F">
        <w:rPr>
          <w:rFonts w:ascii="Times New Roman" w:hAnsi="Times New Roman" w:cs="Times New Roman"/>
          <w:i/>
        </w:rPr>
        <w:t>Lower Frederick Twp. v. Pennsylvania Pub. Util. Comm’n</w:t>
      </w:r>
      <w:r w:rsidRPr="00054B4F">
        <w:rPr>
          <w:rFonts w:ascii="Times New Roman" w:hAnsi="Times New Roman" w:cs="Times New Roman"/>
        </w:rPr>
        <w:t xml:space="preserve">, 409 A.2d 505, 507 (Pa.Cmwlth. 1980).  </w:t>
      </w:r>
    </w:p>
    <w:p w:rsidR="002D10C1" w:rsidRPr="00BB3554" w:rsidRDefault="002D10C1" w:rsidP="002D10C1">
      <w:pPr>
        <w:widowControl w:val="0"/>
        <w:spacing w:line="360" w:lineRule="auto"/>
        <w:ind w:firstLine="1440"/>
      </w:pPr>
    </w:p>
    <w:p w:rsidR="002D10C1" w:rsidRDefault="002D10C1" w:rsidP="002D10C1">
      <w:pPr>
        <w:pStyle w:val="FootnoteText"/>
        <w:spacing w:line="360" w:lineRule="auto"/>
      </w:pPr>
      <w:r w:rsidRPr="00BB3554">
        <w:tab/>
      </w:r>
      <w:r w:rsidRPr="00BB3554">
        <w:tab/>
      </w:r>
    </w:p>
    <w:p w:rsidR="002D10C1" w:rsidRPr="00B77E4B" w:rsidRDefault="002D10C1" w:rsidP="002D10C1">
      <w:pPr>
        <w:pStyle w:val="FootnoteText"/>
        <w:spacing w:line="360" w:lineRule="auto"/>
        <w:rPr>
          <w:rFonts w:ascii="Times New Roman" w:hAnsi="Times New Roman" w:cs="Times New Roman"/>
        </w:rPr>
      </w:pPr>
      <w:r>
        <w:br w:type="page"/>
      </w:r>
      <w:r>
        <w:lastRenderedPageBreak/>
        <w:tab/>
      </w:r>
      <w:r>
        <w:tab/>
      </w:r>
      <w:r w:rsidRPr="00540FAB">
        <w:rPr>
          <w:rFonts w:ascii="Times New Roman" w:hAnsi="Times New Roman" w:cs="Times New Roman"/>
        </w:rPr>
        <w:t>Both the Commission and the courts have made it clear that this burden does not shift to intervenors challenging a requested rate increase.  While the burden of going forward may shift, the burden of proof remains on the utility, and this burden of establishing the</w:t>
      </w:r>
      <w:r w:rsidRPr="00BB3554">
        <w:t xml:space="preserve"> justness </w:t>
      </w:r>
      <w:r w:rsidRPr="00B77E4B">
        <w:rPr>
          <w:rFonts w:ascii="Times New Roman" w:hAnsi="Times New Roman" w:cs="Times New Roman"/>
        </w:rPr>
        <w:t xml:space="preserve">and reasonableness of every component of its rate request is an affirmative one.  In contrast, there is no similar burden placed on an intervenor to justify a proposed adjustment to the company’s filing.  See, e.g., </w:t>
      </w:r>
      <w:r w:rsidRPr="00B77E4B">
        <w:rPr>
          <w:rFonts w:ascii="Times New Roman" w:hAnsi="Times New Roman" w:cs="Times New Roman"/>
          <w:i/>
        </w:rPr>
        <w:t>Berner v.</w:t>
      </w:r>
      <w:r w:rsidRPr="00B77E4B">
        <w:rPr>
          <w:rFonts w:ascii="Times New Roman" w:hAnsi="Times New Roman" w:cs="Times New Roman"/>
        </w:rPr>
        <w:t xml:space="preserve"> </w:t>
      </w:r>
      <w:r w:rsidRPr="00B77E4B">
        <w:rPr>
          <w:rFonts w:ascii="Times New Roman" w:hAnsi="Times New Roman" w:cs="Times New Roman"/>
          <w:i/>
        </w:rPr>
        <w:t xml:space="preserve">Pennsylvania </w:t>
      </w:r>
      <w:r w:rsidRPr="00B77E4B">
        <w:rPr>
          <w:rFonts w:ascii="Times New Roman" w:eastAsia="Calibri" w:hAnsi="Times New Roman" w:cs="Times New Roman"/>
          <w:i/>
        </w:rPr>
        <w:t>Public Utility Commission</w:t>
      </w:r>
      <w:r w:rsidRPr="00B77E4B">
        <w:rPr>
          <w:rFonts w:ascii="Times New Roman" w:hAnsi="Times New Roman" w:cs="Times New Roman"/>
        </w:rPr>
        <w:t>, 116 A.2d 738, 744 (Pa. 1955), where the Pennsylvania Supreme Court stated:</w:t>
      </w:r>
    </w:p>
    <w:p w:rsidR="002D10C1" w:rsidRPr="00BB3554" w:rsidRDefault="002D10C1" w:rsidP="002D10C1">
      <w:pPr>
        <w:pStyle w:val="FootnoteText"/>
      </w:pPr>
    </w:p>
    <w:p w:rsidR="002D10C1" w:rsidRPr="00B77E4B" w:rsidRDefault="002D10C1" w:rsidP="002D10C1">
      <w:pPr>
        <w:pStyle w:val="FootnoteText"/>
        <w:ind w:left="1440" w:right="1440"/>
        <w:rPr>
          <w:rFonts w:ascii="Times New Roman" w:hAnsi="Times New Roman" w:cs="Times New Roman"/>
        </w:rPr>
      </w:pPr>
      <w:r w:rsidRPr="00B77E4B">
        <w:rPr>
          <w:rFonts w:ascii="Times New Roman" w:hAnsi="Times New Roman" w:cs="Times New Roman"/>
        </w:rPr>
        <w:t>[T]he appellants did not have the burden of proving that the plant additions were improper, unnecessary or too costly; on the contrary, that burden is, by statute, on the utility to demonstrate the reasonable necessity and cost of the installations and that is the burden which the utility patently failed to carry.</w:t>
      </w:r>
    </w:p>
    <w:p w:rsidR="002D10C1" w:rsidRPr="00BB3554" w:rsidRDefault="002D10C1" w:rsidP="002D10C1">
      <w:pPr>
        <w:pStyle w:val="FootnoteText"/>
        <w:ind w:left="1440" w:right="1350"/>
      </w:pPr>
    </w:p>
    <w:p w:rsidR="002D10C1" w:rsidRPr="00BB3554" w:rsidRDefault="002D10C1" w:rsidP="002D10C1">
      <w:pPr>
        <w:pStyle w:val="FootnoteText"/>
        <w:ind w:left="1440" w:right="1350"/>
      </w:pPr>
    </w:p>
    <w:p w:rsidR="002D10C1" w:rsidRPr="00F40D91" w:rsidRDefault="002D10C1" w:rsidP="002D10C1">
      <w:pPr>
        <w:pStyle w:val="FootnoteText"/>
        <w:rPr>
          <w:rFonts w:ascii="Times New Roman" w:hAnsi="Times New Roman" w:cs="Times New Roman"/>
        </w:rPr>
      </w:pPr>
      <w:r w:rsidRPr="00F40D91">
        <w:rPr>
          <w:rFonts w:ascii="Times New Roman" w:hAnsi="Times New Roman" w:cs="Times New Roman"/>
        </w:rPr>
        <w:t>This standard has been recognized by the Commission in its rate determinations:</w:t>
      </w:r>
    </w:p>
    <w:p w:rsidR="002D10C1" w:rsidRPr="00BB3554" w:rsidRDefault="002D10C1" w:rsidP="002D10C1">
      <w:pPr>
        <w:pStyle w:val="FootnoteText"/>
      </w:pPr>
    </w:p>
    <w:p w:rsidR="002D10C1" w:rsidRPr="00F40D91" w:rsidRDefault="002D10C1" w:rsidP="002D10C1">
      <w:pPr>
        <w:pStyle w:val="FootnoteText"/>
        <w:ind w:left="1440" w:right="1440"/>
        <w:rPr>
          <w:rFonts w:ascii="Times New Roman" w:hAnsi="Times New Roman" w:cs="Times New Roman"/>
        </w:rPr>
      </w:pPr>
      <w:r w:rsidRPr="00F40D91">
        <w:rPr>
          <w:rFonts w:ascii="Times New Roman" w:hAnsi="Times New Roman" w:cs="Times New Roman"/>
        </w:rPr>
        <w:t>There is no presumption of reasonableness which attaches to a utility’s claims, at least none which survive the raising of credible issues regarding a utility’s claim.  A utility’s burden is to affirmatively establish the reasonableness of its claim.  It is not the burden of another party to disprove the reasonableness of a utility’s claim.</w:t>
      </w:r>
    </w:p>
    <w:p w:rsidR="002D10C1" w:rsidRPr="00BB3554" w:rsidRDefault="002D10C1" w:rsidP="002D10C1">
      <w:pPr>
        <w:pStyle w:val="FootnoteText"/>
        <w:ind w:left="1440" w:right="1350"/>
      </w:pPr>
    </w:p>
    <w:p w:rsidR="002D10C1" w:rsidRPr="00BB3554" w:rsidRDefault="002D10C1" w:rsidP="002D10C1">
      <w:pPr>
        <w:pStyle w:val="FootnoteText"/>
        <w:ind w:left="1440" w:right="1350"/>
      </w:pPr>
    </w:p>
    <w:p w:rsidR="002D10C1" w:rsidRPr="00E32AAD" w:rsidRDefault="002D10C1" w:rsidP="002D10C1">
      <w:pPr>
        <w:pStyle w:val="FootnoteText"/>
        <w:rPr>
          <w:rFonts w:ascii="Times New Roman" w:hAnsi="Times New Roman" w:cs="Times New Roman"/>
        </w:rPr>
      </w:pPr>
      <w:r w:rsidRPr="00E32AAD">
        <w:rPr>
          <w:rFonts w:ascii="Times New Roman" w:eastAsia="Calibri" w:hAnsi="Times New Roman" w:cs="Times New Roman"/>
          <w:i/>
        </w:rPr>
        <w:t>Pennsylvania Pub. Util. Comm’n</w:t>
      </w:r>
      <w:r w:rsidRPr="00E32AAD">
        <w:rPr>
          <w:rFonts w:ascii="Times New Roman" w:hAnsi="Times New Roman" w:cs="Times New Roman"/>
          <w:i/>
        </w:rPr>
        <w:t xml:space="preserve"> v. Equitable Gas Co.</w:t>
      </w:r>
      <w:r w:rsidRPr="00E32AAD">
        <w:rPr>
          <w:rFonts w:ascii="Times New Roman" w:hAnsi="Times New Roman" w:cs="Times New Roman"/>
        </w:rPr>
        <w:t>, 57 Pa. PUC 423, 444 n. 38 (1983).</w:t>
      </w:r>
    </w:p>
    <w:p w:rsidR="002D10C1" w:rsidRPr="00BB3554" w:rsidRDefault="002D10C1" w:rsidP="002D10C1">
      <w:pPr>
        <w:widowControl w:val="0"/>
        <w:spacing w:line="360" w:lineRule="auto"/>
        <w:ind w:firstLine="1440"/>
      </w:pPr>
    </w:p>
    <w:p w:rsidR="002D10C1" w:rsidRPr="00E32AAD" w:rsidRDefault="002D10C1" w:rsidP="002D10C1">
      <w:pPr>
        <w:widowControl w:val="0"/>
        <w:spacing w:line="360" w:lineRule="auto"/>
        <w:rPr>
          <w:rFonts w:ascii="Times New Roman" w:hAnsi="Times New Roman" w:cs="Times New Roman"/>
        </w:rPr>
      </w:pPr>
      <w:r w:rsidRPr="00BB3554">
        <w:tab/>
      </w:r>
      <w:r w:rsidRPr="00BB3554">
        <w:tab/>
      </w:r>
      <w:r w:rsidRPr="00E32AAD">
        <w:rPr>
          <w:rFonts w:ascii="Times New Roman" w:hAnsi="Times New Roman" w:cs="Times New Roman"/>
        </w:rPr>
        <w:t xml:space="preserve">While the burden of proof remains with the public utility throughout the rate proceeding, the Commission has stated that where a party proposes an adjustment to a ratemaking claim of a utility, the proposing party bears the </w:t>
      </w:r>
      <w:r w:rsidRPr="00E32AAD">
        <w:rPr>
          <w:rFonts w:ascii="Times New Roman" w:hAnsi="Times New Roman" w:cs="Times New Roman"/>
          <w:bCs/>
        </w:rPr>
        <w:t>burden</w:t>
      </w:r>
      <w:r w:rsidRPr="00E32AAD">
        <w:rPr>
          <w:rFonts w:ascii="Times New Roman" w:hAnsi="Times New Roman" w:cs="Times New Roman"/>
        </w:rPr>
        <w:t xml:space="preserve"> of presenting some evidence or analysis tending to demonstrate the reasonableness of the adjustment.  </w:t>
      </w:r>
      <w:r w:rsidRPr="00E32AAD">
        <w:rPr>
          <w:rFonts w:ascii="Times New Roman" w:hAnsi="Times New Roman" w:cs="Times New Roman"/>
          <w:i/>
        </w:rPr>
        <w:t>Pennsylvania Pub. Util. Comm’n v. Aqua Pennsylvania, Inc</w:t>
      </w:r>
      <w:r w:rsidRPr="00E32AAD">
        <w:rPr>
          <w:rFonts w:ascii="Times New Roman" w:hAnsi="Times New Roman" w:cs="Times New Roman"/>
        </w:rPr>
        <w:t xml:space="preserve">., Docket No. R-00072711 (Commission Opinion and Order entered July 17, 2008).  As stated in </w:t>
      </w:r>
      <w:r w:rsidRPr="00E32AAD">
        <w:rPr>
          <w:rFonts w:ascii="Times New Roman" w:hAnsi="Times New Roman" w:cs="Times New Roman"/>
          <w:i/>
        </w:rPr>
        <w:t>Pennsylvania Public Utility Commission</w:t>
      </w:r>
      <w:r w:rsidRPr="00E32AAD">
        <w:rPr>
          <w:rFonts w:ascii="Times New Roman" w:hAnsi="Times New Roman" w:cs="Times New Roman"/>
        </w:rPr>
        <w:t xml:space="preserve"> v. </w:t>
      </w:r>
      <w:r w:rsidRPr="00E32AAD">
        <w:rPr>
          <w:rFonts w:ascii="Times New Roman" w:hAnsi="Times New Roman" w:cs="Times New Roman"/>
          <w:i/>
        </w:rPr>
        <w:t>Philadelphia Gas Works</w:t>
      </w:r>
      <w:r w:rsidRPr="00E32AAD">
        <w:rPr>
          <w:rFonts w:ascii="Times New Roman" w:hAnsi="Times New Roman" w:cs="Times New Roman"/>
        </w:rPr>
        <w:t>, Docket No. R-00061931 (Commission Opinion and Order entered September 28, 2007) at 12:  “</w:t>
      </w:r>
      <w:r w:rsidRPr="00E32AAD">
        <w:rPr>
          <w:rFonts w:ascii="Times New Roman" w:hAnsi="Times New Roman" w:cs="Times New Roman"/>
          <w:color w:val="000000"/>
        </w:rPr>
        <w:t>Section 315(a) of the Code, 66 Pa.C.S.A.  § 315(a), applies since this is a proceeding on Commission Motion.  However, after the utility establishes a prima facie case, the burden of going forward or the burden of persuasion shifts to the other parties to rebut the prima facie case.”</w:t>
      </w:r>
    </w:p>
    <w:p w:rsidR="002D10C1" w:rsidRPr="00180D05" w:rsidRDefault="002D10C1" w:rsidP="002D10C1">
      <w:pPr>
        <w:spacing w:line="360" w:lineRule="auto"/>
        <w:rPr>
          <w:rFonts w:ascii="Times New Roman" w:hAnsi="Times New Roman" w:cs="Times New Roman"/>
        </w:rPr>
      </w:pPr>
      <w:r>
        <w:lastRenderedPageBreak/>
        <w:tab/>
      </w:r>
      <w:r>
        <w:tab/>
      </w:r>
      <w:r w:rsidRPr="00180D05">
        <w:rPr>
          <w:rFonts w:ascii="Times New Roman" w:hAnsi="Times New Roman" w:cs="Times New Roman"/>
        </w:rPr>
        <w:t>PECO here amply established a prima facie case.  Its proposal to continue to recover all uncollectible accounts expense through its distribution rates means that it will bear the cost of uncollectible accounts for all customers, whether they purchase default service from PECO or purchase generation from an EGS.  As explained in PECO’s Main Brief at 4-5, the Revised Electric POR Program creates a level playing field for EGSs and PECO.  “Specifically, PECO will bear the uncollectible accounts expense of default customers, just as it does now.  Additionally, because it will purchase accounts receivable from EGSs at face value without a discount for uncollectible accounts, it will bear the uncollectible accounts expense associated with the purchased receivables as well.  Because PECO will bear all uncollectible accounts expense and recover that expense in its distribution rates, both EGSs’ prices for generation and PECO’s price to compare will be set forth on a comparable basis, which excludes the cost of uncollectible accounts expense. See</w:t>
      </w:r>
      <w:r>
        <w:rPr>
          <w:rFonts w:ascii="Times New Roman" w:hAnsi="Times New Roman" w:cs="Times New Roman"/>
        </w:rPr>
        <w:t>,</w:t>
      </w:r>
      <w:r w:rsidRPr="00180D05">
        <w:rPr>
          <w:rFonts w:ascii="Times New Roman" w:hAnsi="Times New Roman" w:cs="Times New Roman"/>
        </w:rPr>
        <w:t xml:space="preserve"> PECO St. No. 9-R, pp. 5-6.” </w:t>
      </w:r>
      <w:r w:rsidRPr="00180D05">
        <w:rPr>
          <w:rStyle w:val="FootnoteReference"/>
          <w:rFonts w:ascii="Times New Roman" w:hAnsi="Times New Roman" w:cs="Times New Roman"/>
        </w:rPr>
        <w:footnoteReference w:id="9"/>
      </w:r>
      <w:r w:rsidRPr="00180D05">
        <w:rPr>
          <w:rFonts w:ascii="Times New Roman" w:hAnsi="Times New Roman" w:cs="Times New Roman"/>
        </w:rPr>
        <w:t xml:space="preserve">  </w:t>
      </w:r>
    </w:p>
    <w:p w:rsidR="002D10C1" w:rsidRPr="00180D05" w:rsidRDefault="002D10C1" w:rsidP="002D10C1">
      <w:pPr>
        <w:spacing w:line="360" w:lineRule="auto"/>
        <w:rPr>
          <w:rFonts w:ascii="Times New Roman" w:hAnsi="Times New Roman" w:cs="Times New Roman"/>
        </w:rPr>
      </w:pPr>
    </w:p>
    <w:p w:rsidR="002D10C1" w:rsidRPr="00180D05" w:rsidRDefault="002D10C1" w:rsidP="002D10C1">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180D05">
        <w:rPr>
          <w:rFonts w:ascii="Times New Roman" w:hAnsi="Times New Roman" w:cs="Times New Roman"/>
        </w:rPr>
        <w:t>In contrast, it is clear that OTS failed to sustain its burden of persuasion to rebut PECO’s prima facie case.  Despite its contention that its position does not conflict with the Commission’s POR Order (OTS Main Brief at 10-13), clearly it does.  The Commission in its POR order specifically accepted PECO’s proposal and rejected OTS’s recommendation – which is exactly the same as OTS is promoting here.  OTS has not shown that conditions have changed since the Commission’s approval several months ago of PECO’s recovery of the supply-related uncollectible expense through its distribution rates.  There is no evidence to support OTS’s assertion (in its Main Brief at 12) that the Commission “. . . clearly invited non-signatories to the PECO Partial Settlement to advocate for the unbundling of PECO’s supply-related expenses in the Company’s next</w:t>
      </w:r>
      <w:r>
        <w:rPr>
          <w:rFonts w:ascii="Times New Roman" w:hAnsi="Times New Roman" w:cs="Times New Roman"/>
        </w:rPr>
        <w:t xml:space="preserve"> distribution case.”  Instead, </w:t>
      </w:r>
      <w:r w:rsidRPr="00180D05">
        <w:rPr>
          <w:rFonts w:ascii="Times New Roman" w:hAnsi="Times New Roman" w:cs="Times New Roman"/>
        </w:rPr>
        <w:t xml:space="preserve">the Commission was merely recognizing that non-signatories to an agreement are not bound </w:t>
      </w:r>
      <w:r>
        <w:rPr>
          <w:rFonts w:ascii="Times New Roman" w:hAnsi="Times New Roman" w:cs="Times New Roman"/>
        </w:rPr>
        <w:t xml:space="preserve">by that agreement and that OTS - </w:t>
      </w:r>
      <w:r w:rsidRPr="00180D05">
        <w:rPr>
          <w:rFonts w:ascii="Times New Roman" w:hAnsi="Times New Roman" w:cs="Times New Roman"/>
        </w:rPr>
        <w:t xml:space="preserve">like any non-signatory - has the right to present recommended adjustments to the recovery of the uncollectible accounts expense in this base rate proceeding.  </w:t>
      </w:r>
    </w:p>
    <w:p w:rsidR="002D10C1" w:rsidRDefault="002D10C1" w:rsidP="002D10C1">
      <w:pPr>
        <w:spacing w:line="360" w:lineRule="auto"/>
      </w:pPr>
    </w:p>
    <w:p w:rsidR="002D10C1" w:rsidRDefault="002D10C1" w:rsidP="002D10C1">
      <w:pPr>
        <w:spacing w:line="360" w:lineRule="auto"/>
      </w:pPr>
      <w:r>
        <w:tab/>
      </w:r>
      <w:r>
        <w:tab/>
      </w:r>
    </w:p>
    <w:p w:rsidR="002D10C1" w:rsidRPr="00ED1C6E" w:rsidRDefault="002D10C1" w:rsidP="002D10C1">
      <w:pPr>
        <w:spacing w:line="360" w:lineRule="auto"/>
        <w:rPr>
          <w:rFonts w:ascii="Times New Roman" w:hAnsi="Times New Roman" w:cs="Times New Roman"/>
        </w:rPr>
      </w:pPr>
      <w:r>
        <w:br w:type="page"/>
      </w:r>
      <w:r>
        <w:lastRenderedPageBreak/>
        <w:tab/>
      </w:r>
      <w:r>
        <w:tab/>
      </w:r>
      <w:r w:rsidRPr="00ED1C6E">
        <w:rPr>
          <w:rFonts w:ascii="Times New Roman" w:hAnsi="Times New Roman" w:cs="Times New Roman"/>
        </w:rPr>
        <w:t>The record in this proceeding simply does not support adoption of the MF</w:t>
      </w:r>
      <w:r>
        <w:rPr>
          <w:rFonts w:ascii="Times New Roman" w:hAnsi="Times New Roman" w:cs="Times New Roman"/>
        </w:rPr>
        <w:t>C</w:t>
      </w:r>
      <w:r w:rsidRPr="00ED1C6E">
        <w:rPr>
          <w:rFonts w:ascii="Times New Roman" w:hAnsi="Times New Roman" w:cs="Times New Roman"/>
        </w:rPr>
        <w:t xml:space="preserve">/receivables discount as recommended by OTS.  PECO had every right to rely on the Commission’s rejection of that surcharge, and to proceed with the development of its </w:t>
      </w:r>
      <w:r>
        <w:rPr>
          <w:rFonts w:ascii="Times New Roman" w:hAnsi="Times New Roman" w:cs="Times New Roman"/>
        </w:rPr>
        <w:t xml:space="preserve">Revised </w:t>
      </w:r>
      <w:r w:rsidRPr="00ED1C6E">
        <w:rPr>
          <w:rFonts w:ascii="Times New Roman" w:hAnsi="Times New Roman" w:cs="Times New Roman"/>
        </w:rPr>
        <w:t xml:space="preserve">POR program in accordance with the Commission’s POR Order.  The record contains no evidence as to how OTS’s proposed unbundling would be developed by PECO and communicated to EGSs and the residential and small commercial customers who would be affected by it. </w:t>
      </w:r>
      <w:r>
        <w:rPr>
          <w:rFonts w:ascii="Times New Roman" w:hAnsi="Times New Roman" w:cs="Times New Roman"/>
        </w:rPr>
        <w:t xml:space="preserve"> </w:t>
      </w:r>
      <w:r w:rsidRPr="00ED1C6E">
        <w:rPr>
          <w:rFonts w:ascii="Times New Roman" w:hAnsi="Times New Roman" w:cs="Times New Roman"/>
        </w:rPr>
        <w:t xml:space="preserve">The </w:t>
      </w:r>
      <w:r>
        <w:rPr>
          <w:rFonts w:ascii="Times New Roman" w:hAnsi="Times New Roman" w:cs="Times New Roman"/>
        </w:rPr>
        <w:t xml:space="preserve">Revised </w:t>
      </w:r>
      <w:r w:rsidRPr="00ED1C6E">
        <w:rPr>
          <w:rFonts w:ascii="Times New Roman" w:hAnsi="Times New Roman" w:cs="Times New Roman"/>
        </w:rPr>
        <w:t>POR program is to take effect on January 1, 2011; requiring PECO to implement the OTS approach undoubtedly would require additional time and expense both to determine the appropriate expense to unbundle and to determine how the recently approved POR program would have to be modified.  “Indeed, the OTS proposal is largely a conceptual one, and the OTS offers no specific tariff language, no details on how a Merchant Function Charge would be calculated or allocated and applied to customers, and no specific purchase of receivable discount (or formula for calculating such a discount) to be imposed on suppliers.”  PECO Reply Brief at 5.</w:t>
      </w:r>
    </w:p>
    <w:p w:rsidR="002D10C1" w:rsidRPr="00ED1C6E" w:rsidRDefault="002D10C1" w:rsidP="002D10C1">
      <w:pPr>
        <w:spacing w:line="360" w:lineRule="auto"/>
        <w:rPr>
          <w:rFonts w:ascii="Times New Roman" w:hAnsi="Times New Roman" w:cs="Times New Roman"/>
        </w:rPr>
      </w:pPr>
    </w:p>
    <w:p w:rsidR="002D10C1" w:rsidRPr="00ED1C6E" w:rsidRDefault="002D10C1" w:rsidP="002D10C1">
      <w:pPr>
        <w:spacing w:line="360" w:lineRule="auto"/>
        <w:rPr>
          <w:rFonts w:ascii="Times New Roman" w:hAnsi="Times New Roman" w:cs="Times New Roman"/>
        </w:rPr>
      </w:pPr>
      <w:r w:rsidRPr="00ED1C6E">
        <w:rPr>
          <w:rFonts w:ascii="Times New Roman" w:hAnsi="Times New Roman" w:cs="Times New Roman"/>
        </w:rPr>
        <w:tab/>
      </w:r>
      <w:r w:rsidRPr="00ED1C6E">
        <w:rPr>
          <w:rFonts w:ascii="Times New Roman" w:hAnsi="Times New Roman" w:cs="Times New Roman"/>
        </w:rPr>
        <w:tab/>
        <w:t>The other arguments presented by OTS are unpersuasive.  The “voluntary nature” of PECO’s POR program and the fact that it was approved in a non-rate case proceeding are irrelevant;</w:t>
      </w:r>
      <w:r w:rsidRPr="00ED1C6E">
        <w:rPr>
          <w:rStyle w:val="FootnoteReference"/>
          <w:rFonts w:ascii="Times New Roman" w:hAnsi="Times New Roman" w:cs="Times New Roman"/>
        </w:rPr>
        <w:footnoteReference w:id="10"/>
      </w:r>
      <w:r w:rsidRPr="00ED1C6E">
        <w:rPr>
          <w:rFonts w:ascii="Times New Roman" w:hAnsi="Times New Roman" w:cs="Times New Roman"/>
        </w:rPr>
        <w:t xml:space="preserve"> had the Commission wished, it certainly could have rejected PECO’s proposal to continue to recover the uncollectible accounts expense of default service customers through distribution rates and to purchase accounts receivable from EGSs at face value without a discount for uncollectible accounts.  Instead, it specifically approved “PECO’s proposal to include the entirety of uncollectible accounts expense within its distribution base rates.”  Similarly, there is no reason why the uncollectible accounts need to be unbundled before the expiration of the company’s rate caps.</w:t>
      </w:r>
      <w:r w:rsidRPr="00ED1C6E">
        <w:rPr>
          <w:rStyle w:val="FootnoteReference"/>
          <w:rFonts w:ascii="Times New Roman" w:hAnsi="Times New Roman" w:cs="Times New Roman"/>
        </w:rPr>
        <w:footnoteReference w:id="11"/>
      </w:r>
      <w:r w:rsidRPr="00ED1C6E">
        <w:rPr>
          <w:rFonts w:ascii="Times New Roman" w:hAnsi="Times New Roman" w:cs="Times New Roman"/>
        </w:rPr>
        <w:t xml:space="preserve">  There is no evidence that market or customer confusion will occur. </w:t>
      </w:r>
      <w:r>
        <w:rPr>
          <w:rFonts w:ascii="Times New Roman" w:hAnsi="Times New Roman" w:cs="Times New Roman"/>
        </w:rPr>
        <w:t xml:space="preserve"> </w:t>
      </w:r>
      <w:r w:rsidRPr="00ED1C6E">
        <w:rPr>
          <w:rFonts w:ascii="Times New Roman" w:hAnsi="Times New Roman" w:cs="Times New Roman"/>
        </w:rPr>
        <w:t xml:space="preserve">Obviously, all segments of the market (residential and small commercial customers, suppliers, the utility itself) have accepted PECO’s approach, in both the POR </w:t>
      </w:r>
      <w:r>
        <w:rPr>
          <w:rFonts w:ascii="Times New Roman" w:hAnsi="Times New Roman" w:cs="Times New Roman"/>
        </w:rPr>
        <w:t xml:space="preserve">proceeding </w:t>
      </w:r>
      <w:r w:rsidRPr="00ED1C6E">
        <w:rPr>
          <w:rFonts w:ascii="Times New Roman" w:hAnsi="Times New Roman" w:cs="Times New Roman"/>
        </w:rPr>
        <w:t xml:space="preserve">and this </w:t>
      </w:r>
      <w:r>
        <w:rPr>
          <w:rFonts w:ascii="Times New Roman" w:hAnsi="Times New Roman" w:cs="Times New Roman"/>
        </w:rPr>
        <w:t>one</w:t>
      </w:r>
      <w:r w:rsidRPr="00ED1C6E">
        <w:rPr>
          <w:rFonts w:ascii="Times New Roman" w:hAnsi="Times New Roman" w:cs="Times New Roman"/>
        </w:rPr>
        <w:t xml:space="preserve">.  In any event, the </w:t>
      </w:r>
      <w:r>
        <w:rPr>
          <w:rFonts w:ascii="Times New Roman" w:hAnsi="Times New Roman" w:cs="Times New Roman"/>
        </w:rPr>
        <w:t xml:space="preserve">Revised </w:t>
      </w:r>
      <w:r w:rsidRPr="00ED1C6E">
        <w:rPr>
          <w:rFonts w:ascii="Times New Roman" w:hAnsi="Times New Roman" w:cs="Times New Roman"/>
        </w:rPr>
        <w:t>POR program as approved by the Commission</w:t>
      </w:r>
      <w:r>
        <w:t xml:space="preserve"> </w:t>
      </w:r>
      <w:r w:rsidRPr="00ED1C6E">
        <w:rPr>
          <w:rFonts w:ascii="Times New Roman" w:hAnsi="Times New Roman" w:cs="Times New Roman"/>
        </w:rPr>
        <w:t>can be evaluated after implementation to see if changes will need to be made.  Finally, OTS’s reliance on the</w:t>
      </w:r>
      <w:r>
        <w:t xml:space="preserve"> </w:t>
      </w:r>
      <w:r w:rsidRPr="00ED1C6E">
        <w:rPr>
          <w:rFonts w:ascii="Times New Roman" w:hAnsi="Times New Roman" w:cs="Times New Roman"/>
        </w:rPr>
        <w:lastRenderedPageBreak/>
        <w:t>concern expressed in the Commission’s 1997 Restructuring Order</w:t>
      </w:r>
      <w:r w:rsidRPr="00ED1C6E">
        <w:rPr>
          <w:rStyle w:val="FootnoteReference"/>
          <w:rFonts w:ascii="Times New Roman" w:hAnsi="Times New Roman" w:cs="Times New Roman"/>
        </w:rPr>
        <w:footnoteReference w:id="12"/>
      </w:r>
      <w:r w:rsidRPr="00ED1C6E">
        <w:rPr>
          <w:rFonts w:ascii="Times New Roman" w:hAnsi="Times New Roman" w:cs="Times New Roman"/>
        </w:rPr>
        <w:t xml:space="preserve"> regarding the effect on PECO’s Universal Services Program is misplaced.  As noted by PECO in its Reply Brief at 4, the Commission – since it did not have a particular POR program to evaluate – made no findings regarding the appropriate recovery method.  In any event, since the Commission specifically addressed the appropriateness of recovering these particular expenses through distribution rates only several months ago, it obviously did not feel itself constrained by the 1997 Restructuring Order. </w:t>
      </w:r>
    </w:p>
    <w:p w:rsidR="002D10C1" w:rsidRDefault="002D10C1" w:rsidP="002D10C1">
      <w:pPr>
        <w:spacing w:line="360" w:lineRule="auto"/>
      </w:pPr>
    </w:p>
    <w:p w:rsidR="002D10C1" w:rsidRPr="00D63380" w:rsidRDefault="002D10C1" w:rsidP="002D10C1">
      <w:pPr>
        <w:spacing w:line="360" w:lineRule="auto"/>
        <w:rPr>
          <w:rFonts w:ascii="Times New Roman" w:hAnsi="Times New Roman" w:cs="Times New Roman"/>
        </w:rPr>
      </w:pPr>
      <w:r>
        <w:tab/>
      </w:r>
      <w:r>
        <w:tab/>
      </w:r>
      <w:r w:rsidRPr="00D63380">
        <w:rPr>
          <w:rFonts w:ascii="Times New Roman" w:hAnsi="Times New Roman" w:cs="Times New Roman"/>
        </w:rPr>
        <w:t xml:space="preserve">In conclusion, PECO has amply met its burden to support its position here, regarding implementation of its </w:t>
      </w:r>
      <w:r>
        <w:rPr>
          <w:rFonts w:ascii="Times New Roman" w:hAnsi="Times New Roman" w:cs="Times New Roman"/>
        </w:rPr>
        <w:t xml:space="preserve">Revised </w:t>
      </w:r>
      <w:r w:rsidRPr="00D63380">
        <w:rPr>
          <w:rFonts w:ascii="Times New Roman" w:hAnsi="Times New Roman" w:cs="Times New Roman"/>
        </w:rPr>
        <w:t>POR program with the same terms as approved by the Commission in its June 18, 2010 POR Order.  According</w:t>
      </w:r>
      <w:r>
        <w:rPr>
          <w:rFonts w:ascii="Times New Roman" w:hAnsi="Times New Roman" w:cs="Times New Roman"/>
        </w:rPr>
        <w:t>ly</w:t>
      </w:r>
      <w:r w:rsidRPr="00D63380">
        <w:rPr>
          <w:rFonts w:ascii="Times New Roman" w:hAnsi="Times New Roman" w:cs="Times New Roman"/>
        </w:rPr>
        <w:t>, the adjustments proposed by OTS regarding the recovery of supply-related uncollectible expenses from residential and small commercial customers should be rejected.</w:t>
      </w:r>
    </w:p>
    <w:p w:rsidR="002D10C1" w:rsidRDefault="002D10C1" w:rsidP="002D10C1">
      <w:pPr>
        <w:pStyle w:val="Pleading2L3"/>
        <w:numPr>
          <w:ilvl w:val="0"/>
          <w:numId w:val="0"/>
        </w:numPr>
        <w:tabs>
          <w:tab w:val="num" w:pos="0"/>
        </w:tabs>
        <w:spacing w:line="360" w:lineRule="auto"/>
      </w:pPr>
      <w:r>
        <w:t xml:space="preserve"> </w:t>
      </w:r>
    </w:p>
    <w:p w:rsidR="002D10C1" w:rsidRPr="009678ED" w:rsidRDefault="002D10C1" w:rsidP="002D10C1">
      <w:pPr>
        <w:pStyle w:val="p6"/>
        <w:tabs>
          <w:tab w:val="clear" w:pos="1513"/>
          <w:tab w:val="clear" w:pos="2239"/>
        </w:tabs>
        <w:spacing w:line="360" w:lineRule="auto"/>
        <w:ind w:firstLine="0"/>
        <w:jc w:val="center"/>
        <w:rPr>
          <w:b/>
        </w:rPr>
      </w:pPr>
      <w:r>
        <w:rPr>
          <w:b/>
        </w:rPr>
        <w:t>V.</w:t>
      </w:r>
      <w:r w:rsidR="00B625C1">
        <w:rPr>
          <w:b/>
        </w:rPr>
        <w:tab/>
      </w:r>
      <w:r w:rsidRPr="009678ED">
        <w:rPr>
          <w:b/>
          <w:u w:val="single"/>
        </w:rPr>
        <w:t>CONCLUSIONS OF LAW</w:t>
      </w:r>
    </w:p>
    <w:p w:rsidR="002D10C1" w:rsidRDefault="002D10C1" w:rsidP="002D10C1">
      <w:pPr>
        <w:pStyle w:val="p6"/>
        <w:tabs>
          <w:tab w:val="clear" w:pos="1513"/>
          <w:tab w:val="clear" w:pos="2239"/>
          <w:tab w:val="left" w:pos="720"/>
        </w:tabs>
        <w:spacing w:line="360" w:lineRule="auto"/>
        <w:ind w:firstLine="0"/>
      </w:pPr>
    </w:p>
    <w:p w:rsidR="002D10C1" w:rsidRDefault="002D10C1" w:rsidP="002D10C1">
      <w:pPr>
        <w:pStyle w:val="p6"/>
        <w:numPr>
          <w:ilvl w:val="0"/>
          <w:numId w:val="2"/>
        </w:numPr>
        <w:tabs>
          <w:tab w:val="clear" w:pos="1513"/>
          <w:tab w:val="clear" w:pos="2239"/>
          <w:tab w:val="left" w:pos="720"/>
        </w:tabs>
        <w:spacing w:line="360" w:lineRule="auto"/>
        <w:ind w:left="0" w:firstLine="1440"/>
      </w:pPr>
      <w:r>
        <w:t>The Commission has jurisdiction over the subject matter and the parties to this proceeding.</w:t>
      </w:r>
    </w:p>
    <w:p w:rsidR="002D10C1" w:rsidRDefault="002D10C1" w:rsidP="002D10C1">
      <w:pPr>
        <w:pStyle w:val="p6"/>
        <w:tabs>
          <w:tab w:val="clear" w:pos="1513"/>
          <w:tab w:val="clear" w:pos="2239"/>
          <w:tab w:val="left" w:pos="720"/>
        </w:tabs>
        <w:spacing w:line="360" w:lineRule="auto"/>
        <w:ind w:left="1440" w:firstLine="0"/>
      </w:pPr>
    </w:p>
    <w:p w:rsidR="002D10C1" w:rsidRDefault="002D10C1" w:rsidP="002D10C1">
      <w:pPr>
        <w:pStyle w:val="p6"/>
        <w:numPr>
          <w:ilvl w:val="0"/>
          <w:numId w:val="2"/>
        </w:numPr>
        <w:tabs>
          <w:tab w:val="clear" w:pos="1513"/>
          <w:tab w:val="clear" w:pos="2239"/>
          <w:tab w:val="left" w:pos="720"/>
        </w:tabs>
        <w:spacing w:line="360" w:lineRule="auto"/>
        <w:ind w:left="0" w:firstLine="1440"/>
      </w:pPr>
      <w:r>
        <w:t xml:space="preserve">To determine whether a settlement should be approved, the Commission must decide whether the settlement promotes the public interest.  </w:t>
      </w:r>
      <w:r w:rsidRPr="009678ED">
        <w:rPr>
          <w:i/>
        </w:rPr>
        <w:t>Pennsylvania Pub. Util. Comm’n v. C S Water &amp; Sewer Assoc.</w:t>
      </w:r>
      <w:r>
        <w:t xml:space="preserve">, 74 Pa.PUC 767 (1991); </w:t>
      </w:r>
      <w:r w:rsidRPr="009678ED">
        <w:rPr>
          <w:i/>
        </w:rPr>
        <w:t>Pennsylvania Pub. Util. Comm’n v. Philadelphia Electric Co.</w:t>
      </w:r>
      <w:r>
        <w:t>, 60 Pa.PUC 1 (1985).</w:t>
      </w:r>
    </w:p>
    <w:p w:rsidR="002D10C1" w:rsidRDefault="002D10C1" w:rsidP="002D10C1">
      <w:pPr>
        <w:pStyle w:val="p6"/>
        <w:tabs>
          <w:tab w:val="clear" w:pos="1513"/>
          <w:tab w:val="clear" w:pos="2239"/>
          <w:tab w:val="left" w:pos="720"/>
        </w:tabs>
        <w:spacing w:line="360" w:lineRule="auto"/>
        <w:ind w:left="1440" w:firstLine="0"/>
      </w:pPr>
    </w:p>
    <w:p w:rsidR="005B5931" w:rsidRDefault="002D10C1" w:rsidP="00FA37FA">
      <w:pPr>
        <w:pStyle w:val="p6"/>
        <w:numPr>
          <w:ilvl w:val="0"/>
          <w:numId w:val="2"/>
        </w:numPr>
        <w:tabs>
          <w:tab w:val="clear" w:pos="1513"/>
          <w:tab w:val="clear" w:pos="2239"/>
          <w:tab w:val="left" w:pos="720"/>
        </w:tabs>
        <w:spacing w:line="360" w:lineRule="auto"/>
        <w:ind w:left="0" w:firstLine="1440"/>
      </w:pPr>
      <w:r>
        <w:t xml:space="preserve">The settlement rates, terms and conditions contained in the Joint Petition for Partial Settlement of Rate Investigation at Docket No. R-2010-2161575 submitted by PECO Energy Company, the Office of Trial Staff, The Office of Consumer Advocate, the Office of Small Business Advocate, The Philadelphia Area Industrial Energy Users Group, Pennsylvania Communities Organizing for Change, Inc. d/b/a Action United, Tenant Union Representative </w:t>
      </w:r>
    </w:p>
    <w:p w:rsidR="005B5931" w:rsidRDefault="005B5931">
      <w:pPr>
        <w:autoSpaceDE/>
        <w:autoSpaceDN/>
        <w:rPr>
          <w:rFonts w:ascii="Times New Roman" w:hAnsi="Times New Roman" w:cs="Times New Roman"/>
        </w:rPr>
      </w:pPr>
      <w:r>
        <w:br w:type="page"/>
      </w:r>
    </w:p>
    <w:p w:rsidR="002D10C1" w:rsidRDefault="002D10C1" w:rsidP="005B5931">
      <w:pPr>
        <w:pStyle w:val="p6"/>
        <w:tabs>
          <w:tab w:val="clear" w:pos="1513"/>
          <w:tab w:val="clear" w:pos="2239"/>
          <w:tab w:val="left" w:pos="720"/>
        </w:tabs>
        <w:spacing w:line="360" w:lineRule="auto"/>
        <w:ind w:firstLine="0"/>
      </w:pPr>
      <w:r>
        <w:lastRenderedPageBreak/>
        <w:t xml:space="preserve">Network and Action Alliance of Senior Citizens of Greater Philadelphia, the City of Philadelphia, Dominion Retail, Inc., the Commercial Group and the International Brotherhood of Electrical Workers, Local 614, AFL-CIO are just, reasonable and in the public interest.  </w:t>
      </w:r>
    </w:p>
    <w:p w:rsidR="002D10C1" w:rsidRDefault="002D10C1" w:rsidP="002D10C1">
      <w:pPr>
        <w:pStyle w:val="p6"/>
        <w:tabs>
          <w:tab w:val="clear" w:pos="1513"/>
          <w:tab w:val="clear" w:pos="2239"/>
          <w:tab w:val="left" w:pos="720"/>
        </w:tabs>
        <w:spacing w:line="360" w:lineRule="auto"/>
        <w:ind w:left="1440" w:firstLine="0"/>
      </w:pPr>
    </w:p>
    <w:p w:rsidR="002D10C1" w:rsidRDefault="002D10C1" w:rsidP="002D10C1">
      <w:pPr>
        <w:pStyle w:val="p6"/>
        <w:numPr>
          <w:ilvl w:val="0"/>
          <w:numId w:val="2"/>
        </w:numPr>
        <w:tabs>
          <w:tab w:val="clear" w:pos="1513"/>
          <w:tab w:val="clear" w:pos="2239"/>
          <w:tab w:val="left" w:pos="720"/>
        </w:tabs>
        <w:spacing w:line="360" w:lineRule="auto"/>
        <w:ind w:left="0" w:firstLine="1440"/>
      </w:pPr>
      <w:r>
        <w:t>The Joint Petition for Partial Settlement of Rate Investigation at Docket No. R-2010-2161575 submitted by PECO Energy Company, the Office of Trial Staff, The Office of Consumer Advocate, the Office of Small Business Advocate, The Philadelphia Area Industrial Energy Users Group, Pennsylvania Communities Organizing for Change, Inc. d/b/a Action United, Tenant Union Representative Network</w:t>
      </w:r>
      <w:r w:rsidRPr="00271B74">
        <w:t xml:space="preserve"> </w:t>
      </w:r>
      <w:r>
        <w:t>and Action Alliance of Senior Citizens of Greater Philadelphia, the City of Philadelphia, Dominion Retail, Inc., the Commercial Group and the International Brotherhood of Electrical Workers, Local 614, AFL-CIO promotes the public interest and therefore should be approved as submitted, without modification.</w:t>
      </w:r>
    </w:p>
    <w:p w:rsidR="002D10C1" w:rsidRDefault="002D10C1" w:rsidP="002D10C1">
      <w:pPr>
        <w:pStyle w:val="p6"/>
        <w:tabs>
          <w:tab w:val="clear" w:pos="1513"/>
          <w:tab w:val="clear" w:pos="2239"/>
          <w:tab w:val="left" w:pos="720"/>
        </w:tabs>
        <w:spacing w:line="360" w:lineRule="auto"/>
        <w:ind w:left="1440" w:firstLine="0"/>
      </w:pPr>
    </w:p>
    <w:p w:rsidR="002D10C1" w:rsidRDefault="002D10C1" w:rsidP="002D10C1">
      <w:pPr>
        <w:pStyle w:val="p6"/>
        <w:numPr>
          <w:ilvl w:val="0"/>
          <w:numId w:val="2"/>
        </w:numPr>
        <w:tabs>
          <w:tab w:val="clear" w:pos="1513"/>
          <w:tab w:val="clear" w:pos="2239"/>
          <w:tab w:val="left" w:pos="720"/>
        </w:tabs>
        <w:spacing w:line="360" w:lineRule="auto"/>
        <w:ind w:left="0" w:firstLine="1440"/>
      </w:pPr>
      <w:r>
        <w:t>The recovery of all generation-related uncollectible accounts expense in distribution rates (including the expense associated with purchased EGS receivables) will produce rates for recovering such costs that are just, reasonable, non-discriminatory and consistent with the Public Utility Code and the Commission’s Revised Electric POR Program Order entered June 18, 2010 at Docket No. P-2009-2143607.</w:t>
      </w:r>
    </w:p>
    <w:p w:rsidR="002D10C1" w:rsidRDefault="002D10C1" w:rsidP="002D10C1">
      <w:pPr>
        <w:pStyle w:val="p6"/>
        <w:tabs>
          <w:tab w:val="clear" w:pos="1513"/>
          <w:tab w:val="clear" w:pos="2239"/>
          <w:tab w:val="left" w:pos="720"/>
        </w:tabs>
        <w:spacing w:line="360" w:lineRule="auto"/>
        <w:ind w:firstLine="0"/>
        <w:jc w:val="center"/>
        <w:rPr>
          <w:b/>
          <w:u w:val="single"/>
        </w:rPr>
      </w:pPr>
      <w:r>
        <w:rPr>
          <w:b/>
        </w:rPr>
        <w:br w:type="page"/>
      </w:r>
      <w:r w:rsidRPr="008B5737">
        <w:rPr>
          <w:b/>
        </w:rPr>
        <w:lastRenderedPageBreak/>
        <w:t>VI.</w:t>
      </w:r>
      <w:r w:rsidR="00B625C1">
        <w:rPr>
          <w:b/>
        </w:rPr>
        <w:tab/>
      </w:r>
      <w:r w:rsidRPr="008B5737">
        <w:rPr>
          <w:b/>
          <w:u w:val="single"/>
        </w:rPr>
        <w:t>ORDER</w:t>
      </w:r>
    </w:p>
    <w:p w:rsidR="002D10C1" w:rsidRPr="008B5737" w:rsidRDefault="002D10C1" w:rsidP="002D10C1">
      <w:pPr>
        <w:pStyle w:val="p6"/>
        <w:tabs>
          <w:tab w:val="clear" w:pos="1513"/>
          <w:tab w:val="clear" w:pos="2239"/>
          <w:tab w:val="left" w:pos="720"/>
        </w:tabs>
        <w:spacing w:line="360" w:lineRule="auto"/>
        <w:ind w:firstLine="0"/>
        <w:jc w:val="center"/>
        <w:rPr>
          <w:b/>
        </w:rPr>
      </w:pPr>
    </w:p>
    <w:p w:rsidR="002D10C1" w:rsidRDefault="002D10C1" w:rsidP="002D10C1">
      <w:pPr>
        <w:pStyle w:val="p6"/>
        <w:tabs>
          <w:tab w:val="clear" w:pos="1513"/>
          <w:tab w:val="clear" w:pos="2239"/>
          <w:tab w:val="left" w:pos="720"/>
        </w:tabs>
        <w:spacing w:line="360" w:lineRule="auto"/>
        <w:ind w:firstLine="0"/>
      </w:pPr>
      <w:r>
        <w:tab/>
      </w:r>
      <w:r>
        <w:tab/>
        <w:t>THEREFORE:</w:t>
      </w:r>
    </w:p>
    <w:p w:rsidR="002D10C1" w:rsidRDefault="002D10C1" w:rsidP="002D10C1">
      <w:pPr>
        <w:pStyle w:val="p6"/>
        <w:tabs>
          <w:tab w:val="clear" w:pos="1513"/>
          <w:tab w:val="clear" w:pos="2239"/>
          <w:tab w:val="left" w:pos="720"/>
        </w:tabs>
        <w:spacing w:line="360" w:lineRule="auto"/>
        <w:ind w:firstLine="0"/>
      </w:pPr>
    </w:p>
    <w:p w:rsidR="002D10C1" w:rsidRDefault="002D10C1" w:rsidP="002D10C1">
      <w:pPr>
        <w:pStyle w:val="p6"/>
        <w:tabs>
          <w:tab w:val="clear" w:pos="1513"/>
          <w:tab w:val="clear" w:pos="2239"/>
          <w:tab w:val="left" w:pos="720"/>
        </w:tabs>
        <w:spacing w:line="360" w:lineRule="auto"/>
        <w:ind w:firstLine="0"/>
      </w:pPr>
      <w:r>
        <w:tab/>
      </w:r>
      <w:r>
        <w:tab/>
        <w:t>IT IS RECOMMENDED:</w:t>
      </w:r>
    </w:p>
    <w:p w:rsidR="002D10C1" w:rsidRDefault="002D10C1" w:rsidP="002D10C1">
      <w:pPr>
        <w:pStyle w:val="p6"/>
        <w:tabs>
          <w:tab w:val="clear" w:pos="1513"/>
          <w:tab w:val="clear" w:pos="2239"/>
          <w:tab w:val="left" w:pos="720"/>
        </w:tabs>
        <w:spacing w:line="360" w:lineRule="auto"/>
        <w:ind w:firstLine="0"/>
      </w:pPr>
    </w:p>
    <w:p w:rsidR="002D10C1" w:rsidRDefault="002D10C1" w:rsidP="002D10C1">
      <w:pPr>
        <w:pStyle w:val="p6"/>
        <w:numPr>
          <w:ilvl w:val="0"/>
          <w:numId w:val="3"/>
        </w:numPr>
        <w:tabs>
          <w:tab w:val="clear" w:pos="1513"/>
          <w:tab w:val="clear" w:pos="2239"/>
          <w:tab w:val="left" w:pos="720"/>
        </w:tabs>
        <w:spacing w:line="360" w:lineRule="auto"/>
        <w:ind w:left="0" w:firstLine="1440"/>
      </w:pPr>
      <w:r>
        <w:t xml:space="preserve">That the rates, rules and regulations contained in </w:t>
      </w:r>
      <w:r w:rsidRPr="00D533FD">
        <w:t>Supplement No. 2 to Tariff Electric – Pa. P.U.C. No. 4</w:t>
      </w:r>
      <w:r>
        <w:t xml:space="preserve"> not be permitted to be placed in effect; </w:t>
      </w:r>
    </w:p>
    <w:p w:rsidR="002D10C1" w:rsidRDefault="002D10C1" w:rsidP="002D10C1">
      <w:pPr>
        <w:pStyle w:val="p6"/>
        <w:tabs>
          <w:tab w:val="clear" w:pos="1513"/>
          <w:tab w:val="clear" w:pos="2239"/>
          <w:tab w:val="left" w:pos="720"/>
        </w:tabs>
        <w:spacing w:line="360" w:lineRule="auto"/>
        <w:ind w:left="1440" w:firstLine="0"/>
      </w:pPr>
    </w:p>
    <w:p w:rsidR="002D10C1" w:rsidRDefault="002D10C1" w:rsidP="002D10C1">
      <w:pPr>
        <w:pStyle w:val="p6"/>
        <w:numPr>
          <w:ilvl w:val="0"/>
          <w:numId w:val="3"/>
        </w:numPr>
        <w:tabs>
          <w:tab w:val="clear" w:pos="1513"/>
          <w:tab w:val="clear" w:pos="2239"/>
          <w:tab w:val="left" w:pos="720"/>
        </w:tabs>
        <w:spacing w:line="360" w:lineRule="auto"/>
        <w:ind w:left="0" w:firstLine="1440"/>
      </w:pPr>
      <w:r>
        <w:t>That the rates, terms and conditions contained in the Joint Petition for Partial Settlement of Rate Investigation at Docket No. R-2010-2161575 submitted by PECO Energy Company, the Office of Trial Staff, The Office of Consumer Advocate, the Office of Small Business Advocate, The Philadelphia Area Industrial Energy Users Group, Pennsylvania Communities Organizing for Change, Inc. d/b/a Action United, Tenant Union Representative Network</w:t>
      </w:r>
      <w:r w:rsidRPr="005E75D3">
        <w:t xml:space="preserve"> </w:t>
      </w:r>
      <w:r>
        <w:t>and Action Alliance of Senior Citizens of Greater Philadelphia, the City of Philadelphia, Dominion Retail, Inc., the Commercial Group and the International Brotherhood of Electrical Workers, Local 614, AFL-CIO be approved and adopted without modification;</w:t>
      </w:r>
    </w:p>
    <w:p w:rsidR="002D10C1" w:rsidRDefault="002D10C1" w:rsidP="002D10C1">
      <w:pPr>
        <w:pStyle w:val="p6"/>
        <w:tabs>
          <w:tab w:val="clear" w:pos="1513"/>
          <w:tab w:val="clear" w:pos="2239"/>
          <w:tab w:val="left" w:pos="720"/>
        </w:tabs>
        <w:spacing w:line="360" w:lineRule="auto"/>
        <w:ind w:left="1440" w:firstLine="0"/>
      </w:pPr>
    </w:p>
    <w:p w:rsidR="002D10C1" w:rsidRDefault="002D10C1" w:rsidP="002D10C1">
      <w:pPr>
        <w:pStyle w:val="p6"/>
        <w:numPr>
          <w:ilvl w:val="0"/>
          <w:numId w:val="3"/>
        </w:numPr>
        <w:tabs>
          <w:tab w:val="clear" w:pos="1513"/>
          <w:tab w:val="clear" w:pos="2239"/>
          <w:tab w:val="left" w:pos="720"/>
        </w:tabs>
        <w:spacing w:line="360" w:lineRule="auto"/>
        <w:ind w:left="0" w:firstLine="1440"/>
      </w:pPr>
      <w:r>
        <w:t>That upon entry of the Commission Order approving the recommendation to adopt the Joint Petition for Partial Settlement of Rate Investigation, PECO Energy Company be permitted to file a tariff supplement in substantially the same form as that attached to the Joint Petition as Appendix A to become effective for service rendered on and after January 1, 2011, which tariff supplement, inter alia, increases the company’s rates so as to produce an increase in annual base rate revenues of $225 million;</w:t>
      </w:r>
    </w:p>
    <w:p w:rsidR="002D10C1" w:rsidRDefault="002D10C1" w:rsidP="002D10C1">
      <w:pPr>
        <w:pStyle w:val="p6"/>
        <w:tabs>
          <w:tab w:val="clear" w:pos="1513"/>
          <w:tab w:val="clear" w:pos="2239"/>
          <w:tab w:val="left" w:pos="720"/>
        </w:tabs>
        <w:spacing w:line="360" w:lineRule="auto"/>
        <w:ind w:left="1440" w:firstLine="0"/>
      </w:pPr>
    </w:p>
    <w:p w:rsidR="002D10C1" w:rsidRPr="009C724E" w:rsidRDefault="002D10C1" w:rsidP="002D10C1">
      <w:pPr>
        <w:pStyle w:val="p6"/>
        <w:numPr>
          <w:ilvl w:val="0"/>
          <w:numId w:val="3"/>
        </w:numPr>
        <w:tabs>
          <w:tab w:val="clear" w:pos="1513"/>
          <w:tab w:val="clear" w:pos="2239"/>
          <w:tab w:val="left" w:pos="720"/>
        </w:tabs>
        <w:spacing w:line="360" w:lineRule="auto"/>
        <w:ind w:left="0" w:firstLine="1440"/>
      </w:pPr>
      <w:r>
        <w:t xml:space="preserve">That the Complaints filed at Docket Nos. </w:t>
      </w:r>
      <w:r>
        <w:rPr>
          <w:spacing w:val="-3"/>
        </w:rPr>
        <w:t xml:space="preserve">C-2010-2171342, C-2010-2172183, C-2010-2177849, C-2010-2176148, C-2010-2167594, C-2010-2171229, C-2010-2177260, C-2010-2179769, C-2010-2182185, C-2010-2183018, C-2010-2196250 and C-2010-2204439 be terminated and marked closed; </w:t>
      </w:r>
    </w:p>
    <w:p w:rsidR="002D10C1" w:rsidRDefault="002D10C1" w:rsidP="002D10C1">
      <w:pPr>
        <w:pStyle w:val="p6"/>
        <w:tabs>
          <w:tab w:val="clear" w:pos="1513"/>
          <w:tab w:val="clear" w:pos="2239"/>
          <w:tab w:val="left" w:pos="720"/>
        </w:tabs>
        <w:spacing w:line="360" w:lineRule="auto"/>
        <w:ind w:left="1440" w:firstLine="0"/>
      </w:pPr>
    </w:p>
    <w:p w:rsidR="002D10C1" w:rsidRDefault="002D10C1" w:rsidP="002D10C1">
      <w:pPr>
        <w:pStyle w:val="p6"/>
        <w:tabs>
          <w:tab w:val="clear" w:pos="1513"/>
          <w:tab w:val="clear" w:pos="2239"/>
          <w:tab w:val="left" w:pos="720"/>
        </w:tabs>
        <w:spacing w:line="360" w:lineRule="auto"/>
        <w:ind w:left="1440" w:firstLine="0"/>
      </w:pPr>
    </w:p>
    <w:p w:rsidR="002D10C1" w:rsidRPr="009C724E" w:rsidRDefault="002D10C1" w:rsidP="002D10C1">
      <w:pPr>
        <w:pStyle w:val="p6"/>
        <w:tabs>
          <w:tab w:val="clear" w:pos="1513"/>
          <w:tab w:val="clear" w:pos="2239"/>
          <w:tab w:val="left" w:pos="720"/>
        </w:tabs>
        <w:spacing w:line="360" w:lineRule="auto"/>
        <w:ind w:left="1440" w:firstLine="0"/>
      </w:pPr>
    </w:p>
    <w:p w:rsidR="002D10C1" w:rsidRPr="009C724E" w:rsidRDefault="002D10C1" w:rsidP="002D10C1">
      <w:pPr>
        <w:pStyle w:val="p6"/>
        <w:numPr>
          <w:ilvl w:val="0"/>
          <w:numId w:val="3"/>
        </w:numPr>
        <w:tabs>
          <w:tab w:val="clear" w:pos="1513"/>
          <w:tab w:val="clear" w:pos="2239"/>
          <w:tab w:val="left" w:pos="720"/>
        </w:tabs>
        <w:spacing w:line="360" w:lineRule="auto"/>
        <w:ind w:left="0" w:firstLine="1440"/>
      </w:pPr>
      <w:r>
        <w:rPr>
          <w:spacing w:val="-3"/>
        </w:rPr>
        <w:lastRenderedPageBreak/>
        <w:t xml:space="preserve">That admitted into the record of this proceeding is the Joint Petition for Partial Settlement of Rate Investigation, including appendices; and </w:t>
      </w:r>
    </w:p>
    <w:p w:rsidR="002D10C1" w:rsidRPr="009C724E" w:rsidRDefault="002D10C1" w:rsidP="002D10C1">
      <w:pPr>
        <w:pStyle w:val="p6"/>
        <w:tabs>
          <w:tab w:val="clear" w:pos="1513"/>
          <w:tab w:val="clear" w:pos="2239"/>
          <w:tab w:val="left" w:pos="720"/>
        </w:tabs>
        <w:spacing w:line="360" w:lineRule="auto"/>
        <w:ind w:left="1440" w:firstLine="0"/>
      </w:pPr>
    </w:p>
    <w:p w:rsidR="002D10C1" w:rsidRPr="00B2127E" w:rsidRDefault="002D10C1" w:rsidP="002D10C1">
      <w:pPr>
        <w:pStyle w:val="p6"/>
        <w:numPr>
          <w:ilvl w:val="0"/>
          <w:numId w:val="3"/>
        </w:numPr>
        <w:tabs>
          <w:tab w:val="clear" w:pos="1513"/>
          <w:tab w:val="clear" w:pos="2239"/>
          <w:tab w:val="left" w:pos="720"/>
        </w:tabs>
        <w:spacing w:line="360" w:lineRule="auto"/>
        <w:ind w:left="0" w:firstLine="1440"/>
      </w:pPr>
      <w:r>
        <w:rPr>
          <w:spacing w:val="-3"/>
        </w:rPr>
        <w:t>That upon acceptance and approval by the Commission of the tariff supplement filed by PECO Energy Company consistent with this Order, this proceeding at Docket No. R-2010-2161592 shall be marked closed.</w:t>
      </w:r>
    </w:p>
    <w:p w:rsidR="002D10C1" w:rsidRDefault="002D10C1" w:rsidP="002D10C1">
      <w:pPr>
        <w:pStyle w:val="p6"/>
        <w:tabs>
          <w:tab w:val="clear" w:pos="1513"/>
          <w:tab w:val="clear" w:pos="2239"/>
          <w:tab w:val="left" w:pos="720"/>
        </w:tabs>
        <w:spacing w:line="360" w:lineRule="auto"/>
        <w:ind w:firstLine="0"/>
        <w:rPr>
          <w:spacing w:val="-3"/>
        </w:rPr>
      </w:pPr>
    </w:p>
    <w:p w:rsidR="002D10C1" w:rsidRDefault="002D10C1" w:rsidP="002D10C1">
      <w:pPr>
        <w:pStyle w:val="p6"/>
        <w:tabs>
          <w:tab w:val="clear" w:pos="1513"/>
          <w:tab w:val="clear" w:pos="2239"/>
          <w:tab w:val="left" w:pos="720"/>
        </w:tabs>
        <w:spacing w:line="360" w:lineRule="auto"/>
        <w:ind w:firstLine="0"/>
        <w:rPr>
          <w:spacing w:val="-3"/>
        </w:rPr>
      </w:pPr>
    </w:p>
    <w:p w:rsidR="002D10C1" w:rsidRDefault="002D10C1" w:rsidP="002D10C1">
      <w:pPr>
        <w:pStyle w:val="p6"/>
        <w:tabs>
          <w:tab w:val="clear" w:pos="1513"/>
          <w:tab w:val="clear" w:pos="2239"/>
          <w:tab w:val="left" w:pos="720"/>
        </w:tabs>
        <w:spacing w:line="360" w:lineRule="auto"/>
        <w:ind w:firstLine="0"/>
        <w:rPr>
          <w:spacing w:val="-3"/>
        </w:rPr>
      </w:pPr>
    </w:p>
    <w:p w:rsidR="002D10C1" w:rsidRDefault="002D10C1" w:rsidP="002D10C1">
      <w:pPr>
        <w:pStyle w:val="p6"/>
        <w:tabs>
          <w:tab w:val="clear" w:pos="1513"/>
          <w:tab w:val="clear" w:pos="2239"/>
          <w:tab w:val="left" w:pos="720"/>
        </w:tabs>
        <w:ind w:firstLine="0"/>
        <w:rPr>
          <w:spacing w:val="-3"/>
        </w:rPr>
      </w:pPr>
      <w:r>
        <w:rPr>
          <w:spacing w:val="-3"/>
        </w:rPr>
        <w:t>Date:</w:t>
      </w:r>
      <w:r>
        <w:rPr>
          <w:spacing w:val="-3"/>
        </w:rPr>
        <w:tab/>
      </w:r>
      <w:r w:rsidRPr="007477FF">
        <w:rPr>
          <w:spacing w:val="-3"/>
          <w:u w:val="single"/>
        </w:rPr>
        <w:t>October 29, 2010</w:t>
      </w:r>
      <w:r>
        <w:rPr>
          <w:spacing w:val="-3"/>
        </w:rPr>
        <w:tab/>
      </w:r>
      <w:r>
        <w:rPr>
          <w:spacing w:val="-3"/>
        </w:rPr>
        <w:tab/>
      </w:r>
      <w:r>
        <w:rPr>
          <w:spacing w:val="-3"/>
        </w:rPr>
        <w:tab/>
        <w:t>______________________________________</w:t>
      </w:r>
    </w:p>
    <w:p w:rsidR="002D10C1" w:rsidRDefault="002D10C1" w:rsidP="002D10C1">
      <w:pPr>
        <w:pStyle w:val="p6"/>
        <w:tabs>
          <w:tab w:val="clear" w:pos="1513"/>
          <w:tab w:val="clear" w:pos="2239"/>
          <w:tab w:val="left" w:pos="720"/>
        </w:tabs>
        <w:ind w:firstLine="0"/>
        <w:rPr>
          <w:spacing w:val="-3"/>
        </w:rPr>
      </w:pPr>
      <w:r>
        <w:rPr>
          <w:spacing w:val="-3"/>
        </w:rPr>
        <w:tab/>
      </w:r>
      <w:r>
        <w:rPr>
          <w:spacing w:val="-3"/>
        </w:rPr>
        <w:tab/>
      </w:r>
      <w:r>
        <w:rPr>
          <w:spacing w:val="-3"/>
        </w:rPr>
        <w:tab/>
      </w:r>
      <w:r>
        <w:rPr>
          <w:spacing w:val="-3"/>
        </w:rPr>
        <w:tab/>
      </w:r>
      <w:r>
        <w:rPr>
          <w:spacing w:val="-3"/>
        </w:rPr>
        <w:tab/>
      </w:r>
      <w:r>
        <w:rPr>
          <w:spacing w:val="-3"/>
        </w:rPr>
        <w:tab/>
        <w:t>Marlane R. Chestnut</w:t>
      </w:r>
    </w:p>
    <w:p w:rsidR="002D10C1" w:rsidRDefault="002D10C1" w:rsidP="002D10C1">
      <w:pPr>
        <w:pStyle w:val="p6"/>
        <w:tabs>
          <w:tab w:val="clear" w:pos="1513"/>
          <w:tab w:val="clear" w:pos="2239"/>
          <w:tab w:val="left" w:pos="720"/>
        </w:tabs>
        <w:ind w:firstLine="0"/>
        <w:rPr>
          <w:spacing w:val="-3"/>
        </w:rPr>
      </w:pPr>
      <w:r>
        <w:rPr>
          <w:spacing w:val="-3"/>
        </w:rPr>
        <w:tab/>
      </w:r>
      <w:r>
        <w:rPr>
          <w:spacing w:val="-3"/>
        </w:rPr>
        <w:tab/>
      </w:r>
      <w:r>
        <w:rPr>
          <w:spacing w:val="-3"/>
        </w:rPr>
        <w:tab/>
      </w:r>
      <w:r>
        <w:rPr>
          <w:spacing w:val="-3"/>
        </w:rPr>
        <w:tab/>
      </w:r>
      <w:r>
        <w:rPr>
          <w:spacing w:val="-3"/>
        </w:rPr>
        <w:tab/>
      </w:r>
      <w:r>
        <w:rPr>
          <w:spacing w:val="-3"/>
        </w:rPr>
        <w:tab/>
        <w:t>Administrative Law Judge</w:t>
      </w:r>
    </w:p>
    <w:p w:rsidR="002D10C1" w:rsidRDefault="002D10C1" w:rsidP="002D10C1">
      <w:pPr>
        <w:pStyle w:val="p6"/>
        <w:tabs>
          <w:tab w:val="clear" w:pos="1513"/>
          <w:tab w:val="clear" w:pos="2239"/>
          <w:tab w:val="left" w:pos="720"/>
        </w:tabs>
        <w:ind w:firstLine="0"/>
        <w:rPr>
          <w:spacing w:val="-3"/>
        </w:rPr>
      </w:pPr>
    </w:p>
    <w:p w:rsidR="002D10C1" w:rsidRDefault="002D10C1" w:rsidP="002D10C1">
      <w:pPr>
        <w:pStyle w:val="p6"/>
        <w:tabs>
          <w:tab w:val="clear" w:pos="1513"/>
          <w:tab w:val="clear" w:pos="2239"/>
          <w:tab w:val="left" w:pos="720"/>
        </w:tabs>
        <w:ind w:firstLine="0"/>
        <w:rPr>
          <w:spacing w:val="-3"/>
        </w:rPr>
      </w:pPr>
    </w:p>
    <w:p w:rsidR="002D10C1" w:rsidRDefault="002D10C1" w:rsidP="002D10C1">
      <w:pPr>
        <w:pStyle w:val="p6"/>
        <w:tabs>
          <w:tab w:val="clear" w:pos="1513"/>
          <w:tab w:val="clear" w:pos="2239"/>
          <w:tab w:val="left" w:pos="720"/>
        </w:tabs>
        <w:ind w:firstLine="0"/>
        <w:rPr>
          <w:spacing w:val="-3"/>
        </w:rPr>
      </w:pPr>
    </w:p>
    <w:p w:rsidR="002D10C1" w:rsidRDefault="002D10C1" w:rsidP="002D10C1">
      <w:pPr>
        <w:pStyle w:val="p6"/>
        <w:tabs>
          <w:tab w:val="clear" w:pos="1513"/>
          <w:tab w:val="clear" w:pos="2239"/>
          <w:tab w:val="left" w:pos="720"/>
        </w:tabs>
        <w:ind w:firstLine="0"/>
      </w:pPr>
      <w:r>
        <w:rPr>
          <w:spacing w:val="-3"/>
        </w:rPr>
        <w:tab/>
      </w:r>
      <w:r>
        <w:rPr>
          <w:spacing w:val="-3"/>
        </w:rPr>
        <w:tab/>
      </w:r>
      <w:r>
        <w:rPr>
          <w:spacing w:val="-3"/>
        </w:rPr>
        <w:tab/>
      </w:r>
      <w:r>
        <w:rPr>
          <w:spacing w:val="-3"/>
        </w:rPr>
        <w:tab/>
      </w:r>
      <w:r>
        <w:rPr>
          <w:spacing w:val="-3"/>
        </w:rPr>
        <w:tab/>
      </w:r>
      <w:r>
        <w:rPr>
          <w:spacing w:val="-3"/>
        </w:rPr>
        <w:tab/>
        <w:t>______________________________________</w:t>
      </w:r>
    </w:p>
    <w:p w:rsidR="002D10C1" w:rsidRDefault="002D10C1" w:rsidP="002D10C1">
      <w:pPr>
        <w:pStyle w:val="p6"/>
        <w:tabs>
          <w:tab w:val="clear" w:pos="1513"/>
          <w:tab w:val="clear" w:pos="2239"/>
          <w:tab w:val="left" w:pos="720"/>
        </w:tabs>
        <w:ind w:firstLine="0"/>
      </w:pPr>
      <w:r>
        <w:tab/>
      </w:r>
      <w:r>
        <w:tab/>
      </w:r>
      <w:r>
        <w:tab/>
      </w:r>
      <w:r>
        <w:tab/>
      </w:r>
      <w:r>
        <w:tab/>
      </w:r>
      <w:r>
        <w:tab/>
        <w:t>Christopher P. Pell</w:t>
      </w:r>
    </w:p>
    <w:p w:rsidR="002D10C1" w:rsidRDefault="002D10C1" w:rsidP="002D10C1">
      <w:pPr>
        <w:pStyle w:val="p6"/>
        <w:tabs>
          <w:tab w:val="clear" w:pos="1513"/>
          <w:tab w:val="clear" w:pos="2239"/>
          <w:tab w:val="left" w:pos="720"/>
        </w:tabs>
        <w:ind w:firstLine="0"/>
      </w:pPr>
      <w:r>
        <w:tab/>
      </w:r>
      <w:r>
        <w:tab/>
      </w:r>
      <w:r>
        <w:tab/>
      </w:r>
      <w:r>
        <w:tab/>
      </w:r>
      <w:r>
        <w:tab/>
      </w:r>
      <w:r>
        <w:tab/>
        <w:t>Administrative Law Judge</w:t>
      </w:r>
    </w:p>
    <w:p w:rsidR="002D10C1" w:rsidRDefault="002D10C1" w:rsidP="002D10C1"/>
    <w:p w:rsidR="002D10C1" w:rsidRPr="00877C2F" w:rsidRDefault="002D10C1" w:rsidP="002D10C1"/>
    <w:p w:rsidR="008B1656" w:rsidRDefault="008B1656"/>
    <w:sectPr w:rsidR="008B1656" w:rsidSect="00CD6760">
      <w:pgSz w:w="12240" w:h="15840" w:code="1"/>
      <w:pgMar w:top="1440" w:right="1440" w:bottom="1152" w:left="1440" w:header="720" w:footer="576"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4014" w:rsidRDefault="00074014" w:rsidP="002D10C1">
      <w:r>
        <w:separator/>
      </w:r>
    </w:p>
  </w:endnote>
  <w:endnote w:type="continuationSeparator" w:id="0">
    <w:p w:rsidR="00074014" w:rsidRDefault="00074014" w:rsidP="002D10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0C1" w:rsidRPr="004345D6" w:rsidRDefault="002D10C1">
    <w:pPr>
      <w:pStyle w:val="Footer"/>
      <w:jc w:val="center"/>
      <w:rPr>
        <w:sz w:val="20"/>
        <w:szCs w:val="20"/>
      </w:rPr>
    </w:pPr>
    <w:r w:rsidRPr="004345D6">
      <w:rPr>
        <w:sz w:val="20"/>
        <w:szCs w:val="20"/>
      </w:rPr>
      <w:fldChar w:fldCharType="begin"/>
    </w:r>
    <w:r w:rsidRPr="004345D6">
      <w:rPr>
        <w:sz w:val="20"/>
        <w:szCs w:val="20"/>
      </w:rPr>
      <w:instrText xml:space="preserve"> PAGE   \* MERGEFORMAT </w:instrText>
    </w:r>
    <w:r w:rsidRPr="004345D6">
      <w:rPr>
        <w:sz w:val="20"/>
        <w:szCs w:val="20"/>
      </w:rPr>
      <w:fldChar w:fldCharType="separate"/>
    </w:r>
    <w:r w:rsidR="00F70C71">
      <w:rPr>
        <w:noProof/>
        <w:sz w:val="20"/>
        <w:szCs w:val="20"/>
      </w:rPr>
      <w:t>27</w:t>
    </w:r>
    <w:r w:rsidRPr="004345D6">
      <w:rPr>
        <w:sz w:val="20"/>
        <w:szCs w:val="20"/>
      </w:rPr>
      <w:fldChar w:fldCharType="end"/>
    </w:r>
  </w:p>
  <w:p w:rsidR="002D10C1" w:rsidRDefault="002D10C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0C1" w:rsidRDefault="002D10C1">
    <w:pPr>
      <w:pStyle w:val="Footer"/>
      <w:jc w:val="center"/>
    </w:pPr>
  </w:p>
  <w:p w:rsidR="002D10C1" w:rsidRDefault="002D10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4014" w:rsidRDefault="00074014" w:rsidP="002D10C1">
      <w:r>
        <w:separator/>
      </w:r>
    </w:p>
  </w:footnote>
  <w:footnote w:type="continuationSeparator" w:id="0">
    <w:p w:rsidR="00074014" w:rsidRDefault="00074014" w:rsidP="002D10C1">
      <w:r>
        <w:continuationSeparator/>
      </w:r>
    </w:p>
  </w:footnote>
  <w:footnote w:id="1">
    <w:p w:rsidR="002D10C1" w:rsidRDefault="002D10C1" w:rsidP="002D10C1">
      <w:pPr>
        <w:pStyle w:val="FootnoteText"/>
      </w:pPr>
      <w:r>
        <w:rPr>
          <w:rStyle w:val="FootnoteReference"/>
        </w:rPr>
        <w:footnoteRef/>
      </w:r>
      <w:r>
        <w:t xml:space="preserve"> </w:t>
      </w:r>
      <w:r w:rsidR="00D4108E">
        <w:tab/>
      </w:r>
      <w:r w:rsidRPr="00723995">
        <w:rPr>
          <w:rFonts w:ascii="Times New Roman" w:hAnsi="Times New Roman" w:cs="Times New Roman"/>
          <w:sz w:val="20"/>
          <w:szCs w:val="20"/>
        </w:rPr>
        <w:t xml:space="preserve">For the purpose of this proceeding, the members of PAIEUG, listed on Attachment A to its Complaint and updated on June </w:t>
      </w:r>
      <w:r>
        <w:rPr>
          <w:rFonts w:ascii="Times New Roman" w:hAnsi="Times New Roman" w:cs="Times New Roman"/>
          <w:sz w:val="20"/>
          <w:szCs w:val="20"/>
        </w:rPr>
        <w:t>24</w:t>
      </w:r>
      <w:r w:rsidRPr="00723995">
        <w:rPr>
          <w:rFonts w:ascii="Times New Roman" w:hAnsi="Times New Roman" w:cs="Times New Roman"/>
          <w:sz w:val="20"/>
          <w:szCs w:val="20"/>
        </w:rPr>
        <w:t xml:space="preserve">, 2010, are </w:t>
      </w:r>
      <w:r>
        <w:rPr>
          <w:rFonts w:ascii="Times New Roman" w:hAnsi="Times New Roman" w:cs="Times New Roman"/>
          <w:sz w:val="20"/>
          <w:szCs w:val="20"/>
        </w:rPr>
        <w:t xml:space="preserve">Abington Health System, Air Liquide Industrial U.S. LP, The Boeing Company, Albert Einstein Healthcare Network, Inc., Aria Health System, Building Owners &amp; Managers Association of Philadelphia, GlaxoSmithKline, Kimberly-Clark Corporation, Magee Rehabilitation Hospital, Mainline Health System, Merck &amp; Co., Inc., Sanofi-Aventis, St. Joseph’s University, Temple University, Thomas Jefferson University, Thomas Jefferson University Hospital, Inc., United States Steel Corporation, Ursinus College and Villanova University. </w:t>
      </w:r>
      <w:r w:rsidRPr="00723995">
        <w:rPr>
          <w:rFonts w:ascii="Times New Roman" w:hAnsi="Times New Roman" w:cs="Times New Roman"/>
          <w:sz w:val="20"/>
          <w:szCs w:val="20"/>
        </w:rPr>
        <w:t xml:space="preserve"> ALJ Chestnut informed all parties that her daughter is currently employed by Merck as </w:t>
      </w:r>
      <w:r>
        <w:rPr>
          <w:rFonts w:ascii="Times New Roman" w:hAnsi="Times New Roman" w:cs="Times New Roman"/>
          <w:sz w:val="20"/>
          <w:szCs w:val="20"/>
        </w:rPr>
        <w:t>a staff</w:t>
      </w:r>
      <w:r w:rsidRPr="00723995">
        <w:rPr>
          <w:rFonts w:ascii="Times New Roman" w:hAnsi="Times New Roman" w:cs="Times New Roman"/>
          <w:sz w:val="20"/>
          <w:szCs w:val="20"/>
        </w:rPr>
        <w:t xml:space="preserve"> engineer; no party objected to her continued participation in this proceeding.</w:t>
      </w:r>
    </w:p>
  </w:footnote>
  <w:footnote w:id="2">
    <w:p w:rsidR="002D10C1" w:rsidRDefault="002D10C1" w:rsidP="002D10C1">
      <w:pPr>
        <w:pStyle w:val="FootnoteText"/>
        <w:rPr>
          <w:rFonts w:ascii="Times New Roman" w:hAnsi="Times New Roman" w:cs="Times New Roman"/>
          <w:sz w:val="20"/>
          <w:szCs w:val="20"/>
        </w:rPr>
      </w:pPr>
      <w:r w:rsidRPr="0029674D">
        <w:rPr>
          <w:rStyle w:val="FootnoteReference"/>
          <w:rFonts w:ascii="Times New Roman" w:hAnsi="Times New Roman" w:cs="Times New Roman"/>
          <w:sz w:val="20"/>
          <w:szCs w:val="20"/>
        </w:rPr>
        <w:footnoteRef/>
      </w:r>
      <w:r w:rsidRPr="0029674D">
        <w:rPr>
          <w:rFonts w:ascii="Times New Roman" w:hAnsi="Times New Roman" w:cs="Times New Roman"/>
          <w:sz w:val="20"/>
          <w:szCs w:val="20"/>
        </w:rPr>
        <w:t xml:space="preserve"> </w:t>
      </w:r>
      <w:r w:rsidR="00D4108E">
        <w:rPr>
          <w:rFonts w:ascii="Times New Roman" w:hAnsi="Times New Roman" w:cs="Times New Roman"/>
          <w:sz w:val="20"/>
          <w:szCs w:val="20"/>
        </w:rPr>
        <w:tab/>
      </w:r>
      <w:r>
        <w:rPr>
          <w:rFonts w:ascii="Times New Roman" w:hAnsi="Times New Roman" w:cs="Times New Roman"/>
          <w:sz w:val="20"/>
          <w:szCs w:val="20"/>
        </w:rPr>
        <w:t>A Complaint filed by Edward W. Leisenring, C-2010-2175072, was with</w:t>
      </w:r>
      <w:r w:rsidR="00CD6760">
        <w:rPr>
          <w:rFonts w:ascii="Times New Roman" w:hAnsi="Times New Roman" w:cs="Times New Roman"/>
          <w:sz w:val="20"/>
          <w:szCs w:val="20"/>
        </w:rPr>
        <w:t>drawn by letter received on May </w:t>
      </w:r>
      <w:r>
        <w:rPr>
          <w:rFonts w:ascii="Times New Roman" w:hAnsi="Times New Roman" w:cs="Times New Roman"/>
          <w:sz w:val="20"/>
          <w:szCs w:val="20"/>
        </w:rPr>
        <w:t>27, 2010.  By Order entered June 2, 2010 we directed that Mr. Leisenring be removed from the service list, in accordance with his request, pending processing of his letter of withdrawal.  Mr. Leisenring’s Complaint was closed by Secretarial letter dated July 2, 2010.</w:t>
      </w:r>
    </w:p>
    <w:p w:rsidR="00B625C1" w:rsidRPr="0029674D" w:rsidRDefault="00B625C1" w:rsidP="002D10C1">
      <w:pPr>
        <w:pStyle w:val="FootnoteText"/>
        <w:rPr>
          <w:rFonts w:ascii="Times New Roman" w:hAnsi="Times New Roman" w:cs="Times New Roman"/>
          <w:sz w:val="20"/>
          <w:szCs w:val="20"/>
        </w:rPr>
      </w:pPr>
    </w:p>
  </w:footnote>
  <w:footnote w:id="3">
    <w:p w:rsidR="002D10C1" w:rsidRDefault="002D10C1" w:rsidP="002D10C1">
      <w:pPr>
        <w:pStyle w:val="FootnoteText"/>
      </w:pPr>
      <w:r>
        <w:rPr>
          <w:rStyle w:val="FootnoteReference"/>
        </w:rPr>
        <w:footnoteRef/>
      </w:r>
      <w:r w:rsidR="00D4108E">
        <w:tab/>
      </w:r>
      <w:r>
        <w:t xml:space="preserve"> </w:t>
      </w:r>
      <w:r w:rsidRPr="00723995">
        <w:rPr>
          <w:rFonts w:ascii="Times New Roman" w:hAnsi="Times New Roman" w:cs="Times New Roman"/>
          <w:sz w:val="20"/>
          <w:szCs w:val="20"/>
        </w:rPr>
        <w:t xml:space="preserve">For the purpose of this proceeding, the members of </w:t>
      </w:r>
      <w:r>
        <w:rPr>
          <w:rFonts w:ascii="Times New Roman" w:hAnsi="Times New Roman" w:cs="Times New Roman"/>
          <w:sz w:val="20"/>
          <w:szCs w:val="20"/>
        </w:rPr>
        <w:t>the Commercial Group</w:t>
      </w:r>
      <w:r w:rsidRPr="00723995">
        <w:rPr>
          <w:rFonts w:ascii="Times New Roman" w:hAnsi="Times New Roman" w:cs="Times New Roman"/>
          <w:sz w:val="20"/>
          <w:szCs w:val="20"/>
        </w:rPr>
        <w:t>, listed on Attachment A of its Petition to Intervene, are BJ’s Wholesale Club, Inc., Sam’s East, Inc. and Wal-Mart Stores East, LP.</w:t>
      </w:r>
    </w:p>
  </w:footnote>
  <w:footnote w:id="4">
    <w:p w:rsidR="002D10C1" w:rsidRPr="00B93DFF" w:rsidRDefault="002D10C1" w:rsidP="002D10C1">
      <w:pPr>
        <w:pStyle w:val="FootnoteText"/>
        <w:rPr>
          <w:rFonts w:ascii="Times New Roman" w:hAnsi="Times New Roman" w:cs="Times New Roman"/>
          <w:sz w:val="20"/>
          <w:szCs w:val="20"/>
        </w:rPr>
      </w:pPr>
      <w:r w:rsidRPr="00B93DFF">
        <w:rPr>
          <w:rStyle w:val="FootnoteReference"/>
          <w:rFonts w:ascii="Times New Roman" w:hAnsi="Times New Roman" w:cs="Times New Roman"/>
          <w:sz w:val="20"/>
          <w:szCs w:val="20"/>
        </w:rPr>
        <w:footnoteRef/>
      </w:r>
      <w:r w:rsidRPr="00B93DFF">
        <w:rPr>
          <w:rFonts w:ascii="Times New Roman" w:hAnsi="Times New Roman" w:cs="Times New Roman"/>
          <w:sz w:val="20"/>
          <w:szCs w:val="20"/>
        </w:rPr>
        <w:t xml:space="preserve"> </w:t>
      </w:r>
      <w:r w:rsidR="00682D4C">
        <w:rPr>
          <w:rFonts w:ascii="Times New Roman" w:hAnsi="Times New Roman" w:cs="Times New Roman"/>
          <w:sz w:val="20"/>
          <w:szCs w:val="20"/>
        </w:rPr>
        <w:tab/>
      </w:r>
      <w:r w:rsidRPr="00B93DFF">
        <w:rPr>
          <w:rFonts w:ascii="Times New Roman" w:hAnsi="Times New Roman" w:cs="Times New Roman"/>
          <w:sz w:val="20"/>
          <w:szCs w:val="20"/>
        </w:rPr>
        <w:t>PECO, OCA, OSBA, PAIEUG and the Commercial Group presented separate cost of service studies.</w:t>
      </w:r>
    </w:p>
  </w:footnote>
  <w:footnote w:id="5">
    <w:p w:rsidR="002D10C1" w:rsidRPr="00966B9A" w:rsidRDefault="002D10C1" w:rsidP="002D10C1">
      <w:pPr>
        <w:pStyle w:val="FootnoteText"/>
        <w:rPr>
          <w:rFonts w:ascii="Times New Roman" w:hAnsi="Times New Roman" w:cs="Times New Roman"/>
          <w:sz w:val="20"/>
          <w:szCs w:val="20"/>
        </w:rPr>
      </w:pPr>
      <w:r w:rsidRPr="00966B9A">
        <w:rPr>
          <w:rStyle w:val="FootnoteReference"/>
          <w:rFonts w:ascii="Times New Roman" w:hAnsi="Times New Roman" w:cs="Times New Roman"/>
          <w:sz w:val="20"/>
          <w:szCs w:val="20"/>
        </w:rPr>
        <w:footnoteRef/>
      </w:r>
      <w:r w:rsidRPr="00966B9A">
        <w:rPr>
          <w:rFonts w:ascii="Times New Roman" w:hAnsi="Times New Roman" w:cs="Times New Roman"/>
          <w:sz w:val="20"/>
          <w:szCs w:val="20"/>
        </w:rPr>
        <w:t xml:space="preserve"> </w:t>
      </w:r>
      <w:r w:rsidR="00682D4C">
        <w:rPr>
          <w:rFonts w:ascii="Times New Roman" w:hAnsi="Times New Roman" w:cs="Times New Roman"/>
          <w:sz w:val="20"/>
          <w:szCs w:val="20"/>
        </w:rPr>
        <w:tab/>
      </w:r>
      <w:r w:rsidRPr="00966B9A">
        <w:rPr>
          <w:rFonts w:ascii="Times New Roman" w:hAnsi="Times New Roman" w:cs="Times New Roman"/>
          <w:i/>
          <w:sz w:val="20"/>
          <w:szCs w:val="20"/>
        </w:rPr>
        <w:t>Petition of PECO Energy Company for Approval of Smart Meter Technology Procurement and Installation Plan</w:t>
      </w:r>
      <w:r w:rsidRPr="00966B9A">
        <w:rPr>
          <w:rFonts w:ascii="Times New Roman" w:hAnsi="Times New Roman" w:cs="Times New Roman"/>
          <w:sz w:val="20"/>
          <w:szCs w:val="20"/>
        </w:rPr>
        <w:t>, Docket No. M-2009-2123944 (</w:t>
      </w:r>
      <w:r>
        <w:rPr>
          <w:rFonts w:ascii="Times New Roman" w:hAnsi="Times New Roman" w:cs="Times New Roman"/>
          <w:sz w:val="20"/>
          <w:szCs w:val="20"/>
        </w:rPr>
        <w:t>Commission Opinion and Order entered M</w:t>
      </w:r>
      <w:r w:rsidRPr="00966B9A">
        <w:rPr>
          <w:rFonts w:ascii="Times New Roman" w:hAnsi="Times New Roman" w:cs="Times New Roman"/>
          <w:sz w:val="20"/>
          <w:szCs w:val="20"/>
        </w:rPr>
        <w:t>ay 6, 2010).</w:t>
      </w:r>
    </w:p>
  </w:footnote>
  <w:footnote w:id="6">
    <w:p w:rsidR="002D10C1" w:rsidRPr="00B72F50" w:rsidRDefault="002D10C1" w:rsidP="002D10C1">
      <w:pPr>
        <w:pStyle w:val="FootnoteText"/>
        <w:rPr>
          <w:rFonts w:ascii="Times New Roman" w:hAnsi="Times New Roman" w:cs="Times New Roman"/>
          <w:sz w:val="20"/>
          <w:szCs w:val="20"/>
        </w:rPr>
      </w:pPr>
      <w:r w:rsidRPr="00B72F50">
        <w:rPr>
          <w:rStyle w:val="FootnoteReference"/>
          <w:rFonts w:ascii="Times New Roman" w:hAnsi="Times New Roman" w:cs="Times New Roman"/>
          <w:sz w:val="20"/>
          <w:szCs w:val="20"/>
        </w:rPr>
        <w:footnoteRef/>
      </w:r>
      <w:r w:rsidRPr="00B72F50">
        <w:rPr>
          <w:rFonts w:ascii="Times New Roman" w:hAnsi="Times New Roman" w:cs="Times New Roman"/>
          <w:sz w:val="20"/>
          <w:szCs w:val="20"/>
        </w:rPr>
        <w:t xml:space="preserve"> </w:t>
      </w:r>
      <w:r w:rsidR="00682D4C">
        <w:rPr>
          <w:rFonts w:ascii="Times New Roman" w:hAnsi="Times New Roman" w:cs="Times New Roman"/>
          <w:sz w:val="20"/>
          <w:szCs w:val="20"/>
        </w:rPr>
        <w:tab/>
      </w:r>
      <w:r w:rsidRPr="00B72F50">
        <w:rPr>
          <w:rFonts w:ascii="Times New Roman" w:hAnsi="Times New Roman" w:cs="Times New Roman"/>
          <w:i/>
          <w:sz w:val="20"/>
          <w:szCs w:val="20"/>
        </w:rPr>
        <w:t>Petition of PECO Energy Company for Approval of its Default Service Program and Rate Mitigation Plan</w:t>
      </w:r>
      <w:r w:rsidRPr="00B72F50">
        <w:rPr>
          <w:rFonts w:ascii="Times New Roman" w:hAnsi="Times New Roman" w:cs="Times New Roman"/>
          <w:sz w:val="20"/>
          <w:szCs w:val="20"/>
        </w:rPr>
        <w:t>, Docket No. P-2008-2062739.</w:t>
      </w:r>
    </w:p>
  </w:footnote>
  <w:footnote w:id="7">
    <w:p w:rsidR="002D10C1" w:rsidRPr="00BC73C7" w:rsidRDefault="002D10C1" w:rsidP="002D10C1">
      <w:pPr>
        <w:pStyle w:val="FootnoteText"/>
        <w:rPr>
          <w:rFonts w:ascii="Times New Roman" w:hAnsi="Times New Roman" w:cs="Times New Roman"/>
          <w:sz w:val="20"/>
          <w:szCs w:val="20"/>
        </w:rPr>
      </w:pPr>
      <w:r>
        <w:rPr>
          <w:rStyle w:val="FootnoteReference"/>
        </w:rPr>
        <w:footnoteRef/>
      </w:r>
      <w:r>
        <w:t xml:space="preserve"> </w:t>
      </w:r>
      <w:r w:rsidR="00682D4C">
        <w:tab/>
      </w:r>
      <w:r w:rsidRPr="00BC73C7">
        <w:rPr>
          <w:rFonts w:ascii="Times New Roman" w:hAnsi="Times New Roman" w:cs="Times New Roman"/>
          <w:sz w:val="20"/>
          <w:szCs w:val="20"/>
        </w:rPr>
        <w:t>We did not send a copy of this letter to Ms. Shirley T. White, whose Complaint is docketed at C-2010-2204439, as Ms. White’s Complaint was not filed and docketed until October 15, 2010, well after the response period ended.  However, a copy of the Joint Petition for Partial Settlement for Partial Settlement was provided to her.</w:t>
      </w:r>
    </w:p>
  </w:footnote>
  <w:footnote w:id="8">
    <w:p w:rsidR="002D10C1" w:rsidRPr="00054B4F" w:rsidRDefault="002D10C1" w:rsidP="002D10C1">
      <w:pPr>
        <w:pStyle w:val="FootnoteText"/>
        <w:rPr>
          <w:rFonts w:ascii="Times New Roman" w:hAnsi="Times New Roman" w:cs="Times New Roman"/>
          <w:sz w:val="20"/>
          <w:szCs w:val="20"/>
        </w:rPr>
      </w:pPr>
      <w:r w:rsidRPr="00054B4F">
        <w:rPr>
          <w:rStyle w:val="FootnoteReference"/>
          <w:rFonts w:ascii="Times New Roman" w:hAnsi="Times New Roman" w:cs="Times New Roman"/>
          <w:sz w:val="20"/>
          <w:szCs w:val="20"/>
        </w:rPr>
        <w:footnoteRef/>
      </w:r>
      <w:r w:rsidRPr="00054B4F">
        <w:rPr>
          <w:rFonts w:ascii="Times New Roman" w:hAnsi="Times New Roman" w:cs="Times New Roman"/>
          <w:sz w:val="20"/>
          <w:szCs w:val="20"/>
        </w:rPr>
        <w:t xml:space="preserve"> </w:t>
      </w:r>
      <w:r w:rsidR="00682D4C">
        <w:rPr>
          <w:rFonts w:ascii="Times New Roman" w:hAnsi="Times New Roman" w:cs="Times New Roman"/>
          <w:sz w:val="20"/>
          <w:szCs w:val="20"/>
        </w:rPr>
        <w:tab/>
      </w:r>
      <w:r w:rsidRPr="00054B4F">
        <w:rPr>
          <w:rFonts w:ascii="Times New Roman" w:hAnsi="Times New Roman" w:cs="Times New Roman"/>
          <w:sz w:val="20"/>
          <w:szCs w:val="20"/>
        </w:rPr>
        <w:t>Dominion Retail argued in its brief opposing OTS’ proposal that OTS is prohibited from renewing its proposal by the doctrine of res judicata, and that OTS has not met the requirements for reconsideration or rehearing.  Since the Commission specifically stated in the POR Order that a non-signatory to the Settlement could argue in favor of further unbundling PECO’s generation-related service costs in PECO’s next distribution base rate case, these arguments are without merit.</w:t>
      </w:r>
    </w:p>
    <w:p w:rsidR="002D10C1" w:rsidRDefault="002D10C1" w:rsidP="002D10C1">
      <w:pPr>
        <w:pStyle w:val="FootnoteText"/>
      </w:pPr>
    </w:p>
  </w:footnote>
  <w:footnote w:id="9">
    <w:p w:rsidR="002D10C1" w:rsidRPr="00180D05" w:rsidRDefault="002D10C1" w:rsidP="002D10C1">
      <w:pPr>
        <w:pStyle w:val="FootnoteText"/>
        <w:rPr>
          <w:rFonts w:ascii="Times New Roman" w:hAnsi="Times New Roman" w:cs="Times New Roman"/>
          <w:sz w:val="20"/>
          <w:szCs w:val="20"/>
        </w:rPr>
      </w:pPr>
      <w:r>
        <w:rPr>
          <w:rStyle w:val="FootnoteReference"/>
        </w:rPr>
        <w:footnoteRef/>
      </w:r>
      <w:r>
        <w:t xml:space="preserve"> </w:t>
      </w:r>
      <w:r w:rsidR="00682D4C">
        <w:tab/>
      </w:r>
      <w:r w:rsidRPr="00180D05">
        <w:rPr>
          <w:rFonts w:ascii="Times New Roman" w:hAnsi="Times New Roman" w:cs="Times New Roman"/>
          <w:sz w:val="20"/>
          <w:szCs w:val="20"/>
        </w:rPr>
        <w:t>In addition, as correctly noted by PECO in its Reply Brief at 3, the Commission has already determined that PECO’s recovery of this uncollectible expens</w:t>
      </w:r>
      <w:r>
        <w:rPr>
          <w:rFonts w:ascii="Times New Roman" w:hAnsi="Times New Roman" w:cs="Times New Roman"/>
          <w:sz w:val="20"/>
          <w:szCs w:val="20"/>
        </w:rPr>
        <w:t>e through distribution rates is</w:t>
      </w:r>
      <w:r w:rsidRPr="00180D05">
        <w:rPr>
          <w:rFonts w:ascii="Times New Roman" w:hAnsi="Times New Roman" w:cs="Times New Roman"/>
          <w:sz w:val="20"/>
          <w:szCs w:val="20"/>
        </w:rPr>
        <w:t xml:space="preserve"> just, reasonable and in the public interest.  Pursuant to 66 Pa.C.S.A. § 316, Commission orders are “prima facie evidence of the facts found and shall remain conclusive upon all parties affected thereby, unless set aside, annulled or modified on judicial review.</w:t>
      </w:r>
      <w:r>
        <w:rPr>
          <w:rFonts w:ascii="Times New Roman" w:hAnsi="Times New Roman" w:cs="Times New Roman"/>
          <w:sz w:val="20"/>
          <w:szCs w:val="20"/>
        </w:rPr>
        <w:t>”</w:t>
      </w:r>
    </w:p>
  </w:footnote>
  <w:footnote w:id="10">
    <w:p w:rsidR="002D10C1" w:rsidRDefault="002D10C1" w:rsidP="00FA37FA">
      <w:pPr>
        <w:pStyle w:val="FootnoteText"/>
        <w:rPr>
          <w:rFonts w:ascii="Times New Roman" w:hAnsi="Times New Roman" w:cs="Times New Roman"/>
          <w:sz w:val="20"/>
          <w:szCs w:val="20"/>
        </w:rPr>
      </w:pPr>
      <w:r>
        <w:rPr>
          <w:rStyle w:val="FootnoteReference"/>
        </w:rPr>
        <w:footnoteRef/>
      </w:r>
      <w:r>
        <w:t xml:space="preserve"> </w:t>
      </w:r>
      <w:r w:rsidR="00FA37FA">
        <w:tab/>
      </w:r>
      <w:r>
        <w:rPr>
          <w:rFonts w:ascii="Times New Roman" w:hAnsi="Times New Roman" w:cs="Times New Roman"/>
          <w:sz w:val="20"/>
          <w:szCs w:val="20"/>
        </w:rPr>
        <w:t>OTS Main Brief at 13.</w:t>
      </w:r>
      <w:r w:rsidRPr="00ED1C6E">
        <w:rPr>
          <w:rFonts w:ascii="Times New Roman" w:hAnsi="Times New Roman" w:cs="Times New Roman"/>
          <w:sz w:val="20"/>
          <w:szCs w:val="20"/>
        </w:rPr>
        <w:t xml:space="preserve">  Obviously, OTS believed that the Commission had the authority to accept its recommendation in the POR proceeding, or it would not have presented it.</w:t>
      </w:r>
    </w:p>
    <w:p w:rsidR="00FA37FA" w:rsidRPr="00ED1C6E" w:rsidRDefault="00FA37FA" w:rsidP="00FA37FA">
      <w:pPr>
        <w:pStyle w:val="FootnoteText"/>
        <w:rPr>
          <w:rFonts w:ascii="Times New Roman" w:hAnsi="Times New Roman" w:cs="Times New Roman"/>
          <w:sz w:val="20"/>
          <w:szCs w:val="20"/>
        </w:rPr>
      </w:pPr>
    </w:p>
  </w:footnote>
  <w:footnote w:id="11">
    <w:p w:rsidR="002D10C1" w:rsidRPr="00ED1C6E" w:rsidRDefault="002D10C1" w:rsidP="00FA37FA">
      <w:pPr>
        <w:pStyle w:val="FootnoteText"/>
        <w:rPr>
          <w:rFonts w:ascii="Times New Roman" w:hAnsi="Times New Roman" w:cs="Times New Roman"/>
          <w:sz w:val="20"/>
          <w:szCs w:val="20"/>
        </w:rPr>
      </w:pPr>
      <w:r w:rsidRPr="00ED1C6E">
        <w:rPr>
          <w:rStyle w:val="FootnoteReference"/>
          <w:rFonts w:ascii="Times New Roman" w:hAnsi="Times New Roman" w:cs="Times New Roman"/>
          <w:sz w:val="20"/>
          <w:szCs w:val="20"/>
        </w:rPr>
        <w:footnoteRef/>
      </w:r>
      <w:r w:rsidRPr="00ED1C6E">
        <w:rPr>
          <w:rFonts w:ascii="Times New Roman" w:hAnsi="Times New Roman" w:cs="Times New Roman"/>
          <w:sz w:val="20"/>
          <w:szCs w:val="20"/>
        </w:rPr>
        <w:t xml:space="preserve"> </w:t>
      </w:r>
      <w:r w:rsidR="00FA37FA">
        <w:rPr>
          <w:rFonts w:ascii="Times New Roman" w:hAnsi="Times New Roman" w:cs="Times New Roman"/>
          <w:sz w:val="20"/>
          <w:szCs w:val="20"/>
        </w:rPr>
        <w:tab/>
      </w:r>
      <w:r w:rsidRPr="00ED1C6E">
        <w:rPr>
          <w:rFonts w:ascii="Times New Roman" w:hAnsi="Times New Roman" w:cs="Times New Roman"/>
          <w:sz w:val="20"/>
          <w:szCs w:val="20"/>
        </w:rPr>
        <w:t>OTS Main Brief at 24.</w:t>
      </w:r>
    </w:p>
  </w:footnote>
  <w:footnote w:id="12">
    <w:p w:rsidR="002D10C1" w:rsidRPr="009A1240" w:rsidRDefault="002D10C1" w:rsidP="002D10C1">
      <w:pPr>
        <w:pStyle w:val="FootnoteText"/>
        <w:rPr>
          <w:rFonts w:ascii="Times New Roman" w:hAnsi="Times New Roman" w:cs="Times New Roman"/>
          <w:sz w:val="20"/>
          <w:szCs w:val="20"/>
        </w:rPr>
      </w:pPr>
      <w:r w:rsidRPr="00FA37FA">
        <w:rPr>
          <w:rStyle w:val="FootnoteReference"/>
          <w:sz w:val="20"/>
          <w:szCs w:val="20"/>
        </w:rPr>
        <w:footnoteRef/>
      </w:r>
      <w:r>
        <w:t xml:space="preserve"> </w:t>
      </w:r>
      <w:r w:rsidR="00FA37FA">
        <w:tab/>
      </w:r>
      <w:r w:rsidRPr="009A1240">
        <w:rPr>
          <w:rFonts w:ascii="Times New Roman" w:hAnsi="Times New Roman" w:cs="Times New Roman"/>
          <w:i/>
          <w:sz w:val="20"/>
          <w:szCs w:val="20"/>
        </w:rPr>
        <w:t>Re PECO Energy Company</w:t>
      </w:r>
      <w:r w:rsidRPr="009A1240">
        <w:rPr>
          <w:rFonts w:ascii="Times New Roman" w:hAnsi="Times New Roman" w:cs="Times New Roman"/>
          <w:sz w:val="20"/>
          <w:szCs w:val="20"/>
        </w:rPr>
        <w:t>, 181 PUR 4</w:t>
      </w:r>
      <w:r w:rsidRPr="009A1240">
        <w:rPr>
          <w:rFonts w:ascii="Times New Roman" w:hAnsi="Times New Roman" w:cs="Times New Roman"/>
          <w:sz w:val="20"/>
          <w:szCs w:val="20"/>
          <w:vertAlign w:val="superscript"/>
        </w:rPr>
        <w:t>th</w:t>
      </w:r>
      <w:r w:rsidRPr="009A1240">
        <w:rPr>
          <w:rFonts w:ascii="Times New Roman" w:hAnsi="Times New Roman" w:cs="Times New Roman"/>
          <w:sz w:val="20"/>
          <w:szCs w:val="20"/>
        </w:rPr>
        <w:t xml:space="preserve"> 517 (Order entered December 23, 1997) as modified by </w:t>
      </w:r>
      <w:r w:rsidRPr="009A1240">
        <w:rPr>
          <w:rFonts w:ascii="Times New Roman" w:hAnsi="Times New Roman" w:cs="Times New Roman"/>
          <w:i/>
          <w:sz w:val="20"/>
          <w:szCs w:val="20"/>
        </w:rPr>
        <w:t>Re:  PECO Energy Company</w:t>
      </w:r>
      <w:r w:rsidRPr="009A1240">
        <w:rPr>
          <w:rFonts w:ascii="Times New Roman" w:hAnsi="Times New Roman" w:cs="Times New Roman"/>
          <w:sz w:val="20"/>
          <w:szCs w:val="20"/>
        </w:rPr>
        <w:t>, 186 PUR 4</w:t>
      </w:r>
      <w:r w:rsidRPr="009A1240">
        <w:rPr>
          <w:rFonts w:ascii="Times New Roman" w:hAnsi="Times New Roman" w:cs="Times New Roman"/>
          <w:sz w:val="20"/>
          <w:szCs w:val="20"/>
          <w:vertAlign w:val="superscript"/>
        </w:rPr>
        <w:t>th</w:t>
      </w:r>
      <w:r w:rsidRPr="009A1240">
        <w:rPr>
          <w:rFonts w:ascii="Times New Roman" w:hAnsi="Times New Roman" w:cs="Times New Roman"/>
          <w:sz w:val="20"/>
          <w:szCs w:val="20"/>
        </w:rPr>
        <w:t xml:space="preserve"> 105 (Comm</w:t>
      </w:r>
      <w:r>
        <w:rPr>
          <w:rFonts w:ascii="Times New Roman" w:hAnsi="Times New Roman" w:cs="Times New Roman"/>
          <w:sz w:val="20"/>
          <w:szCs w:val="20"/>
        </w:rPr>
        <w:t>ission</w:t>
      </w:r>
      <w:r w:rsidRPr="009A1240">
        <w:rPr>
          <w:rFonts w:ascii="Times New Roman" w:hAnsi="Times New Roman" w:cs="Times New Roman"/>
          <w:sz w:val="20"/>
          <w:szCs w:val="20"/>
        </w:rPr>
        <w:t xml:space="preserve"> </w:t>
      </w:r>
      <w:r>
        <w:rPr>
          <w:rFonts w:ascii="Times New Roman" w:hAnsi="Times New Roman" w:cs="Times New Roman"/>
          <w:sz w:val="20"/>
          <w:szCs w:val="20"/>
        </w:rPr>
        <w:t>Order entered May 14, 1998).</w:t>
      </w:r>
    </w:p>
    <w:p w:rsidR="002D10C1" w:rsidRPr="00501B6F" w:rsidRDefault="002D10C1" w:rsidP="002D10C1">
      <w:pPr>
        <w:pStyle w:val="FootnoteText"/>
        <w:rPr>
          <w:sz w:val="20"/>
          <w:szCs w:val="20"/>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2C7B27"/>
    <w:multiLevelType w:val="hybridMultilevel"/>
    <w:tmpl w:val="C7AC860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3725502B"/>
    <w:multiLevelType w:val="hybridMultilevel"/>
    <w:tmpl w:val="8AA2EAF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456B629B"/>
    <w:multiLevelType w:val="multilevel"/>
    <w:tmpl w:val="B8869C40"/>
    <w:name w:val="zzmpPleading2||Pleading2|2|1|1|1|0|45||1|0|32||1|0|32||1|0|32||1|0|32||1|0|32||1|0|32||1|0|32||1|0|32||"/>
    <w:lvl w:ilvl="0">
      <w:start w:val="1"/>
      <w:numFmt w:val="upperRoman"/>
      <w:pStyle w:val="Pleading2L1"/>
      <w:lvlText w:val="%1."/>
      <w:lvlJc w:val="left"/>
      <w:pPr>
        <w:tabs>
          <w:tab w:val="num" w:pos="0"/>
        </w:tabs>
        <w:ind w:left="0" w:firstLine="0"/>
      </w:pPr>
      <w:rPr>
        <w:rFonts w:ascii="Times New Roman" w:hAnsi="Times New Roman"/>
        <w:b/>
        <w:i w:val="0"/>
        <w:caps w:val="0"/>
        <w:smallCaps w:val="0"/>
        <w:strike w:val="0"/>
        <w:dstrike w:val="0"/>
        <w:outline w:val="0"/>
        <w:shadow w:val="0"/>
        <w:emboss w:val="0"/>
        <w:imprint w:val="0"/>
        <w:vanish w:val="0"/>
        <w:sz w:val="24"/>
        <w:u w:val="none"/>
        <w:vertAlign w:val="baseline"/>
      </w:rPr>
    </w:lvl>
    <w:lvl w:ilvl="1">
      <w:start w:val="1"/>
      <w:numFmt w:val="upperLetter"/>
      <w:pStyle w:val="Pleading2L2"/>
      <w:lvlText w:val="%2."/>
      <w:lvlJc w:val="left"/>
      <w:pPr>
        <w:tabs>
          <w:tab w:val="num" w:pos="2250"/>
        </w:tabs>
        <w:ind w:left="153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2">
      <w:start w:val="1"/>
      <w:numFmt w:val="decimal"/>
      <w:lvlRestart w:val="0"/>
      <w:pStyle w:val="Pleading2L3"/>
      <w:lvlText w:val="%3."/>
      <w:lvlJc w:val="left"/>
      <w:pPr>
        <w:tabs>
          <w:tab w:val="num" w:pos="2970"/>
        </w:tabs>
        <w:ind w:left="225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3">
      <w:start w:val="1"/>
      <w:numFmt w:val="lowerLetter"/>
      <w:pStyle w:val="Pleading2L4"/>
      <w:lvlText w:val="%4."/>
      <w:lvlJc w:val="left"/>
      <w:pPr>
        <w:tabs>
          <w:tab w:val="num" w:pos="2880"/>
        </w:tabs>
        <w:ind w:left="216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4">
      <w:start w:val="1"/>
      <w:numFmt w:val="decimal"/>
      <w:pStyle w:val="Pleading2L5"/>
      <w:lvlText w:val="(%5)"/>
      <w:lvlJc w:val="left"/>
      <w:pPr>
        <w:tabs>
          <w:tab w:val="num" w:pos="2880"/>
        </w:tabs>
        <w:ind w:left="2880" w:hanging="720"/>
      </w:pPr>
      <w:rPr>
        <w:rFonts w:ascii="Times New Roman" w:hAnsi="Times New Roman"/>
        <w:caps w:val="0"/>
        <w:smallCaps w:val="0"/>
        <w:strike w:val="0"/>
        <w:dstrike w:val="0"/>
        <w:outline w:val="0"/>
        <w:shadow w:val="0"/>
        <w:emboss w:val="0"/>
        <w:imprint w:val="0"/>
        <w:vanish w:val="0"/>
        <w:sz w:val="24"/>
        <w:u w:val="none"/>
        <w:vertAlign w:val="baseline"/>
      </w:rPr>
    </w:lvl>
    <w:lvl w:ilvl="5">
      <w:start w:val="1"/>
      <w:numFmt w:val="lowerLetter"/>
      <w:pStyle w:val="Pleading2L6"/>
      <w:lvlText w:val="(%6)"/>
      <w:lvlJc w:val="left"/>
      <w:pPr>
        <w:tabs>
          <w:tab w:val="num" w:pos="3600"/>
        </w:tabs>
        <w:ind w:left="360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6">
      <w:start w:val="1"/>
      <w:numFmt w:val="lowerRoman"/>
      <w:pStyle w:val="Pleading2L7"/>
      <w:lvlText w:val="(%7)"/>
      <w:lvlJc w:val="left"/>
      <w:pPr>
        <w:tabs>
          <w:tab w:val="num" w:pos="4320"/>
        </w:tabs>
        <w:ind w:left="432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7">
      <w:start w:val="1"/>
      <w:numFmt w:val="lowerLetter"/>
      <w:pStyle w:val="Pleading2L8"/>
      <w:lvlText w:val="%8)"/>
      <w:lvlJc w:val="left"/>
      <w:pPr>
        <w:tabs>
          <w:tab w:val="num" w:pos="5040"/>
        </w:tabs>
        <w:ind w:left="504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8">
      <w:start w:val="1"/>
      <w:numFmt w:val="lowerRoman"/>
      <w:pStyle w:val="Pleading2L9"/>
      <w:lvlText w:val="%9)"/>
      <w:lvlJc w:val="left"/>
      <w:pPr>
        <w:tabs>
          <w:tab w:val="num" w:pos="5760"/>
        </w:tabs>
        <w:ind w:left="576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abstractNum>
  <w:abstractNum w:abstractNumId="3">
    <w:nsid w:val="4B6B03D4"/>
    <w:multiLevelType w:val="multilevel"/>
    <w:tmpl w:val="2F38F434"/>
    <w:name w:val="zzmpOutline||Outline|2|3|1|1|2|41||1|4|33||1|4|0||1|12|0||1|12|0||1|4|0||1|4|0||1|4|0||1|4|0||"/>
    <w:lvl w:ilvl="0">
      <w:start w:val="1"/>
      <w:numFmt w:val="upperRoman"/>
      <w:pStyle w:val="OutlineL1"/>
      <w:lvlText w:val="%1."/>
      <w:lvlJc w:val="left"/>
      <w:pPr>
        <w:tabs>
          <w:tab w:val="num" w:pos="720"/>
        </w:tabs>
        <w:ind w:left="0" w:firstLine="0"/>
      </w:pPr>
      <w:rPr>
        <w:rFonts w:ascii="Times New Roman" w:hAnsi="Times New Roman" w:cs="Times New Roman"/>
        <w:b/>
        <w:i w:val="0"/>
        <w:caps/>
        <w:smallCaps w:val="0"/>
        <w:sz w:val="24"/>
        <w:u w:val="none"/>
      </w:rPr>
    </w:lvl>
    <w:lvl w:ilvl="1">
      <w:start w:val="1"/>
      <w:numFmt w:val="upperLetter"/>
      <w:lvlRestart w:val="0"/>
      <w:pStyle w:val="OutlineL2"/>
      <w:lvlText w:val="%2."/>
      <w:lvlJc w:val="left"/>
      <w:pPr>
        <w:tabs>
          <w:tab w:val="num" w:pos="1440"/>
        </w:tabs>
        <w:ind w:left="1440" w:hanging="720"/>
      </w:pPr>
      <w:rPr>
        <w:rFonts w:ascii="Times New Roman" w:hAnsi="Times New Roman" w:cs="Times New Roman"/>
        <w:b/>
        <w:i w:val="0"/>
        <w:caps w:val="0"/>
        <w:smallCaps w:val="0"/>
        <w:sz w:val="24"/>
        <w:u w:val="none"/>
      </w:rPr>
    </w:lvl>
    <w:lvl w:ilvl="2">
      <w:start w:val="1"/>
      <w:numFmt w:val="decimal"/>
      <w:lvlRestart w:val="0"/>
      <w:pStyle w:val="OutlineL3"/>
      <w:lvlText w:val="%3."/>
      <w:lvlJc w:val="left"/>
      <w:pPr>
        <w:tabs>
          <w:tab w:val="num" w:pos="1440"/>
        </w:tabs>
        <w:ind w:left="0" w:firstLine="720"/>
      </w:pPr>
      <w:rPr>
        <w:rFonts w:ascii="Times New Roman" w:hAnsi="Times New Roman" w:cs="Times New Roman"/>
        <w:b w:val="0"/>
        <w:i w:val="0"/>
        <w:caps w:val="0"/>
        <w:sz w:val="24"/>
        <w:u w:val="none"/>
      </w:rPr>
    </w:lvl>
    <w:lvl w:ilvl="3">
      <w:start w:val="1"/>
      <w:numFmt w:val="decimal"/>
      <w:pStyle w:val="OutlineL4"/>
      <w:lvlText w:val="(%4)"/>
      <w:lvlJc w:val="left"/>
      <w:pPr>
        <w:tabs>
          <w:tab w:val="num" w:pos="2160"/>
        </w:tabs>
        <w:ind w:left="0" w:firstLine="1440"/>
      </w:pPr>
      <w:rPr>
        <w:rFonts w:ascii="Times New Roman" w:hAnsi="Times New Roman" w:cs="Times New Roman"/>
        <w:b w:val="0"/>
        <w:i w:val="0"/>
        <w:caps w:val="0"/>
        <w:sz w:val="24"/>
        <w:u w:val="none"/>
      </w:rPr>
    </w:lvl>
    <w:lvl w:ilvl="4">
      <w:start w:val="1"/>
      <w:numFmt w:val="lowerLetter"/>
      <w:pStyle w:val="OutlineL5"/>
      <w:lvlText w:val="%5."/>
      <w:lvlJc w:val="left"/>
      <w:pPr>
        <w:tabs>
          <w:tab w:val="num" w:pos="3600"/>
        </w:tabs>
        <w:ind w:left="0" w:firstLine="2880"/>
      </w:pPr>
      <w:rPr>
        <w:rFonts w:ascii="Times New Roman" w:hAnsi="Times New Roman" w:cs="Times New Roman"/>
        <w:b w:val="0"/>
        <w:i w:val="0"/>
        <w:caps w:val="0"/>
        <w:sz w:val="24"/>
        <w:u w:val="none"/>
      </w:rPr>
    </w:lvl>
    <w:lvl w:ilvl="5">
      <w:start w:val="1"/>
      <w:numFmt w:val="lowerLetter"/>
      <w:pStyle w:val="OutlineL6"/>
      <w:lvlText w:val="(%6)"/>
      <w:lvlJc w:val="left"/>
      <w:pPr>
        <w:tabs>
          <w:tab w:val="num" w:pos="4320"/>
        </w:tabs>
        <w:ind w:left="0" w:firstLine="2160"/>
      </w:pPr>
      <w:rPr>
        <w:rFonts w:ascii="Times New Roman" w:hAnsi="Times New Roman" w:cs="Times New Roman"/>
        <w:b w:val="0"/>
        <w:i w:val="0"/>
        <w:caps w:val="0"/>
        <w:sz w:val="24"/>
        <w:u w:val="none"/>
      </w:rPr>
    </w:lvl>
    <w:lvl w:ilvl="6">
      <w:start w:val="1"/>
      <w:numFmt w:val="decimal"/>
      <w:pStyle w:val="OutlineL7"/>
      <w:lvlText w:val="(%7)"/>
      <w:lvlJc w:val="left"/>
      <w:pPr>
        <w:tabs>
          <w:tab w:val="num" w:pos="5040"/>
        </w:tabs>
        <w:ind w:left="0" w:firstLine="4320"/>
      </w:pPr>
      <w:rPr>
        <w:rFonts w:ascii="Times New Roman" w:hAnsi="Times New Roman" w:cs="Times New Roman"/>
        <w:b w:val="0"/>
        <w:i w:val="0"/>
        <w:caps w:val="0"/>
        <w:sz w:val="24"/>
        <w:u w:val="none"/>
      </w:rPr>
    </w:lvl>
    <w:lvl w:ilvl="7">
      <w:start w:val="1"/>
      <w:numFmt w:val="lowerRoman"/>
      <w:pStyle w:val="OutlineL8"/>
      <w:lvlText w:val="%8)"/>
      <w:lvlJc w:val="left"/>
      <w:pPr>
        <w:tabs>
          <w:tab w:val="num" w:pos="5760"/>
        </w:tabs>
        <w:ind w:left="0" w:firstLine="5040"/>
      </w:pPr>
      <w:rPr>
        <w:rFonts w:ascii="Times New Roman" w:hAnsi="Times New Roman" w:cs="Times New Roman"/>
        <w:b w:val="0"/>
        <w:i w:val="0"/>
        <w:caps w:val="0"/>
        <w:sz w:val="24"/>
        <w:u w:val="none"/>
      </w:rPr>
    </w:lvl>
    <w:lvl w:ilvl="8">
      <w:start w:val="1"/>
      <w:numFmt w:val="lowerLetter"/>
      <w:pStyle w:val="OutlineL9"/>
      <w:lvlText w:val="%9)"/>
      <w:lvlJc w:val="left"/>
      <w:pPr>
        <w:tabs>
          <w:tab w:val="num" w:pos="6480"/>
        </w:tabs>
        <w:ind w:left="0" w:firstLine="5760"/>
      </w:pPr>
      <w:rPr>
        <w:rFonts w:ascii="Times New Roman" w:hAnsi="Times New Roman" w:cs="Times New Roman"/>
        <w:b w:val="0"/>
        <w:i w:val="0"/>
        <w:caps w:val="0"/>
        <w:sz w:val="24"/>
        <w:u w:val="none"/>
      </w:rPr>
    </w:lvl>
  </w:abstractNum>
  <w:abstractNum w:abstractNumId="4">
    <w:nsid w:val="570B0E3F"/>
    <w:multiLevelType w:val="hybridMultilevel"/>
    <w:tmpl w:val="5F9445DC"/>
    <w:lvl w:ilvl="0" w:tplc="197CF80A">
      <w:start w:val="1"/>
      <w:numFmt w:val="upp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5">
    <w:nsid w:val="62F05BC3"/>
    <w:multiLevelType w:val="hybridMultilevel"/>
    <w:tmpl w:val="0D585A22"/>
    <w:lvl w:ilvl="0" w:tplc="6F184434">
      <w:start w:val="1"/>
      <w:numFmt w:val="upperRoman"/>
      <w:lvlText w:val="%1."/>
      <w:lvlJc w:val="left"/>
      <w:pPr>
        <w:ind w:left="99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D10C1"/>
    <w:rsid w:val="00000177"/>
    <w:rsid w:val="000004AB"/>
    <w:rsid w:val="000004E2"/>
    <w:rsid w:val="00000CD7"/>
    <w:rsid w:val="00002BF1"/>
    <w:rsid w:val="00002D29"/>
    <w:rsid w:val="00002D4C"/>
    <w:rsid w:val="00003156"/>
    <w:rsid w:val="00003280"/>
    <w:rsid w:val="00003385"/>
    <w:rsid w:val="00003899"/>
    <w:rsid w:val="00004736"/>
    <w:rsid w:val="00005210"/>
    <w:rsid w:val="00005364"/>
    <w:rsid w:val="00005AC3"/>
    <w:rsid w:val="00005BC3"/>
    <w:rsid w:val="00006F19"/>
    <w:rsid w:val="000077FD"/>
    <w:rsid w:val="000078CD"/>
    <w:rsid w:val="000108B8"/>
    <w:rsid w:val="00011768"/>
    <w:rsid w:val="00012492"/>
    <w:rsid w:val="00013294"/>
    <w:rsid w:val="00013760"/>
    <w:rsid w:val="00013BF9"/>
    <w:rsid w:val="00014045"/>
    <w:rsid w:val="0001533C"/>
    <w:rsid w:val="000159CC"/>
    <w:rsid w:val="00015ABD"/>
    <w:rsid w:val="00015E5E"/>
    <w:rsid w:val="00016484"/>
    <w:rsid w:val="0001682D"/>
    <w:rsid w:val="00016F25"/>
    <w:rsid w:val="0001744F"/>
    <w:rsid w:val="00020B78"/>
    <w:rsid w:val="000211EF"/>
    <w:rsid w:val="0002121F"/>
    <w:rsid w:val="00021630"/>
    <w:rsid w:val="00021CEA"/>
    <w:rsid w:val="00021E50"/>
    <w:rsid w:val="00021FE9"/>
    <w:rsid w:val="0002205C"/>
    <w:rsid w:val="00022A58"/>
    <w:rsid w:val="00023204"/>
    <w:rsid w:val="00023ED3"/>
    <w:rsid w:val="00024037"/>
    <w:rsid w:val="00024B31"/>
    <w:rsid w:val="00024B40"/>
    <w:rsid w:val="0002580D"/>
    <w:rsid w:val="00025CC7"/>
    <w:rsid w:val="00025D61"/>
    <w:rsid w:val="000260DE"/>
    <w:rsid w:val="0002616F"/>
    <w:rsid w:val="0002653F"/>
    <w:rsid w:val="000265A4"/>
    <w:rsid w:val="00026D6B"/>
    <w:rsid w:val="00027275"/>
    <w:rsid w:val="000277F2"/>
    <w:rsid w:val="0002791F"/>
    <w:rsid w:val="00027D57"/>
    <w:rsid w:val="00027D8B"/>
    <w:rsid w:val="000306BB"/>
    <w:rsid w:val="0003073C"/>
    <w:rsid w:val="000308AB"/>
    <w:rsid w:val="0003271A"/>
    <w:rsid w:val="0003278C"/>
    <w:rsid w:val="00033092"/>
    <w:rsid w:val="000338CA"/>
    <w:rsid w:val="000343CF"/>
    <w:rsid w:val="00034894"/>
    <w:rsid w:val="00035D17"/>
    <w:rsid w:val="00036FEB"/>
    <w:rsid w:val="00037265"/>
    <w:rsid w:val="0003755D"/>
    <w:rsid w:val="000378D6"/>
    <w:rsid w:val="00040ADB"/>
    <w:rsid w:val="00040C31"/>
    <w:rsid w:val="00041081"/>
    <w:rsid w:val="00041BBA"/>
    <w:rsid w:val="00042158"/>
    <w:rsid w:val="0004269E"/>
    <w:rsid w:val="00042956"/>
    <w:rsid w:val="00042A61"/>
    <w:rsid w:val="00042B69"/>
    <w:rsid w:val="00042BFD"/>
    <w:rsid w:val="00042F29"/>
    <w:rsid w:val="000436F5"/>
    <w:rsid w:val="00043A76"/>
    <w:rsid w:val="00043CC8"/>
    <w:rsid w:val="00043E0A"/>
    <w:rsid w:val="00043F3A"/>
    <w:rsid w:val="000445E5"/>
    <w:rsid w:val="000451B9"/>
    <w:rsid w:val="00045E98"/>
    <w:rsid w:val="00045F6A"/>
    <w:rsid w:val="00046524"/>
    <w:rsid w:val="00047796"/>
    <w:rsid w:val="00047BCE"/>
    <w:rsid w:val="00047DB3"/>
    <w:rsid w:val="00050454"/>
    <w:rsid w:val="00050D30"/>
    <w:rsid w:val="00050EF6"/>
    <w:rsid w:val="000515F0"/>
    <w:rsid w:val="000516BE"/>
    <w:rsid w:val="00051C75"/>
    <w:rsid w:val="00052596"/>
    <w:rsid w:val="00054553"/>
    <w:rsid w:val="00054C7B"/>
    <w:rsid w:val="00055474"/>
    <w:rsid w:val="0005561C"/>
    <w:rsid w:val="000557EC"/>
    <w:rsid w:val="000560F2"/>
    <w:rsid w:val="00057917"/>
    <w:rsid w:val="00057DA3"/>
    <w:rsid w:val="00060624"/>
    <w:rsid w:val="000606D0"/>
    <w:rsid w:val="00060E59"/>
    <w:rsid w:val="0006100C"/>
    <w:rsid w:val="00061553"/>
    <w:rsid w:val="00061738"/>
    <w:rsid w:val="0006180B"/>
    <w:rsid w:val="000622B8"/>
    <w:rsid w:val="000623B0"/>
    <w:rsid w:val="00062826"/>
    <w:rsid w:val="00062892"/>
    <w:rsid w:val="00062B45"/>
    <w:rsid w:val="00062B9F"/>
    <w:rsid w:val="0006323F"/>
    <w:rsid w:val="00063571"/>
    <w:rsid w:val="0006448C"/>
    <w:rsid w:val="00064781"/>
    <w:rsid w:val="00064D0E"/>
    <w:rsid w:val="0006509C"/>
    <w:rsid w:val="000650EA"/>
    <w:rsid w:val="00065BD4"/>
    <w:rsid w:val="0006690C"/>
    <w:rsid w:val="00066B22"/>
    <w:rsid w:val="000672CA"/>
    <w:rsid w:val="00067720"/>
    <w:rsid w:val="000678F2"/>
    <w:rsid w:val="000679B2"/>
    <w:rsid w:val="00070388"/>
    <w:rsid w:val="00070AA8"/>
    <w:rsid w:val="00070C29"/>
    <w:rsid w:val="00070D6E"/>
    <w:rsid w:val="00070FC9"/>
    <w:rsid w:val="00071677"/>
    <w:rsid w:val="00071809"/>
    <w:rsid w:val="0007238B"/>
    <w:rsid w:val="000724D2"/>
    <w:rsid w:val="000732AE"/>
    <w:rsid w:val="00073747"/>
    <w:rsid w:val="00073DD8"/>
    <w:rsid w:val="00074014"/>
    <w:rsid w:val="000744BC"/>
    <w:rsid w:val="00074C19"/>
    <w:rsid w:val="00074D6D"/>
    <w:rsid w:val="00075051"/>
    <w:rsid w:val="000752BD"/>
    <w:rsid w:val="0007532B"/>
    <w:rsid w:val="00075826"/>
    <w:rsid w:val="00075A1C"/>
    <w:rsid w:val="00076A89"/>
    <w:rsid w:val="00077728"/>
    <w:rsid w:val="00081639"/>
    <w:rsid w:val="00081925"/>
    <w:rsid w:val="00081C62"/>
    <w:rsid w:val="00081F8E"/>
    <w:rsid w:val="00082D1C"/>
    <w:rsid w:val="000830FA"/>
    <w:rsid w:val="0008372B"/>
    <w:rsid w:val="00083AB7"/>
    <w:rsid w:val="00083CEF"/>
    <w:rsid w:val="00084DF5"/>
    <w:rsid w:val="00084EA3"/>
    <w:rsid w:val="00085057"/>
    <w:rsid w:val="00085883"/>
    <w:rsid w:val="00085965"/>
    <w:rsid w:val="00085DFF"/>
    <w:rsid w:val="0008646C"/>
    <w:rsid w:val="00086FD9"/>
    <w:rsid w:val="0008702B"/>
    <w:rsid w:val="00087287"/>
    <w:rsid w:val="00087451"/>
    <w:rsid w:val="00087D95"/>
    <w:rsid w:val="00087F92"/>
    <w:rsid w:val="00090019"/>
    <w:rsid w:val="00090BFF"/>
    <w:rsid w:val="00090E1E"/>
    <w:rsid w:val="0009107C"/>
    <w:rsid w:val="00091A16"/>
    <w:rsid w:val="00091A7C"/>
    <w:rsid w:val="000920E0"/>
    <w:rsid w:val="00092218"/>
    <w:rsid w:val="000928AE"/>
    <w:rsid w:val="00093C4C"/>
    <w:rsid w:val="00093FD2"/>
    <w:rsid w:val="00094C65"/>
    <w:rsid w:val="00094EEB"/>
    <w:rsid w:val="00095016"/>
    <w:rsid w:val="00095240"/>
    <w:rsid w:val="000953B7"/>
    <w:rsid w:val="00095B59"/>
    <w:rsid w:val="00095D09"/>
    <w:rsid w:val="00095D8D"/>
    <w:rsid w:val="00095DFC"/>
    <w:rsid w:val="00096035"/>
    <w:rsid w:val="000962BF"/>
    <w:rsid w:val="000962E9"/>
    <w:rsid w:val="000966E6"/>
    <w:rsid w:val="00096A8B"/>
    <w:rsid w:val="00097EE5"/>
    <w:rsid w:val="000A0337"/>
    <w:rsid w:val="000A036C"/>
    <w:rsid w:val="000A0805"/>
    <w:rsid w:val="000A09D6"/>
    <w:rsid w:val="000A0AE9"/>
    <w:rsid w:val="000A240A"/>
    <w:rsid w:val="000A26D2"/>
    <w:rsid w:val="000A29BE"/>
    <w:rsid w:val="000A2EE3"/>
    <w:rsid w:val="000A302A"/>
    <w:rsid w:val="000A30B8"/>
    <w:rsid w:val="000A4151"/>
    <w:rsid w:val="000A4715"/>
    <w:rsid w:val="000A47B7"/>
    <w:rsid w:val="000A4943"/>
    <w:rsid w:val="000A4A7A"/>
    <w:rsid w:val="000A50CF"/>
    <w:rsid w:val="000A543D"/>
    <w:rsid w:val="000A69EF"/>
    <w:rsid w:val="000A6D81"/>
    <w:rsid w:val="000A7463"/>
    <w:rsid w:val="000A77E6"/>
    <w:rsid w:val="000A787A"/>
    <w:rsid w:val="000A7D5D"/>
    <w:rsid w:val="000B064A"/>
    <w:rsid w:val="000B0DEA"/>
    <w:rsid w:val="000B1C0B"/>
    <w:rsid w:val="000B1CA5"/>
    <w:rsid w:val="000B335F"/>
    <w:rsid w:val="000B4133"/>
    <w:rsid w:val="000B4226"/>
    <w:rsid w:val="000B555C"/>
    <w:rsid w:val="000B5B05"/>
    <w:rsid w:val="000B5D2B"/>
    <w:rsid w:val="000B64B3"/>
    <w:rsid w:val="000B72CB"/>
    <w:rsid w:val="000B743B"/>
    <w:rsid w:val="000B78FA"/>
    <w:rsid w:val="000B7EE9"/>
    <w:rsid w:val="000C007A"/>
    <w:rsid w:val="000C1015"/>
    <w:rsid w:val="000C1924"/>
    <w:rsid w:val="000C1C0E"/>
    <w:rsid w:val="000C236A"/>
    <w:rsid w:val="000C23B2"/>
    <w:rsid w:val="000C3204"/>
    <w:rsid w:val="000C5040"/>
    <w:rsid w:val="000C51EB"/>
    <w:rsid w:val="000C56E1"/>
    <w:rsid w:val="000C5EE4"/>
    <w:rsid w:val="000C60DF"/>
    <w:rsid w:val="000C6736"/>
    <w:rsid w:val="000C6AA2"/>
    <w:rsid w:val="000C6BB7"/>
    <w:rsid w:val="000C6E73"/>
    <w:rsid w:val="000C747D"/>
    <w:rsid w:val="000C74C2"/>
    <w:rsid w:val="000C77A7"/>
    <w:rsid w:val="000D0588"/>
    <w:rsid w:val="000D06CA"/>
    <w:rsid w:val="000D06E1"/>
    <w:rsid w:val="000D0CAC"/>
    <w:rsid w:val="000D1184"/>
    <w:rsid w:val="000D118A"/>
    <w:rsid w:val="000D121E"/>
    <w:rsid w:val="000D16B1"/>
    <w:rsid w:val="000D202F"/>
    <w:rsid w:val="000D2833"/>
    <w:rsid w:val="000D2E97"/>
    <w:rsid w:val="000D314C"/>
    <w:rsid w:val="000D3838"/>
    <w:rsid w:val="000D3B0B"/>
    <w:rsid w:val="000D3BD7"/>
    <w:rsid w:val="000D3FD0"/>
    <w:rsid w:val="000D4184"/>
    <w:rsid w:val="000D46E1"/>
    <w:rsid w:val="000D4AE2"/>
    <w:rsid w:val="000D4EBC"/>
    <w:rsid w:val="000D54C8"/>
    <w:rsid w:val="000D5662"/>
    <w:rsid w:val="000D5762"/>
    <w:rsid w:val="000D57FC"/>
    <w:rsid w:val="000D6059"/>
    <w:rsid w:val="000D658F"/>
    <w:rsid w:val="000D7413"/>
    <w:rsid w:val="000D7A67"/>
    <w:rsid w:val="000E1447"/>
    <w:rsid w:val="000E1498"/>
    <w:rsid w:val="000E1674"/>
    <w:rsid w:val="000E1C4F"/>
    <w:rsid w:val="000E280F"/>
    <w:rsid w:val="000E3F06"/>
    <w:rsid w:val="000E4D60"/>
    <w:rsid w:val="000E5184"/>
    <w:rsid w:val="000E54D3"/>
    <w:rsid w:val="000E5519"/>
    <w:rsid w:val="000E5541"/>
    <w:rsid w:val="000E5A50"/>
    <w:rsid w:val="000E68DF"/>
    <w:rsid w:val="000E6D71"/>
    <w:rsid w:val="000E6FAF"/>
    <w:rsid w:val="000E75C7"/>
    <w:rsid w:val="000F04B2"/>
    <w:rsid w:val="000F072E"/>
    <w:rsid w:val="000F0D00"/>
    <w:rsid w:val="000F11A6"/>
    <w:rsid w:val="000F2A83"/>
    <w:rsid w:val="000F2FD1"/>
    <w:rsid w:val="000F3E19"/>
    <w:rsid w:val="000F454C"/>
    <w:rsid w:val="000F4619"/>
    <w:rsid w:val="000F49FF"/>
    <w:rsid w:val="000F4AA7"/>
    <w:rsid w:val="000F5590"/>
    <w:rsid w:val="000F5A02"/>
    <w:rsid w:val="000F63B0"/>
    <w:rsid w:val="000F69FC"/>
    <w:rsid w:val="000F6AB1"/>
    <w:rsid w:val="000F7259"/>
    <w:rsid w:val="000F7650"/>
    <w:rsid w:val="000F77CA"/>
    <w:rsid w:val="000F79D8"/>
    <w:rsid w:val="000F79FA"/>
    <w:rsid w:val="0010161F"/>
    <w:rsid w:val="00101B31"/>
    <w:rsid w:val="001033A1"/>
    <w:rsid w:val="00103A45"/>
    <w:rsid w:val="001040ED"/>
    <w:rsid w:val="0010487B"/>
    <w:rsid w:val="001048AD"/>
    <w:rsid w:val="00104DBA"/>
    <w:rsid w:val="00105139"/>
    <w:rsid w:val="00105574"/>
    <w:rsid w:val="0010586A"/>
    <w:rsid w:val="00105D36"/>
    <w:rsid w:val="00106669"/>
    <w:rsid w:val="00106EE1"/>
    <w:rsid w:val="001075FB"/>
    <w:rsid w:val="00107FAE"/>
    <w:rsid w:val="00110408"/>
    <w:rsid w:val="00110A72"/>
    <w:rsid w:val="0011102E"/>
    <w:rsid w:val="0011146E"/>
    <w:rsid w:val="00111A2E"/>
    <w:rsid w:val="00112369"/>
    <w:rsid w:val="00112929"/>
    <w:rsid w:val="00112B44"/>
    <w:rsid w:val="00112B58"/>
    <w:rsid w:val="00113EB7"/>
    <w:rsid w:val="00114CFF"/>
    <w:rsid w:val="00115366"/>
    <w:rsid w:val="00115D14"/>
    <w:rsid w:val="00115E46"/>
    <w:rsid w:val="001160B9"/>
    <w:rsid w:val="0011661A"/>
    <w:rsid w:val="00116D3B"/>
    <w:rsid w:val="001172E0"/>
    <w:rsid w:val="00117777"/>
    <w:rsid w:val="001178AE"/>
    <w:rsid w:val="001179AE"/>
    <w:rsid w:val="00117D73"/>
    <w:rsid w:val="00120313"/>
    <w:rsid w:val="00120354"/>
    <w:rsid w:val="00120BE1"/>
    <w:rsid w:val="00121039"/>
    <w:rsid w:val="001211B5"/>
    <w:rsid w:val="001214B5"/>
    <w:rsid w:val="001214C8"/>
    <w:rsid w:val="0012164A"/>
    <w:rsid w:val="001216C7"/>
    <w:rsid w:val="001218A9"/>
    <w:rsid w:val="001222C7"/>
    <w:rsid w:val="00122884"/>
    <w:rsid w:val="00122D7B"/>
    <w:rsid w:val="0012306D"/>
    <w:rsid w:val="001234A0"/>
    <w:rsid w:val="00123783"/>
    <w:rsid w:val="0012380A"/>
    <w:rsid w:val="00123C59"/>
    <w:rsid w:val="00124016"/>
    <w:rsid w:val="0012415B"/>
    <w:rsid w:val="0012496E"/>
    <w:rsid w:val="001256A3"/>
    <w:rsid w:val="00125748"/>
    <w:rsid w:val="0012580C"/>
    <w:rsid w:val="00125DE5"/>
    <w:rsid w:val="00125F92"/>
    <w:rsid w:val="00125FC0"/>
    <w:rsid w:val="00126235"/>
    <w:rsid w:val="00126511"/>
    <w:rsid w:val="0012651F"/>
    <w:rsid w:val="00126791"/>
    <w:rsid w:val="001267A0"/>
    <w:rsid w:val="00127AB2"/>
    <w:rsid w:val="0013027B"/>
    <w:rsid w:val="001303C8"/>
    <w:rsid w:val="0013095B"/>
    <w:rsid w:val="00130DF4"/>
    <w:rsid w:val="0013168F"/>
    <w:rsid w:val="00131827"/>
    <w:rsid w:val="001328D9"/>
    <w:rsid w:val="00132980"/>
    <w:rsid w:val="0013324A"/>
    <w:rsid w:val="00133806"/>
    <w:rsid w:val="0013461A"/>
    <w:rsid w:val="00134786"/>
    <w:rsid w:val="00135022"/>
    <w:rsid w:val="0013563C"/>
    <w:rsid w:val="0013571C"/>
    <w:rsid w:val="00135A48"/>
    <w:rsid w:val="0013613A"/>
    <w:rsid w:val="00137302"/>
    <w:rsid w:val="001375D8"/>
    <w:rsid w:val="00137628"/>
    <w:rsid w:val="00137B09"/>
    <w:rsid w:val="001410BC"/>
    <w:rsid w:val="001412B9"/>
    <w:rsid w:val="001412C0"/>
    <w:rsid w:val="00141520"/>
    <w:rsid w:val="0014183C"/>
    <w:rsid w:val="001425B1"/>
    <w:rsid w:val="00142AB0"/>
    <w:rsid w:val="0014319F"/>
    <w:rsid w:val="001434F6"/>
    <w:rsid w:val="00143FEB"/>
    <w:rsid w:val="001441C7"/>
    <w:rsid w:val="00144436"/>
    <w:rsid w:val="0014554E"/>
    <w:rsid w:val="00145CC7"/>
    <w:rsid w:val="00145D9D"/>
    <w:rsid w:val="00146FBE"/>
    <w:rsid w:val="00147116"/>
    <w:rsid w:val="001474FC"/>
    <w:rsid w:val="001475D9"/>
    <w:rsid w:val="00147997"/>
    <w:rsid w:val="00147C0B"/>
    <w:rsid w:val="00147D80"/>
    <w:rsid w:val="001502C3"/>
    <w:rsid w:val="001505C8"/>
    <w:rsid w:val="001509A8"/>
    <w:rsid w:val="00150F57"/>
    <w:rsid w:val="00151BFC"/>
    <w:rsid w:val="00152389"/>
    <w:rsid w:val="00152A18"/>
    <w:rsid w:val="00152DD7"/>
    <w:rsid w:val="001532E6"/>
    <w:rsid w:val="00154856"/>
    <w:rsid w:val="00157570"/>
    <w:rsid w:val="00157CE6"/>
    <w:rsid w:val="0016072E"/>
    <w:rsid w:val="00161515"/>
    <w:rsid w:val="001616C3"/>
    <w:rsid w:val="0016188B"/>
    <w:rsid w:val="00162551"/>
    <w:rsid w:val="00162664"/>
    <w:rsid w:val="00162760"/>
    <w:rsid w:val="00162C7A"/>
    <w:rsid w:val="001636EE"/>
    <w:rsid w:val="00164E65"/>
    <w:rsid w:val="00165B76"/>
    <w:rsid w:val="00166AF8"/>
    <w:rsid w:val="001675ED"/>
    <w:rsid w:val="00167B61"/>
    <w:rsid w:val="00167FC5"/>
    <w:rsid w:val="001701FE"/>
    <w:rsid w:val="001705CF"/>
    <w:rsid w:val="00170F06"/>
    <w:rsid w:val="001715FA"/>
    <w:rsid w:val="00171CC9"/>
    <w:rsid w:val="00172227"/>
    <w:rsid w:val="001739E7"/>
    <w:rsid w:val="001742B1"/>
    <w:rsid w:val="00174DE2"/>
    <w:rsid w:val="001756F7"/>
    <w:rsid w:val="0017586E"/>
    <w:rsid w:val="00175A78"/>
    <w:rsid w:val="00175F3B"/>
    <w:rsid w:val="00176610"/>
    <w:rsid w:val="00176BA5"/>
    <w:rsid w:val="00177710"/>
    <w:rsid w:val="001777AF"/>
    <w:rsid w:val="00177859"/>
    <w:rsid w:val="001802E3"/>
    <w:rsid w:val="00180913"/>
    <w:rsid w:val="0018099E"/>
    <w:rsid w:val="001809E0"/>
    <w:rsid w:val="00180DD9"/>
    <w:rsid w:val="00180E36"/>
    <w:rsid w:val="0018189E"/>
    <w:rsid w:val="00181B15"/>
    <w:rsid w:val="00181F7A"/>
    <w:rsid w:val="00182413"/>
    <w:rsid w:val="00182C8C"/>
    <w:rsid w:val="00182EE9"/>
    <w:rsid w:val="00183136"/>
    <w:rsid w:val="00183205"/>
    <w:rsid w:val="001838C3"/>
    <w:rsid w:val="00183992"/>
    <w:rsid w:val="00183D64"/>
    <w:rsid w:val="00184AC4"/>
    <w:rsid w:val="00186769"/>
    <w:rsid w:val="00187333"/>
    <w:rsid w:val="0018777A"/>
    <w:rsid w:val="00187F64"/>
    <w:rsid w:val="00190068"/>
    <w:rsid w:val="0019025D"/>
    <w:rsid w:val="00190E6C"/>
    <w:rsid w:val="00191473"/>
    <w:rsid w:val="00191A5C"/>
    <w:rsid w:val="00191B13"/>
    <w:rsid w:val="00191D97"/>
    <w:rsid w:val="00192110"/>
    <w:rsid w:val="00192AD3"/>
    <w:rsid w:val="001936DC"/>
    <w:rsid w:val="001938B9"/>
    <w:rsid w:val="00193E8B"/>
    <w:rsid w:val="00194791"/>
    <w:rsid w:val="00194799"/>
    <w:rsid w:val="00194A54"/>
    <w:rsid w:val="00194E3C"/>
    <w:rsid w:val="0019572D"/>
    <w:rsid w:val="00195B47"/>
    <w:rsid w:val="0019606A"/>
    <w:rsid w:val="001964D0"/>
    <w:rsid w:val="00196669"/>
    <w:rsid w:val="00196921"/>
    <w:rsid w:val="00196990"/>
    <w:rsid w:val="00196CD8"/>
    <w:rsid w:val="00196FF9"/>
    <w:rsid w:val="00197688"/>
    <w:rsid w:val="00197712"/>
    <w:rsid w:val="001A01D9"/>
    <w:rsid w:val="001A05F3"/>
    <w:rsid w:val="001A094F"/>
    <w:rsid w:val="001A0E79"/>
    <w:rsid w:val="001A1BFD"/>
    <w:rsid w:val="001A1D30"/>
    <w:rsid w:val="001A2293"/>
    <w:rsid w:val="001A2563"/>
    <w:rsid w:val="001A2F5D"/>
    <w:rsid w:val="001A31A5"/>
    <w:rsid w:val="001A374D"/>
    <w:rsid w:val="001A3ABA"/>
    <w:rsid w:val="001A4115"/>
    <w:rsid w:val="001A43D2"/>
    <w:rsid w:val="001A5143"/>
    <w:rsid w:val="001A5775"/>
    <w:rsid w:val="001A581F"/>
    <w:rsid w:val="001A5CC6"/>
    <w:rsid w:val="001A6794"/>
    <w:rsid w:val="001A6E3F"/>
    <w:rsid w:val="001A7267"/>
    <w:rsid w:val="001A749C"/>
    <w:rsid w:val="001A7703"/>
    <w:rsid w:val="001A79F5"/>
    <w:rsid w:val="001B0024"/>
    <w:rsid w:val="001B03C6"/>
    <w:rsid w:val="001B0729"/>
    <w:rsid w:val="001B0B80"/>
    <w:rsid w:val="001B0CB2"/>
    <w:rsid w:val="001B0F8D"/>
    <w:rsid w:val="001B1460"/>
    <w:rsid w:val="001B1AA7"/>
    <w:rsid w:val="001B256C"/>
    <w:rsid w:val="001B29E6"/>
    <w:rsid w:val="001B35A5"/>
    <w:rsid w:val="001B3A2C"/>
    <w:rsid w:val="001B3DE9"/>
    <w:rsid w:val="001B3E0F"/>
    <w:rsid w:val="001B3FCB"/>
    <w:rsid w:val="001B4233"/>
    <w:rsid w:val="001B4369"/>
    <w:rsid w:val="001B58A6"/>
    <w:rsid w:val="001B6151"/>
    <w:rsid w:val="001B64F1"/>
    <w:rsid w:val="001B6736"/>
    <w:rsid w:val="001B6B1F"/>
    <w:rsid w:val="001B6F1F"/>
    <w:rsid w:val="001B7062"/>
    <w:rsid w:val="001B754C"/>
    <w:rsid w:val="001B7FEE"/>
    <w:rsid w:val="001C009D"/>
    <w:rsid w:val="001C02A2"/>
    <w:rsid w:val="001C045B"/>
    <w:rsid w:val="001C0609"/>
    <w:rsid w:val="001C0740"/>
    <w:rsid w:val="001C0855"/>
    <w:rsid w:val="001C12A8"/>
    <w:rsid w:val="001C14C6"/>
    <w:rsid w:val="001C2ACA"/>
    <w:rsid w:val="001C2AD2"/>
    <w:rsid w:val="001C3028"/>
    <w:rsid w:val="001C4B9A"/>
    <w:rsid w:val="001C5E9F"/>
    <w:rsid w:val="001C5FCC"/>
    <w:rsid w:val="001C64A3"/>
    <w:rsid w:val="001C680D"/>
    <w:rsid w:val="001C6892"/>
    <w:rsid w:val="001C6D9B"/>
    <w:rsid w:val="001C6F43"/>
    <w:rsid w:val="001C718E"/>
    <w:rsid w:val="001C71C8"/>
    <w:rsid w:val="001C7711"/>
    <w:rsid w:val="001C78FA"/>
    <w:rsid w:val="001D0A78"/>
    <w:rsid w:val="001D0EC7"/>
    <w:rsid w:val="001D158E"/>
    <w:rsid w:val="001D2F31"/>
    <w:rsid w:val="001D32CD"/>
    <w:rsid w:val="001D333A"/>
    <w:rsid w:val="001D3420"/>
    <w:rsid w:val="001D343F"/>
    <w:rsid w:val="001D348F"/>
    <w:rsid w:val="001D35B0"/>
    <w:rsid w:val="001D4BF8"/>
    <w:rsid w:val="001D5085"/>
    <w:rsid w:val="001D5203"/>
    <w:rsid w:val="001D5891"/>
    <w:rsid w:val="001D5CFA"/>
    <w:rsid w:val="001D6776"/>
    <w:rsid w:val="001D6C4D"/>
    <w:rsid w:val="001D6DBA"/>
    <w:rsid w:val="001D7770"/>
    <w:rsid w:val="001E02CB"/>
    <w:rsid w:val="001E03DE"/>
    <w:rsid w:val="001E06BD"/>
    <w:rsid w:val="001E0BB0"/>
    <w:rsid w:val="001E12DB"/>
    <w:rsid w:val="001E276B"/>
    <w:rsid w:val="001E332F"/>
    <w:rsid w:val="001E3386"/>
    <w:rsid w:val="001E382C"/>
    <w:rsid w:val="001E3C64"/>
    <w:rsid w:val="001E40F8"/>
    <w:rsid w:val="001E41AF"/>
    <w:rsid w:val="001E4850"/>
    <w:rsid w:val="001E4885"/>
    <w:rsid w:val="001E5292"/>
    <w:rsid w:val="001E5691"/>
    <w:rsid w:val="001E58C4"/>
    <w:rsid w:val="001E5EF8"/>
    <w:rsid w:val="001E66A5"/>
    <w:rsid w:val="001E70EF"/>
    <w:rsid w:val="001E7862"/>
    <w:rsid w:val="001E7968"/>
    <w:rsid w:val="001F01DC"/>
    <w:rsid w:val="001F0657"/>
    <w:rsid w:val="001F081B"/>
    <w:rsid w:val="001F0E91"/>
    <w:rsid w:val="001F149F"/>
    <w:rsid w:val="001F191B"/>
    <w:rsid w:val="001F1B47"/>
    <w:rsid w:val="001F1CFD"/>
    <w:rsid w:val="001F1D03"/>
    <w:rsid w:val="001F1F63"/>
    <w:rsid w:val="001F247B"/>
    <w:rsid w:val="001F27BB"/>
    <w:rsid w:val="001F2E55"/>
    <w:rsid w:val="001F3652"/>
    <w:rsid w:val="001F367B"/>
    <w:rsid w:val="001F3B85"/>
    <w:rsid w:val="001F3E9F"/>
    <w:rsid w:val="001F4E38"/>
    <w:rsid w:val="001F5312"/>
    <w:rsid w:val="001F5674"/>
    <w:rsid w:val="001F56B7"/>
    <w:rsid w:val="001F5AD3"/>
    <w:rsid w:val="001F6D85"/>
    <w:rsid w:val="001F7E78"/>
    <w:rsid w:val="001F7FA3"/>
    <w:rsid w:val="002000FA"/>
    <w:rsid w:val="00201005"/>
    <w:rsid w:val="002015B5"/>
    <w:rsid w:val="0020294A"/>
    <w:rsid w:val="00203DBA"/>
    <w:rsid w:val="00203E3F"/>
    <w:rsid w:val="00203EBE"/>
    <w:rsid w:val="00203EEE"/>
    <w:rsid w:val="002041C1"/>
    <w:rsid w:val="002041C3"/>
    <w:rsid w:val="002042B9"/>
    <w:rsid w:val="00204BE5"/>
    <w:rsid w:val="002051DB"/>
    <w:rsid w:val="00205540"/>
    <w:rsid w:val="00205C6B"/>
    <w:rsid w:val="00206736"/>
    <w:rsid w:val="00206743"/>
    <w:rsid w:val="00206AAA"/>
    <w:rsid w:val="0020705E"/>
    <w:rsid w:val="00207DE7"/>
    <w:rsid w:val="002101C3"/>
    <w:rsid w:val="00210824"/>
    <w:rsid w:val="0021091D"/>
    <w:rsid w:val="00211268"/>
    <w:rsid w:val="0021172B"/>
    <w:rsid w:val="0021246E"/>
    <w:rsid w:val="002125BB"/>
    <w:rsid w:val="00213404"/>
    <w:rsid w:val="00214913"/>
    <w:rsid w:val="00214930"/>
    <w:rsid w:val="00214DF3"/>
    <w:rsid w:val="00214E2D"/>
    <w:rsid w:val="00215581"/>
    <w:rsid w:val="00215CC1"/>
    <w:rsid w:val="00215E56"/>
    <w:rsid w:val="00216640"/>
    <w:rsid w:val="0021724F"/>
    <w:rsid w:val="00217CAC"/>
    <w:rsid w:val="002200CD"/>
    <w:rsid w:val="002220A0"/>
    <w:rsid w:val="0022238D"/>
    <w:rsid w:val="00222A5F"/>
    <w:rsid w:val="00222BD8"/>
    <w:rsid w:val="00222C61"/>
    <w:rsid w:val="002237C8"/>
    <w:rsid w:val="00223821"/>
    <w:rsid w:val="00223E20"/>
    <w:rsid w:val="00224AFE"/>
    <w:rsid w:val="00224C78"/>
    <w:rsid w:val="00225595"/>
    <w:rsid w:val="002255D5"/>
    <w:rsid w:val="0022560A"/>
    <w:rsid w:val="002257AC"/>
    <w:rsid w:val="00225987"/>
    <w:rsid w:val="002259EE"/>
    <w:rsid w:val="00225A0C"/>
    <w:rsid w:val="00225CD1"/>
    <w:rsid w:val="00227367"/>
    <w:rsid w:val="0023076E"/>
    <w:rsid w:val="00230CD9"/>
    <w:rsid w:val="00230F57"/>
    <w:rsid w:val="00231412"/>
    <w:rsid w:val="00231608"/>
    <w:rsid w:val="00232054"/>
    <w:rsid w:val="00232535"/>
    <w:rsid w:val="0023275F"/>
    <w:rsid w:val="0023310A"/>
    <w:rsid w:val="00233D98"/>
    <w:rsid w:val="00234532"/>
    <w:rsid w:val="002346AA"/>
    <w:rsid w:val="00234CE3"/>
    <w:rsid w:val="00234FA1"/>
    <w:rsid w:val="00235719"/>
    <w:rsid w:val="00236195"/>
    <w:rsid w:val="00236478"/>
    <w:rsid w:val="00236551"/>
    <w:rsid w:val="0023779D"/>
    <w:rsid w:val="002379A4"/>
    <w:rsid w:val="00237C72"/>
    <w:rsid w:val="0024022D"/>
    <w:rsid w:val="0024038E"/>
    <w:rsid w:val="00240EB6"/>
    <w:rsid w:val="0024146A"/>
    <w:rsid w:val="00241541"/>
    <w:rsid w:val="00241F27"/>
    <w:rsid w:val="0024295C"/>
    <w:rsid w:val="00242B49"/>
    <w:rsid w:val="00242C17"/>
    <w:rsid w:val="002432E4"/>
    <w:rsid w:val="00243478"/>
    <w:rsid w:val="002434B7"/>
    <w:rsid w:val="00243AFB"/>
    <w:rsid w:val="0024455B"/>
    <w:rsid w:val="00245061"/>
    <w:rsid w:val="002451BF"/>
    <w:rsid w:val="00245B24"/>
    <w:rsid w:val="00245E4F"/>
    <w:rsid w:val="00246F73"/>
    <w:rsid w:val="0024739B"/>
    <w:rsid w:val="002476D3"/>
    <w:rsid w:val="00247C11"/>
    <w:rsid w:val="00247EB0"/>
    <w:rsid w:val="00247FBC"/>
    <w:rsid w:val="00250B47"/>
    <w:rsid w:val="00250B70"/>
    <w:rsid w:val="00250C04"/>
    <w:rsid w:val="0025124E"/>
    <w:rsid w:val="002524B5"/>
    <w:rsid w:val="002528F3"/>
    <w:rsid w:val="00253DE3"/>
    <w:rsid w:val="00254B60"/>
    <w:rsid w:val="00255079"/>
    <w:rsid w:val="00255231"/>
    <w:rsid w:val="00255A0F"/>
    <w:rsid w:val="00256071"/>
    <w:rsid w:val="0025703E"/>
    <w:rsid w:val="002571B9"/>
    <w:rsid w:val="00257696"/>
    <w:rsid w:val="00257F8F"/>
    <w:rsid w:val="00260908"/>
    <w:rsid w:val="0026092A"/>
    <w:rsid w:val="002609D2"/>
    <w:rsid w:val="00261880"/>
    <w:rsid w:val="002619D9"/>
    <w:rsid w:val="00261DF9"/>
    <w:rsid w:val="002621F3"/>
    <w:rsid w:val="002636B3"/>
    <w:rsid w:val="00263723"/>
    <w:rsid w:val="002640B8"/>
    <w:rsid w:val="00264C6C"/>
    <w:rsid w:val="002654F8"/>
    <w:rsid w:val="002656F3"/>
    <w:rsid w:val="002660FF"/>
    <w:rsid w:val="002661F1"/>
    <w:rsid w:val="0026691B"/>
    <w:rsid w:val="00266C4A"/>
    <w:rsid w:val="002677CC"/>
    <w:rsid w:val="00267974"/>
    <w:rsid w:val="00267C6A"/>
    <w:rsid w:val="00267D2C"/>
    <w:rsid w:val="00270D68"/>
    <w:rsid w:val="002712FE"/>
    <w:rsid w:val="00271905"/>
    <w:rsid w:val="002721FA"/>
    <w:rsid w:val="0027250F"/>
    <w:rsid w:val="00273679"/>
    <w:rsid w:val="00273B1B"/>
    <w:rsid w:val="00274EED"/>
    <w:rsid w:val="002756D8"/>
    <w:rsid w:val="002758B9"/>
    <w:rsid w:val="002763DC"/>
    <w:rsid w:val="002766AA"/>
    <w:rsid w:val="002768F6"/>
    <w:rsid w:val="00276FD5"/>
    <w:rsid w:val="00277892"/>
    <w:rsid w:val="00277ADD"/>
    <w:rsid w:val="00277DC0"/>
    <w:rsid w:val="00280582"/>
    <w:rsid w:val="002828BB"/>
    <w:rsid w:val="00284655"/>
    <w:rsid w:val="00285053"/>
    <w:rsid w:val="0028623B"/>
    <w:rsid w:val="00286BD0"/>
    <w:rsid w:val="00287C4A"/>
    <w:rsid w:val="00287FBF"/>
    <w:rsid w:val="00291290"/>
    <w:rsid w:val="00291988"/>
    <w:rsid w:val="00291AE1"/>
    <w:rsid w:val="00291CB5"/>
    <w:rsid w:val="00291FBB"/>
    <w:rsid w:val="002920A5"/>
    <w:rsid w:val="0029239D"/>
    <w:rsid w:val="002930FF"/>
    <w:rsid w:val="0029398D"/>
    <w:rsid w:val="00294004"/>
    <w:rsid w:val="002945C2"/>
    <w:rsid w:val="002949A4"/>
    <w:rsid w:val="00294FF4"/>
    <w:rsid w:val="0029558E"/>
    <w:rsid w:val="00295C43"/>
    <w:rsid w:val="00295C9F"/>
    <w:rsid w:val="00295F5D"/>
    <w:rsid w:val="002960DF"/>
    <w:rsid w:val="00296276"/>
    <w:rsid w:val="002962DA"/>
    <w:rsid w:val="002970B2"/>
    <w:rsid w:val="0029720A"/>
    <w:rsid w:val="0029747A"/>
    <w:rsid w:val="0029756B"/>
    <w:rsid w:val="00297AF4"/>
    <w:rsid w:val="00297BF5"/>
    <w:rsid w:val="002A010A"/>
    <w:rsid w:val="002A1106"/>
    <w:rsid w:val="002A1708"/>
    <w:rsid w:val="002A1CEF"/>
    <w:rsid w:val="002A1E2F"/>
    <w:rsid w:val="002A1E53"/>
    <w:rsid w:val="002A1EF7"/>
    <w:rsid w:val="002A2ADB"/>
    <w:rsid w:val="002A2B4C"/>
    <w:rsid w:val="002A31EA"/>
    <w:rsid w:val="002A397E"/>
    <w:rsid w:val="002A3ED3"/>
    <w:rsid w:val="002A40C3"/>
    <w:rsid w:val="002A41CB"/>
    <w:rsid w:val="002A44B2"/>
    <w:rsid w:val="002A495C"/>
    <w:rsid w:val="002A4C05"/>
    <w:rsid w:val="002A4D2C"/>
    <w:rsid w:val="002A5FA7"/>
    <w:rsid w:val="002A7249"/>
    <w:rsid w:val="002A7843"/>
    <w:rsid w:val="002A7973"/>
    <w:rsid w:val="002B174C"/>
    <w:rsid w:val="002B1F93"/>
    <w:rsid w:val="002B2914"/>
    <w:rsid w:val="002B2E51"/>
    <w:rsid w:val="002B30E6"/>
    <w:rsid w:val="002B3235"/>
    <w:rsid w:val="002B3637"/>
    <w:rsid w:val="002B4972"/>
    <w:rsid w:val="002B4E2E"/>
    <w:rsid w:val="002B53BE"/>
    <w:rsid w:val="002B5540"/>
    <w:rsid w:val="002B5594"/>
    <w:rsid w:val="002B592B"/>
    <w:rsid w:val="002B6575"/>
    <w:rsid w:val="002B76E9"/>
    <w:rsid w:val="002B7BD8"/>
    <w:rsid w:val="002B7BDA"/>
    <w:rsid w:val="002B7BED"/>
    <w:rsid w:val="002B7D80"/>
    <w:rsid w:val="002C041F"/>
    <w:rsid w:val="002C0700"/>
    <w:rsid w:val="002C09D6"/>
    <w:rsid w:val="002C10E7"/>
    <w:rsid w:val="002C1E69"/>
    <w:rsid w:val="002C1F3B"/>
    <w:rsid w:val="002C22E3"/>
    <w:rsid w:val="002C29CD"/>
    <w:rsid w:val="002C2F9E"/>
    <w:rsid w:val="002C3083"/>
    <w:rsid w:val="002C316E"/>
    <w:rsid w:val="002C34D3"/>
    <w:rsid w:val="002C369F"/>
    <w:rsid w:val="002C36F8"/>
    <w:rsid w:val="002C37F3"/>
    <w:rsid w:val="002C3DA0"/>
    <w:rsid w:val="002C503B"/>
    <w:rsid w:val="002C50BC"/>
    <w:rsid w:val="002C5266"/>
    <w:rsid w:val="002C579B"/>
    <w:rsid w:val="002C5836"/>
    <w:rsid w:val="002C5E77"/>
    <w:rsid w:val="002C608A"/>
    <w:rsid w:val="002C63B0"/>
    <w:rsid w:val="002C67C0"/>
    <w:rsid w:val="002C67DE"/>
    <w:rsid w:val="002D05CA"/>
    <w:rsid w:val="002D0FA1"/>
    <w:rsid w:val="002D10C1"/>
    <w:rsid w:val="002D1132"/>
    <w:rsid w:val="002D1384"/>
    <w:rsid w:val="002D1410"/>
    <w:rsid w:val="002D2982"/>
    <w:rsid w:val="002D2D69"/>
    <w:rsid w:val="002D47FC"/>
    <w:rsid w:val="002D5085"/>
    <w:rsid w:val="002D687F"/>
    <w:rsid w:val="002D68BB"/>
    <w:rsid w:val="002D68BD"/>
    <w:rsid w:val="002D7AF8"/>
    <w:rsid w:val="002E0651"/>
    <w:rsid w:val="002E0866"/>
    <w:rsid w:val="002E0978"/>
    <w:rsid w:val="002E19ED"/>
    <w:rsid w:val="002E1BF0"/>
    <w:rsid w:val="002E1FBE"/>
    <w:rsid w:val="002E21C0"/>
    <w:rsid w:val="002E28ED"/>
    <w:rsid w:val="002E2AFF"/>
    <w:rsid w:val="002E2DC6"/>
    <w:rsid w:val="002E3418"/>
    <w:rsid w:val="002E356C"/>
    <w:rsid w:val="002E357F"/>
    <w:rsid w:val="002E3B5A"/>
    <w:rsid w:val="002E3E61"/>
    <w:rsid w:val="002E42FF"/>
    <w:rsid w:val="002E4592"/>
    <w:rsid w:val="002E4E12"/>
    <w:rsid w:val="002E5084"/>
    <w:rsid w:val="002E5677"/>
    <w:rsid w:val="002E5797"/>
    <w:rsid w:val="002E5818"/>
    <w:rsid w:val="002E5B8D"/>
    <w:rsid w:val="002E6AAC"/>
    <w:rsid w:val="002E705A"/>
    <w:rsid w:val="002E76D4"/>
    <w:rsid w:val="002E7BC0"/>
    <w:rsid w:val="002F092C"/>
    <w:rsid w:val="002F099C"/>
    <w:rsid w:val="002F0AB7"/>
    <w:rsid w:val="002F32B1"/>
    <w:rsid w:val="002F3FD0"/>
    <w:rsid w:val="002F4B59"/>
    <w:rsid w:val="002F4FF7"/>
    <w:rsid w:val="002F64A3"/>
    <w:rsid w:val="002F7B33"/>
    <w:rsid w:val="002F7C64"/>
    <w:rsid w:val="0030054D"/>
    <w:rsid w:val="00300580"/>
    <w:rsid w:val="003010A9"/>
    <w:rsid w:val="00302B4D"/>
    <w:rsid w:val="00303189"/>
    <w:rsid w:val="00303FA0"/>
    <w:rsid w:val="00304E38"/>
    <w:rsid w:val="00305322"/>
    <w:rsid w:val="0030577E"/>
    <w:rsid w:val="00305A90"/>
    <w:rsid w:val="00305AC8"/>
    <w:rsid w:val="00305CA9"/>
    <w:rsid w:val="003070ED"/>
    <w:rsid w:val="003075F5"/>
    <w:rsid w:val="003076B2"/>
    <w:rsid w:val="003079CB"/>
    <w:rsid w:val="00307BE6"/>
    <w:rsid w:val="00307EFD"/>
    <w:rsid w:val="003100F0"/>
    <w:rsid w:val="00311168"/>
    <w:rsid w:val="00311E6D"/>
    <w:rsid w:val="0031205D"/>
    <w:rsid w:val="003122B9"/>
    <w:rsid w:val="00312AC0"/>
    <w:rsid w:val="00313CE7"/>
    <w:rsid w:val="00313E70"/>
    <w:rsid w:val="00314D2B"/>
    <w:rsid w:val="0031510A"/>
    <w:rsid w:val="003153C8"/>
    <w:rsid w:val="00315C76"/>
    <w:rsid w:val="00316031"/>
    <w:rsid w:val="00317061"/>
    <w:rsid w:val="00317D41"/>
    <w:rsid w:val="00320C03"/>
    <w:rsid w:val="00320C09"/>
    <w:rsid w:val="0032205B"/>
    <w:rsid w:val="0032228A"/>
    <w:rsid w:val="003222FF"/>
    <w:rsid w:val="00322779"/>
    <w:rsid w:val="003227F8"/>
    <w:rsid w:val="0032288F"/>
    <w:rsid w:val="00322A24"/>
    <w:rsid w:val="00323CB0"/>
    <w:rsid w:val="00323D99"/>
    <w:rsid w:val="0032452D"/>
    <w:rsid w:val="00324BC9"/>
    <w:rsid w:val="00325391"/>
    <w:rsid w:val="003265F3"/>
    <w:rsid w:val="00326FE9"/>
    <w:rsid w:val="0032715A"/>
    <w:rsid w:val="003272CC"/>
    <w:rsid w:val="00327729"/>
    <w:rsid w:val="00330464"/>
    <w:rsid w:val="003306EE"/>
    <w:rsid w:val="0033103F"/>
    <w:rsid w:val="00331207"/>
    <w:rsid w:val="003316C1"/>
    <w:rsid w:val="00331AAD"/>
    <w:rsid w:val="003321AE"/>
    <w:rsid w:val="003321CE"/>
    <w:rsid w:val="0033284C"/>
    <w:rsid w:val="00332C46"/>
    <w:rsid w:val="00332D8A"/>
    <w:rsid w:val="003331C5"/>
    <w:rsid w:val="00333BE0"/>
    <w:rsid w:val="00333BEB"/>
    <w:rsid w:val="003341EC"/>
    <w:rsid w:val="00334375"/>
    <w:rsid w:val="00335148"/>
    <w:rsid w:val="003358BB"/>
    <w:rsid w:val="00336699"/>
    <w:rsid w:val="003366AC"/>
    <w:rsid w:val="0033686E"/>
    <w:rsid w:val="00336A93"/>
    <w:rsid w:val="00336B4C"/>
    <w:rsid w:val="00336BED"/>
    <w:rsid w:val="00336F18"/>
    <w:rsid w:val="00337896"/>
    <w:rsid w:val="00337CEF"/>
    <w:rsid w:val="00337FA1"/>
    <w:rsid w:val="00340C31"/>
    <w:rsid w:val="00340C81"/>
    <w:rsid w:val="003416C5"/>
    <w:rsid w:val="00341A01"/>
    <w:rsid w:val="00341B09"/>
    <w:rsid w:val="003420A2"/>
    <w:rsid w:val="00342347"/>
    <w:rsid w:val="003429AF"/>
    <w:rsid w:val="00342D19"/>
    <w:rsid w:val="00342DA3"/>
    <w:rsid w:val="00342E95"/>
    <w:rsid w:val="00343500"/>
    <w:rsid w:val="00343554"/>
    <w:rsid w:val="00343862"/>
    <w:rsid w:val="003443F1"/>
    <w:rsid w:val="00344656"/>
    <w:rsid w:val="00344C36"/>
    <w:rsid w:val="00344DD6"/>
    <w:rsid w:val="0034530B"/>
    <w:rsid w:val="0034591B"/>
    <w:rsid w:val="003471BD"/>
    <w:rsid w:val="003473BF"/>
    <w:rsid w:val="0034767F"/>
    <w:rsid w:val="0034774A"/>
    <w:rsid w:val="003479FC"/>
    <w:rsid w:val="00347FB2"/>
    <w:rsid w:val="003505CC"/>
    <w:rsid w:val="003509EB"/>
    <w:rsid w:val="00350C11"/>
    <w:rsid w:val="00350D8B"/>
    <w:rsid w:val="0035158B"/>
    <w:rsid w:val="003516D7"/>
    <w:rsid w:val="00351A44"/>
    <w:rsid w:val="00351A54"/>
    <w:rsid w:val="00351C90"/>
    <w:rsid w:val="00352385"/>
    <w:rsid w:val="003524DC"/>
    <w:rsid w:val="00352533"/>
    <w:rsid w:val="0035271A"/>
    <w:rsid w:val="00352D67"/>
    <w:rsid w:val="00353510"/>
    <w:rsid w:val="00354B7C"/>
    <w:rsid w:val="00354F90"/>
    <w:rsid w:val="00355505"/>
    <w:rsid w:val="00355975"/>
    <w:rsid w:val="00356987"/>
    <w:rsid w:val="00356CE0"/>
    <w:rsid w:val="00356D44"/>
    <w:rsid w:val="00356E04"/>
    <w:rsid w:val="00357BDC"/>
    <w:rsid w:val="00357D7F"/>
    <w:rsid w:val="00357DE4"/>
    <w:rsid w:val="00357FD6"/>
    <w:rsid w:val="0036022F"/>
    <w:rsid w:val="00360E0D"/>
    <w:rsid w:val="003610C1"/>
    <w:rsid w:val="003618A2"/>
    <w:rsid w:val="0036244E"/>
    <w:rsid w:val="00362B66"/>
    <w:rsid w:val="00363B87"/>
    <w:rsid w:val="00363EF8"/>
    <w:rsid w:val="00364992"/>
    <w:rsid w:val="00364A18"/>
    <w:rsid w:val="00365077"/>
    <w:rsid w:val="00365917"/>
    <w:rsid w:val="003666A9"/>
    <w:rsid w:val="00366843"/>
    <w:rsid w:val="00366B2A"/>
    <w:rsid w:val="00367036"/>
    <w:rsid w:val="003674DD"/>
    <w:rsid w:val="00370413"/>
    <w:rsid w:val="00370DFF"/>
    <w:rsid w:val="003711A5"/>
    <w:rsid w:val="0037151D"/>
    <w:rsid w:val="00371ADB"/>
    <w:rsid w:val="00372759"/>
    <w:rsid w:val="00372EAB"/>
    <w:rsid w:val="00373801"/>
    <w:rsid w:val="00373E77"/>
    <w:rsid w:val="00373E9E"/>
    <w:rsid w:val="00374ECF"/>
    <w:rsid w:val="00375AF6"/>
    <w:rsid w:val="003765AC"/>
    <w:rsid w:val="003770B7"/>
    <w:rsid w:val="003806EC"/>
    <w:rsid w:val="0038078D"/>
    <w:rsid w:val="003808C6"/>
    <w:rsid w:val="00381ABB"/>
    <w:rsid w:val="00381C39"/>
    <w:rsid w:val="00382448"/>
    <w:rsid w:val="00383058"/>
    <w:rsid w:val="00383106"/>
    <w:rsid w:val="003832C5"/>
    <w:rsid w:val="00383A56"/>
    <w:rsid w:val="00384095"/>
    <w:rsid w:val="00384196"/>
    <w:rsid w:val="003852CC"/>
    <w:rsid w:val="003861D5"/>
    <w:rsid w:val="003861E7"/>
    <w:rsid w:val="0038761C"/>
    <w:rsid w:val="00387686"/>
    <w:rsid w:val="00387E1B"/>
    <w:rsid w:val="0039013C"/>
    <w:rsid w:val="00390D3C"/>
    <w:rsid w:val="00390DC4"/>
    <w:rsid w:val="00390EED"/>
    <w:rsid w:val="003917EC"/>
    <w:rsid w:val="00392147"/>
    <w:rsid w:val="003921F7"/>
    <w:rsid w:val="0039342D"/>
    <w:rsid w:val="003949B3"/>
    <w:rsid w:val="00394F5F"/>
    <w:rsid w:val="0039585D"/>
    <w:rsid w:val="003958FF"/>
    <w:rsid w:val="003959E1"/>
    <w:rsid w:val="00396A21"/>
    <w:rsid w:val="00396C42"/>
    <w:rsid w:val="00396DCC"/>
    <w:rsid w:val="00397952"/>
    <w:rsid w:val="00397A41"/>
    <w:rsid w:val="00397D77"/>
    <w:rsid w:val="00397E49"/>
    <w:rsid w:val="003A051C"/>
    <w:rsid w:val="003A0B2A"/>
    <w:rsid w:val="003A0FB7"/>
    <w:rsid w:val="003A10FB"/>
    <w:rsid w:val="003A1103"/>
    <w:rsid w:val="003A155C"/>
    <w:rsid w:val="003A1C5F"/>
    <w:rsid w:val="003A261E"/>
    <w:rsid w:val="003A27DA"/>
    <w:rsid w:val="003A3290"/>
    <w:rsid w:val="003A3C9A"/>
    <w:rsid w:val="003A3D82"/>
    <w:rsid w:val="003A408D"/>
    <w:rsid w:val="003A4274"/>
    <w:rsid w:val="003A4365"/>
    <w:rsid w:val="003A438B"/>
    <w:rsid w:val="003A449B"/>
    <w:rsid w:val="003A46AA"/>
    <w:rsid w:val="003A485B"/>
    <w:rsid w:val="003A536E"/>
    <w:rsid w:val="003A56C6"/>
    <w:rsid w:val="003A5A73"/>
    <w:rsid w:val="003A6136"/>
    <w:rsid w:val="003A6237"/>
    <w:rsid w:val="003A6316"/>
    <w:rsid w:val="003A6764"/>
    <w:rsid w:val="003A68C1"/>
    <w:rsid w:val="003A708B"/>
    <w:rsid w:val="003A77F9"/>
    <w:rsid w:val="003A7914"/>
    <w:rsid w:val="003A7949"/>
    <w:rsid w:val="003B00F3"/>
    <w:rsid w:val="003B0275"/>
    <w:rsid w:val="003B071D"/>
    <w:rsid w:val="003B0D48"/>
    <w:rsid w:val="003B0F86"/>
    <w:rsid w:val="003B1CD6"/>
    <w:rsid w:val="003B1CD7"/>
    <w:rsid w:val="003B28B7"/>
    <w:rsid w:val="003B2BE1"/>
    <w:rsid w:val="003B2CE0"/>
    <w:rsid w:val="003B3ACE"/>
    <w:rsid w:val="003B4A1C"/>
    <w:rsid w:val="003B5275"/>
    <w:rsid w:val="003B5416"/>
    <w:rsid w:val="003B62A0"/>
    <w:rsid w:val="003B7F3F"/>
    <w:rsid w:val="003C005F"/>
    <w:rsid w:val="003C042F"/>
    <w:rsid w:val="003C0E3A"/>
    <w:rsid w:val="003C1A79"/>
    <w:rsid w:val="003C1C98"/>
    <w:rsid w:val="003C21BC"/>
    <w:rsid w:val="003C2658"/>
    <w:rsid w:val="003C2965"/>
    <w:rsid w:val="003C2B9C"/>
    <w:rsid w:val="003C2C53"/>
    <w:rsid w:val="003C31F0"/>
    <w:rsid w:val="003C3569"/>
    <w:rsid w:val="003C385C"/>
    <w:rsid w:val="003C3AB1"/>
    <w:rsid w:val="003C3E8F"/>
    <w:rsid w:val="003C3ECC"/>
    <w:rsid w:val="003C42A8"/>
    <w:rsid w:val="003C4525"/>
    <w:rsid w:val="003C5199"/>
    <w:rsid w:val="003C541F"/>
    <w:rsid w:val="003C55CE"/>
    <w:rsid w:val="003C572B"/>
    <w:rsid w:val="003C5D91"/>
    <w:rsid w:val="003C6083"/>
    <w:rsid w:val="003C6620"/>
    <w:rsid w:val="003C6641"/>
    <w:rsid w:val="003C6E33"/>
    <w:rsid w:val="003C714F"/>
    <w:rsid w:val="003C7317"/>
    <w:rsid w:val="003C76A3"/>
    <w:rsid w:val="003C7CF8"/>
    <w:rsid w:val="003C7D09"/>
    <w:rsid w:val="003D0BEB"/>
    <w:rsid w:val="003D192C"/>
    <w:rsid w:val="003D1F9F"/>
    <w:rsid w:val="003D2024"/>
    <w:rsid w:val="003D241E"/>
    <w:rsid w:val="003D2591"/>
    <w:rsid w:val="003D2784"/>
    <w:rsid w:val="003D2FF2"/>
    <w:rsid w:val="003D32A6"/>
    <w:rsid w:val="003D4084"/>
    <w:rsid w:val="003D49A0"/>
    <w:rsid w:val="003D4EA7"/>
    <w:rsid w:val="003D51A7"/>
    <w:rsid w:val="003D5286"/>
    <w:rsid w:val="003D58DE"/>
    <w:rsid w:val="003D5A6F"/>
    <w:rsid w:val="003D5BD2"/>
    <w:rsid w:val="003D66C5"/>
    <w:rsid w:val="003D6D2C"/>
    <w:rsid w:val="003D7876"/>
    <w:rsid w:val="003D7C9C"/>
    <w:rsid w:val="003E02AE"/>
    <w:rsid w:val="003E07FC"/>
    <w:rsid w:val="003E0FD4"/>
    <w:rsid w:val="003E11A0"/>
    <w:rsid w:val="003E17CE"/>
    <w:rsid w:val="003E21B8"/>
    <w:rsid w:val="003E21F2"/>
    <w:rsid w:val="003E31AD"/>
    <w:rsid w:val="003E435A"/>
    <w:rsid w:val="003E4DF6"/>
    <w:rsid w:val="003E511F"/>
    <w:rsid w:val="003E517B"/>
    <w:rsid w:val="003E6899"/>
    <w:rsid w:val="003E698E"/>
    <w:rsid w:val="003E6BCC"/>
    <w:rsid w:val="003E72E4"/>
    <w:rsid w:val="003E7441"/>
    <w:rsid w:val="003E7796"/>
    <w:rsid w:val="003E7E8A"/>
    <w:rsid w:val="003F0585"/>
    <w:rsid w:val="003F0FAD"/>
    <w:rsid w:val="003F1918"/>
    <w:rsid w:val="003F2A51"/>
    <w:rsid w:val="003F372A"/>
    <w:rsid w:val="003F39EE"/>
    <w:rsid w:val="003F4840"/>
    <w:rsid w:val="003F4915"/>
    <w:rsid w:val="003F5056"/>
    <w:rsid w:val="003F5552"/>
    <w:rsid w:val="003F5A79"/>
    <w:rsid w:val="003F6341"/>
    <w:rsid w:val="003F679C"/>
    <w:rsid w:val="003F71CB"/>
    <w:rsid w:val="003F734C"/>
    <w:rsid w:val="003F757E"/>
    <w:rsid w:val="003F7957"/>
    <w:rsid w:val="00400803"/>
    <w:rsid w:val="00400A07"/>
    <w:rsid w:val="00400E14"/>
    <w:rsid w:val="0040286B"/>
    <w:rsid w:val="004028E1"/>
    <w:rsid w:val="00403163"/>
    <w:rsid w:val="0040319E"/>
    <w:rsid w:val="00403446"/>
    <w:rsid w:val="00403930"/>
    <w:rsid w:val="00404318"/>
    <w:rsid w:val="00404AA8"/>
    <w:rsid w:val="00404B55"/>
    <w:rsid w:val="00405B4D"/>
    <w:rsid w:val="00405FE4"/>
    <w:rsid w:val="00406029"/>
    <w:rsid w:val="0040621C"/>
    <w:rsid w:val="00406497"/>
    <w:rsid w:val="004066A6"/>
    <w:rsid w:val="00406875"/>
    <w:rsid w:val="00407821"/>
    <w:rsid w:val="00411C9F"/>
    <w:rsid w:val="00411CD3"/>
    <w:rsid w:val="00411E53"/>
    <w:rsid w:val="00412803"/>
    <w:rsid w:val="004129AB"/>
    <w:rsid w:val="00412C19"/>
    <w:rsid w:val="00413987"/>
    <w:rsid w:val="00414053"/>
    <w:rsid w:val="004144AE"/>
    <w:rsid w:val="00414962"/>
    <w:rsid w:val="00414A12"/>
    <w:rsid w:val="00415134"/>
    <w:rsid w:val="004152BE"/>
    <w:rsid w:val="00415356"/>
    <w:rsid w:val="004153D3"/>
    <w:rsid w:val="00415454"/>
    <w:rsid w:val="004159E2"/>
    <w:rsid w:val="00415B34"/>
    <w:rsid w:val="00415C87"/>
    <w:rsid w:val="00416394"/>
    <w:rsid w:val="00416F0B"/>
    <w:rsid w:val="004172C8"/>
    <w:rsid w:val="00417732"/>
    <w:rsid w:val="00417B06"/>
    <w:rsid w:val="004204C7"/>
    <w:rsid w:val="004209DB"/>
    <w:rsid w:val="00420D64"/>
    <w:rsid w:val="00421700"/>
    <w:rsid w:val="00421B79"/>
    <w:rsid w:val="00421E13"/>
    <w:rsid w:val="004225D9"/>
    <w:rsid w:val="0042369C"/>
    <w:rsid w:val="00423AB1"/>
    <w:rsid w:val="00423AB3"/>
    <w:rsid w:val="00423F9B"/>
    <w:rsid w:val="004242CF"/>
    <w:rsid w:val="00424D87"/>
    <w:rsid w:val="004251EF"/>
    <w:rsid w:val="00425CDD"/>
    <w:rsid w:val="00426177"/>
    <w:rsid w:val="0042694E"/>
    <w:rsid w:val="00426A9B"/>
    <w:rsid w:val="00427599"/>
    <w:rsid w:val="00427E1A"/>
    <w:rsid w:val="0043028E"/>
    <w:rsid w:val="004305ED"/>
    <w:rsid w:val="00430841"/>
    <w:rsid w:val="00430A8C"/>
    <w:rsid w:val="00430E04"/>
    <w:rsid w:val="004317F6"/>
    <w:rsid w:val="004319D4"/>
    <w:rsid w:val="00431BF2"/>
    <w:rsid w:val="0043274B"/>
    <w:rsid w:val="00432EF1"/>
    <w:rsid w:val="00433104"/>
    <w:rsid w:val="00435059"/>
    <w:rsid w:val="00435282"/>
    <w:rsid w:val="00435C50"/>
    <w:rsid w:val="00435D6A"/>
    <w:rsid w:val="00437752"/>
    <w:rsid w:val="00437A41"/>
    <w:rsid w:val="00437C8A"/>
    <w:rsid w:val="0044015C"/>
    <w:rsid w:val="004402CB"/>
    <w:rsid w:val="00441FA1"/>
    <w:rsid w:val="0044247E"/>
    <w:rsid w:val="0044331D"/>
    <w:rsid w:val="004436A3"/>
    <w:rsid w:val="00443ECD"/>
    <w:rsid w:val="0044495C"/>
    <w:rsid w:val="0044496B"/>
    <w:rsid w:val="004451E0"/>
    <w:rsid w:val="00446D83"/>
    <w:rsid w:val="00446D89"/>
    <w:rsid w:val="004474C0"/>
    <w:rsid w:val="00447AD4"/>
    <w:rsid w:val="00450307"/>
    <w:rsid w:val="004503F6"/>
    <w:rsid w:val="004505EC"/>
    <w:rsid w:val="0045076A"/>
    <w:rsid w:val="00450F4E"/>
    <w:rsid w:val="00451833"/>
    <w:rsid w:val="00452223"/>
    <w:rsid w:val="00452885"/>
    <w:rsid w:val="00452B0D"/>
    <w:rsid w:val="0045346C"/>
    <w:rsid w:val="00453D79"/>
    <w:rsid w:val="00455603"/>
    <w:rsid w:val="00456462"/>
    <w:rsid w:val="00456748"/>
    <w:rsid w:val="00456959"/>
    <w:rsid w:val="00456C2F"/>
    <w:rsid w:val="00456CF5"/>
    <w:rsid w:val="00456EA7"/>
    <w:rsid w:val="00457026"/>
    <w:rsid w:val="004574F4"/>
    <w:rsid w:val="00457822"/>
    <w:rsid w:val="00457A8D"/>
    <w:rsid w:val="00457BE6"/>
    <w:rsid w:val="0046008D"/>
    <w:rsid w:val="00460435"/>
    <w:rsid w:val="0046102A"/>
    <w:rsid w:val="00461269"/>
    <w:rsid w:val="00461690"/>
    <w:rsid w:val="0046188B"/>
    <w:rsid w:val="00461BD5"/>
    <w:rsid w:val="00462EA7"/>
    <w:rsid w:val="00462FB8"/>
    <w:rsid w:val="00463124"/>
    <w:rsid w:val="004634FA"/>
    <w:rsid w:val="00463A5C"/>
    <w:rsid w:val="00464B5B"/>
    <w:rsid w:val="00464E9D"/>
    <w:rsid w:val="0046553C"/>
    <w:rsid w:val="004658B0"/>
    <w:rsid w:val="00465BFA"/>
    <w:rsid w:val="00465E0A"/>
    <w:rsid w:val="004663B1"/>
    <w:rsid w:val="00466517"/>
    <w:rsid w:val="004669AE"/>
    <w:rsid w:val="004669E4"/>
    <w:rsid w:val="00466D18"/>
    <w:rsid w:val="00467013"/>
    <w:rsid w:val="0046717D"/>
    <w:rsid w:val="00467F4A"/>
    <w:rsid w:val="00470DE5"/>
    <w:rsid w:val="00470FE6"/>
    <w:rsid w:val="00471536"/>
    <w:rsid w:val="0047191A"/>
    <w:rsid w:val="00471924"/>
    <w:rsid w:val="00472BAC"/>
    <w:rsid w:val="00473487"/>
    <w:rsid w:val="004739E7"/>
    <w:rsid w:val="00474958"/>
    <w:rsid w:val="00474DC2"/>
    <w:rsid w:val="00474F28"/>
    <w:rsid w:val="00475532"/>
    <w:rsid w:val="00475B20"/>
    <w:rsid w:val="00475EEA"/>
    <w:rsid w:val="004760D0"/>
    <w:rsid w:val="00476372"/>
    <w:rsid w:val="004765BD"/>
    <w:rsid w:val="00476F22"/>
    <w:rsid w:val="0047793E"/>
    <w:rsid w:val="00480064"/>
    <w:rsid w:val="0048019B"/>
    <w:rsid w:val="00481175"/>
    <w:rsid w:val="004813CA"/>
    <w:rsid w:val="00481756"/>
    <w:rsid w:val="00483C86"/>
    <w:rsid w:val="00483F4C"/>
    <w:rsid w:val="00484AC6"/>
    <w:rsid w:val="00484BE8"/>
    <w:rsid w:val="00485049"/>
    <w:rsid w:val="00485135"/>
    <w:rsid w:val="004852D8"/>
    <w:rsid w:val="00485853"/>
    <w:rsid w:val="00485F73"/>
    <w:rsid w:val="004860AD"/>
    <w:rsid w:val="00486253"/>
    <w:rsid w:val="00486314"/>
    <w:rsid w:val="0048657F"/>
    <w:rsid w:val="004867A5"/>
    <w:rsid w:val="0048688F"/>
    <w:rsid w:val="00487218"/>
    <w:rsid w:val="004874FD"/>
    <w:rsid w:val="00487E5B"/>
    <w:rsid w:val="004905E5"/>
    <w:rsid w:val="004906DF"/>
    <w:rsid w:val="00490B43"/>
    <w:rsid w:val="00490BF4"/>
    <w:rsid w:val="00490EB1"/>
    <w:rsid w:val="004916CB"/>
    <w:rsid w:val="0049181F"/>
    <w:rsid w:val="00492D3A"/>
    <w:rsid w:val="00493678"/>
    <w:rsid w:val="0049376C"/>
    <w:rsid w:val="00493D9B"/>
    <w:rsid w:val="004946DD"/>
    <w:rsid w:val="004947E5"/>
    <w:rsid w:val="00494EE0"/>
    <w:rsid w:val="00495128"/>
    <w:rsid w:val="00495821"/>
    <w:rsid w:val="00496453"/>
    <w:rsid w:val="00496608"/>
    <w:rsid w:val="004975F0"/>
    <w:rsid w:val="004978B6"/>
    <w:rsid w:val="00497B87"/>
    <w:rsid w:val="00497BFF"/>
    <w:rsid w:val="00497EDC"/>
    <w:rsid w:val="004A0FA4"/>
    <w:rsid w:val="004A163E"/>
    <w:rsid w:val="004A2118"/>
    <w:rsid w:val="004A2BC9"/>
    <w:rsid w:val="004A2E19"/>
    <w:rsid w:val="004A2FA6"/>
    <w:rsid w:val="004A34D8"/>
    <w:rsid w:val="004A3A08"/>
    <w:rsid w:val="004A467D"/>
    <w:rsid w:val="004A474D"/>
    <w:rsid w:val="004A48D9"/>
    <w:rsid w:val="004A4A44"/>
    <w:rsid w:val="004A5754"/>
    <w:rsid w:val="004A5B21"/>
    <w:rsid w:val="004A5C02"/>
    <w:rsid w:val="004A5CD2"/>
    <w:rsid w:val="004A5FF3"/>
    <w:rsid w:val="004A6554"/>
    <w:rsid w:val="004A73DC"/>
    <w:rsid w:val="004A7507"/>
    <w:rsid w:val="004B0749"/>
    <w:rsid w:val="004B0ABB"/>
    <w:rsid w:val="004B0B06"/>
    <w:rsid w:val="004B0D32"/>
    <w:rsid w:val="004B1431"/>
    <w:rsid w:val="004B188D"/>
    <w:rsid w:val="004B2064"/>
    <w:rsid w:val="004B26BE"/>
    <w:rsid w:val="004B2C5E"/>
    <w:rsid w:val="004B2DA7"/>
    <w:rsid w:val="004B2F24"/>
    <w:rsid w:val="004B3B6D"/>
    <w:rsid w:val="004B42E2"/>
    <w:rsid w:val="004B49FE"/>
    <w:rsid w:val="004B4DD1"/>
    <w:rsid w:val="004B50CA"/>
    <w:rsid w:val="004B5452"/>
    <w:rsid w:val="004B56EF"/>
    <w:rsid w:val="004B5A4C"/>
    <w:rsid w:val="004B61B0"/>
    <w:rsid w:val="004B6334"/>
    <w:rsid w:val="004B6397"/>
    <w:rsid w:val="004B640C"/>
    <w:rsid w:val="004B6498"/>
    <w:rsid w:val="004B65E8"/>
    <w:rsid w:val="004B6F34"/>
    <w:rsid w:val="004C004A"/>
    <w:rsid w:val="004C08AC"/>
    <w:rsid w:val="004C0B5F"/>
    <w:rsid w:val="004C1036"/>
    <w:rsid w:val="004C13F9"/>
    <w:rsid w:val="004C1A26"/>
    <w:rsid w:val="004C20EF"/>
    <w:rsid w:val="004C2283"/>
    <w:rsid w:val="004C23D1"/>
    <w:rsid w:val="004C2AB9"/>
    <w:rsid w:val="004C3B6C"/>
    <w:rsid w:val="004C3FBD"/>
    <w:rsid w:val="004C400C"/>
    <w:rsid w:val="004C506F"/>
    <w:rsid w:val="004C50D7"/>
    <w:rsid w:val="004C58C7"/>
    <w:rsid w:val="004C5A64"/>
    <w:rsid w:val="004C5B6F"/>
    <w:rsid w:val="004C6596"/>
    <w:rsid w:val="004C6688"/>
    <w:rsid w:val="004C6AA6"/>
    <w:rsid w:val="004C705E"/>
    <w:rsid w:val="004C79E2"/>
    <w:rsid w:val="004C7B80"/>
    <w:rsid w:val="004C7D51"/>
    <w:rsid w:val="004D01C8"/>
    <w:rsid w:val="004D0678"/>
    <w:rsid w:val="004D07D2"/>
    <w:rsid w:val="004D0894"/>
    <w:rsid w:val="004D131B"/>
    <w:rsid w:val="004D1776"/>
    <w:rsid w:val="004D1881"/>
    <w:rsid w:val="004D26E0"/>
    <w:rsid w:val="004D2976"/>
    <w:rsid w:val="004D2C3F"/>
    <w:rsid w:val="004D2DFF"/>
    <w:rsid w:val="004D37C4"/>
    <w:rsid w:val="004D399E"/>
    <w:rsid w:val="004D43A2"/>
    <w:rsid w:val="004D44FA"/>
    <w:rsid w:val="004D4A3F"/>
    <w:rsid w:val="004D4D3C"/>
    <w:rsid w:val="004D4D63"/>
    <w:rsid w:val="004D4EBC"/>
    <w:rsid w:val="004D4EE5"/>
    <w:rsid w:val="004D50AF"/>
    <w:rsid w:val="004D518B"/>
    <w:rsid w:val="004D5468"/>
    <w:rsid w:val="004D5D10"/>
    <w:rsid w:val="004D5DF1"/>
    <w:rsid w:val="004D78A6"/>
    <w:rsid w:val="004E05AF"/>
    <w:rsid w:val="004E0978"/>
    <w:rsid w:val="004E0980"/>
    <w:rsid w:val="004E157A"/>
    <w:rsid w:val="004E229C"/>
    <w:rsid w:val="004E2437"/>
    <w:rsid w:val="004E263A"/>
    <w:rsid w:val="004E2779"/>
    <w:rsid w:val="004E2BB1"/>
    <w:rsid w:val="004E334F"/>
    <w:rsid w:val="004E3ACE"/>
    <w:rsid w:val="004E3C29"/>
    <w:rsid w:val="004E3D23"/>
    <w:rsid w:val="004E4604"/>
    <w:rsid w:val="004E474B"/>
    <w:rsid w:val="004E47A1"/>
    <w:rsid w:val="004E4BDD"/>
    <w:rsid w:val="004E4C78"/>
    <w:rsid w:val="004E4C84"/>
    <w:rsid w:val="004E517E"/>
    <w:rsid w:val="004E5EA5"/>
    <w:rsid w:val="004E60B9"/>
    <w:rsid w:val="004E727E"/>
    <w:rsid w:val="004F05CA"/>
    <w:rsid w:val="004F0ABF"/>
    <w:rsid w:val="004F0D53"/>
    <w:rsid w:val="004F0D94"/>
    <w:rsid w:val="004F0E29"/>
    <w:rsid w:val="004F1598"/>
    <w:rsid w:val="004F1A36"/>
    <w:rsid w:val="004F33D0"/>
    <w:rsid w:val="004F3EDD"/>
    <w:rsid w:val="004F4153"/>
    <w:rsid w:val="004F4650"/>
    <w:rsid w:val="004F51F0"/>
    <w:rsid w:val="004F59B3"/>
    <w:rsid w:val="004F611E"/>
    <w:rsid w:val="004F6156"/>
    <w:rsid w:val="004F6435"/>
    <w:rsid w:val="004F6C96"/>
    <w:rsid w:val="004F6FF1"/>
    <w:rsid w:val="004F7F2D"/>
    <w:rsid w:val="00500A6B"/>
    <w:rsid w:val="00500CA3"/>
    <w:rsid w:val="005010C7"/>
    <w:rsid w:val="0050127F"/>
    <w:rsid w:val="005020BE"/>
    <w:rsid w:val="005021AF"/>
    <w:rsid w:val="00503ADF"/>
    <w:rsid w:val="00503CF4"/>
    <w:rsid w:val="00504EA4"/>
    <w:rsid w:val="00505940"/>
    <w:rsid w:val="00505A00"/>
    <w:rsid w:val="00505DD4"/>
    <w:rsid w:val="00505ECB"/>
    <w:rsid w:val="005061B1"/>
    <w:rsid w:val="005063AA"/>
    <w:rsid w:val="00506807"/>
    <w:rsid w:val="00506DFE"/>
    <w:rsid w:val="0050712E"/>
    <w:rsid w:val="00507A79"/>
    <w:rsid w:val="005102AA"/>
    <w:rsid w:val="005104EB"/>
    <w:rsid w:val="00510EFA"/>
    <w:rsid w:val="00511F48"/>
    <w:rsid w:val="00512325"/>
    <w:rsid w:val="00512C4B"/>
    <w:rsid w:val="00513FCA"/>
    <w:rsid w:val="00514138"/>
    <w:rsid w:val="005145D7"/>
    <w:rsid w:val="00514978"/>
    <w:rsid w:val="00514E2D"/>
    <w:rsid w:val="005150EF"/>
    <w:rsid w:val="005155AF"/>
    <w:rsid w:val="005159C0"/>
    <w:rsid w:val="00515AB0"/>
    <w:rsid w:val="0051661C"/>
    <w:rsid w:val="00516E16"/>
    <w:rsid w:val="005171AC"/>
    <w:rsid w:val="00520791"/>
    <w:rsid w:val="0052111E"/>
    <w:rsid w:val="00521414"/>
    <w:rsid w:val="00521E0A"/>
    <w:rsid w:val="0052279C"/>
    <w:rsid w:val="00522BCC"/>
    <w:rsid w:val="00522C68"/>
    <w:rsid w:val="00522CC2"/>
    <w:rsid w:val="00522D98"/>
    <w:rsid w:val="00522E53"/>
    <w:rsid w:val="0052305E"/>
    <w:rsid w:val="00523136"/>
    <w:rsid w:val="005231BE"/>
    <w:rsid w:val="005231DD"/>
    <w:rsid w:val="00523E33"/>
    <w:rsid w:val="00524BDC"/>
    <w:rsid w:val="00525071"/>
    <w:rsid w:val="0052600D"/>
    <w:rsid w:val="00526AA0"/>
    <w:rsid w:val="00527243"/>
    <w:rsid w:val="005276BC"/>
    <w:rsid w:val="00527BE7"/>
    <w:rsid w:val="00530CA3"/>
    <w:rsid w:val="0053146B"/>
    <w:rsid w:val="00532886"/>
    <w:rsid w:val="0053352E"/>
    <w:rsid w:val="00533782"/>
    <w:rsid w:val="00533B02"/>
    <w:rsid w:val="00533F73"/>
    <w:rsid w:val="0053447D"/>
    <w:rsid w:val="00534674"/>
    <w:rsid w:val="0053484A"/>
    <w:rsid w:val="0053492B"/>
    <w:rsid w:val="00534CFB"/>
    <w:rsid w:val="00534FF6"/>
    <w:rsid w:val="00535071"/>
    <w:rsid w:val="00535637"/>
    <w:rsid w:val="00536573"/>
    <w:rsid w:val="00536BE5"/>
    <w:rsid w:val="005370AB"/>
    <w:rsid w:val="005370E3"/>
    <w:rsid w:val="00537C2B"/>
    <w:rsid w:val="0054003D"/>
    <w:rsid w:val="005408AC"/>
    <w:rsid w:val="00540D7C"/>
    <w:rsid w:val="00540F43"/>
    <w:rsid w:val="0054149F"/>
    <w:rsid w:val="00541765"/>
    <w:rsid w:val="00541CE1"/>
    <w:rsid w:val="00542BBE"/>
    <w:rsid w:val="005431F7"/>
    <w:rsid w:val="00543888"/>
    <w:rsid w:val="00543B25"/>
    <w:rsid w:val="00543DC7"/>
    <w:rsid w:val="00544793"/>
    <w:rsid w:val="00544B94"/>
    <w:rsid w:val="00546071"/>
    <w:rsid w:val="005461A5"/>
    <w:rsid w:val="005466E1"/>
    <w:rsid w:val="00546BB2"/>
    <w:rsid w:val="0054700A"/>
    <w:rsid w:val="0055012B"/>
    <w:rsid w:val="0055030F"/>
    <w:rsid w:val="00551360"/>
    <w:rsid w:val="005518E9"/>
    <w:rsid w:val="005526F9"/>
    <w:rsid w:val="00552789"/>
    <w:rsid w:val="00552B36"/>
    <w:rsid w:val="00552E14"/>
    <w:rsid w:val="00553961"/>
    <w:rsid w:val="005539CB"/>
    <w:rsid w:val="00553FEC"/>
    <w:rsid w:val="005548FE"/>
    <w:rsid w:val="005553BF"/>
    <w:rsid w:val="0055586E"/>
    <w:rsid w:val="00556978"/>
    <w:rsid w:val="005570EB"/>
    <w:rsid w:val="005572EE"/>
    <w:rsid w:val="00557503"/>
    <w:rsid w:val="00557E38"/>
    <w:rsid w:val="00560103"/>
    <w:rsid w:val="005604FE"/>
    <w:rsid w:val="005606D5"/>
    <w:rsid w:val="005607AE"/>
    <w:rsid w:val="00561B84"/>
    <w:rsid w:val="00561E6B"/>
    <w:rsid w:val="00562984"/>
    <w:rsid w:val="00562DA0"/>
    <w:rsid w:val="005635CE"/>
    <w:rsid w:val="00564101"/>
    <w:rsid w:val="00564849"/>
    <w:rsid w:val="0056490B"/>
    <w:rsid w:val="00564A59"/>
    <w:rsid w:val="0056588B"/>
    <w:rsid w:val="00566332"/>
    <w:rsid w:val="005663B7"/>
    <w:rsid w:val="00566539"/>
    <w:rsid w:val="00566C15"/>
    <w:rsid w:val="005679E6"/>
    <w:rsid w:val="005710A6"/>
    <w:rsid w:val="00571266"/>
    <w:rsid w:val="005715B4"/>
    <w:rsid w:val="005720DD"/>
    <w:rsid w:val="005725AE"/>
    <w:rsid w:val="005725FD"/>
    <w:rsid w:val="00572885"/>
    <w:rsid w:val="00572C97"/>
    <w:rsid w:val="00572CBE"/>
    <w:rsid w:val="005731FE"/>
    <w:rsid w:val="005746AB"/>
    <w:rsid w:val="005749BA"/>
    <w:rsid w:val="00574D4F"/>
    <w:rsid w:val="005750C4"/>
    <w:rsid w:val="005752E7"/>
    <w:rsid w:val="005753A7"/>
    <w:rsid w:val="00575ABC"/>
    <w:rsid w:val="00576EB1"/>
    <w:rsid w:val="005772EA"/>
    <w:rsid w:val="005775EF"/>
    <w:rsid w:val="0057763B"/>
    <w:rsid w:val="00577702"/>
    <w:rsid w:val="00580448"/>
    <w:rsid w:val="00580BB4"/>
    <w:rsid w:val="00580C69"/>
    <w:rsid w:val="005818B3"/>
    <w:rsid w:val="00581B32"/>
    <w:rsid w:val="00581BD3"/>
    <w:rsid w:val="00581D16"/>
    <w:rsid w:val="00581F61"/>
    <w:rsid w:val="0058232B"/>
    <w:rsid w:val="00582681"/>
    <w:rsid w:val="00583E6B"/>
    <w:rsid w:val="0058497C"/>
    <w:rsid w:val="005849BB"/>
    <w:rsid w:val="00585365"/>
    <w:rsid w:val="005857A6"/>
    <w:rsid w:val="0058617B"/>
    <w:rsid w:val="00586271"/>
    <w:rsid w:val="00586476"/>
    <w:rsid w:val="005864DC"/>
    <w:rsid w:val="005873F7"/>
    <w:rsid w:val="0058789A"/>
    <w:rsid w:val="00590061"/>
    <w:rsid w:val="005900DC"/>
    <w:rsid w:val="00590213"/>
    <w:rsid w:val="00590B6A"/>
    <w:rsid w:val="005916E1"/>
    <w:rsid w:val="00591704"/>
    <w:rsid w:val="00592FF4"/>
    <w:rsid w:val="005931AF"/>
    <w:rsid w:val="005933DA"/>
    <w:rsid w:val="0059364D"/>
    <w:rsid w:val="005939AB"/>
    <w:rsid w:val="00593D00"/>
    <w:rsid w:val="00594BAA"/>
    <w:rsid w:val="00594F9D"/>
    <w:rsid w:val="005951E4"/>
    <w:rsid w:val="005954EC"/>
    <w:rsid w:val="0059599F"/>
    <w:rsid w:val="00595AFD"/>
    <w:rsid w:val="005968D4"/>
    <w:rsid w:val="00596B6C"/>
    <w:rsid w:val="00596C12"/>
    <w:rsid w:val="00596C93"/>
    <w:rsid w:val="00596E0D"/>
    <w:rsid w:val="00596F10"/>
    <w:rsid w:val="0059702D"/>
    <w:rsid w:val="0059737E"/>
    <w:rsid w:val="005975F3"/>
    <w:rsid w:val="005977CB"/>
    <w:rsid w:val="00597BDE"/>
    <w:rsid w:val="00597C74"/>
    <w:rsid w:val="00597FBB"/>
    <w:rsid w:val="005A01C8"/>
    <w:rsid w:val="005A1D34"/>
    <w:rsid w:val="005A25BA"/>
    <w:rsid w:val="005A2651"/>
    <w:rsid w:val="005A374B"/>
    <w:rsid w:val="005A4A29"/>
    <w:rsid w:val="005A4B4B"/>
    <w:rsid w:val="005A4EE0"/>
    <w:rsid w:val="005A5686"/>
    <w:rsid w:val="005A62E6"/>
    <w:rsid w:val="005A651B"/>
    <w:rsid w:val="005A6FE8"/>
    <w:rsid w:val="005A7CE1"/>
    <w:rsid w:val="005A7D08"/>
    <w:rsid w:val="005B023D"/>
    <w:rsid w:val="005B076C"/>
    <w:rsid w:val="005B2B4F"/>
    <w:rsid w:val="005B2BB4"/>
    <w:rsid w:val="005B359A"/>
    <w:rsid w:val="005B3AA3"/>
    <w:rsid w:val="005B4B02"/>
    <w:rsid w:val="005B4B43"/>
    <w:rsid w:val="005B543E"/>
    <w:rsid w:val="005B551B"/>
    <w:rsid w:val="005B5931"/>
    <w:rsid w:val="005B5A23"/>
    <w:rsid w:val="005B5EC1"/>
    <w:rsid w:val="005B61CE"/>
    <w:rsid w:val="005B65B2"/>
    <w:rsid w:val="005B6704"/>
    <w:rsid w:val="005B6AC7"/>
    <w:rsid w:val="005B7D48"/>
    <w:rsid w:val="005C08EC"/>
    <w:rsid w:val="005C136A"/>
    <w:rsid w:val="005C14A9"/>
    <w:rsid w:val="005C163E"/>
    <w:rsid w:val="005C241D"/>
    <w:rsid w:val="005C292F"/>
    <w:rsid w:val="005C2F5D"/>
    <w:rsid w:val="005C337E"/>
    <w:rsid w:val="005C3962"/>
    <w:rsid w:val="005C3BC2"/>
    <w:rsid w:val="005C432D"/>
    <w:rsid w:val="005C45EE"/>
    <w:rsid w:val="005C5358"/>
    <w:rsid w:val="005C5624"/>
    <w:rsid w:val="005C5B3E"/>
    <w:rsid w:val="005C5BED"/>
    <w:rsid w:val="005C5EEC"/>
    <w:rsid w:val="005C6492"/>
    <w:rsid w:val="005C6BE0"/>
    <w:rsid w:val="005C6C56"/>
    <w:rsid w:val="005C6F4A"/>
    <w:rsid w:val="005C7012"/>
    <w:rsid w:val="005D0149"/>
    <w:rsid w:val="005D0921"/>
    <w:rsid w:val="005D133E"/>
    <w:rsid w:val="005D136B"/>
    <w:rsid w:val="005D1453"/>
    <w:rsid w:val="005D3CA0"/>
    <w:rsid w:val="005D4270"/>
    <w:rsid w:val="005D455F"/>
    <w:rsid w:val="005D45B2"/>
    <w:rsid w:val="005D4A95"/>
    <w:rsid w:val="005D4C7F"/>
    <w:rsid w:val="005D55F2"/>
    <w:rsid w:val="005D5775"/>
    <w:rsid w:val="005D592B"/>
    <w:rsid w:val="005D5D1D"/>
    <w:rsid w:val="005D6152"/>
    <w:rsid w:val="005D654A"/>
    <w:rsid w:val="005D675A"/>
    <w:rsid w:val="005D7523"/>
    <w:rsid w:val="005E0065"/>
    <w:rsid w:val="005E1546"/>
    <w:rsid w:val="005E1812"/>
    <w:rsid w:val="005E3027"/>
    <w:rsid w:val="005E3084"/>
    <w:rsid w:val="005E3711"/>
    <w:rsid w:val="005E3F6E"/>
    <w:rsid w:val="005E418B"/>
    <w:rsid w:val="005E4B3F"/>
    <w:rsid w:val="005E504F"/>
    <w:rsid w:val="005E5ACF"/>
    <w:rsid w:val="005E5E82"/>
    <w:rsid w:val="005E608E"/>
    <w:rsid w:val="005E6699"/>
    <w:rsid w:val="005E7449"/>
    <w:rsid w:val="005E7C20"/>
    <w:rsid w:val="005E7CED"/>
    <w:rsid w:val="005E7D02"/>
    <w:rsid w:val="005F053E"/>
    <w:rsid w:val="005F0622"/>
    <w:rsid w:val="005F0A8C"/>
    <w:rsid w:val="005F0B99"/>
    <w:rsid w:val="005F0EE4"/>
    <w:rsid w:val="005F2F91"/>
    <w:rsid w:val="005F30B3"/>
    <w:rsid w:val="005F3A8A"/>
    <w:rsid w:val="005F3E82"/>
    <w:rsid w:val="005F471B"/>
    <w:rsid w:val="005F4943"/>
    <w:rsid w:val="005F546D"/>
    <w:rsid w:val="005F5807"/>
    <w:rsid w:val="005F588B"/>
    <w:rsid w:val="005F5BBA"/>
    <w:rsid w:val="005F6050"/>
    <w:rsid w:val="005F61BD"/>
    <w:rsid w:val="005F64EC"/>
    <w:rsid w:val="005F689A"/>
    <w:rsid w:val="005F7A7C"/>
    <w:rsid w:val="005F7B1F"/>
    <w:rsid w:val="00600077"/>
    <w:rsid w:val="00600137"/>
    <w:rsid w:val="006002C6"/>
    <w:rsid w:val="00600E4F"/>
    <w:rsid w:val="006011FA"/>
    <w:rsid w:val="006016F3"/>
    <w:rsid w:val="0060199D"/>
    <w:rsid w:val="00601BAE"/>
    <w:rsid w:val="00602047"/>
    <w:rsid w:val="0060256A"/>
    <w:rsid w:val="006029CA"/>
    <w:rsid w:val="0060327C"/>
    <w:rsid w:val="00603352"/>
    <w:rsid w:val="00603460"/>
    <w:rsid w:val="00603B94"/>
    <w:rsid w:val="006042A9"/>
    <w:rsid w:val="00604334"/>
    <w:rsid w:val="00604C00"/>
    <w:rsid w:val="00605D18"/>
    <w:rsid w:val="00606337"/>
    <w:rsid w:val="0060646A"/>
    <w:rsid w:val="00606587"/>
    <w:rsid w:val="00606ACC"/>
    <w:rsid w:val="00606C96"/>
    <w:rsid w:val="00606D37"/>
    <w:rsid w:val="006071F8"/>
    <w:rsid w:val="00607339"/>
    <w:rsid w:val="00607C8C"/>
    <w:rsid w:val="00607DB8"/>
    <w:rsid w:val="00610382"/>
    <w:rsid w:val="00610607"/>
    <w:rsid w:val="00610733"/>
    <w:rsid w:val="00610A9B"/>
    <w:rsid w:val="00611145"/>
    <w:rsid w:val="0061125B"/>
    <w:rsid w:val="00611748"/>
    <w:rsid w:val="00611E8C"/>
    <w:rsid w:val="00612D6B"/>
    <w:rsid w:val="00612D99"/>
    <w:rsid w:val="00612ED7"/>
    <w:rsid w:val="00613189"/>
    <w:rsid w:val="006135D5"/>
    <w:rsid w:val="00614694"/>
    <w:rsid w:val="00614F5D"/>
    <w:rsid w:val="0061534E"/>
    <w:rsid w:val="0061557F"/>
    <w:rsid w:val="00615F78"/>
    <w:rsid w:val="006160CE"/>
    <w:rsid w:val="00616B2D"/>
    <w:rsid w:val="006172A5"/>
    <w:rsid w:val="00617774"/>
    <w:rsid w:val="0061798B"/>
    <w:rsid w:val="00620F4E"/>
    <w:rsid w:val="00620FD4"/>
    <w:rsid w:val="006213AC"/>
    <w:rsid w:val="006215E8"/>
    <w:rsid w:val="00621BDA"/>
    <w:rsid w:val="00621BF2"/>
    <w:rsid w:val="00621C29"/>
    <w:rsid w:val="00621DC6"/>
    <w:rsid w:val="006224A5"/>
    <w:rsid w:val="00622687"/>
    <w:rsid w:val="00622CE6"/>
    <w:rsid w:val="00624277"/>
    <w:rsid w:val="006245C3"/>
    <w:rsid w:val="00624A95"/>
    <w:rsid w:val="00625480"/>
    <w:rsid w:val="00625C53"/>
    <w:rsid w:val="00625C61"/>
    <w:rsid w:val="00625EE5"/>
    <w:rsid w:val="00626651"/>
    <w:rsid w:val="00626ADD"/>
    <w:rsid w:val="00626BED"/>
    <w:rsid w:val="0062740E"/>
    <w:rsid w:val="006276BF"/>
    <w:rsid w:val="0063001C"/>
    <w:rsid w:val="00630183"/>
    <w:rsid w:val="00630649"/>
    <w:rsid w:val="00630666"/>
    <w:rsid w:val="00630C53"/>
    <w:rsid w:val="00630F83"/>
    <w:rsid w:val="006312C2"/>
    <w:rsid w:val="0063162A"/>
    <w:rsid w:val="006319C7"/>
    <w:rsid w:val="00631D00"/>
    <w:rsid w:val="00632B44"/>
    <w:rsid w:val="00632D23"/>
    <w:rsid w:val="00632FE6"/>
    <w:rsid w:val="00634498"/>
    <w:rsid w:val="00634D73"/>
    <w:rsid w:val="00636303"/>
    <w:rsid w:val="006363D9"/>
    <w:rsid w:val="00636D45"/>
    <w:rsid w:val="006372FC"/>
    <w:rsid w:val="006376EC"/>
    <w:rsid w:val="00637EB3"/>
    <w:rsid w:val="0064034A"/>
    <w:rsid w:val="006408CD"/>
    <w:rsid w:val="00640964"/>
    <w:rsid w:val="00640EE2"/>
    <w:rsid w:val="0064183F"/>
    <w:rsid w:val="00641B12"/>
    <w:rsid w:val="00641BCF"/>
    <w:rsid w:val="00642881"/>
    <w:rsid w:val="006435D1"/>
    <w:rsid w:val="00643918"/>
    <w:rsid w:val="0064492F"/>
    <w:rsid w:val="00644DC4"/>
    <w:rsid w:val="006463BB"/>
    <w:rsid w:val="006468EC"/>
    <w:rsid w:val="0064739D"/>
    <w:rsid w:val="006473DA"/>
    <w:rsid w:val="006503F3"/>
    <w:rsid w:val="00650A8E"/>
    <w:rsid w:val="00650BAD"/>
    <w:rsid w:val="00651C03"/>
    <w:rsid w:val="00652703"/>
    <w:rsid w:val="00652AC6"/>
    <w:rsid w:val="006536EB"/>
    <w:rsid w:val="00653F09"/>
    <w:rsid w:val="00654259"/>
    <w:rsid w:val="006544E1"/>
    <w:rsid w:val="006548C2"/>
    <w:rsid w:val="00654CEC"/>
    <w:rsid w:val="00655C19"/>
    <w:rsid w:val="00655C7B"/>
    <w:rsid w:val="00655D8B"/>
    <w:rsid w:val="0065623C"/>
    <w:rsid w:val="00656B61"/>
    <w:rsid w:val="00657865"/>
    <w:rsid w:val="00657983"/>
    <w:rsid w:val="00657DCB"/>
    <w:rsid w:val="00660815"/>
    <w:rsid w:val="00660AB4"/>
    <w:rsid w:val="00660E99"/>
    <w:rsid w:val="00661156"/>
    <w:rsid w:val="00661239"/>
    <w:rsid w:val="00661257"/>
    <w:rsid w:val="006618D2"/>
    <w:rsid w:val="006619DC"/>
    <w:rsid w:val="00661A07"/>
    <w:rsid w:val="006620AC"/>
    <w:rsid w:val="00662449"/>
    <w:rsid w:val="0066312F"/>
    <w:rsid w:val="006635EB"/>
    <w:rsid w:val="0066511E"/>
    <w:rsid w:val="006654EA"/>
    <w:rsid w:val="00665932"/>
    <w:rsid w:val="00665D84"/>
    <w:rsid w:val="00666267"/>
    <w:rsid w:val="00666551"/>
    <w:rsid w:val="0066670B"/>
    <w:rsid w:val="006669CA"/>
    <w:rsid w:val="00666F7E"/>
    <w:rsid w:val="006676DB"/>
    <w:rsid w:val="00667B4D"/>
    <w:rsid w:val="00670A2B"/>
    <w:rsid w:val="0067155E"/>
    <w:rsid w:val="00671847"/>
    <w:rsid w:val="006719BE"/>
    <w:rsid w:val="006719FB"/>
    <w:rsid w:val="00671CDE"/>
    <w:rsid w:val="006729F8"/>
    <w:rsid w:val="00672E90"/>
    <w:rsid w:val="006755B0"/>
    <w:rsid w:val="00676609"/>
    <w:rsid w:val="00676AF7"/>
    <w:rsid w:val="0067709C"/>
    <w:rsid w:val="006773AD"/>
    <w:rsid w:val="00677D6E"/>
    <w:rsid w:val="0068015B"/>
    <w:rsid w:val="00680F43"/>
    <w:rsid w:val="00681726"/>
    <w:rsid w:val="006817A8"/>
    <w:rsid w:val="00681CA5"/>
    <w:rsid w:val="00681DC6"/>
    <w:rsid w:val="00681FED"/>
    <w:rsid w:val="0068207F"/>
    <w:rsid w:val="0068251F"/>
    <w:rsid w:val="00682D4C"/>
    <w:rsid w:val="006834C8"/>
    <w:rsid w:val="00683F29"/>
    <w:rsid w:val="006841AA"/>
    <w:rsid w:val="006844B7"/>
    <w:rsid w:val="00684816"/>
    <w:rsid w:val="00684895"/>
    <w:rsid w:val="00684B90"/>
    <w:rsid w:val="00685286"/>
    <w:rsid w:val="006855E1"/>
    <w:rsid w:val="00685690"/>
    <w:rsid w:val="00685B5F"/>
    <w:rsid w:val="00685C0E"/>
    <w:rsid w:val="00685DED"/>
    <w:rsid w:val="006861B0"/>
    <w:rsid w:val="0068623F"/>
    <w:rsid w:val="00686BAC"/>
    <w:rsid w:val="00686BB3"/>
    <w:rsid w:val="0068712D"/>
    <w:rsid w:val="00687683"/>
    <w:rsid w:val="00687C6D"/>
    <w:rsid w:val="00687FA5"/>
    <w:rsid w:val="00690392"/>
    <w:rsid w:val="00690784"/>
    <w:rsid w:val="00690B48"/>
    <w:rsid w:val="00690F36"/>
    <w:rsid w:val="00691246"/>
    <w:rsid w:val="00691458"/>
    <w:rsid w:val="00691953"/>
    <w:rsid w:val="00692067"/>
    <w:rsid w:val="00692114"/>
    <w:rsid w:val="00692B1B"/>
    <w:rsid w:val="006930DE"/>
    <w:rsid w:val="00693FDB"/>
    <w:rsid w:val="00694177"/>
    <w:rsid w:val="006949F9"/>
    <w:rsid w:val="00694ECD"/>
    <w:rsid w:val="00695948"/>
    <w:rsid w:val="006965BA"/>
    <w:rsid w:val="00696940"/>
    <w:rsid w:val="006970C6"/>
    <w:rsid w:val="0069725E"/>
    <w:rsid w:val="00697EBC"/>
    <w:rsid w:val="006A050E"/>
    <w:rsid w:val="006A0636"/>
    <w:rsid w:val="006A0963"/>
    <w:rsid w:val="006A0F85"/>
    <w:rsid w:val="006A18D2"/>
    <w:rsid w:val="006A20EF"/>
    <w:rsid w:val="006A2698"/>
    <w:rsid w:val="006A3821"/>
    <w:rsid w:val="006A4002"/>
    <w:rsid w:val="006A44EE"/>
    <w:rsid w:val="006A5648"/>
    <w:rsid w:val="006A5C5D"/>
    <w:rsid w:val="006A675C"/>
    <w:rsid w:val="006A7449"/>
    <w:rsid w:val="006A79AB"/>
    <w:rsid w:val="006A7BA5"/>
    <w:rsid w:val="006B029B"/>
    <w:rsid w:val="006B0498"/>
    <w:rsid w:val="006B080C"/>
    <w:rsid w:val="006B0A41"/>
    <w:rsid w:val="006B120F"/>
    <w:rsid w:val="006B2144"/>
    <w:rsid w:val="006B22C5"/>
    <w:rsid w:val="006B25F1"/>
    <w:rsid w:val="006B2B5F"/>
    <w:rsid w:val="006B2ED9"/>
    <w:rsid w:val="006B3038"/>
    <w:rsid w:val="006B3985"/>
    <w:rsid w:val="006B39FF"/>
    <w:rsid w:val="006B3FC2"/>
    <w:rsid w:val="006B4883"/>
    <w:rsid w:val="006B4AD0"/>
    <w:rsid w:val="006B4B42"/>
    <w:rsid w:val="006B6350"/>
    <w:rsid w:val="006B6732"/>
    <w:rsid w:val="006B6E73"/>
    <w:rsid w:val="006B6E9F"/>
    <w:rsid w:val="006B7757"/>
    <w:rsid w:val="006B7AE9"/>
    <w:rsid w:val="006B7FD1"/>
    <w:rsid w:val="006C00C0"/>
    <w:rsid w:val="006C016D"/>
    <w:rsid w:val="006C049E"/>
    <w:rsid w:val="006C06D3"/>
    <w:rsid w:val="006C06E9"/>
    <w:rsid w:val="006C0B81"/>
    <w:rsid w:val="006C0DC1"/>
    <w:rsid w:val="006C14CC"/>
    <w:rsid w:val="006C18F5"/>
    <w:rsid w:val="006C213B"/>
    <w:rsid w:val="006C2784"/>
    <w:rsid w:val="006C29F9"/>
    <w:rsid w:val="006C2A03"/>
    <w:rsid w:val="006C2C45"/>
    <w:rsid w:val="006C325F"/>
    <w:rsid w:val="006C33FA"/>
    <w:rsid w:val="006C35A7"/>
    <w:rsid w:val="006C449E"/>
    <w:rsid w:val="006C4514"/>
    <w:rsid w:val="006C453D"/>
    <w:rsid w:val="006C468E"/>
    <w:rsid w:val="006C479C"/>
    <w:rsid w:val="006C48FE"/>
    <w:rsid w:val="006C4926"/>
    <w:rsid w:val="006C4BAD"/>
    <w:rsid w:val="006C59DA"/>
    <w:rsid w:val="006C619C"/>
    <w:rsid w:val="006C625E"/>
    <w:rsid w:val="006C6666"/>
    <w:rsid w:val="006C6DD5"/>
    <w:rsid w:val="006C6E66"/>
    <w:rsid w:val="006C6FE4"/>
    <w:rsid w:val="006C7181"/>
    <w:rsid w:val="006D0136"/>
    <w:rsid w:val="006D097D"/>
    <w:rsid w:val="006D0AC2"/>
    <w:rsid w:val="006D0DD3"/>
    <w:rsid w:val="006D2B5A"/>
    <w:rsid w:val="006D36FD"/>
    <w:rsid w:val="006D3D85"/>
    <w:rsid w:val="006D3EFB"/>
    <w:rsid w:val="006D437A"/>
    <w:rsid w:val="006D4C57"/>
    <w:rsid w:val="006D500E"/>
    <w:rsid w:val="006D502F"/>
    <w:rsid w:val="006D5245"/>
    <w:rsid w:val="006D5A48"/>
    <w:rsid w:val="006D792E"/>
    <w:rsid w:val="006D7D0F"/>
    <w:rsid w:val="006E0851"/>
    <w:rsid w:val="006E0BCE"/>
    <w:rsid w:val="006E0C9F"/>
    <w:rsid w:val="006E0E05"/>
    <w:rsid w:val="006E364C"/>
    <w:rsid w:val="006E3AF4"/>
    <w:rsid w:val="006E3DB4"/>
    <w:rsid w:val="006E42EB"/>
    <w:rsid w:val="006E52A3"/>
    <w:rsid w:val="006E5A14"/>
    <w:rsid w:val="006E5C16"/>
    <w:rsid w:val="006E60CC"/>
    <w:rsid w:val="006E69CC"/>
    <w:rsid w:val="006E6ACC"/>
    <w:rsid w:val="006E6BAB"/>
    <w:rsid w:val="006E6F37"/>
    <w:rsid w:val="006E71B8"/>
    <w:rsid w:val="006E72ED"/>
    <w:rsid w:val="006E7605"/>
    <w:rsid w:val="006E7742"/>
    <w:rsid w:val="006F1A73"/>
    <w:rsid w:val="006F1CAE"/>
    <w:rsid w:val="006F214F"/>
    <w:rsid w:val="006F2D70"/>
    <w:rsid w:val="006F3B72"/>
    <w:rsid w:val="006F3CAE"/>
    <w:rsid w:val="006F42C7"/>
    <w:rsid w:val="006F4BEC"/>
    <w:rsid w:val="006F524A"/>
    <w:rsid w:val="006F5A94"/>
    <w:rsid w:val="006F698E"/>
    <w:rsid w:val="006F736A"/>
    <w:rsid w:val="006F7491"/>
    <w:rsid w:val="006F7B44"/>
    <w:rsid w:val="006F7BCF"/>
    <w:rsid w:val="006F7EE4"/>
    <w:rsid w:val="00700548"/>
    <w:rsid w:val="0070102D"/>
    <w:rsid w:val="00701434"/>
    <w:rsid w:val="0070179F"/>
    <w:rsid w:val="00701A80"/>
    <w:rsid w:val="007021A5"/>
    <w:rsid w:val="00702425"/>
    <w:rsid w:val="00702AEF"/>
    <w:rsid w:val="007038C0"/>
    <w:rsid w:val="00703B78"/>
    <w:rsid w:val="00703D21"/>
    <w:rsid w:val="00703FD4"/>
    <w:rsid w:val="00705067"/>
    <w:rsid w:val="007053D3"/>
    <w:rsid w:val="0070674F"/>
    <w:rsid w:val="007069E8"/>
    <w:rsid w:val="0070707C"/>
    <w:rsid w:val="00707DAE"/>
    <w:rsid w:val="007102CD"/>
    <w:rsid w:val="00710B5E"/>
    <w:rsid w:val="00710B72"/>
    <w:rsid w:val="00711C65"/>
    <w:rsid w:val="00712653"/>
    <w:rsid w:val="007126F8"/>
    <w:rsid w:val="00712FC0"/>
    <w:rsid w:val="0071326A"/>
    <w:rsid w:val="007145B8"/>
    <w:rsid w:val="00714A75"/>
    <w:rsid w:val="00714F60"/>
    <w:rsid w:val="0071508D"/>
    <w:rsid w:val="007154EB"/>
    <w:rsid w:val="00715D4C"/>
    <w:rsid w:val="0071632D"/>
    <w:rsid w:val="00716A47"/>
    <w:rsid w:val="00717701"/>
    <w:rsid w:val="00717D06"/>
    <w:rsid w:val="00717FB9"/>
    <w:rsid w:val="00720059"/>
    <w:rsid w:val="00720EDD"/>
    <w:rsid w:val="007219A1"/>
    <w:rsid w:val="00722C13"/>
    <w:rsid w:val="00723094"/>
    <w:rsid w:val="007232DE"/>
    <w:rsid w:val="007233BE"/>
    <w:rsid w:val="00723452"/>
    <w:rsid w:val="00723648"/>
    <w:rsid w:val="007244D4"/>
    <w:rsid w:val="0072473A"/>
    <w:rsid w:val="00724D66"/>
    <w:rsid w:val="007250BE"/>
    <w:rsid w:val="007254B1"/>
    <w:rsid w:val="007255EF"/>
    <w:rsid w:val="007256C7"/>
    <w:rsid w:val="00725907"/>
    <w:rsid w:val="007259EB"/>
    <w:rsid w:val="00725A7F"/>
    <w:rsid w:val="00726102"/>
    <w:rsid w:val="00726298"/>
    <w:rsid w:val="007267C2"/>
    <w:rsid w:val="00726D23"/>
    <w:rsid w:val="00726E55"/>
    <w:rsid w:val="007271D1"/>
    <w:rsid w:val="00727599"/>
    <w:rsid w:val="00727911"/>
    <w:rsid w:val="007279F3"/>
    <w:rsid w:val="007301C5"/>
    <w:rsid w:val="00731158"/>
    <w:rsid w:val="007311FD"/>
    <w:rsid w:val="00731392"/>
    <w:rsid w:val="007313CF"/>
    <w:rsid w:val="0073213B"/>
    <w:rsid w:val="007332DD"/>
    <w:rsid w:val="00733777"/>
    <w:rsid w:val="0073439D"/>
    <w:rsid w:val="00734555"/>
    <w:rsid w:val="00734622"/>
    <w:rsid w:val="00735C78"/>
    <w:rsid w:val="00735D59"/>
    <w:rsid w:val="00736284"/>
    <w:rsid w:val="00736406"/>
    <w:rsid w:val="00736808"/>
    <w:rsid w:val="00737496"/>
    <w:rsid w:val="00737F5E"/>
    <w:rsid w:val="007410BB"/>
    <w:rsid w:val="007415EF"/>
    <w:rsid w:val="0074197C"/>
    <w:rsid w:val="0074210F"/>
    <w:rsid w:val="007427BB"/>
    <w:rsid w:val="00742DEF"/>
    <w:rsid w:val="007432A4"/>
    <w:rsid w:val="00743E69"/>
    <w:rsid w:val="00744045"/>
    <w:rsid w:val="00744C02"/>
    <w:rsid w:val="00745013"/>
    <w:rsid w:val="00745739"/>
    <w:rsid w:val="00745C8C"/>
    <w:rsid w:val="00745F2A"/>
    <w:rsid w:val="00746704"/>
    <w:rsid w:val="0074674A"/>
    <w:rsid w:val="00747723"/>
    <w:rsid w:val="007478E9"/>
    <w:rsid w:val="00747CF3"/>
    <w:rsid w:val="007509B2"/>
    <w:rsid w:val="0075114B"/>
    <w:rsid w:val="00751252"/>
    <w:rsid w:val="00752450"/>
    <w:rsid w:val="007530DB"/>
    <w:rsid w:val="0075319A"/>
    <w:rsid w:val="0075327D"/>
    <w:rsid w:val="007539E4"/>
    <w:rsid w:val="00753AA9"/>
    <w:rsid w:val="00753CDC"/>
    <w:rsid w:val="007547E5"/>
    <w:rsid w:val="00755BAB"/>
    <w:rsid w:val="00757573"/>
    <w:rsid w:val="0075786F"/>
    <w:rsid w:val="007603ED"/>
    <w:rsid w:val="007605BC"/>
    <w:rsid w:val="0076104F"/>
    <w:rsid w:val="0076108D"/>
    <w:rsid w:val="007611FC"/>
    <w:rsid w:val="00762534"/>
    <w:rsid w:val="0076284E"/>
    <w:rsid w:val="00763AF3"/>
    <w:rsid w:val="00763BEB"/>
    <w:rsid w:val="00763F72"/>
    <w:rsid w:val="0076419D"/>
    <w:rsid w:val="0076442D"/>
    <w:rsid w:val="00764642"/>
    <w:rsid w:val="007648B7"/>
    <w:rsid w:val="007649AE"/>
    <w:rsid w:val="00764AB2"/>
    <w:rsid w:val="00765033"/>
    <w:rsid w:val="0076529F"/>
    <w:rsid w:val="007658FA"/>
    <w:rsid w:val="00765A0C"/>
    <w:rsid w:val="00765AB5"/>
    <w:rsid w:val="00766299"/>
    <w:rsid w:val="007662CC"/>
    <w:rsid w:val="0076669A"/>
    <w:rsid w:val="007669C6"/>
    <w:rsid w:val="0076746B"/>
    <w:rsid w:val="007677BD"/>
    <w:rsid w:val="00767C70"/>
    <w:rsid w:val="00770922"/>
    <w:rsid w:val="00770A2A"/>
    <w:rsid w:val="00771661"/>
    <w:rsid w:val="007716C2"/>
    <w:rsid w:val="007719AC"/>
    <w:rsid w:val="00772741"/>
    <w:rsid w:val="00773236"/>
    <w:rsid w:val="00773589"/>
    <w:rsid w:val="007746B9"/>
    <w:rsid w:val="00774C18"/>
    <w:rsid w:val="00774CF5"/>
    <w:rsid w:val="00774F87"/>
    <w:rsid w:val="00775030"/>
    <w:rsid w:val="0077684B"/>
    <w:rsid w:val="00776B83"/>
    <w:rsid w:val="007771E4"/>
    <w:rsid w:val="00777606"/>
    <w:rsid w:val="0078053B"/>
    <w:rsid w:val="00780B5A"/>
    <w:rsid w:val="00780E93"/>
    <w:rsid w:val="00780F47"/>
    <w:rsid w:val="0078124D"/>
    <w:rsid w:val="007814DC"/>
    <w:rsid w:val="007824A3"/>
    <w:rsid w:val="00782779"/>
    <w:rsid w:val="00782AFF"/>
    <w:rsid w:val="00782CDA"/>
    <w:rsid w:val="00782CF5"/>
    <w:rsid w:val="00783760"/>
    <w:rsid w:val="00783806"/>
    <w:rsid w:val="00783F14"/>
    <w:rsid w:val="0078451F"/>
    <w:rsid w:val="00785569"/>
    <w:rsid w:val="00786CFF"/>
    <w:rsid w:val="00786D72"/>
    <w:rsid w:val="00786F9C"/>
    <w:rsid w:val="007873E0"/>
    <w:rsid w:val="007878B5"/>
    <w:rsid w:val="007879BC"/>
    <w:rsid w:val="00787E26"/>
    <w:rsid w:val="007909AF"/>
    <w:rsid w:val="00790DB9"/>
    <w:rsid w:val="00791102"/>
    <w:rsid w:val="0079166B"/>
    <w:rsid w:val="00791714"/>
    <w:rsid w:val="00792D0C"/>
    <w:rsid w:val="00792F0F"/>
    <w:rsid w:val="00793751"/>
    <w:rsid w:val="00793D39"/>
    <w:rsid w:val="00794683"/>
    <w:rsid w:val="00794CE9"/>
    <w:rsid w:val="00795158"/>
    <w:rsid w:val="007953FC"/>
    <w:rsid w:val="007955EF"/>
    <w:rsid w:val="00795866"/>
    <w:rsid w:val="00795A6E"/>
    <w:rsid w:val="00795CF7"/>
    <w:rsid w:val="00796169"/>
    <w:rsid w:val="00797441"/>
    <w:rsid w:val="00797E9D"/>
    <w:rsid w:val="007A006C"/>
    <w:rsid w:val="007A00D0"/>
    <w:rsid w:val="007A043F"/>
    <w:rsid w:val="007A04AC"/>
    <w:rsid w:val="007A1420"/>
    <w:rsid w:val="007A22C7"/>
    <w:rsid w:val="007A2EC6"/>
    <w:rsid w:val="007A3163"/>
    <w:rsid w:val="007A327C"/>
    <w:rsid w:val="007A348C"/>
    <w:rsid w:val="007A3706"/>
    <w:rsid w:val="007A42C0"/>
    <w:rsid w:val="007A4941"/>
    <w:rsid w:val="007A4AF8"/>
    <w:rsid w:val="007A4B55"/>
    <w:rsid w:val="007A5776"/>
    <w:rsid w:val="007A5B3D"/>
    <w:rsid w:val="007A5BD0"/>
    <w:rsid w:val="007A666B"/>
    <w:rsid w:val="007A6AE6"/>
    <w:rsid w:val="007A6B97"/>
    <w:rsid w:val="007A7131"/>
    <w:rsid w:val="007A764E"/>
    <w:rsid w:val="007A7EBB"/>
    <w:rsid w:val="007B0441"/>
    <w:rsid w:val="007B08F1"/>
    <w:rsid w:val="007B0DD4"/>
    <w:rsid w:val="007B1058"/>
    <w:rsid w:val="007B1419"/>
    <w:rsid w:val="007B1758"/>
    <w:rsid w:val="007B1F18"/>
    <w:rsid w:val="007B24F0"/>
    <w:rsid w:val="007B266E"/>
    <w:rsid w:val="007B3259"/>
    <w:rsid w:val="007B334A"/>
    <w:rsid w:val="007B3403"/>
    <w:rsid w:val="007B395F"/>
    <w:rsid w:val="007B3C6E"/>
    <w:rsid w:val="007B423A"/>
    <w:rsid w:val="007B4557"/>
    <w:rsid w:val="007B5446"/>
    <w:rsid w:val="007B57B9"/>
    <w:rsid w:val="007B5A66"/>
    <w:rsid w:val="007B60F8"/>
    <w:rsid w:val="007B6412"/>
    <w:rsid w:val="007B6C28"/>
    <w:rsid w:val="007B786A"/>
    <w:rsid w:val="007B7989"/>
    <w:rsid w:val="007B7C8E"/>
    <w:rsid w:val="007C03BE"/>
    <w:rsid w:val="007C0616"/>
    <w:rsid w:val="007C0D2A"/>
    <w:rsid w:val="007C15F7"/>
    <w:rsid w:val="007C1FC0"/>
    <w:rsid w:val="007C20BB"/>
    <w:rsid w:val="007C20F8"/>
    <w:rsid w:val="007C21E6"/>
    <w:rsid w:val="007C255E"/>
    <w:rsid w:val="007C2A19"/>
    <w:rsid w:val="007C30AD"/>
    <w:rsid w:val="007C413D"/>
    <w:rsid w:val="007C441B"/>
    <w:rsid w:val="007C44C6"/>
    <w:rsid w:val="007C4EFF"/>
    <w:rsid w:val="007C5201"/>
    <w:rsid w:val="007C5820"/>
    <w:rsid w:val="007C596D"/>
    <w:rsid w:val="007C625B"/>
    <w:rsid w:val="007C645A"/>
    <w:rsid w:val="007C650A"/>
    <w:rsid w:val="007C6854"/>
    <w:rsid w:val="007C685A"/>
    <w:rsid w:val="007C6B3C"/>
    <w:rsid w:val="007C6C66"/>
    <w:rsid w:val="007C729C"/>
    <w:rsid w:val="007C7427"/>
    <w:rsid w:val="007C7790"/>
    <w:rsid w:val="007D0071"/>
    <w:rsid w:val="007D075B"/>
    <w:rsid w:val="007D09C2"/>
    <w:rsid w:val="007D2418"/>
    <w:rsid w:val="007D3224"/>
    <w:rsid w:val="007D3C0D"/>
    <w:rsid w:val="007D4939"/>
    <w:rsid w:val="007D4BEC"/>
    <w:rsid w:val="007D5C41"/>
    <w:rsid w:val="007D5D57"/>
    <w:rsid w:val="007D6149"/>
    <w:rsid w:val="007D61E1"/>
    <w:rsid w:val="007D667C"/>
    <w:rsid w:val="007D6C57"/>
    <w:rsid w:val="007D79E1"/>
    <w:rsid w:val="007E0132"/>
    <w:rsid w:val="007E0CB5"/>
    <w:rsid w:val="007E0F96"/>
    <w:rsid w:val="007E1252"/>
    <w:rsid w:val="007E21A0"/>
    <w:rsid w:val="007E22F5"/>
    <w:rsid w:val="007E315F"/>
    <w:rsid w:val="007E332A"/>
    <w:rsid w:val="007E356B"/>
    <w:rsid w:val="007E3C26"/>
    <w:rsid w:val="007E44A8"/>
    <w:rsid w:val="007E4B72"/>
    <w:rsid w:val="007E58AF"/>
    <w:rsid w:val="007E5D1D"/>
    <w:rsid w:val="007E5F3C"/>
    <w:rsid w:val="007E6109"/>
    <w:rsid w:val="007E6620"/>
    <w:rsid w:val="007E6980"/>
    <w:rsid w:val="007E6DBF"/>
    <w:rsid w:val="007E72A4"/>
    <w:rsid w:val="007E7433"/>
    <w:rsid w:val="007E768B"/>
    <w:rsid w:val="007E79D0"/>
    <w:rsid w:val="007E7A65"/>
    <w:rsid w:val="007E7E90"/>
    <w:rsid w:val="007F048C"/>
    <w:rsid w:val="007F0746"/>
    <w:rsid w:val="007F0AFF"/>
    <w:rsid w:val="007F0F50"/>
    <w:rsid w:val="007F0FCC"/>
    <w:rsid w:val="007F2346"/>
    <w:rsid w:val="007F26B1"/>
    <w:rsid w:val="007F3601"/>
    <w:rsid w:val="007F4657"/>
    <w:rsid w:val="007F4A75"/>
    <w:rsid w:val="007F5298"/>
    <w:rsid w:val="007F561C"/>
    <w:rsid w:val="007F6BCB"/>
    <w:rsid w:val="007F762F"/>
    <w:rsid w:val="008003B8"/>
    <w:rsid w:val="008007BF"/>
    <w:rsid w:val="008009D3"/>
    <w:rsid w:val="00800CD3"/>
    <w:rsid w:val="0080103F"/>
    <w:rsid w:val="00801328"/>
    <w:rsid w:val="008013BF"/>
    <w:rsid w:val="00801514"/>
    <w:rsid w:val="00802F03"/>
    <w:rsid w:val="0080347F"/>
    <w:rsid w:val="00803AA2"/>
    <w:rsid w:val="00804B5C"/>
    <w:rsid w:val="00804D02"/>
    <w:rsid w:val="00805522"/>
    <w:rsid w:val="008058FD"/>
    <w:rsid w:val="00805998"/>
    <w:rsid w:val="00805AE4"/>
    <w:rsid w:val="008060DF"/>
    <w:rsid w:val="00806B3E"/>
    <w:rsid w:val="00806CD9"/>
    <w:rsid w:val="00810091"/>
    <w:rsid w:val="008108ED"/>
    <w:rsid w:val="00810E12"/>
    <w:rsid w:val="00810E9E"/>
    <w:rsid w:val="00811644"/>
    <w:rsid w:val="00811D7D"/>
    <w:rsid w:val="00812978"/>
    <w:rsid w:val="0081313B"/>
    <w:rsid w:val="008131C0"/>
    <w:rsid w:val="008135EE"/>
    <w:rsid w:val="00813FC2"/>
    <w:rsid w:val="008141D7"/>
    <w:rsid w:val="00814E5D"/>
    <w:rsid w:val="00815719"/>
    <w:rsid w:val="008159D7"/>
    <w:rsid w:val="00815B58"/>
    <w:rsid w:val="00815EAA"/>
    <w:rsid w:val="0081625C"/>
    <w:rsid w:val="00817A35"/>
    <w:rsid w:val="00817A5D"/>
    <w:rsid w:val="008211DA"/>
    <w:rsid w:val="008214FA"/>
    <w:rsid w:val="00821520"/>
    <w:rsid w:val="00821E0B"/>
    <w:rsid w:val="00822D5B"/>
    <w:rsid w:val="008236D5"/>
    <w:rsid w:val="008243D6"/>
    <w:rsid w:val="0082481D"/>
    <w:rsid w:val="00824BB5"/>
    <w:rsid w:val="00825861"/>
    <w:rsid w:val="00825F7C"/>
    <w:rsid w:val="00825F7F"/>
    <w:rsid w:val="00826640"/>
    <w:rsid w:val="0082669A"/>
    <w:rsid w:val="00826BFC"/>
    <w:rsid w:val="00826CA8"/>
    <w:rsid w:val="008276CE"/>
    <w:rsid w:val="00827ACB"/>
    <w:rsid w:val="00827F3D"/>
    <w:rsid w:val="00827F98"/>
    <w:rsid w:val="00830B20"/>
    <w:rsid w:val="008310D3"/>
    <w:rsid w:val="00831B65"/>
    <w:rsid w:val="00831BD6"/>
    <w:rsid w:val="00832987"/>
    <w:rsid w:val="00832B98"/>
    <w:rsid w:val="00832F6E"/>
    <w:rsid w:val="008339B4"/>
    <w:rsid w:val="00833B9E"/>
    <w:rsid w:val="00833BC2"/>
    <w:rsid w:val="00833CC9"/>
    <w:rsid w:val="008345AE"/>
    <w:rsid w:val="00834676"/>
    <w:rsid w:val="00834D9B"/>
    <w:rsid w:val="00835745"/>
    <w:rsid w:val="008368CA"/>
    <w:rsid w:val="008368E8"/>
    <w:rsid w:val="00836FB9"/>
    <w:rsid w:val="0083760B"/>
    <w:rsid w:val="00837A03"/>
    <w:rsid w:val="00840689"/>
    <w:rsid w:val="00841272"/>
    <w:rsid w:val="0084195E"/>
    <w:rsid w:val="0084219B"/>
    <w:rsid w:val="00842556"/>
    <w:rsid w:val="0084296D"/>
    <w:rsid w:val="00842C46"/>
    <w:rsid w:val="008433BA"/>
    <w:rsid w:val="008435A6"/>
    <w:rsid w:val="00843B23"/>
    <w:rsid w:val="00843F90"/>
    <w:rsid w:val="0084466C"/>
    <w:rsid w:val="008453AA"/>
    <w:rsid w:val="008459B2"/>
    <w:rsid w:val="008459F3"/>
    <w:rsid w:val="00845CB2"/>
    <w:rsid w:val="008464D8"/>
    <w:rsid w:val="008466CD"/>
    <w:rsid w:val="0084690D"/>
    <w:rsid w:val="00846DDB"/>
    <w:rsid w:val="00847500"/>
    <w:rsid w:val="00847A38"/>
    <w:rsid w:val="00850027"/>
    <w:rsid w:val="00850240"/>
    <w:rsid w:val="00850823"/>
    <w:rsid w:val="00851082"/>
    <w:rsid w:val="0085118F"/>
    <w:rsid w:val="008514DF"/>
    <w:rsid w:val="00852733"/>
    <w:rsid w:val="00852A39"/>
    <w:rsid w:val="00852A6D"/>
    <w:rsid w:val="00852DD5"/>
    <w:rsid w:val="008535DD"/>
    <w:rsid w:val="00853B68"/>
    <w:rsid w:val="0085439A"/>
    <w:rsid w:val="008545F6"/>
    <w:rsid w:val="00854BCD"/>
    <w:rsid w:val="00854ED1"/>
    <w:rsid w:val="0085544B"/>
    <w:rsid w:val="0085571D"/>
    <w:rsid w:val="008559E4"/>
    <w:rsid w:val="00855D48"/>
    <w:rsid w:val="00856434"/>
    <w:rsid w:val="0085644A"/>
    <w:rsid w:val="0085658B"/>
    <w:rsid w:val="00856B7F"/>
    <w:rsid w:val="00856DCF"/>
    <w:rsid w:val="0085710B"/>
    <w:rsid w:val="00857529"/>
    <w:rsid w:val="0085774D"/>
    <w:rsid w:val="008577C7"/>
    <w:rsid w:val="00857AF3"/>
    <w:rsid w:val="00860C5C"/>
    <w:rsid w:val="00860E38"/>
    <w:rsid w:val="00860F8F"/>
    <w:rsid w:val="0086124F"/>
    <w:rsid w:val="00861EAE"/>
    <w:rsid w:val="0086240F"/>
    <w:rsid w:val="00862AC9"/>
    <w:rsid w:val="00862E31"/>
    <w:rsid w:val="00862F3A"/>
    <w:rsid w:val="00862FDF"/>
    <w:rsid w:val="008641CE"/>
    <w:rsid w:val="008642B2"/>
    <w:rsid w:val="00864BE0"/>
    <w:rsid w:val="00864D14"/>
    <w:rsid w:val="00865492"/>
    <w:rsid w:val="00866002"/>
    <w:rsid w:val="00866DF8"/>
    <w:rsid w:val="00867B5D"/>
    <w:rsid w:val="00867D44"/>
    <w:rsid w:val="0087051E"/>
    <w:rsid w:val="00870ECB"/>
    <w:rsid w:val="008712CE"/>
    <w:rsid w:val="0087225D"/>
    <w:rsid w:val="00872E2F"/>
    <w:rsid w:val="00873553"/>
    <w:rsid w:val="00873558"/>
    <w:rsid w:val="00873909"/>
    <w:rsid w:val="00873EAA"/>
    <w:rsid w:val="00873F6F"/>
    <w:rsid w:val="00874346"/>
    <w:rsid w:val="00874D54"/>
    <w:rsid w:val="00875F52"/>
    <w:rsid w:val="00876B35"/>
    <w:rsid w:val="00876DDF"/>
    <w:rsid w:val="00876F1F"/>
    <w:rsid w:val="0087795A"/>
    <w:rsid w:val="00877E54"/>
    <w:rsid w:val="00880226"/>
    <w:rsid w:val="0088045B"/>
    <w:rsid w:val="00880598"/>
    <w:rsid w:val="00880D6E"/>
    <w:rsid w:val="00881179"/>
    <w:rsid w:val="008813E0"/>
    <w:rsid w:val="0088149C"/>
    <w:rsid w:val="0088161C"/>
    <w:rsid w:val="00882351"/>
    <w:rsid w:val="008828EA"/>
    <w:rsid w:val="00882B19"/>
    <w:rsid w:val="00883477"/>
    <w:rsid w:val="0088359F"/>
    <w:rsid w:val="00883CCD"/>
    <w:rsid w:val="0088425A"/>
    <w:rsid w:val="0088490C"/>
    <w:rsid w:val="008849F6"/>
    <w:rsid w:val="00885135"/>
    <w:rsid w:val="008860B4"/>
    <w:rsid w:val="0088652A"/>
    <w:rsid w:val="0088742E"/>
    <w:rsid w:val="008877B8"/>
    <w:rsid w:val="00887AC9"/>
    <w:rsid w:val="00890F24"/>
    <w:rsid w:val="0089157F"/>
    <w:rsid w:val="00891760"/>
    <w:rsid w:val="00891787"/>
    <w:rsid w:val="00892E1D"/>
    <w:rsid w:val="00892FD3"/>
    <w:rsid w:val="008930ED"/>
    <w:rsid w:val="008936FE"/>
    <w:rsid w:val="00893910"/>
    <w:rsid w:val="00894004"/>
    <w:rsid w:val="00894007"/>
    <w:rsid w:val="008942B4"/>
    <w:rsid w:val="008951AD"/>
    <w:rsid w:val="0089701F"/>
    <w:rsid w:val="0089763B"/>
    <w:rsid w:val="00897A1B"/>
    <w:rsid w:val="00897B46"/>
    <w:rsid w:val="00897CB0"/>
    <w:rsid w:val="00897DE2"/>
    <w:rsid w:val="00897E2E"/>
    <w:rsid w:val="008A0078"/>
    <w:rsid w:val="008A1614"/>
    <w:rsid w:val="008A2641"/>
    <w:rsid w:val="008A280B"/>
    <w:rsid w:val="008A33A2"/>
    <w:rsid w:val="008A3535"/>
    <w:rsid w:val="008A4009"/>
    <w:rsid w:val="008A42EE"/>
    <w:rsid w:val="008A490C"/>
    <w:rsid w:val="008A51D5"/>
    <w:rsid w:val="008A579A"/>
    <w:rsid w:val="008A57FB"/>
    <w:rsid w:val="008A631C"/>
    <w:rsid w:val="008A644E"/>
    <w:rsid w:val="008A6735"/>
    <w:rsid w:val="008A6B78"/>
    <w:rsid w:val="008A7102"/>
    <w:rsid w:val="008A7253"/>
    <w:rsid w:val="008A7B0E"/>
    <w:rsid w:val="008B0CD1"/>
    <w:rsid w:val="008B122A"/>
    <w:rsid w:val="008B1629"/>
    <w:rsid w:val="008B1656"/>
    <w:rsid w:val="008B1931"/>
    <w:rsid w:val="008B1BC8"/>
    <w:rsid w:val="008B22A6"/>
    <w:rsid w:val="008B2388"/>
    <w:rsid w:val="008B2B12"/>
    <w:rsid w:val="008B2E30"/>
    <w:rsid w:val="008B2FAF"/>
    <w:rsid w:val="008B3282"/>
    <w:rsid w:val="008B330C"/>
    <w:rsid w:val="008B34C9"/>
    <w:rsid w:val="008B414E"/>
    <w:rsid w:val="008B4340"/>
    <w:rsid w:val="008B4D53"/>
    <w:rsid w:val="008B51AD"/>
    <w:rsid w:val="008B56C5"/>
    <w:rsid w:val="008B5CA5"/>
    <w:rsid w:val="008B61DA"/>
    <w:rsid w:val="008B623E"/>
    <w:rsid w:val="008B65A4"/>
    <w:rsid w:val="008B7078"/>
    <w:rsid w:val="008C02BD"/>
    <w:rsid w:val="008C0353"/>
    <w:rsid w:val="008C03C0"/>
    <w:rsid w:val="008C0F62"/>
    <w:rsid w:val="008C1140"/>
    <w:rsid w:val="008C2845"/>
    <w:rsid w:val="008C2F05"/>
    <w:rsid w:val="008C2F30"/>
    <w:rsid w:val="008C3555"/>
    <w:rsid w:val="008C357E"/>
    <w:rsid w:val="008C3FBC"/>
    <w:rsid w:val="008C450C"/>
    <w:rsid w:val="008C49A1"/>
    <w:rsid w:val="008C4BC1"/>
    <w:rsid w:val="008C4D67"/>
    <w:rsid w:val="008C4F54"/>
    <w:rsid w:val="008C4F91"/>
    <w:rsid w:val="008C526D"/>
    <w:rsid w:val="008C5923"/>
    <w:rsid w:val="008C5BD6"/>
    <w:rsid w:val="008C6ECE"/>
    <w:rsid w:val="008D0735"/>
    <w:rsid w:val="008D08C2"/>
    <w:rsid w:val="008D285C"/>
    <w:rsid w:val="008D3098"/>
    <w:rsid w:val="008D34E1"/>
    <w:rsid w:val="008D57F4"/>
    <w:rsid w:val="008D5A9F"/>
    <w:rsid w:val="008D5EC3"/>
    <w:rsid w:val="008D61EB"/>
    <w:rsid w:val="008D6388"/>
    <w:rsid w:val="008D6464"/>
    <w:rsid w:val="008D73E3"/>
    <w:rsid w:val="008D79D9"/>
    <w:rsid w:val="008E03D4"/>
    <w:rsid w:val="008E0824"/>
    <w:rsid w:val="008E09D6"/>
    <w:rsid w:val="008E0F2E"/>
    <w:rsid w:val="008E12DD"/>
    <w:rsid w:val="008E1486"/>
    <w:rsid w:val="008E176B"/>
    <w:rsid w:val="008E1C87"/>
    <w:rsid w:val="008E1CD8"/>
    <w:rsid w:val="008E2F41"/>
    <w:rsid w:val="008E3043"/>
    <w:rsid w:val="008E4465"/>
    <w:rsid w:val="008E4DA8"/>
    <w:rsid w:val="008E5BE0"/>
    <w:rsid w:val="008E5CA0"/>
    <w:rsid w:val="008E5D8D"/>
    <w:rsid w:val="008E6545"/>
    <w:rsid w:val="008E655B"/>
    <w:rsid w:val="008E6A7C"/>
    <w:rsid w:val="008E771F"/>
    <w:rsid w:val="008F047C"/>
    <w:rsid w:val="008F18A2"/>
    <w:rsid w:val="008F1A93"/>
    <w:rsid w:val="008F1C43"/>
    <w:rsid w:val="008F23ED"/>
    <w:rsid w:val="008F27FD"/>
    <w:rsid w:val="008F2B0E"/>
    <w:rsid w:val="008F3120"/>
    <w:rsid w:val="008F3194"/>
    <w:rsid w:val="008F4AA4"/>
    <w:rsid w:val="008F4E08"/>
    <w:rsid w:val="008F501D"/>
    <w:rsid w:val="008F5823"/>
    <w:rsid w:val="008F5D26"/>
    <w:rsid w:val="008F63C9"/>
    <w:rsid w:val="008F7073"/>
    <w:rsid w:val="008F70CC"/>
    <w:rsid w:val="008F713F"/>
    <w:rsid w:val="008F7429"/>
    <w:rsid w:val="008F7C57"/>
    <w:rsid w:val="008F7C7F"/>
    <w:rsid w:val="00900054"/>
    <w:rsid w:val="00901266"/>
    <w:rsid w:val="0090176E"/>
    <w:rsid w:val="009019A5"/>
    <w:rsid w:val="00901E11"/>
    <w:rsid w:val="00902B33"/>
    <w:rsid w:val="00902CD2"/>
    <w:rsid w:val="00902D4A"/>
    <w:rsid w:val="009032BA"/>
    <w:rsid w:val="009033A3"/>
    <w:rsid w:val="00903824"/>
    <w:rsid w:val="00903BAE"/>
    <w:rsid w:val="00904D74"/>
    <w:rsid w:val="00905081"/>
    <w:rsid w:val="009051CF"/>
    <w:rsid w:val="00905338"/>
    <w:rsid w:val="00905B2D"/>
    <w:rsid w:val="00906095"/>
    <w:rsid w:val="009061E0"/>
    <w:rsid w:val="0090745C"/>
    <w:rsid w:val="00907FC7"/>
    <w:rsid w:val="00910E7B"/>
    <w:rsid w:val="00911851"/>
    <w:rsid w:val="00911C2D"/>
    <w:rsid w:val="00911E32"/>
    <w:rsid w:val="009126E5"/>
    <w:rsid w:val="00912798"/>
    <w:rsid w:val="00912846"/>
    <w:rsid w:val="009145ED"/>
    <w:rsid w:val="00914B64"/>
    <w:rsid w:val="009153C4"/>
    <w:rsid w:val="00915669"/>
    <w:rsid w:val="0091582F"/>
    <w:rsid w:val="00915DDF"/>
    <w:rsid w:val="00916722"/>
    <w:rsid w:val="00916BC1"/>
    <w:rsid w:val="00916E39"/>
    <w:rsid w:val="00917E21"/>
    <w:rsid w:val="00922159"/>
    <w:rsid w:val="00922BC9"/>
    <w:rsid w:val="00923B55"/>
    <w:rsid w:val="0092484D"/>
    <w:rsid w:val="0092499E"/>
    <w:rsid w:val="00924A1D"/>
    <w:rsid w:val="009255F5"/>
    <w:rsid w:val="00926D01"/>
    <w:rsid w:val="00927850"/>
    <w:rsid w:val="00927B3F"/>
    <w:rsid w:val="00927C9D"/>
    <w:rsid w:val="009302DF"/>
    <w:rsid w:val="00930394"/>
    <w:rsid w:val="009304EF"/>
    <w:rsid w:val="00930641"/>
    <w:rsid w:val="00930688"/>
    <w:rsid w:val="00930EAB"/>
    <w:rsid w:val="00931953"/>
    <w:rsid w:val="00932118"/>
    <w:rsid w:val="009322E6"/>
    <w:rsid w:val="00933412"/>
    <w:rsid w:val="00933A74"/>
    <w:rsid w:val="00933B85"/>
    <w:rsid w:val="00933D58"/>
    <w:rsid w:val="0093440F"/>
    <w:rsid w:val="00934457"/>
    <w:rsid w:val="00934BAF"/>
    <w:rsid w:val="0093519E"/>
    <w:rsid w:val="00935416"/>
    <w:rsid w:val="009354E1"/>
    <w:rsid w:val="009358B5"/>
    <w:rsid w:val="0093596C"/>
    <w:rsid w:val="00935E5F"/>
    <w:rsid w:val="00936AB7"/>
    <w:rsid w:val="00936B19"/>
    <w:rsid w:val="00937787"/>
    <w:rsid w:val="00937982"/>
    <w:rsid w:val="009405E0"/>
    <w:rsid w:val="009413C6"/>
    <w:rsid w:val="00941FC2"/>
    <w:rsid w:val="00942083"/>
    <w:rsid w:val="009421D6"/>
    <w:rsid w:val="009424CD"/>
    <w:rsid w:val="009426BE"/>
    <w:rsid w:val="00943FDD"/>
    <w:rsid w:val="00943FEB"/>
    <w:rsid w:val="00944038"/>
    <w:rsid w:val="00944AD4"/>
    <w:rsid w:val="00944B06"/>
    <w:rsid w:val="009453EA"/>
    <w:rsid w:val="00945408"/>
    <w:rsid w:val="00945C2D"/>
    <w:rsid w:val="00946DD9"/>
    <w:rsid w:val="0094766C"/>
    <w:rsid w:val="00947FC4"/>
    <w:rsid w:val="00950379"/>
    <w:rsid w:val="00950A5D"/>
    <w:rsid w:val="00951428"/>
    <w:rsid w:val="00951537"/>
    <w:rsid w:val="00951959"/>
    <w:rsid w:val="00952BC4"/>
    <w:rsid w:val="00952C24"/>
    <w:rsid w:val="0095309F"/>
    <w:rsid w:val="00953725"/>
    <w:rsid w:val="00953883"/>
    <w:rsid w:val="00953C7D"/>
    <w:rsid w:val="00954C05"/>
    <w:rsid w:val="00954E1F"/>
    <w:rsid w:val="009554A4"/>
    <w:rsid w:val="009554E9"/>
    <w:rsid w:val="00955594"/>
    <w:rsid w:val="009558C8"/>
    <w:rsid w:val="00955E01"/>
    <w:rsid w:val="009565FC"/>
    <w:rsid w:val="00956776"/>
    <w:rsid w:val="00956D18"/>
    <w:rsid w:val="009572C1"/>
    <w:rsid w:val="00957B49"/>
    <w:rsid w:val="00957F5F"/>
    <w:rsid w:val="009605F9"/>
    <w:rsid w:val="009607B6"/>
    <w:rsid w:val="009612FA"/>
    <w:rsid w:val="009614FC"/>
    <w:rsid w:val="00961EB0"/>
    <w:rsid w:val="00963D62"/>
    <w:rsid w:val="00963E3A"/>
    <w:rsid w:val="00964FD8"/>
    <w:rsid w:val="00965445"/>
    <w:rsid w:val="00965567"/>
    <w:rsid w:val="0096572C"/>
    <w:rsid w:val="00965A5B"/>
    <w:rsid w:val="009662F4"/>
    <w:rsid w:val="0096645B"/>
    <w:rsid w:val="0096699C"/>
    <w:rsid w:val="00966B93"/>
    <w:rsid w:val="00966BB3"/>
    <w:rsid w:val="00966D39"/>
    <w:rsid w:val="00966E5B"/>
    <w:rsid w:val="0096736F"/>
    <w:rsid w:val="00967882"/>
    <w:rsid w:val="009679E9"/>
    <w:rsid w:val="00967B7E"/>
    <w:rsid w:val="00970C39"/>
    <w:rsid w:val="0097118B"/>
    <w:rsid w:val="00971B3F"/>
    <w:rsid w:val="00971C66"/>
    <w:rsid w:val="009725A9"/>
    <w:rsid w:val="00972B3A"/>
    <w:rsid w:val="0097301D"/>
    <w:rsid w:val="009732B4"/>
    <w:rsid w:val="00973534"/>
    <w:rsid w:val="00973D74"/>
    <w:rsid w:val="0097407E"/>
    <w:rsid w:val="009746A2"/>
    <w:rsid w:val="00974D33"/>
    <w:rsid w:val="0097573E"/>
    <w:rsid w:val="0097640C"/>
    <w:rsid w:val="00977013"/>
    <w:rsid w:val="00977E6E"/>
    <w:rsid w:val="00977F6F"/>
    <w:rsid w:val="0098021D"/>
    <w:rsid w:val="009809CB"/>
    <w:rsid w:val="00981090"/>
    <w:rsid w:val="00981193"/>
    <w:rsid w:val="00981B69"/>
    <w:rsid w:val="0098231A"/>
    <w:rsid w:val="0098298A"/>
    <w:rsid w:val="00982F61"/>
    <w:rsid w:val="00983506"/>
    <w:rsid w:val="009842F8"/>
    <w:rsid w:val="00984B30"/>
    <w:rsid w:val="00985456"/>
    <w:rsid w:val="00985719"/>
    <w:rsid w:val="00985D9D"/>
    <w:rsid w:val="009863A0"/>
    <w:rsid w:val="00986BB3"/>
    <w:rsid w:val="00987222"/>
    <w:rsid w:val="00987B59"/>
    <w:rsid w:val="00987FD3"/>
    <w:rsid w:val="00990004"/>
    <w:rsid w:val="00990C70"/>
    <w:rsid w:val="009915C4"/>
    <w:rsid w:val="009916D1"/>
    <w:rsid w:val="00991995"/>
    <w:rsid w:val="00991B6A"/>
    <w:rsid w:val="009921A9"/>
    <w:rsid w:val="009921F4"/>
    <w:rsid w:val="00992241"/>
    <w:rsid w:val="009927C4"/>
    <w:rsid w:val="00992B75"/>
    <w:rsid w:val="009930D9"/>
    <w:rsid w:val="0099344E"/>
    <w:rsid w:val="00993E7D"/>
    <w:rsid w:val="00994688"/>
    <w:rsid w:val="009948A8"/>
    <w:rsid w:val="00994BA2"/>
    <w:rsid w:val="00994CFB"/>
    <w:rsid w:val="009952B2"/>
    <w:rsid w:val="009956AD"/>
    <w:rsid w:val="00995FE2"/>
    <w:rsid w:val="0099628C"/>
    <w:rsid w:val="009968A4"/>
    <w:rsid w:val="00996CA6"/>
    <w:rsid w:val="00996E80"/>
    <w:rsid w:val="00997844"/>
    <w:rsid w:val="009A0249"/>
    <w:rsid w:val="009A207B"/>
    <w:rsid w:val="009A2081"/>
    <w:rsid w:val="009A2239"/>
    <w:rsid w:val="009A2568"/>
    <w:rsid w:val="009A27C6"/>
    <w:rsid w:val="009A3654"/>
    <w:rsid w:val="009A3696"/>
    <w:rsid w:val="009A3C50"/>
    <w:rsid w:val="009A3D69"/>
    <w:rsid w:val="009A3E34"/>
    <w:rsid w:val="009A4A21"/>
    <w:rsid w:val="009A4A42"/>
    <w:rsid w:val="009A4A57"/>
    <w:rsid w:val="009A4B49"/>
    <w:rsid w:val="009A5C96"/>
    <w:rsid w:val="009A611C"/>
    <w:rsid w:val="009A6441"/>
    <w:rsid w:val="009A700F"/>
    <w:rsid w:val="009A7050"/>
    <w:rsid w:val="009B0203"/>
    <w:rsid w:val="009B0843"/>
    <w:rsid w:val="009B0A68"/>
    <w:rsid w:val="009B0D5D"/>
    <w:rsid w:val="009B0FEB"/>
    <w:rsid w:val="009B143F"/>
    <w:rsid w:val="009B1AB2"/>
    <w:rsid w:val="009B293D"/>
    <w:rsid w:val="009B2A34"/>
    <w:rsid w:val="009B324A"/>
    <w:rsid w:val="009B38A6"/>
    <w:rsid w:val="009B3B50"/>
    <w:rsid w:val="009B4A36"/>
    <w:rsid w:val="009B4FE6"/>
    <w:rsid w:val="009B5886"/>
    <w:rsid w:val="009B59F3"/>
    <w:rsid w:val="009B61EC"/>
    <w:rsid w:val="009B69FD"/>
    <w:rsid w:val="009B6A5C"/>
    <w:rsid w:val="009C1308"/>
    <w:rsid w:val="009C1541"/>
    <w:rsid w:val="009C1797"/>
    <w:rsid w:val="009C24BA"/>
    <w:rsid w:val="009C2519"/>
    <w:rsid w:val="009C267A"/>
    <w:rsid w:val="009C31D3"/>
    <w:rsid w:val="009C345F"/>
    <w:rsid w:val="009C3A55"/>
    <w:rsid w:val="009C3C96"/>
    <w:rsid w:val="009C41CD"/>
    <w:rsid w:val="009C4500"/>
    <w:rsid w:val="009C48E2"/>
    <w:rsid w:val="009C5298"/>
    <w:rsid w:val="009C53DC"/>
    <w:rsid w:val="009C78E6"/>
    <w:rsid w:val="009C7AC0"/>
    <w:rsid w:val="009C7B35"/>
    <w:rsid w:val="009D0272"/>
    <w:rsid w:val="009D0406"/>
    <w:rsid w:val="009D0611"/>
    <w:rsid w:val="009D068F"/>
    <w:rsid w:val="009D0A66"/>
    <w:rsid w:val="009D10D1"/>
    <w:rsid w:val="009D14D2"/>
    <w:rsid w:val="009D1DE0"/>
    <w:rsid w:val="009D1F1A"/>
    <w:rsid w:val="009D21D3"/>
    <w:rsid w:val="009D2761"/>
    <w:rsid w:val="009D2AB7"/>
    <w:rsid w:val="009D2D61"/>
    <w:rsid w:val="009D32DF"/>
    <w:rsid w:val="009D3B18"/>
    <w:rsid w:val="009D3CE6"/>
    <w:rsid w:val="009D3D33"/>
    <w:rsid w:val="009D46EA"/>
    <w:rsid w:val="009D471F"/>
    <w:rsid w:val="009D4CAB"/>
    <w:rsid w:val="009D5C4A"/>
    <w:rsid w:val="009D6012"/>
    <w:rsid w:val="009D7238"/>
    <w:rsid w:val="009D7750"/>
    <w:rsid w:val="009D791B"/>
    <w:rsid w:val="009E003B"/>
    <w:rsid w:val="009E03A0"/>
    <w:rsid w:val="009E0777"/>
    <w:rsid w:val="009E0A1F"/>
    <w:rsid w:val="009E1FD6"/>
    <w:rsid w:val="009E2095"/>
    <w:rsid w:val="009E260D"/>
    <w:rsid w:val="009E2850"/>
    <w:rsid w:val="009E2A85"/>
    <w:rsid w:val="009E4E9E"/>
    <w:rsid w:val="009E4EB8"/>
    <w:rsid w:val="009E5D1E"/>
    <w:rsid w:val="009E6EFB"/>
    <w:rsid w:val="009E7890"/>
    <w:rsid w:val="009E7F3C"/>
    <w:rsid w:val="009F0146"/>
    <w:rsid w:val="009F0AFD"/>
    <w:rsid w:val="009F0D47"/>
    <w:rsid w:val="009F0ED2"/>
    <w:rsid w:val="009F0F4B"/>
    <w:rsid w:val="009F123D"/>
    <w:rsid w:val="009F1609"/>
    <w:rsid w:val="009F1DC4"/>
    <w:rsid w:val="009F1E4A"/>
    <w:rsid w:val="009F1E5D"/>
    <w:rsid w:val="009F2B53"/>
    <w:rsid w:val="009F3109"/>
    <w:rsid w:val="009F46A9"/>
    <w:rsid w:val="009F4DD7"/>
    <w:rsid w:val="009F4EFD"/>
    <w:rsid w:val="009F514F"/>
    <w:rsid w:val="009F5C46"/>
    <w:rsid w:val="009F5DC0"/>
    <w:rsid w:val="009F5F30"/>
    <w:rsid w:val="009F60CD"/>
    <w:rsid w:val="009F65B4"/>
    <w:rsid w:val="00A000BF"/>
    <w:rsid w:val="00A00362"/>
    <w:rsid w:val="00A00AA7"/>
    <w:rsid w:val="00A012E4"/>
    <w:rsid w:val="00A02951"/>
    <w:rsid w:val="00A029DA"/>
    <w:rsid w:val="00A02CF4"/>
    <w:rsid w:val="00A0313A"/>
    <w:rsid w:val="00A0318B"/>
    <w:rsid w:val="00A035EB"/>
    <w:rsid w:val="00A037B8"/>
    <w:rsid w:val="00A03956"/>
    <w:rsid w:val="00A04511"/>
    <w:rsid w:val="00A045E9"/>
    <w:rsid w:val="00A04725"/>
    <w:rsid w:val="00A04EBE"/>
    <w:rsid w:val="00A054D3"/>
    <w:rsid w:val="00A05E4D"/>
    <w:rsid w:val="00A06019"/>
    <w:rsid w:val="00A060E2"/>
    <w:rsid w:val="00A065E4"/>
    <w:rsid w:val="00A07C06"/>
    <w:rsid w:val="00A10FBB"/>
    <w:rsid w:val="00A112CA"/>
    <w:rsid w:val="00A1183F"/>
    <w:rsid w:val="00A11840"/>
    <w:rsid w:val="00A12CB4"/>
    <w:rsid w:val="00A12DA5"/>
    <w:rsid w:val="00A13E59"/>
    <w:rsid w:val="00A14C9D"/>
    <w:rsid w:val="00A14C9F"/>
    <w:rsid w:val="00A15788"/>
    <w:rsid w:val="00A15E1A"/>
    <w:rsid w:val="00A15E25"/>
    <w:rsid w:val="00A15FEA"/>
    <w:rsid w:val="00A16370"/>
    <w:rsid w:val="00A165F6"/>
    <w:rsid w:val="00A16CB3"/>
    <w:rsid w:val="00A16D89"/>
    <w:rsid w:val="00A17528"/>
    <w:rsid w:val="00A1752A"/>
    <w:rsid w:val="00A17D86"/>
    <w:rsid w:val="00A2016D"/>
    <w:rsid w:val="00A21367"/>
    <w:rsid w:val="00A21BA1"/>
    <w:rsid w:val="00A220C9"/>
    <w:rsid w:val="00A23908"/>
    <w:rsid w:val="00A24177"/>
    <w:rsid w:val="00A2477E"/>
    <w:rsid w:val="00A24B3C"/>
    <w:rsid w:val="00A24C1D"/>
    <w:rsid w:val="00A24FF2"/>
    <w:rsid w:val="00A25CA5"/>
    <w:rsid w:val="00A25CB3"/>
    <w:rsid w:val="00A25FFB"/>
    <w:rsid w:val="00A2622B"/>
    <w:rsid w:val="00A2659E"/>
    <w:rsid w:val="00A26E63"/>
    <w:rsid w:val="00A304F1"/>
    <w:rsid w:val="00A3058B"/>
    <w:rsid w:val="00A30729"/>
    <w:rsid w:val="00A31412"/>
    <w:rsid w:val="00A315C5"/>
    <w:rsid w:val="00A3280C"/>
    <w:rsid w:val="00A33410"/>
    <w:rsid w:val="00A337FA"/>
    <w:rsid w:val="00A3410B"/>
    <w:rsid w:val="00A34134"/>
    <w:rsid w:val="00A3486C"/>
    <w:rsid w:val="00A34955"/>
    <w:rsid w:val="00A3541D"/>
    <w:rsid w:val="00A35BDA"/>
    <w:rsid w:val="00A35F98"/>
    <w:rsid w:val="00A367DC"/>
    <w:rsid w:val="00A37B75"/>
    <w:rsid w:val="00A37BB8"/>
    <w:rsid w:val="00A37FA7"/>
    <w:rsid w:val="00A402CF"/>
    <w:rsid w:val="00A40CEC"/>
    <w:rsid w:val="00A41EE3"/>
    <w:rsid w:val="00A42716"/>
    <w:rsid w:val="00A42A34"/>
    <w:rsid w:val="00A438DC"/>
    <w:rsid w:val="00A4426F"/>
    <w:rsid w:val="00A44293"/>
    <w:rsid w:val="00A448BA"/>
    <w:rsid w:val="00A44B7C"/>
    <w:rsid w:val="00A457A7"/>
    <w:rsid w:val="00A4588B"/>
    <w:rsid w:val="00A47312"/>
    <w:rsid w:val="00A47CE9"/>
    <w:rsid w:val="00A47F50"/>
    <w:rsid w:val="00A503B9"/>
    <w:rsid w:val="00A50BA1"/>
    <w:rsid w:val="00A51B0E"/>
    <w:rsid w:val="00A51D07"/>
    <w:rsid w:val="00A5348E"/>
    <w:rsid w:val="00A53978"/>
    <w:rsid w:val="00A54260"/>
    <w:rsid w:val="00A54C8E"/>
    <w:rsid w:val="00A54F3F"/>
    <w:rsid w:val="00A56055"/>
    <w:rsid w:val="00A560A9"/>
    <w:rsid w:val="00A564EC"/>
    <w:rsid w:val="00A56F34"/>
    <w:rsid w:val="00A574ED"/>
    <w:rsid w:val="00A60225"/>
    <w:rsid w:val="00A60452"/>
    <w:rsid w:val="00A605A0"/>
    <w:rsid w:val="00A606D8"/>
    <w:rsid w:val="00A60C53"/>
    <w:rsid w:val="00A61398"/>
    <w:rsid w:val="00A61880"/>
    <w:rsid w:val="00A618A7"/>
    <w:rsid w:val="00A61B22"/>
    <w:rsid w:val="00A61E5F"/>
    <w:rsid w:val="00A62324"/>
    <w:rsid w:val="00A62387"/>
    <w:rsid w:val="00A62B34"/>
    <w:rsid w:val="00A62C95"/>
    <w:rsid w:val="00A62D59"/>
    <w:rsid w:val="00A62D9D"/>
    <w:rsid w:val="00A632DB"/>
    <w:rsid w:val="00A637B9"/>
    <w:rsid w:val="00A63BD0"/>
    <w:rsid w:val="00A63DEB"/>
    <w:rsid w:val="00A647D5"/>
    <w:rsid w:val="00A648EF"/>
    <w:rsid w:val="00A64D4E"/>
    <w:rsid w:val="00A650D1"/>
    <w:rsid w:val="00A656D6"/>
    <w:rsid w:val="00A65939"/>
    <w:rsid w:val="00A659EF"/>
    <w:rsid w:val="00A670BB"/>
    <w:rsid w:val="00A6740C"/>
    <w:rsid w:val="00A67678"/>
    <w:rsid w:val="00A6768E"/>
    <w:rsid w:val="00A700CD"/>
    <w:rsid w:val="00A7083B"/>
    <w:rsid w:val="00A70A67"/>
    <w:rsid w:val="00A70B9E"/>
    <w:rsid w:val="00A70DCD"/>
    <w:rsid w:val="00A70F19"/>
    <w:rsid w:val="00A7105A"/>
    <w:rsid w:val="00A71099"/>
    <w:rsid w:val="00A711D4"/>
    <w:rsid w:val="00A717F5"/>
    <w:rsid w:val="00A7192E"/>
    <w:rsid w:val="00A71CBA"/>
    <w:rsid w:val="00A72704"/>
    <w:rsid w:val="00A72AFA"/>
    <w:rsid w:val="00A72DCF"/>
    <w:rsid w:val="00A72E24"/>
    <w:rsid w:val="00A73307"/>
    <w:rsid w:val="00A73311"/>
    <w:rsid w:val="00A73AB7"/>
    <w:rsid w:val="00A73BFD"/>
    <w:rsid w:val="00A7450D"/>
    <w:rsid w:val="00A74755"/>
    <w:rsid w:val="00A74E73"/>
    <w:rsid w:val="00A750EC"/>
    <w:rsid w:val="00A753D7"/>
    <w:rsid w:val="00A754BE"/>
    <w:rsid w:val="00A7620B"/>
    <w:rsid w:val="00A7692B"/>
    <w:rsid w:val="00A76A4C"/>
    <w:rsid w:val="00A76FDA"/>
    <w:rsid w:val="00A77730"/>
    <w:rsid w:val="00A77770"/>
    <w:rsid w:val="00A779ED"/>
    <w:rsid w:val="00A77BAD"/>
    <w:rsid w:val="00A77E30"/>
    <w:rsid w:val="00A807EB"/>
    <w:rsid w:val="00A80FE0"/>
    <w:rsid w:val="00A810B1"/>
    <w:rsid w:val="00A810B9"/>
    <w:rsid w:val="00A81676"/>
    <w:rsid w:val="00A81B4A"/>
    <w:rsid w:val="00A82001"/>
    <w:rsid w:val="00A82297"/>
    <w:rsid w:val="00A824B8"/>
    <w:rsid w:val="00A82676"/>
    <w:rsid w:val="00A83921"/>
    <w:rsid w:val="00A839D0"/>
    <w:rsid w:val="00A84ADB"/>
    <w:rsid w:val="00A84CE2"/>
    <w:rsid w:val="00A85751"/>
    <w:rsid w:val="00A85D11"/>
    <w:rsid w:val="00A8630E"/>
    <w:rsid w:val="00A86459"/>
    <w:rsid w:val="00A86866"/>
    <w:rsid w:val="00A86CD1"/>
    <w:rsid w:val="00A86E1D"/>
    <w:rsid w:val="00A8794A"/>
    <w:rsid w:val="00A87C1C"/>
    <w:rsid w:val="00A9047E"/>
    <w:rsid w:val="00A910F3"/>
    <w:rsid w:val="00A91124"/>
    <w:rsid w:val="00A91166"/>
    <w:rsid w:val="00A91C6D"/>
    <w:rsid w:val="00A93031"/>
    <w:rsid w:val="00A931A1"/>
    <w:rsid w:val="00A9361E"/>
    <w:rsid w:val="00A94787"/>
    <w:rsid w:val="00A9564B"/>
    <w:rsid w:val="00A9598E"/>
    <w:rsid w:val="00A95B19"/>
    <w:rsid w:val="00A95BB8"/>
    <w:rsid w:val="00A96196"/>
    <w:rsid w:val="00A963E6"/>
    <w:rsid w:val="00A9694D"/>
    <w:rsid w:val="00A96B3A"/>
    <w:rsid w:val="00A96B77"/>
    <w:rsid w:val="00A9743C"/>
    <w:rsid w:val="00A9799F"/>
    <w:rsid w:val="00AA0249"/>
    <w:rsid w:val="00AA0292"/>
    <w:rsid w:val="00AA0350"/>
    <w:rsid w:val="00AA081A"/>
    <w:rsid w:val="00AA0B8F"/>
    <w:rsid w:val="00AA1564"/>
    <w:rsid w:val="00AA15E2"/>
    <w:rsid w:val="00AA161D"/>
    <w:rsid w:val="00AA18AF"/>
    <w:rsid w:val="00AA1EEE"/>
    <w:rsid w:val="00AA1F5A"/>
    <w:rsid w:val="00AA229B"/>
    <w:rsid w:val="00AA229D"/>
    <w:rsid w:val="00AA24A9"/>
    <w:rsid w:val="00AA2555"/>
    <w:rsid w:val="00AA26B9"/>
    <w:rsid w:val="00AA292E"/>
    <w:rsid w:val="00AA2F30"/>
    <w:rsid w:val="00AA3058"/>
    <w:rsid w:val="00AA30BB"/>
    <w:rsid w:val="00AA3159"/>
    <w:rsid w:val="00AA3237"/>
    <w:rsid w:val="00AA3527"/>
    <w:rsid w:val="00AA4B58"/>
    <w:rsid w:val="00AA4E02"/>
    <w:rsid w:val="00AA4E54"/>
    <w:rsid w:val="00AA4EA5"/>
    <w:rsid w:val="00AA528E"/>
    <w:rsid w:val="00AA6764"/>
    <w:rsid w:val="00AB03E9"/>
    <w:rsid w:val="00AB042C"/>
    <w:rsid w:val="00AB0C86"/>
    <w:rsid w:val="00AB0EF3"/>
    <w:rsid w:val="00AB10EB"/>
    <w:rsid w:val="00AB11BC"/>
    <w:rsid w:val="00AB14DF"/>
    <w:rsid w:val="00AB17AC"/>
    <w:rsid w:val="00AB1E57"/>
    <w:rsid w:val="00AB2A98"/>
    <w:rsid w:val="00AB30F4"/>
    <w:rsid w:val="00AB3160"/>
    <w:rsid w:val="00AB35CB"/>
    <w:rsid w:val="00AB386A"/>
    <w:rsid w:val="00AB3CC6"/>
    <w:rsid w:val="00AB4239"/>
    <w:rsid w:val="00AB64A9"/>
    <w:rsid w:val="00AB67CA"/>
    <w:rsid w:val="00AB7132"/>
    <w:rsid w:val="00AC0174"/>
    <w:rsid w:val="00AC02BD"/>
    <w:rsid w:val="00AC0F8E"/>
    <w:rsid w:val="00AC104E"/>
    <w:rsid w:val="00AC1AFB"/>
    <w:rsid w:val="00AC1E4C"/>
    <w:rsid w:val="00AC1F74"/>
    <w:rsid w:val="00AC2D36"/>
    <w:rsid w:val="00AC2DBC"/>
    <w:rsid w:val="00AC43EF"/>
    <w:rsid w:val="00AC4579"/>
    <w:rsid w:val="00AC52FD"/>
    <w:rsid w:val="00AC55EB"/>
    <w:rsid w:val="00AC60B7"/>
    <w:rsid w:val="00AC6597"/>
    <w:rsid w:val="00AC70D5"/>
    <w:rsid w:val="00AC713B"/>
    <w:rsid w:val="00AC732E"/>
    <w:rsid w:val="00AC7AE1"/>
    <w:rsid w:val="00AD0232"/>
    <w:rsid w:val="00AD0402"/>
    <w:rsid w:val="00AD0720"/>
    <w:rsid w:val="00AD09B5"/>
    <w:rsid w:val="00AD14B6"/>
    <w:rsid w:val="00AD2B59"/>
    <w:rsid w:val="00AD2F87"/>
    <w:rsid w:val="00AD2FD6"/>
    <w:rsid w:val="00AD3707"/>
    <w:rsid w:val="00AD38C7"/>
    <w:rsid w:val="00AD3AE3"/>
    <w:rsid w:val="00AD416D"/>
    <w:rsid w:val="00AD478D"/>
    <w:rsid w:val="00AD59B7"/>
    <w:rsid w:val="00AD5BAE"/>
    <w:rsid w:val="00AD6069"/>
    <w:rsid w:val="00AD688F"/>
    <w:rsid w:val="00AD73AA"/>
    <w:rsid w:val="00AD756F"/>
    <w:rsid w:val="00AD7AC8"/>
    <w:rsid w:val="00AD7DE5"/>
    <w:rsid w:val="00AE03A0"/>
    <w:rsid w:val="00AE058A"/>
    <w:rsid w:val="00AE074C"/>
    <w:rsid w:val="00AE0BF2"/>
    <w:rsid w:val="00AE0C9E"/>
    <w:rsid w:val="00AE0D80"/>
    <w:rsid w:val="00AE1E2C"/>
    <w:rsid w:val="00AE21B3"/>
    <w:rsid w:val="00AE21F9"/>
    <w:rsid w:val="00AE2D4E"/>
    <w:rsid w:val="00AE31DA"/>
    <w:rsid w:val="00AE3693"/>
    <w:rsid w:val="00AE4012"/>
    <w:rsid w:val="00AE40DA"/>
    <w:rsid w:val="00AE480A"/>
    <w:rsid w:val="00AE4B01"/>
    <w:rsid w:val="00AE4D4A"/>
    <w:rsid w:val="00AE50B9"/>
    <w:rsid w:val="00AE5A22"/>
    <w:rsid w:val="00AE5FCC"/>
    <w:rsid w:val="00AE67CF"/>
    <w:rsid w:val="00AE6DAC"/>
    <w:rsid w:val="00AE7A2E"/>
    <w:rsid w:val="00AF0B0D"/>
    <w:rsid w:val="00AF182D"/>
    <w:rsid w:val="00AF1CF3"/>
    <w:rsid w:val="00AF2906"/>
    <w:rsid w:val="00AF32D8"/>
    <w:rsid w:val="00AF330E"/>
    <w:rsid w:val="00AF3437"/>
    <w:rsid w:val="00AF34F5"/>
    <w:rsid w:val="00AF48D0"/>
    <w:rsid w:val="00AF49BD"/>
    <w:rsid w:val="00AF5094"/>
    <w:rsid w:val="00AF5D3F"/>
    <w:rsid w:val="00AF6693"/>
    <w:rsid w:val="00AF669C"/>
    <w:rsid w:val="00AF6860"/>
    <w:rsid w:val="00AF6C56"/>
    <w:rsid w:val="00AF7048"/>
    <w:rsid w:val="00AF71D9"/>
    <w:rsid w:val="00B003E5"/>
    <w:rsid w:val="00B01490"/>
    <w:rsid w:val="00B0184B"/>
    <w:rsid w:val="00B01F3F"/>
    <w:rsid w:val="00B02177"/>
    <w:rsid w:val="00B022ED"/>
    <w:rsid w:val="00B025CE"/>
    <w:rsid w:val="00B02AA1"/>
    <w:rsid w:val="00B033A0"/>
    <w:rsid w:val="00B03D5C"/>
    <w:rsid w:val="00B0439A"/>
    <w:rsid w:val="00B043C2"/>
    <w:rsid w:val="00B04A23"/>
    <w:rsid w:val="00B04B1D"/>
    <w:rsid w:val="00B05452"/>
    <w:rsid w:val="00B05609"/>
    <w:rsid w:val="00B05D26"/>
    <w:rsid w:val="00B06590"/>
    <w:rsid w:val="00B06807"/>
    <w:rsid w:val="00B06C9C"/>
    <w:rsid w:val="00B073E5"/>
    <w:rsid w:val="00B074CB"/>
    <w:rsid w:val="00B07624"/>
    <w:rsid w:val="00B07D2E"/>
    <w:rsid w:val="00B07E57"/>
    <w:rsid w:val="00B10043"/>
    <w:rsid w:val="00B100B6"/>
    <w:rsid w:val="00B10164"/>
    <w:rsid w:val="00B10C93"/>
    <w:rsid w:val="00B10F60"/>
    <w:rsid w:val="00B11FEC"/>
    <w:rsid w:val="00B13528"/>
    <w:rsid w:val="00B14453"/>
    <w:rsid w:val="00B14F73"/>
    <w:rsid w:val="00B1507A"/>
    <w:rsid w:val="00B15E9B"/>
    <w:rsid w:val="00B15FC0"/>
    <w:rsid w:val="00B160CD"/>
    <w:rsid w:val="00B1623C"/>
    <w:rsid w:val="00B166CB"/>
    <w:rsid w:val="00B1683B"/>
    <w:rsid w:val="00B16D35"/>
    <w:rsid w:val="00B16FA3"/>
    <w:rsid w:val="00B17566"/>
    <w:rsid w:val="00B1768F"/>
    <w:rsid w:val="00B17757"/>
    <w:rsid w:val="00B17E85"/>
    <w:rsid w:val="00B20F55"/>
    <w:rsid w:val="00B21B1A"/>
    <w:rsid w:val="00B21E27"/>
    <w:rsid w:val="00B22F78"/>
    <w:rsid w:val="00B22FA4"/>
    <w:rsid w:val="00B233BB"/>
    <w:rsid w:val="00B23440"/>
    <w:rsid w:val="00B23795"/>
    <w:rsid w:val="00B23918"/>
    <w:rsid w:val="00B24535"/>
    <w:rsid w:val="00B2565F"/>
    <w:rsid w:val="00B25933"/>
    <w:rsid w:val="00B25E14"/>
    <w:rsid w:val="00B263DB"/>
    <w:rsid w:val="00B26A60"/>
    <w:rsid w:val="00B26BFD"/>
    <w:rsid w:val="00B26ED6"/>
    <w:rsid w:val="00B27670"/>
    <w:rsid w:val="00B27690"/>
    <w:rsid w:val="00B276D3"/>
    <w:rsid w:val="00B27888"/>
    <w:rsid w:val="00B27B42"/>
    <w:rsid w:val="00B27C44"/>
    <w:rsid w:val="00B30130"/>
    <w:rsid w:val="00B304F9"/>
    <w:rsid w:val="00B30581"/>
    <w:rsid w:val="00B3112C"/>
    <w:rsid w:val="00B3168C"/>
    <w:rsid w:val="00B316B2"/>
    <w:rsid w:val="00B31E5B"/>
    <w:rsid w:val="00B31F76"/>
    <w:rsid w:val="00B3207B"/>
    <w:rsid w:val="00B32950"/>
    <w:rsid w:val="00B32E44"/>
    <w:rsid w:val="00B33073"/>
    <w:rsid w:val="00B341C2"/>
    <w:rsid w:val="00B34586"/>
    <w:rsid w:val="00B34CE1"/>
    <w:rsid w:val="00B361BF"/>
    <w:rsid w:val="00B367F8"/>
    <w:rsid w:val="00B3693A"/>
    <w:rsid w:val="00B36CEA"/>
    <w:rsid w:val="00B37998"/>
    <w:rsid w:val="00B379A4"/>
    <w:rsid w:val="00B37C43"/>
    <w:rsid w:val="00B40ECE"/>
    <w:rsid w:val="00B410CB"/>
    <w:rsid w:val="00B412AC"/>
    <w:rsid w:val="00B41470"/>
    <w:rsid w:val="00B41CA9"/>
    <w:rsid w:val="00B4203C"/>
    <w:rsid w:val="00B4257F"/>
    <w:rsid w:val="00B42998"/>
    <w:rsid w:val="00B43A3D"/>
    <w:rsid w:val="00B43BDE"/>
    <w:rsid w:val="00B43E92"/>
    <w:rsid w:val="00B4439E"/>
    <w:rsid w:val="00B44D47"/>
    <w:rsid w:val="00B46779"/>
    <w:rsid w:val="00B50E5A"/>
    <w:rsid w:val="00B50E76"/>
    <w:rsid w:val="00B51A54"/>
    <w:rsid w:val="00B51EEE"/>
    <w:rsid w:val="00B529CA"/>
    <w:rsid w:val="00B52EDE"/>
    <w:rsid w:val="00B52FD7"/>
    <w:rsid w:val="00B53BA0"/>
    <w:rsid w:val="00B54729"/>
    <w:rsid w:val="00B54866"/>
    <w:rsid w:val="00B54EA1"/>
    <w:rsid w:val="00B56BC4"/>
    <w:rsid w:val="00B56E2A"/>
    <w:rsid w:val="00B56EFD"/>
    <w:rsid w:val="00B571DB"/>
    <w:rsid w:val="00B57AAB"/>
    <w:rsid w:val="00B57F60"/>
    <w:rsid w:val="00B6006C"/>
    <w:rsid w:val="00B6067E"/>
    <w:rsid w:val="00B60F92"/>
    <w:rsid w:val="00B61192"/>
    <w:rsid w:val="00B611A5"/>
    <w:rsid w:val="00B61696"/>
    <w:rsid w:val="00B620B7"/>
    <w:rsid w:val="00B6241F"/>
    <w:rsid w:val="00B625C1"/>
    <w:rsid w:val="00B6261B"/>
    <w:rsid w:val="00B62AF9"/>
    <w:rsid w:val="00B62DEF"/>
    <w:rsid w:val="00B62F4D"/>
    <w:rsid w:val="00B63CBB"/>
    <w:rsid w:val="00B64714"/>
    <w:rsid w:val="00B64830"/>
    <w:rsid w:val="00B65543"/>
    <w:rsid w:val="00B658F4"/>
    <w:rsid w:val="00B67888"/>
    <w:rsid w:val="00B67D94"/>
    <w:rsid w:val="00B70273"/>
    <w:rsid w:val="00B7062C"/>
    <w:rsid w:val="00B70861"/>
    <w:rsid w:val="00B71534"/>
    <w:rsid w:val="00B718B8"/>
    <w:rsid w:val="00B71B27"/>
    <w:rsid w:val="00B72596"/>
    <w:rsid w:val="00B72928"/>
    <w:rsid w:val="00B7362C"/>
    <w:rsid w:val="00B738AA"/>
    <w:rsid w:val="00B743EF"/>
    <w:rsid w:val="00B748C5"/>
    <w:rsid w:val="00B7516F"/>
    <w:rsid w:val="00B7542E"/>
    <w:rsid w:val="00B75DAC"/>
    <w:rsid w:val="00B76170"/>
    <w:rsid w:val="00B7688F"/>
    <w:rsid w:val="00B76B33"/>
    <w:rsid w:val="00B76BED"/>
    <w:rsid w:val="00B76D6F"/>
    <w:rsid w:val="00B7702C"/>
    <w:rsid w:val="00B7714A"/>
    <w:rsid w:val="00B772AD"/>
    <w:rsid w:val="00B775CB"/>
    <w:rsid w:val="00B77AB3"/>
    <w:rsid w:val="00B8090C"/>
    <w:rsid w:val="00B80A6F"/>
    <w:rsid w:val="00B80B80"/>
    <w:rsid w:val="00B817B3"/>
    <w:rsid w:val="00B81B33"/>
    <w:rsid w:val="00B82A11"/>
    <w:rsid w:val="00B82DB1"/>
    <w:rsid w:val="00B84291"/>
    <w:rsid w:val="00B85D77"/>
    <w:rsid w:val="00B85F8B"/>
    <w:rsid w:val="00B866CC"/>
    <w:rsid w:val="00B875FF"/>
    <w:rsid w:val="00B87935"/>
    <w:rsid w:val="00B87E15"/>
    <w:rsid w:val="00B901D7"/>
    <w:rsid w:val="00B90FED"/>
    <w:rsid w:val="00B914A5"/>
    <w:rsid w:val="00B91804"/>
    <w:rsid w:val="00B93345"/>
    <w:rsid w:val="00B9492D"/>
    <w:rsid w:val="00B95D4C"/>
    <w:rsid w:val="00B97654"/>
    <w:rsid w:val="00BA01BE"/>
    <w:rsid w:val="00BA023A"/>
    <w:rsid w:val="00BA16DB"/>
    <w:rsid w:val="00BA1B9A"/>
    <w:rsid w:val="00BA1FBB"/>
    <w:rsid w:val="00BA3176"/>
    <w:rsid w:val="00BA39B8"/>
    <w:rsid w:val="00BA3BCE"/>
    <w:rsid w:val="00BA4213"/>
    <w:rsid w:val="00BA4924"/>
    <w:rsid w:val="00BA4DE3"/>
    <w:rsid w:val="00BA50AB"/>
    <w:rsid w:val="00BA698F"/>
    <w:rsid w:val="00BA6C75"/>
    <w:rsid w:val="00BA762B"/>
    <w:rsid w:val="00BA77BA"/>
    <w:rsid w:val="00BA7DE7"/>
    <w:rsid w:val="00BB023F"/>
    <w:rsid w:val="00BB0B57"/>
    <w:rsid w:val="00BB0BD2"/>
    <w:rsid w:val="00BB0D0F"/>
    <w:rsid w:val="00BB0FE0"/>
    <w:rsid w:val="00BB10D1"/>
    <w:rsid w:val="00BB1C82"/>
    <w:rsid w:val="00BB1F2C"/>
    <w:rsid w:val="00BB1F97"/>
    <w:rsid w:val="00BB2024"/>
    <w:rsid w:val="00BB26C8"/>
    <w:rsid w:val="00BB27FE"/>
    <w:rsid w:val="00BB2B46"/>
    <w:rsid w:val="00BB2FB3"/>
    <w:rsid w:val="00BB31DA"/>
    <w:rsid w:val="00BB349E"/>
    <w:rsid w:val="00BB349F"/>
    <w:rsid w:val="00BB3B10"/>
    <w:rsid w:val="00BB44DE"/>
    <w:rsid w:val="00BB46B3"/>
    <w:rsid w:val="00BB4830"/>
    <w:rsid w:val="00BB4C0E"/>
    <w:rsid w:val="00BB50CA"/>
    <w:rsid w:val="00BB5390"/>
    <w:rsid w:val="00BB5B86"/>
    <w:rsid w:val="00BB5D2D"/>
    <w:rsid w:val="00BB6137"/>
    <w:rsid w:val="00BB61A9"/>
    <w:rsid w:val="00BB7096"/>
    <w:rsid w:val="00BB725B"/>
    <w:rsid w:val="00BB76A7"/>
    <w:rsid w:val="00BB790C"/>
    <w:rsid w:val="00BB7A06"/>
    <w:rsid w:val="00BB7D8D"/>
    <w:rsid w:val="00BC0204"/>
    <w:rsid w:val="00BC0CED"/>
    <w:rsid w:val="00BC119E"/>
    <w:rsid w:val="00BC20E7"/>
    <w:rsid w:val="00BC27CC"/>
    <w:rsid w:val="00BC2E46"/>
    <w:rsid w:val="00BC2F27"/>
    <w:rsid w:val="00BC31F8"/>
    <w:rsid w:val="00BC53B4"/>
    <w:rsid w:val="00BC5D98"/>
    <w:rsid w:val="00BC65E4"/>
    <w:rsid w:val="00BC78E6"/>
    <w:rsid w:val="00BD00E0"/>
    <w:rsid w:val="00BD0422"/>
    <w:rsid w:val="00BD0C6B"/>
    <w:rsid w:val="00BD166A"/>
    <w:rsid w:val="00BD1E9E"/>
    <w:rsid w:val="00BD217C"/>
    <w:rsid w:val="00BD21DF"/>
    <w:rsid w:val="00BD2E06"/>
    <w:rsid w:val="00BD45C9"/>
    <w:rsid w:val="00BD45E2"/>
    <w:rsid w:val="00BD4E7A"/>
    <w:rsid w:val="00BD4E7B"/>
    <w:rsid w:val="00BD4FDD"/>
    <w:rsid w:val="00BD5870"/>
    <w:rsid w:val="00BD5BDF"/>
    <w:rsid w:val="00BD5DC6"/>
    <w:rsid w:val="00BD5E3F"/>
    <w:rsid w:val="00BD734A"/>
    <w:rsid w:val="00BD7CD6"/>
    <w:rsid w:val="00BD7D1E"/>
    <w:rsid w:val="00BE004A"/>
    <w:rsid w:val="00BE0A0E"/>
    <w:rsid w:val="00BE0C0C"/>
    <w:rsid w:val="00BE0FD6"/>
    <w:rsid w:val="00BE156E"/>
    <w:rsid w:val="00BE1956"/>
    <w:rsid w:val="00BE1C37"/>
    <w:rsid w:val="00BE37A8"/>
    <w:rsid w:val="00BE383E"/>
    <w:rsid w:val="00BE3C9C"/>
    <w:rsid w:val="00BE43EA"/>
    <w:rsid w:val="00BE4DB4"/>
    <w:rsid w:val="00BE5081"/>
    <w:rsid w:val="00BE5EDE"/>
    <w:rsid w:val="00BE65BB"/>
    <w:rsid w:val="00BE65E8"/>
    <w:rsid w:val="00BE72FC"/>
    <w:rsid w:val="00BE7CDD"/>
    <w:rsid w:val="00BF08E7"/>
    <w:rsid w:val="00BF0D3B"/>
    <w:rsid w:val="00BF1075"/>
    <w:rsid w:val="00BF1E5F"/>
    <w:rsid w:val="00BF28C6"/>
    <w:rsid w:val="00BF2C93"/>
    <w:rsid w:val="00BF3213"/>
    <w:rsid w:val="00BF38F0"/>
    <w:rsid w:val="00BF3FDF"/>
    <w:rsid w:val="00BF432D"/>
    <w:rsid w:val="00BF547A"/>
    <w:rsid w:val="00BF6071"/>
    <w:rsid w:val="00BF79C6"/>
    <w:rsid w:val="00C0099A"/>
    <w:rsid w:val="00C0115C"/>
    <w:rsid w:val="00C01BE9"/>
    <w:rsid w:val="00C027E6"/>
    <w:rsid w:val="00C0346A"/>
    <w:rsid w:val="00C03EBC"/>
    <w:rsid w:val="00C041DE"/>
    <w:rsid w:val="00C04362"/>
    <w:rsid w:val="00C0443E"/>
    <w:rsid w:val="00C04619"/>
    <w:rsid w:val="00C04DE2"/>
    <w:rsid w:val="00C04E8D"/>
    <w:rsid w:val="00C04EB5"/>
    <w:rsid w:val="00C057F8"/>
    <w:rsid w:val="00C073EC"/>
    <w:rsid w:val="00C10FE0"/>
    <w:rsid w:val="00C11FA0"/>
    <w:rsid w:val="00C12625"/>
    <w:rsid w:val="00C12EE7"/>
    <w:rsid w:val="00C136B4"/>
    <w:rsid w:val="00C13EC8"/>
    <w:rsid w:val="00C14D54"/>
    <w:rsid w:val="00C1653E"/>
    <w:rsid w:val="00C167A4"/>
    <w:rsid w:val="00C167CA"/>
    <w:rsid w:val="00C169D2"/>
    <w:rsid w:val="00C16B04"/>
    <w:rsid w:val="00C1726F"/>
    <w:rsid w:val="00C174F5"/>
    <w:rsid w:val="00C175A4"/>
    <w:rsid w:val="00C20028"/>
    <w:rsid w:val="00C20177"/>
    <w:rsid w:val="00C203AD"/>
    <w:rsid w:val="00C20765"/>
    <w:rsid w:val="00C20FFD"/>
    <w:rsid w:val="00C219C8"/>
    <w:rsid w:val="00C21BA6"/>
    <w:rsid w:val="00C22F00"/>
    <w:rsid w:val="00C23761"/>
    <w:rsid w:val="00C23B1D"/>
    <w:rsid w:val="00C24136"/>
    <w:rsid w:val="00C2418C"/>
    <w:rsid w:val="00C24A87"/>
    <w:rsid w:val="00C25226"/>
    <w:rsid w:val="00C2554D"/>
    <w:rsid w:val="00C258E9"/>
    <w:rsid w:val="00C25D0C"/>
    <w:rsid w:val="00C25FCF"/>
    <w:rsid w:val="00C26154"/>
    <w:rsid w:val="00C263F3"/>
    <w:rsid w:val="00C26A31"/>
    <w:rsid w:val="00C26B1D"/>
    <w:rsid w:val="00C26DBB"/>
    <w:rsid w:val="00C27099"/>
    <w:rsid w:val="00C27D9D"/>
    <w:rsid w:val="00C3007D"/>
    <w:rsid w:val="00C30B8A"/>
    <w:rsid w:val="00C30E8A"/>
    <w:rsid w:val="00C315AA"/>
    <w:rsid w:val="00C323B7"/>
    <w:rsid w:val="00C323C0"/>
    <w:rsid w:val="00C32FFD"/>
    <w:rsid w:val="00C34EEA"/>
    <w:rsid w:val="00C3557F"/>
    <w:rsid w:val="00C35822"/>
    <w:rsid w:val="00C35DB9"/>
    <w:rsid w:val="00C35E87"/>
    <w:rsid w:val="00C36659"/>
    <w:rsid w:val="00C366E1"/>
    <w:rsid w:val="00C36A73"/>
    <w:rsid w:val="00C37B2B"/>
    <w:rsid w:val="00C37B44"/>
    <w:rsid w:val="00C37E25"/>
    <w:rsid w:val="00C4017F"/>
    <w:rsid w:val="00C4092A"/>
    <w:rsid w:val="00C409F2"/>
    <w:rsid w:val="00C40B7F"/>
    <w:rsid w:val="00C41005"/>
    <w:rsid w:val="00C41859"/>
    <w:rsid w:val="00C41C55"/>
    <w:rsid w:val="00C41D80"/>
    <w:rsid w:val="00C4249C"/>
    <w:rsid w:val="00C426E9"/>
    <w:rsid w:val="00C42CCF"/>
    <w:rsid w:val="00C42F83"/>
    <w:rsid w:val="00C4367C"/>
    <w:rsid w:val="00C43D1D"/>
    <w:rsid w:val="00C4415E"/>
    <w:rsid w:val="00C44907"/>
    <w:rsid w:val="00C4556A"/>
    <w:rsid w:val="00C459E7"/>
    <w:rsid w:val="00C45E6E"/>
    <w:rsid w:val="00C461CE"/>
    <w:rsid w:val="00C4738F"/>
    <w:rsid w:val="00C479AC"/>
    <w:rsid w:val="00C503FA"/>
    <w:rsid w:val="00C50644"/>
    <w:rsid w:val="00C50747"/>
    <w:rsid w:val="00C51DD4"/>
    <w:rsid w:val="00C527FB"/>
    <w:rsid w:val="00C53445"/>
    <w:rsid w:val="00C53BF0"/>
    <w:rsid w:val="00C53D29"/>
    <w:rsid w:val="00C5431B"/>
    <w:rsid w:val="00C55124"/>
    <w:rsid w:val="00C5525C"/>
    <w:rsid w:val="00C553D4"/>
    <w:rsid w:val="00C56BD3"/>
    <w:rsid w:val="00C56F31"/>
    <w:rsid w:val="00C56F93"/>
    <w:rsid w:val="00C570EF"/>
    <w:rsid w:val="00C57CE4"/>
    <w:rsid w:val="00C60EA6"/>
    <w:rsid w:val="00C61341"/>
    <w:rsid w:val="00C61BA6"/>
    <w:rsid w:val="00C61F44"/>
    <w:rsid w:val="00C61FAE"/>
    <w:rsid w:val="00C625E7"/>
    <w:rsid w:val="00C627AD"/>
    <w:rsid w:val="00C6297D"/>
    <w:rsid w:val="00C62D8A"/>
    <w:rsid w:val="00C63068"/>
    <w:rsid w:val="00C632D8"/>
    <w:rsid w:val="00C63407"/>
    <w:rsid w:val="00C635C6"/>
    <w:rsid w:val="00C63B79"/>
    <w:rsid w:val="00C64FF8"/>
    <w:rsid w:val="00C653BC"/>
    <w:rsid w:val="00C654DA"/>
    <w:rsid w:val="00C66540"/>
    <w:rsid w:val="00C66A56"/>
    <w:rsid w:val="00C67781"/>
    <w:rsid w:val="00C677F8"/>
    <w:rsid w:val="00C70056"/>
    <w:rsid w:val="00C7060F"/>
    <w:rsid w:val="00C71229"/>
    <w:rsid w:val="00C71A17"/>
    <w:rsid w:val="00C71A55"/>
    <w:rsid w:val="00C727D0"/>
    <w:rsid w:val="00C72863"/>
    <w:rsid w:val="00C739EA"/>
    <w:rsid w:val="00C74C60"/>
    <w:rsid w:val="00C751A1"/>
    <w:rsid w:val="00C75424"/>
    <w:rsid w:val="00C7573B"/>
    <w:rsid w:val="00C75CF2"/>
    <w:rsid w:val="00C76250"/>
    <w:rsid w:val="00C7637D"/>
    <w:rsid w:val="00C766A3"/>
    <w:rsid w:val="00C7677D"/>
    <w:rsid w:val="00C77D25"/>
    <w:rsid w:val="00C8005A"/>
    <w:rsid w:val="00C8063D"/>
    <w:rsid w:val="00C81477"/>
    <w:rsid w:val="00C81843"/>
    <w:rsid w:val="00C81A8C"/>
    <w:rsid w:val="00C81D81"/>
    <w:rsid w:val="00C8248E"/>
    <w:rsid w:val="00C826ED"/>
    <w:rsid w:val="00C82B3C"/>
    <w:rsid w:val="00C82D32"/>
    <w:rsid w:val="00C835C1"/>
    <w:rsid w:val="00C83A45"/>
    <w:rsid w:val="00C8512D"/>
    <w:rsid w:val="00C86DD1"/>
    <w:rsid w:val="00C876B3"/>
    <w:rsid w:val="00C90AAF"/>
    <w:rsid w:val="00C91334"/>
    <w:rsid w:val="00C91877"/>
    <w:rsid w:val="00C91C9E"/>
    <w:rsid w:val="00C93F6A"/>
    <w:rsid w:val="00C93F7F"/>
    <w:rsid w:val="00C949F3"/>
    <w:rsid w:val="00C94C7E"/>
    <w:rsid w:val="00C95052"/>
    <w:rsid w:val="00C951E7"/>
    <w:rsid w:val="00C952CC"/>
    <w:rsid w:val="00C95351"/>
    <w:rsid w:val="00C958FC"/>
    <w:rsid w:val="00C95ABB"/>
    <w:rsid w:val="00C95DB8"/>
    <w:rsid w:val="00C95EE3"/>
    <w:rsid w:val="00C9651B"/>
    <w:rsid w:val="00C967F1"/>
    <w:rsid w:val="00C96841"/>
    <w:rsid w:val="00C974EA"/>
    <w:rsid w:val="00C97DF6"/>
    <w:rsid w:val="00CA014D"/>
    <w:rsid w:val="00CA041C"/>
    <w:rsid w:val="00CA0A4D"/>
    <w:rsid w:val="00CA0DD5"/>
    <w:rsid w:val="00CA1A83"/>
    <w:rsid w:val="00CA2B73"/>
    <w:rsid w:val="00CA2F66"/>
    <w:rsid w:val="00CA3B27"/>
    <w:rsid w:val="00CA3EF7"/>
    <w:rsid w:val="00CA49C7"/>
    <w:rsid w:val="00CA4C67"/>
    <w:rsid w:val="00CA55CD"/>
    <w:rsid w:val="00CA5812"/>
    <w:rsid w:val="00CA61A3"/>
    <w:rsid w:val="00CA627B"/>
    <w:rsid w:val="00CA65AD"/>
    <w:rsid w:val="00CA6797"/>
    <w:rsid w:val="00CA6CED"/>
    <w:rsid w:val="00CA6D2A"/>
    <w:rsid w:val="00CA6F35"/>
    <w:rsid w:val="00CB0190"/>
    <w:rsid w:val="00CB03C7"/>
    <w:rsid w:val="00CB050D"/>
    <w:rsid w:val="00CB0DA7"/>
    <w:rsid w:val="00CB11EA"/>
    <w:rsid w:val="00CB1F46"/>
    <w:rsid w:val="00CB237D"/>
    <w:rsid w:val="00CB23AD"/>
    <w:rsid w:val="00CB2A37"/>
    <w:rsid w:val="00CB3964"/>
    <w:rsid w:val="00CB3D4C"/>
    <w:rsid w:val="00CB40AB"/>
    <w:rsid w:val="00CB421B"/>
    <w:rsid w:val="00CB4369"/>
    <w:rsid w:val="00CB4720"/>
    <w:rsid w:val="00CB51C8"/>
    <w:rsid w:val="00CB5605"/>
    <w:rsid w:val="00CB59E0"/>
    <w:rsid w:val="00CB5FC6"/>
    <w:rsid w:val="00CB638B"/>
    <w:rsid w:val="00CB6B72"/>
    <w:rsid w:val="00CB6DE7"/>
    <w:rsid w:val="00CB6E63"/>
    <w:rsid w:val="00CB72E6"/>
    <w:rsid w:val="00CB778C"/>
    <w:rsid w:val="00CB7C7C"/>
    <w:rsid w:val="00CC0211"/>
    <w:rsid w:val="00CC058C"/>
    <w:rsid w:val="00CC063E"/>
    <w:rsid w:val="00CC0956"/>
    <w:rsid w:val="00CC0D5D"/>
    <w:rsid w:val="00CC108A"/>
    <w:rsid w:val="00CC1990"/>
    <w:rsid w:val="00CC24A6"/>
    <w:rsid w:val="00CC2B29"/>
    <w:rsid w:val="00CC2E6F"/>
    <w:rsid w:val="00CC2F86"/>
    <w:rsid w:val="00CC3048"/>
    <w:rsid w:val="00CC3735"/>
    <w:rsid w:val="00CC3EAA"/>
    <w:rsid w:val="00CC45C2"/>
    <w:rsid w:val="00CC48C5"/>
    <w:rsid w:val="00CC4C55"/>
    <w:rsid w:val="00CC4C6E"/>
    <w:rsid w:val="00CC5028"/>
    <w:rsid w:val="00CC5087"/>
    <w:rsid w:val="00CC5309"/>
    <w:rsid w:val="00CC532E"/>
    <w:rsid w:val="00CC5349"/>
    <w:rsid w:val="00CC55B7"/>
    <w:rsid w:val="00CC586D"/>
    <w:rsid w:val="00CC6618"/>
    <w:rsid w:val="00CC6B75"/>
    <w:rsid w:val="00CC6D98"/>
    <w:rsid w:val="00CC6ECD"/>
    <w:rsid w:val="00CC6F64"/>
    <w:rsid w:val="00CC721B"/>
    <w:rsid w:val="00CC7552"/>
    <w:rsid w:val="00CC7A02"/>
    <w:rsid w:val="00CC7B59"/>
    <w:rsid w:val="00CC7CD6"/>
    <w:rsid w:val="00CC7EED"/>
    <w:rsid w:val="00CD11FE"/>
    <w:rsid w:val="00CD1714"/>
    <w:rsid w:val="00CD19FE"/>
    <w:rsid w:val="00CD1A47"/>
    <w:rsid w:val="00CD1F70"/>
    <w:rsid w:val="00CD272D"/>
    <w:rsid w:val="00CD37CD"/>
    <w:rsid w:val="00CD3ADE"/>
    <w:rsid w:val="00CD45AE"/>
    <w:rsid w:val="00CD49B5"/>
    <w:rsid w:val="00CD5C0E"/>
    <w:rsid w:val="00CD60B1"/>
    <w:rsid w:val="00CD63B7"/>
    <w:rsid w:val="00CD6439"/>
    <w:rsid w:val="00CD6760"/>
    <w:rsid w:val="00CD6E76"/>
    <w:rsid w:val="00CD7997"/>
    <w:rsid w:val="00CE0048"/>
    <w:rsid w:val="00CE0170"/>
    <w:rsid w:val="00CE031C"/>
    <w:rsid w:val="00CE07A3"/>
    <w:rsid w:val="00CE1B95"/>
    <w:rsid w:val="00CE1FBA"/>
    <w:rsid w:val="00CE22C7"/>
    <w:rsid w:val="00CE23BB"/>
    <w:rsid w:val="00CE2750"/>
    <w:rsid w:val="00CE3613"/>
    <w:rsid w:val="00CE4FE1"/>
    <w:rsid w:val="00CE5B46"/>
    <w:rsid w:val="00CE5E8F"/>
    <w:rsid w:val="00CE5F2D"/>
    <w:rsid w:val="00CE6033"/>
    <w:rsid w:val="00CE6B56"/>
    <w:rsid w:val="00CE6C86"/>
    <w:rsid w:val="00CE7425"/>
    <w:rsid w:val="00CE79B6"/>
    <w:rsid w:val="00CF00EC"/>
    <w:rsid w:val="00CF04FC"/>
    <w:rsid w:val="00CF0953"/>
    <w:rsid w:val="00CF190A"/>
    <w:rsid w:val="00CF1BB5"/>
    <w:rsid w:val="00CF28A2"/>
    <w:rsid w:val="00CF2B16"/>
    <w:rsid w:val="00CF38C1"/>
    <w:rsid w:val="00CF4022"/>
    <w:rsid w:val="00CF433B"/>
    <w:rsid w:val="00CF4CA0"/>
    <w:rsid w:val="00CF4D2C"/>
    <w:rsid w:val="00CF4D5B"/>
    <w:rsid w:val="00CF504C"/>
    <w:rsid w:val="00CF50DC"/>
    <w:rsid w:val="00CF54C8"/>
    <w:rsid w:val="00CF598D"/>
    <w:rsid w:val="00CF68FB"/>
    <w:rsid w:val="00CF7DFD"/>
    <w:rsid w:val="00D018D0"/>
    <w:rsid w:val="00D019D0"/>
    <w:rsid w:val="00D029B9"/>
    <w:rsid w:val="00D0315D"/>
    <w:rsid w:val="00D03232"/>
    <w:rsid w:val="00D03B9E"/>
    <w:rsid w:val="00D04321"/>
    <w:rsid w:val="00D04843"/>
    <w:rsid w:val="00D053B3"/>
    <w:rsid w:val="00D05538"/>
    <w:rsid w:val="00D0660D"/>
    <w:rsid w:val="00D06FC8"/>
    <w:rsid w:val="00D070F9"/>
    <w:rsid w:val="00D07F45"/>
    <w:rsid w:val="00D10405"/>
    <w:rsid w:val="00D1070F"/>
    <w:rsid w:val="00D10C26"/>
    <w:rsid w:val="00D110BD"/>
    <w:rsid w:val="00D114CA"/>
    <w:rsid w:val="00D11F19"/>
    <w:rsid w:val="00D12303"/>
    <w:rsid w:val="00D127F0"/>
    <w:rsid w:val="00D13166"/>
    <w:rsid w:val="00D13309"/>
    <w:rsid w:val="00D144C6"/>
    <w:rsid w:val="00D144E4"/>
    <w:rsid w:val="00D14BD6"/>
    <w:rsid w:val="00D14D0A"/>
    <w:rsid w:val="00D154C9"/>
    <w:rsid w:val="00D1594B"/>
    <w:rsid w:val="00D1597B"/>
    <w:rsid w:val="00D16957"/>
    <w:rsid w:val="00D16E1F"/>
    <w:rsid w:val="00D16E94"/>
    <w:rsid w:val="00D16ED4"/>
    <w:rsid w:val="00D173A9"/>
    <w:rsid w:val="00D20242"/>
    <w:rsid w:val="00D20BEC"/>
    <w:rsid w:val="00D20DED"/>
    <w:rsid w:val="00D21020"/>
    <w:rsid w:val="00D2147A"/>
    <w:rsid w:val="00D2160D"/>
    <w:rsid w:val="00D21AFE"/>
    <w:rsid w:val="00D21BAB"/>
    <w:rsid w:val="00D23235"/>
    <w:rsid w:val="00D23AC9"/>
    <w:rsid w:val="00D23CFC"/>
    <w:rsid w:val="00D23D12"/>
    <w:rsid w:val="00D244EC"/>
    <w:rsid w:val="00D25726"/>
    <w:rsid w:val="00D2590F"/>
    <w:rsid w:val="00D259AF"/>
    <w:rsid w:val="00D25ACE"/>
    <w:rsid w:val="00D26E80"/>
    <w:rsid w:val="00D276E0"/>
    <w:rsid w:val="00D27879"/>
    <w:rsid w:val="00D30231"/>
    <w:rsid w:val="00D307BF"/>
    <w:rsid w:val="00D309F1"/>
    <w:rsid w:val="00D30D03"/>
    <w:rsid w:val="00D3105C"/>
    <w:rsid w:val="00D31C6D"/>
    <w:rsid w:val="00D31C8D"/>
    <w:rsid w:val="00D320A4"/>
    <w:rsid w:val="00D32253"/>
    <w:rsid w:val="00D32A2B"/>
    <w:rsid w:val="00D331F4"/>
    <w:rsid w:val="00D3373B"/>
    <w:rsid w:val="00D33F82"/>
    <w:rsid w:val="00D34F9A"/>
    <w:rsid w:val="00D351FB"/>
    <w:rsid w:val="00D35B8F"/>
    <w:rsid w:val="00D36085"/>
    <w:rsid w:val="00D365B8"/>
    <w:rsid w:val="00D36C7A"/>
    <w:rsid w:val="00D36DDC"/>
    <w:rsid w:val="00D373F9"/>
    <w:rsid w:val="00D37661"/>
    <w:rsid w:val="00D37C43"/>
    <w:rsid w:val="00D37DFC"/>
    <w:rsid w:val="00D401B3"/>
    <w:rsid w:val="00D406B9"/>
    <w:rsid w:val="00D40AE9"/>
    <w:rsid w:val="00D40BEE"/>
    <w:rsid w:val="00D4108E"/>
    <w:rsid w:val="00D41DFA"/>
    <w:rsid w:val="00D4240E"/>
    <w:rsid w:val="00D42664"/>
    <w:rsid w:val="00D42F6D"/>
    <w:rsid w:val="00D433F7"/>
    <w:rsid w:val="00D444C4"/>
    <w:rsid w:val="00D44AAD"/>
    <w:rsid w:val="00D45587"/>
    <w:rsid w:val="00D46224"/>
    <w:rsid w:val="00D46729"/>
    <w:rsid w:val="00D46CC5"/>
    <w:rsid w:val="00D47069"/>
    <w:rsid w:val="00D47CB1"/>
    <w:rsid w:val="00D47F4F"/>
    <w:rsid w:val="00D50573"/>
    <w:rsid w:val="00D50A50"/>
    <w:rsid w:val="00D51548"/>
    <w:rsid w:val="00D51919"/>
    <w:rsid w:val="00D51A07"/>
    <w:rsid w:val="00D52686"/>
    <w:rsid w:val="00D526E2"/>
    <w:rsid w:val="00D52E72"/>
    <w:rsid w:val="00D532CF"/>
    <w:rsid w:val="00D53F89"/>
    <w:rsid w:val="00D54BAC"/>
    <w:rsid w:val="00D54C29"/>
    <w:rsid w:val="00D54DBB"/>
    <w:rsid w:val="00D55001"/>
    <w:rsid w:val="00D55C58"/>
    <w:rsid w:val="00D55CC9"/>
    <w:rsid w:val="00D55EF9"/>
    <w:rsid w:val="00D560F6"/>
    <w:rsid w:val="00D5625A"/>
    <w:rsid w:val="00D56315"/>
    <w:rsid w:val="00D57204"/>
    <w:rsid w:val="00D57DD6"/>
    <w:rsid w:val="00D600CA"/>
    <w:rsid w:val="00D60259"/>
    <w:rsid w:val="00D60A7A"/>
    <w:rsid w:val="00D610CE"/>
    <w:rsid w:val="00D613ED"/>
    <w:rsid w:val="00D62067"/>
    <w:rsid w:val="00D621B8"/>
    <w:rsid w:val="00D62224"/>
    <w:rsid w:val="00D62A37"/>
    <w:rsid w:val="00D62AC2"/>
    <w:rsid w:val="00D633AB"/>
    <w:rsid w:val="00D640DF"/>
    <w:rsid w:val="00D64AA5"/>
    <w:rsid w:val="00D6551D"/>
    <w:rsid w:val="00D66038"/>
    <w:rsid w:val="00D66FC6"/>
    <w:rsid w:val="00D67016"/>
    <w:rsid w:val="00D67408"/>
    <w:rsid w:val="00D71558"/>
    <w:rsid w:val="00D719FD"/>
    <w:rsid w:val="00D71A6E"/>
    <w:rsid w:val="00D724D4"/>
    <w:rsid w:val="00D72964"/>
    <w:rsid w:val="00D72BD1"/>
    <w:rsid w:val="00D72C2B"/>
    <w:rsid w:val="00D72EF3"/>
    <w:rsid w:val="00D7354A"/>
    <w:rsid w:val="00D73C73"/>
    <w:rsid w:val="00D73E75"/>
    <w:rsid w:val="00D74071"/>
    <w:rsid w:val="00D7429A"/>
    <w:rsid w:val="00D743C0"/>
    <w:rsid w:val="00D747ED"/>
    <w:rsid w:val="00D74EF4"/>
    <w:rsid w:val="00D7559D"/>
    <w:rsid w:val="00D76040"/>
    <w:rsid w:val="00D7625B"/>
    <w:rsid w:val="00D76C52"/>
    <w:rsid w:val="00D76D7D"/>
    <w:rsid w:val="00D77224"/>
    <w:rsid w:val="00D778DD"/>
    <w:rsid w:val="00D77B6F"/>
    <w:rsid w:val="00D805F0"/>
    <w:rsid w:val="00D82082"/>
    <w:rsid w:val="00D82961"/>
    <w:rsid w:val="00D82C99"/>
    <w:rsid w:val="00D83220"/>
    <w:rsid w:val="00D83250"/>
    <w:rsid w:val="00D833FE"/>
    <w:rsid w:val="00D839F0"/>
    <w:rsid w:val="00D83C53"/>
    <w:rsid w:val="00D83F36"/>
    <w:rsid w:val="00D841D0"/>
    <w:rsid w:val="00D847C9"/>
    <w:rsid w:val="00D85AB4"/>
    <w:rsid w:val="00D85D36"/>
    <w:rsid w:val="00D864AC"/>
    <w:rsid w:val="00D867BA"/>
    <w:rsid w:val="00D86BE6"/>
    <w:rsid w:val="00D87683"/>
    <w:rsid w:val="00D87825"/>
    <w:rsid w:val="00D8792C"/>
    <w:rsid w:val="00D87B50"/>
    <w:rsid w:val="00D87EA6"/>
    <w:rsid w:val="00D90032"/>
    <w:rsid w:val="00D90B8A"/>
    <w:rsid w:val="00D90F67"/>
    <w:rsid w:val="00D919E2"/>
    <w:rsid w:val="00D919E3"/>
    <w:rsid w:val="00D91BA8"/>
    <w:rsid w:val="00D92CD4"/>
    <w:rsid w:val="00D93482"/>
    <w:rsid w:val="00D93597"/>
    <w:rsid w:val="00D9367D"/>
    <w:rsid w:val="00D93796"/>
    <w:rsid w:val="00D93A1E"/>
    <w:rsid w:val="00D94749"/>
    <w:rsid w:val="00D94933"/>
    <w:rsid w:val="00D94BAD"/>
    <w:rsid w:val="00D95190"/>
    <w:rsid w:val="00D9533F"/>
    <w:rsid w:val="00D95950"/>
    <w:rsid w:val="00D95BAC"/>
    <w:rsid w:val="00D95F6F"/>
    <w:rsid w:val="00D96060"/>
    <w:rsid w:val="00D96768"/>
    <w:rsid w:val="00D96B1D"/>
    <w:rsid w:val="00D96C49"/>
    <w:rsid w:val="00D97E18"/>
    <w:rsid w:val="00DA02CF"/>
    <w:rsid w:val="00DA0BB3"/>
    <w:rsid w:val="00DA1209"/>
    <w:rsid w:val="00DA2CA0"/>
    <w:rsid w:val="00DA2D64"/>
    <w:rsid w:val="00DA31C2"/>
    <w:rsid w:val="00DA3580"/>
    <w:rsid w:val="00DA386B"/>
    <w:rsid w:val="00DA396E"/>
    <w:rsid w:val="00DA46A8"/>
    <w:rsid w:val="00DA50D1"/>
    <w:rsid w:val="00DA5310"/>
    <w:rsid w:val="00DA5D18"/>
    <w:rsid w:val="00DA6337"/>
    <w:rsid w:val="00DA6DCE"/>
    <w:rsid w:val="00DA747F"/>
    <w:rsid w:val="00DB042F"/>
    <w:rsid w:val="00DB108B"/>
    <w:rsid w:val="00DB1386"/>
    <w:rsid w:val="00DB16EA"/>
    <w:rsid w:val="00DB1F22"/>
    <w:rsid w:val="00DB2C3E"/>
    <w:rsid w:val="00DB2E14"/>
    <w:rsid w:val="00DB3D7E"/>
    <w:rsid w:val="00DB3D99"/>
    <w:rsid w:val="00DB4433"/>
    <w:rsid w:val="00DB44CD"/>
    <w:rsid w:val="00DB453C"/>
    <w:rsid w:val="00DB4718"/>
    <w:rsid w:val="00DB4CAB"/>
    <w:rsid w:val="00DB58F9"/>
    <w:rsid w:val="00DB5A98"/>
    <w:rsid w:val="00DB5DA6"/>
    <w:rsid w:val="00DB60A9"/>
    <w:rsid w:val="00DB61F6"/>
    <w:rsid w:val="00DB6703"/>
    <w:rsid w:val="00DB67CC"/>
    <w:rsid w:val="00DB7392"/>
    <w:rsid w:val="00DB76EC"/>
    <w:rsid w:val="00DC0077"/>
    <w:rsid w:val="00DC0372"/>
    <w:rsid w:val="00DC06E9"/>
    <w:rsid w:val="00DC0A21"/>
    <w:rsid w:val="00DC0CBC"/>
    <w:rsid w:val="00DC0E9F"/>
    <w:rsid w:val="00DC1151"/>
    <w:rsid w:val="00DC1759"/>
    <w:rsid w:val="00DC1988"/>
    <w:rsid w:val="00DC1F2F"/>
    <w:rsid w:val="00DC1F39"/>
    <w:rsid w:val="00DC2D77"/>
    <w:rsid w:val="00DC30A4"/>
    <w:rsid w:val="00DC3864"/>
    <w:rsid w:val="00DC38CE"/>
    <w:rsid w:val="00DC3A12"/>
    <w:rsid w:val="00DC4D84"/>
    <w:rsid w:val="00DC4F30"/>
    <w:rsid w:val="00DC5203"/>
    <w:rsid w:val="00DC5F63"/>
    <w:rsid w:val="00DC7B36"/>
    <w:rsid w:val="00DC7E15"/>
    <w:rsid w:val="00DD00F6"/>
    <w:rsid w:val="00DD02C0"/>
    <w:rsid w:val="00DD1084"/>
    <w:rsid w:val="00DD12BC"/>
    <w:rsid w:val="00DD13EC"/>
    <w:rsid w:val="00DD1F8F"/>
    <w:rsid w:val="00DD2021"/>
    <w:rsid w:val="00DD352C"/>
    <w:rsid w:val="00DD3EF5"/>
    <w:rsid w:val="00DD4ED8"/>
    <w:rsid w:val="00DD6184"/>
    <w:rsid w:val="00DD6D60"/>
    <w:rsid w:val="00DD7073"/>
    <w:rsid w:val="00DD728E"/>
    <w:rsid w:val="00DD7472"/>
    <w:rsid w:val="00DD7478"/>
    <w:rsid w:val="00DD7EE2"/>
    <w:rsid w:val="00DE01ED"/>
    <w:rsid w:val="00DE179A"/>
    <w:rsid w:val="00DE205E"/>
    <w:rsid w:val="00DE2333"/>
    <w:rsid w:val="00DE2DE1"/>
    <w:rsid w:val="00DE3D5D"/>
    <w:rsid w:val="00DE4F4B"/>
    <w:rsid w:val="00DE5258"/>
    <w:rsid w:val="00DE54A0"/>
    <w:rsid w:val="00DE5C59"/>
    <w:rsid w:val="00DE5E6E"/>
    <w:rsid w:val="00DE662E"/>
    <w:rsid w:val="00DE6E7A"/>
    <w:rsid w:val="00DE72DA"/>
    <w:rsid w:val="00DE7A4F"/>
    <w:rsid w:val="00DF0FDA"/>
    <w:rsid w:val="00DF0FE7"/>
    <w:rsid w:val="00DF1196"/>
    <w:rsid w:val="00DF14A1"/>
    <w:rsid w:val="00DF1FE8"/>
    <w:rsid w:val="00DF2048"/>
    <w:rsid w:val="00DF26AC"/>
    <w:rsid w:val="00DF2D40"/>
    <w:rsid w:val="00DF2EC0"/>
    <w:rsid w:val="00DF3156"/>
    <w:rsid w:val="00DF4BB8"/>
    <w:rsid w:val="00DF5998"/>
    <w:rsid w:val="00DF5CEC"/>
    <w:rsid w:val="00DF5E8F"/>
    <w:rsid w:val="00DF5F45"/>
    <w:rsid w:val="00DF6273"/>
    <w:rsid w:val="00DF635C"/>
    <w:rsid w:val="00DF6879"/>
    <w:rsid w:val="00DF6B57"/>
    <w:rsid w:val="00DF71ED"/>
    <w:rsid w:val="00E00645"/>
    <w:rsid w:val="00E01039"/>
    <w:rsid w:val="00E0159D"/>
    <w:rsid w:val="00E02DEB"/>
    <w:rsid w:val="00E032EF"/>
    <w:rsid w:val="00E03428"/>
    <w:rsid w:val="00E03D1E"/>
    <w:rsid w:val="00E040BA"/>
    <w:rsid w:val="00E0547A"/>
    <w:rsid w:val="00E055D2"/>
    <w:rsid w:val="00E05905"/>
    <w:rsid w:val="00E05DAF"/>
    <w:rsid w:val="00E06088"/>
    <w:rsid w:val="00E0610A"/>
    <w:rsid w:val="00E064E9"/>
    <w:rsid w:val="00E06833"/>
    <w:rsid w:val="00E069E0"/>
    <w:rsid w:val="00E06B62"/>
    <w:rsid w:val="00E06D86"/>
    <w:rsid w:val="00E07E40"/>
    <w:rsid w:val="00E10032"/>
    <w:rsid w:val="00E103A0"/>
    <w:rsid w:val="00E111BF"/>
    <w:rsid w:val="00E11AF8"/>
    <w:rsid w:val="00E11DC4"/>
    <w:rsid w:val="00E131B5"/>
    <w:rsid w:val="00E13E33"/>
    <w:rsid w:val="00E13EDE"/>
    <w:rsid w:val="00E144BE"/>
    <w:rsid w:val="00E14AB5"/>
    <w:rsid w:val="00E14B4F"/>
    <w:rsid w:val="00E14F15"/>
    <w:rsid w:val="00E14F76"/>
    <w:rsid w:val="00E15876"/>
    <w:rsid w:val="00E1630D"/>
    <w:rsid w:val="00E163C3"/>
    <w:rsid w:val="00E16C88"/>
    <w:rsid w:val="00E16F4D"/>
    <w:rsid w:val="00E17CE2"/>
    <w:rsid w:val="00E20C04"/>
    <w:rsid w:val="00E20C73"/>
    <w:rsid w:val="00E20F7C"/>
    <w:rsid w:val="00E210AA"/>
    <w:rsid w:val="00E2125E"/>
    <w:rsid w:val="00E2157C"/>
    <w:rsid w:val="00E215D9"/>
    <w:rsid w:val="00E2232E"/>
    <w:rsid w:val="00E22B97"/>
    <w:rsid w:val="00E22C44"/>
    <w:rsid w:val="00E23B35"/>
    <w:rsid w:val="00E245A9"/>
    <w:rsid w:val="00E248E3"/>
    <w:rsid w:val="00E25014"/>
    <w:rsid w:val="00E25853"/>
    <w:rsid w:val="00E25EA8"/>
    <w:rsid w:val="00E25FD3"/>
    <w:rsid w:val="00E26782"/>
    <w:rsid w:val="00E26A2E"/>
    <w:rsid w:val="00E26AEB"/>
    <w:rsid w:val="00E26C2F"/>
    <w:rsid w:val="00E270A1"/>
    <w:rsid w:val="00E279C1"/>
    <w:rsid w:val="00E30289"/>
    <w:rsid w:val="00E313E3"/>
    <w:rsid w:val="00E31FA5"/>
    <w:rsid w:val="00E32370"/>
    <w:rsid w:val="00E329E6"/>
    <w:rsid w:val="00E32FAF"/>
    <w:rsid w:val="00E333A5"/>
    <w:rsid w:val="00E33821"/>
    <w:rsid w:val="00E340EF"/>
    <w:rsid w:val="00E341AA"/>
    <w:rsid w:val="00E3465E"/>
    <w:rsid w:val="00E34DEF"/>
    <w:rsid w:val="00E350DF"/>
    <w:rsid w:val="00E36604"/>
    <w:rsid w:val="00E36759"/>
    <w:rsid w:val="00E36820"/>
    <w:rsid w:val="00E37D40"/>
    <w:rsid w:val="00E4036F"/>
    <w:rsid w:val="00E4058C"/>
    <w:rsid w:val="00E4058E"/>
    <w:rsid w:val="00E40713"/>
    <w:rsid w:val="00E41915"/>
    <w:rsid w:val="00E4204F"/>
    <w:rsid w:val="00E42C96"/>
    <w:rsid w:val="00E44D65"/>
    <w:rsid w:val="00E44FC3"/>
    <w:rsid w:val="00E4545A"/>
    <w:rsid w:val="00E4689F"/>
    <w:rsid w:val="00E46A18"/>
    <w:rsid w:val="00E46E35"/>
    <w:rsid w:val="00E47067"/>
    <w:rsid w:val="00E47DE6"/>
    <w:rsid w:val="00E47EED"/>
    <w:rsid w:val="00E47F1F"/>
    <w:rsid w:val="00E500BC"/>
    <w:rsid w:val="00E50677"/>
    <w:rsid w:val="00E50DC8"/>
    <w:rsid w:val="00E5154A"/>
    <w:rsid w:val="00E51582"/>
    <w:rsid w:val="00E51B48"/>
    <w:rsid w:val="00E52E30"/>
    <w:rsid w:val="00E53426"/>
    <w:rsid w:val="00E538FF"/>
    <w:rsid w:val="00E53987"/>
    <w:rsid w:val="00E53A02"/>
    <w:rsid w:val="00E53A4E"/>
    <w:rsid w:val="00E53BB7"/>
    <w:rsid w:val="00E53D4C"/>
    <w:rsid w:val="00E54948"/>
    <w:rsid w:val="00E54D17"/>
    <w:rsid w:val="00E56FF1"/>
    <w:rsid w:val="00E570F0"/>
    <w:rsid w:val="00E573BF"/>
    <w:rsid w:val="00E577A5"/>
    <w:rsid w:val="00E57F6A"/>
    <w:rsid w:val="00E57F6C"/>
    <w:rsid w:val="00E60135"/>
    <w:rsid w:val="00E607BC"/>
    <w:rsid w:val="00E61F5B"/>
    <w:rsid w:val="00E622FC"/>
    <w:rsid w:val="00E625D9"/>
    <w:rsid w:val="00E63167"/>
    <w:rsid w:val="00E63453"/>
    <w:rsid w:val="00E635E2"/>
    <w:rsid w:val="00E63C57"/>
    <w:rsid w:val="00E63EA1"/>
    <w:rsid w:val="00E65BF0"/>
    <w:rsid w:val="00E6622D"/>
    <w:rsid w:val="00E66F3A"/>
    <w:rsid w:val="00E67159"/>
    <w:rsid w:val="00E673C1"/>
    <w:rsid w:val="00E674B7"/>
    <w:rsid w:val="00E6767E"/>
    <w:rsid w:val="00E67741"/>
    <w:rsid w:val="00E67994"/>
    <w:rsid w:val="00E67AE3"/>
    <w:rsid w:val="00E70245"/>
    <w:rsid w:val="00E706A1"/>
    <w:rsid w:val="00E7094D"/>
    <w:rsid w:val="00E70F28"/>
    <w:rsid w:val="00E71703"/>
    <w:rsid w:val="00E71913"/>
    <w:rsid w:val="00E720CC"/>
    <w:rsid w:val="00E720D7"/>
    <w:rsid w:val="00E722FD"/>
    <w:rsid w:val="00E724ED"/>
    <w:rsid w:val="00E72730"/>
    <w:rsid w:val="00E7349A"/>
    <w:rsid w:val="00E73869"/>
    <w:rsid w:val="00E73E0C"/>
    <w:rsid w:val="00E7402D"/>
    <w:rsid w:val="00E746C1"/>
    <w:rsid w:val="00E74816"/>
    <w:rsid w:val="00E74CD8"/>
    <w:rsid w:val="00E75317"/>
    <w:rsid w:val="00E7582A"/>
    <w:rsid w:val="00E75C3D"/>
    <w:rsid w:val="00E75EE8"/>
    <w:rsid w:val="00E76C50"/>
    <w:rsid w:val="00E76C5E"/>
    <w:rsid w:val="00E776BF"/>
    <w:rsid w:val="00E7787C"/>
    <w:rsid w:val="00E779B0"/>
    <w:rsid w:val="00E779D4"/>
    <w:rsid w:val="00E77F92"/>
    <w:rsid w:val="00E77FF4"/>
    <w:rsid w:val="00E8006A"/>
    <w:rsid w:val="00E80E8C"/>
    <w:rsid w:val="00E81203"/>
    <w:rsid w:val="00E81542"/>
    <w:rsid w:val="00E81569"/>
    <w:rsid w:val="00E81746"/>
    <w:rsid w:val="00E819D4"/>
    <w:rsid w:val="00E81FA3"/>
    <w:rsid w:val="00E821F5"/>
    <w:rsid w:val="00E825C9"/>
    <w:rsid w:val="00E82A7B"/>
    <w:rsid w:val="00E82D89"/>
    <w:rsid w:val="00E83A67"/>
    <w:rsid w:val="00E842F2"/>
    <w:rsid w:val="00E84E34"/>
    <w:rsid w:val="00E85A4D"/>
    <w:rsid w:val="00E85EF7"/>
    <w:rsid w:val="00E8639C"/>
    <w:rsid w:val="00E863A3"/>
    <w:rsid w:val="00E865BE"/>
    <w:rsid w:val="00E876B5"/>
    <w:rsid w:val="00E8773D"/>
    <w:rsid w:val="00E87E32"/>
    <w:rsid w:val="00E903B9"/>
    <w:rsid w:val="00E906CE"/>
    <w:rsid w:val="00E9073D"/>
    <w:rsid w:val="00E909C6"/>
    <w:rsid w:val="00E9152F"/>
    <w:rsid w:val="00E91DF1"/>
    <w:rsid w:val="00E91FF6"/>
    <w:rsid w:val="00E92C37"/>
    <w:rsid w:val="00E9318F"/>
    <w:rsid w:val="00E93501"/>
    <w:rsid w:val="00E93F50"/>
    <w:rsid w:val="00E94F9B"/>
    <w:rsid w:val="00E957DC"/>
    <w:rsid w:val="00E95CAE"/>
    <w:rsid w:val="00E96436"/>
    <w:rsid w:val="00E96863"/>
    <w:rsid w:val="00E977F4"/>
    <w:rsid w:val="00E97981"/>
    <w:rsid w:val="00E97A83"/>
    <w:rsid w:val="00E97C33"/>
    <w:rsid w:val="00E97E72"/>
    <w:rsid w:val="00E97EEB"/>
    <w:rsid w:val="00EA0CEA"/>
    <w:rsid w:val="00EA0F80"/>
    <w:rsid w:val="00EA1481"/>
    <w:rsid w:val="00EA15AE"/>
    <w:rsid w:val="00EA1712"/>
    <w:rsid w:val="00EA2020"/>
    <w:rsid w:val="00EA25F3"/>
    <w:rsid w:val="00EA38AE"/>
    <w:rsid w:val="00EA38CB"/>
    <w:rsid w:val="00EA4A19"/>
    <w:rsid w:val="00EA525E"/>
    <w:rsid w:val="00EA5A49"/>
    <w:rsid w:val="00EA5A8A"/>
    <w:rsid w:val="00EA603A"/>
    <w:rsid w:val="00EA69EC"/>
    <w:rsid w:val="00EA6A5E"/>
    <w:rsid w:val="00EA6A7C"/>
    <w:rsid w:val="00EA77E2"/>
    <w:rsid w:val="00EB0174"/>
    <w:rsid w:val="00EB02A4"/>
    <w:rsid w:val="00EB0411"/>
    <w:rsid w:val="00EB0DDF"/>
    <w:rsid w:val="00EB0E9C"/>
    <w:rsid w:val="00EB16EB"/>
    <w:rsid w:val="00EB1A10"/>
    <w:rsid w:val="00EB1A41"/>
    <w:rsid w:val="00EB1B48"/>
    <w:rsid w:val="00EB2255"/>
    <w:rsid w:val="00EB24AB"/>
    <w:rsid w:val="00EB2B29"/>
    <w:rsid w:val="00EB2C03"/>
    <w:rsid w:val="00EB30F5"/>
    <w:rsid w:val="00EB3EED"/>
    <w:rsid w:val="00EB5400"/>
    <w:rsid w:val="00EB548C"/>
    <w:rsid w:val="00EB58FF"/>
    <w:rsid w:val="00EB622C"/>
    <w:rsid w:val="00EB6334"/>
    <w:rsid w:val="00EB6478"/>
    <w:rsid w:val="00EB6562"/>
    <w:rsid w:val="00EB6AFA"/>
    <w:rsid w:val="00EB708D"/>
    <w:rsid w:val="00EB7486"/>
    <w:rsid w:val="00EB7757"/>
    <w:rsid w:val="00EB775E"/>
    <w:rsid w:val="00EB7994"/>
    <w:rsid w:val="00EB7A6D"/>
    <w:rsid w:val="00EC0A40"/>
    <w:rsid w:val="00EC0A9C"/>
    <w:rsid w:val="00EC0BD3"/>
    <w:rsid w:val="00EC0F8B"/>
    <w:rsid w:val="00EC1608"/>
    <w:rsid w:val="00EC1C39"/>
    <w:rsid w:val="00EC1EE1"/>
    <w:rsid w:val="00EC21A9"/>
    <w:rsid w:val="00EC2347"/>
    <w:rsid w:val="00EC23D7"/>
    <w:rsid w:val="00EC248D"/>
    <w:rsid w:val="00EC2B54"/>
    <w:rsid w:val="00EC2EE1"/>
    <w:rsid w:val="00EC2F39"/>
    <w:rsid w:val="00EC4387"/>
    <w:rsid w:val="00EC4439"/>
    <w:rsid w:val="00EC4B98"/>
    <w:rsid w:val="00EC4E04"/>
    <w:rsid w:val="00EC5374"/>
    <w:rsid w:val="00EC5535"/>
    <w:rsid w:val="00EC5690"/>
    <w:rsid w:val="00EC5CDC"/>
    <w:rsid w:val="00EC5F1F"/>
    <w:rsid w:val="00EC65C3"/>
    <w:rsid w:val="00EC6CBD"/>
    <w:rsid w:val="00EC6D7D"/>
    <w:rsid w:val="00EC6E20"/>
    <w:rsid w:val="00EC7090"/>
    <w:rsid w:val="00EC7FD5"/>
    <w:rsid w:val="00ED0152"/>
    <w:rsid w:val="00ED0FAC"/>
    <w:rsid w:val="00ED1244"/>
    <w:rsid w:val="00ED14BE"/>
    <w:rsid w:val="00ED1A5B"/>
    <w:rsid w:val="00ED1D18"/>
    <w:rsid w:val="00ED1E74"/>
    <w:rsid w:val="00ED262C"/>
    <w:rsid w:val="00ED2C6B"/>
    <w:rsid w:val="00ED30EB"/>
    <w:rsid w:val="00ED3222"/>
    <w:rsid w:val="00ED336D"/>
    <w:rsid w:val="00ED34CD"/>
    <w:rsid w:val="00ED41D5"/>
    <w:rsid w:val="00ED531D"/>
    <w:rsid w:val="00ED55F7"/>
    <w:rsid w:val="00ED5865"/>
    <w:rsid w:val="00ED60FF"/>
    <w:rsid w:val="00ED6B6D"/>
    <w:rsid w:val="00ED6DD7"/>
    <w:rsid w:val="00ED6E29"/>
    <w:rsid w:val="00ED7158"/>
    <w:rsid w:val="00ED7AB2"/>
    <w:rsid w:val="00EE0612"/>
    <w:rsid w:val="00EE0D74"/>
    <w:rsid w:val="00EE111E"/>
    <w:rsid w:val="00EE1278"/>
    <w:rsid w:val="00EE1907"/>
    <w:rsid w:val="00EE2007"/>
    <w:rsid w:val="00EE25F6"/>
    <w:rsid w:val="00EE2C24"/>
    <w:rsid w:val="00EE464C"/>
    <w:rsid w:val="00EE4AD9"/>
    <w:rsid w:val="00EE5197"/>
    <w:rsid w:val="00EE58BD"/>
    <w:rsid w:val="00EE5F37"/>
    <w:rsid w:val="00EE6929"/>
    <w:rsid w:val="00EE6BB7"/>
    <w:rsid w:val="00EE6C52"/>
    <w:rsid w:val="00EE72FF"/>
    <w:rsid w:val="00EE7DA0"/>
    <w:rsid w:val="00EF0181"/>
    <w:rsid w:val="00EF121F"/>
    <w:rsid w:val="00EF124E"/>
    <w:rsid w:val="00EF242C"/>
    <w:rsid w:val="00EF279E"/>
    <w:rsid w:val="00EF31CB"/>
    <w:rsid w:val="00EF38E4"/>
    <w:rsid w:val="00EF39BD"/>
    <w:rsid w:val="00EF3E57"/>
    <w:rsid w:val="00EF3F1D"/>
    <w:rsid w:val="00EF435D"/>
    <w:rsid w:val="00EF437A"/>
    <w:rsid w:val="00EF4438"/>
    <w:rsid w:val="00EF4A45"/>
    <w:rsid w:val="00EF4C8B"/>
    <w:rsid w:val="00EF4ED9"/>
    <w:rsid w:val="00EF5BE7"/>
    <w:rsid w:val="00EF5CF3"/>
    <w:rsid w:val="00EF60CB"/>
    <w:rsid w:val="00EF6F5A"/>
    <w:rsid w:val="00EF70C3"/>
    <w:rsid w:val="00EF7305"/>
    <w:rsid w:val="00EF735B"/>
    <w:rsid w:val="00EF74FB"/>
    <w:rsid w:val="00EF786A"/>
    <w:rsid w:val="00F00393"/>
    <w:rsid w:val="00F0067B"/>
    <w:rsid w:val="00F014A0"/>
    <w:rsid w:val="00F01AF6"/>
    <w:rsid w:val="00F01B7D"/>
    <w:rsid w:val="00F01F16"/>
    <w:rsid w:val="00F0200B"/>
    <w:rsid w:val="00F025D2"/>
    <w:rsid w:val="00F0289F"/>
    <w:rsid w:val="00F02A36"/>
    <w:rsid w:val="00F02E61"/>
    <w:rsid w:val="00F03A5E"/>
    <w:rsid w:val="00F04479"/>
    <w:rsid w:val="00F056D8"/>
    <w:rsid w:val="00F06AF6"/>
    <w:rsid w:val="00F07EC7"/>
    <w:rsid w:val="00F10E06"/>
    <w:rsid w:val="00F116CD"/>
    <w:rsid w:val="00F12043"/>
    <w:rsid w:val="00F12372"/>
    <w:rsid w:val="00F12589"/>
    <w:rsid w:val="00F12CAB"/>
    <w:rsid w:val="00F12F30"/>
    <w:rsid w:val="00F136DB"/>
    <w:rsid w:val="00F13B2E"/>
    <w:rsid w:val="00F145FA"/>
    <w:rsid w:val="00F14894"/>
    <w:rsid w:val="00F15F91"/>
    <w:rsid w:val="00F160D8"/>
    <w:rsid w:val="00F16F67"/>
    <w:rsid w:val="00F174C3"/>
    <w:rsid w:val="00F175AA"/>
    <w:rsid w:val="00F177E7"/>
    <w:rsid w:val="00F17890"/>
    <w:rsid w:val="00F178B0"/>
    <w:rsid w:val="00F17E5B"/>
    <w:rsid w:val="00F20156"/>
    <w:rsid w:val="00F20536"/>
    <w:rsid w:val="00F209F0"/>
    <w:rsid w:val="00F20D11"/>
    <w:rsid w:val="00F20DF9"/>
    <w:rsid w:val="00F211D5"/>
    <w:rsid w:val="00F212A8"/>
    <w:rsid w:val="00F2136C"/>
    <w:rsid w:val="00F21797"/>
    <w:rsid w:val="00F22527"/>
    <w:rsid w:val="00F22E96"/>
    <w:rsid w:val="00F230E9"/>
    <w:rsid w:val="00F23376"/>
    <w:rsid w:val="00F236C4"/>
    <w:rsid w:val="00F23A28"/>
    <w:rsid w:val="00F23D56"/>
    <w:rsid w:val="00F243BD"/>
    <w:rsid w:val="00F243ED"/>
    <w:rsid w:val="00F24577"/>
    <w:rsid w:val="00F2492F"/>
    <w:rsid w:val="00F24D6E"/>
    <w:rsid w:val="00F24D8B"/>
    <w:rsid w:val="00F24F15"/>
    <w:rsid w:val="00F25420"/>
    <w:rsid w:val="00F254F1"/>
    <w:rsid w:val="00F25567"/>
    <w:rsid w:val="00F25807"/>
    <w:rsid w:val="00F25DE2"/>
    <w:rsid w:val="00F262CB"/>
    <w:rsid w:val="00F2670A"/>
    <w:rsid w:val="00F2688A"/>
    <w:rsid w:val="00F26C7E"/>
    <w:rsid w:val="00F26FE4"/>
    <w:rsid w:val="00F272BD"/>
    <w:rsid w:val="00F27A06"/>
    <w:rsid w:val="00F300A8"/>
    <w:rsid w:val="00F30400"/>
    <w:rsid w:val="00F3055F"/>
    <w:rsid w:val="00F3064C"/>
    <w:rsid w:val="00F31057"/>
    <w:rsid w:val="00F31362"/>
    <w:rsid w:val="00F31899"/>
    <w:rsid w:val="00F321DB"/>
    <w:rsid w:val="00F32826"/>
    <w:rsid w:val="00F32C22"/>
    <w:rsid w:val="00F32EA1"/>
    <w:rsid w:val="00F335E0"/>
    <w:rsid w:val="00F338EF"/>
    <w:rsid w:val="00F33AF9"/>
    <w:rsid w:val="00F33DCC"/>
    <w:rsid w:val="00F3401F"/>
    <w:rsid w:val="00F34169"/>
    <w:rsid w:val="00F34ECB"/>
    <w:rsid w:val="00F35613"/>
    <w:rsid w:val="00F357F4"/>
    <w:rsid w:val="00F35921"/>
    <w:rsid w:val="00F35B3B"/>
    <w:rsid w:val="00F35EFF"/>
    <w:rsid w:val="00F36311"/>
    <w:rsid w:val="00F36D84"/>
    <w:rsid w:val="00F36EDC"/>
    <w:rsid w:val="00F37972"/>
    <w:rsid w:val="00F4037C"/>
    <w:rsid w:val="00F410B6"/>
    <w:rsid w:val="00F41BAE"/>
    <w:rsid w:val="00F41F6F"/>
    <w:rsid w:val="00F42519"/>
    <w:rsid w:val="00F42799"/>
    <w:rsid w:val="00F42B7A"/>
    <w:rsid w:val="00F43312"/>
    <w:rsid w:val="00F433EF"/>
    <w:rsid w:val="00F44BE2"/>
    <w:rsid w:val="00F45038"/>
    <w:rsid w:val="00F458D9"/>
    <w:rsid w:val="00F46BF6"/>
    <w:rsid w:val="00F470AC"/>
    <w:rsid w:val="00F47B65"/>
    <w:rsid w:val="00F47F1D"/>
    <w:rsid w:val="00F50DBF"/>
    <w:rsid w:val="00F52B3C"/>
    <w:rsid w:val="00F5410F"/>
    <w:rsid w:val="00F5422F"/>
    <w:rsid w:val="00F54239"/>
    <w:rsid w:val="00F5539D"/>
    <w:rsid w:val="00F553EB"/>
    <w:rsid w:val="00F55517"/>
    <w:rsid w:val="00F55B6B"/>
    <w:rsid w:val="00F56837"/>
    <w:rsid w:val="00F56A7F"/>
    <w:rsid w:val="00F56FDA"/>
    <w:rsid w:val="00F5720C"/>
    <w:rsid w:val="00F57D0F"/>
    <w:rsid w:val="00F57EEF"/>
    <w:rsid w:val="00F6081E"/>
    <w:rsid w:val="00F6154B"/>
    <w:rsid w:val="00F61A0D"/>
    <w:rsid w:val="00F61BF3"/>
    <w:rsid w:val="00F62C4F"/>
    <w:rsid w:val="00F62DC8"/>
    <w:rsid w:val="00F62F39"/>
    <w:rsid w:val="00F63625"/>
    <w:rsid w:val="00F655C5"/>
    <w:rsid w:val="00F66E83"/>
    <w:rsid w:val="00F67ABC"/>
    <w:rsid w:val="00F70742"/>
    <w:rsid w:val="00F70C71"/>
    <w:rsid w:val="00F70E13"/>
    <w:rsid w:val="00F713DC"/>
    <w:rsid w:val="00F714FD"/>
    <w:rsid w:val="00F71697"/>
    <w:rsid w:val="00F71E86"/>
    <w:rsid w:val="00F72027"/>
    <w:rsid w:val="00F72485"/>
    <w:rsid w:val="00F725CE"/>
    <w:rsid w:val="00F72B70"/>
    <w:rsid w:val="00F72FF5"/>
    <w:rsid w:val="00F73317"/>
    <w:rsid w:val="00F733FF"/>
    <w:rsid w:val="00F73A8C"/>
    <w:rsid w:val="00F73C6E"/>
    <w:rsid w:val="00F74C41"/>
    <w:rsid w:val="00F756F1"/>
    <w:rsid w:val="00F7689A"/>
    <w:rsid w:val="00F76AE4"/>
    <w:rsid w:val="00F7726E"/>
    <w:rsid w:val="00F77287"/>
    <w:rsid w:val="00F77B1A"/>
    <w:rsid w:val="00F77C69"/>
    <w:rsid w:val="00F77CEC"/>
    <w:rsid w:val="00F8154B"/>
    <w:rsid w:val="00F815C5"/>
    <w:rsid w:val="00F8190A"/>
    <w:rsid w:val="00F81A85"/>
    <w:rsid w:val="00F81CA9"/>
    <w:rsid w:val="00F82472"/>
    <w:rsid w:val="00F828C9"/>
    <w:rsid w:val="00F82A62"/>
    <w:rsid w:val="00F82BEF"/>
    <w:rsid w:val="00F8317E"/>
    <w:rsid w:val="00F831B5"/>
    <w:rsid w:val="00F83579"/>
    <w:rsid w:val="00F843C7"/>
    <w:rsid w:val="00F8467D"/>
    <w:rsid w:val="00F846DC"/>
    <w:rsid w:val="00F8498C"/>
    <w:rsid w:val="00F851F7"/>
    <w:rsid w:val="00F852BD"/>
    <w:rsid w:val="00F8641C"/>
    <w:rsid w:val="00F86642"/>
    <w:rsid w:val="00F86729"/>
    <w:rsid w:val="00F86827"/>
    <w:rsid w:val="00F875C3"/>
    <w:rsid w:val="00F90C93"/>
    <w:rsid w:val="00F915DA"/>
    <w:rsid w:val="00F91803"/>
    <w:rsid w:val="00F91E0B"/>
    <w:rsid w:val="00F92459"/>
    <w:rsid w:val="00F9305C"/>
    <w:rsid w:val="00F933CF"/>
    <w:rsid w:val="00F93948"/>
    <w:rsid w:val="00F93E11"/>
    <w:rsid w:val="00F945FB"/>
    <w:rsid w:val="00F9478F"/>
    <w:rsid w:val="00F94B4E"/>
    <w:rsid w:val="00F94C5F"/>
    <w:rsid w:val="00F952DD"/>
    <w:rsid w:val="00F95561"/>
    <w:rsid w:val="00F95834"/>
    <w:rsid w:val="00F96287"/>
    <w:rsid w:val="00F96543"/>
    <w:rsid w:val="00F9655A"/>
    <w:rsid w:val="00F969B9"/>
    <w:rsid w:val="00F97AEC"/>
    <w:rsid w:val="00F97DFA"/>
    <w:rsid w:val="00FA00EE"/>
    <w:rsid w:val="00FA03A6"/>
    <w:rsid w:val="00FA0985"/>
    <w:rsid w:val="00FA0D6B"/>
    <w:rsid w:val="00FA135D"/>
    <w:rsid w:val="00FA163A"/>
    <w:rsid w:val="00FA1DF5"/>
    <w:rsid w:val="00FA22A1"/>
    <w:rsid w:val="00FA33EF"/>
    <w:rsid w:val="00FA369C"/>
    <w:rsid w:val="00FA37FA"/>
    <w:rsid w:val="00FA38DA"/>
    <w:rsid w:val="00FA3AC0"/>
    <w:rsid w:val="00FA3BCD"/>
    <w:rsid w:val="00FA5145"/>
    <w:rsid w:val="00FA543B"/>
    <w:rsid w:val="00FA5E6F"/>
    <w:rsid w:val="00FA5F59"/>
    <w:rsid w:val="00FA6679"/>
    <w:rsid w:val="00FA6800"/>
    <w:rsid w:val="00FA6DD4"/>
    <w:rsid w:val="00FA7016"/>
    <w:rsid w:val="00FA7065"/>
    <w:rsid w:val="00FA7A3E"/>
    <w:rsid w:val="00FA7F73"/>
    <w:rsid w:val="00FB036D"/>
    <w:rsid w:val="00FB150B"/>
    <w:rsid w:val="00FB1F2C"/>
    <w:rsid w:val="00FB4746"/>
    <w:rsid w:val="00FB56A2"/>
    <w:rsid w:val="00FB574F"/>
    <w:rsid w:val="00FB632A"/>
    <w:rsid w:val="00FB67CE"/>
    <w:rsid w:val="00FB78FB"/>
    <w:rsid w:val="00FB7A2C"/>
    <w:rsid w:val="00FB7BA9"/>
    <w:rsid w:val="00FC047B"/>
    <w:rsid w:val="00FC1008"/>
    <w:rsid w:val="00FC1126"/>
    <w:rsid w:val="00FC1D28"/>
    <w:rsid w:val="00FC1E78"/>
    <w:rsid w:val="00FC2426"/>
    <w:rsid w:val="00FC2796"/>
    <w:rsid w:val="00FC36CE"/>
    <w:rsid w:val="00FC38E4"/>
    <w:rsid w:val="00FC3BC4"/>
    <w:rsid w:val="00FC4346"/>
    <w:rsid w:val="00FC4594"/>
    <w:rsid w:val="00FC4D59"/>
    <w:rsid w:val="00FC55A4"/>
    <w:rsid w:val="00FC66CA"/>
    <w:rsid w:val="00FC6D77"/>
    <w:rsid w:val="00FC7008"/>
    <w:rsid w:val="00FC7655"/>
    <w:rsid w:val="00FC7669"/>
    <w:rsid w:val="00FC778D"/>
    <w:rsid w:val="00FC77BB"/>
    <w:rsid w:val="00FC77D0"/>
    <w:rsid w:val="00FC7A06"/>
    <w:rsid w:val="00FC7B81"/>
    <w:rsid w:val="00FD0260"/>
    <w:rsid w:val="00FD02E5"/>
    <w:rsid w:val="00FD08D1"/>
    <w:rsid w:val="00FD13B7"/>
    <w:rsid w:val="00FD1A40"/>
    <w:rsid w:val="00FD1B52"/>
    <w:rsid w:val="00FD1B62"/>
    <w:rsid w:val="00FD1EF9"/>
    <w:rsid w:val="00FD1FCA"/>
    <w:rsid w:val="00FD3C09"/>
    <w:rsid w:val="00FD3F38"/>
    <w:rsid w:val="00FD4F28"/>
    <w:rsid w:val="00FD55B2"/>
    <w:rsid w:val="00FD577B"/>
    <w:rsid w:val="00FD578F"/>
    <w:rsid w:val="00FD6115"/>
    <w:rsid w:val="00FD6739"/>
    <w:rsid w:val="00FD6FCC"/>
    <w:rsid w:val="00FD7156"/>
    <w:rsid w:val="00FD7DF4"/>
    <w:rsid w:val="00FE0B9F"/>
    <w:rsid w:val="00FE0D62"/>
    <w:rsid w:val="00FE1444"/>
    <w:rsid w:val="00FE1486"/>
    <w:rsid w:val="00FE1580"/>
    <w:rsid w:val="00FE1646"/>
    <w:rsid w:val="00FE1FF7"/>
    <w:rsid w:val="00FE47A0"/>
    <w:rsid w:val="00FE487E"/>
    <w:rsid w:val="00FE4F65"/>
    <w:rsid w:val="00FE5119"/>
    <w:rsid w:val="00FE57E7"/>
    <w:rsid w:val="00FE5842"/>
    <w:rsid w:val="00FE5A95"/>
    <w:rsid w:val="00FE5ADE"/>
    <w:rsid w:val="00FE5D79"/>
    <w:rsid w:val="00FE6114"/>
    <w:rsid w:val="00FE69C6"/>
    <w:rsid w:val="00FE6C07"/>
    <w:rsid w:val="00FE6DCD"/>
    <w:rsid w:val="00FE7051"/>
    <w:rsid w:val="00FE707C"/>
    <w:rsid w:val="00FE72B5"/>
    <w:rsid w:val="00FE76DC"/>
    <w:rsid w:val="00FF0009"/>
    <w:rsid w:val="00FF0794"/>
    <w:rsid w:val="00FF163A"/>
    <w:rsid w:val="00FF1F8A"/>
    <w:rsid w:val="00FF2D91"/>
    <w:rsid w:val="00FF324A"/>
    <w:rsid w:val="00FF33F2"/>
    <w:rsid w:val="00FF3A75"/>
    <w:rsid w:val="00FF4750"/>
    <w:rsid w:val="00FF4889"/>
    <w:rsid w:val="00FF4E2B"/>
    <w:rsid w:val="00FF664F"/>
    <w:rsid w:val="00FF6D6A"/>
    <w:rsid w:val="00FF6D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0C1"/>
    <w:pPr>
      <w:autoSpaceDE w:val="0"/>
      <w:autoSpaceDN w:val="0"/>
    </w:pPr>
    <w:rPr>
      <w:rFonts w:ascii="CG Times" w:eastAsia="Times New Roman" w:hAnsi="CG Times" w:cs="CG Time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6">
    <w:name w:val="p6"/>
    <w:basedOn w:val="Normal"/>
    <w:rsid w:val="002D10C1"/>
    <w:pPr>
      <w:widowControl w:val="0"/>
      <w:tabs>
        <w:tab w:val="left" w:pos="1513"/>
        <w:tab w:val="left" w:pos="2239"/>
      </w:tabs>
      <w:adjustRightInd w:val="0"/>
      <w:ind w:firstLine="1513"/>
    </w:pPr>
    <w:rPr>
      <w:rFonts w:ascii="Times New Roman" w:hAnsi="Times New Roman" w:cs="Times New Roman"/>
    </w:rPr>
  </w:style>
  <w:style w:type="paragraph" w:styleId="ListParagraph">
    <w:name w:val="List Paragraph"/>
    <w:basedOn w:val="Normal"/>
    <w:uiPriority w:val="34"/>
    <w:qFormat/>
    <w:rsid w:val="002D10C1"/>
    <w:pPr>
      <w:ind w:left="720"/>
    </w:pPr>
  </w:style>
  <w:style w:type="paragraph" w:styleId="FootnoteText">
    <w:name w:val="footnote text"/>
    <w:basedOn w:val="Normal"/>
    <w:link w:val="FootnoteTextChar"/>
    <w:rsid w:val="002D10C1"/>
  </w:style>
  <w:style w:type="character" w:customStyle="1" w:styleId="FootnoteTextChar">
    <w:name w:val="Footnote Text Char"/>
    <w:basedOn w:val="DefaultParagraphFont"/>
    <w:link w:val="FootnoteText"/>
    <w:rsid w:val="002D10C1"/>
    <w:rPr>
      <w:rFonts w:ascii="CG Times" w:eastAsia="Times New Roman" w:hAnsi="CG Times" w:cs="CG Times"/>
      <w:szCs w:val="24"/>
    </w:rPr>
  </w:style>
  <w:style w:type="character" w:styleId="FootnoteReference">
    <w:name w:val="footnote reference"/>
    <w:basedOn w:val="DefaultParagraphFont"/>
    <w:uiPriority w:val="99"/>
    <w:semiHidden/>
    <w:rsid w:val="002D10C1"/>
    <w:rPr>
      <w:vertAlign w:val="superscript"/>
    </w:rPr>
  </w:style>
  <w:style w:type="paragraph" w:customStyle="1" w:styleId="TxBrp3">
    <w:name w:val="TxBr_p3"/>
    <w:basedOn w:val="Normal"/>
    <w:rsid w:val="002D10C1"/>
    <w:pPr>
      <w:widowControl w:val="0"/>
      <w:tabs>
        <w:tab w:val="left" w:pos="1474"/>
      </w:tabs>
      <w:adjustRightInd w:val="0"/>
      <w:spacing w:line="425" w:lineRule="atLeast"/>
      <w:ind w:firstLine="1474"/>
    </w:pPr>
    <w:rPr>
      <w:rFonts w:ascii="Times New Roman" w:hAnsi="Times New Roman" w:cs="Times New Roman"/>
    </w:rPr>
  </w:style>
  <w:style w:type="paragraph" w:customStyle="1" w:styleId="FirmDouble05">
    <w:name w:val="Firm Double 05"/>
    <w:basedOn w:val="Normal"/>
    <w:rsid w:val="002D10C1"/>
    <w:pPr>
      <w:autoSpaceDE/>
      <w:autoSpaceDN/>
      <w:spacing w:line="480" w:lineRule="auto"/>
      <w:ind w:firstLine="720"/>
    </w:pPr>
    <w:rPr>
      <w:rFonts w:ascii="Times New Roman" w:hAnsi="Times New Roman" w:cs="Times New Roman"/>
    </w:rPr>
  </w:style>
  <w:style w:type="paragraph" w:customStyle="1" w:styleId="Pleading2L1">
    <w:name w:val="Pleading2_L1"/>
    <w:basedOn w:val="Normal"/>
    <w:next w:val="Pleading2L7"/>
    <w:rsid w:val="002D10C1"/>
    <w:pPr>
      <w:numPr>
        <w:numId w:val="1"/>
      </w:numPr>
      <w:autoSpaceDE/>
      <w:autoSpaceDN/>
      <w:spacing w:after="240"/>
      <w:jc w:val="center"/>
      <w:outlineLvl w:val="0"/>
    </w:pPr>
    <w:rPr>
      <w:rFonts w:ascii="Times New Roman" w:hAnsi="Times New Roman" w:cs="Times New Roman"/>
      <w:b/>
      <w:caps/>
      <w:szCs w:val="20"/>
      <w:u w:val="single"/>
    </w:rPr>
  </w:style>
  <w:style w:type="paragraph" w:customStyle="1" w:styleId="Pleading2L2">
    <w:name w:val="Pleading2_L2"/>
    <w:basedOn w:val="Pleading2L1"/>
    <w:rsid w:val="002D10C1"/>
    <w:pPr>
      <w:numPr>
        <w:ilvl w:val="1"/>
      </w:numPr>
      <w:spacing w:after="0" w:line="480" w:lineRule="auto"/>
      <w:jc w:val="left"/>
      <w:outlineLvl w:val="1"/>
    </w:pPr>
    <w:rPr>
      <w:b w:val="0"/>
      <w:caps w:val="0"/>
      <w:u w:val="none"/>
    </w:rPr>
  </w:style>
  <w:style w:type="paragraph" w:customStyle="1" w:styleId="Pleading2L3">
    <w:name w:val="Pleading2_L3"/>
    <w:basedOn w:val="Pleading2L2"/>
    <w:rsid w:val="002D10C1"/>
    <w:pPr>
      <w:numPr>
        <w:ilvl w:val="2"/>
      </w:numPr>
      <w:outlineLvl w:val="2"/>
    </w:pPr>
  </w:style>
  <w:style w:type="paragraph" w:customStyle="1" w:styleId="Pleading2L4">
    <w:name w:val="Pleading2_L4"/>
    <w:basedOn w:val="Pleading2L3"/>
    <w:rsid w:val="002D10C1"/>
    <w:pPr>
      <w:numPr>
        <w:ilvl w:val="3"/>
      </w:numPr>
      <w:outlineLvl w:val="3"/>
    </w:pPr>
  </w:style>
  <w:style w:type="paragraph" w:customStyle="1" w:styleId="Pleading2L5">
    <w:name w:val="Pleading2_L5"/>
    <w:basedOn w:val="Pleading2L4"/>
    <w:rsid w:val="002D10C1"/>
    <w:pPr>
      <w:keepNext/>
      <w:keepLines/>
      <w:widowControl w:val="0"/>
      <w:numPr>
        <w:ilvl w:val="4"/>
      </w:numPr>
      <w:spacing w:after="240" w:line="240" w:lineRule="auto"/>
      <w:outlineLvl w:val="4"/>
    </w:pPr>
  </w:style>
  <w:style w:type="paragraph" w:customStyle="1" w:styleId="Pleading2L6">
    <w:name w:val="Pleading2_L6"/>
    <w:basedOn w:val="Pleading2L5"/>
    <w:rsid w:val="002D10C1"/>
    <w:pPr>
      <w:numPr>
        <w:ilvl w:val="5"/>
      </w:numPr>
      <w:outlineLvl w:val="5"/>
    </w:pPr>
  </w:style>
  <w:style w:type="paragraph" w:customStyle="1" w:styleId="Pleading2L7">
    <w:name w:val="Pleading2_L7"/>
    <w:basedOn w:val="Pleading2L6"/>
    <w:rsid w:val="002D10C1"/>
    <w:pPr>
      <w:numPr>
        <w:ilvl w:val="6"/>
      </w:numPr>
      <w:outlineLvl w:val="6"/>
    </w:pPr>
  </w:style>
  <w:style w:type="paragraph" w:customStyle="1" w:styleId="Pleading2L8">
    <w:name w:val="Pleading2_L8"/>
    <w:basedOn w:val="Pleading2L7"/>
    <w:rsid w:val="002D10C1"/>
    <w:pPr>
      <w:numPr>
        <w:ilvl w:val="7"/>
      </w:numPr>
      <w:outlineLvl w:val="7"/>
    </w:pPr>
  </w:style>
  <w:style w:type="paragraph" w:customStyle="1" w:styleId="Pleading2L9">
    <w:name w:val="Pleading2_L9"/>
    <w:basedOn w:val="Pleading2L8"/>
    <w:rsid w:val="002D10C1"/>
    <w:pPr>
      <w:numPr>
        <w:ilvl w:val="8"/>
      </w:numPr>
      <w:outlineLvl w:val="8"/>
    </w:pPr>
  </w:style>
  <w:style w:type="paragraph" w:customStyle="1" w:styleId="OutlineL1">
    <w:name w:val="Outline_L1"/>
    <w:basedOn w:val="Normal"/>
    <w:autoRedefine/>
    <w:rsid w:val="002D10C1"/>
    <w:pPr>
      <w:keepNext/>
      <w:keepLines/>
      <w:numPr>
        <w:numId w:val="4"/>
      </w:numPr>
      <w:autoSpaceDE/>
      <w:autoSpaceDN/>
      <w:spacing w:before="120" w:after="360"/>
      <w:jc w:val="center"/>
      <w:outlineLvl w:val="0"/>
    </w:pPr>
    <w:rPr>
      <w:rFonts w:ascii="Times New Roman" w:hAnsi="Times New Roman" w:cs="Times New Roman"/>
      <w:b/>
      <w:caps/>
      <w:szCs w:val="20"/>
    </w:rPr>
  </w:style>
  <w:style w:type="paragraph" w:customStyle="1" w:styleId="OutlineL2">
    <w:name w:val="Outline_L2"/>
    <w:basedOn w:val="OutlineL1"/>
    <w:rsid w:val="002D10C1"/>
    <w:pPr>
      <w:numPr>
        <w:ilvl w:val="1"/>
      </w:numPr>
      <w:tabs>
        <w:tab w:val="clear" w:pos="1440"/>
        <w:tab w:val="num" w:pos="720"/>
      </w:tabs>
      <w:ind w:left="0" w:firstLine="0"/>
    </w:pPr>
  </w:style>
  <w:style w:type="paragraph" w:customStyle="1" w:styleId="OutlineL3">
    <w:name w:val="Outline_L3"/>
    <w:basedOn w:val="OutlineL2"/>
    <w:rsid w:val="002D10C1"/>
    <w:pPr>
      <w:keepNext w:val="0"/>
      <w:keepLines w:val="0"/>
      <w:numPr>
        <w:ilvl w:val="2"/>
      </w:numPr>
      <w:spacing w:after="120" w:line="480" w:lineRule="auto"/>
      <w:jc w:val="left"/>
      <w:outlineLvl w:val="2"/>
    </w:pPr>
    <w:rPr>
      <w:b w:val="0"/>
      <w:caps w:val="0"/>
    </w:rPr>
  </w:style>
  <w:style w:type="paragraph" w:customStyle="1" w:styleId="OutlineL4">
    <w:name w:val="Outline_L4"/>
    <w:basedOn w:val="OutlineL3"/>
    <w:rsid w:val="002D10C1"/>
    <w:pPr>
      <w:numPr>
        <w:ilvl w:val="3"/>
      </w:numPr>
      <w:outlineLvl w:val="3"/>
    </w:pPr>
  </w:style>
  <w:style w:type="paragraph" w:customStyle="1" w:styleId="OutlineL5">
    <w:name w:val="Outline_L5"/>
    <w:basedOn w:val="OutlineL4"/>
    <w:rsid w:val="002D10C1"/>
    <w:pPr>
      <w:numPr>
        <w:ilvl w:val="4"/>
      </w:numPr>
      <w:tabs>
        <w:tab w:val="clear" w:pos="3600"/>
        <w:tab w:val="num" w:pos="2160"/>
      </w:tabs>
      <w:ind w:firstLine="1440"/>
    </w:pPr>
  </w:style>
  <w:style w:type="paragraph" w:customStyle="1" w:styleId="OutlineL6">
    <w:name w:val="Outline_L6"/>
    <w:basedOn w:val="OutlineL5"/>
    <w:rsid w:val="002D10C1"/>
    <w:pPr>
      <w:numPr>
        <w:ilvl w:val="5"/>
      </w:numPr>
      <w:tabs>
        <w:tab w:val="left" w:pos="2160"/>
      </w:tabs>
      <w:spacing w:after="240"/>
      <w:outlineLvl w:val="5"/>
    </w:pPr>
  </w:style>
  <w:style w:type="paragraph" w:customStyle="1" w:styleId="OutlineL7">
    <w:name w:val="Outline_L7"/>
    <w:basedOn w:val="OutlineL6"/>
    <w:rsid w:val="002D10C1"/>
    <w:pPr>
      <w:numPr>
        <w:ilvl w:val="6"/>
      </w:numPr>
      <w:outlineLvl w:val="6"/>
    </w:pPr>
  </w:style>
  <w:style w:type="paragraph" w:customStyle="1" w:styleId="OutlineL8">
    <w:name w:val="Outline_L8"/>
    <w:basedOn w:val="OutlineL7"/>
    <w:rsid w:val="002D10C1"/>
    <w:pPr>
      <w:numPr>
        <w:ilvl w:val="7"/>
      </w:numPr>
      <w:tabs>
        <w:tab w:val="clear" w:pos="5760"/>
        <w:tab w:val="num" w:pos="5040"/>
      </w:tabs>
      <w:ind w:firstLine="4320"/>
    </w:pPr>
  </w:style>
  <w:style w:type="paragraph" w:customStyle="1" w:styleId="OutlineL9">
    <w:name w:val="Outline_L9"/>
    <w:basedOn w:val="OutlineL8"/>
    <w:rsid w:val="002D10C1"/>
    <w:pPr>
      <w:numPr>
        <w:ilvl w:val="8"/>
      </w:numPr>
      <w:outlineLvl w:val="8"/>
    </w:pPr>
  </w:style>
  <w:style w:type="paragraph" w:styleId="Footer">
    <w:name w:val="footer"/>
    <w:basedOn w:val="Normal"/>
    <w:link w:val="FooterChar"/>
    <w:uiPriority w:val="99"/>
    <w:unhideWhenUsed/>
    <w:rsid w:val="002D10C1"/>
    <w:pPr>
      <w:tabs>
        <w:tab w:val="center" w:pos="4680"/>
        <w:tab w:val="right" w:pos="9360"/>
      </w:tabs>
    </w:pPr>
  </w:style>
  <w:style w:type="character" w:customStyle="1" w:styleId="FooterChar">
    <w:name w:val="Footer Char"/>
    <w:basedOn w:val="DefaultParagraphFont"/>
    <w:link w:val="Footer"/>
    <w:uiPriority w:val="99"/>
    <w:rsid w:val="002D10C1"/>
    <w:rPr>
      <w:rFonts w:ascii="CG Times" w:eastAsia="Times New Roman" w:hAnsi="CG Times" w:cs="CG Times"/>
      <w:szCs w:val="24"/>
    </w:rPr>
  </w:style>
  <w:style w:type="paragraph" w:styleId="Header">
    <w:name w:val="header"/>
    <w:basedOn w:val="Normal"/>
    <w:link w:val="HeaderChar"/>
    <w:uiPriority w:val="99"/>
    <w:semiHidden/>
    <w:unhideWhenUsed/>
    <w:rsid w:val="00F70C71"/>
    <w:pPr>
      <w:tabs>
        <w:tab w:val="center" w:pos="4680"/>
        <w:tab w:val="right" w:pos="9360"/>
      </w:tabs>
    </w:pPr>
  </w:style>
  <w:style w:type="character" w:customStyle="1" w:styleId="HeaderChar">
    <w:name w:val="Header Char"/>
    <w:basedOn w:val="DefaultParagraphFont"/>
    <w:link w:val="Header"/>
    <w:uiPriority w:val="99"/>
    <w:semiHidden/>
    <w:rsid w:val="00F70C71"/>
    <w:rPr>
      <w:rFonts w:ascii="CG Times" w:eastAsia="Times New Roman" w:hAnsi="CG Times" w:cs="CG Times"/>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32</Pages>
  <Words>9302</Words>
  <Characters>53027</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62205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shoffner</dc:creator>
  <cp:keywords/>
  <dc:description/>
  <cp:lastModifiedBy>shoffner</cp:lastModifiedBy>
  <cp:revision>6</cp:revision>
  <cp:lastPrinted>2010-11-02T15:29:00Z</cp:lastPrinted>
  <dcterms:created xsi:type="dcterms:W3CDTF">2010-11-02T14:53:00Z</dcterms:created>
  <dcterms:modified xsi:type="dcterms:W3CDTF">2010-11-02T15:33:00Z</dcterms:modified>
</cp:coreProperties>
</file>