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FF272F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F824C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272F">
        <w:rPr>
          <w:sz w:val="24"/>
        </w:rPr>
        <w:t>November 2, 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824C1" w:rsidRDefault="00FF272F" w:rsidP="00FF272F">
      <w:pPr>
        <w:ind w:left="7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R-2010-2161575</w:t>
      </w:r>
    </w:p>
    <w:p w:rsidR="00FF272F" w:rsidRPr="00BD67A1" w:rsidRDefault="00FF272F">
      <w:pPr>
        <w:jc w:val="right"/>
        <w:rPr>
          <w:sz w:val="22"/>
          <w:szCs w:val="22"/>
        </w:rPr>
      </w:pPr>
      <w:r>
        <w:rPr>
          <w:sz w:val="22"/>
          <w:szCs w:val="22"/>
        </w:rPr>
        <w:t>C-2010-2171342 et al</w:t>
      </w:r>
    </w:p>
    <w:p w:rsidR="00F824C1" w:rsidRPr="00BD67A1" w:rsidRDefault="00F824C1">
      <w:pPr>
        <w:rPr>
          <w:sz w:val="22"/>
          <w:szCs w:val="22"/>
        </w:rPr>
      </w:pPr>
    </w:p>
    <w:p w:rsidR="00F824C1" w:rsidRPr="00BD67A1" w:rsidRDefault="000F4083">
      <w:pPr>
        <w:rPr>
          <w:sz w:val="22"/>
          <w:szCs w:val="22"/>
        </w:rPr>
      </w:pPr>
      <w:r w:rsidRPr="00BD67A1">
        <w:rPr>
          <w:sz w:val="22"/>
          <w:szCs w:val="22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0F4083" w:rsidRDefault="00FF272F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 et al</w:t>
      </w:r>
    </w:p>
    <w:p w:rsidR="00FF272F" w:rsidRDefault="00FF272F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FF272F" w:rsidRPr="00BD67A1" w:rsidRDefault="00FF272F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 – Electric Division</w:t>
      </w:r>
    </w:p>
    <w:p w:rsidR="00247CE1" w:rsidRPr="00BD67A1" w:rsidRDefault="00247CE1">
      <w:pPr>
        <w:jc w:val="center"/>
        <w:rPr>
          <w:sz w:val="22"/>
          <w:szCs w:val="22"/>
        </w:rPr>
      </w:pP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F824C1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of Administrative Law </w:t>
      </w:r>
      <w:r w:rsidR="00500347">
        <w:rPr>
          <w:sz w:val="22"/>
          <w:szCs w:val="22"/>
        </w:rPr>
        <w:t>Judge</w:t>
      </w:r>
      <w:r w:rsidR="00FF272F">
        <w:rPr>
          <w:sz w:val="22"/>
          <w:szCs w:val="22"/>
        </w:rPr>
        <w:t>s Marlane R. Chestnut and Christopher P. Pell.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F824C1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An original and nine (9) copies of signed exceptions to the decision, if any, MUST BE FILED WITH THE SECRETARY OF THE COMMISSION 2</w:t>
      </w:r>
      <w:r w:rsidRPr="00BD67A1">
        <w:rPr>
          <w:sz w:val="22"/>
          <w:szCs w:val="22"/>
          <w:vertAlign w:val="superscript"/>
        </w:rPr>
        <w:t>ND</w:t>
      </w:r>
      <w:r w:rsidRPr="00BD67A1">
        <w:rPr>
          <w:sz w:val="22"/>
          <w:szCs w:val="22"/>
        </w:rPr>
        <w:t xml:space="preserve"> FLOOR, KEYSTONE BUILDING, 400 NORTH STREET, HARRISBURG, PA OR MAILED TO P.O. BOX 3265, HARRISBURG, PA  17105-3265; </w:t>
      </w:r>
      <w:r w:rsidR="00500347">
        <w:rPr>
          <w:sz w:val="22"/>
          <w:szCs w:val="22"/>
        </w:rPr>
        <w:t>A COPY 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FLOOR; </w:t>
      </w:r>
      <w:r w:rsidRPr="00BD67A1">
        <w:rPr>
          <w:sz w:val="22"/>
          <w:szCs w:val="22"/>
        </w:rPr>
        <w:t xml:space="preserve">and </w:t>
      </w:r>
      <w:r w:rsidR="00500347">
        <w:rPr>
          <w:sz w:val="22"/>
          <w:szCs w:val="22"/>
        </w:rPr>
        <w:t xml:space="preserve">A COPY IN THE HANDS OF EACH PART OF RECORD </w:t>
      </w:r>
      <w:r w:rsidRPr="00BD67A1">
        <w:rPr>
          <w:sz w:val="22"/>
          <w:szCs w:val="22"/>
        </w:rPr>
        <w:t xml:space="preserve">no later than </w:t>
      </w:r>
      <w:r w:rsidR="00FF272F">
        <w:rPr>
          <w:b/>
          <w:sz w:val="22"/>
          <w:szCs w:val="22"/>
        </w:rPr>
        <w:t>November 12, 2010</w:t>
      </w:r>
      <w:r w:rsidRPr="00BD67A1">
        <w:rPr>
          <w:sz w:val="22"/>
          <w:szCs w:val="22"/>
        </w:rPr>
        <w:t xml:space="preserve"> by 4:30 P.M.  52 Pa. Code §1.56(b) </w:t>
      </w:r>
      <w:r w:rsidRPr="00BD67A1">
        <w:rPr>
          <w:sz w:val="22"/>
          <w:szCs w:val="22"/>
          <w:u w:val="single"/>
        </w:rPr>
        <w:t>cannot</w:t>
      </w:r>
      <w:r w:rsidRPr="00BD67A1">
        <w:rPr>
          <w:sz w:val="22"/>
          <w:szCs w:val="22"/>
        </w:rPr>
        <w:t xml:space="preserve"> be used to extend the prescribed period for the filing of exceptions or reply exceptions.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F824C1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Replies to exceptions,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Pr="00BD67A1">
        <w:rPr>
          <w:sz w:val="22"/>
          <w:szCs w:val="22"/>
        </w:rPr>
        <w:t xml:space="preserve">in the manner described above, no later than </w:t>
      </w:r>
      <w:r w:rsidR="00FF272F">
        <w:rPr>
          <w:b/>
          <w:sz w:val="22"/>
          <w:szCs w:val="22"/>
        </w:rPr>
        <w:t>November 19, 2010</w:t>
      </w:r>
      <w:r w:rsidRPr="00BD67A1">
        <w:rPr>
          <w:sz w:val="22"/>
          <w:szCs w:val="22"/>
        </w:rPr>
        <w:t xml:space="preserve"> by 4:30 P.M. as well as served upon the parties.  A certificate of service shall be attached to the filed exceptions.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F824C1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Exceptions and reply exceptions shall obey 52 Pa. Code 5.533 and 5.535, particularly the 40</w:t>
      </w:r>
      <w:r w:rsidRPr="00BD67A1">
        <w:rPr>
          <w:sz w:val="22"/>
          <w:szCs w:val="22"/>
        </w:rPr>
        <w:noBreakHyphen/>
        <w:t>page limit for exceptions and the 25</w:t>
      </w:r>
      <w:r w:rsidRPr="00BD67A1">
        <w:rPr>
          <w:sz w:val="22"/>
          <w:szCs w:val="22"/>
        </w:rPr>
        <w:noBreakHyphen/>
        <w:t>page limit for replies to exceptions.  Exceptions should be clearly labeled as "EXCEPTIONS OF (name of party) - (protestant, complainant, staff, etc.)".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F824C1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BD67A1" w:rsidRDefault="00F824C1" w:rsidP="00BD67A1">
      <w:pPr>
        <w:rPr>
          <w:sz w:val="22"/>
          <w:szCs w:val="22"/>
        </w:rPr>
      </w:pPr>
    </w:p>
    <w:p w:rsidR="00F824C1" w:rsidRPr="00BD67A1" w:rsidRDefault="00B61B68" w:rsidP="00BD67A1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Special Assistants with a copy of exceptions/reply exceptions on CD-ROM or DVD, in Microsoft Word 2007 format.  If Word 2007 is not available, any Microsoft Office compatible format is acceptable including PDF.</w:t>
      </w:r>
    </w:p>
    <w:p w:rsidR="00F824C1" w:rsidRPr="00BD67A1" w:rsidRDefault="00FF272F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p w:rsidR="00FF272F" w:rsidRDefault="00FF272F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272F" w:rsidRPr="00BD67A1" w:rsidRDefault="00FF272F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See attached list for additional parties of record.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738CE"/>
    <w:rsid w:val="000F4083"/>
    <w:rsid w:val="00247CE1"/>
    <w:rsid w:val="00500347"/>
    <w:rsid w:val="009B480A"/>
    <w:rsid w:val="00B61B68"/>
    <w:rsid w:val="00BD67A1"/>
    <w:rsid w:val="00DA3284"/>
    <w:rsid w:val="00F824C1"/>
    <w:rsid w:val="00FF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2010-11-02T16:50:00Z</cp:lastPrinted>
  <dcterms:created xsi:type="dcterms:W3CDTF">2010-11-02T16:50:00Z</dcterms:created>
  <dcterms:modified xsi:type="dcterms:W3CDTF">2010-11-02T16:50:00Z</dcterms:modified>
</cp:coreProperties>
</file>