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83B" w:rsidRPr="0028764F" w:rsidRDefault="0041683B" w:rsidP="00651851">
      <w:pPr>
        <w:widowControl w:val="0"/>
        <w:jc w:val="center"/>
        <w:rPr>
          <w:rFonts w:ascii="Times New Roman" w:hAnsi="Times New Roman" w:cs="Times New Roman"/>
          <w:b/>
          <w:bCs/>
        </w:rPr>
      </w:pPr>
      <w:r w:rsidRPr="0028764F">
        <w:rPr>
          <w:rFonts w:ascii="Times New Roman" w:hAnsi="Times New Roman" w:cs="Times New Roman"/>
          <w:b/>
          <w:bCs/>
        </w:rPr>
        <w:t>BEFORE THE</w:t>
      </w:r>
    </w:p>
    <w:p w:rsidR="0041683B" w:rsidRPr="0028764F" w:rsidRDefault="0041683B" w:rsidP="00F017E5">
      <w:pPr>
        <w:widowControl w:val="0"/>
        <w:jc w:val="center"/>
        <w:rPr>
          <w:rFonts w:ascii="Times New Roman" w:hAnsi="Times New Roman" w:cs="Times New Roman"/>
          <w:b/>
          <w:bCs/>
        </w:rPr>
      </w:pPr>
      <w:r w:rsidRPr="0028764F">
        <w:rPr>
          <w:rFonts w:ascii="Times New Roman" w:hAnsi="Times New Roman" w:cs="Times New Roman"/>
          <w:b/>
          <w:bCs/>
        </w:rPr>
        <w:t>PENNSYLVANIA PUBLIC UTILITY COMMISSION</w:t>
      </w:r>
    </w:p>
    <w:p w:rsidR="0041683B" w:rsidRPr="0028764F" w:rsidRDefault="0041683B" w:rsidP="00F017E5">
      <w:pPr>
        <w:widowControl w:val="0"/>
        <w:jc w:val="center"/>
        <w:rPr>
          <w:rFonts w:ascii="Times New Roman" w:hAnsi="Times New Roman" w:cs="Times New Roman"/>
          <w:bCs/>
        </w:rPr>
      </w:pPr>
    </w:p>
    <w:p w:rsidR="0041683B" w:rsidRPr="0028764F" w:rsidRDefault="0041683B" w:rsidP="00F017E5">
      <w:pPr>
        <w:widowControl w:val="0"/>
        <w:jc w:val="center"/>
        <w:rPr>
          <w:rFonts w:ascii="Times New Roman" w:hAnsi="Times New Roman" w:cs="Times New Roman"/>
          <w:bCs/>
        </w:rPr>
      </w:pPr>
    </w:p>
    <w:p w:rsidR="0041683B" w:rsidRPr="0028764F" w:rsidRDefault="0041683B" w:rsidP="00F017E5">
      <w:pPr>
        <w:widowControl w:val="0"/>
        <w:jc w:val="center"/>
        <w:rPr>
          <w:rFonts w:ascii="Times New Roman" w:hAnsi="Times New Roman" w:cs="Times New Roman"/>
          <w:bCs/>
        </w:rPr>
      </w:pPr>
    </w:p>
    <w:p w:rsidR="0041683B" w:rsidRPr="0028764F" w:rsidRDefault="00251E8E" w:rsidP="00F017E5">
      <w:pPr>
        <w:widowControl w:val="0"/>
        <w:rPr>
          <w:rFonts w:ascii="Times New Roman" w:hAnsi="Times New Roman" w:cs="Times New Roman"/>
        </w:rPr>
      </w:pPr>
      <w:r w:rsidRPr="0028764F">
        <w:rPr>
          <w:rFonts w:ascii="Times New Roman" w:hAnsi="Times New Roman" w:cs="Times New Roman"/>
        </w:rPr>
        <w:t xml:space="preserve">Petition of </w:t>
      </w:r>
      <w:r w:rsidR="00150AAA" w:rsidRPr="0028764F">
        <w:rPr>
          <w:rFonts w:ascii="Times New Roman" w:hAnsi="Times New Roman" w:cs="Times New Roman"/>
        </w:rPr>
        <w:t>Duquesne Light Company</w:t>
      </w:r>
      <w:r w:rsidR="00150AAA" w:rsidRPr="0028764F">
        <w:rPr>
          <w:rFonts w:ascii="Times New Roman" w:hAnsi="Times New Roman" w:cs="Times New Roman"/>
        </w:rPr>
        <w:tab/>
      </w:r>
      <w:r w:rsidRPr="0028764F">
        <w:rPr>
          <w:rFonts w:ascii="Times New Roman" w:hAnsi="Times New Roman" w:cs="Times New Roman"/>
        </w:rPr>
        <w:tab/>
      </w:r>
      <w:r w:rsidRPr="0028764F">
        <w:rPr>
          <w:rFonts w:ascii="Times New Roman" w:hAnsi="Times New Roman" w:cs="Times New Roman"/>
        </w:rPr>
        <w:tab/>
        <w:t>:</w:t>
      </w:r>
    </w:p>
    <w:p w:rsidR="00251E8E" w:rsidRPr="0028764F" w:rsidRDefault="00150AAA" w:rsidP="00F017E5">
      <w:pPr>
        <w:widowControl w:val="0"/>
        <w:rPr>
          <w:rFonts w:ascii="Times New Roman" w:hAnsi="Times New Roman" w:cs="Times New Roman"/>
        </w:rPr>
      </w:pPr>
      <w:r w:rsidRPr="0028764F">
        <w:rPr>
          <w:rFonts w:ascii="Times New Roman" w:hAnsi="Times New Roman" w:cs="Times New Roman"/>
        </w:rPr>
        <w:t>To Contest the Finding of Non-Compliance</w:t>
      </w:r>
      <w:r w:rsidR="00A01FEE">
        <w:rPr>
          <w:rFonts w:ascii="Times New Roman" w:hAnsi="Times New Roman" w:cs="Times New Roman"/>
        </w:rPr>
        <w:tab/>
      </w:r>
      <w:r w:rsidR="00A01FEE">
        <w:rPr>
          <w:rFonts w:ascii="Times New Roman" w:hAnsi="Times New Roman" w:cs="Times New Roman"/>
        </w:rPr>
        <w:tab/>
        <w:t>:</w:t>
      </w:r>
    </w:p>
    <w:p w:rsidR="0041683B" w:rsidRPr="0028764F" w:rsidRDefault="00150AAA" w:rsidP="00F017E5">
      <w:pPr>
        <w:widowControl w:val="0"/>
        <w:rPr>
          <w:rFonts w:ascii="Times New Roman" w:hAnsi="Times New Roman" w:cs="Times New Roman"/>
        </w:rPr>
      </w:pPr>
      <w:r w:rsidRPr="0028764F">
        <w:rPr>
          <w:rFonts w:ascii="Times New Roman" w:hAnsi="Times New Roman" w:cs="Times New Roman"/>
        </w:rPr>
        <w:t>With the Alternative Energy Portfolio Standards</w:t>
      </w:r>
      <w:r w:rsidR="0041683B" w:rsidRPr="0028764F">
        <w:rPr>
          <w:rFonts w:ascii="Times New Roman" w:hAnsi="Times New Roman" w:cs="Times New Roman"/>
        </w:rPr>
        <w:tab/>
        <w:t>:</w:t>
      </w:r>
    </w:p>
    <w:p w:rsidR="0041683B" w:rsidRPr="0028764F" w:rsidRDefault="00150AAA" w:rsidP="00F017E5">
      <w:pPr>
        <w:widowControl w:val="0"/>
        <w:rPr>
          <w:rFonts w:ascii="Times New Roman" w:hAnsi="Times New Roman" w:cs="Times New Roman"/>
        </w:rPr>
      </w:pPr>
      <w:r w:rsidRPr="0028764F">
        <w:rPr>
          <w:rFonts w:ascii="Times New Roman" w:hAnsi="Times New Roman" w:cs="Times New Roman"/>
        </w:rPr>
        <w:t>Act and Modify the Alternative Compliance</w:t>
      </w:r>
      <w:r w:rsidR="0041683B" w:rsidRPr="0028764F">
        <w:rPr>
          <w:rFonts w:ascii="Times New Roman" w:hAnsi="Times New Roman" w:cs="Times New Roman"/>
        </w:rPr>
        <w:tab/>
      </w:r>
      <w:r w:rsidR="0041683B" w:rsidRPr="0028764F">
        <w:rPr>
          <w:rFonts w:ascii="Times New Roman" w:hAnsi="Times New Roman" w:cs="Times New Roman"/>
        </w:rPr>
        <w:tab/>
        <w:t>:</w:t>
      </w:r>
      <w:r w:rsidRPr="0028764F">
        <w:rPr>
          <w:rFonts w:ascii="Times New Roman" w:hAnsi="Times New Roman" w:cs="Times New Roman"/>
        </w:rPr>
        <w:tab/>
      </w:r>
      <w:r w:rsidRPr="0028764F">
        <w:rPr>
          <w:rFonts w:ascii="Times New Roman" w:hAnsi="Times New Roman" w:cs="Times New Roman"/>
        </w:rPr>
        <w:tab/>
        <w:t>P-2010-2153577</w:t>
      </w:r>
    </w:p>
    <w:p w:rsidR="0041683B" w:rsidRPr="0028764F" w:rsidRDefault="00150AAA" w:rsidP="00F017E5">
      <w:pPr>
        <w:widowControl w:val="0"/>
        <w:rPr>
          <w:rFonts w:ascii="Times New Roman" w:hAnsi="Times New Roman" w:cs="Times New Roman"/>
        </w:rPr>
      </w:pPr>
      <w:r w:rsidRPr="0028764F">
        <w:rPr>
          <w:rFonts w:ascii="Times New Roman" w:hAnsi="Times New Roman" w:cs="Times New Roman"/>
        </w:rPr>
        <w:t>Payment or, in the Alternative, Declare a Force</w:t>
      </w:r>
      <w:r w:rsidRPr="0028764F">
        <w:rPr>
          <w:rFonts w:ascii="Times New Roman" w:hAnsi="Times New Roman" w:cs="Times New Roman"/>
        </w:rPr>
        <w:tab/>
        <w:t>:</w:t>
      </w:r>
    </w:p>
    <w:p w:rsidR="00150AAA" w:rsidRPr="0028764F" w:rsidRDefault="00150AAA" w:rsidP="00F017E5">
      <w:pPr>
        <w:widowControl w:val="0"/>
        <w:rPr>
          <w:rFonts w:ascii="Times New Roman" w:hAnsi="Times New Roman" w:cs="Times New Roman"/>
        </w:rPr>
      </w:pPr>
      <w:r w:rsidRPr="0028764F">
        <w:rPr>
          <w:rFonts w:ascii="Times New Roman" w:hAnsi="Times New Roman" w:cs="Times New Roman"/>
        </w:rPr>
        <w:t xml:space="preserve">Majeure for Duquesne Light Company for the </w:t>
      </w:r>
      <w:r w:rsidRPr="0028764F">
        <w:rPr>
          <w:rFonts w:ascii="Times New Roman" w:hAnsi="Times New Roman" w:cs="Times New Roman"/>
        </w:rPr>
        <w:tab/>
        <w:t>:</w:t>
      </w:r>
    </w:p>
    <w:p w:rsidR="00150AAA" w:rsidRPr="0028764F" w:rsidRDefault="00150AAA" w:rsidP="00F017E5">
      <w:pPr>
        <w:widowControl w:val="0"/>
        <w:rPr>
          <w:rFonts w:ascii="Times New Roman" w:hAnsi="Times New Roman" w:cs="Times New Roman"/>
        </w:rPr>
      </w:pPr>
      <w:r w:rsidRPr="0028764F">
        <w:rPr>
          <w:rFonts w:ascii="Times New Roman" w:hAnsi="Times New Roman" w:cs="Times New Roman"/>
        </w:rPr>
        <w:t>2008/2009 Alternative Energy Compliance Period</w:t>
      </w:r>
      <w:r w:rsidRPr="0028764F">
        <w:rPr>
          <w:rFonts w:ascii="Times New Roman" w:hAnsi="Times New Roman" w:cs="Times New Roman"/>
        </w:rPr>
        <w:tab/>
        <w:t>:</w:t>
      </w:r>
    </w:p>
    <w:p w:rsidR="00150AAA" w:rsidRPr="0028764F" w:rsidRDefault="00150AAA" w:rsidP="00F017E5">
      <w:pPr>
        <w:widowControl w:val="0"/>
        <w:rPr>
          <w:rFonts w:ascii="Times New Roman" w:hAnsi="Times New Roman" w:cs="Times New Roman"/>
        </w:rPr>
      </w:pPr>
    </w:p>
    <w:p w:rsidR="0041683B" w:rsidRPr="0028764F" w:rsidRDefault="0041683B" w:rsidP="00F017E5">
      <w:pPr>
        <w:widowControl w:val="0"/>
        <w:rPr>
          <w:rFonts w:ascii="Times New Roman" w:hAnsi="Times New Roman" w:cs="Times New Roman"/>
        </w:rPr>
      </w:pPr>
    </w:p>
    <w:p w:rsidR="0041683B" w:rsidRPr="0028764F" w:rsidRDefault="0041683B" w:rsidP="00F017E5">
      <w:pPr>
        <w:widowControl w:val="0"/>
        <w:rPr>
          <w:rFonts w:ascii="Times New Roman" w:hAnsi="Times New Roman" w:cs="Times New Roman"/>
        </w:rPr>
      </w:pPr>
    </w:p>
    <w:p w:rsidR="00D43D6D" w:rsidRPr="0028764F" w:rsidRDefault="0028764F" w:rsidP="00F017E5">
      <w:pPr>
        <w:tabs>
          <w:tab w:val="center" w:pos="4680"/>
        </w:tabs>
        <w:suppressAutoHyphens/>
        <w:jc w:val="center"/>
        <w:rPr>
          <w:rFonts w:ascii="Times New Roman" w:hAnsi="Times New Roman" w:cs="Times New Roman"/>
          <w:b/>
          <w:bCs/>
          <w:spacing w:val="-3"/>
          <w:u w:val="single"/>
        </w:rPr>
      </w:pPr>
      <w:r w:rsidRPr="0028764F">
        <w:rPr>
          <w:rFonts w:ascii="Times New Roman" w:hAnsi="Times New Roman" w:cs="Times New Roman"/>
          <w:b/>
          <w:bCs/>
          <w:spacing w:val="-3"/>
          <w:u w:val="single"/>
        </w:rPr>
        <w:t>INITIAL</w:t>
      </w:r>
      <w:r w:rsidR="00D43D6D" w:rsidRPr="0028764F">
        <w:rPr>
          <w:rFonts w:ascii="Times New Roman" w:hAnsi="Times New Roman" w:cs="Times New Roman"/>
          <w:b/>
          <w:bCs/>
          <w:spacing w:val="-3"/>
          <w:u w:val="single"/>
        </w:rPr>
        <w:t xml:space="preserve"> DECISION</w:t>
      </w:r>
    </w:p>
    <w:p w:rsidR="008F33D4" w:rsidRPr="0028764F" w:rsidRDefault="008F33D4" w:rsidP="00F017E5">
      <w:pPr>
        <w:tabs>
          <w:tab w:val="center" w:pos="4680"/>
        </w:tabs>
        <w:suppressAutoHyphens/>
        <w:jc w:val="center"/>
        <w:rPr>
          <w:rFonts w:ascii="Times New Roman" w:hAnsi="Times New Roman" w:cs="Times New Roman"/>
          <w:bCs/>
          <w:spacing w:val="-3"/>
          <w:u w:val="single"/>
        </w:rPr>
      </w:pPr>
    </w:p>
    <w:p w:rsidR="008F33D4" w:rsidRPr="0028764F" w:rsidRDefault="008F33D4" w:rsidP="00F017E5">
      <w:pPr>
        <w:tabs>
          <w:tab w:val="center" w:pos="4680"/>
        </w:tabs>
        <w:suppressAutoHyphens/>
        <w:jc w:val="center"/>
        <w:rPr>
          <w:rFonts w:ascii="Times New Roman" w:hAnsi="Times New Roman" w:cs="Times New Roman"/>
          <w:bCs/>
          <w:spacing w:val="-3"/>
        </w:rPr>
      </w:pPr>
    </w:p>
    <w:p w:rsidR="00D43D6D" w:rsidRPr="0028764F" w:rsidRDefault="00D43D6D" w:rsidP="00F017E5">
      <w:pPr>
        <w:tabs>
          <w:tab w:val="center" w:pos="4680"/>
        </w:tabs>
        <w:suppressAutoHyphens/>
        <w:jc w:val="center"/>
        <w:rPr>
          <w:rFonts w:ascii="Times New Roman" w:hAnsi="Times New Roman" w:cs="Times New Roman"/>
          <w:spacing w:val="-3"/>
        </w:rPr>
      </w:pPr>
      <w:r w:rsidRPr="0028764F">
        <w:rPr>
          <w:rFonts w:ascii="Times New Roman" w:hAnsi="Times New Roman" w:cs="Times New Roman"/>
          <w:spacing w:val="-3"/>
        </w:rPr>
        <w:t>Before</w:t>
      </w:r>
    </w:p>
    <w:p w:rsidR="00D43D6D" w:rsidRPr="0028764F" w:rsidRDefault="00150AAA" w:rsidP="00F017E5">
      <w:pPr>
        <w:tabs>
          <w:tab w:val="center" w:pos="4680"/>
        </w:tabs>
        <w:suppressAutoHyphens/>
        <w:jc w:val="center"/>
        <w:rPr>
          <w:rFonts w:ascii="Times New Roman" w:hAnsi="Times New Roman" w:cs="Times New Roman"/>
          <w:spacing w:val="-3"/>
        </w:rPr>
      </w:pPr>
      <w:r w:rsidRPr="0028764F">
        <w:rPr>
          <w:rFonts w:ascii="Times New Roman" w:hAnsi="Times New Roman" w:cs="Times New Roman"/>
          <w:spacing w:val="-3"/>
        </w:rPr>
        <w:t>Katrina L. Dunderdale</w:t>
      </w:r>
    </w:p>
    <w:p w:rsidR="00D43D6D" w:rsidRPr="0028764F" w:rsidRDefault="00D43D6D" w:rsidP="00F017E5">
      <w:pPr>
        <w:tabs>
          <w:tab w:val="center" w:pos="4680"/>
        </w:tabs>
        <w:suppressAutoHyphens/>
        <w:jc w:val="center"/>
        <w:rPr>
          <w:rFonts w:ascii="Times New Roman" w:hAnsi="Times New Roman" w:cs="Times New Roman"/>
          <w:spacing w:val="-3"/>
        </w:rPr>
      </w:pPr>
      <w:r w:rsidRPr="0028764F">
        <w:rPr>
          <w:rFonts w:ascii="Times New Roman" w:hAnsi="Times New Roman" w:cs="Times New Roman"/>
          <w:spacing w:val="-3"/>
        </w:rPr>
        <w:t>Administrative Law Judge</w:t>
      </w:r>
    </w:p>
    <w:p w:rsidR="00D43D6D" w:rsidRPr="0028764F" w:rsidRDefault="00D43D6D" w:rsidP="00F017E5">
      <w:pPr>
        <w:tabs>
          <w:tab w:val="left" w:pos="-720"/>
        </w:tabs>
        <w:suppressAutoHyphens/>
        <w:ind w:firstLine="1440"/>
        <w:rPr>
          <w:rFonts w:ascii="Times New Roman" w:hAnsi="Times New Roman" w:cs="Times New Roman"/>
          <w:spacing w:val="-3"/>
        </w:rPr>
      </w:pPr>
    </w:p>
    <w:p w:rsidR="00D43D6D" w:rsidRPr="0028764F" w:rsidRDefault="00D43D6D" w:rsidP="00F017E5">
      <w:pPr>
        <w:tabs>
          <w:tab w:val="left" w:pos="-720"/>
        </w:tabs>
        <w:suppressAutoHyphens/>
        <w:ind w:firstLine="1440"/>
        <w:rPr>
          <w:rFonts w:ascii="Times New Roman" w:hAnsi="Times New Roman" w:cs="Times New Roman"/>
          <w:spacing w:val="-3"/>
        </w:rPr>
      </w:pPr>
    </w:p>
    <w:p w:rsidR="00D43D6D" w:rsidRPr="0028764F" w:rsidRDefault="00D43D6D" w:rsidP="00F017E5">
      <w:pPr>
        <w:tabs>
          <w:tab w:val="center" w:pos="4680"/>
        </w:tabs>
        <w:suppressAutoHyphens/>
        <w:jc w:val="center"/>
        <w:rPr>
          <w:rFonts w:ascii="Times New Roman" w:hAnsi="Times New Roman" w:cs="Times New Roman"/>
          <w:spacing w:val="-3"/>
          <w:u w:val="single"/>
        </w:rPr>
      </w:pPr>
      <w:r w:rsidRPr="0028764F">
        <w:rPr>
          <w:rFonts w:ascii="Times New Roman" w:hAnsi="Times New Roman" w:cs="Times New Roman"/>
          <w:spacing w:val="-3"/>
          <w:u w:val="single"/>
        </w:rPr>
        <w:t>HISTORY OF THE PROCEEDING</w:t>
      </w:r>
      <w:r w:rsidR="008F33D4" w:rsidRPr="0028764F">
        <w:rPr>
          <w:rFonts w:ascii="Times New Roman" w:hAnsi="Times New Roman" w:cs="Times New Roman"/>
          <w:spacing w:val="-3"/>
          <w:u w:val="single"/>
        </w:rPr>
        <w:t>S</w:t>
      </w:r>
    </w:p>
    <w:p w:rsidR="00D43D6D" w:rsidRDefault="00D43D6D" w:rsidP="00F017E5">
      <w:pPr>
        <w:tabs>
          <w:tab w:val="center" w:pos="4680"/>
        </w:tabs>
        <w:suppressAutoHyphens/>
        <w:ind w:firstLine="1440"/>
        <w:rPr>
          <w:rFonts w:ascii="Times New Roman" w:hAnsi="Times New Roman" w:cs="Times New Roman"/>
          <w:spacing w:val="-3"/>
        </w:rPr>
      </w:pPr>
    </w:p>
    <w:p w:rsidR="00F017E5" w:rsidRDefault="00F017E5" w:rsidP="00F017E5">
      <w:pPr>
        <w:tabs>
          <w:tab w:val="center" w:pos="4680"/>
        </w:tabs>
        <w:suppressAutoHyphens/>
        <w:ind w:firstLine="1440"/>
        <w:rPr>
          <w:rFonts w:ascii="Times New Roman" w:hAnsi="Times New Roman" w:cs="Times New Roman"/>
          <w:spacing w:val="-3"/>
        </w:rPr>
      </w:pPr>
    </w:p>
    <w:p w:rsidR="006355B9" w:rsidRPr="0028764F" w:rsidRDefault="00D43D6D" w:rsidP="00D43D6D">
      <w:pPr>
        <w:tabs>
          <w:tab w:val="left" w:pos="-720"/>
        </w:tabs>
        <w:suppressAutoHyphens/>
        <w:spacing w:line="360" w:lineRule="auto"/>
        <w:ind w:firstLine="1440"/>
        <w:rPr>
          <w:rFonts w:ascii="Times New Roman" w:hAnsi="Times New Roman" w:cs="Times New Roman"/>
          <w:spacing w:val="-3"/>
        </w:rPr>
      </w:pPr>
      <w:r w:rsidRPr="0028764F">
        <w:rPr>
          <w:rFonts w:ascii="Times New Roman" w:hAnsi="Times New Roman" w:cs="Times New Roman"/>
          <w:spacing w:val="-3"/>
        </w:rPr>
        <w:t xml:space="preserve">On </w:t>
      </w:r>
      <w:r w:rsidR="00150AAA" w:rsidRPr="0028764F">
        <w:rPr>
          <w:rFonts w:ascii="Times New Roman" w:hAnsi="Times New Roman" w:cs="Times New Roman"/>
          <w:spacing w:val="-3"/>
        </w:rPr>
        <w:t>January 19, 2010</w:t>
      </w:r>
      <w:r w:rsidR="00B217B8" w:rsidRPr="0028764F">
        <w:rPr>
          <w:rFonts w:ascii="Times New Roman" w:hAnsi="Times New Roman" w:cs="Times New Roman"/>
          <w:spacing w:val="-3"/>
        </w:rPr>
        <w:t xml:space="preserve">, </w:t>
      </w:r>
      <w:r w:rsidR="00150AAA" w:rsidRPr="0028764F">
        <w:rPr>
          <w:rFonts w:ascii="Times New Roman" w:hAnsi="Times New Roman" w:cs="Times New Roman"/>
          <w:spacing w:val="-3"/>
        </w:rPr>
        <w:t>Duquesne Light Company</w:t>
      </w:r>
      <w:r w:rsidR="00BA7BC9" w:rsidRPr="0028764F">
        <w:rPr>
          <w:rFonts w:ascii="Times New Roman" w:hAnsi="Times New Roman" w:cs="Times New Roman"/>
          <w:spacing w:val="-3"/>
        </w:rPr>
        <w:t xml:space="preserve"> (</w:t>
      </w:r>
      <w:r w:rsidR="008D1237">
        <w:rPr>
          <w:rFonts w:ascii="Times New Roman" w:hAnsi="Times New Roman" w:cs="Times New Roman"/>
          <w:spacing w:val="-3"/>
        </w:rPr>
        <w:t xml:space="preserve">“Duquesne Light,” </w:t>
      </w:r>
      <w:r w:rsidR="00C84362">
        <w:rPr>
          <w:rFonts w:ascii="Times New Roman" w:hAnsi="Times New Roman" w:cs="Times New Roman"/>
          <w:spacing w:val="-3"/>
        </w:rPr>
        <w:t>“</w:t>
      </w:r>
      <w:r w:rsidR="00150AAA" w:rsidRPr="0028764F">
        <w:rPr>
          <w:rFonts w:ascii="Times New Roman" w:hAnsi="Times New Roman" w:cs="Times New Roman"/>
          <w:spacing w:val="-3"/>
        </w:rPr>
        <w:t>DLC</w:t>
      </w:r>
      <w:r w:rsidR="00C84362">
        <w:rPr>
          <w:rFonts w:ascii="Times New Roman" w:hAnsi="Times New Roman" w:cs="Times New Roman"/>
          <w:spacing w:val="-3"/>
        </w:rPr>
        <w:t>”</w:t>
      </w:r>
      <w:r w:rsidR="008F33D4" w:rsidRPr="0028764F">
        <w:rPr>
          <w:rFonts w:ascii="Times New Roman" w:hAnsi="Times New Roman" w:cs="Times New Roman"/>
          <w:spacing w:val="-3"/>
        </w:rPr>
        <w:t xml:space="preserve"> or </w:t>
      </w:r>
      <w:r w:rsidR="00C84362">
        <w:rPr>
          <w:rFonts w:ascii="Times New Roman" w:hAnsi="Times New Roman" w:cs="Times New Roman"/>
          <w:spacing w:val="-3"/>
        </w:rPr>
        <w:t>“</w:t>
      </w:r>
      <w:r w:rsidR="008F33D4" w:rsidRPr="0028764F">
        <w:rPr>
          <w:rFonts w:ascii="Times New Roman" w:hAnsi="Times New Roman" w:cs="Times New Roman"/>
          <w:spacing w:val="-3"/>
        </w:rPr>
        <w:t>Company</w:t>
      </w:r>
      <w:r w:rsidR="00C84362">
        <w:rPr>
          <w:rFonts w:ascii="Times New Roman" w:hAnsi="Times New Roman" w:cs="Times New Roman"/>
          <w:spacing w:val="-3"/>
        </w:rPr>
        <w:t>”</w:t>
      </w:r>
      <w:r w:rsidRPr="0028764F">
        <w:rPr>
          <w:rFonts w:ascii="Times New Roman" w:hAnsi="Times New Roman" w:cs="Times New Roman"/>
          <w:spacing w:val="-3"/>
        </w:rPr>
        <w:t>) filed with the Pennsylvania Public Utility Commission (</w:t>
      </w:r>
      <w:r w:rsidR="00C84362">
        <w:rPr>
          <w:rFonts w:ascii="Times New Roman" w:hAnsi="Times New Roman" w:cs="Times New Roman"/>
          <w:spacing w:val="-3"/>
        </w:rPr>
        <w:t>“</w:t>
      </w:r>
      <w:r w:rsidRPr="0028764F">
        <w:rPr>
          <w:rFonts w:ascii="Times New Roman" w:hAnsi="Times New Roman" w:cs="Times New Roman"/>
          <w:spacing w:val="-3"/>
        </w:rPr>
        <w:t>Commission</w:t>
      </w:r>
      <w:r w:rsidR="00C84362">
        <w:rPr>
          <w:rFonts w:ascii="Times New Roman" w:hAnsi="Times New Roman" w:cs="Times New Roman"/>
          <w:spacing w:val="-3"/>
        </w:rPr>
        <w:t>”</w:t>
      </w:r>
      <w:r w:rsidRPr="0028764F">
        <w:rPr>
          <w:rFonts w:ascii="Times New Roman" w:hAnsi="Times New Roman" w:cs="Times New Roman"/>
          <w:spacing w:val="-3"/>
        </w:rPr>
        <w:t xml:space="preserve">) </w:t>
      </w:r>
      <w:r w:rsidR="00B54293" w:rsidRPr="0028764F">
        <w:rPr>
          <w:rFonts w:ascii="Times New Roman" w:hAnsi="Times New Roman" w:cs="Times New Roman"/>
          <w:spacing w:val="-3"/>
        </w:rPr>
        <w:t>a Petition (</w:t>
      </w:r>
      <w:r w:rsidR="00C84362">
        <w:rPr>
          <w:rFonts w:ascii="Times New Roman" w:hAnsi="Times New Roman" w:cs="Times New Roman"/>
          <w:spacing w:val="-3"/>
        </w:rPr>
        <w:t>“</w:t>
      </w:r>
      <w:r w:rsidR="00B54293" w:rsidRPr="0028764F">
        <w:rPr>
          <w:rFonts w:ascii="Times New Roman" w:hAnsi="Times New Roman" w:cs="Times New Roman"/>
          <w:spacing w:val="-3"/>
        </w:rPr>
        <w:t>Petition</w:t>
      </w:r>
      <w:r w:rsidR="00C84362">
        <w:rPr>
          <w:rFonts w:ascii="Times New Roman" w:hAnsi="Times New Roman" w:cs="Times New Roman"/>
          <w:spacing w:val="-3"/>
        </w:rPr>
        <w:t>”</w:t>
      </w:r>
      <w:r w:rsidR="00B54293" w:rsidRPr="0028764F">
        <w:rPr>
          <w:rFonts w:ascii="Times New Roman" w:hAnsi="Times New Roman" w:cs="Times New Roman"/>
          <w:spacing w:val="-3"/>
        </w:rPr>
        <w:t xml:space="preserve">) </w:t>
      </w:r>
      <w:r w:rsidR="007C7CDE" w:rsidRPr="0028764F">
        <w:rPr>
          <w:rFonts w:ascii="Times New Roman" w:hAnsi="Times New Roman" w:cs="Times New Roman"/>
          <w:spacing w:val="-3"/>
        </w:rPr>
        <w:t>contesting the Commission’s finding of non-compliance with the Alternative Energy Portfolio Standards Act (</w:t>
      </w:r>
      <w:r w:rsidR="00C84362">
        <w:rPr>
          <w:rFonts w:ascii="Times New Roman" w:hAnsi="Times New Roman" w:cs="Times New Roman"/>
          <w:spacing w:val="-3"/>
        </w:rPr>
        <w:t>“</w:t>
      </w:r>
      <w:r w:rsidR="007C7CDE" w:rsidRPr="0028764F">
        <w:rPr>
          <w:rFonts w:ascii="Times New Roman" w:hAnsi="Times New Roman" w:cs="Times New Roman"/>
          <w:spacing w:val="-3"/>
        </w:rPr>
        <w:t>AEPS Act</w:t>
      </w:r>
      <w:r w:rsidR="00C84362">
        <w:rPr>
          <w:rFonts w:ascii="Times New Roman" w:hAnsi="Times New Roman" w:cs="Times New Roman"/>
          <w:spacing w:val="-3"/>
        </w:rPr>
        <w:t>”</w:t>
      </w:r>
      <w:r w:rsidR="007C7CDE" w:rsidRPr="0028764F">
        <w:rPr>
          <w:rFonts w:ascii="Times New Roman" w:hAnsi="Times New Roman" w:cs="Times New Roman"/>
          <w:spacing w:val="-3"/>
        </w:rPr>
        <w:t xml:space="preserve">) and to modify the alternative compliance payment determination or, in the alternative, declare a force majeure for DLC for the 2008/2009 AEPS compliance period.  </w:t>
      </w:r>
    </w:p>
    <w:p w:rsidR="006355B9" w:rsidRPr="0028764F" w:rsidRDefault="006355B9" w:rsidP="00D43D6D">
      <w:pPr>
        <w:tabs>
          <w:tab w:val="left" w:pos="-720"/>
        </w:tabs>
        <w:suppressAutoHyphens/>
        <w:spacing w:line="360" w:lineRule="auto"/>
        <w:ind w:firstLine="1440"/>
        <w:rPr>
          <w:rFonts w:ascii="Times New Roman" w:hAnsi="Times New Roman" w:cs="Times New Roman"/>
          <w:spacing w:val="-3"/>
        </w:rPr>
      </w:pPr>
    </w:p>
    <w:p w:rsidR="00DB7B1F" w:rsidRPr="0028764F" w:rsidRDefault="00DB7B1F" w:rsidP="00D43D6D">
      <w:pPr>
        <w:tabs>
          <w:tab w:val="left" w:pos="-720"/>
        </w:tabs>
        <w:suppressAutoHyphens/>
        <w:spacing w:line="360" w:lineRule="auto"/>
        <w:ind w:firstLine="1440"/>
        <w:rPr>
          <w:rFonts w:ascii="Times New Roman" w:hAnsi="Times New Roman" w:cs="Times New Roman"/>
          <w:spacing w:val="-3"/>
        </w:rPr>
      </w:pPr>
      <w:r w:rsidRPr="0028764F">
        <w:rPr>
          <w:rFonts w:ascii="Times New Roman" w:hAnsi="Times New Roman" w:cs="Times New Roman"/>
          <w:spacing w:val="-3"/>
        </w:rPr>
        <w:t xml:space="preserve">On </w:t>
      </w:r>
      <w:r w:rsidR="007C7CDE" w:rsidRPr="0028764F">
        <w:rPr>
          <w:rFonts w:ascii="Times New Roman" w:hAnsi="Times New Roman" w:cs="Times New Roman"/>
          <w:spacing w:val="-3"/>
        </w:rPr>
        <w:t>February 8, 2010</w:t>
      </w:r>
      <w:r w:rsidRPr="0028764F">
        <w:rPr>
          <w:rFonts w:ascii="Times New Roman" w:hAnsi="Times New Roman" w:cs="Times New Roman"/>
          <w:spacing w:val="-3"/>
        </w:rPr>
        <w:t xml:space="preserve">, the Commission’s </w:t>
      </w:r>
      <w:r w:rsidR="007C7CDE" w:rsidRPr="0028764F">
        <w:rPr>
          <w:rFonts w:ascii="Times New Roman" w:hAnsi="Times New Roman" w:cs="Times New Roman"/>
          <w:spacing w:val="-3"/>
        </w:rPr>
        <w:t>Bureau of Conservation, Economics and Energy Planning (</w:t>
      </w:r>
      <w:r w:rsidR="00C84362">
        <w:rPr>
          <w:rFonts w:ascii="Times New Roman" w:hAnsi="Times New Roman" w:cs="Times New Roman"/>
          <w:spacing w:val="-3"/>
        </w:rPr>
        <w:t>“</w:t>
      </w:r>
      <w:r w:rsidR="007C7CDE" w:rsidRPr="0028764F">
        <w:rPr>
          <w:rFonts w:ascii="Times New Roman" w:hAnsi="Times New Roman" w:cs="Times New Roman"/>
          <w:spacing w:val="-3"/>
        </w:rPr>
        <w:t>CEEP</w:t>
      </w:r>
      <w:r w:rsidR="00C84362">
        <w:rPr>
          <w:rFonts w:ascii="Times New Roman" w:hAnsi="Times New Roman" w:cs="Times New Roman"/>
          <w:spacing w:val="-3"/>
        </w:rPr>
        <w:t>”</w:t>
      </w:r>
      <w:r w:rsidR="007C7CDE" w:rsidRPr="0028764F">
        <w:rPr>
          <w:rFonts w:ascii="Times New Roman" w:hAnsi="Times New Roman" w:cs="Times New Roman"/>
          <w:spacing w:val="-3"/>
        </w:rPr>
        <w:t xml:space="preserve">) and Law Bureau Prosecutory </w:t>
      </w:r>
      <w:r w:rsidR="00A170FA" w:rsidRPr="0028764F">
        <w:rPr>
          <w:rFonts w:ascii="Times New Roman" w:hAnsi="Times New Roman" w:cs="Times New Roman"/>
          <w:spacing w:val="-3"/>
        </w:rPr>
        <w:t xml:space="preserve">Staff filed an Answer to the Petition of DLC requesting the Commission deny the Petition or in the alternative transfer </w:t>
      </w:r>
      <w:r w:rsidR="003A5528">
        <w:rPr>
          <w:rFonts w:ascii="Times New Roman" w:hAnsi="Times New Roman" w:cs="Times New Roman"/>
          <w:spacing w:val="-3"/>
        </w:rPr>
        <w:t xml:space="preserve">it </w:t>
      </w:r>
      <w:r w:rsidR="00A170FA" w:rsidRPr="0028764F">
        <w:rPr>
          <w:rFonts w:ascii="Times New Roman" w:hAnsi="Times New Roman" w:cs="Times New Roman"/>
          <w:spacing w:val="-3"/>
        </w:rPr>
        <w:t xml:space="preserve">to the Office of Administrative Law Judge for evidentiary hearings.  </w:t>
      </w:r>
    </w:p>
    <w:p w:rsidR="00DB7B1F" w:rsidRPr="0028764F" w:rsidRDefault="00DB7B1F" w:rsidP="00D43D6D">
      <w:pPr>
        <w:tabs>
          <w:tab w:val="left" w:pos="-720"/>
        </w:tabs>
        <w:suppressAutoHyphens/>
        <w:spacing w:line="360" w:lineRule="auto"/>
        <w:ind w:firstLine="1440"/>
        <w:rPr>
          <w:rFonts w:ascii="Times New Roman" w:hAnsi="Times New Roman" w:cs="Times New Roman"/>
          <w:spacing w:val="-3"/>
        </w:rPr>
      </w:pPr>
    </w:p>
    <w:p w:rsidR="006355B9" w:rsidRPr="0028764F" w:rsidRDefault="006355B9" w:rsidP="00D43D6D">
      <w:pPr>
        <w:tabs>
          <w:tab w:val="left" w:pos="-720"/>
        </w:tabs>
        <w:suppressAutoHyphens/>
        <w:spacing w:line="360" w:lineRule="auto"/>
        <w:ind w:firstLine="1440"/>
        <w:rPr>
          <w:rFonts w:ascii="Times New Roman" w:hAnsi="Times New Roman" w:cs="Times New Roman"/>
          <w:spacing w:val="-3"/>
        </w:rPr>
      </w:pPr>
      <w:r w:rsidRPr="0028764F">
        <w:rPr>
          <w:rFonts w:ascii="Times New Roman" w:hAnsi="Times New Roman" w:cs="Times New Roman"/>
          <w:spacing w:val="-3"/>
        </w:rPr>
        <w:lastRenderedPageBreak/>
        <w:t xml:space="preserve">On </w:t>
      </w:r>
      <w:r w:rsidR="00A170FA" w:rsidRPr="0028764F">
        <w:rPr>
          <w:rFonts w:ascii="Times New Roman" w:hAnsi="Times New Roman" w:cs="Times New Roman"/>
          <w:spacing w:val="-3"/>
        </w:rPr>
        <w:t>February 8, 2010,</w:t>
      </w:r>
      <w:r w:rsidR="00B052DD" w:rsidRPr="0028764F">
        <w:rPr>
          <w:rFonts w:ascii="Times New Roman" w:hAnsi="Times New Roman" w:cs="Times New Roman"/>
          <w:spacing w:val="-3"/>
        </w:rPr>
        <w:t xml:space="preserve"> the Office of </w:t>
      </w:r>
      <w:r w:rsidR="00A170FA" w:rsidRPr="0028764F">
        <w:rPr>
          <w:rFonts w:ascii="Times New Roman" w:hAnsi="Times New Roman" w:cs="Times New Roman"/>
          <w:spacing w:val="-3"/>
        </w:rPr>
        <w:t>Small Business A</w:t>
      </w:r>
      <w:r w:rsidR="003A74A5" w:rsidRPr="0028764F">
        <w:rPr>
          <w:rFonts w:ascii="Times New Roman" w:hAnsi="Times New Roman" w:cs="Times New Roman"/>
          <w:spacing w:val="-3"/>
        </w:rPr>
        <w:t xml:space="preserve">dvocate </w:t>
      </w:r>
      <w:r w:rsidR="00A170FA" w:rsidRPr="0028764F">
        <w:rPr>
          <w:rFonts w:ascii="Times New Roman" w:hAnsi="Times New Roman" w:cs="Times New Roman"/>
          <w:spacing w:val="-3"/>
        </w:rPr>
        <w:t>(</w:t>
      </w:r>
      <w:r w:rsidR="00C84362">
        <w:rPr>
          <w:rFonts w:ascii="Times New Roman" w:hAnsi="Times New Roman" w:cs="Times New Roman"/>
          <w:spacing w:val="-3"/>
        </w:rPr>
        <w:t>“</w:t>
      </w:r>
      <w:r w:rsidR="00A170FA" w:rsidRPr="0028764F">
        <w:rPr>
          <w:rFonts w:ascii="Times New Roman" w:hAnsi="Times New Roman" w:cs="Times New Roman"/>
          <w:spacing w:val="-3"/>
        </w:rPr>
        <w:t>OSBA</w:t>
      </w:r>
      <w:r w:rsidR="00C84362">
        <w:rPr>
          <w:rFonts w:ascii="Times New Roman" w:hAnsi="Times New Roman" w:cs="Times New Roman"/>
          <w:spacing w:val="-3"/>
        </w:rPr>
        <w:t>”</w:t>
      </w:r>
      <w:r w:rsidR="00A170FA" w:rsidRPr="0028764F">
        <w:rPr>
          <w:rFonts w:ascii="Times New Roman" w:hAnsi="Times New Roman" w:cs="Times New Roman"/>
          <w:spacing w:val="-3"/>
        </w:rPr>
        <w:t xml:space="preserve">) </w:t>
      </w:r>
      <w:r w:rsidR="00B052DD" w:rsidRPr="0028764F">
        <w:rPr>
          <w:rFonts w:ascii="Times New Roman" w:hAnsi="Times New Roman" w:cs="Times New Roman"/>
          <w:spacing w:val="-3"/>
        </w:rPr>
        <w:t xml:space="preserve">filed a Notice of Intervention, </w:t>
      </w:r>
      <w:r w:rsidR="00A170FA" w:rsidRPr="0028764F">
        <w:rPr>
          <w:rFonts w:ascii="Times New Roman" w:hAnsi="Times New Roman" w:cs="Times New Roman"/>
          <w:spacing w:val="-3"/>
        </w:rPr>
        <w:t xml:space="preserve">Answer, </w:t>
      </w:r>
      <w:r w:rsidR="00B052DD" w:rsidRPr="0028764F">
        <w:rPr>
          <w:rFonts w:ascii="Times New Roman" w:hAnsi="Times New Roman" w:cs="Times New Roman"/>
          <w:spacing w:val="-3"/>
        </w:rPr>
        <w:t xml:space="preserve">Public Statement and </w:t>
      </w:r>
      <w:r w:rsidR="00A170FA" w:rsidRPr="0028764F">
        <w:rPr>
          <w:rFonts w:ascii="Times New Roman" w:hAnsi="Times New Roman" w:cs="Times New Roman"/>
          <w:spacing w:val="-3"/>
        </w:rPr>
        <w:t>Notice of Appearance</w:t>
      </w:r>
      <w:r w:rsidR="00B052DD" w:rsidRPr="0028764F">
        <w:rPr>
          <w:rFonts w:ascii="Times New Roman" w:hAnsi="Times New Roman" w:cs="Times New Roman"/>
          <w:spacing w:val="-3"/>
        </w:rPr>
        <w:t xml:space="preserve"> to the Petition</w:t>
      </w:r>
      <w:r w:rsidR="003A74A5" w:rsidRPr="0028764F">
        <w:rPr>
          <w:rFonts w:ascii="Times New Roman" w:hAnsi="Times New Roman" w:cs="Times New Roman"/>
          <w:spacing w:val="-3"/>
        </w:rPr>
        <w:t xml:space="preserve"> (OSB</w:t>
      </w:r>
      <w:r w:rsidR="00DB7B1F" w:rsidRPr="0028764F">
        <w:rPr>
          <w:rFonts w:ascii="Times New Roman" w:hAnsi="Times New Roman" w:cs="Times New Roman"/>
          <w:spacing w:val="-3"/>
        </w:rPr>
        <w:t>A Answer).</w:t>
      </w:r>
    </w:p>
    <w:p w:rsidR="005601DE" w:rsidRPr="0028764F" w:rsidRDefault="005601DE" w:rsidP="00D43D6D">
      <w:pPr>
        <w:tabs>
          <w:tab w:val="left" w:pos="-720"/>
        </w:tabs>
        <w:suppressAutoHyphens/>
        <w:spacing w:line="360" w:lineRule="auto"/>
        <w:ind w:firstLine="1440"/>
        <w:rPr>
          <w:rFonts w:ascii="Times New Roman" w:hAnsi="Times New Roman" w:cs="Times New Roman"/>
          <w:spacing w:val="-3"/>
        </w:rPr>
      </w:pPr>
    </w:p>
    <w:p w:rsidR="005601DE" w:rsidRPr="0028764F" w:rsidRDefault="005601DE" w:rsidP="00D43D6D">
      <w:pPr>
        <w:tabs>
          <w:tab w:val="left" w:pos="-720"/>
        </w:tabs>
        <w:suppressAutoHyphens/>
        <w:spacing w:line="360" w:lineRule="auto"/>
        <w:ind w:firstLine="1440"/>
        <w:rPr>
          <w:rFonts w:ascii="Times New Roman" w:hAnsi="Times New Roman" w:cs="Times New Roman"/>
          <w:spacing w:val="-3"/>
        </w:rPr>
      </w:pPr>
      <w:r w:rsidRPr="0028764F">
        <w:rPr>
          <w:rFonts w:ascii="Times New Roman" w:hAnsi="Times New Roman" w:cs="Times New Roman"/>
          <w:spacing w:val="-3"/>
        </w:rPr>
        <w:t xml:space="preserve">On </w:t>
      </w:r>
      <w:r w:rsidR="003A74A5" w:rsidRPr="0028764F">
        <w:rPr>
          <w:rFonts w:ascii="Times New Roman" w:hAnsi="Times New Roman" w:cs="Times New Roman"/>
          <w:spacing w:val="-3"/>
        </w:rPr>
        <w:t>February 23, 2010</w:t>
      </w:r>
      <w:r w:rsidRPr="0028764F">
        <w:rPr>
          <w:rFonts w:ascii="Times New Roman" w:hAnsi="Times New Roman" w:cs="Times New Roman"/>
          <w:spacing w:val="-3"/>
        </w:rPr>
        <w:t xml:space="preserve">, the </w:t>
      </w:r>
      <w:r w:rsidR="003A74A5" w:rsidRPr="0028764F">
        <w:rPr>
          <w:rFonts w:ascii="Times New Roman" w:hAnsi="Times New Roman" w:cs="Times New Roman"/>
          <w:spacing w:val="-3"/>
        </w:rPr>
        <w:t xml:space="preserve">Office of Administrative Law Judge </w:t>
      </w:r>
      <w:r w:rsidR="002E5389" w:rsidRPr="0028764F">
        <w:rPr>
          <w:rFonts w:ascii="Times New Roman" w:hAnsi="Times New Roman" w:cs="Times New Roman"/>
          <w:spacing w:val="-3"/>
        </w:rPr>
        <w:t>(</w:t>
      </w:r>
      <w:r w:rsidR="00C84362">
        <w:rPr>
          <w:rFonts w:ascii="Times New Roman" w:hAnsi="Times New Roman" w:cs="Times New Roman"/>
          <w:spacing w:val="-3"/>
        </w:rPr>
        <w:t>“</w:t>
      </w:r>
      <w:r w:rsidR="002E5389" w:rsidRPr="0028764F">
        <w:rPr>
          <w:rFonts w:ascii="Times New Roman" w:hAnsi="Times New Roman" w:cs="Times New Roman"/>
          <w:spacing w:val="-3"/>
        </w:rPr>
        <w:t>OALJ</w:t>
      </w:r>
      <w:r w:rsidR="00C84362">
        <w:rPr>
          <w:rFonts w:ascii="Times New Roman" w:hAnsi="Times New Roman" w:cs="Times New Roman"/>
          <w:spacing w:val="-3"/>
        </w:rPr>
        <w:t>”</w:t>
      </w:r>
      <w:r w:rsidR="002E5389" w:rsidRPr="0028764F">
        <w:rPr>
          <w:rFonts w:ascii="Times New Roman" w:hAnsi="Times New Roman" w:cs="Times New Roman"/>
          <w:spacing w:val="-3"/>
        </w:rPr>
        <w:t xml:space="preserve">) </w:t>
      </w:r>
      <w:r w:rsidR="003A74A5" w:rsidRPr="0028764F">
        <w:rPr>
          <w:rFonts w:ascii="Times New Roman" w:hAnsi="Times New Roman" w:cs="Times New Roman"/>
          <w:spacing w:val="-3"/>
        </w:rPr>
        <w:t xml:space="preserve">issued a Notice scheduling this matter for a prehearing conference on Thursday, April 1, 2010 at 10:00 a.m.  The presiding officer issued a Prehearing Conference Order on February 24, 2010.  </w:t>
      </w:r>
    </w:p>
    <w:p w:rsidR="003A74A5" w:rsidRPr="0028764F" w:rsidRDefault="003A74A5" w:rsidP="00E75EBE">
      <w:pPr>
        <w:tabs>
          <w:tab w:val="left" w:pos="-720"/>
        </w:tabs>
        <w:suppressAutoHyphens/>
        <w:spacing w:line="360" w:lineRule="auto"/>
        <w:ind w:firstLine="1440"/>
        <w:rPr>
          <w:rFonts w:ascii="Times New Roman" w:hAnsi="Times New Roman" w:cs="Times New Roman"/>
          <w:spacing w:val="-3"/>
        </w:rPr>
      </w:pPr>
    </w:p>
    <w:p w:rsidR="003A74A5" w:rsidRPr="001727CC" w:rsidRDefault="003A74A5" w:rsidP="00E75EBE">
      <w:pPr>
        <w:tabs>
          <w:tab w:val="left" w:pos="-720"/>
        </w:tabs>
        <w:suppressAutoHyphens/>
        <w:spacing w:line="360" w:lineRule="auto"/>
        <w:ind w:firstLine="1440"/>
        <w:rPr>
          <w:rFonts w:ascii="Times New Roman" w:hAnsi="Times New Roman" w:cs="Times New Roman"/>
          <w:spacing w:val="-3"/>
        </w:rPr>
      </w:pPr>
      <w:r w:rsidRPr="0028764F">
        <w:rPr>
          <w:rFonts w:ascii="Times New Roman" w:hAnsi="Times New Roman" w:cs="Times New Roman"/>
          <w:spacing w:val="-3"/>
        </w:rPr>
        <w:t xml:space="preserve">On April 1, 2010, the presiding officer conducted a prehearing conference at which appeared representatives for DLC, </w:t>
      </w:r>
      <w:r w:rsidR="002E5389" w:rsidRPr="0028764F">
        <w:rPr>
          <w:rFonts w:ascii="Times New Roman" w:hAnsi="Times New Roman" w:cs="Times New Roman"/>
          <w:spacing w:val="-3"/>
        </w:rPr>
        <w:t>Law Bureau Prosecutory Staff, OSBA, and Office of Consumer Advocate (</w:t>
      </w:r>
      <w:r w:rsidR="00C84362">
        <w:rPr>
          <w:rFonts w:ascii="Times New Roman" w:hAnsi="Times New Roman" w:cs="Times New Roman"/>
          <w:spacing w:val="-3"/>
        </w:rPr>
        <w:t>“</w:t>
      </w:r>
      <w:r w:rsidR="002E5389" w:rsidRPr="0028764F">
        <w:rPr>
          <w:rFonts w:ascii="Times New Roman" w:hAnsi="Times New Roman" w:cs="Times New Roman"/>
          <w:spacing w:val="-3"/>
        </w:rPr>
        <w:t>OCA</w:t>
      </w:r>
      <w:r w:rsidR="00C84362">
        <w:rPr>
          <w:rFonts w:ascii="Times New Roman" w:hAnsi="Times New Roman" w:cs="Times New Roman"/>
          <w:spacing w:val="-3"/>
        </w:rPr>
        <w:t>”</w:t>
      </w:r>
      <w:r w:rsidR="002E5389" w:rsidRPr="0028764F">
        <w:rPr>
          <w:rFonts w:ascii="Times New Roman" w:hAnsi="Times New Roman" w:cs="Times New Roman"/>
          <w:spacing w:val="-3"/>
        </w:rPr>
        <w:t xml:space="preserve">).  The parties discussed the issues of the proceeding and established a litigation schedule.  On April 2, 2010, the presiding officer issued a Prehearing Order and on April 6, 2010, the OALJ issued a Hearing Notice scheduling the matter for a hearing on Wednesday, August 25, </w:t>
      </w:r>
      <w:r w:rsidR="002E5389" w:rsidRPr="001727CC">
        <w:rPr>
          <w:rFonts w:ascii="Times New Roman" w:hAnsi="Times New Roman" w:cs="Times New Roman"/>
          <w:spacing w:val="-3"/>
        </w:rPr>
        <w:t>2010 and Thursday, August 26, 2010 in Pittsburgh, Pennsylvania.</w:t>
      </w:r>
    </w:p>
    <w:p w:rsidR="00FA2558" w:rsidRPr="001727CC" w:rsidRDefault="00FA2558" w:rsidP="00E75EBE">
      <w:pPr>
        <w:tabs>
          <w:tab w:val="left" w:pos="-720"/>
        </w:tabs>
        <w:suppressAutoHyphens/>
        <w:spacing w:line="360" w:lineRule="auto"/>
        <w:ind w:firstLine="1440"/>
        <w:rPr>
          <w:rFonts w:ascii="Times New Roman" w:hAnsi="Times New Roman" w:cs="Times New Roman"/>
          <w:spacing w:val="-3"/>
        </w:rPr>
      </w:pPr>
    </w:p>
    <w:p w:rsidR="00FA2558" w:rsidRPr="00E75EBE" w:rsidRDefault="00FA2558" w:rsidP="00E75EBE">
      <w:pPr>
        <w:tabs>
          <w:tab w:val="left" w:pos="-720"/>
        </w:tabs>
        <w:suppressAutoHyphens/>
        <w:spacing w:line="360" w:lineRule="auto"/>
        <w:ind w:firstLine="1440"/>
        <w:rPr>
          <w:rFonts w:ascii="Times New Roman" w:hAnsi="Times New Roman" w:cs="Times New Roman"/>
          <w:spacing w:val="-3"/>
        </w:rPr>
      </w:pPr>
      <w:r w:rsidRPr="001727CC">
        <w:rPr>
          <w:rFonts w:ascii="Times New Roman" w:hAnsi="Times New Roman" w:cs="Times New Roman"/>
          <w:spacing w:val="-3"/>
        </w:rPr>
        <w:t xml:space="preserve">On October 8, 2010, </w:t>
      </w:r>
      <w:r w:rsidRPr="001727CC">
        <w:rPr>
          <w:rFonts w:ascii="Times New Roman" w:hAnsi="Times New Roman" w:cs="Times New Roman"/>
        </w:rPr>
        <w:t xml:space="preserve">Duquesne Light and </w:t>
      </w:r>
      <w:r w:rsidRPr="001727CC">
        <w:rPr>
          <w:rFonts w:ascii="Times New Roman" w:hAnsi="Times New Roman" w:cs="Times New Roman"/>
          <w:spacing w:val="-3"/>
        </w:rPr>
        <w:t>the C</w:t>
      </w:r>
      <w:r w:rsidRPr="001727CC">
        <w:rPr>
          <w:rFonts w:ascii="Times New Roman" w:hAnsi="Times New Roman" w:cs="Times New Roman"/>
        </w:rPr>
        <w:t>ommission’s Bureau of Conservation, Economics and Energy Planning (“CEEP”) (hereinafter “Joint Petitioners”),</w:t>
      </w:r>
      <w:r w:rsidRPr="001727CC">
        <w:rPr>
          <w:rStyle w:val="FootnoteReference"/>
          <w:rFonts w:ascii="Times New Roman" w:hAnsi="Times New Roman" w:cs="Times New Roman"/>
        </w:rPr>
        <w:footnoteReference w:id="1"/>
      </w:r>
      <w:r w:rsidR="00764C09" w:rsidRPr="001727CC">
        <w:rPr>
          <w:rFonts w:ascii="Times New Roman" w:hAnsi="Times New Roman" w:cs="Times New Roman"/>
        </w:rPr>
        <w:t xml:space="preserve"> filed a Joint Petition for Settlement</w:t>
      </w:r>
      <w:r w:rsidR="001727CC" w:rsidRPr="001727CC">
        <w:rPr>
          <w:rFonts w:ascii="Times New Roman" w:hAnsi="Times New Roman" w:cs="Times New Roman"/>
        </w:rPr>
        <w:t xml:space="preserve"> in which the parties agreed to resolve all issues among the parties in the above-captioned proceeding and as to Duquesne’s 2008/2009 Alternative Energy Portfolio Standards Act 2008/2009 compliance year.  The Joint Settlement provides for, </w:t>
      </w:r>
      <w:r w:rsidR="001727CC" w:rsidRPr="001727CC">
        <w:rPr>
          <w:rFonts w:ascii="Times New Roman" w:hAnsi="Times New Roman" w:cs="Times New Roman"/>
          <w:i/>
        </w:rPr>
        <w:t>inter alia</w:t>
      </w:r>
      <w:r w:rsidR="001727CC" w:rsidRPr="001727CC">
        <w:rPr>
          <w:rFonts w:ascii="Times New Roman" w:hAnsi="Times New Roman" w:cs="Times New Roman"/>
        </w:rPr>
        <w:t xml:space="preserve">, the implementation of certain additional compliance procedures by Duquesne Light and the </w:t>
      </w:r>
      <w:r w:rsidR="001727CC" w:rsidRPr="00E75EBE">
        <w:rPr>
          <w:rFonts w:ascii="Times New Roman" w:hAnsi="Times New Roman" w:cs="Times New Roman"/>
        </w:rPr>
        <w:t>reallocation or swap of the alternative energy credits at issue in this proceeding.</w:t>
      </w:r>
    </w:p>
    <w:p w:rsidR="00715EC2" w:rsidRPr="00E75EBE" w:rsidRDefault="00715EC2" w:rsidP="00E75EBE">
      <w:pPr>
        <w:tabs>
          <w:tab w:val="left" w:pos="-720"/>
        </w:tabs>
        <w:suppressAutoHyphens/>
        <w:spacing w:line="360" w:lineRule="auto"/>
        <w:ind w:firstLine="1440"/>
        <w:rPr>
          <w:rFonts w:ascii="Times New Roman" w:hAnsi="Times New Roman" w:cs="Times New Roman"/>
          <w:spacing w:val="-3"/>
        </w:rPr>
      </w:pPr>
    </w:p>
    <w:p w:rsidR="00876908" w:rsidRPr="00E75EBE" w:rsidRDefault="00A733E3" w:rsidP="00E75EBE">
      <w:pPr>
        <w:spacing w:line="360" w:lineRule="auto"/>
        <w:jc w:val="center"/>
        <w:rPr>
          <w:rFonts w:ascii="Times New Roman" w:hAnsi="Times New Roman" w:cs="Times New Roman"/>
        </w:rPr>
      </w:pPr>
      <w:r>
        <w:rPr>
          <w:rFonts w:ascii="Times New Roman" w:hAnsi="Times New Roman" w:cs="Times New Roman"/>
          <w:u w:val="single"/>
        </w:rPr>
        <w:br w:type="page"/>
      </w:r>
      <w:r w:rsidR="00876908" w:rsidRPr="00E75EBE">
        <w:rPr>
          <w:rFonts w:ascii="Times New Roman" w:hAnsi="Times New Roman" w:cs="Times New Roman"/>
          <w:u w:val="single"/>
        </w:rPr>
        <w:lastRenderedPageBreak/>
        <w:t>TERMS OF THE SETTLEMENT</w:t>
      </w:r>
    </w:p>
    <w:p w:rsidR="00876908" w:rsidRPr="00E75EBE" w:rsidRDefault="00876908" w:rsidP="00E75EBE">
      <w:pPr>
        <w:spacing w:line="360" w:lineRule="auto"/>
        <w:rPr>
          <w:rFonts w:ascii="Times New Roman" w:hAnsi="Times New Roman" w:cs="Times New Roman"/>
        </w:rPr>
      </w:pPr>
    </w:p>
    <w:p w:rsidR="00876908" w:rsidRPr="00E75EBE" w:rsidRDefault="00876908" w:rsidP="00E75EBE">
      <w:pPr>
        <w:spacing w:line="360" w:lineRule="auto"/>
        <w:rPr>
          <w:rFonts w:ascii="Times New Roman" w:hAnsi="Times New Roman" w:cs="Times New Roman"/>
        </w:rPr>
      </w:pPr>
      <w:r w:rsidRPr="00E75EBE">
        <w:rPr>
          <w:rFonts w:ascii="Times New Roman" w:hAnsi="Times New Roman" w:cs="Times New Roman"/>
        </w:rPr>
        <w:tab/>
      </w:r>
      <w:r w:rsidRPr="00E75EBE">
        <w:rPr>
          <w:rFonts w:ascii="Times New Roman" w:hAnsi="Times New Roman" w:cs="Times New Roman"/>
        </w:rPr>
        <w:tab/>
        <w:t>The Settlement is a</w:t>
      </w:r>
      <w:r w:rsidR="00A733E3">
        <w:rPr>
          <w:rFonts w:ascii="Times New Roman" w:hAnsi="Times New Roman" w:cs="Times New Roman"/>
        </w:rPr>
        <w:t>n</w:t>
      </w:r>
      <w:r w:rsidRPr="00E75EBE">
        <w:rPr>
          <w:rFonts w:ascii="Times New Roman" w:hAnsi="Times New Roman" w:cs="Times New Roman"/>
        </w:rPr>
        <w:t xml:space="preserve"> eight-page document containing 25 numbered paragraphs with five (5)</w:t>
      </w:r>
      <w:r w:rsidR="00330106" w:rsidRPr="00E75EBE">
        <w:rPr>
          <w:rFonts w:ascii="Times New Roman" w:hAnsi="Times New Roman" w:cs="Times New Roman"/>
        </w:rPr>
        <w:t xml:space="preserve"> numbered requests</w:t>
      </w:r>
      <w:r w:rsidRPr="00E75EBE">
        <w:rPr>
          <w:rFonts w:ascii="Times New Roman" w:hAnsi="Times New Roman" w:cs="Times New Roman"/>
        </w:rPr>
        <w:t xml:space="preserve">.  </w:t>
      </w:r>
      <w:r w:rsidR="00330106" w:rsidRPr="00E75EBE">
        <w:rPr>
          <w:rFonts w:ascii="Times New Roman" w:hAnsi="Times New Roman" w:cs="Times New Roman"/>
        </w:rPr>
        <w:t>Appendix</w:t>
      </w:r>
      <w:r w:rsidRPr="00E75EBE">
        <w:rPr>
          <w:rFonts w:ascii="Times New Roman" w:hAnsi="Times New Roman" w:cs="Times New Roman"/>
        </w:rPr>
        <w:t xml:space="preserve"> A to the Settlement contains </w:t>
      </w:r>
      <w:r w:rsidR="00330106" w:rsidRPr="00E75EBE">
        <w:rPr>
          <w:rFonts w:ascii="Times New Roman" w:hAnsi="Times New Roman" w:cs="Times New Roman"/>
        </w:rPr>
        <w:t>a list of the Paper Transfer from Supplier/EDC to Duquesne and from Duquesne to Supplier/EDC</w:t>
      </w:r>
      <w:r w:rsidRPr="00E75EBE">
        <w:rPr>
          <w:rFonts w:ascii="Times New Roman" w:hAnsi="Times New Roman" w:cs="Times New Roman"/>
        </w:rPr>
        <w:t xml:space="preserve">.  </w:t>
      </w:r>
      <w:r w:rsidR="00330106" w:rsidRPr="00E75EBE">
        <w:rPr>
          <w:rFonts w:ascii="Times New Roman" w:hAnsi="Times New Roman" w:cs="Times New Roman"/>
        </w:rPr>
        <w:t>Appendices</w:t>
      </w:r>
      <w:r w:rsidRPr="00E75EBE">
        <w:rPr>
          <w:rFonts w:ascii="Times New Roman" w:hAnsi="Times New Roman" w:cs="Times New Roman"/>
        </w:rPr>
        <w:t xml:space="preserve"> B and C to the</w:t>
      </w:r>
      <w:r w:rsidR="00330106" w:rsidRPr="00E75EBE">
        <w:rPr>
          <w:rFonts w:ascii="Times New Roman" w:hAnsi="Times New Roman" w:cs="Times New Roman"/>
        </w:rPr>
        <w:t xml:space="preserve"> Settlement are the respective S</w:t>
      </w:r>
      <w:r w:rsidRPr="00E75EBE">
        <w:rPr>
          <w:rFonts w:ascii="Times New Roman" w:hAnsi="Times New Roman" w:cs="Times New Roman"/>
        </w:rPr>
        <w:t xml:space="preserve">tatements </w:t>
      </w:r>
      <w:r w:rsidR="00330106" w:rsidRPr="00E75EBE">
        <w:rPr>
          <w:rFonts w:ascii="Times New Roman" w:hAnsi="Times New Roman" w:cs="Times New Roman"/>
        </w:rPr>
        <w:t>in Support executed by</w:t>
      </w:r>
      <w:r w:rsidRPr="00E75EBE">
        <w:rPr>
          <w:rFonts w:ascii="Times New Roman" w:hAnsi="Times New Roman" w:cs="Times New Roman"/>
        </w:rPr>
        <w:t xml:space="preserve"> </w:t>
      </w:r>
      <w:r w:rsidR="00330106" w:rsidRPr="00E75EBE">
        <w:rPr>
          <w:rFonts w:ascii="Times New Roman" w:hAnsi="Times New Roman" w:cs="Times New Roman"/>
        </w:rPr>
        <w:t>the Bureau of Conservation, Economics and Energy Planning, and Duquesne Light, respectively.  Lastly, Appendices D and E are statements in non-opposition to the settlement executed by the Office of Consumer Advocate and the Office of Small Business Advocate, respectively.</w:t>
      </w:r>
    </w:p>
    <w:p w:rsidR="007927B9" w:rsidRPr="00E75EBE" w:rsidRDefault="00876908" w:rsidP="00A733E3">
      <w:pPr>
        <w:spacing w:line="360" w:lineRule="auto"/>
        <w:rPr>
          <w:rFonts w:ascii="Times New Roman" w:hAnsi="Times New Roman" w:cs="Times New Roman"/>
        </w:rPr>
      </w:pPr>
      <w:r w:rsidRPr="00E75EBE">
        <w:rPr>
          <w:rFonts w:ascii="Times New Roman" w:hAnsi="Times New Roman" w:cs="Times New Roman"/>
        </w:rPr>
        <w:tab/>
      </w:r>
      <w:r w:rsidRPr="00E75EBE">
        <w:rPr>
          <w:rFonts w:ascii="Times New Roman" w:hAnsi="Times New Roman" w:cs="Times New Roman"/>
        </w:rPr>
        <w:tab/>
      </w:r>
    </w:p>
    <w:p w:rsidR="00876908" w:rsidRDefault="00876908" w:rsidP="006D5D99">
      <w:pPr>
        <w:spacing w:line="360" w:lineRule="auto"/>
        <w:ind w:firstLine="1440"/>
        <w:rPr>
          <w:rFonts w:ascii="Times New Roman" w:hAnsi="Times New Roman" w:cs="Times New Roman"/>
        </w:rPr>
      </w:pPr>
      <w:r w:rsidRPr="00E75EBE">
        <w:rPr>
          <w:rFonts w:ascii="Times New Roman" w:hAnsi="Times New Roman" w:cs="Times New Roman"/>
        </w:rPr>
        <w:t>The essential terms of the Settleme</w:t>
      </w:r>
      <w:r w:rsidR="007927B9" w:rsidRPr="00E75EBE">
        <w:rPr>
          <w:rFonts w:ascii="Times New Roman" w:hAnsi="Times New Roman" w:cs="Times New Roman"/>
        </w:rPr>
        <w:t>nt are contained in Paragraphs 14 through 17</w:t>
      </w:r>
      <w:r w:rsidRPr="00E75EBE">
        <w:rPr>
          <w:rFonts w:ascii="Times New Roman" w:hAnsi="Times New Roman" w:cs="Times New Roman"/>
        </w:rPr>
        <w:t>:</w:t>
      </w:r>
    </w:p>
    <w:p w:rsidR="00E75EBE" w:rsidRPr="00E75EBE" w:rsidRDefault="00E75EBE" w:rsidP="006D5D99">
      <w:pPr>
        <w:spacing w:line="360" w:lineRule="auto"/>
        <w:ind w:firstLine="1440"/>
        <w:rPr>
          <w:rFonts w:ascii="Times New Roman" w:hAnsi="Times New Roman" w:cs="Times New Roman"/>
        </w:rPr>
      </w:pPr>
    </w:p>
    <w:p w:rsidR="007927B9" w:rsidRDefault="007927B9" w:rsidP="006D5D99">
      <w:pPr>
        <w:pStyle w:val="ListNumber"/>
        <w:numPr>
          <w:ilvl w:val="0"/>
          <w:numId w:val="4"/>
        </w:numPr>
        <w:spacing w:line="360" w:lineRule="auto"/>
      </w:pPr>
      <w:r w:rsidRPr="00E75EBE">
        <w:t>The Joint Petitioners agree as follows:</w:t>
      </w:r>
    </w:p>
    <w:p w:rsidR="008337B2" w:rsidRPr="00E75EBE" w:rsidRDefault="008337B2" w:rsidP="001B62BB">
      <w:pPr>
        <w:pStyle w:val="ListNumber"/>
        <w:numPr>
          <w:ilvl w:val="0"/>
          <w:numId w:val="0"/>
        </w:numPr>
        <w:spacing w:line="240" w:lineRule="auto"/>
        <w:ind w:left="360"/>
      </w:pPr>
    </w:p>
    <w:p w:rsidR="007927B9" w:rsidRPr="008337B2" w:rsidRDefault="007927B9" w:rsidP="001B62BB">
      <w:pPr>
        <w:pStyle w:val="ListParagraph"/>
        <w:numPr>
          <w:ilvl w:val="0"/>
          <w:numId w:val="3"/>
        </w:numPr>
        <w:spacing w:after="240" w:line="240" w:lineRule="auto"/>
        <w:jc w:val="both"/>
        <w:rPr>
          <w:rFonts w:ascii="Times New Roman" w:hAnsi="Times New Roman"/>
          <w:sz w:val="24"/>
          <w:szCs w:val="24"/>
        </w:rPr>
      </w:pPr>
      <w:r w:rsidRPr="008337B2">
        <w:rPr>
          <w:rFonts w:ascii="Times New Roman" w:hAnsi="Times New Roman"/>
          <w:sz w:val="24"/>
          <w:szCs w:val="24"/>
        </w:rPr>
        <w:t xml:space="preserve">Duquesne Light agrees to implement additional internal procedures regarding compliance with the AEPS Act.  Specifically, Duquesne Light will develop additional procedures to procure AECs produced inside PJM or the Commonwealth of Pennsylvania for all future reporting periods (2009-10 and beyond).  In accordance with existing law, Duquesne Light specifically agrees that it will not use or attempt to use for AEPS Act compliance purposes AECs produced in the MISO territory.  </w:t>
      </w:r>
    </w:p>
    <w:p w:rsidR="007927B9" w:rsidRPr="00E75EBE" w:rsidRDefault="007927B9" w:rsidP="001B62BB">
      <w:pPr>
        <w:pStyle w:val="ListParagraph"/>
        <w:spacing w:after="240" w:line="240" w:lineRule="auto"/>
        <w:ind w:left="1440"/>
        <w:jc w:val="both"/>
        <w:rPr>
          <w:rFonts w:ascii="Times New Roman" w:hAnsi="Times New Roman"/>
          <w:sz w:val="24"/>
          <w:szCs w:val="24"/>
        </w:rPr>
      </w:pPr>
    </w:p>
    <w:p w:rsidR="007927B9" w:rsidRPr="00E75EBE" w:rsidRDefault="007927B9" w:rsidP="001B62BB">
      <w:pPr>
        <w:pStyle w:val="ListParagraph"/>
        <w:numPr>
          <w:ilvl w:val="0"/>
          <w:numId w:val="3"/>
        </w:numPr>
        <w:spacing w:after="240" w:line="240" w:lineRule="auto"/>
        <w:jc w:val="both"/>
        <w:rPr>
          <w:rFonts w:ascii="Times New Roman" w:hAnsi="Times New Roman"/>
          <w:sz w:val="24"/>
          <w:szCs w:val="24"/>
        </w:rPr>
      </w:pPr>
      <w:r w:rsidRPr="00E75EBE">
        <w:rPr>
          <w:rFonts w:ascii="Times New Roman" w:hAnsi="Times New Roman"/>
          <w:sz w:val="24"/>
          <w:szCs w:val="24"/>
        </w:rPr>
        <w:t xml:space="preserve">As part of this agreement, Duquesne Light commits to:   </w:t>
      </w:r>
    </w:p>
    <w:p w:rsidR="007927B9" w:rsidRPr="00E75EBE" w:rsidRDefault="007927B9" w:rsidP="001B62BB">
      <w:pPr>
        <w:numPr>
          <w:ilvl w:val="1"/>
          <w:numId w:val="3"/>
        </w:numPr>
        <w:autoSpaceDE/>
        <w:autoSpaceDN/>
        <w:spacing w:after="240"/>
        <w:jc w:val="both"/>
        <w:rPr>
          <w:rFonts w:ascii="Times New Roman" w:hAnsi="Times New Roman" w:cs="Times New Roman"/>
        </w:rPr>
      </w:pPr>
      <w:r w:rsidRPr="00E75EBE">
        <w:rPr>
          <w:rFonts w:ascii="Times New Roman" w:hAnsi="Times New Roman" w:cs="Times New Roman"/>
        </w:rPr>
        <w:t>Require that all contracts for the purchase of AECs for Duquesne Light AEPS Act compliance contain an express provision that the AECs must be generated in PJM or in the Commonwealth of Pennsylvania;</w:t>
      </w:r>
    </w:p>
    <w:p w:rsidR="007927B9" w:rsidRPr="00E75EBE" w:rsidRDefault="007927B9" w:rsidP="001B62BB">
      <w:pPr>
        <w:numPr>
          <w:ilvl w:val="1"/>
          <w:numId w:val="3"/>
        </w:numPr>
        <w:autoSpaceDE/>
        <w:autoSpaceDN/>
        <w:spacing w:after="240"/>
        <w:jc w:val="both"/>
        <w:rPr>
          <w:rFonts w:ascii="Times New Roman" w:hAnsi="Times New Roman" w:cs="Times New Roman"/>
        </w:rPr>
      </w:pPr>
      <w:r w:rsidRPr="00E75EBE">
        <w:rPr>
          <w:rFonts w:ascii="Times New Roman" w:hAnsi="Times New Roman" w:cs="Times New Roman"/>
        </w:rPr>
        <w:t>Conduct independent due diligence before purchasing any AECs to confirm that the AECs are produced in PJM or the Commonwealth of Pennsylvania;</w:t>
      </w:r>
    </w:p>
    <w:p w:rsidR="007927B9" w:rsidRPr="00E75EBE" w:rsidRDefault="007927B9" w:rsidP="001B62BB">
      <w:pPr>
        <w:numPr>
          <w:ilvl w:val="1"/>
          <w:numId w:val="3"/>
        </w:numPr>
        <w:autoSpaceDE/>
        <w:autoSpaceDN/>
        <w:spacing w:after="240"/>
        <w:jc w:val="both"/>
        <w:rPr>
          <w:rFonts w:ascii="Times New Roman" w:hAnsi="Times New Roman" w:cs="Times New Roman"/>
        </w:rPr>
      </w:pPr>
      <w:r w:rsidRPr="00E75EBE">
        <w:rPr>
          <w:rFonts w:ascii="Times New Roman" w:hAnsi="Times New Roman" w:cs="Times New Roman"/>
        </w:rPr>
        <w:t>Submit its annual AEC report to the Commission and the AEC Administrator electronically on or before July 1</w:t>
      </w:r>
      <w:r w:rsidRPr="00E75EBE">
        <w:rPr>
          <w:rFonts w:ascii="Times New Roman" w:hAnsi="Times New Roman" w:cs="Times New Roman"/>
          <w:vertAlign w:val="superscript"/>
        </w:rPr>
        <w:t>st</w:t>
      </w:r>
      <w:r w:rsidRPr="00E75EBE">
        <w:rPr>
          <w:rFonts w:ascii="Times New Roman" w:hAnsi="Times New Roman" w:cs="Times New Roman"/>
        </w:rPr>
        <w:t xml:space="preserve"> of every year so that the Commission and its AEC Administrator can review the proposed compliance plan of Duquesne Light.  The annual report will contain at least the following information on each AEC Duquesne Light intends to use for compliance: Pennsylvania certification number, quantity, vintage, load information (not finalized) and RTO location.  (It is </w:t>
      </w:r>
      <w:r w:rsidRPr="00E75EBE">
        <w:rPr>
          <w:rFonts w:ascii="Times New Roman" w:hAnsi="Times New Roman" w:cs="Times New Roman"/>
        </w:rPr>
        <w:lastRenderedPageBreak/>
        <w:t>understood that some suppliers may not have supplied all of this information to Duquesne Light by the time of filing and there can be further amendments/supplements to the report.)  The AEC Administrator’s review of Duquesne Light’s compliance plan will not constitute a final determination of Duquesne Light’s compliance obligation as only those credits retired by Duquesne Light in its PJM Generation Attribute Tracking System (“GATS”) Pennsylvania Portfolio Reserve Subaccount can be used to determine final compliance with the AEPS Act.  These reporting procedures will be in effect, until superseded by Commission regulations, orders or other equivalent action by the Commission;  and</w:t>
      </w:r>
    </w:p>
    <w:p w:rsidR="007927B9" w:rsidRPr="00E75EBE" w:rsidRDefault="007927B9" w:rsidP="001B62BB">
      <w:pPr>
        <w:numPr>
          <w:ilvl w:val="1"/>
          <w:numId w:val="3"/>
        </w:numPr>
        <w:autoSpaceDE/>
        <w:autoSpaceDN/>
        <w:spacing w:after="240"/>
        <w:jc w:val="both"/>
        <w:rPr>
          <w:rFonts w:ascii="Times New Roman" w:hAnsi="Times New Roman" w:cs="Times New Roman"/>
        </w:rPr>
      </w:pPr>
      <w:r w:rsidRPr="00E75EBE">
        <w:rPr>
          <w:rFonts w:ascii="Times New Roman" w:hAnsi="Times New Roman" w:cs="Times New Roman"/>
        </w:rPr>
        <w:t xml:space="preserve">Provide training to its employees responsible for AEPS Act compliance on eligibility requirements for Duquesne Light’s AECs. </w:t>
      </w:r>
    </w:p>
    <w:p w:rsidR="007927B9" w:rsidRPr="00E75EBE" w:rsidRDefault="007927B9" w:rsidP="001B62BB">
      <w:pPr>
        <w:pStyle w:val="ListParagraph"/>
        <w:numPr>
          <w:ilvl w:val="0"/>
          <w:numId w:val="3"/>
        </w:numPr>
        <w:spacing w:after="240" w:line="240" w:lineRule="auto"/>
        <w:jc w:val="both"/>
        <w:rPr>
          <w:rFonts w:ascii="Times New Roman" w:hAnsi="Times New Roman"/>
          <w:sz w:val="24"/>
          <w:szCs w:val="24"/>
        </w:rPr>
      </w:pPr>
      <w:r w:rsidRPr="00E75EBE">
        <w:rPr>
          <w:rFonts w:ascii="Times New Roman" w:hAnsi="Times New Roman"/>
          <w:sz w:val="24"/>
          <w:szCs w:val="24"/>
        </w:rPr>
        <w:t xml:space="preserve">Duquesne Light will reallocate or swap the 42,980 of Tier I AECs generated by Cadillac, purchased by Duquesne Power, on behalf of Duquesne Light, and submitted for purposes of AEPS Act compliance for the 2008-2009 reporting period for an equal number of eligible Tier I AECs generated at facilities located in Pennsylvania or PJM submitted by a MISO eligible Pennsylvania electric distribution company or Pennsylvania electric generation supplier for the 2008-2009 compliance period.  Duquesne Light will coordinate the reallocation or swap on paper of the AECs.  A list of the specific Tier I AECs being reallocated or swapped on paper and any terms and conditions of the swap is attached as Appendix A to this Settlement Petition. </w:t>
      </w:r>
    </w:p>
    <w:p w:rsidR="007927B9" w:rsidRPr="00E75EBE" w:rsidRDefault="007927B9" w:rsidP="001B62BB">
      <w:pPr>
        <w:pStyle w:val="ListParagraph"/>
        <w:spacing w:after="240" w:line="240" w:lineRule="auto"/>
        <w:ind w:left="1440"/>
        <w:jc w:val="both"/>
        <w:rPr>
          <w:rFonts w:ascii="Times New Roman" w:hAnsi="Times New Roman"/>
          <w:sz w:val="24"/>
          <w:szCs w:val="24"/>
        </w:rPr>
      </w:pPr>
    </w:p>
    <w:p w:rsidR="007927B9" w:rsidRPr="00E75EBE" w:rsidRDefault="007927B9" w:rsidP="001B62BB">
      <w:pPr>
        <w:pStyle w:val="ListParagraph"/>
        <w:numPr>
          <w:ilvl w:val="0"/>
          <w:numId w:val="3"/>
        </w:numPr>
        <w:spacing w:after="240" w:line="240" w:lineRule="auto"/>
        <w:jc w:val="both"/>
        <w:rPr>
          <w:rFonts w:ascii="Times New Roman" w:hAnsi="Times New Roman"/>
          <w:sz w:val="24"/>
          <w:szCs w:val="24"/>
        </w:rPr>
      </w:pPr>
      <w:r w:rsidRPr="00E75EBE">
        <w:rPr>
          <w:rFonts w:ascii="Times New Roman" w:hAnsi="Times New Roman"/>
          <w:sz w:val="24"/>
          <w:szCs w:val="24"/>
        </w:rPr>
        <w:t>Duquesne Light will not increase any of its POLR IV rates, including the rates of medium commercial and industrial customers established in accordance with the Commission’s Jun</w:t>
      </w:r>
      <w:r w:rsidR="00CC60E9">
        <w:rPr>
          <w:rFonts w:ascii="Times New Roman" w:hAnsi="Times New Roman"/>
          <w:sz w:val="24"/>
          <w:szCs w:val="24"/>
        </w:rPr>
        <w:t>e 22, 2007, Order at Docket No.</w:t>
      </w:r>
      <w:r w:rsidRPr="00E75EBE">
        <w:rPr>
          <w:rFonts w:ascii="Times New Roman" w:hAnsi="Times New Roman"/>
          <w:sz w:val="24"/>
          <w:szCs w:val="24"/>
        </w:rPr>
        <w:t xml:space="preserve"> P-00072247 and the Commission’s April 20, 2009, Order at Docket No. P-2008-2079461 as a result of this proceeding.</w:t>
      </w:r>
    </w:p>
    <w:p w:rsidR="007927B9" w:rsidRPr="00E75EBE" w:rsidRDefault="007927B9" w:rsidP="001B62BB">
      <w:pPr>
        <w:pStyle w:val="ListNumber"/>
        <w:numPr>
          <w:ilvl w:val="0"/>
          <w:numId w:val="3"/>
        </w:numPr>
        <w:spacing w:after="240" w:line="240" w:lineRule="auto"/>
        <w:jc w:val="both"/>
      </w:pPr>
      <w:r w:rsidRPr="00E75EBE">
        <w:t xml:space="preserve">This Settlement resolves any and all non-compliance issues for the 2008-2009 compliance period and reporting requirements for Duquesne Light related to AEPS Act compliance for the 2008-2009 compliance period, but does not constitute a determination that any costs and expenses related to Duquesne Light’s AEPS Act compliance are reasonable or prudent for cost recovery.  </w:t>
      </w:r>
    </w:p>
    <w:p w:rsidR="007927B9" w:rsidRDefault="007927B9" w:rsidP="001B62BB">
      <w:pPr>
        <w:pStyle w:val="ListParagraph"/>
        <w:numPr>
          <w:ilvl w:val="0"/>
          <w:numId w:val="3"/>
        </w:numPr>
        <w:spacing w:before="120" w:after="120" w:line="240" w:lineRule="auto"/>
        <w:jc w:val="both"/>
        <w:rPr>
          <w:rFonts w:ascii="Times New Roman" w:hAnsi="Times New Roman"/>
          <w:sz w:val="24"/>
          <w:szCs w:val="24"/>
        </w:rPr>
      </w:pPr>
      <w:r w:rsidRPr="00E75EBE">
        <w:rPr>
          <w:rFonts w:ascii="Times New Roman" w:hAnsi="Times New Roman"/>
          <w:sz w:val="24"/>
          <w:szCs w:val="24"/>
        </w:rPr>
        <w:t xml:space="preserve">The Joint Petitioners represent that this settlement is in the public interest as it amicably resolves this proceeding, a proceeding that involves the implementation of a new regulatory regime associated with the AEPS Act.  However, the Joint Petitioners agree that the terms of this settlement are not to be interpreted as setting precedent for future AEPS Act compliance periods or future revisions to the Commission’s regulations, orders, or equivalent Commission actions.  </w:t>
      </w:r>
    </w:p>
    <w:p w:rsidR="007927B9" w:rsidRPr="00D90232" w:rsidRDefault="00E058DE" w:rsidP="00A733E3">
      <w:pPr>
        <w:pStyle w:val="Heading1"/>
        <w:keepLines/>
        <w:tabs>
          <w:tab w:val="num" w:pos="720"/>
        </w:tabs>
        <w:autoSpaceDE/>
        <w:autoSpaceDN/>
        <w:spacing w:after="240"/>
        <w:ind w:left="720" w:hanging="720"/>
        <w:jc w:val="both"/>
        <w:rPr>
          <w:rFonts w:ascii="Times New Roman" w:hAnsi="Times New Roman"/>
          <w:b w:val="0"/>
          <w:sz w:val="24"/>
          <w:szCs w:val="24"/>
          <w:u w:val="single"/>
        </w:rPr>
      </w:pPr>
      <w:r w:rsidRPr="00E058DE">
        <w:rPr>
          <w:rFonts w:ascii="Times New Roman" w:hAnsi="Times New Roman"/>
          <w:b w:val="0"/>
          <w:sz w:val="24"/>
          <w:szCs w:val="24"/>
        </w:rPr>
        <w:lastRenderedPageBreak/>
        <w:tab/>
      </w:r>
      <w:r w:rsidR="00E75EBE" w:rsidRPr="00D90232">
        <w:rPr>
          <w:rFonts w:ascii="Times New Roman" w:hAnsi="Times New Roman"/>
          <w:b w:val="0"/>
          <w:sz w:val="24"/>
          <w:szCs w:val="24"/>
          <w:u w:val="single"/>
        </w:rPr>
        <w:t>S</w:t>
      </w:r>
      <w:r w:rsidR="007927B9" w:rsidRPr="00D90232">
        <w:rPr>
          <w:rFonts w:ascii="Times New Roman" w:hAnsi="Times New Roman"/>
          <w:b w:val="0"/>
          <w:sz w:val="24"/>
          <w:szCs w:val="24"/>
          <w:u w:val="single"/>
        </w:rPr>
        <w:t>ettlement is in the public interest</w:t>
      </w:r>
    </w:p>
    <w:p w:rsidR="00D90232" w:rsidRPr="00D90232" w:rsidRDefault="00D90232" w:rsidP="00D90232"/>
    <w:p w:rsidR="007927B9" w:rsidRDefault="007927B9" w:rsidP="001B62BB">
      <w:pPr>
        <w:pStyle w:val="ListNumber"/>
        <w:numPr>
          <w:ilvl w:val="0"/>
          <w:numId w:val="4"/>
        </w:numPr>
        <w:spacing w:line="240" w:lineRule="auto"/>
        <w:ind w:left="720" w:hanging="630"/>
        <w:jc w:val="both"/>
      </w:pPr>
      <w:r w:rsidRPr="00E75EBE">
        <w:t>This Settlement was achieved by the Joint Petitioners after an extensive investigation of Duquesne Light’s filing, including informal and formal discovery and the distribution of direct and rebuttal testimony.</w:t>
      </w:r>
    </w:p>
    <w:p w:rsidR="006D5D99" w:rsidRPr="00E75EBE" w:rsidRDefault="006D5D99" w:rsidP="001B62BB">
      <w:pPr>
        <w:pStyle w:val="ListNumber"/>
        <w:numPr>
          <w:ilvl w:val="0"/>
          <w:numId w:val="0"/>
        </w:numPr>
        <w:spacing w:line="240" w:lineRule="auto"/>
        <w:ind w:left="720"/>
        <w:jc w:val="both"/>
      </w:pPr>
    </w:p>
    <w:p w:rsidR="007927B9" w:rsidRDefault="007927B9" w:rsidP="00E058DE">
      <w:pPr>
        <w:pStyle w:val="ListNumber"/>
        <w:numPr>
          <w:ilvl w:val="0"/>
          <w:numId w:val="4"/>
        </w:numPr>
        <w:spacing w:line="240" w:lineRule="auto"/>
        <w:ind w:left="720" w:hanging="630"/>
        <w:jc w:val="both"/>
      </w:pPr>
      <w:r w:rsidRPr="00E75EBE">
        <w:t>This Settlement reduces the administrative burdens on the Commission and avoids any extensive litigation expenditures because it resolves all of the issues in this proceeding without administrative adjudication.</w:t>
      </w:r>
    </w:p>
    <w:p w:rsidR="006D5D99" w:rsidRPr="00E75EBE" w:rsidRDefault="006D5D99" w:rsidP="001B62BB">
      <w:pPr>
        <w:pStyle w:val="ListNumber"/>
        <w:numPr>
          <w:ilvl w:val="0"/>
          <w:numId w:val="0"/>
        </w:numPr>
        <w:spacing w:line="240" w:lineRule="auto"/>
        <w:jc w:val="both"/>
      </w:pPr>
    </w:p>
    <w:p w:rsidR="007927B9" w:rsidRPr="00E75EBE" w:rsidRDefault="007927B9" w:rsidP="001B62BB">
      <w:pPr>
        <w:pStyle w:val="ListNumber"/>
        <w:numPr>
          <w:ilvl w:val="0"/>
          <w:numId w:val="4"/>
        </w:numPr>
        <w:spacing w:line="240" w:lineRule="auto"/>
        <w:ind w:left="720" w:hanging="630"/>
        <w:jc w:val="both"/>
      </w:pPr>
      <w:r w:rsidRPr="00E75EBE">
        <w:t>Joint Petitioners have submitted, along with this Settlement Petition, their respective Statements in Support setting forth the basis upon which each believes the Settlement to be fair, just and reasonable and therefore in the public interest.  The Joint Petitioners’ Statements in Support are attached hereto as Appendices B and C.</w:t>
      </w:r>
      <w:r w:rsidRPr="00E75EBE">
        <w:rPr>
          <w:rStyle w:val="FootnoteReference"/>
        </w:rPr>
        <w:footnoteReference w:id="2"/>
      </w:r>
    </w:p>
    <w:p w:rsidR="007927B9" w:rsidRPr="00E75EBE" w:rsidRDefault="007927B9" w:rsidP="00A733E3">
      <w:pPr>
        <w:tabs>
          <w:tab w:val="left" w:pos="-720"/>
        </w:tabs>
        <w:suppressAutoHyphens/>
        <w:spacing w:line="360" w:lineRule="auto"/>
        <w:rPr>
          <w:rFonts w:ascii="Times New Roman" w:hAnsi="Times New Roman" w:cs="Times New Roman"/>
          <w:spacing w:val="-3"/>
        </w:rPr>
      </w:pPr>
    </w:p>
    <w:p w:rsidR="00D43D6D" w:rsidRPr="0028764F" w:rsidRDefault="00D43D6D" w:rsidP="0028764F">
      <w:pPr>
        <w:tabs>
          <w:tab w:val="left" w:pos="3960"/>
          <w:tab w:val="center" w:pos="4680"/>
        </w:tabs>
        <w:suppressAutoHyphens/>
        <w:spacing w:line="360" w:lineRule="auto"/>
        <w:jc w:val="center"/>
        <w:rPr>
          <w:rFonts w:ascii="Times New Roman" w:hAnsi="Times New Roman" w:cs="Times New Roman"/>
          <w:spacing w:val="-3"/>
          <w:u w:val="single"/>
        </w:rPr>
      </w:pPr>
      <w:r w:rsidRPr="0028764F">
        <w:rPr>
          <w:rFonts w:ascii="Times New Roman" w:hAnsi="Times New Roman" w:cs="Times New Roman"/>
          <w:spacing w:val="-3"/>
          <w:u w:val="single"/>
        </w:rPr>
        <w:t>DISCUSSION</w:t>
      </w:r>
    </w:p>
    <w:p w:rsidR="00D43D6D" w:rsidRDefault="00D43D6D" w:rsidP="00D90232">
      <w:pPr>
        <w:tabs>
          <w:tab w:val="center" w:pos="4680"/>
        </w:tabs>
        <w:suppressAutoHyphens/>
        <w:spacing w:line="360" w:lineRule="auto"/>
        <w:ind w:firstLine="1440"/>
        <w:rPr>
          <w:rFonts w:ascii="Times New Roman" w:hAnsi="Times New Roman" w:cs="Times New Roman"/>
          <w:spacing w:val="-3"/>
        </w:rPr>
      </w:pPr>
    </w:p>
    <w:p w:rsidR="00476024" w:rsidRDefault="00476024" w:rsidP="0028764F">
      <w:pPr>
        <w:tabs>
          <w:tab w:val="center" w:pos="468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This proceeding concerns the Commission’s determination on January 4, 2010 to find Duquesne Light to be non-compliant with the AEPS Act</w:t>
      </w:r>
      <w:r w:rsidR="009F2C4C">
        <w:rPr>
          <w:rFonts w:ascii="Times New Roman" w:hAnsi="Times New Roman" w:cs="Times New Roman"/>
          <w:spacing w:val="-3"/>
        </w:rPr>
        <w:t xml:space="preserve"> for failing to have the required level of Tier I credits in the 2008/2009 compliance year.  The Commission imposed an alternative energy compliance payment</w:t>
      </w:r>
      <w:r w:rsidR="00D834A0">
        <w:rPr>
          <w:rFonts w:ascii="Times New Roman" w:hAnsi="Times New Roman" w:cs="Times New Roman"/>
          <w:spacing w:val="-3"/>
        </w:rPr>
        <w:t>, or civil penalty,</w:t>
      </w:r>
      <w:r w:rsidR="009F2C4C">
        <w:rPr>
          <w:rFonts w:ascii="Times New Roman" w:hAnsi="Times New Roman" w:cs="Times New Roman"/>
          <w:spacing w:val="-3"/>
        </w:rPr>
        <w:t xml:space="preserve"> in the amount of $1,934,100 on Duquesne Light.  Duquesne Light contested it failed to comply with the AEPS Act and filed its objection in the form of a petition on January 19, 2010.  </w:t>
      </w:r>
      <w:r>
        <w:rPr>
          <w:rFonts w:ascii="Times New Roman" w:hAnsi="Times New Roman" w:cs="Times New Roman"/>
          <w:spacing w:val="-3"/>
        </w:rPr>
        <w:t xml:space="preserve"> </w:t>
      </w:r>
    </w:p>
    <w:p w:rsidR="00476024" w:rsidRPr="0028764F" w:rsidRDefault="00476024" w:rsidP="0028764F">
      <w:pPr>
        <w:tabs>
          <w:tab w:val="center" w:pos="4680"/>
        </w:tabs>
        <w:suppressAutoHyphens/>
        <w:spacing w:line="360" w:lineRule="auto"/>
        <w:ind w:firstLine="1440"/>
        <w:rPr>
          <w:rFonts w:ascii="Times New Roman" w:hAnsi="Times New Roman" w:cs="Times New Roman"/>
          <w:spacing w:val="-3"/>
        </w:rPr>
      </w:pPr>
    </w:p>
    <w:p w:rsidR="0028764F" w:rsidRPr="0016243E" w:rsidRDefault="0028764F" w:rsidP="000F23A8">
      <w:pPr>
        <w:numPr>
          <w:ilvl w:val="0"/>
          <w:numId w:val="6"/>
        </w:numPr>
        <w:spacing w:line="360" w:lineRule="auto"/>
        <w:ind w:hanging="720"/>
        <w:rPr>
          <w:rFonts w:ascii="Times New Roman" w:hAnsi="Times New Roman" w:cs="Times New Roman"/>
          <w:b/>
          <w:u w:val="single"/>
        </w:rPr>
      </w:pPr>
      <w:r w:rsidRPr="0016243E">
        <w:rPr>
          <w:rFonts w:ascii="Times New Roman" w:hAnsi="Times New Roman" w:cs="Times New Roman"/>
          <w:b/>
          <w:u w:val="single"/>
        </w:rPr>
        <w:t>The AEPS Act</w:t>
      </w:r>
    </w:p>
    <w:p w:rsidR="0028764F" w:rsidRPr="0028764F" w:rsidRDefault="0028764F" w:rsidP="0028764F">
      <w:pPr>
        <w:spacing w:line="360" w:lineRule="auto"/>
        <w:rPr>
          <w:rFonts w:ascii="Times New Roman" w:hAnsi="Times New Roman" w:cs="Times New Roman"/>
        </w:rPr>
      </w:pPr>
      <w:r w:rsidRPr="0028764F">
        <w:rPr>
          <w:rFonts w:ascii="Times New Roman" w:hAnsi="Times New Roman" w:cs="Times New Roman"/>
        </w:rPr>
        <w:tab/>
      </w:r>
      <w:r w:rsidRPr="0028764F">
        <w:rPr>
          <w:rFonts w:ascii="Times New Roman" w:hAnsi="Times New Roman" w:cs="Times New Roman"/>
        </w:rPr>
        <w:tab/>
      </w:r>
    </w:p>
    <w:p w:rsidR="00A138B5" w:rsidRDefault="0028764F" w:rsidP="0028764F">
      <w:pPr>
        <w:spacing w:line="360" w:lineRule="auto"/>
        <w:rPr>
          <w:rFonts w:ascii="Times New Roman" w:hAnsi="Times New Roman" w:cs="Times New Roman"/>
        </w:rPr>
      </w:pPr>
      <w:r w:rsidRPr="0028764F">
        <w:rPr>
          <w:rFonts w:ascii="Times New Roman" w:hAnsi="Times New Roman" w:cs="Times New Roman"/>
        </w:rPr>
        <w:tab/>
      </w:r>
      <w:r w:rsidRPr="0028764F">
        <w:rPr>
          <w:rFonts w:ascii="Times New Roman" w:hAnsi="Times New Roman" w:cs="Times New Roman"/>
        </w:rPr>
        <w:tab/>
        <w:t xml:space="preserve">The Alternative Energy Portfolio Standards Act, 73 </w:t>
      </w:r>
      <w:r w:rsidR="00801737" w:rsidRPr="0028764F">
        <w:rPr>
          <w:rFonts w:ascii="Times New Roman" w:hAnsi="Times New Roman" w:cs="Times New Roman"/>
        </w:rPr>
        <w:t>P</w:t>
      </w:r>
      <w:r w:rsidR="00801737">
        <w:rPr>
          <w:rFonts w:ascii="Times New Roman" w:hAnsi="Times New Roman" w:cs="Times New Roman"/>
        </w:rPr>
        <w:t>a</w:t>
      </w:r>
      <w:r w:rsidR="00801737" w:rsidRPr="0028764F">
        <w:rPr>
          <w:rFonts w:ascii="Times New Roman" w:hAnsi="Times New Roman" w:cs="Times New Roman"/>
        </w:rPr>
        <w:t>.</w:t>
      </w:r>
      <w:r w:rsidR="00801737">
        <w:rPr>
          <w:rFonts w:ascii="Times New Roman" w:hAnsi="Times New Roman" w:cs="Times New Roman"/>
        </w:rPr>
        <w:t xml:space="preserve"> C.</w:t>
      </w:r>
      <w:r w:rsidR="00801737" w:rsidRPr="0028764F">
        <w:rPr>
          <w:rFonts w:ascii="Times New Roman" w:hAnsi="Times New Roman" w:cs="Times New Roman"/>
        </w:rPr>
        <w:t>S.</w:t>
      </w:r>
      <w:r w:rsidR="00801737">
        <w:rPr>
          <w:rFonts w:ascii="Times New Roman" w:hAnsi="Times New Roman" w:cs="Times New Roman"/>
        </w:rPr>
        <w:t xml:space="preserve">A. </w:t>
      </w:r>
      <w:r w:rsidRPr="0028764F">
        <w:rPr>
          <w:rFonts w:ascii="Times New Roman" w:hAnsi="Times New Roman" w:cs="Times New Roman"/>
        </w:rPr>
        <w:t xml:space="preserve">§1648.1-1648.8 (AEPS Act) sets requirements for electric utilities in the Commonwealth for energy sold from </w:t>
      </w:r>
    </w:p>
    <w:p w:rsidR="0028764F" w:rsidRPr="0028764F" w:rsidRDefault="00CC60E9" w:rsidP="0028764F">
      <w:pPr>
        <w:spacing w:line="360" w:lineRule="auto"/>
        <w:rPr>
          <w:rFonts w:ascii="Times New Roman" w:hAnsi="Times New Roman" w:cs="Times New Roman"/>
        </w:rPr>
      </w:pPr>
      <w:r>
        <w:rPr>
          <w:rFonts w:ascii="Times New Roman" w:hAnsi="Times New Roman" w:cs="Times New Roman"/>
        </w:rPr>
        <w:t xml:space="preserve">alternative energy sources. </w:t>
      </w:r>
      <w:r w:rsidR="0028764F" w:rsidRPr="0028764F">
        <w:rPr>
          <w:rFonts w:ascii="Times New Roman" w:hAnsi="Times New Roman" w:cs="Times New Roman"/>
        </w:rPr>
        <w:t xml:space="preserve"> The AEPS Act </w:t>
      </w:r>
      <w:r w:rsidR="007076B9">
        <w:rPr>
          <w:rFonts w:ascii="Times New Roman" w:hAnsi="Times New Roman" w:cs="Times New Roman"/>
        </w:rPr>
        <w:t>specifies an</w:t>
      </w:r>
      <w:r w:rsidR="0028764F" w:rsidRPr="0028764F">
        <w:rPr>
          <w:rFonts w:ascii="Times New Roman" w:hAnsi="Times New Roman" w:cs="Times New Roman"/>
        </w:rPr>
        <w:t xml:space="preserve"> alternative energy credit is the tradable instrument used to establish, verify and monitor compliance with the </w:t>
      </w:r>
      <w:r w:rsidR="007076B9">
        <w:rPr>
          <w:rFonts w:ascii="Times New Roman" w:hAnsi="Times New Roman" w:cs="Times New Roman"/>
        </w:rPr>
        <w:t xml:space="preserve">AEPS </w:t>
      </w:r>
      <w:r w:rsidR="0028764F" w:rsidRPr="0028764F">
        <w:rPr>
          <w:rFonts w:ascii="Times New Roman" w:hAnsi="Times New Roman" w:cs="Times New Roman"/>
        </w:rPr>
        <w:t xml:space="preserve">Act, and </w:t>
      </w:r>
      <w:r w:rsidR="007076B9">
        <w:rPr>
          <w:rFonts w:ascii="Times New Roman" w:hAnsi="Times New Roman" w:cs="Times New Roman"/>
        </w:rPr>
        <w:t xml:space="preserve">further specifies </w:t>
      </w:r>
      <w:r w:rsidR="0028764F" w:rsidRPr="0028764F">
        <w:rPr>
          <w:rFonts w:ascii="Times New Roman" w:hAnsi="Times New Roman" w:cs="Times New Roman"/>
        </w:rPr>
        <w:t>a unit of credit equal</w:t>
      </w:r>
      <w:r w:rsidR="007076B9">
        <w:rPr>
          <w:rFonts w:ascii="Times New Roman" w:hAnsi="Times New Roman" w:cs="Times New Roman"/>
        </w:rPr>
        <w:t>s</w:t>
      </w:r>
      <w:r w:rsidR="0028764F" w:rsidRPr="0028764F">
        <w:rPr>
          <w:rFonts w:ascii="Times New Roman" w:hAnsi="Times New Roman" w:cs="Times New Roman"/>
        </w:rPr>
        <w:t xml:space="preserve"> one megawatt hour of electricity from an alternative energy source. </w:t>
      </w:r>
      <w:r w:rsidR="002C17E2">
        <w:rPr>
          <w:rFonts w:ascii="Times New Roman" w:hAnsi="Times New Roman" w:cs="Times New Roman"/>
        </w:rPr>
        <w:t xml:space="preserve"> </w:t>
      </w:r>
      <w:r w:rsidR="0028764F" w:rsidRPr="0028764F">
        <w:rPr>
          <w:rFonts w:ascii="Times New Roman" w:hAnsi="Times New Roman" w:cs="Times New Roman"/>
        </w:rPr>
        <w:t xml:space="preserve">73 </w:t>
      </w:r>
      <w:r w:rsidR="00801737" w:rsidRPr="0028764F">
        <w:rPr>
          <w:rFonts w:ascii="Times New Roman" w:hAnsi="Times New Roman" w:cs="Times New Roman"/>
        </w:rPr>
        <w:t>P</w:t>
      </w:r>
      <w:r w:rsidR="00801737">
        <w:rPr>
          <w:rFonts w:ascii="Times New Roman" w:hAnsi="Times New Roman" w:cs="Times New Roman"/>
        </w:rPr>
        <w:t>a</w:t>
      </w:r>
      <w:r w:rsidR="00801737" w:rsidRPr="0028764F">
        <w:rPr>
          <w:rFonts w:ascii="Times New Roman" w:hAnsi="Times New Roman" w:cs="Times New Roman"/>
        </w:rPr>
        <w:t>.</w:t>
      </w:r>
      <w:r w:rsidR="00801737">
        <w:rPr>
          <w:rFonts w:ascii="Times New Roman" w:hAnsi="Times New Roman" w:cs="Times New Roman"/>
        </w:rPr>
        <w:t xml:space="preserve"> C.</w:t>
      </w:r>
      <w:r w:rsidR="00801737" w:rsidRPr="0028764F">
        <w:rPr>
          <w:rFonts w:ascii="Times New Roman" w:hAnsi="Times New Roman" w:cs="Times New Roman"/>
        </w:rPr>
        <w:t>S.</w:t>
      </w:r>
      <w:r w:rsidR="00801737">
        <w:rPr>
          <w:rFonts w:ascii="Times New Roman" w:hAnsi="Times New Roman" w:cs="Times New Roman"/>
        </w:rPr>
        <w:t xml:space="preserve">A. </w:t>
      </w:r>
      <w:r w:rsidR="000F23A8">
        <w:rPr>
          <w:rFonts w:ascii="Times New Roman" w:hAnsi="Times New Roman" w:cs="Times New Roman"/>
        </w:rPr>
        <w:t>§</w:t>
      </w:r>
      <w:r w:rsidR="007076B9">
        <w:rPr>
          <w:rFonts w:ascii="Times New Roman" w:hAnsi="Times New Roman" w:cs="Times New Roman"/>
        </w:rPr>
        <w:t xml:space="preserve">1648.2(definitions).  </w:t>
      </w:r>
      <w:r w:rsidR="0028764F" w:rsidRPr="0028764F">
        <w:rPr>
          <w:rFonts w:ascii="Times New Roman" w:hAnsi="Times New Roman" w:cs="Times New Roman"/>
        </w:rPr>
        <w:t>The Act</w:t>
      </w:r>
      <w:r w:rsidR="007076B9">
        <w:rPr>
          <w:rFonts w:ascii="Times New Roman" w:hAnsi="Times New Roman" w:cs="Times New Roman"/>
        </w:rPr>
        <w:t xml:space="preserve"> also</w:t>
      </w:r>
      <w:r w:rsidR="0028764F" w:rsidRPr="0028764F">
        <w:rPr>
          <w:rFonts w:ascii="Times New Roman" w:hAnsi="Times New Roman" w:cs="Times New Roman"/>
        </w:rPr>
        <w:t xml:space="preserve"> provides for a “true-up period” for </w:t>
      </w:r>
      <w:r w:rsidR="0028764F" w:rsidRPr="0028764F">
        <w:rPr>
          <w:rFonts w:ascii="Times New Roman" w:hAnsi="Times New Roman" w:cs="Times New Roman"/>
        </w:rPr>
        <w:lastRenderedPageBreak/>
        <w:t>compliance</w:t>
      </w:r>
      <w:r w:rsidR="007076B9">
        <w:rPr>
          <w:rFonts w:ascii="Times New Roman" w:hAnsi="Times New Roman" w:cs="Times New Roman"/>
        </w:rPr>
        <w:t xml:space="preserve"> which is defined as</w:t>
      </w:r>
      <w:r w:rsidR="0028764F" w:rsidRPr="0028764F">
        <w:rPr>
          <w:rFonts w:ascii="Times New Roman" w:hAnsi="Times New Roman" w:cs="Times New Roman"/>
        </w:rPr>
        <w:t xml:space="preserve"> “the period each year from the end of the reporting year until September 1.”  73 </w:t>
      </w:r>
      <w:r w:rsidR="00801737" w:rsidRPr="0028764F">
        <w:rPr>
          <w:rFonts w:ascii="Times New Roman" w:hAnsi="Times New Roman" w:cs="Times New Roman"/>
        </w:rPr>
        <w:t>P</w:t>
      </w:r>
      <w:r w:rsidR="00801737">
        <w:rPr>
          <w:rFonts w:ascii="Times New Roman" w:hAnsi="Times New Roman" w:cs="Times New Roman"/>
        </w:rPr>
        <w:t>a</w:t>
      </w:r>
      <w:r w:rsidR="00801737" w:rsidRPr="0028764F">
        <w:rPr>
          <w:rFonts w:ascii="Times New Roman" w:hAnsi="Times New Roman" w:cs="Times New Roman"/>
        </w:rPr>
        <w:t>.</w:t>
      </w:r>
      <w:r w:rsidR="00801737">
        <w:rPr>
          <w:rFonts w:ascii="Times New Roman" w:hAnsi="Times New Roman" w:cs="Times New Roman"/>
        </w:rPr>
        <w:t xml:space="preserve"> C.</w:t>
      </w:r>
      <w:r w:rsidR="00801737" w:rsidRPr="0028764F">
        <w:rPr>
          <w:rFonts w:ascii="Times New Roman" w:hAnsi="Times New Roman" w:cs="Times New Roman"/>
        </w:rPr>
        <w:t>S.</w:t>
      </w:r>
      <w:r w:rsidR="00801737">
        <w:rPr>
          <w:rFonts w:ascii="Times New Roman" w:hAnsi="Times New Roman" w:cs="Times New Roman"/>
        </w:rPr>
        <w:t>A.</w:t>
      </w:r>
      <w:r w:rsidR="00801737" w:rsidRPr="0028764F">
        <w:rPr>
          <w:rFonts w:ascii="Times New Roman" w:hAnsi="Times New Roman" w:cs="Times New Roman"/>
        </w:rPr>
        <w:t xml:space="preserve"> </w:t>
      </w:r>
      <w:r w:rsidR="00801737">
        <w:rPr>
          <w:rFonts w:ascii="Times New Roman" w:hAnsi="Times New Roman" w:cs="Times New Roman"/>
        </w:rPr>
        <w:t xml:space="preserve"> </w:t>
      </w:r>
      <w:r w:rsidR="0028764F" w:rsidRPr="0028764F">
        <w:rPr>
          <w:rFonts w:ascii="Times New Roman" w:hAnsi="Times New Roman" w:cs="Times New Roman"/>
        </w:rPr>
        <w:t xml:space="preserve">§1648.2 (definitions).  </w:t>
      </w:r>
    </w:p>
    <w:p w:rsidR="0028764F" w:rsidRPr="0028764F" w:rsidRDefault="0028764F" w:rsidP="0028764F">
      <w:pPr>
        <w:spacing w:line="360" w:lineRule="auto"/>
        <w:rPr>
          <w:rFonts w:ascii="Times New Roman" w:hAnsi="Times New Roman" w:cs="Times New Roman"/>
        </w:rPr>
      </w:pPr>
    </w:p>
    <w:p w:rsidR="0028764F" w:rsidRPr="0028764F" w:rsidRDefault="0028764F" w:rsidP="0028764F">
      <w:pPr>
        <w:spacing w:line="360" w:lineRule="auto"/>
        <w:rPr>
          <w:rFonts w:ascii="Times New Roman" w:hAnsi="Times New Roman" w:cs="Times New Roman"/>
        </w:rPr>
      </w:pPr>
      <w:r w:rsidRPr="0028764F">
        <w:rPr>
          <w:rFonts w:ascii="Times New Roman" w:hAnsi="Times New Roman" w:cs="Times New Roman"/>
        </w:rPr>
        <w:tab/>
      </w:r>
      <w:r w:rsidRPr="0028764F">
        <w:rPr>
          <w:rFonts w:ascii="Times New Roman" w:hAnsi="Times New Roman" w:cs="Times New Roman"/>
        </w:rPr>
        <w:tab/>
        <w:t>The AEPS Act</w:t>
      </w:r>
      <w:r w:rsidRPr="0028764F">
        <w:rPr>
          <w:rFonts w:ascii="Times New Roman" w:hAnsi="Times New Roman" w:cs="Times New Roman"/>
        </w:rPr>
        <w:tab/>
        <w:t xml:space="preserve"> requires the Commission to establish a program for the implementation of the Act:</w:t>
      </w:r>
    </w:p>
    <w:p w:rsidR="0028764F" w:rsidRPr="0028764F" w:rsidRDefault="0028764F" w:rsidP="00E25E85">
      <w:pPr>
        <w:ind w:left="1440" w:right="1440"/>
        <w:contextualSpacing/>
        <w:jc w:val="both"/>
        <w:rPr>
          <w:rFonts w:ascii="Times New Roman" w:hAnsi="Times New Roman" w:cs="Times New Roman"/>
        </w:rPr>
      </w:pPr>
      <w:r w:rsidRPr="0028764F">
        <w:rPr>
          <w:rFonts w:ascii="Times New Roman" w:hAnsi="Times New Roman" w:cs="Times New Roman"/>
        </w:rPr>
        <w:tab/>
        <w:t>(2)  The commission shall approve an independent entity to serve as the alternative energy credits program administrator.  The Administrator shall have those powers and duties assigned by commission regulations</w:t>
      </w:r>
      <w:r w:rsidR="00CC60E9">
        <w:rPr>
          <w:rFonts w:ascii="Times New Roman" w:hAnsi="Times New Roman" w:cs="Times New Roman"/>
        </w:rPr>
        <w:t xml:space="preserve">. </w:t>
      </w:r>
      <w:r w:rsidRPr="0028764F">
        <w:rPr>
          <w:rFonts w:ascii="Times New Roman" w:hAnsi="Times New Roman" w:cs="Times New Roman"/>
        </w:rPr>
        <w:t xml:space="preserve"> Such powers and duties shall include, but not be limited to, the following:</w:t>
      </w:r>
    </w:p>
    <w:p w:rsidR="0028764F" w:rsidRPr="0028764F" w:rsidRDefault="0028764F" w:rsidP="00E25E85">
      <w:pPr>
        <w:ind w:left="1440" w:right="1440"/>
        <w:contextualSpacing/>
        <w:jc w:val="both"/>
        <w:rPr>
          <w:rFonts w:ascii="Times New Roman" w:hAnsi="Times New Roman" w:cs="Times New Roman"/>
        </w:rPr>
      </w:pPr>
      <w:r w:rsidRPr="0028764F">
        <w:rPr>
          <w:rFonts w:ascii="Times New Roman" w:hAnsi="Times New Roman" w:cs="Times New Roman"/>
        </w:rPr>
        <w:tab/>
        <w:t>(i) To create and administer an alternative energy credits certification, tracking and reporting program.  This program should include, at a minimum, a process for qualifying alternative energy systems and determining the manner credits can be created, accounted for, transferred and retired.</w:t>
      </w:r>
    </w:p>
    <w:p w:rsidR="0028764F" w:rsidRPr="0028764F" w:rsidRDefault="0028764F" w:rsidP="00E25E85">
      <w:pPr>
        <w:ind w:left="1440" w:right="1440"/>
        <w:contextualSpacing/>
        <w:jc w:val="both"/>
        <w:rPr>
          <w:rFonts w:ascii="Times New Roman" w:hAnsi="Times New Roman" w:cs="Times New Roman"/>
        </w:rPr>
      </w:pPr>
      <w:r w:rsidRPr="0028764F">
        <w:rPr>
          <w:rFonts w:ascii="Times New Roman" w:hAnsi="Times New Roman" w:cs="Times New Roman"/>
        </w:rPr>
        <w:tab/>
        <w:t xml:space="preserve">(ii) To submit reports to the commission at such times and in such manner as the commission shall direct.  </w:t>
      </w:r>
    </w:p>
    <w:p w:rsidR="0028764F" w:rsidRPr="0028764F" w:rsidRDefault="0028764F" w:rsidP="00E25E85">
      <w:pPr>
        <w:ind w:left="1440" w:right="1440"/>
        <w:contextualSpacing/>
        <w:jc w:val="both"/>
        <w:rPr>
          <w:rFonts w:ascii="Times New Roman" w:hAnsi="Times New Roman" w:cs="Times New Roman"/>
        </w:rPr>
      </w:pPr>
      <w:r w:rsidRPr="0028764F">
        <w:rPr>
          <w:rFonts w:ascii="Times New Roman" w:hAnsi="Times New Roman" w:cs="Times New Roman"/>
        </w:rPr>
        <w:t>* * *</w:t>
      </w:r>
    </w:p>
    <w:p w:rsidR="0028764F" w:rsidRPr="0028764F" w:rsidRDefault="0028764F" w:rsidP="00E25E85">
      <w:pPr>
        <w:ind w:left="1440" w:right="1440"/>
        <w:contextualSpacing/>
        <w:jc w:val="both"/>
        <w:rPr>
          <w:rFonts w:ascii="Times New Roman" w:hAnsi="Times New Roman" w:cs="Times New Roman"/>
        </w:rPr>
      </w:pPr>
      <w:r w:rsidRPr="0028764F">
        <w:rPr>
          <w:rFonts w:ascii="Times New Roman" w:hAnsi="Times New Roman" w:cs="Times New Roman"/>
        </w:rPr>
        <w:tab/>
        <w:t>(4) (i) An electric distribution company or electric generation supplier shall comply with the applicable requirements of this section by purchasing sufficient alternative energy credits and submitting documentation of compliance to the program administrator.</w:t>
      </w:r>
    </w:p>
    <w:p w:rsidR="0028764F" w:rsidRPr="0028764F" w:rsidRDefault="0028764F" w:rsidP="00E25E85">
      <w:pPr>
        <w:ind w:left="1440" w:right="1440"/>
        <w:contextualSpacing/>
        <w:jc w:val="both"/>
        <w:rPr>
          <w:rFonts w:ascii="Times New Roman" w:hAnsi="Times New Roman" w:cs="Times New Roman"/>
        </w:rPr>
      </w:pPr>
      <w:r w:rsidRPr="0028764F">
        <w:rPr>
          <w:rFonts w:ascii="Times New Roman" w:hAnsi="Times New Roman" w:cs="Times New Roman"/>
        </w:rPr>
        <w:t>* * *</w:t>
      </w:r>
    </w:p>
    <w:p w:rsidR="0028764F" w:rsidRPr="0028764F" w:rsidRDefault="0028764F" w:rsidP="00E25E85">
      <w:pPr>
        <w:ind w:left="1440" w:right="1440"/>
        <w:contextualSpacing/>
        <w:jc w:val="both"/>
        <w:rPr>
          <w:rFonts w:ascii="Times New Roman" w:hAnsi="Times New Roman" w:cs="Times New Roman"/>
          <w:color w:val="1F497D"/>
        </w:rPr>
      </w:pPr>
      <w:r w:rsidRPr="0028764F">
        <w:rPr>
          <w:rFonts w:ascii="Times New Roman" w:hAnsi="Times New Roman" w:cs="Times New Roman"/>
        </w:rPr>
        <w:tab/>
        <w:t>(5)  The alternative energy credits program shall include provisions requiring a reporting period as defined in section 2 for all covered entities under this act.  The alternative energy credits program shall also include a true-up period as defined in section 2. The true-up period shall provide entities covered under this act the ability to obtain the required number of alternative energy credits or to make up any shortfall of the alternative energy credits they may be required to obtain to comply with this act. . . .</w:t>
      </w:r>
    </w:p>
    <w:p w:rsidR="0028764F" w:rsidRPr="0028764F" w:rsidRDefault="0028764F" w:rsidP="00E25E85">
      <w:pPr>
        <w:ind w:left="1440" w:right="1440"/>
        <w:contextualSpacing/>
        <w:jc w:val="both"/>
        <w:rPr>
          <w:rFonts w:ascii="Times New Roman" w:hAnsi="Times New Roman" w:cs="Times New Roman"/>
        </w:rPr>
      </w:pPr>
      <w:r w:rsidRPr="0028764F">
        <w:rPr>
          <w:rFonts w:ascii="Times New Roman" w:hAnsi="Times New Roman" w:cs="Times New Roman"/>
        </w:rPr>
        <w:t>* * *</w:t>
      </w:r>
    </w:p>
    <w:p w:rsidR="0028764F" w:rsidRPr="0028764F" w:rsidRDefault="0028764F" w:rsidP="00E25E85">
      <w:pPr>
        <w:ind w:left="1440" w:right="1440"/>
        <w:contextualSpacing/>
        <w:jc w:val="both"/>
        <w:rPr>
          <w:rFonts w:ascii="Times New Roman" w:hAnsi="Times New Roman" w:cs="Times New Roman"/>
        </w:rPr>
      </w:pPr>
      <w:r w:rsidRPr="0028764F">
        <w:rPr>
          <w:rFonts w:ascii="Times New Roman" w:hAnsi="Times New Roman" w:cs="Times New Roman"/>
        </w:rPr>
        <w:tab/>
        <w:t xml:space="preserve">(8)  The commission or its designee shall develop a registry of pertinent information regarding all available alternative energy credits, credit transactions among electric distribution companies and electric generation suppliers, the number of alternative energy credits sold or transferred and the price paid for the sale or transfer of the credits.  The registry shall provide current information to electric distribution companies, electric generation suppliers and the general public on the status of alternative energy credits created, sold or transferred within this Commonwealth.  </w:t>
      </w:r>
    </w:p>
    <w:p w:rsidR="0028764F" w:rsidRPr="0028764F" w:rsidRDefault="0028764F" w:rsidP="00E25E85">
      <w:pPr>
        <w:ind w:left="1440" w:right="1440"/>
        <w:contextualSpacing/>
        <w:jc w:val="both"/>
        <w:rPr>
          <w:rFonts w:ascii="Times New Roman" w:hAnsi="Times New Roman" w:cs="Times New Roman"/>
        </w:rPr>
      </w:pPr>
      <w:r w:rsidRPr="0028764F">
        <w:rPr>
          <w:rFonts w:ascii="Times New Roman" w:hAnsi="Times New Roman" w:cs="Times New Roman"/>
        </w:rPr>
        <w:t xml:space="preserve">73 </w:t>
      </w:r>
      <w:r w:rsidR="00564FAC" w:rsidRPr="0028764F">
        <w:rPr>
          <w:rFonts w:ascii="Times New Roman" w:hAnsi="Times New Roman" w:cs="Times New Roman"/>
        </w:rPr>
        <w:t>P</w:t>
      </w:r>
      <w:r w:rsidR="00564FAC">
        <w:rPr>
          <w:rFonts w:ascii="Times New Roman" w:hAnsi="Times New Roman" w:cs="Times New Roman"/>
        </w:rPr>
        <w:t>a</w:t>
      </w:r>
      <w:r w:rsidR="00564FAC" w:rsidRPr="0028764F">
        <w:rPr>
          <w:rFonts w:ascii="Times New Roman" w:hAnsi="Times New Roman" w:cs="Times New Roman"/>
        </w:rPr>
        <w:t>.</w:t>
      </w:r>
      <w:r w:rsidR="00564FAC">
        <w:rPr>
          <w:rFonts w:ascii="Times New Roman" w:hAnsi="Times New Roman" w:cs="Times New Roman"/>
        </w:rPr>
        <w:t xml:space="preserve"> C.</w:t>
      </w:r>
      <w:r w:rsidR="00564FAC" w:rsidRPr="0028764F">
        <w:rPr>
          <w:rFonts w:ascii="Times New Roman" w:hAnsi="Times New Roman" w:cs="Times New Roman"/>
        </w:rPr>
        <w:t>S.</w:t>
      </w:r>
      <w:r w:rsidR="00564FAC">
        <w:rPr>
          <w:rFonts w:ascii="Times New Roman" w:hAnsi="Times New Roman" w:cs="Times New Roman"/>
        </w:rPr>
        <w:t>A.</w:t>
      </w:r>
      <w:r w:rsidR="00564FAC" w:rsidRPr="0028764F">
        <w:rPr>
          <w:rFonts w:ascii="Times New Roman" w:hAnsi="Times New Roman" w:cs="Times New Roman"/>
        </w:rPr>
        <w:t xml:space="preserve"> </w:t>
      </w:r>
      <w:r w:rsidR="00801737">
        <w:rPr>
          <w:rFonts w:ascii="Times New Roman" w:hAnsi="Times New Roman" w:cs="Times New Roman"/>
        </w:rPr>
        <w:t>§</w:t>
      </w:r>
      <w:r w:rsidRPr="0028764F">
        <w:rPr>
          <w:rFonts w:ascii="Times New Roman" w:hAnsi="Times New Roman" w:cs="Times New Roman"/>
        </w:rPr>
        <w:t>1648.3(e).</w:t>
      </w:r>
    </w:p>
    <w:p w:rsidR="00651851" w:rsidRDefault="0028764F" w:rsidP="0028764F">
      <w:pPr>
        <w:rPr>
          <w:rFonts w:ascii="Times New Roman" w:hAnsi="Times New Roman" w:cs="Times New Roman"/>
        </w:rPr>
      </w:pPr>
      <w:r w:rsidRPr="0028764F">
        <w:rPr>
          <w:rFonts w:ascii="Times New Roman" w:hAnsi="Times New Roman" w:cs="Times New Roman"/>
        </w:rPr>
        <w:tab/>
      </w:r>
      <w:r w:rsidRPr="0028764F">
        <w:rPr>
          <w:rFonts w:ascii="Times New Roman" w:hAnsi="Times New Roman" w:cs="Times New Roman"/>
        </w:rPr>
        <w:tab/>
      </w:r>
    </w:p>
    <w:p w:rsidR="0028764F" w:rsidRDefault="0028764F" w:rsidP="00651851">
      <w:pPr>
        <w:ind w:firstLine="1440"/>
        <w:rPr>
          <w:rFonts w:ascii="Times New Roman" w:hAnsi="Times New Roman" w:cs="Times New Roman"/>
        </w:rPr>
      </w:pPr>
      <w:r w:rsidRPr="0028764F">
        <w:rPr>
          <w:rFonts w:ascii="Times New Roman" w:hAnsi="Times New Roman" w:cs="Times New Roman"/>
        </w:rPr>
        <w:lastRenderedPageBreak/>
        <w:t>Under the Alternative Compliance Payment section, the following is provided:</w:t>
      </w:r>
    </w:p>
    <w:p w:rsidR="00651851" w:rsidRDefault="00651851" w:rsidP="00E25E85">
      <w:pPr>
        <w:ind w:left="1440" w:right="1440" w:firstLine="720"/>
        <w:contextualSpacing/>
        <w:jc w:val="both"/>
        <w:rPr>
          <w:rFonts w:ascii="Times New Roman" w:hAnsi="Times New Roman" w:cs="Times New Roman"/>
        </w:rPr>
      </w:pPr>
    </w:p>
    <w:p w:rsidR="0028764F" w:rsidRDefault="0028764F" w:rsidP="00E25E85">
      <w:pPr>
        <w:ind w:left="1440" w:right="1440" w:firstLine="720"/>
        <w:contextualSpacing/>
        <w:jc w:val="both"/>
        <w:rPr>
          <w:rFonts w:ascii="Times New Roman" w:hAnsi="Times New Roman" w:cs="Times New Roman"/>
        </w:rPr>
      </w:pPr>
      <w:r w:rsidRPr="0028764F">
        <w:rPr>
          <w:rFonts w:ascii="Times New Roman" w:hAnsi="Times New Roman" w:cs="Times New Roman"/>
        </w:rPr>
        <w:t xml:space="preserve">(1)  At the end of each program </w:t>
      </w:r>
      <w:r w:rsidR="00D61172">
        <w:rPr>
          <w:rFonts w:ascii="Times New Roman" w:hAnsi="Times New Roman" w:cs="Times New Roman"/>
        </w:rPr>
        <w:t>year, the program administrator</w:t>
      </w:r>
      <w:r w:rsidRPr="0028764F">
        <w:rPr>
          <w:rFonts w:ascii="Times New Roman" w:hAnsi="Times New Roman" w:cs="Times New Roman"/>
        </w:rPr>
        <w:t xml:space="preserve"> shall provide a report to the commission and to each covered electric distribution company showing their status level of alternative energy acquisition.</w:t>
      </w:r>
    </w:p>
    <w:p w:rsidR="00832320" w:rsidRPr="0028764F" w:rsidRDefault="00832320" w:rsidP="00E25E85">
      <w:pPr>
        <w:ind w:left="1440" w:right="1440"/>
        <w:contextualSpacing/>
        <w:jc w:val="both"/>
        <w:rPr>
          <w:rFonts w:ascii="Times New Roman" w:hAnsi="Times New Roman" w:cs="Times New Roman"/>
        </w:rPr>
      </w:pPr>
    </w:p>
    <w:p w:rsidR="0028764F" w:rsidRPr="0028764F" w:rsidRDefault="0028764F" w:rsidP="00E25E85">
      <w:pPr>
        <w:ind w:left="1440" w:right="1440"/>
        <w:contextualSpacing/>
        <w:jc w:val="both"/>
        <w:rPr>
          <w:rFonts w:ascii="Times New Roman" w:hAnsi="Times New Roman" w:cs="Times New Roman"/>
        </w:rPr>
      </w:pPr>
      <w:r w:rsidRPr="0028764F">
        <w:rPr>
          <w:rFonts w:ascii="Times New Roman" w:hAnsi="Times New Roman" w:cs="Times New Roman"/>
        </w:rPr>
        <w:tab/>
        <w:t>(2)  The commission shall conduct a review of each determination made under subsections (b) and (c).  If, after notice and hearing, the commission determines that an electric distribution company or electric generation supplier has failed to comply with subsections (b) and (c), the commission shall impose an alternative compliance payment on that company or supplier.  73 P</w:t>
      </w:r>
      <w:r w:rsidR="00564FAC">
        <w:rPr>
          <w:rFonts w:ascii="Times New Roman" w:hAnsi="Times New Roman" w:cs="Times New Roman"/>
        </w:rPr>
        <w:t>a</w:t>
      </w:r>
      <w:r w:rsidRPr="0028764F">
        <w:rPr>
          <w:rFonts w:ascii="Times New Roman" w:hAnsi="Times New Roman" w:cs="Times New Roman"/>
        </w:rPr>
        <w:t>.</w:t>
      </w:r>
      <w:r w:rsidR="00564FAC">
        <w:rPr>
          <w:rFonts w:ascii="Times New Roman" w:hAnsi="Times New Roman" w:cs="Times New Roman"/>
        </w:rPr>
        <w:t xml:space="preserve"> C.</w:t>
      </w:r>
      <w:r w:rsidRPr="0028764F">
        <w:rPr>
          <w:rFonts w:ascii="Times New Roman" w:hAnsi="Times New Roman" w:cs="Times New Roman"/>
        </w:rPr>
        <w:t>S.</w:t>
      </w:r>
      <w:r w:rsidR="00564FAC">
        <w:rPr>
          <w:rFonts w:ascii="Times New Roman" w:hAnsi="Times New Roman" w:cs="Times New Roman"/>
        </w:rPr>
        <w:t>A.</w:t>
      </w:r>
      <w:r w:rsidRPr="0028764F">
        <w:rPr>
          <w:rFonts w:ascii="Times New Roman" w:hAnsi="Times New Roman" w:cs="Times New Roman"/>
        </w:rPr>
        <w:t xml:space="preserve"> §1648.3(f).</w:t>
      </w:r>
    </w:p>
    <w:p w:rsidR="0028764F" w:rsidRPr="0028764F" w:rsidRDefault="0028764F" w:rsidP="00E058DE">
      <w:pPr>
        <w:spacing w:line="360" w:lineRule="auto"/>
        <w:rPr>
          <w:rFonts w:ascii="Times New Roman" w:hAnsi="Times New Roman" w:cs="Times New Roman"/>
        </w:rPr>
      </w:pPr>
    </w:p>
    <w:p w:rsidR="0028764F" w:rsidRDefault="0028764F" w:rsidP="0028764F">
      <w:pPr>
        <w:spacing w:line="360" w:lineRule="auto"/>
        <w:rPr>
          <w:rFonts w:ascii="Times New Roman" w:hAnsi="Times New Roman" w:cs="Times New Roman"/>
        </w:rPr>
      </w:pPr>
      <w:r w:rsidRPr="0028764F">
        <w:rPr>
          <w:rFonts w:ascii="Times New Roman" w:hAnsi="Times New Roman" w:cs="Times New Roman"/>
        </w:rPr>
        <w:tab/>
      </w:r>
      <w:r w:rsidRPr="0028764F">
        <w:rPr>
          <w:rFonts w:ascii="Times New Roman" w:hAnsi="Times New Roman" w:cs="Times New Roman"/>
        </w:rPr>
        <w:tab/>
        <w:t>The Commission promulgated regulations to implement the AEPS Act, and the regulations establish the program administrator’s actions for each reporting period (which run from June 1</w:t>
      </w:r>
      <w:r w:rsidRPr="0028764F">
        <w:rPr>
          <w:rFonts w:ascii="Times New Roman" w:hAnsi="Times New Roman" w:cs="Times New Roman"/>
          <w:vertAlign w:val="superscript"/>
        </w:rPr>
        <w:t>st</w:t>
      </w:r>
      <w:r w:rsidRPr="0028764F">
        <w:rPr>
          <w:rFonts w:ascii="Times New Roman" w:hAnsi="Times New Roman" w:cs="Times New Roman"/>
        </w:rPr>
        <w:t xml:space="preserve"> through May 31</w:t>
      </w:r>
      <w:r w:rsidRPr="0028764F">
        <w:rPr>
          <w:rFonts w:ascii="Times New Roman" w:hAnsi="Times New Roman" w:cs="Times New Roman"/>
          <w:vertAlign w:val="superscript"/>
        </w:rPr>
        <w:t>st</w:t>
      </w:r>
      <w:r w:rsidRPr="0028764F">
        <w:rPr>
          <w:rFonts w:ascii="Times New Roman" w:hAnsi="Times New Roman" w:cs="Times New Roman"/>
        </w:rPr>
        <w:t>):</w:t>
      </w:r>
    </w:p>
    <w:p w:rsidR="006247A0" w:rsidRPr="0028764F" w:rsidRDefault="006247A0" w:rsidP="00C103F3">
      <w:pPr>
        <w:rPr>
          <w:rFonts w:ascii="Times New Roman" w:hAnsi="Times New Roman" w:cs="Times New Roman"/>
        </w:rPr>
      </w:pPr>
    </w:p>
    <w:p w:rsidR="0028764F" w:rsidRPr="0028764F" w:rsidRDefault="0028764F" w:rsidP="00E25E85">
      <w:pPr>
        <w:ind w:left="1440" w:right="1440"/>
        <w:contextualSpacing/>
        <w:jc w:val="both"/>
        <w:rPr>
          <w:rFonts w:ascii="Times New Roman" w:hAnsi="Times New Roman" w:cs="Times New Roman"/>
        </w:rPr>
      </w:pPr>
      <w:r w:rsidRPr="0028764F">
        <w:rPr>
          <w:rFonts w:ascii="Times New Roman" w:hAnsi="Times New Roman" w:cs="Times New Roman"/>
        </w:rPr>
        <w:t>(c)  The program administrator shall have the following powers and duties regarding the verification of compliance with this chapter:</w:t>
      </w:r>
    </w:p>
    <w:p w:rsidR="0028764F" w:rsidRPr="0028764F" w:rsidRDefault="0028764F" w:rsidP="00E25E85">
      <w:pPr>
        <w:ind w:left="1440" w:right="1440"/>
        <w:contextualSpacing/>
        <w:jc w:val="both"/>
        <w:rPr>
          <w:rFonts w:ascii="Times New Roman" w:hAnsi="Times New Roman" w:cs="Times New Roman"/>
        </w:rPr>
      </w:pPr>
      <w:r w:rsidRPr="0028764F">
        <w:rPr>
          <w:rFonts w:ascii="Times New Roman" w:hAnsi="Times New Roman" w:cs="Times New Roman"/>
        </w:rPr>
        <w:tab/>
        <w:t>(1)  At the end of each reporting period, the program administrator shall verif</w:t>
      </w:r>
      <w:r w:rsidR="00801737">
        <w:rPr>
          <w:rFonts w:ascii="Times New Roman" w:hAnsi="Times New Roman" w:cs="Times New Roman"/>
        </w:rPr>
        <w:t>y EDC and EGS compliance with §</w:t>
      </w:r>
      <w:r w:rsidRPr="0028764F">
        <w:rPr>
          <w:rFonts w:ascii="Times New Roman" w:hAnsi="Times New Roman" w:cs="Times New Roman"/>
        </w:rPr>
        <w:t>75.61 (relating to EDC and EGS obligations), and provide written notice to each EDC and EGS of an initial assessment of their compliance status within 45 days of the end of the reporting period.</w:t>
      </w:r>
    </w:p>
    <w:p w:rsidR="0028764F" w:rsidRPr="0028764F" w:rsidRDefault="0028764F" w:rsidP="00E25E85">
      <w:pPr>
        <w:ind w:left="1440" w:right="1440"/>
        <w:contextualSpacing/>
        <w:jc w:val="both"/>
        <w:rPr>
          <w:rFonts w:ascii="Times New Roman" w:hAnsi="Times New Roman" w:cs="Times New Roman"/>
        </w:rPr>
      </w:pPr>
      <w:r w:rsidRPr="0028764F">
        <w:rPr>
          <w:rFonts w:ascii="Times New Roman" w:hAnsi="Times New Roman" w:cs="Times New Roman"/>
        </w:rPr>
        <w:tab/>
        <w:t>(2)  At the end of each true-up period, the administrator</w:t>
      </w:r>
      <w:r w:rsidR="00801737">
        <w:rPr>
          <w:rFonts w:ascii="Times New Roman" w:hAnsi="Times New Roman" w:cs="Times New Roman"/>
        </w:rPr>
        <w:t xml:space="preserve"> shall verify compliance with §</w:t>
      </w:r>
      <w:r w:rsidRPr="0028764F">
        <w:rPr>
          <w:rFonts w:ascii="Times New Roman" w:hAnsi="Times New Roman" w:cs="Times New Roman"/>
        </w:rPr>
        <w:t xml:space="preserve">75.61 for EDCs and </w:t>
      </w:r>
      <w:r w:rsidR="00801737">
        <w:rPr>
          <w:rFonts w:ascii="Times New Roman" w:hAnsi="Times New Roman" w:cs="Times New Roman"/>
        </w:rPr>
        <w:t>EGSs who were in violation of §</w:t>
      </w:r>
      <w:r w:rsidRPr="0028764F">
        <w:rPr>
          <w:rFonts w:ascii="Times New Roman" w:hAnsi="Times New Roman" w:cs="Times New Roman"/>
        </w:rPr>
        <w:t>75.61 at the end of the reporting period.  The administrator will provide written notice to each EDC and EGS of a final assessment of their compliance status within 15 days of the end of the true-up period.</w:t>
      </w:r>
    </w:p>
    <w:p w:rsidR="0028764F" w:rsidRPr="0028764F" w:rsidRDefault="0028764F" w:rsidP="00E25E85">
      <w:pPr>
        <w:ind w:left="1440" w:right="1440"/>
        <w:contextualSpacing/>
        <w:jc w:val="both"/>
        <w:rPr>
          <w:rFonts w:ascii="Times New Roman" w:hAnsi="Times New Roman" w:cs="Times New Roman"/>
        </w:rPr>
      </w:pPr>
      <w:r w:rsidRPr="0028764F">
        <w:rPr>
          <w:rFonts w:ascii="Times New Roman" w:hAnsi="Times New Roman" w:cs="Times New Roman"/>
        </w:rPr>
        <w:tab/>
        <w:t>(3)  EDCs and EGSs shall provide all information to the program administrator necessary to verify compliance with §75.61.</w:t>
      </w:r>
    </w:p>
    <w:p w:rsidR="0028764F" w:rsidRPr="0028764F" w:rsidRDefault="00801737" w:rsidP="00E25E85">
      <w:pPr>
        <w:ind w:left="1440" w:right="1440"/>
        <w:contextualSpacing/>
        <w:jc w:val="both"/>
        <w:rPr>
          <w:rFonts w:ascii="Times New Roman" w:hAnsi="Times New Roman" w:cs="Times New Roman"/>
        </w:rPr>
      </w:pPr>
      <w:r>
        <w:rPr>
          <w:rFonts w:ascii="Times New Roman" w:hAnsi="Times New Roman" w:cs="Times New Roman"/>
        </w:rPr>
        <w:t>52 Pa. Code §</w:t>
      </w:r>
      <w:r w:rsidR="0028764F" w:rsidRPr="0028764F">
        <w:rPr>
          <w:rFonts w:ascii="Times New Roman" w:hAnsi="Times New Roman" w:cs="Times New Roman"/>
        </w:rPr>
        <w:t>75.64.</w:t>
      </w:r>
    </w:p>
    <w:p w:rsidR="00A138B5" w:rsidRDefault="00A138B5" w:rsidP="006247A0">
      <w:pPr>
        <w:spacing w:line="360" w:lineRule="auto"/>
        <w:ind w:firstLine="1440"/>
        <w:rPr>
          <w:rFonts w:ascii="Times New Roman" w:hAnsi="Times New Roman" w:cs="Times New Roman"/>
        </w:rPr>
      </w:pPr>
    </w:p>
    <w:p w:rsidR="0028764F" w:rsidRDefault="0028764F" w:rsidP="006247A0">
      <w:pPr>
        <w:spacing w:line="360" w:lineRule="auto"/>
        <w:ind w:firstLine="1440"/>
        <w:rPr>
          <w:rFonts w:ascii="Times New Roman" w:hAnsi="Times New Roman" w:cs="Times New Roman"/>
        </w:rPr>
      </w:pPr>
      <w:r w:rsidRPr="0028764F">
        <w:rPr>
          <w:rFonts w:ascii="Times New Roman" w:hAnsi="Times New Roman" w:cs="Times New Roman"/>
        </w:rPr>
        <w:t>The statute requires</w:t>
      </w:r>
      <w:r w:rsidR="000859CA">
        <w:rPr>
          <w:rFonts w:ascii="Times New Roman" w:hAnsi="Times New Roman" w:cs="Times New Roman"/>
        </w:rPr>
        <w:t xml:space="preserve">: </w:t>
      </w:r>
      <w:r w:rsidR="00FF1941">
        <w:rPr>
          <w:rFonts w:ascii="Times New Roman" w:hAnsi="Times New Roman" w:cs="Times New Roman"/>
        </w:rPr>
        <w:t>“</w:t>
      </w:r>
      <w:r w:rsidRPr="0028764F">
        <w:rPr>
          <w:rFonts w:ascii="Times New Roman" w:hAnsi="Times New Roman" w:cs="Times New Roman"/>
        </w:rPr>
        <w:t>The true-up period shall provide entities covered under this act the ability to obtain the required number of alternative energy credits or to make up any shortfall of the alternative energy credits they may be required to obtain to comply with this act.</w:t>
      </w:r>
      <w:r w:rsidR="00FF1941">
        <w:rPr>
          <w:rFonts w:ascii="Times New Roman" w:hAnsi="Times New Roman" w:cs="Times New Roman"/>
        </w:rPr>
        <w:t xml:space="preserve">  A force majeure provision shall also be provided for under the true-up period provisions.</w:t>
      </w:r>
      <w:r w:rsidRPr="0028764F">
        <w:rPr>
          <w:rFonts w:ascii="Times New Roman" w:hAnsi="Times New Roman" w:cs="Times New Roman"/>
        </w:rPr>
        <w:t>”  73 P</w:t>
      </w:r>
      <w:r w:rsidR="00564FAC">
        <w:rPr>
          <w:rFonts w:ascii="Times New Roman" w:hAnsi="Times New Roman" w:cs="Times New Roman"/>
        </w:rPr>
        <w:t>a</w:t>
      </w:r>
      <w:r w:rsidRPr="0028764F">
        <w:rPr>
          <w:rFonts w:ascii="Times New Roman" w:hAnsi="Times New Roman" w:cs="Times New Roman"/>
        </w:rPr>
        <w:t>.</w:t>
      </w:r>
      <w:r w:rsidR="00564FAC">
        <w:rPr>
          <w:rFonts w:ascii="Times New Roman" w:hAnsi="Times New Roman" w:cs="Times New Roman"/>
        </w:rPr>
        <w:t xml:space="preserve"> C.S.A.</w:t>
      </w:r>
      <w:r w:rsidR="00801737">
        <w:rPr>
          <w:rFonts w:ascii="Times New Roman" w:hAnsi="Times New Roman" w:cs="Times New Roman"/>
        </w:rPr>
        <w:t xml:space="preserve"> §</w:t>
      </w:r>
      <w:r w:rsidRPr="0028764F">
        <w:rPr>
          <w:rFonts w:ascii="Times New Roman" w:hAnsi="Times New Roman" w:cs="Times New Roman"/>
        </w:rPr>
        <w:t xml:space="preserve">1648.3(5).  </w:t>
      </w:r>
    </w:p>
    <w:p w:rsidR="00FF1941" w:rsidRDefault="00564FAC" w:rsidP="006247A0">
      <w:pPr>
        <w:spacing w:line="360" w:lineRule="auto"/>
        <w:ind w:firstLine="1440"/>
        <w:rPr>
          <w:rFonts w:ascii="Times New Roman" w:hAnsi="Times New Roman" w:cs="Times New Roman"/>
        </w:rPr>
      </w:pPr>
      <w:r>
        <w:rPr>
          <w:rFonts w:ascii="Times New Roman" w:hAnsi="Times New Roman" w:cs="Times New Roman"/>
        </w:rPr>
        <w:lastRenderedPageBreak/>
        <w:t xml:space="preserve">The statutory provisions at 73 Pa. C.S.A. §1648.2 define </w:t>
      </w:r>
      <w:r w:rsidR="00FF1941">
        <w:rPr>
          <w:rFonts w:ascii="Times New Roman" w:hAnsi="Times New Roman" w:cs="Times New Roman"/>
        </w:rPr>
        <w:t>“</w:t>
      </w:r>
      <w:r>
        <w:rPr>
          <w:rFonts w:ascii="Times New Roman" w:hAnsi="Times New Roman" w:cs="Times New Roman"/>
        </w:rPr>
        <w:t>f</w:t>
      </w:r>
      <w:r w:rsidR="00FF1941">
        <w:rPr>
          <w:rFonts w:ascii="Times New Roman" w:hAnsi="Times New Roman" w:cs="Times New Roman"/>
        </w:rPr>
        <w:t xml:space="preserve">orce majeure” </w:t>
      </w:r>
      <w:r>
        <w:rPr>
          <w:rFonts w:ascii="Times New Roman" w:hAnsi="Times New Roman" w:cs="Times New Roman"/>
        </w:rPr>
        <w:t>as</w:t>
      </w:r>
      <w:r w:rsidR="00FF1941">
        <w:rPr>
          <w:rFonts w:ascii="Times New Roman" w:hAnsi="Times New Roman" w:cs="Times New Roman"/>
        </w:rPr>
        <w:t>:</w:t>
      </w:r>
    </w:p>
    <w:p w:rsidR="00FF1941" w:rsidRDefault="00FF1941" w:rsidP="00564FAC">
      <w:pPr>
        <w:ind w:left="1440" w:right="1440"/>
        <w:jc w:val="both"/>
        <w:rPr>
          <w:rFonts w:ascii="Times New Roman" w:hAnsi="Times New Roman" w:cs="Times New Roman"/>
        </w:rPr>
      </w:pPr>
      <w:r>
        <w:rPr>
          <w:rFonts w:ascii="Times New Roman" w:hAnsi="Times New Roman" w:cs="Times New Roman"/>
        </w:rPr>
        <w:t>Upon its own initiative or upon a request of an electric distribution company or an electric generator supplier, the [Commission], within 60 days, shall determine if alternative energy resources are reasonably available in the marketplace in sufficient quantities for the electric distribution companies and electric generation suppliers to meet their obligations for that reporting period under this act.  In making this determination, the commission shall consider whether electric distribution com</w:t>
      </w:r>
      <w:r w:rsidR="00E25E6B">
        <w:rPr>
          <w:rFonts w:ascii="Times New Roman" w:hAnsi="Times New Roman" w:cs="Times New Roman"/>
        </w:rPr>
        <w:t>panies or electric generation suppliers have made a good faith effort to acquire sufficient alternative energy to comply with their obligations.  Such good faith efforts shall include, but are not limited to, banking alternative energy credits during their transition periods, seeking to procure alternative energy credits or alternative energy through long-term contracts.  In further making its determination, the commission shall assess the availability of alternative energy credits in the Generation Attributes Tracking System (GATS) or its successor and the availability of alternative energy credits generally in Pennsylvania and other jurisdictions in the PJM Interconnection L.L.C. regional transmission organization (PJM) or its successor.  The commission may also require solicitations for alternative energy credits as part of default service before requests of force majeure can be made.  If the commission further determines that alternative energy resources are not reasonably available in sufficient quantities in the marketplace for the electric distribution companies and electric generation suppliers to meet their obligations under this act, then the commission shall modify the underlying obligation of the electric distribution company or electric generation supplier or recommend to the General Assembly that the underlying obligation be eliminated.  Commission modification of the electric distribution company or electric generation supplier obligations under this act shall be for that compliance period only.  Commission modification shall not automatically reduce the obligation for subsequent compliance years.  If the commission modifies the electric distribution company or electric generation supplier obligations under this act, the commission may require the electric distribution company or electric generation supplier</w:t>
      </w:r>
      <w:r w:rsidR="00564FAC">
        <w:rPr>
          <w:rFonts w:ascii="Times New Roman" w:hAnsi="Times New Roman" w:cs="Times New Roman"/>
        </w:rPr>
        <w:t xml:space="preserve"> to acquire additional alternative energy credits in subsequent years equivalent to the obligation reduced due to a force majeure declaration if the commission determines that sufficient alternative energy credits exist in the marketplace.”</w:t>
      </w:r>
    </w:p>
    <w:p w:rsidR="00FD161B" w:rsidRDefault="00FD161B" w:rsidP="00FD161B">
      <w:pPr>
        <w:spacing w:line="360" w:lineRule="auto"/>
        <w:rPr>
          <w:rFonts w:ascii="Times New Roman" w:hAnsi="Times New Roman" w:cs="Times New Roman"/>
        </w:rPr>
      </w:pPr>
    </w:p>
    <w:p w:rsidR="00AD2A0A" w:rsidRDefault="00AD2A0A" w:rsidP="00FD161B">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The Commission promulgated regulations at 52 Pa. Code §75.1, </w:t>
      </w:r>
      <w:r w:rsidRPr="00145676">
        <w:rPr>
          <w:rFonts w:ascii="Times New Roman" w:hAnsi="Times New Roman" w:cs="Times New Roman"/>
          <w:i/>
        </w:rPr>
        <w:t>et seq.</w:t>
      </w:r>
      <w:r>
        <w:rPr>
          <w:rFonts w:ascii="Times New Roman" w:hAnsi="Times New Roman" w:cs="Times New Roman"/>
        </w:rPr>
        <w:t>, concerning the Alternative Energy Portfolio Standards Act</w:t>
      </w:r>
      <w:r w:rsidR="00145676">
        <w:rPr>
          <w:rFonts w:ascii="Times New Roman" w:hAnsi="Times New Roman" w:cs="Times New Roman"/>
        </w:rPr>
        <w:t>’s</w:t>
      </w:r>
      <w:r>
        <w:rPr>
          <w:rFonts w:ascii="Times New Roman" w:hAnsi="Times New Roman" w:cs="Times New Roman"/>
        </w:rPr>
        <w:t xml:space="preserve"> implementation and defined force majeure to be, </w:t>
      </w:r>
      <w:r w:rsidRPr="00145676">
        <w:rPr>
          <w:rFonts w:ascii="Times New Roman" w:hAnsi="Times New Roman" w:cs="Times New Roman"/>
          <w:i/>
        </w:rPr>
        <w:t>inter alia</w:t>
      </w:r>
      <w:r>
        <w:rPr>
          <w:rFonts w:ascii="Times New Roman" w:hAnsi="Times New Roman" w:cs="Times New Roman"/>
        </w:rPr>
        <w:t>:</w:t>
      </w:r>
    </w:p>
    <w:p w:rsidR="00C103F3" w:rsidRDefault="00C103F3" w:rsidP="00C103F3">
      <w:pPr>
        <w:rPr>
          <w:rFonts w:ascii="Times New Roman" w:hAnsi="Times New Roman" w:cs="Times New Roman"/>
        </w:rPr>
      </w:pPr>
    </w:p>
    <w:p w:rsidR="00AD2A0A" w:rsidRDefault="00AD2A0A" w:rsidP="00AD2A0A">
      <w:pPr>
        <w:ind w:left="1440" w:right="1440"/>
        <w:jc w:val="both"/>
        <w:rPr>
          <w:rFonts w:ascii="Times New Roman" w:hAnsi="Times New Roman" w:cs="Times New Roman"/>
        </w:rPr>
      </w:pPr>
      <w:r>
        <w:rPr>
          <w:rFonts w:ascii="Times New Roman" w:hAnsi="Times New Roman" w:cs="Times New Roman"/>
        </w:rPr>
        <w:t>Upon its own initiative or upon a request of an EDC or EGS, the Commission, within 60 days, will determine if alternative energy resources are reasonably available in the marketplace</w:t>
      </w:r>
      <w:r w:rsidR="00145676">
        <w:rPr>
          <w:rFonts w:ascii="Times New Roman" w:hAnsi="Times New Roman" w:cs="Times New Roman"/>
        </w:rPr>
        <w:t xml:space="preserve"> </w:t>
      </w:r>
      <w:r>
        <w:rPr>
          <w:rFonts w:ascii="Times New Roman" w:hAnsi="Times New Roman" w:cs="Times New Roman"/>
        </w:rPr>
        <w:t>in sufficient quantities for the EDCs and the EGSs to meet their obligations for that reporting period under the act.  In making this determination, the Commission will consider whether EDCs or EGSs have made a good faith effort to acquire sufficient alternative energy to comply with their obligations.  Evidence of good faith efforts include:</w:t>
      </w:r>
    </w:p>
    <w:p w:rsidR="00C103F3" w:rsidRDefault="00C103F3" w:rsidP="00AD2A0A">
      <w:pPr>
        <w:ind w:left="1440" w:right="1440"/>
        <w:jc w:val="both"/>
        <w:rPr>
          <w:rFonts w:ascii="Times New Roman" w:hAnsi="Times New Roman" w:cs="Times New Roman"/>
        </w:rPr>
      </w:pPr>
    </w:p>
    <w:p w:rsidR="00AD2A0A" w:rsidRDefault="00AD2A0A" w:rsidP="00FB60AB">
      <w:pPr>
        <w:numPr>
          <w:ilvl w:val="0"/>
          <w:numId w:val="7"/>
        </w:numPr>
        <w:ind w:left="2160" w:right="1440" w:hanging="720"/>
        <w:jc w:val="both"/>
        <w:rPr>
          <w:rFonts w:ascii="Times New Roman" w:hAnsi="Times New Roman" w:cs="Times New Roman"/>
        </w:rPr>
      </w:pPr>
      <w:r>
        <w:rPr>
          <w:rFonts w:ascii="Times New Roman" w:hAnsi="Times New Roman" w:cs="Times New Roman"/>
        </w:rPr>
        <w:t>Banking alternative energy credits during transition periods.</w:t>
      </w:r>
    </w:p>
    <w:p w:rsidR="00AD2A0A" w:rsidRDefault="00AD2A0A" w:rsidP="00FB60AB">
      <w:pPr>
        <w:numPr>
          <w:ilvl w:val="0"/>
          <w:numId w:val="7"/>
        </w:numPr>
        <w:ind w:left="2160" w:right="1440" w:hanging="720"/>
        <w:jc w:val="both"/>
        <w:rPr>
          <w:rFonts w:ascii="Times New Roman" w:hAnsi="Times New Roman" w:cs="Times New Roman"/>
        </w:rPr>
      </w:pPr>
      <w:r>
        <w:rPr>
          <w:rFonts w:ascii="Times New Roman" w:hAnsi="Times New Roman" w:cs="Times New Roman"/>
        </w:rPr>
        <w:t>Seeking alternative energy credits through competitive solicitations.</w:t>
      </w:r>
    </w:p>
    <w:p w:rsidR="00AD2A0A" w:rsidRDefault="00AD2A0A" w:rsidP="00FB60AB">
      <w:pPr>
        <w:numPr>
          <w:ilvl w:val="0"/>
          <w:numId w:val="7"/>
        </w:numPr>
        <w:ind w:left="2160" w:right="1440" w:hanging="720"/>
        <w:jc w:val="both"/>
        <w:rPr>
          <w:rFonts w:ascii="Times New Roman" w:hAnsi="Times New Roman" w:cs="Times New Roman"/>
        </w:rPr>
      </w:pPr>
      <w:r>
        <w:rPr>
          <w:rFonts w:ascii="Times New Roman" w:hAnsi="Times New Roman" w:cs="Times New Roman"/>
        </w:rPr>
        <w:t xml:space="preserve">Seeking to procure alternative energy credits or alternative </w:t>
      </w:r>
      <w:r w:rsidR="00145676">
        <w:rPr>
          <w:rFonts w:ascii="Times New Roman" w:hAnsi="Times New Roman" w:cs="Times New Roman"/>
        </w:rPr>
        <w:t>energy through long-term contracts.</w:t>
      </w:r>
    </w:p>
    <w:p w:rsidR="00145676" w:rsidRDefault="00145676" w:rsidP="00FB60AB">
      <w:pPr>
        <w:numPr>
          <w:ilvl w:val="0"/>
          <w:numId w:val="7"/>
        </w:numPr>
        <w:ind w:left="2160" w:right="1440" w:hanging="720"/>
        <w:jc w:val="both"/>
        <w:rPr>
          <w:rFonts w:ascii="Times New Roman" w:hAnsi="Times New Roman" w:cs="Times New Roman"/>
        </w:rPr>
      </w:pPr>
      <w:r>
        <w:rPr>
          <w:rFonts w:ascii="Times New Roman" w:hAnsi="Times New Roman" w:cs="Times New Roman"/>
        </w:rPr>
        <w:t>Other competent evidence the commission credits as demonstrating a good faith effort.</w:t>
      </w:r>
    </w:p>
    <w:p w:rsidR="00AD2A0A" w:rsidRPr="0028764F" w:rsidRDefault="00AD2A0A" w:rsidP="00FB60AB">
      <w:pPr>
        <w:spacing w:line="360" w:lineRule="auto"/>
        <w:ind w:left="2160" w:hanging="720"/>
        <w:rPr>
          <w:rFonts w:ascii="Times New Roman" w:hAnsi="Times New Roman" w:cs="Times New Roman"/>
        </w:rPr>
      </w:pPr>
    </w:p>
    <w:p w:rsidR="00A138B5" w:rsidRDefault="0028764F" w:rsidP="00AD2A0A">
      <w:pPr>
        <w:spacing w:line="360" w:lineRule="auto"/>
        <w:rPr>
          <w:rFonts w:ascii="Times New Roman" w:hAnsi="Times New Roman" w:cs="Times New Roman"/>
        </w:rPr>
      </w:pPr>
      <w:r w:rsidRPr="0028764F">
        <w:rPr>
          <w:rFonts w:ascii="Times New Roman" w:hAnsi="Times New Roman" w:cs="Times New Roman"/>
        </w:rPr>
        <w:tab/>
      </w:r>
      <w:r w:rsidRPr="0028764F">
        <w:rPr>
          <w:rFonts w:ascii="Times New Roman" w:hAnsi="Times New Roman" w:cs="Times New Roman"/>
        </w:rPr>
        <w:tab/>
        <w:t xml:space="preserve">The </w:t>
      </w:r>
      <w:r w:rsidR="00A3082B">
        <w:rPr>
          <w:rFonts w:ascii="Times New Roman" w:hAnsi="Times New Roman" w:cs="Times New Roman"/>
        </w:rPr>
        <w:t>AEPS Act s</w:t>
      </w:r>
      <w:r w:rsidRPr="0028764F">
        <w:rPr>
          <w:rFonts w:ascii="Times New Roman" w:hAnsi="Times New Roman" w:cs="Times New Roman"/>
        </w:rPr>
        <w:t>ets requirements for electric utilities in the Commonwealth for energy sold f</w:t>
      </w:r>
      <w:r w:rsidR="007B661F">
        <w:rPr>
          <w:rFonts w:ascii="Times New Roman" w:hAnsi="Times New Roman" w:cs="Times New Roman"/>
        </w:rPr>
        <w:t>rom alternative energy sources.  W</w:t>
      </w:r>
      <w:r w:rsidR="007B661F" w:rsidRPr="0028764F">
        <w:rPr>
          <w:rFonts w:ascii="Times New Roman" w:hAnsi="Times New Roman" w:cs="Times New Roman"/>
        </w:rPr>
        <w:t xml:space="preserve">here a statute fixes a time for an adjudicating </w:t>
      </w:r>
    </w:p>
    <w:p w:rsidR="00C103F3" w:rsidRDefault="007B661F" w:rsidP="00AD2A0A">
      <w:pPr>
        <w:spacing w:line="360" w:lineRule="auto"/>
        <w:rPr>
          <w:rFonts w:ascii="Times New Roman" w:hAnsi="Times New Roman" w:cs="Times New Roman"/>
        </w:rPr>
      </w:pPr>
      <w:r w:rsidRPr="0028764F">
        <w:rPr>
          <w:rFonts w:ascii="Times New Roman" w:hAnsi="Times New Roman" w:cs="Times New Roman"/>
        </w:rPr>
        <w:t xml:space="preserve">body, the language of the statute will be construed </w:t>
      </w:r>
      <w:r w:rsidRPr="007B661F">
        <w:rPr>
          <w:rFonts w:ascii="Times New Roman" w:hAnsi="Times New Roman" w:cs="Times New Roman"/>
        </w:rPr>
        <w:t>as directory.</w:t>
      </w:r>
      <w:r w:rsidR="00FB4FAA">
        <w:rPr>
          <w:rStyle w:val="FootnoteReference"/>
          <w:rFonts w:ascii="Times New Roman" w:hAnsi="Times New Roman" w:cs="Times New Roman"/>
        </w:rPr>
        <w:footnoteReference w:id="3"/>
      </w:r>
      <w:r>
        <w:rPr>
          <w:rFonts w:ascii="Times New Roman" w:hAnsi="Times New Roman" w:cs="Times New Roman"/>
        </w:rPr>
        <w:t xml:space="preserve">  C</w:t>
      </w:r>
      <w:r w:rsidRPr="0028764F">
        <w:rPr>
          <w:rFonts w:ascii="Times New Roman" w:hAnsi="Times New Roman" w:cs="Times New Roman"/>
        </w:rPr>
        <w:t xml:space="preserve">ourts cannot punish litigants </w:t>
      </w:r>
    </w:p>
    <w:p w:rsidR="006247A0" w:rsidRPr="00305C6B" w:rsidRDefault="007B661F" w:rsidP="00AD2A0A">
      <w:pPr>
        <w:spacing w:line="360" w:lineRule="auto"/>
        <w:rPr>
          <w:rFonts w:ascii="Times New Roman" w:hAnsi="Times New Roman" w:cs="Times New Roman"/>
          <w:sz w:val="20"/>
          <w:szCs w:val="20"/>
        </w:rPr>
      </w:pPr>
      <w:r w:rsidRPr="0028764F">
        <w:rPr>
          <w:rFonts w:ascii="Times New Roman" w:hAnsi="Times New Roman" w:cs="Times New Roman"/>
        </w:rPr>
        <w:t xml:space="preserve">for the actions </w:t>
      </w:r>
      <w:r>
        <w:rPr>
          <w:rFonts w:ascii="Times New Roman" w:hAnsi="Times New Roman" w:cs="Times New Roman"/>
        </w:rPr>
        <w:t xml:space="preserve">or inactions </w:t>
      </w:r>
      <w:r w:rsidRPr="0028764F">
        <w:rPr>
          <w:rFonts w:ascii="Times New Roman" w:hAnsi="Times New Roman" w:cs="Times New Roman"/>
        </w:rPr>
        <w:t>of the adjudicator.</w:t>
      </w:r>
      <w:r w:rsidR="00305C6B">
        <w:rPr>
          <w:rStyle w:val="FootnoteReference"/>
          <w:rFonts w:ascii="Times New Roman" w:hAnsi="Times New Roman" w:cs="Times New Roman"/>
        </w:rPr>
        <w:footnoteReference w:id="4"/>
      </w:r>
      <w:r w:rsidRPr="0028764F">
        <w:rPr>
          <w:rFonts w:ascii="Times New Roman" w:hAnsi="Times New Roman" w:cs="Times New Roman"/>
        </w:rPr>
        <w:t xml:space="preserve">  </w:t>
      </w:r>
    </w:p>
    <w:p w:rsidR="0016243E" w:rsidRPr="0016243E" w:rsidRDefault="00FD161B" w:rsidP="0028764F">
      <w:pPr>
        <w:spacing w:line="360" w:lineRule="auto"/>
        <w:rPr>
          <w:rFonts w:ascii="Times New Roman" w:hAnsi="Times New Roman" w:cs="Times New Roman"/>
          <w:b/>
          <w:u w:val="single"/>
        </w:rPr>
      </w:pPr>
      <w:r w:rsidRPr="00593D42">
        <w:rPr>
          <w:rFonts w:ascii="Times New Roman" w:hAnsi="Times New Roman" w:cs="Times New Roman"/>
          <w:b/>
        </w:rPr>
        <w:lastRenderedPageBreak/>
        <w:t>B</w:t>
      </w:r>
      <w:r>
        <w:rPr>
          <w:rFonts w:ascii="Times New Roman" w:hAnsi="Times New Roman" w:cs="Times New Roman"/>
        </w:rPr>
        <w:tab/>
      </w:r>
      <w:r w:rsidR="003427B5">
        <w:rPr>
          <w:rFonts w:ascii="Times New Roman" w:hAnsi="Times New Roman" w:cs="Times New Roman"/>
          <w:b/>
          <w:u w:val="single"/>
        </w:rPr>
        <w:t>Bureau of Conservation, Economics and Energy Planning’s Position</w:t>
      </w:r>
    </w:p>
    <w:p w:rsidR="0016243E" w:rsidRPr="00185371" w:rsidRDefault="0016243E" w:rsidP="00185371">
      <w:pPr>
        <w:spacing w:line="360" w:lineRule="auto"/>
        <w:rPr>
          <w:rFonts w:ascii="Times New Roman" w:hAnsi="Times New Roman" w:cs="Times New Roman"/>
        </w:rPr>
      </w:pPr>
    </w:p>
    <w:p w:rsidR="00185371" w:rsidRPr="00185371" w:rsidRDefault="00914205" w:rsidP="00185371">
      <w:pPr>
        <w:autoSpaceDE/>
        <w:autoSpaceDN/>
        <w:spacing w:line="360" w:lineRule="auto"/>
        <w:ind w:firstLine="1440"/>
        <w:rPr>
          <w:rFonts w:ascii="Times New Roman" w:hAnsi="Times New Roman" w:cs="Times New Roman"/>
          <w:color w:val="000000"/>
        </w:rPr>
      </w:pPr>
      <w:r w:rsidRPr="00185371">
        <w:rPr>
          <w:rFonts w:ascii="Times New Roman" w:hAnsi="Times New Roman" w:cs="Times New Roman"/>
        </w:rPr>
        <w:t xml:space="preserve">CEEP asserts the Joint Settlement is the result of numerous settlement discussions between CEEP and Duquesne Light over the course of these proceedings and approval of this Settlement is consistent with the Commission’s </w:t>
      </w:r>
      <w:r w:rsidRPr="00185371">
        <w:rPr>
          <w:rFonts w:ascii="Times New Roman" w:hAnsi="Times New Roman" w:cs="Times New Roman"/>
          <w:i/>
        </w:rPr>
        <w:t>Policy Statement for Litigated and Settled Proceedings Involving Violations of the Public Utility Code and Commission Regulations</w:t>
      </w:r>
      <w:r w:rsidR="00377647">
        <w:rPr>
          <w:rFonts w:ascii="Times New Roman" w:hAnsi="Times New Roman" w:cs="Times New Roman"/>
        </w:rPr>
        <w:t>, 52 Pa. Code §</w:t>
      </w:r>
      <w:r w:rsidRPr="00185371">
        <w:rPr>
          <w:rFonts w:ascii="Times New Roman" w:hAnsi="Times New Roman" w:cs="Times New Roman"/>
        </w:rPr>
        <w:t>69.1201.</w:t>
      </w:r>
      <w:r w:rsidR="00185371" w:rsidRPr="00185371">
        <w:rPr>
          <w:rFonts w:ascii="Times New Roman" w:hAnsi="Times New Roman" w:cs="Times New Roman"/>
        </w:rPr>
        <w:t xml:space="preserve">  </w:t>
      </w:r>
      <w:r w:rsidR="00185371">
        <w:rPr>
          <w:rFonts w:ascii="Times New Roman" w:hAnsi="Times New Roman" w:cs="Times New Roman"/>
        </w:rPr>
        <w:t xml:space="preserve">The </w:t>
      </w:r>
      <w:r w:rsidR="00185371" w:rsidRPr="00185371">
        <w:rPr>
          <w:rFonts w:ascii="Times New Roman" w:hAnsi="Times New Roman" w:cs="Times New Roman"/>
        </w:rPr>
        <w:t>Law Bureau</w:t>
      </w:r>
      <w:r w:rsidR="00185371">
        <w:rPr>
          <w:rFonts w:ascii="Times New Roman" w:hAnsi="Times New Roman" w:cs="Times New Roman"/>
        </w:rPr>
        <w:t>, on behalf of CEEP</w:t>
      </w:r>
      <w:r w:rsidR="00185371" w:rsidRPr="00185371">
        <w:rPr>
          <w:rFonts w:ascii="Times New Roman" w:hAnsi="Times New Roman" w:cs="Times New Roman"/>
        </w:rPr>
        <w:t xml:space="preserve"> believes this Settlement Agreement meets the standards set forth in the Commission’s po</w:t>
      </w:r>
      <w:r w:rsidR="00377647">
        <w:rPr>
          <w:rFonts w:ascii="Times New Roman" w:hAnsi="Times New Roman" w:cs="Times New Roman"/>
        </w:rPr>
        <w:t>licy statement at 52 Pa. Code §</w:t>
      </w:r>
      <w:r w:rsidR="00185371" w:rsidRPr="00185371">
        <w:rPr>
          <w:rFonts w:ascii="Times New Roman" w:hAnsi="Times New Roman" w:cs="Times New Roman"/>
        </w:rPr>
        <w:t xml:space="preserve">69.1201 and its decision in </w:t>
      </w:r>
      <w:r w:rsidR="00185371" w:rsidRPr="00377647">
        <w:rPr>
          <w:rFonts w:ascii="Times New Roman" w:hAnsi="Times New Roman" w:cs="Times New Roman"/>
          <w:color w:val="000000"/>
          <w:u w:val="single"/>
        </w:rPr>
        <w:t>Rosi v. Bell Atlantic Pennsylvania, Inc</w:t>
      </w:r>
      <w:r w:rsidR="00185371" w:rsidRPr="00185371">
        <w:rPr>
          <w:rFonts w:ascii="Times New Roman" w:hAnsi="Times New Roman" w:cs="Times New Roman"/>
          <w:i/>
          <w:color w:val="000000"/>
        </w:rPr>
        <w:t>.</w:t>
      </w:r>
      <w:r w:rsidR="00185371" w:rsidRPr="00185371">
        <w:rPr>
          <w:rFonts w:ascii="Times New Roman" w:hAnsi="Times New Roman" w:cs="Times New Roman"/>
          <w:color w:val="000000"/>
        </w:rPr>
        <w:t xml:space="preserve">, 2000 Pa. PUC Lexis 5, C-00992409 (Order </w:t>
      </w:r>
    </w:p>
    <w:p w:rsidR="003427B5" w:rsidRPr="00185371" w:rsidRDefault="00185371" w:rsidP="00185371">
      <w:pPr>
        <w:spacing w:line="360" w:lineRule="auto"/>
        <w:rPr>
          <w:rFonts w:ascii="Times New Roman" w:hAnsi="Times New Roman" w:cs="Times New Roman"/>
        </w:rPr>
      </w:pPr>
      <w:r w:rsidRPr="00185371">
        <w:rPr>
          <w:rFonts w:ascii="Times New Roman" w:hAnsi="Times New Roman" w:cs="Times New Roman"/>
          <w:color w:val="000000"/>
        </w:rPr>
        <w:t xml:space="preserve">entered Feb. 10, 2000), and specifically </w:t>
      </w:r>
      <w:r w:rsidRPr="00377647">
        <w:rPr>
          <w:rFonts w:ascii="Times New Roman" w:hAnsi="Times New Roman" w:cs="Times New Roman"/>
          <w:color w:val="000000"/>
          <w:u w:val="single"/>
        </w:rPr>
        <w:t>Pennsylvania Public Utility Commission v. NCIC Operator Services</w:t>
      </w:r>
      <w:r w:rsidRPr="00185371">
        <w:rPr>
          <w:rFonts w:ascii="Times New Roman" w:hAnsi="Times New Roman" w:cs="Times New Roman"/>
          <w:color w:val="000000"/>
        </w:rPr>
        <w:t>, M-00001440 (Dec. 20, 2000)</w:t>
      </w:r>
      <w:r w:rsidRPr="00185371">
        <w:rPr>
          <w:rFonts w:ascii="Times New Roman" w:hAnsi="Times New Roman" w:cs="Times New Roman"/>
        </w:rPr>
        <w:t>.</w:t>
      </w:r>
    </w:p>
    <w:p w:rsidR="00914205" w:rsidRPr="00185371" w:rsidRDefault="00914205" w:rsidP="00185371">
      <w:pPr>
        <w:spacing w:line="360" w:lineRule="auto"/>
        <w:rPr>
          <w:rFonts w:ascii="Times New Roman" w:hAnsi="Times New Roman" w:cs="Times New Roman"/>
          <w:b/>
          <w:u w:val="single"/>
        </w:rPr>
      </w:pPr>
    </w:p>
    <w:p w:rsidR="00914205" w:rsidRPr="00185371" w:rsidRDefault="00914205" w:rsidP="00185371">
      <w:pPr>
        <w:spacing w:line="360" w:lineRule="auto"/>
        <w:ind w:firstLine="1440"/>
        <w:rPr>
          <w:rFonts w:ascii="Times New Roman" w:hAnsi="Times New Roman" w:cs="Times New Roman"/>
          <w:b/>
          <w:u w:val="single"/>
        </w:rPr>
      </w:pPr>
      <w:r w:rsidRPr="00185371">
        <w:rPr>
          <w:rFonts w:ascii="Times New Roman" w:hAnsi="Times New Roman" w:cs="Times New Roman"/>
        </w:rPr>
        <w:t>Under this Policy Statement, the Commission will consider specific factors when evaluating settlements of alleged violations of the Public Utility Code and this Commission’s regulations.  These factors are: (1) Whether the conduct at issue was of a serious nature; (2) Whether the resulting consequences of the conduct at issue were of a serious nature; (3) Whether the conduct at issue was deemed intentional or negligent (may only be considered when evaluating litigated cases); (4) Whether the regulated entity made efforts to modify internal policies and procedures to address the conduct at issue and prevent similar conduct in the future; (5) The number of customers affected and the duration of the violation; (6) The Compliance history of the regulated entity that committed the violation; (7) Whether the regulated entity cooperated with the Commi</w:t>
      </w:r>
      <w:r w:rsidR="005653B6">
        <w:rPr>
          <w:rFonts w:ascii="Times New Roman" w:hAnsi="Times New Roman" w:cs="Times New Roman"/>
        </w:rPr>
        <w:t>ssion’s investigation; (8) The a</w:t>
      </w:r>
      <w:r w:rsidRPr="00185371">
        <w:rPr>
          <w:rFonts w:ascii="Times New Roman" w:hAnsi="Times New Roman" w:cs="Times New Roman"/>
        </w:rPr>
        <w:t>mount of the civil penalty or fine necessary to deter future violations; (9) Past Commission decisions in similar situations; and (10) other r</w:t>
      </w:r>
      <w:r w:rsidR="00377647">
        <w:rPr>
          <w:rFonts w:ascii="Times New Roman" w:hAnsi="Times New Roman" w:cs="Times New Roman"/>
        </w:rPr>
        <w:t>elevant factors.  52 Pa. Code §</w:t>
      </w:r>
      <w:r w:rsidRPr="00185371">
        <w:rPr>
          <w:rFonts w:ascii="Times New Roman" w:hAnsi="Times New Roman" w:cs="Times New Roman"/>
        </w:rPr>
        <w:t>69.1201(c).</w:t>
      </w:r>
    </w:p>
    <w:p w:rsidR="00263B71" w:rsidRPr="00185371" w:rsidRDefault="00263B71" w:rsidP="00185371">
      <w:pPr>
        <w:spacing w:line="360" w:lineRule="auto"/>
        <w:rPr>
          <w:rFonts w:ascii="Times New Roman" w:hAnsi="Times New Roman" w:cs="Times New Roman"/>
          <w:b/>
          <w:u w:val="single"/>
        </w:rPr>
      </w:pPr>
    </w:p>
    <w:p w:rsidR="00263B71" w:rsidRPr="00185371" w:rsidRDefault="00263B71" w:rsidP="00185371">
      <w:pPr>
        <w:spacing w:line="360" w:lineRule="auto"/>
        <w:rPr>
          <w:rFonts w:ascii="Times New Roman" w:hAnsi="Times New Roman" w:cs="Times New Roman"/>
        </w:rPr>
      </w:pPr>
      <w:r w:rsidRPr="00185371">
        <w:rPr>
          <w:rFonts w:ascii="Times New Roman" w:hAnsi="Times New Roman" w:cs="Times New Roman"/>
        </w:rPr>
        <w:tab/>
      </w:r>
      <w:r w:rsidRPr="00185371">
        <w:rPr>
          <w:rFonts w:ascii="Times New Roman" w:hAnsi="Times New Roman" w:cs="Times New Roman"/>
        </w:rPr>
        <w:tab/>
        <w:t xml:space="preserve">When applied to settled cases, the Commission will not apply the standards as strictly as it will in </w:t>
      </w:r>
      <w:r w:rsidR="00377647">
        <w:rPr>
          <w:rFonts w:ascii="Times New Roman" w:hAnsi="Times New Roman" w:cs="Times New Roman"/>
        </w:rPr>
        <w:t>litigated cases.  52 Pa. Code §</w:t>
      </w:r>
      <w:r w:rsidRPr="00185371">
        <w:rPr>
          <w:rFonts w:ascii="Times New Roman" w:hAnsi="Times New Roman" w:cs="Times New Roman"/>
        </w:rPr>
        <w:t>69.1201(b).  While many of the same factors and standards may still be considered in both litigated and settled cases, the Commission specifically recognized that in settled cases the parties “will be afforded flexibility in reaching amicable resolutions to complaints and other matters so long as the settlement is in the p</w:t>
      </w:r>
      <w:r w:rsidR="00377647">
        <w:rPr>
          <w:rFonts w:ascii="Times New Roman" w:hAnsi="Times New Roman" w:cs="Times New Roman"/>
        </w:rPr>
        <w:t>ublic interest.”  52 Pa. Code §</w:t>
      </w:r>
      <w:r w:rsidRPr="00185371">
        <w:rPr>
          <w:rFonts w:ascii="Times New Roman" w:hAnsi="Times New Roman" w:cs="Times New Roman"/>
        </w:rPr>
        <w:t>69.1201(b).</w:t>
      </w:r>
    </w:p>
    <w:p w:rsidR="00263B71" w:rsidRPr="00185371" w:rsidRDefault="00263B71" w:rsidP="00185371">
      <w:pPr>
        <w:spacing w:line="360" w:lineRule="auto"/>
        <w:rPr>
          <w:rFonts w:ascii="Times New Roman" w:hAnsi="Times New Roman" w:cs="Times New Roman"/>
        </w:rPr>
      </w:pPr>
      <w:r w:rsidRPr="00185371">
        <w:rPr>
          <w:rFonts w:ascii="Times New Roman" w:hAnsi="Times New Roman" w:cs="Times New Roman"/>
        </w:rPr>
        <w:lastRenderedPageBreak/>
        <w:tab/>
      </w:r>
      <w:r w:rsidRPr="00185371">
        <w:rPr>
          <w:rFonts w:ascii="Times New Roman" w:hAnsi="Times New Roman" w:cs="Times New Roman"/>
        </w:rPr>
        <w:tab/>
      </w:r>
      <w:r w:rsidRPr="00185371">
        <w:rPr>
          <w:rFonts w:ascii="Times New Roman" w:hAnsi="Times New Roman" w:cs="Times New Roman"/>
          <w:color w:val="000000"/>
        </w:rPr>
        <w:t xml:space="preserve">The first factor considered under the policy statement was whether </w:t>
      </w:r>
      <w:r w:rsidR="0052420D" w:rsidRPr="00185371">
        <w:rPr>
          <w:rFonts w:ascii="Times New Roman" w:hAnsi="Times New Roman" w:cs="Times New Roman"/>
        </w:rPr>
        <w:t>Duquesne</w:t>
      </w:r>
      <w:r w:rsidR="0052420D">
        <w:rPr>
          <w:rFonts w:ascii="Times New Roman" w:hAnsi="Times New Roman" w:cs="Times New Roman"/>
        </w:rPr>
        <w:t xml:space="preserve"> Light</w:t>
      </w:r>
      <w:r w:rsidR="0052420D">
        <w:rPr>
          <w:rFonts w:ascii="Times New Roman" w:hAnsi="Times New Roman" w:cs="Times New Roman"/>
          <w:color w:val="000000"/>
        </w:rPr>
        <w:t xml:space="preserve">’s </w:t>
      </w:r>
      <w:r w:rsidRPr="00185371">
        <w:rPr>
          <w:rFonts w:ascii="Times New Roman" w:hAnsi="Times New Roman" w:cs="Times New Roman"/>
          <w:color w:val="000000"/>
        </w:rPr>
        <w:t>conduct was of a serious nature, such as willful fraud or misrepresentation, or were merely administrative or t</w:t>
      </w:r>
      <w:r w:rsidR="0057030A">
        <w:rPr>
          <w:rFonts w:ascii="Times New Roman" w:hAnsi="Times New Roman" w:cs="Times New Roman"/>
          <w:color w:val="000000"/>
        </w:rPr>
        <w:t>echnical errors.  52 Pa. Code §</w:t>
      </w:r>
      <w:r w:rsidRPr="00185371">
        <w:rPr>
          <w:rFonts w:ascii="Times New Roman" w:hAnsi="Times New Roman" w:cs="Times New Roman"/>
          <w:color w:val="000000"/>
        </w:rPr>
        <w:t xml:space="preserve">69.1201(c)(1).  Neither the </w:t>
      </w:r>
      <w:r w:rsidR="0052420D">
        <w:rPr>
          <w:rFonts w:ascii="Times New Roman" w:hAnsi="Times New Roman" w:cs="Times New Roman"/>
          <w:color w:val="000000"/>
        </w:rPr>
        <w:t>Law Bureau</w:t>
      </w:r>
      <w:r w:rsidRPr="00185371">
        <w:rPr>
          <w:rFonts w:ascii="Times New Roman" w:hAnsi="Times New Roman" w:cs="Times New Roman"/>
          <w:color w:val="000000"/>
        </w:rPr>
        <w:t xml:space="preserve"> nor the CEEP staff found evidence of any fraud or misrepresentation in </w:t>
      </w:r>
      <w:r w:rsidR="0052420D" w:rsidRPr="00185371">
        <w:rPr>
          <w:rFonts w:ascii="Times New Roman" w:hAnsi="Times New Roman" w:cs="Times New Roman"/>
        </w:rPr>
        <w:t>Duquesne</w:t>
      </w:r>
      <w:r w:rsidR="0052420D">
        <w:rPr>
          <w:rFonts w:ascii="Times New Roman" w:hAnsi="Times New Roman" w:cs="Times New Roman"/>
        </w:rPr>
        <w:t xml:space="preserve"> Light</w:t>
      </w:r>
      <w:r w:rsidR="0052420D">
        <w:rPr>
          <w:rFonts w:ascii="Times New Roman" w:hAnsi="Times New Roman" w:cs="Times New Roman"/>
          <w:color w:val="000000"/>
        </w:rPr>
        <w:t xml:space="preserve">’s </w:t>
      </w:r>
      <w:r w:rsidRPr="00185371">
        <w:rPr>
          <w:rFonts w:ascii="Times New Roman" w:hAnsi="Times New Roman" w:cs="Times New Roman"/>
          <w:color w:val="000000"/>
        </w:rPr>
        <w:t>actions taken to comply with the AEPS Act during the 2008/2009 AEPS Act compliance period.</w:t>
      </w:r>
    </w:p>
    <w:p w:rsidR="00263B71" w:rsidRPr="00185371" w:rsidRDefault="00263B71" w:rsidP="00185371">
      <w:pPr>
        <w:spacing w:line="360" w:lineRule="auto"/>
        <w:rPr>
          <w:rFonts w:ascii="Times New Roman" w:hAnsi="Times New Roman" w:cs="Times New Roman"/>
        </w:rPr>
      </w:pPr>
    </w:p>
    <w:p w:rsidR="00263B71" w:rsidRPr="0052420D" w:rsidRDefault="00263B71" w:rsidP="00185371">
      <w:pPr>
        <w:spacing w:line="360" w:lineRule="auto"/>
        <w:rPr>
          <w:rFonts w:ascii="Times New Roman" w:hAnsi="Times New Roman" w:cs="Times New Roman"/>
        </w:rPr>
      </w:pPr>
      <w:r w:rsidRPr="00185371">
        <w:rPr>
          <w:rFonts w:ascii="Times New Roman" w:hAnsi="Times New Roman" w:cs="Times New Roman"/>
        </w:rPr>
        <w:tab/>
      </w:r>
      <w:r w:rsidRPr="00185371">
        <w:rPr>
          <w:rFonts w:ascii="Times New Roman" w:hAnsi="Times New Roman" w:cs="Times New Roman"/>
        </w:rPr>
        <w:tab/>
      </w:r>
      <w:r w:rsidRPr="00185371">
        <w:rPr>
          <w:rFonts w:ascii="Times New Roman" w:hAnsi="Times New Roman" w:cs="Times New Roman"/>
          <w:color w:val="000000"/>
        </w:rPr>
        <w:t xml:space="preserve">The second factor considered under the policy statement was whether the resulting consequences of </w:t>
      </w:r>
      <w:r w:rsidR="0052420D" w:rsidRPr="00185371">
        <w:rPr>
          <w:rFonts w:ascii="Times New Roman" w:hAnsi="Times New Roman" w:cs="Times New Roman"/>
        </w:rPr>
        <w:t>Duquesne</w:t>
      </w:r>
      <w:r w:rsidR="0052420D">
        <w:rPr>
          <w:rFonts w:ascii="Times New Roman" w:hAnsi="Times New Roman" w:cs="Times New Roman"/>
        </w:rPr>
        <w:t xml:space="preserve"> Light</w:t>
      </w:r>
      <w:r w:rsidR="0052420D">
        <w:rPr>
          <w:rFonts w:ascii="Times New Roman" w:hAnsi="Times New Roman" w:cs="Times New Roman"/>
          <w:color w:val="000000"/>
        </w:rPr>
        <w:t xml:space="preserve">’s </w:t>
      </w:r>
      <w:r w:rsidRPr="00185371">
        <w:rPr>
          <w:rFonts w:ascii="Times New Roman" w:hAnsi="Times New Roman" w:cs="Times New Roman"/>
          <w:color w:val="000000"/>
        </w:rPr>
        <w:t>actions were of</w:t>
      </w:r>
      <w:r w:rsidR="00AE26A0">
        <w:rPr>
          <w:rFonts w:ascii="Times New Roman" w:hAnsi="Times New Roman" w:cs="Times New Roman"/>
          <w:color w:val="000000"/>
        </w:rPr>
        <w:t xml:space="preserve"> a serious nature.  52 Pa. Code </w:t>
      </w:r>
      <w:r w:rsidRPr="00185371">
        <w:rPr>
          <w:rFonts w:ascii="Times New Roman" w:hAnsi="Times New Roman" w:cs="Times New Roman"/>
          <w:color w:val="000000"/>
        </w:rPr>
        <w:t xml:space="preserve">§69.1201(c)(2).  While the </w:t>
      </w:r>
      <w:r w:rsidR="0052420D">
        <w:rPr>
          <w:rFonts w:ascii="Times New Roman" w:hAnsi="Times New Roman" w:cs="Times New Roman"/>
          <w:color w:val="000000"/>
        </w:rPr>
        <w:t>Law Bureau</w:t>
      </w:r>
      <w:r w:rsidRPr="00185371">
        <w:rPr>
          <w:rFonts w:ascii="Times New Roman" w:hAnsi="Times New Roman" w:cs="Times New Roman"/>
          <w:color w:val="000000"/>
        </w:rPr>
        <w:t xml:space="preserve"> and CEEP staff found areas in which </w:t>
      </w:r>
      <w:r w:rsidR="0052420D" w:rsidRPr="00185371">
        <w:rPr>
          <w:rFonts w:ascii="Times New Roman" w:hAnsi="Times New Roman" w:cs="Times New Roman"/>
        </w:rPr>
        <w:t>Duquesne</w:t>
      </w:r>
      <w:r w:rsidR="0052420D">
        <w:rPr>
          <w:rFonts w:ascii="Times New Roman" w:hAnsi="Times New Roman" w:cs="Times New Roman"/>
        </w:rPr>
        <w:t xml:space="preserve"> Light</w:t>
      </w:r>
      <w:r w:rsidR="0052420D" w:rsidRPr="00185371">
        <w:rPr>
          <w:rFonts w:ascii="Times New Roman" w:hAnsi="Times New Roman" w:cs="Times New Roman"/>
          <w:color w:val="000000"/>
        </w:rPr>
        <w:t xml:space="preserve"> </w:t>
      </w:r>
      <w:r w:rsidRPr="00185371">
        <w:rPr>
          <w:rFonts w:ascii="Times New Roman" w:hAnsi="Times New Roman" w:cs="Times New Roman"/>
          <w:color w:val="000000"/>
        </w:rPr>
        <w:t xml:space="preserve">could improve its management and oversight of AEC procurement and AEPS Act compliance obligations, the settlement terms set forth specific commitments by </w:t>
      </w:r>
      <w:r w:rsidR="0052420D" w:rsidRPr="00185371">
        <w:rPr>
          <w:rFonts w:ascii="Times New Roman" w:hAnsi="Times New Roman" w:cs="Times New Roman"/>
        </w:rPr>
        <w:t>Duquesne</w:t>
      </w:r>
      <w:r w:rsidR="0052420D">
        <w:rPr>
          <w:rFonts w:ascii="Times New Roman" w:hAnsi="Times New Roman" w:cs="Times New Roman"/>
        </w:rPr>
        <w:t xml:space="preserve"> Light</w:t>
      </w:r>
      <w:r w:rsidR="0052420D" w:rsidRPr="00185371">
        <w:rPr>
          <w:rFonts w:ascii="Times New Roman" w:hAnsi="Times New Roman" w:cs="Times New Roman"/>
          <w:color w:val="000000"/>
        </w:rPr>
        <w:t xml:space="preserve"> </w:t>
      </w:r>
      <w:r w:rsidRPr="00185371">
        <w:rPr>
          <w:rFonts w:ascii="Times New Roman" w:hAnsi="Times New Roman" w:cs="Times New Roman"/>
          <w:color w:val="000000"/>
        </w:rPr>
        <w:t xml:space="preserve">that address and improve </w:t>
      </w:r>
      <w:r w:rsidR="0052420D" w:rsidRPr="00185371">
        <w:rPr>
          <w:rFonts w:ascii="Times New Roman" w:hAnsi="Times New Roman" w:cs="Times New Roman"/>
        </w:rPr>
        <w:t>Duquesne</w:t>
      </w:r>
      <w:r w:rsidR="0052420D">
        <w:rPr>
          <w:rFonts w:ascii="Times New Roman" w:hAnsi="Times New Roman" w:cs="Times New Roman"/>
        </w:rPr>
        <w:t xml:space="preserve"> Light</w:t>
      </w:r>
      <w:r w:rsidR="0052420D">
        <w:rPr>
          <w:rFonts w:ascii="Times New Roman" w:hAnsi="Times New Roman" w:cs="Times New Roman"/>
          <w:color w:val="000000"/>
        </w:rPr>
        <w:t xml:space="preserve">’s </w:t>
      </w:r>
      <w:r w:rsidRPr="00185371">
        <w:rPr>
          <w:rFonts w:ascii="Times New Roman" w:hAnsi="Times New Roman" w:cs="Times New Roman"/>
          <w:color w:val="000000"/>
        </w:rPr>
        <w:t xml:space="preserve">management and oversight of AEC procurement and AEPS Act compliance.  These specific commitments include the addition of language to all contracts for the purchase of AECs that require that the AECs purchased must be generated in PJM or in the Commonwealth of Pennsylvania.  </w:t>
      </w:r>
      <w:r w:rsidR="0052420D" w:rsidRPr="00185371">
        <w:rPr>
          <w:rFonts w:ascii="Times New Roman" w:hAnsi="Times New Roman" w:cs="Times New Roman"/>
        </w:rPr>
        <w:t>Duquesne</w:t>
      </w:r>
      <w:r w:rsidR="0052420D">
        <w:rPr>
          <w:rFonts w:ascii="Times New Roman" w:hAnsi="Times New Roman" w:cs="Times New Roman"/>
        </w:rPr>
        <w:t xml:space="preserve"> Light</w:t>
      </w:r>
      <w:r w:rsidR="0052420D" w:rsidRPr="00185371">
        <w:rPr>
          <w:rFonts w:ascii="Times New Roman" w:hAnsi="Times New Roman" w:cs="Times New Roman"/>
          <w:color w:val="000000"/>
        </w:rPr>
        <w:t xml:space="preserve"> </w:t>
      </w:r>
      <w:r w:rsidRPr="00185371">
        <w:rPr>
          <w:rFonts w:ascii="Times New Roman" w:hAnsi="Times New Roman" w:cs="Times New Roman"/>
          <w:color w:val="000000"/>
        </w:rPr>
        <w:t xml:space="preserve">further commits to conducting independent due diligence before purchasing AECs to confirm that the AECs were produced in PJM or the Commonwealth of Pennsylvania.  </w:t>
      </w:r>
      <w:r w:rsidR="0052420D" w:rsidRPr="00185371">
        <w:rPr>
          <w:rFonts w:ascii="Times New Roman" w:hAnsi="Times New Roman" w:cs="Times New Roman"/>
        </w:rPr>
        <w:t>Duquesne</w:t>
      </w:r>
      <w:r w:rsidR="0052420D">
        <w:rPr>
          <w:rFonts w:ascii="Times New Roman" w:hAnsi="Times New Roman" w:cs="Times New Roman"/>
        </w:rPr>
        <w:t xml:space="preserve"> Light</w:t>
      </w:r>
      <w:r w:rsidR="0052420D" w:rsidRPr="00185371">
        <w:rPr>
          <w:rFonts w:ascii="Times New Roman" w:hAnsi="Times New Roman" w:cs="Times New Roman"/>
          <w:color w:val="000000"/>
        </w:rPr>
        <w:t xml:space="preserve"> </w:t>
      </w:r>
      <w:r w:rsidRPr="00185371">
        <w:rPr>
          <w:rFonts w:ascii="Times New Roman" w:hAnsi="Times New Roman" w:cs="Times New Roman"/>
          <w:color w:val="000000"/>
        </w:rPr>
        <w:t xml:space="preserve">also commits to submitting to the AEC Program Administrator and CEEP, for review, a proposed compliance plan by July 1 of every year.  Finally, </w:t>
      </w:r>
      <w:r w:rsidR="0052420D" w:rsidRPr="00185371">
        <w:rPr>
          <w:rFonts w:ascii="Times New Roman" w:hAnsi="Times New Roman" w:cs="Times New Roman"/>
        </w:rPr>
        <w:t>Duquesne</w:t>
      </w:r>
      <w:r w:rsidR="0052420D">
        <w:rPr>
          <w:rFonts w:ascii="Times New Roman" w:hAnsi="Times New Roman" w:cs="Times New Roman"/>
        </w:rPr>
        <w:t xml:space="preserve"> Light</w:t>
      </w:r>
      <w:r w:rsidR="0052420D" w:rsidRPr="00185371">
        <w:rPr>
          <w:rFonts w:ascii="Times New Roman" w:hAnsi="Times New Roman" w:cs="Times New Roman"/>
          <w:color w:val="000000"/>
        </w:rPr>
        <w:t xml:space="preserve"> </w:t>
      </w:r>
      <w:r w:rsidRPr="00185371">
        <w:rPr>
          <w:rFonts w:ascii="Times New Roman" w:hAnsi="Times New Roman" w:cs="Times New Roman"/>
          <w:color w:val="000000"/>
        </w:rPr>
        <w:t xml:space="preserve">commits to provide training to its employees responsible for </w:t>
      </w:r>
      <w:r w:rsidRPr="0052420D">
        <w:rPr>
          <w:rFonts w:ascii="Times New Roman" w:hAnsi="Times New Roman" w:cs="Times New Roman"/>
          <w:color w:val="000000"/>
        </w:rPr>
        <w:t xml:space="preserve">AEPS Act compliance on AEC eligibility requirements for </w:t>
      </w:r>
      <w:r w:rsidR="0052420D" w:rsidRPr="0052420D">
        <w:rPr>
          <w:rFonts w:ascii="Times New Roman" w:hAnsi="Times New Roman" w:cs="Times New Roman"/>
        </w:rPr>
        <w:t>Duquesne Light</w:t>
      </w:r>
      <w:r w:rsidRPr="0052420D">
        <w:rPr>
          <w:rFonts w:ascii="Times New Roman" w:hAnsi="Times New Roman" w:cs="Times New Roman"/>
          <w:color w:val="000000"/>
        </w:rPr>
        <w:t>.</w:t>
      </w:r>
    </w:p>
    <w:p w:rsidR="00263B71" w:rsidRPr="0052420D" w:rsidRDefault="00263B71" w:rsidP="00185371">
      <w:pPr>
        <w:spacing w:line="360" w:lineRule="auto"/>
        <w:rPr>
          <w:rFonts w:ascii="Times New Roman" w:hAnsi="Times New Roman" w:cs="Times New Roman"/>
        </w:rPr>
      </w:pPr>
    </w:p>
    <w:p w:rsidR="00263B71" w:rsidRDefault="0052420D" w:rsidP="0052420D">
      <w:pPr>
        <w:spacing w:line="360" w:lineRule="auto"/>
        <w:ind w:firstLine="1440"/>
        <w:rPr>
          <w:rFonts w:ascii="Times New Roman" w:hAnsi="Times New Roman" w:cs="Times New Roman"/>
        </w:rPr>
      </w:pPr>
      <w:r w:rsidRPr="0052420D">
        <w:rPr>
          <w:rFonts w:ascii="Times New Roman" w:hAnsi="Times New Roman" w:cs="Times New Roman"/>
        </w:rPr>
        <w:t xml:space="preserve">The third factor considered is whether </w:t>
      </w:r>
      <w:r w:rsidRPr="00185371">
        <w:rPr>
          <w:rFonts w:ascii="Times New Roman" w:hAnsi="Times New Roman" w:cs="Times New Roman"/>
        </w:rPr>
        <w:t>Duquesne</w:t>
      </w:r>
      <w:r>
        <w:rPr>
          <w:rFonts w:ascii="Times New Roman" w:hAnsi="Times New Roman" w:cs="Times New Roman"/>
        </w:rPr>
        <w:t xml:space="preserve"> Light</w:t>
      </w:r>
      <w:r w:rsidRPr="00185371">
        <w:rPr>
          <w:rFonts w:ascii="Times New Roman" w:hAnsi="Times New Roman" w:cs="Times New Roman"/>
          <w:color w:val="000000"/>
        </w:rPr>
        <w:t xml:space="preserve"> </w:t>
      </w:r>
      <w:r w:rsidRPr="0052420D">
        <w:rPr>
          <w:rFonts w:ascii="Times New Roman" w:hAnsi="Times New Roman" w:cs="Times New Roman"/>
        </w:rPr>
        <w:t xml:space="preserve">made efforts to modify internal policies and procedures to address the conduct at issue and prevent similar conduct in the future.  </w:t>
      </w:r>
      <w:r w:rsidR="0057030A">
        <w:rPr>
          <w:rFonts w:ascii="Times New Roman" w:hAnsi="Times New Roman" w:cs="Times New Roman"/>
          <w:color w:val="000000"/>
        </w:rPr>
        <w:t>52 Pa. Code §</w:t>
      </w:r>
      <w:r w:rsidRPr="0052420D">
        <w:rPr>
          <w:rFonts w:ascii="Times New Roman" w:hAnsi="Times New Roman" w:cs="Times New Roman"/>
          <w:color w:val="000000"/>
        </w:rPr>
        <w:t xml:space="preserve">69.1201(c)(4).  As outlined in Paragraph 11 above, </w:t>
      </w:r>
      <w:r w:rsidRPr="00185371">
        <w:rPr>
          <w:rFonts w:ascii="Times New Roman" w:hAnsi="Times New Roman" w:cs="Times New Roman"/>
        </w:rPr>
        <w:t>Duquesne</w:t>
      </w:r>
      <w:r>
        <w:rPr>
          <w:rFonts w:ascii="Times New Roman" w:hAnsi="Times New Roman" w:cs="Times New Roman"/>
        </w:rPr>
        <w:t xml:space="preserve"> Light</w:t>
      </w:r>
      <w:r w:rsidRPr="00185371">
        <w:rPr>
          <w:rFonts w:ascii="Times New Roman" w:hAnsi="Times New Roman" w:cs="Times New Roman"/>
          <w:color w:val="000000"/>
        </w:rPr>
        <w:t xml:space="preserve"> </w:t>
      </w:r>
      <w:r w:rsidRPr="0052420D">
        <w:rPr>
          <w:rFonts w:ascii="Times New Roman" w:hAnsi="Times New Roman" w:cs="Times New Roman"/>
          <w:color w:val="000000"/>
        </w:rPr>
        <w:t>commits to modifying its internal policies and procedures to address the conduct at issue and prevent similar conduct in the future</w:t>
      </w:r>
      <w:r w:rsidRPr="0052420D">
        <w:rPr>
          <w:rFonts w:ascii="Times New Roman" w:hAnsi="Times New Roman" w:cs="Times New Roman"/>
        </w:rPr>
        <w:t>.</w:t>
      </w:r>
    </w:p>
    <w:p w:rsidR="00AE26A0" w:rsidRPr="0052420D" w:rsidRDefault="00AE26A0" w:rsidP="00AE26A0">
      <w:pPr>
        <w:spacing w:line="360" w:lineRule="auto"/>
        <w:ind w:firstLine="1440"/>
        <w:rPr>
          <w:rFonts w:ascii="Times New Roman" w:hAnsi="Times New Roman" w:cs="Times New Roman"/>
        </w:rPr>
      </w:pPr>
    </w:p>
    <w:p w:rsidR="00263B71" w:rsidRPr="00185371" w:rsidRDefault="00263B71" w:rsidP="00185371">
      <w:pPr>
        <w:spacing w:line="360" w:lineRule="auto"/>
        <w:rPr>
          <w:rFonts w:ascii="Times New Roman" w:hAnsi="Times New Roman" w:cs="Times New Roman"/>
        </w:rPr>
      </w:pPr>
      <w:r w:rsidRPr="0052420D">
        <w:rPr>
          <w:rFonts w:ascii="Times New Roman" w:hAnsi="Times New Roman" w:cs="Times New Roman"/>
        </w:rPr>
        <w:tab/>
      </w:r>
      <w:r w:rsidRPr="0052420D">
        <w:rPr>
          <w:rFonts w:ascii="Times New Roman" w:hAnsi="Times New Roman" w:cs="Times New Roman"/>
        </w:rPr>
        <w:tab/>
      </w:r>
      <w:r w:rsidRPr="0052420D">
        <w:rPr>
          <w:rFonts w:ascii="Times New Roman" w:hAnsi="Times New Roman" w:cs="Times New Roman"/>
          <w:color w:val="000000"/>
        </w:rPr>
        <w:t xml:space="preserve">The fourth factor considered is the number of customers affected and the duration of any violation by </w:t>
      </w:r>
      <w:r w:rsidR="0052420D" w:rsidRPr="00185371">
        <w:rPr>
          <w:rFonts w:ascii="Times New Roman" w:hAnsi="Times New Roman" w:cs="Times New Roman"/>
        </w:rPr>
        <w:t>Duquesne</w:t>
      </w:r>
      <w:r w:rsidR="0052420D">
        <w:rPr>
          <w:rFonts w:ascii="Times New Roman" w:hAnsi="Times New Roman" w:cs="Times New Roman"/>
        </w:rPr>
        <w:t xml:space="preserve"> Light</w:t>
      </w:r>
      <w:r w:rsidR="0057030A">
        <w:rPr>
          <w:rFonts w:ascii="Times New Roman" w:hAnsi="Times New Roman" w:cs="Times New Roman"/>
          <w:color w:val="000000"/>
        </w:rPr>
        <w:t>.  52 Pa. Code §</w:t>
      </w:r>
      <w:r w:rsidRPr="0052420D">
        <w:rPr>
          <w:rFonts w:ascii="Times New Roman" w:hAnsi="Times New Roman" w:cs="Times New Roman"/>
          <w:color w:val="000000"/>
        </w:rPr>
        <w:t>69.1201(c)(5).</w:t>
      </w:r>
      <w:r w:rsidRPr="0052420D">
        <w:rPr>
          <w:rFonts w:ascii="Times New Roman" w:hAnsi="Times New Roman" w:cs="Times New Roman"/>
        </w:rPr>
        <w:t xml:space="preserve">  </w:t>
      </w:r>
      <w:r w:rsidR="0052420D">
        <w:rPr>
          <w:rFonts w:ascii="Times New Roman" w:hAnsi="Times New Roman" w:cs="Times New Roman"/>
        </w:rPr>
        <w:t>Law Bureau</w:t>
      </w:r>
      <w:r w:rsidRPr="0052420D">
        <w:rPr>
          <w:rFonts w:ascii="Times New Roman" w:hAnsi="Times New Roman" w:cs="Times New Roman"/>
        </w:rPr>
        <w:t xml:space="preserve"> and CEEP staff note that AEPS Act compliance does not directly affect the safety or reliability of electric service to customers, thus, the direct impact on customers is not an issue in this matter.  </w:t>
      </w:r>
      <w:r w:rsidR="00B60460">
        <w:rPr>
          <w:rFonts w:ascii="Times New Roman" w:hAnsi="Times New Roman" w:cs="Times New Roman"/>
        </w:rPr>
        <w:t>Law Bureau</w:t>
      </w:r>
      <w:r w:rsidR="0057030A">
        <w:rPr>
          <w:rFonts w:ascii="Times New Roman" w:hAnsi="Times New Roman" w:cs="Times New Roman"/>
        </w:rPr>
        <w:t xml:space="preserve"> and </w:t>
      </w:r>
      <w:r w:rsidR="0057030A">
        <w:rPr>
          <w:rFonts w:ascii="Times New Roman" w:hAnsi="Times New Roman" w:cs="Times New Roman"/>
        </w:rPr>
        <w:lastRenderedPageBreak/>
        <w:t xml:space="preserve">CEEP </w:t>
      </w:r>
      <w:r w:rsidR="0014256F">
        <w:rPr>
          <w:rFonts w:ascii="Times New Roman" w:hAnsi="Times New Roman" w:cs="Times New Roman"/>
        </w:rPr>
        <w:t>staff note</w:t>
      </w:r>
      <w:r w:rsidRPr="0052420D">
        <w:rPr>
          <w:rFonts w:ascii="Times New Roman" w:hAnsi="Times New Roman" w:cs="Times New Roman"/>
        </w:rPr>
        <w:t xml:space="preserve"> that this was the first and only AEPS Act compliance period in which </w:t>
      </w:r>
      <w:r w:rsidR="00B60460" w:rsidRPr="00185371">
        <w:rPr>
          <w:rFonts w:ascii="Times New Roman" w:hAnsi="Times New Roman" w:cs="Times New Roman"/>
        </w:rPr>
        <w:t>Duquesne</w:t>
      </w:r>
      <w:r w:rsidR="00B60460">
        <w:rPr>
          <w:rFonts w:ascii="Times New Roman" w:hAnsi="Times New Roman" w:cs="Times New Roman"/>
        </w:rPr>
        <w:t xml:space="preserve"> Light</w:t>
      </w:r>
      <w:r w:rsidR="00B60460" w:rsidRPr="00185371">
        <w:rPr>
          <w:rFonts w:ascii="Times New Roman" w:hAnsi="Times New Roman" w:cs="Times New Roman"/>
          <w:color w:val="000000"/>
        </w:rPr>
        <w:t xml:space="preserve"> </w:t>
      </w:r>
      <w:r w:rsidRPr="0052420D">
        <w:rPr>
          <w:rFonts w:ascii="Times New Roman" w:hAnsi="Times New Roman" w:cs="Times New Roman"/>
        </w:rPr>
        <w:t>used ineligible AECs</w:t>
      </w:r>
      <w:r w:rsidRPr="00185371">
        <w:rPr>
          <w:rFonts w:ascii="Times New Roman" w:hAnsi="Times New Roman" w:cs="Times New Roman"/>
        </w:rPr>
        <w:t xml:space="preserve"> for AEPS Act compliance.</w:t>
      </w:r>
    </w:p>
    <w:p w:rsidR="00263B71" w:rsidRPr="00185371" w:rsidRDefault="00263B71" w:rsidP="00185371">
      <w:pPr>
        <w:spacing w:line="360" w:lineRule="auto"/>
        <w:rPr>
          <w:rFonts w:ascii="Times New Roman" w:hAnsi="Times New Roman" w:cs="Times New Roman"/>
        </w:rPr>
      </w:pPr>
    </w:p>
    <w:p w:rsidR="00263B71" w:rsidRPr="00185371" w:rsidRDefault="00263B71" w:rsidP="00185371">
      <w:pPr>
        <w:spacing w:line="360" w:lineRule="auto"/>
        <w:rPr>
          <w:rFonts w:ascii="Times New Roman" w:hAnsi="Times New Roman" w:cs="Times New Roman"/>
        </w:rPr>
      </w:pPr>
      <w:r w:rsidRPr="00185371">
        <w:rPr>
          <w:rFonts w:ascii="Times New Roman" w:hAnsi="Times New Roman" w:cs="Times New Roman"/>
        </w:rPr>
        <w:tab/>
      </w:r>
      <w:r w:rsidRPr="00185371">
        <w:rPr>
          <w:rFonts w:ascii="Times New Roman" w:hAnsi="Times New Roman" w:cs="Times New Roman"/>
        </w:rPr>
        <w:tab/>
        <w:t xml:space="preserve">The fifth factor considered is </w:t>
      </w:r>
      <w:r w:rsidR="00B60460" w:rsidRPr="00185371">
        <w:rPr>
          <w:rFonts w:ascii="Times New Roman" w:hAnsi="Times New Roman" w:cs="Times New Roman"/>
        </w:rPr>
        <w:t>Duquesne</w:t>
      </w:r>
      <w:r w:rsidR="00B60460">
        <w:rPr>
          <w:rFonts w:ascii="Times New Roman" w:hAnsi="Times New Roman" w:cs="Times New Roman"/>
        </w:rPr>
        <w:t xml:space="preserve"> Light</w:t>
      </w:r>
      <w:r w:rsidR="00B60460">
        <w:rPr>
          <w:rFonts w:ascii="Times New Roman" w:hAnsi="Times New Roman" w:cs="Times New Roman"/>
          <w:color w:val="000000"/>
        </w:rPr>
        <w:t xml:space="preserve">’s </w:t>
      </w:r>
      <w:r w:rsidRPr="00185371">
        <w:rPr>
          <w:rFonts w:ascii="Times New Roman" w:hAnsi="Times New Roman" w:cs="Times New Roman"/>
        </w:rPr>
        <w:t xml:space="preserve">compliance history.  </w:t>
      </w:r>
      <w:r w:rsidR="0057030A">
        <w:rPr>
          <w:rFonts w:ascii="Times New Roman" w:hAnsi="Times New Roman" w:cs="Times New Roman"/>
          <w:color w:val="000000"/>
        </w:rPr>
        <w:t>52 Pa. Code §</w:t>
      </w:r>
      <w:r w:rsidRPr="00185371">
        <w:rPr>
          <w:rFonts w:ascii="Times New Roman" w:hAnsi="Times New Roman" w:cs="Times New Roman"/>
          <w:color w:val="000000"/>
        </w:rPr>
        <w:t xml:space="preserve">69.1201(c)(6).  As noted above in Paragraph 13, this was the first and only AEPS Act compliance period in which </w:t>
      </w:r>
      <w:r w:rsidR="00B60460" w:rsidRPr="00185371">
        <w:rPr>
          <w:rFonts w:ascii="Times New Roman" w:hAnsi="Times New Roman" w:cs="Times New Roman"/>
        </w:rPr>
        <w:t>Duquesne</w:t>
      </w:r>
      <w:r w:rsidR="00B60460">
        <w:rPr>
          <w:rFonts w:ascii="Times New Roman" w:hAnsi="Times New Roman" w:cs="Times New Roman"/>
        </w:rPr>
        <w:t xml:space="preserve"> Light</w:t>
      </w:r>
      <w:r w:rsidR="00B60460" w:rsidRPr="00185371">
        <w:rPr>
          <w:rFonts w:ascii="Times New Roman" w:hAnsi="Times New Roman" w:cs="Times New Roman"/>
          <w:color w:val="000000"/>
        </w:rPr>
        <w:t xml:space="preserve"> </w:t>
      </w:r>
      <w:r w:rsidRPr="00185371">
        <w:rPr>
          <w:rFonts w:ascii="Times New Roman" w:hAnsi="Times New Roman" w:cs="Times New Roman"/>
          <w:color w:val="000000"/>
        </w:rPr>
        <w:t>used ineligible AECs for AEPS Act compliance.</w:t>
      </w:r>
    </w:p>
    <w:p w:rsidR="00263B71" w:rsidRPr="00185371" w:rsidRDefault="00263B71" w:rsidP="00185371">
      <w:pPr>
        <w:spacing w:line="360" w:lineRule="auto"/>
        <w:rPr>
          <w:rFonts w:ascii="Times New Roman" w:hAnsi="Times New Roman" w:cs="Times New Roman"/>
        </w:rPr>
      </w:pPr>
    </w:p>
    <w:p w:rsidR="00263B71" w:rsidRDefault="00263B71" w:rsidP="00185371">
      <w:pPr>
        <w:spacing w:line="360" w:lineRule="auto"/>
        <w:rPr>
          <w:rFonts w:ascii="Times New Roman" w:hAnsi="Times New Roman" w:cs="Times New Roman"/>
        </w:rPr>
      </w:pPr>
      <w:r w:rsidRPr="00185371">
        <w:rPr>
          <w:rFonts w:ascii="Times New Roman" w:hAnsi="Times New Roman" w:cs="Times New Roman"/>
        </w:rPr>
        <w:tab/>
      </w:r>
      <w:r w:rsidRPr="00185371">
        <w:rPr>
          <w:rFonts w:ascii="Times New Roman" w:hAnsi="Times New Roman" w:cs="Times New Roman"/>
        </w:rPr>
        <w:tab/>
        <w:t xml:space="preserve">In the process of negotiating this Settlement Agreement, all of the other factors set forth in Section 69.1201 were considered including: the Company’s cooperation with the Commission, and the actions necessary to deter and prevent future violations of the AEPS Act compliance obligations.  Specifically, the </w:t>
      </w:r>
      <w:r w:rsidR="00B60460">
        <w:rPr>
          <w:rFonts w:ascii="Times New Roman" w:hAnsi="Times New Roman" w:cs="Times New Roman"/>
        </w:rPr>
        <w:t>Law Bureau</w:t>
      </w:r>
      <w:r w:rsidRPr="00185371">
        <w:rPr>
          <w:rFonts w:ascii="Times New Roman" w:hAnsi="Times New Roman" w:cs="Times New Roman"/>
        </w:rPr>
        <w:t xml:space="preserve"> and CEEP staff note they found no evidence of active concealment of AEPS Act non</w:t>
      </w:r>
      <w:r w:rsidRPr="00185371">
        <w:rPr>
          <w:rFonts w:ascii="Times New Roman" w:hAnsi="Times New Roman" w:cs="Times New Roman"/>
        </w:rPr>
        <w:noBreakHyphen/>
        <w:t xml:space="preserve">compliance, nor attempts to interfere with the investigation of </w:t>
      </w:r>
      <w:r w:rsidR="00B60460" w:rsidRPr="00185371">
        <w:rPr>
          <w:rFonts w:ascii="Times New Roman" w:hAnsi="Times New Roman" w:cs="Times New Roman"/>
        </w:rPr>
        <w:t>Duquesne</w:t>
      </w:r>
      <w:r w:rsidR="00B60460">
        <w:rPr>
          <w:rFonts w:ascii="Times New Roman" w:hAnsi="Times New Roman" w:cs="Times New Roman"/>
        </w:rPr>
        <w:t xml:space="preserve"> Light</w:t>
      </w:r>
      <w:r w:rsidR="00B60460">
        <w:rPr>
          <w:rFonts w:ascii="Times New Roman" w:hAnsi="Times New Roman" w:cs="Times New Roman"/>
          <w:color w:val="000000"/>
        </w:rPr>
        <w:t xml:space="preserve">’s </w:t>
      </w:r>
      <w:r w:rsidRPr="00185371">
        <w:rPr>
          <w:rFonts w:ascii="Times New Roman" w:hAnsi="Times New Roman" w:cs="Times New Roman"/>
        </w:rPr>
        <w:t xml:space="preserve">AEPS Act compliance for the 2008/2009 AEPS Act compliance period.  Furthermore, </w:t>
      </w:r>
      <w:r w:rsidR="00B60460">
        <w:rPr>
          <w:rFonts w:ascii="Times New Roman" w:hAnsi="Times New Roman" w:cs="Times New Roman"/>
        </w:rPr>
        <w:t>Law Bureau</w:t>
      </w:r>
      <w:r w:rsidR="0057030A">
        <w:rPr>
          <w:rFonts w:ascii="Times New Roman" w:hAnsi="Times New Roman" w:cs="Times New Roman"/>
        </w:rPr>
        <w:t xml:space="preserve"> and CEEP staff </w:t>
      </w:r>
      <w:r w:rsidRPr="00185371">
        <w:rPr>
          <w:rFonts w:ascii="Times New Roman" w:hAnsi="Times New Roman" w:cs="Times New Roman"/>
        </w:rPr>
        <w:t xml:space="preserve">believe </w:t>
      </w:r>
      <w:r w:rsidR="00B60460" w:rsidRPr="00185371">
        <w:rPr>
          <w:rFonts w:ascii="Times New Roman" w:hAnsi="Times New Roman" w:cs="Times New Roman"/>
        </w:rPr>
        <w:t>Duquesne</w:t>
      </w:r>
      <w:r w:rsidR="00B60460">
        <w:rPr>
          <w:rFonts w:ascii="Times New Roman" w:hAnsi="Times New Roman" w:cs="Times New Roman"/>
        </w:rPr>
        <w:t xml:space="preserve"> Light</w:t>
      </w:r>
      <w:r w:rsidR="00B60460" w:rsidRPr="00185371">
        <w:rPr>
          <w:rFonts w:ascii="Times New Roman" w:hAnsi="Times New Roman" w:cs="Times New Roman"/>
          <w:color w:val="000000"/>
        </w:rPr>
        <w:t xml:space="preserve"> </w:t>
      </w:r>
      <w:r w:rsidRPr="00185371">
        <w:rPr>
          <w:rFonts w:ascii="Times New Roman" w:hAnsi="Times New Roman" w:cs="Times New Roman"/>
        </w:rPr>
        <w:t xml:space="preserve">has demonstrated a willingness to improve its </w:t>
      </w:r>
      <w:r w:rsidRPr="00185371">
        <w:rPr>
          <w:rFonts w:ascii="Times New Roman" w:hAnsi="Times New Roman" w:cs="Times New Roman"/>
          <w:color w:val="000000"/>
        </w:rPr>
        <w:t>management and oversight of AEC procurement and AEPS Act compliance</w:t>
      </w:r>
      <w:r w:rsidRPr="00185371">
        <w:rPr>
          <w:rFonts w:ascii="Times New Roman" w:hAnsi="Times New Roman" w:cs="Times New Roman"/>
        </w:rPr>
        <w:t>.</w:t>
      </w:r>
    </w:p>
    <w:p w:rsidR="00DF3451" w:rsidRPr="00185371" w:rsidRDefault="00DF3451" w:rsidP="00185371">
      <w:pPr>
        <w:spacing w:line="360" w:lineRule="auto"/>
        <w:rPr>
          <w:rFonts w:ascii="Times New Roman" w:hAnsi="Times New Roman" w:cs="Times New Roman"/>
        </w:rPr>
      </w:pPr>
    </w:p>
    <w:p w:rsidR="00263B71" w:rsidRPr="00185371" w:rsidRDefault="00263B71" w:rsidP="00185371">
      <w:pPr>
        <w:spacing w:line="360" w:lineRule="auto"/>
        <w:rPr>
          <w:rFonts w:ascii="Times New Roman" w:hAnsi="Times New Roman" w:cs="Times New Roman"/>
        </w:rPr>
      </w:pPr>
      <w:r w:rsidRPr="00185371">
        <w:rPr>
          <w:rFonts w:ascii="Times New Roman" w:hAnsi="Times New Roman" w:cs="Times New Roman"/>
        </w:rPr>
        <w:tab/>
      </w:r>
      <w:r w:rsidRPr="00185371">
        <w:rPr>
          <w:rFonts w:ascii="Times New Roman" w:hAnsi="Times New Roman" w:cs="Times New Roman"/>
        </w:rPr>
        <w:tab/>
      </w:r>
      <w:r w:rsidR="00185371" w:rsidRPr="00185371">
        <w:rPr>
          <w:rFonts w:ascii="Times New Roman" w:hAnsi="Times New Roman" w:cs="Times New Roman"/>
        </w:rPr>
        <w:t>CEEP and Law Bureau believe the efforts of Duquesne</w:t>
      </w:r>
      <w:r w:rsidR="00185371">
        <w:rPr>
          <w:rFonts w:ascii="Times New Roman" w:hAnsi="Times New Roman" w:cs="Times New Roman"/>
        </w:rPr>
        <w:t xml:space="preserve"> Light</w:t>
      </w:r>
      <w:r w:rsidR="00185371" w:rsidRPr="00185371">
        <w:rPr>
          <w:rFonts w:ascii="Times New Roman" w:hAnsi="Times New Roman" w:cs="Times New Roman"/>
        </w:rPr>
        <w:t>, Law Bureau and CEEP staff in negotiating this joint settlement have resulted in a fair and equitable settlement that is in the public interest.  The Commission has consistently encouraged settlements to avoid the cost, expense and time of litigation.  The parties submit that the Joint Settlement Agreement is in the public interest because it effectively addresses the areas of Duquesne</w:t>
      </w:r>
      <w:r w:rsidR="00185371">
        <w:rPr>
          <w:rFonts w:ascii="Times New Roman" w:hAnsi="Times New Roman" w:cs="Times New Roman"/>
        </w:rPr>
        <w:t xml:space="preserve"> Light</w:t>
      </w:r>
      <w:r w:rsidR="00185371">
        <w:rPr>
          <w:rFonts w:ascii="Times New Roman" w:hAnsi="Times New Roman" w:cs="Times New Roman"/>
          <w:color w:val="000000"/>
        </w:rPr>
        <w:t xml:space="preserve">’s </w:t>
      </w:r>
      <w:r w:rsidR="00185371" w:rsidRPr="00185371">
        <w:rPr>
          <w:rFonts w:ascii="Times New Roman" w:hAnsi="Times New Roman" w:cs="Times New Roman"/>
          <w:color w:val="000000"/>
        </w:rPr>
        <w:t>management and oversight of AEC procurement and AEPS Act compliance</w:t>
      </w:r>
      <w:r w:rsidR="00185371" w:rsidRPr="00185371">
        <w:rPr>
          <w:rFonts w:ascii="Times New Roman" w:hAnsi="Times New Roman" w:cs="Times New Roman"/>
        </w:rPr>
        <w:t xml:space="preserve"> that led to the issuance of the Notice of non-compliance.  This Joint Settlement Agreement takes into consideration Duquesne</w:t>
      </w:r>
      <w:r w:rsidR="00185371">
        <w:rPr>
          <w:rFonts w:ascii="Times New Roman" w:hAnsi="Times New Roman" w:cs="Times New Roman"/>
        </w:rPr>
        <w:t xml:space="preserve"> Light’s </w:t>
      </w:r>
      <w:r w:rsidR="00185371" w:rsidRPr="00185371">
        <w:rPr>
          <w:rFonts w:ascii="Times New Roman" w:hAnsi="Times New Roman" w:cs="Times New Roman"/>
        </w:rPr>
        <w:t>compliance record in relation to AEPS Act.  In addition, this Joint Settlement Agreement avoids the time and expense of litigation that would entail hearings, filings of briefs, exceptions, reply exceptions, and possible appeals.  Finally, as a result of this Joint Settlement, Duquesne</w:t>
      </w:r>
      <w:r w:rsidR="00185371">
        <w:rPr>
          <w:rFonts w:ascii="Times New Roman" w:hAnsi="Times New Roman" w:cs="Times New Roman"/>
        </w:rPr>
        <w:t xml:space="preserve"> Light</w:t>
      </w:r>
      <w:r w:rsidR="00185371" w:rsidRPr="00185371">
        <w:rPr>
          <w:rFonts w:ascii="Times New Roman" w:hAnsi="Times New Roman" w:cs="Times New Roman"/>
        </w:rPr>
        <w:t xml:space="preserve"> will modify its internal </w:t>
      </w:r>
      <w:r w:rsidR="00185371" w:rsidRPr="00185371">
        <w:rPr>
          <w:rFonts w:ascii="Times New Roman" w:hAnsi="Times New Roman" w:cs="Times New Roman"/>
          <w:color w:val="000000"/>
        </w:rPr>
        <w:t>management and oversight</w:t>
      </w:r>
      <w:r w:rsidR="00185371" w:rsidRPr="00185371">
        <w:rPr>
          <w:rFonts w:ascii="Times New Roman" w:hAnsi="Times New Roman" w:cs="Times New Roman"/>
        </w:rPr>
        <w:t xml:space="preserve"> procedures to ensure that its uses eligible AECs for compliance with the AEPS Act in the future.</w:t>
      </w:r>
    </w:p>
    <w:p w:rsidR="00263B71" w:rsidRPr="00185371" w:rsidRDefault="00263B71" w:rsidP="00185371">
      <w:pPr>
        <w:spacing w:line="360" w:lineRule="auto"/>
        <w:rPr>
          <w:rFonts w:ascii="Times New Roman" w:hAnsi="Times New Roman" w:cs="Times New Roman"/>
        </w:rPr>
      </w:pPr>
    </w:p>
    <w:p w:rsidR="002C1833" w:rsidRDefault="002C1833">
      <w:pPr>
        <w:autoSpaceDE/>
        <w:autoSpaceDN/>
        <w:rPr>
          <w:rFonts w:ascii="Times New Roman" w:hAnsi="Times New Roman" w:cs="Times New Roman"/>
          <w:b/>
        </w:rPr>
      </w:pPr>
      <w:r>
        <w:rPr>
          <w:rFonts w:ascii="Times New Roman" w:hAnsi="Times New Roman" w:cs="Times New Roman"/>
          <w:b/>
        </w:rPr>
        <w:br w:type="page"/>
      </w:r>
    </w:p>
    <w:p w:rsidR="003427B5" w:rsidRPr="00914205" w:rsidRDefault="00593D42" w:rsidP="00593D42">
      <w:pPr>
        <w:spacing w:line="360" w:lineRule="auto"/>
        <w:ind w:left="360" w:hanging="360"/>
        <w:rPr>
          <w:rFonts w:ascii="Times New Roman" w:hAnsi="Times New Roman" w:cs="Times New Roman"/>
        </w:rPr>
      </w:pPr>
      <w:r w:rsidRPr="00593D42">
        <w:rPr>
          <w:rFonts w:ascii="Times New Roman" w:hAnsi="Times New Roman" w:cs="Times New Roman"/>
          <w:b/>
        </w:rPr>
        <w:lastRenderedPageBreak/>
        <w:t>C.</w:t>
      </w:r>
      <w:r w:rsidRPr="00593D42">
        <w:rPr>
          <w:rFonts w:ascii="Times New Roman" w:hAnsi="Times New Roman" w:cs="Times New Roman"/>
          <w:b/>
        </w:rPr>
        <w:tab/>
      </w:r>
      <w:r w:rsidR="003427B5" w:rsidRPr="00914205">
        <w:rPr>
          <w:rFonts w:ascii="Times New Roman" w:hAnsi="Times New Roman" w:cs="Times New Roman"/>
          <w:b/>
          <w:u w:val="single"/>
        </w:rPr>
        <w:t>Duquesne Light Company’s Position</w:t>
      </w:r>
    </w:p>
    <w:p w:rsidR="003427B5" w:rsidRPr="00914205" w:rsidRDefault="003427B5" w:rsidP="006129C1">
      <w:pPr>
        <w:spacing w:line="360" w:lineRule="auto"/>
        <w:rPr>
          <w:rFonts w:ascii="Times New Roman" w:hAnsi="Times New Roman" w:cs="Times New Roman"/>
        </w:rPr>
      </w:pPr>
    </w:p>
    <w:p w:rsidR="006129C1" w:rsidRDefault="006129C1" w:rsidP="00774898">
      <w:pPr>
        <w:spacing w:line="360" w:lineRule="auto"/>
        <w:ind w:firstLine="1440"/>
        <w:rPr>
          <w:rFonts w:ascii="Times New Roman" w:hAnsi="Times New Roman" w:cs="Times New Roman"/>
        </w:rPr>
      </w:pPr>
      <w:r w:rsidRPr="000F286C">
        <w:rPr>
          <w:rFonts w:ascii="Times New Roman" w:hAnsi="Times New Roman" w:cs="Times New Roman"/>
        </w:rPr>
        <w:t xml:space="preserve">Duquesne Light requests that the Commission approve, without modification, the Settlement resolving the finding by the Commission’s Bureau of Conservation, Economics &amp; Energy Planning (“CEEP”) of non-compliance with the Alternative Energy Portfolio Standards Act (“AEPS Act”), Act of November 30, 2004, P.L. 1672, </w:t>
      </w:r>
      <w:r w:rsidRPr="000F286C">
        <w:rPr>
          <w:rFonts w:ascii="Times New Roman" w:hAnsi="Times New Roman" w:cs="Times New Roman"/>
          <w:i/>
        </w:rPr>
        <w:t>as amended</w:t>
      </w:r>
      <w:r w:rsidR="0057030A">
        <w:rPr>
          <w:rFonts w:ascii="Times New Roman" w:hAnsi="Times New Roman" w:cs="Times New Roman"/>
        </w:rPr>
        <w:t>, 73 Pa. C.S.A. §§</w:t>
      </w:r>
      <w:r w:rsidRPr="000F286C">
        <w:rPr>
          <w:rFonts w:ascii="Times New Roman" w:hAnsi="Times New Roman" w:cs="Times New Roman"/>
        </w:rPr>
        <w:t xml:space="preserve">1648.1-1648.8, for the 2008/2009 compliance period.  Duquesne Light </w:t>
      </w:r>
      <w:r w:rsidR="00AB25BE">
        <w:rPr>
          <w:rFonts w:ascii="Times New Roman" w:hAnsi="Times New Roman" w:cs="Times New Roman"/>
        </w:rPr>
        <w:t>concludes</w:t>
      </w:r>
      <w:r w:rsidRPr="000F286C">
        <w:rPr>
          <w:rFonts w:ascii="Times New Roman" w:hAnsi="Times New Roman" w:cs="Times New Roman"/>
        </w:rPr>
        <w:t xml:space="preserve"> the approval of the Settlement is in the public interest</w:t>
      </w:r>
      <w:r w:rsidR="00AB25BE">
        <w:rPr>
          <w:rFonts w:ascii="Times New Roman" w:hAnsi="Times New Roman" w:cs="Times New Roman"/>
        </w:rPr>
        <w:t xml:space="preserve"> and should be approved</w:t>
      </w:r>
      <w:r w:rsidRPr="000F286C">
        <w:rPr>
          <w:rFonts w:ascii="Times New Roman" w:hAnsi="Times New Roman" w:cs="Times New Roman"/>
        </w:rPr>
        <w:t>.</w:t>
      </w:r>
      <w:r w:rsidR="00AB25BE">
        <w:rPr>
          <w:rFonts w:ascii="Times New Roman" w:hAnsi="Times New Roman" w:cs="Times New Roman"/>
        </w:rPr>
        <w:t xml:space="preserve">  Duquesne Light asserts the Settlement was achieved after considerable investigation and it will reduce the amount of expense and effort required by the parties and the Commission if the Commission approves the Settlement.  Lastly, Duquesne Light contends the Settlement resolves the dispute fairly and without the expense and uncertainty associated with litigation.</w:t>
      </w:r>
    </w:p>
    <w:p w:rsidR="0057030A" w:rsidRPr="000F286C" w:rsidRDefault="0057030A" w:rsidP="00774898">
      <w:pPr>
        <w:spacing w:line="360" w:lineRule="auto"/>
        <w:ind w:firstLine="1440"/>
        <w:rPr>
          <w:rFonts w:ascii="Times New Roman" w:hAnsi="Times New Roman" w:cs="Times New Roman"/>
        </w:rPr>
      </w:pPr>
    </w:p>
    <w:p w:rsidR="00AB25BE" w:rsidRPr="008A3DE4" w:rsidRDefault="00914205" w:rsidP="00E25E85">
      <w:pPr>
        <w:spacing w:line="360" w:lineRule="auto"/>
        <w:ind w:left="720"/>
        <w:rPr>
          <w:rFonts w:ascii="Times New Roman" w:hAnsi="Times New Roman" w:cs="Times New Roman"/>
          <w:u w:val="single"/>
        </w:rPr>
      </w:pPr>
      <w:r w:rsidRPr="008A3DE4">
        <w:rPr>
          <w:rFonts w:ascii="Times New Roman" w:hAnsi="Times New Roman" w:cs="Times New Roman"/>
          <w:u w:val="single"/>
        </w:rPr>
        <w:t>Background</w:t>
      </w:r>
    </w:p>
    <w:p w:rsidR="00B850FC" w:rsidRDefault="00B850FC" w:rsidP="000F286C">
      <w:pPr>
        <w:pStyle w:val="BodyText2"/>
        <w:spacing w:after="0" w:line="360" w:lineRule="auto"/>
        <w:ind w:firstLine="1440"/>
        <w:rPr>
          <w:rFonts w:ascii="Times New Roman" w:hAnsi="Times New Roman" w:cs="Times New Roman"/>
        </w:rPr>
      </w:pPr>
    </w:p>
    <w:p w:rsidR="000F286C" w:rsidRPr="000F286C" w:rsidRDefault="000F286C" w:rsidP="000F286C">
      <w:pPr>
        <w:pStyle w:val="BodyText2"/>
        <w:spacing w:after="0" w:line="360" w:lineRule="auto"/>
        <w:ind w:firstLine="1440"/>
        <w:rPr>
          <w:rFonts w:ascii="Times New Roman" w:hAnsi="Times New Roman" w:cs="Times New Roman"/>
        </w:rPr>
      </w:pPr>
      <w:r w:rsidRPr="000F286C">
        <w:rPr>
          <w:rFonts w:ascii="Times New Roman" w:hAnsi="Times New Roman" w:cs="Times New Roman"/>
        </w:rPr>
        <w:t xml:space="preserve">For the 2008/2009 AEPS compliance year, Duquesne Light acquired its wholesale power and AECs through the procurement services provided by its affiliate, Duquesne Power.  On behalf of Duquesne Light, Duquesne Power procured a total of 114,916 Tier I AECs, the amount required to meet Duquesne Light’s Tier I AEPS obligations for the 2008/2009 AEPS compliance year.  Included in this total were 42,980 Tier I AECs generated by Cadillac Renewable Energy (“Cadillac”).  </w:t>
      </w:r>
    </w:p>
    <w:p w:rsidR="000F286C" w:rsidRDefault="000F286C" w:rsidP="000F286C">
      <w:pPr>
        <w:pStyle w:val="BodyText2"/>
        <w:spacing w:after="0" w:line="360" w:lineRule="auto"/>
        <w:rPr>
          <w:rFonts w:ascii="Times New Roman" w:hAnsi="Times New Roman" w:cs="Times New Roman"/>
        </w:rPr>
      </w:pPr>
    </w:p>
    <w:p w:rsidR="000F286C" w:rsidRPr="000F286C" w:rsidRDefault="000F286C" w:rsidP="000F286C">
      <w:pPr>
        <w:pStyle w:val="BodyText2"/>
        <w:spacing w:after="0" w:line="360" w:lineRule="auto"/>
        <w:ind w:firstLine="1350"/>
        <w:rPr>
          <w:rFonts w:ascii="Times New Roman" w:hAnsi="Times New Roman" w:cs="Times New Roman"/>
        </w:rPr>
      </w:pPr>
      <w:r w:rsidRPr="000F286C">
        <w:rPr>
          <w:rFonts w:ascii="Times New Roman" w:hAnsi="Times New Roman" w:cs="Times New Roman"/>
        </w:rPr>
        <w:t>The Cadillac facility possesses a certificate issued by the Commonwealth, qualifying it as a Pennsylvania alternative energy source.  The Cadillac facility burns wood, in part, to generate electricity and is located in Michigan within the RTO service territory of Midwest Independent System Operator (“MISO”).  Michigan is a state that has facilities in both PJM and MISO.</w:t>
      </w:r>
    </w:p>
    <w:p w:rsidR="000F286C" w:rsidRDefault="000F286C" w:rsidP="000F286C">
      <w:pPr>
        <w:pStyle w:val="BodyText2"/>
        <w:spacing w:after="0" w:line="360" w:lineRule="auto"/>
        <w:rPr>
          <w:rFonts w:ascii="Times New Roman" w:hAnsi="Times New Roman" w:cs="Times New Roman"/>
        </w:rPr>
      </w:pPr>
    </w:p>
    <w:p w:rsidR="000F286C" w:rsidRPr="000F286C" w:rsidRDefault="000F286C" w:rsidP="000F286C">
      <w:pPr>
        <w:pStyle w:val="BodyText2"/>
        <w:spacing w:after="0" w:line="360" w:lineRule="auto"/>
        <w:ind w:firstLine="1440"/>
        <w:rPr>
          <w:rFonts w:ascii="Times New Roman" w:hAnsi="Times New Roman" w:cs="Times New Roman"/>
        </w:rPr>
      </w:pPr>
      <w:r w:rsidRPr="000F286C">
        <w:rPr>
          <w:rFonts w:ascii="Times New Roman" w:hAnsi="Times New Roman" w:cs="Times New Roman"/>
        </w:rPr>
        <w:t xml:space="preserve">Pursuant to Section 3 of the AEPS Act, the Commission developed “a registry of pertinent information regarding all available alternative energy credits.”  73 </w:t>
      </w:r>
      <w:r w:rsidR="0057030A">
        <w:rPr>
          <w:rFonts w:ascii="Times New Roman" w:hAnsi="Times New Roman" w:cs="Times New Roman"/>
        </w:rPr>
        <w:t xml:space="preserve">Pa. C.S.A. </w:t>
      </w:r>
      <w:r w:rsidRPr="000F286C">
        <w:rPr>
          <w:rFonts w:ascii="Times New Roman" w:hAnsi="Times New Roman" w:cs="Times New Roman"/>
        </w:rPr>
        <w:t xml:space="preserve">§1648.3(e)(8).  The Cadillac plant was listed on the Commission’s website as a qualified facility.  </w:t>
      </w:r>
      <w:r w:rsidRPr="000F286C">
        <w:rPr>
          <w:rFonts w:ascii="Times New Roman" w:hAnsi="Times New Roman" w:cs="Times New Roman"/>
        </w:rPr>
        <w:lastRenderedPageBreak/>
        <w:t xml:space="preserve">However, during the time relevant to the 2008/2009 AEPS compliance year, the Commission’s website did not indicate or otherwise provide notice that the AECs generated by Cadillac would only be eligible for an EDC located within the MISO service territory.  </w:t>
      </w:r>
    </w:p>
    <w:p w:rsidR="000F286C" w:rsidRDefault="000F286C" w:rsidP="000F286C">
      <w:pPr>
        <w:pStyle w:val="BodyText2"/>
        <w:spacing w:after="0" w:line="360" w:lineRule="auto"/>
        <w:rPr>
          <w:rFonts w:ascii="Times New Roman" w:hAnsi="Times New Roman" w:cs="Times New Roman"/>
        </w:rPr>
      </w:pPr>
    </w:p>
    <w:p w:rsidR="000F286C" w:rsidRDefault="000F286C" w:rsidP="000F286C">
      <w:pPr>
        <w:pStyle w:val="BodyText2"/>
        <w:spacing w:after="0" w:line="360" w:lineRule="auto"/>
        <w:ind w:firstLine="1440"/>
        <w:rPr>
          <w:rFonts w:ascii="Times New Roman" w:hAnsi="Times New Roman" w:cs="Times New Roman"/>
        </w:rPr>
      </w:pPr>
      <w:r w:rsidRPr="000F286C">
        <w:rPr>
          <w:rFonts w:ascii="Times New Roman" w:hAnsi="Times New Roman" w:cs="Times New Roman"/>
        </w:rPr>
        <w:t>The Commission determined that PJM’s Generator Attribute Tracking System (“PJM GATS”) would be used to record and track generation of credits by generators as well as compliance by load serving entities.  The Cadillac facility was a registered facility in PJM GATS at the time of Duquesne Power’s purchase of the credits and its production is recorded in the GATS system.  However, during the time relevant to the 2008/2009 AEPS compliance year, the PJM GATS did not advise or otherwise provide notice that the AECs generated by Cadillac would only be eligible for an EDC located within the MISO service territory.</w:t>
      </w:r>
    </w:p>
    <w:p w:rsidR="0057030A" w:rsidRPr="000F286C" w:rsidRDefault="0057030A" w:rsidP="000F286C">
      <w:pPr>
        <w:pStyle w:val="BodyText2"/>
        <w:spacing w:after="0" w:line="360" w:lineRule="auto"/>
        <w:ind w:firstLine="1440"/>
        <w:rPr>
          <w:rFonts w:ascii="Times New Roman" w:hAnsi="Times New Roman" w:cs="Times New Roman"/>
        </w:rPr>
      </w:pPr>
    </w:p>
    <w:p w:rsidR="000F286C" w:rsidRPr="000F286C" w:rsidRDefault="000F286C" w:rsidP="000F286C">
      <w:pPr>
        <w:pStyle w:val="BodyText2"/>
        <w:spacing w:after="0" w:line="360" w:lineRule="auto"/>
        <w:ind w:firstLine="1440"/>
        <w:rPr>
          <w:rFonts w:ascii="Times New Roman" w:hAnsi="Times New Roman" w:cs="Times New Roman"/>
        </w:rPr>
      </w:pPr>
      <w:r w:rsidRPr="000F286C">
        <w:rPr>
          <w:rFonts w:ascii="Times New Roman" w:hAnsi="Times New Roman" w:cs="Times New Roman"/>
        </w:rPr>
        <w:t>The 2008/2009 AEPS compliance period was the first full reporting period for Duquesne Light, which was before the first full reporting period of many other Pennsylvania utilities.  Duquesne Light’s reporting period for the 2008/2009</w:t>
      </w:r>
      <w:r w:rsidR="00640503">
        <w:rPr>
          <w:rFonts w:ascii="Times New Roman" w:hAnsi="Times New Roman" w:cs="Times New Roman"/>
        </w:rPr>
        <w:t xml:space="preserve"> compliance period ended on May </w:t>
      </w:r>
      <w:r w:rsidRPr="000F286C">
        <w:rPr>
          <w:rFonts w:ascii="Times New Roman" w:hAnsi="Times New Roman" w:cs="Times New Roman"/>
        </w:rPr>
        <w:t>31, 2009.  Duquesne Light did not register its AECs for the 2008/2009 AEPS compliance period with the PJM GATS until August 29, 2009.</w:t>
      </w:r>
    </w:p>
    <w:p w:rsidR="000F286C" w:rsidRDefault="000F286C" w:rsidP="000F286C">
      <w:pPr>
        <w:pStyle w:val="BodyText2"/>
        <w:spacing w:after="0" w:line="360" w:lineRule="auto"/>
        <w:rPr>
          <w:rFonts w:ascii="Times New Roman" w:hAnsi="Times New Roman" w:cs="Times New Roman"/>
        </w:rPr>
      </w:pPr>
    </w:p>
    <w:p w:rsidR="000F286C" w:rsidRPr="000F286C" w:rsidRDefault="000F286C" w:rsidP="000F286C">
      <w:pPr>
        <w:pStyle w:val="BodyText2"/>
        <w:spacing w:after="0" w:line="360" w:lineRule="auto"/>
        <w:ind w:firstLine="1440"/>
        <w:rPr>
          <w:rFonts w:ascii="Times New Roman" w:hAnsi="Times New Roman" w:cs="Times New Roman"/>
        </w:rPr>
      </w:pPr>
      <w:r w:rsidRPr="000F286C">
        <w:rPr>
          <w:rFonts w:ascii="Times New Roman" w:hAnsi="Times New Roman" w:cs="Times New Roman"/>
        </w:rPr>
        <w:t xml:space="preserve">The Commission’s regulations provide that the AEPS credit administrator, Clean Power Markets (“CPM”), is to issue an initial assessment of compliance within 45 days from the end of the reporting period, </w:t>
      </w:r>
      <w:r w:rsidRPr="000F286C">
        <w:rPr>
          <w:rFonts w:ascii="Times New Roman" w:hAnsi="Times New Roman" w:cs="Times New Roman"/>
          <w:i/>
        </w:rPr>
        <w:t>i.e.</w:t>
      </w:r>
      <w:r w:rsidRPr="000F286C">
        <w:rPr>
          <w:rFonts w:ascii="Times New Roman" w:hAnsi="Times New Roman" w:cs="Times New Roman"/>
        </w:rPr>
        <w:t>, Ju</w:t>
      </w:r>
      <w:r w:rsidR="0057030A">
        <w:rPr>
          <w:rFonts w:ascii="Times New Roman" w:hAnsi="Times New Roman" w:cs="Times New Roman"/>
        </w:rPr>
        <w:t>ly 15, 2009.  See 52 Pa. Code §</w:t>
      </w:r>
      <w:r w:rsidRPr="000F286C">
        <w:rPr>
          <w:rFonts w:ascii="Times New Roman" w:hAnsi="Times New Roman" w:cs="Times New Roman"/>
        </w:rPr>
        <w:t>75.64(c).  However, Duquesne Light did not receive an initial assessment on July 15, 2009.</w:t>
      </w:r>
      <w:r w:rsidRPr="000F286C">
        <w:rPr>
          <w:rStyle w:val="FootnoteReference"/>
          <w:rFonts w:ascii="Times New Roman" w:hAnsi="Times New Roman" w:cs="Times New Roman"/>
        </w:rPr>
        <w:footnoteReference w:id="5"/>
      </w:r>
    </w:p>
    <w:p w:rsidR="002C1833" w:rsidRDefault="002C1833" w:rsidP="000F286C">
      <w:pPr>
        <w:pStyle w:val="BodyText2"/>
        <w:spacing w:after="0" w:line="360" w:lineRule="auto"/>
        <w:ind w:firstLine="1440"/>
        <w:rPr>
          <w:rFonts w:ascii="Times New Roman" w:hAnsi="Times New Roman" w:cs="Times New Roman"/>
        </w:rPr>
      </w:pPr>
    </w:p>
    <w:p w:rsidR="000F286C" w:rsidRPr="000F286C" w:rsidRDefault="000F286C" w:rsidP="000F286C">
      <w:pPr>
        <w:pStyle w:val="BodyText2"/>
        <w:spacing w:after="0" w:line="360" w:lineRule="auto"/>
        <w:ind w:firstLine="1440"/>
        <w:rPr>
          <w:rFonts w:ascii="Times New Roman" w:hAnsi="Times New Roman" w:cs="Times New Roman"/>
        </w:rPr>
      </w:pPr>
      <w:r w:rsidRPr="000F286C">
        <w:rPr>
          <w:rFonts w:ascii="Times New Roman" w:hAnsi="Times New Roman" w:cs="Times New Roman"/>
        </w:rPr>
        <w:t xml:space="preserve">The true-up period for Duquesne Light’s 2008/2009 AEPS compliance period ran from May 31, 2009 through September 1, 2009.  73 </w:t>
      </w:r>
      <w:r w:rsidR="0057030A">
        <w:rPr>
          <w:rFonts w:ascii="Times New Roman" w:hAnsi="Times New Roman" w:cs="Times New Roman"/>
        </w:rPr>
        <w:t xml:space="preserve">Pa. C.S.A. </w:t>
      </w:r>
      <w:r w:rsidRPr="000F286C">
        <w:rPr>
          <w:rFonts w:ascii="Times New Roman" w:hAnsi="Times New Roman" w:cs="Times New Roman"/>
        </w:rPr>
        <w:t xml:space="preserve">§1648.3(e)(5).  CPM was required to issue a final assessment within 15 days from the end of the true-up period, </w:t>
      </w:r>
      <w:r w:rsidRPr="000F286C">
        <w:rPr>
          <w:rFonts w:ascii="Times New Roman" w:hAnsi="Times New Roman" w:cs="Times New Roman"/>
          <w:i/>
        </w:rPr>
        <w:t>i.e.</w:t>
      </w:r>
      <w:r w:rsidRPr="000F286C">
        <w:rPr>
          <w:rFonts w:ascii="Times New Roman" w:hAnsi="Times New Roman" w:cs="Times New Roman"/>
        </w:rPr>
        <w:t xml:space="preserve">, September 16, 2009.  </w:t>
      </w:r>
      <w:r w:rsidRPr="000F286C">
        <w:rPr>
          <w:rFonts w:ascii="Times New Roman" w:hAnsi="Times New Roman" w:cs="Times New Roman"/>
          <w:i/>
        </w:rPr>
        <w:t>See</w:t>
      </w:r>
      <w:r w:rsidRPr="000F286C">
        <w:rPr>
          <w:rFonts w:ascii="Times New Roman" w:hAnsi="Times New Roman" w:cs="Times New Roman"/>
        </w:rPr>
        <w:t xml:space="preserve"> 52 Pa. Code §75.64(c)(2).  Duquesne Light was not provided with a final assessment on September 16, 2009.  </w:t>
      </w:r>
    </w:p>
    <w:p w:rsidR="000F286C" w:rsidRPr="000F286C" w:rsidRDefault="000F286C" w:rsidP="000F286C">
      <w:pPr>
        <w:pStyle w:val="BodyText2"/>
        <w:spacing w:after="0" w:line="360" w:lineRule="auto"/>
        <w:ind w:firstLine="1440"/>
        <w:rPr>
          <w:rFonts w:ascii="Times New Roman" w:hAnsi="Times New Roman" w:cs="Times New Roman"/>
        </w:rPr>
      </w:pPr>
      <w:r w:rsidRPr="000F286C">
        <w:rPr>
          <w:rFonts w:ascii="Times New Roman" w:hAnsi="Times New Roman" w:cs="Times New Roman"/>
        </w:rPr>
        <w:lastRenderedPageBreak/>
        <w:t xml:space="preserve">On October 2, 2009, Duquesne Light received an assessment from the Commission’s credit administrator, indicating that Duquesne Light and its affiliates met their obligations for the 2008/2009 AEPS compliance period.  However, on January 4, 2010, Duquesne Light received a letter from CEEP, indicating that, based on a review conducted by the Commission’s AEPS credit administrator, Duquesne Light was not in compliance for the 2008/2009 AEPS compliance year (“Non-Compliance Letter”).  The Non-Compliance Letter concluded that, pursuant to Section 4 of the AEPS Act, 73 </w:t>
      </w:r>
      <w:r w:rsidR="0057030A">
        <w:rPr>
          <w:rFonts w:ascii="Times New Roman" w:hAnsi="Times New Roman" w:cs="Times New Roman"/>
        </w:rPr>
        <w:t xml:space="preserve">Pa. C.S.A. </w:t>
      </w:r>
      <w:r w:rsidRPr="000F286C">
        <w:rPr>
          <w:rFonts w:ascii="Times New Roman" w:hAnsi="Times New Roman" w:cs="Times New Roman"/>
        </w:rPr>
        <w:t>§1648.4, the 42,980 Tier I AECs obtained from Cadillac were ineligible for Duquesne Light’s AEPS Act compliance because they were procured from an alternative energy source located outside the geographical boundaries of the Commonwealth and not within the service territory of Duquesne Light’s RTO, PJM.  The Non-Compliance Letter imposed an alternative energy compliance payment of $1,934,100 ($45 for each Tier I AEC obtained from Cadillac).</w:t>
      </w:r>
    </w:p>
    <w:p w:rsidR="000F286C" w:rsidRDefault="000F286C" w:rsidP="000F286C">
      <w:pPr>
        <w:pStyle w:val="BodyText2"/>
        <w:spacing w:after="0" w:line="360" w:lineRule="auto"/>
        <w:rPr>
          <w:rFonts w:ascii="Times New Roman" w:hAnsi="Times New Roman" w:cs="Times New Roman"/>
        </w:rPr>
      </w:pPr>
    </w:p>
    <w:p w:rsidR="000F286C" w:rsidRPr="000F286C" w:rsidRDefault="000F286C" w:rsidP="000F286C">
      <w:pPr>
        <w:pStyle w:val="BodyText2"/>
        <w:spacing w:after="0" w:line="360" w:lineRule="auto"/>
        <w:ind w:firstLine="1440"/>
        <w:rPr>
          <w:rFonts w:ascii="Times New Roman" w:hAnsi="Times New Roman" w:cs="Times New Roman"/>
        </w:rPr>
      </w:pPr>
      <w:r w:rsidRPr="000F286C">
        <w:rPr>
          <w:rFonts w:ascii="Times New Roman" w:hAnsi="Times New Roman" w:cs="Times New Roman"/>
        </w:rPr>
        <w:t>On January 19, 2010, Duquesne Light filed the above-captioned Petition to contest the Commission’s finding of non-compliance with the AEPS Act, and to modify the alternative compliance payment determination or, in the alternative, declare a force majeure for Duquesne Light for the 2008/2009 AE</w:t>
      </w:r>
      <w:r w:rsidR="00640503">
        <w:rPr>
          <w:rFonts w:ascii="Times New Roman" w:hAnsi="Times New Roman" w:cs="Times New Roman"/>
        </w:rPr>
        <w:t>PS compliance period.  CEEP file</w:t>
      </w:r>
      <w:r w:rsidRPr="000F286C">
        <w:rPr>
          <w:rFonts w:ascii="Times New Roman" w:hAnsi="Times New Roman" w:cs="Times New Roman"/>
        </w:rPr>
        <w:t>d an Answer on February 8, 2010.  The Office of Small Business Advocate (“OSBA”) filed an Answer and Notice of Intervention on February 8, 2010, and the Office of Consumer Advocate (“OCA”) filed a Notice of Intervention on March 8, 2010.</w:t>
      </w:r>
    </w:p>
    <w:p w:rsidR="000F286C" w:rsidRDefault="000F286C" w:rsidP="000F286C">
      <w:pPr>
        <w:pStyle w:val="BodyText2"/>
        <w:spacing w:after="0" w:line="360" w:lineRule="auto"/>
        <w:rPr>
          <w:rFonts w:ascii="Times New Roman" w:hAnsi="Times New Roman" w:cs="Times New Roman"/>
        </w:rPr>
      </w:pPr>
    </w:p>
    <w:p w:rsidR="000F286C" w:rsidRPr="000F286C" w:rsidRDefault="000F286C" w:rsidP="000F286C">
      <w:pPr>
        <w:pStyle w:val="BodyText2"/>
        <w:spacing w:after="0" w:line="360" w:lineRule="auto"/>
        <w:ind w:firstLine="1440"/>
        <w:rPr>
          <w:rFonts w:ascii="Times New Roman" w:hAnsi="Times New Roman" w:cs="Times New Roman"/>
        </w:rPr>
      </w:pPr>
      <w:r w:rsidRPr="000F286C">
        <w:rPr>
          <w:rFonts w:ascii="Times New Roman" w:hAnsi="Times New Roman" w:cs="Times New Roman"/>
        </w:rPr>
        <w:t xml:space="preserve">The Parties engaged in numerous settlement discussions over the course of the proceedings.  As a result of those discussions, Duquesne Light and CEEP (collectively “Joint Petitioners”) reached a settlement of all issues in this proceeding and resolved Duquesne Light’s compliance for the 2008/2009 AEPS compliance period prior to the date scheduled for evidentiary hearings.  </w:t>
      </w:r>
    </w:p>
    <w:p w:rsidR="000F286C" w:rsidRDefault="000F286C" w:rsidP="000F286C">
      <w:pPr>
        <w:spacing w:line="360" w:lineRule="auto"/>
        <w:rPr>
          <w:rFonts w:ascii="Times New Roman" w:hAnsi="Times New Roman" w:cs="Times New Roman"/>
        </w:rPr>
      </w:pPr>
    </w:p>
    <w:p w:rsidR="00B440FF" w:rsidRDefault="000F286C" w:rsidP="00B440FF">
      <w:pPr>
        <w:spacing w:line="360" w:lineRule="auto"/>
        <w:ind w:firstLine="1440"/>
        <w:rPr>
          <w:rFonts w:ascii="Times New Roman" w:hAnsi="Times New Roman" w:cs="Times New Roman"/>
        </w:rPr>
      </w:pPr>
      <w:r w:rsidRPr="000F286C">
        <w:rPr>
          <w:rFonts w:ascii="Times New Roman" w:hAnsi="Times New Roman" w:cs="Times New Roman"/>
        </w:rPr>
        <w:t xml:space="preserve">Commission policy promotes settlements.  </w:t>
      </w:r>
      <w:r w:rsidRPr="00B440FF">
        <w:rPr>
          <w:rFonts w:ascii="Times New Roman" w:hAnsi="Times New Roman" w:cs="Times New Roman"/>
        </w:rPr>
        <w:t>See</w:t>
      </w:r>
      <w:r w:rsidRPr="000F286C">
        <w:rPr>
          <w:rFonts w:ascii="Times New Roman" w:hAnsi="Times New Roman" w:cs="Times New Roman"/>
        </w:rPr>
        <w:t xml:space="preserve"> 5</w:t>
      </w:r>
      <w:r w:rsidR="00B440FF">
        <w:rPr>
          <w:rFonts w:ascii="Times New Roman" w:hAnsi="Times New Roman" w:cs="Times New Roman"/>
        </w:rPr>
        <w:t>2 Pa. Code §</w:t>
      </w:r>
      <w:r w:rsidRPr="000F286C">
        <w:rPr>
          <w:rFonts w:ascii="Times New Roman" w:hAnsi="Times New Roman" w:cs="Times New Roman"/>
        </w:rPr>
        <w:t xml:space="preserve">5.231.  Settlements lessen the time and expense the parties must expend litigating a case and, at the same time, conserve precious administrative resources.  The Commission has indicated that settlement results are often preferable to those achieved at the conclusion of a fully litigated proceeding.  </w:t>
      </w:r>
      <w:r w:rsidRPr="000F286C">
        <w:rPr>
          <w:rFonts w:ascii="Times New Roman" w:hAnsi="Times New Roman" w:cs="Times New Roman"/>
          <w:i/>
        </w:rPr>
        <w:lastRenderedPageBreak/>
        <w:t xml:space="preserve">See </w:t>
      </w:r>
      <w:r w:rsidRPr="000F286C">
        <w:rPr>
          <w:rFonts w:ascii="Times New Roman" w:hAnsi="Times New Roman" w:cs="Times New Roman"/>
        </w:rPr>
        <w:t xml:space="preserve">52 </w:t>
      </w:r>
      <w:r w:rsidRPr="00774898">
        <w:rPr>
          <w:rFonts w:ascii="Times New Roman" w:hAnsi="Times New Roman" w:cs="Times New Roman"/>
        </w:rPr>
        <w:t xml:space="preserve">Pa. Code § 69.401.  In order to accept a settlement, the Commission must first determine that the proposed terms and conditions are in the public interest.  </w:t>
      </w:r>
      <w:r w:rsidRPr="00B440FF">
        <w:rPr>
          <w:rFonts w:ascii="Times New Roman" w:hAnsi="Times New Roman" w:cs="Times New Roman"/>
          <w:u w:val="single"/>
        </w:rPr>
        <w:t>P</w:t>
      </w:r>
      <w:r w:rsidR="00B440FF">
        <w:rPr>
          <w:rFonts w:ascii="Times New Roman" w:hAnsi="Times New Roman" w:cs="Times New Roman"/>
          <w:u w:val="single"/>
        </w:rPr>
        <w:t>enn</w:t>
      </w:r>
      <w:r w:rsidRPr="00B440FF">
        <w:rPr>
          <w:rFonts w:ascii="Times New Roman" w:hAnsi="Times New Roman" w:cs="Times New Roman"/>
          <w:u w:val="single"/>
        </w:rPr>
        <w:t xml:space="preserve">a. </w:t>
      </w:r>
      <w:r w:rsidR="00B440FF">
        <w:rPr>
          <w:rFonts w:ascii="Times New Roman" w:hAnsi="Times New Roman" w:cs="Times New Roman"/>
          <w:u w:val="single"/>
        </w:rPr>
        <w:t>Public Utility Comm.</w:t>
      </w:r>
      <w:r w:rsidRPr="00B440FF">
        <w:rPr>
          <w:rFonts w:ascii="Times New Roman" w:hAnsi="Times New Roman" w:cs="Times New Roman"/>
          <w:u w:val="single"/>
        </w:rPr>
        <w:t xml:space="preserve"> v. York Water Co.</w:t>
      </w:r>
      <w:r w:rsidRPr="00774898">
        <w:rPr>
          <w:rFonts w:ascii="Times New Roman" w:hAnsi="Times New Roman" w:cs="Times New Roman"/>
        </w:rPr>
        <w:t xml:space="preserve">, Docket No. R-00049165 (Order entered Oct. 4, 2004); </w:t>
      </w:r>
      <w:r w:rsidR="00B440FF" w:rsidRPr="00B440FF">
        <w:rPr>
          <w:rFonts w:ascii="Times New Roman" w:hAnsi="Times New Roman" w:cs="Times New Roman"/>
          <w:u w:val="single"/>
        </w:rPr>
        <w:t>P</w:t>
      </w:r>
      <w:r w:rsidR="00B440FF">
        <w:rPr>
          <w:rFonts w:ascii="Times New Roman" w:hAnsi="Times New Roman" w:cs="Times New Roman"/>
          <w:u w:val="single"/>
        </w:rPr>
        <w:t>enn</w:t>
      </w:r>
      <w:r w:rsidR="00B440FF" w:rsidRPr="00B440FF">
        <w:rPr>
          <w:rFonts w:ascii="Times New Roman" w:hAnsi="Times New Roman" w:cs="Times New Roman"/>
          <w:u w:val="single"/>
        </w:rPr>
        <w:t xml:space="preserve">a. </w:t>
      </w:r>
      <w:r w:rsidR="00B440FF">
        <w:rPr>
          <w:rFonts w:ascii="Times New Roman" w:hAnsi="Times New Roman" w:cs="Times New Roman"/>
          <w:u w:val="single"/>
        </w:rPr>
        <w:t>Public Utility Comm</w:t>
      </w:r>
      <w:r w:rsidRPr="00B440FF">
        <w:rPr>
          <w:rFonts w:ascii="Times New Roman" w:hAnsi="Times New Roman" w:cs="Times New Roman"/>
          <w:u w:val="single"/>
        </w:rPr>
        <w:t>. v. C.S. Water and Sewer Assocs</w:t>
      </w:r>
      <w:r w:rsidRPr="00774898">
        <w:rPr>
          <w:rFonts w:ascii="Times New Roman" w:hAnsi="Times New Roman" w:cs="Times New Roman"/>
          <w:i/>
        </w:rPr>
        <w:t>.</w:t>
      </w:r>
      <w:r w:rsidRPr="00774898">
        <w:rPr>
          <w:rFonts w:ascii="Times New Roman" w:hAnsi="Times New Roman" w:cs="Times New Roman"/>
        </w:rPr>
        <w:t>, 74 Pa. P.U.C. 767 (1991).  The Settlement reflects a carefully balanced compromise of the interests in this proceeding.  For the reasons set forth below, the Settlement is just and reasonable and should be approved.</w:t>
      </w:r>
      <w:r w:rsidR="00B440FF">
        <w:rPr>
          <w:rFonts w:ascii="Times New Roman" w:hAnsi="Times New Roman" w:cs="Times New Roman"/>
        </w:rPr>
        <w:t xml:space="preserve">  </w:t>
      </w:r>
    </w:p>
    <w:p w:rsidR="00B440FF" w:rsidRDefault="00B440FF" w:rsidP="00B440FF">
      <w:pPr>
        <w:spacing w:line="360" w:lineRule="auto"/>
        <w:ind w:firstLine="1440"/>
        <w:rPr>
          <w:rFonts w:ascii="Times New Roman" w:hAnsi="Times New Roman" w:cs="Times New Roman"/>
        </w:rPr>
      </w:pPr>
    </w:p>
    <w:p w:rsidR="00774898" w:rsidRPr="008A3DE4" w:rsidRDefault="00774898" w:rsidP="00032D69">
      <w:pPr>
        <w:spacing w:line="360" w:lineRule="auto"/>
        <w:ind w:firstLine="720"/>
        <w:rPr>
          <w:rFonts w:ascii="Times New Roman" w:hAnsi="Times New Roman" w:cs="Times New Roman"/>
        </w:rPr>
      </w:pPr>
      <w:r w:rsidRPr="008A3DE4">
        <w:rPr>
          <w:rFonts w:ascii="Times New Roman" w:hAnsi="Times New Roman" w:cs="Times New Roman"/>
          <w:u w:val="single"/>
        </w:rPr>
        <w:t>This Settlement is in the Public Interest</w:t>
      </w:r>
    </w:p>
    <w:p w:rsidR="00774898" w:rsidRPr="00774898" w:rsidRDefault="00774898" w:rsidP="00774898">
      <w:pPr>
        <w:spacing w:line="360" w:lineRule="auto"/>
        <w:rPr>
          <w:rFonts w:ascii="Times New Roman" w:hAnsi="Times New Roman" w:cs="Times New Roman"/>
        </w:rPr>
      </w:pPr>
    </w:p>
    <w:p w:rsidR="00774898" w:rsidRPr="00774898" w:rsidRDefault="00774898" w:rsidP="001804E7">
      <w:pPr>
        <w:pStyle w:val="BodyText2"/>
        <w:spacing w:after="0" w:line="360" w:lineRule="auto"/>
        <w:ind w:firstLine="1440"/>
        <w:rPr>
          <w:rFonts w:ascii="Times New Roman" w:hAnsi="Times New Roman" w:cs="Times New Roman"/>
        </w:rPr>
      </w:pPr>
      <w:r w:rsidRPr="00774898">
        <w:rPr>
          <w:rFonts w:ascii="Times New Roman" w:hAnsi="Times New Roman" w:cs="Times New Roman"/>
        </w:rPr>
        <w:t xml:space="preserve">This Settlement was achieved by the Joint Petitioners after an extensive investigation of Duquesne Light’s filing, including informal and formal discovery and the distribution of direct and rebuttal testimony.  The Settlement reflects a carefully balanced compromise of the Joint Petitioners interests in this proceeding.  The fact that the Joint Petitioners have reached an agreement on the issues in this proceeding clearly demonstrates that the Settlement is in the public interest and should be approved.  Further, approval of this Settlement will reduce the administrative burdens on the Commission and avoid litigation expenditures because it resolves all of the issues in this proceeding without administrative adjudication. </w:t>
      </w:r>
      <w:r w:rsidR="00640503">
        <w:rPr>
          <w:rFonts w:ascii="Times New Roman" w:hAnsi="Times New Roman" w:cs="Times New Roman"/>
        </w:rPr>
        <w:t xml:space="preserve"> </w:t>
      </w:r>
      <w:r w:rsidRPr="00774898">
        <w:rPr>
          <w:rFonts w:ascii="Times New Roman" w:hAnsi="Times New Roman" w:cs="Times New Roman"/>
        </w:rPr>
        <w:t>As explained below, approval of the Settlement is in the public interest because it promotes the spirit and purpose of the AEPS Act, as well as resolves issues related to the statutory requirements of the AEPS Act and errors in the actual program used by the Commission.</w:t>
      </w:r>
    </w:p>
    <w:p w:rsidR="001804E7" w:rsidRPr="00454AD0" w:rsidRDefault="001804E7" w:rsidP="00774898">
      <w:pPr>
        <w:pStyle w:val="Heading2"/>
        <w:spacing w:line="360" w:lineRule="auto"/>
        <w:ind w:left="0"/>
        <w:jc w:val="left"/>
        <w:rPr>
          <w:sz w:val="24"/>
          <w:szCs w:val="24"/>
        </w:rPr>
      </w:pPr>
    </w:p>
    <w:p w:rsidR="00774898" w:rsidRPr="008A3DE4" w:rsidRDefault="00774898" w:rsidP="00974D05">
      <w:pPr>
        <w:pStyle w:val="Heading2"/>
        <w:spacing w:line="360" w:lineRule="auto"/>
        <w:ind w:left="1440" w:hanging="720"/>
        <w:jc w:val="left"/>
        <w:rPr>
          <w:sz w:val="24"/>
          <w:szCs w:val="24"/>
        </w:rPr>
      </w:pPr>
      <w:r w:rsidRPr="008A3DE4">
        <w:rPr>
          <w:sz w:val="24"/>
          <w:szCs w:val="24"/>
        </w:rPr>
        <w:t>The Exchange of AECs Promo</w:t>
      </w:r>
      <w:r w:rsidR="00B16806" w:rsidRPr="008A3DE4">
        <w:rPr>
          <w:sz w:val="24"/>
          <w:szCs w:val="24"/>
        </w:rPr>
        <w:t>tes the Purpose of the AEPS Act</w:t>
      </w:r>
    </w:p>
    <w:p w:rsidR="001804E7" w:rsidRPr="00454AD0" w:rsidRDefault="001804E7" w:rsidP="00774898">
      <w:pPr>
        <w:pStyle w:val="BodyText2"/>
        <w:spacing w:after="0" w:line="360" w:lineRule="auto"/>
        <w:rPr>
          <w:rFonts w:ascii="Times New Roman" w:hAnsi="Times New Roman" w:cs="Times New Roman"/>
        </w:rPr>
      </w:pPr>
    </w:p>
    <w:p w:rsidR="00774898" w:rsidRPr="00774898" w:rsidRDefault="00774898" w:rsidP="001804E7">
      <w:pPr>
        <w:pStyle w:val="BodyText2"/>
        <w:spacing w:after="0" w:line="360" w:lineRule="auto"/>
        <w:ind w:firstLine="1440"/>
        <w:rPr>
          <w:rFonts w:ascii="Times New Roman" w:hAnsi="Times New Roman" w:cs="Times New Roman"/>
        </w:rPr>
      </w:pPr>
      <w:r w:rsidRPr="00454AD0">
        <w:rPr>
          <w:rFonts w:ascii="Times New Roman" w:hAnsi="Times New Roman" w:cs="Times New Roman"/>
        </w:rPr>
        <w:t>Under the terms of the Settlement, the Joint Petitioners agree that Duquesne Light</w:t>
      </w:r>
      <w:r w:rsidRPr="00774898">
        <w:rPr>
          <w:rFonts w:ascii="Times New Roman" w:hAnsi="Times New Roman" w:cs="Times New Roman"/>
        </w:rPr>
        <w:t xml:space="preserve"> will exchange or swap the 42,980 Tier I AECs obtained from Cadillac for the 2008/2009 AEPS Act compliance period with an equal number of eligible Tier I AECs that were generated at facilities located in the Commonwealth and/or at facilities located in the PJM service territory which were submitted by a MISO eligible Pennsylvania EDC or EGS for the 2008-2009 AEPS Act compliance period.  As a result of the exchange or swap of the Tier I AECs, the Joint </w:t>
      </w:r>
      <w:r w:rsidRPr="00774898">
        <w:rPr>
          <w:rFonts w:ascii="Times New Roman" w:hAnsi="Times New Roman" w:cs="Times New Roman"/>
        </w:rPr>
        <w:lastRenderedPageBreak/>
        <w:t xml:space="preserve">Petitioners agree that Duquesne Light should be found in compliance for the 2008/2009 AEPS Act reporting period.  </w:t>
      </w:r>
    </w:p>
    <w:p w:rsidR="001804E7" w:rsidRDefault="001804E7" w:rsidP="00774898">
      <w:pPr>
        <w:pStyle w:val="BodyText2"/>
        <w:spacing w:after="0" w:line="360" w:lineRule="auto"/>
        <w:rPr>
          <w:rFonts w:ascii="Times New Roman" w:hAnsi="Times New Roman" w:cs="Times New Roman"/>
        </w:rPr>
      </w:pPr>
    </w:p>
    <w:p w:rsidR="00774898" w:rsidRPr="00774898" w:rsidRDefault="00774898" w:rsidP="001804E7">
      <w:pPr>
        <w:pStyle w:val="BodyText2"/>
        <w:spacing w:after="0" w:line="360" w:lineRule="auto"/>
        <w:ind w:firstLine="1440"/>
        <w:rPr>
          <w:rFonts w:ascii="Times New Roman" w:hAnsi="Times New Roman" w:cs="Times New Roman"/>
        </w:rPr>
      </w:pPr>
      <w:r w:rsidRPr="00774898">
        <w:rPr>
          <w:rFonts w:ascii="Times New Roman" w:hAnsi="Times New Roman" w:cs="Times New Roman"/>
        </w:rPr>
        <w:t xml:space="preserve">The Settlement is in the public interest because it promotes the purpose of the AEPS Act.  As explained by the Commonwealth Court, “the purpose of AEPS is to encourage the creation and use of energy from alternative sources.”  </w:t>
      </w:r>
      <w:r w:rsidRPr="00B440FF">
        <w:rPr>
          <w:rFonts w:ascii="Times New Roman" w:hAnsi="Times New Roman" w:cs="Times New Roman"/>
          <w:u w:val="single"/>
        </w:rPr>
        <w:t xml:space="preserve">ARIPPA v. </w:t>
      </w:r>
      <w:r w:rsidR="00B440FF" w:rsidRPr="00B440FF">
        <w:rPr>
          <w:rFonts w:ascii="Times New Roman" w:hAnsi="Times New Roman" w:cs="Times New Roman"/>
          <w:u w:val="single"/>
        </w:rPr>
        <w:t>P</w:t>
      </w:r>
      <w:r w:rsidR="00B440FF">
        <w:rPr>
          <w:rFonts w:ascii="Times New Roman" w:hAnsi="Times New Roman" w:cs="Times New Roman"/>
          <w:u w:val="single"/>
        </w:rPr>
        <w:t>enn</w:t>
      </w:r>
      <w:r w:rsidR="00B440FF" w:rsidRPr="00B440FF">
        <w:rPr>
          <w:rFonts w:ascii="Times New Roman" w:hAnsi="Times New Roman" w:cs="Times New Roman"/>
          <w:u w:val="single"/>
        </w:rPr>
        <w:t xml:space="preserve">a. </w:t>
      </w:r>
      <w:r w:rsidR="00B440FF">
        <w:rPr>
          <w:rFonts w:ascii="Times New Roman" w:hAnsi="Times New Roman" w:cs="Times New Roman"/>
          <w:u w:val="single"/>
        </w:rPr>
        <w:t>Public Utility Comm</w:t>
      </w:r>
      <w:r w:rsidRPr="00774898">
        <w:rPr>
          <w:rFonts w:ascii="Times New Roman" w:hAnsi="Times New Roman" w:cs="Times New Roman"/>
          <w:i/>
        </w:rPr>
        <w:t>.</w:t>
      </w:r>
      <w:r w:rsidRPr="00774898">
        <w:rPr>
          <w:rFonts w:ascii="Times New Roman" w:hAnsi="Times New Roman" w:cs="Times New Roman"/>
        </w:rPr>
        <w:t>,</w:t>
      </w:r>
      <w:r w:rsidR="00B440FF">
        <w:rPr>
          <w:rFonts w:ascii="Times New Roman" w:hAnsi="Times New Roman" w:cs="Times New Roman"/>
        </w:rPr>
        <w:t xml:space="preserve"> 966 A.2d 1204, 1214 (Pa. Commw</w:t>
      </w:r>
      <w:r w:rsidRPr="00774898">
        <w:rPr>
          <w:rFonts w:ascii="Times New Roman" w:hAnsi="Times New Roman" w:cs="Times New Roman"/>
        </w:rPr>
        <w:t xml:space="preserve">. 2009).  Section 4 of the AEPS Act limits eligible AECs to those generated within the Commonwealth or within an RTO that operates within the Commonwealth.  73 </w:t>
      </w:r>
      <w:r w:rsidR="00B440FF">
        <w:rPr>
          <w:rFonts w:ascii="Times New Roman" w:hAnsi="Times New Roman" w:cs="Times New Roman"/>
        </w:rPr>
        <w:t xml:space="preserve">Pa. C.S.A. </w:t>
      </w:r>
      <w:r w:rsidRPr="00774898">
        <w:rPr>
          <w:rFonts w:ascii="Times New Roman" w:hAnsi="Times New Roman" w:cs="Times New Roman"/>
        </w:rPr>
        <w:t>§1648.4.  Clearly, the intent of the Act is to promote the development of environmentally sound alternative energy sources that will provide environmental benefits within the Commonwealth.</w:t>
      </w:r>
    </w:p>
    <w:p w:rsidR="00B440FF" w:rsidRDefault="00B440FF" w:rsidP="00774898">
      <w:pPr>
        <w:pStyle w:val="BodyText2"/>
        <w:spacing w:after="0" w:line="360" w:lineRule="auto"/>
        <w:rPr>
          <w:rFonts w:ascii="Times New Roman" w:hAnsi="Times New Roman" w:cs="Times New Roman"/>
        </w:rPr>
      </w:pPr>
    </w:p>
    <w:p w:rsidR="00774898" w:rsidRPr="00774898" w:rsidRDefault="00774898" w:rsidP="00B440FF">
      <w:pPr>
        <w:pStyle w:val="BodyText2"/>
        <w:spacing w:after="0" w:line="360" w:lineRule="auto"/>
        <w:ind w:firstLine="1440"/>
        <w:rPr>
          <w:rFonts w:ascii="Times New Roman" w:hAnsi="Times New Roman" w:cs="Times New Roman"/>
        </w:rPr>
      </w:pPr>
      <w:r w:rsidRPr="00774898">
        <w:rPr>
          <w:rFonts w:ascii="Times New Roman" w:hAnsi="Times New Roman" w:cs="Times New Roman"/>
        </w:rPr>
        <w:t>The Cadillac facility burns wood, in part, to generate electricity.  Cadillac has been registered and certified by the Commonwealth of Pennsylvania as a qualified alternative energy system and, therefore, qualified to generate AECs for use in Pennsylvania.  Cadillac is located within the service territory of an RTO that operates within the Commonwealth.  Additionally, the Cadillac facility is located in Michigan, a state that, similar to Pennsylvania, has facilities in both PJM and MISO.  Thus, the 42,980 Tier I AECs obtained from Cadillac clearly promote the development of environmentally sound alternative energy sources that provide environmental benefits within the Commonwealth and within the service territory of an RTO that operates within the Commonwealth.</w:t>
      </w:r>
    </w:p>
    <w:p w:rsidR="001804E7" w:rsidRDefault="001804E7" w:rsidP="00774898">
      <w:pPr>
        <w:pStyle w:val="BodyText2"/>
        <w:spacing w:after="0" w:line="360" w:lineRule="auto"/>
        <w:rPr>
          <w:rFonts w:ascii="Times New Roman" w:hAnsi="Times New Roman" w:cs="Times New Roman"/>
        </w:rPr>
      </w:pPr>
    </w:p>
    <w:p w:rsidR="00774898" w:rsidRPr="00774898" w:rsidRDefault="00774898" w:rsidP="001804E7">
      <w:pPr>
        <w:pStyle w:val="BodyText2"/>
        <w:spacing w:after="0" w:line="360" w:lineRule="auto"/>
        <w:ind w:firstLine="1440"/>
        <w:rPr>
          <w:rFonts w:ascii="Times New Roman" w:hAnsi="Times New Roman" w:cs="Times New Roman"/>
        </w:rPr>
      </w:pPr>
      <w:r w:rsidRPr="00774898">
        <w:rPr>
          <w:rFonts w:ascii="Times New Roman" w:hAnsi="Times New Roman" w:cs="Times New Roman"/>
        </w:rPr>
        <w:t>If the 42,980 Tier I AECs procured from Cadillac are not accepted, they will be worthless and cannot be resold.  Their vintage is June 2006-May 2007 and, thus, these AECs have expired.  Under the terms of the Settlement, Duquesne will be permitted to exchange these MISO AECs for AECs, which were generated in the Commonwealth or the PJM service territory, that were submitted by a MISO eligible EDC or EGS.  Accordingly, the credits purchased by Pennsylvania EDCs and EGSs will be reallocated and meet the requirements of the AEPS Act as interpreted by the Commission.</w:t>
      </w:r>
    </w:p>
    <w:p w:rsidR="001804E7" w:rsidRDefault="001804E7" w:rsidP="00774898">
      <w:pPr>
        <w:pStyle w:val="BodyText2"/>
        <w:spacing w:after="0" w:line="360" w:lineRule="auto"/>
        <w:rPr>
          <w:rFonts w:ascii="Times New Roman" w:hAnsi="Times New Roman" w:cs="Times New Roman"/>
        </w:rPr>
      </w:pPr>
    </w:p>
    <w:p w:rsidR="00774898" w:rsidRPr="00774898" w:rsidRDefault="00774898" w:rsidP="001804E7">
      <w:pPr>
        <w:pStyle w:val="BodyText2"/>
        <w:spacing w:after="0" w:line="360" w:lineRule="auto"/>
        <w:ind w:firstLine="1440"/>
        <w:rPr>
          <w:rFonts w:ascii="Times New Roman" w:hAnsi="Times New Roman" w:cs="Times New Roman"/>
        </w:rPr>
      </w:pPr>
      <w:r w:rsidRPr="00774898">
        <w:rPr>
          <w:rFonts w:ascii="Times New Roman" w:hAnsi="Times New Roman" w:cs="Times New Roman"/>
        </w:rPr>
        <w:lastRenderedPageBreak/>
        <w:t xml:space="preserve">Further, as explained more fully below, Duquesne Light made a good faith effort to meet its AEPS requirements for the 2008/2009 AEPS compliance period and reasonably relied on the information available from the Commonwealth, PJM GATS, and the Commission to conclude that the 42,980 Tier I AECs procured from Cadillac would be eligible to meet Duquesne Light’s requirements for the 2008/2009 AEPS compliance period.  The exchange set forth in the Settlement avoids penalizing Duquesne Light for such reasonable reliance.  The exchange will avoid the waste of the 42,980 Tier I AECs procured from Cadillac, while at the same time promoting the purpose of and compliance with the AEPS Act.  </w:t>
      </w:r>
    </w:p>
    <w:p w:rsidR="001804E7" w:rsidRPr="00914205" w:rsidRDefault="001804E7" w:rsidP="00774898">
      <w:pPr>
        <w:pStyle w:val="Heading2"/>
        <w:spacing w:line="360" w:lineRule="auto"/>
        <w:ind w:left="0"/>
        <w:jc w:val="left"/>
        <w:rPr>
          <w:sz w:val="24"/>
          <w:szCs w:val="24"/>
        </w:rPr>
      </w:pPr>
    </w:p>
    <w:p w:rsidR="00774898" w:rsidRPr="00F748F2" w:rsidRDefault="00774898" w:rsidP="00974D05">
      <w:pPr>
        <w:pStyle w:val="Heading2"/>
        <w:spacing w:line="360" w:lineRule="auto"/>
        <w:ind w:left="1440" w:hanging="720"/>
        <w:jc w:val="left"/>
        <w:rPr>
          <w:sz w:val="24"/>
          <w:szCs w:val="24"/>
        </w:rPr>
      </w:pPr>
      <w:r w:rsidRPr="00F748F2">
        <w:rPr>
          <w:sz w:val="24"/>
          <w:szCs w:val="24"/>
        </w:rPr>
        <w:t xml:space="preserve">Duquesne Light’s Commitments Will </w:t>
      </w:r>
      <w:r w:rsidR="00B16806" w:rsidRPr="00F748F2">
        <w:rPr>
          <w:sz w:val="24"/>
          <w:szCs w:val="24"/>
        </w:rPr>
        <w:t>Ensure Proper Reporting</w:t>
      </w:r>
    </w:p>
    <w:p w:rsidR="001804E7" w:rsidRPr="00914205" w:rsidRDefault="001804E7" w:rsidP="00774898">
      <w:pPr>
        <w:pStyle w:val="BodyText2"/>
        <w:spacing w:after="0" w:line="360" w:lineRule="auto"/>
        <w:rPr>
          <w:rFonts w:ascii="Times New Roman" w:hAnsi="Times New Roman" w:cs="Times New Roman"/>
        </w:rPr>
      </w:pPr>
    </w:p>
    <w:p w:rsidR="00774898" w:rsidRPr="00774898" w:rsidRDefault="00774898" w:rsidP="001804E7">
      <w:pPr>
        <w:pStyle w:val="BodyText2"/>
        <w:spacing w:after="0" w:line="360" w:lineRule="auto"/>
        <w:ind w:firstLine="1440"/>
        <w:rPr>
          <w:rFonts w:ascii="Times New Roman" w:hAnsi="Times New Roman" w:cs="Times New Roman"/>
        </w:rPr>
      </w:pPr>
      <w:r w:rsidRPr="00914205">
        <w:rPr>
          <w:rFonts w:ascii="Times New Roman" w:hAnsi="Times New Roman" w:cs="Times New Roman"/>
        </w:rPr>
        <w:t>Under the terms of the Settlement, Duquesne Light will implement additional internal procedures to ensure that all AECs procured for future reporting periods (2009-10 and beyond</w:t>
      </w:r>
      <w:r w:rsidRPr="00774898">
        <w:rPr>
          <w:rFonts w:ascii="Times New Roman" w:hAnsi="Times New Roman" w:cs="Times New Roman"/>
        </w:rPr>
        <w:t xml:space="preserve">) will be produced inside the PJM service territory or the Commonwealth of Pennsylvania.  Duquesne Light also will submit its annual AEC report to the Commission and the Commission’s AEPS credit administrator electronically on or before July </w:t>
      </w:r>
      <w:r w:rsidR="00783E1E">
        <w:rPr>
          <w:rFonts w:ascii="Times New Roman" w:hAnsi="Times New Roman" w:cs="Times New Roman"/>
        </w:rPr>
        <w:t>1</w:t>
      </w:r>
      <w:r w:rsidR="00783E1E" w:rsidRPr="00783E1E">
        <w:rPr>
          <w:rFonts w:ascii="Times New Roman" w:hAnsi="Times New Roman" w:cs="Times New Roman"/>
          <w:vertAlign w:val="superscript"/>
        </w:rPr>
        <w:t>st</w:t>
      </w:r>
      <w:r w:rsidR="00783E1E">
        <w:rPr>
          <w:rFonts w:ascii="Times New Roman" w:hAnsi="Times New Roman" w:cs="Times New Roman"/>
        </w:rPr>
        <w:t xml:space="preserve"> </w:t>
      </w:r>
      <w:r w:rsidRPr="00774898">
        <w:rPr>
          <w:rFonts w:ascii="Times New Roman" w:hAnsi="Times New Roman" w:cs="Times New Roman"/>
        </w:rPr>
        <w:t xml:space="preserve">of every year so that the Commission and its credit administrator can review the proposed compliance plan of Duquesne Light.  The Settlement is in the public interest because it will help to clarify procedures to enforce the statutory requirements of the AEPS Act and assist the Commission in completing its obligations under the AEPS Act.  </w:t>
      </w:r>
    </w:p>
    <w:p w:rsidR="001804E7" w:rsidRDefault="001804E7" w:rsidP="00774898">
      <w:pPr>
        <w:pStyle w:val="BodyText2"/>
        <w:spacing w:after="0" w:line="360" w:lineRule="auto"/>
        <w:rPr>
          <w:rFonts w:ascii="Times New Roman" w:hAnsi="Times New Roman" w:cs="Times New Roman"/>
        </w:rPr>
      </w:pPr>
    </w:p>
    <w:p w:rsidR="00774898" w:rsidRPr="00774898" w:rsidRDefault="00774898" w:rsidP="001804E7">
      <w:pPr>
        <w:pStyle w:val="BodyText2"/>
        <w:spacing w:after="0" w:line="360" w:lineRule="auto"/>
        <w:ind w:firstLine="1440"/>
        <w:rPr>
          <w:rFonts w:ascii="Times New Roman" w:hAnsi="Times New Roman" w:cs="Times New Roman"/>
        </w:rPr>
      </w:pPr>
      <w:r w:rsidRPr="00774898">
        <w:rPr>
          <w:rFonts w:ascii="Times New Roman" w:hAnsi="Times New Roman" w:cs="Times New Roman"/>
        </w:rPr>
        <w:t xml:space="preserve">Under Section 3 of the AEPS Act, the Commission or the administrator is required to “develop a registry of pertinent information regarding all available alternative energy credits.”  73 </w:t>
      </w:r>
      <w:r w:rsidR="00B440FF">
        <w:rPr>
          <w:rFonts w:ascii="Times New Roman" w:hAnsi="Times New Roman" w:cs="Times New Roman"/>
        </w:rPr>
        <w:t>Pa. C.S.A.</w:t>
      </w:r>
      <w:r w:rsidRPr="00774898">
        <w:rPr>
          <w:rFonts w:ascii="Times New Roman" w:hAnsi="Times New Roman" w:cs="Times New Roman"/>
        </w:rPr>
        <w:t xml:space="preserve"> §1648.3(e)(8).  At the time relevant to the 2008/2009 AEPS compliance period, neither the Commission’s website nor the PJM GATS identified which Pennsylvania “qualified facilities” generate only MISO eligible AECs.  Clearly it is pertinent to advise or otherwise provide notice that the listed “qualified facilities” on the Commission’s website and PJM GATS may only be eligible to provide AECs in certain RTO service territories due to the geographic limitation set forth in Section 4 of the AEPS Act.  73 </w:t>
      </w:r>
      <w:r w:rsidR="00B440FF">
        <w:rPr>
          <w:rFonts w:ascii="Times New Roman" w:hAnsi="Times New Roman" w:cs="Times New Roman"/>
        </w:rPr>
        <w:t xml:space="preserve">Pa. C.S.A. </w:t>
      </w:r>
      <w:r w:rsidRPr="00774898">
        <w:rPr>
          <w:rFonts w:ascii="Times New Roman" w:hAnsi="Times New Roman" w:cs="Times New Roman"/>
        </w:rPr>
        <w:t>§1648.4.  Indeed, such information becomes even more pertinent when the qualified facility is located in a state that has facilities in both PJM and MISO service territories, such as Cadillac.</w:t>
      </w:r>
    </w:p>
    <w:p w:rsidR="00774898" w:rsidRDefault="00774898" w:rsidP="001804E7">
      <w:pPr>
        <w:pStyle w:val="BodyText2"/>
        <w:spacing w:after="0" w:line="360" w:lineRule="auto"/>
        <w:ind w:firstLine="1440"/>
        <w:rPr>
          <w:rFonts w:ascii="Times New Roman" w:hAnsi="Times New Roman" w:cs="Times New Roman"/>
        </w:rPr>
      </w:pPr>
      <w:r w:rsidRPr="00774898">
        <w:rPr>
          <w:rFonts w:ascii="Times New Roman" w:hAnsi="Times New Roman" w:cs="Times New Roman"/>
        </w:rPr>
        <w:lastRenderedPageBreak/>
        <w:t>Duquesne Light made a good faith effort to meet its AEPS requirements for the 2008/2009 AEPS compliance period and reasonably relied on the information available from the Commonwealth, PJM GATS, and the Commission to conclude that the 42,980 Tier I AECs procured from Cadillac would be eligible to meet Duquesne Light’s requirements for the 2008/2009 AEPS compliance period.  Indeed, the Commission similarly has found such reliance to be reasonable:</w:t>
      </w:r>
    </w:p>
    <w:p w:rsidR="00FE047D" w:rsidRDefault="00FE047D" w:rsidP="001804E7">
      <w:pPr>
        <w:pStyle w:val="BodyText2"/>
        <w:spacing w:after="0" w:line="360" w:lineRule="auto"/>
        <w:ind w:firstLine="1440"/>
        <w:rPr>
          <w:rFonts w:ascii="Times New Roman" w:hAnsi="Times New Roman" w:cs="Times New Roman"/>
        </w:rPr>
      </w:pPr>
    </w:p>
    <w:p w:rsidR="00774898" w:rsidRPr="00774898" w:rsidRDefault="00774898" w:rsidP="00B72255">
      <w:pPr>
        <w:pStyle w:val="IndentSingle"/>
        <w:spacing w:after="0"/>
      </w:pPr>
      <w:r w:rsidRPr="00774898">
        <w:t>The AECs transferred were generated in Michigan, which contains both PJM and MISO service areas.  JS 44.  The transferred AECs were identified by the AEC Transfer Interface as eligible to meet Tier I compliance obligations in Pennsylvania.  JS 45.  The GATS AEC Transfer Interface indicated only that the Transferred Tier I AECs would be eligible to meet Tier I obligations in Pennsylvania. JS 46.  Based upon these stipulated facts, we do not believe that Constellation had reason to perform further inquiry or testing to verify the quality of the AECs transferred.</w:t>
      </w:r>
    </w:p>
    <w:p w:rsidR="005D5541" w:rsidRDefault="005D5541" w:rsidP="00774898">
      <w:pPr>
        <w:pStyle w:val="BodyText2"/>
        <w:spacing w:after="0" w:line="360" w:lineRule="auto"/>
        <w:rPr>
          <w:rFonts w:ascii="Times New Roman" w:hAnsi="Times New Roman" w:cs="Times New Roman"/>
          <w:i/>
        </w:rPr>
      </w:pPr>
    </w:p>
    <w:p w:rsidR="00774898" w:rsidRPr="00774898" w:rsidRDefault="00774898" w:rsidP="00774898">
      <w:pPr>
        <w:pStyle w:val="BodyText2"/>
        <w:spacing w:after="0" w:line="360" w:lineRule="auto"/>
        <w:rPr>
          <w:rFonts w:ascii="Times New Roman" w:hAnsi="Times New Roman" w:cs="Times New Roman"/>
        </w:rPr>
      </w:pPr>
      <w:r w:rsidRPr="00D33361">
        <w:rPr>
          <w:rFonts w:ascii="Times New Roman" w:hAnsi="Times New Roman" w:cs="Times New Roman"/>
          <w:u w:val="single"/>
        </w:rPr>
        <w:t>Petition of Constellation NewEnergy, Inc. For Withdraw, or in the Alternative Modification, of Notice, of Noncompliance With Alternative Energy Portfolio Standards Act 2008/2009 Compliance Year</w:t>
      </w:r>
      <w:r w:rsidRPr="00774898">
        <w:rPr>
          <w:rFonts w:ascii="Times New Roman" w:hAnsi="Times New Roman" w:cs="Times New Roman"/>
        </w:rPr>
        <w:t>, Docket No. P-2010-2153657, Slip Op. at p. 27 (August 20, 2010) (“</w:t>
      </w:r>
      <w:r w:rsidRPr="00774898">
        <w:rPr>
          <w:rFonts w:ascii="Times New Roman" w:hAnsi="Times New Roman" w:cs="Times New Roman"/>
          <w:i/>
        </w:rPr>
        <w:t>Constellation AEPS Order</w:t>
      </w:r>
      <w:r w:rsidRPr="00774898">
        <w:rPr>
          <w:rFonts w:ascii="Times New Roman" w:hAnsi="Times New Roman" w:cs="Times New Roman"/>
        </w:rPr>
        <w:t>”).</w:t>
      </w:r>
    </w:p>
    <w:p w:rsidR="001804E7" w:rsidRDefault="001804E7" w:rsidP="00774898">
      <w:pPr>
        <w:pStyle w:val="BodyText2"/>
        <w:spacing w:after="0" w:line="360" w:lineRule="auto"/>
        <w:rPr>
          <w:rFonts w:ascii="Times New Roman" w:hAnsi="Times New Roman" w:cs="Times New Roman"/>
        </w:rPr>
      </w:pPr>
    </w:p>
    <w:p w:rsidR="00774898" w:rsidRPr="00774898" w:rsidRDefault="00774898" w:rsidP="00B72255">
      <w:pPr>
        <w:pStyle w:val="BodyText2"/>
        <w:spacing w:after="0" w:line="360" w:lineRule="auto"/>
        <w:ind w:firstLine="1440"/>
        <w:rPr>
          <w:rFonts w:ascii="Times New Roman" w:hAnsi="Times New Roman" w:cs="Times New Roman"/>
        </w:rPr>
      </w:pPr>
      <w:r w:rsidRPr="00774898">
        <w:rPr>
          <w:rFonts w:ascii="Times New Roman" w:hAnsi="Times New Roman" w:cs="Times New Roman"/>
        </w:rPr>
        <w:t xml:space="preserve">Further, the lack of timely assessments denied Duquesne Light its statutory right to a true-up period.  Duquesne Light’s reporting period for the 2008/2009 compliance period ended on May 31, 2009.  Although Duquesne Light did not register its AECs with the PJM GATS until August 29, 2009, the credit administrator, CPM, was required to issue an initial assessment within 45 days from the end of the reporting period, </w:t>
      </w:r>
      <w:r w:rsidRPr="00774898">
        <w:rPr>
          <w:rFonts w:ascii="Times New Roman" w:hAnsi="Times New Roman" w:cs="Times New Roman"/>
          <w:i/>
        </w:rPr>
        <w:t>i.e.</w:t>
      </w:r>
      <w:r w:rsidRPr="00774898">
        <w:rPr>
          <w:rFonts w:ascii="Times New Roman" w:hAnsi="Times New Roman" w:cs="Times New Roman"/>
        </w:rPr>
        <w:t xml:space="preserve">, July 15, 2009.  </w:t>
      </w:r>
      <w:r w:rsidRPr="00D33361">
        <w:rPr>
          <w:rFonts w:ascii="Times New Roman" w:hAnsi="Times New Roman" w:cs="Times New Roman"/>
        </w:rPr>
        <w:t>See</w:t>
      </w:r>
      <w:r w:rsidR="00D33361">
        <w:rPr>
          <w:rFonts w:ascii="Times New Roman" w:hAnsi="Times New Roman" w:cs="Times New Roman"/>
        </w:rPr>
        <w:t xml:space="preserve"> 52 Pa. Code §</w:t>
      </w:r>
      <w:r w:rsidRPr="00774898">
        <w:rPr>
          <w:rFonts w:ascii="Times New Roman" w:hAnsi="Times New Roman" w:cs="Times New Roman"/>
        </w:rPr>
        <w:t>75.64(c).  Duquesne Light was not provided with an initi</w:t>
      </w:r>
      <w:r w:rsidR="00640503">
        <w:rPr>
          <w:rFonts w:ascii="Times New Roman" w:hAnsi="Times New Roman" w:cs="Times New Roman"/>
        </w:rPr>
        <w:t>al assessment on or before July </w:t>
      </w:r>
      <w:r w:rsidRPr="00774898">
        <w:rPr>
          <w:rFonts w:ascii="Times New Roman" w:hAnsi="Times New Roman" w:cs="Times New Roman"/>
        </w:rPr>
        <w:t>15, 2009.</w:t>
      </w:r>
    </w:p>
    <w:p w:rsidR="00B72255" w:rsidRDefault="00B72255" w:rsidP="00774898">
      <w:pPr>
        <w:pStyle w:val="BodyText2"/>
        <w:spacing w:after="0" w:line="360" w:lineRule="auto"/>
        <w:rPr>
          <w:rFonts w:ascii="Times New Roman" w:hAnsi="Times New Roman" w:cs="Times New Roman"/>
        </w:rPr>
      </w:pPr>
    </w:p>
    <w:p w:rsidR="00774898" w:rsidRPr="00774898" w:rsidRDefault="00774898" w:rsidP="00B72255">
      <w:pPr>
        <w:pStyle w:val="BodyText2"/>
        <w:spacing w:after="0" w:line="360" w:lineRule="auto"/>
        <w:ind w:firstLine="1440"/>
        <w:rPr>
          <w:rFonts w:ascii="Times New Roman" w:hAnsi="Times New Roman" w:cs="Times New Roman"/>
        </w:rPr>
      </w:pPr>
      <w:r w:rsidRPr="00774898">
        <w:rPr>
          <w:rFonts w:ascii="Times New Roman" w:hAnsi="Times New Roman" w:cs="Times New Roman"/>
        </w:rPr>
        <w:t>The statutory true-up period for Duquesne Light’s 2008/2009 AEPS compliance period ran from May 31, 2009 throug</w:t>
      </w:r>
      <w:r w:rsidR="00D33361">
        <w:rPr>
          <w:rFonts w:ascii="Times New Roman" w:hAnsi="Times New Roman" w:cs="Times New Roman"/>
        </w:rPr>
        <w:t>h September 1, 2009.  73 Pa. C.S.A. §</w:t>
      </w:r>
      <w:r w:rsidRPr="00774898">
        <w:rPr>
          <w:rFonts w:ascii="Times New Roman" w:hAnsi="Times New Roman" w:cs="Times New Roman"/>
        </w:rPr>
        <w:t xml:space="preserve">1648.3(e)(5).  It is during this period that companies, found to be non-compliant after the initial assessment, are provided with the opportunity to become compliant.  As explained by the Commission, the </w:t>
      </w:r>
      <w:r w:rsidRPr="00774898">
        <w:rPr>
          <w:rFonts w:ascii="Times New Roman" w:hAnsi="Times New Roman" w:cs="Times New Roman"/>
        </w:rPr>
        <w:lastRenderedPageBreak/>
        <w:t>evaluation of AECs must be completed in sufficient time for an EDC or EGS to true-up its AEC compliance obligations by September 1:</w:t>
      </w:r>
    </w:p>
    <w:p w:rsidR="009C2C43" w:rsidRDefault="009C2C43" w:rsidP="00B72255">
      <w:pPr>
        <w:pStyle w:val="IndentSingle"/>
        <w:spacing w:after="0"/>
      </w:pPr>
    </w:p>
    <w:p w:rsidR="00774898" w:rsidRPr="00774898" w:rsidRDefault="00774898" w:rsidP="00B72255">
      <w:pPr>
        <w:pStyle w:val="IndentSingle"/>
        <w:spacing w:after="0"/>
      </w:pPr>
      <w:r w:rsidRPr="00774898">
        <w:t>We agree with the ALJ that the current program does not afford a meaningful opportunity for correction because a qualitative evaluation of the credits is not performed prior to the expiration of the true-up period.  Without a qualitative evaluation of the AECs submitted by each EDC and EGS, the Program Administrator simply cannot determine the level of compliance or non-compliance with the provisions of the AEPS Act.  We believe that the Program Administrator should have its quantitative and qualitative analysis completed in sufficient time for an EDC or EGS to true-up its AEC compliance obligations by September 1.  By completing this dual analysis and providing time for EDCs and EGSs to true-up their compliance obligations prior to September 1, will avoid any due process concerns that may arise.  Accordingly, we shall direct the Program Administrator to complete a dual analysis by a date that will provide adequate time for EDCs and EGSs to true-up their compliance obligations prior to September 1.</w:t>
      </w:r>
    </w:p>
    <w:p w:rsidR="00640503" w:rsidRDefault="00640503" w:rsidP="00640503">
      <w:pPr>
        <w:pStyle w:val="BodyText2"/>
        <w:spacing w:after="0" w:line="240" w:lineRule="auto"/>
        <w:rPr>
          <w:rFonts w:ascii="Times New Roman" w:hAnsi="Times New Roman" w:cs="Times New Roman"/>
          <w:u w:val="single"/>
        </w:rPr>
      </w:pPr>
    </w:p>
    <w:p w:rsidR="00774898" w:rsidRPr="00774898" w:rsidRDefault="00774898" w:rsidP="00774898">
      <w:pPr>
        <w:pStyle w:val="BodyText2"/>
        <w:spacing w:after="0" w:line="360" w:lineRule="auto"/>
        <w:rPr>
          <w:rFonts w:ascii="Times New Roman" w:hAnsi="Times New Roman" w:cs="Times New Roman"/>
        </w:rPr>
      </w:pPr>
      <w:r w:rsidRPr="00D33361">
        <w:rPr>
          <w:rFonts w:ascii="Times New Roman" w:hAnsi="Times New Roman" w:cs="Times New Roman"/>
          <w:u w:val="single"/>
        </w:rPr>
        <w:t>Constellation AEPS Order</w:t>
      </w:r>
      <w:r w:rsidRPr="00774898">
        <w:rPr>
          <w:rFonts w:ascii="Times New Roman" w:hAnsi="Times New Roman" w:cs="Times New Roman"/>
        </w:rPr>
        <w:t xml:space="preserve">, Slip Op. at p. 26.  </w:t>
      </w:r>
    </w:p>
    <w:p w:rsidR="00B72255" w:rsidRDefault="00B72255" w:rsidP="00640503">
      <w:pPr>
        <w:pStyle w:val="BodyText2"/>
        <w:spacing w:after="0" w:line="360" w:lineRule="auto"/>
        <w:rPr>
          <w:rFonts w:ascii="Times New Roman" w:hAnsi="Times New Roman" w:cs="Times New Roman"/>
        </w:rPr>
      </w:pPr>
    </w:p>
    <w:p w:rsidR="00774898" w:rsidRPr="00774898" w:rsidRDefault="00774898" w:rsidP="00B72255">
      <w:pPr>
        <w:pStyle w:val="BodyText2"/>
        <w:spacing w:after="0" w:line="360" w:lineRule="auto"/>
        <w:ind w:firstLine="1440"/>
        <w:rPr>
          <w:rFonts w:ascii="Times New Roman" w:hAnsi="Times New Roman" w:cs="Times New Roman"/>
        </w:rPr>
      </w:pPr>
      <w:r w:rsidRPr="00774898">
        <w:rPr>
          <w:rFonts w:ascii="Times New Roman" w:hAnsi="Times New Roman" w:cs="Times New Roman"/>
        </w:rPr>
        <w:t xml:space="preserve">As Duquesne Light did not receive an initial assessment on July 15, 2009, Duquesne Light was denied the opportunity to become compliant under the AEPS Act.  Moreover, on October 2, 2009, CPM informed Duquesne Light that it was compliant.  Therefore, even though Duquesne Light did not register its credits by May 31, 2009, it did so on August 29, 2009, and CPM’s October 2, 2009 “initial assessment” was that Duquesne Light was compliant.  </w:t>
      </w:r>
    </w:p>
    <w:p w:rsidR="00B72255" w:rsidRDefault="00B72255" w:rsidP="00774898">
      <w:pPr>
        <w:pStyle w:val="BodyText2"/>
        <w:spacing w:after="0" w:line="360" w:lineRule="auto"/>
        <w:rPr>
          <w:rFonts w:ascii="Times New Roman" w:hAnsi="Times New Roman" w:cs="Times New Roman"/>
        </w:rPr>
      </w:pPr>
    </w:p>
    <w:p w:rsidR="00774898" w:rsidRPr="00774898" w:rsidRDefault="00774898" w:rsidP="00B72255">
      <w:pPr>
        <w:pStyle w:val="BodyText2"/>
        <w:spacing w:after="0" w:line="360" w:lineRule="auto"/>
        <w:ind w:firstLine="1440"/>
        <w:rPr>
          <w:rFonts w:ascii="Times New Roman" w:hAnsi="Times New Roman" w:cs="Times New Roman"/>
        </w:rPr>
      </w:pPr>
      <w:r w:rsidRPr="00774898">
        <w:rPr>
          <w:rFonts w:ascii="Times New Roman" w:hAnsi="Times New Roman" w:cs="Times New Roman"/>
        </w:rPr>
        <w:t xml:space="preserve">The AEPS Act also requires that a final assessment be issued within 15 days from the end of the true-up period, </w:t>
      </w:r>
      <w:r w:rsidRPr="00774898">
        <w:rPr>
          <w:rFonts w:ascii="Times New Roman" w:hAnsi="Times New Roman" w:cs="Times New Roman"/>
          <w:i/>
        </w:rPr>
        <w:t>i.e.</w:t>
      </w:r>
      <w:r w:rsidRPr="00774898">
        <w:rPr>
          <w:rFonts w:ascii="Times New Roman" w:hAnsi="Times New Roman" w:cs="Times New Roman"/>
        </w:rPr>
        <w:t xml:space="preserve">, September 16, 2009.  </w:t>
      </w:r>
      <w:r w:rsidRPr="00D33361">
        <w:rPr>
          <w:rFonts w:ascii="Times New Roman" w:hAnsi="Times New Roman" w:cs="Times New Roman"/>
        </w:rPr>
        <w:t>See</w:t>
      </w:r>
      <w:r w:rsidRPr="00774898">
        <w:rPr>
          <w:rFonts w:ascii="Times New Roman" w:hAnsi="Times New Roman" w:cs="Times New Roman"/>
          <w:i/>
        </w:rPr>
        <w:t xml:space="preserve"> </w:t>
      </w:r>
      <w:r w:rsidR="00D33361">
        <w:rPr>
          <w:rFonts w:ascii="Times New Roman" w:hAnsi="Times New Roman" w:cs="Times New Roman"/>
        </w:rPr>
        <w:t>52 Pa. Code §</w:t>
      </w:r>
      <w:r w:rsidRPr="00774898">
        <w:rPr>
          <w:rFonts w:ascii="Times New Roman" w:hAnsi="Times New Roman" w:cs="Times New Roman"/>
        </w:rPr>
        <w:t xml:space="preserve">75.64(c)(2).  Duquesne Light was not provided with a final assessment on September 16, 2009.  Rather, it was not until January 4, 2010, that Duquesne Light received the Non-Compliance Letter from CEEP, indicating that Duquesne Light was not compliant for the 2008/2009 AEPS compliance year.  The January 4, 2010 Non-Compliance Letter reversed the October 2, 2009 “initial assessment” that Duquesne Light was in compliance with AEPS Act.  This after-the-fact reversal of CPM’s earlier assessment failed to provide Duquesne Light with timely notice of the alleged non-compliance and denied Duquesne Light its statutory right to a true-up period.  As a result, </w:t>
      </w:r>
      <w:r w:rsidRPr="00774898">
        <w:rPr>
          <w:rFonts w:ascii="Times New Roman" w:hAnsi="Times New Roman" w:cs="Times New Roman"/>
        </w:rPr>
        <w:lastRenderedPageBreak/>
        <w:t xml:space="preserve">Duquesne was denied notice and the opportunity to make up for any identified shortfalls in order to obtain compliance with the AEPS Act.  </w:t>
      </w:r>
    </w:p>
    <w:p w:rsidR="00B72255" w:rsidRDefault="00B72255" w:rsidP="00774898">
      <w:pPr>
        <w:spacing w:line="360" w:lineRule="auto"/>
        <w:rPr>
          <w:rFonts w:ascii="Times New Roman" w:hAnsi="Times New Roman" w:cs="Times New Roman"/>
        </w:rPr>
      </w:pPr>
    </w:p>
    <w:p w:rsidR="00774898" w:rsidRPr="00774898" w:rsidRDefault="00774898" w:rsidP="00B72255">
      <w:pPr>
        <w:spacing w:line="360" w:lineRule="auto"/>
        <w:ind w:firstLine="1440"/>
        <w:rPr>
          <w:rFonts w:ascii="Times New Roman" w:hAnsi="Times New Roman" w:cs="Times New Roman"/>
          <w:b/>
          <w:u w:val="single"/>
        </w:rPr>
      </w:pPr>
      <w:r w:rsidRPr="00774898">
        <w:rPr>
          <w:rFonts w:ascii="Times New Roman" w:hAnsi="Times New Roman" w:cs="Times New Roman"/>
        </w:rPr>
        <w:t xml:space="preserve">As explained by the Commission, the credit administrator is required to complete its analysis of AECs by a date that will provide adequate time for EDCs and EGSs to true-up their compliance obligations prior to September 1.  </w:t>
      </w:r>
      <w:r w:rsidRPr="00D33361">
        <w:rPr>
          <w:rFonts w:ascii="Times New Roman" w:hAnsi="Times New Roman" w:cs="Times New Roman"/>
          <w:u w:val="single"/>
        </w:rPr>
        <w:t>Constellation AEPS Order</w:t>
      </w:r>
      <w:r w:rsidRPr="00774898">
        <w:rPr>
          <w:rFonts w:ascii="Times New Roman" w:hAnsi="Times New Roman" w:cs="Times New Roman"/>
        </w:rPr>
        <w:t>, Slip Op. at p. 26.  Duquesne Light’s commitments under the Settlement to implement additional internal procedures regarding the procurement and reporting of AECs will facilitate the timely review of the AECs by the credit administrator for future reporting periods and provide Duquesne Light with its statutory right to a true-up period.  For these reasons, the Settlement is in the public interest because it helps resolve issues related to the statutory requirements of the AEPS Act and errors in the actual program used by the Commission.</w:t>
      </w:r>
    </w:p>
    <w:p w:rsidR="00774898" w:rsidRDefault="00774898" w:rsidP="006129C1">
      <w:pPr>
        <w:spacing w:line="360" w:lineRule="auto"/>
        <w:rPr>
          <w:rFonts w:ascii="Times New Roman" w:hAnsi="Times New Roman" w:cs="Times New Roman"/>
          <w:b/>
          <w:u w:val="single"/>
        </w:rPr>
      </w:pPr>
    </w:p>
    <w:p w:rsidR="0016243E" w:rsidRPr="006129C1" w:rsidRDefault="007E60EB" w:rsidP="006129C1">
      <w:pPr>
        <w:spacing w:line="360" w:lineRule="auto"/>
        <w:rPr>
          <w:rFonts w:ascii="Times New Roman" w:hAnsi="Times New Roman" w:cs="Times New Roman"/>
          <w:b/>
          <w:u w:val="single"/>
        </w:rPr>
      </w:pPr>
      <w:r w:rsidRPr="007E60EB">
        <w:rPr>
          <w:rFonts w:ascii="Times New Roman" w:hAnsi="Times New Roman" w:cs="Times New Roman"/>
          <w:b/>
        </w:rPr>
        <w:t>D.</w:t>
      </w:r>
      <w:r w:rsidRPr="007E60EB">
        <w:rPr>
          <w:rFonts w:ascii="Times New Roman" w:hAnsi="Times New Roman" w:cs="Times New Roman"/>
          <w:b/>
        </w:rPr>
        <w:tab/>
      </w:r>
      <w:r w:rsidR="0016243E" w:rsidRPr="006129C1">
        <w:rPr>
          <w:rFonts w:ascii="Times New Roman" w:hAnsi="Times New Roman" w:cs="Times New Roman"/>
          <w:b/>
          <w:u w:val="single"/>
        </w:rPr>
        <w:t>Conclusion</w:t>
      </w:r>
    </w:p>
    <w:p w:rsidR="0016243E" w:rsidRPr="0028764F" w:rsidRDefault="0016243E" w:rsidP="0028764F">
      <w:pPr>
        <w:spacing w:line="360" w:lineRule="auto"/>
        <w:rPr>
          <w:rFonts w:ascii="Times New Roman" w:hAnsi="Times New Roman" w:cs="Times New Roman"/>
        </w:rPr>
      </w:pPr>
    </w:p>
    <w:p w:rsidR="00276F96" w:rsidRDefault="00A3082B" w:rsidP="005A1DD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76F96">
        <w:rPr>
          <w:rFonts w:ascii="Times New Roman" w:hAnsi="Times New Roman" w:cs="Times New Roman"/>
        </w:rPr>
        <w:t xml:space="preserve">The primary purpose of the AEPS Act is to encourage the availability and use of alternative sources of energy.  </w:t>
      </w:r>
      <w:r w:rsidR="005E3E9B">
        <w:rPr>
          <w:rFonts w:ascii="Times New Roman" w:hAnsi="Times New Roman" w:cs="Times New Roman"/>
        </w:rPr>
        <w:t>One</w:t>
      </w:r>
      <w:r w:rsidR="0028764F" w:rsidRPr="0028764F">
        <w:rPr>
          <w:rFonts w:ascii="Times New Roman" w:hAnsi="Times New Roman" w:cs="Times New Roman"/>
        </w:rPr>
        <w:t xml:space="preserve"> </w:t>
      </w:r>
      <w:r w:rsidR="00276F96">
        <w:rPr>
          <w:rFonts w:ascii="Times New Roman" w:hAnsi="Times New Roman" w:cs="Times New Roman"/>
        </w:rPr>
        <w:t>element</w:t>
      </w:r>
      <w:r w:rsidR="0028764F" w:rsidRPr="0028764F">
        <w:rPr>
          <w:rFonts w:ascii="Times New Roman" w:hAnsi="Times New Roman" w:cs="Times New Roman"/>
        </w:rPr>
        <w:t xml:space="preserve"> of the </w:t>
      </w:r>
      <w:r w:rsidR="005E3E9B">
        <w:rPr>
          <w:rFonts w:ascii="Times New Roman" w:hAnsi="Times New Roman" w:cs="Times New Roman"/>
        </w:rPr>
        <w:t>AEPS Act is to permit electricity distribution companies, like</w:t>
      </w:r>
      <w:r>
        <w:rPr>
          <w:rFonts w:ascii="Times New Roman" w:hAnsi="Times New Roman" w:cs="Times New Roman"/>
        </w:rPr>
        <w:t xml:space="preserve"> </w:t>
      </w:r>
      <w:r w:rsidR="000B7130" w:rsidRPr="005A1DDF">
        <w:rPr>
          <w:rFonts w:ascii="Times New Roman" w:hAnsi="Times New Roman" w:cs="Times New Roman"/>
        </w:rPr>
        <w:t>Duquesne Light</w:t>
      </w:r>
      <w:r w:rsidR="005E3E9B">
        <w:rPr>
          <w:rFonts w:ascii="Times New Roman" w:hAnsi="Times New Roman" w:cs="Times New Roman"/>
        </w:rPr>
        <w:t xml:space="preserve">, </w:t>
      </w:r>
      <w:r w:rsidR="00D51E72">
        <w:rPr>
          <w:rFonts w:ascii="Times New Roman" w:hAnsi="Times New Roman" w:cs="Times New Roman"/>
        </w:rPr>
        <w:t xml:space="preserve">to </w:t>
      </w:r>
      <w:r w:rsidR="0028764F" w:rsidRPr="0028764F">
        <w:rPr>
          <w:rFonts w:ascii="Times New Roman" w:hAnsi="Times New Roman" w:cs="Times New Roman"/>
        </w:rPr>
        <w:t xml:space="preserve">substitute the correct AECs at </w:t>
      </w:r>
      <w:r w:rsidR="005E3E9B">
        <w:rPr>
          <w:rFonts w:ascii="Times New Roman" w:hAnsi="Times New Roman" w:cs="Times New Roman"/>
        </w:rPr>
        <w:t>some</w:t>
      </w:r>
      <w:r w:rsidR="0028764F" w:rsidRPr="0028764F">
        <w:rPr>
          <w:rFonts w:ascii="Times New Roman" w:hAnsi="Times New Roman" w:cs="Times New Roman"/>
        </w:rPr>
        <w:t xml:space="preserve"> point</w:t>
      </w:r>
      <w:r w:rsidR="005E3E9B">
        <w:rPr>
          <w:rFonts w:ascii="Times New Roman" w:hAnsi="Times New Roman" w:cs="Times New Roman"/>
        </w:rPr>
        <w:t xml:space="preserve"> during a true</w:t>
      </w:r>
      <w:r w:rsidR="00D51E72">
        <w:rPr>
          <w:rFonts w:ascii="Times New Roman" w:hAnsi="Times New Roman" w:cs="Times New Roman"/>
        </w:rPr>
        <w:t>-</w:t>
      </w:r>
      <w:r w:rsidR="005E3E9B">
        <w:rPr>
          <w:rFonts w:ascii="Times New Roman" w:hAnsi="Times New Roman" w:cs="Times New Roman"/>
        </w:rPr>
        <w:t>up period</w:t>
      </w:r>
      <w:r w:rsidR="0028764F" w:rsidRPr="0028764F">
        <w:rPr>
          <w:rFonts w:ascii="Times New Roman" w:hAnsi="Times New Roman" w:cs="Times New Roman"/>
        </w:rPr>
        <w:t>.  The AEPS Act set</w:t>
      </w:r>
      <w:r w:rsidR="005E3E9B">
        <w:rPr>
          <w:rFonts w:ascii="Times New Roman" w:hAnsi="Times New Roman" w:cs="Times New Roman"/>
        </w:rPr>
        <w:t>s</w:t>
      </w:r>
      <w:r w:rsidR="0028764F" w:rsidRPr="0028764F">
        <w:rPr>
          <w:rFonts w:ascii="Times New Roman" w:hAnsi="Times New Roman" w:cs="Times New Roman"/>
        </w:rPr>
        <w:t xml:space="preserve"> a schedule for EDCs and EGSs to utilize a </w:t>
      </w:r>
      <w:r w:rsidR="0028764F" w:rsidRPr="005A1DDF">
        <w:rPr>
          <w:rFonts w:ascii="Times New Roman" w:hAnsi="Times New Roman" w:cs="Times New Roman"/>
        </w:rPr>
        <w:t>percentage of power derived from alt</w:t>
      </w:r>
      <w:r w:rsidR="005E3E9B">
        <w:rPr>
          <w:rFonts w:ascii="Times New Roman" w:hAnsi="Times New Roman" w:cs="Times New Roman"/>
        </w:rPr>
        <w:t>ernative energy sources, which sh</w:t>
      </w:r>
      <w:r w:rsidR="0028764F" w:rsidRPr="005A1DDF">
        <w:rPr>
          <w:rFonts w:ascii="Times New Roman" w:hAnsi="Times New Roman" w:cs="Times New Roman"/>
        </w:rPr>
        <w:t xml:space="preserve">ould encourage development of those alternative energy sources and support their continued operations.  </w:t>
      </w:r>
    </w:p>
    <w:p w:rsidR="00276F96" w:rsidRDefault="00276F96" w:rsidP="005A1DDF">
      <w:pPr>
        <w:spacing w:line="360" w:lineRule="auto"/>
        <w:rPr>
          <w:rFonts w:ascii="Times New Roman" w:hAnsi="Times New Roman" w:cs="Times New Roman"/>
        </w:rPr>
      </w:pPr>
    </w:p>
    <w:p w:rsidR="000720CC" w:rsidRDefault="005E3E9B" w:rsidP="00276F96">
      <w:pPr>
        <w:spacing w:line="360" w:lineRule="auto"/>
        <w:ind w:firstLine="1440"/>
        <w:rPr>
          <w:rFonts w:ascii="Times New Roman" w:hAnsi="Times New Roman" w:cs="Times New Roman"/>
        </w:rPr>
      </w:pPr>
      <w:r>
        <w:rPr>
          <w:rFonts w:ascii="Times New Roman" w:hAnsi="Times New Roman" w:cs="Times New Roman"/>
        </w:rPr>
        <w:t>CEEP sought to impose almost two million dollars in civil penalties against Duquesne Light</w:t>
      </w:r>
      <w:r w:rsidR="000763E7">
        <w:rPr>
          <w:rFonts w:ascii="Times New Roman" w:hAnsi="Times New Roman" w:cs="Times New Roman"/>
        </w:rPr>
        <w:t xml:space="preserve">, a PJM-related distribution company, </w:t>
      </w:r>
      <w:r>
        <w:rPr>
          <w:rFonts w:ascii="Times New Roman" w:hAnsi="Times New Roman" w:cs="Times New Roman"/>
        </w:rPr>
        <w:t xml:space="preserve">because Duquesne Light obtained </w:t>
      </w:r>
      <w:r w:rsidR="00276F96">
        <w:rPr>
          <w:rFonts w:ascii="Times New Roman" w:hAnsi="Times New Roman" w:cs="Times New Roman"/>
        </w:rPr>
        <w:t xml:space="preserve">the correct number of Tier 1 credits but </w:t>
      </w:r>
      <w:r>
        <w:rPr>
          <w:rFonts w:ascii="Times New Roman" w:hAnsi="Times New Roman" w:cs="Times New Roman"/>
        </w:rPr>
        <w:t xml:space="preserve">a percentage of </w:t>
      </w:r>
      <w:r w:rsidR="00276F96">
        <w:rPr>
          <w:rFonts w:ascii="Times New Roman" w:hAnsi="Times New Roman" w:cs="Times New Roman"/>
        </w:rPr>
        <w:t xml:space="preserve">the obtained </w:t>
      </w:r>
      <w:r>
        <w:rPr>
          <w:rFonts w:ascii="Times New Roman" w:hAnsi="Times New Roman" w:cs="Times New Roman"/>
        </w:rPr>
        <w:t xml:space="preserve">power </w:t>
      </w:r>
      <w:r w:rsidR="00276F96">
        <w:rPr>
          <w:rFonts w:ascii="Times New Roman" w:hAnsi="Times New Roman" w:cs="Times New Roman"/>
        </w:rPr>
        <w:t xml:space="preserve">came </w:t>
      </w:r>
      <w:r>
        <w:rPr>
          <w:rFonts w:ascii="Times New Roman" w:hAnsi="Times New Roman" w:cs="Times New Roman"/>
        </w:rPr>
        <w:t xml:space="preserve">from, </w:t>
      </w:r>
      <w:r w:rsidRPr="00384DD4">
        <w:rPr>
          <w:rFonts w:ascii="Times New Roman" w:hAnsi="Times New Roman" w:cs="Times New Roman"/>
          <w:i/>
        </w:rPr>
        <w:t>inter alia</w:t>
      </w:r>
      <w:r>
        <w:rPr>
          <w:rFonts w:ascii="Times New Roman" w:hAnsi="Times New Roman" w:cs="Times New Roman"/>
        </w:rPr>
        <w:t xml:space="preserve">, two </w:t>
      </w:r>
      <w:r w:rsidR="000763E7">
        <w:rPr>
          <w:rFonts w:ascii="Times New Roman" w:hAnsi="Times New Roman" w:cs="Times New Roman"/>
        </w:rPr>
        <w:t xml:space="preserve">non-PJM related </w:t>
      </w:r>
      <w:r>
        <w:rPr>
          <w:rFonts w:ascii="Times New Roman" w:hAnsi="Times New Roman" w:cs="Times New Roman"/>
        </w:rPr>
        <w:t>alternative energy sources</w:t>
      </w:r>
      <w:r w:rsidR="00276F96">
        <w:rPr>
          <w:rFonts w:ascii="Times New Roman" w:hAnsi="Times New Roman" w:cs="Times New Roman"/>
        </w:rPr>
        <w:t>.  These two non-PJM related alternative energy sources</w:t>
      </w:r>
      <w:r>
        <w:rPr>
          <w:rFonts w:ascii="Times New Roman" w:hAnsi="Times New Roman" w:cs="Times New Roman"/>
        </w:rPr>
        <w:t xml:space="preserve"> co-exist within a region with both MISO and PJM suppliers.  </w:t>
      </w:r>
      <w:r w:rsidR="00276F96">
        <w:rPr>
          <w:rFonts w:ascii="Times New Roman" w:hAnsi="Times New Roman" w:cs="Times New Roman"/>
        </w:rPr>
        <w:t>Unfortunately</w:t>
      </w:r>
      <w:r w:rsidR="00BF0BD8">
        <w:rPr>
          <w:rFonts w:ascii="Times New Roman" w:hAnsi="Times New Roman" w:cs="Times New Roman"/>
        </w:rPr>
        <w:t xml:space="preserve">, both the Commission’s website as well as PJM’s website listed these two alternative energy suppliers as qualified in PJM’s territory.  </w:t>
      </w:r>
    </w:p>
    <w:p w:rsidR="000720CC" w:rsidRDefault="000720CC" w:rsidP="00276F96">
      <w:pPr>
        <w:spacing w:line="360" w:lineRule="auto"/>
        <w:ind w:firstLine="1440"/>
        <w:rPr>
          <w:rFonts w:ascii="Times New Roman" w:hAnsi="Times New Roman" w:cs="Times New Roman"/>
        </w:rPr>
      </w:pPr>
    </w:p>
    <w:p w:rsidR="00BF0BD8" w:rsidRDefault="00BF0BD8" w:rsidP="00276F96">
      <w:pPr>
        <w:spacing w:line="360" w:lineRule="auto"/>
        <w:ind w:firstLine="1440"/>
        <w:rPr>
          <w:rFonts w:ascii="Times New Roman" w:hAnsi="Times New Roman" w:cs="Times New Roman"/>
        </w:rPr>
      </w:pPr>
      <w:r>
        <w:rPr>
          <w:rFonts w:ascii="Times New Roman" w:hAnsi="Times New Roman" w:cs="Times New Roman"/>
        </w:rPr>
        <w:lastRenderedPageBreak/>
        <w:t>No publicly available information notified or informed Duquesne Light that these two alternative energy suppliers were only available to MISO-related distribution companies.  In addition</w:t>
      </w:r>
      <w:r w:rsidR="000720CC">
        <w:rPr>
          <w:rFonts w:ascii="Times New Roman" w:hAnsi="Times New Roman" w:cs="Times New Roman"/>
        </w:rPr>
        <w:t xml:space="preserve"> to this failure to make public the correct information</w:t>
      </w:r>
      <w:r>
        <w:rPr>
          <w:rFonts w:ascii="Times New Roman" w:hAnsi="Times New Roman" w:cs="Times New Roman"/>
        </w:rPr>
        <w:t xml:space="preserve">, CEEP, through its administrator, did not notify Duquesne Light about the </w:t>
      </w:r>
      <w:r w:rsidR="00D51E72">
        <w:rPr>
          <w:rFonts w:ascii="Times New Roman" w:hAnsi="Times New Roman" w:cs="Times New Roman"/>
        </w:rPr>
        <w:t>lack of compliance</w:t>
      </w:r>
      <w:r>
        <w:rPr>
          <w:rFonts w:ascii="Times New Roman" w:hAnsi="Times New Roman" w:cs="Times New Roman"/>
        </w:rPr>
        <w:t xml:space="preserve"> until long after the </w:t>
      </w:r>
      <w:r w:rsidR="00D51E72">
        <w:rPr>
          <w:rFonts w:ascii="Times New Roman" w:hAnsi="Times New Roman" w:cs="Times New Roman"/>
        </w:rPr>
        <w:t>t</w:t>
      </w:r>
      <w:r>
        <w:rPr>
          <w:rFonts w:ascii="Times New Roman" w:hAnsi="Times New Roman" w:cs="Times New Roman"/>
        </w:rPr>
        <w:t>rue</w:t>
      </w:r>
      <w:r w:rsidR="00D51E72">
        <w:rPr>
          <w:rFonts w:ascii="Times New Roman" w:hAnsi="Times New Roman" w:cs="Times New Roman"/>
        </w:rPr>
        <w:t>-</w:t>
      </w:r>
      <w:r>
        <w:rPr>
          <w:rFonts w:ascii="Times New Roman" w:hAnsi="Times New Roman" w:cs="Times New Roman"/>
        </w:rPr>
        <w:t xml:space="preserve">up period for the 2008/2009 compliance ended.  </w:t>
      </w:r>
    </w:p>
    <w:p w:rsidR="00D33361" w:rsidRDefault="00D33361" w:rsidP="00BF0BD8">
      <w:pPr>
        <w:spacing w:line="360" w:lineRule="auto"/>
        <w:ind w:firstLine="1440"/>
        <w:rPr>
          <w:rFonts w:ascii="Times New Roman" w:hAnsi="Times New Roman" w:cs="Times New Roman"/>
        </w:rPr>
      </w:pPr>
    </w:p>
    <w:p w:rsidR="0028764F" w:rsidRDefault="00BF0BD8" w:rsidP="00BF0BD8">
      <w:pPr>
        <w:spacing w:line="360" w:lineRule="auto"/>
        <w:ind w:firstLine="1440"/>
        <w:rPr>
          <w:rFonts w:ascii="Times New Roman" w:hAnsi="Times New Roman" w:cs="Times New Roman"/>
        </w:rPr>
      </w:pPr>
      <w:r>
        <w:rPr>
          <w:rFonts w:ascii="Times New Roman" w:hAnsi="Times New Roman" w:cs="Times New Roman"/>
        </w:rPr>
        <w:t xml:space="preserve">Duquesne Light sought </w:t>
      </w:r>
      <w:r w:rsidR="00457478">
        <w:rPr>
          <w:rFonts w:ascii="Times New Roman" w:hAnsi="Times New Roman" w:cs="Times New Roman"/>
        </w:rPr>
        <w:t xml:space="preserve">to exchange or </w:t>
      </w:r>
      <w:r>
        <w:rPr>
          <w:rFonts w:ascii="Times New Roman" w:hAnsi="Times New Roman" w:cs="Times New Roman"/>
        </w:rPr>
        <w:t>substitut</w:t>
      </w:r>
      <w:r w:rsidR="00457478">
        <w:rPr>
          <w:rFonts w:ascii="Times New Roman" w:hAnsi="Times New Roman" w:cs="Times New Roman"/>
        </w:rPr>
        <w:t xml:space="preserve">e its 42,980 Tier I </w:t>
      </w:r>
      <w:r w:rsidR="00457478" w:rsidRPr="00457478">
        <w:rPr>
          <w:rFonts w:ascii="Times New Roman" w:hAnsi="Times New Roman" w:cs="Times New Roman"/>
          <w:u w:val="single"/>
        </w:rPr>
        <w:t>MISO</w:t>
      </w:r>
      <w:r w:rsidR="00457478">
        <w:rPr>
          <w:rFonts w:ascii="Times New Roman" w:hAnsi="Times New Roman" w:cs="Times New Roman"/>
        </w:rPr>
        <w:t xml:space="preserve"> Alternative Energy Credits for credits generated in the Commonwealth of Pennsylvania or within the P</w:t>
      </w:r>
      <w:r w:rsidR="00AE0F57">
        <w:rPr>
          <w:rFonts w:ascii="Times New Roman" w:hAnsi="Times New Roman" w:cs="Times New Roman"/>
        </w:rPr>
        <w:t>JM service territory, that were</w:t>
      </w:r>
      <w:r w:rsidR="00457478">
        <w:rPr>
          <w:rFonts w:ascii="Times New Roman" w:hAnsi="Times New Roman" w:cs="Times New Roman"/>
        </w:rPr>
        <w:t xml:space="preserve"> submitted by a MISO-eligible EDC or EGS.  Both</w:t>
      </w:r>
      <w:r w:rsidR="00D51E72">
        <w:rPr>
          <w:rFonts w:ascii="Times New Roman" w:hAnsi="Times New Roman" w:cs="Times New Roman"/>
        </w:rPr>
        <w:t xml:space="preserve"> CEEP and the program administrator would not permit the substitution</w:t>
      </w:r>
      <w:r w:rsidR="00CC60E9">
        <w:rPr>
          <w:rFonts w:ascii="Times New Roman" w:hAnsi="Times New Roman" w:cs="Times New Roman"/>
        </w:rPr>
        <w:t xml:space="preserve">. </w:t>
      </w:r>
      <w:r>
        <w:rPr>
          <w:rFonts w:ascii="Times New Roman" w:hAnsi="Times New Roman" w:cs="Times New Roman"/>
        </w:rPr>
        <w:t xml:space="preserve"> </w:t>
      </w:r>
      <w:r w:rsidR="007148E9">
        <w:rPr>
          <w:rFonts w:ascii="Times New Roman" w:hAnsi="Times New Roman" w:cs="Times New Roman"/>
        </w:rPr>
        <w:t xml:space="preserve">To not allow </w:t>
      </w:r>
      <w:r w:rsidR="007148E9" w:rsidRPr="005A1DDF">
        <w:rPr>
          <w:rFonts w:ascii="Times New Roman" w:hAnsi="Times New Roman" w:cs="Times New Roman"/>
        </w:rPr>
        <w:t>the substitution</w:t>
      </w:r>
      <w:r w:rsidR="007148E9">
        <w:rPr>
          <w:rFonts w:ascii="Times New Roman" w:hAnsi="Times New Roman" w:cs="Times New Roman"/>
        </w:rPr>
        <w:t xml:space="preserve"> now</w:t>
      </w:r>
      <w:r w:rsidR="007148E9" w:rsidRPr="005A1DDF">
        <w:rPr>
          <w:rFonts w:ascii="Times New Roman" w:hAnsi="Times New Roman" w:cs="Times New Roman"/>
        </w:rPr>
        <w:t xml:space="preserve"> </w:t>
      </w:r>
      <w:r w:rsidR="00D51E72">
        <w:rPr>
          <w:rFonts w:ascii="Times New Roman" w:hAnsi="Times New Roman" w:cs="Times New Roman"/>
        </w:rPr>
        <w:t xml:space="preserve">effectively </w:t>
      </w:r>
      <w:r w:rsidR="007148E9">
        <w:rPr>
          <w:rFonts w:ascii="Times New Roman" w:hAnsi="Times New Roman" w:cs="Times New Roman"/>
        </w:rPr>
        <w:t>punish</w:t>
      </w:r>
      <w:r w:rsidR="00D51E72">
        <w:rPr>
          <w:rFonts w:ascii="Times New Roman" w:hAnsi="Times New Roman" w:cs="Times New Roman"/>
        </w:rPr>
        <w:t>es</w:t>
      </w:r>
      <w:r w:rsidR="007148E9" w:rsidRPr="005A1DDF">
        <w:rPr>
          <w:rFonts w:ascii="Times New Roman" w:hAnsi="Times New Roman" w:cs="Times New Roman"/>
        </w:rPr>
        <w:t xml:space="preserve"> </w:t>
      </w:r>
      <w:r w:rsidR="007148E9">
        <w:rPr>
          <w:rFonts w:ascii="Times New Roman" w:hAnsi="Times New Roman" w:cs="Times New Roman"/>
        </w:rPr>
        <w:t>Duquesne Light</w:t>
      </w:r>
      <w:r w:rsidR="007148E9" w:rsidRPr="005A1DDF">
        <w:rPr>
          <w:rFonts w:ascii="Times New Roman" w:hAnsi="Times New Roman" w:cs="Times New Roman"/>
        </w:rPr>
        <w:t xml:space="preserve"> for the acts of the program administrator</w:t>
      </w:r>
      <w:r w:rsidR="000763E7">
        <w:rPr>
          <w:rFonts w:ascii="Times New Roman" w:hAnsi="Times New Roman" w:cs="Times New Roman"/>
        </w:rPr>
        <w:t xml:space="preserve"> - </w:t>
      </w:r>
      <w:r w:rsidR="007148E9" w:rsidRPr="005A1DDF">
        <w:rPr>
          <w:rFonts w:ascii="Times New Roman" w:hAnsi="Times New Roman" w:cs="Times New Roman"/>
        </w:rPr>
        <w:t xml:space="preserve">working on behalf of </w:t>
      </w:r>
      <w:r w:rsidR="00D51E72">
        <w:rPr>
          <w:rFonts w:ascii="Times New Roman" w:hAnsi="Times New Roman" w:cs="Times New Roman"/>
        </w:rPr>
        <w:t xml:space="preserve">the </w:t>
      </w:r>
      <w:r w:rsidR="007148E9" w:rsidRPr="005A1DDF">
        <w:rPr>
          <w:rFonts w:ascii="Times New Roman" w:hAnsi="Times New Roman" w:cs="Times New Roman"/>
        </w:rPr>
        <w:t>Commission</w:t>
      </w:r>
      <w:r w:rsidR="000763E7">
        <w:rPr>
          <w:rFonts w:ascii="Times New Roman" w:hAnsi="Times New Roman" w:cs="Times New Roman"/>
        </w:rPr>
        <w:t xml:space="preserve"> - </w:t>
      </w:r>
      <w:r w:rsidR="007148E9">
        <w:rPr>
          <w:rFonts w:ascii="Times New Roman" w:hAnsi="Times New Roman" w:cs="Times New Roman"/>
        </w:rPr>
        <w:t xml:space="preserve">which failed </w:t>
      </w:r>
      <w:r w:rsidR="000720CC">
        <w:rPr>
          <w:rFonts w:ascii="Times New Roman" w:hAnsi="Times New Roman" w:cs="Times New Roman"/>
        </w:rPr>
        <w:t xml:space="preserve">to properly inform the EDC about which credits were PJM-eligible and failed </w:t>
      </w:r>
      <w:r w:rsidR="007148E9">
        <w:rPr>
          <w:rFonts w:ascii="Times New Roman" w:hAnsi="Times New Roman" w:cs="Times New Roman"/>
        </w:rPr>
        <w:t>to inform</w:t>
      </w:r>
      <w:r w:rsidR="007148E9" w:rsidRPr="005A1DDF">
        <w:rPr>
          <w:rFonts w:ascii="Times New Roman" w:hAnsi="Times New Roman" w:cs="Times New Roman"/>
        </w:rPr>
        <w:t xml:space="preserve"> </w:t>
      </w:r>
      <w:r w:rsidR="007148E9">
        <w:rPr>
          <w:rFonts w:ascii="Times New Roman" w:hAnsi="Times New Roman" w:cs="Times New Roman"/>
        </w:rPr>
        <w:t>Duquesne Light</w:t>
      </w:r>
      <w:r w:rsidR="007148E9" w:rsidRPr="005A1DDF">
        <w:rPr>
          <w:rFonts w:ascii="Times New Roman" w:hAnsi="Times New Roman" w:cs="Times New Roman"/>
        </w:rPr>
        <w:t xml:space="preserve"> of its lack of compliance in reporting until after the true-up period had run.  This </w:t>
      </w:r>
      <w:r w:rsidR="007148E9">
        <w:rPr>
          <w:rFonts w:ascii="Times New Roman" w:hAnsi="Times New Roman" w:cs="Times New Roman"/>
        </w:rPr>
        <w:t xml:space="preserve">inaction by the program administrator </w:t>
      </w:r>
      <w:r w:rsidR="000763E7">
        <w:rPr>
          <w:rFonts w:ascii="Times New Roman" w:hAnsi="Times New Roman" w:cs="Times New Roman"/>
        </w:rPr>
        <w:t>is not reasonable</w:t>
      </w:r>
      <w:r w:rsidR="007148E9" w:rsidRPr="005A1DDF">
        <w:rPr>
          <w:rFonts w:ascii="Times New Roman" w:hAnsi="Times New Roman" w:cs="Times New Roman"/>
        </w:rPr>
        <w:t>.</w:t>
      </w:r>
      <w:r w:rsidR="001421F1">
        <w:rPr>
          <w:rStyle w:val="FootnoteReference"/>
          <w:rFonts w:ascii="Times New Roman" w:hAnsi="Times New Roman" w:cs="Times New Roman"/>
        </w:rPr>
        <w:footnoteReference w:id="6"/>
      </w:r>
    </w:p>
    <w:p w:rsidR="00A3082B" w:rsidRPr="005A1DDF" w:rsidRDefault="00A3082B" w:rsidP="005A1DDF">
      <w:pPr>
        <w:spacing w:line="360" w:lineRule="auto"/>
        <w:rPr>
          <w:rFonts w:ascii="Times New Roman" w:hAnsi="Times New Roman" w:cs="Times New Roman"/>
        </w:rPr>
      </w:pPr>
    </w:p>
    <w:p w:rsidR="005A1DDF" w:rsidRPr="005A1DDF" w:rsidRDefault="000763E7" w:rsidP="005A1DD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P</w:t>
      </w:r>
      <w:r w:rsidR="005A1DDF" w:rsidRPr="005A1DDF">
        <w:rPr>
          <w:rFonts w:ascii="Times New Roman" w:hAnsi="Times New Roman" w:cs="Times New Roman"/>
        </w:rPr>
        <w:t xml:space="preserve">ermitting the </w:t>
      </w:r>
      <w:r w:rsidR="00457478">
        <w:rPr>
          <w:rFonts w:ascii="Times New Roman" w:hAnsi="Times New Roman" w:cs="Times New Roman"/>
        </w:rPr>
        <w:t>exchange</w:t>
      </w:r>
      <w:r w:rsidR="005A1DDF" w:rsidRPr="005A1DDF">
        <w:rPr>
          <w:rFonts w:ascii="Times New Roman" w:hAnsi="Times New Roman" w:cs="Times New Roman"/>
        </w:rPr>
        <w:t xml:space="preserve"> </w:t>
      </w:r>
      <w:r>
        <w:rPr>
          <w:rFonts w:ascii="Times New Roman" w:hAnsi="Times New Roman" w:cs="Times New Roman"/>
        </w:rPr>
        <w:t>is</w:t>
      </w:r>
      <w:r w:rsidR="005A1DDF" w:rsidRPr="005A1DDF">
        <w:rPr>
          <w:rFonts w:ascii="Times New Roman" w:hAnsi="Times New Roman" w:cs="Times New Roman"/>
        </w:rPr>
        <w:t xml:space="preserve"> consistent with the intent of the AEPS Act</w:t>
      </w:r>
      <w:r>
        <w:rPr>
          <w:rFonts w:ascii="Times New Roman" w:hAnsi="Times New Roman" w:cs="Times New Roman"/>
        </w:rPr>
        <w:t>.  T</w:t>
      </w:r>
      <w:r w:rsidR="005A1DDF" w:rsidRPr="005A1DDF">
        <w:rPr>
          <w:rFonts w:ascii="Times New Roman" w:hAnsi="Times New Roman" w:cs="Times New Roman"/>
        </w:rPr>
        <w:t>he anticipated true-up period ran before an evaluation of the number and eligibility of the submitted AECS was completed</w:t>
      </w:r>
      <w:r>
        <w:rPr>
          <w:rFonts w:ascii="Times New Roman" w:hAnsi="Times New Roman" w:cs="Times New Roman"/>
        </w:rPr>
        <w:t>.  The</w:t>
      </w:r>
      <w:r w:rsidR="005A1DDF" w:rsidRPr="005A1DDF">
        <w:rPr>
          <w:rFonts w:ascii="Times New Roman" w:hAnsi="Times New Roman" w:cs="Times New Roman"/>
        </w:rPr>
        <w:t xml:space="preserve"> Commission has the authority to permit </w:t>
      </w:r>
      <w:r w:rsidR="00C87E30">
        <w:rPr>
          <w:rFonts w:ascii="Times New Roman" w:hAnsi="Times New Roman" w:cs="Times New Roman"/>
        </w:rPr>
        <w:t>Duquesne Light</w:t>
      </w:r>
      <w:r w:rsidR="005A1DDF" w:rsidRPr="005A1DDF">
        <w:rPr>
          <w:rFonts w:ascii="Times New Roman" w:hAnsi="Times New Roman" w:cs="Times New Roman"/>
        </w:rPr>
        <w:t xml:space="preserve"> to fulfill its obligations after the deadline has run</w:t>
      </w:r>
      <w:r>
        <w:rPr>
          <w:rFonts w:ascii="Times New Roman" w:hAnsi="Times New Roman" w:cs="Times New Roman"/>
        </w:rPr>
        <w:t xml:space="preserve">, and </w:t>
      </w:r>
      <w:r w:rsidR="005A1DDF" w:rsidRPr="005A1DDF">
        <w:rPr>
          <w:rFonts w:ascii="Times New Roman" w:hAnsi="Times New Roman" w:cs="Times New Roman"/>
        </w:rPr>
        <w:t xml:space="preserve">to permit the </w:t>
      </w:r>
      <w:r w:rsidR="00457478">
        <w:rPr>
          <w:rFonts w:ascii="Times New Roman" w:hAnsi="Times New Roman" w:cs="Times New Roman"/>
        </w:rPr>
        <w:t>agreed-upon exchange as</w:t>
      </w:r>
      <w:r w:rsidR="005A1DDF" w:rsidRPr="005A1DDF">
        <w:rPr>
          <w:rFonts w:ascii="Times New Roman" w:hAnsi="Times New Roman" w:cs="Times New Roman"/>
        </w:rPr>
        <w:t xml:space="preserve"> requested</w:t>
      </w:r>
      <w:r>
        <w:rPr>
          <w:rFonts w:ascii="Times New Roman" w:hAnsi="Times New Roman" w:cs="Times New Roman"/>
        </w:rPr>
        <w:t xml:space="preserve">.  The </w:t>
      </w:r>
      <w:r w:rsidR="005A1DDF" w:rsidRPr="005A1DDF">
        <w:rPr>
          <w:rFonts w:ascii="Times New Roman" w:hAnsi="Times New Roman" w:cs="Times New Roman"/>
        </w:rPr>
        <w:t xml:space="preserve">question </w:t>
      </w:r>
      <w:r>
        <w:rPr>
          <w:rFonts w:ascii="Times New Roman" w:hAnsi="Times New Roman" w:cs="Times New Roman"/>
        </w:rPr>
        <w:t>remaining is</w:t>
      </w:r>
      <w:r w:rsidR="005A1DDF" w:rsidRPr="005A1DDF">
        <w:rPr>
          <w:rFonts w:ascii="Times New Roman" w:hAnsi="Times New Roman" w:cs="Times New Roman"/>
        </w:rPr>
        <w:t xml:space="preserve"> whether the Commission </w:t>
      </w:r>
      <w:r w:rsidR="005A1DDF" w:rsidRPr="00685FD3">
        <w:rPr>
          <w:rFonts w:ascii="Times New Roman" w:hAnsi="Times New Roman" w:cs="Times New Roman"/>
          <w:u w:val="single"/>
        </w:rPr>
        <w:t>should</w:t>
      </w:r>
      <w:r w:rsidR="005A1DDF" w:rsidRPr="005A1DDF">
        <w:rPr>
          <w:rFonts w:ascii="Times New Roman" w:hAnsi="Times New Roman" w:cs="Times New Roman"/>
        </w:rPr>
        <w:t xml:space="preserve"> permit the substitution.</w:t>
      </w:r>
    </w:p>
    <w:p w:rsidR="005A1DDF" w:rsidRPr="005A1DDF" w:rsidRDefault="005A1DDF" w:rsidP="005A1DDF">
      <w:pPr>
        <w:spacing w:line="360" w:lineRule="auto"/>
        <w:rPr>
          <w:rFonts w:ascii="Times New Roman" w:hAnsi="Times New Roman" w:cs="Times New Roman"/>
        </w:rPr>
      </w:pPr>
    </w:p>
    <w:p w:rsidR="004E60D0" w:rsidRDefault="005A1DDF" w:rsidP="005A1DDF">
      <w:pPr>
        <w:spacing w:line="360" w:lineRule="auto"/>
        <w:rPr>
          <w:rFonts w:ascii="Times New Roman" w:hAnsi="Times New Roman" w:cs="Times New Roman"/>
        </w:rPr>
      </w:pPr>
      <w:r w:rsidRPr="005A1DDF">
        <w:rPr>
          <w:rFonts w:ascii="Times New Roman" w:hAnsi="Times New Roman" w:cs="Times New Roman"/>
        </w:rPr>
        <w:tab/>
      </w:r>
      <w:r w:rsidRPr="005A1DDF">
        <w:rPr>
          <w:rFonts w:ascii="Times New Roman" w:hAnsi="Times New Roman" w:cs="Times New Roman"/>
        </w:rPr>
        <w:tab/>
      </w:r>
      <w:r w:rsidR="00C87E30">
        <w:rPr>
          <w:rFonts w:ascii="Times New Roman" w:hAnsi="Times New Roman" w:cs="Times New Roman"/>
        </w:rPr>
        <w:t>Duquesne Light</w:t>
      </w:r>
      <w:r w:rsidRPr="005A1DDF">
        <w:rPr>
          <w:rFonts w:ascii="Times New Roman" w:hAnsi="Times New Roman" w:cs="Times New Roman"/>
        </w:rPr>
        <w:t xml:space="preserve"> asserts its error was unintentional and </w:t>
      </w:r>
      <w:r w:rsidR="00AE0F57">
        <w:rPr>
          <w:rFonts w:ascii="Times New Roman" w:hAnsi="Times New Roman" w:cs="Times New Roman"/>
        </w:rPr>
        <w:t xml:space="preserve">resulted despite </w:t>
      </w:r>
      <w:r w:rsidR="00991AF4">
        <w:rPr>
          <w:rFonts w:ascii="Times New Roman" w:hAnsi="Times New Roman" w:cs="Times New Roman"/>
        </w:rPr>
        <w:t>a</w:t>
      </w:r>
      <w:r w:rsidR="00AE0F57">
        <w:rPr>
          <w:rFonts w:ascii="Times New Roman" w:hAnsi="Times New Roman" w:cs="Times New Roman"/>
        </w:rPr>
        <w:t xml:space="preserve"> good faith effort to comply with the AEPS requirements.  Duquesne Light relied on information made available from the Commonwealth, from PJM’s GATS, and from the Commission </w:t>
      </w:r>
      <w:r w:rsidR="004E60D0">
        <w:rPr>
          <w:rFonts w:ascii="Times New Roman" w:hAnsi="Times New Roman" w:cs="Times New Roman"/>
        </w:rPr>
        <w:t>before Duquesne Light concluded</w:t>
      </w:r>
      <w:r w:rsidR="00AE0F57">
        <w:rPr>
          <w:rFonts w:ascii="Times New Roman" w:hAnsi="Times New Roman" w:cs="Times New Roman"/>
        </w:rPr>
        <w:t xml:space="preserve"> the alternative energy credits were eligible to meet the AEPS requirements.  </w:t>
      </w:r>
      <w:r w:rsidR="00991AF4">
        <w:rPr>
          <w:rFonts w:ascii="Times New Roman" w:hAnsi="Times New Roman" w:cs="Times New Roman"/>
        </w:rPr>
        <w:t xml:space="preserve">In addition, </w:t>
      </w:r>
      <w:r w:rsidR="00AE0F57">
        <w:rPr>
          <w:rFonts w:ascii="Times New Roman" w:hAnsi="Times New Roman" w:cs="Times New Roman"/>
        </w:rPr>
        <w:t>Duquesne Light</w:t>
      </w:r>
      <w:r w:rsidRPr="005A1DDF">
        <w:rPr>
          <w:rFonts w:ascii="Times New Roman" w:hAnsi="Times New Roman" w:cs="Times New Roman"/>
        </w:rPr>
        <w:t xml:space="preserve"> seeks to correct </w:t>
      </w:r>
      <w:r w:rsidR="00991AF4">
        <w:rPr>
          <w:rFonts w:ascii="Times New Roman" w:hAnsi="Times New Roman" w:cs="Times New Roman"/>
        </w:rPr>
        <w:t>the error</w:t>
      </w:r>
      <w:r w:rsidRPr="005A1DDF">
        <w:rPr>
          <w:rFonts w:ascii="Times New Roman" w:hAnsi="Times New Roman" w:cs="Times New Roman"/>
        </w:rPr>
        <w:t xml:space="preserve"> in order to achieve the required compliance with the AEPS Act.  </w:t>
      </w:r>
    </w:p>
    <w:p w:rsidR="004E60D0" w:rsidRDefault="004E60D0" w:rsidP="005A1DDF">
      <w:pPr>
        <w:spacing w:line="360" w:lineRule="auto"/>
        <w:rPr>
          <w:rFonts w:ascii="Times New Roman" w:hAnsi="Times New Roman" w:cs="Times New Roman"/>
        </w:rPr>
      </w:pPr>
    </w:p>
    <w:p w:rsidR="00D06D74" w:rsidRDefault="005A1DDF" w:rsidP="004E60D0">
      <w:pPr>
        <w:spacing w:line="360" w:lineRule="auto"/>
        <w:ind w:firstLine="1440"/>
        <w:rPr>
          <w:rFonts w:ascii="Times New Roman" w:hAnsi="Times New Roman" w:cs="Times New Roman"/>
        </w:rPr>
      </w:pPr>
      <w:r w:rsidRPr="005A1DDF">
        <w:rPr>
          <w:rFonts w:ascii="Times New Roman" w:hAnsi="Times New Roman" w:cs="Times New Roman"/>
        </w:rPr>
        <w:lastRenderedPageBreak/>
        <w:t>A review of</w:t>
      </w:r>
      <w:r w:rsidR="004E60D0">
        <w:rPr>
          <w:rFonts w:ascii="Times New Roman" w:hAnsi="Times New Roman" w:cs="Times New Roman"/>
        </w:rPr>
        <w:t xml:space="preserve"> the Joint Stipulation of Facts and the AEPS Act itself </w:t>
      </w:r>
      <w:r w:rsidRPr="005A1DDF">
        <w:rPr>
          <w:rFonts w:ascii="Times New Roman" w:hAnsi="Times New Roman" w:cs="Times New Roman"/>
        </w:rPr>
        <w:t xml:space="preserve">supports </w:t>
      </w:r>
      <w:r w:rsidR="004E60D0">
        <w:rPr>
          <w:rFonts w:ascii="Times New Roman" w:hAnsi="Times New Roman" w:cs="Times New Roman"/>
        </w:rPr>
        <w:t>the conclusion that</w:t>
      </w:r>
      <w:r w:rsidRPr="005A1DDF">
        <w:rPr>
          <w:rFonts w:ascii="Times New Roman" w:hAnsi="Times New Roman" w:cs="Times New Roman"/>
        </w:rPr>
        <w:t xml:space="preserve"> the system set up to monitor AEPS Act compliance in </w:t>
      </w:r>
      <w:r w:rsidR="004E60D0">
        <w:rPr>
          <w:rFonts w:ascii="Times New Roman" w:hAnsi="Times New Roman" w:cs="Times New Roman"/>
        </w:rPr>
        <w:t>Pennsylvania is complex, and the exchange specified in this joint settlement should be approved for various reasons.  Err</w:t>
      </w:r>
      <w:r w:rsidRPr="005A1DDF">
        <w:rPr>
          <w:rFonts w:ascii="Times New Roman" w:hAnsi="Times New Roman" w:cs="Times New Roman"/>
        </w:rPr>
        <w:t xml:space="preserve">ors regarding the origin of the credits themselves are not evident on the face of the system’s pages.  In addition, the </w:t>
      </w:r>
      <w:r w:rsidR="004E60D0">
        <w:rPr>
          <w:rFonts w:ascii="Times New Roman" w:hAnsi="Times New Roman" w:cs="Times New Roman"/>
        </w:rPr>
        <w:t xml:space="preserve">2008/2009 compliance </w:t>
      </w:r>
      <w:r w:rsidRPr="005A1DDF">
        <w:rPr>
          <w:rFonts w:ascii="Times New Roman" w:hAnsi="Times New Roman" w:cs="Times New Roman"/>
        </w:rPr>
        <w:t>year was the first reporting year</w:t>
      </w:r>
      <w:r w:rsidR="004E60D0">
        <w:rPr>
          <w:rFonts w:ascii="Times New Roman" w:hAnsi="Times New Roman" w:cs="Times New Roman"/>
        </w:rPr>
        <w:t xml:space="preserve"> for the AEPS program.  A</w:t>
      </w:r>
      <w:r w:rsidR="00685FD3">
        <w:rPr>
          <w:rFonts w:ascii="Times New Roman" w:hAnsi="Times New Roman" w:cs="Times New Roman"/>
        </w:rPr>
        <w:t>dministrative errors at the start of a new program are to be expected</w:t>
      </w:r>
      <w:r w:rsidRPr="005A1DDF">
        <w:rPr>
          <w:rFonts w:ascii="Times New Roman" w:hAnsi="Times New Roman" w:cs="Times New Roman"/>
        </w:rPr>
        <w:t xml:space="preserve">.  </w:t>
      </w:r>
      <w:r w:rsidR="004E60D0">
        <w:rPr>
          <w:rFonts w:ascii="Times New Roman" w:hAnsi="Times New Roman" w:cs="Times New Roman"/>
        </w:rPr>
        <w:t xml:space="preserve">To further complicate the process for electric distribution companies, </w:t>
      </w:r>
      <w:r w:rsidR="00812095">
        <w:rPr>
          <w:rFonts w:ascii="Times New Roman" w:hAnsi="Times New Roman" w:cs="Times New Roman"/>
        </w:rPr>
        <w:t xml:space="preserve">it appears </w:t>
      </w:r>
      <w:r w:rsidR="00685FD3">
        <w:rPr>
          <w:rFonts w:ascii="Times New Roman" w:hAnsi="Times New Roman" w:cs="Times New Roman"/>
        </w:rPr>
        <w:t>so</w:t>
      </w:r>
      <w:r w:rsidRPr="005A1DDF">
        <w:rPr>
          <w:rFonts w:ascii="Times New Roman" w:hAnsi="Times New Roman" w:cs="Times New Roman"/>
        </w:rPr>
        <w:t xml:space="preserve">me </w:t>
      </w:r>
      <w:r w:rsidR="00812095">
        <w:rPr>
          <w:rFonts w:ascii="Times New Roman" w:hAnsi="Times New Roman" w:cs="Times New Roman"/>
        </w:rPr>
        <w:t>generators’ credits</w:t>
      </w:r>
      <w:r w:rsidR="00685FD3">
        <w:rPr>
          <w:rFonts w:ascii="Times New Roman" w:hAnsi="Times New Roman" w:cs="Times New Roman"/>
        </w:rPr>
        <w:t xml:space="preserve"> </w:t>
      </w:r>
      <w:r w:rsidR="004E60D0">
        <w:rPr>
          <w:rFonts w:ascii="Times New Roman" w:hAnsi="Times New Roman" w:cs="Times New Roman"/>
        </w:rPr>
        <w:t xml:space="preserve">originating </w:t>
      </w:r>
      <w:r w:rsidRPr="005A1DDF">
        <w:rPr>
          <w:rFonts w:ascii="Times New Roman" w:hAnsi="Times New Roman" w:cs="Times New Roman"/>
        </w:rPr>
        <w:t xml:space="preserve">outside of Pennsylvania may be used in </w:t>
      </w:r>
      <w:r w:rsidRPr="00685FD3">
        <w:rPr>
          <w:rFonts w:ascii="Times New Roman" w:hAnsi="Times New Roman" w:cs="Times New Roman"/>
          <w:u w:val="single"/>
        </w:rPr>
        <w:t>both</w:t>
      </w:r>
      <w:r w:rsidRPr="005A1DDF">
        <w:rPr>
          <w:rFonts w:ascii="Times New Roman" w:hAnsi="Times New Roman" w:cs="Times New Roman"/>
        </w:rPr>
        <w:t xml:space="preserve"> MISO and PJM</w:t>
      </w:r>
      <w:r w:rsidR="00685FD3">
        <w:rPr>
          <w:rFonts w:ascii="Times New Roman" w:hAnsi="Times New Roman" w:cs="Times New Roman"/>
        </w:rPr>
        <w:t xml:space="preserve">.  </w:t>
      </w:r>
      <w:r w:rsidR="0047434E">
        <w:rPr>
          <w:rFonts w:ascii="Times New Roman" w:hAnsi="Times New Roman" w:cs="Times New Roman"/>
        </w:rPr>
        <w:t>Further,</w:t>
      </w:r>
      <w:r w:rsidR="00685FD3">
        <w:rPr>
          <w:rFonts w:ascii="Times New Roman" w:hAnsi="Times New Roman" w:cs="Times New Roman"/>
        </w:rPr>
        <w:t xml:space="preserve"> </w:t>
      </w:r>
      <w:r w:rsidR="00585BC0">
        <w:rPr>
          <w:rFonts w:ascii="Times New Roman" w:hAnsi="Times New Roman" w:cs="Times New Roman"/>
        </w:rPr>
        <w:t>Duquesne Light</w:t>
      </w:r>
      <w:r w:rsidRPr="005A1DDF">
        <w:rPr>
          <w:rFonts w:ascii="Times New Roman" w:hAnsi="Times New Roman" w:cs="Times New Roman"/>
        </w:rPr>
        <w:t xml:space="preserve"> sought to correct the error as soon as </w:t>
      </w:r>
      <w:r w:rsidR="00D06D74">
        <w:rPr>
          <w:rFonts w:ascii="Times New Roman" w:hAnsi="Times New Roman" w:cs="Times New Roman"/>
        </w:rPr>
        <w:t>the compliance issue</w:t>
      </w:r>
      <w:r w:rsidRPr="005A1DDF">
        <w:rPr>
          <w:rFonts w:ascii="Times New Roman" w:hAnsi="Times New Roman" w:cs="Times New Roman"/>
        </w:rPr>
        <w:t xml:space="preserve"> came to light</w:t>
      </w:r>
      <w:r w:rsidR="00D06D74">
        <w:rPr>
          <w:rFonts w:ascii="Times New Roman" w:hAnsi="Times New Roman" w:cs="Times New Roman"/>
        </w:rPr>
        <w:t xml:space="preserve">.  Lastly, </w:t>
      </w:r>
      <w:r w:rsidRPr="005A1DDF">
        <w:rPr>
          <w:rFonts w:ascii="Times New Roman" w:hAnsi="Times New Roman" w:cs="Times New Roman"/>
        </w:rPr>
        <w:t>no harm came to another person or entity pursuant to the error</w:t>
      </w:r>
      <w:r w:rsidR="00D06D74">
        <w:rPr>
          <w:rFonts w:ascii="Times New Roman" w:hAnsi="Times New Roman" w:cs="Times New Roman"/>
        </w:rPr>
        <w:t xml:space="preserve">.  </w:t>
      </w:r>
      <w:r w:rsidR="0047434E">
        <w:rPr>
          <w:rFonts w:ascii="Times New Roman" w:hAnsi="Times New Roman" w:cs="Times New Roman"/>
        </w:rPr>
        <w:t xml:space="preserve">Therefore, </w:t>
      </w:r>
      <w:r w:rsidR="0047434E" w:rsidRPr="005A1DDF">
        <w:rPr>
          <w:rFonts w:ascii="Times New Roman" w:hAnsi="Times New Roman" w:cs="Times New Roman"/>
        </w:rPr>
        <w:t xml:space="preserve">allowing </w:t>
      </w:r>
      <w:r w:rsidR="0047434E">
        <w:rPr>
          <w:rFonts w:ascii="Times New Roman" w:hAnsi="Times New Roman" w:cs="Times New Roman"/>
        </w:rPr>
        <w:t xml:space="preserve">Duquesne Light to </w:t>
      </w:r>
      <w:r w:rsidR="0047434E" w:rsidRPr="005A1DDF">
        <w:rPr>
          <w:rFonts w:ascii="Times New Roman" w:hAnsi="Times New Roman" w:cs="Times New Roman"/>
        </w:rPr>
        <w:t>correct the error would not undermine the purpose of the AEPS Act</w:t>
      </w:r>
      <w:r w:rsidR="0047434E">
        <w:rPr>
          <w:rFonts w:ascii="Times New Roman" w:hAnsi="Times New Roman" w:cs="Times New Roman"/>
        </w:rPr>
        <w:t xml:space="preserve">.  </w:t>
      </w:r>
    </w:p>
    <w:p w:rsidR="00D06D74" w:rsidRDefault="00D06D74" w:rsidP="005A1DDF">
      <w:pPr>
        <w:spacing w:line="360" w:lineRule="auto"/>
        <w:rPr>
          <w:rFonts w:ascii="Times New Roman" w:hAnsi="Times New Roman" w:cs="Times New Roman"/>
        </w:rPr>
      </w:pPr>
    </w:p>
    <w:p w:rsidR="00D43D6D" w:rsidRPr="0028764F" w:rsidRDefault="00D06D74" w:rsidP="00D33361">
      <w:pPr>
        <w:spacing w:line="360" w:lineRule="auto"/>
        <w:ind w:firstLine="1440"/>
        <w:rPr>
          <w:rFonts w:ascii="Times New Roman" w:hAnsi="Times New Roman" w:cs="Times New Roman"/>
          <w:spacing w:val="-3"/>
        </w:rPr>
      </w:pPr>
      <w:r>
        <w:rPr>
          <w:rFonts w:ascii="Times New Roman" w:hAnsi="Times New Roman" w:cs="Times New Roman"/>
        </w:rPr>
        <w:t>For all of these reasons</w:t>
      </w:r>
      <w:r w:rsidR="005A1DDF" w:rsidRPr="005A1DDF">
        <w:rPr>
          <w:rFonts w:ascii="Times New Roman" w:hAnsi="Times New Roman" w:cs="Times New Roman"/>
        </w:rPr>
        <w:t xml:space="preserve">, </w:t>
      </w:r>
      <w:r>
        <w:rPr>
          <w:rFonts w:ascii="Times New Roman" w:hAnsi="Times New Roman" w:cs="Times New Roman"/>
        </w:rPr>
        <w:t xml:space="preserve">the agreement of the parties to cancel the civil penalty and permit </w:t>
      </w:r>
      <w:r w:rsidR="00585BC0">
        <w:rPr>
          <w:rFonts w:ascii="Times New Roman" w:hAnsi="Times New Roman" w:cs="Times New Roman"/>
        </w:rPr>
        <w:t>Duquesne Light</w:t>
      </w:r>
      <w:r w:rsidR="005A1DDF" w:rsidRPr="005A1DDF">
        <w:rPr>
          <w:rFonts w:ascii="Times New Roman" w:hAnsi="Times New Roman" w:cs="Times New Roman"/>
        </w:rPr>
        <w:t xml:space="preserve"> to </w:t>
      </w:r>
      <w:r w:rsidR="00B16806">
        <w:rPr>
          <w:rFonts w:ascii="Times New Roman" w:hAnsi="Times New Roman" w:cs="Times New Roman"/>
        </w:rPr>
        <w:t>exchange</w:t>
      </w:r>
      <w:r w:rsidR="005A1DDF" w:rsidRPr="005A1DDF">
        <w:rPr>
          <w:rFonts w:ascii="Times New Roman" w:hAnsi="Times New Roman" w:cs="Times New Roman"/>
        </w:rPr>
        <w:t xml:space="preserve"> the correct credits for the incorrect credits</w:t>
      </w:r>
      <w:r>
        <w:rPr>
          <w:rFonts w:ascii="Times New Roman" w:hAnsi="Times New Roman" w:cs="Times New Roman"/>
        </w:rPr>
        <w:t xml:space="preserve"> is</w:t>
      </w:r>
      <w:r w:rsidR="00B16806">
        <w:rPr>
          <w:rFonts w:ascii="Times New Roman" w:hAnsi="Times New Roman" w:cs="Times New Roman"/>
        </w:rPr>
        <w:t xml:space="preserve"> in the public interest, and is </w:t>
      </w:r>
      <w:r>
        <w:rPr>
          <w:rFonts w:ascii="Times New Roman" w:hAnsi="Times New Roman" w:cs="Times New Roman"/>
        </w:rPr>
        <w:t>the fair and right course of action to take in this matter</w:t>
      </w:r>
      <w:r w:rsidR="00D33361">
        <w:rPr>
          <w:rFonts w:ascii="Times New Roman" w:hAnsi="Times New Roman" w:cs="Times New Roman"/>
        </w:rPr>
        <w:t xml:space="preserve">.  Furthermore, </w:t>
      </w:r>
      <w:r w:rsidR="00D43D6D" w:rsidRPr="005A1DDF">
        <w:rPr>
          <w:rFonts w:ascii="Times New Roman" w:hAnsi="Times New Roman" w:cs="Times New Roman"/>
          <w:spacing w:val="-3"/>
        </w:rPr>
        <w:t xml:space="preserve">I find the settlement embodied in the </w:t>
      </w:r>
      <w:r w:rsidR="008F2582" w:rsidRPr="005A1DDF">
        <w:rPr>
          <w:rFonts w:ascii="Times New Roman" w:hAnsi="Times New Roman" w:cs="Times New Roman"/>
          <w:spacing w:val="-3"/>
        </w:rPr>
        <w:t>Joint</w:t>
      </w:r>
      <w:r w:rsidR="00D43D6D" w:rsidRPr="005A1DDF">
        <w:rPr>
          <w:rFonts w:ascii="Times New Roman" w:hAnsi="Times New Roman" w:cs="Times New Roman"/>
          <w:spacing w:val="-3"/>
        </w:rPr>
        <w:t xml:space="preserve"> Petition is</w:t>
      </w:r>
      <w:r w:rsidR="00D43D6D" w:rsidRPr="0028764F">
        <w:rPr>
          <w:rFonts w:ascii="Times New Roman" w:hAnsi="Times New Roman" w:cs="Times New Roman"/>
          <w:spacing w:val="-3"/>
        </w:rPr>
        <w:t xml:space="preserve"> both just and reasonable and its approval would be in the public interest.  </w:t>
      </w:r>
    </w:p>
    <w:p w:rsidR="0042103C" w:rsidRPr="00585BC0" w:rsidRDefault="0042103C" w:rsidP="00585BC0">
      <w:pPr>
        <w:tabs>
          <w:tab w:val="left" w:pos="-720"/>
        </w:tabs>
        <w:suppressAutoHyphens/>
        <w:spacing w:line="360" w:lineRule="auto"/>
        <w:ind w:firstLine="1440"/>
        <w:rPr>
          <w:rFonts w:ascii="Times New Roman" w:hAnsi="Times New Roman" w:cs="Times New Roman"/>
          <w:spacing w:val="-3"/>
        </w:rPr>
      </w:pPr>
    </w:p>
    <w:p w:rsidR="00D43D6D" w:rsidRPr="00585BC0" w:rsidRDefault="00D43D6D" w:rsidP="009C2C43">
      <w:pPr>
        <w:tabs>
          <w:tab w:val="left" w:pos="-720"/>
        </w:tabs>
        <w:suppressAutoHyphens/>
        <w:spacing w:line="360" w:lineRule="auto"/>
        <w:jc w:val="center"/>
        <w:rPr>
          <w:rFonts w:ascii="Times New Roman" w:hAnsi="Times New Roman" w:cs="Times New Roman"/>
          <w:spacing w:val="-3"/>
          <w:u w:val="single"/>
        </w:rPr>
      </w:pPr>
      <w:r w:rsidRPr="00585BC0">
        <w:rPr>
          <w:rFonts w:ascii="Times New Roman" w:hAnsi="Times New Roman" w:cs="Times New Roman"/>
          <w:spacing w:val="-3"/>
          <w:u w:val="single"/>
        </w:rPr>
        <w:t>CONCLUSIONS OF LAW</w:t>
      </w:r>
    </w:p>
    <w:p w:rsidR="00585BC0" w:rsidRPr="00585BC0" w:rsidRDefault="00585BC0" w:rsidP="00585BC0">
      <w:pPr>
        <w:spacing w:line="360" w:lineRule="auto"/>
        <w:rPr>
          <w:rFonts w:ascii="Times New Roman" w:hAnsi="Times New Roman" w:cs="Times New Roman"/>
        </w:rPr>
      </w:pPr>
    </w:p>
    <w:p w:rsidR="00585BC0" w:rsidRPr="00585BC0" w:rsidRDefault="00585BC0" w:rsidP="00585BC0">
      <w:pPr>
        <w:spacing w:line="360" w:lineRule="auto"/>
        <w:rPr>
          <w:rFonts w:ascii="Times New Roman" w:hAnsi="Times New Roman" w:cs="Times New Roman"/>
        </w:rPr>
      </w:pPr>
      <w:r w:rsidRPr="00585BC0">
        <w:rPr>
          <w:rFonts w:ascii="Times New Roman" w:hAnsi="Times New Roman" w:cs="Times New Roman"/>
        </w:rPr>
        <w:tab/>
      </w:r>
      <w:r w:rsidRPr="00585BC0">
        <w:rPr>
          <w:rFonts w:ascii="Times New Roman" w:hAnsi="Times New Roman" w:cs="Times New Roman"/>
        </w:rPr>
        <w:tab/>
        <w:t>1.</w:t>
      </w:r>
      <w:r w:rsidRPr="00585BC0">
        <w:rPr>
          <w:rFonts w:ascii="Times New Roman" w:hAnsi="Times New Roman" w:cs="Times New Roman"/>
        </w:rPr>
        <w:tab/>
        <w:t xml:space="preserve">The Alternative Energy Portfolio Standards Act, 73 </w:t>
      </w:r>
      <w:r w:rsidR="00DD6F9A">
        <w:rPr>
          <w:rFonts w:ascii="Times New Roman" w:hAnsi="Times New Roman" w:cs="Times New Roman"/>
        </w:rPr>
        <w:t>Pa. C.S.A.</w:t>
      </w:r>
      <w:r w:rsidRPr="00585BC0">
        <w:rPr>
          <w:rFonts w:ascii="Times New Roman" w:hAnsi="Times New Roman" w:cs="Times New Roman"/>
        </w:rPr>
        <w:t xml:space="preserve"> §1648.1-1648.8 (AEPS Act) sets requirements for electric utilities in the Commonwealth for energy sold from alternative energy sources.   </w:t>
      </w:r>
    </w:p>
    <w:p w:rsidR="00585BC0" w:rsidRPr="00585BC0" w:rsidRDefault="00585BC0" w:rsidP="00585BC0">
      <w:pPr>
        <w:spacing w:line="360" w:lineRule="auto"/>
        <w:rPr>
          <w:rFonts w:ascii="Times New Roman" w:hAnsi="Times New Roman" w:cs="Times New Roman"/>
        </w:rPr>
      </w:pPr>
    </w:p>
    <w:p w:rsidR="00585BC0" w:rsidRPr="00585BC0" w:rsidRDefault="00585BC0" w:rsidP="00585BC0">
      <w:pPr>
        <w:spacing w:line="360" w:lineRule="auto"/>
        <w:rPr>
          <w:rFonts w:ascii="Times New Roman" w:hAnsi="Times New Roman" w:cs="Times New Roman"/>
        </w:rPr>
      </w:pPr>
      <w:r w:rsidRPr="00585BC0">
        <w:rPr>
          <w:rFonts w:ascii="Times New Roman" w:hAnsi="Times New Roman" w:cs="Times New Roman"/>
        </w:rPr>
        <w:tab/>
      </w:r>
      <w:r w:rsidRPr="00585BC0">
        <w:rPr>
          <w:rFonts w:ascii="Times New Roman" w:hAnsi="Times New Roman" w:cs="Times New Roman"/>
        </w:rPr>
        <w:tab/>
        <w:t>2.</w:t>
      </w:r>
      <w:r w:rsidRPr="00585BC0">
        <w:rPr>
          <w:rFonts w:ascii="Times New Roman" w:hAnsi="Times New Roman" w:cs="Times New Roman"/>
        </w:rPr>
        <w:tab/>
        <w:t xml:space="preserve">The AEPS Act states an alternative energy credit is the tradable instrument used to establish, verify and monitor compliance with the Act, and a unit of credit shall equal one megawatt hour of electricity from an alternative energy source. 73 </w:t>
      </w:r>
      <w:r w:rsidR="00DD6F9A">
        <w:rPr>
          <w:rFonts w:ascii="Times New Roman" w:hAnsi="Times New Roman" w:cs="Times New Roman"/>
        </w:rPr>
        <w:t>Pa. C.S.A. §</w:t>
      </w:r>
      <w:r w:rsidRPr="00585BC0">
        <w:rPr>
          <w:rFonts w:ascii="Times New Roman" w:hAnsi="Times New Roman" w:cs="Times New Roman"/>
        </w:rPr>
        <w:t>1648.2</w:t>
      </w:r>
      <w:r w:rsidR="00DD6F9A">
        <w:rPr>
          <w:rFonts w:ascii="Times New Roman" w:hAnsi="Times New Roman" w:cs="Times New Roman"/>
        </w:rPr>
        <w:t xml:space="preserve"> </w:t>
      </w:r>
      <w:r w:rsidRPr="00585BC0">
        <w:rPr>
          <w:rFonts w:ascii="Times New Roman" w:hAnsi="Times New Roman" w:cs="Times New Roman"/>
        </w:rPr>
        <w:t xml:space="preserve">(definitions). </w:t>
      </w:r>
    </w:p>
    <w:p w:rsidR="00585BC0" w:rsidRPr="00585BC0" w:rsidRDefault="00585BC0" w:rsidP="00585BC0">
      <w:pPr>
        <w:spacing w:line="360" w:lineRule="auto"/>
        <w:rPr>
          <w:rFonts w:ascii="Times New Roman" w:hAnsi="Times New Roman" w:cs="Times New Roman"/>
        </w:rPr>
      </w:pPr>
    </w:p>
    <w:p w:rsidR="00585BC0" w:rsidRPr="00585BC0" w:rsidRDefault="00585BC0" w:rsidP="00585BC0">
      <w:pPr>
        <w:spacing w:line="360" w:lineRule="auto"/>
        <w:rPr>
          <w:rFonts w:ascii="Times New Roman" w:hAnsi="Times New Roman" w:cs="Times New Roman"/>
        </w:rPr>
      </w:pPr>
      <w:r w:rsidRPr="00585BC0">
        <w:rPr>
          <w:rFonts w:ascii="Times New Roman" w:hAnsi="Times New Roman" w:cs="Times New Roman"/>
        </w:rPr>
        <w:lastRenderedPageBreak/>
        <w:tab/>
      </w:r>
      <w:r w:rsidRPr="00585BC0">
        <w:rPr>
          <w:rFonts w:ascii="Times New Roman" w:hAnsi="Times New Roman" w:cs="Times New Roman"/>
        </w:rPr>
        <w:tab/>
        <w:t>3.</w:t>
      </w:r>
      <w:r w:rsidRPr="00585BC0">
        <w:rPr>
          <w:rFonts w:ascii="Times New Roman" w:hAnsi="Times New Roman" w:cs="Times New Roman"/>
        </w:rPr>
        <w:tab/>
        <w:t xml:space="preserve">The AEPS Act provides for a “true-up period” for compliance:  “the period each year from the end of the reporting year until September 1.”  73 </w:t>
      </w:r>
      <w:r w:rsidR="00DD6F9A">
        <w:rPr>
          <w:rFonts w:ascii="Times New Roman" w:hAnsi="Times New Roman" w:cs="Times New Roman"/>
        </w:rPr>
        <w:t>Pa. C.S.A.</w:t>
      </w:r>
      <w:r w:rsidRPr="00585BC0">
        <w:rPr>
          <w:rFonts w:ascii="Times New Roman" w:hAnsi="Times New Roman" w:cs="Times New Roman"/>
        </w:rPr>
        <w:t xml:space="preserve"> §1648.2 (definitions).  </w:t>
      </w:r>
    </w:p>
    <w:p w:rsidR="00454AD0" w:rsidRDefault="00454AD0" w:rsidP="00585BC0">
      <w:pPr>
        <w:spacing w:line="360" w:lineRule="auto"/>
        <w:rPr>
          <w:rFonts w:ascii="Times New Roman" w:hAnsi="Times New Roman" w:cs="Times New Roman"/>
        </w:rPr>
      </w:pPr>
    </w:p>
    <w:p w:rsidR="00585BC0" w:rsidRPr="00585BC0" w:rsidRDefault="00585BC0" w:rsidP="00585BC0">
      <w:pPr>
        <w:spacing w:line="360" w:lineRule="auto"/>
        <w:rPr>
          <w:rFonts w:ascii="Times New Roman" w:hAnsi="Times New Roman" w:cs="Times New Roman"/>
        </w:rPr>
      </w:pPr>
      <w:r w:rsidRPr="00585BC0">
        <w:rPr>
          <w:rFonts w:ascii="Times New Roman" w:hAnsi="Times New Roman" w:cs="Times New Roman"/>
        </w:rPr>
        <w:tab/>
      </w:r>
      <w:r w:rsidRPr="00585BC0">
        <w:rPr>
          <w:rFonts w:ascii="Times New Roman" w:hAnsi="Times New Roman" w:cs="Times New Roman"/>
        </w:rPr>
        <w:tab/>
        <w:t>4.</w:t>
      </w:r>
      <w:r w:rsidRPr="00585BC0">
        <w:rPr>
          <w:rFonts w:ascii="Times New Roman" w:hAnsi="Times New Roman" w:cs="Times New Roman"/>
        </w:rPr>
        <w:tab/>
        <w:t xml:space="preserve">The alternative energy credits program is required to include a true-up period to provide entities covered under this act </w:t>
      </w:r>
      <w:r w:rsidR="0047434E">
        <w:rPr>
          <w:rFonts w:ascii="Times New Roman" w:hAnsi="Times New Roman" w:cs="Times New Roman"/>
        </w:rPr>
        <w:t xml:space="preserve">with </w:t>
      </w:r>
      <w:r w:rsidRPr="00585BC0">
        <w:rPr>
          <w:rFonts w:ascii="Times New Roman" w:hAnsi="Times New Roman" w:cs="Times New Roman"/>
        </w:rPr>
        <w:t>the ability to obtain the required number of alternative energy credits or to make up any shortfall of the alternative energy credits they may be required to obtain to c</w:t>
      </w:r>
      <w:r w:rsidR="00DD6F9A">
        <w:rPr>
          <w:rFonts w:ascii="Times New Roman" w:hAnsi="Times New Roman" w:cs="Times New Roman"/>
        </w:rPr>
        <w:t>omply with this act.  73 Pa. C.S.A. §</w:t>
      </w:r>
      <w:r w:rsidRPr="00585BC0">
        <w:rPr>
          <w:rFonts w:ascii="Times New Roman" w:hAnsi="Times New Roman" w:cs="Times New Roman"/>
        </w:rPr>
        <w:t xml:space="preserve">1648.3(e)(5).  </w:t>
      </w:r>
    </w:p>
    <w:p w:rsidR="00585BC0" w:rsidRPr="00585BC0" w:rsidRDefault="00585BC0" w:rsidP="00585BC0">
      <w:pPr>
        <w:spacing w:line="360" w:lineRule="auto"/>
        <w:rPr>
          <w:rFonts w:ascii="Times New Roman" w:hAnsi="Times New Roman" w:cs="Times New Roman"/>
        </w:rPr>
      </w:pPr>
      <w:r w:rsidRPr="00585BC0">
        <w:rPr>
          <w:rFonts w:ascii="Times New Roman" w:hAnsi="Times New Roman" w:cs="Times New Roman"/>
        </w:rPr>
        <w:tab/>
      </w:r>
      <w:r w:rsidRPr="00585BC0">
        <w:rPr>
          <w:rFonts w:ascii="Times New Roman" w:hAnsi="Times New Roman" w:cs="Times New Roman"/>
        </w:rPr>
        <w:tab/>
      </w:r>
    </w:p>
    <w:p w:rsidR="00585BC0" w:rsidRPr="00585BC0" w:rsidRDefault="00552BEB" w:rsidP="00585BC0">
      <w:pPr>
        <w:spacing w:line="36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5</w:t>
      </w:r>
      <w:r w:rsidR="00585BC0" w:rsidRPr="00585BC0">
        <w:rPr>
          <w:rFonts w:ascii="Times New Roman" w:hAnsi="Times New Roman" w:cs="Times New Roman"/>
        </w:rPr>
        <w:t>.</w:t>
      </w:r>
      <w:r w:rsidR="00585BC0" w:rsidRPr="00585BC0">
        <w:rPr>
          <w:rFonts w:ascii="Times New Roman" w:hAnsi="Times New Roman" w:cs="Times New Roman"/>
        </w:rPr>
        <w:tab/>
        <w:t>The Commission’s regulations require the program administrator verif</w:t>
      </w:r>
      <w:r w:rsidR="00DD6F9A">
        <w:rPr>
          <w:rFonts w:ascii="Times New Roman" w:hAnsi="Times New Roman" w:cs="Times New Roman"/>
        </w:rPr>
        <w:t>y EDC and EGS compliance with §</w:t>
      </w:r>
      <w:r w:rsidR="00585BC0" w:rsidRPr="00585BC0">
        <w:rPr>
          <w:rFonts w:ascii="Times New Roman" w:hAnsi="Times New Roman" w:cs="Times New Roman"/>
        </w:rPr>
        <w:t>75.61 (relating to EDC and EGS obligations), and provide written notice to each EDC and EGS of an initial assessment of their compliance status within 45 days of the end of the r</w:t>
      </w:r>
      <w:r w:rsidR="00DD6F9A">
        <w:rPr>
          <w:rFonts w:ascii="Times New Roman" w:hAnsi="Times New Roman" w:cs="Times New Roman"/>
        </w:rPr>
        <w:t>eporting period.  52 Pa. Code §</w:t>
      </w:r>
      <w:r w:rsidR="00585BC0" w:rsidRPr="00585BC0">
        <w:rPr>
          <w:rFonts w:ascii="Times New Roman" w:hAnsi="Times New Roman" w:cs="Times New Roman"/>
        </w:rPr>
        <w:t xml:space="preserve">75.64(c).  </w:t>
      </w:r>
    </w:p>
    <w:p w:rsidR="00590A25" w:rsidRDefault="00585BC0" w:rsidP="00585BC0">
      <w:pPr>
        <w:spacing w:line="360" w:lineRule="auto"/>
        <w:contextualSpacing/>
        <w:rPr>
          <w:rFonts w:ascii="Times New Roman" w:hAnsi="Times New Roman" w:cs="Times New Roman"/>
        </w:rPr>
      </w:pPr>
      <w:r w:rsidRPr="00585BC0">
        <w:rPr>
          <w:rFonts w:ascii="Times New Roman" w:hAnsi="Times New Roman" w:cs="Times New Roman"/>
        </w:rPr>
        <w:tab/>
      </w:r>
      <w:r w:rsidR="00552BEB">
        <w:rPr>
          <w:rFonts w:ascii="Times New Roman" w:hAnsi="Times New Roman" w:cs="Times New Roman"/>
        </w:rPr>
        <w:tab/>
      </w:r>
    </w:p>
    <w:p w:rsidR="00FE047D" w:rsidRDefault="00552BEB" w:rsidP="00590A25">
      <w:pPr>
        <w:spacing w:line="360" w:lineRule="auto"/>
        <w:ind w:firstLine="1440"/>
        <w:contextualSpacing/>
        <w:rPr>
          <w:rFonts w:ascii="Times New Roman" w:hAnsi="Times New Roman" w:cs="Times New Roman"/>
        </w:rPr>
      </w:pPr>
      <w:r>
        <w:rPr>
          <w:rFonts w:ascii="Times New Roman" w:hAnsi="Times New Roman" w:cs="Times New Roman"/>
        </w:rPr>
        <w:t>6</w:t>
      </w:r>
      <w:r w:rsidR="00585BC0" w:rsidRPr="00585BC0">
        <w:rPr>
          <w:rFonts w:ascii="Times New Roman" w:hAnsi="Times New Roman" w:cs="Times New Roman"/>
        </w:rPr>
        <w:t>.</w:t>
      </w:r>
      <w:r w:rsidR="00585BC0" w:rsidRPr="00585BC0">
        <w:rPr>
          <w:rFonts w:ascii="Times New Roman" w:hAnsi="Times New Roman" w:cs="Times New Roman"/>
        </w:rPr>
        <w:tab/>
      </w:r>
      <w:r w:rsidR="00BE2D04">
        <w:rPr>
          <w:rFonts w:ascii="Times New Roman" w:hAnsi="Times New Roman" w:cs="Times New Roman"/>
        </w:rPr>
        <w:t>Duquesne Light</w:t>
      </w:r>
      <w:r w:rsidR="00585BC0" w:rsidRPr="00585BC0">
        <w:rPr>
          <w:rFonts w:ascii="Times New Roman" w:hAnsi="Times New Roman" w:cs="Times New Roman"/>
        </w:rPr>
        <w:t xml:space="preserve"> complied with the requirements of purchasing sufficient number of AECs for its Duquesne territory, consistent with the </w:t>
      </w:r>
      <w:r w:rsidR="00585BC0" w:rsidRPr="00585BC0">
        <w:rPr>
          <w:rFonts w:ascii="Times New Roman" w:hAnsi="Times New Roman" w:cs="Times New Roman"/>
          <w:i/>
        </w:rPr>
        <w:t>purpose</w:t>
      </w:r>
      <w:r w:rsidR="00585BC0" w:rsidRPr="00585BC0">
        <w:rPr>
          <w:rFonts w:ascii="Times New Roman" w:hAnsi="Times New Roman" w:cs="Times New Roman"/>
        </w:rPr>
        <w:t xml:space="preserve"> of the AEPS Act.  Allowing the transfer now </w:t>
      </w:r>
      <w:r w:rsidR="0047434E">
        <w:rPr>
          <w:rFonts w:ascii="Times New Roman" w:hAnsi="Times New Roman" w:cs="Times New Roman"/>
        </w:rPr>
        <w:t>does</w:t>
      </w:r>
      <w:r w:rsidR="00585BC0" w:rsidRPr="00585BC0">
        <w:rPr>
          <w:rFonts w:ascii="Times New Roman" w:hAnsi="Times New Roman" w:cs="Times New Roman"/>
        </w:rPr>
        <w:t xml:space="preserve"> not undermine the AEPS Act</w:t>
      </w:r>
      <w:r w:rsidR="0047434E">
        <w:rPr>
          <w:rFonts w:ascii="Times New Roman" w:hAnsi="Times New Roman" w:cs="Times New Roman"/>
        </w:rPr>
        <w:t xml:space="preserve"> but d</w:t>
      </w:r>
      <w:r w:rsidR="00585BC0" w:rsidRPr="00585BC0">
        <w:rPr>
          <w:rFonts w:ascii="Times New Roman" w:hAnsi="Times New Roman" w:cs="Times New Roman"/>
        </w:rPr>
        <w:t xml:space="preserve">enying permission for the substitution </w:t>
      </w:r>
      <w:r w:rsidR="0047434E">
        <w:rPr>
          <w:rFonts w:ascii="Times New Roman" w:hAnsi="Times New Roman" w:cs="Times New Roman"/>
        </w:rPr>
        <w:t>will</w:t>
      </w:r>
      <w:r w:rsidR="00585BC0" w:rsidRPr="00585BC0">
        <w:rPr>
          <w:rFonts w:ascii="Times New Roman" w:hAnsi="Times New Roman" w:cs="Times New Roman"/>
        </w:rPr>
        <w:t xml:space="preserve"> not further the goal of the AEPS Act</w:t>
      </w:r>
      <w:r w:rsidR="0047434E">
        <w:rPr>
          <w:rFonts w:ascii="Times New Roman" w:hAnsi="Times New Roman" w:cs="Times New Roman"/>
        </w:rPr>
        <w:t xml:space="preserve"> because</w:t>
      </w:r>
      <w:r w:rsidR="00585BC0" w:rsidRPr="00585BC0">
        <w:rPr>
          <w:rFonts w:ascii="Times New Roman" w:hAnsi="Times New Roman" w:cs="Times New Roman"/>
        </w:rPr>
        <w:t xml:space="preserve"> </w:t>
      </w:r>
      <w:r w:rsidR="00BE2D04">
        <w:rPr>
          <w:rFonts w:ascii="Times New Roman" w:hAnsi="Times New Roman" w:cs="Times New Roman"/>
        </w:rPr>
        <w:t>Duquesne Light</w:t>
      </w:r>
      <w:r w:rsidR="00585BC0" w:rsidRPr="00585BC0">
        <w:rPr>
          <w:rFonts w:ascii="Times New Roman" w:hAnsi="Times New Roman" w:cs="Times New Roman"/>
        </w:rPr>
        <w:t xml:space="preserve"> </w:t>
      </w:r>
      <w:r w:rsidR="0047434E">
        <w:rPr>
          <w:rFonts w:ascii="Times New Roman" w:hAnsi="Times New Roman" w:cs="Times New Roman"/>
        </w:rPr>
        <w:t xml:space="preserve">already </w:t>
      </w:r>
      <w:r w:rsidR="00585BC0" w:rsidRPr="00585BC0">
        <w:rPr>
          <w:rFonts w:ascii="Times New Roman" w:hAnsi="Times New Roman" w:cs="Times New Roman"/>
        </w:rPr>
        <w:t xml:space="preserve">has purchased the correct amount of AECs.  </w:t>
      </w:r>
    </w:p>
    <w:p w:rsidR="00585BC0" w:rsidRPr="00585BC0" w:rsidRDefault="00585BC0" w:rsidP="00585BC0">
      <w:pPr>
        <w:spacing w:line="360" w:lineRule="auto"/>
        <w:rPr>
          <w:rFonts w:ascii="Times New Roman" w:hAnsi="Times New Roman" w:cs="Times New Roman"/>
          <w:i/>
        </w:rPr>
      </w:pPr>
      <w:r w:rsidRPr="00585BC0">
        <w:rPr>
          <w:rFonts w:ascii="Times New Roman" w:hAnsi="Times New Roman" w:cs="Times New Roman"/>
          <w:i/>
        </w:rPr>
        <w:tab/>
      </w:r>
    </w:p>
    <w:p w:rsidR="00585BC0" w:rsidRPr="00585BC0" w:rsidRDefault="00585BC0" w:rsidP="00585BC0">
      <w:pPr>
        <w:spacing w:line="360" w:lineRule="auto"/>
        <w:rPr>
          <w:rFonts w:ascii="Times New Roman" w:hAnsi="Times New Roman" w:cs="Times New Roman"/>
        </w:rPr>
      </w:pPr>
      <w:r w:rsidRPr="00585BC0">
        <w:rPr>
          <w:rFonts w:ascii="Times New Roman" w:hAnsi="Times New Roman" w:cs="Times New Roman"/>
          <w:i/>
        </w:rPr>
        <w:tab/>
      </w:r>
      <w:r w:rsidRPr="00585BC0">
        <w:rPr>
          <w:rFonts w:ascii="Times New Roman" w:hAnsi="Times New Roman" w:cs="Times New Roman"/>
          <w:i/>
        </w:rPr>
        <w:tab/>
      </w:r>
      <w:r w:rsidR="00552BEB">
        <w:rPr>
          <w:rFonts w:ascii="Times New Roman" w:hAnsi="Times New Roman" w:cs="Times New Roman"/>
        </w:rPr>
        <w:t>7</w:t>
      </w:r>
      <w:r w:rsidRPr="00585BC0">
        <w:rPr>
          <w:rFonts w:ascii="Times New Roman" w:hAnsi="Times New Roman" w:cs="Times New Roman"/>
          <w:i/>
        </w:rPr>
        <w:t>.</w:t>
      </w:r>
      <w:r w:rsidRPr="00585BC0">
        <w:rPr>
          <w:rFonts w:ascii="Times New Roman" w:hAnsi="Times New Roman" w:cs="Times New Roman"/>
          <w:i/>
        </w:rPr>
        <w:tab/>
      </w:r>
      <w:r w:rsidRPr="00585BC0">
        <w:rPr>
          <w:rFonts w:ascii="Times New Roman" w:hAnsi="Times New Roman" w:cs="Times New Roman"/>
        </w:rPr>
        <w:t xml:space="preserve">The Commission may permit </w:t>
      </w:r>
      <w:r w:rsidR="0047434E">
        <w:rPr>
          <w:rFonts w:ascii="Times New Roman" w:hAnsi="Times New Roman" w:cs="Times New Roman"/>
        </w:rPr>
        <w:t>Duquesne Light</w:t>
      </w:r>
      <w:r w:rsidRPr="00585BC0">
        <w:rPr>
          <w:rFonts w:ascii="Times New Roman" w:hAnsi="Times New Roman" w:cs="Times New Roman"/>
        </w:rPr>
        <w:t xml:space="preserve"> to substitute the correct credits for the incorrect credits.  </w:t>
      </w:r>
    </w:p>
    <w:p w:rsidR="00361EA2" w:rsidRDefault="00361EA2" w:rsidP="009C2C43">
      <w:pPr>
        <w:spacing w:line="360" w:lineRule="auto"/>
        <w:jc w:val="center"/>
        <w:rPr>
          <w:rFonts w:ascii="Times New Roman" w:hAnsi="Times New Roman" w:cs="Times New Roman"/>
          <w:u w:val="single"/>
        </w:rPr>
      </w:pPr>
    </w:p>
    <w:p w:rsidR="00812CE3" w:rsidRDefault="00812CE3">
      <w:pPr>
        <w:autoSpaceDE/>
        <w:autoSpaceDN/>
        <w:rPr>
          <w:rFonts w:ascii="Times New Roman" w:hAnsi="Times New Roman" w:cs="Times New Roman"/>
          <w:u w:val="single"/>
        </w:rPr>
      </w:pPr>
      <w:r>
        <w:rPr>
          <w:rFonts w:ascii="Times New Roman" w:hAnsi="Times New Roman" w:cs="Times New Roman"/>
          <w:u w:val="single"/>
        </w:rPr>
        <w:br w:type="page"/>
      </w:r>
    </w:p>
    <w:p w:rsidR="009C2C43" w:rsidRPr="009C2C43" w:rsidRDefault="009C2C43" w:rsidP="00812CE3">
      <w:pPr>
        <w:autoSpaceDE/>
        <w:autoSpaceDN/>
        <w:jc w:val="center"/>
        <w:rPr>
          <w:rFonts w:ascii="Times New Roman" w:hAnsi="Times New Roman" w:cs="Times New Roman"/>
          <w:u w:val="single"/>
        </w:rPr>
      </w:pPr>
      <w:r w:rsidRPr="009C2C43">
        <w:rPr>
          <w:rFonts w:ascii="Times New Roman" w:hAnsi="Times New Roman" w:cs="Times New Roman"/>
          <w:u w:val="single"/>
        </w:rPr>
        <w:lastRenderedPageBreak/>
        <w:t>ORDER</w:t>
      </w:r>
    </w:p>
    <w:p w:rsidR="009C2C43" w:rsidRDefault="009C2C43" w:rsidP="00585BC0">
      <w:pPr>
        <w:spacing w:line="360" w:lineRule="auto"/>
        <w:rPr>
          <w:rFonts w:ascii="Times New Roman" w:hAnsi="Times New Roman" w:cs="Times New Roman"/>
        </w:rPr>
      </w:pPr>
    </w:p>
    <w:p w:rsidR="009C2C43" w:rsidRDefault="009C2C43" w:rsidP="009C2C43">
      <w:pPr>
        <w:spacing w:line="360" w:lineRule="auto"/>
        <w:ind w:left="720" w:firstLine="720"/>
        <w:rPr>
          <w:rFonts w:ascii="Times New Roman" w:hAnsi="Times New Roman" w:cs="Times New Roman"/>
        </w:rPr>
      </w:pPr>
    </w:p>
    <w:p w:rsidR="00585BC0" w:rsidRPr="00585BC0" w:rsidRDefault="00585BC0" w:rsidP="009C2C43">
      <w:pPr>
        <w:spacing w:line="360" w:lineRule="auto"/>
        <w:ind w:left="720" w:firstLine="720"/>
        <w:rPr>
          <w:rFonts w:ascii="Times New Roman" w:hAnsi="Times New Roman" w:cs="Times New Roman"/>
        </w:rPr>
      </w:pPr>
      <w:r w:rsidRPr="00585BC0">
        <w:rPr>
          <w:rFonts w:ascii="Times New Roman" w:hAnsi="Times New Roman" w:cs="Times New Roman"/>
        </w:rPr>
        <w:t>THEREFORE,</w:t>
      </w:r>
    </w:p>
    <w:p w:rsidR="00585BC0" w:rsidRPr="00585BC0" w:rsidRDefault="00585BC0" w:rsidP="00585BC0">
      <w:pPr>
        <w:spacing w:line="360" w:lineRule="auto"/>
        <w:rPr>
          <w:rFonts w:ascii="Times New Roman" w:hAnsi="Times New Roman" w:cs="Times New Roman"/>
        </w:rPr>
      </w:pPr>
    </w:p>
    <w:p w:rsidR="00585BC0" w:rsidRPr="00585BC0" w:rsidRDefault="00585BC0" w:rsidP="00585BC0">
      <w:pPr>
        <w:spacing w:line="360" w:lineRule="auto"/>
        <w:rPr>
          <w:rFonts w:ascii="Times New Roman" w:hAnsi="Times New Roman" w:cs="Times New Roman"/>
        </w:rPr>
      </w:pPr>
      <w:r w:rsidRPr="00585BC0">
        <w:rPr>
          <w:rFonts w:ascii="Times New Roman" w:hAnsi="Times New Roman" w:cs="Times New Roman"/>
        </w:rPr>
        <w:tab/>
      </w:r>
      <w:r w:rsidRPr="00585BC0">
        <w:rPr>
          <w:rFonts w:ascii="Times New Roman" w:hAnsi="Times New Roman" w:cs="Times New Roman"/>
        </w:rPr>
        <w:tab/>
        <w:t>IT IS ORDERED:</w:t>
      </w:r>
    </w:p>
    <w:p w:rsidR="00651851" w:rsidRDefault="00585BC0" w:rsidP="00585BC0">
      <w:pPr>
        <w:spacing w:line="360" w:lineRule="auto"/>
        <w:rPr>
          <w:rFonts w:ascii="Times New Roman" w:hAnsi="Times New Roman" w:cs="Times New Roman"/>
        </w:rPr>
      </w:pPr>
      <w:r w:rsidRPr="00585BC0">
        <w:rPr>
          <w:rFonts w:ascii="Times New Roman" w:hAnsi="Times New Roman" w:cs="Times New Roman"/>
        </w:rPr>
        <w:tab/>
      </w:r>
      <w:r w:rsidRPr="00585BC0">
        <w:rPr>
          <w:rFonts w:ascii="Times New Roman" w:hAnsi="Times New Roman" w:cs="Times New Roman"/>
        </w:rPr>
        <w:tab/>
      </w:r>
    </w:p>
    <w:p w:rsidR="00585BC0" w:rsidRPr="00585BC0" w:rsidRDefault="00585BC0" w:rsidP="00651851">
      <w:pPr>
        <w:spacing w:line="360" w:lineRule="auto"/>
        <w:ind w:firstLine="1440"/>
        <w:rPr>
          <w:rFonts w:ascii="Times New Roman" w:hAnsi="Times New Roman" w:cs="Times New Roman"/>
        </w:rPr>
      </w:pPr>
      <w:r w:rsidRPr="00585BC0">
        <w:rPr>
          <w:rFonts w:ascii="Times New Roman" w:hAnsi="Times New Roman" w:cs="Times New Roman"/>
        </w:rPr>
        <w:t>1.</w:t>
      </w:r>
      <w:r w:rsidRPr="00585BC0">
        <w:rPr>
          <w:rFonts w:ascii="Times New Roman" w:hAnsi="Times New Roman" w:cs="Times New Roman"/>
        </w:rPr>
        <w:tab/>
        <w:t>T</w:t>
      </w:r>
      <w:r w:rsidR="00BE2D04">
        <w:rPr>
          <w:rFonts w:ascii="Times New Roman" w:hAnsi="Times New Roman" w:cs="Times New Roman"/>
        </w:rPr>
        <w:t>hat t</w:t>
      </w:r>
      <w:r w:rsidRPr="00585BC0">
        <w:rPr>
          <w:rFonts w:ascii="Times New Roman" w:hAnsi="Times New Roman" w:cs="Times New Roman"/>
        </w:rPr>
        <w:t xml:space="preserve">he Joint </w:t>
      </w:r>
      <w:r w:rsidR="003D6744">
        <w:rPr>
          <w:rFonts w:ascii="Times New Roman" w:hAnsi="Times New Roman" w:cs="Times New Roman"/>
        </w:rPr>
        <w:t>Petition for Settlement</w:t>
      </w:r>
      <w:r w:rsidR="00BE2D04">
        <w:rPr>
          <w:rFonts w:ascii="Times New Roman" w:hAnsi="Times New Roman" w:cs="Times New Roman"/>
        </w:rPr>
        <w:t xml:space="preserve"> between Duquesne Light Company, </w:t>
      </w:r>
      <w:r w:rsidRPr="00585BC0">
        <w:rPr>
          <w:rFonts w:ascii="Times New Roman" w:hAnsi="Times New Roman" w:cs="Times New Roman"/>
        </w:rPr>
        <w:t xml:space="preserve">the Bureau of Conservation, Economics and Energy Planning, and the Law Bureau Prosecutory Staff, filed on </w:t>
      </w:r>
      <w:r w:rsidR="003D6744">
        <w:rPr>
          <w:rFonts w:ascii="Times New Roman" w:hAnsi="Times New Roman" w:cs="Times New Roman"/>
        </w:rPr>
        <w:t>October 8, 2010,</w:t>
      </w:r>
      <w:r w:rsidRPr="00585BC0">
        <w:rPr>
          <w:rFonts w:ascii="Times New Roman" w:hAnsi="Times New Roman" w:cs="Times New Roman"/>
        </w:rPr>
        <w:t xml:space="preserve"> is admitted to the record.</w:t>
      </w:r>
    </w:p>
    <w:p w:rsidR="00585BC0" w:rsidRPr="00585BC0" w:rsidRDefault="00585BC0" w:rsidP="00585BC0">
      <w:pPr>
        <w:spacing w:line="360" w:lineRule="auto"/>
        <w:rPr>
          <w:rFonts w:ascii="Times New Roman" w:hAnsi="Times New Roman" w:cs="Times New Roman"/>
        </w:rPr>
      </w:pPr>
    </w:p>
    <w:p w:rsidR="00585BC0" w:rsidRPr="00585BC0" w:rsidRDefault="00585BC0" w:rsidP="00585BC0">
      <w:pPr>
        <w:spacing w:line="360" w:lineRule="auto"/>
        <w:rPr>
          <w:rFonts w:ascii="Times New Roman" w:hAnsi="Times New Roman" w:cs="Times New Roman"/>
        </w:rPr>
      </w:pPr>
      <w:r w:rsidRPr="00585BC0">
        <w:rPr>
          <w:rFonts w:ascii="Times New Roman" w:hAnsi="Times New Roman" w:cs="Times New Roman"/>
        </w:rPr>
        <w:tab/>
      </w:r>
      <w:r w:rsidRPr="00585BC0">
        <w:rPr>
          <w:rFonts w:ascii="Times New Roman" w:hAnsi="Times New Roman" w:cs="Times New Roman"/>
        </w:rPr>
        <w:tab/>
        <w:t>2.</w:t>
      </w:r>
      <w:r w:rsidRPr="00585BC0">
        <w:rPr>
          <w:rFonts w:ascii="Times New Roman" w:hAnsi="Times New Roman" w:cs="Times New Roman"/>
        </w:rPr>
        <w:tab/>
        <w:t xml:space="preserve">That the Petition of </w:t>
      </w:r>
      <w:r w:rsidR="00BE2D04">
        <w:rPr>
          <w:rFonts w:ascii="Times New Roman" w:hAnsi="Times New Roman" w:cs="Times New Roman"/>
        </w:rPr>
        <w:t>Duquesne Light Company</w:t>
      </w:r>
      <w:r w:rsidRPr="00585BC0">
        <w:rPr>
          <w:rFonts w:ascii="Times New Roman" w:hAnsi="Times New Roman" w:cs="Times New Roman"/>
        </w:rPr>
        <w:t xml:space="preserve"> at Docket Number P-2010-2153</w:t>
      </w:r>
      <w:r w:rsidR="00BE2D04">
        <w:rPr>
          <w:rFonts w:ascii="Times New Roman" w:hAnsi="Times New Roman" w:cs="Times New Roman"/>
        </w:rPr>
        <w:t>577</w:t>
      </w:r>
      <w:r w:rsidRPr="00585BC0">
        <w:rPr>
          <w:rFonts w:ascii="Times New Roman" w:hAnsi="Times New Roman" w:cs="Times New Roman"/>
        </w:rPr>
        <w:t xml:space="preserve"> is granted to permit </w:t>
      </w:r>
      <w:r w:rsidR="00BE2D04">
        <w:rPr>
          <w:rFonts w:ascii="Times New Roman" w:hAnsi="Times New Roman" w:cs="Times New Roman"/>
        </w:rPr>
        <w:t>Duquesne Light Company</w:t>
      </w:r>
      <w:r w:rsidRPr="00585BC0">
        <w:rPr>
          <w:rFonts w:ascii="Times New Roman" w:hAnsi="Times New Roman" w:cs="Times New Roman"/>
        </w:rPr>
        <w:t xml:space="preserve"> to </w:t>
      </w:r>
      <w:r w:rsidR="004C1464">
        <w:rPr>
          <w:rFonts w:ascii="Times New Roman" w:hAnsi="Times New Roman" w:cs="Times New Roman"/>
        </w:rPr>
        <w:t>reallocate or swap 42,980 Tier I Alternative Energy Credits generated by Cadillac Renewable Energy and purchased by Duquesne Power, on behalf of Duquesne Light Company, for an equal number of eligible Tier I Alternative Energy Credits generated at facilities in Pennsylvania or PJM submitted by a MISO eligible Pennsylvania electric distribution company or electric generation supplier for the 2008/2009 compliance period</w:t>
      </w:r>
      <w:r w:rsidRPr="00585BC0">
        <w:rPr>
          <w:rFonts w:ascii="Times New Roman" w:hAnsi="Times New Roman" w:cs="Times New Roman"/>
        </w:rPr>
        <w:t>.</w:t>
      </w:r>
    </w:p>
    <w:p w:rsidR="00585BC0" w:rsidRPr="00585BC0" w:rsidRDefault="00585BC0" w:rsidP="00585BC0">
      <w:pPr>
        <w:spacing w:line="360" w:lineRule="auto"/>
        <w:rPr>
          <w:rFonts w:ascii="Times New Roman" w:hAnsi="Times New Roman" w:cs="Times New Roman"/>
        </w:rPr>
      </w:pPr>
    </w:p>
    <w:p w:rsidR="00585BC0" w:rsidRPr="00585BC0" w:rsidRDefault="00585BC0" w:rsidP="00585BC0">
      <w:pPr>
        <w:spacing w:line="360" w:lineRule="auto"/>
        <w:rPr>
          <w:rFonts w:ascii="Times New Roman" w:hAnsi="Times New Roman" w:cs="Times New Roman"/>
        </w:rPr>
      </w:pPr>
      <w:r w:rsidRPr="00585BC0">
        <w:rPr>
          <w:rFonts w:ascii="Times New Roman" w:hAnsi="Times New Roman" w:cs="Times New Roman"/>
        </w:rPr>
        <w:tab/>
      </w:r>
      <w:r w:rsidRPr="00585BC0">
        <w:rPr>
          <w:rFonts w:ascii="Times New Roman" w:hAnsi="Times New Roman" w:cs="Times New Roman"/>
        </w:rPr>
        <w:tab/>
        <w:t>3.</w:t>
      </w:r>
      <w:r w:rsidRPr="00585BC0">
        <w:rPr>
          <w:rFonts w:ascii="Times New Roman" w:hAnsi="Times New Roman" w:cs="Times New Roman"/>
        </w:rPr>
        <w:tab/>
        <w:t xml:space="preserve">That </w:t>
      </w:r>
      <w:r w:rsidR="00BE2D04">
        <w:rPr>
          <w:rFonts w:ascii="Times New Roman" w:hAnsi="Times New Roman" w:cs="Times New Roman"/>
        </w:rPr>
        <w:t>Duquesne Light Company</w:t>
      </w:r>
      <w:r w:rsidRPr="00585BC0">
        <w:rPr>
          <w:rFonts w:ascii="Times New Roman" w:hAnsi="Times New Roman" w:cs="Times New Roman"/>
        </w:rPr>
        <w:t xml:space="preserve"> </w:t>
      </w:r>
      <w:r w:rsidR="0020738B">
        <w:rPr>
          <w:rFonts w:ascii="Times New Roman" w:hAnsi="Times New Roman" w:cs="Times New Roman"/>
        </w:rPr>
        <w:t>was compliant for the 2008/2009 Alternative Energy Portfolio Standards Act compliance period</w:t>
      </w:r>
      <w:r w:rsidRPr="00585BC0">
        <w:rPr>
          <w:rFonts w:ascii="Times New Roman" w:hAnsi="Times New Roman" w:cs="Times New Roman"/>
        </w:rPr>
        <w:t>.</w:t>
      </w:r>
    </w:p>
    <w:p w:rsidR="00651851" w:rsidRDefault="00585BC0" w:rsidP="00361EA2">
      <w:pPr>
        <w:spacing w:line="360" w:lineRule="auto"/>
        <w:rPr>
          <w:rFonts w:ascii="Times New Roman" w:hAnsi="Times New Roman" w:cs="Times New Roman"/>
        </w:rPr>
      </w:pPr>
      <w:r w:rsidRPr="00585BC0">
        <w:rPr>
          <w:rFonts w:ascii="Times New Roman" w:hAnsi="Times New Roman" w:cs="Times New Roman"/>
        </w:rPr>
        <w:tab/>
      </w:r>
    </w:p>
    <w:p w:rsidR="00585BC0" w:rsidRPr="00585BC0" w:rsidRDefault="00651851" w:rsidP="00361EA2">
      <w:pPr>
        <w:spacing w:line="360" w:lineRule="auto"/>
        <w:rPr>
          <w:rFonts w:ascii="Times New Roman" w:hAnsi="Times New Roman" w:cs="Times New Roman"/>
        </w:rPr>
      </w:pPr>
      <w:r>
        <w:rPr>
          <w:rFonts w:ascii="Times New Roman" w:hAnsi="Times New Roman" w:cs="Times New Roman"/>
        </w:rPr>
        <w:tab/>
      </w:r>
      <w:r w:rsidR="00585BC0" w:rsidRPr="00585BC0">
        <w:rPr>
          <w:rFonts w:ascii="Times New Roman" w:hAnsi="Times New Roman" w:cs="Times New Roman"/>
        </w:rPr>
        <w:tab/>
        <w:t>4.</w:t>
      </w:r>
      <w:r w:rsidR="00585BC0" w:rsidRPr="00585BC0">
        <w:rPr>
          <w:rFonts w:ascii="Times New Roman" w:hAnsi="Times New Roman" w:cs="Times New Roman"/>
        </w:rPr>
        <w:tab/>
        <w:t xml:space="preserve">That </w:t>
      </w:r>
      <w:r w:rsidR="0020738B">
        <w:rPr>
          <w:rFonts w:ascii="Times New Roman" w:hAnsi="Times New Roman" w:cs="Times New Roman"/>
        </w:rPr>
        <w:t xml:space="preserve">the proceeding docketed at P-2010-2153577 shall be marked </w:t>
      </w:r>
      <w:r w:rsidR="00585BC0" w:rsidRPr="00585BC0">
        <w:rPr>
          <w:rFonts w:ascii="Times New Roman" w:hAnsi="Times New Roman" w:cs="Times New Roman"/>
        </w:rPr>
        <w:t xml:space="preserve">closed. </w:t>
      </w:r>
    </w:p>
    <w:p w:rsidR="00D43D6D" w:rsidRPr="00585BC0" w:rsidRDefault="00D43D6D" w:rsidP="00585BC0">
      <w:pPr>
        <w:tabs>
          <w:tab w:val="left" w:pos="-720"/>
        </w:tabs>
        <w:suppressAutoHyphens/>
        <w:spacing w:line="360" w:lineRule="auto"/>
        <w:ind w:firstLine="1440"/>
        <w:rPr>
          <w:rFonts w:ascii="Times New Roman" w:hAnsi="Times New Roman" w:cs="Times New Roman"/>
          <w:spacing w:val="-3"/>
        </w:rPr>
      </w:pPr>
    </w:p>
    <w:p w:rsidR="00D43D6D" w:rsidRPr="00585BC0" w:rsidRDefault="00D43D6D" w:rsidP="00585BC0">
      <w:pPr>
        <w:tabs>
          <w:tab w:val="left" w:pos="-720"/>
        </w:tabs>
        <w:suppressAutoHyphens/>
        <w:spacing w:line="360" w:lineRule="auto"/>
        <w:ind w:firstLine="1440"/>
        <w:rPr>
          <w:rFonts w:ascii="Times New Roman" w:hAnsi="Times New Roman" w:cs="Times New Roman"/>
          <w:spacing w:val="-3"/>
        </w:rPr>
      </w:pPr>
    </w:p>
    <w:p w:rsidR="005F611A" w:rsidRDefault="005F611A" w:rsidP="00D43D6D">
      <w:pPr>
        <w:tabs>
          <w:tab w:val="left" w:pos="-720"/>
        </w:tabs>
        <w:suppressAutoHyphens/>
        <w:rPr>
          <w:rFonts w:ascii="Times New Roman" w:hAnsi="Times New Roman" w:cs="Times New Roman"/>
          <w:spacing w:val="-3"/>
        </w:rPr>
      </w:pPr>
    </w:p>
    <w:p w:rsidR="00D43D6D" w:rsidRPr="0028764F" w:rsidRDefault="00D43D6D" w:rsidP="00D43D6D">
      <w:pPr>
        <w:tabs>
          <w:tab w:val="left" w:pos="-720"/>
        </w:tabs>
        <w:suppressAutoHyphens/>
        <w:rPr>
          <w:rFonts w:ascii="Times New Roman" w:hAnsi="Times New Roman" w:cs="Times New Roman"/>
          <w:spacing w:val="-3"/>
          <w:u w:val="single"/>
        </w:rPr>
      </w:pPr>
      <w:r w:rsidRPr="0028764F">
        <w:rPr>
          <w:rFonts w:ascii="Times New Roman" w:hAnsi="Times New Roman" w:cs="Times New Roman"/>
          <w:spacing w:val="-3"/>
        </w:rPr>
        <w:t xml:space="preserve">Date: </w:t>
      </w:r>
      <w:r w:rsidR="0014256F">
        <w:rPr>
          <w:rFonts w:ascii="Times New Roman" w:hAnsi="Times New Roman" w:cs="Times New Roman"/>
          <w:spacing w:val="-3"/>
        </w:rPr>
        <w:t xml:space="preserve"> </w:t>
      </w:r>
      <w:r w:rsidR="0020738B">
        <w:rPr>
          <w:rFonts w:ascii="Times New Roman" w:hAnsi="Times New Roman" w:cs="Times New Roman"/>
          <w:spacing w:val="-3"/>
          <w:u w:val="single"/>
        </w:rPr>
        <w:t>October 2</w:t>
      </w:r>
      <w:r w:rsidR="00825B77">
        <w:rPr>
          <w:rFonts w:ascii="Times New Roman" w:hAnsi="Times New Roman" w:cs="Times New Roman"/>
          <w:spacing w:val="-3"/>
          <w:u w:val="single"/>
        </w:rPr>
        <w:t>1</w:t>
      </w:r>
      <w:r w:rsidR="00462EB2" w:rsidRPr="0028764F">
        <w:rPr>
          <w:rFonts w:ascii="Times New Roman" w:hAnsi="Times New Roman" w:cs="Times New Roman"/>
          <w:spacing w:val="-3"/>
          <w:u w:val="single"/>
        </w:rPr>
        <w:t>, 20</w:t>
      </w:r>
      <w:r w:rsidR="00A71CCE" w:rsidRPr="0028764F">
        <w:rPr>
          <w:rFonts w:ascii="Times New Roman" w:hAnsi="Times New Roman" w:cs="Times New Roman"/>
          <w:spacing w:val="-3"/>
          <w:u w:val="single"/>
        </w:rPr>
        <w:t>10</w:t>
      </w:r>
      <w:r w:rsidR="00462EB2" w:rsidRPr="0028764F">
        <w:rPr>
          <w:rFonts w:ascii="Times New Roman" w:hAnsi="Times New Roman" w:cs="Times New Roman"/>
          <w:spacing w:val="-3"/>
        </w:rPr>
        <w:tab/>
      </w:r>
      <w:r w:rsidR="001823D6" w:rsidRPr="0028764F">
        <w:rPr>
          <w:rFonts w:ascii="Times New Roman" w:hAnsi="Times New Roman" w:cs="Times New Roman"/>
          <w:spacing w:val="-3"/>
        </w:rPr>
        <w:tab/>
      </w:r>
      <w:r w:rsidR="00BA145A" w:rsidRPr="0028764F">
        <w:rPr>
          <w:rFonts w:ascii="Times New Roman" w:hAnsi="Times New Roman" w:cs="Times New Roman"/>
          <w:spacing w:val="-3"/>
        </w:rPr>
        <w:tab/>
      </w:r>
      <w:r w:rsidR="005F611A">
        <w:rPr>
          <w:rFonts w:ascii="Times New Roman" w:hAnsi="Times New Roman" w:cs="Times New Roman"/>
          <w:spacing w:val="-3"/>
        </w:rPr>
        <w:tab/>
      </w:r>
      <w:r w:rsidR="00462EB2" w:rsidRPr="0028764F">
        <w:rPr>
          <w:rFonts w:ascii="Times New Roman" w:hAnsi="Times New Roman" w:cs="Times New Roman"/>
          <w:spacing w:val="-3"/>
          <w:u w:val="single"/>
        </w:rPr>
        <w:tab/>
      </w:r>
      <w:r w:rsidR="00462EB2" w:rsidRPr="0028764F">
        <w:rPr>
          <w:rFonts w:ascii="Times New Roman" w:hAnsi="Times New Roman" w:cs="Times New Roman"/>
          <w:spacing w:val="-3"/>
          <w:u w:val="single"/>
        </w:rPr>
        <w:tab/>
      </w:r>
      <w:r w:rsidR="00462EB2" w:rsidRPr="0028764F">
        <w:rPr>
          <w:rFonts w:ascii="Times New Roman" w:hAnsi="Times New Roman" w:cs="Times New Roman"/>
          <w:spacing w:val="-3"/>
          <w:u w:val="single"/>
        </w:rPr>
        <w:tab/>
      </w:r>
      <w:r w:rsidR="00462EB2" w:rsidRPr="0028764F">
        <w:rPr>
          <w:rFonts w:ascii="Times New Roman" w:hAnsi="Times New Roman" w:cs="Times New Roman"/>
          <w:spacing w:val="-3"/>
          <w:u w:val="single"/>
        </w:rPr>
        <w:tab/>
      </w:r>
      <w:r w:rsidR="00462EB2" w:rsidRPr="0028764F">
        <w:rPr>
          <w:rFonts w:ascii="Times New Roman" w:hAnsi="Times New Roman" w:cs="Times New Roman"/>
          <w:spacing w:val="-3"/>
          <w:u w:val="single"/>
        </w:rPr>
        <w:tab/>
      </w:r>
      <w:r w:rsidR="00462EB2" w:rsidRPr="0028764F">
        <w:rPr>
          <w:rFonts w:ascii="Times New Roman" w:hAnsi="Times New Roman" w:cs="Times New Roman"/>
          <w:spacing w:val="-3"/>
          <w:u w:val="single"/>
        </w:rPr>
        <w:tab/>
      </w:r>
    </w:p>
    <w:p w:rsidR="00D43D6D" w:rsidRPr="0028764F" w:rsidRDefault="00D43D6D" w:rsidP="00D43D6D">
      <w:pPr>
        <w:tabs>
          <w:tab w:val="left" w:pos="-720"/>
        </w:tabs>
        <w:suppressAutoHyphens/>
        <w:rPr>
          <w:rFonts w:ascii="Times New Roman" w:hAnsi="Times New Roman" w:cs="Times New Roman"/>
          <w:spacing w:val="-3"/>
        </w:rPr>
      </w:pPr>
      <w:r w:rsidRPr="0028764F">
        <w:rPr>
          <w:rFonts w:ascii="Times New Roman" w:hAnsi="Times New Roman" w:cs="Times New Roman"/>
          <w:spacing w:val="-3"/>
        </w:rPr>
        <w:tab/>
      </w:r>
      <w:r w:rsidRPr="0028764F">
        <w:rPr>
          <w:rFonts w:ascii="Times New Roman" w:hAnsi="Times New Roman" w:cs="Times New Roman"/>
          <w:spacing w:val="-3"/>
        </w:rPr>
        <w:tab/>
      </w:r>
      <w:r w:rsidRPr="0028764F">
        <w:rPr>
          <w:rFonts w:ascii="Times New Roman" w:hAnsi="Times New Roman" w:cs="Times New Roman"/>
          <w:spacing w:val="-3"/>
        </w:rPr>
        <w:tab/>
      </w:r>
      <w:r w:rsidRPr="0028764F">
        <w:rPr>
          <w:rFonts w:ascii="Times New Roman" w:hAnsi="Times New Roman" w:cs="Times New Roman"/>
          <w:spacing w:val="-3"/>
        </w:rPr>
        <w:tab/>
      </w:r>
      <w:r w:rsidRPr="0028764F">
        <w:rPr>
          <w:rFonts w:ascii="Times New Roman" w:hAnsi="Times New Roman" w:cs="Times New Roman"/>
          <w:spacing w:val="-3"/>
        </w:rPr>
        <w:tab/>
      </w:r>
      <w:r w:rsidRPr="0028764F">
        <w:rPr>
          <w:rFonts w:ascii="Times New Roman" w:hAnsi="Times New Roman" w:cs="Times New Roman"/>
          <w:spacing w:val="-3"/>
        </w:rPr>
        <w:tab/>
      </w:r>
      <w:r w:rsidR="005F611A">
        <w:rPr>
          <w:rFonts w:ascii="Times New Roman" w:hAnsi="Times New Roman" w:cs="Times New Roman"/>
          <w:spacing w:val="-3"/>
        </w:rPr>
        <w:tab/>
      </w:r>
      <w:r w:rsidR="004F5D23" w:rsidRPr="0028764F">
        <w:rPr>
          <w:rFonts w:ascii="Times New Roman" w:hAnsi="Times New Roman" w:cs="Times New Roman"/>
          <w:spacing w:val="-3"/>
        </w:rPr>
        <w:t>Katrina L. Dunderdale</w:t>
      </w:r>
    </w:p>
    <w:p w:rsidR="00D43D6D" w:rsidRDefault="00D43D6D" w:rsidP="00D43D6D">
      <w:pPr>
        <w:tabs>
          <w:tab w:val="left" w:pos="-720"/>
        </w:tabs>
        <w:suppressAutoHyphens/>
        <w:rPr>
          <w:rFonts w:ascii="Times New Roman" w:hAnsi="Times New Roman" w:cs="Times New Roman"/>
          <w:spacing w:val="-3"/>
        </w:rPr>
      </w:pPr>
      <w:r w:rsidRPr="0028764F">
        <w:rPr>
          <w:rFonts w:ascii="Times New Roman" w:hAnsi="Times New Roman" w:cs="Times New Roman"/>
          <w:spacing w:val="-3"/>
        </w:rPr>
        <w:tab/>
      </w:r>
      <w:r w:rsidR="00361EA2">
        <w:rPr>
          <w:rFonts w:ascii="Times New Roman" w:hAnsi="Times New Roman" w:cs="Times New Roman"/>
          <w:spacing w:val="-3"/>
        </w:rPr>
        <w:tab/>
      </w:r>
      <w:r w:rsidRPr="0028764F">
        <w:rPr>
          <w:rFonts w:ascii="Times New Roman" w:hAnsi="Times New Roman" w:cs="Times New Roman"/>
          <w:spacing w:val="-3"/>
        </w:rPr>
        <w:tab/>
      </w:r>
      <w:r w:rsidRPr="0028764F">
        <w:rPr>
          <w:rFonts w:ascii="Times New Roman" w:hAnsi="Times New Roman" w:cs="Times New Roman"/>
          <w:spacing w:val="-3"/>
        </w:rPr>
        <w:tab/>
      </w:r>
      <w:r w:rsidRPr="0028764F">
        <w:rPr>
          <w:rFonts w:ascii="Times New Roman" w:hAnsi="Times New Roman" w:cs="Times New Roman"/>
          <w:spacing w:val="-3"/>
        </w:rPr>
        <w:tab/>
      </w:r>
      <w:r w:rsidRPr="0028764F">
        <w:rPr>
          <w:rFonts w:ascii="Times New Roman" w:hAnsi="Times New Roman" w:cs="Times New Roman"/>
          <w:spacing w:val="-3"/>
        </w:rPr>
        <w:tab/>
      </w:r>
      <w:r w:rsidR="005F611A">
        <w:rPr>
          <w:rFonts w:ascii="Times New Roman" w:hAnsi="Times New Roman" w:cs="Times New Roman"/>
          <w:spacing w:val="-3"/>
        </w:rPr>
        <w:tab/>
      </w:r>
      <w:r w:rsidRPr="0028764F">
        <w:rPr>
          <w:rFonts w:ascii="Times New Roman" w:hAnsi="Times New Roman" w:cs="Times New Roman"/>
          <w:spacing w:val="-3"/>
        </w:rPr>
        <w:t>Administrative Law Judge</w:t>
      </w:r>
    </w:p>
    <w:p w:rsidR="00032D69" w:rsidRDefault="00032D69" w:rsidP="00D43D6D">
      <w:pPr>
        <w:tabs>
          <w:tab w:val="left" w:pos="-720"/>
        </w:tabs>
        <w:suppressAutoHyphens/>
        <w:rPr>
          <w:rFonts w:ascii="Times New Roman" w:hAnsi="Times New Roman" w:cs="Times New Roman"/>
          <w:spacing w:val="-3"/>
        </w:rPr>
      </w:pPr>
    </w:p>
    <w:sectPr w:rsidR="00032D69" w:rsidSect="0095154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D4B" w:rsidRDefault="00A93D4B">
      <w:pPr>
        <w:spacing w:line="20" w:lineRule="exact"/>
      </w:pPr>
    </w:p>
  </w:endnote>
  <w:endnote w:type="continuationSeparator" w:id="0">
    <w:p w:rsidR="00A93D4B" w:rsidRDefault="00A93D4B">
      <w:r>
        <w:t xml:space="preserve"> </w:t>
      </w:r>
    </w:p>
  </w:endnote>
  <w:endnote w:type="continuationNotice" w:id="1">
    <w:p w:rsidR="00A93D4B" w:rsidRDefault="00A93D4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C70" w:rsidRDefault="008B6D6D" w:rsidP="009579A4">
    <w:pPr>
      <w:pStyle w:val="Footer"/>
      <w:framePr w:wrap="around" w:vAnchor="text" w:hAnchor="margin" w:xAlign="center" w:y="1"/>
      <w:rPr>
        <w:rStyle w:val="PageNumber"/>
      </w:rPr>
    </w:pPr>
    <w:r>
      <w:rPr>
        <w:rStyle w:val="PageNumber"/>
      </w:rPr>
      <w:fldChar w:fldCharType="begin"/>
    </w:r>
    <w:r w:rsidR="006C1C70">
      <w:rPr>
        <w:rStyle w:val="PageNumber"/>
      </w:rPr>
      <w:instrText xml:space="preserve">PAGE  </w:instrText>
    </w:r>
    <w:r>
      <w:rPr>
        <w:rStyle w:val="PageNumber"/>
      </w:rPr>
      <w:fldChar w:fldCharType="end"/>
    </w:r>
  </w:p>
  <w:p w:rsidR="006C1C70" w:rsidRDefault="006C1C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C70" w:rsidRPr="00A01FEE" w:rsidRDefault="008B6D6D" w:rsidP="009579A4">
    <w:pPr>
      <w:pStyle w:val="Footer"/>
      <w:framePr w:wrap="around" w:vAnchor="text" w:hAnchor="margin" w:xAlign="center" w:y="1"/>
      <w:rPr>
        <w:rStyle w:val="PageNumber"/>
        <w:rFonts w:ascii="Times New Roman" w:hAnsi="Times New Roman" w:cs="Times New Roman"/>
        <w:sz w:val="20"/>
        <w:szCs w:val="20"/>
      </w:rPr>
    </w:pPr>
    <w:r w:rsidRPr="00A01FEE">
      <w:rPr>
        <w:rStyle w:val="PageNumber"/>
        <w:rFonts w:ascii="Times New Roman" w:hAnsi="Times New Roman" w:cs="Times New Roman"/>
        <w:sz w:val="20"/>
        <w:szCs w:val="20"/>
      </w:rPr>
      <w:fldChar w:fldCharType="begin"/>
    </w:r>
    <w:r w:rsidR="006C1C70" w:rsidRPr="00A01FEE">
      <w:rPr>
        <w:rStyle w:val="PageNumber"/>
        <w:rFonts w:ascii="Times New Roman" w:hAnsi="Times New Roman" w:cs="Times New Roman"/>
        <w:sz w:val="20"/>
        <w:szCs w:val="20"/>
      </w:rPr>
      <w:instrText xml:space="preserve">PAGE  </w:instrText>
    </w:r>
    <w:r w:rsidRPr="00A01FEE">
      <w:rPr>
        <w:rStyle w:val="PageNumber"/>
        <w:rFonts w:ascii="Times New Roman" w:hAnsi="Times New Roman" w:cs="Times New Roman"/>
        <w:sz w:val="20"/>
        <w:szCs w:val="20"/>
      </w:rPr>
      <w:fldChar w:fldCharType="separate"/>
    </w:r>
    <w:r w:rsidR="00503CDB">
      <w:rPr>
        <w:rStyle w:val="PageNumber"/>
        <w:rFonts w:ascii="Times New Roman" w:hAnsi="Times New Roman" w:cs="Times New Roman"/>
        <w:sz w:val="20"/>
        <w:szCs w:val="20"/>
      </w:rPr>
      <w:t>12</w:t>
    </w:r>
    <w:r w:rsidRPr="00A01FEE">
      <w:rPr>
        <w:rStyle w:val="PageNumber"/>
        <w:rFonts w:ascii="Times New Roman" w:hAnsi="Times New Roman" w:cs="Times New Roman"/>
        <w:sz w:val="20"/>
        <w:szCs w:val="20"/>
      </w:rPr>
      <w:fldChar w:fldCharType="end"/>
    </w:r>
  </w:p>
  <w:p w:rsidR="006C1C70" w:rsidRDefault="006C1C70" w:rsidP="00A01F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D4B" w:rsidRDefault="00A93D4B">
      <w:r>
        <w:separator/>
      </w:r>
    </w:p>
  </w:footnote>
  <w:footnote w:type="continuationSeparator" w:id="0">
    <w:p w:rsidR="00A93D4B" w:rsidRDefault="00A93D4B">
      <w:r>
        <w:continuationSeparator/>
      </w:r>
    </w:p>
  </w:footnote>
  <w:footnote w:id="1">
    <w:p w:rsidR="00FA2558" w:rsidRPr="00876908" w:rsidRDefault="00FA2558" w:rsidP="00876908">
      <w:pPr>
        <w:pStyle w:val="FootnoteText"/>
        <w:ind w:firstLine="720"/>
        <w:rPr>
          <w:rFonts w:ascii="Times New Roman" w:hAnsi="Times New Roman" w:cs="Times New Roman"/>
          <w:sz w:val="20"/>
        </w:rPr>
      </w:pPr>
      <w:r w:rsidRPr="00876908">
        <w:rPr>
          <w:rStyle w:val="FootnoteReference"/>
          <w:rFonts w:ascii="Times New Roman" w:hAnsi="Times New Roman" w:cs="Times New Roman"/>
          <w:sz w:val="20"/>
        </w:rPr>
        <w:footnoteRef/>
      </w:r>
      <w:r w:rsidRPr="00876908">
        <w:rPr>
          <w:rFonts w:ascii="Times New Roman" w:hAnsi="Times New Roman" w:cs="Times New Roman"/>
          <w:sz w:val="20"/>
        </w:rPr>
        <w:t xml:space="preserve"> </w:t>
      </w:r>
      <w:r w:rsidR="00876908" w:rsidRPr="00876908">
        <w:rPr>
          <w:rFonts w:ascii="Times New Roman" w:hAnsi="Times New Roman" w:cs="Times New Roman"/>
          <w:sz w:val="20"/>
        </w:rPr>
        <w:tab/>
      </w:r>
      <w:r w:rsidRPr="00876908">
        <w:rPr>
          <w:rFonts w:ascii="Times New Roman" w:hAnsi="Times New Roman" w:cs="Times New Roman"/>
          <w:sz w:val="20"/>
        </w:rPr>
        <w:t xml:space="preserve">The Office of Consumer Advocate and the Office of Small Business Advocate, intervenors in this proceeding, </w:t>
      </w:r>
      <w:r w:rsidR="00876908">
        <w:rPr>
          <w:rFonts w:ascii="Times New Roman" w:hAnsi="Times New Roman" w:cs="Times New Roman"/>
          <w:sz w:val="20"/>
        </w:rPr>
        <w:t xml:space="preserve">did not sign the Joint Settlement but </w:t>
      </w:r>
      <w:r w:rsidRPr="00876908">
        <w:rPr>
          <w:rFonts w:ascii="Times New Roman" w:hAnsi="Times New Roman" w:cs="Times New Roman"/>
          <w:sz w:val="20"/>
        </w:rPr>
        <w:t>have indicated they do not oppose the Settlement.</w:t>
      </w:r>
      <w:r w:rsidR="00876908">
        <w:rPr>
          <w:rFonts w:ascii="Times New Roman" w:hAnsi="Times New Roman" w:cs="Times New Roman"/>
          <w:sz w:val="20"/>
        </w:rPr>
        <w:t xml:space="preserve">  Those statements of non-opposition are included as Appendices D and E, respectively.</w:t>
      </w:r>
    </w:p>
  </w:footnote>
  <w:footnote w:id="2">
    <w:p w:rsidR="007927B9" w:rsidRPr="007076B9" w:rsidRDefault="007927B9" w:rsidP="007076B9">
      <w:pPr>
        <w:pStyle w:val="FootnoteText"/>
        <w:ind w:firstLine="720"/>
        <w:rPr>
          <w:rFonts w:ascii="Times New Roman" w:hAnsi="Times New Roman" w:cs="Times New Roman"/>
          <w:sz w:val="20"/>
        </w:rPr>
      </w:pPr>
      <w:r w:rsidRPr="007076B9">
        <w:rPr>
          <w:rStyle w:val="FootnoteReference"/>
          <w:rFonts w:ascii="Times New Roman" w:hAnsi="Times New Roman" w:cs="Times New Roman"/>
          <w:sz w:val="20"/>
        </w:rPr>
        <w:footnoteRef/>
      </w:r>
      <w:r w:rsidRPr="007076B9">
        <w:rPr>
          <w:rFonts w:ascii="Times New Roman" w:hAnsi="Times New Roman" w:cs="Times New Roman"/>
          <w:sz w:val="20"/>
        </w:rPr>
        <w:t xml:space="preserve"> </w:t>
      </w:r>
      <w:r w:rsidR="007076B9" w:rsidRPr="007076B9">
        <w:rPr>
          <w:rFonts w:ascii="Times New Roman" w:hAnsi="Times New Roman" w:cs="Times New Roman"/>
          <w:sz w:val="20"/>
        </w:rPr>
        <w:tab/>
      </w:r>
      <w:r w:rsidR="007076B9">
        <w:rPr>
          <w:rFonts w:ascii="Times New Roman" w:hAnsi="Times New Roman" w:cs="Times New Roman"/>
          <w:sz w:val="20"/>
        </w:rPr>
        <w:t xml:space="preserve">Letters of non-opposition from </w:t>
      </w:r>
      <w:r w:rsidRPr="007076B9">
        <w:rPr>
          <w:rFonts w:ascii="Times New Roman" w:hAnsi="Times New Roman" w:cs="Times New Roman"/>
          <w:sz w:val="20"/>
        </w:rPr>
        <w:t xml:space="preserve">OCA and OSBA are attached hereto as Appendices D and E respectively.  </w:t>
      </w:r>
    </w:p>
  </w:footnote>
  <w:footnote w:id="3">
    <w:p w:rsidR="00FB4FAA" w:rsidRDefault="00FB4FAA" w:rsidP="00FB4FAA">
      <w:pPr>
        <w:pStyle w:val="FootnoteText"/>
        <w:ind w:firstLine="720"/>
        <w:rPr>
          <w:rFonts w:ascii="Times New Roman" w:hAnsi="Times New Roman" w:cs="Times New Roman"/>
          <w:sz w:val="20"/>
          <w:szCs w:val="20"/>
        </w:rPr>
      </w:pPr>
      <w:r w:rsidRPr="00305C6B">
        <w:rPr>
          <w:rStyle w:val="FootnoteReference"/>
          <w:rFonts w:ascii="Times New Roman" w:hAnsi="Times New Roman" w:cs="Times New Roman"/>
          <w:sz w:val="20"/>
          <w:szCs w:val="20"/>
        </w:rPr>
        <w:footnoteRef/>
      </w:r>
      <w:r w:rsidRPr="00305C6B">
        <w:rPr>
          <w:rFonts w:ascii="Times New Roman" w:hAnsi="Times New Roman" w:cs="Times New Roman"/>
          <w:sz w:val="20"/>
          <w:szCs w:val="20"/>
        </w:rPr>
        <w:t xml:space="preserve"> </w:t>
      </w:r>
      <w:r>
        <w:tab/>
      </w:r>
      <w:r w:rsidRPr="00FB4FAA">
        <w:rPr>
          <w:rFonts w:ascii="Times New Roman" w:hAnsi="Times New Roman" w:cs="Times New Roman"/>
          <w:sz w:val="20"/>
          <w:szCs w:val="20"/>
        </w:rPr>
        <w:t xml:space="preserve">Whether a statute is mandatory or directory must be determined by considering legislative intent gleaned from review of the entire statute and from considering the nature and object of the statute and the consequences of the construction of it one way or the other.  </w:t>
      </w:r>
      <w:r w:rsidRPr="00FB4FAA">
        <w:rPr>
          <w:rFonts w:ascii="Times New Roman" w:hAnsi="Times New Roman" w:cs="Times New Roman"/>
          <w:sz w:val="20"/>
          <w:szCs w:val="20"/>
          <w:u w:val="single"/>
        </w:rPr>
        <w:t>Pennsylvania Railroad Comm. v. Bd of Revision of Taxes</w:t>
      </w:r>
      <w:r w:rsidRPr="00FB4FAA">
        <w:rPr>
          <w:rFonts w:ascii="Times New Roman" w:hAnsi="Times New Roman" w:cs="Times New Roman"/>
          <w:i/>
          <w:sz w:val="20"/>
          <w:szCs w:val="20"/>
        </w:rPr>
        <w:t xml:space="preserve">, </w:t>
      </w:r>
      <w:r w:rsidRPr="00FB4FAA">
        <w:rPr>
          <w:rFonts w:ascii="Times New Roman" w:hAnsi="Times New Roman" w:cs="Times New Roman"/>
          <w:sz w:val="20"/>
          <w:szCs w:val="20"/>
        </w:rPr>
        <w:t xml:space="preserve">372 Pa. 468, 92 A.2d 679 (1953).  If the thing directed to be done is the essence of the thing required, the statute is mandatory.  </w:t>
      </w:r>
      <w:r w:rsidRPr="00FB4FAA">
        <w:rPr>
          <w:rFonts w:ascii="Times New Roman" w:hAnsi="Times New Roman" w:cs="Times New Roman"/>
          <w:i/>
          <w:sz w:val="20"/>
          <w:szCs w:val="20"/>
        </w:rPr>
        <w:t xml:space="preserve">Id.  </w:t>
      </w:r>
      <w:r w:rsidRPr="00FB4FAA">
        <w:rPr>
          <w:rFonts w:ascii="Times New Roman" w:hAnsi="Times New Roman" w:cs="Times New Roman"/>
          <w:sz w:val="20"/>
          <w:szCs w:val="20"/>
        </w:rPr>
        <w:t xml:space="preserve">If, however, the statute merely directs that certain proceedings be done in a certain manner or at a certain time, it is directory.  </w:t>
      </w:r>
      <w:r w:rsidRPr="00FB4FAA">
        <w:rPr>
          <w:rFonts w:ascii="Times New Roman" w:hAnsi="Times New Roman" w:cs="Times New Roman"/>
          <w:sz w:val="20"/>
          <w:szCs w:val="20"/>
          <w:u w:val="single"/>
        </w:rPr>
        <w:t>Prichard v. Willistown Township School District</w:t>
      </w:r>
      <w:r w:rsidRPr="00FB4FAA">
        <w:rPr>
          <w:rFonts w:ascii="Times New Roman" w:hAnsi="Times New Roman" w:cs="Times New Roman"/>
          <w:i/>
          <w:sz w:val="20"/>
          <w:szCs w:val="20"/>
        </w:rPr>
        <w:t>,</w:t>
      </w:r>
      <w:r w:rsidRPr="00FB4FAA">
        <w:rPr>
          <w:rFonts w:ascii="Times New Roman" w:hAnsi="Times New Roman" w:cs="Times New Roman"/>
          <w:sz w:val="20"/>
          <w:szCs w:val="20"/>
        </w:rPr>
        <w:t xml:space="preserve"> 394 Pa. 489, 147 A.2d 380 (1959).  Failure to follow a mandatory statute renders the proceedings void, whereas failure to follow a directory statute does not.  </w:t>
      </w:r>
      <w:r w:rsidRPr="00FB4FAA">
        <w:rPr>
          <w:rFonts w:ascii="Times New Roman" w:hAnsi="Times New Roman" w:cs="Times New Roman"/>
          <w:sz w:val="20"/>
          <w:szCs w:val="20"/>
          <w:u w:val="single"/>
        </w:rPr>
        <w:t>American Labor Party Case</w:t>
      </w:r>
      <w:r w:rsidRPr="00FB4FAA">
        <w:rPr>
          <w:rFonts w:ascii="Times New Roman" w:hAnsi="Times New Roman" w:cs="Times New Roman"/>
          <w:sz w:val="20"/>
          <w:szCs w:val="20"/>
        </w:rPr>
        <w:t>, 352 Pa. 576, 44 A.2d 48 (1945).</w:t>
      </w:r>
      <w:r w:rsidR="00305C6B">
        <w:rPr>
          <w:rFonts w:ascii="Times New Roman" w:hAnsi="Times New Roman" w:cs="Times New Roman"/>
          <w:sz w:val="20"/>
          <w:szCs w:val="20"/>
        </w:rPr>
        <w:t xml:space="preserve">  </w:t>
      </w:r>
      <w:r w:rsidR="00305C6B" w:rsidRPr="00305C6B">
        <w:rPr>
          <w:rFonts w:ascii="Times New Roman" w:hAnsi="Times New Roman" w:cs="Times New Roman"/>
          <w:sz w:val="20"/>
          <w:szCs w:val="20"/>
        </w:rPr>
        <w:t xml:space="preserve">Statutes which seek to impose time limits on adjudicating tribunals are directory only.  </w:t>
      </w:r>
      <w:r w:rsidR="00305C6B" w:rsidRPr="00305C6B">
        <w:rPr>
          <w:rFonts w:ascii="Times New Roman" w:hAnsi="Times New Roman" w:cs="Times New Roman"/>
          <w:sz w:val="20"/>
          <w:szCs w:val="20"/>
          <w:u w:val="single"/>
        </w:rPr>
        <w:t>Baker v. Dept. of Public Welfare</w:t>
      </w:r>
      <w:r w:rsidR="00305C6B" w:rsidRPr="00305C6B">
        <w:rPr>
          <w:rFonts w:ascii="Times New Roman" w:hAnsi="Times New Roman" w:cs="Times New Roman"/>
          <w:sz w:val="20"/>
          <w:szCs w:val="20"/>
        </w:rPr>
        <w:t xml:space="preserve">, 588 A.2d 1337 (Pa. Commw. 1991);  </w:t>
      </w:r>
      <w:r w:rsidR="00305C6B" w:rsidRPr="00305C6B">
        <w:rPr>
          <w:rFonts w:ascii="Times New Roman" w:hAnsi="Times New Roman" w:cs="Times New Roman"/>
          <w:sz w:val="20"/>
          <w:szCs w:val="20"/>
          <w:u w:val="single"/>
        </w:rPr>
        <w:t>Public Service Water Comm., et al. v. Penna. Public Utility Commission</w:t>
      </w:r>
      <w:r w:rsidR="00305C6B" w:rsidRPr="00305C6B">
        <w:rPr>
          <w:rFonts w:ascii="Times New Roman" w:hAnsi="Times New Roman" w:cs="Times New Roman"/>
          <w:sz w:val="20"/>
          <w:szCs w:val="20"/>
        </w:rPr>
        <w:t>,</w:t>
      </w:r>
      <w:r w:rsidR="00305C6B" w:rsidRPr="00305C6B">
        <w:rPr>
          <w:rFonts w:ascii="Times New Roman" w:hAnsi="Times New Roman" w:cs="Times New Roman"/>
          <w:i/>
          <w:sz w:val="20"/>
          <w:szCs w:val="20"/>
        </w:rPr>
        <w:t xml:space="preserve"> </w:t>
      </w:r>
      <w:r w:rsidR="00305C6B" w:rsidRPr="00305C6B">
        <w:rPr>
          <w:rFonts w:ascii="Times New Roman" w:hAnsi="Times New Roman" w:cs="Times New Roman"/>
          <w:sz w:val="20"/>
          <w:szCs w:val="20"/>
        </w:rPr>
        <w:t xml:space="preserve">645 A.2d 423 (Pa. Commw. 1994); a statute which appears to fix a time in which the exercise of a purely judicial function must occur is directory, </w:t>
      </w:r>
      <w:r w:rsidR="00305C6B" w:rsidRPr="00305C6B">
        <w:rPr>
          <w:rFonts w:ascii="Times New Roman" w:hAnsi="Times New Roman" w:cs="Times New Roman"/>
          <w:sz w:val="20"/>
          <w:szCs w:val="20"/>
          <w:u w:val="single"/>
        </w:rPr>
        <w:t>Penna. State Police v. JEK Enterprises, Inc.</w:t>
      </w:r>
      <w:r w:rsidR="00305C6B" w:rsidRPr="00305C6B">
        <w:rPr>
          <w:rFonts w:ascii="Times New Roman" w:hAnsi="Times New Roman" w:cs="Times New Roman"/>
          <w:sz w:val="20"/>
          <w:szCs w:val="20"/>
        </w:rPr>
        <w:t>,</w:t>
      </w:r>
      <w:r w:rsidR="00305C6B" w:rsidRPr="00305C6B">
        <w:rPr>
          <w:rFonts w:ascii="Times New Roman" w:hAnsi="Times New Roman" w:cs="Times New Roman"/>
          <w:i/>
          <w:sz w:val="20"/>
          <w:szCs w:val="20"/>
        </w:rPr>
        <w:t xml:space="preserve"> </w:t>
      </w:r>
      <w:r w:rsidR="00305C6B" w:rsidRPr="00305C6B">
        <w:rPr>
          <w:rFonts w:ascii="Times New Roman" w:hAnsi="Times New Roman" w:cs="Times New Roman"/>
          <w:sz w:val="20"/>
          <w:szCs w:val="20"/>
        </w:rPr>
        <w:t>621 A.2d 1115 (Pa. Commw. 1993).</w:t>
      </w:r>
    </w:p>
    <w:p w:rsidR="00305C6B" w:rsidRDefault="00305C6B" w:rsidP="00FB4FAA">
      <w:pPr>
        <w:pStyle w:val="FootnoteText"/>
        <w:ind w:firstLine="720"/>
      </w:pPr>
    </w:p>
  </w:footnote>
  <w:footnote w:id="4">
    <w:p w:rsidR="00305C6B" w:rsidRPr="00305C6B" w:rsidRDefault="00305C6B" w:rsidP="00850705">
      <w:pPr>
        <w:ind w:firstLine="720"/>
        <w:rPr>
          <w:rFonts w:ascii="Times New Roman" w:hAnsi="Times New Roman" w:cs="Times New Roman"/>
          <w:sz w:val="20"/>
          <w:szCs w:val="20"/>
        </w:rPr>
      </w:pPr>
      <w:r w:rsidRPr="00305C6B">
        <w:rPr>
          <w:rStyle w:val="FootnoteReference"/>
          <w:rFonts w:ascii="Times New Roman" w:hAnsi="Times New Roman" w:cs="Times New Roman"/>
          <w:sz w:val="20"/>
          <w:szCs w:val="20"/>
        </w:rPr>
        <w:footnoteRef/>
      </w:r>
      <w:r w:rsidRPr="00305C6B">
        <w:rPr>
          <w:rFonts w:ascii="Times New Roman" w:hAnsi="Times New Roman" w:cs="Times New Roman"/>
          <w:sz w:val="20"/>
          <w:szCs w:val="20"/>
        </w:rPr>
        <w:t xml:space="preserve"> </w:t>
      </w:r>
      <w:r w:rsidRPr="00305C6B">
        <w:rPr>
          <w:rFonts w:ascii="Times New Roman" w:hAnsi="Times New Roman" w:cs="Times New Roman"/>
          <w:sz w:val="20"/>
          <w:szCs w:val="20"/>
        </w:rPr>
        <w:tab/>
      </w:r>
      <w:r w:rsidRPr="00305C6B">
        <w:rPr>
          <w:rFonts w:ascii="Times New Roman" w:hAnsi="Times New Roman" w:cs="Times New Roman"/>
          <w:sz w:val="20"/>
          <w:szCs w:val="20"/>
          <w:u w:val="single"/>
        </w:rPr>
        <w:t>Shapiro v. State Board of Accountancy</w:t>
      </w:r>
      <w:r w:rsidRPr="00305C6B">
        <w:rPr>
          <w:rFonts w:ascii="Times New Roman" w:hAnsi="Times New Roman" w:cs="Times New Roman"/>
          <w:sz w:val="20"/>
          <w:szCs w:val="20"/>
        </w:rPr>
        <w:t xml:space="preserve">, 856 A.2d 864 (Pa. Commw. 2004), quoting </w:t>
      </w:r>
      <w:r w:rsidRPr="00305C6B">
        <w:rPr>
          <w:rFonts w:ascii="Times New Roman" w:hAnsi="Times New Roman" w:cs="Times New Roman"/>
          <w:sz w:val="20"/>
          <w:szCs w:val="20"/>
          <w:u w:val="single"/>
        </w:rPr>
        <w:t xml:space="preserve">Schultze v. Bureau of Prf’l and </w:t>
      </w:r>
      <w:r w:rsidRPr="002A7F2E">
        <w:rPr>
          <w:rFonts w:ascii="Times New Roman" w:hAnsi="Times New Roman" w:cs="Times New Roman"/>
          <w:sz w:val="20"/>
          <w:szCs w:val="20"/>
          <w:u w:val="single"/>
        </w:rPr>
        <w:t>Occupational Affairs</w:t>
      </w:r>
      <w:r w:rsidRPr="00305C6B">
        <w:rPr>
          <w:rFonts w:ascii="Times New Roman" w:hAnsi="Times New Roman" w:cs="Times New Roman"/>
          <w:i/>
          <w:sz w:val="20"/>
          <w:szCs w:val="20"/>
        </w:rPr>
        <w:t xml:space="preserve">, </w:t>
      </w:r>
      <w:r w:rsidRPr="00305C6B">
        <w:rPr>
          <w:rFonts w:ascii="Times New Roman" w:hAnsi="Times New Roman" w:cs="Times New Roman"/>
          <w:sz w:val="20"/>
          <w:szCs w:val="20"/>
        </w:rPr>
        <w:t>794 A.2d 984 (Pa. Commw</w:t>
      </w:r>
      <w:r>
        <w:rPr>
          <w:rFonts w:ascii="Times New Roman" w:hAnsi="Times New Roman" w:cs="Times New Roman"/>
          <w:sz w:val="20"/>
          <w:szCs w:val="20"/>
        </w:rPr>
        <w:t xml:space="preserve">. 2002).  See also </w:t>
      </w:r>
      <w:r w:rsidRPr="00305C6B">
        <w:rPr>
          <w:rFonts w:ascii="Times New Roman" w:hAnsi="Times New Roman" w:cs="Times New Roman"/>
          <w:sz w:val="20"/>
          <w:szCs w:val="20"/>
          <w:u w:val="single"/>
        </w:rPr>
        <w:t>West Penn Power Co. v. Penna. Public Utility Commission</w:t>
      </w:r>
      <w:r w:rsidRPr="00305C6B">
        <w:rPr>
          <w:rFonts w:ascii="Times New Roman" w:hAnsi="Times New Roman" w:cs="Times New Roman"/>
          <w:sz w:val="20"/>
          <w:szCs w:val="20"/>
        </w:rPr>
        <w:t>, 521 A.2d 75 (Pa. Cmwlth. Ct. 1985)</w:t>
      </w:r>
      <w:r w:rsidRPr="00305C6B">
        <w:rPr>
          <w:rFonts w:ascii="Times New Roman" w:hAnsi="Times New Roman" w:cs="Times New Roman"/>
          <w:i/>
          <w:sz w:val="20"/>
          <w:szCs w:val="20"/>
        </w:rPr>
        <w:t>(</w:t>
      </w:r>
      <w:r w:rsidRPr="00305C6B">
        <w:rPr>
          <w:rFonts w:ascii="Times New Roman" w:hAnsi="Times New Roman" w:cs="Times New Roman"/>
          <w:sz w:val="20"/>
          <w:szCs w:val="20"/>
        </w:rPr>
        <w:t>evaluating a challenge to subject matter jurisdiction to enter an order more than 90 days after the record had been closed when the statute required action within 90 days).</w:t>
      </w:r>
    </w:p>
  </w:footnote>
  <w:footnote w:id="5">
    <w:p w:rsidR="000F286C" w:rsidRPr="00B72255" w:rsidRDefault="000F286C" w:rsidP="00B72255">
      <w:pPr>
        <w:pStyle w:val="FootnoteText"/>
        <w:ind w:firstLine="720"/>
        <w:jc w:val="both"/>
        <w:rPr>
          <w:rFonts w:ascii="Times New Roman" w:hAnsi="Times New Roman" w:cs="Times New Roman"/>
          <w:sz w:val="20"/>
        </w:rPr>
      </w:pPr>
      <w:r w:rsidRPr="00B72255">
        <w:rPr>
          <w:rStyle w:val="FootnoteReference"/>
          <w:rFonts w:ascii="Times New Roman" w:hAnsi="Times New Roman" w:cs="Times New Roman"/>
          <w:sz w:val="20"/>
        </w:rPr>
        <w:footnoteRef/>
      </w:r>
      <w:r w:rsidRPr="00B72255">
        <w:rPr>
          <w:rFonts w:ascii="Times New Roman" w:hAnsi="Times New Roman" w:cs="Times New Roman"/>
          <w:sz w:val="20"/>
        </w:rPr>
        <w:t xml:space="preserve"> </w:t>
      </w:r>
      <w:r w:rsidR="00B72255" w:rsidRPr="00B72255">
        <w:rPr>
          <w:rFonts w:ascii="Times New Roman" w:hAnsi="Times New Roman" w:cs="Times New Roman"/>
          <w:sz w:val="20"/>
        </w:rPr>
        <w:tab/>
      </w:r>
      <w:r w:rsidRPr="00B72255">
        <w:rPr>
          <w:rFonts w:ascii="Times New Roman" w:hAnsi="Times New Roman" w:cs="Times New Roman"/>
          <w:sz w:val="20"/>
        </w:rPr>
        <w:t xml:space="preserve">The Commission’s AEPS regulations currently do have a deadline for the registering of AECs.  As noted above, Duquesne Light acknowledges that it did not register its AECs with the PJM GATS until August 29, 2009.  Therefore, had the Company received a timely initial assessment from CPM, it would have been found to be non-compliant. </w:t>
      </w:r>
    </w:p>
  </w:footnote>
  <w:footnote w:id="6">
    <w:p w:rsidR="001421F1" w:rsidRPr="001421F1" w:rsidRDefault="001421F1" w:rsidP="001421F1">
      <w:pPr>
        <w:pStyle w:val="FootnoteText"/>
        <w:ind w:firstLine="720"/>
        <w:rPr>
          <w:rFonts w:ascii="Times New Roman" w:hAnsi="Times New Roman" w:cs="Times New Roman"/>
          <w:sz w:val="20"/>
          <w:szCs w:val="20"/>
        </w:rPr>
      </w:pPr>
      <w:r w:rsidRPr="001421F1">
        <w:rPr>
          <w:rStyle w:val="FootnoteReference"/>
          <w:rFonts w:ascii="Times New Roman" w:hAnsi="Times New Roman" w:cs="Times New Roman"/>
          <w:sz w:val="20"/>
          <w:szCs w:val="20"/>
        </w:rPr>
        <w:footnoteRef/>
      </w:r>
      <w:r w:rsidRPr="001421F1">
        <w:rPr>
          <w:rFonts w:ascii="Times New Roman" w:hAnsi="Times New Roman" w:cs="Times New Roman"/>
          <w:sz w:val="20"/>
          <w:szCs w:val="20"/>
        </w:rPr>
        <w:t xml:space="preserve"> </w:t>
      </w:r>
      <w:r w:rsidRPr="001421F1">
        <w:rPr>
          <w:rFonts w:ascii="Times New Roman" w:hAnsi="Times New Roman" w:cs="Times New Roman"/>
          <w:sz w:val="20"/>
          <w:szCs w:val="20"/>
        </w:rPr>
        <w:tab/>
      </w:r>
      <w:r w:rsidR="00BD0BB9">
        <w:rPr>
          <w:rFonts w:ascii="Times New Roman" w:hAnsi="Times New Roman" w:cs="Times New Roman"/>
          <w:sz w:val="20"/>
          <w:szCs w:val="20"/>
        </w:rPr>
        <w:t>T</w:t>
      </w:r>
      <w:r>
        <w:rPr>
          <w:rFonts w:ascii="Times New Roman" w:hAnsi="Times New Roman" w:cs="Times New Roman"/>
          <w:sz w:val="20"/>
          <w:szCs w:val="20"/>
        </w:rPr>
        <w:t xml:space="preserve">he AEPS administrator found Duquesne Light was compliant on October 2, 2009 but later rescinded its finding on December 23, 2009.  Duquesne Light filed this petition under force majeure on January 19, 2010.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1A34"/>
    <w:multiLevelType w:val="hybridMultilevel"/>
    <w:tmpl w:val="C3FC1098"/>
    <w:lvl w:ilvl="0" w:tplc="04090019">
      <w:start w:val="1"/>
      <w:numFmt w:val="lowerLetter"/>
      <w:lvlText w:val="%1."/>
      <w:lvlJc w:val="left"/>
      <w:pPr>
        <w:tabs>
          <w:tab w:val="num" w:pos="1800"/>
        </w:tabs>
        <w:ind w:left="1800" w:hanging="360"/>
      </w:pPr>
    </w:lvl>
    <w:lvl w:ilvl="1" w:tplc="04090011">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56B14C4"/>
    <w:multiLevelType w:val="singleLevel"/>
    <w:tmpl w:val="7ECCCA58"/>
    <w:name w:val=" Numbered List"/>
    <w:lvl w:ilvl="0">
      <w:start w:val="1"/>
      <w:numFmt w:val="decimal"/>
      <w:pStyle w:val="ListNumber"/>
      <w:lvlText w:val="%1."/>
      <w:lvlJc w:val="left"/>
      <w:pPr>
        <w:tabs>
          <w:tab w:val="num" w:pos="1440"/>
        </w:tabs>
        <w:ind w:left="0" w:firstLine="720"/>
      </w:pPr>
    </w:lvl>
  </w:abstractNum>
  <w:abstractNum w:abstractNumId="2">
    <w:nsid w:val="189A01F1"/>
    <w:multiLevelType w:val="hybridMultilevel"/>
    <w:tmpl w:val="3D183348"/>
    <w:lvl w:ilvl="0" w:tplc="053A01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234A41"/>
    <w:multiLevelType w:val="hybridMultilevel"/>
    <w:tmpl w:val="0CA8E178"/>
    <w:lvl w:ilvl="0" w:tplc="9D3EDD7A">
      <w:start w:val="14"/>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8072EA"/>
    <w:multiLevelType w:val="hybridMultilevel"/>
    <w:tmpl w:val="6FC2FCE8"/>
    <w:lvl w:ilvl="0" w:tplc="7346D9DC">
      <w:start w:val="1"/>
      <w:numFmt w:val="decimal"/>
      <w:lvlText w:val="%1."/>
      <w:lvlJc w:val="left"/>
      <w:pPr>
        <w:tabs>
          <w:tab w:val="num" w:pos="1440"/>
        </w:tabs>
        <w:ind w:firstLine="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ACC1522"/>
    <w:multiLevelType w:val="hybridMultilevel"/>
    <w:tmpl w:val="4D0AD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6B629B"/>
    <w:multiLevelType w:val="multilevel"/>
    <w:tmpl w:val="B204BDD2"/>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1440"/>
        </w:tabs>
        <w:ind w:left="7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pStyle w:val="Pleading2L3"/>
      <w:lvlText w:val="%3."/>
      <w:lvlJc w:val="left"/>
      <w:pPr>
        <w:tabs>
          <w:tab w:val="num" w:pos="2160"/>
        </w:tabs>
        <w:ind w:left="14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866"/>
  </w:hdrShapeDefaults>
  <w:footnotePr>
    <w:footnote w:id="-1"/>
    <w:footnote w:id="0"/>
  </w:footnotePr>
  <w:endnotePr>
    <w:endnote w:id="-1"/>
    <w:endnote w:id="0"/>
    <w:endnote w:id="1"/>
  </w:endnotePr>
  <w:compat/>
  <w:rsids>
    <w:rsidRoot w:val="0047049C"/>
    <w:rsid w:val="00004E84"/>
    <w:rsid w:val="00005D4B"/>
    <w:rsid w:val="00015129"/>
    <w:rsid w:val="000175CD"/>
    <w:rsid w:val="00021C29"/>
    <w:rsid w:val="000328F1"/>
    <w:rsid w:val="00032D69"/>
    <w:rsid w:val="00033D5D"/>
    <w:rsid w:val="00046CDC"/>
    <w:rsid w:val="000629A8"/>
    <w:rsid w:val="00071CF7"/>
    <w:rsid w:val="000720CC"/>
    <w:rsid w:val="000722FA"/>
    <w:rsid w:val="000763E7"/>
    <w:rsid w:val="00083703"/>
    <w:rsid w:val="000859CA"/>
    <w:rsid w:val="00087FD6"/>
    <w:rsid w:val="000A174B"/>
    <w:rsid w:val="000B050E"/>
    <w:rsid w:val="000B561D"/>
    <w:rsid w:val="000B6A81"/>
    <w:rsid w:val="000B7130"/>
    <w:rsid w:val="000C2240"/>
    <w:rsid w:val="000D0E3F"/>
    <w:rsid w:val="000D4B8F"/>
    <w:rsid w:val="000F23A8"/>
    <w:rsid w:val="000F286C"/>
    <w:rsid w:val="000F513F"/>
    <w:rsid w:val="00103E5A"/>
    <w:rsid w:val="00113F02"/>
    <w:rsid w:val="00120972"/>
    <w:rsid w:val="001213E2"/>
    <w:rsid w:val="00125800"/>
    <w:rsid w:val="0013248F"/>
    <w:rsid w:val="001421F1"/>
    <w:rsid w:val="0014256F"/>
    <w:rsid w:val="00145676"/>
    <w:rsid w:val="00150AAA"/>
    <w:rsid w:val="00161E34"/>
    <w:rsid w:val="0016243E"/>
    <w:rsid w:val="001727CC"/>
    <w:rsid w:val="00172E5B"/>
    <w:rsid w:val="00173EBB"/>
    <w:rsid w:val="00176992"/>
    <w:rsid w:val="001804E7"/>
    <w:rsid w:val="001823D6"/>
    <w:rsid w:val="001828F6"/>
    <w:rsid w:val="00185371"/>
    <w:rsid w:val="00191F5B"/>
    <w:rsid w:val="00197F80"/>
    <w:rsid w:val="001B3C7B"/>
    <w:rsid w:val="001B62BB"/>
    <w:rsid w:val="001C10FE"/>
    <w:rsid w:val="001D524B"/>
    <w:rsid w:val="001E2260"/>
    <w:rsid w:val="001E298E"/>
    <w:rsid w:val="001F4358"/>
    <w:rsid w:val="00205D32"/>
    <w:rsid w:val="0020738B"/>
    <w:rsid w:val="00215A0E"/>
    <w:rsid w:val="00222118"/>
    <w:rsid w:val="002347FE"/>
    <w:rsid w:val="002355B9"/>
    <w:rsid w:val="002434CF"/>
    <w:rsid w:val="00251E8E"/>
    <w:rsid w:val="00252AEB"/>
    <w:rsid w:val="002638AC"/>
    <w:rsid w:val="00263B71"/>
    <w:rsid w:val="00263C42"/>
    <w:rsid w:val="00267D6F"/>
    <w:rsid w:val="00272CB2"/>
    <w:rsid w:val="00276F96"/>
    <w:rsid w:val="00286327"/>
    <w:rsid w:val="0028764F"/>
    <w:rsid w:val="002A0A37"/>
    <w:rsid w:val="002A7F2E"/>
    <w:rsid w:val="002B3DF4"/>
    <w:rsid w:val="002C17E2"/>
    <w:rsid w:val="002C1833"/>
    <w:rsid w:val="002D24B5"/>
    <w:rsid w:val="002E5389"/>
    <w:rsid w:val="0030450A"/>
    <w:rsid w:val="00305C6B"/>
    <w:rsid w:val="00306F1E"/>
    <w:rsid w:val="00330106"/>
    <w:rsid w:val="00340625"/>
    <w:rsid w:val="003427B5"/>
    <w:rsid w:val="00342EF7"/>
    <w:rsid w:val="00344763"/>
    <w:rsid w:val="00345BB1"/>
    <w:rsid w:val="00346A62"/>
    <w:rsid w:val="003573F9"/>
    <w:rsid w:val="00361EA2"/>
    <w:rsid w:val="00377647"/>
    <w:rsid w:val="00384DAA"/>
    <w:rsid w:val="00384DD4"/>
    <w:rsid w:val="00394DA6"/>
    <w:rsid w:val="0039545F"/>
    <w:rsid w:val="003A2F2E"/>
    <w:rsid w:val="003A5528"/>
    <w:rsid w:val="003A74A5"/>
    <w:rsid w:val="003B1BF1"/>
    <w:rsid w:val="003B4ADC"/>
    <w:rsid w:val="003B560F"/>
    <w:rsid w:val="003C169C"/>
    <w:rsid w:val="003C6751"/>
    <w:rsid w:val="003D071F"/>
    <w:rsid w:val="003D21DB"/>
    <w:rsid w:val="003D6744"/>
    <w:rsid w:val="003E43AE"/>
    <w:rsid w:val="003E5170"/>
    <w:rsid w:val="003E5D2E"/>
    <w:rsid w:val="0041683B"/>
    <w:rsid w:val="004168E5"/>
    <w:rsid w:val="0042103C"/>
    <w:rsid w:val="004229A9"/>
    <w:rsid w:val="004263E8"/>
    <w:rsid w:val="00434F7B"/>
    <w:rsid w:val="004364E5"/>
    <w:rsid w:val="00441D69"/>
    <w:rsid w:val="004444ED"/>
    <w:rsid w:val="00445594"/>
    <w:rsid w:val="00450883"/>
    <w:rsid w:val="00453F90"/>
    <w:rsid w:val="00454AD0"/>
    <w:rsid w:val="00456F34"/>
    <w:rsid w:val="00457478"/>
    <w:rsid w:val="00462EB2"/>
    <w:rsid w:val="0047049C"/>
    <w:rsid w:val="0047288D"/>
    <w:rsid w:val="0047434E"/>
    <w:rsid w:val="00476024"/>
    <w:rsid w:val="00482E0A"/>
    <w:rsid w:val="00484EEB"/>
    <w:rsid w:val="0048782D"/>
    <w:rsid w:val="00493C09"/>
    <w:rsid w:val="00495831"/>
    <w:rsid w:val="004B340C"/>
    <w:rsid w:val="004C1464"/>
    <w:rsid w:val="004C447D"/>
    <w:rsid w:val="004D389C"/>
    <w:rsid w:val="004D7B4A"/>
    <w:rsid w:val="004E60D0"/>
    <w:rsid w:val="004F5D23"/>
    <w:rsid w:val="004F685C"/>
    <w:rsid w:val="00503CDB"/>
    <w:rsid w:val="0052420D"/>
    <w:rsid w:val="005255CB"/>
    <w:rsid w:val="00531E91"/>
    <w:rsid w:val="00542274"/>
    <w:rsid w:val="00552BEB"/>
    <w:rsid w:val="005601DE"/>
    <w:rsid w:val="00564A1D"/>
    <w:rsid w:val="00564FAC"/>
    <w:rsid w:val="005653B6"/>
    <w:rsid w:val="005654DA"/>
    <w:rsid w:val="0057030A"/>
    <w:rsid w:val="00575634"/>
    <w:rsid w:val="00585BC0"/>
    <w:rsid w:val="00590A25"/>
    <w:rsid w:val="00593D42"/>
    <w:rsid w:val="005A1DDF"/>
    <w:rsid w:val="005A38D7"/>
    <w:rsid w:val="005B1F9A"/>
    <w:rsid w:val="005B3024"/>
    <w:rsid w:val="005C0AB7"/>
    <w:rsid w:val="005C365E"/>
    <w:rsid w:val="005D5541"/>
    <w:rsid w:val="005D5EF4"/>
    <w:rsid w:val="005E2E9B"/>
    <w:rsid w:val="005E3E9B"/>
    <w:rsid w:val="005E41F5"/>
    <w:rsid w:val="005E5CBF"/>
    <w:rsid w:val="005F611A"/>
    <w:rsid w:val="005F7584"/>
    <w:rsid w:val="00602BDB"/>
    <w:rsid w:val="006129C1"/>
    <w:rsid w:val="006247A0"/>
    <w:rsid w:val="00634433"/>
    <w:rsid w:val="006355B9"/>
    <w:rsid w:val="00640503"/>
    <w:rsid w:val="00651851"/>
    <w:rsid w:val="00665102"/>
    <w:rsid w:val="006701BB"/>
    <w:rsid w:val="006725E3"/>
    <w:rsid w:val="00684632"/>
    <w:rsid w:val="0068499E"/>
    <w:rsid w:val="00685FD3"/>
    <w:rsid w:val="0069330F"/>
    <w:rsid w:val="006A50B1"/>
    <w:rsid w:val="006B08D6"/>
    <w:rsid w:val="006B3098"/>
    <w:rsid w:val="006B36F0"/>
    <w:rsid w:val="006C1C70"/>
    <w:rsid w:val="006C2797"/>
    <w:rsid w:val="006C3041"/>
    <w:rsid w:val="006D5D99"/>
    <w:rsid w:val="006E66A5"/>
    <w:rsid w:val="006E6A83"/>
    <w:rsid w:val="006F0456"/>
    <w:rsid w:val="006F42FD"/>
    <w:rsid w:val="0070184F"/>
    <w:rsid w:val="007076B9"/>
    <w:rsid w:val="007100A5"/>
    <w:rsid w:val="007148E9"/>
    <w:rsid w:val="00715EC2"/>
    <w:rsid w:val="00721AD3"/>
    <w:rsid w:val="00726090"/>
    <w:rsid w:val="00731859"/>
    <w:rsid w:val="0073423C"/>
    <w:rsid w:val="00743F4E"/>
    <w:rsid w:val="007464CD"/>
    <w:rsid w:val="00746590"/>
    <w:rsid w:val="007467DE"/>
    <w:rsid w:val="007560D4"/>
    <w:rsid w:val="00764C09"/>
    <w:rsid w:val="00774898"/>
    <w:rsid w:val="007823B2"/>
    <w:rsid w:val="00783E1E"/>
    <w:rsid w:val="007907CC"/>
    <w:rsid w:val="007927B9"/>
    <w:rsid w:val="007B55A4"/>
    <w:rsid w:val="007B661F"/>
    <w:rsid w:val="007C7CDE"/>
    <w:rsid w:val="007C7E24"/>
    <w:rsid w:val="007D36D9"/>
    <w:rsid w:val="007E1E60"/>
    <w:rsid w:val="007E60EB"/>
    <w:rsid w:val="007F1CF5"/>
    <w:rsid w:val="00801737"/>
    <w:rsid w:val="00802E1F"/>
    <w:rsid w:val="00810F3C"/>
    <w:rsid w:val="00812095"/>
    <w:rsid w:val="00812CE3"/>
    <w:rsid w:val="00815672"/>
    <w:rsid w:val="00822361"/>
    <w:rsid w:val="00825B77"/>
    <w:rsid w:val="00826B73"/>
    <w:rsid w:val="00832320"/>
    <w:rsid w:val="008337B2"/>
    <w:rsid w:val="00842689"/>
    <w:rsid w:val="0084431C"/>
    <w:rsid w:val="00850705"/>
    <w:rsid w:val="00850ABF"/>
    <w:rsid w:val="0085569A"/>
    <w:rsid w:val="00855ECC"/>
    <w:rsid w:val="0086013D"/>
    <w:rsid w:val="00863AE8"/>
    <w:rsid w:val="00863FBE"/>
    <w:rsid w:val="008742C3"/>
    <w:rsid w:val="00874C65"/>
    <w:rsid w:val="00876908"/>
    <w:rsid w:val="008833A5"/>
    <w:rsid w:val="00891777"/>
    <w:rsid w:val="00892244"/>
    <w:rsid w:val="00895D36"/>
    <w:rsid w:val="008A3DE4"/>
    <w:rsid w:val="008A7288"/>
    <w:rsid w:val="008A79EB"/>
    <w:rsid w:val="008B6D6D"/>
    <w:rsid w:val="008D1237"/>
    <w:rsid w:val="008D5084"/>
    <w:rsid w:val="008D7AB5"/>
    <w:rsid w:val="008E15E8"/>
    <w:rsid w:val="008E3D6D"/>
    <w:rsid w:val="008E3ED4"/>
    <w:rsid w:val="008F2582"/>
    <w:rsid w:val="008F33D4"/>
    <w:rsid w:val="0090757F"/>
    <w:rsid w:val="00914205"/>
    <w:rsid w:val="0092099F"/>
    <w:rsid w:val="009401B7"/>
    <w:rsid w:val="00951712"/>
    <w:rsid w:val="00951AC4"/>
    <w:rsid w:val="009579A4"/>
    <w:rsid w:val="00970EE8"/>
    <w:rsid w:val="00974D05"/>
    <w:rsid w:val="00976B9A"/>
    <w:rsid w:val="00977F93"/>
    <w:rsid w:val="00991AF4"/>
    <w:rsid w:val="009B40DC"/>
    <w:rsid w:val="009C05B5"/>
    <w:rsid w:val="009C2C43"/>
    <w:rsid w:val="009C5D5F"/>
    <w:rsid w:val="009C601C"/>
    <w:rsid w:val="009F2C4C"/>
    <w:rsid w:val="009F2D04"/>
    <w:rsid w:val="009F7C71"/>
    <w:rsid w:val="00A01FEE"/>
    <w:rsid w:val="00A076DA"/>
    <w:rsid w:val="00A101DD"/>
    <w:rsid w:val="00A12DAE"/>
    <w:rsid w:val="00A138B5"/>
    <w:rsid w:val="00A14E98"/>
    <w:rsid w:val="00A170FA"/>
    <w:rsid w:val="00A2482D"/>
    <w:rsid w:val="00A26F6C"/>
    <w:rsid w:val="00A3082B"/>
    <w:rsid w:val="00A43F7A"/>
    <w:rsid w:val="00A47797"/>
    <w:rsid w:val="00A4796D"/>
    <w:rsid w:val="00A54FD2"/>
    <w:rsid w:val="00A6145B"/>
    <w:rsid w:val="00A63A7B"/>
    <w:rsid w:val="00A71CCE"/>
    <w:rsid w:val="00A733E3"/>
    <w:rsid w:val="00A87598"/>
    <w:rsid w:val="00A93D4B"/>
    <w:rsid w:val="00AA515B"/>
    <w:rsid w:val="00AB25BE"/>
    <w:rsid w:val="00AB6294"/>
    <w:rsid w:val="00AB6787"/>
    <w:rsid w:val="00AB7656"/>
    <w:rsid w:val="00AC3B94"/>
    <w:rsid w:val="00AD0B51"/>
    <w:rsid w:val="00AD1385"/>
    <w:rsid w:val="00AD2A0A"/>
    <w:rsid w:val="00AD3512"/>
    <w:rsid w:val="00AE0F57"/>
    <w:rsid w:val="00AE26A0"/>
    <w:rsid w:val="00AE51AF"/>
    <w:rsid w:val="00AF1E5C"/>
    <w:rsid w:val="00B052DD"/>
    <w:rsid w:val="00B1523F"/>
    <w:rsid w:val="00B16806"/>
    <w:rsid w:val="00B217B8"/>
    <w:rsid w:val="00B22FE3"/>
    <w:rsid w:val="00B2570A"/>
    <w:rsid w:val="00B313B2"/>
    <w:rsid w:val="00B35FBE"/>
    <w:rsid w:val="00B36C8D"/>
    <w:rsid w:val="00B428C0"/>
    <w:rsid w:val="00B440FF"/>
    <w:rsid w:val="00B45D83"/>
    <w:rsid w:val="00B51240"/>
    <w:rsid w:val="00B54293"/>
    <w:rsid w:val="00B60460"/>
    <w:rsid w:val="00B72255"/>
    <w:rsid w:val="00B77521"/>
    <w:rsid w:val="00B850FC"/>
    <w:rsid w:val="00B91DBB"/>
    <w:rsid w:val="00B9494C"/>
    <w:rsid w:val="00B95888"/>
    <w:rsid w:val="00BA145A"/>
    <w:rsid w:val="00BA564E"/>
    <w:rsid w:val="00BA675C"/>
    <w:rsid w:val="00BA7BC9"/>
    <w:rsid w:val="00BB0E66"/>
    <w:rsid w:val="00BC0D1B"/>
    <w:rsid w:val="00BD0BB9"/>
    <w:rsid w:val="00BD0DB0"/>
    <w:rsid w:val="00BE2C3C"/>
    <w:rsid w:val="00BE2D04"/>
    <w:rsid w:val="00BF0BD8"/>
    <w:rsid w:val="00BF5B84"/>
    <w:rsid w:val="00C01D0C"/>
    <w:rsid w:val="00C103F3"/>
    <w:rsid w:val="00C27265"/>
    <w:rsid w:val="00C443B6"/>
    <w:rsid w:val="00C5378C"/>
    <w:rsid w:val="00C55776"/>
    <w:rsid w:val="00C84362"/>
    <w:rsid w:val="00C85E8F"/>
    <w:rsid w:val="00C87E30"/>
    <w:rsid w:val="00C87FDA"/>
    <w:rsid w:val="00C93AF9"/>
    <w:rsid w:val="00C94CA4"/>
    <w:rsid w:val="00C959DA"/>
    <w:rsid w:val="00C9652E"/>
    <w:rsid w:val="00CB6EF8"/>
    <w:rsid w:val="00CC60E9"/>
    <w:rsid w:val="00CC7BBE"/>
    <w:rsid w:val="00CD0973"/>
    <w:rsid w:val="00CD7828"/>
    <w:rsid w:val="00CE738B"/>
    <w:rsid w:val="00D06D74"/>
    <w:rsid w:val="00D13C37"/>
    <w:rsid w:val="00D16088"/>
    <w:rsid w:val="00D31EF9"/>
    <w:rsid w:val="00D33361"/>
    <w:rsid w:val="00D43D6D"/>
    <w:rsid w:val="00D43FE9"/>
    <w:rsid w:val="00D44101"/>
    <w:rsid w:val="00D47CFE"/>
    <w:rsid w:val="00D51E72"/>
    <w:rsid w:val="00D61172"/>
    <w:rsid w:val="00D65EBE"/>
    <w:rsid w:val="00D7440F"/>
    <w:rsid w:val="00D825D1"/>
    <w:rsid w:val="00D834A0"/>
    <w:rsid w:val="00D86904"/>
    <w:rsid w:val="00D90232"/>
    <w:rsid w:val="00D92F48"/>
    <w:rsid w:val="00D9439D"/>
    <w:rsid w:val="00DA027E"/>
    <w:rsid w:val="00DA35C8"/>
    <w:rsid w:val="00DA7AC2"/>
    <w:rsid w:val="00DB779A"/>
    <w:rsid w:val="00DB7B1F"/>
    <w:rsid w:val="00DC3DFE"/>
    <w:rsid w:val="00DD087C"/>
    <w:rsid w:val="00DD6F9A"/>
    <w:rsid w:val="00DF3451"/>
    <w:rsid w:val="00E003F5"/>
    <w:rsid w:val="00E058B7"/>
    <w:rsid w:val="00E058DE"/>
    <w:rsid w:val="00E25E6B"/>
    <w:rsid w:val="00E25E85"/>
    <w:rsid w:val="00E367F7"/>
    <w:rsid w:val="00E45C48"/>
    <w:rsid w:val="00E75EBE"/>
    <w:rsid w:val="00E97274"/>
    <w:rsid w:val="00EA1031"/>
    <w:rsid w:val="00EB0F45"/>
    <w:rsid w:val="00EB4CEE"/>
    <w:rsid w:val="00EC1AF3"/>
    <w:rsid w:val="00EC55F8"/>
    <w:rsid w:val="00EC5EDB"/>
    <w:rsid w:val="00ED13A8"/>
    <w:rsid w:val="00ED1AD2"/>
    <w:rsid w:val="00ED2C9D"/>
    <w:rsid w:val="00EF32E2"/>
    <w:rsid w:val="00EF7381"/>
    <w:rsid w:val="00F017E5"/>
    <w:rsid w:val="00F04700"/>
    <w:rsid w:val="00F1434B"/>
    <w:rsid w:val="00F15909"/>
    <w:rsid w:val="00F176D8"/>
    <w:rsid w:val="00F330F9"/>
    <w:rsid w:val="00F3511C"/>
    <w:rsid w:val="00F428EE"/>
    <w:rsid w:val="00F55CBF"/>
    <w:rsid w:val="00F571E7"/>
    <w:rsid w:val="00F65B42"/>
    <w:rsid w:val="00F70A13"/>
    <w:rsid w:val="00F729FA"/>
    <w:rsid w:val="00F748F2"/>
    <w:rsid w:val="00F80A0C"/>
    <w:rsid w:val="00F87764"/>
    <w:rsid w:val="00F93B00"/>
    <w:rsid w:val="00F95C7F"/>
    <w:rsid w:val="00FA0A12"/>
    <w:rsid w:val="00FA2558"/>
    <w:rsid w:val="00FA5B09"/>
    <w:rsid w:val="00FB4FAA"/>
    <w:rsid w:val="00FB60AB"/>
    <w:rsid w:val="00FC20AF"/>
    <w:rsid w:val="00FD161B"/>
    <w:rsid w:val="00FD1A72"/>
    <w:rsid w:val="00FD445B"/>
    <w:rsid w:val="00FE047D"/>
    <w:rsid w:val="00FE0F55"/>
    <w:rsid w:val="00FF0086"/>
    <w:rsid w:val="00FF1941"/>
    <w:rsid w:val="00FF22BB"/>
    <w:rsid w:val="00FF6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560F"/>
    <w:pPr>
      <w:autoSpaceDE w:val="0"/>
      <w:autoSpaceDN w:val="0"/>
    </w:pPr>
    <w:rPr>
      <w:rFonts w:ascii="Courier New" w:hAnsi="Courier New" w:cs="Courier New"/>
      <w:sz w:val="24"/>
      <w:szCs w:val="24"/>
    </w:rPr>
  </w:style>
  <w:style w:type="paragraph" w:styleId="Heading1">
    <w:name w:val="heading 1"/>
    <w:basedOn w:val="Normal"/>
    <w:next w:val="Normal"/>
    <w:link w:val="Heading1Char"/>
    <w:qFormat/>
    <w:rsid w:val="007927B9"/>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qFormat/>
    <w:rsid w:val="00046CDC"/>
    <w:pPr>
      <w:keepNext/>
      <w:tabs>
        <w:tab w:val="left" w:pos="-720"/>
      </w:tabs>
      <w:suppressAutoHyphens/>
      <w:autoSpaceDE/>
      <w:autoSpaceDN/>
      <w:spacing w:line="480" w:lineRule="auto"/>
      <w:ind w:left="720"/>
      <w:jc w:val="center"/>
      <w:outlineLvl w:val="1"/>
    </w:pPr>
    <w:rPr>
      <w:rFonts w:ascii="Times New Roman" w:hAnsi="Times New Roman" w:cs="Times New Roman"/>
      <w:spacing w:val="-3"/>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560F"/>
  </w:style>
  <w:style w:type="character" w:styleId="EndnoteReference">
    <w:name w:val="endnote reference"/>
    <w:basedOn w:val="DefaultParagraphFont"/>
    <w:semiHidden/>
    <w:rsid w:val="003B560F"/>
    <w:rPr>
      <w:vertAlign w:val="superscript"/>
    </w:rPr>
  </w:style>
  <w:style w:type="paragraph" w:styleId="FootnoteText">
    <w:name w:val="footnote text"/>
    <w:aliases w:val="Car"/>
    <w:basedOn w:val="Normal"/>
    <w:link w:val="FootnoteTextChar"/>
    <w:semiHidden/>
    <w:rsid w:val="003B560F"/>
  </w:style>
  <w:style w:type="character" w:styleId="FootnoteReference">
    <w:name w:val="footnote reference"/>
    <w:basedOn w:val="DefaultParagraphFont"/>
    <w:rsid w:val="003B560F"/>
    <w:rPr>
      <w:vertAlign w:val="superscript"/>
    </w:rPr>
  </w:style>
  <w:style w:type="paragraph" w:customStyle="1" w:styleId="LETTER">
    <w:name w:val="LETTER"/>
    <w:rsid w:val="003B560F"/>
    <w:pPr>
      <w:tabs>
        <w:tab w:val="center" w:pos="4680"/>
      </w:tabs>
      <w:suppressAutoHyphens/>
      <w:autoSpaceDE w:val="0"/>
      <w:autoSpaceDN w:val="0"/>
    </w:pPr>
    <w:rPr>
      <w:rFonts w:ascii="Courier New" w:hAnsi="Courier New" w:cs="Courier New"/>
      <w:sz w:val="24"/>
      <w:szCs w:val="24"/>
    </w:rPr>
  </w:style>
  <w:style w:type="paragraph" w:customStyle="1" w:styleId="CLOSE">
    <w:name w:val="CLOSE"/>
    <w:rsid w:val="003B560F"/>
    <w:pPr>
      <w:tabs>
        <w:tab w:val="left" w:pos="-1440"/>
        <w:tab w:val="left" w:pos="-720"/>
        <w:tab w:val="left" w:pos="1440"/>
        <w:tab w:val="left" w:pos="2160"/>
        <w:tab w:val="left" w:pos="5040"/>
      </w:tabs>
      <w:suppressAutoHyphens/>
      <w:autoSpaceDE w:val="0"/>
      <w:autoSpaceDN w:val="0"/>
    </w:pPr>
    <w:rPr>
      <w:rFonts w:ascii="Courier New" w:hAnsi="Courier New" w:cs="Courier New"/>
      <w:sz w:val="24"/>
      <w:szCs w:val="24"/>
    </w:rPr>
  </w:style>
  <w:style w:type="paragraph" w:customStyle="1" w:styleId="OFCOUNSEL">
    <w:name w:val="OF COUNSEL"/>
    <w:rsid w:val="003B560F"/>
    <w:pPr>
      <w:tabs>
        <w:tab w:val="left" w:pos="1440"/>
        <w:tab w:val="left" w:pos="2160"/>
        <w:tab w:val="left" w:pos="5040"/>
      </w:tabs>
      <w:suppressAutoHyphens/>
      <w:autoSpaceDE w:val="0"/>
      <w:autoSpaceDN w:val="0"/>
    </w:pPr>
    <w:rPr>
      <w:rFonts w:ascii="Courier New" w:hAnsi="Courier New" w:cs="Courier New"/>
      <w:sz w:val="24"/>
      <w:szCs w:val="24"/>
    </w:rPr>
  </w:style>
  <w:style w:type="paragraph" w:customStyle="1" w:styleId="DOCUMENT">
    <w:name w:val="DOCUMENT"/>
    <w:rsid w:val="003B560F"/>
    <w:pPr>
      <w:tabs>
        <w:tab w:val="left" w:pos="-1440"/>
        <w:tab w:val="left" w:pos="-720"/>
        <w:tab w:val="left" w:pos="1440"/>
        <w:tab w:val="left" w:pos="2160"/>
        <w:tab w:val="left" w:pos="5040"/>
      </w:tabs>
      <w:suppressAutoHyphens/>
      <w:autoSpaceDE w:val="0"/>
      <w:autoSpaceDN w:val="0"/>
    </w:pPr>
    <w:rPr>
      <w:rFonts w:ascii="Courier New" w:hAnsi="Courier New" w:cs="Courier New"/>
      <w:sz w:val="24"/>
      <w:szCs w:val="24"/>
    </w:rPr>
  </w:style>
  <w:style w:type="paragraph" w:customStyle="1" w:styleId="DOCCLOSE">
    <w:name w:val="DOC CLOSE"/>
    <w:rsid w:val="003B560F"/>
    <w:pPr>
      <w:tabs>
        <w:tab w:val="left" w:pos="-1440"/>
        <w:tab w:val="left" w:pos="-720"/>
        <w:tab w:val="left" w:pos="1440"/>
        <w:tab w:val="left" w:pos="2160"/>
        <w:tab w:val="left" w:pos="5040"/>
      </w:tabs>
      <w:suppressAutoHyphens/>
      <w:autoSpaceDE w:val="0"/>
      <w:autoSpaceDN w:val="0"/>
    </w:pPr>
    <w:rPr>
      <w:rFonts w:ascii="Courier New" w:hAnsi="Courier New" w:cs="Courier New"/>
      <w:sz w:val="24"/>
      <w:szCs w:val="24"/>
    </w:rPr>
  </w:style>
  <w:style w:type="paragraph" w:customStyle="1" w:styleId="COLCLOSE">
    <w:name w:val="COL CLOSE"/>
    <w:rsid w:val="003B560F"/>
    <w:pPr>
      <w:tabs>
        <w:tab w:val="left" w:pos="5040"/>
      </w:tabs>
      <w:suppressAutoHyphens/>
      <w:autoSpaceDE w:val="0"/>
      <w:autoSpaceDN w:val="0"/>
    </w:pPr>
    <w:rPr>
      <w:rFonts w:ascii="Courier New" w:hAnsi="Courier New" w:cs="Courier New"/>
      <w:sz w:val="24"/>
      <w:szCs w:val="24"/>
    </w:rPr>
  </w:style>
  <w:style w:type="paragraph" w:customStyle="1" w:styleId="nfgclose">
    <w:name w:val="nfg close"/>
    <w:rsid w:val="003B560F"/>
    <w:pPr>
      <w:tabs>
        <w:tab w:val="left" w:pos="5040"/>
      </w:tabs>
      <w:suppressAutoHyphens/>
      <w:autoSpaceDE w:val="0"/>
      <w:autoSpaceDN w:val="0"/>
    </w:pPr>
    <w:rPr>
      <w:rFonts w:ascii="Courier New" w:hAnsi="Courier New" w:cs="Courier New"/>
      <w:sz w:val="24"/>
      <w:szCs w:val="24"/>
    </w:rPr>
  </w:style>
  <w:style w:type="paragraph" w:customStyle="1" w:styleId="nfgappeal">
    <w:name w:val="nfg appeal"/>
    <w:rsid w:val="003B560F"/>
    <w:pPr>
      <w:tabs>
        <w:tab w:val="center" w:pos="4680"/>
      </w:tabs>
      <w:suppressAutoHyphens/>
      <w:autoSpaceDE w:val="0"/>
      <w:autoSpaceDN w:val="0"/>
    </w:pPr>
    <w:rPr>
      <w:rFonts w:ascii="Courier New" w:hAnsi="Courier New" w:cs="Courier New"/>
      <w:sz w:val="24"/>
      <w:szCs w:val="24"/>
    </w:rPr>
  </w:style>
  <w:style w:type="paragraph" w:customStyle="1" w:styleId="nfgcertific">
    <w:name w:val="nfg certific"/>
    <w:rsid w:val="003B560F"/>
    <w:pPr>
      <w:tabs>
        <w:tab w:val="center" w:pos="4680"/>
      </w:tabs>
      <w:suppressAutoHyphens/>
      <w:autoSpaceDE w:val="0"/>
      <w:autoSpaceDN w:val="0"/>
    </w:pPr>
    <w:rPr>
      <w:rFonts w:ascii="Courier New" w:hAnsi="Courier New" w:cs="Courier New"/>
      <w:sz w:val="24"/>
      <w:szCs w:val="24"/>
    </w:rPr>
  </w:style>
  <w:style w:type="paragraph" w:customStyle="1" w:styleId="COLUMBIARC">
    <w:name w:val="COLUMBIA RC"/>
    <w:rsid w:val="003B560F"/>
    <w:pPr>
      <w:tabs>
        <w:tab w:val="center" w:pos="4680"/>
      </w:tabs>
      <w:suppressAutoHyphens/>
      <w:autoSpaceDE w:val="0"/>
      <w:autoSpaceDN w:val="0"/>
    </w:pPr>
    <w:rPr>
      <w:rFonts w:ascii="Courier New" w:hAnsi="Courier New" w:cs="Courier New"/>
      <w:sz w:val="24"/>
      <w:szCs w:val="24"/>
    </w:rPr>
  </w:style>
  <w:style w:type="paragraph" w:customStyle="1" w:styleId="BRIEFCODES">
    <w:name w:val="BRIEF CODES"/>
    <w:rsid w:val="003B560F"/>
    <w:pPr>
      <w:tabs>
        <w:tab w:val="left" w:pos="1440"/>
        <w:tab w:val="left" w:pos="2160"/>
        <w:tab w:val="left" w:pos="2880"/>
        <w:tab w:val="left" w:pos="3600"/>
        <w:tab w:val="left" w:pos="5040"/>
      </w:tabs>
      <w:suppressAutoHyphens/>
      <w:autoSpaceDE w:val="0"/>
      <w:autoSpaceDN w:val="0"/>
    </w:pPr>
    <w:rPr>
      <w:rFonts w:ascii="Wide Latin" w:hAnsi="Wide Latin" w:cs="Wide Latin"/>
    </w:rPr>
  </w:style>
  <w:style w:type="character" w:customStyle="1" w:styleId="DAnn">
    <w:name w:val="D'Ann"/>
    <w:basedOn w:val="DefaultParagraphFont"/>
    <w:rsid w:val="003B560F"/>
  </w:style>
  <w:style w:type="paragraph" w:customStyle="1" w:styleId="closing">
    <w:name w:val="closing"/>
    <w:rsid w:val="003B560F"/>
    <w:pPr>
      <w:tabs>
        <w:tab w:val="left" w:pos="1440"/>
        <w:tab w:val="left" w:pos="2160"/>
        <w:tab w:val="left" w:pos="5040"/>
      </w:tabs>
      <w:suppressAutoHyphens/>
      <w:autoSpaceDE w:val="0"/>
      <w:autoSpaceDN w:val="0"/>
    </w:pPr>
    <w:rPr>
      <w:rFonts w:ascii="Courier New" w:hAnsi="Courier New" w:cs="Courier New"/>
      <w:sz w:val="24"/>
      <w:szCs w:val="24"/>
    </w:rPr>
  </w:style>
  <w:style w:type="character" w:customStyle="1" w:styleId="a1">
    <w:name w:val="a1"/>
    <w:basedOn w:val="DefaultParagraphFont"/>
    <w:rsid w:val="003B560F"/>
    <w:rPr>
      <w:rFonts w:ascii="Courier New" w:hAnsi="Courier New" w:cs="Courier New"/>
      <w:sz w:val="24"/>
      <w:szCs w:val="24"/>
      <w:lang w:val="en-US"/>
    </w:rPr>
  </w:style>
  <w:style w:type="character" w:customStyle="1" w:styleId="brfclose">
    <w:name w:val="brf close"/>
    <w:basedOn w:val="DefaultParagraphFont"/>
    <w:rsid w:val="003B560F"/>
  </w:style>
  <w:style w:type="paragraph" w:styleId="TOC1">
    <w:name w:val="toc 1"/>
    <w:basedOn w:val="Normal"/>
    <w:next w:val="Normal"/>
    <w:autoRedefine/>
    <w:semiHidden/>
    <w:rsid w:val="003B560F"/>
    <w:pPr>
      <w:tabs>
        <w:tab w:val="right" w:leader="dot" w:pos="9360"/>
      </w:tabs>
      <w:suppressAutoHyphens/>
      <w:spacing w:before="480"/>
      <w:ind w:left="720" w:right="720" w:hanging="720"/>
    </w:pPr>
  </w:style>
  <w:style w:type="paragraph" w:styleId="TOC2">
    <w:name w:val="toc 2"/>
    <w:basedOn w:val="Normal"/>
    <w:next w:val="Normal"/>
    <w:autoRedefine/>
    <w:semiHidden/>
    <w:rsid w:val="003B560F"/>
    <w:pPr>
      <w:tabs>
        <w:tab w:val="right" w:leader="dot" w:pos="9360"/>
      </w:tabs>
      <w:suppressAutoHyphens/>
      <w:ind w:left="1440" w:right="720" w:hanging="720"/>
    </w:pPr>
  </w:style>
  <w:style w:type="paragraph" w:styleId="TOC3">
    <w:name w:val="toc 3"/>
    <w:basedOn w:val="Normal"/>
    <w:next w:val="Normal"/>
    <w:autoRedefine/>
    <w:semiHidden/>
    <w:rsid w:val="003B560F"/>
    <w:pPr>
      <w:tabs>
        <w:tab w:val="right" w:leader="dot" w:pos="9360"/>
      </w:tabs>
      <w:suppressAutoHyphens/>
      <w:ind w:left="2160" w:right="720" w:hanging="720"/>
    </w:pPr>
  </w:style>
  <w:style w:type="paragraph" w:styleId="TOC4">
    <w:name w:val="toc 4"/>
    <w:basedOn w:val="Normal"/>
    <w:next w:val="Normal"/>
    <w:autoRedefine/>
    <w:semiHidden/>
    <w:rsid w:val="003B560F"/>
    <w:pPr>
      <w:tabs>
        <w:tab w:val="right" w:leader="dot" w:pos="9360"/>
      </w:tabs>
      <w:suppressAutoHyphens/>
      <w:ind w:left="2880" w:right="720" w:hanging="720"/>
    </w:pPr>
  </w:style>
  <w:style w:type="paragraph" w:styleId="TOC5">
    <w:name w:val="toc 5"/>
    <w:basedOn w:val="Normal"/>
    <w:next w:val="Normal"/>
    <w:autoRedefine/>
    <w:semiHidden/>
    <w:rsid w:val="003B560F"/>
    <w:pPr>
      <w:tabs>
        <w:tab w:val="right" w:leader="dot" w:pos="9360"/>
      </w:tabs>
      <w:suppressAutoHyphens/>
      <w:ind w:left="3600" w:right="720" w:hanging="720"/>
    </w:pPr>
  </w:style>
  <w:style w:type="paragraph" w:styleId="TOC6">
    <w:name w:val="toc 6"/>
    <w:basedOn w:val="Normal"/>
    <w:next w:val="Normal"/>
    <w:autoRedefine/>
    <w:semiHidden/>
    <w:rsid w:val="003B560F"/>
    <w:pPr>
      <w:tabs>
        <w:tab w:val="right" w:pos="9360"/>
      </w:tabs>
      <w:suppressAutoHyphens/>
      <w:ind w:left="720" w:hanging="720"/>
    </w:pPr>
  </w:style>
  <w:style w:type="paragraph" w:styleId="TOC7">
    <w:name w:val="toc 7"/>
    <w:basedOn w:val="Normal"/>
    <w:next w:val="Normal"/>
    <w:autoRedefine/>
    <w:semiHidden/>
    <w:rsid w:val="003B560F"/>
    <w:pPr>
      <w:suppressAutoHyphens/>
      <w:ind w:left="720" w:hanging="720"/>
    </w:pPr>
  </w:style>
  <w:style w:type="paragraph" w:styleId="TOC8">
    <w:name w:val="toc 8"/>
    <w:basedOn w:val="Normal"/>
    <w:next w:val="Normal"/>
    <w:autoRedefine/>
    <w:semiHidden/>
    <w:rsid w:val="003B560F"/>
    <w:pPr>
      <w:tabs>
        <w:tab w:val="right" w:pos="9360"/>
      </w:tabs>
      <w:suppressAutoHyphens/>
      <w:ind w:left="720" w:hanging="720"/>
    </w:pPr>
  </w:style>
  <w:style w:type="paragraph" w:styleId="TOC9">
    <w:name w:val="toc 9"/>
    <w:basedOn w:val="Normal"/>
    <w:next w:val="Normal"/>
    <w:autoRedefine/>
    <w:semiHidden/>
    <w:rsid w:val="003B560F"/>
    <w:pPr>
      <w:tabs>
        <w:tab w:val="right" w:leader="dot" w:pos="9360"/>
      </w:tabs>
      <w:suppressAutoHyphens/>
      <w:ind w:left="720" w:hanging="720"/>
    </w:pPr>
  </w:style>
  <w:style w:type="paragraph" w:styleId="Index1">
    <w:name w:val="index 1"/>
    <w:basedOn w:val="Normal"/>
    <w:next w:val="Normal"/>
    <w:autoRedefine/>
    <w:semiHidden/>
    <w:rsid w:val="003B560F"/>
    <w:pPr>
      <w:tabs>
        <w:tab w:val="right" w:leader="dot" w:pos="9360"/>
      </w:tabs>
      <w:suppressAutoHyphens/>
      <w:ind w:left="1440" w:right="720" w:hanging="1440"/>
    </w:pPr>
  </w:style>
  <w:style w:type="paragraph" w:styleId="Index2">
    <w:name w:val="index 2"/>
    <w:basedOn w:val="Normal"/>
    <w:next w:val="Normal"/>
    <w:autoRedefine/>
    <w:semiHidden/>
    <w:rsid w:val="003B560F"/>
    <w:pPr>
      <w:tabs>
        <w:tab w:val="right" w:leader="dot" w:pos="9360"/>
      </w:tabs>
      <w:suppressAutoHyphens/>
      <w:ind w:left="1440" w:right="720" w:hanging="720"/>
    </w:pPr>
  </w:style>
  <w:style w:type="paragraph" w:styleId="TOAHeading">
    <w:name w:val="toa heading"/>
    <w:basedOn w:val="Normal"/>
    <w:next w:val="Normal"/>
    <w:semiHidden/>
    <w:rsid w:val="003B560F"/>
    <w:pPr>
      <w:tabs>
        <w:tab w:val="right" w:pos="9360"/>
      </w:tabs>
      <w:suppressAutoHyphens/>
    </w:pPr>
  </w:style>
  <w:style w:type="paragraph" w:styleId="Caption">
    <w:name w:val="caption"/>
    <w:basedOn w:val="Normal"/>
    <w:next w:val="Normal"/>
    <w:qFormat/>
    <w:rsid w:val="003B560F"/>
  </w:style>
  <w:style w:type="character" w:customStyle="1" w:styleId="EquationCaption">
    <w:name w:val="_Equation Caption"/>
    <w:rsid w:val="003B560F"/>
  </w:style>
  <w:style w:type="paragraph" w:styleId="Header">
    <w:name w:val="header"/>
    <w:basedOn w:val="Normal"/>
    <w:rsid w:val="003B560F"/>
    <w:pPr>
      <w:tabs>
        <w:tab w:val="center" w:pos="4320"/>
        <w:tab w:val="right" w:pos="8640"/>
      </w:tabs>
    </w:pPr>
  </w:style>
  <w:style w:type="paragraph" w:styleId="Footer">
    <w:name w:val="footer"/>
    <w:basedOn w:val="Normal"/>
    <w:link w:val="FooterChar"/>
    <w:uiPriority w:val="99"/>
    <w:rsid w:val="003B560F"/>
    <w:pPr>
      <w:tabs>
        <w:tab w:val="center" w:pos="4320"/>
        <w:tab w:val="right" w:pos="8640"/>
      </w:tabs>
    </w:pPr>
  </w:style>
  <w:style w:type="character" w:styleId="PageNumber">
    <w:name w:val="page number"/>
    <w:basedOn w:val="DefaultParagraphFont"/>
    <w:rsid w:val="003B560F"/>
  </w:style>
  <w:style w:type="paragraph" w:customStyle="1" w:styleId="Style0">
    <w:name w:val="Style0"/>
    <w:rsid w:val="003B560F"/>
    <w:pPr>
      <w:autoSpaceDE w:val="0"/>
      <w:autoSpaceDN w:val="0"/>
    </w:pPr>
    <w:rPr>
      <w:rFonts w:ascii="Arial" w:hAnsi="Arial" w:cs="Arial"/>
      <w:sz w:val="24"/>
      <w:szCs w:val="24"/>
    </w:rPr>
  </w:style>
  <w:style w:type="paragraph" w:customStyle="1" w:styleId="Pleading2L1">
    <w:name w:val="Pleading2_L1"/>
    <w:basedOn w:val="Normal"/>
    <w:next w:val="BodyText"/>
    <w:rsid w:val="00C55776"/>
    <w:pPr>
      <w:numPr>
        <w:numId w:val="1"/>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C55776"/>
    <w:pPr>
      <w:numPr>
        <w:ilvl w:val="1"/>
      </w:numPr>
      <w:spacing w:after="0" w:line="480" w:lineRule="auto"/>
      <w:jc w:val="left"/>
      <w:outlineLvl w:val="1"/>
    </w:pPr>
    <w:rPr>
      <w:b w:val="0"/>
      <w:caps w:val="0"/>
      <w:u w:val="none"/>
    </w:rPr>
  </w:style>
  <w:style w:type="paragraph" w:customStyle="1" w:styleId="Pleading2L3">
    <w:name w:val="Pleading2_L3"/>
    <w:basedOn w:val="Pleading2L2"/>
    <w:rsid w:val="00C55776"/>
    <w:pPr>
      <w:numPr>
        <w:ilvl w:val="2"/>
      </w:numPr>
      <w:outlineLvl w:val="2"/>
    </w:pPr>
  </w:style>
  <w:style w:type="paragraph" w:customStyle="1" w:styleId="Pleading2L4">
    <w:name w:val="Pleading2_L4"/>
    <w:basedOn w:val="Pleading2L3"/>
    <w:rsid w:val="00C55776"/>
    <w:pPr>
      <w:numPr>
        <w:ilvl w:val="3"/>
      </w:numPr>
      <w:outlineLvl w:val="3"/>
    </w:pPr>
  </w:style>
  <w:style w:type="paragraph" w:customStyle="1" w:styleId="Pleading2L5">
    <w:name w:val="Pleading2_L5"/>
    <w:basedOn w:val="Pleading2L4"/>
    <w:rsid w:val="00C55776"/>
    <w:pPr>
      <w:keepNext/>
      <w:keepLines/>
      <w:widowControl w:val="0"/>
      <w:numPr>
        <w:ilvl w:val="4"/>
      </w:numPr>
      <w:spacing w:after="240" w:line="240" w:lineRule="auto"/>
      <w:outlineLvl w:val="4"/>
    </w:pPr>
  </w:style>
  <w:style w:type="paragraph" w:customStyle="1" w:styleId="Pleading2L6">
    <w:name w:val="Pleading2_L6"/>
    <w:basedOn w:val="Pleading2L5"/>
    <w:rsid w:val="00C55776"/>
    <w:pPr>
      <w:numPr>
        <w:ilvl w:val="5"/>
      </w:numPr>
      <w:outlineLvl w:val="5"/>
    </w:pPr>
  </w:style>
  <w:style w:type="paragraph" w:customStyle="1" w:styleId="Pleading2L7">
    <w:name w:val="Pleading2_L7"/>
    <w:basedOn w:val="Pleading2L6"/>
    <w:rsid w:val="00C55776"/>
    <w:pPr>
      <w:numPr>
        <w:ilvl w:val="6"/>
      </w:numPr>
      <w:outlineLvl w:val="6"/>
    </w:pPr>
  </w:style>
  <w:style w:type="paragraph" w:customStyle="1" w:styleId="Pleading2L8">
    <w:name w:val="Pleading2_L8"/>
    <w:basedOn w:val="Pleading2L7"/>
    <w:rsid w:val="00C55776"/>
    <w:pPr>
      <w:numPr>
        <w:ilvl w:val="7"/>
      </w:numPr>
      <w:outlineLvl w:val="7"/>
    </w:pPr>
  </w:style>
  <w:style w:type="paragraph" w:customStyle="1" w:styleId="Pleading2L9">
    <w:name w:val="Pleading2_L9"/>
    <w:basedOn w:val="Pleading2L8"/>
    <w:rsid w:val="00C55776"/>
    <w:pPr>
      <w:numPr>
        <w:ilvl w:val="8"/>
      </w:numPr>
      <w:outlineLvl w:val="8"/>
    </w:pPr>
  </w:style>
  <w:style w:type="paragraph" w:styleId="BodyText">
    <w:name w:val="Body Text"/>
    <w:basedOn w:val="Normal"/>
    <w:rsid w:val="00C55776"/>
    <w:pPr>
      <w:spacing w:after="120"/>
    </w:pPr>
  </w:style>
  <w:style w:type="paragraph" w:customStyle="1" w:styleId="LabelAddress">
    <w:name w:val="LabelAddress"/>
    <w:basedOn w:val="Normal"/>
    <w:rsid w:val="00046CDC"/>
    <w:pPr>
      <w:autoSpaceDE/>
      <w:autoSpaceDN/>
      <w:ind w:left="360"/>
    </w:pPr>
    <w:rPr>
      <w:rFonts w:ascii="Times New Roman" w:hAnsi="Times New Roman" w:cs="Times New Roman"/>
      <w:sz w:val="20"/>
      <w:szCs w:val="20"/>
    </w:rPr>
  </w:style>
  <w:style w:type="paragraph" w:styleId="BodyTextIndent">
    <w:name w:val="Body Text Indent"/>
    <w:basedOn w:val="Normal"/>
    <w:rsid w:val="00046CDC"/>
    <w:pPr>
      <w:spacing w:after="120"/>
      <w:ind w:left="360"/>
    </w:pPr>
  </w:style>
  <w:style w:type="paragraph" w:customStyle="1" w:styleId="TxBrp1">
    <w:name w:val="TxBr_p1"/>
    <w:basedOn w:val="Normal"/>
    <w:rsid w:val="009F7C71"/>
    <w:pPr>
      <w:widowControl w:val="0"/>
      <w:tabs>
        <w:tab w:val="left" w:pos="1474"/>
      </w:tabs>
      <w:adjustRightInd w:val="0"/>
      <w:spacing w:line="459" w:lineRule="atLeast"/>
      <w:ind w:firstLine="1474"/>
    </w:pPr>
    <w:rPr>
      <w:rFonts w:ascii="Times New Roman" w:hAnsi="Times New Roman" w:cs="Times New Roman"/>
    </w:rPr>
  </w:style>
  <w:style w:type="paragraph" w:customStyle="1" w:styleId="TxBrt1">
    <w:name w:val="TxBr_t1"/>
    <w:basedOn w:val="Normal"/>
    <w:rsid w:val="007F1CF5"/>
    <w:pPr>
      <w:widowControl w:val="0"/>
      <w:adjustRightInd w:val="0"/>
      <w:spacing w:line="240" w:lineRule="atLeast"/>
    </w:pPr>
    <w:rPr>
      <w:rFonts w:ascii="Times New Roman" w:hAnsi="Times New Roman" w:cs="Times New Roman"/>
    </w:rPr>
  </w:style>
  <w:style w:type="paragraph" w:customStyle="1" w:styleId="TxBrc2">
    <w:name w:val="TxBr_c2"/>
    <w:basedOn w:val="Normal"/>
    <w:rsid w:val="007F1CF5"/>
    <w:pPr>
      <w:widowControl w:val="0"/>
      <w:adjustRightInd w:val="0"/>
      <w:spacing w:line="240" w:lineRule="atLeast"/>
      <w:jc w:val="center"/>
    </w:pPr>
    <w:rPr>
      <w:rFonts w:ascii="Times New Roman" w:hAnsi="Times New Roman" w:cs="Times New Roman"/>
    </w:rPr>
  </w:style>
  <w:style w:type="paragraph" w:customStyle="1" w:styleId="TxBrp3">
    <w:name w:val="TxBr_p3"/>
    <w:basedOn w:val="Normal"/>
    <w:rsid w:val="007F1CF5"/>
    <w:pPr>
      <w:widowControl w:val="0"/>
      <w:tabs>
        <w:tab w:val="left" w:pos="204"/>
      </w:tabs>
      <w:adjustRightInd w:val="0"/>
      <w:spacing w:line="240" w:lineRule="atLeast"/>
    </w:pPr>
    <w:rPr>
      <w:rFonts w:ascii="Times New Roman" w:hAnsi="Times New Roman" w:cs="Times New Roman"/>
    </w:rPr>
  </w:style>
  <w:style w:type="paragraph" w:customStyle="1" w:styleId="TxBrp4">
    <w:name w:val="TxBr_p4"/>
    <w:basedOn w:val="Normal"/>
    <w:rsid w:val="007F1CF5"/>
    <w:pPr>
      <w:widowControl w:val="0"/>
      <w:tabs>
        <w:tab w:val="left" w:pos="204"/>
      </w:tabs>
      <w:adjustRightInd w:val="0"/>
      <w:spacing w:line="240" w:lineRule="atLeast"/>
    </w:pPr>
    <w:rPr>
      <w:rFonts w:ascii="Times New Roman" w:hAnsi="Times New Roman" w:cs="Times New Roman"/>
    </w:rPr>
  </w:style>
  <w:style w:type="paragraph" w:customStyle="1" w:styleId="TxBrp5">
    <w:name w:val="TxBr_p5"/>
    <w:basedOn w:val="Normal"/>
    <w:rsid w:val="007F1CF5"/>
    <w:pPr>
      <w:widowControl w:val="0"/>
      <w:tabs>
        <w:tab w:val="left" w:pos="776"/>
      </w:tabs>
      <w:adjustRightInd w:val="0"/>
      <w:spacing w:line="612" w:lineRule="atLeast"/>
      <w:ind w:firstLine="776"/>
    </w:pPr>
    <w:rPr>
      <w:rFonts w:ascii="Times New Roman" w:hAnsi="Times New Roman" w:cs="Times New Roman"/>
    </w:rPr>
  </w:style>
  <w:style w:type="paragraph" w:customStyle="1" w:styleId="TxBrp7">
    <w:name w:val="TxBr_p7"/>
    <w:basedOn w:val="Normal"/>
    <w:rsid w:val="007F1CF5"/>
    <w:pPr>
      <w:widowControl w:val="0"/>
      <w:tabs>
        <w:tab w:val="left" w:pos="362"/>
      </w:tabs>
      <w:adjustRightInd w:val="0"/>
      <w:spacing w:line="240" w:lineRule="atLeast"/>
      <w:ind w:left="1146" w:hanging="362"/>
    </w:pPr>
    <w:rPr>
      <w:rFonts w:ascii="Times New Roman" w:hAnsi="Times New Roman" w:cs="Times New Roman"/>
    </w:rPr>
  </w:style>
  <w:style w:type="paragraph" w:customStyle="1" w:styleId="TxBrp8">
    <w:name w:val="TxBr_p8"/>
    <w:basedOn w:val="Normal"/>
    <w:rsid w:val="007F1CF5"/>
    <w:pPr>
      <w:widowControl w:val="0"/>
      <w:tabs>
        <w:tab w:val="left" w:pos="776"/>
        <w:tab w:val="left" w:pos="1440"/>
      </w:tabs>
      <w:adjustRightInd w:val="0"/>
      <w:spacing w:line="612" w:lineRule="atLeast"/>
      <w:ind w:firstLine="776"/>
    </w:pPr>
    <w:rPr>
      <w:rFonts w:ascii="Times New Roman" w:hAnsi="Times New Roman" w:cs="Times New Roman"/>
    </w:rPr>
  </w:style>
  <w:style w:type="paragraph" w:customStyle="1" w:styleId="TxBrp10">
    <w:name w:val="TxBr_p10"/>
    <w:basedOn w:val="Normal"/>
    <w:rsid w:val="007F1CF5"/>
    <w:pPr>
      <w:widowControl w:val="0"/>
      <w:tabs>
        <w:tab w:val="left" w:pos="1440"/>
        <w:tab w:val="left" w:pos="2188"/>
      </w:tabs>
      <w:adjustRightInd w:val="0"/>
      <w:spacing w:line="459" w:lineRule="atLeast"/>
      <w:ind w:left="2188" w:hanging="748"/>
    </w:pPr>
    <w:rPr>
      <w:rFonts w:ascii="Times New Roman" w:hAnsi="Times New Roman" w:cs="Times New Roman"/>
    </w:rPr>
  </w:style>
  <w:style w:type="paragraph" w:customStyle="1" w:styleId="TxBrp11">
    <w:name w:val="TxBr_p11"/>
    <w:basedOn w:val="Normal"/>
    <w:rsid w:val="007F1CF5"/>
    <w:pPr>
      <w:widowControl w:val="0"/>
      <w:tabs>
        <w:tab w:val="left" w:pos="1440"/>
        <w:tab w:val="left" w:pos="2188"/>
      </w:tabs>
      <w:adjustRightInd w:val="0"/>
      <w:spacing w:line="311" w:lineRule="atLeast"/>
      <w:ind w:left="2188" w:hanging="748"/>
    </w:pPr>
    <w:rPr>
      <w:rFonts w:ascii="Times New Roman" w:hAnsi="Times New Roman" w:cs="Times New Roman"/>
    </w:rPr>
  </w:style>
  <w:style w:type="paragraph" w:customStyle="1" w:styleId="TxBrp13">
    <w:name w:val="TxBr_p13"/>
    <w:basedOn w:val="Normal"/>
    <w:rsid w:val="007F1CF5"/>
    <w:pPr>
      <w:widowControl w:val="0"/>
      <w:tabs>
        <w:tab w:val="left" w:pos="4359"/>
      </w:tabs>
      <w:adjustRightInd w:val="0"/>
      <w:spacing w:line="240" w:lineRule="atLeast"/>
      <w:ind w:left="2851"/>
    </w:pPr>
    <w:rPr>
      <w:rFonts w:ascii="Times New Roman" w:hAnsi="Times New Roman" w:cs="Times New Roman"/>
    </w:rPr>
  </w:style>
  <w:style w:type="paragraph" w:customStyle="1" w:styleId="TxBrp14">
    <w:name w:val="TxBr_p14"/>
    <w:basedOn w:val="Normal"/>
    <w:rsid w:val="007F1CF5"/>
    <w:pPr>
      <w:widowControl w:val="0"/>
      <w:tabs>
        <w:tab w:val="left" w:pos="5470"/>
      </w:tabs>
      <w:adjustRightInd w:val="0"/>
      <w:spacing w:line="240" w:lineRule="atLeast"/>
      <w:ind w:left="3962"/>
    </w:pPr>
    <w:rPr>
      <w:rFonts w:ascii="Times New Roman" w:hAnsi="Times New Roman" w:cs="Times New Roman"/>
    </w:rPr>
  </w:style>
  <w:style w:type="paragraph" w:customStyle="1" w:styleId="TxBrp15">
    <w:name w:val="TxBr_p15"/>
    <w:basedOn w:val="Normal"/>
    <w:rsid w:val="007F1CF5"/>
    <w:pPr>
      <w:widowControl w:val="0"/>
      <w:tabs>
        <w:tab w:val="left" w:pos="5879"/>
      </w:tabs>
      <w:adjustRightInd w:val="0"/>
      <w:spacing w:line="240" w:lineRule="atLeast"/>
      <w:ind w:left="4371"/>
    </w:pPr>
    <w:rPr>
      <w:rFonts w:ascii="Times New Roman" w:hAnsi="Times New Roman" w:cs="Times New Roman"/>
    </w:rPr>
  </w:style>
  <w:style w:type="paragraph" w:customStyle="1" w:styleId="TxBrp16">
    <w:name w:val="TxBr_p16"/>
    <w:basedOn w:val="Normal"/>
    <w:rsid w:val="007F1CF5"/>
    <w:pPr>
      <w:widowControl w:val="0"/>
      <w:tabs>
        <w:tab w:val="left" w:pos="776"/>
      </w:tabs>
      <w:adjustRightInd w:val="0"/>
      <w:spacing w:line="240" w:lineRule="atLeast"/>
      <w:ind w:left="732" w:hanging="776"/>
    </w:pPr>
    <w:rPr>
      <w:rFonts w:ascii="Times New Roman" w:hAnsi="Times New Roman" w:cs="Times New Roman"/>
    </w:rPr>
  </w:style>
  <w:style w:type="paragraph" w:customStyle="1" w:styleId="TxBrt2">
    <w:name w:val="TxBr_t2"/>
    <w:basedOn w:val="Normal"/>
    <w:rsid w:val="007F1CF5"/>
    <w:pPr>
      <w:widowControl w:val="0"/>
      <w:adjustRightInd w:val="0"/>
      <w:spacing w:line="240" w:lineRule="atLeast"/>
    </w:pPr>
    <w:rPr>
      <w:rFonts w:ascii="Times New Roman" w:hAnsi="Times New Roman" w:cs="Times New Roman"/>
    </w:rPr>
  </w:style>
  <w:style w:type="paragraph" w:customStyle="1" w:styleId="TxBrc4">
    <w:name w:val="TxBr_c4"/>
    <w:basedOn w:val="Normal"/>
    <w:rsid w:val="007F1CF5"/>
    <w:pPr>
      <w:widowControl w:val="0"/>
      <w:adjustRightInd w:val="0"/>
      <w:spacing w:line="240" w:lineRule="atLeast"/>
      <w:jc w:val="center"/>
    </w:pPr>
    <w:rPr>
      <w:rFonts w:ascii="Times New Roman" w:hAnsi="Times New Roman" w:cs="Times New Roman"/>
    </w:rPr>
  </w:style>
  <w:style w:type="paragraph" w:customStyle="1" w:styleId="TxBrp6">
    <w:name w:val="TxBr_p6"/>
    <w:basedOn w:val="Normal"/>
    <w:rsid w:val="007F1CF5"/>
    <w:pPr>
      <w:widowControl w:val="0"/>
      <w:tabs>
        <w:tab w:val="left" w:pos="1474"/>
      </w:tabs>
      <w:adjustRightInd w:val="0"/>
      <w:spacing w:line="240" w:lineRule="atLeast"/>
      <w:ind w:left="6"/>
    </w:pPr>
    <w:rPr>
      <w:rFonts w:ascii="Times New Roman" w:hAnsi="Times New Roman" w:cs="Times New Roman"/>
    </w:rPr>
  </w:style>
  <w:style w:type="paragraph" w:customStyle="1" w:styleId="TxBrc7">
    <w:name w:val="TxBr_c7"/>
    <w:basedOn w:val="Normal"/>
    <w:rsid w:val="007F1CF5"/>
    <w:pPr>
      <w:widowControl w:val="0"/>
      <w:adjustRightInd w:val="0"/>
      <w:spacing w:line="240" w:lineRule="atLeast"/>
      <w:jc w:val="center"/>
    </w:pPr>
    <w:rPr>
      <w:rFonts w:ascii="Times New Roman" w:hAnsi="Times New Roman" w:cs="Times New Roman"/>
    </w:rPr>
  </w:style>
  <w:style w:type="paragraph" w:customStyle="1" w:styleId="TxBrp12">
    <w:name w:val="TxBr_p12"/>
    <w:basedOn w:val="Normal"/>
    <w:rsid w:val="007F1CF5"/>
    <w:pPr>
      <w:widowControl w:val="0"/>
      <w:tabs>
        <w:tab w:val="left" w:pos="204"/>
      </w:tabs>
      <w:adjustRightInd w:val="0"/>
      <w:spacing w:line="240" w:lineRule="atLeast"/>
    </w:pPr>
    <w:rPr>
      <w:rFonts w:ascii="Times New Roman" w:hAnsi="Times New Roman" w:cs="Times New Roman"/>
    </w:rPr>
  </w:style>
  <w:style w:type="paragraph" w:customStyle="1" w:styleId="TxBrc1">
    <w:name w:val="TxBr_c1"/>
    <w:basedOn w:val="Normal"/>
    <w:rsid w:val="00113F02"/>
    <w:pPr>
      <w:widowControl w:val="0"/>
      <w:adjustRightInd w:val="0"/>
      <w:spacing w:line="240" w:lineRule="atLeast"/>
      <w:jc w:val="center"/>
    </w:pPr>
    <w:rPr>
      <w:rFonts w:ascii="Times New Roman" w:hAnsi="Times New Roman" w:cs="Times New Roman"/>
    </w:rPr>
  </w:style>
  <w:style w:type="paragraph" w:customStyle="1" w:styleId="TxBrp2">
    <w:name w:val="TxBr_p2"/>
    <w:basedOn w:val="Normal"/>
    <w:rsid w:val="00113F02"/>
    <w:pPr>
      <w:widowControl w:val="0"/>
      <w:tabs>
        <w:tab w:val="left" w:pos="204"/>
      </w:tabs>
      <w:adjustRightInd w:val="0"/>
      <w:spacing w:line="240" w:lineRule="atLeast"/>
    </w:pPr>
    <w:rPr>
      <w:rFonts w:ascii="Times New Roman" w:hAnsi="Times New Roman" w:cs="Times New Roman"/>
    </w:rPr>
  </w:style>
  <w:style w:type="paragraph" w:customStyle="1" w:styleId="TxBrc6">
    <w:name w:val="TxBr_c6"/>
    <w:basedOn w:val="Normal"/>
    <w:rsid w:val="00113F02"/>
    <w:pPr>
      <w:widowControl w:val="0"/>
      <w:adjustRightInd w:val="0"/>
      <w:spacing w:line="240" w:lineRule="atLeast"/>
      <w:jc w:val="center"/>
    </w:pPr>
    <w:rPr>
      <w:rFonts w:ascii="Times New Roman" w:hAnsi="Times New Roman" w:cs="Times New Roman"/>
    </w:rPr>
  </w:style>
  <w:style w:type="paragraph" w:customStyle="1" w:styleId="p9">
    <w:name w:val="p9"/>
    <w:basedOn w:val="Normal"/>
    <w:rsid w:val="00453F90"/>
    <w:pPr>
      <w:widowControl w:val="0"/>
      <w:tabs>
        <w:tab w:val="left" w:pos="805"/>
        <w:tab w:val="left" w:pos="1525"/>
      </w:tabs>
      <w:adjustRightInd w:val="0"/>
      <w:ind w:firstLine="805"/>
      <w:jc w:val="both"/>
    </w:pPr>
    <w:rPr>
      <w:rFonts w:ascii="Times New Roman" w:hAnsi="Times New Roman" w:cs="Times New Roman"/>
    </w:rPr>
  </w:style>
  <w:style w:type="paragraph" w:customStyle="1" w:styleId="p19">
    <w:name w:val="p19"/>
    <w:basedOn w:val="Normal"/>
    <w:rsid w:val="00453F90"/>
    <w:pPr>
      <w:widowControl w:val="0"/>
      <w:tabs>
        <w:tab w:val="left" w:pos="805"/>
        <w:tab w:val="left" w:pos="1525"/>
      </w:tabs>
      <w:adjustRightInd w:val="0"/>
      <w:ind w:firstLine="805"/>
    </w:pPr>
    <w:rPr>
      <w:rFonts w:ascii="Times New Roman" w:hAnsi="Times New Roman" w:cs="Times New Roman"/>
    </w:rPr>
  </w:style>
  <w:style w:type="paragraph" w:customStyle="1" w:styleId="p6">
    <w:name w:val="p6"/>
    <w:basedOn w:val="Normal"/>
    <w:rsid w:val="00DA35C8"/>
    <w:pPr>
      <w:widowControl w:val="0"/>
      <w:tabs>
        <w:tab w:val="left" w:pos="742"/>
      </w:tabs>
      <w:adjustRightInd w:val="0"/>
      <w:ind w:firstLine="742"/>
    </w:pPr>
    <w:rPr>
      <w:rFonts w:ascii="Times New Roman" w:hAnsi="Times New Roman" w:cs="Times New Roman"/>
    </w:rPr>
  </w:style>
  <w:style w:type="paragraph" w:customStyle="1" w:styleId="p5">
    <w:name w:val="p5"/>
    <w:basedOn w:val="Normal"/>
    <w:rsid w:val="00394DA6"/>
    <w:pPr>
      <w:widowControl w:val="0"/>
      <w:tabs>
        <w:tab w:val="left" w:pos="788"/>
        <w:tab w:val="left" w:pos="1491"/>
      </w:tabs>
      <w:adjustRightInd w:val="0"/>
      <w:ind w:firstLine="788"/>
      <w:jc w:val="both"/>
    </w:pPr>
    <w:rPr>
      <w:rFonts w:ascii="Times New Roman" w:hAnsi="Times New Roman" w:cs="Times New Roman"/>
    </w:rPr>
  </w:style>
  <w:style w:type="paragraph" w:customStyle="1" w:styleId="p14">
    <w:name w:val="p14"/>
    <w:basedOn w:val="Normal"/>
    <w:rsid w:val="001D524B"/>
    <w:pPr>
      <w:widowControl w:val="0"/>
      <w:adjustRightInd w:val="0"/>
      <w:ind w:firstLine="810"/>
    </w:pPr>
    <w:rPr>
      <w:rFonts w:ascii="Times New Roman" w:hAnsi="Times New Roman" w:cs="Times New Roman"/>
    </w:rPr>
  </w:style>
  <w:style w:type="paragraph" w:customStyle="1" w:styleId="p18">
    <w:name w:val="p18"/>
    <w:basedOn w:val="Normal"/>
    <w:rsid w:val="001D524B"/>
    <w:pPr>
      <w:widowControl w:val="0"/>
      <w:tabs>
        <w:tab w:val="left" w:pos="204"/>
      </w:tabs>
      <w:adjustRightInd w:val="0"/>
    </w:pPr>
    <w:rPr>
      <w:rFonts w:ascii="Times New Roman" w:hAnsi="Times New Roman" w:cs="Times New Roman"/>
    </w:rPr>
  </w:style>
  <w:style w:type="paragraph" w:customStyle="1" w:styleId="p21">
    <w:name w:val="p21"/>
    <w:basedOn w:val="Normal"/>
    <w:rsid w:val="001D524B"/>
    <w:pPr>
      <w:widowControl w:val="0"/>
      <w:tabs>
        <w:tab w:val="left" w:pos="1525"/>
      </w:tabs>
      <w:adjustRightInd w:val="0"/>
      <w:ind w:firstLine="1525"/>
    </w:pPr>
    <w:rPr>
      <w:rFonts w:ascii="Times New Roman" w:hAnsi="Times New Roman" w:cs="Times New Roman"/>
    </w:rPr>
  </w:style>
  <w:style w:type="paragraph" w:customStyle="1" w:styleId="c22">
    <w:name w:val="c22"/>
    <w:basedOn w:val="Normal"/>
    <w:rsid w:val="001D524B"/>
    <w:pPr>
      <w:widowControl w:val="0"/>
      <w:adjustRightInd w:val="0"/>
      <w:jc w:val="center"/>
    </w:pPr>
    <w:rPr>
      <w:rFonts w:ascii="Times New Roman" w:hAnsi="Times New Roman" w:cs="Times New Roman"/>
    </w:rPr>
  </w:style>
  <w:style w:type="paragraph" w:customStyle="1" w:styleId="p23">
    <w:name w:val="p23"/>
    <w:basedOn w:val="Normal"/>
    <w:rsid w:val="001D524B"/>
    <w:pPr>
      <w:widowControl w:val="0"/>
      <w:tabs>
        <w:tab w:val="left" w:pos="1525"/>
        <w:tab w:val="left" w:pos="2290"/>
      </w:tabs>
      <w:adjustRightInd w:val="0"/>
      <w:ind w:firstLine="1525"/>
    </w:pPr>
    <w:rPr>
      <w:rFonts w:ascii="Times New Roman" w:hAnsi="Times New Roman" w:cs="Times New Roman"/>
    </w:rPr>
  </w:style>
  <w:style w:type="paragraph" w:customStyle="1" w:styleId="c24">
    <w:name w:val="c24"/>
    <w:basedOn w:val="Normal"/>
    <w:rsid w:val="001D524B"/>
    <w:pPr>
      <w:widowControl w:val="0"/>
      <w:adjustRightInd w:val="0"/>
      <w:jc w:val="center"/>
    </w:pPr>
    <w:rPr>
      <w:rFonts w:ascii="Times New Roman" w:hAnsi="Times New Roman" w:cs="Times New Roman"/>
    </w:rPr>
  </w:style>
  <w:style w:type="paragraph" w:customStyle="1" w:styleId="c25">
    <w:name w:val="c25"/>
    <w:basedOn w:val="Normal"/>
    <w:rsid w:val="001D524B"/>
    <w:pPr>
      <w:widowControl w:val="0"/>
      <w:adjustRightInd w:val="0"/>
      <w:jc w:val="center"/>
    </w:pPr>
    <w:rPr>
      <w:rFonts w:ascii="Times New Roman" w:hAnsi="Times New Roman" w:cs="Times New Roman"/>
    </w:rPr>
  </w:style>
  <w:style w:type="paragraph" w:customStyle="1" w:styleId="Style">
    <w:name w:val="Style"/>
    <w:rsid w:val="00345BB1"/>
    <w:pPr>
      <w:widowControl w:val="0"/>
      <w:autoSpaceDE w:val="0"/>
      <w:autoSpaceDN w:val="0"/>
      <w:adjustRightInd w:val="0"/>
    </w:pPr>
    <w:rPr>
      <w:sz w:val="24"/>
      <w:szCs w:val="24"/>
    </w:rPr>
  </w:style>
  <w:style w:type="character" w:customStyle="1" w:styleId="FootnoteTextChar">
    <w:name w:val="Footnote Text Char"/>
    <w:aliases w:val="Car Char"/>
    <w:basedOn w:val="DefaultParagraphFont"/>
    <w:link w:val="FootnoteText"/>
    <w:rsid w:val="0028764F"/>
    <w:rPr>
      <w:rFonts w:ascii="Courier New" w:hAnsi="Courier New" w:cs="Courier New"/>
      <w:sz w:val="24"/>
      <w:szCs w:val="24"/>
    </w:rPr>
  </w:style>
  <w:style w:type="character" w:customStyle="1" w:styleId="Heading1Char">
    <w:name w:val="Heading 1 Char"/>
    <w:basedOn w:val="DefaultParagraphFont"/>
    <w:link w:val="Heading1"/>
    <w:rsid w:val="007927B9"/>
    <w:rPr>
      <w:rFonts w:ascii="Cambria" w:eastAsia="Times New Roman" w:hAnsi="Cambria" w:cs="Times New Roman"/>
      <w:b/>
      <w:bCs/>
      <w:kern w:val="32"/>
      <w:sz w:val="32"/>
      <w:szCs w:val="32"/>
    </w:rPr>
  </w:style>
  <w:style w:type="paragraph" w:styleId="ListNumber">
    <w:name w:val="List Number"/>
    <w:basedOn w:val="Normal"/>
    <w:rsid w:val="007927B9"/>
    <w:pPr>
      <w:numPr>
        <w:numId w:val="2"/>
      </w:numPr>
      <w:autoSpaceDE/>
      <w:autoSpaceDN/>
      <w:spacing w:line="480" w:lineRule="auto"/>
    </w:pPr>
    <w:rPr>
      <w:rFonts w:ascii="Times New Roman" w:hAnsi="Times New Roman" w:cs="Times New Roman"/>
    </w:rPr>
  </w:style>
  <w:style w:type="paragraph" w:styleId="ListParagraph">
    <w:name w:val="List Paragraph"/>
    <w:basedOn w:val="Normal"/>
    <w:qFormat/>
    <w:rsid w:val="007927B9"/>
    <w:pPr>
      <w:autoSpaceDE/>
      <w:autoSpaceDN/>
      <w:spacing w:after="200" w:line="276" w:lineRule="auto"/>
      <w:ind w:left="720"/>
      <w:contextualSpacing/>
    </w:pPr>
    <w:rPr>
      <w:rFonts w:ascii="Calibri" w:hAnsi="Calibri" w:cs="Times New Roman"/>
      <w:sz w:val="22"/>
      <w:szCs w:val="22"/>
    </w:rPr>
  </w:style>
  <w:style w:type="paragraph" w:styleId="BodyText2">
    <w:name w:val="Body Text 2"/>
    <w:basedOn w:val="Normal"/>
    <w:link w:val="BodyText2Char"/>
    <w:rsid w:val="000F286C"/>
    <w:pPr>
      <w:spacing w:after="120" w:line="480" w:lineRule="auto"/>
    </w:pPr>
  </w:style>
  <w:style w:type="character" w:customStyle="1" w:styleId="BodyText2Char">
    <w:name w:val="Body Text 2 Char"/>
    <w:basedOn w:val="DefaultParagraphFont"/>
    <w:link w:val="BodyText2"/>
    <w:rsid w:val="000F286C"/>
    <w:rPr>
      <w:rFonts w:ascii="Courier New" w:hAnsi="Courier New" w:cs="Courier New"/>
      <w:sz w:val="24"/>
      <w:szCs w:val="24"/>
    </w:rPr>
  </w:style>
  <w:style w:type="paragraph" w:customStyle="1" w:styleId="IndentSingle">
    <w:name w:val="Indent Single"/>
    <w:basedOn w:val="Normal"/>
    <w:next w:val="BodyText"/>
    <w:rsid w:val="00774898"/>
    <w:pPr>
      <w:autoSpaceDE/>
      <w:autoSpaceDN/>
      <w:spacing w:after="240"/>
      <w:ind w:left="1440" w:right="1440"/>
      <w:jc w:val="both"/>
    </w:pPr>
    <w:rPr>
      <w:rFonts w:ascii="Times New Roman" w:hAnsi="Times New Roman" w:cs="Times New Roman"/>
    </w:rPr>
  </w:style>
  <w:style w:type="character" w:customStyle="1" w:styleId="FooterChar">
    <w:name w:val="Footer Char"/>
    <w:basedOn w:val="DefaultParagraphFont"/>
    <w:link w:val="Footer"/>
    <w:uiPriority w:val="99"/>
    <w:rsid w:val="00AD3512"/>
    <w:rPr>
      <w:rFonts w:ascii="Courier New" w:hAnsi="Courier New" w:cs="Courier New"/>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45070-6E1F-44EF-84D8-9A0143D8E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7698</Words>
  <Characters>43880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wweismande</dc:creator>
  <cp:keywords/>
  <dc:description/>
  <cp:lastModifiedBy>shoffner</cp:lastModifiedBy>
  <cp:revision>9</cp:revision>
  <cp:lastPrinted>2010-11-03T17:07:00Z</cp:lastPrinted>
  <dcterms:created xsi:type="dcterms:W3CDTF">2010-10-21T12:46:00Z</dcterms:created>
  <dcterms:modified xsi:type="dcterms:W3CDTF">2010-11-03T17:08:00Z</dcterms:modified>
</cp:coreProperties>
</file>