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17C" w:rsidRDefault="00D2478F" w:rsidP="00D2478F">
      <w:pPr>
        <w:jc w:val="center"/>
        <w:rPr>
          <w:b/>
        </w:rPr>
      </w:pPr>
      <w:r>
        <w:rPr>
          <w:b/>
        </w:rPr>
        <w:t>BEFORE THE</w:t>
      </w:r>
    </w:p>
    <w:p w:rsidR="00D2478F" w:rsidRDefault="00D2478F" w:rsidP="00D2478F">
      <w:pPr>
        <w:jc w:val="center"/>
      </w:pPr>
      <w:r>
        <w:rPr>
          <w:b/>
        </w:rPr>
        <w:t>PENNSYLVANIA PUBLIC UTILITY COMMISSION</w:t>
      </w:r>
    </w:p>
    <w:p w:rsidR="00D2478F" w:rsidRDefault="00D2478F" w:rsidP="00D2478F"/>
    <w:p w:rsidR="00D2478F" w:rsidRDefault="00D2478F" w:rsidP="00D2478F"/>
    <w:p w:rsidR="0083579D" w:rsidRDefault="0083579D" w:rsidP="00D2478F"/>
    <w:p w:rsidR="00D2478F" w:rsidRDefault="00D2478F" w:rsidP="00D2478F">
      <w:r>
        <w:t>Jo Anna Warren Williamson</w:t>
      </w:r>
      <w:r>
        <w:tab/>
      </w:r>
      <w:r>
        <w:tab/>
      </w:r>
      <w:r>
        <w:tab/>
      </w:r>
      <w:r>
        <w:tab/>
        <w:t>:</w:t>
      </w:r>
    </w:p>
    <w:p w:rsidR="00D2478F" w:rsidRDefault="00D2478F" w:rsidP="00D2478F">
      <w:r>
        <w:tab/>
      </w:r>
      <w:r>
        <w:tab/>
      </w:r>
      <w:r>
        <w:tab/>
      </w:r>
      <w:r>
        <w:tab/>
      </w:r>
      <w:r>
        <w:tab/>
      </w:r>
      <w:r>
        <w:tab/>
      </w:r>
      <w:r>
        <w:tab/>
        <w:t>:</w:t>
      </w:r>
    </w:p>
    <w:p w:rsidR="00D2478F" w:rsidRDefault="00D2478F" w:rsidP="00D2478F">
      <w:r>
        <w:tab/>
        <w:t>v.</w:t>
      </w:r>
      <w:r w:rsidR="00EE7742">
        <w:tab/>
      </w:r>
      <w:r w:rsidR="00EE7742">
        <w:tab/>
      </w:r>
      <w:r w:rsidR="00EE7742">
        <w:tab/>
      </w:r>
      <w:r w:rsidR="00EE7742">
        <w:tab/>
      </w:r>
      <w:r w:rsidR="00EE7742">
        <w:tab/>
      </w:r>
      <w:r w:rsidR="00EE7742">
        <w:tab/>
        <w:t>:</w:t>
      </w:r>
      <w:r w:rsidR="00EE7742">
        <w:tab/>
      </w:r>
      <w:r w:rsidR="00EE7742">
        <w:tab/>
        <w:t>C-2009-2138578</w:t>
      </w:r>
    </w:p>
    <w:p w:rsidR="00EE7742" w:rsidRDefault="00EE7742" w:rsidP="00D2478F">
      <w:r>
        <w:tab/>
      </w:r>
      <w:r>
        <w:tab/>
      </w:r>
      <w:r>
        <w:tab/>
      </w:r>
      <w:r>
        <w:tab/>
      </w:r>
      <w:r>
        <w:tab/>
      </w:r>
      <w:r>
        <w:tab/>
      </w:r>
      <w:r>
        <w:tab/>
        <w:t>:</w:t>
      </w:r>
    </w:p>
    <w:p w:rsidR="00EE7742" w:rsidRDefault="00EE7742" w:rsidP="00D2478F">
      <w:r>
        <w:t>Duquesne Light Company</w:t>
      </w:r>
      <w:r>
        <w:tab/>
      </w:r>
      <w:r>
        <w:tab/>
      </w:r>
      <w:r>
        <w:tab/>
      </w:r>
      <w:r>
        <w:tab/>
        <w:t>:</w:t>
      </w:r>
    </w:p>
    <w:p w:rsidR="00EE7742" w:rsidRDefault="00EE7742" w:rsidP="00D2478F"/>
    <w:p w:rsidR="00EE7742" w:rsidRDefault="00EE7742" w:rsidP="00D2478F"/>
    <w:p w:rsidR="0083579D" w:rsidRDefault="0083579D" w:rsidP="00D2478F"/>
    <w:p w:rsidR="003C3101" w:rsidRDefault="00B94A1E" w:rsidP="00EE7742">
      <w:pPr>
        <w:jc w:val="center"/>
      </w:pPr>
      <w:r>
        <w:rPr>
          <w:b/>
          <w:u w:val="single"/>
        </w:rPr>
        <w:t>INITIAL DECISION</w:t>
      </w:r>
    </w:p>
    <w:p w:rsidR="00B94A1E" w:rsidRDefault="00B94A1E" w:rsidP="00EE7742">
      <w:pPr>
        <w:jc w:val="center"/>
      </w:pPr>
    </w:p>
    <w:p w:rsidR="00B94A1E" w:rsidRDefault="00B94A1E" w:rsidP="00EE7742">
      <w:pPr>
        <w:jc w:val="center"/>
      </w:pPr>
    </w:p>
    <w:p w:rsidR="00B94A1E" w:rsidRDefault="00B94A1E" w:rsidP="00EE7742">
      <w:pPr>
        <w:jc w:val="center"/>
      </w:pPr>
      <w:r>
        <w:t>Before</w:t>
      </w:r>
    </w:p>
    <w:p w:rsidR="00B94A1E" w:rsidRDefault="00B94A1E" w:rsidP="00EE7742">
      <w:pPr>
        <w:jc w:val="center"/>
      </w:pPr>
      <w:r>
        <w:t>John H. Corbett, Jr.</w:t>
      </w:r>
    </w:p>
    <w:p w:rsidR="00B94A1E" w:rsidRPr="00B94A1E" w:rsidRDefault="00B94A1E" w:rsidP="00EE7742">
      <w:pPr>
        <w:jc w:val="center"/>
      </w:pPr>
      <w:r>
        <w:t>Administrative Law Judge</w:t>
      </w:r>
    </w:p>
    <w:p w:rsidR="003C3101" w:rsidRDefault="003C3101" w:rsidP="003C3101"/>
    <w:p w:rsidR="003C3101" w:rsidRDefault="003C3101" w:rsidP="003C3101"/>
    <w:p w:rsidR="00231E7C" w:rsidRDefault="008D657A" w:rsidP="00231E7C">
      <w:pPr>
        <w:spacing w:line="360" w:lineRule="auto"/>
        <w:jc w:val="center"/>
      </w:pPr>
      <w:r>
        <w:rPr>
          <w:u w:val="single"/>
        </w:rPr>
        <w:t>HISTORY OF THE PROCEEDING</w:t>
      </w:r>
    </w:p>
    <w:p w:rsidR="008D657A" w:rsidRDefault="008D657A" w:rsidP="008D657A">
      <w:pPr>
        <w:spacing w:line="360" w:lineRule="auto"/>
      </w:pPr>
    </w:p>
    <w:p w:rsidR="001E1C62" w:rsidRDefault="008D657A" w:rsidP="008D657A">
      <w:pPr>
        <w:spacing w:line="360" w:lineRule="auto"/>
      </w:pPr>
      <w:r>
        <w:tab/>
      </w:r>
      <w:r>
        <w:tab/>
      </w:r>
      <w:r w:rsidR="009C6E2A">
        <w:t>On October 29, 2009, Jo Anna Warren Williamson (“Complainant”) filed a complaint with the Pennsylvania Public Utility Commission (“Commission”)</w:t>
      </w:r>
      <w:r w:rsidR="00836ED3">
        <w:t xml:space="preserve"> alleging that a utility pole owned by Duquesne Light Company (“Respondent”) was interfering with her property</w:t>
      </w:r>
      <w:r w:rsidR="00FA2BB0">
        <w:t xml:space="preserve"> located in</w:t>
      </w:r>
      <w:r w:rsidR="001E1C62">
        <w:t xml:space="preserve"> Aliquippa, Beaver County, Pennsylvania.  Respondent answered the</w:t>
      </w:r>
      <w:r w:rsidR="00EF74A8">
        <w:t xml:space="preserve"> complaint on November 19, 2009 denying any wrongdoing.</w:t>
      </w:r>
    </w:p>
    <w:p w:rsidR="001E1C62" w:rsidRDefault="001E1C62" w:rsidP="008D657A">
      <w:pPr>
        <w:spacing w:line="360" w:lineRule="auto"/>
      </w:pPr>
    </w:p>
    <w:p w:rsidR="00F70B70" w:rsidRDefault="001E1C62" w:rsidP="008D657A">
      <w:pPr>
        <w:spacing w:line="360" w:lineRule="auto"/>
      </w:pPr>
      <w:r>
        <w:tab/>
      </w:r>
      <w:r>
        <w:tab/>
        <w:t>I received this case assignment on May 10, 20</w:t>
      </w:r>
      <w:r w:rsidR="00F3475F">
        <w:t>1</w:t>
      </w:r>
      <w:r>
        <w:t>0.  On the same date,</w:t>
      </w:r>
      <w:r w:rsidR="00F70B70">
        <w:t xml:space="preserve"> a standard Pre</w:t>
      </w:r>
      <w:r w:rsidR="006C3F6D">
        <w:t>hearing</w:t>
      </w:r>
      <w:r w:rsidR="00F70B70">
        <w:t xml:space="preserve"> Order was issued.</w:t>
      </w:r>
      <w:r w:rsidR="005E7D2E">
        <w:t xml:space="preserve">  Five Interim Orders were issued granting two postponements of hearings, but denying three </w:t>
      </w:r>
      <w:r w:rsidR="000F7173">
        <w:t xml:space="preserve">applications </w:t>
      </w:r>
      <w:r w:rsidR="005E7D2E">
        <w:t>of Complainant to subpoena witnesses.</w:t>
      </w:r>
    </w:p>
    <w:p w:rsidR="00F70B70" w:rsidRDefault="00F70B70" w:rsidP="008D657A">
      <w:pPr>
        <w:spacing w:line="360" w:lineRule="auto"/>
      </w:pPr>
    </w:p>
    <w:p w:rsidR="00300B68" w:rsidRDefault="00F70B70" w:rsidP="00D96645">
      <w:pPr>
        <w:spacing w:line="360" w:lineRule="auto"/>
      </w:pPr>
      <w:r>
        <w:tab/>
      </w:r>
      <w:r>
        <w:tab/>
        <w:t xml:space="preserve">A hearing </w:t>
      </w:r>
      <w:r w:rsidR="00D96645">
        <w:t xml:space="preserve">convened on </w:t>
      </w:r>
      <w:r>
        <w:t>Tuesday, September 7, 2010 in the Pittsburgh offices of the Commission.</w:t>
      </w:r>
      <w:r w:rsidR="006C3F6D">
        <w:t xml:space="preserve">  </w:t>
      </w:r>
      <w:r w:rsidR="005E7D2E">
        <w:t xml:space="preserve">Complainant appeared </w:t>
      </w:r>
      <w:r w:rsidR="005E7D2E">
        <w:rPr>
          <w:i/>
        </w:rPr>
        <w:t>pro se</w:t>
      </w:r>
      <w:r w:rsidR="005E7D2E">
        <w:t xml:space="preserve">.  </w:t>
      </w:r>
      <w:proofErr w:type="spellStart"/>
      <w:r w:rsidR="00BB41A4">
        <w:t>Krysia</w:t>
      </w:r>
      <w:proofErr w:type="spellEnd"/>
      <w:r w:rsidR="00BB41A4">
        <w:t xml:space="preserve"> </w:t>
      </w:r>
      <w:proofErr w:type="spellStart"/>
      <w:r w:rsidR="00BB41A4">
        <w:t>Kubiak</w:t>
      </w:r>
      <w:proofErr w:type="spellEnd"/>
      <w:r w:rsidR="00BB41A4">
        <w:t>, Esq., represented Respondent, which sponsored three exhibits that were admitted into the re</w:t>
      </w:r>
      <w:r w:rsidR="00F454FE">
        <w:t>cord.  The hearing generated 67 </w:t>
      </w:r>
      <w:r w:rsidR="00BB41A4">
        <w:t>pages of notes of testimon</w:t>
      </w:r>
      <w:r w:rsidR="00F42344">
        <w:t>y.  No briefs were filed.  The record closed on October 7, 2010.</w:t>
      </w:r>
    </w:p>
    <w:p w:rsidR="00F42344" w:rsidRDefault="00F42344" w:rsidP="00D96645">
      <w:pPr>
        <w:spacing w:line="360" w:lineRule="auto"/>
      </w:pPr>
    </w:p>
    <w:p w:rsidR="00F42344" w:rsidRDefault="00F42344" w:rsidP="00F42344">
      <w:pPr>
        <w:spacing w:line="360" w:lineRule="auto"/>
        <w:jc w:val="center"/>
      </w:pPr>
      <w:r>
        <w:rPr>
          <w:u w:val="single"/>
        </w:rPr>
        <w:lastRenderedPageBreak/>
        <w:t>FINDINGS OF FACT</w:t>
      </w:r>
    </w:p>
    <w:p w:rsidR="00F454FE" w:rsidRDefault="00F454FE" w:rsidP="00F454FE">
      <w:pPr>
        <w:spacing w:line="360" w:lineRule="auto"/>
      </w:pPr>
    </w:p>
    <w:p w:rsidR="00F454FE" w:rsidRDefault="00F454FE" w:rsidP="00F454FE">
      <w:pPr>
        <w:pStyle w:val="ListParagraph"/>
        <w:numPr>
          <w:ilvl w:val="0"/>
          <w:numId w:val="2"/>
        </w:numPr>
        <w:spacing w:line="360" w:lineRule="auto"/>
        <w:ind w:left="0" w:firstLine="1440"/>
      </w:pPr>
      <w:r>
        <w:t xml:space="preserve">Complainant resides </w:t>
      </w:r>
      <w:r w:rsidR="00000501">
        <w:t xml:space="preserve">alone </w:t>
      </w:r>
      <w:r>
        <w:t>at</w:t>
      </w:r>
      <w:r w:rsidR="0006566E">
        <w:t xml:space="preserve"> 109 Shaw Street, Aliquippa, Pennsylvania 15001 where she has lived since January 2004 (N.T. </w:t>
      </w:r>
      <w:r w:rsidR="00DF28C5">
        <w:t>5-6</w:t>
      </w:r>
      <w:r w:rsidR="0006566E">
        <w:t>).</w:t>
      </w:r>
    </w:p>
    <w:p w:rsidR="00DF28C5" w:rsidRDefault="00DF28C5" w:rsidP="00DF28C5">
      <w:pPr>
        <w:pStyle w:val="ListParagraph"/>
        <w:spacing w:line="360" w:lineRule="auto"/>
        <w:ind w:left="1440"/>
      </w:pPr>
    </w:p>
    <w:p w:rsidR="00FE6386" w:rsidRDefault="00DF28C5" w:rsidP="00300B68">
      <w:pPr>
        <w:pStyle w:val="ListParagraph"/>
        <w:numPr>
          <w:ilvl w:val="0"/>
          <w:numId w:val="2"/>
        </w:numPr>
        <w:spacing w:line="360" w:lineRule="auto"/>
        <w:ind w:left="0" w:firstLine="1440"/>
      </w:pPr>
      <w:r>
        <w:t>Respondent, Duquesne Light Company, provides residential electric service to Complainant</w:t>
      </w:r>
      <w:r w:rsidR="00157698">
        <w:t xml:space="preserve"> at the foregoing location (N.T. 5).</w:t>
      </w:r>
    </w:p>
    <w:p w:rsidR="00157698" w:rsidRDefault="00157698" w:rsidP="00157698">
      <w:pPr>
        <w:pStyle w:val="ListParagraph"/>
      </w:pPr>
    </w:p>
    <w:p w:rsidR="00157698" w:rsidRDefault="008631F3" w:rsidP="00300B68">
      <w:pPr>
        <w:pStyle w:val="ListParagraph"/>
        <w:numPr>
          <w:ilvl w:val="0"/>
          <w:numId w:val="2"/>
        </w:numPr>
        <w:spacing w:line="360" w:lineRule="auto"/>
        <w:ind w:left="0" w:firstLine="1440"/>
      </w:pPr>
      <w:r>
        <w:t xml:space="preserve">Complainant insists Duquesne Light must remove its utility pole </w:t>
      </w:r>
      <w:r w:rsidR="00185AEC">
        <w:t xml:space="preserve">that is </w:t>
      </w:r>
      <w:r>
        <w:t xml:space="preserve">located </w:t>
      </w:r>
      <w:r w:rsidR="00CE39B2">
        <w:t xml:space="preserve">75 feet </w:t>
      </w:r>
      <w:r>
        <w:t xml:space="preserve">to the rear of </w:t>
      </w:r>
      <w:r w:rsidR="00185AEC">
        <w:t xml:space="preserve">her property, because she can find nothing in her deed or other papers to justify </w:t>
      </w:r>
      <w:r w:rsidR="000A23C4">
        <w:t xml:space="preserve">its </w:t>
      </w:r>
      <w:r w:rsidR="00185AEC">
        <w:t xml:space="preserve">right to place </w:t>
      </w:r>
      <w:r w:rsidR="000A23C4">
        <w:t xml:space="preserve">the pole </w:t>
      </w:r>
      <w:r w:rsidR="00185AEC">
        <w:t>there</w:t>
      </w:r>
      <w:r w:rsidR="00EA5C83">
        <w:t xml:space="preserve"> (N.T. 6</w:t>
      </w:r>
      <w:r w:rsidR="002402C2">
        <w:t>, 14</w:t>
      </w:r>
      <w:r w:rsidR="003750DF">
        <w:t>, 26</w:t>
      </w:r>
      <w:r w:rsidR="00CE39B2">
        <w:t>, 52-5</w:t>
      </w:r>
      <w:r w:rsidR="004D53A4">
        <w:t>4</w:t>
      </w:r>
      <w:r w:rsidR="00EA5C83">
        <w:t>).</w:t>
      </w:r>
    </w:p>
    <w:p w:rsidR="00EA5C83" w:rsidRDefault="00EA5C83" w:rsidP="00EA5C83">
      <w:pPr>
        <w:pStyle w:val="ListParagraph"/>
      </w:pPr>
    </w:p>
    <w:p w:rsidR="00EA5C83" w:rsidRDefault="00EA5C83" w:rsidP="00300B68">
      <w:pPr>
        <w:pStyle w:val="ListParagraph"/>
        <w:numPr>
          <w:ilvl w:val="0"/>
          <w:numId w:val="2"/>
        </w:numPr>
        <w:spacing w:line="360" w:lineRule="auto"/>
        <w:ind w:left="0" w:firstLine="1440"/>
      </w:pPr>
      <w:r>
        <w:t>Complainant contends the subject pole must be moved</w:t>
      </w:r>
      <w:r w:rsidR="00EC4505">
        <w:t>, because it is “old, split [and] just deteriorated” (N.T. 6</w:t>
      </w:r>
      <w:r w:rsidR="002402C2">
        <w:t>, 14</w:t>
      </w:r>
      <w:r w:rsidR="00EC4505">
        <w:t>).</w:t>
      </w:r>
    </w:p>
    <w:p w:rsidR="00EC4505" w:rsidRDefault="00EC4505" w:rsidP="00EC4505">
      <w:pPr>
        <w:pStyle w:val="ListParagraph"/>
      </w:pPr>
    </w:p>
    <w:p w:rsidR="00EC4505" w:rsidRDefault="00EC4505" w:rsidP="00300B68">
      <w:pPr>
        <w:pStyle w:val="ListParagraph"/>
        <w:numPr>
          <w:ilvl w:val="0"/>
          <w:numId w:val="2"/>
        </w:numPr>
        <w:spacing w:line="360" w:lineRule="auto"/>
        <w:ind w:left="0" w:firstLine="1440"/>
      </w:pPr>
      <w:r>
        <w:t xml:space="preserve">Complainant notes Duquesne Light’s overhead facilities can be moved to a second </w:t>
      </w:r>
      <w:r w:rsidR="0025627C">
        <w:t xml:space="preserve">pole located off her property </w:t>
      </w:r>
      <w:r w:rsidR="00BA29E9">
        <w:t xml:space="preserve">in </w:t>
      </w:r>
      <w:r w:rsidR="0025627C">
        <w:t>the rear</w:t>
      </w:r>
      <w:r w:rsidR="00A5404A">
        <w:t xml:space="preserve"> alley</w:t>
      </w:r>
      <w:r w:rsidR="0025627C">
        <w:t xml:space="preserve"> (N.T. 6</w:t>
      </w:r>
      <w:r w:rsidR="00A5404A">
        <w:t>-7</w:t>
      </w:r>
      <w:r w:rsidR="00222A5F">
        <w:t>, 20</w:t>
      </w:r>
      <w:r w:rsidR="0025627C">
        <w:t>).</w:t>
      </w:r>
    </w:p>
    <w:p w:rsidR="0025627C" w:rsidRDefault="0025627C" w:rsidP="0025627C">
      <w:pPr>
        <w:pStyle w:val="ListParagraph"/>
      </w:pPr>
    </w:p>
    <w:p w:rsidR="0025627C" w:rsidRDefault="0025627C" w:rsidP="00300B68">
      <w:pPr>
        <w:pStyle w:val="ListParagraph"/>
        <w:numPr>
          <w:ilvl w:val="0"/>
          <w:numId w:val="2"/>
        </w:numPr>
        <w:spacing w:line="360" w:lineRule="auto"/>
        <w:ind w:left="0" w:firstLine="1440"/>
      </w:pPr>
      <w:r>
        <w:t>Duquesne Light agrees to replace the pole, but not to move it or its facilities</w:t>
      </w:r>
      <w:r w:rsidR="006E516C">
        <w:t xml:space="preserve"> </w:t>
      </w:r>
      <w:r w:rsidR="00637AA0">
        <w:t xml:space="preserve">without payment from Complainant </w:t>
      </w:r>
      <w:r w:rsidR="000A23C4">
        <w:t>(N.T. 8).</w:t>
      </w:r>
    </w:p>
    <w:p w:rsidR="000A23C4" w:rsidRDefault="000A23C4" w:rsidP="000A23C4">
      <w:pPr>
        <w:pStyle w:val="ListParagraph"/>
      </w:pPr>
    </w:p>
    <w:p w:rsidR="000A23C4" w:rsidRDefault="00B10B04" w:rsidP="00300B68">
      <w:pPr>
        <w:pStyle w:val="ListParagraph"/>
        <w:numPr>
          <w:ilvl w:val="0"/>
          <w:numId w:val="2"/>
        </w:numPr>
        <w:spacing w:line="360" w:lineRule="auto"/>
        <w:ind w:left="0" w:firstLine="1440"/>
      </w:pPr>
      <w:r>
        <w:t xml:space="preserve">Complainant </w:t>
      </w:r>
      <w:r w:rsidR="00EA238F">
        <w:t xml:space="preserve">also </w:t>
      </w:r>
      <w:r>
        <w:t xml:space="preserve">wants Duquesne Light to remove the pole, because </w:t>
      </w:r>
      <w:r w:rsidR="009501E6">
        <w:t xml:space="preserve">she claims </w:t>
      </w:r>
      <w:r>
        <w:t xml:space="preserve">heavy trucks damage her property with ruts when service personnel </w:t>
      </w:r>
      <w:r w:rsidR="00BA29E9">
        <w:t xml:space="preserve">come out to </w:t>
      </w:r>
      <w:r w:rsidR="0052449F">
        <w:t xml:space="preserve">read the meter, </w:t>
      </w:r>
      <w:r w:rsidR="00BA29E9">
        <w:t>trim trees or restore service</w:t>
      </w:r>
      <w:r w:rsidR="00EA238F">
        <w:t xml:space="preserve">.  She </w:t>
      </w:r>
      <w:r w:rsidR="009501E6">
        <w:t xml:space="preserve">avers </w:t>
      </w:r>
      <w:r w:rsidR="00EA238F">
        <w:t>her house foundation has been damaged to the extent that her basement has been flooded with six to eight inches of water</w:t>
      </w:r>
      <w:r w:rsidR="001326C8">
        <w:t>, necessitating replacement of her furnace and installation of a new sewer line (N.T. </w:t>
      </w:r>
      <w:r w:rsidR="008F1E62">
        <w:t xml:space="preserve">6, </w:t>
      </w:r>
      <w:r w:rsidR="001326C8">
        <w:t>9-1</w:t>
      </w:r>
      <w:r w:rsidR="006E3923">
        <w:t>1</w:t>
      </w:r>
      <w:r w:rsidR="001326C8">
        <w:t>).</w:t>
      </w:r>
    </w:p>
    <w:p w:rsidR="001326C8" w:rsidRDefault="001326C8" w:rsidP="001326C8">
      <w:pPr>
        <w:pStyle w:val="ListParagraph"/>
      </w:pPr>
    </w:p>
    <w:p w:rsidR="001326C8" w:rsidRDefault="006E3923" w:rsidP="00300B68">
      <w:pPr>
        <w:pStyle w:val="ListParagraph"/>
        <w:numPr>
          <w:ilvl w:val="0"/>
          <w:numId w:val="2"/>
        </w:numPr>
        <w:spacing w:line="360" w:lineRule="auto"/>
        <w:ind w:left="0" w:firstLine="1440"/>
      </w:pPr>
      <w:r>
        <w:t>Complainant relates that she receives water runoff from adjoining streets</w:t>
      </w:r>
      <w:r w:rsidR="0052449F">
        <w:t xml:space="preserve"> (N.T. 10-11</w:t>
      </w:r>
      <w:r w:rsidR="002251FB">
        <w:t>, 52</w:t>
      </w:r>
      <w:r w:rsidR="0052449F">
        <w:t>).</w:t>
      </w:r>
    </w:p>
    <w:p w:rsidR="00460CD0" w:rsidRDefault="00460CD0" w:rsidP="00460CD0">
      <w:pPr>
        <w:pStyle w:val="ListParagraph"/>
      </w:pPr>
    </w:p>
    <w:p w:rsidR="00460CD0" w:rsidRDefault="008F1E62" w:rsidP="00300B68">
      <w:pPr>
        <w:pStyle w:val="ListParagraph"/>
        <w:numPr>
          <w:ilvl w:val="0"/>
          <w:numId w:val="2"/>
        </w:numPr>
        <w:spacing w:line="360" w:lineRule="auto"/>
        <w:ind w:left="0" w:firstLine="1440"/>
      </w:pPr>
      <w:r>
        <w:t>In addition, Complainant</w:t>
      </w:r>
      <w:r w:rsidR="000541F2">
        <w:t xml:space="preserve"> receives threats from her neighbors whenever</w:t>
      </w:r>
      <w:r w:rsidR="00201EBD">
        <w:t xml:space="preserve"> </w:t>
      </w:r>
      <w:r w:rsidR="00037924">
        <w:t xml:space="preserve">a power outage occurs and she </w:t>
      </w:r>
      <w:r w:rsidR="007B08BC">
        <w:t xml:space="preserve">does </w:t>
      </w:r>
      <w:r w:rsidR="00037924">
        <w:t xml:space="preserve">not let </w:t>
      </w:r>
      <w:r w:rsidR="007B08BC">
        <w:t xml:space="preserve">Duquesne Light trucks onto her property to restore </w:t>
      </w:r>
      <w:r w:rsidR="007B08BC">
        <w:lastRenderedPageBreak/>
        <w:t>service.</w:t>
      </w:r>
      <w:r w:rsidR="000541F2">
        <w:t xml:space="preserve">  Her neighbors </w:t>
      </w:r>
      <w:r w:rsidR="0020682A">
        <w:t>blame her and have broken her windows</w:t>
      </w:r>
      <w:r w:rsidR="007B08BC">
        <w:t xml:space="preserve"> on three occasions</w:t>
      </w:r>
      <w:r w:rsidR="00201EBD">
        <w:t>.  She wants Duquesne Light to remove the pole</w:t>
      </w:r>
      <w:r w:rsidR="00DC1931">
        <w:t xml:space="preserve"> so she can fence in her yard (N.T. 8</w:t>
      </w:r>
      <w:r w:rsidR="007B08BC">
        <w:t>, 14-1</w:t>
      </w:r>
      <w:r w:rsidR="009A2442">
        <w:t>7</w:t>
      </w:r>
      <w:r w:rsidR="00DC1931">
        <w:t>).</w:t>
      </w:r>
    </w:p>
    <w:p w:rsidR="00DC1931" w:rsidRDefault="00DC1931" w:rsidP="00DC1931">
      <w:pPr>
        <w:pStyle w:val="ListParagraph"/>
      </w:pPr>
    </w:p>
    <w:p w:rsidR="00DC1931" w:rsidRDefault="00DE2982" w:rsidP="00300B68">
      <w:pPr>
        <w:pStyle w:val="ListParagraph"/>
        <w:numPr>
          <w:ilvl w:val="0"/>
          <w:numId w:val="2"/>
        </w:numPr>
        <w:spacing w:line="360" w:lineRule="auto"/>
        <w:ind w:left="0" w:firstLine="1440"/>
      </w:pPr>
      <w:r>
        <w:t xml:space="preserve">On another occasion, </w:t>
      </w:r>
      <w:r w:rsidR="001722EB">
        <w:t xml:space="preserve">Complainant blames </w:t>
      </w:r>
      <w:r>
        <w:t xml:space="preserve">Duquesne Light </w:t>
      </w:r>
      <w:r w:rsidR="001722EB">
        <w:t xml:space="preserve">for </w:t>
      </w:r>
      <w:r>
        <w:t>trimm</w:t>
      </w:r>
      <w:r w:rsidR="001722EB">
        <w:t>ing</w:t>
      </w:r>
      <w:r>
        <w:t xml:space="preserve"> a tree on </w:t>
      </w:r>
      <w:r w:rsidR="00542E37">
        <w:t xml:space="preserve">her </w:t>
      </w:r>
      <w:r>
        <w:t xml:space="preserve">property in the </w:t>
      </w:r>
      <w:r w:rsidR="009A2442">
        <w:t>s</w:t>
      </w:r>
      <w:r>
        <w:t>pring of 200</w:t>
      </w:r>
      <w:r w:rsidR="009A2442">
        <w:t>4</w:t>
      </w:r>
      <w:r>
        <w:t xml:space="preserve"> that was hit by lightning </w:t>
      </w:r>
      <w:r w:rsidR="001722EB">
        <w:t xml:space="preserve">that </w:t>
      </w:r>
      <w:r w:rsidR="009A2442">
        <w:t>s</w:t>
      </w:r>
      <w:r w:rsidR="001722EB">
        <w:t xml:space="preserve">ummer.  </w:t>
      </w:r>
      <w:r w:rsidR="00E97551">
        <w:t xml:space="preserve">She believes trimming the tree rendered it more vulnerable to the weather.  </w:t>
      </w:r>
      <w:r w:rsidR="001722EB">
        <w:t>Insurance paid only a portion of the cost of removing the tree</w:t>
      </w:r>
      <w:r w:rsidR="00542E37">
        <w:t xml:space="preserve"> (N.T. 14</w:t>
      </w:r>
      <w:r w:rsidR="009A2442">
        <w:t>-</w:t>
      </w:r>
      <w:r w:rsidR="00E97B6F">
        <w:t>1</w:t>
      </w:r>
      <w:r w:rsidR="009A2442">
        <w:t>7</w:t>
      </w:r>
      <w:r w:rsidR="00542E37">
        <w:t>).</w:t>
      </w:r>
    </w:p>
    <w:p w:rsidR="00E97551" w:rsidRDefault="00E97551" w:rsidP="00E97551">
      <w:pPr>
        <w:pStyle w:val="ListParagraph"/>
      </w:pPr>
    </w:p>
    <w:p w:rsidR="00E97551" w:rsidRDefault="0083397B" w:rsidP="00300B68">
      <w:pPr>
        <w:pStyle w:val="ListParagraph"/>
        <w:numPr>
          <w:ilvl w:val="0"/>
          <w:numId w:val="2"/>
        </w:numPr>
        <w:spacing w:line="360" w:lineRule="auto"/>
        <w:ind w:left="0" w:firstLine="1440"/>
      </w:pPr>
      <w:r>
        <w:t>On yet another occasion, a tree trimming crew left Complainant’s property after a wind storm in 2008</w:t>
      </w:r>
      <w:r w:rsidR="006E6AFE">
        <w:t xml:space="preserve"> without bothering to do anything about downed wires (N.T. 16).</w:t>
      </w:r>
    </w:p>
    <w:p w:rsidR="006E6AFE" w:rsidRDefault="006E6AFE" w:rsidP="006E6AFE">
      <w:pPr>
        <w:pStyle w:val="ListParagraph"/>
      </w:pPr>
    </w:p>
    <w:p w:rsidR="006E6AFE" w:rsidRDefault="004E10F7" w:rsidP="00300B68">
      <w:pPr>
        <w:pStyle w:val="ListParagraph"/>
        <w:numPr>
          <w:ilvl w:val="0"/>
          <w:numId w:val="2"/>
        </w:numPr>
        <w:spacing w:line="360" w:lineRule="auto"/>
        <w:ind w:left="0" w:firstLine="1440"/>
      </w:pPr>
      <w:r>
        <w:t>On September 2, 2008, Lewis Tree Service, acting on behalf of Duquesne Light, responded to a report of a tree down on Complainant’s property following a wind storm.  Upon arrival, Lewis Tree Service discovered</w:t>
      </w:r>
      <w:r w:rsidR="0053262A">
        <w:t xml:space="preserve"> that the tree was already cleared out of the way so as to enable the Duquesne Light crew to repair the downed wires (N.T. 22-</w:t>
      </w:r>
      <w:r w:rsidR="003750DF">
        <w:t>25</w:t>
      </w:r>
      <w:r w:rsidR="009C787A">
        <w:t>, 30</w:t>
      </w:r>
      <w:r w:rsidR="003750DF">
        <w:t xml:space="preserve">; Respondent’s </w:t>
      </w:r>
      <w:proofErr w:type="spellStart"/>
      <w:r w:rsidR="003750DF">
        <w:t>Exh</w:t>
      </w:r>
      <w:proofErr w:type="spellEnd"/>
      <w:r w:rsidR="003750DF">
        <w:t>. 3</w:t>
      </w:r>
      <w:r w:rsidR="0053262A">
        <w:t>).</w:t>
      </w:r>
    </w:p>
    <w:p w:rsidR="003750DF" w:rsidRDefault="003750DF" w:rsidP="003750DF">
      <w:pPr>
        <w:pStyle w:val="ListParagraph"/>
      </w:pPr>
    </w:p>
    <w:p w:rsidR="003750DF" w:rsidRDefault="000D31CA" w:rsidP="00300B68">
      <w:pPr>
        <w:pStyle w:val="ListParagraph"/>
        <w:numPr>
          <w:ilvl w:val="0"/>
          <w:numId w:val="2"/>
        </w:numPr>
        <w:spacing w:line="360" w:lineRule="auto"/>
        <w:ind w:left="0" w:firstLine="1440"/>
      </w:pPr>
      <w:r>
        <w:t xml:space="preserve">On July 13, 2004, </w:t>
      </w:r>
      <w:r w:rsidR="00DD4050">
        <w:t xml:space="preserve">a representative of </w:t>
      </w:r>
      <w:r>
        <w:t>Lewis Tree Service met with Complainant</w:t>
      </w:r>
      <w:r w:rsidR="00835568">
        <w:t xml:space="preserve"> to discuss a tree on </w:t>
      </w:r>
      <w:r w:rsidR="000950CB">
        <w:t xml:space="preserve">her </w:t>
      </w:r>
      <w:r w:rsidR="00835568">
        <w:t>property that had been hit by lightning</w:t>
      </w:r>
      <w:r w:rsidR="000950CB">
        <w:t xml:space="preserve"> (N.T. 35-39; Respondent’s </w:t>
      </w:r>
      <w:proofErr w:type="spellStart"/>
      <w:r w:rsidR="000950CB">
        <w:t>Exh</w:t>
      </w:r>
      <w:proofErr w:type="spellEnd"/>
      <w:r w:rsidR="000950CB">
        <w:t>. 2).</w:t>
      </w:r>
    </w:p>
    <w:p w:rsidR="000950CB" w:rsidRDefault="000950CB" w:rsidP="000950CB">
      <w:pPr>
        <w:pStyle w:val="ListParagraph"/>
      </w:pPr>
    </w:p>
    <w:p w:rsidR="000950CB" w:rsidRDefault="00352E96" w:rsidP="00300B68">
      <w:pPr>
        <w:pStyle w:val="ListParagraph"/>
        <w:numPr>
          <w:ilvl w:val="0"/>
          <w:numId w:val="2"/>
        </w:numPr>
        <w:spacing w:line="360" w:lineRule="auto"/>
        <w:ind w:left="0" w:firstLine="1440"/>
      </w:pPr>
      <w:r>
        <w:t xml:space="preserve">Duquesne Light installed the subject pole, which carries secondary wires, on this property in the 1930s.  These </w:t>
      </w:r>
      <w:r w:rsidR="00637AA0">
        <w:t xml:space="preserve">wires </w:t>
      </w:r>
      <w:r>
        <w:t>serve Complainant and her neighbors</w:t>
      </w:r>
      <w:r w:rsidR="00E063FD">
        <w:t xml:space="preserve"> (N.T. 45-4</w:t>
      </w:r>
      <w:r w:rsidR="008D4ADF">
        <w:t>7</w:t>
      </w:r>
      <w:r w:rsidR="00E063FD">
        <w:t>).</w:t>
      </w:r>
    </w:p>
    <w:p w:rsidR="00E063FD" w:rsidRDefault="00E063FD" w:rsidP="00E063FD">
      <w:pPr>
        <w:pStyle w:val="ListParagraph"/>
      </w:pPr>
    </w:p>
    <w:p w:rsidR="00E063FD" w:rsidRDefault="00677264" w:rsidP="00300B68">
      <w:pPr>
        <w:pStyle w:val="ListParagraph"/>
        <w:numPr>
          <w:ilvl w:val="0"/>
          <w:numId w:val="2"/>
        </w:numPr>
        <w:spacing w:line="360" w:lineRule="auto"/>
        <w:ind w:left="0" w:firstLine="1440"/>
      </w:pPr>
      <w:r>
        <w:t>The secondary pole across the alley is located approximately 25-30 feet from the subject pole on Complainant’s property (N.T. 47).</w:t>
      </w:r>
    </w:p>
    <w:p w:rsidR="00677264" w:rsidRDefault="00677264" w:rsidP="00677264">
      <w:pPr>
        <w:pStyle w:val="ListParagraph"/>
      </w:pPr>
    </w:p>
    <w:p w:rsidR="00677264" w:rsidRDefault="00B63D9B" w:rsidP="00300B68">
      <w:pPr>
        <w:pStyle w:val="ListParagraph"/>
        <w:numPr>
          <w:ilvl w:val="0"/>
          <w:numId w:val="2"/>
        </w:numPr>
        <w:spacing w:line="360" w:lineRule="auto"/>
        <w:ind w:left="0" w:firstLine="1440"/>
      </w:pPr>
      <w:r>
        <w:t>A representative of Duquesne Light met with Complainant on</w:t>
      </w:r>
      <w:r w:rsidR="00036D19">
        <w:t xml:space="preserve"> September 16, 2009 to discuss moving Respondent’s facilities to </w:t>
      </w:r>
      <w:r w:rsidR="00B506F3">
        <w:t xml:space="preserve">a </w:t>
      </w:r>
      <w:r w:rsidR="00036D19">
        <w:t>secondary pole across the alley</w:t>
      </w:r>
      <w:r w:rsidR="00B506F3">
        <w:t xml:space="preserve"> that is owned by Verizon</w:t>
      </w:r>
      <w:r w:rsidR="00251322">
        <w:t xml:space="preserve">.  He explained that Duquesne Light would have to charge her for the extra work of trimming trees, </w:t>
      </w:r>
      <w:r w:rsidR="00AD6414">
        <w:t>installing additional guy wires and moving its facilities</w:t>
      </w:r>
      <w:r w:rsidR="00662894">
        <w:t>, including service feeds to the other homes</w:t>
      </w:r>
      <w:r w:rsidR="00AD6414">
        <w:t xml:space="preserve">.  </w:t>
      </w:r>
      <w:r w:rsidR="006E3D09">
        <w:t xml:space="preserve">The Verizon pole in the alley would also have to be </w:t>
      </w:r>
      <w:r w:rsidR="006E3D09">
        <w:lastRenderedPageBreak/>
        <w:t xml:space="preserve">replaced, because it is not high enough to carry Respondent’s facilities.  </w:t>
      </w:r>
      <w:r w:rsidR="00AD6414">
        <w:t>Complainant was unwilling to pay these costs (N.T. 43, 47-48</w:t>
      </w:r>
      <w:r w:rsidR="00D713D4">
        <w:t>, 55</w:t>
      </w:r>
      <w:r w:rsidR="00291F2A">
        <w:t>, 60</w:t>
      </w:r>
      <w:r w:rsidR="00AD6414">
        <w:t>).</w:t>
      </w:r>
    </w:p>
    <w:p w:rsidR="00AD6414" w:rsidRDefault="00AD6414" w:rsidP="00AD6414">
      <w:pPr>
        <w:pStyle w:val="ListParagraph"/>
      </w:pPr>
    </w:p>
    <w:p w:rsidR="00AD6414" w:rsidRDefault="00662894" w:rsidP="00300B68">
      <w:pPr>
        <w:pStyle w:val="ListParagraph"/>
        <w:numPr>
          <w:ilvl w:val="0"/>
          <w:numId w:val="2"/>
        </w:numPr>
        <w:spacing w:line="360" w:lineRule="auto"/>
        <w:ind w:left="0" w:firstLine="1440"/>
      </w:pPr>
      <w:r>
        <w:t>Duquesne Light is willing to replace the existing pole, even though it considers the pole to be in satisfac</w:t>
      </w:r>
      <w:r w:rsidR="00E144E9">
        <w:t xml:space="preserve">tory condition.  Complainant refused this offer, saying she wanted the pole removed and service to her neighbors </w:t>
      </w:r>
      <w:r w:rsidR="00B506F3">
        <w:t>discontinued</w:t>
      </w:r>
      <w:r w:rsidR="00E144E9">
        <w:t xml:space="preserve"> </w:t>
      </w:r>
      <w:r w:rsidR="00D713D4">
        <w:t xml:space="preserve">because she was angry with them </w:t>
      </w:r>
      <w:r w:rsidR="00E144E9">
        <w:t>(N.T. </w:t>
      </w:r>
      <w:r w:rsidR="00CE39B2">
        <w:t xml:space="preserve">45, </w:t>
      </w:r>
      <w:r w:rsidR="00E144E9">
        <w:t>48-50</w:t>
      </w:r>
      <w:r w:rsidR="004D53A4">
        <w:t>, 53</w:t>
      </w:r>
      <w:r w:rsidR="00D713D4">
        <w:t>, 56</w:t>
      </w:r>
      <w:r w:rsidR="00291F2A">
        <w:t>-57</w:t>
      </w:r>
      <w:r w:rsidR="00436AC2">
        <w:t>, 62</w:t>
      </w:r>
      <w:r w:rsidR="004D53A4">
        <w:t xml:space="preserve">; Respondent’s </w:t>
      </w:r>
      <w:proofErr w:type="spellStart"/>
      <w:r w:rsidR="004D53A4">
        <w:t>Exh</w:t>
      </w:r>
      <w:proofErr w:type="spellEnd"/>
      <w:r w:rsidR="004D53A4">
        <w:t>. 1</w:t>
      </w:r>
      <w:r w:rsidR="00E144E9">
        <w:t>).</w:t>
      </w:r>
    </w:p>
    <w:p w:rsidR="007C1C2F" w:rsidRDefault="007C1C2F" w:rsidP="007C1C2F">
      <w:pPr>
        <w:pStyle w:val="ListParagraph"/>
      </w:pPr>
    </w:p>
    <w:p w:rsidR="007C1C2F" w:rsidRDefault="000A3969" w:rsidP="000A3969">
      <w:pPr>
        <w:spacing w:line="360" w:lineRule="auto"/>
        <w:jc w:val="center"/>
      </w:pPr>
      <w:r>
        <w:rPr>
          <w:u w:val="single"/>
        </w:rPr>
        <w:t>DISCUSSION</w:t>
      </w:r>
    </w:p>
    <w:p w:rsidR="000A3969" w:rsidRDefault="000A3969" w:rsidP="000A3969">
      <w:pPr>
        <w:spacing w:line="360" w:lineRule="auto"/>
      </w:pPr>
    </w:p>
    <w:p w:rsidR="000A3969" w:rsidRDefault="00E733CE" w:rsidP="000A3969">
      <w:pPr>
        <w:spacing w:line="360" w:lineRule="auto"/>
      </w:pPr>
      <w:r>
        <w:tab/>
      </w:r>
      <w:r>
        <w:tab/>
        <w:t>Complainant wishes to have Duquesne Light remove its utility pole that is located on her property</w:t>
      </w:r>
      <w:r w:rsidR="00A76D69">
        <w:t xml:space="preserve">.  </w:t>
      </w:r>
      <w:r w:rsidR="005B0972">
        <w:t xml:space="preserve">She claims the pole is illegally on her property, </w:t>
      </w:r>
      <w:r w:rsidR="00D25204">
        <w:t>interfering with her property</w:t>
      </w:r>
      <w:r w:rsidR="001572A6">
        <w:t xml:space="preserve"> rights and causing her damages.  For the following reasons, this complaint must be denied.</w:t>
      </w:r>
    </w:p>
    <w:p w:rsidR="001572A6" w:rsidRDefault="001572A6" w:rsidP="000A3969">
      <w:pPr>
        <w:spacing w:line="360" w:lineRule="auto"/>
      </w:pPr>
    </w:p>
    <w:p w:rsidR="001572A6" w:rsidRDefault="001572A6" w:rsidP="000A3969">
      <w:pPr>
        <w:spacing w:line="360" w:lineRule="auto"/>
      </w:pPr>
      <w:r>
        <w:t>A.</w:t>
      </w:r>
      <w:r>
        <w:tab/>
      </w:r>
      <w:r>
        <w:rPr>
          <w:u w:val="single"/>
        </w:rPr>
        <w:t>Jurisdiction</w:t>
      </w:r>
    </w:p>
    <w:p w:rsidR="001572A6" w:rsidRDefault="001572A6" w:rsidP="000A3969">
      <w:pPr>
        <w:spacing w:line="360" w:lineRule="auto"/>
      </w:pPr>
    </w:p>
    <w:p w:rsidR="00D4719F" w:rsidRDefault="001572A6" w:rsidP="00D4719F">
      <w:pPr>
        <w:spacing w:line="360" w:lineRule="auto"/>
      </w:pPr>
      <w:r>
        <w:tab/>
      </w:r>
      <w:r>
        <w:tab/>
      </w:r>
      <w:r w:rsidR="00D4719F" w:rsidRPr="00A937DA">
        <w:t xml:space="preserve">As a creature of legislation, the Commission possesses only the authority the State Legislature has specifically granted to it in the Public Utility Code (the “Code”), 66 Pa. C.S. §§101, </w:t>
      </w:r>
      <w:r w:rsidR="00D4719F" w:rsidRPr="00A937DA">
        <w:rPr>
          <w:i/>
        </w:rPr>
        <w:t>et seq</w:t>
      </w:r>
      <w:r w:rsidR="00D4719F" w:rsidRPr="00A937DA">
        <w:t xml:space="preserve">.  Its jurisdiction must arise from the express language of the pertinent enabling legislation or by strong and necessary implication </w:t>
      </w:r>
      <w:proofErr w:type="spellStart"/>
      <w:r w:rsidR="00D4719F" w:rsidRPr="00A937DA">
        <w:t>therefrom</w:t>
      </w:r>
      <w:proofErr w:type="spellEnd"/>
      <w:r w:rsidR="00D4719F" w:rsidRPr="00A937DA">
        <w:t xml:space="preserve">.  </w:t>
      </w:r>
      <w:r w:rsidR="00D4719F" w:rsidRPr="00A937DA">
        <w:rPr>
          <w:u w:val="single"/>
        </w:rPr>
        <w:t xml:space="preserve">Feingold v. </w:t>
      </w:r>
      <w:smartTag w:uri="urn:schemas-microsoft-com:office:smarttags" w:element="City">
        <w:smartTag w:uri="urn:schemas-microsoft-com:office:smarttags" w:element="place">
          <w:r w:rsidR="00D4719F" w:rsidRPr="00A937DA">
            <w:rPr>
              <w:u w:val="single"/>
            </w:rPr>
            <w:t>Bell</w:t>
          </w:r>
        </w:smartTag>
      </w:smartTag>
      <w:r w:rsidR="00D4719F" w:rsidRPr="00A937DA">
        <w:rPr>
          <w:u w:val="single"/>
        </w:rPr>
        <w:t xml:space="preserve"> of </w:t>
      </w:r>
      <w:smartTag w:uri="urn:schemas-microsoft-com:office:smarttags" w:element="State">
        <w:smartTag w:uri="urn:schemas-microsoft-com:office:smarttags" w:element="place">
          <w:r w:rsidR="00D4719F" w:rsidRPr="00A937DA">
            <w:rPr>
              <w:u w:val="single"/>
            </w:rPr>
            <w:t>Pa.</w:t>
          </w:r>
        </w:smartTag>
      </w:smartTag>
      <w:r w:rsidR="00D4719F" w:rsidRPr="00A937DA">
        <w:t xml:space="preserve">, 477 </w:t>
      </w:r>
      <w:smartTag w:uri="urn:schemas-microsoft-com:office:smarttags" w:element="State">
        <w:smartTag w:uri="urn:schemas-microsoft-com:office:smarttags" w:element="place">
          <w:r w:rsidR="00D4719F" w:rsidRPr="00A937DA">
            <w:t>Pa.</w:t>
          </w:r>
        </w:smartTag>
      </w:smartTag>
      <w:r w:rsidR="00D4719F" w:rsidRPr="00A937DA">
        <w:t xml:space="preserve"> 1, 383 A.2d </w:t>
      </w:r>
      <w:r w:rsidR="00D4719F">
        <w:t>7</w:t>
      </w:r>
      <w:r w:rsidR="00D4719F" w:rsidRPr="00A937DA">
        <w:t xml:space="preserve">91 (1977); </w:t>
      </w:r>
      <w:r w:rsidR="00D4719F" w:rsidRPr="00A937DA">
        <w:rPr>
          <w:u w:val="single"/>
        </w:rPr>
        <w:t xml:space="preserve">Allegheny County Port Authority v. </w:t>
      </w:r>
      <w:smartTag w:uri="urn:schemas-microsoft-com:office:smarttags" w:element="State">
        <w:smartTag w:uri="urn:schemas-microsoft-com:office:smarttags" w:element="place">
          <w:r w:rsidR="00D4719F" w:rsidRPr="00A937DA">
            <w:rPr>
              <w:u w:val="single"/>
            </w:rPr>
            <w:t>Pa.</w:t>
          </w:r>
        </w:smartTag>
      </w:smartTag>
      <w:r w:rsidR="00D4719F" w:rsidRPr="00A937DA">
        <w:rPr>
          <w:u w:val="single"/>
        </w:rPr>
        <w:t xml:space="preserve"> P.U.C.</w:t>
      </w:r>
      <w:r w:rsidR="00D4719F" w:rsidRPr="00A937DA">
        <w:t xml:space="preserve">, 427 </w:t>
      </w:r>
      <w:smartTag w:uri="urn:schemas-microsoft-com:office:smarttags" w:element="State">
        <w:smartTag w:uri="urn:schemas-microsoft-com:office:smarttags" w:element="place">
          <w:r w:rsidR="00D4719F" w:rsidRPr="00A937DA">
            <w:t>Pa.</w:t>
          </w:r>
        </w:smartTag>
      </w:smartTag>
      <w:r w:rsidR="00D4719F" w:rsidRPr="00A937DA">
        <w:t xml:space="preserve"> 562, 237 A.2d 602 (1967); </w:t>
      </w:r>
      <w:proofErr w:type="spellStart"/>
      <w:r w:rsidR="00D4719F" w:rsidRPr="00A937DA">
        <w:rPr>
          <w:u w:val="single"/>
        </w:rPr>
        <w:t>Behrend</w:t>
      </w:r>
      <w:proofErr w:type="spellEnd"/>
      <w:r w:rsidR="00D4719F" w:rsidRPr="00A937DA">
        <w:rPr>
          <w:u w:val="single"/>
        </w:rPr>
        <w:t xml:space="preserve"> v. Bell of P</w:t>
      </w:r>
      <w:r w:rsidR="00D4719F">
        <w:rPr>
          <w:u w:val="single"/>
        </w:rPr>
        <w:t>a.</w:t>
      </w:r>
      <w:r w:rsidR="00D4719F" w:rsidRPr="00A937DA">
        <w:t>, 257 Pa. Superior Ct. 35, 390 A.2d 233 (1978);</w:t>
      </w:r>
      <w:r w:rsidR="00D4719F">
        <w:t xml:space="preserve"> </w:t>
      </w:r>
      <w:r w:rsidR="00D4719F">
        <w:rPr>
          <w:u w:val="single"/>
        </w:rPr>
        <w:t>Harrisburg Taxicab &amp; Baggage Co. v. Pa. P.U.C.</w:t>
      </w:r>
      <w:r w:rsidR="00D4719F">
        <w:t xml:space="preserve">, 786 A.2d 288 (Pa. </w:t>
      </w:r>
      <w:proofErr w:type="spellStart"/>
      <w:r w:rsidR="00D4719F">
        <w:t>Cmwlth</w:t>
      </w:r>
      <w:proofErr w:type="spellEnd"/>
      <w:r w:rsidR="00D4719F">
        <w:t>. 2001); and</w:t>
      </w:r>
      <w:r w:rsidR="00D4719F" w:rsidRPr="00A937DA">
        <w:t xml:space="preserve"> </w:t>
      </w:r>
      <w:r w:rsidR="00D4719F" w:rsidRPr="00A937DA">
        <w:rPr>
          <w:u w:val="single"/>
        </w:rPr>
        <w:t>City of Erie v. Pa. Electric Co.</w:t>
      </w:r>
      <w:r w:rsidR="00D4719F" w:rsidRPr="00A937DA">
        <w:t>, 383 A.2d 575 (</w:t>
      </w:r>
      <w:smartTag w:uri="urn:schemas-microsoft-com:office:smarttags" w:element="State">
        <w:smartTag w:uri="urn:schemas-microsoft-com:office:smarttags" w:element="place">
          <w:r w:rsidR="00D4719F" w:rsidRPr="00A937DA">
            <w:t>Pa.</w:t>
          </w:r>
        </w:smartTag>
      </w:smartTag>
      <w:r w:rsidR="00D4719F">
        <w:t xml:space="preserve"> </w:t>
      </w:r>
      <w:proofErr w:type="spellStart"/>
      <w:r w:rsidR="00D4719F">
        <w:t>Cmwlth</w:t>
      </w:r>
      <w:proofErr w:type="spellEnd"/>
      <w:r w:rsidR="00D4719F">
        <w:t xml:space="preserve">. 1978).  Parties to an action may not confer jurisdiction upon a tribunal where none exists.  </w:t>
      </w:r>
      <w:proofErr w:type="gramStart"/>
      <w:r w:rsidR="00D4719F">
        <w:rPr>
          <w:u w:val="single"/>
        </w:rPr>
        <w:t xml:space="preserve">Roberts v. </w:t>
      </w:r>
      <w:proofErr w:type="spellStart"/>
      <w:r w:rsidR="00D4719F">
        <w:rPr>
          <w:u w:val="single"/>
        </w:rPr>
        <w:t>Martorano</w:t>
      </w:r>
      <w:proofErr w:type="spellEnd"/>
      <w:r w:rsidR="00D4719F">
        <w:t>, 427 Pa. 581, 235 A.2d 602 (1967).</w:t>
      </w:r>
      <w:proofErr w:type="gramEnd"/>
      <w:r w:rsidR="00D4719F">
        <w:t xml:space="preserve">  Similarly, a challenge to subject matter jurisdiction is never waived; this jurisdictional question may be raised at any stage of the judicial process.  </w:t>
      </w:r>
      <w:proofErr w:type="gramStart"/>
      <w:r w:rsidR="00D4719F">
        <w:rPr>
          <w:u w:val="single"/>
        </w:rPr>
        <w:t>Commonwealth v. Atlantic &amp; Gulf Coast Stevedores, Inc.</w:t>
      </w:r>
      <w:r w:rsidR="00D4719F">
        <w:t>, 422 Pa. 442, 221 A.2d 128 (1966).</w:t>
      </w:r>
      <w:proofErr w:type="gramEnd"/>
      <w:r w:rsidR="00D4719F">
        <w:t xml:space="preserve">  Furthermore, the mere fact that a party to an action qualifies as a regulated utility does not automatically confer subject matter jurisdiction upon the Commission.  </w:t>
      </w:r>
      <w:proofErr w:type="spellStart"/>
      <w:proofErr w:type="gramStart"/>
      <w:r w:rsidR="00D4719F">
        <w:rPr>
          <w:u w:val="single"/>
        </w:rPr>
        <w:t>DeFrancesco</w:t>
      </w:r>
      <w:proofErr w:type="spellEnd"/>
      <w:r w:rsidR="00D4719F">
        <w:rPr>
          <w:u w:val="single"/>
        </w:rPr>
        <w:t xml:space="preserve"> v. Western Pennsylvania Water Co.</w:t>
      </w:r>
      <w:r w:rsidR="00D4719F">
        <w:t>, 499 Pa. 374, 453 A.2d 595 (1982).</w:t>
      </w:r>
      <w:proofErr w:type="gramEnd"/>
    </w:p>
    <w:p w:rsidR="00D4719F" w:rsidRDefault="00D4719F" w:rsidP="00D4719F">
      <w:pPr>
        <w:spacing w:line="360" w:lineRule="auto"/>
      </w:pPr>
    </w:p>
    <w:p w:rsidR="00D4719F" w:rsidRDefault="00D4719F" w:rsidP="00D4719F">
      <w:pPr>
        <w:spacing w:line="360" w:lineRule="auto"/>
      </w:pPr>
      <w:r>
        <w:lastRenderedPageBreak/>
        <w:tab/>
      </w:r>
      <w:r>
        <w:tab/>
        <w:t xml:space="preserve">As directed by </w:t>
      </w:r>
      <w:r w:rsidRPr="00415BC5">
        <w:t xml:space="preserve">Section 501 of the Code, 66 </w:t>
      </w:r>
      <w:smartTag w:uri="urn:schemas-microsoft-com:office:smarttags" w:element="place">
        <w:smartTag w:uri="urn:schemas-microsoft-com:office:smarttags" w:element="State">
          <w:r w:rsidRPr="00415BC5">
            <w:t>Pa.</w:t>
          </w:r>
        </w:smartTag>
      </w:smartTag>
      <w:r w:rsidRPr="00415BC5">
        <w:t xml:space="preserve"> C.S. §501, the Commission must “enforce, execute and carry out, by its regulations, orders or otherwise” all the provisions of the Code.  Section 701 of the Code, 66 Pa. C.S. §701, allows any person, having an interest in the subject matter, to file a formal complaint in writing with the Commission setting forth any act or thing done or omitted to be done by any public utility in violation, or claimed violation, of any law which the Commission has jurisdiction to administer.  </w:t>
      </w:r>
      <w:r w:rsidRPr="00CB1665">
        <w:rPr>
          <w:i/>
        </w:rPr>
        <w:t>See also</w:t>
      </w:r>
      <w:r w:rsidRPr="00415BC5">
        <w:t xml:space="preserve">, 52 </w:t>
      </w:r>
      <w:smartTag w:uri="urn:schemas-microsoft-com:office:smarttags" w:element="place">
        <w:smartTag w:uri="urn:schemas-microsoft-com:office:smarttags" w:element="State">
          <w:r w:rsidRPr="00415BC5">
            <w:t>Pa.</w:t>
          </w:r>
        </w:smartTag>
      </w:smartTag>
      <w:r w:rsidRPr="00415BC5">
        <w:t xml:space="preserve"> Code §5.21(a).</w:t>
      </w:r>
      <w:r>
        <w:t xml:space="preserve">  </w:t>
      </w:r>
      <w:r w:rsidRPr="009E25A1">
        <w:t>Nothing in the Code</w:t>
      </w:r>
      <w:r>
        <w:t>, however,</w:t>
      </w:r>
      <w:r w:rsidRPr="009E25A1">
        <w:t xml:space="preserve"> confers jurisdiction upon the Commission to award monetary damages.  Accordingly, the Commission possesses no jurisdiction to consider </w:t>
      </w:r>
      <w:r w:rsidR="00601B37">
        <w:t xml:space="preserve">any implied </w:t>
      </w:r>
      <w:r w:rsidRPr="009E25A1">
        <w:t>request for reimbursement for</w:t>
      </w:r>
      <w:r>
        <w:t xml:space="preserve"> property damage</w:t>
      </w:r>
      <w:r w:rsidRPr="009E25A1">
        <w:t xml:space="preserve">.  </w:t>
      </w:r>
      <w:proofErr w:type="gramStart"/>
      <w:r w:rsidRPr="009E25A1">
        <w:rPr>
          <w:i/>
        </w:rPr>
        <w:t>See</w:t>
      </w:r>
      <w:r w:rsidRPr="009E25A1">
        <w:t xml:space="preserve">, </w:t>
      </w:r>
      <w:proofErr w:type="spellStart"/>
      <w:r w:rsidRPr="009E25A1">
        <w:rPr>
          <w:u w:val="single"/>
        </w:rPr>
        <w:t>DeFrancesco</w:t>
      </w:r>
      <w:proofErr w:type="spellEnd"/>
      <w:r w:rsidRPr="009E25A1">
        <w:rPr>
          <w:u w:val="single"/>
        </w:rPr>
        <w:t xml:space="preserve"> v. Western Pennsylvania Water Company</w:t>
      </w:r>
      <w:r w:rsidRPr="009E25A1">
        <w:t>,</w:t>
      </w:r>
      <w:r>
        <w:t xml:space="preserve"> </w:t>
      </w:r>
      <w:r>
        <w:rPr>
          <w:i/>
        </w:rPr>
        <w:t>supra</w:t>
      </w:r>
      <w:r w:rsidRPr="009E25A1">
        <w:t xml:space="preserve">; </w:t>
      </w:r>
      <w:r w:rsidRPr="009E25A1">
        <w:rPr>
          <w:u w:val="single"/>
        </w:rPr>
        <w:t>Elkin v. Bell of Pa.</w:t>
      </w:r>
      <w:r w:rsidRPr="009E25A1">
        <w:t xml:space="preserve">, 491 Pa. 123, 420 A.2d 371 (1980); </w:t>
      </w:r>
      <w:r w:rsidRPr="009E25A1">
        <w:rPr>
          <w:u w:val="single"/>
        </w:rPr>
        <w:t>Feingold v. Bell of Pa.</w:t>
      </w:r>
      <w:r w:rsidRPr="009E25A1">
        <w:t>,</w:t>
      </w:r>
      <w:r>
        <w:t xml:space="preserve"> </w:t>
      </w:r>
      <w:r>
        <w:rPr>
          <w:i/>
        </w:rPr>
        <w:t>supra</w:t>
      </w:r>
      <w:r w:rsidRPr="009E25A1">
        <w:t>.</w:t>
      </w:r>
      <w:proofErr w:type="gramEnd"/>
    </w:p>
    <w:p w:rsidR="001572A6" w:rsidRDefault="001572A6" w:rsidP="000A3969">
      <w:pPr>
        <w:spacing w:line="360" w:lineRule="auto"/>
      </w:pPr>
    </w:p>
    <w:p w:rsidR="00D4719F" w:rsidRDefault="00D4719F" w:rsidP="000A3969">
      <w:pPr>
        <w:spacing w:line="360" w:lineRule="auto"/>
      </w:pPr>
      <w:r>
        <w:tab/>
      </w:r>
      <w:r>
        <w:tab/>
      </w:r>
      <w:r w:rsidR="00E34863">
        <w:t>Moreover</w:t>
      </w:r>
      <w:r>
        <w:t xml:space="preserve">, </w:t>
      </w:r>
      <w:r w:rsidR="007D75C3" w:rsidRPr="007D75C3">
        <w:t>the Commission does not have jurisdiction over private contractual disputes between a citizen and a utility.</w:t>
      </w:r>
      <w:r w:rsidR="007D75C3">
        <w:t xml:space="preserve"> </w:t>
      </w:r>
      <w:r w:rsidR="007D75C3" w:rsidRPr="007D75C3">
        <w:t xml:space="preserve"> </w:t>
      </w:r>
      <w:proofErr w:type="spellStart"/>
      <w:proofErr w:type="gramStart"/>
      <w:r w:rsidR="007D75C3" w:rsidRPr="007D75C3">
        <w:rPr>
          <w:u w:val="single"/>
        </w:rPr>
        <w:t>Allport</w:t>
      </w:r>
      <w:proofErr w:type="spellEnd"/>
      <w:r w:rsidR="007D75C3" w:rsidRPr="007D75C3">
        <w:rPr>
          <w:u w:val="single"/>
        </w:rPr>
        <w:t xml:space="preserve"> Water Authority v. </w:t>
      </w:r>
      <w:proofErr w:type="spellStart"/>
      <w:r w:rsidR="007D75C3" w:rsidRPr="007D75C3">
        <w:rPr>
          <w:u w:val="single"/>
        </w:rPr>
        <w:t>Winburne</w:t>
      </w:r>
      <w:proofErr w:type="spellEnd"/>
      <w:r w:rsidR="007D75C3" w:rsidRPr="007D75C3">
        <w:rPr>
          <w:u w:val="single"/>
        </w:rPr>
        <w:t xml:space="preserve"> Water Co.</w:t>
      </w:r>
      <w:r w:rsidR="007D75C3" w:rsidRPr="007D75C3">
        <w:t>, 258</w:t>
      </w:r>
      <w:r w:rsidR="007D75C3">
        <w:t> </w:t>
      </w:r>
      <w:r w:rsidR="007D75C3" w:rsidRPr="007D75C3">
        <w:t>Pa. Super</w:t>
      </w:r>
      <w:r w:rsidR="007D75C3">
        <w:t>ior Ct</w:t>
      </w:r>
      <w:r w:rsidR="007D75C3" w:rsidRPr="007D75C3">
        <w:t>. 555, 393 A.2d 673 (1978)</w:t>
      </w:r>
      <w:r w:rsidR="007D75C3">
        <w:t>;</w:t>
      </w:r>
      <w:r w:rsidR="007D75C3" w:rsidRPr="007D75C3">
        <w:t xml:space="preserve"> </w:t>
      </w:r>
      <w:r w:rsidR="007D75C3" w:rsidRPr="007D75C3">
        <w:rPr>
          <w:u w:val="single"/>
        </w:rPr>
        <w:t>Feingold v. Bell of Pa.</w:t>
      </w:r>
      <w:r w:rsidR="007D75C3" w:rsidRPr="007D75C3">
        <w:t xml:space="preserve">, </w:t>
      </w:r>
      <w:r w:rsidR="007D75C3">
        <w:rPr>
          <w:i/>
        </w:rPr>
        <w:t>supra</w:t>
      </w:r>
      <w:r w:rsidR="007D75C3">
        <w:t>;</w:t>
      </w:r>
      <w:r w:rsidR="007D75C3" w:rsidRPr="007D75C3">
        <w:t xml:space="preserve"> </w:t>
      </w:r>
      <w:r w:rsidR="007D75C3" w:rsidRPr="007D75C3">
        <w:rPr>
          <w:u w:val="single"/>
        </w:rPr>
        <w:t>Hoch v. Philadelphia Electric Company</w:t>
      </w:r>
      <w:r w:rsidR="007D75C3" w:rsidRPr="007D75C3">
        <w:t>, 341 Pa. Super</w:t>
      </w:r>
      <w:r w:rsidR="007D75C3">
        <w:t>ior Ct</w:t>
      </w:r>
      <w:r w:rsidR="007D75C3" w:rsidRPr="007D75C3">
        <w:t>. 598, 492 A.2d 27 (1985).</w:t>
      </w:r>
      <w:proofErr w:type="gramEnd"/>
      <w:r w:rsidR="009B1FD5">
        <w:t xml:space="preserve">  </w:t>
      </w:r>
      <w:r w:rsidR="00264916" w:rsidRPr="00264916">
        <w:t xml:space="preserve">In </w:t>
      </w:r>
      <w:r w:rsidR="00CC08F8" w:rsidRPr="00CC08F8">
        <w:rPr>
          <w:u w:val="single"/>
        </w:rPr>
        <w:t>R</w:t>
      </w:r>
      <w:r w:rsidR="00264916" w:rsidRPr="00CC08F8">
        <w:rPr>
          <w:u w:val="single"/>
        </w:rPr>
        <w:t>e: Lou Amati/Amati Service Station v. West Penn Power Company and Bell Atlantic-Pennsylvania, Inc.</w:t>
      </w:r>
      <w:r w:rsidR="00264916" w:rsidRPr="00264916">
        <w:t xml:space="preserve">, Docket No. C-00945842 (Order entered October 25, 1996), this Commission </w:t>
      </w:r>
      <w:r w:rsidR="00CC08F8">
        <w:t xml:space="preserve">acknowledged it </w:t>
      </w:r>
      <w:r w:rsidR="00264916" w:rsidRPr="00264916">
        <w:t xml:space="preserve">is without subject matter jurisdiction to adjudicate questions involving trespass and whether or not utility facilities are located pursuant to valid easements or rights-of-way. </w:t>
      </w:r>
      <w:r w:rsidR="00CC08F8">
        <w:t xml:space="preserve"> </w:t>
      </w:r>
      <w:r w:rsidR="00264916" w:rsidRPr="00264916">
        <w:t xml:space="preserve">This </w:t>
      </w:r>
      <w:r w:rsidR="00CC08F8">
        <w:t xml:space="preserve">holding </w:t>
      </w:r>
      <w:r w:rsidR="00264916" w:rsidRPr="00264916">
        <w:t xml:space="preserve">is in accord with </w:t>
      </w:r>
      <w:r w:rsidR="00264916" w:rsidRPr="00CC08F8">
        <w:rPr>
          <w:u w:val="single"/>
        </w:rPr>
        <w:t xml:space="preserve">Fairview Water </w:t>
      </w:r>
      <w:r w:rsidR="007A137A">
        <w:rPr>
          <w:u w:val="single"/>
        </w:rPr>
        <w:t xml:space="preserve">Company </w:t>
      </w:r>
      <w:r w:rsidR="00264916" w:rsidRPr="00CC08F8">
        <w:rPr>
          <w:u w:val="single"/>
        </w:rPr>
        <w:t>v. Pa. P.U.C.</w:t>
      </w:r>
      <w:r w:rsidR="00264916" w:rsidRPr="00264916">
        <w:t xml:space="preserve">, 509 Pa. 384, 502 A.2d 162 (1985), which held that the Commission does not, in the context of </w:t>
      </w:r>
      <w:r w:rsidR="00FC78EA">
        <w:t xml:space="preserve"> an application proceeding</w:t>
      </w:r>
      <w:r w:rsidR="00264916" w:rsidRPr="00264916">
        <w:t xml:space="preserve"> which precede</w:t>
      </w:r>
      <w:r w:rsidR="00FC78EA">
        <w:t>s a</w:t>
      </w:r>
      <w:r w:rsidR="00264916" w:rsidRPr="00264916">
        <w:t xml:space="preserve"> condemnation under eminent domain laws, have the necessary jurisdiction to determine the scope and validity of an easement.</w:t>
      </w:r>
      <w:r w:rsidR="007A137A">
        <w:t xml:space="preserve">  Hence, the Commission </w:t>
      </w:r>
      <w:r w:rsidR="009D266A">
        <w:t xml:space="preserve">has no jurisdiction to determine if Duquesne Light possesses the right to </w:t>
      </w:r>
      <w:r w:rsidR="00340595">
        <w:t>place its utility pole on Complainant’s property.</w:t>
      </w:r>
    </w:p>
    <w:p w:rsidR="00340595" w:rsidRDefault="00340595" w:rsidP="000A3969">
      <w:pPr>
        <w:spacing w:line="360" w:lineRule="auto"/>
      </w:pPr>
    </w:p>
    <w:p w:rsidR="00340595" w:rsidRDefault="00340595" w:rsidP="000A3969">
      <w:pPr>
        <w:spacing w:line="360" w:lineRule="auto"/>
      </w:pPr>
      <w:r>
        <w:tab/>
      </w:r>
      <w:r>
        <w:tab/>
        <w:t>The Commis</w:t>
      </w:r>
      <w:r w:rsidR="00BA1A86">
        <w:t xml:space="preserve">sion, however, </w:t>
      </w:r>
      <w:r w:rsidR="002B61C2">
        <w:t xml:space="preserve">pursuant to </w:t>
      </w:r>
      <w:r w:rsidR="00BA1A86">
        <w:t xml:space="preserve">Section 1501 of the Code, 66 Pa. C.S. §1501, </w:t>
      </w:r>
      <w:r w:rsidR="002B61C2" w:rsidRPr="002B61C2">
        <w:t>has jurisdiction over the reasonableness and ade</w:t>
      </w:r>
      <w:r w:rsidR="002B61C2">
        <w:t>quacy of public utility service</w:t>
      </w:r>
      <w:r w:rsidR="00FC707D">
        <w:t xml:space="preserve"> and facilities.</w:t>
      </w:r>
      <w:r w:rsidR="00F81EEF">
        <w:t xml:space="preserve">  On the question of whether Duquesne Light has violated its duty to render reasonable and adequate service and facilities, </w:t>
      </w:r>
      <w:r w:rsidR="004D1D11">
        <w:t xml:space="preserve">Complainant bears the burden of proof.  </w:t>
      </w:r>
      <w:proofErr w:type="gramStart"/>
      <w:r w:rsidR="004D1D11">
        <w:t>66 Pa. C.S. §332(a).</w:t>
      </w:r>
      <w:proofErr w:type="gramEnd"/>
    </w:p>
    <w:p w:rsidR="004D1D11" w:rsidRDefault="004D1D11" w:rsidP="000A3969">
      <w:pPr>
        <w:spacing w:line="360" w:lineRule="auto"/>
      </w:pPr>
    </w:p>
    <w:p w:rsidR="004D1D11" w:rsidRDefault="004D1D11" w:rsidP="000A3969">
      <w:pPr>
        <w:spacing w:line="360" w:lineRule="auto"/>
      </w:pPr>
      <w:r>
        <w:lastRenderedPageBreak/>
        <w:t>B.</w:t>
      </w:r>
      <w:r>
        <w:tab/>
      </w:r>
      <w:r>
        <w:rPr>
          <w:u w:val="single"/>
        </w:rPr>
        <w:t>The Burden of Proof</w:t>
      </w:r>
    </w:p>
    <w:p w:rsidR="004D1D11" w:rsidRDefault="004D1D11" w:rsidP="000A3969">
      <w:pPr>
        <w:spacing w:line="360" w:lineRule="auto"/>
      </w:pPr>
    </w:p>
    <w:p w:rsidR="00EB1170" w:rsidRPr="00B96312" w:rsidRDefault="004D1D11" w:rsidP="00EB1170">
      <w:pPr>
        <w:spacing w:line="360" w:lineRule="auto"/>
      </w:pPr>
      <w:r>
        <w:tab/>
      </w:r>
      <w:r>
        <w:tab/>
      </w:r>
      <w:r w:rsidR="00EB1170" w:rsidRPr="00B96312">
        <w:t xml:space="preserve">The term “burden of proof” means a duty to establish a fact by a preponderance of the evidence.  </w:t>
      </w:r>
      <w:proofErr w:type="gramStart"/>
      <w:r w:rsidR="00EB1170">
        <w:rPr>
          <w:u w:val="single"/>
        </w:rPr>
        <w:t>Se-Ling Hosiery v. Marg</w:t>
      </w:r>
      <w:r w:rsidR="00EB1170" w:rsidRPr="00B96312">
        <w:rPr>
          <w:u w:val="single"/>
        </w:rPr>
        <w:t>ulies</w:t>
      </w:r>
      <w:r w:rsidR="00EB1170">
        <w:t>, 364 </w:t>
      </w:r>
      <w:r w:rsidR="00EB1170" w:rsidRPr="00B96312">
        <w:t xml:space="preserve">Pa. 45, 70 A.2d 854 (1954); </w:t>
      </w:r>
      <w:r w:rsidR="00EB1170">
        <w:t xml:space="preserve">and </w:t>
      </w:r>
      <w:r w:rsidR="00EB1170" w:rsidRPr="00B96312">
        <w:rPr>
          <w:u w:val="single"/>
        </w:rPr>
        <w:t>Feinstein v. Philadelphia Suburban Water Company</w:t>
      </w:r>
      <w:r w:rsidR="00EB1170" w:rsidRPr="00B96312">
        <w:t>, 50 Pa. P.U.C. 300 (1976).</w:t>
      </w:r>
      <w:proofErr w:type="gramEnd"/>
      <w:r w:rsidR="00EB1170" w:rsidRPr="00B96312">
        <w:t xml:space="preserve">  The term “preponderance of the evidence” means one party must present evidence that is more convincing, by even the smallest amount, than the evidence presented by the other party.  </w:t>
      </w:r>
      <w:smartTag w:uri="urn:schemas-microsoft-com:office:smarttags" w:element="place">
        <w:smartTag w:uri="urn:schemas-microsoft-com:office:smarttags" w:element="State">
          <w:r w:rsidR="00EB1170" w:rsidRPr="00B96312">
            <w:rPr>
              <w:i/>
            </w:rPr>
            <w:t>Id</w:t>
          </w:r>
          <w:r w:rsidR="00EB1170" w:rsidRPr="00B96312">
            <w:t>.</w:t>
          </w:r>
        </w:smartTag>
      </w:smartTag>
      <w:r w:rsidR="00EB1170" w:rsidRPr="00B96312">
        <w:t xml:space="preserve">  Accordingly, one must review the record in this case to determine whether Complainant</w:t>
      </w:r>
      <w:r w:rsidR="00EB1170">
        <w:t xml:space="preserve"> has</w:t>
      </w:r>
      <w:r w:rsidR="00EB1170" w:rsidRPr="00B96312">
        <w:t xml:space="preserve"> satisfied </w:t>
      </w:r>
      <w:r w:rsidR="00EB1170">
        <w:t xml:space="preserve">her </w:t>
      </w:r>
      <w:r w:rsidR="00EB1170" w:rsidRPr="00B96312">
        <w:t>burden of proof.  If the review indicates the burden has been satisfied, one must then determine whether Respondent has submitted evidence of co-equal value or weight to refute Complainant</w:t>
      </w:r>
      <w:r w:rsidR="00EB1170">
        <w:t>’</w:t>
      </w:r>
      <w:r w:rsidR="00EB1170" w:rsidRPr="00B96312">
        <w:t xml:space="preserve">s evidence.  If this has occurred, the burden of proof cannot be satisfied, unless the party bearing the burden of proof presents additional evidence.  </w:t>
      </w:r>
      <w:proofErr w:type="spellStart"/>
      <w:r w:rsidR="00EB1170" w:rsidRPr="00B96312">
        <w:rPr>
          <w:u w:val="single"/>
        </w:rPr>
        <w:t>Morissey</w:t>
      </w:r>
      <w:proofErr w:type="spellEnd"/>
      <w:r w:rsidR="00EB1170" w:rsidRPr="00B96312">
        <w:rPr>
          <w:u w:val="single"/>
        </w:rPr>
        <w:t xml:space="preserve"> v. Pa. Dept. of Highways</w:t>
      </w:r>
      <w:r w:rsidR="00EB1170" w:rsidRPr="00B96312">
        <w:t xml:space="preserve">, 424 </w:t>
      </w:r>
      <w:smartTag w:uri="urn:schemas-microsoft-com:office:smarttags" w:element="place">
        <w:smartTag w:uri="urn:schemas-microsoft-com:office:smarttags" w:element="State">
          <w:r w:rsidR="00EB1170" w:rsidRPr="00B96312">
            <w:t>Pa.</w:t>
          </w:r>
        </w:smartTag>
      </w:smartTag>
      <w:r w:rsidR="00EB1170" w:rsidRPr="00B96312">
        <w:t xml:space="preserve"> 87, 225 A.2d 895 (1967); and </w:t>
      </w:r>
      <w:r w:rsidR="00EB1170" w:rsidRPr="00B96312">
        <w:rPr>
          <w:u w:val="single"/>
        </w:rPr>
        <w:t>Burleson v. Pa. P.U.C.</w:t>
      </w:r>
      <w:r w:rsidR="00EB1170" w:rsidRPr="00B96312">
        <w:t xml:space="preserve">, 443 A.2d 1373 (Pa. </w:t>
      </w:r>
      <w:proofErr w:type="spellStart"/>
      <w:r w:rsidR="00EB1170" w:rsidRPr="00B96312">
        <w:t>Cmwlth</w:t>
      </w:r>
      <w:proofErr w:type="spellEnd"/>
      <w:r w:rsidR="00EB1170" w:rsidRPr="00B96312">
        <w:t xml:space="preserve">. 1982), </w:t>
      </w:r>
      <w:r w:rsidR="00EB1170" w:rsidRPr="00B96312">
        <w:rPr>
          <w:i/>
        </w:rPr>
        <w:t>affirmed</w:t>
      </w:r>
      <w:r w:rsidR="00EB1170" w:rsidRPr="00B96312">
        <w:t>, 501 Pa. 443, 461 A.2d 1234.</w:t>
      </w:r>
    </w:p>
    <w:p w:rsidR="00EB1170" w:rsidRPr="00B96312" w:rsidRDefault="00EB1170" w:rsidP="00EB1170">
      <w:pPr>
        <w:spacing w:line="360" w:lineRule="auto"/>
      </w:pPr>
    </w:p>
    <w:p w:rsidR="004D1D11" w:rsidRDefault="00EB1170" w:rsidP="00EB1170">
      <w:pPr>
        <w:spacing w:line="360" w:lineRule="auto"/>
      </w:pPr>
      <w:r w:rsidRPr="00B96312">
        <w:tab/>
      </w:r>
      <w:r w:rsidRPr="00B96312">
        <w:tab/>
        <w:t xml:space="preserve">Furthermore, one must exercise care to ensure substantial evidence in the record supports the decision of the Commission.  </w:t>
      </w:r>
      <w:proofErr w:type="gramStart"/>
      <w:r w:rsidRPr="00B96312">
        <w:rPr>
          <w:i/>
        </w:rPr>
        <w:t>See</w:t>
      </w:r>
      <w:r w:rsidRPr="00B96312">
        <w:t xml:space="preserve">, </w:t>
      </w:r>
      <w:r w:rsidRPr="00B96312">
        <w:rPr>
          <w:i/>
        </w:rPr>
        <w:t>e.g.</w:t>
      </w:r>
      <w:r w:rsidRPr="00B96312">
        <w:t xml:space="preserve">, Section 704 of the Administrative Agency Law, 2 Pa. C.S. §704; </w:t>
      </w:r>
      <w:r>
        <w:t xml:space="preserve">and </w:t>
      </w:r>
      <w:r w:rsidRPr="00B96312">
        <w:rPr>
          <w:u w:val="single"/>
        </w:rPr>
        <w:t>Yellow Cab Company v. Pa. P.U.C.</w:t>
      </w:r>
      <w:r w:rsidRPr="00B96312">
        <w:t xml:space="preserve">, 524 A.2d 1069 (Pa. </w:t>
      </w:r>
      <w:proofErr w:type="spellStart"/>
      <w:r w:rsidRPr="00B96312">
        <w:t>Cmwlth</w:t>
      </w:r>
      <w:proofErr w:type="spellEnd"/>
      <w:r w:rsidRPr="00B96312">
        <w:t>. 1987).</w:t>
      </w:r>
      <w:proofErr w:type="gramEnd"/>
      <w:r w:rsidRPr="00B96312">
        <w:t xml:space="preserve">  </w:t>
      </w:r>
      <w:r>
        <w:t>T</w:t>
      </w:r>
      <w:r w:rsidRPr="00B96312">
        <w:t>he term “substantial evidence” mean</w:t>
      </w:r>
      <w:r>
        <w:t>s</w:t>
      </w:r>
      <w:r w:rsidRPr="00B96312">
        <w:t xml:space="preserve"> such relevant evidence that a reasonable mind may accept as adequate to support a conclusion.  </w:t>
      </w:r>
      <w:smartTag w:uri="urn:schemas-microsoft-com:office:smarttags" w:element="City">
        <w:r>
          <w:rPr>
            <w:u w:val="single"/>
          </w:rPr>
          <w:t>Philadelphia</w:t>
        </w:r>
      </w:smartTag>
      <w:r>
        <w:rPr>
          <w:u w:val="single"/>
        </w:rPr>
        <w:t xml:space="preserve"> Gas Works v. </w:t>
      </w:r>
      <w:smartTag w:uri="urn:schemas-microsoft-com:office:smarttags" w:element="State">
        <w:r>
          <w:rPr>
            <w:u w:val="single"/>
          </w:rPr>
          <w:t>Pa.</w:t>
        </w:r>
      </w:smartTag>
      <w:r>
        <w:rPr>
          <w:u w:val="single"/>
        </w:rPr>
        <w:t xml:space="preserve"> P.U.C.</w:t>
      </w:r>
      <w:r>
        <w:t>, 898 A.2d 671 (</w:t>
      </w:r>
      <w:smartTag w:uri="urn:schemas-microsoft-com:office:smarttags" w:element="place">
        <w:smartTag w:uri="urn:schemas-microsoft-com:office:smarttags" w:element="State">
          <w:r>
            <w:t>Pa.</w:t>
          </w:r>
        </w:smartTag>
      </w:smartTag>
      <w:r>
        <w:t xml:space="preserve"> </w:t>
      </w:r>
      <w:proofErr w:type="spellStart"/>
      <w:r>
        <w:t>Cmwlth</w:t>
      </w:r>
      <w:proofErr w:type="spellEnd"/>
      <w:r>
        <w:t xml:space="preserve">. 2006).  The pertinent inquiry is whether substantial evidence exists to support the Commission’s findings.  </w:t>
      </w:r>
      <w:proofErr w:type="gramStart"/>
      <w:r>
        <w:rPr>
          <w:u w:val="single"/>
        </w:rPr>
        <w:t>Elliot Co. v. Workers’ Comp. Appeal Bd. (Shipley)</w:t>
      </w:r>
      <w:r>
        <w:t xml:space="preserve">, 785 A.2d 480 (Pa. </w:t>
      </w:r>
      <w:proofErr w:type="spellStart"/>
      <w:r>
        <w:t>Cmwlth</w:t>
      </w:r>
      <w:proofErr w:type="spellEnd"/>
      <w:r>
        <w:t>. 2002).</w:t>
      </w:r>
      <w:proofErr w:type="gramEnd"/>
      <w:r>
        <w:t xml:space="preserve">  </w:t>
      </w:r>
      <w:r w:rsidRPr="00B96312">
        <w:t xml:space="preserve">More is required than a mere trace of evidence or a suspicion of the existence of a fact sought to be established.  </w:t>
      </w:r>
      <w:r w:rsidRPr="00B96312">
        <w:rPr>
          <w:u w:val="single"/>
        </w:rPr>
        <w:t>Norfolk &amp; Western Ry. Co. v. Pa. P.U.C.</w:t>
      </w:r>
      <w:r>
        <w:t xml:space="preserve">, 489 </w:t>
      </w:r>
      <w:r w:rsidRPr="00B96312">
        <w:t xml:space="preserve">Pa. 109, 413 A.2d 1037 (1980); </w:t>
      </w:r>
      <w:r w:rsidRPr="00B96312">
        <w:rPr>
          <w:u w:val="single"/>
        </w:rPr>
        <w:t>Erie Resistor Corp. v. Unemployment Comp. Bd. of Review</w:t>
      </w:r>
      <w:r w:rsidRPr="00B96312">
        <w:t xml:space="preserve">, 194 Pa. Superior Ct. 278, 166 A.2d 96 (1961); and </w:t>
      </w:r>
      <w:r w:rsidRPr="00B96312">
        <w:rPr>
          <w:u w:val="single"/>
        </w:rPr>
        <w:t>Murphy v. Pa. Dept. of Public Welfare, White Haven Center</w:t>
      </w:r>
      <w:r w:rsidRPr="00B96312">
        <w:t xml:space="preserve">, 480 A.2d 382 (Pa. </w:t>
      </w:r>
      <w:proofErr w:type="spellStart"/>
      <w:r w:rsidRPr="00B96312">
        <w:t>Cmwlth</w:t>
      </w:r>
      <w:proofErr w:type="spellEnd"/>
      <w:r w:rsidRPr="00B96312">
        <w:t xml:space="preserve">. 1984).  The Commission has held that a complainant, to establish a sufficient case against a utility and satisfy the burden of proof, must show the utility is responsible or accountable for the problem described in the complaint.  </w:t>
      </w:r>
      <w:proofErr w:type="gramStart"/>
      <w:r w:rsidRPr="00B96312">
        <w:rPr>
          <w:u w:val="single"/>
        </w:rPr>
        <w:t>Feinstein</w:t>
      </w:r>
      <w:r w:rsidRPr="00B96312">
        <w:t xml:space="preserve">, </w:t>
      </w:r>
      <w:r w:rsidRPr="00B96312">
        <w:rPr>
          <w:i/>
        </w:rPr>
        <w:t>supra</w:t>
      </w:r>
      <w:r w:rsidRPr="00B96312">
        <w:t>.</w:t>
      </w:r>
      <w:proofErr w:type="gramEnd"/>
    </w:p>
    <w:p w:rsidR="000A5AEF" w:rsidRDefault="000A5AEF" w:rsidP="00EB1170">
      <w:pPr>
        <w:spacing w:line="360" w:lineRule="auto"/>
      </w:pPr>
    </w:p>
    <w:p w:rsidR="0083579D" w:rsidRDefault="0083579D" w:rsidP="00EB1170">
      <w:pPr>
        <w:spacing w:line="360" w:lineRule="auto"/>
      </w:pPr>
    </w:p>
    <w:p w:rsidR="000A5AEF" w:rsidRDefault="000A5AEF" w:rsidP="00EB1170">
      <w:pPr>
        <w:spacing w:line="360" w:lineRule="auto"/>
      </w:pPr>
      <w:r>
        <w:lastRenderedPageBreak/>
        <w:t>C.</w:t>
      </w:r>
      <w:r>
        <w:tab/>
      </w:r>
      <w:r>
        <w:rPr>
          <w:u w:val="single"/>
        </w:rPr>
        <w:t>The Circumstances of This Case</w:t>
      </w:r>
    </w:p>
    <w:p w:rsidR="000A5AEF" w:rsidRDefault="000A5AEF" w:rsidP="00EB1170">
      <w:pPr>
        <w:spacing w:line="360" w:lineRule="auto"/>
      </w:pPr>
    </w:p>
    <w:p w:rsidR="000A5AEF" w:rsidRDefault="000A5AEF" w:rsidP="00EB1170">
      <w:pPr>
        <w:spacing w:line="360" w:lineRule="auto"/>
      </w:pPr>
      <w:r>
        <w:tab/>
      </w:r>
      <w:r>
        <w:tab/>
      </w:r>
      <w:r w:rsidR="001743D5">
        <w:t xml:space="preserve">Complainant contends the subject pole must be moved, because it is “old, split [and] just deteriorated” (N.T. 6, 14).  Duquesne Light installed the subject pole, which carries secondary wires, on this property in the 1930s (N.T. 45-47).  </w:t>
      </w:r>
      <w:r w:rsidR="007C5E34">
        <w:t>Duquesne Light is willing to replace the existing pole, even though it considers the pole to be in satisfactory condition, but it will not agree to remove the pole without Complainant paying for the</w:t>
      </w:r>
      <w:r w:rsidR="00F06C30">
        <w:t xml:space="preserve"> removal</w:t>
      </w:r>
      <w:r w:rsidR="007C5E34">
        <w:t xml:space="preserve">.  Complainant refused this offer, saying she wanted the pole removed </w:t>
      </w:r>
      <w:r w:rsidR="00F06C30">
        <w:t xml:space="preserve">at Respondent’s sole cost and expense </w:t>
      </w:r>
      <w:r w:rsidR="007C5E34">
        <w:t xml:space="preserve">(N.T. 45, 48-50, 53, 56-57, 62; Respondent’s </w:t>
      </w:r>
      <w:proofErr w:type="spellStart"/>
      <w:r w:rsidR="007C5E34">
        <w:t>Exh</w:t>
      </w:r>
      <w:proofErr w:type="spellEnd"/>
      <w:r w:rsidR="007C5E34">
        <w:t>. 1).</w:t>
      </w:r>
      <w:r w:rsidR="00F06C30">
        <w:t xml:space="preserve">  Based upon this record,</w:t>
      </w:r>
      <w:r w:rsidR="00CB7D29">
        <w:t xml:space="preserve"> one cannot say with any degree of assurance that the pole poses such a danger that it must be removed.</w:t>
      </w:r>
    </w:p>
    <w:p w:rsidR="00CB7D29" w:rsidRDefault="00CB7D29" w:rsidP="00EB1170">
      <w:pPr>
        <w:spacing w:line="360" w:lineRule="auto"/>
      </w:pPr>
    </w:p>
    <w:p w:rsidR="00CB7D29" w:rsidRDefault="00CB7D29" w:rsidP="00EB1170">
      <w:pPr>
        <w:spacing w:line="360" w:lineRule="auto"/>
      </w:pPr>
      <w:r>
        <w:tab/>
      </w:r>
      <w:r>
        <w:tab/>
        <w:t>Likewise,</w:t>
      </w:r>
      <w:r w:rsidR="00561D5F">
        <w:t xml:space="preserve"> one cannot say with any degree of certainty that </w:t>
      </w:r>
      <w:r w:rsidR="00EE2322">
        <w:t xml:space="preserve">the pole causes damage to Complainant’s property.  She claims heavy trucks damage her property with ruts when service personnel come out to read the meter, trim trees or restore service.  She avers her house foundation has been damaged to the extent that her basement has been flooded with six to eight inches of water, necessitating replacement of her furnace and installation of a new sewer line (N.T. 6, 9-11).  Yet, Complainant concedes </w:t>
      </w:r>
      <w:r w:rsidR="00325560">
        <w:t>that she receives water runoff from adjoining streets (N.T. 10-11, 52).</w:t>
      </w:r>
      <w:r w:rsidR="00841C4E">
        <w:t xml:space="preserve">  She agrees that </w:t>
      </w:r>
      <w:r w:rsidR="00EC44F0">
        <w:t>cable, telephone and garbage companies run their truck</w:t>
      </w:r>
      <w:r w:rsidR="004F71F1">
        <w:t>s</w:t>
      </w:r>
      <w:r w:rsidR="00EC44F0">
        <w:t xml:space="preserve"> across her property</w:t>
      </w:r>
      <w:r w:rsidR="004F71F1">
        <w:t xml:space="preserve"> (N.T. 6, 52).  Finally, she admits that the damage to her property is due to </w:t>
      </w:r>
      <w:r w:rsidR="00CD5F17">
        <w:t>water runoff and not to Respondent’s pole (N.T. 52).</w:t>
      </w:r>
    </w:p>
    <w:p w:rsidR="00AA40A1" w:rsidRDefault="00AA40A1" w:rsidP="00EB1170">
      <w:pPr>
        <w:spacing w:line="360" w:lineRule="auto"/>
      </w:pPr>
    </w:p>
    <w:p w:rsidR="00AA40A1" w:rsidRDefault="00AA40A1" w:rsidP="00EB1170">
      <w:pPr>
        <w:spacing w:line="360" w:lineRule="auto"/>
      </w:pPr>
      <w:r>
        <w:tab/>
      </w:r>
      <w:r>
        <w:tab/>
        <w:t xml:space="preserve">Lastly, Complainant asserts she receives threats from her neighbors whenever a power outage occurs and she does not let Duquesne Light trucks onto her property to restore service.  Her neighbors blame her and have broken her windows on three occasions.  She wants Duquesne Light to remove the pole so she can fence in her yard (N.T. 8, 14-17).  Clearly, Duquesne Light is not responsible for how </w:t>
      </w:r>
      <w:r w:rsidR="00075F90">
        <w:t xml:space="preserve">other people react when Complainant refuses to allow its crews on her property to perform </w:t>
      </w:r>
      <w:r w:rsidR="00CB3985">
        <w:t xml:space="preserve">necessary </w:t>
      </w:r>
      <w:r w:rsidR="00075F90">
        <w:t xml:space="preserve">repairs or restore service.  </w:t>
      </w:r>
      <w:r w:rsidR="00684D76">
        <w:t>For all of these reasons, the complaint must be denied for failure of Complainant to meet her burden of proving entitlement to relief.</w:t>
      </w:r>
    </w:p>
    <w:p w:rsidR="00684D76" w:rsidRDefault="00684D76" w:rsidP="00EB1170">
      <w:pPr>
        <w:spacing w:line="360" w:lineRule="auto"/>
      </w:pPr>
    </w:p>
    <w:p w:rsidR="0083579D" w:rsidRDefault="0083579D" w:rsidP="000B18AA">
      <w:pPr>
        <w:spacing w:line="360" w:lineRule="auto"/>
        <w:jc w:val="center"/>
        <w:rPr>
          <w:u w:val="single"/>
        </w:rPr>
      </w:pPr>
    </w:p>
    <w:p w:rsidR="00684D76" w:rsidRDefault="000B18AA" w:rsidP="000B18AA">
      <w:pPr>
        <w:spacing w:line="360" w:lineRule="auto"/>
        <w:jc w:val="center"/>
      </w:pPr>
      <w:r>
        <w:rPr>
          <w:u w:val="single"/>
        </w:rPr>
        <w:lastRenderedPageBreak/>
        <w:t>CONCLUSIONS OF LAW</w:t>
      </w:r>
    </w:p>
    <w:p w:rsidR="000B18AA" w:rsidRDefault="000B18AA" w:rsidP="000B18AA">
      <w:pPr>
        <w:spacing w:line="360" w:lineRule="auto"/>
      </w:pPr>
    </w:p>
    <w:p w:rsidR="000B18AA" w:rsidRDefault="00CB3985" w:rsidP="000B18AA">
      <w:pPr>
        <w:pStyle w:val="ListParagraph"/>
        <w:numPr>
          <w:ilvl w:val="0"/>
          <w:numId w:val="3"/>
        </w:numPr>
        <w:spacing w:line="360" w:lineRule="auto"/>
        <w:ind w:left="0" w:firstLine="1440"/>
      </w:pPr>
      <w:r>
        <w:t>The Commission has jurisdiction over the subject matter and the parties to this proceeding to the extent set forth in the preceding discussion.  66 Pa. C.S. §</w:t>
      </w:r>
      <w:r w:rsidR="001E6C74">
        <w:t xml:space="preserve">§701, </w:t>
      </w:r>
      <w:r w:rsidR="001E6C74">
        <w:rPr>
          <w:i/>
        </w:rPr>
        <w:t>et seq</w:t>
      </w:r>
      <w:r w:rsidR="001E6C74">
        <w:t>.</w:t>
      </w:r>
    </w:p>
    <w:p w:rsidR="001E6C74" w:rsidRDefault="001E6C74" w:rsidP="001E6C74">
      <w:pPr>
        <w:pStyle w:val="ListParagraph"/>
        <w:spacing w:line="360" w:lineRule="auto"/>
        <w:ind w:left="1440"/>
      </w:pPr>
    </w:p>
    <w:p w:rsidR="001E6C74" w:rsidRDefault="00ED2F2F" w:rsidP="000B18AA">
      <w:pPr>
        <w:pStyle w:val="ListParagraph"/>
        <w:numPr>
          <w:ilvl w:val="0"/>
          <w:numId w:val="3"/>
        </w:numPr>
        <w:spacing w:line="360" w:lineRule="auto"/>
        <w:ind w:left="0" w:firstLine="1440"/>
      </w:pPr>
      <w:r>
        <w:t>T</w:t>
      </w:r>
      <w:r w:rsidRPr="009E25A1">
        <w:t xml:space="preserve">he Commission possesses no jurisdiction to consider </w:t>
      </w:r>
      <w:r>
        <w:t xml:space="preserve">any implied </w:t>
      </w:r>
      <w:r w:rsidRPr="009E25A1">
        <w:t>request for reimbursement for</w:t>
      </w:r>
      <w:r>
        <w:t xml:space="preserve"> property damage</w:t>
      </w:r>
      <w:r w:rsidRPr="009E25A1">
        <w:t xml:space="preserve">.  </w:t>
      </w:r>
      <w:proofErr w:type="spellStart"/>
      <w:r w:rsidR="00AC5C74">
        <w:rPr>
          <w:u w:val="single"/>
        </w:rPr>
        <w:t>DeFrancesco</w:t>
      </w:r>
      <w:proofErr w:type="spellEnd"/>
      <w:r w:rsidR="00AC5C74">
        <w:rPr>
          <w:u w:val="single"/>
        </w:rPr>
        <w:t xml:space="preserve"> v. Western Pennsylvania Water Co.</w:t>
      </w:r>
      <w:r w:rsidR="00AC5C74">
        <w:t>, 499 </w:t>
      </w:r>
      <w:smartTag w:uri="urn:schemas-microsoft-com:office:smarttags" w:element="place">
        <w:smartTag w:uri="urn:schemas-microsoft-com:office:smarttags" w:element="State">
          <w:r w:rsidR="00AC5C74">
            <w:t>Pa.</w:t>
          </w:r>
        </w:smartTag>
      </w:smartTag>
      <w:r w:rsidR="00AC5C74">
        <w:t> 374, 453 A.2d 595 (1982)</w:t>
      </w:r>
      <w:r w:rsidRPr="009E25A1">
        <w:t xml:space="preserve">; </w:t>
      </w:r>
      <w:r w:rsidRPr="009E25A1">
        <w:rPr>
          <w:u w:val="single"/>
        </w:rPr>
        <w:t xml:space="preserve">Elkin v. </w:t>
      </w:r>
      <w:smartTag w:uri="urn:schemas-microsoft-com:office:smarttags" w:element="City">
        <w:r w:rsidRPr="009E25A1">
          <w:rPr>
            <w:u w:val="single"/>
          </w:rPr>
          <w:t>Bell</w:t>
        </w:r>
      </w:smartTag>
      <w:r w:rsidRPr="009E25A1">
        <w:rPr>
          <w:u w:val="single"/>
        </w:rPr>
        <w:t xml:space="preserve"> of </w:t>
      </w:r>
      <w:smartTag w:uri="urn:schemas-microsoft-com:office:smarttags" w:element="State">
        <w:r w:rsidRPr="009E25A1">
          <w:rPr>
            <w:u w:val="single"/>
          </w:rPr>
          <w:t>Pa.</w:t>
        </w:r>
      </w:smartTag>
      <w:r w:rsidRPr="009E25A1">
        <w:t xml:space="preserve">, 491 </w:t>
      </w:r>
      <w:smartTag w:uri="urn:schemas-microsoft-com:office:smarttags" w:element="place">
        <w:smartTag w:uri="urn:schemas-microsoft-com:office:smarttags" w:element="State">
          <w:r w:rsidRPr="009E25A1">
            <w:t>Pa.</w:t>
          </w:r>
        </w:smartTag>
      </w:smartTag>
      <w:r w:rsidRPr="009E25A1">
        <w:t xml:space="preserve"> 123, 420 A.2d 371 (1980); </w:t>
      </w:r>
      <w:r w:rsidR="00AC5C74" w:rsidRPr="00A937DA">
        <w:rPr>
          <w:u w:val="single"/>
        </w:rPr>
        <w:t xml:space="preserve">Feingold v. </w:t>
      </w:r>
      <w:smartTag w:uri="urn:schemas-microsoft-com:office:smarttags" w:element="City">
        <w:smartTag w:uri="urn:schemas-microsoft-com:office:smarttags" w:element="place">
          <w:r w:rsidR="00AC5C74" w:rsidRPr="00A937DA">
            <w:rPr>
              <w:u w:val="single"/>
            </w:rPr>
            <w:t>Bell</w:t>
          </w:r>
        </w:smartTag>
      </w:smartTag>
      <w:r w:rsidR="00AC5C74" w:rsidRPr="00A937DA">
        <w:rPr>
          <w:u w:val="single"/>
        </w:rPr>
        <w:t xml:space="preserve"> of </w:t>
      </w:r>
      <w:smartTag w:uri="urn:schemas-microsoft-com:office:smarttags" w:element="State">
        <w:smartTag w:uri="urn:schemas-microsoft-com:office:smarttags" w:element="place">
          <w:r w:rsidR="00AC5C74" w:rsidRPr="00A937DA">
            <w:rPr>
              <w:u w:val="single"/>
            </w:rPr>
            <w:t>Pa.</w:t>
          </w:r>
        </w:smartTag>
      </w:smartTag>
      <w:r w:rsidR="00AC5C74" w:rsidRPr="00A937DA">
        <w:t xml:space="preserve">, 477 </w:t>
      </w:r>
      <w:smartTag w:uri="urn:schemas-microsoft-com:office:smarttags" w:element="State">
        <w:smartTag w:uri="urn:schemas-microsoft-com:office:smarttags" w:element="place">
          <w:r w:rsidR="00AC5C74" w:rsidRPr="00A937DA">
            <w:t>Pa.</w:t>
          </w:r>
        </w:smartTag>
      </w:smartTag>
      <w:r w:rsidR="00AC5C74" w:rsidRPr="00A937DA">
        <w:t xml:space="preserve"> 1, 383 A.2d </w:t>
      </w:r>
      <w:r w:rsidR="00AC5C74">
        <w:t>7</w:t>
      </w:r>
      <w:r w:rsidR="00AC5C74" w:rsidRPr="00A937DA">
        <w:t>91 (1977)</w:t>
      </w:r>
      <w:r w:rsidR="00AC5C74">
        <w:t>.</w:t>
      </w:r>
    </w:p>
    <w:p w:rsidR="00AC5C74" w:rsidRDefault="00AC5C74" w:rsidP="00AC5C74">
      <w:pPr>
        <w:pStyle w:val="ListParagraph"/>
      </w:pPr>
    </w:p>
    <w:p w:rsidR="00AC5C74" w:rsidRDefault="006B6B9D" w:rsidP="000B18AA">
      <w:pPr>
        <w:pStyle w:val="ListParagraph"/>
        <w:numPr>
          <w:ilvl w:val="0"/>
          <w:numId w:val="3"/>
        </w:numPr>
        <w:spacing w:line="360" w:lineRule="auto"/>
        <w:ind w:left="0" w:firstLine="1440"/>
      </w:pPr>
      <w:r>
        <w:t>The</w:t>
      </w:r>
      <w:r w:rsidRPr="006B6B9D">
        <w:t xml:space="preserve"> </w:t>
      </w:r>
      <w:r w:rsidRPr="00264916">
        <w:t xml:space="preserve">Commission </w:t>
      </w:r>
      <w:r>
        <w:t xml:space="preserve">does not have </w:t>
      </w:r>
      <w:r w:rsidRPr="00264916">
        <w:t>jurisdiction to adjudicate questions involving trespass and whether or not utility facilities are located pursuant to valid easements or rights-of-way.</w:t>
      </w:r>
      <w:r w:rsidR="004329C7">
        <w:t xml:space="preserve">  </w:t>
      </w:r>
      <w:r w:rsidR="004329C7" w:rsidRPr="00CC08F8">
        <w:rPr>
          <w:u w:val="single"/>
        </w:rPr>
        <w:t xml:space="preserve">Fairview Water </w:t>
      </w:r>
      <w:r w:rsidR="004329C7">
        <w:rPr>
          <w:u w:val="single"/>
        </w:rPr>
        <w:t xml:space="preserve">Company </w:t>
      </w:r>
      <w:r w:rsidR="004329C7" w:rsidRPr="00CC08F8">
        <w:rPr>
          <w:u w:val="single"/>
        </w:rPr>
        <w:t>v. Pa. P.U.C.</w:t>
      </w:r>
      <w:r w:rsidR="004329C7" w:rsidRPr="00264916">
        <w:t>, 509 Pa. 384, 502 A.2d 162 (1985)</w:t>
      </w:r>
      <w:r w:rsidR="004329C7">
        <w:t xml:space="preserve">; </w:t>
      </w:r>
      <w:r w:rsidR="004329C7" w:rsidRPr="00CC08F8">
        <w:rPr>
          <w:u w:val="single"/>
        </w:rPr>
        <w:t>Re: Lou Amati/Amati Service Station v. West Penn Power Company and Bell Atlantic-Pennsylvania, Inc</w:t>
      </w:r>
      <w:proofErr w:type="gramStart"/>
      <w:r w:rsidR="004329C7" w:rsidRPr="00CC08F8">
        <w:rPr>
          <w:u w:val="single"/>
        </w:rPr>
        <w:t>.</w:t>
      </w:r>
      <w:r w:rsidR="004329C7" w:rsidRPr="00264916">
        <w:t>,</w:t>
      </w:r>
      <w:proofErr w:type="gramEnd"/>
      <w:r w:rsidR="004329C7" w:rsidRPr="00264916">
        <w:t xml:space="preserve"> Docket No. C-00945842 (Order entered October 25, 1996)</w:t>
      </w:r>
      <w:r w:rsidR="004329C7">
        <w:t>.</w:t>
      </w:r>
    </w:p>
    <w:p w:rsidR="004329C7" w:rsidRDefault="004329C7" w:rsidP="004329C7">
      <w:pPr>
        <w:pStyle w:val="ListParagraph"/>
      </w:pPr>
    </w:p>
    <w:p w:rsidR="004329C7" w:rsidRDefault="004329C7" w:rsidP="000B18AA">
      <w:pPr>
        <w:pStyle w:val="ListParagraph"/>
        <w:numPr>
          <w:ilvl w:val="0"/>
          <w:numId w:val="3"/>
        </w:numPr>
        <w:spacing w:line="360" w:lineRule="auto"/>
        <w:ind w:left="0" w:firstLine="1440"/>
      </w:pPr>
      <w:r>
        <w:t xml:space="preserve">Complainant has failed to meet her burden of proving that </w:t>
      </w:r>
      <w:r w:rsidR="00001AA6">
        <w:t>she is entitled to relief from the Commission.  66 Pa. C.S. §332(a).</w:t>
      </w:r>
    </w:p>
    <w:p w:rsidR="00001AA6" w:rsidRDefault="00001AA6" w:rsidP="00001AA6">
      <w:pPr>
        <w:pStyle w:val="ListParagraph"/>
      </w:pPr>
    </w:p>
    <w:p w:rsidR="008C6520" w:rsidRDefault="008C6520">
      <w:pPr>
        <w:rPr>
          <w:u w:val="single"/>
        </w:rPr>
      </w:pPr>
      <w:r>
        <w:rPr>
          <w:u w:val="single"/>
        </w:rPr>
        <w:br w:type="page"/>
      </w:r>
    </w:p>
    <w:p w:rsidR="00001AA6" w:rsidRDefault="00001AA6" w:rsidP="00001AA6">
      <w:pPr>
        <w:spacing w:line="360" w:lineRule="auto"/>
        <w:jc w:val="center"/>
      </w:pPr>
      <w:r>
        <w:rPr>
          <w:u w:val="single"/>
        </w:rPr>
        <w:lastRenderedPageBreak/>
        <w:t>ORDER</w:t>
      </w:r>
    </w:p>
    <w:p w:rsidR="00001AA6" w:rsidRDefault="00001AA6" w:rsidP="00001AA6">
      <w:pPr>
        <w:spacing w:line="360" w:lineRule="auto"/>
      </w:pPr>
    </w:p>
    <w:p w:rsidR="00001AA6" w:rsidRDefault="00001AA6" w:rsidP="00001AA6">
      <w:pPr>
        <w:spacing w:line="360" w:lineRule="auto"/>
      </w:pPr>
      <w:r>
        <w:tab/>
      </w:r>
      <w:r>
        <w:tab/>
        <w:t>THEREFORE,</w:t>
      </w:r>
    </w:p>
    <w:p w:rsidR="00001AA6" w:rsidRDefault="00001AA6" w:rsidP="00001AA6">
      <w:pPr>
        <w:spacing w:line="360" w:lineRule="auto"/>
      </w:pPr>
    </w:p>
    <w:p w:rsidR="00001AA6" w:rsidRDefault="00001AA6" w:rsidP="00001AA6">
      <w:pPr>
        <w:spacing w:line="360" w:lineRule="auto"/>
      </w:pPr>
      <w:r>
        <w:tab/>
      </w:r>
      <w:r>
        <w:tab/>
        <w:t>IT IS ORDERED</w:t>
      </w:r>
      <w:r w:rsidR="008C6520">
        <w:t>:</w:t>
      </w:r>
    </w:p>
    <w:p w:rsidR="008C6520" w:rsidRDefault="008C6520" w:rsidP="00001AA6">
      <w:pPr>
        <w:spacing w:line="360" w:lineRule="auto"/>
      </w:pPr>
    </w:p>
    <w:p w:rsidR="008C6520" w:rsidRDefault="008C6520" w:rsidP="00001AA6">
      <w:pPr>
        <w:spacing w:line="360" w:lineRule="auto"/>
      </w:pPr>
      <w:r>
        <w:tab/>
      </w:r>
      <w:r>
        <w:tab/>
        <w:t>That the complaint of Jo Anna Warren Williamson against Duquesne Light Company at Docket No. C-2009-2138578</w:t>
      </w:r>
      <w:r w:rsidR="00D844CC">
        <w:t xml:space="preserve"> is hereby denied.</w:t>
      </w:r>
    </w:p>
    <w:p w:rsidR="00D844CC" w:rsidRDefault="00D844CC" w:rsidP="00001AA6">
      <w:pPr>
        <w:spacing w:line="360" w:lineRule="auto"/>
      </w:pPr>
    </w:p>
    <w:p w:rsidR="00D844CC" w:rsidRDefault="00D844CC" w:rsidP="00001AA6">
      <w:pPr>
        <w:spacing w:line="360" w:lineRule="auto"/>
      </w:pPr>
    </w:p>
    <w:p w:rsidR="00D844CC" w:rsidRDefault="00D844CC" w:rsidP="00D844CC">
      <w:r>
        <w:t xml:space="preserve">Date: </w:t>
      </w:r>
      <w:r>
        <w:rPr>
          <w:u w:val="single"/>
        </w:rPr>
        <w:t>October 18, 2010</w:t>
      </w:r>
      <w:r>
        <w:tab/>
      </w:r>
      <w:r>
        <w:tab/>
      </w:r>
      <w:r>
        <w:tab/>
      </w:r>
      <w:r>
        <w:tab/>
      </w:r>
      <w:r>
        <w:rPr>
          <w:u w:val="single"/>
        </w:rPr>
        <w:tab/>
      </w:r>
      <w:r>
        <w:rPr>
          <w:u w:val="single"/>
        </w:rPr>
        <w:tab/>
      </w:r>
      <w:r>
        <w:rPr>
          <w:u w:val="single"/>
        </w:rPr>
        <w:tab/>
      </w:r>
      <w:r>
        <w:rPr>
          <w:u w:val="single"/>
        </w:rPr>
        <w:tab/>
      </w:r>
      <w:r>
        <w:rPr>
          <w:u w:val="single"/>
        </w:rPr>
        <w:tab/>
      </w:r>
    </w:p>
    <w:p w:rsidR="00D844CC" w:rsidRDefault="00D844CC" w:rsidP="00D844CC">
      <w:r>
        <w:tab/>
      </w:r>
      <w:r>
        <w:tab/>
      </w:r>
      <w:r>
        <w:tab/>
      </w:r>
      <w:r>
        <w:tab/>
      </w:r>
      <w:r>
        <w:tab/>
      </w:r>
      <w:r>
        <w:tab/>
      </w:r>
      <w:r>
        <w:tab/>
        <w:t>John H. Corbett, Jr.</w:t>
      </w:r>
    </w:p>
    <w:p w:rsidR="00D844CC" w:rsidRDefault="00D844CC" w:rsidP="00D844CC">
      <w:r>
        <w:tab/>
      </w:r>
      <w:r>
        <w:tab/>
      </w:r>
      <w:r>
        <w:tab/>
      </w:r>
      <w:r>
        <w:tab/>
      </w:r>
      <w:r>
        <w:tab/>
      </w:r>
      <w:r>
        <w:tab/>
      </w:r>
      <w:r>
        <w:tab/>
        <w:t>Administrative Law Judge</w:t>
      </w:r>
    </w:p>
    <w:p w:rsidR="00DB5052" w:rsidRPr="00D844CC" w:rsidRDefault="00DB5052" w:rsidP="001343BC">
      <w:pPr>
        <w:ind w:left="720" w:hanging="720"/>
      </w:pPr>
    </w:p>
    <w:sectPr w:rsidR="00DB5052" w:rsidRPr="00D844CC" w:rsidSect="0083579D">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8F1" w:rsidRDefault="001D38F1" w:rsidP="008B6F43">
      <w:r>
        <w:separator/>
      </w:r>
    </w:p>
  </w:endnote>
  <w:endnote w:type="continuationSeparator" w:id="0">
    <w:p w:rsidR="001D38F1" w:rsidRDefault="001D38F1" w:rsidP="008B6F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120438"/>
      <w:docPartObj>
        <w:docPartGallery w:val="Page Numbers (Bottom of Page)"/>
        <w:docPartUnique/>
      </w:docPartObj>
    </w:sdtPr>
    <w:sdtContent>
      <w:p w:rsidR="00001AA6" w:rsidRDefault="00B508D3">
        <w:pPr>
          <w:pStyle w:val="Footer"/>
          <w:jc w:val="center"/>
        </w:pPr>
        <w:r w:rsidRPr="0083579D">
          <w:rPr>
            <w:sz w:val="20"/>
            <w:szCs w:val="20"/>
          </w:rPr>
          <w:fldChar w:fldCharType="begin"/>
        </w:r>
        <w:r w:rsidRPr="0083579D">
          <w:rPr>
            <w:sz w:val="20"/>
            <w:szCs w:val="20"/>
          </w:rPr>
          <w:instrText xml:space="preserve"> PAGE   \* MERGEFORMAT </w:instrText>
        </w:r>
        <w:r w:rsidRPr="0083579D">
          <w:rPr>
            <w:sz w:val="20"/>
            <w:szCs w:val="20"/>
          </w:rPr>
          <w:fldChar w:fldCharType="separate"/>
        </w:r>
        <w:r w:rsidR="00B378B2">
          <w:rPr>
            <w:noProof/>
            <w:sz w:val="20"/>
            <w:szCs w:val="20"/>
          </w:rPr>
          <w:t>9</w:t>
        </w:r>
        <w:r w:rsidRPr="0083579D">
          <w:rPr>
            <w:sz w:val="20"/>
            <w:szCs w:val="20"/>
          </w:rPr>
          <w:fldChar w:fldCharType="end"/>
        </w:r>
      </w:p>
    </w:sdtContent>
  </w:sdt>
  <w:p w:rsidR="00001AA6" w:rsidRDefault="00001A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8F1" w:rsidRDefault="001D38F1" w:rsidP="008B6F43">
      <w:r>
        <w:separator/>
      </w:r>
    </w:p>
  </w:footnote>
  <w:footnote w:type="continuationSeparator" w:id="0">
    <w:p w:rsidR="001D38F1" w:rsidRDefault="001D38F1" w:rsidP="008B6F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1299E"/>
    <w:multiLevelType w:val="hybridMultilevel"/>
    <w:tmpl w:val="88BE7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7C463C"/>
    <w:multiLevelType w:val="hybridMultilevel"/>
    <w:tmpl w:val="787CB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1E699E"/>
    <w:multiLevelType w:val="hybridMultilevel"/>
    <w:tmpl w:val="49D4A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cVars>
    <w:docVar w:name="dgnword-docGUID" w:val="{2ED781F7-E69B-48DE-80E4-EED632B2CC24}"/>
    <w:docVar w:name="dgnword-eventsink" w:val="80188992"/>
  </w:docVars>
  <w:rsids>
    <w:rsidRoot w:val="00D2478F"/>
    <w:rsid w:val="00000501"/>
    <w:rsid w:val="00001AA6"/>
    <w:rsid w:val="00002E71"/>
    <w:rsid w:val="0000610B"/>
    <w:rsid w:val="00010AA2"/>
    <w:rsid w:val="0001444C"/>
    <w:rsid w:val="000158F5"/>
    <w:rsid w:val="00015C87"/>
    <w:rsid w:val="000200B5"/>
    <w:rsid w:val="00022031"/>
    <w:rsid w:val="00022664"/>
    <w:rsid w:val="00024AA5"/>
    <w:rsid w:val="00027171"/>
    <w:rsid w:val="00027E4C"/>
    <w:rsid w:val="0003505B"/>
    <w:rsid w:val="00035D88"/>
    <w:rsid w:val="00036D19"/>
    <w:rsid w:val="00037924"/>
    <w:rsid w:val="000404B5"/>
    <w:rsid w:val="00041450"/>
    <w:rsid w:val="00041943"/>
    <w:rsid w:val="00042860"/>
    <w:rsid w:val="00044944"/>
    <w:rsid w:val="0004591A"/>
    <w:rsid w:val="00047F6E"/>
    <w:rsid w:val="000541F2"/>
    <w:rsid w:val="0005471E"/>
    <w:rsid w:val="00056339"/>
    <w:rsid w:val="00063896"/>
    <w:rsid w:val="0006554F"/>
    <w:rsid w:val="0006566E"/>
    <w:rsid w:val="00067C8F"/>
    <w:rsid w:val="00070D98"/>
    <w:rsid w:val="000716B7"/>
    <w:rsid w:val="00075F90"/>
    <w:rsid w:val="000767FF"/>
    <w:rsid w:val="0008135A"/>
    <w:rsid w:val="0008257A"/>
    <w:rsid w:val="00085610"/>
    <w:rsid w:val="00087CC5"/>
    <w:rsid w:val="0009005C"/>
    <w:rsid w:val="000921BC"/>
    <w:rsid w:val="000950CB"/>
    <w:rsid w:val="00095B50"/>
    <w:rsid w:val="00096698"/>
    <w:rsid w:val="00096F74"/>
    <w:rsid w:val="000A0A7F"/>
    <w:rsid w:val="000A23C4"/>
    <w:rsid w:val="000A3969"/>
    <w:rsid w:val="000A510C"/>
    <w:rsid w:val="000A5AEF"/>
    <w:rsid w:val="000A7EFE"/>
    <w:rsid w:val="000B18AA"/>
    <w:rsid w:val="000B3598"/>
    <w:rsid w:val="000B53F0"/>
    <w:rsid w:val="000B629F"/>
    <w:rsid w:val="000B6D95"/>
    <w:rsid w:val="000C1A6B"/>
    <w:rsid w:val="000C269C"/>
    <w:rsid w:val="000C5510"/>
    <w:rsid w:val="000C71B2"/>
    <w:rsid w:val="000C76C7"/>
    <w:rsid w:val="000D0A51"/>
    <w:rsid w:val="000D1336"/>
    <w:rsid w:val="000D31CA"/>
    <w:rsid w:val="000D501E"/>
    <w:rsid w:val="000D715A"/>
    <w:rsid w:val="000D7906"/>
    <w:rsid w:val="000E0C64"/>
    <w:rsid w:val="000E1700"/>
    <w:rsid w:val="000E4E82"/>
    <w:rsid w:val="000E6C36"/>
    <w:rsid w:val="000F0CB0"/>
    <w:rsid w:val="000F1E2C"/>
    <w:rsid w:val="000F22AD"/>
    <w:rsid w:val="000F331D"/>
    <w:rsid w:val="000F6BCB"/>
    <w:rsid w:val="000F7173"/>
    <w:rsid w:val="000F7943"/>
    <w:rsid w:val="0010180F"/>
    <w:rsid w:val="00105690"/>
    <w:rsid w:val="001059C3"/>
    <w:rsid w:val="001079C3"/>
    <w:rsid w:val="0011082D"/>
    <w:rsid w:val="00114A5C"/>
    <w:rsid w:val="00114D69"/>
    <w:rsid w:val="001163B8"/>
    <w:rsid w:val="00117158"/>
    <w:rsid w:val="0012337D"/>
    <w:rsid w:val="00126555"/>
    <w:rsid w:val="001326C8"/>
    <w:rsid w:val="0013358A"/>
    <w:rsid w:val="001336B2"/>
    <w:rsid w:val="001343BC"/>
    <w:rsid w:val="0013746C"/>
    <w:rsid w:val="00140ED5"/>
    <w:rsid w:val="001422C9"/>
    <w:rsid w:val="00142E45"/>
    <w:rsid w:val="0014695E"/>
    <w:rsid w:val="00147A1C"/>
    <w:rsid w:val="00150F38"/>
    <w:rsid w:val="00151828"/>
    <w:rsid w:val="00152DD8"/>
    <w:rsid w:val="001534FA"/>
    <w:rsid w:val="00153BB2"/>
    <w:rsid w:val="001551FE"/>
    <w:rsid w:val="001572A6"/>
    <w:rsid w:val="00157698"/>
    <w:rsid w:val="00157F7C"/>
    <w:rsid w:val="00163667"/>
    <w:rsid w:val="00171BA7"/>
    <w:rsid w:val="001722EB"/>
    <w:rsid w:val="001743D5"/>
    <w:rsid w:val="00177B41"/>
    <w:rsid w:val="00177C22"/>
    <w:rsid w:val="0018502A"/>
    <w:rsid w:val="00185AEC"/>
    <w:rsid w:val="00186713"/>
    <w:rsid w:val="00190B52"/>
    <w:rsid w:val="00192F81"/>
    <w:rsid w:val="00194EDA"/>
    <w:rsid w:val="00197214"/>
    <w:rsid w:val="00197FE7"/>
    <w:rsid w:val="001A517C"/>
    <w:rsid w:val="001A6616"/>
    <w:rsid w:val="001B1283"/>
    <w:rsid w:val="001B37F9"/>
    <w:rsid w:val="001B389A"/>
    <w:rsid w:val="001B6147"/>
    <w:rsid w:val="001B669F"/>
    <w:rsid w:val="001B6767"/>
    <w:rsid w:val="001B7B44"/>
    <w:rsid w:val="001C16F1"/>
    <w:rsid w:val="001C1DA4"/>
    <w:rsid w:val="001C6892"/>
    <w:rsid w:val="001D0B3C"/>
    <w:rsid w:val="001D38F1"/>
    <w:rsid w:val="001D4EAA"/>
    <w:rsid w:val="001E13F6"/>
    <w:rsid w:val="001E1C62"/>
    <w:rsid w:val="001E4606"/>
    <w:rsid w:val="001E480F"/>
    <w:rsid w:val="001E49BB"/>
    <w:rsid w:val="001E6948"/>
    <w:rsid w:val="001E6AC2"/>
    <w:rsid w:val="001E6C74"/>
    <w:rsid w:val="001E7A10"/>
    <w:rsid w:val="001F1F9D"/>
    <w:rsid w:val="001F1FC5"/>
    <w:rsid w:val="001F5E84"/>
    <w:rsid w:val="001F73E8"/>
    <w:rsid w:val="002002ED"/>
    <w:rsid w:val="00201EBD"/>
    <w:rsid w:val="00202271"/>
    <w:rsid w:val="00205676"/>
    <w:rsid w:val="0020682A"/>
    <w:rsid w:val="0020746B"/>
    <w:rsid w:val="002107F3"/>
    <w:rsid w:val="00212F85"/>
    <w:rsid w:val="00213B19"/>
    <w:rsid w:val="0021472B"/>
    <w:rsid w:val="00215CE0"/>
    <w:rsid w:val="00216054"/>
    <w:rsid w:val="00221630"/>
    <w:rsid w:val="00222675"/>
    <w:rsid w:val="00222A1D"/>
    <w:rsid w:val="00222A5F"/>
    <w:rsid w:val="002231E7"/>
    <w:rsid w:val="00224D1A"/>
    <w:rsid w:val="002251FB"/>
    <w:rsid w:val="00225F5E"/>
    <w:rsid w:val="0022623F"/>
    <w:rsid w:val="00226EA8"/>
    <w:rsid w:val="002270C7"/>
    <w:rsid w:val="00231E7C"/>
    <w:rsid w:val="00234986"/>
    <w:rsid w:val="0023594C"/>
    <w:rsid w:val="00237F95"/>
    <w:rsid w:val="002402C2"/>
    <w:rsid w:val="002432B5"/>
    <w:rsid w:val="00244DC3"/>
    <w:rsid w:val="00251322"/>
    <w:rsid w:val="00254AC4"/>
    <w:rsid w:val="0025505D"/>
    <w:rsid w:val="0025568C"/>
    <w:rsid w:val="0025624A"/>
    <w:rsid w:val="0025627C"/>
    <w:rsid w:val="00256602"/>
    <w:rsid w:val="002569D2"/>
    <w:rsid w:val="00256F15"/>
    <w:rsid w:val="00264827"/>
    <w:rsid w:val="00264916"/>
    <w:rsid w:val="002659C1"/>
    <w:rsid w:val="00265F08"/>
    <w:rsid w:val="00266EEA"/>
    <w:rsid w:val="002705F3"/>
    <w:rsid w:val="002715D6"/>
    <w:rsid w:val="00273113"/>
    <w:rsid w:val="00273CD5"/>
    <w:rsid w:val="00274AEB"/>
    <w:rsid w:val="0028196A"/>
    <w:rsid w:val="00282E72"/>
    <w:rsid w:val="002830D4"/>
    <w:rsid w:val="00286013"/>
    <w:rsid w:val="00286E18"/>
    <w:rsid w:val="00291F2A"/>
    <w:rsid w:val="00292413"/>
    <w:rsid w:val="00292C52"/>
    <w:rsid w:val="0029312D"/>
    <w:rsid w:val="00297007"/>
    <w:rsid w:val="002A08AE"/>
    <w:rsid w:val="002A0C6D"/>
    <w:rsid w:val="002A5634"/>
    <w:rsid w:val="002B080D"/>
    <w:rsid w:val="002B43C8"/>
    <w:rsid w:val="002B58F5"/>
    <w:rsid w:val="002B61C2"/>
    <w:rsid w:val="002B693E"/>
    <w:rsid w:val="002C0A83"/>
    <w:rsid w:val="002C5195"/>
    <w:rsid w:val="002C6736"/>
    <w:rsid w:val="002D15FF"/>
    <w:rsid w:val="002D2376"/>
    <w:rsid w:val="002D3212"/>
    <w:rsid w:val="002D46AD"/>
    <w:rsid w:val="002D50E8"/>
    <w:rsid w:val="002E414F"/>
    <w:rsid w:val="002E62AE"/>
    <w:rsid w:val="002E7B4F"/>
    <w:rsid w:val="002E7CBD"/>
    <w:rsid w:val="002F0988"/>
    <w:rsid w:val="002F0CDC"/>
    <w:rsid w:val="002F58C1"/>
    <w:rsid w:val="003009B5"/>
    <w:rsid w:val="00300B68"/>
    <w:rsid w:val="00303C1E"/>
    <w:rsid w:val="003065A6"/>
    <w:rsid w:val="003105EB"/>
    <w:rsid w:val="00312704"/>
    <w:rsid w:val="00313224"/>
    <w:rsid w:val="00314634"/>
    <w:rsid w:val="0031504C"/>
    <w:rsid w:val="00320C3C"/>
    <w:rsid w:val="0032184B"/>
    <w:rsid w:val="00322AAB"/>
    <w:rsid w:val="00323CE9"/>
    <w:rsid w:val="0032536B"/>
    <w:rsid w:val="00325560"/>
    <w:rsid w:val="0032582D"/>
    <w:rsid w:val="0033130D"/>
    <w:rsid w:val="003367D1"/>
    <w:rsid w:val="00340595"/>
    <w:rsid w:val="003413E4"/>
    <w:rsid w:val="00343DF7"/>
    <w:rsid w:val="00344BBD"/>
    <w:rsid w:val="00347D4D"/>
    <w:rsid w:val="00352E96"/>
    <w:rsid w:val="00354367"/>
    <w:rsid w:val="003560A1"/>
    <w:rsid w:val="003567DC"/>
    <w:rsid w:val="0036055F"/>
    <w:rsid w:val="00363FC4"/>
    <w:rsid w:val="00364892"/>
    <w:rsid w:val="00372BCE"/>
    <w:rsid w:val="003750DF"/>
    <w:rsid w:val="00375FC7"/>
    <w:rsid w:val="00376FD2"/>
    <w:rsid w:val="00377219"/>
    <w:rsid w:val="00383E9E"/>
    <w:rsid w:val="00386EC2"/>
    <w:rsid w:val="003914A1"/>
    <w:rsid w:val="003915CD"/>
    <w:rsid w:val="003928FD"/>
    <w:rsid w:val="00393A51"/>
    <w:rsid w:val="003A51FD"/>
    <w:rsid w:val="003A5775"/>
    <w:rsid w:val="003A645A"/>
    <w:rsid w:val="003A7731"/>
    <w:rsid w:val="003B0F7E"/>
    <w:rsid w:val="003B5554"/>
    <w:rsid w:val="003C0F08"/>
    <w:rsid w:val="003C3101"/>
    <w:rsid w:val="003C440C"/>
    <w:rsid w:val="003C49C9"/>
    <w:rsid w:val="003C4FBC"/>
    <w:rsid w:val="003D00C1"/>
    <w:rsid w:val="003D15D0"/>
    <w:rsid w:val="003D38F7"/>
    <w:rsid w:val="003D42D0"/>
    <w:rsid w:val="003D5AB0"/>
    <w:rsid w:val="003D6669"/>
    <w:rsid w:val="003D6830"/>
    <w:rsid w:val="003E5628"/>
    <w:rsid w:val="003E5D1E"/>
    <w:rsid w:val="003E61C6"/>
    <w:rsid w:val="003F100E"/>
    <w:rsid w:val="003F347A"/>
    <w:rsid w:val="003F69AF"/>
    <w:rsid w:val="003F69C5"/>
    <w:rsid w:val="004030AF"/>
    <w:rsid w:val="0040464B"/>
    <w:rsid w:val="00405757"/>
    <w:rsid w:val="00407E2D"/>
    <w:rsid w:val="004101A3"/>
    <w:rsid w:val="00415484"/>
    <w:rsid w:val="0041758B"/>
    <w:rsid w:val="00417A48"/>
    <w:rsid w:val="00417FB9"/>
    <w:rsid w:val="004255AD"/>
    <w:rsid w:val="00425F5E"/>
    <w:rsid w:val="00427446"/>
    <w:rsid w:val="00427731"/>
    <w:rsid w:val="00431ED9"/>
    <w:rsid w:val="0043213F"/>
    <w:rsid w:val="004329C7"/>
    <w:rsid w:val="004345F2"/>
    <w:rsid w:val="00436AC2"/>
    <w:rsid w:val="00441E8C"/>
    <w:rsid w:val="00443FC3"/>
    <w:rsid w:val="00444F84"/>
    <w:rsid w:val="00447594"/>
    <w:rsid w:val="00447DAD"/>
    <w:rsid w:val="00451BB3"/>
    <w:rsid w:val="0045207D"/>
    <w:rsid w:val="00456B68"/>
    <w:rsid w:val="004606F8"/>
    <w:rsid w:val="00460CD0"/>
    <w:rsid w:val="004610DD"/>
    <w:rsid w:val="00465CA9"/>
    <w:rsid w:val="00466EEB"/>
    <w:rsid w:val="004763CF"/>
    <w:rsid w:val="00476406"/>
    <w:rsid w:val="004801CF"/>
    <w:rsid w:val="00492902"/>
    <w:rsid w:val="00493B06"/>
    <w:rsid w:val="00493FE9"/>
    <w:rsid w:val="004A0D2F"/>
    <w:rsid w:val="004A3A17"/>
    <w:rsid w:val="004A4379"/>
    <w:rsid w:val="004A4472"/>
    <w:rsid w:val="004A5F2D"/>
    <w:rsid w:val="004A5F6F"/>
    <w:rsid w:val="004B07B7"/>
    <w:rsid w:val="004B1125"/>
    <w:rsid w:val="004B1E4E"/>
    <w:rsid w:val="004B35C3"/>
    <w:rsid w:val="004B4793"/>
    <w:rsid w:val="004B58A0"/>
    <w:rsid w:val="004C0903"/>
    <w:rsid w:val="004C1ADF"/>
    <w:rsid w:val="004C231D"/>
    <w:rsid w:val="004C3351"/>
    <w:rsid w:val="004C6ACC"/>
    <w:rsid w:val="004D0F86"/>
    <w:rsid w:val="004D17EE"/>
    <w:rsid w:val="004D1AF6"/>
    <w:rsid w:val="004D1D11"/>
    <w:rsid w:val="004D26B3"/>
    <w:rsid w:val="004D3CF4"/>
    <w:rsid w:val="004D53A4"/>
    <w:rsid w:val="004D5571"/>
    <w:rsid w:val="004D6A84"/>
    <w:rsid w:val="004E10F7"/>
    <w:rsid w:val="004E1384"/>
    <w:rsid w:val="004E1A31"/>
    <w:rsid w:val="004E1AA7"/>
    <w:rsid w:val="004E2DEE"/>
    <w:rsid w:val="004E3130"/>
    <w:rsid w:val="004E3916"/>
    <w:rsid w:val="004E48B8"/>
    <w:rsid w:val="004E56E5"/>
    <w:rsid w:val="004F3674"/>
    <w:rsid w:val="004F52CA"/>
    <w:rsid w:val="004F71F1"/>
    <w:rsid w:val="00500E04"/>
    <w:rsid w:val="00501290"/>
    <w:rsid w:val="005013AB"/>
    <w:rsid w:val="00503B65"/>
    <w:rsid w:val="005055FD"/>
    <w:rsid w:val="005071E6"/>
    <w:rsid w:val="00510BCD"/>
    <w:rsid w:val="00513A0D"/>
    <w:rsid w:val="00513E78"/>
    <w:rsid w:val="005170C5"/>
    <w:rsid w:val="00520B4D"/>
    <w:rsid w:val="00522F41"/>
    <w:rsid w:val="005235D3"/>
    <w:rsid w:val="0052449F"/>
    <w:rsid w:val="005245B1"/>
    <w:rsid w:val="00526125"/>
    <w:rsid w:val="0052693F"/>
    <w:rsid w:val="005319D7"/>
    <w:rsid w:val="0053262A"/>
    <w:rsid w:val="00536E0E"/>
    <w:rsid w:val="00542E37"/>
    <w:rsid w:val="00544B49"/>
    <w:rsid w:val="005463A9"/>
    <w:rsid w:val="00546F57"/>
    <w:rsid w:val="005474D6"/>
    <w:rsid w:val="0055234E"/>
    <w:rsid w:val="00553A47"/>
    <w:rsid w:val="00561D5F"/>
    <w:rsid w:val="00562BF1"/>
    <w:rsid w:val="0056301D"/>
    <w:rsid w:val="0057174D"/>
    <w:rsid w:val="005756A2"/>
    <w:rsid w:val="005756F9"/>
    <w:rsid w:val="00575B38"/>
    <w:rsid w:val="00576844"/>
    <w:rsid w:val="005773BD"/>
    <w:rsid w:val="00580C5C"/>
    <w:rsid w:val="0058134C"/>
    <w:rsid w:val="00581E78"/>
    <w:rsid w:val="0058593F"/>
    <w:rsid w:val="00590615"/>
    <w:rsid w:val="005945F6"/>
    <w:rsid w:val="00595C07"/>
    <w:rsid w:val="005963C4"/>
    <w:rsid w:val="005A127F"/>
    <w:rsid w:val="005A560D"/>
    <w:rsid w:val="005B0099"/>
    <w:rsid w:val="005B04D0"/>
    <w:rsid w:val="005B0972"/>
    <w:rsid w:val="005B4EAA"/>
    <w:rsid w:val="005B7AAB"/>
    <w:rsid w:val="005C5138"/>
    <w:rsid w:val="005C5ED9"/>
    <w:rsid w:val="005C6396"/>
    <w:rsid w:val="005C6FAE"/>
    <w:rsid w:val="005D141F"/>
    <w:rsid w:val="005D45C9"/>
    <w:rsid w:val="005D4862"/>
    <w:rsid w:val="005D5EE7"/>
    <w:rsid w:val="005E3C0F"/>
    <w:rsid w:val="005E45BD"/>
    <w:rsid w:val="005E6C7E"/>
    <w:rsid w:val="005E7D2E"/>
    <w:rsid w:val="005F2A4A"/>
    <w:rsid w:val="005F4331"/>
    <w:rsid w:val="005F4AA1"/>
    <w:rsid w:val="00601B37"/>
    <w:rsid w:val="0060255E"/>
    <w:rsid w:val="00603FCF"/>
    <w:rsid w:val="00605A5C"/>
    <w:rsid w:val="006111F0"/>
    <w:rsid w:val="00611B45"/>
    <w:rsid w:val="00613DA8"/>
    <w:rsid w:val="00614058"/>
    <w:rsid w:val="00614B07"/>
    <w:rsid w:val="00615691"/>
    <w:rsid w:val="006168E8"/>
    <w:rsid w:val="00616EF1"/>
    <w:rsid w:val="006173DF"/>
    <w:rsid w:val="0062040F"/>
    <w:rsid w:val="00622936"/>
    <w:rsid w:val="0062391C"/>
    <w:rsid w:val="00631809"/>
    <w:rsid w:val="00631CED"/>
    <w:rsid w:val="006352C1"/>
    <w:rsid w:val="00635E6D"/>
    <w:rsid w:val="00636172"/>
    <w:rsid w:val="00637AA0"/>
    <w:rsid w:val="0064016B"/>
    <w:rsid w:val="006503D8"/>
    <w:rsid w:val="00651BF9"/>
    <w:rsid w:val="0065509C"/>
    <w:rsid w:val="00655A67"/>
    <w:rsid w:val="0065674E"/>
    <w:rsid w:val="00657F07"/>
    <w:rsid w:val="00661B4E"/>
    <w:rsid w:val="00662894"/>
    <w:rsid w:val="00662C19"/>
    <w:rsid w:val="006646A6"/>
    <w:rsid w:val="0067080A"/>
    <w:rsid w:val="00670B1B"/>
    <w:rsid w:val="006729FF"/>
    <w:rsid w:val="006734EC"/>
    <w:rsid w:val="00675F41"/>
    <w:rsid w:val="00676400"/>
    <w:rsid w:val="00677264"/>
    <w:rsid w:val="00677E47"/>
    <w:rsid w:val="0068098C"/>
    <w:rsid w:val="00684D76"/>
    <w:rsid w:val="00686666"/>
    <w:rsid w:val="00692D9A"/>
    <w:rsid w:val="00694B4C"/>
    <w:rsid w:val="006A1BB3"/>
    <w:rsid w:val="006A3C03"/>
    <w:rsid w:val="006A4740"/>
    <w:rsid w:val="006A6097"/>
    <w:rsid w:val="006A64F2"/>
    <w:rsid w:val="006B3C1B"/>
    <w:rsid w:val="006B3EFB"/>
    <w:rsid w:val="006B690F"/>
    <w:rsid w:val="006B6B9D"/>
    <w:rsid w:val="006C245B"/>
    <w:rsid w:val="006C3402"/>
    <w:rsid w:val="006C3AD5"/>
    <w:rsid w:val="006C3F6D"/>
    <w:rsid w:val="006C5DA4"/>
    <w:rsid w:val="006C6F08"/>
    <w:rsid w:val="006C7836"/>
    <w:rsid w:val="006D370E"/>
    <w:rsid w:val="006D3B1F"/>
    <w:rsid w:val="006D491B"/>
    <w:rsid w:val="006D4B7E"/>
    <w:rsid w:val="006D4E8D"/>
    <w:rsid w:val="006D51A2"/>
    <w:rsid w:val="006E1DF2"/>
    <w:rsid w:val="006E3923"/>
    <w:rsid w:val="006E3D09"/>
    <w:rsid w:val="006E516C"/>
    <w:rsid w:val="006E57E8"/>
    <w:rsid w:val="006E6AFE"/>
    <w:rsid w:val="006F08AE"/>
    <w:rsid w:val="006F2ACE"/>
    <w:rsid w:val="007000FB"/>
    <w:rsid w:val="007008E0"/>
    <w:rsid w:val="00705235"/>
    <w:rsid w:val="007107AD"/>
    <w:rsid w:val="00724A27"/>
    <w:rsid w:val="007301EF"/>
    <w:rsid w:val="007342EA"/>
    <w:rsid w:val="00735001"/>
    <w:rsid w:val="007354F0"/>
    <w:rsid w:val="00735EC5"/>
    <w:rsid w:val="00742C25"/>
    <w:rsid w:val="00743300"/>
    <w:rsid w:val="00745364"/>
    <w:rsid w:val="00747A6F"/>
    <w:rsid w:val="007520AB"/>
    <w:rsid w:val="00752308"/>
    <w:rsid w:val="00752B0E"/>
    <w:rsid w:val="00756B4F"/>
    <w:rsid w:val="007575D6"/>
    <w:rsid w:val="00763043"/>
    <w:rsid w:val="00766C21"/>
    <w:rsid w:val="0077010C"/>
    <w:rsid w:val="00770452"/>
    <w:rsid w:val="00781BAD"/>
    <w:rsid w:val="007854CF"/>
    <w:rsid w:val="00787B82"/>
    <w:rsid w:val="007900D4"/>
    <w:rsid w:val="00796F08"/>
    <w:rsid w:val="007A0FA3"/>
    <w:rsid w:val="007A137A"/>
    <w:rsid w:val="007A1A4C"/>
    <w:rsid w:val="007A4181"/>
    <w:rsid w:val="007A46A0"/>
    <w:rsid w:val="007A7CF3"/>
    <w:rsid w:val="007A7EA7"/>
    <w:rsid w:val="007B08BC"/>
    <w:rsid w:val="007B21DD"/>
    <w:rsid w:val="007B430A"/>
    <w:rsid w:val="007B5630"/>
    <w:rsid w:val="007C0BAC"/>
    <w:rsid w:val="007C1C2F"/>
    <w:rsid w:val="007C5E34"/>
    <w:rsid w:val="007C679F"/>
    <w:rsid w:val="007D2137"/>
    <w:rsid w:val="007D6606"/>
    <w:rsid w:val="007D67D1"/>
    <w:rsid w:val="007D682B"/>
    <w:rsid w:val="007D75C3"/>
    <w:rsid w:val="007E2A88"/>
    <w:rsid w:val="007E5C59"/>
    <w:rsid w:val="007E6CAF"/>
    <w:rsid w:val="007E73C3"/>
    <w:rsid w:val="007F378A"/>
    <w:rsid w:val="008046A7"/>
    <w:rsid w:val="00805E1E"/>
    <w:rsid w:val="0080763A"/>
    <w:rsid w:val="008101A5"/>
    <w:rsid w:val="0082072C"/>
    <w:rsid w:val="008211B6"/>
    <w:rsid w:val="008215F2"/>
    <w:rsid w:val="0082561C"/>
    <w:rsid w:val="00831A19"/>
    <w:rsid w:val="00831EDA"/>
    <w:rsid w:val="0083397B"/>
    <w:rsid w:val="00835568"/>
    <w:rsid w:val="0083579D"/>
    <w:rsid w:val="008363BD"/>
    <w:rsid w:val="00836A1D"/>
    <w:rsid w:val="00836B17"/>
    <w:rsid w:val="00836ED3"/>
    <w:rsid w:val="00837349"/>
    <w:rsid w:val="0083777A"/>
    <w:rsid w:val="00841C4E"/>
    <w:rsid w:val="008433EA"/>
    <w:rsid w:val="00844572"/>
    <w:rsid w:val="008461EA"/>
    <w:rsid w:val="00847619"/>
    <w:rsid w:val="008527AF"/>
    <w:rsid w:val="00853982"/>
    <w:rsid w:val="00854310"/>
    <w:rsid w:val="0085796E"/>
    <w:rsid w:val="00860CE9"/>
    <w:rsid w:val="00860F79"/>
    <w:rsid w:val="008631F3"/>
    <w:rsid w:val="00870493"/>
    <w:rsid w:val="008733F2"/>
    <w:rsid w:val="008739F3"/>
    <w:rsid w:val="00875888"/>
    <w:rsid w:val="00877335"/>
    <w:rsid w:val="00881A7C"/>
    <w:rsid w:val="00884320"/>
    <w:rsid w:val="00885412"/>
    <w:rsid w:val="0089092B"/>
    <w:rsid w:val="00890FD6"/>
    <w:rsid w:val="0089104A"/>
    <w:rsid w:val="00891D27"/>
    <w:rsid w:val="00892B79"/>
    <w:rsid w:val="00895B38"/>
    <w:rsid w:val="008979D0"/>
    <w:rsid w:val="008A3128"/>
    <w:rsid w:val="008A53F1"/>
    <w:rsid w:val="008B1B7C"/>
    <w:rsid w:val="008B629C"/>
    <w:rsid w:val="008B6C4F"/>
    <w:rsid w:val="008B6F43"/>
    <w:rsid w:val="008C0A8C"/>
    <w:rsid w:val="008C1CCC"/>
    <w:rsid w:val="008C4B08"/>
    <w:rsid w:val="008C4DAE"/>
    <w:rsid w:val="008C6520"/>
    <w:rsid w:val="008C6C90"/>
    <w:rsid w:val="008C6CD3"/>
    <w:rsid w:val="008C7690"/>
    <w:rsid w:val="008D25CC"/>
    <w:rsid w:val="008D3E8B"/>
    <w:rsid w:val="008D409A"/>
    <w:rsid w:val="008D4ADF"/>
    <w:rsid w:val="008D657A"/>
    <w:rsid w:val="008D70A6"/>
    <w:rsid w:val="008E073C"/>
    <w:rsid w:val="008E121E"/>
    <w:rsid w:val="008E31F7"/>
    <w:rsid w:val="008F1E62"/>
    <w:rsid w:val="008F6929"/>
    <w:rsid w:val="00904091"/>
    <w:rsid w:val="009044B7"/>
    <w:rsid w:val="00906E26"/>
    <w:rsid w:val="00912360"/>
    <w:rsid w:val="00914472"/>
    <w:rsid w:val="00917AE9"/>
    <w:rsid w:val="0092041D"/>
    <w:rsid w:val="00921DA9"/>
    <w:rsid w:val="00922734"/>
    <w:rsid w:val="00923457"/>
    <w:rsid w:val="009262AC"/>
    <w:rsid w:val="0093663B"/>
    <w:rsid w:val="0094137F"/>
    <w:rsid w:val="00941BFF"/>
    <w:rsid w:val="00941E0A"/>
    <w:rsid w:val="00942B3C"/>
    <w:rsid w:val="00945A38"/>
    <w:rsid w:val="009501E6"/>
    <w:rsid w:val="00950A70"/>
    <w:rsid w:val="00951681"/>
    <w:rsid w:val="00951BC4"/>
    <w:rsid w:val="009603C9"/>
    <w:rsid w:val="00960B87"/>
    <w:rsid w:val="00962AAD"/>
    <w:rsid w:val="009635AB"/>
    <w:rsid w:val="00964ECF"/>
    <w:rsid w:val="00971A09"/>
    <w:rsid w:val="00971F70"/>
    <w:rsid w:val="0097213D"/>
    <w:rsid w:val="009758CE"/>
    <w:rsid w:val="00975E03"/>
    <w:rsid w:val="009803DF"/>
    <w:rsid w:val="00980566"/>
    <w:rsid w:val="00982ED8"/>
    <w:rsid w:val="00984A9D"/>
    <w:rsid w:val="00986732"/>
    <w:rsid w:val="00986ECD"/>
    <w:rsid w:val="009903E3"/>
    <w:rsid w:val="0099176B"/>
    <w:rsid w:val="0099459B"/>
    <w:rsid w:val="009966EF"/>
    <w:rsid w:val="009972E5"/>
    <w:rsid w:val="00997C74"/>
    <w:rsid w:val="009A2442"/>
    <w:rsid w:val="009A2737"/>
    <w:rsid w:val="009A2A70"/>
    <w:rsid w:val="009A3BBF"/>
    <w:rsid w:val="009A3D45"/>
    <w:rsid w:val="009A68DE"/>
    <w:rsid w:val="009A75D1"/>
    <w:rsid w:val="009A7D1A"/>
    <w:rsid w:val="009B1FD5"/>
    <w:rsid w:val="009B3268"/>
    <w:rsid w:val="009B404B"/>
    <w:rsid w:val="009B5FBB"/>
    <w:rsid w:val="009B64C4"/>
    <w:rsid w:val="009C6E2A"/>
    <w:rsid w:val="009C787A"/>
    <w:rsid w:val="009D0659"/>
    <w:rsid w:val="009D119A"/>
    <w:rsid w:val="009D266A"/>
    <w:rsid w:val="009E047A"/>
    <w:rsid w:val="009E0743"/>
    <w:rsid w:val="009E0762"/>
    <w:rsid w:val="009E0D5F"/>
    <w:rsid w:val="009E16BB"/>
    <w:rsid w:val="009E3575"/>
    <w:rsid w:val="009E3DB9"/>
    <w:rsid w:val="009E558C"/>
    <w:rsid w:val="009E6878"/>
    <w:rsid w:val="009F07ED"/>
    <w:rsid w:val="009F17FE"/>
    <w:rsid w:val="009F34A1"/>
    <w:rsid w:val="009F4221"/>
    <w:rsid w:val="009F4617"/>
    <w:rsid w:val="009F47A7"/>
    <w:rsid w:val="009F5718"/>
    <w:rsid w:val="009F61DA"/>
    <w:rsid w:val="009F656F"/>
    <w:rsid w:val="009F707B"/>
    <w:rsid w:val="009F7990"/>
    <w:rsid w:val="009F7A6D"/>
    <w:rsid w:val="00A009D4"/>
    <w:rsid w:val="00A02C00"/>
    <w:rsid w:val="00A0320E"/>
    <w:rsid w:val="00A12944"/>
    <w:rsid w:val="00A14EFC"/>
    <w:rsid w:val="00A1691E"/>
    <w:rsid w:val="00A22BE0"/>
    <w:rsid w:val="00A22FF3"/>
    <w:rsid w:val="00A2365D"/>
    <w:rsid w:val="00A24980"/>
    <w:rsid w:val="00A24C4F"/>
    <w:rsid w:val="00A2719F"/>
    <w:rsid w:val="00A312B8"/>
    <w:rsid w:val="00A32C82"/>
    <w:rsid w:val="00A33A9C"/>
    <w:rsid w:val="00A3408C"/>
    <w:rsid w:val="00A35315"/>
    <w:rsid w:val="00A442C3"/>
    <w:rsid w:val="00A4684B"/>
    <w:rsid w:val="00A474D4"/>
    <w:rsid w:val="00A50F6C"/>
    <w:rsid w:val="00A5372D"/>
    <w:rsid w:val="00A5404A"/>
    <w:rsid w:val="00A628F4"/>
    <w:rsid w:val="00A6600B"/>
    <w:rsid w:val="00A66018"/>
    <w:rsid w:val="00A66558"/>
    <w:rsid w:val="00A7014D"/>
    <w:rsid w:val="00A71047"/>
    <w:rsid w:val="00A72D1A"/>
    <w:rsid w:val="00A751B8"/>
    <w:rsid w:val="00A75A9C"/>
    <w:rsid w:val="00A76D69"/>
    <w:rsid w:val="00A835FF"/>
    <w:rsid w:val="00A83846"/>
    <w:rsid w:val="00A83E30"/>
    <w:rsid w:val="00A85EA9"/>
    <w:rsid w:val="00A916E8"/>
    <w:rsid w:val="00A92349"/>
    <w:rsid w:val="00A944BC"/>
    <w:rsid w:val="00AA1CCA"/>
    <w:rsid w:val="00AA40A1"/>
    <w:rsid w:val="00AB0007"/>
    <w:rsid w:val="00AB07B5"/>
    <w:rsid w:val="00AB0B25"/>
    <w:rsid w:val="00AB6557"/>
    <w:rsid w:val="00AC0550"/>
    <w:rsid w:val="00AC3607"/>
    <w:rsid w:val="00AC54FF"/>
    <w:rsid w:val="00AC5C74"/>
    <w:rsid w:val="00AC7B96"/>
    <w:rsid w:val="00AD066A"/>
    <w:rsid w:val="00AD069F"/>
    <w:rsid w:val="00AD6414"/>
    <w:rsid w:val="00AD6C0F"/>
    <w:rsid w:val="00AE00D7"/>
    <w:rsid w:val="00AE3450"/>
    <w:rsid w:val="00AE5055"/>
    <w:rsid w:val="00AE699D"/>
    <w:rsid w:val="00AF0886"/>
    <w:rsid w:val="00AF1477"/>
    <w:rsid w:val="00AF33FC"/>
    <w:rsid w:val="00AF4C7A"/>
    <w:rsid w:val="00AF5D5B"/>
    <w:rsid w:val="00AF6B9A"/>
    <w:rsid w:val="00B00AA3"/>
    <w:rsid w:val="00B026D9"/>
    <w:rsid w:val="00B04B9B"/>
    <w:rsid w:val="00B05442"/>
    <w:rsid w:val="00B072ED"/>
    <w:rsid w:val="00B10B04"/>
    <w:rsid w:val="00B10BF4"/>
    <w:rsid w:val="00B1170E"/>
    <w:rsid w:val="00B11A62"/>
    <w:rsid w:val="00B14A97"/>
    <w:rsid w:val="00B15030"/>
    <w:rsid w:val="00B150FA"/>
    <w:rsid w:val="00B20D8C"/>
    <w:rsid w:val="00B20EE3"/>
    <w:rsid w:val="00B21B7C"/>
    <w:rsid w:val="00B22AC5"/>
    <w:rsid w:val="00B24C6D"/>
    <w:rsid w:val="00B273CB"/>
    <w:rsid w:val="00B323F0"/>
    <w:rsid w:val="00B34146"/>
    <w:rsid w:val="00B3465A"/>
    <w:rsid w:val="00B378B2"/>
    <w:rsid w:val="00B37E41"/>
    <w:rsid w:val="00B43E1A"/>
    <w:rsid w:val="00B47709"/>
    <w:rsid w:val="00B506F3"/>
    <w:rsid w:val="00B50794"/>
    <w:rsid w:val="00B508D3"/>
    <w:rsid w:val="00B51738"/>
    <w:rsid w:val="00B51E90"/>
    <w:rsid w:val="00B57380"/>
    <w:rsid w:val="00B63D9B"/>
    <w:rsid w:val="00B67C1A"/>
    <w:rsid w:val="00B7271C"/>
    <w:rsid w:val="00B763C7"/>
    <w:rsid w:val="00B763FA"/>
    <w:rsid w:val="00B774A8"/>
    <w:rsid w:val="00B816DD"/>
    <w:rsid w:val="00B81A18"/>
    <w:rsid w:val="00B81D8F"/>
    <w:rsid w:val="00B82AC2"/>
    <w:rsid w:val="00B83C4A"/>
    <w:rsid w:val="00B91A4A"/>
    <w:rsid w:val="00B94A1E"/>
    <w:rsid w:val="00B94BFA"/>
    <w:rsid w:val="00B97B9F"/>
    <w:rsid w:val="00BA1A86"/>
    <w:rsid w:val="00BA226D"/>
    <w:rsid w:val="00BA29E9"/>
    <w:rsid w:val="00BA3333"/>
    <w:rsid w:val="00BA36B3"/>
    <w:rsid w:val="00BA5B1F"/>
    <w:rsid w:val="00BA66B1"/>
    <w:rsid w:val="00BA6EBC"/>
    <w:rsid w:val="00BB1638"/>
    <w:rsid w:val="00BB34F9"/>
    <w:rsid w:val="00BB41A4"/>
    <w:rsid w:val="00BB4BAF"/>
    <w:rsid w:val="00BB7E8B"/>
    <w:rsid w:val="00BC0B12"/>
    <w:rsid w:val="00BC0E96"/>
    <w:rsid w:val="00BC12E2"/>
    <w:rsid w:val="00BC1DCF"/>
    <w:rsid w:val="00BC346D"/>
    <w:rsid w:val="00BC35D4"/>
    <w:rsid w:val="00BC3D16"/>
    <w:rsid w:val="00BD4345"/>
    <w:rsid w:val="00BD4DFB"/>
    <w:rsid w:val="00BE3510"/>
    <w:rsid w:val="00BE4CCA"/>
    <w:rsid w:val="00BE74C8"/>
    <w:rsid w:val="00BE761E"/>
    <w:rsid w:val="00BF0827"/>
    <w:rsid w:val="00BF0A35"/>
    <w:rsid w:val="00BF2F4A"/>
    <w:rsid w:val="00BF3093"/>
    <w:rsid w:val="00BF3C89"/>
    <w:rsid w:val="00C04531"/>
    <w:rsid w:val="00C04558"/>
    <w:rsid w:val="00C04EA1"/>
    <w:rsid w:val="00C07C80"/>
    <w:rsid w:val="00C11AAF"/>
    <w:rsid w:val="00C11EFF"/>
    <w:rsid w:val="00C124E6"/>
    <w:rsid w:val="00C13F83"/>
    <w:rsid w:val="00C15382"/>
    <w:rsid w:val="00C15ECA"/>
    <w:rsid w:val="00C1633C"/>
    <w:rsid w:val="00C17E8D"/>
    <w:rsid w:val="00C20E93"/>
    <w:rsid w:val="00C21DF1"/>
    <w:rsid w:val="00C222F3"/>
    <w:rsid w:val="00C23BF2"/>
    <w:rsid w:val="00C24004"/>
    <w:rsid w:val="00C24455"/>
    <w:rsid w:val="00C254F0"/>
    <w:rsid w:val="00C27855"/>
    <w:rsid w:val="00C374CC"/>
    <w:rsid w:val="00C379FE"/>
    <w:rsid w:val="00C37CD0"/>
    <w:rsid w:val="00C43CFE"/>
    <w:rsid w:val="00C46557"/>
    <w:rsid w:val="00C46DC6"/>
    <w:rsid w:val="00C4789A"/>
    <w:rsid w:val="00C5077F"/>
    <w:rsid w:val="00C5093C"/>
    <w:rsid w:val="00C52731"/>
    <w:rsid w:val="00C55401"/>
    <w:rsid w:val="00C60CCE"/>
    <w:rsid w:val="00C6316F"/>
    <w:rsid w:val="00C669E5"/>
    <w:rsid w:val="00C679CE"/>
    <w:rsid w:val="00C704C9"/>
    <w:rsid w:val="00C71914"/>
    <w:rsid w:val="00C7784C"/>
    <w:rsid w:val="00C80F04"/>
    <w:rsid w:val="00C81090"/>
    <w:rsid w:val="00C81C16"/>
    <w:rsid w:val="00C86564"/>
    <w:rsid w:val="00C90531"/>
    <w:rsid w:val="00C93740"/>
    <w:rsid w:val="00CA06B1"/>
    <w:rsid w:val="00CA240C"/>
    <w:rsid w:val="00CA6B55"/>
    <w:rsid w:val="00CB3985"/>
    <w:rsid w:val="00CB75FF"/>
    <w:rsid w:val="00CB7B6B"/>
    <w:rsid w:val="00CB7D29"/>
    <w:rsid w:val="00CC0060"/>
    <w:rsid w:val="00CC08F8"/>
    <w:rsid w:val="00CC0BE8"/>
    <w:rsid w:val="00CC147D"/>
    <w:rsid w:val="00CC3E11"/>
    <w:rsid w:val="00CC6237"/>
    <w:rsid w:val="00CC6700"/>
    <w:rsid w:val="00CC6D89"/>
    <w:rsid w:val="00CC6F63"/>
    <w:rsid w:val="00CD20F8"/>
    <w:rsid w:val="00CD3316"/>
    <w:rsid w:val="00CD34E9"/>
    <w:rsid w:val="00CD3706"/>
    <w:rsid w:val="00CD5F17"/>
    <w:rsid w:val="00CE116F"/>
    <w:rsid w:val="00CE1403"/>
    <w:rsid w:val="00CE2FD5"/>
    <w:rsid w:val="00CE39B2"/>
    <w:rsid w:val="00CE6556"/>
    <w:rsid w:val="00CF1A8C"/>
    <w:rsid w:val="00CF35E9"/>
    <w:rsid w:val="00CF43F2"/>
    <w:rsid w:val="00CF4B8D"/>
    <w:rsid w:val="00CF543F"/>
    <w:rsid w:val="00D02312"/>
    <w:rsid w:val="00D0622E"/>
    <w:rsid w:val="00D06CF4"/>
    <w:rsid w:val="00D1088E"/>
    <w:rsid w:val="00D12BD9"/>
    <w:rsid w:val="00D162BC"/>
    <w:rsid w:val="00D167BB"/>
    <w:rsid w:val="00D16D6E"/>
    <w:rsid w:val="00D205BA"/>
    <w:rsid w:val="00D22216"/>
    <w:rsid w:val="00D2478F"/>
    <w:rsid w:val="00D25204"/>
    <w:rsid w:val="00D25F59"/>
    <w:rsid w:val="00D266C2"/>
    <w:rsid w:val="00D272A5"/>
    <w:rsid w:val="00D2760C"/>
    <w:rsid w:val="00D3255C"/>
    <w:rsid w:val="00D3420E"/>
    <w:rsid w:val="00D3478E"/>
    <w:rsid w:val="00D356CF"/>
    <w:rsid w:val="00D4206A"/>
    <w:rsid w:val="00D4620B"/>
    <w:rsid w:val="00D4719F"/>
    <w:rsid w:val="00D50C61"/>
    <w:rsid w:val="00D5467C"/>
    <w:rsid w:val="00D621DA"/>
    <w:rsid w:val="00D648E0"/>
    <w:rsid w:val="00D65AC8"/>
    <w:rsid w:val="00D7008E"/>
    <w:rsid w:val="00D713D4"/>
    <w:rsid w:val="00D722CD"/>
    <w:rsid w:val="00D72F00"/>
    <w:rsid w:val="00D753D9"/>
    <w:rsid w:val="00D7641A"/>
    <w:rsid w:val="00D807D1"/>
    <w:rsid w:val="00D8224F"/>
    <w:rsid w:val="00D844CC"/>
    <w:rsid w:val="00D857FB"/>
    <w:rsid w:val="00D85BEE"/>
    <w:rsid w:val="00D85BF7"/>
    <w:rsid w:val="00D86802"/>
    <w:rsid w:val="00D90A8A"/>
    <w:rsid w:val="00D90DCC"/>
    <w:rsid w:val="00D91676"/>
    <w:rsid w:val="00D9281D"/>
    <w:rsid w:val="00D96645"/>
    <w:rsid w:val="00D969EB"/>
    <w:rsid w:val="00D974FF"/>
    <w:rsid w:val="00DA0270"/>
    <w:rsid w:val="00DA04D6"/>
    <w:rsid w:val="00DA06FC"/>
    <w:rsid w:val="00DA56F0"/>
    <w:rsid w:val="00DA5F0B"/>
    <w:rsid w:val="00DA7A60"/>
    <w:rsid w:val="00DB4818"/>
    <w:rsid w:val="00DB5052"/>
    <w:rsid w:val="00DB5F13"/>
    <w:rsid w:val="00DC1931"/>
    <w:rsid w:val="00DC5B32"/>
    <w:rsid w:val="00DC74DA"/>
    <w:rsid w:val="00DD173D"/>
    <w:rsid w:val="00DD4050"/>
    <w:rsid w:val="00DD40C0"/>
    <w:rsid w:val="00DE2982"/>
    <w:rsid w:val="00DE2FEA"/>
    <w:rsid w:val="00DE4AC1"/>
    <w:rsid w:val="00DE5630"/>
    <w:rsid w:val="00DE5FF0"/>
    <w:rsid w:val="00DF0EC6"/>
    <w:rsid w:val="00DF26E7"/>
    <w:rsid w:val="00DF28C5"/>
    <w:rsid w:val="00DF4B57"/>
    <w:rsid w:val="00DF54D3"/>
    <w:rsid w:val="00DF6DBF"/>
    <w:rsid w:val="00E02E3B"/>
    <w:rsid w:val="00E049A4"/>
    <w:rsid w:val="00E04D8F"/>
    <w:rsid w:val="00E061BB"/>
    <w:rsid w:val="00E063FD"/>
    <w:rsid w:val="00E072AC"/>
    <w:rsid w:val="00E078FD"/>
    <w:rsid w:val="00E11477"/>
    <w:rsid w:val="00E11B0F"/>
    <w:rsid w:val="00E125AF"/>
    <w:rsid w:val="00E13082"/>
    <w:rsid w:val="00E1342A"/>
    <w:rsid w:val="00E14388"/>
    <w:rsid w:val="00E144E9"/>
    <w:rsid w:val="00E1687C"/>
    <w:rsid w:val="00E2017C"/>
    <w:rsid w:val="00E2076C"/>
    <w:rsid w:val="00E21788"/>
    <w:rsid w:val="00E242D3"/>
    <w:rsid w:val="00E24CA4"/>
    <w:rsid w:val="00E27A3B"/>
    <w:rsid w:val="00E322FF"/>
    <w:rsid w:val="00E32889"/>
    <w:rsid w:val="00E33AFF"/>
    <w:rsid w:val="00E34863"/>
    <w:rsid w:val="00E36C6E"/>
    <w:rsid w:val="00E37FA1"/>
    <w:rsid w:val="00E414F8"/>
    <w:rsid w:val="00E43A15"/>
    <w:rsid w:val="00E4472A"/>
    <w:rsid w:val="00E47077"/>
    <w:rsid w:val="00E51C4C"/>
    <w:rsid w:val="00E52101"/>
    <w:rsid w:val="00E52779"/>
    <w:rsid w:val="00E53C53"/>
    <w:rsid w:val="00E553D5"/>
    <w:rsid w:val="00E56ADF"/>
    <w:rsid w:val="00E626F1"/>
    <w:rsid w:val="00E641A6"/>
    <w:rsid w:val="00E65624"/>
    <w:rsid w:val="00E6714F"/>
    <w:rsid w:val="00E705D3"/>
    <w:rsid w:val="00E7114C"/>
    <w:rsid w:val="00E71778"/>
    <w:rsid w:val="00E7317F"/>
    <w:rsid w:val="00E73276"/>
    <w:rsid w:val="00E733CE"/>
    <w:rsid w:val="00E737FA"/>
    <w:rsid w:val="00E76ACE"/>
    <w:rsid w:val="00E84012"/>
    <w:rsid w:val="00E861DA"/>
    <w:rsid w:val="00E86364"/>
    <w:rsid w:val="00E904E5"/>
    <w:rsid w:val="00E959E8"/>
    <w:rsid w:val="00E96A0E"/>
    <w:rsid w:val="00E97551"/>
    <w:rsid w:val="00E97B6F"/>
    <w:rsid w:val="00EA174A"/>
    <w:rsid w:val="00EA238F"/>
    <w:rsid w:val="00EA4441"/>
    <w:rsid w:val="00EA460D"/>
    <w:rsid w:val="00EA5C83"/>
    <w:rsid w:val="00EA7897"/>
    <w:rsid w:val="00EB1170"/>
    <w:rsid w:val="00EB154E"/>
    <w:rsid w:val="00EB1B66"/>
    <w:rsid w:val="00EB208A"/>
    <w:rsid w:val="00EB2FB3"/>
    <w:rsid w:val="00EB4B99"/>
    <w:rsid w:val="00EB7E3D"/>
    <w:rsid w:val="00EC11E4"/>
    <w:rsid w:val="00EC1AE7"/>
    <w:rsid w:val="00EC439F"/>
    <w:rsid w:val="00EC44F0"/>
    <w:rsid w:val="00EC4505"/>
    <w:rsid w:val="00EC7761"/>
    <w:rsid w:val="00EC7FD4"/>
    <w:rsid w:val="00ED1EC3"/>
    <w:rsid w:val="00ED2F2F"/>
    <w:rsid w:val="00ED2F45"/>
    <w:rsid w:val="00ED4012"/>
    <w:rsid w:val="00ED55A2"/>
    <w:rsid w:val="00EE010A"/>
    <w:rsid w:val="00EE2322"/>
    <w:rsid w:val="00EE7742"/>
    <w:rsid w:val="00EF0A65"/>
    <w:rsid w:val="00EF12CB"/>
    <w:rsid w:val="00EF331C"/>
    <w:rsid w:val="00EF3332"/>
    <w:rsid w:val="00EF41AC"/>
    <w:rsid w:val="00EF4F0C"/>
    <w:rsid w:val="00EF74A8"/>
    <w:rsid w:val="00F0033E"/>
    <w:rsid w:val="00F02A7A"/>
    <w:rsid w:val="00F03624"/>
    <w:rsid w:val="00F06057"/>
    <w:rsid w:val="00F06C30"/>
    <w:rsid w:val="00F226D1"/>
    <w:rsid w:val="00F26B72"/>
    <w:rsid w:val="00F3013B"/>
    <w:rsid w:val="00F3014C"/>
    <w:rsid w:val="00F3475F"/>
    <w:rsid w:val="00F353CE"/>
    <w:rsid w:val="00F3651B"/>
    <w:rsid w:val="00F37163"/>
    <w:rsid w:val="00F42344"/>
    <w:rsid w:val="00F435F1"/>
    <w:rsid w:val="00F454FE"/>
    <w:rsid w:val="00F45F9D"/>
    <w:rsid w:val="00F47958"/>
    <w:rsid w:val="00F51224"/>
    <w:rsid w:val="00F56248"/>
    <w:rsid w:val="00F61397"/>
    <w:rsid w:val="00F61F43"/>
    <w:rsid w:val="00F65411"/>
    <w:rsid w:val="00F66425"/>
    <w:rsid w:val="00F66C87"/>
    <w:rsid w:val="00F70B70"/>
    <w:rsid w:val="00F710FC"/>
    <w:rsid w:val="00F7161F"/>
    <w:rsid w:val="00F73E58"/>
    <w:rsid w:val="00F7406E"/>
    <w:rsid w:val="00F74249"/>
    <w:rsid w:val="00F75473"/>
    <w:rsid w:val="00F81EEF"/>
    <w:rsid w:val="00F838BA"/>
    <w:rsid w:val="00F839BB"/>
    <w:rsid w:val="00F84751"/>
    <w:rsid w:val="00F85075"/>
    <w:rsid w:val="00F85AD4"/>
    <w:rsid w:val="00F9140A"/>
    <w:rsid w:val="00F93E48"/>
    <w:rsid w:val="00F95D50"/>
    <w:rsid w:val="00F96AA9"/>
    <w:rsid w:val="00FA1186"/>
    <w:rsid w:val="00FA2073"/>
    <w:rsid w:val="00FA2A0D"/>
    <w:rsid w:val="00FA2BB0"/>
    <w:rsid w:val="00FA521B"/>
    <w:rsid w:val="00FA7E0A"/>
    <w:rsid w:val="00FB0B72"/>
    <w:rsid w:val="00FB0CB0"/>
    <w:rsid w:val="00FB1797"/>
    <w:rsid w:val="00FC707D"/>
    <w:rsid w:val="00FC789F"/>
    <w:rsid w:val="00FC78EA"/>
    <w:rsid w:val="00FD241B"/>
    <w:rsid w:val="00FD3AAB"/>
    <w:rsid w:val="00FD4B19"/>
    <w:rsid w:val="00FD6D4E"/>
    <w:rsid w:val="00FE0A6D"/>
    <w:rsid w:val="00FE122C"/>
    <w:rsid w:val="00FE2301"/>
    <w:rsid w:val="00FE251E"/>
    <w:rsid w:val="00FE2D9A"/>
    <w:rsid w:val="00FE3202"/>
    <w:rsid w:val="00FE33A9"/>
    <w:rsid w:val="00FE3976"/>
    <w:rsid w:val="00FE3C14"/>
    <w:rsid w:val="00FE4274"/>
    <w:rsid w:val="00FE5327"/>
    <w:rsid w:val="00FE5747"/>
    <w:rsid w:val="00FE6386"/>
    <w:rsid w:val="00FE6A03"/>
    <w:rsid w:val="00FE6FF7"/>
    <w:rsid w:val="00FF6210"/>
    <w:rsid w:val="00FF73EC"/>
    <w:rsid w:val="00FF79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B6F43"/>
    <w:pPr>
      <w:tabs>
        <w:tab w:val="center" w:pos="4680"/>
        <w:tab w:val="right" w:pos="9360"/>
      </w:tabs>
    </w:pPr>
  </w:style>
  <w:style w:type="character" w:customStyle="1" w:styleId="HeaderChar">
    <w:name w:val="Header Char"/>
    <w:basedOn w:val="DefaultParagraphFont"/>
    <w:link w:val="Header"/>
    <w:rsid w:val="008B6F43"/>
    <w:rPr>
      <w:sz w:val="24"/>
      <w:szCs w:val="24"/>
    </w:rPr>
  </w:style>
  <w:style w:type="paragraph" w:styleId="Footer">
    <w:name w:val="footer"/>
    <w:basedOn w:val="Normal"/>
    <w:link w:val="FooterChar"/>
    <w:uiPriority w:val="99"/>
    <w:rsid w:val="008B6F43"/>
    <w:pPr>
      <w:tabs>
        <w:tab w:val="center" w:pos="4680"/>
        <w:tab w:val="right" w:pos="9360"/>
      </w:tabs>
    </w:pPr>
  </w:style>
  <w:style w:type="character" w:customStyle="1" w:styleId="FooterChar">
    <w:name w:val="Footer Char"/>
    <w:basedOn w:val="DefaultParagraphFont"/>
    <w:link w:val="Footer"/>
    <w:uiPriority w:val="99"/>
    <w:rsid w:val="008B6F43"/>
    <w:rPr>
      <w:sz w:val="24"/>
      <w:szCs w:val="24"/>
    </w:rPr>
  </w:style>
  <w:style w:type="paragraph" w:styleId="ListParagraph">
    <w:name w:val="List Paragraph"/>
    <w:basedOn w:val="Normal"/>
    <w:uiPriority w:val="34"/>
    <w:qFormat/>
    <w:rsid w:val="009B404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2280</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johcorbett</dc:creator>
  <cp:keywords/>
  <dc:description/>
  <cp:lastModifiedBy>shoffner</cp:lastModifiedBy>
  <cp:revision>3</cp:revision>
  <cp:lastPrinted>2010-11-03T21:09:00Z</cp:lastPrinted>
  <dcterms:created xsi:type="dcterms:W3CDTF">2010-10-18T18:07:00Z</dcterms:created>
  <dcterms:modified xsi:type="dcterms:W3CDTF">2010-11-03T21:14:00Z</dcterms:modified>
</cp:coreProperties>
</file>