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PENNSYLVANIA</w:t>
      </w:r>
    </w:p>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PUBLIC UTILITY COMMISSION</w:t>
      </w:r>
    </w:p>
    <w:p w:rsidR="00C2455C" w:rsidRPr="00893915" w:rsidRDefault="00C2455C" w:rsidP="00C2455C">
      <w:pPr>
        <w:tabs>
          <w:tab w:val="center" w:pos="4680"/>
        </w:tabs>
        <w:suppressAutoHyphens/>
        <w:jc w:val="center"/>
        <w:rPr>
          <w:b/>
          <w:bCs/>
          <w:spacing w:val="-3"/>
          <w:sz w:val="26"/>
          <w:szCs w:val="26"/>
        </w:rPr>
      </w:pPr>
      <w:smartTag w:uri="urn:schemas-microsoft-com:office:smarttags" w:element="place">
        <w:smartTag w:uri="urn:schemas-microsoft-com:office:smarttags" w:element="City">
          <w:r w:rsidRPr="00893915">
            <w:rPr>
              <w:b/>
              <w:bCs/>
              <w:spacing w:val="-3"/>
              <w:sz w:val="26"/>
              <w:szCs w:val="26"/>
            </w:rPr>
            <w:t>Harrisburg</w:t>
          </w:r>
        </w:smartTag>
        <w:r w:rsidRPr="00893915">
          <w:rPr>
            <w:b/>
            <w:bCs/>
            <w:spacing w:val="-3"/>
            <w:sz w:val="26"/>
            <w:szCs w:val="26"/>
          </w:rPr>
          <w:t xml:space="preserve">, </w:t>
        </w:r>
        <w:smartTag w:uri="urn:schemas-microsoft-com:office:smarttags" w:element="State">
          <w:r w:rsidRPr="00893915">
            <w:rPr>
              <w:b/>
              <w:bCs/>
              <w:spacing w:val="-3"/>
              <w:sz w:val="26"/>
              <w:szCs w:val="26"/>
            </w:rPr>
            <w:t>PA</w:t>
          </w:r>
        </w:smartTag>
        <w:r w:rsidRPr="00893915">
          <w:rPr>
            <w:b/>
            <w:bCs/>
            <w:spacing w:val="-3"/>
            <w:sz w:val="26"/>
            <w:szCs w:val="26"/>
          </w:rPr>
          <w:t xml:space="preserve">  </w:t>
        </w:r>
        <w:smartTag w:uri="urn:schemas-microsoft-com:office:smarttags" w:element="PostalCode">
          <w:r w:rsidRPr="00893915">
            <w:rPr>
              <w:b/>
              <w:bCs/>
              <w:spacing w:val="-3"/>
              <w:sz w:val="26"/>
              <w:szCs w:val="26"/>
            </w:rPr>
            <w:t>17105-3265</w:t>
          </w:r>
        </w:smartTag>
      </w:smartTag>
    </w:p>
    <w:p w:rsidR="00C2455C" w:rsidRPr="00893915" w:rsidRDefault="00C2455C" w:rsidP="00C2455C">
      <w:pPr>
        <w:tabs>
          <w:tab w:val="center" w:pos="4680"/>
        </w:tabs>
        <w:suppressAutoHyphens/>
        <w:jc w:val="center"/>
        <w:rPr>
          <w:b/>
          <w:bCs/>
          <w:spacing w:val="-3"/>
          <w:sz w:val="26"/>
          <w:szCs w:val="26"/>
        </w:rPr>
      </w:pPr>
    </w:p>
    <w:p w:rsidR="000B6331" w:rsidRDefault="000B6331" w:rsidP="000B6331">
      <w:pPr>
        <w:tabs>
          <w:tab w:val="right" w:pos="9360"/>
        </w:tabs>
        <w:suppressAutoHyphens/>
        <w:rPr>
          <w:sz w:val="26"/>
          <w:szCs w:val="26"/>
        </w:rPr>
      </w:pPr>
      <w:r>
        <w:rPr>
          <w:sz w:val="26"/>
        </w:rPr>
        <w:tab/>
        <w:t>P</w:t>
      </w:r>
      <w:r>
        <w:rPr>
          <w:sz w:val="26"/>
          <w:szCs w:val="26"/>
        </w:rPr>
        <w:t xml:space="preserve">ublic Meeting held </w:t>
      </w:r>
      <w:r w:rsidR="00EC4667">
        <w:rPr>
          <w:sz w:val="26"/>
          <w:szCs w:val="26"/>
        </w:rPr>
        <w:t>October 14</w:t>
      </w:r>
      <w:r w:rsidR="00E34B0F">
        <w:rPr>
          <w:sz w:val="26"/>
          <w:szCs w:val="26"/>
        </w:rPr>
        <w:t>, 2010</w:t>
      </w:r>
    </w:p>
    <w:p w:rsidR="000B6331" w:rsidRPr="001D19E9" w:rsidRDefault="000B6331" w:rsidP="000B6331">
      <w:pPr>
        <w:tabs>
          <w:tab w:val="right" w:pos="9360"/>
        </w:tabs>
        <w:suppressAutoHyphens/>
        <w:rPr>
          <w:sz w:val="26"/>
          <w:szCs w:val="26"/>
        </w:rPr>
      </w:pPr>
    </w:p>
    <w:p w:rsidR="000B6331" w:rsidRDefault="000B6331" w:rsidP="000B6331">
      <w:pPr>
        <w:tabs>
          <w:tab w:val="left" w:pos="-720"/>
        </w:tabs>
        <w:suppressAutoHyphens/>
        <w:rPr>
          <w:sz w:val="26"/>
        </w:rPr>
      </w:pPr>
    </w:p>
    <w:p w:rsidR="000B6331" w:rsidRDefault="000B6331" w:rsidP="000B6331">
      <w:pPr>
        <w:tabs>
          <w:tab w:val="left" w:pos="-720"/>
        </w:tabs>
        <w:suppressAutoHyphens/>
        <w:rPr>
          <w:sz w:val="26"/>
        </w:rPr>
      </w:pPr>
      <w:r>
        <w:rPr>
          <w:sz w:val="26"/>
        </w:rPr>
        <w:t>Commissioners Present:</w:t>
      </w:r>
    </w:p>
    <w:p w:rsidR="000B6331" w:rsidRDefault="000B6331" w:rsidP="000B6331">
      <w:pPr>
        <w:tabs>
          <w:tab w:val="left" w:pos="-720"/>
        </w:tabs>
        <w:suppressAutoHyphens/>
        <w:rPr>
          <w:sz w:val="26"/>
        </w:rPr>
      </w:pPr>
    </w:p>
    <w:p w:rsidR="000B6331" w:rsidRPr="008E73E6" w:rsidRDefault="000B6331" w:rsidP="000B6331">
      <w:pPr>
        <w:tabs>
          <w:tab w:val="left" w:pos="-720"/>
          <w:tab w:val="left" w:pos="0"/>
        </w:tabs>
        <w:suppressAutoHyphens/>
        <w:rPr>
          <w:sz w:val="26"/>
          <w:szCs w:val="26"/>
        </w:rPr>
      </w:pPr>
      <w:r w:rsidRPr="008E73E6">
        <w:rPr>
          <w:sz w:val="26"/>
        </w:rPr>
        <w:tab/>
      </w:r>
      <w:r w:rsidRPr="008E73E6">
        <w:rPr>
          <w:sz w:val="26"/>
          <w:szCs w:val="26"/>
        </w:rPr>
        <w:t>James H. Cawley, Chairman</w:t>
      </w:r>
      <w:r w:rsidR="00140C17">
        <w:rPr>
          <w:sz w:val="26"/>
          <w:szCs w:val="26"/>
        </w:rPr>
        <w:t>, Dissenting Statement</w:t>
      </w:r>
    </w:p>
    <w:p w:rsidR="000B6331" w:rsidRPr="008E73E6" w:rsidRDefault="000B6331" w:rsidP="000B6331">
      <w:pPr>
        <w:tabs>
          <w:tab w:val="left" w:pos="-720"/>
          <w:tab w:val="left" w:pos="0"/>
        </w:tabs>
        <w:suppressAutoHyphens/>
        <w:rPr>
          <w:sz w:val="26"/>
          <w:szCs w:val="26"/>
        </w:rPr>
      </w:pPr>
      <w:r w:rsidRPr="008E73E6">
        <w:rPr>
          <w:sz w:val="26"/>
          <w:szCs w:val="26"/>
        </w:rPr>
        <w:tab/>
        <w:t>Tyrone J. Christy, Vice Chairman</w:t>
      </w:r>
      <w:r w:rsidR="00140C17">
        <w:rPr>
          <w:sz w:val="26"/>
          <w:szCs w:val="26"/>
        </w:rPr>
        <w:t>, Statement</w:t>
      </w:r>
    </w:p>
    <w:p w:rsidR="00923552" w:rsidRDefault="000B6331" w:rsidP="000B6331">
      <w:pPr>
        <w:tabs>
          <w:tab w:val="left" w:pos="-720"/>
          <w:tab w:val="left" w:pos="0"/>
        </w:tabs>
        <w:suppressAutoHyphens/>
        <w:rPr>
          <w:sz w:val="26"/>
          <w:szCs w:val="26"/>
        </w:rPr>
      </w:pPr>
      <w:r w:rsidRPr="008E73E6">
        <w:rPr>
          <w:sz w:val="26"/>
          <w:szCs w:val="26"/>
        </w:rPr>
        <w:tab/>
      </w:r>
      <w:r w:rsidR="00923552">
        <w:rPr>
          <w:sz w:val="26"/>
          <w:szCs w:val="26"/>
        </w:rPr>
        <w:t>John F. Coleman, Jr.</w:t>
      </w:r>
    </w:p>
    <w:p w:rsidR="000B6331" w:rsidRPr="008E73E6" w:rsidRDefault="00923552" w:rsidP="000B6331">
      <w:pPr>
        <w:tabs>
          <w:tab w:val="left" w:pos="-720"/>
          <w:tab w:val="left" w:pos="0"/>
        </w:tabs>
        <w:suppressAutoHyphens/>
        <w:rPr>
          <w:sz w:val="26"/>
          <w:szCs w:val="26"/>
        </w:rPr>
      </w:pPr>
      <w:r>
        <w:rPr>
          <w:sz w:val="26"/>
          <w:szCs w:val="26"/>
        </w:rPr>
        <w:tab/>
      </w:r>
      <w:r w:rsidR="000B6331" w:rsidRPr="008E73E6">
        <w:rPr>
          <w:sz w:val="26"/>
          <w:szCs w:val="26"/>
        </w:rPr>
        <w:t>Wayne Gardner</w:t>
      </w:r>
    </w:p>
    <w:p w:rsidR="000B6331" w:rsidRDefault="000B6331" w:rsidP="000B6331">
      <w:pPr>
        <w:tabs>
          <w:tab w:val="left" w:pos="-720"/>
          <w:tab w:val="left" w:pos="0"/>
        </w:tabs>
        <w:suppressAutoHyphens/>
        <w:rPr>
          <w:sz w:val="26"/>
          <w:szCs w:val="26"/>
        </w:rPr>
      </w:pPr>
      <w:r w:rsidRPr="008E73E6">
        <w:rPr>
          <w:sz w:val="26"/>
          <w:szCs w:val="26"/>
        </w:rPr>
        <w:tab/>
        <w:t>Robert F. Powelson</w:t>
      </w:r>
    </w:p>
    <w:p w:rsidR="00E34B0F" w:rsidRDefault="00E34B0F" w:rsidP="000B6331">
      <w:pPr>
        <w:tabs>
          <w:tab w:val="left" w:pos="-720"/>
          <w:tab w:val="left" w:pos="0"/>
        </w:tabs>
        <w:suppressAutoHyphens/>
        <w:rPr>
          <w:sz w:val="26"/>
          <w:szCs w:val="26"/>
        </w:rPr>
      </w:pPr>
    </w:p>
    <w:p w:rsidR="00E34B0F" w:rsidRDefault="00E34B0F" w:rsidP="000B6331">
      <w:pPr>
        <w:tabs>
          <w:tab w:val="left" w:pos="-720"/>
          <w:tab w:val="left" w:pos="0"/>
        </w:tabs>
        <w:suppressAutoHyphens/>
        <w:rPr>
          <w:sz w:val="26"/>
          <w:szCs w:val="26"/>
        </w:rPr>
      </w:pPr>
    </w:p>
    <w:p w:rsidR="0028199C" w:rsidRDefault="00923552" w:rsidP="00C2455C">
      <w:pPr>
        <w:tabs>
          <w:tab w:val="left" w:pos="-720"/>
        </w:tabs>
        <w:suppressAutoHyphens/>
        <w:jc w:val="both"/>
        <w:rPr>
          <w:spacing w:val="-3"/>
          <w:sz w:val="26"/>
          <w:szCs w:val="26"/>
        </w:rPr>
      </w:pPr>
      <w:r>
        <w:rPr>
          <w:spacing w:val="-3"/>
          <w:sz w:val="26"/>
          <w:szCs w:val="26"/>
        </w:rPr>
        <w:t>Pennsylvania Public Utility Commission</w:t>
      </w:r>
      <w:r>
        <w:rPr>
          <w:spacing w:val="-3"/>
          <w:sz w:val="26"/>
          <w:szCs w:val="26"/>
        </w:rPr>
        <w:tab/>
      </w:r>
      <w:r>
        <w:rPr>
          <w:spacing w:val="-3"/>
          <w:sz w:val="26"/>
          <w:szCs w:val="26"/>
        </w:rPr>
        <w:tab/>
      </w:r>
      <w:r>
        <w:rPr>
          <w:spacing w:val="-3"/>
          <w:sz w:val="26"/>
          <w:szCs w:val="26"/>
        </w:rPr>
        <w:tab/>
        <w:t>R-2009-2088072</w:t>
      </w:r>
    </w:p>
    <w:p w:rsidR="00923552" w:rsidRDefault="00923552" w:rsidP="00C2455C">
      <w:pPr>
        <w:tabs>
          <w:tab w:val="left" w:pos="-720"/>
        </w:tabs>
        <w:suppressAutoHyphens/>
        <w:jc w:val="both"/>
        <w:rPr>
          <w:spacing w:val="-3"/>
          <w:sz w:val="26"/>
          <w:szCs w:val="26"/>
        </w:rPr>
      </w:pPr>
      <w:r>
        <w:rPr>
          <w:spacing w:val="-3"/>
          <w:sz w:val="26"/>
          <w:szCs w:val="26"/>
        </w:rPr>
        <w:t>Michael Tarr</w:t>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t>C-2009-20914</w:t>
      </w:r>
      <w:r w:rsidR="00485F79">
        <w:rPr>
          <w:spacing w:val="-3"/>
          <w:sz w:val="26"/>
          <w:szCs w:val="26"/>
        </w:rPr>
        <w:t>75</w:t>
      </w:r>
    </w:p>
    <w:p w:rsidR="00923552" w:rsidRDefault="00923552" w:rsidP="00C2455C">
      <w:pPr>
        <w:tabs>
          <w:tab w:val="left" w:pos="-720"/>
        </w:tabs>
        <w:suppressAutoHyphens/>
        <w:jc w:val="both"/>
        <w:rPr>
          <w:spacing w:val="-3"/>
          <w:sz w:val="26"/>
          <w:szCs w:val="26"/>
        </w:rPr>
      </w:pPr>
      <w:r>
        <w:rPr>
          <w:spacing w:val="-3"/>
          <w:sz w:val="26"/>
          <w:szCs w:val="26"/>
        </w:rPr>
        <w:t>Office of Consumer Advocate</w:t>
      </w:r>
      <w:r w:rsidR="00485F79">
        <w:rPr>
          <w:spacing w:val="-3"/>
          <w:sz w:val="26"/>
          <w:szCs w:val="26"/>
        </w:rPr>
        <w:tab/>
      </w:r>
      <w:r w:rsidR="00485F79">
        <w:rPr>
          <w:spacing w:val="-3"/>
          <w:sz w:val="26"/>
          <w:szCs w:val="26"/>
        </w:rPr>
        <w:tab/>
      </w:r>
      <w:r w:rsidR="00485F79">
        <w:rPr>
          <w:spacing w:val="-3"/>
          <w:sz w:val="26"/>
          <w:szCs w:val="26"/>
        </w:rPr>
        <w:tab/>
      </w:r>
      <w:r w:rsidR="00485F79">
        <w:rPr>
          <w:spacing w:val="-3"/>
          <w:sz w:val="26"/>
          <w:szCs w:val="26"/>
        </w:rPr>
        <w:tab/>
        <w:t>C-2009-2098330</w:t>
      </w:r>
    </w:p>
    <w:p w:rsidR="00923552" w:rsidRDefault="00923552" w:rsidP="00C2455C">
      <w:pPr>
        <w:tabs>
          <w:tab w:val="left" w:pos="-720"/>
        </w:tabs>
        <w:suppressAutoHyphens/>
        <w:jc w:val="both"/>
        <w:rPr>
          <w:spacing w:val="-3"/>
          <w:sz w:val="26"/>
          <w:szCs w:val="26"/>
        </w:rPr>
      </w:pPr>
      <w:r>
        <w:rPr>
          <w:spacing w:val="-3"/>
          <w:sz w:val="26"/>
          <w:szCs w:val="26"/>
        </w:rPr>
        <w:t>Office of Small Business Advocate</w:t>
      </w:r>
      <w:r w:rsidR="00485F79">
        <w:rPr>
          <w:spacing w:val="-3"/>
          <w:sz w:val="26"/>
          <w:szCs w:val="26"/>
        </w:rPr>
        <w:tab/>
      </w:r>
      <w:r w:rsidR="00485F79">
        <w:rPr>
          <w:spacing w:val="-3"/>
          <w:sz w:val="26"/>
          <w:szCs w:val="26"/>
        </w:rPr>
        <w:tab/>
      </w:r>
      <w:r w:rsidR="00485F79">
        <w:rPr>
          <w:spacing w:val="-3"/>
          <w:sz w:val="26"/>
          <w:szCs w:val="26"/>
        </w:rPr>
        <w:tab/>
      </w:r>
      <w:r w:rsidR="00485F79">
        <w:rPr>
          <w:spacing w:val="-3"/>
          <w:sz w:val="26"/>
          <w:szCs w:val="26"/>
        </w:rPr>
        <w:tab/>
        <w:t>C-2009-2100312</w:t>
      </w:r>
    </w:p>
    <w:p w:rsidR="00923552" w:rsidRDefault="00923552" w:rsidP="00C2455C">
      <w:pPr>
        <w:tabs>
          <w:tab w:val="left" w:pos="-720"/>
        </w:tabs>
        <w:suppressAutoHyphens/>
        <w:jc w:val="both"/>
        <w:rPr>
          <w:spacing w:val="-3"/>
          <w:sz w:val="26"/>
          <w:szCs w:val="26"/>
        </w:rPr>
      </w:pPr>
    </w:p>
    <w:p w:rsidR="00923552" w:rsidRDefault="00923552" w:rsidP="00C2455C">
      <w:pPr>
        <w:tabs>
          <w:tab w:val="left" w:pos="-720"/>
        </w:tabs>
        <w:suppressAutoHyphens/>
        <w:jc w:val="both"/>
        <w:rPr>
          <w:spacing w:val="-3"/>
          <w:sz w:val="26"/>
          <w:szCs w:val="26"/>
        </w:rPr>
      </w:pPr>
      <w:r>
        <w:rPr>
          <w:spacing w:val="-3"/>
          <w:sz w:val="26"/>
          <w:szCs w:val="26"/>
        </w:rPr>
        <w:tab/>
      </w:r>
      <w:r>
        <w:rPr>
          <w:spacing w:val="-3"/>
          <w:sz w:val="26"/>
          <w:szCs w:val="26"/>
        </w:rPr>
        <w:tab/>
        <w:t>v.</w:t>
      </w:r>
    </w:p>
    <w:p w:rsidR="00923552" w:rsidRDefault="00923552" w:rsidP="00C2455C">
      <w:pPr>
        <w:tabs>
          <w:tab w:val="left" w:pos="-720"/>
        </w:tabs>
        <w:suppressAutoHyphens/>
        <w:jc w:val="both"/>
        <w:rPr>
          <w:spacing w:val="-3"/>
          <w:sz w:val="26"/>
          <w:szCs w:val="26"/>
        </w:rPr>
      </w:pPr>
    </w:p>
    <w:p w:rsidR="00923552" w:rsidRDefault="00923552" w:rsidP="00C2455C">
      <w:pPr>
        <w:tabs>
          <w:tab w:val="left" w:pos="-720"/>
        </w:tabs>
        <w:suppressAutoHyphens/>
        <w:jc w:val="both"/>
        <w:rPr>
          <w:spacing w:val="-3"/>
          <w:sz w:val="26"/>
          <w:szCs w:val="26"/>
        </w:rPr>
      </w:pPr>
      <w:r>
        <w:rPr>
          <w:spacing w:val="-3"/>
          <w:sz w:val="26"/>
          <w:szCs w:val="26"/>
        </w:rPr>
        <w:t>Equitable Gas Company</w:t>
      </w:r>
    </w:p>
    <w:p w:rsidR="00485F79" w:rsidRDefault="00485F79" w:rsidP="00C2455C">
      <w:pPr>
        <w:tabs>
          <w:tab w:val="left" w:pos="-720"/>
        </w:tabs>
        <w:suppressAutoHyphens/>
        <w:jc w:val="both"/>
        <w:rPr>
          <w:spacing w:val="-3"/>
          <w:sz w:val="26"/>
          <w:szCs w:val="26"/>
        </w:rPr>
      </w:pPr>
    </w:p>
    <w:p w:rsidR="004063F8" w:rsidRPr="00893915" w:rsidRDefault="004063F8" w:rsidP="00C2455C">
      <w:pPr>
        <w:tabs>
          <w:tab w:val="left" w:pos="-720"/>
        </w:tabs>
        <w:suppressAutoHyphens/>
        <w:jc w:val="both"/>
        <w:rPr>
          <w:spacing w:val="-3"/>
          <w:sz w:val="26"/>
          <w:szCs w:val="26"/>
        </w:rPr>
      </w:pPr>
    </w:p>
    <w:p w:rsidR="00C2455C" w:rsidRPr="00893915" w:rsidRDefault="00C2455C" w:rsidP="00C2455C">
      <w:pPr>
        <w:tabs>
          <w:tab w:val="center" w:pos="4680"/>
        </w:tabs>
        <w:suppressAutoHyphens/>
        <w:jc w:val="center"/>
        <w:rPr>
          <w:b/>
          <w:bCs/>
          <w:spacing w:val="-3"/>
          <w:sz w:val="26"/>
          <w:szCs w:val="26"/>
        </w:rPr>
      </w:pPr>
      <w:r>
        <w:rPr>
          <w:b/>
          <w:bCs/>
          <w:spacing w:val="-3"/>
          <w:sz w:val="26"/>
          <w:szCs w:val="26"/>
        </w:rPr>
        <w:t xml:space="preserve">OPINION </w:t>
      </w:r>
      <w:smartTag w:uri="urn:schemas-microsoft-com:office:smarttags" w:element="stockticker">
        <w:r>
          <w:rPr>
            <w:b/>
            <w:bCs/>
            <w:spacing w:val="-3"/>
            <w:sz w:val="26"/>
            <w:szCs w:val="26"/>
          </w:rPr>
          <w:t>AND</w:t>
        </w:r>
      </w:smartTag>
      <w:r>
        <w:rPr>
          <w:b/>
          <w:bCs/>
          <w:spacing w:val="-3"/>
          <w:sz w:val="26"/>
          <w:szCs w:val="26"/>
        </w:rPr>
        <w:t xml:space="preserve"> ORDER</w:t>
      </w:r>
    </w:p>
    <w:p w:rsidR="00C2455C" w:rsidRDefault="00C2455C" w:rsidP="00C2455C">
      <w:pPr>
        <w:tabs>
          <w:tab w:val="center" w:pos="4680"/>
        </w:tabs>
        <w:suppressAutoHyphens/>
        <w:jc w:val="center"/>
        <w:rPr>
          <w:b/>
          <w:bCs/>
          <w:spacing w:val="-3"/>
          <w:sz w:val="26"/>
          <w:szCs w:val="26"/>
          <w:u w:val="single"/>
        </w:rPr>
      </w:pPr>
    </w:p>
    <w:p w:rsidR="00485F79" w:rsidRPr="00893915" w:rsidRDefault="00485F79" w:rsidP="00C2455C">
      <w:pPr>
        <w:tabs>
          <w:tab w:val="center" w:pos="4680"/>
        </w:tabs>
        <w:suppressAutoHyphens/>
        <w:jc w:val="center"/>
        <w:rPr>
          <w:b/>
          <w:bCs/>
          <w:spacing w:val="-3"/>
          <w:sz w:val="26"/>
          <w:szCs w:val="26"/>
          <w:u w:val="single"/>
        </w:rPr>
      </w:pPr>
    </w:p>
    <w:p w:rsidR="00C2455C" w:rsidRDefault="00C2455C" w:rsidP="00C80EA4">
      <w:pPr>
        <w:spacing w:line="360" w:lineRule="auto"/>
        <w:rPr>
          <w:b/>
          <w:bCs/>
          <w:spacing w:val="-3"/>
          <w:sz w:val="26"/>
          <w:szCs w:val="26"/>
        </w:rPr>
      </w:pPr>
      <w:r w:rsidRPr="00893915">
        <w:rPr>
          <w:b/>
          <w:bCs/>
          <w:spacing w:val="-3"/>
          <w:sz w:val="26"/>
          <w:szCs w:val="26"/>
        </w:rPr>
        <w:t>BY THE COMMISSION:</w:t>
      </w:r>
    </w:p>
    <w:p w:rsidR="00E34B0F" w:rsidRDefault="00E34B0F" w:rsidP="00C80EA4">
      <w:pPr>
        <w:spacing w:line="360" w:lineRule="auto"/>
        <w:rPr>
          <w:b/>
          <w:bCs/>
          <w:spacing w:val="-3"/>
          <w:sz w:val="26"/>
          <w:szCs w:val="26"/>
        </w:rPr>
      </w:pPr>
    </w:p>
    <w:p w:rsidR="00C2455C" w:rsidRPr="00893915" w:rsidRDefault="00E34B0F" w:rsidP="00C80EA4">
      <w:pPr>
        <w:spacing w:line="360" w:lineRule="auto"/>
        <w:rPr>
          <w:bCs/>
          <w:spacing w:val="-3"/>
          <w:sz w:val="26"/>
          <w:szCs w:val="26"/>
        </w:rPr>
      </w:pPr>
      <w:r>
        <w:rPr>
          <w:b/>
          <w:bCs/>
          <w:spacing w:val="-3"/>
          <w:sz w:val="26"/>
          <w:szCs w:val="26"/>
        </w:rPr>
        <w:tab/>
      </w:r>
      <w:r>
        <w:rPr>
          <w:b/>
          <w:bCs/>
          <w:spacing w:val="-3"/>
          <w:sz w:val="26"/>
          <w:szCs w:val="26"/>
        </w:rPr>
        <w:tab/>
      </w:r>
      <w:r>
        <w:rPr>
          <w:bCs/>
          <w:spacing w:val="-3"/>
          <w:sz w:val="26"/>
          <w:szCs w:val="26"/>
        </w:rPr>
        <w:t xml:space="preserve">Before the Commission </w:t>
      </w:r>
      <w:r w:rsidR="00C80EA4">
        <w:rPr>
          <w:bCs/>
          <w:spacing w:val="-3"/>
          <w:sz w:val="26"/>
          <w:szCs w:val="26"/>
        </w:rPr>
        <w:t xml:space="preserve">for decision </w:t>
      </w:r>
      <w:r>
        <w:rPr>
          <w:bCs/>
          <w:spacing w:val="-3"/>
          <w:sz w:val="26"/>
          <w:szCs w:val="26"/>
        </w:rPr>
        <w:t xml:space="preserve">are the </w:t>
      </w:r>
      <w:r w:rsidR="00485F79">
        <w:rPr>
          <w:bCs/>
          <w:spacing w:val="-3"/>
          <w:sz w:val="26"/>
          <w:szCs w:val="26"/>
        </w:rPr>
        <w:t>Recommended</w:t>
      </w:r>
      <w:r>
        <w:rPr>
          <w:bCs/>
          <w:spacing w:val="-3"/>
          <w:sz w:val="26"/>
          <w:szCs w:val="26"/>
        </w:rPr>
        <w:t xml:space="preserve"> Decision </w:t>
      </w:r>
      <w:r w:rsidR="00C80BED">
        <w:rPr>
          <w:bCs/>
          <w:spacing w:val="-3"/>
          <w:sz w:val="26"/>
          <w:szCs w:val="26"/>
        </w:rPr>
        <w:t>on Remand</w:t>
      </w:r>
      <w:r>
        <w:rPr>
          <w:bCs/>
          <w:spacing w:val="-3"/>
          <w:sz w:val="26"/>
          <w:szCs w:val="26"/>
        </w:rPr>
        <w:t xml:space="preserve"> </w:t>
      </w:r>
      <w:r w:rsidR="00C80BED">
        <w:rPr>
          <w:bCs/>
          <w:spacing w:val="-3"/>
          <w:sz w:val="26"/>
          <w:szCs w:val="26"/>
        </w:rPr>
        <w:t xml:space="preserve">(R.D.) </w:t>
      </w:r>
      <w:r>
        <w:rPr>
          <w:bCs/>
          <w:spacing w:val="-3"/>
          <w:sz w:val="26"/>
          <w:szCs w:val="26"/>
        </w:rPr>
        <w:t>of Administrative Law Judge</w:t>
      </w:r>
      <w:r w:rsidR="00485F79">
        <w:rPr>
          <w:bCs/>
          <w:spacing w:val="-3"/>
          <w:sz w:val="26"/>
          <w:szCs w:val="26"/>
        </w:rPr>
        <w:t>s</w:t>
      </w:r>
      <w:r>
        <w:rPr>
          <w:bCs/>
          <w:spacing w:val="-3"/>
          <w:sz w:val="26"/>
          <w:szCs w:val="26"/>
        </w:rPr>
        <w:t xml:space="preserve"> (ALJ) </w:t>
      </w:r>
      <w:r w:rsidR="00485F79">
        <w:rPr>
          <w:bCs/>
          <w:spacing w:val="-3"/>
          <w:sz w:val="26"/>
          <w:szCs w:val="26"/>
        </w:rPr>
        <w:t xml:space="preserve">Robert P. Meehan and Katrina L. Dunderdale </w:t>
      </w:r>
      <w:r>
        <w:rPr>
          <w:bCs/>
          <w:spacing w:val="-3"/>
          <w:sz w:val="26"/>
          <w:szCs w:val="26"/>
        </w:rPr>
        <w:t xml:space="preserve">issued on </w:t>
      </w:r>
      <w:r w:rsidR="00B564C8">
        <w:rPr>
          <w:bCs/>
          <w:spacing w:val="-3"/>
          <w:sz w:val="26"/>
          <w:szCs w:val="26"/>
        </w:rPr>
        <w:t>April 29</w:t>
      </w:r>
      <w:r w:rsidR="005C3A52">
        <w:rPr>
          <w:bCs/>
          <w:spacing w:val="-3"/>
          <w:sz w:val="26"/>
          <w:szCs w:val="26"/>
        </w:rPr>
        <w:t>, 20</w:t>
      </w:r>
      <w:r w:rsidR="00B564C8">
        <w:rPr>
          <w:bCs/>
          <w:spacing w:val="-3"/>
          <w:sz w:val="26"/>
          <w:szCs w:val="26"/>
        </w:rPr>
        <w:t>10</w:t>
      </w:r>
      <w:r w:rsidR="00BF5175">
        <w:rPr>
          <w:bCs/>
          <w:spacing w:val="-3"/>
          <w:sz w:val="26"/>
          <w:szCs w:val="26"/>
        </w:rPr>
        <w:t xml:space="preserve">, </w:t>
      </w:r>
      <w:r w:rsidR="00B564C8">
        <w:rPr>
          <w:bCs/>
          <w:spacing w:val="-3"/>
          <w:sz w:val="26"/>
          <w:szCs w:val="26"/>
        </w:rPr>
        <w:t xml:space="preserve">and </w:t>
      </w:r>
      <w:r w:rsidR="005C3A52">
        <w:rPr>
          <w:bCs/>
          <w:spacing w:val="-3"/>
          <w:sz w:val="26"/>
          <w:szCs w:val="26"/>
        </w:rPr>
        <w:t xml:space="preserve">the Exceptions of </w:t>
      </w:r>
      <w:r w:rsidR="00B564C8">
        <w:rPr>
          <w:bCs/>
          <w:spacing w:val="-3"/>
          <w:sz w:val="26"/>
          <w:szCs w:val="26"/>
        </w:rPr>
        <w:t>Equitable Gas Company (Equitable or Company)</w:t>
      </w:r>
      <w:r w:rsidR="00BF5175">
        <w:rPr>
          <w:bCs/>
          <w:spacing w:val="-3"/>
          <w:sz w:val="26"/>
          <w:szCs w:val="26"/>
        </w:rPr>
        <w:t xml:space="preserve"> filed on May 19, 2010</w:t>
      </w:r>
      <w:r w:rsidR="00B564C8">
        <w:rPr>
          <w:bCs/>
          <w:spacing w:val="-3"/>
          <w:sz w:val="26"/>
          <w:szCs w:val="26"/>
        </w:rPr>
        <w:t>.</w:t>
      </w:r>
      <w:r w:rsidR="005C3A52">
        <w:rPr>
          <w:bCs/>
          <w:spacing w:val="-3"/>
          <w:sz w:val="26"/>
          <w:szCs w:val="26"/>
        </w:rPr>
        <w:t xml:space="preserve"> </w:t>
      </w:r>
    </w:p>
    <w:p w:rsidR="007946C0" w:rsidRDefault="007946C0" w:rsidP="00C80EA4">
      <w:pPr>
        <w:spacing w:line="360" w:lineRule="auto"/>
        <w:ind w:firstLine="1440"/>
        <w:jc w:val="both"/>
        <w:rPr>
          <w:bCs/>
          <w:spacing w:val="-3"/>
          <w:sz w:val="26"/>
          <w:szCs w:val="26"/>
        </w:rPr>
      </w:pPr>
    </w:p>
    <w:p w:rsidR="0008766F" w:rsidRDefault="007C085C" w:rsidP="002F3D5E">
      <w:pPr>
        <w:keepNext/>
        <w:keepLines/>
        <w:spacing w:line="360" w:lineRule="auto"/>
        <w:jc w:val="center"/>
        <w:rPr>
          <w:b/>
          <w:bCs/>
          <w:spacing w:val="-3"/>
          <w:sz w:val="26"/>
          <w:szCs w:val="26"/>
        </w:rPr>
      </w:pPr>
      <w:r w:rsidRPr="00C43573">
        <w:rPr>
          <w:b/>
          <w:bCs/>
          <w:spacing w:val="-3"/>
          <w:sz w:val="26"/>
          <w:szCs w:val="26"/>
        </w:rPr>
        <w:lastRenderedPageBreak/>
        <w:t>History of the Proceeding</w:t>
      </w:r>
      <w:r w:rsidR="00663E0D">
        <w:rPr>
          <w:rStyle w:val="FootnoteReference"/>
          <w:b/>
          <w:bCs/>
          <w:spacing w:val="-3"/>
          <w:sz w:val="26"/>
          <w:szCs w:val="26"/>
        </w:rPr>
        <w:footnoteReference w:id="1"/>
      </w:r>
    </w:p>
    <w:p w:rsidR="00E1098C" w:rsidRDefault="00E1098C" w:rsidP="002F3D5E">
      <w:pPr>
        <w:keepNext/>
        <w:keepLines/>
        <w:spacing w:line="360" w:lineRule="auto"/>
        <w:jc w:val="center"/>
        <w:rPr>
          <w:b/>
          <w:bCs/>
          <w:spacing w:val="-3"/>
          <w:sz w:val="26"/>
          <w:szCs w:val="26"/>
        </w:rPr>
      </w:pPr>
    </w:p>
    <w:p w:rsidR="002F3D5E" w:rsidRPr="001914CD" w:rsidRDefault="002F3D5E" w:rsidP="002F3D5E">
      <w:pPr>
        <w:pStyle w:val="PlainText"/>
        <w:keepNext/>
        <w:keepLines/>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On April 1, 2009, Equitable filed a proposed tariff supplement to its Tariff Gas – Pa. P.U.C. No. 22, containing changes in the Purchased Gas Cost (PGC) included in tariff rates resulting from Equitable’s projected cost of gas purchased for the twelve-month period from October 1, 2009 to September 30, 2010.  The Company filed that tariff supplement with the Commission pursuant to Section 1307(f) of the Pennsylvania Public Utility Code</w:t>
      </w:r>
      <w:r w:rsidR="00204EFF">
        <w:rPr>
          <w:rFonts w:ascii="Times New Roman" w:hAnsi="Times New Roman"/>
          <w:sz w:val="26"/>
          <w:szCs w:val="24"/>
        </w:rPr>
        <w:t xml:space="preserve"> (Code)</w:t>
      </w:r>
      <w:r w:rsidRPr="001914CD">
        <w:rPr>
          <w:rFonts w:ascii="Times New Roman" w:hAnsi="Times New Roman"/>
          <w:sz w:val="26"/>
          <w:szCs w:val="24"/>
        </w:rPr>
        <w:t xml:space="preserve">, 66 Pa. C.S. §1307(f), and the Commission’s regulations at Section 53.61, </w:t>
      </w:r>
      <w:r w:rsidRPr="00A417A5">
        <w:rPr>
          <w:rFonts w:ascii="Times New Roman" w:hAnsi="Times New Roman"/>
          <w:i/>
          <w:sz w:val="26"/>
          <w:szCs w:val="24"/>
        </w:rPr>
        <w:t>et seq</w:t>
      </w:r>
      <w:r w:rsidRPr="001914CD">
        <w:rPr>
          <w:rFonts w:ascii="Times New Roman" w:hAnsi="Times New Roman"/>
          <w:sz w:val="26"/>
          <w:szCs w:val="24"/>
        </w:rPr>
        <w:t xml:space="preserve">., 52 Pa. Code §§53.61, </w:t>
      </w:r>
      <w:r w:rsidRPr="00A417A5">
        <w:rPr>
          <w:rFonts w:ascii="Times New Roman" w:hAnsi="Times New Roman"/>
          <w:i/>
          <w:sz w:val="26"/>
          <w:szCs w:val="24"/>
        </w:rPr>
        <w:t>et seq</w:t>
      </w:r>
      <w:r w:rsidRPr="001914CD">
        <w:rPr>
          <w:rFonts w:ascii="Times New Roman" w:hAnsi="Times New Roman"/>
          <w:sz w:val="26"/>
          <w:szCs w:val="24"/>
        </w:rPr>
        <w:t xml:space="preserve">.  </w:t>
      </w:r>
    </w:p>
    <w:p w:rsidR="002F3D5E" w:rsidRPr="001914CD" w:rsidRDefault="002F3D5E" w:rsidP="002F3D5E">
      <w:pPr>
        <w:pStyle w:val="PlainText"/>
        <w:spacing w:line="360" w:lineRule="auto"/>
        <w:rPr>
          <w:rFonts w:ascii="Times New Roman" w:hAnsi="Times New Roman"/>
          <w:sz w:val="26"/>
          <w:szCs w:val="24"/>
        </w:rPr>
      </w:pP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 xml:space="preserve">In accordance with Section 5.231 of the Commission’s Rules of Administrative Practice and Procedure, 52 Pa. Code §5.231, Equitable, the Office of Trial Staff (OTS), the Office of Small Business Advocate (OSBA) and the Office of Consumer Advocate (OCA) explored the possibility of settlement.  Equitable, </w:t>
      </w:r>
      <w:r>
        <w:rPr>
          <w:rFonts w:ascii="Times New Roman" w:hAnsi="Times New Roman"/>
          <w:sz w:val="26"/>
          <w:szCs w:val="24"/>
        </w:rPr>
        <w:t xml:space="preserve">the </w:t>
      </w:r>
      <w:r w:rsidRPr="001914CD">
        <w:rPr>
          <w:rFonts w:ascii="Times New Roman" w:hAnsi="Times New Roman"/>
          <w:sz w:val="26"/>
          <w:szCs w:val="24"/>
        </w:rPr>
        <w:t xml:space="preserve">OTS and </w:t>
      </w:r>
      <w:r>
        <w:rPr>
          <w:rFonts w:ascii="Times New Roman" w:hAnsi="Times New Roman"/>
          <w:sz w:val="26"/>
          <w:szCs w:val="24"/>
        </w:rPr>
        <w:t xml:space="preserve">the </w:t>
      </w:r>
      <w:r w:rsidRPr="001914CD">
        <w:rPr>
          <w:rFonts w:ascii="Times New Roman" w:hAnsi="Times New Roman"/>
          <w:sz w:val="26"/>
          <w:szCs w:val="24"/>
        </w:rPr>
        <w:t>OCA achieved</w:t>
      </w:r>
      <w:r w:rsidR="00A417A5">
        <w:rPr>
          <w:rFonts w:ascii="Times New Roman" w:hAnsi="Times New Roman"/>
          <w:sz w:val="26"/>
          <w:szCs w:val="24"/>
        </w:rPr>
        <w:t xml:space="preserve"> a settlement (Joint Settlement</w:t>
      </w:r>
      <w:r w:rsidRPr="001914CD">
        <w:rPr>
          <w:rFonts w:ascii="Times New Roman" w:hAnsi="Times New Roman"/>
          <w:sz w:val="26"/>
          <w:szCs w:val="24"/>
        </w:rPr>
        <w:t xml:space="preserve">) prior to the dates set for submission of further testimony.  The </w:t>
      </w:r>
      <w:r>
        <w:rPr>
          <w:rFonts w:ascii="Times New Roman" w:hAnsi="Times New Roman"/>
          <w:sz w:val="26"/>
          <w:szCs w:val="24"/>
        </w:rPr>
        <w:t>ALJs</w:t>
      </w:r>
      <w:r w:rsidRPr="001914CD">
        <w:rPr>
          <w:rFonts w:ascii="Times New Roman" w:hAnsi="Times New Roman"/>
          <w:sz w:val="26"/>
          <w:szCs w:val="24"/>
        </w:rPr>
        <w:t xml:space="preserve"> held hearings on June 15 and June 16, 2009.  Prior to the start of the hearing on June 15, 2009, Equitable, </w:t>
      </w:r>
      <w:r>
        <w:rPr>
          <w:rFonts w:ascii="Times New Roman" w:hAnsi="Times New Roman"/>
          <w:sz w:val="26"/>
          <w:szCs w:val="24"/>
        </w:rPr>
        <w:t xml:space="preserve">the </w:t>
      </w:r>
      <w:r w:rsidRPr="001914CD">
        <w:rPr>
          <w:rFonts w:ascii="Times New Roman" w:hAnsi="Times New Roman"/>
          <w:sz w:val="26"/>
          <w:szCs w:val="24"/>
        </w:rPr>
        <w:t xml:space="preserve">OTS, </w:t>
      </w:r>
      <w:r>
        <w:rPr>
          <w:rFonts w:ascii="Times New Roman" w:hAnsi="Times New Roman"/>
          <w:sz w:val="26"/>
          <w:szCs w:val="24"/>
        </w:rPr>
        <w:t xml:space="preserve">the </w:t>
      </w:r>
      <w:r w:rsidRPr="001914CD">
        <w:rPr>
          <w:rFonts w:ascii="Times New Roman" w:hAnsi="Times New Roman"/>
          <w:sz w:val="26"/>
          <w:szCs w:val="24"/>
        </w:rPr>
        <w:t xml:space="preserve">OSBA and </w:t>
      </w:r>
      <w:r>
        <w:rPr>
          <w:rFonts w:ascii="Times New Roman" w:hAnsi="Times New Roman"/>
          <w:sz w:val="26"/>
          <w:szCs w:val="24"/>
        </w:rPr>
        <w:t xml:space="preserve">the </w:t>
      </w:r>
      <w:r w:rsidRPr="001914CD">
        <w:rPr>
          <w:rFonts w:ascii="Times New Roman" w:hAnsi="Times New Roman"/>
          <w:sz w:val="26"/>
          <w:szCs w:val="24"/>
        </w:rPr>
        <w:t xml:space="preserve">OCA stipulated to the admission into the record of their written testimony and exhibits.  The </w:t>
      </w:r>
      <w:r>
        <w:rPr>
          <w:rFonts w:ascii="Times New Roman" w:hAnsi="Times New Roman"/>
          <w:sz w:val="26"/>
          <w:szCs w:val="24"/>
        </w:rPr>
        <w:t xml:space="preserve">ALJs </w:t>
      </w:r>
      <w:r w:rsidRPr="001914CD">
        <w:rPr>
          <w:rFonts w:ascii="Times New Roman" w:hAnsi="Times New Roman"/>
          <w:sz w:val="26"/>
          <w:szCs w:val="24"/>
        </w:rPr>
        <w:t>conducted the hearing into the only remaining litigated issue, which concerned the BTU Conversion Factor, and the hearing generated 226 pages of notes of testimony.</w:t>
      </w:r>
    </w:p>
    <w:p w:rsidR="002F3D5E" w:rsidRPr="001914CD" w:rsidRDefault="002F3D5E" w:rsidP="002F3D5E">
      <w:pPr>
        <w:pStyle w:val="PlainText"/>
        <w:spacing w:line="360" w:lineRule="auto"/>
        <w:rPr>
          <w:rFonts w:ascii="Times New Roman" w:hAnsi="Times New Roman"/>
          <w:sz w:val="26"/>
          <w:szCs w:val="24"/>
        </w:rPr>
      </w:pP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On June 25, 2009, Equitable,</w:t>
      </w:r>
      <w:r>
        <w:rPr>
          <w:rFonts w:ascii="Times New Roman" w:hAnsi="Times New Roman"/>
          <w:sz w:val="26"/>
          <w:szCs w:val="24"/>
        </w:rPr>
        <w:t xml:space="preserve"> the</w:t>
      </w:r>
      <w:r w:rsidRPr="001914CD">
        <w:rPr>
          <w:rFonts w:ascii="Times New Roman" w:hAnsi="Times New Roman"/>
          <w:sz w:val="26"/>
          <w:szCs w:val="24"/>
        </w:rPr>
        <w:t xml:space="preserve"> OTS and the OCA (the Settling Parties) filed the Joint Settleme</w:t>
      </w:r>
      <w:r w:rsidR="00A417A5">
        <w:rPr>
          <w:rFonts w:ascii="Times New Roman" w:hAnsi="Times New Roman"/>
          <w:sz w:val="26"/>
          <w:szCs w:val="24"/>
        </w:rPr>
        <w:t>nt,</w:t>
      </w:r>
      <w:r w:rsidRPr="001914CD">
        <w:rPr>
          <w:rFonts w:ascii="Times New Roman" w:hAnsi="Times New Roman"/>
          <w:sz w:val="26"/>
          <w:szCs w:val="24"/>
        </w:rPr>
        <w:t xml:space="preserve"> together with their supporting statements.  Dominion Retail filed Objections to the Joint Settlement on July 6, 2009, and NRG Energy filed its Objections to the Joint Settlement on July 6, 2009.  Equitable and NRG Energy submitted Briefs on the only litigated issue (concerning the appropriate value of the BTU </w:t>
      </w:r>
      <w:r w:rsidRPr="001914CD">
        <w:rPr>
          <w:rFonts w:ascii="Times New Roman" w:hAnsi="Times New Roman"/>
          <w:sz w:val="26"/>
          <w:szCs w:val="24"/>
        </w:rPr>
        <w:lastRenderedPageBreak/>
        <w:t>Conversion Factor) on or before July 6, 2009, and submitted Reply Briefs on July 8, 2009.  The record closed on July 9, 2009.</w:t>
      </w:r>
    </w:p>
    <w:p w:rsidR="002F3D5E" w:rsidRPr="001914CD" w:rsidRDefault="002F3D5E" w:rsidP="002F3D5E">
      <w:pPr>
        <w:pStyle w:val="PlainText"/>
        <w:spacing w:line="360" w:lineRule="auto"/>
        <w:rPr>
          <w:rFonts w:ascii="Times New Roman" w:hAnsi="Times New Roman"/>
          <w:sz w:val="26"/>
          <w:szCs w:val="24"/>
        </w:rPr>
      </w:pP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By Recommended Decision dated July 16, 2009</w:t>
      </w:r>
      <w:r w:rsidR="00C80BED">
        <w:rPr>
          <w:rFonts w:ascii="Times New Roman" w:hAnsi="Times New Roman"/>
          <w:sz w:val="26"/>
          <w:szCs w:val="24"/>
        </w:rPr>
        <w:t xml:space="preserve"> (July </w:t>
      </w:r>
      <w:r w:rsidR="00E61931">
        <w:rPr>
          <w:rFonts w:ascii="Times New Roman" w:hAnsi="Times New Roman"/>
          <w:sz w:val="26"/>
          <w:szCs w:val="24"/>
        </w:rPr>
        <w:t>Recommended Decision</w:t>
      </w:r>
      <w:r w:rsidR="00C80BED">
        <w:rPr>
          <w:rFonts w:ascii="Times New Roman" w:hAnsi="Times New Roman"/>
          <w:sz w:val="26"/>
          <w:szCs w:val="24"/>
        </w:rPr>
        <w:t>)</w:t>
      </w:r>
      <w:r w:rsidRPr="001914CD">
        <w:rPr>
          <w:rFonts w:ascii="Times New Roman" w:hAnsi="Times New Roman"/>
          <w:sz w:val="26"/>
          <w:szCs w:val="24"/>
        </w:rPr>
        <w:t xml:space="preserve">, the </w:t>
      </w:r>
      <w:r w:rsidR="00C80BED">
        <w:rPr>
          <w:rFonts w:ascii="Times New Roman" w:hAnsi="Times New Roman"/>
          <w:sz w:val="26"/>
          <w:szCs w:val="24"/>
        </w:rPr>
        <w:t>ALJs</w:t>
      </w:r>
      <w:r w:rsidRPr="001914CD">
        <w:rPr>
          <w:rFonts w:ascii="Times New Roman" w:hAnsi="Times New Roman"/>
          <w:sz w:val="26"/>
          <w:szCs w:val="24"/>
        </w:rPr>
        <w:t xml:space="preserve"> recommended approval of the Joint Settlement in addition to recommending the Commission adopt the position advanced by NRG Energy which proposed a BTU Conversion factor of 1.057.  Timely Exceptions were filed by Equitable solely with regard to the issue of the BTU Conversion Factor.  No Reply Exceptions were filed.</w:t>
      </w: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p>
    <w:p w:rsidR="00C80BE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 xml:space="preserve">On September 30, 2009, the Commission </w:t>
      </w:r>
      <w:r w:rsidR="00B0544A">
        <w:rPr>
          <w:rFonts w:ascii="Times New Roman" w:hAnsi="Times New Roman"/>
          <w:sz w:val="26"/>
          <w:szCs w:val="24"/>
        </w:rPr>
        <w:t xml:space="preserve">entered an Order at this docket (September 30 Order) which </w:t>
      </w:r>
      <w:r w:rsidRPr="001914CD">
        <w:rPr>
          <w:rFonts w:ascii="Times New Roman" w:hAnsi="Times New Roman"/>
          <w:sz w:val="26"/>
          <w:szCs w:val="24"/>
        </w:rPr>
        <w:t>approv</w:t>
      </w:r>
      <w:r w:rsidR="00B0544A">
        <w:rPr>
          <w:rFonts w:ascii="Times New Roman" w:hAnsi="Times New Roman"/>
          <w:sz w:val="26"/>
          <w:szCs w:val="24"/>
        </w:rPr>
        <w:t>ed</w:t>
      </w:r>
      <w:r w:rsidRPr="001914CD">
        <w:rPr>
          <w:rFonts w:ascii="Times New Roman" w:hAnsi="Times New Roman"/>
          <w:sz w:val="26"/>
          <w:szCs w:val="24"/>
        </w:rPr>
        <w:t xml:space="preserve"> of the ALJs’ </w:t>
      </w:r>
      <w:r w:rsidR="00C80BED">
        <w:rPr>
          <w:rFonts w:ascii="Times New Roman" w:hAnsi="Times New Roman"/>
          <w:sz w:val="26"/>
          <w:szCs w:val="24"/>
        </w:rPr>
        <w:t xml:space="preserve">July </w:t>
      </w:r>
      <w:r w:rsidRPr="001914CD">
        <w:rPr>
          <w:rFonts w:ascii="Times New Roman" w:hAnsi="Times New Roman"/>
          <w:sz w:val="26"/>
          <w:szCs w:val="24"/>
        </w:rPr>
        <w:t>Recommended De</w:t>
      </w:r>
      <w:r w:rsidR="00B0544A">
        <w:rPr>
          <w:rFonts w:ascii="Times New Roman" w:hAnsi="Times New Roman"/>
          <w:sz w:val="26"/>
          <w:szCs w:val="24"/>
        </w:rPr>
        <w:t>cision and the Joint Settlement</w:t>
      </w:r>
      <w:r w:rsidRPr="001914CD">
        <w:rPr>
          <w:rFonts w:ascii="Times New Roman" w:hAnsi="Times New Roman"/>
          <w:sz w:val="26"/>
          <w:szCs w:val="24"/>
        </w:rPr>
        <w:t xml:space="preserve">, except for the issue of capacity release revenue associated with the release of long-term TETCO capacity to Columbia Gas of Pennsylvania (Columbia).  </w:t>
      </w:r>
      <w:r w:rsidRPr="001914CD">
        <w:rPr>
          <w:rFonts w:ascii="Times New Roman" w:hAnsi="Times New Roman"/>
          <w:sz w:val="26"/>
          <w:szCs w:val="24"/>
        </w:rPr>
        <w:tab/>
      </w:r>
      <w:r w:rsidRPr="001914CD">
        <w:rPr>
          <w:rFonts w:ascii="Times New Roman" w:hAnsi="Times New Roman"/>
          <w:sz w:val="26"/>
          <w:szCs w:val="24"/>
        </w:rPr>
        <w:tab/>
      </w:r>
    </w:p>
    <w:p w:rsidR="002F3D5E" w:rsidRPr="001914CD" w:rsidRDefault="00C80BED" w:rsidP="002F3D5E">
      <w:pPr>
        <w:pStyle w:val="PlainText"/>
        <w:spacing w:line="360" w:lineRule="auto"/>
        <w:rPr>
          <w:rFonts w:ascii="Times New Roman" w:hAnsi="Times New Roman"/>
          <w:sz w:val="26"/>
          <w:szCs w:val="24"/>
        </w:rPr>
      </w:pPr>
      <w:r>
        <w:rPr>
          <w:rFonts w:ascii="Times New Roman" w:hAnsi="Times New Roman"/>
          <w:sz w:val="26"/>
          <w:szCs w:val="24"/>
        </w:rPr>
        <w:tab/>
      </w:r>
      <w:r w:rsidR="00B0544A">
        <w:rPr>
          <w:rFonts w:ascii="Times New Roman" w:hAnsi="Times New Roman"/>
          <w:sz w:val="26"/>
          <w:szCs w:val="24"/>
        </w:rPr>
        <w:tab/>
      </w:r>
      <w:r w:rsidR="002F3D5E" w:rsidRPr="001914CD">
        <w:rPr>
          <w:rFonts w:ascii="Times New Roman" w:hAnsi="Times New Roman"/>
          <w:sz w:val="26"/>
          <w:szCs w:val="24"/>
        </w:rPr>
        <w:t>On October 5, 2009, Equitable advised the Commission it was withdrawing from the portion of the Joint Settlement Agreement relating to the TETCO capacity release and exercising its right to litigate this issue.</w:t>
      </w:r>
    </w:p>
    <w:p w:rsidR="002F3D5E" w:rsidRPr="001914CD" w:rsidRDefault="002F3D5E" w:rsidP="002F3D5E">
      <w:pPr>
        <w:pStyle w:val="PlainText"/>
        <w:spacing w:line="360" w:lineRule="auto"/>
        <w:rPr>
          <w:rFonts w:ascii="Times New Roman" w:hAnsi="Times New Roman"/>
          <w:sz w:val="26"/>
          <w:szCs w:val="24"/>
        </w:rPr>
      </w:pP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 xml:space="preserve">On October 15, 2009, Equitable filed </w:t>
      </w:r>
      <w:r w:rsidR="00204EFF">
        <w:rPr>
          <w:rFonts w:ascii="Times New Roman" w:hAnsi="Times New Roman"/>
          <w:sz w:val="26"/>
          <w:szCs w:val="24"/>
        </w:rPr>
        <w:t xml:space="preserve">a </w:t>
      </w:r>
      <w:r w:rsidRPr="001914CD">
        <w:rPr>
          <w:rFonts w:ascii="Times New Roman" w:hAnsi="Times New Roman"/>
          <w:sz w:val="26"/>
          <w:szCs w:val="24"/>
        </w:rPr>
        <w:t xml:space="preserve">Petition for Reconsideration, </w:t>
      </w:r>
      <w:r w:rsidR="00FC1280">
        <w:rPr>
          <w:rFonts w:ascii="Times New Roman" w:hAnsi="Times New Roman"/>
          <w:sz w:val="26"/>
          <w:szCs w:val="24"/>
        </w:rPr>
        <w:t>seeking</w:t>
      </w:r>
      <w:r w:rsidR="00B0544A">
        <w:rPr>
          <w:rFonts w:ascii="Times New Roman" w:hAnsi="Times New Roman"/>
          <w:sz w:val="26"/>
          <w:szCs w:val="24"/>
        </w:rPr>
        <w:t xml:space="preserve"> reconsideration of the September 30 Order.  O</w:t>
      </w:r>
      <w:r w:rsidRPr="001914CD">
        <w:rPr>
          <w:rFonts w:ascii="Times New Roman" w:hAnsi="Times New Roman"/>
          <w:sz w:val="26"/>
          <w:szCs w:val="24"/>
        </w:rPr>
        <w:t xml:space="preserve">n October 22, 2009, the Commission granted reconsideration pending further consideration of the merits.  No responses to the Petition were filed.  </w:t>
      </w:r>
    </w:p>
    <w:p w:rsidR="002F3D5E" w:rsidRPr="001914CD" w:rsidRDefault="002F3D5E" w:rsidP="002F3D5E">
      <w:pPr>
        <w:pStyle w:val="PlainText"/>
        <w:spacing w:line="360" w:lineRule="auto"/>
        <w:rPr>
          <w:rFonts w:ascii="Times New Roman" w:hAnsi="Times New Roman"/>
          <w:sz w:val="26"/>
          <w:szCs w:val="24"/>
        </w:rPr>
      </w:pP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 xml:space="preserve">On December 21, 2009, the Commission issued an Opinion and Order </w:t>
      </w:r>
      <w:r w:rsidR="008C11A0">
        <w:rPr>
          <w:rFonts w:ascii="Times New Roman" w:hAnsi="Times New Roman"/>
          <w:sz w:val="26"/>
          <w:szCs w:val="24"/>
        </w:rPr>
        <w:t xml:space="preserve">at this docket </w:t>
      </w:r>
      <w:r w:rsidRPr="001914CD">
        <w:rPr>
          <w:rFonts w:ascii="Times New Roman" w:hAnsi="Times New Roman"/>
          <w:sz w:val="26"/>
          <w:szCs w:val="24"/>
        </w:rPr>
        <w:t xml:space="preserve">which granted the Petition for Reconsideration filed by Equitable </w:t>
      </w:r>
      <w:r w:rsidR="008C11A0">
        <w:rPr>
          <w:rFonts w:ascii="Times New Roman" w:hAnsi="Times New Roman"/>
          <w:sz w:val="26"/>
          <w:szCs w:val="24"/>
        </w:rPr>
        <w:t xml:space="preserve">(December 21 Order)  </w:t>
      </w:r>
      <w:r w:rsidRPr="001914CD">
        <w:rPr>
          <w:rFonts w:ascii="Times New Roman" w:hAnsi="Times New Roman"/>
          <w:sz w:val="26"/>
          <w:szCs w:val="24"/>
        </w:rPr>
        <w:t xml:space="preserve">and remanded the proceeding to the Office of Administrative Law Judge for “such further expedited proceedings as may be required and a recommendation on remand limited to the issue of the TETCO capacity release.”  </w:t>
      </w:r>
      <w:r w:rsidR="008C11A0">
        <w:rPr>
          <w:rFonts w:ascii="Times New Roman" w:hAnsi="Times New Roman"/>
          <w:sz w:val="26"/>
          <w:szCs w:val="24"/>
        </w:rPr>
        <w:t>December 21 Order at 6.</w:t>
      </w:r>
    </w:p>
    <w:p w:rsidR="002F3D5E" w:rsidRPr="001914CD" w:rsidRDefault="002F3D5E" w:rsidP="002F3D5E">
      <w:pPr>
        <w:pStyle w:val="PlainText"/>
        <w:spacing w:line="360" w:lineRule="auto"/>
        <w:rPr>
          <w:rFonts w:ascii="Times New Roman" w:hAnsi="Times New Roman"/>
          <w:sz w:val="26"/>
          <w:szCs w:val="24"/>
        </w:rPr>
      </w:pP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 xml:space="preserve">On March 17, 2010, the </w:t>
      </w:r>
      <w:r w:rsidR="00E61931">
        <w:rPr>
          <w:rFonts w:ascii="Times New Roman" w:hAnsi="Times New Roman"/>
          <w:sz w:val="26"/>
          <w:szCs w:val="24"/>
        </w:rPr>
        <w:t>ALJs</w:t>
      </w:r>
      <w:r w:rsidRPr="001914CD">
        <w:rPr>
          <w:rFonts w:ascii="Times New Roman" w:hAnsi="Times New Roman"/>
          <w:sz w:val="26"/>
          <w:szCs w:val="24"/>
        </w:rPr>
        <w:t xml:space="preserve"> held a hearing on Remand.  Prior to the start of the hearing on March 17, 2010, Equitable, </w:t>
      </w:r>
      <w:r w:rsidR="00E61931">
        <w:rPr>
          <w:rFonts w:ascii="Times New Roman" w:hAnsi="Times New Roman"/>
          <w:sz w:val="26"/>
          <w:szCs w:val="24"/>
        </w:rPr>
        <w:t xml:space="preserve">the </w:t>
      </w:r>
      <w:r w:rsidRPr="001914CD">
        <w:rPr>
          <w:rFonts w:ascii="Times New Roman" w:hAnsi="Times New Roman"/>
          <w:sz w:val="26"/>
          <w:szCs w:val="24"/>
        </w:rPr>
        <w:t xml:space="preserve">OTS, </w:t>
      </w:r>
      <w:r w:rsidR="00E61931">
        <w:rPr>
          <w:rFonts w:ascii="Times New Roman" w:hAnsi="Times New Roman"/>
          <w:sz w:val="26"/>
          <w:szCs w:val="24"/>
        </w:rPr>
        <w:t xml:space="preserve">the </w:t>
      </w:r>
      <w:r w:rsidRPr="001914CD">
        <w:rPr>
          <w:rFonts w:ascii="Times New Roman" w:hAnsi="Times New Roman"/>
          <w:sz w:val="26"/>
          <w:szCs w:val="24"/>
        </w:rPr>
        <w:t xml:space="preserve">OSBA and </w:t>
      </w:r>
      <w:r w:rsidR="00E61931">
        <w:rPr>
          <w:rFonts w:ascii="Times New Roman" w:hAnsi="Times New Roman"/>
          <w:sz w:val="26"/>
          <w:szCs w:val="24"/>
        </w:rPr>
        <w:t xml:space="preserve">the </w:t>
      </w:r>
      <w:r w:rsidRPr="001914CD">
        <w:rPr>
          <w:rFonts w:ascii="Times New Roman" w:hAnsi="Times New Roman"/>
          <w:sz w:val="26"/>
          <w:szCs w:val="24"/>
        </w:rPr>
        <w:t xml:space="preserve">OCA stipulated to the admission into the record of the Supplemental and Responsive written testimony and exhibits.  The </w:t>
      </w:r>
      <w:r w:rsidR="00E61931">
        <w:rPr>
          <w:rFonts w:ascii="Times New Roman" w:hAnsi="Times New Roman"/>
          <w:sz w:val="26"/>
          <w:szCs w:val="24"/>
        </w:rPr>
        <w:t>ALJs</w:t>
      </w:r>
      <w:r w:rsidRPr="001914CD">
        <w:rPr>
          <w:rFonts w:ascii="Times New Roman" w:hAnsi="Times New Roman"/>
          <w:sz w:val="26"/>
          <w:szCs w:val="24"/>
        </w:rPr>
        <w:t xml:space="preserve"> conducted the hearing into the remanded issue, and the hearing generated 35 pages of notes of testimony.</w:t>
      </w:r>
    </w:p>
    <w:p w:rsidR="002F3D5E" w:rsidRPr="001914CD" w:rsidRDefault="002F3D5E" w:rsidP="002F3D5E">
      <w:pPr>
        <w:pStyle w:val="PlainText"/>
        <w:spacing w:line="360" w:lineRule="auto"/>
        <w:rPr>
          <w:rFonts w:ascii="Times New Roman" w:hAnsi="Times New Roman"/>
          <w:sz w:val="26"/>
          <w:szCs w:val="24"/>
        </w:rPr>
      </w:pPr>
    </w:p>
    <w:p w:rsidR="002F3D5E" w:rsidRPr="001914CD" w:rsidRDefault="002F3D5E" w:rsidP="002F3D5E">
      <w:pPr>
        <w:pStyle w:val="PlainText"/>
        <w:spacing w:line="360" w:lineRule="auto"/>
        <w:rPr>
          <w:rFonts w:ascii="Times New Roman" w:hAnsi="Times New Roman"/>
          <w:sz w:val="26"/>
          <w:szCs w:val="24"/>
        </w:rPr>
      </w:pPr>
      <w:r w:rsidRPr="001914CD">
        <w:rPr>
          <w:rFonts w:ascii="Times New Roman" w:hAnsi="Times New Roman"/>
          <w:sz w:val="26"/>
          <w:szCs w:val="24"/>
        </w:rPr>
        <w:tab/>
      </w:r>
      <w:r w:rsidRPr="001914CD">
        <w:rPr>
          <w:rFonts w:ascii="Times New Roman" w:hAnsi="Times New Roman"/>
          <w:sz w:val="26"/>
          <w:szCs w:val="24"/>
        </w:rPr>
        <w:tab/>
        <w:t xml:space="preserve">Equitable, </w:t>
      </w:r>
      <w:r w:rsidR="00E61931">
        <w:rPr>
          <w:rFonts w:ascii="Times New Roman" w:hAnsi="Times New Roman"/>
          <w:sz w:val="26"/>
          <w:szCs w:val="24"/>
        </w:rPr>
        <w:t xml:space="preserve">the </w:t>
      </w:r>
      <w:r w:rsidRPr="001914CD">
        <w:rPr>
          <w:rFonts w:ascii="Times New Roman" w:hAnsi="Times New Roman"/>
          <w:sz w:val="26"/>
          <w:szCs w:val="24"/>
        </w:rPr>
        <w:t xml:space="preserve">OTS and </w:t>
      </w:r>
      <w:r w:rsidR="00E61931">
        <w:rPr>
          <w:rFonts w:ascii="Times New Roman" w:hAnsi="Times New Roman"/>
          <w:sz w:val="26"/>
          <w:szCs w:val="24"/>
        </w:rPr>
        <w:t xml:space="preserve">the </w:t>
      </w:r>
      <w:r w:rsidRPr="001914CD">
        <w:rPr>
          <w:rFonts w:ascii="Times New Roman" w:hAnsi="Times New Roman"/>
          <w:sz w:val="26"/>
          <w:szCs w:val="24"/>
        </w:rPr>
        <w:t>OCA filed main briefs on April 6, 2010</w:t>
      </w:r>
      <w:r w:rsidR="00E61931">
        <w:rPr>
          <w:rFonts w:ascii="Times New Roman" w:hAnsi="Times New Roman"/>
          <w:sz w:val="26"/>
          <w:szCs w:val="24"/>
        </w:rPr>
        <w:t xml:space="preserve">, </w:t>
      </w:r>
      <w:r w:rsidRPr="001914CD">
        <w:rPr>
          <w:rFonts w:ascii="Times New Roman" w:hAnsi="Times New Roman"/>
          <w:sz w:val="26"/>
          <w:szCs w:val="24"/>
        </w:rPr>
        <w:t xml:space="preserve">and reply briefs on April 16, 2010.  </w:t>
      </w:r>
      <w:r w:rsidR="00960EC1">
        <w:rPr>
          <w:rFonts w:ascii="Times New Roman" w:hAnsi="Times New Roman"/>
          <w:sz w:val="26"/>
          <w:szCs w:val="24"/>
        </w:rPr>
        <w:t>On April 29, 2010, the ALJs</w:t>
      </w:r>
      <w:r w:rsidR="00204EFF">
        <w:rPr>
          <w:rFonts w:ascii="Times New Roman" w:hAnsi="Times New Roman"/>
          <w:sz w:val="26"/>
          <w:szCs w:val="24"/>
        </w:rPr>
        <w:t>’</w:t>
      </w:r>
      <w:r w:rsidR="00960EC1">
        <w:rPr>
          <w:rFonts w:ascii="Times New Roman" w:hAnsi="Times New Roman"/>
          <w:sz w:val="26"/>
          <w:szCs w:val="24"/>
        </w:rPr>
        <w:t xml:space="preserve"> Recommended Decision on Remand was issued.  </w:t>
      </w:r>
      <w:r w:rsidR="001C3A86">
        <w:rPr>
          <w:rFonts w:ascii="Times New Roman" w:hAnsi="Times New Roman"/>
          <w:sz w:val="26"/>
          <w:szCs w:val="24"/>
        </w:rPr>
        <w:t>Timely Exceptions were filed by Equitable on May 19, 2010.  No Reply Exceptions were filed.</w:t>
      </w:r>
    </w:p>
    <w:p w:rsidR="00EE6543" w:rsidRDefault="00EE6543" w:rsidP="00C80EA4">
      <w:pPr>
        <w:spacing w:line="360" w:lineRule="auto"/>
        <w:rPr>
          <w:b/>
          <w:bCs/>
          <w:spacing w:val="-3"/>
          <w:sz w:val="26"/>
          <w:szCs w:val="26"/>
        </w:rPr>
      </w:pPr>
    </w:p>
    <w:p w:rsidR="00094678" w:rsidRDefault="00094678" w:rsidP="00C80EA4">
      <w:pPr>
        <w:keepNext/>
        <w:keepLines/>
        <w:spacing w:line="360" w:lineRule="auto"/>
        <w:jc w:val="center"/>
        <w:rPr>
          <w:b/>
          <w:sz w:val="26"/>
          <w:szCs w:val="26"/>
        </w:rPr>
      </w:pPr>
      <w:r w:rsidRPr="00A82F46">
        <w:rPr>
          <w:b/>
          <w:sz w:val="26"/>
          <w:szCs w:val="26"/>
        </w:rPr>
        <w:t>D</w:t>
      </w:r>
      <w:r w:rsidR="00441EBF" w:rsidRPr="00A82F46">
        <w:rPr>
          <w:b/>
          <w:sz w:val="26"/>
          <w:szCs w:val="26"/>
        </w:rPr>
        <w:t>iscussion</w:t>
      </w:r>
    </w:p>
    <w:p w:rsidR="00475E87" w:rsidRDefault="00475E87" w:rsidP="00C80EA4">
      <w:pPr>
        <w:keepNext/>
        <w:keepLines/>
        <w:spacing w:line="360" w:lineRule="auto"/>
        <w:jc w:val="center"/>
        <w:rPr>
          <w:b/>
          <w:sz w:val="26"/>
          <w:szCs w:val="26"/>
        </w:rPr>
      </w:pPr>
    </w:p>
    <w:p w:rsidR="00475E87" w:rsidRDefault="00475E87" w:rsidP="00475E87">
      <w:pPr>
        <w:tabs>
          <w:tab w:val="left" w:pos="204"/>
        </w:tabs>
        <w:spacing w:line="360" w:lineRule="auto"/>
        <w:rPr>
          <w:sz w:val="26"/>
          <w:szCs w:val="26"/>
        </w:rPr>
      </w:pPr>
      <w:r>
        <w:rPr>
          <w:b/>
          <w:sz w:val="26"/>
          <w:szCs w:val="26"/>
        </w:rPr>
        <w:tab/>
      </w:r>
      <w:r>
        <w:rPr>
          <w:b/>
          <w:sz w:val="26"/>
          <w:szCs w:val="26"/>
        </w:rPr>
        <w:tab/>
      </w:r>
      <w:r>
        <w:rPr>
          <w:sz w:val="26"/>
          <w:szCs w:val="26"/>
        </w:rPr>
        <w:tab/>
      </w:r>
      <w:r w:rsidRPr="00AD0CE4">
        <w:rPr>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Pr="00AD0CE4">
        <w:rPr>
          <w:i/>
          <w:iCs/>
          <w:sz w:val="26"/>
          <w:szCs w:val="26"/>
        </w:rPr>
        <w:t>Wheeling &amp; Lake Erie Railway Co. v. Pa. PUC</w:t>
      </w:r>
      <w:r w:rsidRPr="00AD0CE4">
        <w:rPr>
          <w:sz w:val="26"/>
          <w:szCs w:val="26"/>
        </w:rPr>
        <w:t>, 778 A.2d 785, 794 (Pa. Cmwlth. 2001)</w:t>
      </w:r>
      <w:r w:rsidRPr="00AD0CE4">
        <w:rPr>
          <w:i/>
          <w:iCs/>
          <w:sz w:val="26"/>
          <w:szCs w:val="26"/>
        </w:rPr>
        <w:t xml:space="preserve">, </w:t>
      </w:r>
      <w:r w:rsidRPr="00AD0CE4">
        <w:rPr>
          <w:sz w:val="26"/>
          <w:szCs w:val="26"/>
        </w:rPr>
        <w:t xml:space="preserve">also </w:t>
      </w:r>
      <w:r w:rsidRPr="00AD0CE4">
        <w:rPr>
          <w:i/>
          <w:iCs/>
          <w:sz w:val="26"/>
          <w:szCs w:val="26"/>
        </w:rPr>
        <w:t xml:space="preserve">see, generally, </w:t>
      </w:r>
      <w:smartTag w:uri="urn:schemas-microsoft-com:office:smarttags" w:element="PlaceType">
        <w:r w:rsidRPr="00AD0CE4">
          <w:rPr>
            <w:i/>
            <w:iCs/>
            <w:sz w:val="26"/>
            <w:szCs w:val="26"/>
          </w:rPr>
          <w:t>University</w:t>
        </w:r>
      </w:smartTag>
      <w:r w:rsidRPr="00AD0CE4">
        <w:rPr>
          <w:i/>
          <w:iCs/>
          <w:sz w:val="26"/>
          <w:szCs w:val="26"/>
        </w:rPr>
        <w:t xml:space="preserve"> of </w:t>
      </w:r>
      <w:smartTag w:uri="urn:schemas-microsoft-com:office:smarttags" w:element="PlaceName">
        <w:r w:rsidRPr="00AD0CE4">
          <w:rPr>
            <w:i/>
            <w:iCs/>
            <w:sz w:val="26"/>
            <w:szCs w:val="26"/>
          </w:rPr>
          <w:t>Pennsylvania</w:t>
        </w:r>
      </w:smartTag>
      <w:r w:rsidRPr="00AD0CE4">
        <w:rPr>
          <w:i/>
          <w:iCs/>
          <w:sz w:val="26"/>
          <w:szCs w:val="26"/>
        </w:rPr>
        <w:t xml:space="preserve"> v. </w:t>
      </w:r>
      <w:smartTag w:uri="urn:schemas-microsoft-com:office:smarttags" w:element="State">
        <w:smartTag w:uri="urn:schemas-microsoft-com:office:smarttags" w:element="place">
          <w:r w:rsidRPr="00AD0CE4">
            <w:rPr>
              <w:i/>
              <w:iCs/>
              <w:sz w:val="26"/>
              <w:szCs w:val="26"/>
            </w:rPr>
            <w:t>Pa.</w:t>
          </w:r>
        </w:smartTag>
      </w:smartTag>
      <w:r w:rsidRPr="00AD0CE4">
        <w:rPr>
          <w:i/>
          <w:iCs/>
          <w:sz w:val="26"/>
          <w:szCs w:val="26"/>
        </w:rPr>
        <w:t xml:space="preserve"> PUC</w:t>
      </w:r>
      <w:r w:rsidRPr="00AD0CE4">
        <w:rPr>
          <w:sz w:val="26"/>
          <w:szCs w:val="26"/>
        </w:rPr>
        <w:t>, 485 A.2d 1217 (Pa. Cmwlth. 1984).</w:t>
      </w:r>
    </w:p>
    <w:p w:rsidR="004840B9" w:rsidRDefault="004840B9" w:rsidP="00475E87">
      <w:pPr>
        <w:tabs>
          <w:tab w:val="left" w:pos="204"/>
        </w:tabs>
        <w:spacing w:line="360" w:lineRule="auto"/>
        <w:rPr>
          <w:sz w:val="26"/>
          <w:szCs w:val="26"/>
        </w:rPr>
      </w:pPr>
    </w:p>
    <w:p w:rsidR="004358DA" w:rsidRDefault="00FC5BC0" w:rsidP="00EC51DD">
      <w:pPr>
        <w:tabs>
          <w:tab w:val="left" w:pos="1440"/>
        </w:tabs>
        <w:spacing w:line="360" w:lineRule="auto"/>
        <w:rPr>
          <w:sz w:val="26"/>
          <w:szCs w:val="22"/>
        </w:rPr>
      </w:pPr>
      <w:r>
        <w:rPr>
          <w:sz w:val="26"/>
          <w:szCs w:val="26"/>
        </w:rPr>
        <w:tab/>
        <w:t xml:space="preserve">As noted in our discussion of the history of this proceeding, this matter was remanded to the Office of Administrative Law Judge for </w:t>
      </w:r>
      <w:r w:rsidR="008C11A0">
        <w:rPr>
          <w:sz w:val="26"/>
          <w:szCs w:val="26"/>
        </w:rPr>
        <w:t>the purpose</w:t>
      </w:r>
      <w:r>
        <w:rPr>
          <w:sz w:val="26"/>
          <w:szCs w:val="26"/>
        </w:rPr>
        <w:t xml:space="preserve"> of reaching a decision on the single issue of revenue sharing from Equitable’s capacity release of </w:t>
      </w:r>
      <w:r w:rsidR="008C11A0">
        <w:rPr>
          <w:sz w:val="26"/>
          <w:szCs w:val="26"/>
        </w:rPr>
        <w:t xml:space="preserve">long-term </w:t>
      </w:r>
      <w:r w:rsidR="00EC51DD">
        <w:rPr>
          <w:sz w:val="26"/>
          <w:szCs w:val="26"/>
        </w:rPr>
        <w:t xml:space="preserve">TETCO capacity to Columbia.  On October 15, 2009, </w:t>
      </w:r>
      <w:r w:rsidR="00A957E0">
        <w:rPr>
          <w:sz w:val="26"/>
          <w:szCs w:val="22"/>
        </w:rPr>
        <w:t xml:space="preserve">Equitable filed a Petition for Reconsideration of our September 30 Order and argued, </w:t>
      </w:r>
      <w:r w:rsidR="00A957E0" w:rsidRPr="00A957E0">
        <w:rPr>
          <w:i/>
          <w:sz w:val="26"/>
          <w:szCs w:val="22"/>
        </w:rPr>
        <w:t>inter alia</w:t>
      </w:r>
      <w:r w:rsidR="00A957E0">
        <w:rPr>
          <w:sz w:val="26"/>
          <w:szCs w:val="22"/>
        </w:rPr>
        <w:t>, that our ruling in th</w:t>
      </w:r>
      <w:r w:rsidR="00EC51DD">
        <w:rPr>
          <w:sz w:val="26"/>
          <w:szCs w:val="22"/>
        </w:rPr>
        <w:t>e September 30</w:t>
      </w:r>
      <w:r w:rsidR="00A957E0">
        <w:rPr>
          <w:sz w:val="26"/>
          <w:szCs w:val="22"/>
        </w:rPr>
        <w:t xml:space="preserve"> Order on the TETCO capacity release issue rested on evidence submitted by the OTS.  Equitable pointed out that when the OTS joined in the Joint Settlement which contained the revenue sharing mechanism for the TETCO capacity release, the </w:t>
      </w:r>
      <w:r w:rsidR="00A957E0">
        <w:rPr>
          <w:sz w:val="26"/>
          <w:szCs w:val="22"/>
        </w:rPr>
        <w:lastRenderedPageBreak/>
        <w:t xml:space="preserve">OTS stated that any evidence or statements which contradicted the terms of the Joint Settlement should be withdrawn.  </w:t>
      </w:r>
    </w:p>
    <w:p w:rsidR="004358DA" w:rsidRDefault="004358DA" w:rsidP="00C80B93">
      <w:pPr>
        <w:autoSpaceDE w:val="0"/>
        <w:autoSpaceDN w:val="0"/>
        <w:adjustRightInd w:val="0"/>
        <w:spacing w:line="360" w:lineRule="auto"/>
        <w:rPr>
          <w:sz w:val="26"/>
          <w:szCs w:val="22"/>
        </w:rPr>
      </w:pPr>
    </w:p>
    <w:p w:rsidR="00A957E0" w:rsidRDefault="004358DA" w:rsidP="00C80B93">
      <w:pPr>
        <w:autoSpaceDE w:val="0"/>
        <w:autoSpaceDN w:val="0"/>
        <w:adjustRightInd w:val="0"/>
        <w:spacing w:line="360" w:lineRule="auto"/>
        <w:rPr>
          <w:sz w:val="26"/>
          <w:szCs w:val="22"/>
        </w:rPr>
      </w:pPr>
      <w:r>
        <w:rPr>
          <w:sz w:val="26"/>
          <w:szCs w:val="22"/>
        </w:rPr>
        <w:tab/>
      </w:r>
      <w:r>
        <w:rPr>
          <w:sz w:val="26"/>
          <w:szCs w:val="22"/>
        </w:rPr>
        <w:tab/>
      </w:r>
      <w:r w:rsidR="00A957E0">
        <w:rPr>
          <w:sz w:val="26"/>
          <w:szCs w:val="22"/>
        </w:rPr>
        <w:t>On December 21, 2009, we granted Equitable’s Petition for Reconsideration</w:t>
      </w:r>
      <w:r w:rsidR="00951764">
        <w:rPr>
          <w:sz w:val="26"/>
          <w:szCs w:val="22"/>
        </w:rPr>
        <w:t xml:space="preserve">.  We stated </w:t>
      </w:r>
      <w:r w:rsidR="00A957E0">
        <w:rPr>
          <w:sz w:val="26"/>
          <w:szCs w:val="22"/>
        </w:rPr>
        <w:t>that we wished to remove any uncertainty relating to the state of the record</w:t>
      </w:r>
      <w:r w:rsidR="00E21A94">
        <w:rPr>
          <w:sz w:val="26"/>
          <w:szCs w:val="22"/>
        </w:rPr>
        <w:t xml:space="preserve"> in this proceeding.  </w:t>
      </w:r>
      <w:r w:rsidR="008B7C03">
        <w:rPr>
          <w:sz w:val="26"/>
          <w:szCs w:val="22"/>
        </w:rPr>
        <w:t xml:space="preserve">December 21 Order at 5.  For that reason, we </w:t>
      </w:r>
      <w:r w:rsidR="0048491D">
        <w:rPr>
          <w:sz w:val="26"/>
          <w:szCs w:val="22"/>
        </w:rPr>
        <w:t>vacated our prior ruling on the TETCO</w:t>
      </w:r>
      <w:r w:rsidR="002906D7">
        <w:rPr>
          <w:sz w:val="26"/>
          <w:szCs w:val="22"/>
        </w:rPr>
        <w:t xml:space="preserve"> </w:t>
      </w:r>
      <w:r w:rsidR="0048491D">
        <w:rPr>
          <w:sz w:val="26"/>
          <w:szCs w:val="22"/>
        </w:rPr>
        <w:t xml:space="preserve">capacity release issue and </w:t>
      </w:r>
      <w:r w:rsidR="008B7C03">
        <w:rPr>
          <w:sz w:val="26"/>
          <w:szCs w:val="22"/>
        </w:rPr>
        <w:t>remanded this proceeding to provide all Parties the opportunity to address the TETCO capacity release</w:t>
      </w:r>
      <w:r w:rsidR="0048491D">
        <w:rPr>
          <w:sz w:val="26"/>
          <w:szCs w:val="22"/>
        </w:rPr>
        <w:t xml:space="preserve">.  We directed that the Parties were to </w:t>
      </w:r>
      <w:r w:rsidR="008B7C03">
        <w:rPr>
          <w:sz w:val="26"/>
          <w:szCs w:val="22"/>
        </w:rPr>
        <w:t xml:space="preserve">provide such evidence to advance their positions as they deemed appropriate.  </w:t>
      </w:r>
      <w:r w:rsidR="008B7C03" w:rsidRPr="0048491D">
        <w:rPr>
          <w:i/>
          <w:sz w:val="26"/>
          <w:szCs w:val="22"/>
        </w:rPr>
        <w:t>Id</w:t>
      </w:r>
      <w:r w:rsidR="008B7C03">
        <w:rPr>
          <w:sz w:val="26"/>
          <w:szCs w:val="22"/>
        </w:rPr>
        <w:t>. at 5-6.</w:t>
      </w:r>
    </w:p>
    <w:p w:rsidR="004358DA" w:rsidRDefault="004358DA" w:rsidP="00C80B93">
      <w:pPr>
        <w:autoSpaceDE w:val="0"/>
        <w:autoSpaceDN w:val="0"/>
        <w:adjustRightInd w:val="0"/>
        <w:spacing w:line="360" w:lineRule="auto"/>
        <w:rPr>
          <w:sz w:val="26"/>
          <w:szCs w:val="22"/>
        </w:rPr>
      </w:pPr>
    </w:p>
    <w:p w:rsidR="00F5017A" w:rsidRDefault="00F5017A" w:rsidP="00F5017A">
      <w:pPr>
        <w:autoSpaceDE w:val="0"/>
        <w:autoSpaceDN w:val="0"/>
        <w:adjustRightInd w:val="0"/>
        <w:spacing w:line="360" w:lineRule="auto"/>
        <w:rPr>
          <w:sz w:val="26"/>
          <w:szCs w:val="22"/>
        </w:rPr>
      </w:pPr>
      <w:r>
        <w:rPr>
          <w:sz w:val="26"/>
          <w:szCs w:val="22"/>
        </w:rPr>
        <w:tab/>
      </w:r>
      <w:r>
        <w:rPr>
          <w:sz w:val="26"/>
          <w:szCs w:val="22"/>
        </w:rPr>
        <w:tab/>
        <w:t xml:space="preserve">In their Recommended Decision on Remand, the ALJs stated that the sole issue before them was “whether Equitable’s request for the proposed TETCO capacity release provisions meets the requirements of Section 1318(a) of the Public Utility Code by pursuing a least-cost fuel procurement policy, consistent with Equitable’s obligation to </w:t>
      </w:r>
      <w:r w:rsidR="00DB71AA">
        <w:rPr>
          <w:sz w:val="26"/>
          <w:szCs w:val="22"/>
        </w:rPr>
        <w:t xml:space="preserve">provide safe, adequate and reliable service to its customers.”  R.D. at </w:t>
      </w:r>
      <w:r w:rsidR="00F07C6F">
        <w:rPr>
          <w:sz w:val="26"/>
          <w:szCs w:val="22"/>
        </w:rPr>
        <w:t>14</w:t>
      </w:r>
      <w:r w:rsidR="00204EFF">
        <w:rPr>
          <w:sz w:val="26"/>
          <w:szCs w:val="22"/>
        </w:rPr>
        <w:t>-</w:t>
      </w:r>
      <w:r w:rsidR="00F07C6F">
        <w:rPr>
          <w:sz w:val="26"/>
          <w:szCs w:val="22"/>
        </w:rPr>
        <w:t>15.</w:t>
      </w:r>
      <w:r w:rsidR="00DB71AA">
        <w:rPr>
          <w:sz w:val="26"/>
          <w:szCs w:val="22"/>
        </w:rPr>
        <w:t xml:space="preserve">  The ALJs discussed the history of Equitable’s capacity release sharing mechanisms and noted that such mechanisms “typically reflect a 75% customer/25% utility sharing mechanism.” </w:t>
      </w:r>
      <w:r w:rsidR="00DB71AA" w:rsidRPr="00DB71AA">
        <w:rPr>
          <w:i/>
          <w:sz w:val="26"/>
          <w:szCs w:val="22"/>
        </w:rPr>
        <w:t>Id.</w:t>
      </w:r>
      <w:r w:rsidR="0057611E">
        <w:rPr>
          <w:sz w:val="26"/>
          <w:szCs w:val="22"/>
        </w:rPr>
        <w:t xml:space="preserve"> at 15 – 17.  </w:t>
      </w:r>
    </w:p>
    <w:p w:rsidR="000418A1" w:rsidRDefault="000418A1" w:rsidP="00F5017A">
      <w:pPr>
        <w:autoSpaceDE w:val="0"/>
        <w:autoSpaceDN w:val="0"/>
        <w:adjustRightInd w:val="0"/>
        <w:spacing w:line="360" w:lineRule="auto"/>
        <w:rPr>
          <w:sz w:val="26"/>
          <w:szCs w:val="22"/>
        </w:rPr>
      </w:pPr>
    </w:p>
    <w:p w:rsidR="000418A1" w:rsidRDefault="000418A1" w:rsidP="00F5017A">
      <w:pPr>
        <w:autoSpaceDE w:val="0"/>
        <w:autoSpaceDN w:val="0"/>
        <w:adjustRightInd w:val="0"/>
        <w:spacing w:line="360" w:lineRule="auto"/>
        <w:rPr>
          <w:sz w:val="26"/>
          <w:szCs w:val="22"/>
        </w:rPr>
      </w:pPr>
      <w:r>
        <w:rPr>
          <w:sz w:val="26"/>
          <w:szCs w:val="22"/>
        </w:rPr>
        <w:tab/>
      </w:r>
      <w:r>
        <w:rPr>
          <w:sz w:val="26"/>
          <w:szCs w:val="22"/>
        </w:rPr>
        <w:tab/>
        <w:t>The ALJs then specifically addressed the TETCO capacity release issue before them.  They found that the TETCO capacity release sharing mechanism is part of a least-cost fuel procurement policy and the specific mechanism before them was just and reasonable.  The ALJs listed ten specific reasons to support their determination:</w:t>
      </w:r>
    </w:p>
    <w:p w:rsidR="000418A1" w:rsidRDefault="000418A1" w:rsidP="00F5017A">
      <w:pPr>
        <w:autoSpaceDE w:val="0"/>
        <w:autoSpaceDN w:val="0"/>
        <w:adjustRightInd w:val="0"/>
        <w:spacing w:line="360" w:lineRule="auto"/>
        <w:rPr>
          <w:sz w:val="26"/>
          <w:szCs w:val="22"/>
        </w:rPr>
      </w:pPr>
    </w:p>
    <w:p w:rsidR="000418A1" w:rsidRDefault="000418A1" w:rsidP="005726A5">
      <w:pPr>
        <w:pStyle w:val="ListParagraph"/>
        <w:numPr>
          <w:ilvl w:val="0"/>
          <w:numId w:val="21"/>
        </w:numPr>
        <w:ind w:right="1440"/>
        <w:jc w:val="left"/>
        <w:rPr>
          <w:szCs w:val="24"/>
        </w:rPr>
      </w:pPr>
      <w:r w:rsidRPr="001914CD">
        <w:rPr>
          <w:szCs w:val="24"/>
        </w:rPr>
        <w:t>The capacity release transaction with Columbia provides for higher load-factor utilization rates associated with the remaining TETCO capacity and is consistent with least cost purchasing practices.</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lastRenderedPageBreak/>
        <w:t>Equitable’s capacity release transaction with Columbia does not impact Equitable’s obligation to meet its firm demand requirements.</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t>Equitable’s current PBR</w:t>
      </w:r>
      <w:r w:rsidR="00105B7F">
        <w:rPr>
          <w:rStyle w:val="FootnoteReference"/>
          <w:szCs w:val="24"/>
        </w:rPr>
        <w:footnoteReference w:id="2"/>
      </w:r>
      <w:r w:rsidRPr="001914CD">
        <w:rPr>
          <w:szCs w:val="24"/>
        </w:rPr>
        <w:t xml:space="preserve"> was established by Commission Order at Docket No. R-00050272 and Commission precedent does not distinguish between long-term or short-term capacity releases.</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t xml:space="preserve">The TETCO capacity release sharing mechanism encourages superior portfolio management and complies with a least cost procurement policy because the transaction does not impact its ability to meet peak day requirements. </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t>The TETCO capacity release was not challenged in the 2008 Section 1307(f) proceeding by any party or by the Commission, and the revenues associated with the release passed through the 75%PGC/25%Company sharing split.</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t>Rejection of the Settlement term concerning the TETCO capacity release would reduce Equitable’s income by approximately $414,000 per year for each of the remaining three years of the capacity release arrangement.</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t>Equitable replaced a portion of the TETCO capacity with cheaper, locally-available natural gas, thereby saving PGC customers millions of dollars in gas cost and expense while passing along profits realized by the sale of the TETCO capacity to Columbia for multiple times the sales price available on shorter term contracts.</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t xml:space="preserve">The TETCO capacity release revenues benefitted Equitable’s customers by approximately $1.2 million per year for each of the five-year releases.  </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lastRenderedPageBreak/>
        <w:t>Release of the TETCO capacity through short-term arrangements at the lower price of $0.09/Dth, would have benefitted Equitable’s customers by only $365,497, after application of the 75%/25% sharing mechanism.</w:t>
      </w:r>
    </w:p>
    <w:p w:rsidR="005726A5" w:rsidRPr="001914CD" w:rsidRDefault="005726A5" w:rsidP="005726A5">
      <w:pPr>
        <w:pStyle w:val="ListParagraph"/>
        <w:ind w:left="2160" w:right="1440"/>
        <w:jc w:val="left"/>
        <w:rPr>
          <w:szCs w:val="24"/>
        </w:rPr>
      </w:pPr>
    </w:p>
    <w:p w:rsidR="000418A1" w:rsidRDefault="000418A1" w:rsidP="005726A5">
      <w:pPr>
        <w:pStyle w:val="ListParagraph"/>
        <w:numPr>
          <w:ilvl w:val="0"/>
          <w:numId w:val="21"/>
        </w:numPr>
        <w:ind w:right="1440"/>
        <w:jc w:val="left"/>
        <w:rPr>
          <w:szCs w:val="24"/>
        </w:rPr>
      </w:pPr>
      <w:r w:rsidRPr="001914CD">
        <w:rPr>
          <w:szCs w:val="24"/>
        </w:rPr>
        <w:t>Pennsylvania-produced gas has provided a less expensive source of base load gas for Equitable’s PGC customers compared to gas purchased in Southwest production areas and transported on interstate pipelines to Equitable’s citygate.  Avoiding interstate pipeline variable costs has enabled Equitable to save its customers approximately $2.2 million per year.</w:t>
      </w:r>
    </w:p>
    <w:p w:rsidR="005726A5" w:rsidRDefault="005726A5" w:rsidP="005726A5">
      <w:pPr>
        <w:pStyle w:val="ListParagraph"/>
        <w:spacing w:line="360" w:lineRule="auto"/>
        <w:ind w:left="0"/>
        <w:jc w:val="left"/>
        <w:rPr>
          <w:szCs w:val="24"/>
        </w:rPr>
      </w:pPr>
    </w:p>
    <w:p w:rsidR="005726A5" w:rsidRDefault="005726A5" w:rsidP="005726A5">
      <w:pPr>
        <w:pStyle w:val="ListParagraph"/>
        <w:spacing w:line="360" w:lineRule="auto"/>
        <w:ind w:left="0"/>
        <w:jc w:val="left"/>
        <w:rPr>
          <w:szCs w:val="24"/>
        </w:rPr>
      </w:pPr>
      <w:r>
        <w:rPr>
          <w:szCs w:val="24"/>
        </w:rPr>
        <w:t>R.D. at 1</w:t>
      </w:r>
      <w:r w:rsidR="00F07C6F">
        <w:rPr>
          <w:szCs w:val="24"/>
        </w:rPr>
        <w:t>8</w:t>
      </w:r>
      <w:r w:rsidR="008C3166">
        <w:rPr>
          <w:szCs w:val="24"/>
        </w:rPr>
        <w:t>-</w:t>
      </w:r>
      <w:r w:rsidR="00F07C6F">
        <w:rPr>
          <w:szCs w:val="24"/>
        </w:rPr>
        <w:t>19.</w:t>
      </w:r>
    </w:p>
    <w:p w:rsidR="005726A5" w:rsidRDefault="005726A5" w:rsidP="005726A5">
      <w:pPr>
        <w:pStyle w:val="ListParagraph"/>
        <w:spacing w:line="360" w:lineRule="auto"/>
        <w:ind w:left="0"/>
        <w:jc w:val="left"/>
        <w:rPr>
          <w:szCs w:val="24"/>
        </w:rPr>
      </w:pPr>
    </w:p>
    <w:p w:rsidR="00FD3238" w:rsidRDefault="005726A5" w:rsidP="005726A5">
      <w:pPr>
        <w:pStyle w:val="ListParagraph"/>
        <w:spacing w:line="360" w:lineRule="auto"/>
        <w:ind w:left="0"/>
        <w:jc w:val="left"/>
        <w:rPr>
          <w:szCs w:val="24"/>
        </w:rPr>
      </w:pPr>
      <w:r>
        <w:rPr>
          <w:szCs w:val="24"/>
        </w:rPr>
        <w:tab/>
      </w:r>
      <w:r>
        <w:rPr>
          <w:szCs w:val="24"/>
        </w:rPr>
        <w:tab/>
        <w:t>The ALJs concluded that</w:t>
      </w:r>
      <w:r w:rsidR="00FD3238">
        <w:rPr>
          <w:szCs w:val="24"/>
        </w:rPr>
        <w:t>:</w:t>
      </w:r>
    </w:p>
    <w:p w:rsidR="00FD3238" w:rsidRDefault="00FD3238" w:rsidP="005726A5">
      <w:pPr>
        <w:pStyle w:val="ListParagraph"/>
        <w:spacing w:line="360" w:lineRule="auto"/>
        <w:ind w:left="0"/>
        <w:jc w:val="left"/>
        <w:rPr>
          <w:szCs w:val="24"/>
        </w:rPr>
      </w:pPr>
    </w:p>
    <w:p w:rsidR="00FD3238" w:rsidRDefault="005726A5" w:rsidP="00FD3238">
      <w:pPr>
        <w:pStyle w:val="ListParagraph"/>
        <w:ind w:left="1440" w:right="1440"/>
        <w:jc w:val="left"/>
        <w:rPr>
          <w:szCs w:val="24"/>
        </w:rPr>
      </w:pPr>
      <w:r>
        <w:rPr>
          <w:szCs w:val="24"/>
        </w:rPr>
        <w:t>In light of the volume of credible evidence provided by Equitable, and the dearth of contrary evidence provided by OTS, OCA or any other party, the presiding officers are constrained to comply with Commission precedent and recommend the Commission approve the TETCO capacity release mechanism as outlined in the Joint Settlement Agreement.</w:t>
      </w:r>
    </w:p>
    <w:p w:rsidR="00FD3238" w:rsidRDefault="00FD3238" w:rsidP="00FD3238">
      <w:pPr>
        <w:pStyle w:val="ListParagraph"/>
        <w:spacing w:line="360" w:lineRule="auto"/>
        <w:ind w:left="0"/>
        <w:jc w:val="left"/>
        <w:rPr>
          <w:szCs w:val="24"/>
        </w:rPr>
      </w:pPr>
    </w:p>
    <w:p w:rsidR="005726A5" w:rsidRDefault="00FD3238" w:rsidP="00FD3238">
      <w:pPr>
        <w:pStyle w:val="ListParagraph"/>
        <w:spacing w:line="360" w:lineRule="auto"/>
        <w:ind w:left="0"/>
        <w:jc w:val="left"/>
        <w:rPr>
          <w:szCs w:val="24"/>
        </w:rPr>
      </w:pPr>
      <w:r>
        <w:rPr>
          <w:szCs w:val="24"/>
        </w:rPr>
        <w:t>R.D. at 19.</w:t>
      </w:r>
      <w:r w:rsidR="005726A5">
        <w:rPr>
          <w:szCs w:val="24"/>
        </w:rPr>
        <w:t xml:space="preserve">  </w:t>
      </w:r>
    </w:p>
    <w:p w:rsidR="007F3905" w:rsidRDefault="007F3905" w:rsidP="00FD3238">
      <w:pPr>
        <w:pStyle w:val="ListParagraph"/>
        <w:spacing w:line="360" w:lineRule="auto"/>
        <w:ind w:left="0"/>
        <w:jc w:val="left"/>
        <w:rPr>
          <w:szCs w:val="24"/>
        </w:rPr>
      </w:pPr>
    </w:p>
    <w:p w:rsidR="007F3905" w:rsidRDefault="007F3905" w:rsidP="00FD3238">
      <w:pPr>
        <w:pStyle w:val="ListParagraph"/>
        <w:spacing w:line="360" w:lineRule="auto"/>
        <w:ind w:left="0"/>
        <w:jc w:val="left"/>
        <w:rPr>
          <w:szCs w:val="24"/>
        </w:rPr>
      </w:pPr>
      <w:r>
        <w:rPr>
          <w:szCs w:val="24"/>
        </w:rPr>
        <w:tab/>
      </w:r>
      <w:r>
        <w:rPr>
          <w:szCs w:val="24"/>
        </w:rPr>
        <w:tab/>
        <w:t>In its Exceptions, Equitable argues that the ALJs erred in two respects.  First, Equitable takes issue with the ALJs</w:t>
      </w:r>
      <w:r w:rsidR="008C3166">
        <w:rPr>
          <w:szCs w:val="24"/>
        </w:rPr>
        <w:t>’</w:t>
      </w:r>
      <w:r>
        <w:rPr>
          <w:szCs w:val="24"/>
        </w:rPr>
        <w:t xml:space="preserve"> failure to deem evidence produced by the OTS and the OCA as “withdrawn</w:t>
      </w:r>
      <w:r w:rsidR="00551616">
        <w:rPr>
          <w:szCs w:val="24"/>
        </w:rPr>
        <w:t>.</w:t>
      </w:r>
      <w:r>
        <w:rPr>
          <w:szCs w:val="24"/>
        </w:rPr>
        <w:t>”</w:t>
      </w:r>
      <w:r w:rsidR="00551616">
        <w:rPr>
          <w:szCs w:val="24"/>
        </w:rPr>
        <w:t xml:space="preserve">  Equitable Exc. at 11.  Equitable argues that </w:t>
      </w:r>
      <w:r>
        <w:rPr>
          <w:szCs w:val="24"/>
        </w:rPr>
        <w:t xml:space="preserve">both the OTS and the OCA have stated that they support the Joint Settlement’s TETCO capacity release provision </w:t>
      </w:r>
      <w:r w:rsidR="00F07C6F">
        <w:rPr>
          <w:szCs w:val="24"/>
        </w:rPr>
        <w:t xml:space="preserve">and </w:t>
      </w:r>
      <w:r>
        <w:rPr>
          <w:szCs w:val="24"/>
        </w:rPr>
        <w:t xml:space="preserve">that that they are no longer pursuing </w:t>
      </w:r>
      <w:r w:rsidR="00551616">
        <w:rPr>
          <w:szCs w:val="24"/>
        </w:rPr>
        <w:t xml:space="preserve">any proposed adjustment to the resulting sharing mechanism.  According to Equitable, since both the OTS and the OCA </w:t>
      </w:r>
      <w:r w:rsidR="00551616">
        <w:rPr>
          <w:szCs w:val="24"/>
        </w:rPr>
        <w:lastRenderedPageBreak/>
        <w:t xml:space="preserve">continue to support the Joint Settlement, any contrary evidence submitted by those Parties “also continues to be deemed withdrawn.”  </w:t>
      </w:r>
      <w:r w:rsidR="00551616" w:rsidRPr="00551616">
        <w:rPr>
          <w:i/>
          <w:szCs w:val="24"/>
        </w:rPr>
        <w:t>Id.</w:t>
      </w:r>
    </w:p>
    <w:p w:rsidR="00551616" w:rsidRDefault="00551616" w:rsidP="00FD3238">
      <w:pPr>
        <w:pStyle w:val="ListParagraph"/>
        <w:spacing w:line="360" w:lineRule="auto"/>
        <w:ind w:left="0"/>
        <w:jc w:val="left"/>
        <w:rPr>
          <w:szCs w:val="24"/>
        </w:rPr>
      </w:pPr>
    </w:p>
    <w:p w:rsidR="00A656CC" w:rsidRDefault="00551616" w:rsidP="00FD3238">
      <w:pPr>
        <w:pStyle w:val="ListParagraph"/>
        <w:spacing w:line="360" w:lineRule="auto"/>
        <w:ind w:left="0"/>
        <w:jc w:val="left"/>
        <w:rPr>
          <w:szCs w:val="24"/>
        </w:rPr>
      </w:pPr>
      <w:r>
        <w:rPr>
          <w:szCs w:val="24"/>
        </w:rPr>
        <w:tab/>
      </w:r>
      <w:r>
        <w:rPr>
          <w:szCs w:val="24"/>
        </w:rPr>
        <w:tab/>
        <w:t xml:space="preserve">Equitable’s second Exception relates to a discussion by the ALJs in a footnote to the Recommended Decision on Remand </w:t>
      </w:r>
      <w:r w:rsidR="00D917B5">
        <w:rPr>
          <w:szCs w:val="24"/>
        </w:rPr>
        <w:t xml:space="preserve">which rejected Equitable’s argument that this Commission should not have rejected one specific element of the Joint Settlement </w:t>
      </w:r>
      <w:r w:rsidR="00A656CC">
        <w:rPr>
          <w:szCs w:val="24"/>
        </w:rPr>
        <w:t>while accepting the remainder.  Equitable argues that the better course would have been to return the entire Joint Settlement to the Parties with instructions to modify the Joint Settlemen</w:t>
      </w:r>
      <w:r w:rsidR="00C70737">
        <w:rPr>
          <w:szCs w:val="24"/>
        </w:rPr>
        <w:t>t or litigate their differences.  Equitable Exc. at 13.</w:t>
      </w:r>
    </w:p>
    <w:p w:rsidR="00C70737" w:rsidRDefault="00C70737" w:rsidP="00FD3238">
      <w:pPr>
        <w:pStyle w:val="ListParagraph"/>
        <w:spacing w:line="360" w:lineRule="auto"/>
        <w:ind w:left="0"/>
        <w:jc w:val="left"/>
        <w:rPr>
          <w:szCs w:val="24"/>
        </w:rPr>
      </w:pPr>
    </w:p>
    <w:p w:rsidR="00551616" w:rsidRDefault="00C70737" w:rsidP="00FD3238">
      <w:pPr>
        <w:pStyle w:val="ListParagraph"/>
        <w:spacing w:line="360" w:lineRule="auto"/>
        <w:ind w:left="0"/>
        <w:jc w:val="left"/>
        <w:rPr>
          <w:szCs w:val="24"/>
        </w:rPr>
      </w:pPr>
      <w:r>
        <w:rPr>
          <w:szCs w:val="24"/>
        </w:rPr>
        <w:tab/>
      </w:r>
      <w:r>
        <w:rPr>
          <w:szCs w:val="24"/>
        </w:rPr>
        <w:tab/>
        <w:t xml:space="preserve">We will address Equitable’s second Exception first.  </w:t>
      </w:r>
      <w:r w:rsidR="00D917B5">
        <w:rPr>
          <w:szCs w:val="24"/>
        </w:rPr>
        <w:t>In their Recommended Decision on Remand, the ALJs found that the Joint Settlement specifically provided for the possibility that one or more of its terms could have been reject</w:t>
      </w:r>
      <w:r>
        <w:rPr>
          <w:szCs w:val="24"/>
        </w:rPr>
        <w:t>ed by the Commission</w:t>
      </w:r>
      <w:r w:rsidR="003605ED">
        <w:rPr>
          <w:szCs w:val="24"/>
        </w:rPr>
        <w:t>.  T</w:t>
      </w:r>
      <w:r>
        <w:rPr>
          <w:szCs w:val="24"/>
        </w:rPr>
        <w:t>he</w:t>
      </w:r>
      <w:r w:rsidR="003605ED">
        <w:rPr>
          <w:szCs w:val="24"/>
        </w:rPr>
        <w:t>y noted that the</w:t>
      </w:r>
      <w:r>
        <w:rPr>
          <w:szCs w:val="24"/>
        </w:rPr>
        <w:t xml:space="preserve"> Joint Settlement </w:t>
      </w:r>
      <w:r w:rsidR="00A656CC">
        <w:rPr>
          <w:szCs w:val="24"/>
        </w:rPr>
        <w:t>set forth the rights of the signing Parties in the event of a partial rejection</w:t>
      </w:r>
      <w:r>
        <w:rPr>
          <w:szCs w:val="24"/>
        </w:rPr>
        <w:t xml:space="preserve"> by this Commission.  The ALJs also pointed out </w:t>
      </w:r>
      <w:r w:rsidR="00A656CC">
        <w:rPr>
          <w:szCs w:val="24"/>
        </w:rPr>
        <w:t>that Equitable itself withdrew only from the TETCO capacity release term while stating that it would accept th</w:t>
      </w:r>
      <w:r>
        <w:rPr>
          <w:szCs w:val="24"/>
        </w:rPr>
        <w:t xml:space="preserve">e remainder of the Joint Settlement.  The ALJs </w:t>
      </w:r>
      <w:r w:rsidR="003605ED">
        <w:rPr>
          <w:szCs w:val="24"/>
        </w:rPr>
        <w:t>observed</w:t>
      </w:r>
      <w:r>
        <w:rPr>
          <w:szCs w:val="24"/>
        </w:rPr>
        <w:t xml:space="preserve"> that Equitable could have withdrawn from the entire Joint Settlement</w:t>
      </w:r>
      <w:r w:rsidR="00A656CC">
        <w:rPr>
          <w:szCs w:val="24"/>
        </w:rPr>
        <w:t xml:space="preserve"> </w:t>
      </w:r>
      <w:r>
        <w:rPr>
          <w:szCs w:val="24"/>
        </w:rPr>
        <w:t xml:space="preserve">and fully litigated the entire proceeding.  According to the ALJs, having chosen to litigate only the TETCO capacity release issue, Equitable cannot </w:t>
      </w:r>
      <w:r w:rsidR="003605ED">
        <w:rPr>
          <w:szCs w:val="24"/>
        </w:rPr>
        <w:t xml:space="preserve">now </w:t>
      </w:r>
      <w:r w:rsidR="00446A6D">
        <w:rPr>
          <w:szCs w:val="24"/>
        </w:rPr>
        <w:t>complain of the Com</w:t>
      </w:r>
      <w:r>
        <w:rPr>
          <w:szCs w:val="24"/>
        </w:rPr>
        <w:t>m</w:t>
      </w:r>
      <w:r w:rsidR="00446A6D">
        <w:rPr>
          <w:szCs w:val="24"/>
        </w:rPr>
        <w:t>i</w:t>
      </w:r>
      <w:r>
        <w:rPr>
          <w:szCs w:val="24"/>
        </w:rPr>
        <w:t>ssion’s action</w:t>
      </w:r>
      <w:r w:rsidR="003605ED">
        <w:rPr>
          <w:szCs w:val="24"/>
        </w:rPr>
        <w:t xml:space="preserve"> which also isolated the capacity release issue for further litigation.</w:t>
      </w:r>
      <w:r w:rsidR="00446A6D">
        <w:rPr>
          <w:szCs w:val="24"/>
        </w:rPr>
        <w:t xml:space="preserve">  R.D. at 15, </w:t>
      </w:r>
      <w:r w:rsidR="00446A6D" w:rsidRPr="00446A6D">
        <w:rPr>
          <w:i/>
          <w:szCs w:val="24"/>
        </w:rPr>
        <w:t>n.</w:t>
      </w:r>
      <w:r w:rsidR="00446A6D">
        <w:rPr>
          <w:szCs w:val="24"/>
        </w:rPr>
        <w:t xml:space="preserve"> 4.</w:t>
      </w:r>
    </w:p>
    <w:p w:rsidR="00446A6D" w:rsidRDefault="00446A6D" w:rsidP="00FD3238">
      <w:pPr>
        <w:pStyle w:val="ListParagraph"/>
        <w:spacing w:line="360" w:lineRule="auto"/>
        <w:ind w:left="0"/>
        <w:jc w:val="left"/>
        <w:rPr>
          <w:szCs w:val="24"/>
        </w:rPr>
      </w:pPr>
    </w:p>
    <w:p w:rsidR="00E02D36" w:rsidRDefault="00446A6D" w:rsidP="00FD3238">
      <w:pPr>
        <w:pStyle w:val="ListParagraph"/>
        <w:spacing w:line="360" w:lineRule="auto"/>
        <w:ind w:left="0"/>
        <w:jc w:val="left"/>
        <w:rPr>
          <w:szCs w:val="24"/>
        </w:rPr>
      </w:pPr>
      <w:r>
        <w:rPr>
          <w:szCs w:val="24"/>
        </w:rPr>
        <w:tab/>
      </w:r>
      <w:r>
        <w:rPr>
          <w:szCs w:val="24"/>
        </w:rPr>
        <w:tab/>
        <w:t xml:space="preserve">We agree with the ALJs and will deny this Exception.  </w:t>
      </w:r>
      <w:r w:rsidR="009C3E8E">
        <w:rPr>
          <w:szCs w:val="24"/>
        </w:rPr>
        <w:t xml:space="preserve">As noted by the ALJs, the Joint Settlement </w:t>
      </w:r>
      <w:r w:rsidR="00E02D36">
        <w:rPr>
          <w:szCs w:val="24"/>
        </w:rPr>
        <w:t xml:space="preserve">specifically </w:t>
      </w:r>
      <w:r w:rsidR="009C3E8E">
        <w:rPr>
          <w:szCs w:val="24"/>
        </w:rPr>
        <w:t xml:space="preserve">provided </w:t>
      </w:r>
      <w:r w:rsidR="00E02D36">
        <w:rPr>
          <w:szCs w:val="24"/>
        </w:rPr>
        <w:t>as follows:</w:t>
      </w:r>
    </w:p>
    <w:p w:rsidR="00E02D36" w:rsidRDefault="00E02D36" w:rsidP="00FD3238">
      <w:pPr>
        <w:pStyle w:val="ListParagraph"/>
        <w:spacing w:line="360" w:lineRule="auto"/>
        <w:ind w:left="0"/>
        <w:jc w:val="left"/>
        <w:rPr>
          <w:szCs w:val="24"/>
        </w:rPr>
      </w:pPr>
    </w:p>
    <w:p w:rsidR="00E02D36" w:rsidRDefault="009C3E8E" w:rsidP="00E02D36">
      <w:pPr>
        <w:pStyle w:val="ListParagraph"/>
        <w:ind w:left="1440" w:right="1440"/>
        <w:jc w:val="left"/>
        <w:rPr>
          <w:szCs w:val="24"/>
        </w:rPr>
      </w:pPr>
      <w:r>
        <w:rPr>
          <w:szCs w:val="24"/>
        </w:rPr>
        <w:t xml:space="preserve">Those positions are preserved should the Commission reject this settlement in whole or in part.  In such event, all parties retain the right to litigate their respective issues </w:t>
      </w:r>
      <w:r w:rsidR="00E02D36">
        <w:rPr>
          <w:szCs w:val="24"/>
        </w:rPr>
        <w:t xml:space="preserve">and may withdraw from the settlement, or a portion of the settlement, </w:t>
      </w:r>
      <w:r w:rsidR="00E02D36">
        <w:rPr>
          <w:szCs w:val="24"/>
        </w:rPr>
        <w:lastRenderedPageBreak/>
        <w:t xml:space="preserve">within 5 days of a Commission order rejecting the settlement in whole or in part. </w:t>
      </w:r>
    </w:p>
    <w:p w:rsidR="00E02D36" w:rsidRDefault="00E02D36" w:rsidP="00FD3238">
      <w:pPr>
        <w:pStyle w:val="ListParagraph"/>
        <w:spacing w:line="360" w:lineRule="auto"/>
        <w:ind w:left="0"/>
        <w:jc w:val="left"/>
        <w:rPr>
          <w:szCs w:val="24"/>
        </w:rPr>
      </w:pPr>
    </w:p>
    <w:p w:rsidR="00446A6D" w:rsidRDefault="00E02D36" w:rsidP="00FD3238">
      <w:pPr>
        <w:pStyle w:val="ListParagraph"/>
        <w:spacing w:line="360" w:lineRule="auto"/>
        <w:ind w:left="0"/>
        <w:jc w:val="left"/>
        <w:rPr>
          <w:szCs w:val="24"/>
        </w:rPr>
      </w:pPr>
      <w:r>
        <w:rPr>
          <w:szCs w:val="24"/>
        </w:rPr>
        <w:t xml:space="preserve">R.D. at 15, </w:t>
      </w:r>
      <w:r w:rsidRPr="008C3166">
        <w:rPr>
          <w:szCs w:val="24"/>
        </w:rPr>
        <w:t>n.</w:t>
      </w:r>
      <w:r>
        <w:rPr>
          <w:szCs w:val="24"/>
        </w:rPr>
        <w:t xml:space="preserve"> 4, </w:t>
      </w:r>
      <w:r w:rsidRPr="008C3166">
        <w:rPr>
          <w:szCs w:val="24"/>
        </w:rPr>
        <w:t xml:space="preserve">quoting </w:t>
      </w:r>
      <w:r w:rsidR="00FC1280">
        <w:rPr>
          <w:szCs w:val="24"/>
        </w:rPr>
        <w:t>Joint Settlement</w:t>
      </w:r>
      <w:r>
        <w:rPr>
          <w:szCs w:val="24"/>
        </w:rPr>
        <w:t xml:space="preserve">, Part G at 17.  </w:t>
      </w:r>
    </w:p>
    <w:p w:rsidR="00E02D36" w:rsidRDefault="00E02D36" w:rsidP="00FD3238">
      <w:pPr>
        <w:pStyle w:val="ListParagraph"/>
        <w:spacing w:line="360" w:lineRule="auto"/>
        <w:ind w:left="0"/>
        <w:jc w:val="left"/>
        <w:rPr>
          <w:szCs w:val="24"/>
        </w:rPr>
      </w:pPr>
    </w:p>
    <w:p w:rsidR="00E02D36" w:rsidRDefault="00E02D36" w:rsidP="00FD3238">
      <w:pPr>
        <w:pStyle w:val="ListParagraph"/>
        <w:spacing w:line="360" w:lineRule="auto"/>
        <w:ind w:left="0"/>
        <w:jc w:val="left"/>
        <w:rPr>
          <w:szCs w:val="24"/>
        </w:rPr>
      </w:pPr>
      <w:r>
        <w:rPr>
          <w:szCs w:val="24"/>
        </w:rPr>
        <w:tab/>
      </w:r>
      <w:r>
        <w:rPr>
          <w:szCs w:val="24"/>
        </w:rPr>
        <w:tab/>
        <w:t>The foregoing amply puts to rest Equitable’s arguments in its second Exception.</w:t>
      </w:r>
    </w:p>
    <w:p w:rsidR="00E02D36" w:rsidRDefault="00E02D36" w:rsidP="00FD3238">
      <w:pPr>
        <w:pStyle w:val="ListParagraph"/>
        <w:spacing w:line="360" w:lineRule="auto"/>
        <w:ind w:left="0"/>
        <w:jc w:val="left"/>
        <w:rPr>
          <w:szCs w:val="24"/>
        </w:rPr>
      </w:pPr>
    </w:p>
    <w:p w:rsidR="00B647CE" w:rsidRDefault="00E02D36" w:rsidP="00FD3238">
      <w:pPr>
        <w:pStyle w:val="ListParagraph"/>
        <w:spacing w:line="360" w:lineRule="auto"/>
        <w:ind w:left="0"/>
        <w:jc w:val="left"/>
        <w:rPr>
          <w:szCs w:val="24"/>
        </w:rPr>
      </w:pPr>
      <w:r>
        <w:rPr>
          <w:szCs w:val="24"/>
        </w:rPr>
        <w:tab/>
      </w:r>
      <w:r>
        <w:rPr>
          <w:szCs w:val="24"/>
        </w:rPr>
        <w:tab/>
        <w:t xml:space="preserve">We will also deny Equitable’s first Exception.  </w:t>
      </w:r>
      <w:r w:rsidR="0049384E">
        <w:rPr>
          <w:szCs w:val="24"/>
        </w:rPr>
        <w:t xml:space="preserve">Having withdrawn from that portion of the Joint Settlement which addressed the TETCO capacity release issue, Equitable nonetheless argues that all evidence and argument introduced in this proceeding which are contrary to the Joint Settlement on this issue must be “deemed withdrawn.”  Equitable Exc. at 11.  </w:t>
      </w:r>
      <w:r w:rsidR="00F57699">
        <w:rPr>
          <w:szCs w:val="24"/>
        </w:rPr>
        <w:t xml:space="preserve">This is directly contrary to the express statements of the OTS and ignores the entire basis of our December 21 Order which granted Reconsideration.  </w:t>
      </w:r>
    </w:p>
    <w:p w:rsidR="00B647CE" w:rsidRDefault="00B647CE" w:rsidP="00FD3238">
      <w:pPr>
        <w:pStyle w:val="ListParagraph"/>
        <w:spacing w:line="360" w:lineRule="auto"/>
        <w:ind w:left="0"/>
        <w:jc w:val="left"/>
        <w:rPr>
          <w:szCs w:val="24"/>
        </w:rPr>
      </w:pPr>
    </w:p>
    <w:p w:rsidR="00E02D36" w:rsidRDefault="00B647CE" w:rsidP="00FD3238">
      <w:pPr>
        <w:pStyle w:val="ListParagraph"/>
        <w:spacing w:line="360" w:lineRule="auto"/>
        <w:ind w:left="0"/>
        <w:jc w:val="left"/>
        <w:rPr>
          <w:szCs w:val="24"/>
        </w:rPr>
      </w:pPr>
      <w:r>
        <w:rPr>
          <w:szCs w:val="24"/>
        </w:rPr>
        <w:tab/>
      </w:r>
      <w:r>
        <w:rPr>
          <w:szCs w:val="24"/>
        </w:rPr>
        <w:tab/>
      </w:r>
      <w:r w:rsidR="00F57699">
        <w:rPr>
          <w:szCs w:val="24"/>
        </w:rPr>
        <w:t>As noted above, the December 21 Order granted reconsideration precisely to remove any question with regard to the state o</w:t>
      </w:r>
      <w:r>
        <w:rPr>
          <w:szCs w:val="24"/>
        </w:rPr>
        <w:t xml:space="preserve">f the record.  December 21 Order at 5.  The OTS has clarified that </w:t>
      </w:r>
      <w:r w:rsidR="00034CFD">
        <w:rPr>
          <w:szCs w:val="24"/>
        </w:rPr>
        <w:t xml:space="preserve">it has not withdrawn any testimony regarding the TETCO capacity release issue, while it does support the disposition of the issue in the Joint Settlement.  OTS M.B. on Remand at 4.  </w:t>
      </w:r>
      <w:r w:rsidR="00C727D8">
        <w:rPr>
          <w:szCs w:val="24"/>
        </w:rPr>
        <w:t xml:space="preserve">The OCA has also indicated that its testimony should remain in the record.  OCA M.B. on Remand at </w:t>
      </w:r>
      <w:r w:rsidR="00DC4F09">
        <w:rPr>
          <w:szCs w:val="24"/>
        </w:rPr>
        <w:t xml:space="preserve">3, </w:t>
      </w:r>
      <w:r w:rsidR="00DC4F09" w:rsidRPr="008C3166">
        <w:rPr>
          <w:szCs w:val="24"/>
        </w:rPr>
        <w:t>n</w:t>
      </w:r>
      <w:r w:rsidR="00DC4F09">
        <w:rPr>
          <w:szCs w:val="24"/>
        </w:rPr>
        <w:t xml:space="preserve">. 1.  However, the OCA also expresses support for the Joint Settlement and argues that the TETCO capacity release issue must be examined in the context of the entire Joint Settlement and should not be considered in a vacuum.  </w:t>
      </w:r>
      <w:r w:rsidR="00DC4F09" w:rsidRPr="00DC4F09">
        <w:rPr>
          <w:i/>
          <w:szCs w:val="24"/>
        </w:rPr>
        <w:t>Id</w:t>
      </w:r>
      <w:r w:rsidR="00DC4F09">
        <w:rPr>
          <w:szCs w:val="24"/>
        </w:rPr>
        <w:t>. at 3-7.  For these reasons, we will d</w:t>
      </w:r>
      <w:r w:rsidR="00FE13D3">
        <w:rPr>
          <w:szCs w:val="24"/>
        </w:rPr>
        <w:t>eny Equitable’s first Exception and find that no Party has withdrawn any evidence admitted in this proceeding.</w:t>
      </w:r>
    </w:p>
    <w:p w:rsidR="00DC4F09" w:rsidRDefault="00DC4F09" w:rsidP="00FD3238">
      <w:pPr>
        <w:pStyle w:val="ListParagraph"/>
        <w:spacing w:line="360" w:lineRule="auto"/>
        <w:ind w:left="0"/>
        <w:jc w:val="left"/>
        <w:rPr>
          <w:szCs w:val="24"/>
        </w:rPr>
      </w:pPr>
    </w:p>
    <w:p w:rsidR="002B0F46" w:rsidRPr="002B0F46" w:rsidRDefault="00A515C8" w:rsidP="002B0F46">
      <w:pPr>
        <w:pStyle w:val="PlainText"/>
        <w:spacing w:line="360" w:lineRule="auto"/>
        <w:rPr>
          <w:rFonts w:ascii="Times New Roman" w:hAnsi="Times New Roman"/>
          <w:sz w:val="26"/>
        </w:rPr>
      </w:pPr>
      <w:r w:rsidRPr="002B0F46">
        <w:rPr>
          <w:rFonts w:ascii="Times New Roman" w:hAnsi="Times New Roman"/>
          <w:sz w:val="26"/>
          <w:szCs w:val="24"/>
        </w:rPr>
        <w:tab/>
      </w:r>
      <w:r w:rsidRPr="002B0F46">
        <w:rPr>
          <w:rFonts w:ascii="Times New Roman" w:hAnsi="Times New Roman"/>
          <w:sz w:val="26"/>
          <w:szCs w:val="24"/>
        </w:rPr>
        <w:tab/>
      </w:r>
      <w:r w:rsidR="008174A2" w:rsidRPr="002B0F46">
        <w:rPr>
          <w:rFonts w:ascii="Times New Roman" w:hAnsi="Times New Roman"/>
          <w:sz w:val="26"/>
          <w:szCs w:val="24"/>
        </w:rPr>
        <w:t xml:space="preserve">Our review of the benefits of the TETCO capacity release </w:t>
      </w:r>
      <w:r w:rsidR="00F8245C" w:rsidRPr="002B0F46">
        <w:rPr>
          <w:rFonts w:ascii="Times New Roman" w:hAnsi="Times New Roman"/>
          <w:sz w:val="26"/>
          <w:szCs w:val="24"/>
        </w:rPr>
        <w:t xml:space="preserve">as </w:t>
      </w:r>
      <w:r w:rsidR="008174A2" w:rsidRPr="002B0F46">
        <w:rPr>
          <w:rFonts w:ascii="Times New Roman" w:hAnsi="Times New Roman"/>
          <w:sz w:val="26"/>
          <w:szCs w:val="24"/>
        </w:rPr>
        <w:t xml:space="preserve">described by the ALJs </w:t>
      </w:r>
      <w:r w:rsidR="00F8245C" w:rsidRPr="002B0F46">
        <w:rPr>
          <w:rFonts w:ascii="Times New Roman" w:hAnsi="Times New Roman"/>
          <w:sz w:val="26"/>
          <w:szCs w:val="24"/>
        </w:rPr>
        <w:t xml:space="preserve">has convinced us that the 75%/25% sharing mechanism </w:t>
      </w:r>
      <w:r w:rsidR="00F00BCA" w:rsidRPr="002B0F46">
        <w:rPr>
          <w:rFonts w:ascii="Times New Roman" w:hAnsi="Times New Roman"/>
          <w:sz w:val="26"/>
          <w:szCs w:val="24"/>
        </w:rPr>
        <w:t xml:space="preserve">for the release of the </w:t>
      </w:r>
      <w:r w:rsidR="00F00BCA" w:rsidRPr="002B0F46">
        <w:rPr>
          <w:rFonts w:ascii="Times New Roman" w:hAnsi="Times New Roman"/>
          <w:sz w:val="26"/>
          <w:szCs w:val="24"/>
        </w:rPr>
        <w:lastRenderedPageBreak/>
        <w:t xml:space="preserve">TETCO capacity is part of Equitable’s least-cost fuel procurement policy and is just and reasonable.  We are specifically persuaded by Equitable’s arguments that its proactive </w:t>
      </w:r>
      <w:r w:rsidR="00BC0075" w:rsidRPr="002B0F46">
        <w:rPr>
          <w:rFonts w:ascii="Times New Roman" w:hAnsi="Times New Roman"/>
          <w:sz w:val="26"/>
          <w:szCs w:val="24"/>
        </w:rPr>
        <w:t xml:space="preserve">fuel procurement plan benefits its customers by approximately $1.2 </w:t>
      </w:r>
      <w:r w:rsidR="000B2DD2" w:rsidRPr="002B0F46">
        <w:rPr>
          <w:rFonts w:ascii="Times New Roman" w:hAnsi="Times New Roman"/>
          <w:sz w:val="26"/>
          <w:szCs w:val="24"/>
        </w:rPr>
        <w:t>m</w:t>
      </w:r>
      <w:r w:rsidR="00BC0075" w:rsidRPr="002B0F46">
        <w:rPr>
          <w:rFonts w:ascii="Times New Roman" w:hAnsi="Times New Roman"/>
          <w:sz w:val="26"/>
          <w:szCs w:val="24"/>
        </w:rPr>
        <w:t xml:space="preserve">illion per year.  </w:t>
      </w:r>
      <w:r w:rsidR="00745DD3" w:rsidRPr="002B0F46">
        <w:rPr>
          <w:rFonts w:ascii="Times New Roman" w:hAnsi="Times New Roman"/>
          <w:sz w:val="26"/>
          <w:szCs w:val="24"/>
        </w:rPr>
        <w:t xml:space="preserve">R.D. at 9, Finding of Fact No. 35.  </w:t>
      </w:r>
      <w:r w:rsidR="00BC0075" w:rsidRPr="002B0F46">
        <w:rPr>
          <w:rFonts w:ascii="Times New Roman" w:hAnsi="Times New Roman"/>
          <w:sz w:val="26"/>
          <w:szCs w:val="24"/>
        </w:rPr>
        <w:t xml:space="preserve">Further, Equitable’s unneeded capacity on the TETCO line is due to its purchase of less-expensive local gas.  </w:t>
      </w:r>
      <w:r w:rsidR="00745DD3" w:rsidRPr="002B0F46">
        <w:rPr>
          <w:rFonts w:ascii="Times New Roman" w:hAnsi="Times New Roman"/>
          <w:i/>
          <w:sz w:val="26"/>
          <w:szCs w:val="24"/>
        </w:rPr>
        <w:t>Id</w:t>
      </w:r>
      <w:r w:rsidR="00745DD3" w:rsidRPr="002B0F46">
        <w:rPr>
          <w:rFonts w:ascii="Times New Roman" w:hAnsi="Times New Roman"/>
          <w:sz w:val="26"/>
          <w:szCs w:val="24"/>
        </w:rPr>
        <w:t xml:space="preserve">. at 10, Finding of Fact No. 38.  </w:t>
      </w:r>
      <w:r w:rsidR="00BC0075" w:rsidRPr="002B0F46">
        <w:rPr>
          <w:rFonts w:ascii="Times New Roman" w:hAnsi="Times New Roman"/>
          <w:sz w:val="26"/>
          <w:szCs w:val="24"/>
        </w:rPr>
        <w:t xml:space="preserve">This procurement strategy advances the Commission’s policy to promote the development of Pennsylvania gas.  </w:t>
      </w:r>
      <w:r w:rsidR="00BC0075" w:rsidRPr="002B0F46">
        <w:rPr>
          <w:rFonts w:ascii="Times New Roman" w:hAnsi="Times New Roman"/>
          <w:i/>
          <w:sz w:val="26"/>
          <w:szCs w:val="24"/>
        </w:rPr>
        <w:t>See</w:t>
      </w:r>
      <w:r w:rsidR="00BC0075" w:rsidRPr="002B0F46">
        <w:rPr>
          <w:rFonts w:ascii="Times New Roman" w:hAnsi="Times New Roman"/>
          <w:sz w:val="26"/>
          <w:szCs w:val="24"/>
        </w:rPr>
        <w:t>, 52 Pa. Code § 60.1.</w:t>
      </w:r>
      <w:r w:rsidR="000B2DD2" w:rsidRPr="002B0F46">
        <w:rPr>
          <w:rFonts w:ascii="Times New Roman" w:hAnsi="Times New Roman"/>
          <w:sz w:val="26"/>
          <w:szCs w:val="24"/>
        </w:rPr>
        <w:t xml:space="preserve">  </w:t>
      </w:r>
      <w:r w:rsidR="00D952CF" w:rsidRPr="002B0F46">
        <w:rPr>
          <w:rFonts w:ascii="Times New Roman" w:hAnsi="Times New Roman"/>
          <w:sz w:val="26"/>
        </w:rPr>
        <w:t xml:space="preserve">Approval of the 75%/25% sharing mechanism is appropriate considering the evidence of this proceeding as the denial of this sharing could serve as a disincentive to our jurisdictional natural gas distribution companies to take advantage of lower cost Pennsylvania gas supplies.  </w:t>
      </w:r>
      <w:r w:rsidR="000B2DD2" w:rsidRPr="002B0F46">
        <w:rPr>
          <w:rFonts w:ascii="Times New Roman" w:hAnsi="Times New Roman"/>
          <w:sz w:val="26"/>
          <w:szCs w:val="24"/>
        </w:rPr>
        <w:t>This is particularly compelling given the growing development of the Marcellus Shale gas field.</w:t>
      </w:r>
      <w:r w:rsidR="002B0F46" w:rsidRPr="002B0F46">
        <w:rPr>
          <w:rFonts w:ascii="Times New Roman" w:hAnsi="Times New Roman"/>
          <w:sz w:val="26"/>
          <w:szCs w:val="24"/>
        </w:rPr>
        <w:t xml:space="preserve">  </w:t>
      </w:r>
      <w:r w:rsidR="002B0F46" w:rsidRPr="002B0F46">
        <w:rPr>
          <w:rFonts w:ascii="Times New Roman" w:hAnsi="Times New Roman"/>
          <w:sz w:val="26"/>
        </w:rPr>
        <w:t xml:space="preserve">Future decisions as to whether to approve similar sharing mechanisms will, however, need to be based on the specific facts before the Commission.  </w:t>
      </w:r>
    </w:p>
    <w:p w:rsidR="006E6264" w:rsidRDefault="006E6264" w:rsidP="00F00BCA">
      <w:pPr>
        <w:pStyle w:val="ListParagraph"/>
        <w:spacing w:line="360" w:lineRule="auto"/>
        <w:ind w:left="0"/>
        <w:jc w:val="left"/>
        <w:rPr>
          <w:szCs w:val="24"/>
        </w:rPr>
      </w:pPr>
    </w:p>
    <w:p w:rsidR="00337442" w:rsidRDefault="00337442" w:rsidP="009C3A43">
      <w:pPr>
        <w:pStyle w:val="ListParagraph"/>
        <w:spacing w:line="360" w:lineRule="auto"/>
        <w:ind w:left="0"/>
        <w:jc w:val="center"/>
        <w:rPr>
          <w:b/>
          <w:spacing w:val="-3"/>
          <w:szCs w:val="26"/>
        </w:rPr>
      </w:pPr>
      <w:r>
        <w:rPr>
          <w:b/>
          <w:spacing w:val="-3"/>
          <w:szCs w:val="26"/>
        </w:rPr>
        <w:t>Conclusion</w:t>
      </w:r>
    </w:p>
    <w:p w:rsidR="008F606B" w:rsidRDefault="008F606B" w:rsidP="00C80EA4">
      <w:pPr>
        <w:tabs>
          <w:tab w:val="left" w:pos="204"/>
        </w:tabs>
        <w:spacing w:line="360" w:lineRule="auto"/>
        <w:jc w:val="center"/>
        <w:rPr>
          <w:b/>
          <w:spacing w:val="-3"/>
          <w:sz w:val="26"/>
          <w:szCs w:val="26"/>
        </w:rPr>
      </w:pPr>
    </w:p>
    <w:p w:rsidR="00976C80" w:rsidRDefault="008F606B" w:rsidP="00F440B5">
      <w:pPr>
        <w:tabs>
          <w:tab w:val="left" w:pos="204"/>
        </w:tabs>
        <w:spacing w:line="360" w:lineRule="auto"/>
        <w:rPr>
          <w:b/>
          <w:sz w:val="26"/>
          <w:szCs w:val="26"/>
        </w:rPr>
      </w:pPr>
      <w:r>
        <w:rPr>
          <w:b/>
          <w:spacing w:val="-3"/>
          <w:sz w:val="26"/>
          <w:szCs w:val="26"/>
        </w:rPr>
        <w:tab/>
      </w:r>
      <w:r>
        <w:rPr>
          <w:b/>
          <w:spacing w:val="-3"/>
          <w:sz w:val="26"/>
          <w:szCs w:val="26"/>
        </w:rPr>
        <w:tab/>
      </w:r>
      <w:r>
        <w:rPr>
          <w:b/>
          <w:spacing w:val="-3"/>
          <w:sz w:val="26"/>
          <w:szCs w:val="26"/>
        </w:rPr>
        <w:tab/>
      </w:r>
      <w:r w:rsidR="00F440B5">
        <w:rPr>
          <w:spacing w:val="-3"/>
          <w:sz w:val="26"/>
          <w:szCs w:val="26"/>
        </w:rPr>
        <w:t>For the fore</w:t>
      </w:r>
      <w:r w:rsidR="00C72A4B">
        <w:rPr>
          <w:spacing w:val="-3"/>
          <w:sz w:val="26"/>
          <w:szCs w:val="26"/>
        </w:rPr>
        <w:t>going reasons, we will deny Equitable’</w:t>
      </w:r>
      <w:r w:rsidR="001E712F">
        <w:rPr>
          <w:spacing w:val="-3"/>
          <w:sz w:val="26"/>
          <w:szCs w:val="26"/>
        </w:rPr>
        <w:t xml:space="preserve">s </w:t>
      </w:r>
      <w:r w:rsidR="00F440B5">
        <w:rPr>
          <w:spacing w:val="-3"/>
          <w:sz w:val="26"/>
          <w:szCs w:val="26"/>
        </w:rPr>
        <w:t>Exceptions</w:t>
      </w:r>
      <w:r w:rsidR="00DE5228">
        <w:rPr>
          <w:spacing w:val="-3"/>
          <w:sz w:val="26"/>
          <w:szCs w:val="26"/>
        </w:rPr>
        <w:t xml:space="preserve"> and adopt</w:t>
      </w:r>
      <w:r w:rsidR="001E712F">
        <w:rPr>
          <w:spacing w:val="-3"/>
          <w:sz w:val="26"/>
          <w:szCs w:val="26"/>
        </w:rPr>
        <w:t xml:space="preserve"> the Recommended Decision on Remand</w:t>
      </w:r>
      <w:r w:rsidR="00293DBB">
        <w:rPr>
          <w:spacing w:val="-3"/>
          <w:sz w:val="26"/>
          <w:szCs w:val="26"/>
        </w:rPr>
        <w:t xml:space="preserve">; </w:t>
      </w:r>
      <w:r w:rsidR="00293DBB" w:rsidRPr="00EE196B">
        <w:rPr>
          <w:b/>
          <w:spacing w:val="-3"/>
          <w:sz w:val="26"/>
          <w:szCs w:val="26"/>
        </w:rPr>
        <w:t>THEREFORE</w:t>
      </w:r>
      <w:r w:rsidR="00C2455C" w:rsidRPr="00EE196B">
        <w:rPr>
          <w:b/>
          <w:sz w:val="26"/>
          <w:szCs w:val="26"/>
        </w:rPr>
        <w:t>,</w:t>
      </w:r>
    </w:p>
    <w:p w:rsidR="00122B3D" w:rsidRDefault="00122B3D" w:rsidP="00F82EE3">
      <w:pPr>
        <w:spacing w:line="360" w:lineRule="auto"/>
        <w:ind w:firstLine="1440"/>
        <w:rPr>
          <w:b/>
          <w:sz w:val="26"/>
        </w:rPr>
      </w:pPr>
    </w:p>
    <w:p w:rsidR="002F793F" w:rsidRDefault="009F59C8" w:rsidP="00A601AF">
      <w:pPr>
        <w:keepNext/>
        <w:keepLines/>
        <w:spacing w:line="360" w:lineRule="auto"/>
        <w:ind w:firstLine="1440"/>
        <w:rPr>
          <w:b/>
          <w:sz w:val="26"/>
        </w:rPr>
      </w:pPr>
      <w:r>
        <w:rPr>
          <w:b/>
          <w:sz w:val="26"/>
        </w:rPr>
        <w:t xml:space="preserve">IT IS ORDERED:  </w:t>
      </w:r>
    </w:p>
    <w:p w:rsidR="00F440B5" w:rsidRDefault="00F440B5" w:rsidP="00A601AF">
      <w:pPr>
        <w:keepNext/>
        <w:keepLines/>
        <w:spacing w:line="360" w:lineRule="auto"/>
        <w:ind w:firstLine="1440"/>
        <w:rPr>
          <w:b/>
          <w:sz w:val="26"/>
        </w:rPr>
      </w:pPr>
    </w:p>
    <w:p w:rsidR="00F440B5" w:rsidRDefault="00F440B5" w:rsidP="00A601AF">
      <w:pPr>
        <w:keepNext/>
        <w:keepLines/>
        <w:spacing w:line="360" w:lineRule="auto"/>
        <w:ind w:firstLine="1440"/>
        <w:rPr>
          <w:sz w:val="26"/>
        </w:rPr>
      </w:pPr>
      <w:r>
        <w:rPr>
          <w:sz w:val="26"/>
        </w:rPr>
        <w:t>1.  That the Exceptions filed</w:t>
      </w:r>
      <w:r w:rsidR="00DF4CDC">
        <w:rPr>
          <w:sz w:val="26"/>
        </w:rPr>
        <w:t xml:space="preserve"> by Equitable Gas Company </w:t>
      </w:r>
      <w:r>
        <w:rPr>
          <w:sz w:val="26"/>
        </w:rPr>
        <w:t xml:space="preserve">in this </w:t>
      </w:r>
      <w:r w:rsidR="00DF4CDC">
        <w:rPr>
          <w:sz w:val="26"/>
        </w:rPr>
        <w:t xml:space="preserve">remanded </w:t>
      </w:r>
      <w:r>
        <w:rPr>
          <w:sz w:val="26"/>
        </w:rPr>
        <w:t>proceeding are denied.</w:t>
      </w:r>
    </w:p>
    <w:p w:rsidR="00F440B5" w:rsidRDefault="00F440B5" w:rsidP="00A601AF">
      <w:pPr>
        <w:keepNext/>
        <w:keepLines/>
        <w:spacing w:line="360" w:lineRule="auto"/>
        <w:ind w:firstLine="1440"/>
        <w:rPr>
          <w:sz w:val="26"/>
        </w:rPr>
      </w:pPr>
    </w:p>
    <w:p w:rsidR="00F440B5" w:rsidRDefault="00F440B5" w:rsidP="00A601AF">
      <w:pPr>
        <w:keepNext/>
        <w:keepLines/>
        <w:spacing w:line="360" w:lineRule="auto"/>
        <w:ind w:firstLine="1440"/>
        <w:rPr>
          <w:sz w:val="26"/>
        </w:rPr>
      </w:pPr>
      <w:r>
        <w:rPr>
          <w:sz w:val="26"/>
        </w:rPr>
        <w:t xml:space="preserve">2.  That the </w:t>
      </w:r>
      <w:r w:rsidR="00DF4CDC">
        <w:rPr>
          <w:sz w:val="26"/>
        </w:rPr>
        <w:t xml:space="preserve">Recommended Decision on Remand of </w:t>
      </w:r>
      <w:r>
        <w:rPr>
          <w:sz w:val="26"/>
        </w:rPr>
        <w:t>Administrative Law Judge</w:t>
      </w:r>
      <w:r w:rsidR="00DF4CDC">
        <w:rPr>
          <w:sz w:val="26"/>
        </w:rPr>
        <w:t>s</w:t>
      </w:r>
      <w:r>
        <w:rPr>
          <w:sz w:val="26"/>
        </w:rPr>
        <w:t xml:space="preserve"> </w:t>
      </w:r>
      <w:r w:rsidR="00DF4CDC">
        <w:rPr>
          <w:sz w:val="26"/>
        </w:rPr>
        <w:t>Robert P. Meehan and Katrina L. Dunderdale</w:t>
      </w:r>
      <w:r>
        <w:rPr>
          <w:sz w:val="26"/>
        </w:rPr>
        <w:t>, issued</w:t>
      </w:r>
      <w:r w:rsidR="00280A87">
        <w:rPr>
          <w:sz w:val="26"/>
        </w:rPr>
        <w:t xml:space="preserve"> at this Docket </w:t>
      </w:r>
      <w:r>
        <w:rPr>
          <w:sz w:val="26"/>
        </w:rPr>
        <w:t xml:space="preserve">on </w:t>
      </w:r>
      <w:r w:rsidR="00DF4CDC">
        <w:rPr>
          <w:sz w:val="26"/>
        </w:rPr>
        <w:t>April 29</w:t>
      </w:r>
      <w:r w:rsidR="00803198">
        <w:rPr>
          <w:sz w:val="26"/>
        </w:rPr>
        <w:t>,</w:t>
      </w:r>
      <w:r w:rsidR="00DF4CDC">
        <w:rPr>
          <w:sz w:val="26"/>
        </w:rPr>
        <w:t xml:space="preserve"> 2010</w:t>
      </w:r>
      <w:r w:rsidR="00280A87">
        <w:rPr>
          <w:sz w:val="26"/>
        </w:rPr>
        <w:t xml:space="preserve">, is </w:t>
      </w:r>
      <w:r w:rsidR="00DE5228">
        <w:rPr>
          <w:sz w:val="26"/>
        </w:rPr>
        <w:t>adopted</w:t>
      </w:r>
      <w:r w:rsidR="00DF4CDC">
        <w:rPr>
          <w:sz w:val="26"/>
        </w:rPr>
        <w:t>, consistent with this Opinion and Order</w:t>
      </w:r>
      <w:r w:rsidR="00280A87">
        <w:rPr>
          <w:sz w:val="26"/>
        </w:rPr>
        <w:t>.</w:t>
      </w:r>
    </w:p>
    <w:p w:rsidR="00280A87" w:rsidRDefault="00280A87" w:rsidP="00165684">
      <w:pPr>
        <w:spacing w:line="360" w:lineRule="auto"/>
        <w:ind w:firstLine="1440"/>
        <w:rPr>
          <w:sz w:val="26"/>
        </w:rPr>
      </w:pPr>
    </w:p>
    <w:p w:rsidR="00B04C1B" w:rsidRDefault="00DE5228" w:rsidP="00165684">
      <w:pPr>
        <w:spacing w:line="360" w:lineRule="auto"/>
        <w:ind w:firstLine="1440"/>
        <w:rPr>
          <w:sz w:val="26"/>
        </w:rPr>
      </w:pPr>
      <w:r>
        <w:rPr>
          <w:sz w:val="26"/>
        </w:rPr>
        <w:lastRenderedPageBreak/>
        <w:t>3</w:t>
      </w:r>
      <w:r w:rsidR="006757F5">
        <w:rPr>
          <w:sz w:val="26"/>
        </w:rPr>
        <w:t xml:space="preserve">.  That </w:t>
      </w:r>
      <w:r w:rsidR="00B50BB8">
        <w:rPr>
          <w:sz w:val="26"/>
        </w:rPr>
        <w:t>Equ</w:t>
      </w:r>
      <w:r w:rsidR="0074233A">
        <w:rPr>
          <w:sz w:val="26"/>
        </w:rPr>
        <w:t xml:space="preserve">itable is directed to apply the 75%/25% sharing mechanism described in this Opinion and Order </w:t>
      </w:r>
      <w:r w:rsidR="00B50BB8">
        <w:rPr>
          <w:sz w:val="26"/>
        </w:rPr>
        <w:t xml:space="preserve">coincident with the effective date of its tariff filed in compliance with the </w:t>
      </w:r>
      <w:r w:rsidR="00B04C1B">
        <w:rPr>
          <w:sz w:val="26"/>
        </w:rPr>
        <w:t xml:space="preserve">Opinion and Order entered in this proceeding on September 30, 2009.  </w:t>
      </w:r>
    </w:p>
    <w:p w:rsidR="00C21E7C" w:rsidRDefault="00C21E7C" w:rsidP="00165684">
      <w:pPr>
        <w:spacing w:line="360" w:lineRule="auto"/>
        <w:ind w:firstLine="1440"/>
        <w:rPr>
          <w:sz w:val="26"/>
        </w:rPr>
      </w:pPr>
    </w:p>
    <w:p w:rsidR="00C21E7C" w:rsidRDefault="00C21E7C" w:rsidP="00803198">
      <w:pPr>
        <w:spacing w:line="360" w:lineRule="auto"/>
        <w:rPr>
          <w:sz w:val="26"/>
        </w:rPr>
      </w:pPr>
      <w:r>
        <w:rPr>
          <w:sz w:val="26"/>
        </w:rPr>
        <w:tab/>
      </w:r>
      <w:r>
        <w:rPr>
          <w:sz w:val="26"/>
        </w:rPr>
        <w:tab/>
      </w:r>
      <w:r w:rsidR="009E0DC6">
        <w:rPr>
          <w:sz w:val="26"/>
        </w:rPr>
        <w:t>4</w:t>
      </w:r>
      <w:r>
        <w:rPr>
          <w:sz w:val="26"/>
        </w:rPr>
        <w:t xml:space="preserve">.  </w:t>
      </w:r>
      <w:r w:rsidRPr="002A3427">
        <w:rPr>
          <w:sz w:val="26"/>
        </w:rPr>
        <w:t xml:space="preserve">That Equitable Gas Company may file a tariff supplement, on one day’s notice to the Commission, containing changes in rates to provide for the recovery of its costs of purchased gas, consistent with </w:t>
      </w:r>
      <w:r>
        <w:rPr>
          <w:sz w:val="26"/>
        </w:rPr>
        <w:t>this Opinion and Order.</w:t>
      </w:r>
    </w:p>
    <w:p w:rsidR="00C21E7C" w:rsidRDefault="00C21E7C" w:rsidP="00165684">
      <w:pPr>
        <w:spacing w:line="360" w:lineRule="auto"/>
        <w:ind w:firstLine="1440"/>
        <w:rPr>
          <w:sz w:val="26"/>
        </w:rPr>
      </w:pPr>
    </w:p>
    <w:p w:rsidR="00C21E7C" w:rsidRPr="002A3427" w:rsidRDefault="00C21E7C" w:rsidP="00C21E7C">
      <w:pPr>
        <w:spacing w:line="360" w:lineRule="auto"/>
        <w:rPr>
          <w:sz w:val="26"/>
        </w:rPr>
      </w:pPr>
      <w:r>
        <w:rPr>
          <w:sz w:val="26"/>
        </w:rPr>
        <w:tab/>
      </w:r>
      <w:r>
        <w:rPr>
          <w:sz w:val="26"/>
        </w:rPr>
        <w:tab/>
      </w:r>
      <w:r w:rsidR="009E0DC6">
        <w:rPr>
          <w:sz w:val="26"/>
        </w:rPr>
        <w:t>5</w:t>
      </w:r>
      <w:r>
        <w:rPr>
          <w:sz w:val="26"/>
        </w:rPr>
        <w:t xml:space="preserve">. </w:t>
      </w:r>
      <w:r>
        <w:rPr>
          <w:sz w:val="26"/>
        </w:rPr>
        <w:tab/>
      </w:r>
      <w:r w:rsidRPr="002A3427">
        <w:rPr>
          <w:sz w:val="26"/>
        </w:rPr>
        <w:t xml:space="preserve">That upon Equitable Gas Company filing a tariff supplement acceptable to the Commission as conforming </w:t>
      </w:r>
      <w:r>
        <w:rPr>
          <w:sz w:val="26"/>
        </w:rPr>
        <w:t>to</w:t>
      </w:r>
      <w:r w:rsidRPr="002A3427">
        <w:rPr>
          <w:sz w:val="26"/>
        </w:rPr>
        <w:t xml:space="preserve"> this </w:t>
      </w:r>
      <w:r>
        <w:rPr>
          <w:sz w:val="26"/>
        </w:rPr>
        <w:t xml:space="preserve">Opinion and Order, </w:t>
      </w:r>
      <w:r w:rsidRPr="002A3427">
        <w:rPr>
          <w:sz w:val="26"/>
        </w:rPr>
        <w:t>the purchased gas rates established therein shall become effective for service rendered on and after October 1, 2009.</w:t>
      </w:r>
    </w:p>
    <w:p w:rsidR="00C21E7C" w:rsidRPr="002A3427" w:rsidRDefault="00C21E7C" w:rsidP="00C21E7C">
      <w:pPr>
        <w:spacing w:line="360" w:lineRule="auto"/>
        <w:rPr>
          <w:sz w:val="26"/>
        </w:rPr>
      </w:pPr>
    </w:p>
    <w:p w:rsidR="00B04C1B" w:rsidRDefault="00C21E7C" w:rsidP="00803198">
      <w:pPr>
        <w:keepNext/>
        <w:keepLines/>
        <w:spacing w:line="360" w:lineRule="auto"/>
        <w:rPr>
          <w:sz w:val="26"/>
        </w:rPr>
      </w:pPr>
      <w:r>
        <w:rPr>
          <w:sz w:val="26"/>
        </w:rPr>
        <w:tab/>
      </w:r>
      <w:r>
        <w:rPr>
          <w:sz w:val="26"/>
        </w:rPr>
        <w:tab/>
      </w:r>
      <w:r w:rsidR="009E0DC6">
        <w:rPr>
          <w:sz w:val="26"/>
        </w:rPr>
        <w:t>6</w:t>
      </w:r>
      <w:r>
        <w:rPr>
          <w:sz w:val="26"/>
        </w:rPr>
        <w:t>.</w:t>
      </w:r>
      <w:r>
        <w:rPr>
          <w:sz w:val="26"/>
        </w:rPr>
        <w:tab/>
      </w:r>
      <w:r w:rsidRPr="002A3427">
        <w:rPr>
          <w:sz w:val="26"/>
        </w:rPr>
        <w:t xml:space="preserve">That upon Commission acceptance and approval of the tariff supplement and supporting data filed by Equitable Gas Company as being consistent with this </w:t>
      </w:r>
      <w:r>
        <w:rPr>
          <w:sz w:val="26"/>
        </w:rPr>
        <w:t xml:space="preserve">Opinion and Order, </w:t>
      </w:r>
      <w:r w:rsidRPr="002A3427">
        <w:rPr>
          <w:sz w:val="26"/>
        </w:rPr>
        <w:t>the inquiry and investigation at Docket No. R</w:t>
      </w:r>
      <w:r w:rsidRPr="002A3427">
        <w:rPr>
          <w:sz w:val="26"/>
        </w:rPr>
        <w:noBreakHyphen/>
        <w:t>2009-2088072 shall be terminated and the docket marked closed.</w:t>
      </w:r>
    </w:p>
    <w:p w:rsidR="0092440C" w:rsidRPr="00F62C47" w:rsidRDefault="0092440C" w:rsidP="00C21E7C">
      <w:pPr>
        <w:keepNext/>
        <w:keepLines/>
        <w:spacing w:line="360" w:lineRule="auto"/>
        <w:ind w:firstLine="1440"/>
        <w:rPr>
          <w:sz w:val="26"/>
        </w:rPr>
      </w:pPr>
      <w:r>
        <w:rPr>
          <w:sz w:val="26"/>
        </w:rPr>
        <w:tab/>
      </w:r>
    </w:p>
    <w:p w:rsidR="0097630D" w:rsidRPr="00482CB5" w:rsidRDefault="009D34D8" w:rsidP="00C21E7C">
      <w:pPr>
        <w:keepNext/>
        <w:keepLines/>
        <w:spacing w:line="360" w:lineRule="auto"/>
        <w:rPr>
          <w:b/>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72.25pt;margin-top:1.4pt;width:173.25pt;height:66pt;z-index:-1;visibility:visible">
            <v:imagedata r:id="rId8" o:title=""/>
          </v:shape>
        </w:pict>
      </w:r>
      <w:r w:rsidR="009F59C8">
        <w:rPr>
          <w:b/>
          <w:sz w:val="26"/>
        </w:rPr>
        <w:tab/>
      </w:r>
      <w:r w:rsidR="009F59C8">
        <w:rPr>
          <w:b/>
          <w:sz w:val="26"/>
        </w:rPr>
        <w:tab/>
      </w:r>
      <w:r w:rsidR="009F59C8">
        <w:rPr>
          <w:b/>
          <w:sz w:val="26"/>
        </w:rPr>
        <w:tab/>
      </w:r>
      <w:r w:rsidR="009F59C8">
        <w:rPr>
          <w:b/>
          <w:sz w:val="26"/>
        </w:rPr>
        <w:tab/>
      </w:r>
      <w:r w:rsidR="009F59C8">
        <w:rPr>
          <w:b/>
          <w:sz w:val="26"/>
        </w:rPr>
        <w:tab/>
      </w:r>
      <w:r w:rsidR="0097630D">
        <w:rPr>
          <w:b/>
          <w:sz w:val="26"/>
        </w:rPr>
        <w:tab/>
      </w:r>
      <w:r w:rsidR="0097630D">
        <w:rPr>
          <w:b/>
          <w:sz w:val="26"/>
        </w:rPr>
        <w:tab/>
      </w:r>
      <w:r w:rsidR="0097630D">
        <w:rPr>
          <w:b/>
          <w:sz w:val="26"/>
        </w:rPr>
        <w:tab/>
      </w:r>
      <w:r w:rsidR="0097630D" w:rsidRPr="00482CB5">
        <w:rPr>
          <w:b/>
          <w:sz w:val="26"/>
          <w:szCs w:val="26"/>
        </w:rPr>
        <w:t>BY THE COMMISSION,</w:t>
      </w:r>
    </w:p>
    <w:p w:rsidR="0097630D" w:rsidRDefault="0097630D" w:rsidP="00C21E7C">
      <w:pPr>
        <w:keepNext/>
        <w:keepLines/>
        <w:rPr>
          <w:sz w:val="26"/>
          <w:szCs w:val="26"/>
        </w:rPr>
      </w:pPr>
    </w:p>
    <w:p w:rsidR="0097630D" w:rsidRPr="00482CB5" w:rsidRDefault="0097630D" w:rsidP="00C21E7C">
      <w:pPr>
        <w:keepNext/>
        <w:keepLines/>
        <w:rPr>
          <w:sz w:val="26"/>
          <w:szCs w:val="26"/>
        </w:rPr>
      </w:pPr>
    </w:p>
    <w:p w:rsidR="0097630D" w:rsidRPr="00482CB5" w:rsidRDefault="0097630D" w:rsidP="00C21E7C">
      <w:pPr>
        <w:keepNext/>
        <w:keepLines/>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00E1098C">
        <w:rPr>
          <w:sz w:val="26"/>
          <w:szCs w:val="26"/>
        </w:rPr>
        <w:t>Rosemary Chiavetta</w:t>
      </w:r>
    </w:p>
    <w:p w:rsidR="0097630D" w:rsidRPr="00482CB5" w:rsidRDefault="0097630D" w:rsidP="00C21E7C">
      <w:pPr>
        <w:keepNext/>
        <w:keepLines/>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Pr="00482CB5">
        <w:rPr>
          <w:sz w:val="26"/>
          <w:szCs w:val="26"/>
        </w:rPr>
        <w:tab/>
        <w:t>Secretary</w:t>
      </w:r>
    </w:p>
    <w:p w:rsidR="0097630D" w:rsidRPr="00482CB5" w:rsidRDefault="0097630D" w:rsidP="00C21E7C">
      <w:pPr>
        <w:keepNext/>
        <w:keepLines/>
        <w:rPr>
          <w:sz w:val="26"/>
          <w:szCs w:val="26"/>
        </w:rPr>
      </w:pPr>
    </w:p>
    <w:p w:rsidR="0097630D" w:rsidRPr="00482CB5" w:rsidRDefault="0097630D" w:rsidP="00C21E7C">
      <w:pPr>
        <w:keepNext/>
        <w:keepLines/>
        <w:rPr>
          <w:sz w:val="26"/>
          <w:szCs w:val="26"/>
        </w:rPr>
      </w:pPr>
      <w:r w:rsidRPr="00482CB5">
        <w:rPr>
          <w:sz w:val="26"/>
          <w:szCs w:val="26"/>
        </w:rPr>
        <w:t>(SEAL)</w:t>
      </w:r>
    </w:p>
    <w:p w:rsidR="0097630D" w:rsidRPr="00482CB5" w:rsidRDefault="0097630D" w:rsidP="00C21E7C">
      <w:pPr>
        <w:keepNext/>
        <w:keepLines/>
        <w:rPr>
          <w:sz w:val="26"/>
          <w:szCs w:val="26"/>
        </w:rPr>
      </w:pPr>
    </w:p>
    <w:p w:rsidR="0097630D" w:rsidRDefault="0097630D" w:rsidP="00C21E7C">
      <w:pPr>
        <w:keepNext/>
        <w:keepLines/>
        <w:rPr>
          <w:sz w:val="26"/>
          <w:szCs w:val="26"/>
        </w:rPr>
      </w:pPr>
      <w:r w:rsidRPr="00482CB5">
        <w:rPr>
          <w:sz w:val="26"/>
          <w:szCs w:val="26"/>
        </w:rPr>
        <w:t xml:space="preserve">ORDER ADOPTED:  </w:t>
      </w:r>
      <w:r w:rsidR="00EC4667">
        <w:rPr>
          <w:sz w:val="26"/>
          <w:szCs w:val="26"/>
        </w:rPr>
        <w:t>October 14</w:t>
      </w:r>
      <w:r w:rsidR="00A601AF">
        <w:rPr>
          <w:sz w:val="26"/>
          <w:szCs w:val="26"/>
        </w:rPr>
        <w:t>, 2010</w:t>
      </w:r>
    </w:p>
    <w:p w:rsidR="0097630D" w:rsidRPr="00482CB5" w:rsidRDefault="0097630D" w:rsidP="00C21E7C">
      <w:pPr>
        <w:keepNext/>
        <w:keepLines/>
        <w:rPr>
          <w:sz w:val="26"/>
          <w:szCs w:val="26"/>
        </w:rPr>
      </w:pPr>
    </w:p>
    <w:p w:rsidR="00C2455C" w:rsidRPr="0079578F" w:rsidRDefault="0097630D" w:rsidP="00C21E7C">
      <w:pPr>
        <w:keepNext/>
        <w:keepLines/>
        <w:rPr>
          <w:sz w:val="26"/>
        </w:rPr>
      </w:pPr>
      <w:r w:rsidRPr="00482CB5">
        <w:rPr>
          <w:sz w:val="26"/>
          <w:szCs w:val="26"/>
        </w:rPr>
        <w:t xml:space="preserve">ORDER ENTERED:  </w:t>
      </w:r>
      <w:r w:rsidR="009D34D8">
        <w:rPr>
          <w:sz w:val="26"/>
          <w:szCs w:val="26"/>
        </w:rPr>
        <w:t>November 4, 2010</w:t>
      </w:r>
    </w:p>
    <w:sectPr w:rsidR="00C2455C" w:rsidRPr="0079578F" w:rsidSect="009F59C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165" w:rsidRDefault="006E6165">
      <w:r>
        <w:separator/>
      </w:r>
    </w:p>
  </w:endnote>
  <w:endnote w:type="continuationSeparator" w:id="0">
    <w:p w:rsidR="006E6165" w:rsidRDefault="006E61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2E416F" w:rsidP="00312156">
    <w:pPr>
      <w:pStyle w:val="Footer"/>
      <w:framePr w:wrap="around" w:vAnchor="text" w:hAnchor="margin" w:xAlign="center" w:y="1"/>
      <w:rPr>
        <w:rStyle w:val="PageNumber"/>
      </w:rPr>
    </w:pPr>
    <w:r>
      <w:rPr>
        <w:rStyle w:val="PageNumber"/>
      </w:rPr>
      <w:fldChar w:fldCharType="begin"/>
    </w:r>
    <w:r w:rsidR="00CA4B3F">
      <w:rPr>
        <w:rStyle w:val="PageNumber"/>
      </w:rPr>
      <w:instrText xml:space="preserve">PAGE  </w:instrText>
    </w:r>
    <w:r>
      <w:rPr>
        <w:rStyle w:val="PageNumber"/>
      </w:rPr>
      <w:fldChar w:fldCharType="end"/>
    </w:r>
  </w:p>
  <w:p w:rsidR="00CA4B3F" w:rsidRDefault="00CA4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2E416F">
    <w:pPr>
      <w:pStyle w:val="Footer"/>
      <w:jc w:val="center"/>
    </w:pPr>
    <w:fldSimple w:instr=" PAGE   \* MERGEFORMAT ">
      <w:r w:rsidR="009D34D8">
        <w:rPr>
          <w:noProof/>
        </w:rPr>
        <w:t>11</w:t>
      </w:r>
    </w:fldSimple>
  </w:p>
  <w:p w:rsidR="00CA4B3F" w:rsidRPr="006C38B6" w:rsidRDefault="00CA4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165" w:rsidRDefault="006E6165">
      <w:r>
        <w:separator/>
      </w:r>
    </w:p>
  </w:footnote>
  <w:footnote w:type="continuationSeparator" w:id="0">
    <w:p w:rsidR="006E6165" w:rsidRDefault="006E6165">
      <w:r>
        <w:continuationSeparator/>
      </w:r>
    </w:p>
  </w:footnote>
  <w:footnote w:id="1">
    <w:p w:rsidR="00663E0D" w:rsidRPr="00663E0D" w:rsidRDefault="00086CDD">
      <w:pPr>
        <w:pStyle w:val="FootnoteText"/>
        <w:rPr>
          <w:sz w:val="26"/>
          <w:szCs w:val="26"/>
        </w:rPr>
      </w:pPr>
      <w:r>
        <w:rPr>
          <w:sz w:val="26"/>
          <w:szCs w:val="26"/>
        </w:rPr>
        <w:tab/>
      </w:r>
      <w:r w:rsidR="00663E0D" w:rsidRPr="00663E0D">
        <w:rPr>
          <w:rStyle w:val="FootnoteReference"/>
          <w:sz w:val="26"/>
          <w:szCs w:val="26"/>
        </w:rPr>
        <w:footnoteRef/>
      </w:r>
      <w:r w:rsidR="009B2439">
        <w:rPr>
          <w:sz w:val="26"/>
          <w:szCs w:val="26"/>
        </w:rPr>
        <w:tab/>
      </w:r>
      <w:r w:rsidR="00663E0D">
        <w:rPr>
          <w:sz w:val="26"/>
          <w:szCs w:val="26"/>
        </w:rPr>
        <w:t>The History is taken largely from the ALJs</w:t>
      </w:r>
      <w:r w:rsidR="002F3D5E">
        <w:rPr>
          <w:sz w:val="26"/>
          <w:szCs w:val="26"/>
        </w:rPr>
        <w:t>’</w:t>
      </w:r>
      <w:r w:rsidR="00663E0D">
        <w:rPr>
          <w:sz w:val="26"/>
          <w:szCs w:val="26"/>
        </w:rPr>
        <w:t xml:space="preserve"> </w:t>
      </w:r>
      <w:r w:rsidR="006E0E61">
        <w:rPr>
          <w:sz w:val="26"/>
          <w:szCs w:val="26"/>
        </w:rPr>
        <w:t xml:space="preserve">Recommended </w:t>
      </w:r>
      <w:r w:rsidR="00663E0D">
        <w:rPr>
          <w:sz w:val="26"/>
          <w:szCs w:val="26"/>
        </w:rPr>
        <w:t>Decision</w:t>
      </w:r>
      <w:r w:rsidR="006E0E61">
        <w:rPr>
          <w:sz w:val="26"/>
          <w:szCs w:val="26"/>
        </w:rPr>
        <w:t xml:space="preserve"> on Remand</w:t>
      </w:r>
      <w:r>
        <w:rPr>
          <w:sz w:val="26"/>
          <w:szCs w:val="26"/>
        </w:rPr>
        <w:t xml:space="preserve"> at </w:t>
      </w:r>
      <w:r w:rsidR="009B2439">
        <w:rPr>
          <w:sz w:val="26"/>
          <w:szCs w:val="26"/>
        </w:rPr>
        <w:t>1-</w:t>
      </w:r>
      <w:r w:rsidR="002F3D5E">
        <w:rPr>
          <w:sz w:val="26"/>
          <w:szCs w:val="26"/>
        </w:rPr>
        <w:t>3</w:t>
      </w:r>
      <w:r w:rsidR="009B2439">
        <w:rPr>
          <w:sz w:val="26"/>
          <w:szCs w:val="26"/>
        </w:rPr>
        <w:t>.</w:t>
      </w:r>
      <w:r w:rsidR="00663E0D" w:rsidRPr="00663E0D">
        <w:rPr>
          <w:sz w:val="26"/>
          <w:szCs w:val="26"/>
        </w:rPr>
        <w:t xml:space="preserve"> </w:t>
      </w:r>
    </w:p>
  </w:footnote>
  <w:footnote w:id="2">
    <w:p w:rsidR="00105B7F" w:rsidRPr="00105B7F" w:rsidRDefault="00105B7F">
      <w:pPr>
        <w:pStyle w:val="FootnoteText"/>
        <w:rPr>
          <w:sz w:val="26"/>
        </w:rPr>
      </w:pPr>
      <w:r>
        <w:rPr>
          <w:sz w:val="26"/>
        </w:rPr>
        <w:tab/>
      </w:r>
      <w:r w:rsidRPr="00105B7F">
        <w:rPr>
          <w:rStyle w:val="FootnoteReference"/>
          <w:sz w:val="26"/>
        </w:rPr>
        <w:footnoteRef/>
      </w:r>
      <w:r w:rsidRPr="00105B7F">
        <w:rPr>
          <w:sz w:val="26"/>
        </w:rPr>
        <w:t xml:space="preserve"> </w:t>
      </w:r>
      <w:r>
        <w:rPr>
          <w:sz w:val="26"/>
        </w:rPr>
        <w:tab/>
        <w:t>“PBR” stan</w:t>
      </w:r>
      <w:r w:rsidR="003A2396">
        <w:rPr>
          <w:sz w:val="26"/>
        </w:rPr>
        <w:t xml:space="preserve">ds for performance based rate.  </w:t>
      </w:r>
      <w:r w:rsidR="00A72B8F">
        <w:rPr>
          <w:sz w:val="26"/>
        </w:rPr>
        <w:t>In this context, it refers to the sharing mechanism used by Equitable for capacity releases.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CA4B3F">
    <w:pPr>
      <w:pStyle w:val="Header"/>
      <w:jc w:val="right"/>
      <w:rPr>
        <w:rFonts w:ascii="Arial" w:hAnsi="Arial" w:cs="Arial"/>
      </w:rPr>
    </w:pPr>
    <w:r>
      <w:tab/>
    </w:r>
    <w:r>
      <w:tab/>
    </w:r>
  </w:p>
  <w:p w:rsidR="00CA4B3F" w:rsidRDefault="00CA4B3F">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1D876A52"/>
    <w:multiLevelType w:val="hybridMultilevel"/>
    <w:tmpl w:val="D7F43048"/>
    <w:lvl w:ilvl="0" w:tplc="906AB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16">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6D22354"/>
    <w:multiLevelType w:val="hybridMultilevel"/>
    <w:tmpl w:val="B4E8CF14"/>
    <w:lvl w:ilvl="0" w:tplc="674EB4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5"/>
  </w:num>
  <w:num w:numId="4">
    <w:abstractNumId w:val="20"/>
  </w:num>
  <w:num w:numId="5">
    <w:abstractNumId w:val="16"/>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 w:numId="19">
    <w:abstractNumId w:val="17"/>
  </w:num>
  <w:num w:numId="20">
    <w:abstractNumId w:val="1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3A6"/>
    <w:rsid w:val="0000005D"/>
    <w:rsid w:val="0000017F"/>
    <w:rsid w:val="00000502"/>
    <w:rsid w:val="0000087F"/>
    <w:rsid w:val="00000896"/>
    <w:rsid w:val="00000ABB"/>
    <w:rsid w:val="00000EED"/>
    <w:rsid w:val="000026BD"/>
    <w:rsid w:val="000027B4"/>
    <w:rsid w:val="00003933"/>
    <w:rsid w:val="00003F31"/>
    <w:rsid w:val="00004478"/>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848"/>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239"/>
    <w:rsid w:val="0002177B"/>
    <w:rsid w:val="000219EC"/>
    <w:rsid w:val="00021CBA"/>
    <w:rsid w:val="00021D94"/>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1E5"/>
    <w:rsid w:val="00033249"/>
    <w:rsid w:val="00033402"/>
    <w:rsid w:val="00033497"/>
    <w:rsid w:val="00033706"/>
    <w:rsid w:val="00033DC2"/>
    <w:rsid w:val="00033DE5"/>
    <w:rsid w:val="000345FE"/>
    <w:rsid w:val="00034CFD"/>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18A1"/>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106"/>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0F4"/>
    <w:rsid w:val="000818BB"/>
    <w:rsid w:val="00081F2D"/>
    <w:rsid w:val="000824B9"/>
    <w:rsid w:val="00082BCE"/>
    <w:rsid w:val="000830C3"/>
    <w:rsid w:val="00083464"/>
    <w:rsid w:val="000843BD"/>
    <w:rsid w:val="00084780"/>
    <w:rsid w:val="00084E89"/>
    <w:rsid w:val="00085C0C"/>
    <w:rsid w:val="000860B7"/>
    <w:rsid w:val="00086159"/>
    <w:rsid w:val="000861D3"/>
    <w:rsid w:val="00086CDD"/>
    <w:rsid w:val="000875D6"/>
    <w:rsid w:val="0008766F"/>
    <w:rsid w:val="00087C35"/>
    <w:rsid w:val="00087C92"/>
    <w:rsid w:val="000905E7"/>
    <w:rsid w:val="0009097F"/>
    <w:rsid w:val="00090C19"/>
    <w:rsid w:val="000910C6"/>
    <w:rsid w:val="00091175"/>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2DD2"/>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C1A"/>
    <w:rsid w:val="000B6C88"/>
    <w:rsid w:val="000B791E"/>
    <w:rsid w:val="000B7D7B"/>
    <w:rsid w:val="000B7EA9"/>
    <w:rsid w:val="000B7FED"/>
    <w:rsid w:val="000C0EB6"/>
    <w:rsid w:val="000C1343"/>
    <w:rsid w:val="000C169E"/>
    <w:rsid w:val="000C1B0D"/>
    <w:rsid w:val="000C1C6E"/>
    <w:rsid w:val="000C23ED"/>
    <w:rsid w:val="000C288C"/>
    <w:rsid w:val="000C2DE2"/>
    <w:rsid w:val="000C310B"/>
    <w:rsid w:val="000C3686"/>
    <w:rsid w:val="000C3987"/>
    <w:rsid w:val="000C3C4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548"/>
    <w:rsid w:val="000D3FA7"/>
    <w:rsid w:val="000D4B47"/>
    <w:rsid w:val="000D4B68"/>
    <w:rsid w:val="000D4F48"/>
    <w:rsid w:val="000D5776"/>
    <w:rsid w:val="000D646E"/>
    <w:rsid w:val="000D6D8F"/>
    <w:rsid w:val="000D6DC7"/>
    <w:rsid w:val="000D6EA4"/>
    <w:rsid w:val="000D73B6"/>
    <w:rsid w:val="000D7E11"/>
    <w:rsid w:val="000E06F1"/>
    <w:rsid w:val="000E118B"/>
    <w:rsid w:val="000E18FE"/>
    <w:rsid w:val="000E1A84"/>
    <w:rsid w:val="000E1DC0"/>
    <w:rsid w:val="000E1FE6"/>
    <w:rsid w:val="000E202B"/>
    <w:rsid w:val="000E207B"/>
    <w:rsid w:val="000E24B3"/>
    <w:rsid w:val="000E25A0"/>
    <w:rsid w:val="000E2A2F"/>
    <w:rsid w:val="000E390A"/>
    <w:rsid w:val="000E3AC4"/>
    <w:rsid w:val="000E3B3B"/>
    <w:rsid w:val="000E46D2"/>
    <w:rsid w:val="000E476E"/>
    <w:rsid w:val="000E55B5"/>
    <w:rsid w:val="000E55DF"/>
    <w:rsid w:val="000E5938"/>
    <w:rsid w:val="000E5A74"/>
    <w:rsid w:val="000E5F57"/>
    <w:rsid w:val="000E61A4"/>
    <w:rsid w:val="000E692F"/>
    <w:rsid w:val="000F053F"/>
    <w:rsid w:val="000F0C2A"/>
    <w:rsid w:val="000F170A"/>
    <w:rsid w:val="000F2322"/>
    <w:rsid w:val="000F3E6E"/>
    <w:rsid w:val="000F40F8"/>
    <w:rsid w:val="000F446B"/>
    <w:rsid w:val="000F453D"/>
    <w:rsid w:val="000F483B"/>
    <w:rsid w:val="000F4939"/>
    <w:rsid w:val="000F53D4"/>
    <w:rsid w:val="000F5727"/>
    <w:rsid w:val="000F6491"/>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584"/>
    <w:rsid w:val="001036C5"/>
    <w:rsid w:val="00103E17"/>
    <w:rsid w:val="00103E33"/>
    <w:rsid w:val="00103FC6"/>
    <w:rsid w:val="001040A4"/>
    <w:rsid w:val="0010427A"/>
    <w:rsid w:val="001043FA"/>
    <w:rsid w:val="001047A2"/>
    <w:rsid w:val="0010482D"/>
    <w:rsid w:val="00104A7A"/>
    <w:rsid w:val="00105134"/>
    <w:rsid w:val="00105B7F"/>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7D7"/>
    <w:rsid w:val="001207ED"/>
    <w:rsid w:val="001209FB"/>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08D"/>
    <w:rsid w:val="00125502"/>
    <w:rsid w:val="00125656"/>
    <w:rsid w:val="001257C7"/>
    <w:rsid w:val="001258B7"/>
    <w:rsid w:val="001261F0"/>
    <w:rsid w:val="00126212"/>
    <w:rsid w:val="001263E5"/>
    <w:rsid w:val="001265AB"/>
    <w:rsid w:val="0012678A"/>
    <w:rsid w:val="001268CC"/>
    <w:rsid w:val="00126F3D"/>
    <w:rsid w:val="00127A9C"/>
    <w:rsid w:val="00127E1E"/>
    <w:rsid w:val="001306EA"/>
    <w:rsid w:val="001307C7"/>
    <w:rsid w:val="00130A99"/>
    <w:rsid w:val="0013115F"/>
    <w:rsid w:val="001318A8"/>
    <w:rsid w:val="00131F87"/>
    <w:rsid w:val="0013225B"/>
    <w:rsid w:val="001323D5"/>
    <w:rsid w:val="001323D7"/>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0C17"/>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3A9"/>
    <w:rsid w:val="00157C15"/>
    <w:rsid w:val="00157E22"/>
    <w:rsid w:val="00157F09"/>
    <w:rsid w:val="00160168"/>
    <w:rsid w:val="001601D9"/>
    <w:rsid w:val="00160399"/>
    <w:rsid w:val="00160658"/>
    <w:rsid w:val="0016099F"/>
    <w:rsid w:val="001615BB"/>
    <w:rsid w:val="0016162C"/>
    <w:rsid w:val="00161B4B"/>
    <w:rsid w:val="00161EDC"/>
    <w:rsid w:val="0016329E"/>
    <w:rsid w:val="00163463"/>
    <w:rsid w:val="0016347B"/>
    <w:rsid w:val="00163B8C"/>
    <w:rsid w:val="00163BB7"/>
    <w:rsid w:val="00163D2E"/>
    <w:rsid w:val="00164F5C"/>
    <w:rsid w:val="001650AB"/>
    <w:rsid w:val="001652D5"/>
    <w:rsid w:val="0016545F"/>
    <w:rsid w:val="001655C6"/>
    <w:rsid w:val="00165684"/>
    <w:rsid w:val="001656FF"/>
    <w:rsid w:val="00165837"/>
    <w:rsid w:val="0016651B"/>
    <w:rsid w:val="00166AB0"/>
    <w:rsid w:val="00167232"/>
    <w:rsid w:val="0016734A"/>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653"/>
    <w:rsid w:val="00176C62"/>
    <w:rsid w:val="001775E1"/>
    <w:rsid w:val="001776BC"/>
    <w:rsid w:val="001779E1"/>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0626"/>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EE4"/>
    <w:rsid w:val="001B62FD"/>
    <w:rsid w:val="001B6719"/>
    <w:rsid w:val="001B6C99"/>
    <w:rsid w:val="001B713A"/>
    <w:rsid w:val="001B7191"/>
    <w:rsid w:val="001C076F"/>
    <w:rsid w:val="001C166D"/>
    <w:rsid w:val="001C1EF9"/>
    <w:rsid w:val="001C2194"/>
    <w:rsid w:val="001C2416"/>
    <w:rsid w:val="001C2721"/>
    <w:rsid w:val="001C2DDE"/>
    <w:rsid w:val="001C37DE"/>
    <w:rsid w:val="001C3A86"/>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12F"/>
    <w:rsid w:val="001E74A8"/>
    <w:rsid w:val="001F0C11"/>
    <w:rsid w:val="001F0EFF"/>
    <w:rsid w:val="001F0F85"/>
    <w:rsid w:val="001F0FF7"/>
    <w:rsid w:val="001F12B9"/>
    <w:rsid w:val="001F2030"/>
    <w:rsid w:val="001F3020"/>
    <w:rsid w:val="001F317D"/>
    <w:rsid w:val="001F31AD"/>
    <w:rsid w:val="001F3465"/>
    <w:rsid w:val="001F367F"/>
    <w:rsid w:val="001F38F7"/>
    <w:rsid w:val="001F46BD"/>
    <w:rsid w:val="001F48C1"/>
    <w:rsid w:val="001F5010"/>
    <w:rsid w:val="001F57FE"/>
    <w:rsid w:val="001F5AF6"/>
    <w:rsid w:val="001F600F"/>
    <w:rsid w:val="001F60A9"/>
    <w:rsid w:val="001F697E"/>
    <w:rsid w:val="001F6D8E"/>
    <w:rsid w:val="001F6DFF"/>
    <w:rsid w:val="001F7839"/>
    <w:rsid w:val="001F7C5F"/>
    <w:rsid w:val="001F7EDC"/>
    <w:rsid w:val="0020012B"/>
    <w:rsid w:val="002005E4"/>
    <w:rsid w:val="00200903"/>
    <w:rsid w:val="00200C70"/>
    <w:rsid w:val="00200F01"/>
    <w:rsid w:val="002016DC"/>
    <w:rsid w:val="00201B51"/>
    <w:rsid w:val="00201E6E"/>
    <w:rsid w:val="00202256"/>
    <w:rsid w:val="002027B8"/>
    <w:rsid w:val="002032E0"/>
    <w:rsid w:val="002036A4"/>
    <w:rsid w:val="00204099"/>
    <w:rsid w:val="0020453C"/>
    <w:rsid w:val="0020478B"/>
    <w:rsid w:val="00204A36"/>
    <w:rsid w:val="00204D33"/>
    <w:rsid w:val="00204EFF"/>
    <w:rsid w:val="002051B2"/>
    <w:rsid w:val="00205EE0"/>
    <w:rsid w:val="002063A2"/>
    <w:rsid w:val="00207027"/>
    <w:rsid w:val="00207090"/>
    <w:rsid w:val="002075F4"/>
    <w:rsid w:val="002075F8"/>
    <w:rsid w:val="002102FD"/>
    <w:rsid w:val="00210A1F"/>
    <w:rsid w:val="00210B41"/>
    <w:rsid w:val="00210FA6"/>
    <w:rsid w:val="00211231"/>
    <w:rsid w:val="0021159F"/>
    <w:rsid w:val="002118A8"/>
    <w:rsid w:val="00211B93"/>
    <w:rsid w:val="00211EEB"/>
    <w:rsid w:val="00211F52"/>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0EF2"/>
    <w:rsid w:val="002513C8"/>
    <w:rsid w:val="002514D7"/>
    <w:rsid w:val="0025156F"/>
    <w:rsid w:val="00252814"/>
    <w:rsid w:val="00252928"/>
    <w:rsid w:val="00252AFE"/>
    <w:rsid w:val="00252F34"/>
    <w:rsid w:val="002531B2"/>
    <w:rsid w:val="0025338F"/>
    <w:rsid w:val="002535EE"/>
    <w:rsid w:val="00253E8A"/>
    <w:rsid w:val="00253F1C"/>
    <w:rsid w:val="00253FC1"/>
    <w:rsid w:val="002541CB"/>
    <w:rsid w:val="002542DE"/>
    <w:rsid w:val="00254655"/>
    <w:rsid w:val="002549A4"/>
    <w:rsid w:val="002555A8"/>
    <w:rsid w:val="00255F88"/>
    <w:rsid w:val="00256064"/>
    <w:rsid w:val="0025609C"/>
    <w:rsid w:val="002564D4"/>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A87"/>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6D7"/>
    <w:rsid w:val="00290786"/>
    <w:rsid w:val="00290DB5"/>
    <w:rsid w:val="00291556"/>
    <w:rsid w:val="00291929"/>
    <w:rsid w:val="00291C05"/>
    <w:rsid w:val="00291FA6"/>
    <w:rsid w:val="00292912"/>
    <w:rsid w:val="00292950"/>
    <w:rsid w:val="002929A9"/>
    <w:rsid w:val="00292B33"/>
    <w:rsid w:val="00292C0B"/>
    <w:rsid w:val="00292EA4"/>
    <w:rsid w:val="00293D4C"/>
    <w:rsid w:val="00293DBB"/>
    <w:rsid w:val="00294AF9"/>
    <w:rsid w:val="00294B6D"/>
    <w:rsid w:val="0029580E"/>
    <w:rsid w:val="002958A4"/>
    <w:rsid w:val="002963C7"/>
    <w:rsid w:val="00296C8C"/>
    <w:rsid w:val="002970D3"/>
    <w:rsid w:val="002972B4"/>
    <w:rsid w:val="002977E2"/>
    <w:rsid w:val="0029794F"/>
    <w:rsid w:val="00297EA4"/>
    <w:rsid w:val="002A02DD"/>
    <w:rsid w:val="002A047C"/>
    <w:rsid w:val="002A0483"/>
    <w:rsid w:val="002A0C51"/>
    <w:rsid w:val="002A1B86"/>
    <w:rsid w:val="002A2FE6"/>
    <w:rsid w:val="002A3751"/>
    <w:rsid w:val="002A381B"/>
    <w:rsid w:val="002A3873"/>
    <w:rsid w:val="002A3FCC"/>
    <w:rsid w:val="002A445A"/>
    <w:rsid w:val="002A458E"/>
    <w:rsid w:val="002A4813"/>
    <w:rsid w:val="002A49CD"/>
    <w:rsid w:val="002A4C28"/>
    <w:rsid w:val="002A5EAB"/>
    <w:rsid w:val="002A6013"/>
    <w:rsid w:val="002A6777"/>
    <w:rsid w:val="002A733E"/>
    <w:rsid w:val="002A73F4"/>
    <w:rsid w:val="002A75C1"/>
    <w:rsid w:val="002A7C82"/>
    <w:rsid w:val="002A7EFE"/>
    <w:rsid w:val="002B0D91"/>
    <w:rsid w:val="002B0F46"/>
    <w:rsid w:val="002B200C"/>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8B"/>
    <w:rsid w:val="002E28AB"/>
    <w:rsid w:val="002E28CB"/>
    <w:rsid w:val="002E2DBA"/>
    <w:rsid w:val="002E3000"/>
    <w:rsid w:val="002E358C"/>
    <w:rsid w:val="002E3866"/>
    <w:rsid w:val="002E38C7"/>
    <w:rsid w:val="002E3A3F"/>
    <w:rsid w:val="002E3C31"/>
    <w:rsid w:val="002E3C83"/>
    <w:rsid w:val="002E416F"/>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3D5E"/>
    <w:rsid w:val="002F41EB"/>
    <w:rsid w:val="002F430A"/>
    <w:rsid w:val="002F46FB"/>
    <w:rsid w:val="002F4BD7"/>
    <w:rsid w:val="002F5292"/>
    <w:rsid w:val="002F692A"/>
    <w:rsid w:val="002F793F"/>
    <w:rsid w:val="002F7BA3"/>
    <w:rsid w:val="002F7C69"/>
    <w:rsid w:val="00300252"/>
    <w:rsid w:val="00300610"/>
    <w:rsid w:val="003009B0"/>
    <w:rsid w:val="00300AC6"/>
    <w:rsid w:val="00300FF1"/>
    <w:rsid w:val="00301076"/>
    <w:rsid w:val="0030110E"/>
    <w:rsid w:val="00301275"/>
    <w:rsid w:val="00301E76"/>
    <w:rsid w:val="00302BD6"/>
    <w:rsid w:val="00302CFE"/>
    <w:rsid w:val="003035E1"/>
    <w:rsid w:val="0030368B"/>
    <w:rsid w:val="003039B7"/>
    <w:rsid w:val="00303CC0"/>
    <w:rsid w:val="003040BB"/>
    <w:rsid w:val="0030465D"/>
    <w:rsid w:val="00304839"/>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2D52"/>
    <w:rsid w:val="00323129"/>
    <w:rsid w:val="0032341C"/>
    <w:rsid w:val="00323462"/>
    <w:rsid w:val="00323C65"/>
    <w:rsid w:val="00324334"/>
    <w:rsid w:val="003248F8"/>
    <w:rsid w:val="00324AD2"/>
    <w:rsid w:val="00325143"/>
    <w:rsid w:val="0032518F"/>
    <w:rsid w:val="0032519B"/>
    <w:rsid w:val="003258F5"/>
    <w:rsid w:val="00325CC0"/>
    <w:rsid w:val="00325CCC"/>
    <w:rsid w:val="0032606B"/>
    <w:rsid w:val="003262D1"/>
    <w:rsid w:val="0032671B"/>
    <w:rsid w:val="00326890"/>
    <w:rsid w:val="0032724D"/>
    <w:rsid w:val="00327307"/>
    <w:rsid w:val="00327587"/>
    <w:rsid w:val="0033053F"/>
    <w:rsid w:val="003305C4"/>
    <w:rsid w:val="003312A8"/>
    <w:rsid w:val="00332123"/>
    <w:rsid w:val="00332967"/>
    <w:rsid w:val="00332C21"/>
    <w:rsid w:val="00332F59"/>
    <w:rsid w:val="00333D05"/>
    <w:rsid w:val="00334495"/>
    <w:rsid w:val="00334BA4"/>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500"/>
    <w:rsid w:val="003506BD"/>
    <w:rsid w:val="00350D12"/>
    <w:rsid w:val="003510D8"/>
    <w:rsid w:val="00351210"/>
    <w:rsid w:val="0035191A"/>
    <w:rsid w:val="00351C79"/>
    <w:rsid w:val="003522A9"/>
    <w:rsid w:val="00352402"/>
    <w:rsid w:val="003525D4"/>
    <w:rsid w:val="00352BFC"/>
    <w:rsid w:val="00353309"/>
    <w:rsid w:val="003534E4"/>
    <w:rsid w:val="00353A44"/>
    <w:rsid w:val="00353A8D"/>
    <w:rsid w:val="003554CD"/>
    <w:rsid w:val="00355780"/>
    <w:rsid w:val="00355A60"/>
    <w:rsid w:val="00356114"/>
    <w:rsid w:val="0035661A"/>
    <w:rsid w:val="003569FA"/>
    <w:rsid w:val="003570BF"/>
    <w:rsid w:val="00357196"/>
    <w:rsid w:val="0035746A"/>
    <w:rsid w:val="00357577"/>
    <w:rsid w:val="00357CD2"/>
    <w:rsid w:val="00357E34"/>
    <w:rsid w:val="00357F8C"/>
    <w:rsid w:val="003605ED"/>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866"/>
    <w:rsid w:val="00375B9A"/>
    <w:rsid w:val="00375BFE"/>
    <w:rsid w:val="00375D74"/>
    <w:rsid w:val="00376BB0"/>
    <w:rsid w:val="003770DC"/>
    <w:rsid w:val="00377360"/>
    <w:rsid w:val="00377544"/>
    <w:rsid w:val="003779A4"/>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5D4"/>
    <w:rsid w:val="00390189"/>
    <w:rsid w:val="00390533"/>
    <w:rsid w:val="00390B22"/>
    <w:rsid w:val="00390C2B"/>
    <w:rsid w:val="003915C7"/>
    <w:rsid w:val="00391776"/>
    <w:rsid w:val="003918D8"/>
    <w:rsid w:val="00391EB0"/>
    <w:rsid w:val="00392769"/>
    <w:rsid w:val="003928C2"/>
    <w:rsid w:val="00393031"/>
    <w:rsid w:val="0039322F"/>
    <w:rsid w:val="003936D7"/>
    <w:rsid w:val="00393870"/>
    <w:rsid w:val="00394560"/>
    <w:rsid w:val="0039464B"/>
    <w:rsid w:val="00394FAB"/>
    <w:rsid w:val="0039564D"/>
    <w:rsid w:val="003957E0"/>
    <w:rsid w:val="00395B03"/>
    <w:rsid w:val="00395D8B"/>
    <w:rsid w:val="00396418"/>
    <w:rsid w:val="00396A48"/>
    <w:rsid w:val="00397BA9"/>
    <w:rsid w:val="00397E7A"/>
    <w:rsid w:val="003A05DE"/>
    <w:rsid w:val="003A15A9"/>
    <w:rsid w:val="003A165C"/>
    <w:rsid w:val="003A21F1"/>
    <w:rsid w:val="003A2396"/>
    <w:rsid w:val="003A41E7"/>
    <w:rsid w:val="003A42DD"/>
    <w:rsid w:val="003A4743"/>
    <w:rsid w:val="003A4893"/>
    <w:rsid w:val="003A48CF"/>
    <w:rsid w:val="003A4B57"/>
    <w:rsid w:val="003A523D"/>
    <w:rsid w:val="003A52EF"/>
    <w:rsid w:val="003A728E"/>
    <w:rsid w:val="003A736A"/>
    <w:rsid w:val="003A7A0C"/>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0772"/>
    <w:rsid w:val="003C0B37"/>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34"/>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320"/>
    <w:rsid w:val="00416516"/>
    <w:rsid w:val="00416946"/>
    <w:rsid w:val="004174DF"/>
    <w:rsid w:val="00417644"/>
    <w:rsid w:val="00417915"/>
    <w:rsid w:val="00420223"/>
    <w:rsid w:val="00420312"/>
    <w:rsid w:val="004207C1"/>
    <w:rsid w:val="004209B6"/>
    <w:rsid w:val="00420B97"/>
    <w:rsid w:val="00421C86"/>
    <w:rsid w:val="00421DCB"/>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4911"/>
    <w:rsid w:val="00434C9F"/>
    <w:rsid w:val="00434FBA"/>
    <w:rsid w:val="004354C4"/>
    <w:rsid w:val="004358DA"/>
    <w:rsid w:val="00435AB6"/>
    <w:rsid w:val="00435D25"/>
    <w:rsid w:val="00435DBE"/>
    <w:rsid w:val="00435F6B"/>
    <w:rsid w:val="004368CE"/>
    <w:rsid w:val="00436D83"/>
    <w:rsid w:val="00436E22"/>
    <w:rsid w:val="00436F56"/>
    <w:rsid w:val="00436FEF"/>
    <w:rsid w:val="0043719D"/>
    <w:rsid w:val="00440563"/>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6D"/>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8BE"/>
    <w:rsid w:val="00457ABE"/>
    <w:rsid w:val="004602BD"/>
    <w:rsid w:val="004606A8"/>
    <w:rsid w:val="00460E40"/>
    <w:rsid w:val="00461C4F"/>
    <w:rsid w:val="004625CD"/>
    <w:rsid w:val="004626B0"/>
    <w:rsid w:val="00462EEC"/>
    <w:rsid w:val="00463003"/>
    <w:rsid w:val="00463947"/>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5E87"/>
    <w:rsid w:val="00476680"/>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0B9"/>
    <w:rsid w:val="004842D8"/>
    <w:rsid w:val="004843A8"/>
    <w:rsid w:val="00484781"/>
    <w:rsid w:val="0048491D"/>
    <w:rsid w:val="0048511F"/>
    <w:rsid w:val="004853F1"/>
    <w:rsid w:val="0048547E"/>
    <w:rsid w:val="00485B9C"/>
    <w:rsid w:val="00485D97"/>
    <w:rsid w:val="00485F79"/>
    <w:rsid w:val="0048660C"/>
    <w:rsid w:val="00486A39"/>
    <w:rsid w:val="00486B60"/>
    <w:rsid w:val="004878D9"/>
    <w:rsid w:val="00487B3B"/>
    <w:rsid w:val="004911BC"/>
    <w:rsid w:val="00491598"/>
    <w:rsid w:val="004919C3"/>
    <w:rsid w:val="00491DF5"/>
    <w:rsid w:val="00492555"/>
    <w:rsid w:val="00492C1D"/>
    <w:rsid w:val="0049301D"/>
    <w:rsid w:val="0049368C"/>
    <w:rsid w:val="0049384E"/>
    <w:rsid w:val="00493B07"/>
    <w:rsid w:val="004948DE"/>
    <w:rsid w:val="00494B0C"/>
    <w:rsid w:val="004955F8"/>
    <w:rsid w:val="004959D9"/>
    <w:rsid w:val="0049699F"/>
    <w:rsid w:val="00496CFB"/>
    <w:rsid w:val="00496F5C"/>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A"/>
    <w:rsid w:val="004C797D"/>
    <w:rsid w:val="004D01F6"/>
    <w:rsid w:val="004D0770"/>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F04"/>
    <w:rsid w:val="004D739C"/>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11A"/>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68FC"/>
    <w:rsid w:val="00516AEC"/>
    <w:rsid w:val="0051710A"/>
    <w:rsid w:val="0051753B"/>
    <w:rsid w:val="00517956"/>
    <w:rsid w:val="00517FBD"/>
    <w:rsid w:val="0052026B"/>
    <w:rsid w:val="0052033E"/>
    <w:rsid w:val="0052040F"/>
    <w:rsid w:val="005207EB"/>
    <w:rsid w:val="00520EDE"/>
    <w:rsid w:val="00521368"/>
    <w:rsid w:val="0052157B"/>
    <w:rsid w:val="005219A4"/>
    <w:rsid w:val="00521B29"/>
    <w:rsid w:val="00522C3F"/>
    <w:rsid w:val="00523225"/>
    <w:rsid w:val="0052328E"/>
    <w:rsid w:val="005242D1"/>
    <w:rsid w:val="00524BD1"/>
    <w:rsid w:val="00524EC6"/>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B7"/>
    <w:rsid w:val="0053320F"/>
    <w:rsid w:val="0053323B"/>
    <w:rsid w:val="0053385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7B9"/>
    <w:rsid w:val="005469B2"/>
    <w:rsid w:val="00546BEB"/>
    <w:rsid w:val="00546C2C"/>
    <w:rsid w:val="00547137"/>
    <w:rsid w:val="00550097"/>
    <w:rsid w:val="00550309"/>
    <w:rsid w:val="005506D0"/>
    <w:rsid w:val="00550F7D"/>
    <w:rsid w:val="00551284"/>
    <w:rsid w:val="0055139D"/>
    <w:rsid w:val="00551616"/>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F94"/>
    <w:rsid w:val="0056205E"/>
    <w:rsid w:val="005629DA"/>
    <w:rsid w:val="00563296"/>
    <w:rsid w:val="005638F9"/>
    <w:rsid w:val="00563C4B"/>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20E6"/>
    <w:rsid w:val="0057215A"/>
    <w:rsid w:val="005726A5"/>
    <w:rsid w:val="005727D8"/>
    <w:rsid w:val="00572D18"/>
    <w:rsid w:val="00572F3C"/>
    <w:rsid w:val="00572F42"/>
    <w:rsid w:val="00572FD5"/>
    <w:rsid w:val="00573F68"/>
    <w:rsid w:val="00574238"/>
    <w:rsid w:val="005747D1"/>
    <w:rsid w:val="00575412"/>
    <w:rsid w:val="0057611E"/>
    <w:rsid w:val="0057627E"/>
    <w:rsid w:val="00576858"/>
    <w:rsid w:val="00577760"/>
    <w:rsid w:val="00577F2A"/>
    <w:rsid w:val="00577FAA"/>
    <w:rsid w:val="00580107"/>
    <w:rsid w:val="00580152"/>
    <w:rsid w:val="005812FA"/>
    <w:rsid w:val="0058173F"/>
    <w:rsid w:val="00581C3B"/>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71DC"/>
    <w:rsid w:val="005B7B47"/>
    <w:rsid w:val="005C00C1"/>
    <w:rsid w:val="005C09E9"/>
    <w:rsid w:val="005C0BB6"/>
    <w:rsid w:val="005C0BBF"/>
    <w:rsid w:val="005C0BD6"/>
    <w:rsid w:val="005C0CA6"/>
    <w:rsid w:val="005C0D3F"/>
    <w:rsid w:val="005C1A1C"/>
    <w:rsid w:val="005C1AE1"/>
    <w:rsid w:val="005C1AF8"/>
    <w:rsid w:val="005C1C7C"/>
    <w:rsid w:val="005C2373"/>
    <w:rsid w:val="005C23A5"/>
    <w:rsid w:val="005C394B"/>
    <w:rsid w:val="005C3A52"/>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23A0"/>
    <w:rsid w:val="005F241A"/>
    <w:rsid w:val="005F29C4"/>
    <w:rsid w:val="005F3056"/>
    <w:rsid w:val="005F30B7"/>
    <w:rsid w:val="005F37D1"/>
    <w:rsid w:val="005F3883"/>
    <w:rsid w:val="005F3B9B"/>
    <w:rsid w:val="005F3EA2"/>
    <w:rsid w:val="005F4496"/>
    <w:rsid w:val="005F4B15"/>
    <w:rsid w:val="005F4FBF"/>
    <w:rsid w:val="005F5728"/>
    <w:rsid w:val="005F6C31"/>
    <w:rsid w:val="005F6FAC"/>
    <w:rsid w:val="005F7261"/>
    <w:rsid w:val="005F7B65"/>
    <w:rsid w:val="005F7CE9"/>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DE"/>
    <w:rsid w:val="006140C3"/>
    <w:rsid w:val="00614263"/>
    <w:rsid w:val="00615020"/>
    <w:rsid w:val="00615182"/>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F0"/>
    <w:rsid w:val="00617C61"/>
    <w:rsid w:val="0062090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C70"/>
    <w:rsid w:val="006352F0"/>
    <w:rsid w:val="006353D1"/>
    <w:rsid w:val="00635CA6"/>
    <w:rsid w:val="00635CD7"/>
    <w:rsid w:val="00635EA9"/>
    <w:rsid w:val="00636345"/>
    <w:rsid w:val="00636564"/>
    <w:rsid w:val="006374A4"/>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755C"/>
    <w:rsid w:val="006605DD"/>
    <w:rsid w:val="00661154"/>
    <w:rsid w:val="006618FB"/>
    <w:rsid w:val="00661FBE"/>
    <w:rsid w:val="00662834"/>
    <w:rsid w:val="00662A04"/>
    <w:rsid w:val="00662FEA"/>
    <w:rsid w:val="00663069"/>
    <w:rsid w:val="00663292"/>
    <w:rsid w:val="00663B01"/>
    <w:rsid w:val="00663B99"/>
    <w:rsid w:val="00663E0D"/>
    <w:rsid w:val="00663FBA"/>
    <w:rsid w:val="006646AC"/>
    <w:rsid w:val="006646DF"/>
    <w:rsid w:val="00664808"/>
    <w:rsid w:val="006655F4"/>
    <w:rsid w:val="00665986"/>
    <w:rsid w:val="00665CBD"/>
    <w:rsid w:val="00665EE7"/>
    <w:rsid w:val="00665F8B"/>
    <w:rsid w:val="006669B1"/>
    <w:rsid w:val="00667125"/>
    <w:rsid w:val="00667519"/>
    <w:rsid w:val="00670D4F"/>
    <w:rsid w:val="00670E7F"/>
    <w:rsid w:val="0067121E"/>
    <w:rsid w:val="0067275B"/>
    <w:rsid w:val="00672D07"/>
    <w:rsid w:val="006732AF"/>
    <w:rsid w:val="006732DE"/>
    <w:rsid w:val="006739EB"/>
    <w:rsid w:val="00673D02"/>
    <w:rsid w:val="00673D2C"/>
    <w:rsid w:val="00674163"/>
    <w:rsid w:val="00674643"/>
    <w:rsid w:val="00674D5B"/>
    <w:rsid w:val="0067533C"/>
    <w:rsid w:val="00675544"/>
    <w:rsid w:val="006757F5"/>
    <w:rsid w:val="0067661C"/>
    <w:rsid w:val="00676E4E"/>
    <w:rsid w:val="00677104"/>
    <w:rsid w:val="00677131"/>
    <w:rsid w:val="00677197"/>
    <w:rsid w:val="0067729D"/>
    <w:rsid w:val="00677A3D"/>
    <w:rsid w:val="00677AC2"/>
    <w:rsid w:val="00677B70"/>
    <w:rsid w:val="00677B77"/>
    <w:rsid w:val="00677C5A"/>
    <w:rsid w:val="006804E5"/>
    <w:rsid w:val="00680660"/>
    <w:rsid w:val="00680DD9"/>
    <w:rsid w:val="006812AD"/>
    <w:rsid w:val="006817CB"/>
    <w:rsid w:val="00681943"/>
    <w:rsid w:val="00681E63"/>
    <w:rsid w:val="00681F70"/>
    <w:rsid w:val="00682B38"/>
    <w:rsid w:val="00682EEB"/>
    <w:rsid w:val="006831DA"/>
    <w:rsid w:val="00683648"/>
    <w:rsid w:val="00683869"/>
    <w:rsid w:val="006848E1"/>
    <w:rsid w:val="006848EC"/>
    <w:rsid w:val="00685063"/>
    <w:rsid w:val="006855AE"/>
    <w:rsid w:val="00685680"/>
    <w:rsid w:val="00685BB0"/>
    <w:rsid w:val="00685BFC"/>
    <w:rsid w:val="00686337"/>
    <w:rsid w:val="0068669B"/>
    <w:rsid w:val="00686A45"/>
    <w:rsid w:val="00686B19"/>
    <w:rsid w:val="006876DB"/>
    <w:rsid w:val="006879BA"/>
    <w:rsid w:val="00687CC4"/>
    <w:rsid w:val="00690593"/>
    <w:rsid w:val="00690670"/>
    <w:rsid w:val="00690735"/>
    <w:rsid w:val="006914CA"/>
    <w:rsid w:val="00691976"/>
    <w:rsid w:val="00691FCE"/>
    <w:rsid w:val="006923A3"/>
    <w:rsid w:val="006928C9"/>
    <w:rsid w:val="00692A54"/>
    <w:rsid w:val="006939C1"/>
    <w:rsid w:val="00693B3B"/>
    <w:rsid w:val="00694696"/>
    <w:rsid w:val="006947E1"/>
    <w:rsid w:val="00694C9B"/>
    <w:rsid w:val="006954B8"/>
    <w:rsid w:val="00695E75"/>
    <w:rsid w:val="00696A51"/>
    <w:rsid w:val="00697400"/>
    <w:rsid w:val="0069741D"/>
    <w:rsid w:val="00697B4F"/>
    <w:rsid w:val="006A0B80"/>
    <w:rsid w:val="006A10B9"/>
    <w:rsid w:val="006A128A"/>
    <w:rsid w:val="006A14B8"/>
    <w:rsid w:val="006A1ABA"/>
    <w:rsid w:val="006A1CAC"/>
    <w:rsid w:val="006A1F7C"/>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494"/>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2F5B"/>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917"/>
    <w:rsid w:val="006D5D76"/>
    <w:rsid w:val="006D60E4"/>
    <w:rsid w:val="006D67A6"/>
    <w:rsid w:val="006D6B35"/>
    <w:rsid w:val="006D7AA5"/>
    <w:rsid w:val="006D7E92"/>
    <w:rsid w:val="006E0E61"/>
    <w:rsid w:val="006E1778"/>
    <w:rsid w:val="006E1AA6"/>
    <w:rsid w:val="006E1F03"/>
    <w:rsid w:val="006E37C0"/>
    <w:rsid w:val="006E3A1E"/>
    <w:rsid w:val="006E3F1F"/>
    <w:rsid w:val="006E416F"/>
    <w:rsid w:val="006E41A0"/>
    <w:rsid w:val="006E4C12"/>
    <w:rsid w:val="006E56E0"/>
    <w:rsid w:val="006E608F"/>
    <w:rsid w:val="006E6165"/>
    <w:rsid w:val="006E6187"/>
    <w:rsid w:val="006E6264"/>
    <w:rsid w:val="006E666F"/>
    <w:rsid w:val="006E6697"/>
    <w:rsid w:val="006E68FA"/>
    <w:rsid w:val="006E7AC9"/>
    <w:rsid w:val="006E7D8E"/>
    <w:rsid w:val="006F07EC"/>
    <w:rsid w:val="006F07F0"/>
    <w:rsid w:val="006F0AAC"/>
    <w:rsid w:val="006F10DD"/>
    <w:rsid w:val="006F1129"/>
    <w:rsid w:val="006F1A79"/>
    <w:rsid w:val="006F201C"/>
    <w:rsid w:val="006F26FB"/>
    <w:rsid w:val="006F2D59"/>
    <w:rsid w:val="006F2E6C"/>
    <w:rsid w:val="006F2FFA"/>
    <w:rsid w:val="006F3691"/>
    <w:rsid w:val="006F3F07"/>
    <w:rsid w:val="006F4062"/>
    <w:rsid w:val="006F4282"/>
    <w:rsid w:val="006F4E87"/>
    <w:rsid w:val="006F509B"/>
    <w:rsid w:val="006F5349"/>
    <w:rsid w:val="006F56FB"/>
    <w:rsid w:val="006F5EFA"/>
    <w:rsid w:val="006F70AA"/>
    <w:rsid w:val="006F7C2F"/>
    <w:rsid w:val="00700387"/>
    <w:rsid w:val="0070067E"/>
    <w:rsid w:val="00700DAC"/>
    <w:rsid w:val="0070106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2131"/>
    <w:rsid w:val="007134F9"/>
    <w:rsid w:val="0071354A"/>
    <w:rsid w:val="00713922"/>
    <w:rsid w:val="00713967"/>
    <w:rsid w:val="0071423B"/>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34B2"/>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85E"/>
    <w:rsid w:val="00737B82"/>
    <w:rsid w:val="007400AD"/>
    <w:rsid w:val="007404DF"/>
    <w:rsid w:val="00740587"/>
    <w:rsid w:val="00740894"/>
    <w:rsid w:val="00740A84"/>
    <w:rsid w:val="00740B09"/>
    <w:rsid w:val="00741F04"/>
    <w:rsid w:val="00742195"/>
    <w:rsid w:val="0074233A"/>
    <w:rsid w:val="0074279E"/>
    <w:rsid w:val="00742C76"/>
    <w:rsid w:val="00742C78"/>
    <w:rsid w:val="00742FBA"/>
    <w:rsid w:val="00743857"/>
    <w:rsid w:val="00743F08"/>
    <w:rsid w:val="00744006"/>
    <w:rsid w:val="00744606"/>
    <w:rsid w:val="00744714"/>
    <w:rsid w:val="00744A3A"/>
    <w:rsid w:val="00745DD3"/>
    <w:rsid w:val="007460EB"/>
    <w:rsid w:val="007464E8"/>
    <w:rsid w:val="007470FA"/>
    <w:rsid w:val="00747544"/>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288"/>
    <w:rsid w:val="0076254F"/>
    <w:rsid w:val="00762BC1"/>
    <w:rsid w:val="00763054"/>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C47"/>
    <w:rsid w:val="00772E5C"/>
    <w:rsid w:val="007737BF"/>
    <w:rsid w:val="00773AE9"/>
    <w:rsid w:val="00773E73"/>
    <w:rsid w:val="00774437"/>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161"/>
    <w:rsid w:val="00791CDD"/>
    <w:rsid w:val="00793100"/>
    <w:rsid w:val="00793649"/>
    <w:rsid w:val="0079392D"/>
    <w:rsid w:val="00793A65"/>
    <w:rsid w:val="00794513"/>
    <w:rsid w:val="007946C0"/>
    <w:rsid w:val="00794882"/>
    <w:rsid w:val="00794901"/>
    <w:rsid w:val="007949E2"/>
    <w:rsid w:val="00794A3B"/>
    <w:rsid w:val="0079578F"/>
    <w:rsid w:val="00796231"/>
    <w:rsid w:val="00796857"/>
    <w:rsid w:val="00796E51"/>
    <w:rsid w:val="00796F90"/>
    <w:rsid w:val="00797098"/>
    <w:rsid w:val="007971EA"/>
    <w:rsid w:val="007973E8"/>
    <w:rsid w:val="00797746"/>
    <w:rsid w:val="00797DAE"/>
    <w:rsid w:val="00797ECC"/>
    <w:rsid w:val="007A0AC1"/>
    <w:rsid w:val="007A0C98"/>
    <w:rsid w:val="007A13FD"/>
    <w:rsid w:val="007A1409"/>
    <w:rsid w:val="007A2E4E"/>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68F"/>
    <w:rsid w:val="007C7718"/>
    <w:rsid w:val="007C7723"/>
    <w:rsid w:val="007C7E59"/>
    <w:rsid w:val="007C7F1A"/>
    <w:rsid w:val="007C7F35"/>
    <w:rsid w:val="007C7FFD"/>
    <w:rsid w:val="007D063F"/>
    <w:rsid w:val="007D0710"/>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E42"/>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4CB4"/>
    <w:rsid w:val="007E51CC"/>
    <w:rsid w:val="007E558C"/>
    <w:rsid w:val="007E5677"/>
    <w:rsid w:val="007E56A7"/>
    <w:rsid w:val="007E56C1"/>
    <w:rsid w:val="007E5B21"/>
    <w:rsid w:val="007E6650"/>
    <w:rsid w:val="007E6C79"/>
    <w:rsid w:val="007E6F24"/>
    <w:rsid w:val="007E793F"/>
    <w:rsid w:val="007E7CC1"/>
    <w:rsid w:val="007E7DCB"/>
    <w:rsid w:val="007F046E"/>
    <w:rsid w:val="007F04DF"/>
    <w:rsid w:val="007F0B30"/>
    <w:rsid w:val="007F0C29"/>
    <w:rsid w:val="007F0FD5"/>
    <w:rsid w:val="007F251B"/>
    <w:rsid w:val="007F28AE"/>
    <w:rsid w:val="007F29E6"/>
    <w:rsid w:val="007F2A92"/>
    <w:rsid w:val="007F358A"/>
    <w:rsid w:val="007F3905"/>
    <w:rsid w:val="007F3AC2"/>
    <w:rsid w:val="007F4167"/>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98"/>
    <w:rsid w:val="008031D3"/>
    <w:rsid w:val="00803A79"/>
    <w:rsid w:val="00803D8F"/>
    <w:rsid w:val="0080440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9C7"/>
    <w:rsid w:val="00813F75"/>
    <w:rsid w:val="008146FE"/>
    <w:rsid w:val="00814DFA"/>
    <w:rsid w:val="0081502A"/>
    <w:rsid w:val="00815240"/>
    <w:rsid w:val="00815D21"/>
    <w:rsid w:val="0081614E"/>
    <w:rsid w:val="0081625F"/>
    <w:rsid w:val="0081693D"/>
    <w:rsid w:val="00817467"/>
    <w:rsid w:val="008174A2"/>
    <w:rsid w:val="00817AC1"/>
    <w:rsid w:val="00817D67"/>
    <w:rsid w:val="00817ED2"/>
    <w:rsid w:val="00820139"/>
    <w:rsid w:val="008207DB"/>
    <w:rsid w:val="00820923"/>
    <w:rsid w:val="00820E4C"/>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574"/>
    <w:rsid w:val="00832784"/>
    <w:rsid w:val="008327B1"/>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877"/>
    <w:rsid w:val="008443B0"/>
    <w:rsid w:val="00844628"/>
    <w:rsid w:val="00846674"/>
    <w:rsid w:val="00846756"/>
    <w:rsid w:val="00846F20"/>
    <w:rsid w:val="00846F27"/>
    <w:rsid w:val="00847333"/>
    <w:rsid w:val="008474F7"/>
    <w:rsid w:val="008475F5"/>
    <w:rsid w:val="008476A1"/>
    <w:rsid w:val="00847709"/>
    <w:rsid w:val="00847CD0"/>
    <w:rsid w:val="00847D19"/>
    <w:rsid w:val="00847FB0"/>
    <w:rsid w:val="008505B8"/>
    <w:rsid w:val="00850636"/>
    <w:rsid w:val="00850B7A"/>
    <w:rsid w:val="008510E7"/>
    <w:rsid w:val="00852325"/>
    <w:rsid w:val="0085282E"/>
    <w:rsid w:val="0085314A"/>
    <w:rsid w:val="0085320D"/>
    <w:rsid w:val="00853686"/>
    <w:rsid w:val="00853E3C"/>
    <w:rsid w:val="008550B6"/>
    <w:rsid w:val="0085623B"/>
    <w:rsid w:val="00856930"/>
    <w:rsid w:val="00856DF5"/>
    <w:rsid w:val="008571B2"/>
    <w:rsid w:val="008576F6"/>
    <w:rsid w:val="008577EE"/>
    <w:rsid w:val="00860205"/>
    <w:rsid w:val="008609DC"/>
    <w:rsid w:val="00860D16"/>
    <w:rsid w:val="00860EFF"/>
    <w:rsid w:val="0086166F"/>
    <w:rsid w:val="00861A52"/>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12F"/>
    <w:rsid w:val="00877271"/>
    <w:rsid w:val="008772B5"/>
    <w:rsid w:val="008773E2"/>
    <w:rsid w:val="008778CD"/>
    <w:rsid w:val="00877B9A"/>
    <w:rsid w:val="0088073F"/>
    <w:rsid w:val="00881095"/>
    <w:rsid w:val="008813B6"/>
    <w:rsid w:val="00881AB6"/>
    <w:rsid w:val="008826C3"/>
    <w:rsid w:val="00882BD8"/>
    <w:rsid w:val="008832B0"/>
    <w:rsid w:val="00883693"/>
    <w:rsid w:val="00883912"/>
    <w:rsid w:val="00883971"/>
    <w:rsid w:val="00883AC4"/>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6C6"/>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C03"/>
    <w:rsid w:val="008B7D63"/>
    <w:rsid w:val="008B7E59"/>
    <w:rsid w:val="008C0090"/>
    <w:rsid w:val="008C025D"/>
    <w:rsid w:val="008C0FB7"/>
    <w:rsid w:val="008C110D"/>
    <w:rsid w:val="008C11A0"/>
    <w:rsid w:val="008C17F4"/>
    <w:rsid w:val="008C1D6B"/>
    <w:rsid w:val="008C1DE9"/>
    <w:rsid w:val="008C22AD"/>
    <w:rsid w:val="008C293E"/>
    <w:rsid w:val="008C2E31"/>
    <w:rsid w:val="008C2FFC"/>
    <w:rsid w:val="008C3166"/>
    <w:rsid w:val="008C36BC"/>
    <w:rsid w:val="008C3ACD"/>
    <w:rsid w:val="008C3AD1"/>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56A"/>
    <w:rsid w:val="008D56ED"/>
    <w:rsid w:val="008D596E"/>
    <w:rsid w:val="008D5D74"/>
    <w:rsid w:val="008D78C5"/>
    <w:rsid w:val="008E062E"/>
    <w:rsid w:val="008E0AF9"/>
    <w:rsid w:val="008E1AB0"/>
    <w:rsid w:val="008E1D18"/>
    <w:rsid w:val="008E21EF"/>
    <w:rsid w:val="008E2E41"/>
    <w:rsid w:val="008E3046"/>
    <w:rsid w:val="008E3354"/>
    <w:rsid w:val="008E34B8"/>
    <w:rsid w:val="008E37C2"/>
    <w:rsid w:val="008E3E80"/>
    <w:rsid w:val="008E3FF3"/>
    <w:rsid w:val="008E4C0B"/>
    <w:rsid w:val="008E4C3F"/>
    <w:rsid w:val="008E4C99"/>
    <w:rsid w:val="008E558D"/>
    <w:rsid w:val="008E56E2"/>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06B"/>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3E"/>
    <w:rsid w:val="00917372"/>
    <w:rsid w:val="00917876"/>
    <w:rsid w:val="0091789F"/>
    <w:rsid w:val="009178D0"/>
    <w:rsid w:val="00917B06"/>
    <w:rsid w:val="0092026E"/>
    <w:rsid w:val="00920F69"/>
    <w:rsid w:val="00921069"/>
    <w:rsid w:val="0092106B"/>
    <w:rsid w:val="00921373"/>
    <w:rsid w:val="0092158E"/>
    <w:rsid w:val="00921851"/>
    <w:rsid w:val="00921CFD"/>
    <w:rsid w:val="0092203B"/>
    <w:rsid w:val="00922941"/>
    <w:rsid w:val="00923201"/>
    <w:rsid w:val="00923552"/>
    <w:rsid w:val="00923B92"/>
    <w:rsid w:val="009241EF"/>
    <w:rsid w:val="0092440C"/>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D30"/>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B21"/>
    <w:rsid w:val="00942BCF"/>
    <w:rsid w:val="00942C25"/>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FAA"/>
    <w:rsid w:val="009473AD"/>
    <w:rsid w:val="00947638"/>
    <w:rsid w:val="00947C4B"/>
    <w:rsid w:val="009500A1"/>
    <w:rsid w:val="00950D71"/>
    <w:rsid w:val="00950F03"/>
    <w:rsid w:val="009515CA"/>
    <w:rsid w:val="00951764"/>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0EC1"/>
    <w:rsid w:val="0096138C"/>
    <w:rsid w:val="009613FA"/>
    <w:rsid w:val="009618B4"/>
    <w:rsid w:val="00961B7A"/>
    <w:rsid w:val="00961B91"/>
    <w:rsid w:val="00961BB2"/>
    <w:rsid w:val="009622A2"/>
    <w:rsid w:val="00962A17"/>
    <w:rsid w:val="00963533"/>
    <w:rsid w:val="00963796"/>
    <w:rsid w:val="00963934"/>
    <w:rsid w:val="0096425A"/>
    <w:rsid w:val="0096462F"/>
    <w:rsid w:val="00964BD6"/>
    <w:rsid w:val="0096518D"/>
    <w:rsid w:val="00965ACB"/>
    <w:rsid w:val="00966085"/>
    <w:rsid w:val="00966281"/>
    <w:rsid w:val="00966826"/>
    <w:rsid w:val="00966C72"/>
    <w:rsid w:val="00967C6C"/>
    <w:rsid w:val="00970A20"/>
    <w:rsid w:val="009711DC"/>
    <w:rsid w:val="009718F1"/>
    <w:rsid w:val="0097196F"/>
    <w:rsid w:val="00971977"/>
    <w:rsid w:val="00971BED"/>
    <w:rsid w:val="00971ED8"/>
    <w:rsid w:val="00972074"/>
    <w:rsid w:val="009733BF"/>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622"/>
    <w:rsid w:val="009A6C13"/>
    <w:rsid w:val="009A6C2E"/>
    <w:rsid w:val="009A6CA6"/>
    <w:rsid w:val="009A7581"/>
    <w:rsid w:val="009A7620"/>
    <w:rsid w:val="009A767D"/>
    <w:rsid w:val="009A7ED0"/>
    <w:rsid w:val="009B02E3"/>
    <w:rsid w:val="009B08AE"/>
    <w:rsid w:val="009B10EE"/>
    <w:rsid w:val="009B1542"/>
    <w:rsid w:val="009B176B"/>
    <w:rsid w:val="009B1E9C"/>
    <w:rsid w:val="009B2439"/>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245"/>
    <w:rsid w:val="009C042C"/>
    <w:rsid w:val="009C0493"/>
    <w:rsid w:val="009C1051"/>
    <w:rsid w:val="009C1271"/>
    <w:rsid w:val="009C1D82"/>
    <w:rsid w:val="009C2136"/>
    <w:rsid w:val="009C29AD"/>
    <w:rsid w:val="009C2CAA"/>
    <w:rsid w:val="009C2E84"/>
    <w:rsid w:val="009C332A"/>
    <w:rsid w:val="009C345B"/>
    <w:rsid w:val="009C3594"/>
    <w:rsid w:val="009C3A43"/>
    <w:rsid w:val="009C3E8E"/>
    <w:rsid w:val="009C42FA"/>
    <w:rsid w:val="009C48B9"/>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4D8"/>
    <w:rsid w:val="009D3AEB"/>
    <w:rsid w:val="009D3EBD"/>
    <w:rsid w:val="009D3F68"/>
    <w:rsid w:val="009D437B"/>
    <w:rsid w:val="009D4C14"/>
    <w:rsid w:val="009D4D69"/>
    <w:rsid w:val="009D5053"/>
    <w:rsid w:val="009D508E"/>
    <w:rsid w:val="009D526E"/>
    <w:rsid w:val="009D5757"/>
    <w:rsid w:val="009D6224"/>
    <w:rsid w:val="009D68EF"/>
    <w:rsid w:val="009D70BF"/>
    <w:rsid w:val="009D7281"/>
    <w:rsid w:val="009D7CAC"/>
    <w:rsid w:val="009E0340"/>
    <w:rsid w:val="009E0563"/>
    <w:rsid w:val="009E09DE"/>
    <w:rsid w:val="009E0BBA"/>
    <w:rsid w:val="009E0DC6"/>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A5"/>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5C8"/>
    <w:rsid w:val="00A51601"/>
    <w:rsid w:val="00A51750"/>
    <w:rsid w:val="00A517C0"/>
    <w:rsid w:val="00A5202F"/>
    <w:rsid w:val="00A521D3"/>
    <w:rsid w:val="00A52DEA"/>
    <w:rsid w:val="00A52F39"/>
    <w:rsid w:val="00A531F0"/>
    <w:rsid w:val="00A53808"/>
    <w:rsid w:val="00A53B0F"/>
    <w:rsid w:val="00A53B21"/>
    <w:rsid w:val="00A53DCC"/>
    <w:rsid w:val="00A54212"/>
    <w:rsid w:val="00A55076"/>
    <w:rsid w:val="00A551FA"/>
    <w:rsid w:val="00A556DB"/>
    <w:rsid w:val="00A55900"/>
    <w:rsid w:val="00A55A06"/>
    <w:rsid w:val="00A560A4"/>
    <w:rsid w:val="00A576FF"/>
    <w:rsid w:val="00A601AF"/>
    <w:rsid w:val="00A6148F"/>
    <w:rsid w:val="00A61648"/>
    <w:rsid w:val="00A617DD"/>
    <w:rsid w:val="00A61E62"/>
    <w:rsid w:val="00A6251A"/>
    <w:rsid w:val="00A62DBD"/>
    <w:rsid w:val="00A62FA7"/>
    <w:rsid w:val="00A63649"/>
    <w:rsid w:val="00A642DF"/>
    <w:rsid w:val="00A64FFF"/>
    <w:rsid w:val="00A652EE"/>
    <w:rsid w:val="00A65487"/>
    <w:rsid w:val="00A656CC"/>
    <w:rsid w:val="00A6585C"/>
    <w:rsid w:val="00A659D7"/>
    <w:rsid w:val="00A6619F"/>
    <w:rsid w:val="00A66752"/>
    <w:rsid w:val="00A66832"/>
    <w:rsid w:val="00A66BEE"/>
    <w:rsid w:val="00A6787F"/>
    <w:rsid w:val="00A67DDF"/>
    <w:rsid w:val="00A70616"/>
    <w:rsid w:val="00A70B0D"/>
    <w:rsid w:val="00A711E0"/>
    <w:rsid w:val="00A712A7"/>
    <w:rsid w:val="00A71889"/>
    <w:rsid w:val="00A718F3"/>
    <w:rsid w:val="00A721E8"/>
    <w:rsid w:val="00A727AC"/>
    <w:rsid w:val="00A7289F"/>
    <w:rsid w:val="00A72B7C"/>
    <w:rsid w:val="00A72B8F"/>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245"/>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418A"/>
    <w:rsid w:val="00A944AA"/>
    <w:rsid w:val="00A94C1C"/>
    <w:rsid w:val="00A94C9E"/>
    <w:rsid w:val="00A95159"/>
    <w:rsid w:val="00A95267"/>
    <w:rsid w:val="00A957E0"/>
    <w:rsid w:val="00A95BDB"/>
    <w:rsid w:val="00A96065"/>
    <w:rsid w:val="00A964BE"/>
    <w:rsid w:val="00A96681"/>
    <w:rsid w:val="00A96A89"/>
    <w:rsid w:val="00A97235"/>
    <w:rsid w:val="00A976DD"/>
    <w:rsid w:val="00A977D7"/>
    <w:rsid w:val="00AA035C"/>
    <w:rsid w:val="00AA0635"/>
    <w:rsid w:val="00AA0731"/>
    <w:rsid w:val="00AA0BA3"/>
    <w:rsid w:val="00AA139E"/>
    <w:rsid w:val="00AA20EC"/>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8A"/>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C39"/>
    <w:rsid w:val="00AD1EAF"/>
    <w:rsid w:val="00AD2689"/>
    <w:rsid w:val="00AD280E"/>
    <w:rsid w:val="00AD2925"/>
    <w:rsid w:val="00AD3300"/>
    <w:rsid w:val="00AD333D"/>
    <w:rsid w:val="00AD364F"/>
    <w:rsid w:val="00AD3CD8"/>
    <w:rsid w:val="00AD4531"/>
    <w:rsid w:val="00AD482D"/>
    <w:rsid w:val="00AD4A41"/>
    <w:rsid w:val="00AD4B12"/>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46F"/>
    <w:rsid w:val="00AE6C51"/>
    <w:rsid w:val="00AE6FE3"/>
    <w:rsid w:val="00AE7383"/>
    <w:rsid w:val="00AE760F"/>
    <w:rsid w:val="00AE7BD7"/>
    <w:rsid w:val="00AE7C56"/>
    <w:rsid w:val="00AE7CC9"/>
    <w:rsid w:val="00AF0E8B"/>
    <w:rsid w:val="00AF1151"/>
    <w:rsid w:val="00AF1287"/>
    <w:rsid w:val="00AF2635"/>
    <w:rsid w:val="00AF2B29"/>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0ECA"/>
    <w:rsid w:val="00B0162D"/>
    <w:rsid w:val="00B02653"/>
    <w:rsid w:val="00B026AA"/>
    <w:rsid w:val="00B03014"/>
    <w:rsid w:val="00B031C8"/>
    <w:rsid w:val="00B0363A"/>
    <w:rsid w:val="00B03976"/>
    <w:rsid w:val="00B03B7F"/>
    <w:rsid w:val="00B03BF4"/>
    <w:rsid w:val="00B04454"/>
    <w:rsid w:val="00B04B3A"/>
    <w:rsid w:val="00B04C1B"/>
    <w:rsid w:val="00B052DE"/>
    <w:rsid w:val="00B0544A"/>
    <w:rsid w:val="00B0574F"/>
    <w:rsid w:val="00B05C10"/>
    <w:rsid w:val="00B06235"/>
    <w:rsid w:val="00B07033"/>
    <w:rsid w:val="00B071C5"/>
    <w:rsid w:val="00B07639"/>
    <w:rsid w:val="00B102EA"/>
    <w:rsid w:val="00B10D66"/>
    <w:rsid w:val="00B11058"/>
    <w:rsid w:val="00B117E2"/>
    <w:rsid w:val="00B1211A"/>
    <w:rsid w:val="00B1237C"/>
    <w:rsid w:val="00B12995"/>
    <w:rsid w:val="00B12ADE"/>
    <w:rsid w:val="00B12E66"/>
    <w:rsid w:val="00B13087"/>
    <w:rsid w:val="00B1348B"/>
    <w:rsid w:val="00B13CB5"/>
    <w:rsid w:val="00B13E6E"/>
    <w:rsid w:val="00B14A72"/>
    <w:rsid w:val="00B15392"/>
    <w:rsid w:val="00B15BD5"/>
    <w:rsid w:val="00B16B12"/>
    <w:rsid w:val="00B17007"/>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97C"/>
    <w:rsid w:val="00B25A44"/>
    <w:rsid w:val="00B263CB"/>
    <w:rsid w:val="00B26641"/>
    <w:rsid w:val="00B266C6"/>
    <w:rsid w:val="00B269C9"/>
    <w:rsid w:val="00B26CDB"/>
    <w:rsid w:val="00B27066"/>
    <w:rsid w:val="00B27536"/>
    <w:rsid w:val="00B27A19"/>
    <w:rsid w:val="00B27B8C"/>
    <w:rsid w:val="00B309CD"/>
    <w:rsid w:val="00B30B76"/>
    <w:rsid w:val="00B3110A"/>
    <w:rsid w:val="00B31844"/>
    <w:rsid w:val="00B327BE"/>
    <w:rsid w:val="00B32D5A"/>
    <w:rsid w:val="00B339E0"/>
    <w:rsid w:val="00B33D2E"/>
    <w:rsid w:val="00B34472"/>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0BB8"/>
    <w:rsid w:val="00B5133F"/>
    <w:rsid w:val="00B51903"/>
    <w:rsid w:val="00B51A43"/>
    <w:rsid w:val="00B51AC4"/>
    <w:rsid w:val="00B52016"/>
    <w:rsid w:val="00B521A7"/>
    <w:rsid w:val="00B5273A"/>
    <w:rsid w:val="00B52D46"/>
    <w:rsid w:val="00B5395F"/>
    <w:rsid w:val="00B53D3D"/>
    <w:rsid w:val="00B54DF7"/>
    <w:rsid w:val="00B55807"/>
    <w:rsid w:val="00B55B6A"/>
    <w:rsid w:val="00B55E95"/>
    <w:rsid w:val="00B55EBD"/>
    <w:rsid w:val="00B55EDB"/>
    <w:rsid w:val="00B55F0D"/>
    <w:rsid w:val="00B55F1E"/>
    <w:rsid w:val="00B563E9"/>
    <w:rsid w:val="00B564C8"/>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7CE"/>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C6D"/>
    <w:rsid w:val="00B80E71"/>
    <w:rsid w:val="00B8122C"/>
    <w:rsid w:val="00B8170D"/>
    <w:rsid w:val="00B81750"/>
    <w:rsid w:val="00B82943"/>
    <w:rsid w:val="00B82F58"/>
    <w:rsid w:val="00B8313A"/>
    <w:rsid w:val="00B839C5"/>
    <w:rsid w:val="00B839D8"/>
    <w:rsid w:val="00B83B41"/>
    <w:rsid w:val="00B83B92"/>
    <w:rsid w:val="00B83BA4"/>
    <w:rsid w:val="00B83E52"/>
    <w:rsid w:val="00B849DC"/>
    <w:rsid w:val="00B84E93"/>
    <w:rsid w:val="00B85D9E"/>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603B"/>
    <w:rsid w:val="00B961D0"/>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7DD"/>
    <w:rsid w:val="00BA3BF9"/>
    <w:rsid w:val="00BA3C3A"/>
    <w:rsid w:val="00BA3C64"/>
    <w:rsid w:val="00BA419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075"/>
    <w:rsid w:val="00BC025A"/>
    <w:rsid w:val="00BC072D"/>
    <w:rsid w:val="00BC0DC9"/>
    <w:rsid w:val="00BC11F9"/>
    <w:rsid w:val="00BC12B7"/>
    <w:rsid w:val="00BC12F2"/>
    <w:rsid w:val="00BC195E"/>
    <w:rsid w:val="00BC1DA8"/>
    <w:rsid w:val="00BC23A5"/>
    <w:rsid w:val="00BC24B7"/>
    <w:rsid w:val="00BC25A0"/>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1E1E"/>
    <w:rsid w:val="00BD262F"/>
    <w:rsid w:val="00BD28DB"/>
    <w:rsid w:val="00BD3A25"/>
    <w:rsid w:val="00BD4063"/>
    <w:rsid w:val="00BD4972"/>
    <w:rsid w:val="00BD4E29"/>
    <w:rsid w:val="00BD4E40"/>
    <w:rsid w:val="00BD6048"/>
    <w:rsid w:val="00BD60E5"/>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E7CF0"/>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5175"/>
    <w:rsid w:val="00BF6C32"/>
    <w:rsid w:val="00BF6F86"/>
    <w:rsid w:val="00BF6F93"/>
    <w:rsid w:val="00BF7814"/>
    <w:rsid w:val="00BF798E"/>
    <w:rsid w:val="00C0048A"/>
    <w:rsid w:val="00C007BE"/>
    <w:rsid w:val="00C00F15"/>
    <w:rsid w:val="00C012D2"/>
    <w:rsid w:val="00C013A4"/>
    <w:rsid w:val="00C0191F"/>
    <w:rsid w:val="00C01AC6"/>
    <w:rsid w:val="00C02327"/>
    <w:rsid w:val="00C02DC4"/>
    <w:rsid w:val="00C02F16"/>
    <w:rsid w:val="00C02FD0"/>
    <w:rsid w:val="00C03120"/>
    <w:rsid w:val="00C046DF"/>
    <w:rsid w:val="00C04AE8"/>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7F"/>
    <w:rsid w:val="00C20D14"/>
    <w:rsid w:val="00C21119"/>
    <w:rsid w:val="00C2162E"/>
    <w:rsid w:val="00C21748"/>
    <w:rsid w:val="00C21E1B"/>
    <w:rsid w:val="00C21E7C"/>
    <w:rsid w:val="00C21FFF"/>
    <w:rsid w:val="00C2229D"/>
    <w:rsid w:val="00C2229F"/>
    <w:rsid w:val="00C22B65"/>
    <w:rsid w:val="00C22D5D"/>
    <w:rsid w:val="00C239AA"/>
    <w:rsid w:val="00C23D44"/>
    <w:rsid w:val="00C2455C"/>
    <w:rsid w:val="00C24622"/>
    <w:rsid w:val="00C24E81"/>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40C5E"/>
    <w:rsid w:val="00C40EE9"/>
    <w:rsid w:val="00C40F7D"/>
    <w:rsid w:val="00C41158"/>
    <w:rsid w:val="00C4148D"/>
    <w:rsid w:val="00C416D4"/>
    <w:rsid w:val="00C41C6F"/>
    <w:rsid w:val="00C41D17"/>
    <w:rsid w:val="00C42081"/>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37"/>
    <w:rsid w:val="00C70775"/>
    <w:rsid w:val="00C711FB"/>
    <w:rsid w:val="00C720E0"/>
    <w:rsid w:val="00C721DE"/>
    <w:rsid w:val="00C72498"/>
    <w:rsid w:val="00C72682"/>
    <w:rsid w:val="00C72712"/>
    <w:rsid w:val="00C727D8"/>
    <w:rsid w:val="00C72A4B"/>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93"/>
    <w:rsid w:val="00C80BE2"/>
    <w:rsid w:val="00C80BED"/>
    <w:rsid w:val="00C80EA4"/>
    <w:rsid w:val="00C80F5D"/>
    <w:rsid w:val="00C80F8A"/>
    <w:rsid w:val="00C812A4"/>
    <w:rsid w:val="00C81837"/>
    <w:rsid w:val="00C8192D"/>
    <w:rsid w:val="00C821B6"/>
    <w:rsid w:val="00C821FC"/>
    <w:rsid w:val="00C830A2"/>
    <w:rsid w:val="00C83715"/>
    <w:rsid w:val="00C838ED"/>
    <w:rsid w:val="00C841D3"/>
    <w:rsid w:val="00C84866"/>
    <w:rsid w:val="00C852DE"/>
    <w:rsid w:val="00C85D3D"/>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5B9"/>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880"/>
    <w:rsid w:val="00CC0D73"/>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308"/>
    <w:rsid w:val="00CE06BC"/>
    <w:rsid w:val="00CE1FA0"/>
    <w:rsid w:val="00CE201F"/>
    <w:rsid w:val="00CE23E8"/>
    <w:rsid w:val="00CE2B8C"/>
    <w:rsid w:val="00CE2E5F"/>
    <w:rsid w:val="00CE36A8"/>
    <w:rsid w:val="00CE38EF"/>
    <w:rsid w:val="00CE48B6"/>
    <w:rsid w:val="00CE4BB4"/>
    <w:rsid w:val="00CE5E5D"/>
    <w:rsid w:val="00CE6CCE"/>
    <w:rsid w:val="00CE6D69"/>
    <w:rsid w:val="00CE6FBB"/>
    <w:rsid w:val="00CE75BD"/>
    <w:rsid w:val="00CF09C2"/>
    <w:rsid w:val="00CF0AC5"/>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284"/>
    <w:rsid w:val="00D21457"/>
    <w:rsid w:val="00D216B9"/>
    <w:rsid w:val="00D21A3E"/>
    <w:rsid w:val="00D21E49"/>
    <w:rsid w:val="00D21FA9"/>
    <w:rsid w:val="00D22111"/>
    <w:rsid w:val="00D22167"/>
    <w:rsid w:val="00D22196"/>
    <w:rsid w:val="00D22426"/>
    <w:rsid w:val="00D2257D"/>
    <w:rsid w:val="00D22867"/>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7"/>
    <w:rsid w:val="00D3589A"/>
    <w:rsid w:val="00D35D33"/>
    <w:rsid w:val="00D35ED8"/>
    <w:rsid w:val="00D36C62"/>
    <w:rsid w:val="00D36E8E"/>
    <w:rsid w:val="00D36F1B"/>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8CE"/>
    <w:rsid w:val="00D439A3"/>
    <w:rsid w:val="00D43CCB"/>
    <w:rsid w:val="00D4428C"/>
    <w:rsid w:val="00D444A8"/>
    <w:rsid w:val="00D44A2A"/>
    <w:rsid w:val="00D45706"/>
    <w:rsid w:val="00D45A0B"/>
    <w:rsid w:val="00D45AD0"/>
    <w:rsid w:val="00D45F0A"/>
    <w:rsid w:val="00D45F62"/>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D37"/>
    <w:rsid w:val="00D54D1E"/>
    <w:rsid w:val="00D54FFE"/>
    <w:rsid w:val="00D55131"/>
    <w:rsid w:val="00D553F6"/>
    <w:rsid w:val="00D55B6A"/>
    <w:rsid w:val="00D55DE2"/>
    <w:rsid w:val="00D55EB1"/>
    <w:rsid w:val="00D55EC0"/>
    <w:rsid w:val="00D56548"/>
    <w:rsid w:val="00D56A0D"/>
    <w:rsid w:val="00D56A18"/>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EA8"/>
    <w:rsid w:val="00D77AD3"/>
    <w:rsid w:val="00D77B8B"/>
    <w:rsid w:val="00D77F8F"/>
    <w:rsid w:val="00D80814"/>
    <w:rsid w:val="00D80BDC"/>
    <w:rsid w:val="00D8101C"/>
    <w:rsid w:val="00D816BA"/>
    <w:rsid w:val="00D81A34"/>
    <w:rsid w:val="00D81D7D"/>
    <w:rsid w:val="00D82B03"/>
    <w:rsid w:val="00D82CC9"/>
    <w:rsid w:val="00D83439"/>
    <w:rsid w:val="00D83627"/>
    <w:rsid w:val="00D84C3A"/>
    <w:rsid w:val="00D84CDC"/>
    <w:rsid w:val="00D8558B"/>
    <w:rsid w:val="00D85722"/>
    <w:rsid w:val="00D85E9C"/>
    <w:rsid w:val="00D8602E"/>
    <w:rsid w:val="00D86F41"/>
    <w:rsid w:val="00D86F7E"/>
    <w:rsid w:val="00D87673"/>
    <w:rsid w:val="00D90833"/>
    <w:rsid w:val="00D90924"/>
    <w:rsid w:val="00D90970"/>
    <w:rsid w:val="00D910B6"/>
    <w:rsid w:val="00D91288"/>
    <w:rsid w:val="00D917B5"/>
    <w:rsid w:val="00D91E82"/>
    <w:rsid w:val="00D92956"/>
    <w:rsid w:val="00D92B65"/>
    <w:rsid w:val="00D93A0C"/>
    <w:rsid w:val="00D94890"/>
    <w:rsid w:val="00D94E3E"/>
    <w:rsid w:val="00D95193"/>
    <w:rsid w:val="00D952CF"/>
    <w:rsid w:val="00D958FA"/>
    <w:rsid w:val="00D95CB2"/>
    <w:rsid w:val="00D95D18"/>
    <w:rsid w:val="00D95D4C"/>
    <w:rsid w:val="00D966B7"/>
    <w:rsid w:val="00D969C7"/>
    <w:rsid w:val="00D96A63"/>
    <w:rsid w:val="00D96B1A"/>
    <w:rsid w:val="00D975D4"/>
    <w:rsid w:val="00D979F4"/>
    <w:rsid w:val="00D97DCF"/>
    <w:rsid w:val="00DA0363"/>
    <w:rsid w:val="00DA08CC"/>
    <w:rsid w:val="00DA0B40"/>
    <w:rsid w:val="00DA111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05B4"/>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AA"/>
    <w:rsid w:val="00DB71D2"/>
    <w:rsid w:val="00DB7B8A"/>
    <w:rsid w:val="00DB7D87"/>
    <w:rsid w:val="00DC000C"/>
    <w:rsid w:val="00DC0830"/>
    <w:rsid w:val="00DC0D5E"/>
    <w:rsid w:val="00DC0ED0"/>
    <w:rsid w:val="00DC11A6"/>
    <w:rsid w:val="00DC1637"/>
    <w:rsid w:val="00DC1C3C"/>
    <w:rsid w:val="00DC24E6"/>
    <w:rsid w:val="00DC2775"/>
    <w:rsid w:val="00DC27C8"/>
    <w:rsid w:val="00DC2EF3"/>
    <w:rsid w:val="00DC2FBE"/>
    <w:rsid w:val="00DC33E0"/>
    <w:rsid w:val="00DC3525"/>
    <w:rsid w:val="00DC4BE7"/>
    <w:rsid w:val="00DC4D13"/>
    <w:rsid w:val="00DC4F09"/>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228"/>
    <w:rsid w:val="00DE5E5B"/>
    <w:rsid w:val="00DE609D"/>
    <w:rsid w:val="00DE60F3"/>
    <w:rsid w:val="00DE77DE"/>
    <w:rsid w:val="00DE7AE9"/>
    <w:rsid w:val="00DE7B5E"/>
    <w:rsid w:val="00DE7CEF"/>
    <w:rsid w:val="00DF02DB"/>
    <w:rsid w:val="00DF07EB"/>
    <w:rsid w:val="00DF104F"/>
    <w:rsid w:val="00DF1510"/>
    <w:rsid w:val="00DF1ECC"/>
    <w:rsid w:val="00DF1F82"/>
    <w:rsid w:val="00DF242A"/>
    <w:rsid w:val="00DF2AF1"/>
    <w:rsid w:val="00DF2FE9"/>
    <w:rsid w:val="00DF3408"/>
    <w:rsid w:val="00DF3673"/>
    <w:rsid w:val="00DF3B82"/>
    <w:rsid w:val="00DF41F3"/>
    <w:rsid w:val="00DF434E"/>
    <w:rsid w:val="00DF435C"/>
    <w:rsid w:val="00DF45BD"/>
    <w:rsid w:val="00DF4C74"/>
    <w:rsid w:val="00DF4CDC"/>
    <w:rsid w:val="00DF5A3A"/>
    <w:rsid w:val="00DF6F22"/>
    <w:rsid w:val="00E00128"/>
    <w:rsid w:val="00E0039F"/>
    <w:rsid w:val="00E00535"/>
    <w:rsid w:val="00E00F67"/>
    <w:rsid w:val="00E019D8"/>
    <w:rsid w:val="00E023D9"/>
    <w:rsid w:val="00E025DD"/>
    <w:rsid w:val="00E0277C"/>
    <w:rsid w:val="00E02982"/>
    <w:rsid w:val="00E029B9"/>
    <w:rsid w:val="00E02D36"/>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A94"/>
    <w:rsid w:val="00E21F66"/>
    <w:rsid w:val="00E2242D"/>
    <w:rsid w:val="00E229D4"/>
    <w:rsid w:val="00E22C17"/>
    <w:rsid w:val="00E22D77"/>
    <w:rsid w:val="00E22DFC"/>
    <w:rsid w:val="00E233E2"/>
    <w:rsid w:val="00E234D8"/>
    <w:rsid w:val="00E235BA"/>
    <w:rsid w:val="00E2360F"/>
    <w:rsid w:val="00E23A0B"/>
    <w:rsid w:val="00E24A0C"/>
    <w:rsid w:val="00E2550E"/>
    <w:rsid w:val="00E25AD6"/>
    <w:rsid w:val="00E262DD"/>
    <w:rsid w:val="00E26B79"/>
    <w:rsid w:val="00E26DB3"/>
    <w:rsid w:val="00E2780C"/>
    <w:rsid w:val="00E302AC"/>
    <w:rsid w:val="00E3052F"/>
    <w:rsid w:val="00E308A1"/>
    <w:rsid w:val="00E31A32"/>
    <w:rsid w:val="00E325BB"/>
    <w:rsid w:val="00E32CD9"/>
    <w:rsid w:val="00E338D2"/>
    <w:rsid w:val="00E33F59"/>
    <w:rsid w:val="00E34282"/>
    <w:rsid w:val="00E34B0F"/>
    <w:rsid w:val="00E350CA"/>
    <w:rsid w:val="00E3568E"/>
    <w:rsid w:val="00E35E94"/>
    <w:rsid w:val="00E362E8"/>
    <w:rsid w:val="00E36787"/>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06D"/>
    <w:rsid w:val="00E51592"/>
    <w:rsid w:val="00E51EAF"/>
    <w:rsid w:val="00E52F55"/>
    <w:rsid w:val="00E532B3"/>
    <w:rsid w:val="00E5332F"/>
    <w:rsid w:val="00E5341D"/>
    <w:rsid w:val="00E53451"/>
    <w:rsid w:val="00E5367A"/>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1931"/>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87AFB"/>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E1C"/>
    <w:rsid w:val="00E94FE0"/>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9B7"/>
    <w:rsid w:val="00EA3750"/>
    <w:rsid w:val="00EA387E"/>
    <w:rsid w:val="00EA4205"/>
    <w:rsid w:val="00EA43CB"/>
    <w:rsid w:val="00EA4456"/>
    <w:rsid w:val="00EA469C"/>
    <w:rsid w:val="00EA46B6"/>
    <w:rsid w:val="00EA4BB2"/>
    <w:rsid w:val="00EA4CE2"/>
    <w:rsid w:val="00EA5B9B"/>
    <w:rsid w:val="00EA5BD2"/>
    <w:rsid w:val="00EA5DF9"/>
    <w:rsid w:val="00EA5ED0"/>
    <w:rsid w:val="00EA6033"/>
    <w:rsid w:val="00EA6080"/>
    <w:rsid w:val="00EA6145"/>
    <w:rsid w:val="00EA6B0A"/>
    <w:rsid w:val="00EA6E42"/>
    <w:rsid w:val="00EA7317"/>
    <w:rsid w:val="00EA760A"/>
    <w:rsid w:val="00EA76F1"/>
    <w:rsid w:val="00EA78A5"/>
    <w:rsid w:val="00EA7A9D"/>
    <w:rsid w:val="00EA7DBE"/>
    <w:rsid w:val="00EB01B1"/>
    <w:rsid w:val="00EB022A"/>
    <w:rsid w:val="00EB03C9"/>
    <w:rsid w:val="00EB0629"/>
    <w:rsid w:val="00EB0A9C"/>
    <w:rsid w:val="00EB0B73"/>
    <w:rsid w:val="00EB0D6C"/>
    <w:rsid w:val="00EB106E"/>
    <w:rsid w:val="00EB163D"/>
    <w:rsid w:val="00EB17D9"/>
    <w:rsid w:val="00EB1ECC"/>
    <w:rsid w:val="00EB2635"/>
    <w:rsid w:val="00EB2912"/>
    <w:rsid w:val="00EB2924"/>
    <w:rsid w:val="00EB32C7"/>
    <w:rsid w:val="00EB33D1"/>
    <w:rsid w:val="00EB369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2676"/>
    <w:rsid w:val="00EC33D9"/>
    <w:rsid w:val="00EC3888"/>
    <w:rsid w:val="00EC446A"/>
    <w:rsid w:val="00EC4667"/>
    <w:rsid w:val="00EC506B"/>
    <w:rsid w:val="00EC51DD"/>
    <w:rsid w:val="00EC537B"/>
    <w:rsid w:val="00EC54C3"/>
    <w:rsid w:val="00EC5643"/>
    <w:rsid w:val="00EC64B9"/>
    <w:rsid w:val="00EC691A"/>
    <w:rsid w:val="00EC6A6E"/>
    <w:rsid w:val="00EC6C4F"/>
    <w:rsid w:val="00EC6E67"/>
    <w:rsid w:val="00EC75BB"/>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BB7"/>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196B"/>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C04"/>
    <w:rsid w:val="00EF152F"/>
    <w:rsid w:val="00EF1597"/>
    <w:rsid w:val="00EF190F"/>
    <w:rsid w:val="00EF1955"/>
    <w:rsid w:val="00EF1AEF"/>
    <w:rsid w:val="00EF1DA6"/>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602"/>
    <w:rsid w:val="00F0000B"/>
    <w:rsid w:val="00F00425"/>
    <w:rsid w:val="00F005B0"/>
    <w:rsid w:val="00F00BCA"/>
    <w:rsid w:val="00F012D4"/>
    <w:rsid w:val="00F015AD"/>
    <w:rsid w:val="00F01A77"/>
    <w:rsid w:val="00F02DCA"/>
    <w:rsid w:val="00F037A2"/>
    <w:rsid w:val="00F038DC"/>
    <w:rsid w:val="00F03DC0"/>
    <w:rsid w:val="00F044C7"/>
    <w:rsid w:val="00F055AE"/>
    <w:rsid w:val="00F0568C"/>
    <w:rsid w:val="00F059EA"/>
    <w:rsid w:val="00F05BC7"/>
    <w:rsid w:val="00F05D17"/>
    <w:rsid w:val="00F061FC"/>
    <w:rsid w:val="00F0624E"/>
    <w:rsid w:val="00F06312"/>
    <w:rsid w:val="00F06469"/>
    <w:rsid w:val="00F06553"/>
    <w:rsid w:val="00F06744"/>
    <w:rsid w:val="00F06F10"/>
    <w:rsid w:val="00F07264"/>
    <w:rsid w:val="00F076B3"/>
    <w:rsid w:val="00F07855"/>
    <w:rsid w:val="00F07C6F"/>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052"/>
    <w:rsid w:val="00F32534"/>
    <w:rsid w:val="00F32D58"/>
    <w:rsid w:val="00F33660"/>
    <w:rsid w:val="00F33A97"/>
    <w:rsid w:val="00F33E0A"/>
    <w:rsid w:val="00F34000"/>
    <w:rsid w:val="00F341B9"/>
    <w:rsid w:val="00F34DB3"/>
    <w:rsid w:val="00F34E2C"/>
    <w:rsid w:val="00F34EC7"/>
    <w:rsid w:val="00F34FE6"/>
    <w:rsid w:val="00F353DF"/>
    <w:rsid w:val="00F3542B"/>
    <w:rsid w:val="00F3618F"/>
    <w:rsid w:val="00F361F4"/>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0B5"/>
    <w:rsid w:val="00F44682"/>
    <w:rsid w:val="00F4490D"/>
    <w:rsid w:val="00F44E42"/>
    <w:rsid w:val="00F45102"/>
    <w:rsid w:val="00F456AB"/>
    <w:rsid w:val="00F457EA"/>
    <w:rsid w:val="00F458DA"/>
    <w:rsid w:val="00F4657C"/>
    <w:rsid w:val="00F4661B"/>
    <w:rsid w:val="00F47412"/>
    <w:rsid w:val="00F47803"/>
    <w:rsid w:val="00F5003A"/>
    <w:rsid w:val="00F5017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441"/>
    <w:rsid w:val="00F54709"/>
    <w:rsid w:val="00F54814"/>
    <w:rsid w:val="00F54DF7"/>
    <w:rsid w:val="00F55301"/>
    <w:rsid w:val="00F553F1"/>
    <w:rsid w:val="00F55D2F"/>
    <w:rsid w:val="00F56184"/>
    <w:rsid w:val="00F56564"/>
    <w:rsid w:val="00F5669E"/>
    <w:rsid w:val="00F57175"/>
    <w:rsid w:val="00F571F2"/>
    <w:rsid w:val="00F57436"/>
    <w:rsid w:val="00F57699"/>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7BD"/>
    <w:rsid w:val="00F73F36"/>
    <w:rsid w:val="00F7444B"/>
    <w:rsid w:val="00F74498"/>
    <w:rsid w:val="00F7465D"/>
    <w:rsid w:val="00F74802"/>
    <w:rsid w:val="00F74960"/>
    <w:rsid w:val="00F7514D"/>
    <w:rsid w:val="00F7516D"/>
    <w:rsid w:val="00F75503"/>
    <w:rsid w:val="00F756A1"/>
    <w:rsid w:val="00F75B27"/>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45C"/>
    <w:rsid w:val="00F82AED"/>
    <w:rsid w:val="00F82C97"/>
    <w:rsid w:val="00F82EE3"/>
    <w:rsid w:val="00F8333D"/>
    <w:rsid w:val="00F83568"/>
    <w:rsid w:val="00F83D02"/>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1AB"/>
    <w:rsid w:val="00FB024D"/>
    <w:rsid w:val="00FB0250"/>
    <w:rsid w:val="00FB0614"/>
    <w:rsid w:val="00FB068A"/>
    <w:rsid w:val="00FB07A8"/>
    <w:rsid w:val="00FB144A"/>
    <w:rsid w:val="00FB15FA"/>
    <w:rsid w:val="00FB1A6A"/>
    <w:rsid w:val="00FB1CC4"/>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A7B"/>
    <w:rsid w:val="00FC0175"/>
    <w:rsid w:val="00FC020D"/>
    <w:rsid w:val="00FC0607"/>
    <w:rsid w:val="00FC062C"/>
    <w:rsid w:val="00FC08A7"/>
    <w:rsid w:val="00FC0CC5"/>
    <w:rsid w:val="00FC1034"/>
    <w:rsid w:val="00FC10AE"/>
    <w:rsid w:val="00FC1140"/>
    <w:rsid w:val="00FC1155"/>
    <w:rsid w:val="00FC1280"/>
    <w:rsid w:val="00FC1296"/>
    <w:rsid w:val="00FC12EF"/>
    <w:rsid w:val="00FC1D77"/>
    <w:rsid w:val="00FC2412"/>
    <w:rsid w:val="00FC31A6"/>
    <w:rsid w:val="00FC3B80"/>
    <w:rsid w:val="00FC41F1"/>
    <w:rsid w:val="00FC471C"/>
    <w:rsid w:val="00FC4AB1"/>
    <w:rsid w:val="00FC4D66"/>
    <w:rsid w:val="00FC4E15"/>
    <w:rsid w:val="00FC509F"/>
    <w:rsid w:val="00FC5431"/>
    <w:rsid w:val="00FC55D8"/>
    <w:rsid w:val="00FC5902"/>
    <w:rsid w:val="00FC5BC0"/>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238"/>
    <w:rsid w:val="00FD3A51"/>
    <w:rsid w:val="00FD480F"/>
    <w:rsid w:val="00FD4A6B"/>
    <w:rsid w:val="00FD4B1B"/>
    <w:rsid w:val="00FD59F7"/>
    <w:rsid w:val="00FD63A6"/>
    <w:rsid w:val="00FD67FE"/>
    <w:rsid w:val="00FD6846"/>
    <w:rsid w:val="00FD7560"/>
    <w:rsid w:val="00FD773D"/>
    <w:rsid w:val="00FD77E1"/>
    <w:rsid w:val="00FE09BB"/>
    <w:rsid w:val="00FE13D3"/>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0C4"/>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71B"/>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PlainText">
    <w:name w:val="Plain Text"/>
    <w:basedOn w:val="Normal"/>
    <w:link w:val="PlainTextChar"/>
    <w:uiPriority w:val="99"/>
    <w:unhideWhenUsed/>
    <w:rsid w:val="002F3D5E"/>
    <w:rPr>
      <w:rFonts w:ascii="Arial" w:eastAsia="Calibri" w:hAnsi="Arial"/>
      <w:szCs w:val="21"/>
    </w:rPr>
  </w:style>
  <w:style w:type="character" w:customStyle="1" w:styleId="PlainTextChar">
    <w:name w:val="Plain Text Char"/>
    <w:basedOn w:val="DefaultParagraphFont"/>
    <w:link w:val="PlainText"/>
    <w:uiPriority w:val="99"/>
    <w:rsid w:val="002F3D5E"/>
    <w:rPr>
      <w:rFonts w:ascii="Arial" w:eastAsia="Calibri" w:hAnsi="Arial" w:cs="Times New Roman"/>
      <w:sz w:val="24"/>
      <w:szCs w:val="21"/>
    </w:rPr>
  </w:style>
  <w:style w:type="paragraph" w:styleId="ListParagraph">
    <w:name w:val="List Paragraph"/>
    <w:basedOn w:val="Normal"/>
    <w:uiPriority w:val="34"/>
    <w:qFormat/>
    <w:rsid w:val="000418A1"/>
    <w:pPr>
      <w:ind w:left="720"/>
      <w:contextualSpacing/>
      <w:jc w:val="both"/>
    </w:pPr>
    <w:rPr>
      <w:sz w:val="26"/>
      <w:szCs w:val="20"/>
    </w:rPr>
  </w:style>
</w:styles>
</file>

<file path=word/webSettings.xml><?xml version="1.0" encoding="utf-8"?>
<w:webSettings xmlns:r="http://schemas.openxmlformats.org/officeDocument/2006/relationships" xmlns:w="http://schemas.openxmlformats.org/wordprocessingml/2006/main">
  <w:divs>
    <w:div w:id="113988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0893-22AE-46A6-9852-50801A88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joyce marie farner</cp:lastModifiedBy>
  <cp:revision>16</cp:revision>
  <cp:lastPrinted>2010-11-04T15:44:00Z</cp:lastPrinted>
  <dcterms:created xsi:type="dcterms:W3CDTF">2010-10-20T12:44:00Z</dcterms:created>
  <dcterms:modified xsi:type="dcterms:W3CDTF">2010-11-04T15:44:00Z</dcterms:modified>
</cp:coreProperties>
</file>