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0270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02706C" w:rsidRDefault="003569E8" w:rsidP="004F07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Pr="006D3697" w:rsidRDefault="003400DD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November 4, 2010</w:t>
      </w:r>
    </w:p>
    <w:p w:rsidR="001E1BF3" w:rsidRDefault="001E1BF3" w:rsidP="00FA0E37">
      <w:pPr>
        <w:jc w:val="center"/>
        <w:rPr>
          <w:b/>
          <w:sz w:val="26"/>
          <w:szCs w:val="26"/>
        </w:rPr>
      </w:pPr>
    </w:p>
    <w:p w:rsidR="001E1BF3" w:rsidRPr="009E40EC" w:rsidRDefault="001E1BF3" w:rsidP="00FA0E37">
      <w:pPr>
        <w:jc w:val="center"/>
        <w:rPr>
          <w:b/>
          <w:sz w:val="26"/>
          <w:szCs w:val="26"/>
        </w:rPr>
      </w:pPr>
    </w:p>
    <w:p w:rsidR="0002706C" w:rsidRPr="00707F3E" w:rsidRDefault="0002706C" w:rsidP="00BE4A72">
      <w:pPr>
        <w:rPr>
          <w:sz w:val="24"/>
          <w:szCs w:val="24"/>
        </w:rPr>
      </w:pPr>
      <w:r w:rsidRPr="00707F3E">
        <w:rPr>
          <w:sz w:val="24"/>
          <w:szCs w:val="24"/>
        </w:rPr>
        <w:t>TO ALL INTERESTED PARTIES:</w:t>
      </w:r>
    </w:p>
    <w:p w:rsidR="00C90506" w:rsidRDefault="00C90506" w:rsidP="00BE4A72">
      <w:pPr>
        <w:rPr>
          <w:sz w:val="24"/>
          <w:szCs w:val="24"/>
        </w:rPr>
      </w:pPr>
    </w:p>
    <w:p w:rsidR="00601305" w:rsidRPr="00707F3E" w:rsidRDefault="00601305" w:rsidP="00BE4A72">
      <w:pPr>
        <w:rPr>
          <w:sz w:val="24"/>
          <w:szCs w:val="24"/>
        </w:rPr>
      </w:pPr>
    </w:p>
    <w:p w:rsidR="0002706C" w:rsidRDefault="009B23D8" w:rsidP="00601305">
      <w:pPr>
        <w:ind w:left="1440" w:hanging="1440"/>
        <w:rPr>
          <w:sz w:val="24"/>
          <w:szCs w:val="24"/>
        </w:rPr>
      </w:pPr>
      <w:r w:rsidRPr="00707F3E">
        <w:rPr>
          <w:sz w:val="24"/>
          <w:szCs w:val="24"/>
        </w:rPr>
        <w:t>Re:</w:t>
      </w:r>
      <w:r w:rsidR="00C77F29" w:rsidRPr="00707F3E">
        <w:rPr>
          <w:sz w:val="24"/>
          <w:szCs w:val="24"/>
        </w:rPr>
        <w:tab/>
      </w:r>
      <w:r w:rsidR="0089319F">
        <w:rPr>
          <w:sz w:val="24"/>
          <w:szCs w:val="24"/>
        </w:rPr>
        <w:t xml:space="preserve">Petition of </w:t>
      </w:r>
      <w:r w:rsidR="00B63DFB">
        <w:rPr>
          <w:sz w:val="24"/>
          <w:szCs w:val="24"/>
        </w:rPr>
        <w:t xml:space="preserve">PECO Energy Company for Approval of its Smart Meter Technology Procurement and Installation </w:t>
      </w:r>
      <w:r w:rsidR="00FC0647" w:rsidRPr="00707F3E">
        <w:rPr>
          <w:sz w:val="24"/>
          <w:szCs w:val="24"/>
        </w:rPr>
        <w:t>Plan</w:t>
      </w:r>
      <w:r w:rsidR="00B63DFB">
        <w:rPr>
          <w:sz w:val="24"/>
          <w:szCs w:val="24"/>
        </w:rPr>
        <w:t xml:space="preserve"> – Petition for Approval of PECO Energy Company’s Initial Dynamic Pricing and Customer Acceptance Plan</w:t>
      </w:r>
    </w:p>
    <w:p w:rsidR="00601305" w:rsidRDefault="00B63DFB" w:rsidP="00601305">
      <w:pPr>
        <w:ind w:left="1440"/>
        <w:rPr>
          <w:sz w:val="24"/>
          <w:szCs w:val="24"/>
        </w:rPr>
      </w:pPr>
      <w:r>
        <w:rPr>
          <w:sz w:val="24"/>
          <w:szCs w:val="24"/>
        </w:rPr>
        <w:t>Docket No. M-2009-2123944</w:t>
      </w:r>
    </w:p>
    <w:p w:rsidR="00601305" w:rsidRPr="00707F3E" w:rsidRDefault="00601305" w:rsidP="00601305">
      <w:pPr>
        <w:ind w:left="1440"/>
        <w:rPr>
          <w:sz w:val="24"/>
          <w:szCs w:val="24"/>
        </w:rPr>
      </w:pPr>
    </w:p>
    <w:p w:rsidR="007C3A75" w:rsidRDefault="007C3A75" w:rsidP="007C3A75">
      <w:pPr>
        <w:ind w:firstLine="1440"/>
        <w:rPr>
          <w:sz w:val="24"/>
          <w:szCs w:val="24"/>
        </w:rPr>
      </w:pPr>
    </w:p>
    <w:p w:rsidR="00B63DFB" w:rsidRDefault="00B63DFB" w:rsidP="007C3A75">
      <w:pPr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October 28, 2010, PECO Energy Company (PECO) filed the above-referenced Petition.  PECO requested that a notice of the filing be published in the November </w:t>
      </w:r>
      <w:r w:rsidR="00065946">
        <w:rPr>
          <w:sz w:val="24"/>
          <w:szCs w:val="24"/>
        </w:rPr>
        <w:t xml:space="preserve">13, 2010 edition of the </w:t>
      </w:r>
      <w:r w:rsidR="00065946">
        <w:rPr>
          <w:i/>
          <w:sz w:val="24"/>
          <w:szCs w:val="24"/>
        </w:rPr>
        <w:t>Pennsylvania Bulletin</w:t>
      </w:r>
      <w:r w:rsidR="00065946">
        <w:rPr>
          <w:sz w:val="24"/>
          <w:szCs w:val="24"/>
        </w:rPr>
        <w:t>.  PECO proposed that, by December 15, 2010, parties seeking to intervene file the appropriate notices/petitions, and parties seeking to file comments do so by that same date.  PECO also proposed that Reply Comments be filed by January 11, 2011.  PECO re</w:t>
      </w:r>
      <w:r w:rsidR="00373F20">
        <w:rPr>
          <w:sz w:val="24"/>
          <w:szCs w:val="24"/>
        </w:rPr>
        <w:t xml:space="preserve">quested </w:t>
      </w:r>
      <w:r w:rsidR="00065946">
        <w:rPr>
          <w:sz w:val="24"/>
          <w:szCs w:val="24"/>
        </w:rPr>
        <w:t xml:space="preserve">that a Commission Order be adopted by February 24, 2011.  </w:t>
      </w:r>
      <w:r w:rsidR="00373F20">
        <w:rPr>
          <w:sz w:val="24"/>
          <w:szCs w:val="24"/>
        </w:rPr>
        <w:t>PECO’s Exhibit 1, at 4, however, shows an implementation schedule based on a Commission Order entered by April 28, 2011.</w:t>
      </w:r>
    </w:p>
    <w:p w:rsidR="00373F20" w:rsidRDefault="00373F20" w:rsidP="007C3A75">
      <w:pPr>
        <w:ind w:firstLine="1440"/>
        <w:rPr>
          <w:sz w:val="24"/>
          <w:szCs w:val="24"/>
        </w:rPr>
      </w:pPr>
    </w:p>
    <w:p w:rsidR="00373F20" w:rsidRDefault="00373F20" w:rsidP="007C3A75">
      <w:pPr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Commission will publish a notice in the November 13, 2010 edition of the </w:t>
      </w:r>
      <w:r>
        <w:rPr>
          <w:i/>
          <w:sz w:val="24"/>
          <w:szCs w:val="24"/>
        </w:rPr>
        <w:t>Pennsylvania Bulletin</w:t>
      </w:r>
      <w:r>
        <w:rPr>
          <w:sz w:val="24"/>
          <w:szCs w:val="24"/>
        </w:rPr>
        <w:t>, directing that parties seeking to intervene file the appropriate notice</w:t>
      </w:r>
      <w:r w:rsidR="00113F10">
        <w:rPr>
          <w:sz w:val="24"/>
          <w:szCs w:val="24"/>
        </w:rPr>
        <w:t>s/petitions by November 29, 2010</w:t>
      </w:r>
      <w:r>
        <w:rPr>
          <w:sz w:val="24"/>
          <w:szCs w:val="24"/>
        </w:rPr>
        <w:t>.</w:t>
      </w:r>
      <w:r w:rsidR="00B2677D">
        <w:rPr>
          <w:sz w:val="24"/>
          <w:szCs w:val="24"/>
        </w:rPr>
        <w:t xml:space="preserve">  Comments and </w:t>
      </w:r>
      <w:r w:rsidR="00137379">
        <w:rPr>
          <w:sz w:val="24"/>
          <w:szCs w:val="24"/>
        </w:rPr>
        <w:t>Reply Comments will not be requested.</w:t>
      </w:r>
    </w:p>
    <w:p w:rsidR="00373F20" w:rsidRPr="00065946" w:rsidRDefault="00373F20" w:rsidP="007C3A75">
      <w:pPr>
        <w:ind w:firstLine="1440"/>
        <w:rPr>
          <w:sz w:val="24"/>
          <w:szCs w:val="24"/>
        </w:rPr>
      </w:pPr>
    </w:p>
    <w:p w:rsidR="00707F3E" w:rsidRDefault="00137379" w:rsidP="001C7DFE">
      <w:pPr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parties are hereby advised that this matter is being referred to the Office of Administrative Law Judge for such further proceedings as are deemed necessary.  </w:t>
      </w:r>
      <w:r w:rsidR="00C77DCA" w:rsidRPr="00707F3E">
        <w:rPr>
          <w:sz w:val="24"/>
          <w:szCs w:val="24"/>
        </w:rPr>
        <w:t xml:space="preserve">The Commission recognizes </w:t>
      </w:r>
      <w:r w:rsidR="005B4696" w:rsidRPr="00707F3E">
        <w:rPr>
          <w:sz w:val="24"/>
          <w:szCs w:val="24"/>
        </w:rPr>
        <w:t xml:space="preserve">the need </w:t>
      </w:r>
      <w:r w:rsidR="002D6446">
        <w:rPr>
          <w:sz w:val="24"/>
          <w:szCs w:val="24"/>
        </w:rPr>
        <w:t>to expediently resolve th</w:t>
      </w:r>
      <w:r w:rsidR="000F5ACB">
        <w:rPr>
          <w:sz w:val="24"/>
          <w:szCs w:val="24"/>
        </w:rPr>
        <w:t>is matter</w:t>
      </w:r>
      <w:r w:rsidR="005B4696" w:rsidRPr="00707F3E">
        <w:rPr>
          <w:sz w:val="24"/>
          <w:szCs w:val="24"/>
        </w:rPr>
        <w:t>, cons</w:t>
      </w:r>
      <w:r w:rsidR="003626F3" w:rsidRPr="00707F3E">
        <w:rPr>
          <w:sz w:val="24"/>
          <w:szCs w:val="24"/>
        </w:rPr>
        <w:t xml:space="preserve">istent with </w:t>
      </w:r>
      <w:r w:rsidR="005B4696" w:rsidRPr="00707F3E">
        <w:rPr>
          <w:sz w:val="24"/>
          <w:szCs w:val="24"/>
        </w:rPr>
        <w:t xml:space="preserve">due process.  </w:t>
      </w:r>
      <w:r w:rsidR="004E0E80" w:rsidRPr="00707F3E">
        <w:rPr>
          <w:sz w:val="24"/>
          <w:szCs w:val="24"/>
        </w:rPr>
        <w:t xml:space="preserve">OALJ is directed to </w:t>
      </w:r>
      <w:r w:rsidR="002D6446">
        <w:rPr>
          <w:sz w:val="24"/>
          <w:szCs w:val="24"/>
        </w:rPr>
        <w:t>proceed</w:t>
      </w:r>
      <w:r w:rsidR="005B4696" w:rsidRPr="00707F3E">
        <w:rPr>
          <w:sz w:val="24"/>
          <w:szCs w:val="24"/>
        </w:rPr>
        <w:t xml:space="preserve"> in this matter</w:t>
      </w:r>
      <w:r w:rsidR="004E0E80" w:rsidRPr="00707F3E">
        <w:rPr>
          <w:sz w:val="24"/>
          <w:szCs w:val="24"/>
        </w:rPr>
        <w:t xml:space="preserve">, </w:t>
      </w:r>
      <w:r w:rsidR="00B80552">
        <w:rPr>
          <w:sz w:val="24"/>
          <w:szCs w:val="24"/>
        </w:rPr>
        <w:t>such</w:t>
      </w:r>
      <w:r w:rsidR="00B80552" w:rsidRPr="00707F3E">
        <w:rPr>
          <w:sz w:val="24"/>
          <w:szCs w:val="24"/>
        </w:rPr>
        <w:t xml:space="preserve"> </w:t>
      </w:r>
      <w:r w:rsidR="00707F3E" w:rsidRPr="00707F3E">
        <w:rPr>
          <w:sz w:val="24"/>
          <w:szCs w:val="24"/>
        </w:rPr>
        <w:t xml:space="preserve">that </w:t>
      </w:r>
      <w:r w:rsidR="00707F3E">
        <w:rPr>
          <w:sz w:val="24"/>
          <w:szCs w:val="24"/>
        </w:rPr>
        <w:t xml:space="preserve">the Administrative Law Judge </w:t>
      </w:r>
      <w:r w:rsidR="00B80552">
        <w:rPr>
          <w:sz w:val="24"/>
          <w:szCs w:val="24"/>
        </w:rPr>
        <w:t>can</w:t>
      </w:r>
      <w:r w:rsidR="00FE78D0" w:rsidRPr="00707F3E">
        <w:rPr>
          <w:sz w:val="24"/>
          <w:szCs w:val="24"/>
        </w:rPr>
        <w:t xml:space="preserve"> issu</w:t>
      </w:r>
      <w:r w:rsidR="00B80552">
        <w:rPr>
          <w:sz w:val="24"/>
          <w:szCs w:val="24"/>
        </w:rPr>
        <w:t>e</w:t>
      </w:r>
      <w:r w:rsidR="00FE78D0" w:rsidRPr="00707F3E">
        <w:rPr>
          <w:sz w:val="24"/>
          <w:szCs w:val="24"/>
        </w:rPr>
        <w:t xml:space="preserve"> a Recommended Decision </w:t>
      </w:r>
      <w:r w:rsidR="003626F3" w:rsidRPr="00707F3E">
        <w:rPr>
          <w:sz w:val="24"/>
          <w:szCs w:val="24"/>
        </w:rPr>
        <w:t>b</w:t>
      </w:r>
      <w:r w:rsidR="00FE78D0" w:rsidRPr="00707F3E">
        <w:rPr>
          <w:sz w:val="24"/>
          <w:szCs w:val="24"/>
        </w:rPr>
        <w:t xml:space="preserve">y </w:t>
      </w:r>
      <w:r w:rsidR="00136214">
        <w:rPr>
          <w:sz w:val="24"/>
          <w:szCs w:val="24"/>
        </w:rPr>
        <w:t>February 28, 2011</w:t>
      </w:r>
      <w:r w:rsidR="00B2677D">
        <w:rPr>
          <w:sz w:val="24"/>
          <w:szCs w:val="24"/>
        </w:rPr>
        <w:t xml:space="preserve">.  Exceptions and Reply Exceptions may be submitted thereafter in accordance with the </w:t>
      </w:r>
      <w:r w:rsidR="00414EBC">
        <w:rPr>
          <w:sz w:val="24"/>
          <w:szCs w:val="24"/>
        </w:rPr>
        <w:t xml:space="preserve">issuance letter accompanying the Recommended Decision.  </w:t>
      </w:r>
      <w:r w:rsidR="001B758F">
        <w:rPr>
          <w:sz w:val="24"/>
          <w:szCs w:val="24"/>
        </w:rPr>
        <w:t>The Commission will thereafter consider the matter at a public meeting.</w:t>
      </w:r>
      <w:r w:rsidR="00707F3E" w:rsidRPr="00707F3E">
        <w:rPr>
          <w:sz w:val="24"/>
          <w:szCs w:val="24"/>
        </w:rPr>
        <w:t xml:space="preserve"> </w:t>
      </w:r>
    </w:p>
    <w:p w:rsidR="00707F3E" w:rsidRDefault="00707F3E" w:rsidP="001C7DFE">
      <w:pPr>
        <w:ind w:firstLine="1440"/>
        <w:rPr>
          <w:sz w:val="24"/>
          <w:szCs w:val="24"/>
        </w:rPr>
      </w:pPr>
    </w:p>
    <w:p w:rsidR="007C3A75" w:rsidRPr="00707F3E" w:rsidRDefault="00B2677D" w:rsidP="00B2677D">
      <w:pPr>
        <w:ind w:firstLine="1440"/>
        <w:rPr>
          <w:sz w:val="24"/>
          <w:szCs w:val="24"/>
        </w:rPr>
      </w:pPr>
      <w:r>
        <w:rPr>
          <w:sz w:val="24"/>
          <w:szCs w:val="24"/>
        </w:rPr>
        <w:t>A</w:t>
      </w:r>
      <w:r w:rsidR="00166AC1" w:rsidRPr="00707F3E">
        <w:rPr>
          <w:sz w:val="24"/>
          <w:szCs w:val="24"/>
        </w:rPr>
        <w:t>ny Party</w:t>
      </w:r>
      <w:r w:rsidR="00707F3E" w:rsidRPr="00707F3E">
        <w:rPr>
          <w:sz w:val="24"/>
          <w:szCs w:val="24"/>
        </w:rPr>
        <w:t xml:space="preserve"> having </w:t>
      </w:r>
      <w:r w:rsidR="00166AC1" w:rsidRPr="00707F3E">
        <w:rPr>
          <w:sz w:val="24"/>
          <w:szCs w:val="24"/>
        </w:rPr>
        <w:t xml:space="preserve">questions </w:t>
      </w:r>
      <w:r w:rsidR="00707F3E" w:rsidRPr="00707F3E">
        <w:rPr>
          <w:sz w:val="24"/>
          <w:szCs w:val="24"/>
        </w:rPr>
        <w:t xml:space="preserve">about this matter </w:t>
      </w:r>
      <w:r w:rsidR="00166AC1" w:rsidRPr="00707F3E">
        <w:rPr>
          <w:sz w:val="24"/>
          <w:szCs w:val="24"/>
        </w:rPr>
        <w:t xml:space="preserve">may contact Jonathan Nase in the Office of Special Assistants at (717) 787-3490 or </w:t>
      </w:r>
      <w:hyperlink r:id="rId11" w:history="1">
        <w:r w:rsidR="00166AC1" w:rsidRPr="00707F3E">
          <w:rPr>
            <w:rStyle w:val="Hyperlink"/>
            <w:sz w:val="24"/>
            <w:szCs w:val="24"/>
          </w:rPr>
          <w:t>jnase@state.pa.us</w:t>
        </w:r>
      </w:hyperlink>
      <w:r w:rsidR="00B936D6">
        <w:rPr>
          <w:sz w:val="24"/>
          <w:szCs w:val="24"/>
        </w:rPr>
        <w:t>.</w:t>
      </w:r>
    </w:p>
    <w:p w:rsidR="004D2698" w:rsidRPr="00707F3E" w:rsidRDefault="003400DD" w:rsidP="00BE4A7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84455</wp:posOffset>
            </wp:positionV>
            <wp:extent cx="2200275" cy="838200"/>
            <wp:effectExtent l="19050" t="0" r="9525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F29" w:rsidRPr="00707F3E">
        <w:rPr>
          <w:sz w:val="24"/>
          <w:szCs w:val="24"/>
        </w:rPr>
        <w:t xml:space="preserve">  </w:t>
      </w:r>
    </w:p>
    <w:p w:rsidR="00BE4A72" w:rsidRPr="00707F3E" w:rsidRDefault="00BE4A72" w:rsidP="00BE4A72">
      <w:pPr>
        <w:ind w:left="3600"/>
        <w:rPr>
          <w:sz w:val="24"/>
          <w:szCs w:val="24"/>
        </w:rPr>
      </w:pPr>
      <w:r w:rsidRPr="00707F3E">
        <w:rPr>
          <w:sz w:val="24"/>
          <w:szCs w:val="24"/>
        </w:rPr>
        <w:tab/>
        <w:t>Sincerely,</w:t>
      </w:r>
    </w:p>
    <w:p w:rsidR="00BE4A72" w:rsidRPr="00707F3E" w:rsidRDefault="00BE4A72" w:rsidP="00BE4A72">
      <w:pPr>
        <w:ind w:left="3600"/>
        <w:rPr>
          <w:sz w:val="24"/>
          <w:szCs w:val="24"/>
        </w:rPr>
      </w:pPr>
    </w:p>
    <w:p w:rsidR="00BE4A72" w:rsidRDefault="00BE4A72" w:rsidP="00BE4A72">
      <w:pPr>
        <w:ind w:left="3600"/>
        <w:rPr>
          <w:sz w:val="24"/>
          <w:szCs w:val="24"/>
        </w:rPr>
      </w:pPr>
    </w:p>
    <w:p w:rsidR="00B936D6" w:rsidRPr="00707F3E" w:rsidRDefault="00B936D6" w:rsidP="00BE4A72">
      <w:pPr>
        <w:ind w:left="3600"/>
        <w:rPr>
          <w:sz w:val="24"/>
          <w:szCs w:val="24"/>
        </w:rPr>
      </w:pPr>
    </w:p>
    <w:p w:rsidR="005C6561" w:rsidRPr="00707F3E" w:rsidRDefault="00C77F29" w:rsidP="00707F3E">
      <w:pPr>
        <w:ind w:left="3600"/>
        <w:jc w:val="both"/>
        <w:rPr>
          <w:sz w:val="24"/>
          <w:szCs w:val="24"/>
        </w:rPr>
      </w:pPr>
      <w:r w:rsidRPr="00707F3E">
        <w:rPr>
          <w:sz w:val="24"/>
          <w:szCs w:val="24"/>
        </w:rPr>
        <w:tab/>
      </w:r>
      <w:r w:rsidR="005C6561" w:rsidRPr="00707F3E">
        <w:rPr>
          <w:color w:val="000000"/>
          <w:sz w:val="24"/>
          <w:szCs w:val="24"/>
        </w:rPr>
        <w:t xml:space="preserve">Rosemary Chiavetta 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B2209E" w:rsidRPr="00707F3E">
        <w:rPr>
          <w:sz w:val="24"/>
          <w:szCs w:val="24"/>
        </w:rPr>
        <w:tab/>
      </w:r>
      <w:r w:rsidR="00B936D6">
        <w:rPr>
          <w:sz w:val="24"/>
          <w:szCs w:val="24"/>
        </w:rPr>
        <w:t>Secretary</w:t>
      </w:r>
      <w:r w:rsidR="00B936D6">
        <w:rPr>
          <w:sz w:val="24"/>
          <w:szCs w:val="24"/>
        </w:rPr>
        <w:tab/>
      </w:r>
      <w:r w:rsidR="00B936D6">
        <w:rPr>
          <w:sz w:val="24"/>
          <w:szCs w:val="24"/>
        </w:rPr>
        <w:tab/>
      </w:r>
      <w:r w:rsidR="00B936D6">
        <w:rPr>
          <w:sz w:val="24"/>
          <w:szCs w:val="24"/>
        </w:rPr>
        <w:tab/>
      </w:r>
      <w:r w:rsidR="00B936D6">
        <w:rPr>
          <w:sz w:val="24"/>
          <w:szCs w:val="24"/>
        </w:rPr>
        <w:tab/>
      </w:r>
      <w:r w:rsidR="00B936D6">
        <w:rPr>
          <w:sz w:val="24"/>
          <w:szCs w:val="24"/>
        </w:rPr>
        <w:tab/>
      </w:r>
    </w:p>
    <w:sectPr w:rsidR="005C6561" w:rsidRPr="00707F3E" w:rsidSect="00B92745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4B2" w:rsidRDefault="005A34B2">
      <w:r>
        <w:separator/>
      </w:r>
    </w:p>
  </w:endnote>
  <w:endnote w:type="continuationSeparator" w:id="0">
    <w:p w:rsidR="005A34B2" w:rsidRDefault="005A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5455CD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5455CD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5455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:rsidR="009E40EC" w:rsidRDefault="009E40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4B2" w:rsidRDefault="005A34B2">
      <w:r>
        <w:separator/>
      </w:r>
    </w:p>
  </w:footnote>
  <w:footnote w:type="continuationSeparator" w:id="0">
    <w:p w:rsidR="005A34B2" w:rsidRDefault="005A3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2706C"/>
    <w:rsid w:val="00065946"/>
    <w:rsid w:val="0007052C"/>
    <w:rsid w:val="000924BE"/>
    <w:rsid w:val="000C0C7F"/>
    <w:rsid w:val="000E3B78"/>
    <w:rsid w:val="000F5ACB"/>
    <w:rsid w:val="00107F5F"/>
    <w:rsid w:val="00113F10"/>
    <w:rsid w:val="001176C2"/>
    <w:rsid w:val="001209F1"/>
    <w:rsid w:val="00124D10"/>
    <w:rsid w:val="00133C0F"/>
    <w:rsid w:val="00136214"/>
    <w:rsid w:val="00137379"/>
    <w:rsid w:val="00142AF6"/>
    <w:rsid w:val="0015371B"/>
    <w:rsid w:val="00166AC1"/>
    <w:rsid w:val="00171E64"/>
    <w:rsid w:val="00190837"/>
    <w:rsid w:val="001A0CA5"/>
    <w:rsid w:val="001B758F"/>
    <w:rsid w:val="001C7DFE"/>
    <w:rsid w:val="001E1BF3"/>
    <w:rsid w:val="001F22DF"/>
    <w:rsid w:val="002229C3"/>
    <w:rsid w:val="0023689D"/>
    <w:rsid w:val="0025139E"/>
    <w:rsid w:val="0029471C"/>
    <w:rsid w:val="002D6446"/>
    <w:rsid w:val="002F0138"/>
    <w:rsid w:val="002F443E"/>
    <w:rsid w:val="0030651D"/>
    <w:rsid w:val="00325459"/>
    <w:rsid w:val="00331E7F"/>
    <w:rsid w:val="003400DD"/>
    <w:rsid w:val="0034289A"/>
    <w:rsid w:val="003569E8"/>
    <w:rsid w:val="003626F3"/>
    <w:rsid w:val="00363CC5"/>
    <w:rsid w:val="00373F20"/>
    <w:rsid w:val="003872E4"/>
    <w:rsid w:val="003D01E6"/>
    <w:rsid w:val="003D1D38"/>
    <w:rsid w:val="003F4FF3"/>
    <w:rsid w:val="0040171A"/>
    <w:rsid w:val="00414EBC"/>
    <w:rsid w:val="0044773F"/>
    <w:rsid w:val="00451C0E"/>
    <w:rsid w:val="0045381E"/>
    <w:rsid w:val="00455523"/>
    <w:rsid w:val="00463782"/>
    <w:rsid w:val="00482676"/>
    <w:rsid w:val="004A609C"/>
    <w:rsid w:val="004C1659"/>
    <w:rsid w:val="004D2698"/>
    <w:rsid w:val="004E0E80"/>
    <w:rsid w:val="004F07AD"/>
    <w:rsid w:val="00504873"/>
    <w:rsid w:val="0051639C"/>
    <w:rsid w:val="00525681"/>
    <w:rsid w:val="00527A2A"/>
    <w:rsid w:val="005372E4"/>
    <w:rsid w:val="005455CD"/>
    <w:rsid w:val="005748D5"/>
    <w:rsid w:val="00595468"/>
    <w:rsid w:val="005A34B2"/>
    <w:rsid w:val="005B4696"/>
    <w:rsid w:val="005C6561"/>
    <w:rsid w:val="005E25C5"/>
    <w:rsid w:val="005E37B9"/>
    <w:rsid w:val="00601305"/>
    <w:rsid w:val="006049DB"/>
    <w:rsid w:val="006570B4"/>
    <w:rsid w:val="0067110D"/>
    <w:rsid w:val="006755C0"/>
    <w:rsid w:val="006D3697"/>
    <w:rsid w:val="006F23AA"/>
    <w:rsid w:val="00704308"/>
    <w:rsid w:val="00707F3E"/>
    <w:rsid w:val="00712678"/>
    <w:rsid w:val="007617B1"/>
    <w:rsid w:val="007A41F8"/>
    <w:rsid w:val="007C3A75"/>
    <w:rsid w:val="007D4E28"/>
    <w:rsid w:val="007E6D1C"/>
    <w:rsid w:val="007F763A"/>
    <w:rsid w:val="00843AB6"/>
    <w:rsid w:val="0089319F"/>
    <w:rsid w:val="00897E1C"/>
    <w:rsid w:val="008E1AFA"/>
    <w:rsid w:val="009147F8"/>
    <w:rsid w:val="00914A4A"/>
    <w:rsid w:val="00932A25"/>
    <w:rsid w:val="00961BCA"/>
    <w:rsid w:val="009B23D8"/>
    <w:rsid w:val="009B51EB"/>
    <w:rsid w:val="009E40EC"/>
    <w:rsid w:val="009E5D90"/>
    <w:rsid w:val="009E7520"/>
    <w:rsid w:val="009F5F66"/>
    <w:rsid w:val="00A205AF"/>
    <w:rsid w:val="00A31B01"/>
    <w:rsid w:val="00A50D88"/>
    <w:rsid w:val="00B0549A"/>
    <w:rsid w:val="00B2209E"/>
    <w:rsid w:val="00B2677D"/>
    <w:rsid w:val="00B63DFB"/>
    <w:rsid w:val="00B644AB"/>
    <w:rsid w:val="00B80552"/>
    <w:rsid w:val="00B9152C"/>
    <w:rsid w:val="00B92745"/>
    <w:rsid w:val="00B936D6"/>
    <w:rsid w:val="00BA3CDC"/>
    <w:rsid w:val="00BC4A20"/>
    <w:rsid w:val="00BC6D6E"/>
    <w:rsid w:val="00BD7DA0"/>
    <w:rsid w:val="00BE13FF"/>
    <w:rsid w:val="00BE4A72"/>
    <w:rsid w:val="00BE5119"/>
    <w:rsid w:val="00BF4868"/>
    <w:rsid w:val="00BF52B0"/>
    <w:rsid w:val="00C11607"/>
    <w:rsid w:val="00C30B4E"/>
    <w:rsid w:val="00C37DB9"/>
    <w:rsid w:val="00C74A51"/>
    <w:rsid w:val="00C77DCA"/>
    <w:rsid w:val="00C77F29"/>
    <w:rsid w:val="00C90506"/>
    <w:rsid w:val="00CB476A"/>
    <w:rsid w:val="00CB5738"/>
    <w:rsid w:val="00CC1A5A"/>
    <w:rsid w:val="00CD56BF"/>
    <w:rsid w:val="00CF047C"/>
    <w:rsid w:val="00D65C94"/>
    <w:rsid w:val="00D76315"/>
    <w:rsid w:val="00D878A9"/>
    <w:rsid w:val="00D97295"/>
    <w:rsid w:val="00DC24E7"/>
    <w:rsid w:val="00DE7F43"/>
    <w:rsid w:val="00E07C19"/>
    <w:rsid w:val="00E07C84"/>
    <w:rsid w:val="00E12BFF"/>
    <w:rsid w:val="00E349DA"/>
    <w:rsid w:val="00EA6E61"/>
    <w:rsid w:val="00EF623C"/>
    <w:rsid w:val="00F032F0"/>
    <w:rsid w:val="00F0750C"/>
    <w:rsid w:val="00F119E7"/>
    <w:rsid w:val="00F3213C"/>
    <w:rsid w:val="00F531C5"/>
    <w:rsid w:val="00F6767A"/>
    <w:rsid w:val="00F7094C"/>
    <w:rsid w:val="00FA0E37"/>
    <w:rsid w:val="00FC0647"/>
    <w:rsid w:val="00FC50BC"/>
    <w:rsid w:val="00FE78D0"/>
    <w:rsid w:val="00FF01AF"/>
    <w:rsid w:val="00FF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nase@state.p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CF79-7E56-40B7-8DE8-8A911FCF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6</cp:revision>
  <cp:lastPrinted>2010-11-04T18:41:00Z</cp:lastPrinted>
  <dcterms:created xsi:type="dcterms:W3CDTF">2010-11-04T16:22:00Z</dcterms:created>
  <dcterms:modified xsi:type="dcterms:W3CDTF">2010-11-04T18:42:00Z</dcterms:modified>
</cp:coreProperties>
</file>