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EF350F" w:rsidP="00560DC5">
      <w:pPr>
        <w:tabs>
          <w:tab w:val="left" w:pos="0"/>
        </w:tabs>
        <w:spacing w:line="233" w:lineRule="auto"/>
        <w:jc w:val="both"/>
        <w:rPr>
          <w:b/>
          <w:sz w:val="24"/>
        </w:rPr>
      </w:pPr>
      <w:r>
        <w:rPr>
          <w:sz w:val="24"/>
        </w:rPr>
        <w:t>Velma Berry</w:t>
      </w:r>
      <w:r>
        <w:rPr>
          <w:sz w:val="24"/>
        </w:rPr>
        <w:tab/>
      </w:r>
      <w:r>
        <w:rPr>
          <w:sz w:val="24"/>
        </w:rPr>
        <w:tab/>
      </w:r>
      <w:r>
        <w:rPr>
          <w:sz w:val="24"/>
        </w:rPr>
        <w:tab/>
      </w:r>
      <w:r>
        <w:rPr>
          <w:sz w:val="24"/>
        </w:rPr>
        <w:tab/>
      </w:r>
      <w:r>
        <w:rPr>
          <w:sz w:val="24"/>
        </w:rPr>
        <w:tab/>
      </w:r>
      <w:r>
        <w:rPr>
          <w:sz w:val="24"/>
        </w:rPr>
        <w:tab/>
      </w:r>
      <w:r w:rsidRPr="00560DC5">
        <w:rPr>
          <w:sz w:val="24"/>
        </w:rPr>
        <w:t>:</w:t>
      </w:r>
    </w:p>
    <w:p w:rsidR="00332CA0" w:rsidRPr="00560DC5" w:rsidRDefault="00EF350F"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EF350F" w:rsidP="00560DC5">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2F0245" w:rsidRPr="002F0245">
        <w:rPr>
          <w:sz w:val="24"/>
        </w:rPr>
        <w:t>F-2009-2139983</w:t>
      </w:r>
    </w:p>
    <w:p w:rsidR="00332CA0" w:rsidRPr="00560DC5" w:rsidRDefault="00EF350F"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2F0245" w:rsidP="00560DC5">
      <w:pPr>
        <w:tabs>
          <w:tab w:val="left" w:pos="0"/>
        </w:tabs>
        <w:spacing w:line="233" w:lineRule="auto"/>
        <w:jc w:val="both"/>
        <w:rPr>
          <w:sz w:val="24"/>
        </w:rPr>
      </w:pPr>
      <w:r>
        <w:rPr>
          <w:sz w:val="24"/>
        </w:rPr>
        <w:t>Duquesne Light Company</w:t>
      </w:r>
      <w:r>
        <w:rPr>
          <w:sz w:val="24"/>
        </w:rPr>
        <w:tab/>
      </w:r>
      <w:r>
        <w:rPr>
          <w:sz w:val="24"/>
        </w:rPr>
        <w:tab/>
      </w:r>
      <w:r>
        <w:rPr>
          <w:sz w:val="24"/>
        </w:rPr>
        <w:tab/>
      </w:r>
      <w:r w:rsidR="00BC1622">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BF6053" w:rsidRPr="00B3678F" w:rsidRDefault="00BF6053" w:rsidP="00BF6053">
      <w:pPr>
        <w:jc w:val="center"/>
        <w:outlineLvl w:val="0"/>
        <w:rPr>
          <w:b/>
          <w:bCs/>
          <w:sz w:val="24"/>
          <w:szCs w:val="24"/>
          <w:u w:val="single"/>
        </w:rPr>
      </w:pPr>
      <w:r>
        <w:rPr>
          <w:b/>
          <w:bCs/>
          <w:sz w:val="24"/>
          <w:szCs w:val="24"/>
          <w:u w:val="single"/>
        </w:rPr>
        <w:t>INITIAL DECISION</w:t>
      </w:r>
    </w:p>
    <w:p w:rsidR="00BF6053" w:rsidRDefault="00BF6053" w:rsidP="00BF6053">
      <w:pPr>
        <w:jc w:val="center"/>
        <w:rPr>
          <w:bCs/>
          <w:sz w:val="24"/>
          <w:szCs w:val="24"/>
        </w:rPr>
      </w:pPr>
    </w:p>
    <w:p w:rsidR="00BF6053" w:rsidRDefault="00BF6053" w:rsidP="00BF6053">
      <w:pPr>
        <w:jc w:val="center"/>
        <w:outlineLvl w:val="0"/>
        <w:rPr>
          <w:bCs/>
          <w:sz w:val="24"/>
          <w:szCs w:val="24"/>
        </w:rPr>
      </w:pPr>
    </w:p>
    <w:p w:rsidR="00BF6053" w:rsidRDefault="00BF6053" w:rsidP="00BF6053">
      <w:pPr>
        <w:jc w:val="center"/>
        <w:outlineLvl w:val="0"/>
        <w:rPr>
          <w:bCs/>
          <w:sz w:val="24"/>
          <w:szCs w:val="24"/>
        </w:rPr>
      </w:pPr>
      <w:r>
        <w:rPr>
          <w:bCs/>
          <w:sz w:val="24"/>
          <w:szCs w:val="24"/>
        </w:rPr>
        <w:t>Before</w:t>
      </w:r>
    </w:p>
    <w:p w:rsidR="00BF6053" w:rsidRDefault="00BF6053" w:rsidP="00BF6053">
      <w:pPr>
        <w:jc w:val="center"/>
        <w:rPr>
          <w:bCs/>
          <w:sz w:val="24"/>
          <w:szCs w:val="24"/>
        </w:rPr>
      </w:pPr>
      <w:r>
        <w:rPr>
          <w:bCs/>
          <w:sz w:val="24"/>
          <w:szCs w:val="24"/>
        </w:rPr>
        <w:t>Conrad A. Johnson</w:t>
      </w:r>
    </w:p>
    <w:p w:rsidR="00BF6053" w:rsidRDefault="00BF6053" w:rsidP="00BF6053">
      <w:pPr>
        <w:jc w:val="center"/>
        <w:rPr>
          <w:bCs/>
          <w:sz w:val="24"/>
          <w:szCs w:val="24"/>
        </w:rPr>
      </w:pPr>
      <w:r>
        <w:rPr>
          <w:bCs/>
          <w:sz w:val="24"/>
          <w:szCs w:val="24"/>
        </w:rPr>
        <w:t>Administrative Law Judge</w:t>
      </w:r>
    </w:p>
    <w:p w:rsidR="00BF6053" w:rsidRDefault="00BF6053" w:rsidP="00BF6053">
      <w:pPr>
        <w:jc w:val="center"/>
        <w:rPr>
          <w:bCs/>
          <w:sz w:val="24"/>
          <w:szCs w:val="24"/>
        </w:rPr>
      </w:pPr>
    </w:p>
    <w:p w:rsidR="00BF6053" w:rsidRDefault="00BF6053" w:rsidP="00BF6053">
      <w:pPr>
        <w:jc w:val="center"/>
        <w:rPr>
          <w:bCs/>
          <w:sz w:val="24"/>
          <w:szCs w:val="24"/>
        </w:rPr>
      </w:pPr>
    </w:p>
    <w:p w:rsidR="00BF6053" w:rsidRDefault="00BF6053" w:rsidP="00BF6053">
      <w:pPr>
        <w:jc w:val="center"/>
        <w:outlineLvl w:val="0"/>
        <w:rPr>
          <w:bCs/>
          <w:sz w:val="24"/>
          <w:szCs w:val="24"/>
          <w:u w:val="single"/>
        </w:rPr>
      </w:pPr>
      <w:r>
        <w:rPr>
          <w:bCs/>
          <w:sz w:val="24"/>
          <w:szCs w:val="24"/>
          <w:u w:val="single"/>
        </w:rPr>
        <w:t>HISTORY OF THE PROCEEDING</w:t>
      </w:r>
    </w:p>
    <w:p w:rsidR="00BF6053" w:rsidRDefault="00BF6053" w:rsidP="00BF6053">
      <w:pPr>
        <w:jc w:val="center"/>
        <w:rPr>
          <w:bCs/>
          <w:sz w:val="24"/>
          <w:szCs w:val="24"/>
          <w:u w:val="single"/>
        </w:rPr>
      </w:pPr>
    </w:p>
    <w:p w:rsidR="00BF6053" w:rsidRPr="00B3678F" w:rsidRDefault="00BF6053" w:rsidP="00BF6053">
      <w:pPr>
        <w:spacing w:line="360" w:lineRule="auto"/>
        <w:jc w:val="center"/>
        <w:rPr>
          <w:bCs/>
          <w:sz w:val="24"/>
          <w:szCs w:val="24"/>
        </w:rPr>
      </w:pPr>
    </w:p>
    <w:p w:rsidR="00485E89" w:rsidRDefault="00AA791D" w:rsidP="00BF0427">
      <w:pPr>
        <w:tabs>
          <w:tab w:val="left" w:pos="0"/>
        </w:tabs>
        <w:spacing w:line="360" w:lineRule="auto"/>
        <w:rPr>
          <w:sz w:val="24"/>
          <w:szCs w:val="24"/>
        </w:rPr>
      </w:pPr>
      <w:r>
        <w:rPr>
          <w:sz w:val="24"/>
          <w:szCs w:val="24"/>
        </w:rPr>
        <w:tab/>
      </w:r>
      <w:r>
        <w:rPr>
          <w:sz w:val="24"/>
          <w:szCs w:val="24"/>
        </w:rPr>
        <w:tab/>
      </w:r>
      <w:r w:rsidR="00BF6053">
        <w:rPr>
          <w:sz w:val="24"/>
          <w:szCs w:val="24"/>
        </w:rPr>
        <w:t xml:space="preserve">On </w:t>
      </w:r>
      <w:r w:rsidR="002F0245">
        <w:rPr>
          <w:sz w:val="24"/>
          <w:szCs w:val="24"/>
        </w:rPr>
        <w:t xml:space="preserve">November 4, </w:t>
      </w:r>
      <w:r w:rsidR="00EC7F5A">
        <w:rPr>
          <w:sz w:val="24"/>
          <w:szCs w:val="24"/>
        </w:rPr>
        <w:t>200</w:t>
      </w:r>
      <w:r w:rsidR="002F0245">
        <w:rPr>
          <w:sz w:val="24"/>
          <w:szCs w:val="24"/>
        </w:rPr>
        <w:t>9</w:t>
      </w:r>
      <w:r w:rsidR="00BF6053">
        <w:rPr>
          <w:sz w:val="24"/>
          <w:szCs w:val="24"/>
        </w:rPr>
        <w:t xml:space="preserve">, Complainant </w:t>
      </w:r>
      <w:r w:rsidR="002F0245">
        <w:rPr>
          <w:sz w:val="24"/>
          <w:szCs w:val="24"/>
        </w:rPr>
        <w:t xml:space="preserve">Velma Berry </w:t>
      </w:r>
      <w:r w:rsidR="00BF6053">
        <w:rPr>
          <w:sz w:val="24"/>
          <w:szCs w:val="24"/>
        </w:rPr>
        <w:t>(Complainant or Ms. </w:t>
      </w:r>
      <w:r w:rsidR="002F0245">
        <w:rPr>
          <w:sz w:val="24"/>
          <w:szCs w:val="24"/>
        </w:rPr>
        <w:t>Berry</w:t>
      </w:r>
      <w:r w:rsidR="00BF6053">
        <w:rPr>
          <w:sz w:val="24"/>
          <w:szCs w:val="24"/>
        </w:rPr>
        <w:t>) filed</w:t>
      </w:r>
      <w:r w:rsidR="00BF0427">
        <w:rPr>
          <w:sz w:val="24"/>
          <w:szCs w:val="24"/>
        </w:rPr>
        <w:t xml:space="preserve"> a Formal Complaint </w:t>
      </w:r>
      <w:r w:rsidR="00BF6053">
        <w:rPr>
          <w:sz w:val="24"/>
          <w:szCs w:val="24"/>
        </w:rPr>
        <w:t xml:space="preserve">with the </w:t>
      </w:r>
      <w:r w:rsidR="001D684C">
        <w:rPr>
          <w:sz w:val="24"/>
          <w:szCs w:val="24"/>
        </w:rPr>
        <w:t xml:space="preserve">Pennsylvania </w:t>
      </w:r>
      <w:r w:rsidR="00BF6053">
        <w:rPr>
          <w:sz w:val="24"/>
          <w:szCs w:val="24"/>
        </w:rPr>
        <w:t xml:space="preserve">Public Utility Commission (Commission) </w:t>
      </w:r>
      <w:r w:rsidR="00676D58">
        <w:rPr>
          <w:sz w:val="24"/>
          <w:szCs w:val="24"/>
        </w:rPr>
        <w:t xml:space="preserve">against </w:t>
      </w:r>
      <w:r w:rsidR="002F0245">
        <w:rPr>
          <w:sz w:val="24"/>
          <w:szCs w:val="24"/>
        </w:rPr>
        <w:t xml:space="preserve">Duquesne Light Company </w:t>
      </w:r>
      <w:r w:rsidR="00676D58">
        <w:rPr>
          <w:sz w:val="24"/>
          <w:szCs w:val="24"/>
        </w:rPr>
        <w:t>(Respondent</w:t>
      </w:r>
      <w:r w:rsidR="001D684C">
        <w:rPr>
          <w:sz w:val="24"/>
          <w:szCs w:val="24"/>
        </w:rPr>
        <w:t xml:space="preserve"> or </w:t>
      </w:r>
      <w:r w:rsidR="002F0245">
        <w:rPr>
          <w:sz w:val="24"/>
          <w:szCs w:val="24"/>
        </w:rPr>
        <w:t>Duquesne Light</w:t>
      </w:r>
      <w:r w:rsidR="00676D58">
        <w:rPr>
          <w:sz w:val="24"/>
          <w:szCs w:val="24"/>
        </w:rPr>
        <w:t>).</w:t>
      </w:r>
      <w:r w:rsidR="00DB4100">
        <w:rPr>
          <w:sz w:val="24"/>
          <w:szCs w:val="24"/>
        </w:rPr>
        <w:t xml:space="preserve">  </w:t>
      </w:r>
      <w:r w:rsidR="001D684C">
        <w:rPr>
          <w:sz w:val="24"/>
          <w:szCs w:val="24"/>
        </w:rPr>
        <w:t xml:space="preserve">Ms. </w:t>
      </w:r>
      <w:r w:rsidR="00BE0DDA">
        <w:rPr>
          <w:sz w:val="24"/>
          <w:szCs w:val="24"/>
        </w:rPr>
        <w:t>Berry</w:t>
      </w:r>
      <w:r w:rsidR="009F6FD0">
        <w:rPr>
          <w:sz w:val="24"/>
          <w:szCs w:val="24"/>
        </w:rPr>
        <w:t xml:space="preserve"> alleged </w:t>
      </w:r>
      <w:r w:rsidR="00B56451">
        <w:rPr>
          <w:sz w:val="24"/>
          <w:szCs w:val="24"/>
        </w:rPr>
        <w:t xml:space="preserve">her </w:t>
      </w:r>
      <w:r w:rsidR="00BE0DDA">
        <w:rPr>
          <w:sz w:val="24"/>
          <w:szCs w:val="24"/>
        </w:rPr>
        <w:t>electric bill has always been too high for a three</w:t>
      </w:r>
      <w:r w:rsidR="0005165A">
        <w:rPr>
          <w:sz w:val="24"/>
          <w:szCs w:val="24"/>
        </w:rPr>
        <w:t>-</w:t>
      </w:r>
      <w:r w:rsidR="00BE0DDA">
        <w:rPr>
          <w:sz w:val="24"/>
          <w:szCs w:val="24"/>
        </w:rPr>
        <w:t xml:space="preserve">room apartment. </w:t>
      </w:r>
      <w:r w:rsidR="00204EB8">
        <w:rPr>
          <w:sz w:val="24"/>
          <w:szCs w:val="24"/>
        </w:rPr>
        <w:t xml:space="preserve"> </w:t>
      </w:r>
      <w:r w:rsidR="00BE0DDA">
        <w:rPr>
          <w:sz w:val="24"/>
          <w:szCs w:val="24"/>
        </w:rPr>
        <w:t>She further alleged she is out o</w:t>
      </w:r>
      <w:r w:rsidR="00AA2380">
        <w:rPr>
          <w:sz w:val="24"/>
          <w:szCs w:val="24"/>
        </w:rPr>
        <w:t xml:space="preserve">f the apartment ten hours a day, as opposed to her neighbors who are home </w:t>
      </w:r>
      <w:r w:rsidR="000B5ED3">
        <w:rPr>
          <w:sz w:val="24"/>
          <w:szCs w:val="24"/>
        </w:rPr>
        <w:t>24/7</w:t>
      </w:r>
      <w:r w:rsidR="00AA2380">
        <w:rPr>
          <w:sz w:val="24"/>
          <w:szCs w:val="24"/>
        </w:rPr>
        <w:t xml:space="preserve"> and do not </w:t>
      </w:r>
      <w:r w:rsidR="00204EB8">
        <w:rPr>
          <w:sz w:val="24"/>
          <w:szCs w:val="24"/>
        </w:rPr>
        <w:t>pay as much as she pays for electricity</w:t>
      </w:r>
      <w:r w:rsidR="00AA2380">
        <w:rPr>
          <w:sz w:val="24"/>
          <w:szCs w:val="24"/>
        </w:rPr>
        <w:t xml:space="preserve">. </w:t>
      </w:r>
      <w:r w:rsidR="00BC0C0D">
        <w:rPr>
          <w:sz w:val="24"/>
          <w:szCs w:val="24"/>
        </w:rPr>
        <w:t xml:space="preserve"> </w:t>
      </w:r>
      <w:r w:rsidR="00AA2380">
        <w:rPr>
          <w:sz w:val="24"/>
          <w:szCs w:val="24"/>
        </w:rPr>
        <w:t xml:space="preserve">Her </w:t>
      </w:r>
      <w:r w:rsidR="00204EB8">
        <w:rPr>
          <w:sz w:val="24"/>
          <w:szCs w:val="24"/>
        </w:rPr>
        <w:t>“</w:t>
      </w:r>
      <w:r w:rsidR="00AA2380">
        <w:rPr>
          <w:sz w:val="24"/>
          <w:szCs w:val="24"/>
        </w:rPr>
        <w:t xml:space="preserve">neighbors </w:t>
      </w:r>
      <w:r w:rsidR="00204EB8">
        <w:rPr>
          <w:sz w:val="24"/>
          <w:szCs w:val="24"/>
        </w:rPr>
        <w:t>are getting bills</w:t>
      </w:r>
      <w:r w:rsidR="000B5ED3">
        <w:rPr>
          <w:sz w:val="24"/>
          <w:szCs w:val="24"/>
        </w:rPr>
        <w:t xml:space="preserve"> for</w:t>
      </w:r>
      <w:r w:rsidR="00AA2380">
        <w:rPr>
          <w:sz w:val="24"/>
          <w:szCs w:val="24"/>
        </w:rPr>
        <w:t xml:space="preserve"> $40 to $60 a month</w:t>
      </w:r>
      <w:r w:rsidR="000B5ED3">
        <w:rPr>
          <w:sz w:val="24"/>
          <w:szCs w:val="24"/>
        </w:rPr>
        <w:t>.”</w:t>
      </w:r>
      <w:r w:rsidR="00AA2380">
        <w:rPr>
          <w:sz w:val="24"/>
          <w:szCs w:val="24"/>
        </w:rPr>
        <w:t xml:space="preserve"> </w:t>
      </w:r>
      <w:r w:rsidR="00204EB8">
        <w:rPr>
          <w:sz w:val="24"/>
          <w:szCs w:val="24"/>
        </w:rPr>
        <w:t xml:space="preserve"> </w:t>
      </w:r>
      <w:r w:rsidR="00F63339">
        <w:rPr>
          <w:sz w:val="24"/>
          <w:szCs w:val="24"/>
        </w:rPr>
        <w:t xml:space="preserve">She asked the Commission to </w:t>
      </w:r>
      <w:r w:rsidR="00AA2380">
        <w:rPr>
          <w:sz w:val="24"/>
          <w:szCs w:val="24"/>
        </w:rPr>
        <w:t>look into the problem</w:t>
      </w:r>
      <w:r w:rsidR="00FD203B">
        <w:rPr>
          <w:sz w:val="24"/>
          <w:szCs w:val="24"/>
        </w:rPr>
        <w:t>.</w:t>
      </w:r>
      <w:r w:rsidR="00DB4100">
        <w:rPr>
          <w:sz w:val="24"/>
          <w:szCs w:val="24"/>
        </w:rPr>
        <w:t xml:space="preserve">  </w:t>
      </w:r>
      <w:proofErr w:type="gramStart"/>
      <w:r w:rsidR="009143DB">
        <w:rPr>
          <w:sz w:val="24"/>
          <w:szCs w:val="24"/>
        </w:rPr>
        <w:t>Complaint ¶¶ 4A and 5.</w:t>
      </w:r>
      <w:proofErr w:type="gramEnd"/>
      <w:r w:rsidR="009F6FD0">
        <w:rPr>
          <w:sz w:val="24"/>
          <w:szCs w:val="24"/>
        </w:rPr>
        <w:t xml:space="preserve"> </w:t>
      </w:r>
      <w:r w:rsidR="00A82A43">
        <w:rPr>
          <w:sz w:val="24"/>
          <w:szCs w:val="24"/>
        </w:rPr>
        <w:t xml:space="preserve"> </w:t>
      </w:r>
    </w:p>
    <w:p w:rsidR="007505EC" w:rsidRDefault="007505EC" w:rsidP="00BF0427">
      <w:pPr>
        <w:tabs>
          <w:tab w:val="left" w:pos="0"/>
        </w:tabs>
        <w:spacing w:line="360" w:lineRule="auto"/>
        <w:rPr>
          <w:sz w:val="24"/>
          <w:szCs w:val="24"/>
        </w:rPr>
      </w:pPr>
    </w:p>
    <w:p w:rsidR="00AD5020" w:rsidRDefault="00AD5020" w:rsidP="00BF0427">
      <w:pPr>
        <w:tabs>
          <w:tab w:val="left" w:pos="0"/>
        </w:tabs>
        <w:spacing w:line="360" w:lineRule="auto"/>
        <w:rPr>
          <w:sz w:val="24"/>
          <w:szCs w:val="24"/>
        </w:rPr>
      </w:pPr>
      <w:r>
        <w:rPr>
          <w:sz w:val="24"/>
          <w:szCs w:val="24"/>
        </w:rPr>
        <w:tab/>
      </w:r>
      <w:r>
        <w:rPr>
          <w:sz w:val="24"/>
          <w:szCs w:val="24"/>
        </w:rPr>
        <w:tab/>
        <w:t xml:space="preserve">On </w:t>
      </w:r>
      <w:r w:rsidR="00486B29">
        <w:rPr>
          <w:sz w:val="24"/>
          <w:szCs w:val="24"/>
        </w:rPr>
        <w:t>November 30, 2009</w:t>
      </w:r>
      <w:r w:rsidR="007505EC">
        <w:rPr>
          <w:sz w:val="24"/>
          <w:szCs w:val="24"/>
        </w:rPr>
        <w:t xml:space="preserve">, </w:t>
      </w:r>
      <w:r w:rsidR="00486B29">
        <w:rPr>
          <w:sz w:val="24"/>
          <w:szCs w:val="24"/>
        </w:rPr>
        <w:t>Duquesne Light</w:t>
      </w:r>
      <w:r w:rsidR="00641CE6">
        <w:rPr>
          <w:sz w:val="24"/>
          <w:szCs w:val="24"/>
        </w:rPr>
        <w:t xml:space="preserve"> </w:t>
      </w:r>
      <w:r w:rsidR="007505EC">
        <w:rPr>
          <w:sz w:val="24"/>
          <w:szCs w:val="24"/>
        </w:rPr>
        <w:t xml:space="preserve">filed an Answer </w:t>
      </w:r>
      <w:r w:rsidR="00E55E15">
        <w:rPr>
          <w:sz w:val="24"/>
          <w:szCs w:val="24"/>
        </w:rPr>
        <w:t xml:space="preserve">to the Formal Complaint </w:t>
      </w:r>
      <w:r w:rsidR="00486B29">
        <w:rPr>
          <w:sz w:val="24"/>
          <w:szCs w:val="24"/>
        </w:rPr>
        <w:t xml:space="preserve">and alleged Complainant’s electric meter was tested on June 19, 2006 and found to be </w:t>
      </w:r>
      <w:r w:rsidR="0083487F">
        <w:rPr>
          <w:sz w:val="24"/>
          <w:szCs w:val="24"/>
        </w:rPr>
        <w:t>operating correctly.</w:t>
      </w:r>
      <w:r w:rsidR="00F05186">
        <w:rPr>
          <w:sz w:val="24"/>
          <w:szCs w:val="24"/>
        </w:rPr>
        <w:t xml:space="preserve">  </w:t>
      </w:r>
      <w:r w:rsidR="00F1789E">
        <w:rPr>
          <w:sz w:val="24"/>
          <w:szCs w:val="24"/>
        </w:rPr>
        <w:t>Answer ¶</w:t>
      </w:r>
      <w:r w:rsidR="0083487F">
        <w:rPr>
          <w:sz w:val="24"/>
          <w:szCs w:val="24"/>
        </w:rPr>
        <w:t>4A</w:t>
      </w:r>
      <w:r w:rsidR="00F1789E">
        <w:rPr>
          <w:sz w:val="24"/>
          <w:szCs w:val="24"/>
        </w:rPr>
        <w:t xml:space="preserve">.  </w:t>
      </w:r>
      <w:r w:rsidR="00FA4C97">
        <w:rPr>
          <w:sz w:val="24"/>
          <w:szCs w:val="24"/>
        </w:rPr>
        <w:t xml:space="preserve">Respondent </w:t>
      </w:r>
      <w:r w:rsidR="0083487F">
        <w:rPr>
          <w:sz w:val="24"/>
          <w:szCs w:val="24"/>
        </w:rPr>
        <w:t xml:space="preserve">asked the Commission to dismiss the Complaint. </w:t>
      </w:r>
    </w:p>
    <w:p w:rsidR="0083487F" w:rsidRDefault="00AD5020" w:rsidP="0083487F">
      <w:pPr>
        <w:tabs>
          <w:tab w:val="left" w:pos="0"/>
        </w:tabs>
        <w:rPr>
          <w:sz w:val="24"/>
          <w:szCs w:val="24"/>
        </w:rPr>
      </w:pPr>
      <w:r>
        <w:rPr>
          <w:sz w:val="24"/>
          <w:szCs w:val="24"/>
        </w:rPr>
        <w:tab/>
      </w:r>
      <w:r>
        <w:rPr>
          <w:sz w:val="24"/>
          <w:szCs w:val="24"/>
        </w:rPr>
        <w:tab/>
      </w:r>
    </w:p>
    <w:p w:rsidR="004313C2" w:rsidRDefault="004313C2" w:rsidP="00863902">
      <w:pPr>
        <w:tabs>
          <w:tab w:val="left" w:pos="0"/>
        </w:tabs>
        <w:spacing w:line="360" w:lineRule="auto"/>
        <w:rPr>
          <w:sz w:val="24"/>
        </w:rPr>
      </w:pPr>
      <w:r>
        <w:rPr>
          <w:sz w:val="24"/>
        </w:rPr>
        <w:tab/>
      </w:r>
      <w:r>
        <w:rPr>
          <w:sz w:val="24"/>
        </w:rPr>
        <w:tab/>
        <w:t xml:space="preserve">On </w:t>
      </w:r>
      <w:r w:rsidR="009E04D7">
        <w:rPr>
          <w:sz w:val="24"/>
        </w:rPr>
        <w:t>Ju</w:t>
      </w:r>
      <w:r w:rsidR="00863902">
        <w:rPr>
          <w:sz w:val="24"/>
        </w:rPr>
        <w:t>ly 15,</w:t>
      </w:r>
      <w:r>
        <w:rPr>
          <w:sz w:val="24"/>
        </w:rPr>
        <w:t xml:space="preserve"> 2010, the Commission notified the parties that this case was assigned to the undersigned for hearing</w:t>
      </w:r>
      <w:r w:rsidR="004465DB">
        <w:rPr>
          <w:sz w:val="24"/>
        </w:rPr>
        <w:t xml:space="preserve"> </w:t>
      </w:r>
      <w:r w:rsidR="005901A8">
        <w:rPr>
          <w:sz w:val="24"/>
        </w:rPr>
        <w:t xml:space="preserve">in Pittsburgh </w:t>
      </w:r>
      <w:r>
        <w:rPr>
          <w:sz w:val="24"/>
        </w:rPr>
        <w:t xml:space="preserve">on </w:t>
      </w:r>
      <w:r w:rsidR="00863902">
        <w:rPr>
          <w:sz w:val="24"/>
        </w:rPr>
        <w:t>August 17</w:t>
      </w:r>
      <w:r>
        <w:rPr>
          <w:sz w:val="24"/>
        </w:rPr>
        <w:t xml:space="preserve">, 2010, at 10:00 A.M. </w:t>
      </w:r>
      <w:r w:rsidR="00097B7B">
        <w:rPr>
          <w:sz w:val="24"/>
        </w:rPr>
        <w:t xml:space="preserve"> </w:t>
      </w:r>
      <w:r>
        <w:rPr>
          <w:sz w:val="24"/>
        </w:rPr>
        <w:t xml:space="preserve">A Prehearing Order was served upon the parties on </w:t>
      </w:r>
      <w:r w:rsidR="009E04D7">
        <w:rPr>
          <w:sz w:val="24"/>
        </w:rPr>
        <w:t>Ju</w:t>
      </w:r>
      <w:r w:rsidR="00863902">
        <w:rPr>
          <w:sz w:val="24"/>
        </w:rPr>
        <w:t>ly</w:t>
      </w:r>
      <w:r w:rsidR="009E04D7">
        <w:rPr>
          <w:sz w:val="24"/>
        </w:rPr>
        <w:t xml:space="preserve"> </w:t>
      </w:r>
      <w:r w:rsidR="00863902">
        <w:rPr>
          <w:sz w:val="24"/>
        </w:rPr>
        <w:t>16</w:t>
      </w:r>
      <w:r w:rsidR="00A82A43">
        <w:rPr>
          <w:sz w:val="24"/>
        </w:rPr>
        <w:t xml:space="preserve">, 2010. </w:t>
      </w:r>
      <w:r w:rsidR="009E04D7">
        <w:rPr>
          <w:sz w:val="24"/>
        </w:rPr>
        <w:t xml:space="preserve"> </w:t>
      </w:r>
    </w:p>
    <w:p w:rsidR="00FE0442" w:rsidRDefault="00FE0442" w:rsidP="00EC21E9">
      <w:pPr>
        <w:spacing w:line="360" w:lineRule="auto"/>
        <w:rPr>
          <w:sz w:val="24"/>
        </w:rPr>
      </w:pPr>
    </w:p>
    <w:p w:rsidR="00A82A43" w:rsidRDefault="00F460A5" w:rsidP="00065F42">
      <w:pPr>
        <w:spacing w:line="360" w:lineRule="auto"/>
        <w:rPr>
          <w:sz w:val="24"/>
        </w:rPr>
      </w:pPr>
      <w:r>
        <w:rPr>
          <w:sz w:val="24"/>
        </w:rPr>
        <w:tab/>
      </w:r>
      <w:r>
        <w:rPr>
          <w:sz w:val="24"/>
        </w:rPr>
        <w:tab/>
      </w:r>
      <w:r w:rsidR="00330C53">
        <w:rPr>
          <w:sz w:val="24"/>
        </w:rPr>
        <w:t>A</w:t>
      </w:r>
      <w:r w:rsidR="00125C88">
        <w:rPr>
          <w:sz w:val="24"/>
        </w:rPr>
        <w:t xml:space="preserve">n initial </w:t>
      </w:r>
      <w:r w:rsidR="00330C53">
        <w:rPr>
          <w:sz w:val="24"/>
        </w:rPr>
        <w:t xml:space="preserve">hearing was convened and closed in Pittsburgh by the undersigned on </w:t>
      </w:r>
      <w:r w:rsidR="00622189">
        <w:rPr>
          <w:sz w:val="24"/>
        </w:rPr>
        <w:t xml:space="preserve">August </w:t>
      </w:r>
      <w:r w:rsidR="008A5BDB">
        <w:rPr>
          <w:sz w:val="24"/>
        </w:rPr>
        <w:t>1</w:t>
      </w:r>
      <w:r w:rsidR="00622189">
        <w:rPr>
          <w:sz w:val="24"/>
        </w:rPr>
        <w:t>7</w:t>
      </w:r>
      <w:r w:rsidR="00330C53">
        <w:rPr>
          <w:sz w:val="24"/>
        </w:rPr>
        <w:t>, 2010.</w:t>
      </w:r>
      <w:r w:rsidR="00CF69EC">
        <w:rPr>
          <w:sz w:val="24"/>
        </w:rPr>
        <w:t xml:space="preserve"> </w:t>
      </w:r>
      <w:r w:rsidR="00097B7B">
        <w:rPr>
          <w:sz w:val="24"/>
        </w:rPr>
        <w:t xml:space="preserve"> </w:t>
      </w:r>
      <w:r w:rsidR="001B3F16">
        <w:rPr>
          <w:sz w:val="24"/>
        </w:rPr>
        <w:t xml:space="preserve">Hearing participants included </w:t>
      </w:r>
      <w:r w:rsidR="00CF69EC">
        <w:rPr>
          <w:sz w:val="24"/>
        </w:rPr>
        <w:t xml:space="preserve">Complainant, </w:t>
      </w:r>
      <w:r w:rsidR="000D4AA2">
        <w:rPr>
          <w:sz w:val="24"/>
        </w:rPr>
        <w:t>Respondent’s</w:t>
      </w:r>
      <w:r w:rsidR="001E4A7D">
        <w:rPr>
          <w:sz w:val="24"/>
        </w:rPr>
        <w:t xml:space="preserve"> attorney, </w:t>
      </w:r>
      <w:proofErr w:type="spellStart"/>
      <w:r w:rsidR="001E4A7D">
        <w:rPr>
          <w:sz w:val="24"/>
        </w:rPr>
        <w:t>Krysia</w:t>
      </w:r>
      <w:proofErr w:type="spellEnd"/>
      <w:r w:rsidR="001E4A7D">
        <w:rPr>
          <w:sz w:val="24"/>
        </w:rPr>
        <w:t xml:space="preserve"> </w:t>
      </w:r>
      <w:proofErr w:type="spellStart"/>
      <w:r w:rsidR="001E4A7D">
        <w:rPr>
          <w:sz w:val="24"/>
        </w:rPr>
        <w:t>Kubiak</w:t>
      </w:r>
      <w:proofErr w:type="spellEnd"/>
      <w:r w:rsidR="001E4A7D">
        <w:rPr>
          <w:sz w:val="24"/>
        </w:rPr>
        <w:t xml:space="preserve"> and </w:t>
      </w:r>
      <w:r w:rsidR="000D4AA2">
        <w:rPr>
          <w:sz w:val="24"/>
        </w:rPr>
        <w:t>witness</w:t>
      </w:r>
      <w:r w:rsidR="008A5BDB">
        <w:rPr>
          <w:sz w:val="24"/>
        </w:rPr>
        <w:t>es</w:t>
      </w:r>
      <w:r w:rsidR="001E4A7D">
        <w:rPr>
          <w:sz w:val="24"/>
        </w:rPr>
        <w:t>, Debra Brown and Edward Keegan</w:t>
      </w:r>
      <w:r w:rsidR="00C7133B">
        <w:rPr>
          <w:sz w:val="24"/>
        </w:rPr>
        <w:t>.</w:t>
      </w:r>
      <w:r w:rsidR="00DB4100">
        <w:rPr>
          <w:sz w:val="24"/>
        </w:rPr>
        <w:t xml:space="preserve"> </w:t>
      </w:r>
      <w:r w:rsidR="00C7133B">
        <w:rPr>
          <w:sz w:val="24"/>
        </w:rPr>
        <w:t xml:space="preserve"> Testimony was received from both</w:t>
      </w:r>
      <w:r w:rsidR="00804D2F">
        <w:rPr>
          <w:sz w:val="24"/>
        </w:rPr>
        <w:t xml:space="preserve"> p</w:t>
      </w:r>
      <w:r w:rsidR="00C7133B">
        <w:rPr>
          <w:sz w:val="24"/>
        </w:rPr>
        <w:t xml:space="preserve">arties. </w:t>
      </w:r>
      <w:r w:rsidR="00001530">
        <w:rPr>
          <w:sz w:val="24"/>
        </w:rPr>
        <w:t xml:space="preserve"> </w:t>
      </w:r>
      <w:r w:rsidR="00C7133B">
        <w:rPr>
          <w:sz w:val="24"/>
        </w:rPr>
        <w:t xml:space="preserve">Complainant </w:t>
      </w:r>
      <w:r w:rsidR="008A5BDB">
        <w:rPr>
          <w:sz w:val="24"/>
        </w:rPr>
        <w:t xml:space="preserve">did not </w:t>
      </w:r>
      <w:r w:rsidR="00C7133B">
        <w:rPr>
          <w:sz w:val="24"/>
        </w:rPr>
        <w:t>offer</w:t>
      </w:r>
      <w:r w:rsidR="008A5BDB">
        <w:rPr>
          <w:sz w:val="24"/>
        </w:rPr>
        <w:t xml:space="preserve"> any</w:t>
      </w:r>
      <w:r w:rsidR="00125C88">
        <w:rPr>
          <w:sz w:val="24"/>
        </w:rPr>
        <w:t xml:space="preserve"> </w:t>
      </w:r>
      <w:r w:rsidR="00C7133B">
        <w:rPr>
          <w:sz w:val="24"/>
        </w:rPr>
        <w:t>exhibit</w:t>
      </w:r>
      <w:r w:rsidR="008A5BDB">
        <w:rPr>
          <w:sz w:val="24"/>
        </w:rPr>
        <w:t>s</w:t>
      </w:r>
      <w:r w:rsidR="00C33E5C" w:rsidRPr="0031290E">
        <w:rPr>
          <w:sz w:val="24"/>
        </w:rPr>
        <w:t>.</w:t>
      </w:r>
      <w:r w:rsidR="00C33E5C">
        <w:rPr>
          <w:sz w:val="24"/>
        </w:rPr>
        <w:t xml:space="preserve"> </w:t>
      </w:r>
      <w:r w:rsidR="00C7133B">
        <w:rPr>
          <w:sz w:val="24"/>
        </w:rPr>
        <w:t xml:space="preserve"> Respondent offered </w:t>
      </w:r>
      <w:r w:rsidR="008A5BDB">
        <w:rPr>
          <w:sz w:val="24"/>
        </w:rPr>
        <w:t>E</w:t>
      </w:r>
      <w:r w:rsidR="00C7133B">
        <w:rPr>
          <w:sz w:val="24"/>
        </w:rPr>
        <w:t>xhibits</w:t>
      </w:r>
      <w:r w:rsidR="008A5BDB">
        <w:rPr>
          <w:sz w:val="24"/>
        </w:rPr>
        <w:t xml:space="preserve"> 1,</w:t>
      </w:r>
      <w:r w:rsidR="007A17C2">
        <w:rPr>
          <w:sz w:val="24"/>
        </w:rPr>
        <w:t xml:space="preserve"> </w:t>
      </w:r>
      <w:r w:rsidR="008A5BDB">
        <w:rPr>
          <w:sz w:val="24"/>
        </w:rPr>
        <w:t>2,</w:t>
      </w:r>
      <w:r w:rsidR="007A17C2">
        <w:rPr>
          <w:sz w:val="24"/>
        </w:rPr>
        <w:t xml:space="preserve"> </w:t>
      </w:r>
      <w:r w:rsidR="008A5BDB">
        <w:rPr>
          <w:sz w:val="24"/>
        </w:rPr>
        <w:t>4</w:t>
      </w:r>
      <w:r w:rsidR="00666C84">
        <w:rPr>
          <w:sz w:val="24"/>
        </w:rPr>
        <w:t>,</w:t>
      </w:r>
      <w:r w:rsidR="008A5BDB">
        <w:rPr>
          <w:sz w:val="24"/>
        </w:rPr>
        <w:t xml:space="preserve"> 5</w:t>
      </w:r>
      <w:r w:rsidR="00FD62FE">
        <w:rPr>
          <w:sz w:val="24"/>
        </w:rPr>
        <w:t xml:space="preserve"> </w:t>
      </w:r>
      <w:r w:rsidR="00666C84">
        <w:rPr>
          <w:sz w:val="24"/>
        </w:rPr>
        <w:t>and 6</w:t>
      </w:r>
      <w:r w:rsidR="00666C84">
        <w:rPr>
          <w:rStyle w:val="FootnoteReference"/>
          <w:sz w:val="24"/>
        </w:rPr>
        <w:footnoteReference w:id="1"/>
      </w:r>
      <w:r w:rsidR="00666C84">
        <w:rPr>
          <w:sz w:val="24"/>
        </w:rPr>
        <w:t xml:space="preserve">, </w:t>
      </w:r>
      <w:r w:rsidR="00FD62FE">
        <w:rPr>
          <w:sz w:val="24"/>
        </w:rPr>
        <w:t>which were admitted into the record</w:t>
      </w:r>
      <w:r w:rsidR="00001530">
        <w:rPr>
          <w:sz w:val="24"/>
        </w:rPr>
        <w:t xml:space="preserve"> </w:t>
      </w:r>
      <w:r w:rsidR="00C7133B" w:rsidRPr="009F2069">
        <w:rPr>
          <w:sz w:val="24"/>
        </w:rPr>
        <w:t>(Tr.</w:t>
      </w:r>
      <w:r w:rsidR="009005D7" w:rsidRPr="009F2069">
        <w:rPr>
          <w:sz w:val="24"/>
        </w:rPr>
        <w:t xml:space="preserve"> </w:t>
      </w:r>
      <w:r w:rsidR="007A17C2">
        <w:rPr>
          <w:sz w:val="24"/>
        </w:rPr>
        <w:t>37</w:t>
      </w:r>
      <w:r w:rsidR="00666C84">
        <w:rPr>
          <w:sz w:val="24"/>
        </w:rPr>
        <w:t>-38 and 50</w:t>
      </w:r>
      <w:r w:rsidR="009F2069">
        <w:rPr>
          <w:sz w:val="24"/>
        </w:rPr>
        <w:t>)</w:t>
      </w:r>
      <w:r w:rsidR="00BB44D1" w:rsidRPr="0031290E">
        <w:rPr>
          <w:sz w:val="24"/>
        </w:rPr>
        <w:t>.</w:t>
      </w:r>
      <w:r w:rsidR="00C7133B">
        <w:rPr>
          <w:sz w:val="24"/>
        </w:rPr>
        <w:t xml:space="preserve"> </w:t>
      </w:r>
    </w:p>
    <w:p w:rsidR="00BB44D1" w:rsidRDefault="00BB44D1" w:rsidP="00EC21E9">
      <w:pPr>
        <w:spacing w:line="360" w:lineRule="auto"/>
        <w:rPr>
          <w:sz w:val="24"/>
        </w:rPr>
      </w:pPr>
    </w:p>
    <w:p w:rsidR="00BB44D1" w:rsidRDefault="00CC5F23" w:rsidP="00EC21E9">
      <w:pPr>
        <w:spacing w:line="360" w:lineRule="auto"/>
        <w:rPr>
          <w:sz w:val="24"/>
        </w:rPr>
      </w:pPr>
      <w:r>
        <w:rPr>
          <w:sz w:val="24"/>
        </w:rPr>
        <w:tab/>
      </w:r>
      <w:r>
        <w:rPr>
          <w:sz w:val="24"/>
        </w:rPr>
        <w:tab/>
      </w:r>
      <w:r w:rsidR="00BB44D1">
        <w:rPr>
          <w:sz w:val="24"/>
        </w:rPr>
        <w:t xml:space="preserve">The </w:t>
      </w:r>
      <w:r w:rsidR="004F0B4C">
        <w:rPr>
          <w:sz w:val="24"/>
        </w:rPr>
        <w:t>August 17</w:t>
      </w:r>
      <w:r w:rsidR="001E4A7D">
        <w:rPr>
          <w:sz w:val="24"/>
        </w:rPr>
        <w:t>,</w:t>
      </w:r>
      <w:r w:rsidR="004F0B4C">
        <w:rPr>
          <w:sz w:val="24"/>
        </w:rPr>
        <w:t xml:space="preserve"> 2010</w:t>
      </w:r>
      <w:r w:rsidR="00BB44D1">
        <w:rPr>
          <w:sz w:val="24"/>
        </w:rPr>
        <w:t xml:space="preserve"> hearing generated</w:t>
      </w:r>
      <w:r w:rsidR="0031290E">
        <w:rPr>
          <w:sz w:val="24"/>
        </w:rPr>
        <w:t xml:space="preserve"> </w:t>
      </w:r>
      <w:r w:rsidR="0005165A">
        <w:rPr>
          <w:sz w:val="24"/>
        </w:rPr>
        <w:t xml:space="preserve">51 </w:t>
      </w:r>
      <w:r w:rsidR="00BB44D1">
        <w:rPr>
          <w:sz w:val="24"/>
        </w:rPr>
        <w:t xml:space="preserve">pages of </w:t>
      </w:r>
      <w:r w:rsidR="004F0B4C">
        <w:rPr>
          <w:sz w:val="24"/>
        </w:rPr>
        <w:t xml:space="preserve">transcribed </w:t>
      </w:r>
      <w:r w:rsidR="00BB44D1">
        <w:rPr>
          <w:sz w:val="24"/>
        </w:rPr>
        <w:t xml:space="preserve">testimony. </w:t>
      </w:r>
      <w:r w:rsidR="00097B7B">
        <w:rPr>
          <w:sz w:val="24"/>
        </w:rPr>
        <w:t xml:space="preserve"> </w:t>
      </w:r>
      <w:r w:rsidR="00BB44D1">
        <w:rPr>
          <w:sz w:val="24"/>
        </w:rPr>
        <w:t xml:space="preserve">The </w:t>
      </w:r>
      <w:r w:rsidR="00065F42">
        <w:rPr>
          <w:sz w:val="24"/>
        </w:rPr>
        <w:t>r</w:t>
      </w:r>
      <w:r w:rsidR="00BB44D1">
        <w:rPr>
          <w:sz w:val="24"/>
        </w:rPr>
        <w:t xml:space="preserve">ecord was closed by </w:t>
      </w:r>
      <w:r w:rsidR="009F2069">
        <w:rPr>
          <w:sz w:val="24"/>
        </w:rPr>
        <w:t xml:space="preserve">Third </w:t>
      </w:r>
      <w:r w:rsidR="00BB44D1">
        <w:rPr>
          <w:sz w:val="24"/>
        </w:rPr>
        <w:t>Interim Order</w:t>
      </w:r>
      <w:r>
        <w:rPr>
          <w:sz w:val="24"/>
        </w:rPr>
        <w:t xml:space="preserve"> dated </w:t>
      </w:r>
      <w:r w:rsidR="004F0B4C">
        <w:rPr>
          <w:sz w:val="24"/>
        </w:rPr>
        <w:t>October 21, 2010</w:t>
      </w:r>
      <w:r>
        <w:rPr>
          <w:sz w:val="24"/>
        </w:rPr>
        <w:t>.  This case is procedurally ripe for ruling.</w:t>
      </w:r>
    </w:p>
    <w:p w:rsidR="00A422B3" w:rsidRDefault="00A422B3" w:rsidP="00EC21E9">
      <w:pPr>
        <w:spacing w:line="360" w:lineRule="auto"/>
        <w:rPr>
          <w:sz w:val="24"/>
        </w:rPr>
      </w:pPr>
    </w:p>
    <w:p w:rsidR="00CC5F23" w:rsidRDefault="00CC5F23" w:rsidP="00CC5F23">
      <w:pPr>
        <w:spacing w:line="360" w:lineRule="auto"/>
        <w:jc w:val="center"/>
        <w:rPr>
          <w:sz w:val="24"/>
          <w:u w:val="single"/>
        </w:rPr>
      </w:pPr>
      <w:r>
        <w:rPr>
          <w:sz w:val="24"/>
          <w:u w:val="single"/>
        </w:rPr>
        <w:t>FINDINGS OF FACT</w:t>
      </w:r>
    </w:p>
    <w:p w:rsidR="00A422B3" w:rsidRPr="00CC5F23" w:rsidRDefault="00A422B3" w:rsidP="00CC5F23">
      <w:pPr>
        <w:spacing w:line="360" w:lineRule="auto"/>
        <w:jc w:val="center"/>
        <w:rPr>
          <w:sz w:val="24"/>
        </w:rPr>
      </w:pPr>
    </w:p>
    <w:p w:rsidR="00CC5F23" w:rsidRDefault="00531B6B" w:rsidP="00CC5F23">
      <w:pPr>
        <w:spacing w:line="360" w:lineRule="auto"/>
        <w:rPr>
          <w:sz w:val="24"/>
        </w:rPr>
      </w:pPr>
      <w:r>
        <w:rPr>
          <w:sz w:val="24"/>
        </w:rPr>
        <w:tab/>
      </w:r>
      <w:r>
        <w:rPr>
          <w:sz w:val="24"/>
        </w:rPr>
        <w:tab/>
        <w:t>1.</w:t>
      </w:r>
      <w:r>
        <w:rPr>
          <w:sz w:val="24"/>
        </w:rPr>
        <w:tab/>
        <w:t xml:space="preserve">Complainant </w:t>
      </w:r>
      <w:r w:rsidR="00AA2265">
        <w:rPr>
          <w:sz w:val="24"/>
        </w:rPr>
        <w:t xml:space="preserve">is </w:t>
      </w:r>
      <w:r w:rsidR="008F69CF">
        <w:rPr>
          <w:sz w:val="24"/>
        </w:rPr>
        <w:t>Velma Berry</w:t>
      </w:r>
      <w:r w:rsidR="00B12C6C">
        <w:rPr>
          <w:sz w:val="24"/>
        </w:rPr>
        <w:t xml:space="preserve">. </w:t>
      </w:r>
      <w:r w:rsidR="0005165A">
        <w:rPr>
          <w:sz w:val="24"/>
        </w:rPr>
        <w:t xml:space="preserve"> </w:t>
      </w:r>
      <w:r w:rsidR="00B12C6C">
        <w:rPr>
          <w:sz w:val="24"/>
        </w:rPr>
        <w:t>She</w:t>
      </w:r>
      <w:r>
        <w:rPr>
          <w:sz w:val="24"/>
        </w:rPr>
        <w:t xml:space="preserve"> </w:t>
      </w:r>
      <w:r w:rsidR="00A47172">
        <w:rPr>
          <w:sz w:val="24"/>
        </w:rPr>
        <w:t xml:space="preserve">has </w:t>
      </w:r>
      <w:r>
        <w:rPr>
          <w:sz w:val="24"/>
        </w:rPr>
        <w:t>reside</w:t>
      </w:r>
      <w:r w:rsidR="00AA2265">
        <w:rPr>
          <w:sz w:val="24"/>
        </w:rPr>
        <w:t>d</w:t>
      </w:r>
      <w:r>
        <w:rPr>
          <w:sz w:val="24"/>
        </w:rPr>
        <w:t xml:space="preserve"> at </w:t>
      </w:r>
      <w:r w:rsidR="008F69CF">
        <w:rPr>
          <w:sz w:val="24"/>
        </w:rPr>
        <w:t xml:space="preserve">116 North </w:t>
      </w:r>
      <w:proofErr w:type="spellStart"/>
      <w:r w:rsidR="008F69CF">
        <w:rPr>
          <w:sz w:val="24"/>
        </w:rPr>
        <w:t>Negley</w:t>
      </w:r>
      <w:proofErr w:type="spellEnd"/>
      <w:r w:rsidR="008F69CF">
        <w:rPr>
          <w:sz w:val="24"/>
        </w:rPr>
        <w:t xml:space="preserve"> Avenue</w:t>
      </w:r>
      <w:r w:rsidR="00C63BDB">
        <w:rPr>
          <w:sz w:val="24"/>
        </w:rPr>
        <w:t xml:space="preserve">, </w:t>
      </w:r>
      <w:r w:rsidR="001D5AE0">
        <w:rPr>
          <w:sz w:val="24"/>
        </w:rPr>
        <w:t xml:space="preserve">Apartment 102, </w:t>
      </w:r>
      <w:r w:rsidR="00C63BDB">
        <w:rPr>
          <w:sz w:val="24"/>
        </w:rPr>
        <w:t>Pittsburgh</w:t>
      </w:r>
      <w:r>
        <w:rPr>
          <w:sz w:val="24"/>
        </w:rPr>
        <w:t>, PA 15</w:t>
      </w:r>
      <w:r w:rsidR="00C63BDB">
        <w:rPr>
          <w:sz w:val="24"/>
        </w:rPr>
        <w:t>20</w:t>
      </w:r>
      <w:r w:rsidR="001D5AE0">
        <w:rPr>
          <w:sz w:val="24"/>
        </w:rPr>
        <w:t>6</w:t>
      </w:r>
      <w:r w:rsidR="00AA2265">
        <w:rPr>
          <w:sz w:val="24"/>
        </w:rPr>
        <w:t>,</w:t>
      </w:r>
      <w:r>
        <w:rPr>
          <w:sz w:val="24"/>
        </w:rPr>
        <w:t xml:space="preserve"> </w:t>
      </w:r>
      <w:r w:rsidR="00A47172">
        <w:rPr>
          <w:sz w:val="24"/>
        </w:rPr>
        <w:t xml:space="preserve">since 1999 </w:t>
      </w:r>
      <w:r>
        <w:rPr>
          <w:sz w:val="24"/>
        </w:rPr>
        <w:t xml:space="preserve">(Tr. </w:t>
      </w:r>
      <w:r w:rsidR="008F69CF">
        <w:rPr>
          <w:sz w:val="24"/>
        </w:rPr>
        <w:t>9</w:t>
      </w:r>
      <w:r w:rsidR="00AA2265">
        <w:rPr>
          <w:sz w:val="24"/>
        </w:rPr>
        <w:t xml:space="preserve"> and 21</w:t>
      </w:r>
      <w:r>
        <w:rPr>
          <w:sz w:val="24"/>
        </w:rPr>
        <w:t>).</w:t>
      </w:r>
    </w:p>
    <w:p w:rsidR="00531B6B" w:rsidRDefault="00531B6B" w:rsidP="00CC5F23">
      <w:pPr>
        <w:spacing w:line="360" w:lineRule="auto"/>
        <w:rPr>
          <w:sz w:val="24"/>
        </w:rPr>
      </w:pPr>
    </w:p>
    <w:p w:rsidR="00C63BDB" w:rsidRDefault="00531B6B" w:rsidP="00CC5F23">
      <w:pPr>
        <w:spacing w:line="360" w:lineRule="auto"/>
        <w:rPr>
          <w:sz w:val="24"/>
        </w:rPr>
      </w:pPr>
      <w:r>
        <w:rPr>
          <w:sz w:val="24"/>
        </w:rPr>
        <w:tab/>
      </w:r>
      <w:r>
        <w:rPr>
          <w:sz w:val="24"/>
        </w:rPr>
        <w:tab/>
        <w:t>2.</w:t>
      </w:r>
      <w:r>
        <w:rPr>
          <w:sz w:val="24"/>
        </w:rPr>
        <w:tab/>
      </w:r>
      <w:r w:rsidR="00C13F65">
        <w:rPr>
          <w:sz w:val="24"/>
        </w:rPr>
        <w:t xml:space="preserve">Respondent is </w:t>
      </w:r>
      <w:r w:rsidR="008F69CF">
        <w:rPr>
          <w:sz w:val="24"/>
        </w:rPr>
        <w:t>Duquesne Light Company</w:t>
      </w:r>
      <w:r w:rsidR="001B01EF">
        <w:rPr>
          <w:sz w:val="24"/>
        </w:rPr>
        <w:t xml:space="preserve"> (Tr. 9)</w:t>
      </w:r>
      <w:r w:rsidR="00C63BDB">
        <w:rPr>
          <w:sz w:val="24"/>
        </w:rPr>
        <w:t>.</w:t>
      </w:r>
    </w:p>
    <w:p w:rsidR="00C13F65" w:rsidRDefault="00C63BDB" w:rsidP="00CC5F23">
      <w:pPr>
        <w:spacing w:line="360" w:lineRule="auto"/>
        <w:rPr>
          <w:sz w:val="24"/>
        </w:rPr>
      </w:pPr>
      <w:r>
        <w:rPr>
          <w:sz w:val="24"/>
        </w:rPr>
        <w:t xml:space="preserve"> </w:t>
      </w:r>
    </w:p>
    <w:p w:rsidR="00BA3012" w:rsidRDefault="00C13F65" w:rsidP="006F4267">
      <w:pPr>
        <w:spacing w:line="360" w:lineRule="auto"/>
        <w:rPr>
          <w:sz w:val="24"/>
        </w:rPr>
      </w:pPr>
      <w:r>
        <w:rPr>
          <w:sz w:val="24"/>
        </w:rPr>
        <w:tab/>
      </w:r>
      <w:r>
        <w:rPr>
          <w:sz w:val="24"/>
        </w:rPr>
        <w:tab/>
      </w:r>
      <w:r w:rsidR="008C575E">
        <w:rPr>
          <w:sz w:val="24"/>
        </w:rPr>
        <w:t>3.</w:t>
      </w:r>
      <w:r w:rsidR="008C575E">
        <w:rPr>
          <w:sz w:val="24"/>
        </w:rPr>
        <w:tab/>
      </w:r>
      <w:r w:rsidR="00BA3012">
        <w:rPr>
          <w:sz w:val="24"/>
        </w:rPr>
        <w:t xml:space="preserve">Complainant’s apartment has </w:t>
      </w:r>
      <w:r w:rsidR="001D5AE0">
        <w:rPr>
          <w:sz w:val="24"/>
        </w:rPr>
        <w:t xml:space="preserve">a </w:t>
      </w:r>
      <w:r w:rsidR="00BA3012">
        <w:rPr>
          <w:sz w:val="24"/>
        </w:rPr>
        <w:t>bedroom, living room, kitchen and bathroom (Tr. 19).</w:t>
      </w:r>
      <w:r w:rsidR="00A47172">
        <w:rPr>
          <w:sz w:val="24"/>
        </w:rPr>
        <w:t xml:space="preserve"> </w:t>
      </w:r>
    </w:p>
    <w:p w:rsidR="00BA3012" w:rsidRDefault="00BA3012" w:rsidP="006F4267">
      <w:pPr>
        <w:spacing w:line="360" w:lineRule="auto"/>
        <w:rPr>
          <w:sz w:val="24"/>
        </w:rPr>
      </w:pPr>
    </w:p>
    <w:p w:rsidR="00DE667B" w:rsidRDefault="00D277D2" w:rsidP="006F4267">
      <w:pPr>
        <w:spacing w:line="360" w:lineRule="auto"/>
        <w:rPr>
          <w:sz w:val="24"/>
        </w:rPr>
      </w:pPr>
      <w:r>
        <w:rPr>
          <w:sz w:val="24"/>
        </w:rPr>
        <w:tab/>
      </w:r>
      <w:r>
        <w:rPr>
          <w:sz w:val="24"/>
        </w:rPr>
        <w:tab/>
        <w:t>4.</w:t>
      </w:r>
      <w:r>
        <w:rPr>
          <w:sz w:val="24"/>
        </w:rPr>
        <w:tab/>
      </w:r>
      <w:r w:rsidR="00FA16EA">
        <w:rPr>
          <w:sz w:val="24"/>
        </w:rPr>
        <w:t xml:space="preserve">Complainant’s </w:t>
      </w:r>
      <w:r w:rsidR="00BC6790">
        <w:rPr>
          <w:sz w:val="24"/>
        </w:rPr>
        <w:t>building</w:t>
      </w:r>
      <w:r w:rsidR="001D5AE0">
        <w:rPr>
          <w:sz w:val="24"/>
        </w:rPr>
        <w:t xml:space="preserve"> </w:t>
      </w:r>
      <w:r w:rsidR="00FA16EA">
        <w:rPr>
          <w:sz w:val="24"/>
        </w:rPr>
        <w:t>consists of two apartments on the ground level and two above.  Each apartment has a separate outside entrance</w:t>
      </w:r>
      <w:r w:rsidR="00DE667B">
        <w:rPr>
          <w:sz w:val="24"/>
        </w:rPr>
        <w:t xml:space="preserve"> and scon</w:t>
      </w:r>
      <w:r w:rsidR="00D47AF3">
        <w:rPr>
          <w:sz w:val="24"/>
        </w:rPr>
        <w:t>c</w:t>
      </w:r>
      <w:r w:rsidR="00DE667B">
        <w:rPr>
          <w:sz w:val="24"/>
        </w:rPr>
        <w:t>e at the fr</w:t>
      </w:r>
      <w:r w:rsidR="00D47AF3">
        <w:rPr>
          <w:sz w:val="24"/>
        </w:rPr>
        <w:t>o</w:t>
      </w:r>
      <w:r w:rsidR="00DE667B">
        <w:rPr>
          <w:sz w:val="24"/>
        </w:rPr>
        <w:t xml:space="preserve">nt door (Tr. 20). </w:t>
      </w:r>
      <w:r w:rsidR="00BC6790">
        <w:rPr>
          <w:sz w:val="24"/>
        </w:rPr>
        <w:t xml:space="preserve"> The building complex is relatively new construction (Tr. 45).</w:t>
      </w:r>
    </w:p>
    <w:p w:rsidR="00707F34" w:rsidRDefault="00707F34" w:rsidP="006F4267">
      <w:pPr>
        <w:spacing w:line="360" w:lineRule="auto"/>
        <w:rPr>
          <w:sz w:val="24"/>
        </w:rPr>
      </w:pPr>
    </w:p>
    <w:p w:rsidR="009C21F8" w:rsidRDefault="00D47AF3" w:rsidP="006F4267">
      <w:pPr>
        <w:spacing w:line="360" w:lineRule="auto"/>
        <w:rPr>
          <w:sz w:val="24"/>
        </w:rPr>
      </w:pPr>
      <w:r>
        <w:rPr>
          <w:sz w:val="24"/>
        </w:rPr>
        <w:tab/>
      </w:r>
      <w:r>
        <w:rPr>
          <w:sz w:val="24"/>
        </w:rPr>
        <w:tab/>
        <w:t>5.</w:t>
      </w:r>
      <w:r>
        <w:rPr>
          <w:sz w:val="24"/>
        </w:rPr>
        <w:tab/>
      </w:r>
      <w:r w:rsidR="008C575E">
        <w:rPr>
          <w:sz w:val="24"/>
        </w:rPr>
        <w:t xml:space="preserve">In </w:t>
      </w:r>
      <w:r w:rsidR="00341278">
        <w:rPr>
          <w:sz w:val="24"/>
        </w:rPr>
        <w:t xml:space="preserve">June </w:t>
      </w:r>
      <w:r w:rsidR="008C575E">
        <w:rPr>
          <w:sz w:val="24"/>
        </w:rPr>
        <w:t>200</w:t>
      </w:r>
      <w:r w:rsidR="00341278">
        <w:rPr>
          <w:sz w:val="24"/>
        </w:rPr>
        <w:t>4</w:t>
      </w:r>
      <w:r w:rsidR="008C575E">
        <w:rPr>
          <w:sz w:val="24"/>
        </w:rPr>
        <w:t xml:space="preserve">, </w:t>
      </w:r>
      <w:r w:rsidR="00D277D2">
        <w:rPr>
          <w:sz w:val="24"/>
        </w:rPr>
        <w:t>acco</w:t>
      </w:r>
      <w:r w:rsidR="00341278">
        <w:rPr>
          <w:sz w:val="24"/>
        </w:rPr>
        <w:t xml:space="preserve">rding to Complainant </w:t>
      </w:r>
      <w:r w:rsidR="00D277D2">
        <w:rPr>
          <w:sz w:val="24"/>
        </w:rPr>
        <w:t xml:space="preserve">the electric bill </w:t>
      </w:r>
      <w:r w:rsidR="00341278">
        <w:rPr>
          <w:sz w:val="24"/>
        </w:rPr>
        <w:t xml:space="preserve">was in a normal range </w:t>
      </w:r>
      <w:r w:rsidR="005B0AB0">
        <w:rPr>
          <w:sz w:val="24"/>
        </w:rPr>
        <w:t xml:space="preserve">of $48.05 </w:t>
      </w:r>
      <w:r w:rsidR="009C21F8">
        <w:rPr>
          <w:sz w:val="24"/>
        </w:rPr>
        <w:t>(Tr.</w:t>
      </w:r>
      <w:r w:rsidR="0016491B">
        <w:rPr>
          <w:sz w:val="24"/>
        </w:rPr>
        <w:t xml:space="preserve"> </w:t>
      </w:r>
      <w:r w:rsidR="005B0AB0">
        <w:rPr>
          <w:sz w:val="24"/>
        </w:rPr>
        <w:t>16 and 17</w:t>
      </w:r>
      <w:r w:rsidR="009C21F8">
        <w:rPr>
          <w:sz w:val="24"/>
        </w:rPr>
        <w:t>).</w:t>
      </w:r>
    </w:p>
    <w:p w:rsidR="009C21F8" w:rsidRDefault="009C21F8" w:rsidP="006F4267">
      <w:pPr>
        <w:spacing w:line="360" w:lineRule="auto"/>
        <w:rPr>
          <w:sz w:val="24"/>
        </w:rPr>
      </w:pPr>
    </w:p>
    <w:p w:rsidR="0040565F" w:rsidRDefault="009C21F8" w:rsidP="006F4267">
      <w:pPr>
        <w:spacing w:line="360" w:lineRule="auto"/>
        <w:rPr>
          <w:sz w:val="24"/>
        </w:rPr>
      </w:pPr>
      <w:r>
        <w:rPr>
          <w:sz w:val="24"/>
        </w:rPr>
        <w:tab/>
      </w:r>
      <w:r>
        <w:rPr>
          <w:sz w:val="24"/>
        </w:rPr>
        <w:tab/>
      </w:r>
      <w:r w:rsidR="00A47172">
        <w:rPr>
          <w:sz w:val="24"/>
        </w:rPr>
        <w:t>6</w:t>
      </w:r>
      <w:r>
        <w:rPr>
          <w:sz w:val="24"/>
        </w:rPr>
        <w:t>.</w:t>
      </w:r>
      <w:r>
        <w:rPr>
          <w:sz w:val="24"/>
        </w:rPr>
        <w:tab/>
        <w:t>A</w:t>
      </w:r>
      <w:r w:rsidR="006D64E2">
        <w:rPr>
          <w:sz w:val="24"/>
        </w:rPr>
        <w:t xml:space="preserve">fter June 2004, Complainant’s bill started </w:t>
      </w:r>
      <w:r w:rsidR="00A7334A">
        <w:rPr>
          <w:sz w:val="24"/>
        </w:rPr>
        <w:t>rising</w:t>
      </w:r>
      <w:r w:rsidR="006D64E2">
        <w:rPr>
          <w:sz w:val="24"/>
        </w:rPr>
        <w:t xml:space="preserve">. </w:t>
      </w:r>
      <w:r w:rsidR="0005165A">
        <w:rPr>
          <w:sz w:val="24"/>
        </w:rPr>
        <w:t xml:space="preserve"> </w:t>
      </w:r>
      <w:r w:rsidR="006D64E2">
        <w:rPr>
          <w:sz w:val="24"/>
        </w:rPr>
        <w:t>She understood there was a rate hike and expected the bill to go up a little each month</w:t>
      </w:r>
      <w:r w:rsidR="0040565F">
        <w:rPr>
          <w:sz w:val="24"/>
        </w:rPr>
        <w:t>.  However the bill started rising tremendously year after year</w:t>
      </w:r>
      <w:r w:rsidR="006D64E2">
        <w:rPr>
          <w:sz w:val="24"/>
        </w:rPr>
        <w:t xml:space="preserve"> (Tr. 16). </w:t>
      </w:r>
    </w:p>
    <w:p w:rsidR="00A7334A" w:rsidRDefault="00A7334A" w:rsidP="006F4267">
      <w:pPr>
        <w:spacing w:line="360" w:lineRule="auto"/>
        <w:rPr>
          <w:sz w:val="24"/>
        </w:rPr>
      </w:pPr>
    </w:p>
    <w:p w:rsidR="00A02712" w:rsidRDefault="0040565F" w:rsidP="006F4267">
      <w:pPr>
        <w:spacing w:line="360" w:lineRule="auto"/>
        <w:rPr>
          <w:sz w:val="24"/>
        </w:rPr>
      </w:pPr>
      <w:r>
        <w:rPr>
          <w:sz w:val="24"/>
        </w:rPr>
        <w:tab/>
      </w:r>
      <w:r>
        <w:rPr>
          <w:sz w:val="24"/>
        </w:rPr>
        <w:tab/>
      </w:r>
      <w:r w:rsidR="00A47172">
        <w:rPr>
          <w:sz w:val="24"/>
        </w:rPr>
        <w:t>7</w:t>
      </w:r>
      <w:r>
        <w:rPr>
          <w:sz w:val="24"/>
        </w:rPr>
        <w:t>.</w:t>
      </w:r>
      <w:r>
        <w:rPr>
          <w:sz w:val="24"/>
        </w:rPr>
        <w:tab/>
        <w:t>By</w:t>
      </w:r>
      <w:r w:rsidR="00A02712">
        <w:rPr>
          <w:sz w:val="24"/>
        </w:rPr>
        <w:t xml:space="preserve"> July 2005, Complainant’s bills were coming in at $80.00 a month (Tr. 17).</w:t>
      </w:r>
    </w:p>
    <w:p w:rsidR="00A02712" w:rsidRDefault="00A02712" w:rsidP="006F4267">
      <w:pPr>
        <w:spacing w:line="360" w:lineRule="auto"/>
        <w:rPr>
          <w:sz w:val="24"/>
        </w:rPr>
      </w:pPr>
    </w:p>
    <w:p w:rsidR="00C90ECF" w:rsidRDefault="00A02712" w:rsidP="006F4267">
      <w:pPr>
        <w:spacing w:line="360" w:lineRule="auto"/>
        <w:rPr>
          <w:sz w:val="24"/>
        </w:rPr>
      </w:pPr>
      <w:r>
        <w:rPr>
          <w:sz w:val="24"/>
        </w:rPr>
        <w:tab/>
      </w:r>
      <w:r>
        <w:rPr>
          <w:sz w:val="24"/>
        </w:rPr>
        <w:tab/>
      </w:r>
      <w:r w:rsidR="00A47172">
        <w:rPr>
          <w:sz w:val="24"/>
        </w:rPr>
        <w:t>8</w:t>
      </w:r>
      <w:r>
        <w:rPr>
          <w:sz w:val="24"/>
        </w:rPr>
        <w:t>.</w:t>
      </w:r>
      <w:r>
        <w:rPr>
          <w:sz w:val="24"/>
        </w:rPr>
        <w:tab/>
        <w:t>By 2008, Complainant’s bills ranged from $120</w:t>
      </w:r>
      <w:r w:rsidR="00EF0E47">
        <w:rPr>
          <w:sz w:val="24"/>
        </w:rPr>
        <w:t>.00</w:t>
      </w:r>
      <w:r>
        <w:rPr>
          <w:sz w:val="24"/>
        </w:rPr>
        <w:t xml:space="preserve"> to $139.00 a month.</w:t>
      </w:r>
      <w:r w:rsidR="00C90ECF">
        <w:rPr>
          <w:sz w:val="24"/>
        </w:rPr>
        <w:t xml:space="preserve"> </w:t>
      </w:r>
      <w:r>
        <w:rPr>
          <w:sz w:val="24"/>
        </w:rPr>
        <w:t>(</w:t>
      </w:r>
      <w:r w:rsidR="00C90ECF">
        <w:rPr>
          <w:sz w:val="24"/>
        </w:rPr>
        <w:t>T</w:t>
      </w:r>
      <w:r>
        <w:rPr>
          <w:sz w:val="24"/>
        </w:rPr>
        <w:t>r.</w:t>
      </w:r>
      <w:r w:rsidR="00A7334A">
        <w:rPr>
          <w:sz w:val="24"/>
        </w:rPr>
        <w:t xml:space="preserve"> </w:t>
      </w:r>
      <w:r w:rsidR="00C90ECF">
        <w:rPr>
          <w:sz w:val="24"/>
        </w:rPr>
        <w:t>16-18).</w:t>
      </w:r>
    </w:p>
    <w:p w:rsidR="00C90ECF" w:rsidRDefault="00C90ECF" w:rsidP="006F4267">
      <w:pPr>
        <w:spacing w:line="360" w:lineRule="auto"/>
        <w:rPr>
          <w:sz w:val="24"/>
        </w:rPr>
      </w:pPr>
    </w:p>
    <w:p w:rsidR="00420AEF" w:rsidRDefault="0040565F" w:rsidP="006F4267">
      <w:pPr>
        <w:spacing w:line="360" w:lineRule="auto"/>
        <w:rPr>
          <w:sz w:val="24"/>
        </w:rPr>
      </w:pPr>
      <w:r>
        <w:rPr>
          <w:sz w:val="24"/>
        </w:rPr>
        <w:tab/>
      </w:r>
      <w:r w:rsidR="00EF0E47">
        <w:rPr>
          <w:sz w:val="24"/>
        </w:rPr>
        <w:tab/>
      </w:r>
      <w:r w:rsidR="00A47172">
        <w:rPr>
          <w:sz w:val="24"/>
        </w:rPr>
        <w:t>9</w:t>
      </w:r>
      <w:r w:rsidR="00420AEF">
        <w:rPr>
          <w:sz w:val="24"/>
        </w:rPr>
        <w:t>.</w:t>
      </w:r>
      <w:r w:rsidR="00420AEF">
        <w:rPr>
          <w:sz w:val="24"/>
        </w:rPr>
        <w:tab/>
        <w:t>From 2004 to 2008, Complainant had the same appliances, refrigerator and freezer, washer and dryer, stove, air condi</w:t>
      </w:r>
      <w:r w:rsidR="00416B69">
        <w:rPr>
          <w:sz w:val="24"/>
        </w:rPr>
        <w:t>tioner, all operated by electric (Tr. 18</w:t>
      </w:r>
      <w:r w:rsidR="00E82C46">
        <w:rPr>
          <w:sz w:val="24"/>
        </w:rPr>
        <w:t xml:space="preserve"> and 22</w:t>
      </w:r>
      <w:r w:rsidR="00416B69">
        <w:rPr>
          <w:sz w:val="24"/>
        </w:rPr>
        <w:t>)</w:t>
      </w:r>
      <w:r w:rsidR="00420AEF">
        <w:rPr>
          <w:sz w:val="24"/>
        </w:rPr>
        <w:t>.</w:t>
      </w:r>
    </w:p>
    <w:p w:rsidR="00A7334A" w:rsidRDefault="00A7334A" w:rsidP="006F4267">
      <w:pPr>
        <w:spacing w:line="360" w:lineRule="auto"/>
        <w:rPr>
          <w:sz w:val="24"/>
        </w:rPr>
      </w:pPr>
    </w:p>
    <w:p w:rsidR="00A7334A" w:rsidRDefault="00A7334A" w:rsidP="006F4267">
      <w:pPr>
        <w:spacing w:line="360" w:lineRule="auto"/>
        <w:rPr>
          <w:sz w:val="24"/>
        </w:rPr>
      </w:pPr>
      <w:r>
        <w:rPr>
          <w:sz w:val="24"/>
        </w:rPr>
        <w:tab/>
      </w:r>
      <w:r>
        <w:rPr>
          <w:sz w:val="24"/>
        </w:rPr>
        <w:tab/>
      </w:r>
      <w:r w:rsidR="00A47172">
        <w:rPr>
          <w:sz w:val="24"/>
        </w:rPr>
        <w:t>10</w:t>
      </w:r>
      <w:r>
        <w:rPr>
          <w:sz w:val="24"/>
        </w:rPr>
        <w:t>.</w:t>
      </w:r>
      <w:r>
        <w:rPr>
          <w:sz w:val="24"/>
        </w:rPr>
        <w:tab/>
        <w:t xml:space="preserve">Two years ago, Complainant </w:t>
      </w:r>
      <w:r w:rsidR="0013369D">
        <w:rPr>
          <w:sz w:val="24"/>
        </w:rPr>
        <w:t>ob</w:t>
      </w:r>
      <w:r>
        <w:rPr>
          <w:sz w:val="24"/>
        </w:rPr>
        <w:t>t</w:t>
      </w:r>
      <w:r w:rsidR="0013369D">
        <w:rPr>
          <w:sz w:val="24"/>
        </w:rPr>
        <w:t>ained</w:t>
      </w:r>
      <w:r>
        <w:rPr>
          <w:sz w:val="24"/>
        </w:rPr>
        <w:t xml:space="preserve"> a computer (Tr. 19).</w:t>
      </w:r>
    </w:p>
    <w:p w:rsidR="00416B69" w:rsidRDefault="00416B69" w:rsidP="006F4267">
      <w:pPr>
        <w:spacing w:line="360" w:lineRule="auto"/>
        <w:rPr>
          <w:sz w:val="24"/>
        </w:rPr>
      </w:pPr>
    </w:p>
    <w:p w:rsidR="00403E15" w:rsidRDefault="00403E15" w:rsidP="006F4267">
      <w:pPr>
        <w:spacing w:line="360" w:lineRule="auto"/>
        <w:rPr>
          <w:sz w:val="24"/>
        </w:rPr>
      </w:pPr>
      <w:r>
        <w:rPr>
          <w:sz w:val="24"/>
        </w:rPr>
        <w:tab/>
      </w:r>
      <w:r w:rsidR="00416B69">
        <w:rPr>
          <w:sz w:val="24"/>
        </w:rPr>
        <w:tab/>
      </w:r>
      <w:r w:rsidR="00A47172">
        <w:rPr>
          <w:sz w:val="24"/>
        </w:rPr>
        <w:t>11</w:t>
      </w:r>
      <w:r w:rsidR="00416B69">
        <w:rPr>
          <w:sz w:val="24"/>
        </w:rPr>
        <w:t>.</w:t>
      </w:r>
      <w:r>
        <w:rPr>
          <w:sz w:val="24"/>
        </w:rPr>
        <w:tab/>
        <w:t>Complainant’s apartment is heated by gas (Tr. 19)</w:t>
      </w:r>
      <w:r w:rsidR="0005165A">
        <w:rPr>
          <w:sz w:val="24"/>
        </w:rPr>
        <w:t>.</w:t>
      </w:r>
      <w:r w:rsidR="00416B69">
        <w:rPr>
          <w:sz w:val="24"/>
        </w:rPr>
        <w:tab/>
      </w:r>
    </w:p>
    <w:p w:rsidR="00403E15" w:rsidRDefault="00403E15" w:rsidP="006F4267">
      <w:pPr>
        <w:spacing w:line="360" w:lineRule="auto"/>
        <w:rPr>
          <w:sz w:val="24"/>
        </w:rPr>
      </w:pPr>
    </w:p>
    <w:p w:rsidR="00416B69" w:rsidRDefault="00EC7D3C" w:rsidP="006F4267">
      <w:pPr>
        <w:spacing w:line="360" w:lineRule="auto"/>
        <w:rPr>
          <w:sz w:val="24"/>
        </w:rPr>
      </w:pPr>
      <w:r>
        <w:rPr>
          <w:sz w:val="24"/>
        </w:rPr>
        <w:tab/>
      </w:r>
      <w:r>
        <w:rPr>
          <w:sz w:val="24"/>
        </w:rPr>
        <w:tab/>
        <w:t>1</w:t>
      </w:r>
      <w:r w:rsidR="00A47172">
        <w:rPr>
          <w:sz w:val="24"/>
        </w:rPr>
        <w:t>2</w:t>
      </w:r>
      <w:r>
        <w:rPr>
          <w:sz w:val="24"/>
        </w:rPr>
        <w:t>.</w:t>
      </w:r>
      <w:r>
        <w:rPr>
          <w:sz w:val="24"/>
        </w:rPr>
        <w:tab/>
      </w:r>
      <w:r w:rsidR="00403E15">
        <w:rPr>
          <w:sz w:val="24"/>
        </w:rPr>
        <w:t>C</w:t>
      </w:r>
      <w:r w:rsidR="00416B69">
        <w:rPr>
          <w:sz w:val="24"/>
        </w:rPr>
        <w:t>omplainant does not understand how her bill has remained high when she has turned down the heat to 68 and lowered the temperature for the refrigerator and freezer (Tr. 18).</w:t>
      </w:r>
    </w:p>
    <w:p w:rsidR="00420AEF" w:rsidRDefault="00420AEF" w:rsidP="006F4267">
      <w:pPr>
        <w:spacing w:line="360" w:lineRule="auto"/>
        <w:rPr>
          <w:sz w:val="24"/>
        </w:rPr>
      </w:pPr>
    </w:p>
    <w:p w:rsidR="0020101E" w:rsidRDefault="009C21F8" w:rsidP="00A47172">
      <w:pPr>
        <w:spacing w:line="360" w:lineRule="auto"/>
        <w:rPr>
          <w:sz w:val="24"/>
        </w:rPr>
      </w:pPr>
      <w:r>
        <w:rPr>
          <w:sz w:val="24"/>
        </w:rPr>
        <w:t xml:space="preserve"> </w:t>
      </w:r>
      <w:r w:rsidR="00A47172">
        <w:rPr>
          <w:sz w:val="24"/>
        </w:rPr>
        <w:tab/>
      </w:r>
      <w:r w:rsidR="00A47172">
        <w:rPr>
          <w:sz w:val="24"/>
        </w:rPr>
        <w:tab/>
      </w:r>
      <w:r w:rsidR="00E82C46">
        <w:rPr>
          <w:sz w:val="24"/>
        </w:rPr>
        <w:t>13.</w:t>
      </w:r>
      <w:r w:rsidR="00E82C46">
        <w:rPr>
          <w:sz w:val="24"/>
        </w:rPr>
        <w:tab/>
        <w:t xml:space="preserve">Complainant’s electric meter was tested in July 2006 and July 2010. </w:t>
      </w:r>
      <w:r w:rsidR="009A151A">
        <w:rPr>
          <w:sz w:val="24"/>
        </w:rPr>
        <w:t xml:space="preserve"> </w:t>
      </w:r>
      <w:r w:rsidR="00E82C46">
        <w:rPr>
          <w:sz w:val="24"/>
        </w:rPr>
        <w:t xml:space="preserve">Each time the meter tested </w:t>
      </w:r>
      <w:r w:rsidR="0013369D">
        <w:rPr>
          <w:sz w:val="24"/>
        </w:rPr>
        <w:t>accurate</w:t>
      </w:r>
      <w:r w:rsidR="00E82C46">
        <w:rPr>
          <w:sz w:val="24"/>
        </w:rPr>
        <w:t xml:space="preserve"> (Tr. 22</w:t>
      </w:r>
      <w:r w:rsidR="0013369D">
        <w:rPr>
          <w:sz w:val="24"/>
        </w:rPr>
        <w:t xml:space="preserve"> and Respondent’s Exhibits 5 and 6).</w:t>
      </w:r>
    </w:p>
    <w:p w:rsidR="00E82C46" w:rsidRDefault="00E82C46" w:rsidP="00A47172">
      <w:pPr>
        <w:spacing w:line="360" w:lineRule="auto"/>
        <w:rPr>
          <w:sz w:val="24"/>
        </w:rPr>
      </w:pPr>
    </w:p>
    <w:p w:rsidR="00E82C46" w:rsidRDefault="00E82C46" w:rsidP="00A47172">
      <w:pPr>
        <w:spacing w:line="360" w:lineRule="auto"/>
        <w:rPr>
          <w:sz w:val="24"/>
        </w:rPr>
      </w:pPr>
      <w:r>
        <w:rPr>
          <w:sz w:val="24"/>
        </w:rPr>
        <w:tab/>
      </w:r>
      <w:r>
        <w:rPr>
          <w:sz w:val="24"/>
        </w:rPr>
        <w:tab/>
      </w:r>
      <w:r w:rsidR="007D1C19">
        <w:rPr>
          <w:sz w:val="24"/>
        </w:rPr>
        <w:t>14.</w:t>
      </w:r>
      <w:r w:rsidR="007D1C19">
        <w:rPr>
          <w:sz w:val="24"/>
        </w:rPr>
        <w:tab/>
        <w:t xml:space="preserve">In </w:t>
      </w:r>
      <w:r w:rsidR="00043968">
        <w:rPr>
          <w:sz w:val="24"/>
        </w:rPr>
        <w:t>recent months, Complainant’s bill has gone down after she implemented tips sent to her by Respondent for conserving energy (Tr. 49).</w:t>
      </w:r>
    </w:p>
    <w:p w:rsidR="00043968" w:rsidRDefault="00043968" w:rsidP="00A47172">
      <w:pPr>
        <w:spacing w:line="360" w:lineRule="auto"/>
        <w:rPr>
          <w:sz w:val="24"/>
        </w:rPr>
      </w:pPr>
    </w:p>
    <w:p w:rsidR="00043968" w:rsidRDefault="00043968" w:rsidP="00A47172">
      <w:pPr>
        <w:spacing w:line="360" w:lineRule="auto"/>
        <w:rPr>
          <w:sz w:val="24"/>
        </w:rPr>
      </w:pPr>
      <w:r>
        <w:rPr>
          <w:sz w:val="24"/>
        </w:rPr>
        <w:tab/>
      </w:r>
      <w:r>
        <w:rPr>
          <w:sz w:val="24"/>
        </w:rPr>
        <w:tab/>
        <w:t>15.</w:t>
      </w:r>
      <w:r>
        <w:rPr>
          <w:sz w:val="24"/>
        </w:rPr>
        <w:tab/>
        <w:t>Complainant just want</w:t>
      </w:r>
      <w:r w:rsidR="00FE3DF2">
        <w:rPr>
          <w:sz w:val="24"/>
        </w:rPr>
        <w:t>s</w:t>
      </w:r>
      <w:r>
        <w:rPr>
          <w:sz w:val="24"/>
        </w:rPr>
        <w:t xml:space="preserve"> </w:t>
      </w:r>
      <w:r w:rsidR="00FE3DF2">
        <w:rPr>
          <w:sz w:val="24"/>
        </w:rPr>
        <w:t>“</w:t>
      </w:r>
      <w:r>
        <w:rPr>
          <w:sz w:val="24"/>
        </w:rPr>
        <w:t>to know</w:t>
      </w:r>
      <w:r w:rsidR="00FE3DF2">
        <w:rPr>
          <w:sz w:val="24"/>
        </w:rPr>
        <w:t xml:space="preserve"> what made this significant jump from a normal bill in ’04, then past few years it’s just gone higher and higher </w:t>
      </w:r>
      <w:r w:rsidR="00A26696">
        <w:rPr>
          <w:sz w:val="24"/>
        </w:rPr>
        <w:t>(</w:t>
      </w:r>
      <w:r w:rsidR="00FE3DF2">
        <w:rPr>
          <w:sz w:val="24"/>
        </w:rPr>
        <w:t>Tr. 17</w:t>
      </w:r>
      <w:r w:rsidR="00A26696">
        <w:rPr>
          <w:sz w:val="24"/>
        </w:rPr>
        <w:t>)</w:t>
      </w:r>
      <w:r w:rsidR="00FE3DF2">
        <w:rPr>
          <w:sz w:val="24"/>
        </w:rPr>
        <w:t>.”</w:t>
      </w:r>
    </w:p>
    <w:p w:rsidR="00A26696" w:rsidRDefault="00A26696" w:rsidP="00A47172">
      <w:pPr>
        <w:spacing w:line="360" w:lineRule="auto"/>
        <w:rPr>
          <w:sz w:val="24"/>
        </w:rPr>
      </w:pPr>
    </w:p>
    <w:p w:rsidR="00A26696" w:rsidRDefault="00A26696" w:rsidP="00A47172">
      <w:pPr>
        <w:spacing w:line="360" w:lineRule="auto"/>
        <w:rPr>
          <w:sz w:val="24"/>
        </w:rPr>
      </w:pPr>
      <w:r>
        <w:rPr>
          <w:sz w:val="24"/>
        </w:rPr>
        <w:lastRenderedPageBreak/>
        <w:tab/>
      </w:r>
      <w:r>
        <w:rPr>
          <w:sz w:val="24"/>
        </w:rPr>
        <w:tab/>
      </w:r>
      <w:r w:rsidR="003C5AA8">
        <w:rPr>
          <w:sz w:val="24"/>
        </w:rPr>
        <w:t>16.</w:t>
      </w:r>
      <w:r w:rsidR="003C5AA8">
        <w:rPr>
          <w:sz w:val="24"/>
        </w:rPr>
        <w:tab/>
        <w:t>According to Respondent’s witness, Regulatory Consumer Relations Specialist Debra Brown (Tr. 10), in December 2009 Complainant</w:t>
      </w:r>
      <w:r w:rsidR="00FE2035">
        <w:rPr>
          <w:sz w:val="24"/>
        </w:rPr>
        <w:t xml:space="preserve">’s bill was $115.93 for 852 kilowatt hours (Tr. 27). </w:t>
      </w:r>
    </w:p>
    <w:p w:rsidR="00FE2035" w:rsidRDefault="00FE2035" w:rsidP="00A47172">
      <w:pPr>
        <w:spacing w:line="360" w:lineRule="auto"/>
        <w:rPr>
          <w:sz w:val="24"/>
        </w:rPr>
      </w:pPr>
    </w:p>
    <w:p w:rsidR="00FE2035" w:rsidRDefault="00FE2035" w:rsidP="00A47172">
      <w:pPr>
        <w:spacing w:line="360" w:lineRule="auto"/>
        <w:rPr>
          <w:sz w:val="24"/>
        </w:rPr>
      </w:pPr>
      <w:r>
        <w:rPr>
          <w:sz w:val="24"/>
        </w:rPr>
        <w:tab/>
      </w:r>
      <w:r>
        <w:rPr>
          <w:sz w:val="24"/>
        </w:rPr>
        <w:tab/>
        <w:t>17.</w:t>
      </w:r>
      <w:r>
        <w:rPr>
          <w:sz w:val="24"/>
        </w:rPr>
        <w:tab/>
        <w:t xml:space="preserve">According to </w:t>
      </w:r>
      <w:r w:rsidR="00367B94">
        <w:rPr>
          <w:sz w:val="24"/>
        </w:rPr>
        <w:t>Ms. Brown, Complainant’s electric consumption was also 852 kilowatt hours in December 2005 and the bill was $88.16.</w:t>
      </w:r>
    </w:p>
    <w:p w:rsidR="00367B94" w:rsidRDefault="00367B94" w:rsidP="00A47172">
      <w:pPr>
        <w:spacing w:line="360" w:lineRule="auto"/>
        <w:rPr>
          <w:sz w:val="24"/>
        </w:rPr>
      </w:pPr>
    </w:p>
    <w:p w:rsidR="0051142C" w:rsidRDefault="00367B94" w:rsidP="00A47172">
      <w:pPr>
        <w:spacing w:line="360" w:lineRule="auto"/>
        <w:rPr>
          <w:sz w:val="24"/>
        </w:rPr>
      </w:pPr>
      <w:r>
        <w:rPr>
          <w:sz w:val="24"/>
        </w:rPr>
        <w:tab/>
      </w:r>
      <w:r>
        <w:rPr>
          <w:sz w:val="24"/>
        </w:rPr>
        <w:tab/>
        <w:t>18.</w:t>
      </w:r>
      <w:r>
        <w:rPr>
          <w:sz w:val="24"/>
        </w:rPr>
        <w:tab/>
        <w:t xml:space="preserve">Ms. Brown attributed </w:t>
      </w:r>
      <w:r w:rsidR="0051142C">
        <w:rPr>
          <w:sz w:val="24"/>
        </w:rPr>
        <w:t xml:space="preserve">rate increases in both electric transmission and generation for </w:t>
      </w:r>
      <w:r>
        <w:rPr>
          <w:sz w:val="24"/>
        </w:rPr>
        <w:t xml:space="preserve">the difference in the bill amounts for December 2005 and 2009 for </w:t>
      </w:r>
      <w:r w:rsidR="0051142C">
        <w:rPr>
          <w:sz w:val="24"/>
        </w:rPr>
        <w:t xml:space="preserve">the </w:t>
      </w:r>
      <w:r>
        <w:rPr>
          <w:sz w:val="24"/>
        </w:rPr>
        <w:t>same</w:t>
      </w:r>
      <w:r w:rsidR="0051142C">
        <w:rPr>
          <w:sz w:val="24"/>
        </w:rPr>
        <w:t xml:space="preserve"> kilowatt usage (Tr. 28).</w:t>
      </w:r>
    </w:p>
    <w:p w:rsidR="0051142C" w:rsidRDefault="0051142C" w:rsidP="00A47172">
      <w:pPr>
        <w:spacing w:line="360" w:lineRule="auto"/>
        <w:rPr>
          <w:sz w:val="24"/>
        </w:rPr>
      </w:pPr>
    </w:p>
    <w:p w:rsidR="00634BEA" w:rsidRDefault="0051142C" w:rsidP="00A47172">
      <w:pPr>
        <w:spacing w:line="360" w:lineRule="auto"/>
        <w:rPr>
          <w:sz w:val="24"/>
        </w:rPr>
      </w:pPr>
      <w:r>
        <w:rPr>
          <w:sz w:val="24"/>
        </w:rPr>
        <w:tab/>
      </w:r>
      <w:r>
        <w:rPr>
          <w:sz w:val="24"/>
        </w:rPr>
        <w:tab/>
      </w:r>
      <w:r w:rsidR="00A873AB">
        <w:rPr>
          <w:sz w:val="24"/>
        </w:rPr>
        <w:t>19.</w:t>
      </w:r>
      <w:r w:rsidR="00A873AB">
        <w:rPr>
          <w:sz w:val="24"/>
        </w:rPr>
        <w:tab/>
      </w:r>
      <w:r w:rsidR="009722A2">
        <w:rPr>
          <w:sz w:val="24"/>
        </w:rPr>
        <w:t xml:space="preserve">Over the last three or four years, </w:t>
      </w:r>
      <w:r w:rsidR="00A873AB">
        <w:rPr>
          <w:sz w:val="24"/>
        </w:rPr>
        <w:t xml:space="preserve">Complainant’s daily electric usage </w:t>
      </w:r>
      <w:r w:rsidR="009722A2">
        <w:rPr>
          <w:sz w:val="24"/>
        </w:rPr>
        <w:t>has consistently averaged 25 kilowatt hours with slight increases during winter months</w:t>
      </w:r>
      <w:r w:rsidR="00634BEA">
        <w:rPr>
          <w:sz w:val="24"/>
        </w:rPr>
        <w:t xml:space="preserve"> </w:t>
      </w:r>
      <w:r w:rsidR="009722A2">
        <w:rPr>
          <w:sz w:val="24"/>
        </w:rPr>
        <w:t>(</w:t>
      </w:r>
      <w:r w:rsidR="00634BEA">
        <w:rPr>
          <w:sz w:val="24"/>
        </w:rPr>
        <w:t>Respondent’s Exhibit 1 and Tr. 29).</w:t>
      </w:r>
    </w:p>
    <w:p w:rsidR="00634BEA" w:rsidRDefault="00634BEA" w:rsidP="00A47172">
      <w:pPr>
        <w:spacing w:line="360" w:lineRule="auto"/>
        <w:rPr>
          <w:sz w:val="24"/>
        </w:rPr>
      </w:pPr>
    </w:p>
    <w:p w:rsidR="00634BEA" w:rsidRDefault="00634BEA" w:rsidP="00A47172">
      <w:pPr>
        <w:spacing w:line="360" w:lineRule="auto"/>
        <w:rPr>
          <w:sz w:val="24"/>
        </w:rPr>
      </w:pPr>
      <w:r>
        <w:rPr>
          <w:sz w:val="24"/>
        </w:rPr>
        <w:tab/>
      </w:r>
      <w:r>
        <w:rPr>
          <w:sz w:val="24"/>
        </w:rPr>
        <w:tab/>
        <w:t>20.</w:t>
      </w:r>
      <w:r>
        <w:rPr>
          <w:sz w:val="24"/>
        </w:rPr>
        <w:tab/>
        <w:t>Ms. Brown attributed Complainant’s slight increased winter usage to some other heating source or the furnace running more (Tr. 29-30)</w:t>
      </w:r>
      <w:r w:rsidR="00676519">
        <w:rPr>
          <w:sz w:val="24"/>
        </w:rPr>
        <w:t>.</w:t>
      </w:r>
    </w:p>
    <w:p w:rsidR="00676519" w:rsidRDefault="00676519" w:rsidP="00A47172">
      <w:pPr>
        <w:spacing w:line="360" w:lineRule="auto"/>
        <w:rPr>
          <w:sz w:val="24"/>
        </w:rPr>
      </w:pPr>
    </w:p>
    <w:p w:rsidR="00676519" w:rsidRDefault="00676519" w:rsidP="00A47172">
      <w:pPr>
        <w:spacing w:line="360" w:lineRule="auto"/>
        <w:rPr>
          <w:sz w:val="24"/>
        </w:rPr>
      </w:pPr>
      <w:r>
        <w:rPr>
          <w:sz w:val="24"/>
        </w:rPr>
        <w:tab/>
      </w:r>
      <w:r>
        <w:rPr>
          <w:sz w:val="24"/>
        </w:rPr>
        <w:tab/>
        <w:t>21.</w:t>
      </w:r>
      <w:r>
        <w:rPr>
          <w:sz w:val="24"/>
        </w:rPr>
        <w:tab/>
        <w:t xml:space="preserve">Complainant has a wall heater in her bathroom (Respondent Exhibit 6).  Complainant denied ever operating the wall heater in her bathroom </w:t>
      </w:r>
      <w:r w:rsidR="005F69BC">
        <w:rPr>
          <w:sz w:val="24"/>
        </w:rPr>
        <w:t>or using any other h</w:t>
      </w:r>
      <w:r w:rsidR="00707F34">
        <w:rPr>
          <w:sz w:val="24"/>
        </w:rPr>
        <w:t>e</w:t>
      </w:r>
      <w:r w:rsidR="005F69BC">
        <w:rPr>
          <w:sz w:val="24"/>
        </w:rPr>
        <w:t xml:space="preserve">ating source </w:t>
      </w:r>
      <w:r>
        <w:rPr>
          <w:sz w:val="24"/>
        </w:rPr>
        <w:t xml:space="preserve">(Tr. </w:t>
      </w:r>
      <w:r w:rsidR="005F69BC">
        <w:rPr>
          <w:sz w:val="24"/>
        </w:rPr>
        <w:t>35-36</w:t>
      </w:r>
      <w:r w:rsidR="00EE1566">
        <w:rPr>
          <w:sz w:val="24"/>
        </w:rPr>
        <w:t xml:space="preserve"> and 43</w:t>
      </w:r>
      <w:r w:rsidR="005F69BC">
        <w:rPr>
          <w:sz w:val="24"/>
        </w:rPr>
        <w:t>).</w:t>
      </w:r>
    </w:p>
    <w:p w:rsidR="005F69BC" w:rsidRDefault="005F69BC" w:rsidP="00A47172">
      <w:pPr>
        <w:spacing w:line="360" w:lineRule="auto"/>
        <w:rPr>
          <w:sz w:val="24"/>
        </w:rPr>
      </w:pPr>
    </w:p>
    <w:p w:rsidR="005F69BC" w:rsidRDefault="005F69BC" w:rsidP="00A47172">
      <w:pPr>
        <w:spacing w:line="360" w:lineRule="auto"/>
        <w:rPr>
          <w:sz w:val="24"/>
        </w:rPr>
      </w:pPr>
      <w:r>
        <w:rPr>
          <w:sz w:val="24"/>
        </w:rPr>
        <w:tab/>
      </w:r>
      <w:r>
        <w:rPr>
          <w:sz w:val="24"/>
        </w:rPr>
        <w:tab/>
        <w:t>22.</w:t>
      </w:r>
      <w:r>
        <w:rPr>
          <w:sz w:val="24"/>
        </w:rPr>
        <w:tab/>
        <w:t>In June and July 2010, Complainant’s electric consumption averag</w:t>
      </w:r>
      <w:r w:rsidR="008464A3">
        <w:rPr>
          <w:sz w:val="24"/>
        </w:rPr>
        <w:t>ed 10.9 and 14.5 kilowatt hours, respectively (Tr. 30).</w:t>
      </w:r>
    </w:p>
    <w:p w:rsidR="008464A3" w:rsidRDefault="008464A3" w:rsidP="00A47172">
      <w:pPr>
        <w:spacing w:line="360" w:lineRule="auto"/>
        <w:rPr>
          <w:sz w:val="24"/>
        </w:rPr>
      </w:pPr>
    </w:p>
    <w:p w:rsidR="008464A3" w:rsidRDefault="008464A3" w:rsidP="00A47172">
      <w:pPr>
        <w:spacing w:line="360" w:lineRule="auto"/>
        <w:rPr>
          <w:sz w:val="24"/>
        </w:rPr>
      </w:pPr>
      <w:r>
        <w:rPr>
          <w:sz w:val="24"/>
        </w:rPr>
        <w:tab/>
      </w:r>
      <w:r>
        <w:rPr>
          <w:sz w:val="24"/>
        </w:rPr>
        <w:tab/>
        <w:t>23.</w:t>
      </w:r>
      <w:r>
        <w:rPr>
          <w:sz w:val="24"/>
        </w:rPr>
        <w:tab/>
        <w:t>Ms. Brown attributed Complainant’s lowered consumption in June and July 2010 to Complainant conserving energy (Tr. 30).</w:t>
      </w:r>
    </w:p>
    <w:p w:rsidR="008464A3" w:rsidRDefault="008464A3" w:rsidP="00A47172">
      <w:pPr>
        <w:spacing w:line="360" w:lineRule="auto"/>
        <w:rPr>
          <w:sz w:val="24"/>
        </w:rPr>
      </w:pPr>
    </w:p>
    <w:p w:rsidR="008464A3" w:rsidRDefault="008464A3" w:rsidP="00A47172">
      <w:pPr>
        <w:spacing w:line="360" w:lineRule="auto"/>
        <w:rPr>
          <w:sz w:val="24"/>
        </w:rPr>
      </w:pPr>
      <w:r>
        <w:rPr>
          <w:sz w:val="24"/>
        </w:rPr>
        <w:tab/>
      </w:r>
      <w:r>
        <w:rPr>
          <w:sz w:val="24"/>
        </w:rPr>
        <w:tab/>
      </w:r>
      <w:r w:rsidR="0047635E">
        <w:rPr>
          <w:sz w:val="24"/>
        </w:rPr>
        <w:t>24.</w:t>
      </w:r>
      <w:r w:rsidR="0047635E">
        <w:rPr>
          <w:sz w:val="24"/>
        </w:rPr>
        <w:tab/>
        <w:t>On July 19, 2006, Respondent inspected Complainant’s electric meter. The inspection revealed Complainant’s apartment was heated by gas</w:t>
      </w:r>
      <w:r w:rsidR="00E11E5D">
        <w:rPr>
          <w:sz w:val="24"/>
        </w:rPr>
        <w:t xml:space="preserve">. </w:t>
      </w:r>
      <w:r w:rsidR="00707F34">
        <w:rPr>
          <w:sz w:val="24"/>
        </w:rPr>
        <w:t xml:space="preserve"> </w:t>
      </w:r>
      <w:r w:rsidR="00E11E5D">
        <w:rPr>
          <w:sz w:val="24"/>
        </w:rPr>
        <w:t>T</w:t>
      </w:r>
      <w:r w:rsidR="0047635E">
        <w:rPr>
          <w:sz w:val="24"/>
        </w:rPr>
        <w:t>here was one adult in the unit</w:t>
      </w:r>
      <w:r w:rsidR="00E11E5D">
        <w:rPr>
          <w:sz w:val="24"/>
        </w:rPr>
        <w:t xml:space="preserve">. </w:t>
      </w:r>
      <w:r w:rsidR="00707F34">
        <w:rPr>
          <w:sz w:val="24"/>
        </w:rPr>
        <w:t xml:space="preserve"> </w:t>
      </w:r>
      <w:r w:rsidR="00E11E5D">
        <w:rPr>
          <w:sz w:val="24"/>
        </w:rPr>
        <w:t>T</w:t>
      </w:r>
      <w:r w:rsidR="0047635E">
        <w:rPr>
          <w:sz w:val="24"/>
        </w:rPr>
        <w:t xml:space="preserve">here was </w:t>
      </w:r>
      <w:r w:rsidR="00E11E5D">
        <w:rPr>
          <w:sz w:val="24"/>
        </w:rPr>
        <w:t xml:space="preserve">an electric range, </w:t>
      </w:r>
      <w:r w:rsidR="0047635E">
        <w:rPr>
          <w:sz w:val="24"/>
        </w:rPr>
        <w:t>refrigerator, dryer, two televisions</w:t>
      </w:r>
      <w:r w:rsidR="00E11E5D">
        <w:rPr>
          <w:sz w:val="24"/>
        </w:rPr>
        <w:t xml:space="preserve">, </w:t>
      </w:r>
      <w:r w:rsidR="00DB3AA4">
        <w:rPr>
          <w:sz w:val="24"/>
        </w:rPr>
        <w:t xml:space="preserve">and </w:t>
      </w:r>
      <w:r w:rsidR="00E11E5D">
        <w:rPr>
          <w:sz w:val="24"/>
        </w:rPr>
        <w:t xml:space="preserve">dishwasher in the </w:t>
      </w:r>
      <w:r w:rsidR="00E11E5D">
        <w:rPr>
          <w:sz w:val="24"/>
        </w:rPr>
        <w:lastRenderedPageBreak/>
        <w:t xml:space="preserve">apartment. </w:t>
      </w:r>
      <w:r w:rsidR="0069215C">
        <w:rPr>
          <w:sz w:val="24"/>
        </w:rPr>
        <w:t xml:space="preserve"> </w:t>
      </w:r>
      <w:r w:rsidR="00E11E5D">
        <w:rPr>
          <w:sz w:val="24"/>
        </w:rPr>
        <w:t xml:space="preserve">No foreign wiring was found. </w:t>
      </w:r>
      <w:r w:rsidR="0069215C">
        <w:rPr>
          <w:sz w:val="24"/>
        </w:rPr>
        <w:t xml:space="preserve"> </w:t>
      </w:r>
      <w:r w:rsidR="00E11E5D">
        <w:rPr>
          <w:sz w:val="24"/>
        </w:rPr>
        <w:t>On full load the meter tested 100.5; on light load the meter tested 100.3 (Respondent’s Exhibit 5).</w:t>
      </w:r>
    </w:p>
    <w:p w:rsidR="00E11E5D" w:rsidRDefault="00E11E5D" w:rsidP="00A47172">
      <w:pPr>
        <w:spacing w:line="360" w:lineRule="auto"/>
        <w:rPr>
          <w:sz w:val="24"/>
        </w:rPr>
      </w:pPr>
    </w:p>
    <w:p w:rsidR="006F408C" w:rsidRDefault="00BA563C" w:rsidP="00BA563C">
      <w:pPr>
        <w:spacing w:line="360" w:lineRule="auto"/>
        <w:rPr>
          <w:sz w:val="24"/>
        </w:rPr>
      </w:pPr>
      <w:r>
        <w:rPr>
          <w:sz w:val="24"/>
        </w:rPr>
        <w:tab/>
      </w:r>
      <w:r>
        <w:rPr>
          <w:sz w:val="24"/>
        </w:rPr>
        <w:tab/>
        <w:t>25.</w:t>
      </w:r>
      <w:r>
        <w:rPr>
          <w:sz w:val="24"/>
        </w:rPr>
        <w:tab/>
        <w:t xml:space="preserve">On July 30, 2010, Respondent’s witness, Senior Meter Technician Edward Keegan (Tr. 10), </w:t>
      </w:r>
      <w:r w:rsidR="006F408C">
        <w:rPr>
          <w:sz w:val="24"/>
        </w:rPr>
        <w:t>survey</w:t>
      </w:r>
      <w:r w:rsidR="00DD3CC9">
        <w:rPr>
          <w:sz w:val="24"/>
        </w:rPr>
        <w:t>ed</w:t>
      </w:r>
      <w:r w:rsidR="006F408C">
        <w:rPr>
          <w:sz w:val="24"/>
        </w:rPr>
        <w:t xml:space="preserve"> </w:t>
      </w:r>
      <w:r>
        <w:rPr>
          <w:sz w:val="24"/>
        </w:rPr>
        <w:t>Complainant</w:t>
      </w:r>
      <w:r w:rsidR="00DD3CC9">
        <w:rPr>
          <w:sz w:val="24"/>
        </w:rPr>
        <w:t>’s</w:t>
      </w:r>
      <w:r>
        <w:rPr>
          <w:sz w:val="24"/>
        </w:rPr>
        <w:t xml:space="preserve"> </w:t>
      </w:r>
      <w:r w:rsidR="00DD3CC9">
        <w:rPr>
          <w:sz w:val="24"/>
        </w:rPr>
        <w:t xml:space="preserve">apartment and tested her </w:t>
      </w:r>
      <w:r>
        <w:rPr>
          <w:sz w:val="24"/>
        </w:rPr>
        <w:t>electric meter (</w:t>
      </w:r>
      <w:r w:rsidR="006F408C">
        <w:rPr>
          <w:sz w:val="24"/>
        </w:rPr>
        <w:t xml:space="preserve">Respondent’s Exhibit 6 and </w:t>
      </w:r>
      <w:r>
        <w:rPr>
          <w:sz w:val="24"/>
        </w:rPr>
        <w:t xml:space="preserve">Tr. </w:t>
      </w:r>
      <w:r w:rsidR="006F408C">
        <w:rPr>
          <w:sz w:val="24"/>
        </w:rPr>
        <w:t>40</w:t>
      </w:r>
      <w:r>
        <w:rPr>
          <w:sz w:val="24"/>
        </w:rPr>
        <w:t>).</w:t>
      </w:r>
    </w:p>
    <w:p w:rsidR="00DD3CC9" w:rsidRDefault="00DD3CC9" w:rsidP="00BA563C">
      <w:pPr>
        <w:spacing w:line="360" w:lineRule="auto"/>
        <w:rPr>
          <w:sz w:val="24"/>
        </w:rPr>
      </w:pPr>
    </w:p>
    <w:p w:rsidR="00DD3CC9" w:rsidRDefault="00DD3CC9" w:rsidP="00BA563C">
      <w:pPr>
        <w:spacing w:line="360" w:lineRule="auto"/>
        <w:rPr>
          <w:sz w:val="24"/>
        </w:rPr>
      </w:pPr>
      <w:r>
        <w:rPr>
          <w:sz w:val="24"/>
        </w:rPr>
        <w:tab/>
      </w:r>
      <w:r>
        <w:rPr>
          <w:sz w:val="24"/>
        </w:rPr>
        <w:tab/>
        <w:t>26.</w:t>
      </w:r>
      <w:r>
        <w:rPr>
          <w:sz w:val="24"/>
        </w:rPr>
        <w:tab/>
        <w:t xml:space="preserve">Mr. Keegan found Complainant had an average size apartment </w:t>
      </w:r>
      <w:r w:rsidR="00DB3AA4">
        <w:rPr>
          <w:sz w:val="24"/>
        </w:rPr>
        <w:t xml:space="preserve">(Tr. 46) </w:t>
      </w:r>
      <w:r>
        <w:rPr>
          <w:sz w:val="24"/>
        </w:rPr>
        <w:t>with gas heat, electric stove, refrigerator, 240-volt dryer, a gas water tank, air con</w:t>
      </w:r>
      <w:r w:rsidR="006604CD">
        <w:rPr>
          <w:sz w:val="24"/>
        </w:rPr>
        <w:t>d</w:t>
      </w:r>
      <w:r>
        <w:rPr>
          <w:sz w:val="24"/>
        </w:rPr>
        <w:t>itioning s</w:t>
      </w:r>
      <w:r w:rsidR="006604CD">
        <w:rPr>
          <w:sz w:val="24"/>
        </w:rPr>
        <w:t>e</w:t>
      </w:r>
      <w:r>
        <w:rPr>
          <w:sz w:val="24"/>
        </w:rPr>
        <w:t xml:space="preserve">t at 78 to 80 degrees, dishwasher, </w:t>
      </w:r>
      <w:r w:rsidR="00302594">
        <w:rPr>
          <w:sz w:val="24"/>
        </w:rPr>
        <w:t xml:space="preserve">two color televisions, computer and microwave oven, and </w:t>
      </w:r>
      <w:r w:rsidR="006604CD">
        <w:rPr>
          <w:sz w:val="24"/>
        </w:rPr>
        <w:t xml:space="preserve">an electric wall heater in the bathroom (Respondent’s Exhibit 6 and Tr. </w:t>
      </w:r>
      <w:r w:rsidR="00302594">
        <w:rPr>
          <w:sz w:val="24"/>
        </w:rPr>
        <w:t>41</w:t>
      </w:r>
      <w:r w:rsidR="00A823A3">
        <w:rPr>
          <w:sz w:val="24"/>
        </w:rPr>
        <w:t>-42</w:t>
      </w:r>
      <w:r w:rsidR="00DB3AA4">
        <w:rPr>
          <w:sz w:val="24"/>
        </w:rPr>
        <w:t xml:space="preserve"> and 45</w:t>
      </w:r>
      <w:r w:rsidR="00A823A3">
        <w:rPr>
          <w:sz w:val="24"/>
        </w:rPr>
        <w:t>)</w:t>
      </w:r>
      <w:r w:rsidR="00302594">
        <w:rPr>
          <w:sz w:val="24"/>
        </w:rPr>
        <w:t>.</w:t>
      </w:r>
    </w:p>
    <w:p w:rsidR="00A823A3" w:rsidRDefault="00A823A3" w:rsidP="00BA563C">
      <w:pPr>
        <w:spacing w:line="360" w:lineRule="auto"/>
        <w:rPr>
          <w:sz w:val="24"/>
        </w:rPr>
      </w:pPr>
    </w:p>
    <w:p w:rsidR="00A823A3" w:rsidRDefault="00A823A3" w:rsidP="00BA563C">
      <w:pPr>
        <w:spacing w:line="360" w:lineRule="auto"/>
        <w:rPr>
          <w:sz w:val="24"/>
        </w:rPr>
      </w:pPr>
      <w:r>
        <w:rPr>
          <w:sz w:val="24"/>
        </w:rPr>
        <w:tab/>
      </w:r>
      <w:r>
        <w:rPr>
          <w:sz w:val="24"/>
        </w:rPr>
        <w:tab/>
        <w:t>27.</w:t>
      </w:r>
      <w:r>
        <w:rPr>
          <w:sz w:val="24"/>
        </w:rPr>
        <w:tab/>
        <w:t>Mr. Keegan did not find any foreign wiring in Complainant’s apartment (Respondent’s Exhibit 6 and Tr. 44).</w:t>
      </w:r>
    </w:p>
    <w:p w:rsidR="0029259D" w:rsidRDefault="0029259D" w:rsidP="00BA563C">
      <w:pPr>
        <w:spacing w:line="360" w:lineRule="auto"/>
        <w:rPr>
          <w:sz w:val="24"/>
        </w:rPr>
      </w:pPr>
    </w:p>
    <w:p w:rsidR="0065457C" w:rsidRDefault="0065457C" w:rsidP="00BA563C">
      <w:pPr>
        <w:spacing w:line="360" w:lineRule="auto"/>
        <w:rPr>
          <w:sz w:val="24"/>
        </w:rPr>
      </w:pPr>
      <w:r>
        <w:rPr>
          <w:sz w:val="24"/>
        </w:rPr>
        <w:tab/>
      </w:r>
      <w:r>
        <w:rPr>
          <w:sz w:val="24"/>
        </w:rPr>
        <w:tab/>
        <w:t>28.</w:t>
      </w:r>
      <w:r>
        <w:rPr>
          <w:sz w:val="24"/>
        </w:rPr>
        <w:tab/>
        <w:t>Mr. Keegan testified</w:t>
      </w:r>
      <w:r w:rsidR="00554C1D">
        <w:rPr>
          <w:sz w:val="24"/>
        </w:rPr>
        <w:t>,</w:t>
      </w:r>
      <w:r>
        <w:rPr>
          <w:sz w:val="24"/>
        </w:rPr>
        <w:t xml:space="preserve"> “I tested the meter for accuracy.  It is accurate.  It’s 100.9 on our f</w:t>
      </w:r>
      <w:r w:rsidR="00554C1D">
        <w:rPr>
          <w:sz w:val="24"/>
        </w:rPr>
        <w:t>ull lo</w:t>
      </w:r>
      <w:r>
        <w:rPr>
          <w:sz w:val="24"/>
        </w:rPr>
        <w:t>ad test a</w:t>
      </w:r>
      <w:r w:rsidR="00554C1D">
        <w:rPr>
          <w:sz w:val="24"/>
        </w:rPr>
        <w:t>n</w:t>
      </w:r>
      <w:r>
        <w:rPr>
          <w:sz w:val="24"/>
        </w:rPr>
        <w:t xml:space="preserve">d 100.6 on our -- what we call out light load test </w:t>
      </w:r>
      <w:r w:rsidR="00554C1D">
        <w:rPr>
          <w:sz w:val="24"/>
        </w:rPr>
        <w:t>(</w:t>
      </w:r>
      <w:r>
        <w:rPr>
          <w:sz w:val="24"/>
        </w:rPr>
        <w:t>Respondent’s Exhibit 6 and Tr. 40).</w:t>
      </w:r>
      <w:r w:rsidR="00554C1D">
        <w:rPr>
          <w:sz w:val="24"/>
        </w:rPr>
        <w:t>”</w:t>
      </w:r>
      <w:r w:rsidR="0029259D">
        <w:rPr>
          <w:sz w:val="24"/>
        </w:rPr>
        <w:tab/>
      </w:r>
      <w:r w:rsidR="0029259D">
        <w:rPr>
          <w:sz w:val="24"/>
        </w:rPr>
        <w:tab/>
      </w:r>
    </w:p>
    <w:p w:rsidR="0065457C" w:rsidRDefault="0065457C" w:rsidP="00BA563C">
      <w:pPr>
        <w:spacing w:line="360" w:lineRule="auto"/>
        <w:rPr>
          <w:sz w:val="24"/>
        </w:rPr>
      </w:pPr>
    </w:p>
    <w:p w:rsidR="0029259D" w:rsidRDefault="0065457C" w:rsidP="00BA563C">
      <w:pPr>
        <w:spacing w:line="360" w:lineRule="auto"/>
        <w:rPr>
          <w:sz w:val="24"/>
        </w:rPr>
      </w:pPr>
      <w:r>
        <w:rPr>
          <w:sz w:val="24"/>
        </w:rPr>
        <w:tab/>
      </w:r>
      <w:r>
        <w:rPr>
          <w:sz w:val="24"/>
        </w:rPr>
        <w:tab/>
        <w:t>29.</w:t>
      </w:r>
      <w:r>
        <w:rPr>
          <w:sz w:val="24"/>
        </w:rPr>
        <w:tab/>
      </w:r>
      <w:r w:rsidR="0029259D">
        <w:rPr>
          <w:sz w:val="24"/>
        </w:rPr>
        <w:t xml:space="preserve">Mr. Keegan opined that Complainant’s current usage indicates “she’s conserving a lot more” energy </w:t>
      </w:r>
      <w:r w:rsidR="001C6B2C">
        <w:rPr>
          <w:sz w:val="24"/>
        </w:rPr>
        <w:t xml:space="preserve">now </w:t>
      </w:r>
      <w:r w:rsidR="0029259D">
        <w:rPr>
          <w:sz w:val="24"/>
        </w:rPr>
        <w:t>(Tr. 46).</w:t>
      </w:r>
    </w:p>
    <w:p w:rsidR="001C6B2C" w:rsidRDefault="001C6B2C" w:rsidP="00BA563C">
      <w:pPr>
        <w:spacing w:line="360" w:lineRule="auto"/>
        <w:rPr>
          <w:sz w:val="24"/>
        </w:rPr>
      </w:pPr>
    </w:p>
    <w:p w:rsidR="005D0BD6" w:rsidRDefault="009D0D52" w:rsidP="00741A78">
      <w:pPr>
        <w:spacing w:line="360" w:lineRule="auto"/>
        <w:jc w:val="center"/>
        <w:rPr>
          <w:sz w:val="24"/>
          <w:szCs w:val="24"/>
          <w:u w:val="single"/>
        </w:rPr>
      </w:pPr>
      <w:r>
        <w:rPr>
          <w:sz w:val="24"/>
          <w:szCs w:val="24"/>
          <w:u w:val="single"/>
        </w:rPr>
        <w:t>DISCUSSION</w:t>
      </w:r>
    </w:p>
    <w:p w:rsidR="0044227C" w:rsidRDefault="0044227C" w:rsidP="0044227C">
      <w:pPr>
        <w:spacing w:line="360" w:lineRule="auto"/>
        <w:rPr>
          <w:sz w:val="24"/>
          <w:szCs w:val="24"/>
          <w:u w:val="single"/>
        </w:rPr>
      </w:pPr>
    </w:p>
    <w:p w:rsidR="0044227C" w:rsidRDefault="0044227C" w:rsidP="0044227C">
      <w:r w:rsidRPr="00D823BC">
        <w:rPr>
          <w:sz w:val="24"/>
          <w:szCs w:val="24"/>
        </w:rPr>
        <w:t>The Pennsylvania Supreme Court has held:</w:t>
      </w:r>
    </w:p>
    <w:p w:rsidR="0044227C" w:rsidRDefault="0044227C" w:rsidP="0044227C"/>
    <w:p w:rsidR="0044227C" w:rsidRPr="00DF51C1" w:rsidRDefault="0044227C" w:rsidP="004628D7">
      <w:pPr>
        <w:ind w:left="1440" w:right="1440"/>
        <w:rPr>
          <w:sz w:val="24"/>
          <w:szCs w:val="24"/>
        </w:rPr>
      </w:pPr>
      <w:r w:rsidRPr="00DF51C1">
        <w:rPr>
          <w:sz w:val="24"/>
          <w:szCs w:val="24"/>
        </w:rPr>
        <w:t xml:space="preserve">In a complaint for overbilling by a customer of a public utility, the legislature has placed the burden of proof upon the complainant. </w:t>
      </w:r>
      <w:r w:rsidRPr="00DF51C1">
        <w:rPr>
          <w:i/>
          <w:iCs/>
          <w:sz w:val="24"/>
          <w:szCs w:val="24"/>
        </w:rPr>
        <w:t>See</w:t>
      </w:r>
      <w:r w:rsidRPr="00DF51C1">
        <w:rPr>
          <w:sz w:val="24"/>
          <w:szCs w:val="24"/>
        </w:rPr>
        <w:t xml:space="preserve"> </w:t>
      </w:r>
      <w:hyperlink r:id="rId8" w:history="1">
        <w:proofErr w:type="gramStart"/>
        <w:r w:rsidRPr="00DF51C1">
          <w:rPr>
            <w:rStyle w:val="Hyperlink"/>
            <w:i/>
            <w:color w:val="auto"/>
            <w:sz w:val="24"/>
            <w:szCs w:val="24"/>
          </w:rPr>
          <w:t xml:space="preserve">66 </w:t>
        </w:r>
        <w:proofErr w:type="spellStart"/>
        <w:r w:rsidRPr="00DF51C1">
          <w:rPr>
            <w:rStyle w:val="Hyperlink"/>
            <w:i/>
            <w:color w:val="auto"/>
            <w:sz w:val="24"/>
            <w:szCs w:val="24"/>
          </w:rPr>
          <w:t>Pa.C.S.A</w:t>
        </w:r>
        <w:proofErr w:type="spellEnd"/>
        <w:proofErr w:type="gramEnd"/>
        <w:r w:rsidRPr="00DF51C1">
          <w:rPr>
            <w:rStyle w:val="Hyperlink"/>
            <w:i/>
            <w:color w:val="auto"/>
            <w:sz w:val="24"/>
            <w:szCs w:val="24"/>
          </w:rPr>
          <w:t>. § 332(a)</w:t>
        </w:r>
      </w:hyperlink>
      <w:r w:rsidRPr="00DF51C1">
        <w:rPr>
          <w:i/>
          <w:sz w:val="24"/>
          <w:szCs w:val="24"/>
        </w:rPr>
        <w:t>.</w:t>
      </w:r>
      <w:r w:rsidRPr="00DF51C1">
        <w:rPr>
          <w:sz w:val="24"/>
          <w:szCs w:val="24"/>
        </w:rPr>
        <w:t xml:space="preserve"> </w:t>
      </w:r>
      <w:r>
        <w:rPr>
          <w:sz w:val="24"/>
          <w:szCs w:val="24"/>
        </w:rPr>
        <w:t xml:space="preserve"> </w:t>
      </w:r>
      <w:r w:rsidRPr="00DF51C1">
        <w:rPr>
          <w:sz w:val="24"/>
          <w:szCs w:val="24"/>
        </w:rPr>
        <w:t xml:space="preserve">The P.U.C. promulgated a rule in </w:t>
      </w:r>
      <w:proofErr w:type="spellStart"/>
      <w:r w:rsidRPr="00DF51C1">
        <w:rPr>
          <w:i/>
          <w:iCs/>
          <w:sz w:val="24"/>
          <w:szCs w:val="24"/>
        </w:rPr>
        <w:t>Malcom</w:t>
      </w:r>
      <w:proofErr w:type="spellEnd"/>
      <w:r w:rsidRPr="00DF51C1">
        <w:rPr>
          <w:i/>
          <w:iCs/>
          <w:sz w:val="24"/>
          <w:szCs w:val="24"/>
        </w:rPr>
        <w:t xml:space="preserve"> Waldron v. P.U.C.,</w:t>
      </w:r>
      <w:r w:rsidRPr="00DF51C1">
        <w:rPr>
          <w:sz w:val="24"/>
          <w:szCs w:val="24"/>
        </w:rPr>
        <w:t xml:space="preserve"> C-77100047, which provided that </w:t>
      </w:r>
      <w:bookmarkStart w:id="0" w:name="clsccl2"/>
      <w:bookmarkEnd w:id="0"/>
      <w:r w:rsidRPr="00DF51C1">
        <w:rPr>
          <w:sz w:val="24"/>
          <w:szCs w:val="24"/>
        </w:rPr>
        <w:t xml:space="preserve">in such proceedings a complainant may establish a prima facie case that </w:t>
      </w:r>
      <w:proofErr w:type="spellStart"/>
      <w:r w:rsidRPr="00DF51C1">
        <w:rPr>
          <w:sz w:val="24"/>
          <w:szCs w:val="24"/>
        </w:rPr>
        <w:t>can not</w:t>
      </w:r>
      <w:proofErr w:type="spellEnd"/>
      <w:r w:rsidRPr="00DF51C1">
        <w:rPr>
          <w:sz w:val="24"/>
          <w:szCs w:val="24"/>
        </w:rPr>
        <w:t xml:space="preserve"> be defeated, in </w:t>
      </w:r>
      <w:proofErr w:type="spellStart"/>
      <w:r w:rsidRPr="00DF51C1">
        <w:rPr>
          <w:sz w:val="24"/>
          <w:szCs w:val="24"/>
        </w:rPr>
        <w:t>limine</w:t>
      </w:r>
      <w:proofErr w:type="spellEnd"/>
      <w:r w:rsidRPr="00DF51C1">
        <w:rPr>
          <w:sz w:val="24"/>
          <w:szCs w:val="24"/>
        </w:rPr>
        <w:t xml:space="preserve">, by the complainant's failure to prove the utility's meter was misread or otherwise inaccurate. </w:t>
      </w:r>
      <w:r>
        <w:rPr>
          <w:sz w:val="24"/>
          <w:szCs w:val="24"/>
        </w:rPr>
        <w:t xml:space="preserve"> </w:t>
      </w:r>
      <w:r w:rsidRPr="00DF51C1">
        <w:rPr>
          <w:sz w:val="24"/>
          <w:szCs w:val="24"/>
        </w:rPr>
        <w:t xml:space="preserve">Recognizing that technical expertise to test meter accuracy may not be available to a complainant, the P.U.C. in </w:t>
      </w:r>
      <w:r w:rsidRPr="00DF51C1">
        <w:rPr>
          <w:i/>
          <w:iCs/>
          <w:sz w:val="24"/>
          <w:szCs w:val="24"/>
        </w:rPr>
        <w:t>Waldron</w:t>
      </w:r>
      <w:r w:rsidRPr="00DF51C1">
        <w:rPr>
          <w:sz w:val="24"/>
          <w:szCs w:val="24"/>
        </w:rPr>
        <w:t xml:space="preserve"> </w:t>
      </w:r>
      <w:r w:rsidRPr="00DF51C1">
        <w:rPr>
          <w:sz w:val="24"/>
          <w:szCs w:val="24"/>
        </w:rPr>
        <w:lastRenderedPageBreak/>
        <w:t>established other evidentiary criteria for determination upon the whole record of whether a complainant has established a prima facie case.</w:t>
      </w:r>
    </w:p>
    <w:p w:rsidR="0044227C" w:rsidRDefault="0044227C" w:rsidP="004628D7">
      <w:pPr>
        <w:spacing w:line="360" w:lineRule="auto"/>
        <w:ind w:right="1440"/>
        <w:rPr>
          <w:sz w:val="24"/>
          <w:szCs w:val="24"/>
        </w:rPr>
      </w:pPr>
    </w:p>
    <w:p w:rsidR="0044227C" w:rsidRDefault="0044227C" w:rsidP="004628D7">
      <w:pPr>
        <w:ind w:left="1440" w:right="1440"/>
        <w:contextualSpacing/>
        <w:rPr>
          <w:sz w:val="24"/>
          <w:szCs w:val="24"/>
        </w:rPr>
      </w:pPr>
      <w:r w:rsidRPr="00B41C8A">
        <w:rPr>
          <w:sz w:val="24"/>
          <w:szCs w:val="24"/>
        </w:rPr>
        <w:t xml:space="preserve">Under these requirements, a complainant may establish a prima facie case by showing that his power usage for the billing period in question was unchanged from earlier periods and his bill for the same period was higher than previous bills. The burden of </w:t>
      </w:r>
      <w:r w:rsidRPr="00B41C8A">
        <w:rPr>
          <w:i/>
          <w:iCs/>
          <w:sz w:val="24"/>
          <w:szCs w:val="24"/>
        </w:rPr>
        <w:t>going forward,</w:t>
      </w:r>
      <w:r w:rsidRPr="00B41C8A">
        <w:rPr>
          <w:sz w:val="24"/>
          <w:szCs w:val="24"/>
        </w:rPr>
        <w:t xml:space="preserve"> not the burden of </w:t>
      </w:r>
      <w:proofErr w:type="gramStart"/>
      <w:r w:rsidRPr="00B41C8A">
        <w:rPr>
          <w:sz w:val="24"/>
          <w:szCs w:val="24"/>
        </w:rPr>
        <w:t xml:space="preserve">proof, </w:t>
      </w:r>
      <w:r>
        <w:rPr>
          <w:sz w:val="24"/>
          <w:szCs w:val="24"/>
        </w:rPr>
        <w:t>…</w:t>
      </w:r>
      <w:r w:rsidRPr="00B41C8A">
        <w:rPr>
          <w:sz w:val="24"/>
          <w:szCs w:val="24"/>
        </w:rPr>
        <w:t>then</w:t>
      </w:r>
      <w:proofErr w:type="gramEnd"/>
      <w:r w:rsidRPr="00B41C8A">
        <w:rPr>
          <w:sz w:val="24"/>
          <w:szCs w:val="24"/>
        </w:rPr>
        <w:t xml:space="preserve"> shifts to the utility which must rebut the complainant's case with co-equal evidence. Under </w:t>
      </w:r>
      <w:r w:rsidRPr="00B41C8A">
        <w:rPr>
          <w:i/>
          <w:iCs/>
          <w:sz w:val="24"/>
          <w:szCs w:val="24"/>
        </w:rPr>
        <w:t>Waldron</w:t>
      </w:r>
      <w:r w:rsidRPr="00B41C8A">
        <w:rPr>
          <w:sz w:val="24"/>
          <w:szCs w:val="24"/>
        </w:rPr>
        <w:t xml:space="preserve"> the fact finder measures the weight of all the evidence so that the mere proof by the utility that its power measuring devices were accurate is no longer the sole determinant as to whether there is a basis to a complaint of overbilling.</w:t>
      </w:r>
      <w:r w:rsidRPr="00B41C8A">
        <w:rPr>
          <w:sz w:val="24"/>
          <w:szCs w:val="24"/>
        </w:rPr>
        <w:br/>
      </w:r>
      <w:r w:rsidRPr="00B41C8A">
        <w:rPr>
          <w:sz w:val="24"/>
          <w:szCs w:val="24"/>
        </w:rPr>
        <w:br/>
        <w:t xml:space="preserve">Thus, essentially the </w:t>
      </w:r>
      <w:r w:rsidRPr="00B41C8A">
        <w:rPr>
          <w:i/>
          <w:iCs/>
          <w:sz w:val="24"/>
          <w:szCs w:val="24"/>
        </w:rPr>
        <w:t>Waldron</w:t>
      </w:r>
      <w:r w:rsidRPr="00B41C8A">
        <w:rPr>
          <w:sz w:val="24"/>
          <w:szCs w:val="24"/>
        </w:rPr>
        <w:t xml:space="preserve"> Rule is an evidentiary device by which a utility customer's complaint of overbilling is protected from dismissal during the early stages of litigation. Even if the rule's requirements are met, a complainant remains obligated to prove his case after the utility presents its rebuttal evidence.</w:t>
      </w:r>
      <w:r w:rsidRPr="00B41C8A">
        <w:rPr>
          <w:sz w:val="24"/>
          <w:szCs w:val="24"/>
        </w:rPr>
        <w:tab/>
      </w:r>
    </w:p>
    <w:p w:rsidR="0044227C" w:rsidRDefault="0044227C" w:rsidP="0044227C">
      <w:pPr>
        <w:ind w:left="1440" w:right="720"/>
        <w:contextualSpacing/>
        <w:rPr>
          <w:sz w:val="24"/>
          <w:szCs w:val="24"/>
        </w:rPr>
      </w:pPr>
    </w:p>
    <w:p w:rsidR="0044227C" w:rsidRDefault="0044227C" w:rsidP="0044227C">
      <w:pPr>
        <w:rPr>
          <w:color w:val="000000"/>
          <w:sz w:val="24"/>
          <w:szCs w:val="24"/>
        </w:rPr>
      </w:pPr>
    </w:p>
    <w:p w:rsidR="0044227C" w:rsidRDefault="0044227C" w:rsidP="0044227C">
      <w:pPr>
        <w:spacing w:line="360" w:lineRule="auto"/>
        <w:rPr>
          <w:color w:val="000000"/>
          <w:sz w:val="24"/>
          <w:szCs w:val="24"/>
        </w:rPr>
      </w:pPr>
      <w:r>
        <w:rPr>
          <w:color w:val="000000"/>
          <w:sz w:val="24"/>
          <w:szCs w:val="24"/>
        </w:rPr>
        <w:tab/>
      </w:r>
      <w:r>
        <w:rPr>
          <w:color w:val="000000"/>
          <w:sz w:val="24"/>
          <w:szCs w:val="24"/>
        </w:rPr>
        <w:tab/>
        <w:t>“</w:t>
      </w:r>
      <w:r w:rsidRPr="006C1E2A">
        <w:rPr>
          <w:color w:val="000000"/>
          <w:sz w:val="24"/>
          <w:szCs w:val="24"/>
        </w:rPr>
        <w:t xml:space="preserve">Therefore, to establish a </w:t>
      </w:r>
      <w:r w:rsidRPr="006C1E2A">
        <w:rPr>
          <w:i/>
          <w:color w:val="000000"/>
          <w:sz w:val="24"/>
          <w:szCs w:val="24"/>
        </w:rPr>
        <w:t xml:space="preserve">prima facie </w:t>
      </w:r>
      <w:r w:rsidRPr="006C1E2A">
        <w:rPr>
          <w:color w:val="000000"/>
          <w:sz w:val="24"/>
          <w:szCs w:val="24"/>
        </w:rPr>
        <w:t xml:space="preserve">case under </w:t>
      </w:r>
      <w:r w:rsidRPr="006C1E2A">
        <w:rPr>
          <w:i/>
          <w:color w:val="000000"/>
          <w:sz w:val="24"/>
          <w:szCs w:val="24"/>
        </w:rPr>
        <w:t>Waldron</w:t>
      </w:r>
      <w:r w:rsidRPr="006C1E2A">
        <w:rPr>
          <w:color w:val="000000"/>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r w:rsidRPr="00604FA3">
        <w:rPr>
          <w:color w:val="000000"/>
          <w:sz w:val="24"/>
          <w:szCs w:val="24"/>
        </w:rPr>
        <w:t xml:space="preserve">.”  </w:t>
      </w:r>
      <w:proofErr w:type="spellStart"/>
      <w:proofErr w:type="gramStart"/>
      <w:r w:rsidRPr="00604FA3">
        <w:rPr>
          <w:i/>
          <w:sz w:val="24"/>
          <w:szCs w:val="24"/>
        </w:rPr>
        <w:t>Charisse</w:t>
      </w:r>
      <w:proofErr w:type="spellEnd"/>
      <w:r w:rsidRPr="00604FA3">
        <w:rPr>
          <w:i/>
          <w:sz w:val="24"/>
          <w:szCs w:val="24"/>
        </w:rPr>
        <w:t xml:space="preserve"> M. Bennett v.</w:t>
      </w:r>
      <w:proofErr w:type="gramEnd"/>
      <w:r w:rsidRPr="00604FA3">
        <w:rPr>
          <w:i/>
          <w:sz w:val="24"/>
          <w:szCs w:val="24"/>
        </w:rPr>
        <w:t xml:space="preserve"> The Peoples Natural Gas Company, LLC</w:t>
      </w:r>
      <w:r>
        <w:rPr>
          <w:i/>
          <w:sz w:val="24"/>
          <w:szCs w:val="24"/>
        </w:rPr>
        <w:t>,</w:t>
      </w:r>
      <w:r w:rsidRPr="00604FA3">
        <w:rPr>
          <w:sz w:val="24"/>
          <w:szCs w:val="24"/>
        </w:rPr>
        <w:t xml:space="preserve"> C-2009-</w:t>
      </w:r>
      <w:r w:rsidRPr="00554E69">
        <w:rPr>
          <w:sz w:val="24"/>
          <w:szCs w:val="24"/>
        </w:rPr>
        <w:t>2122979 (Opinion and Order entered October 13, 2010).</w:t>
      </w:r>
      <w:r>
        <w:rPr>
          <w:szCs w:val="26"/>
        </w:rPr>
        <w:t xml:space="preserve">   </w:t>
      </w:r>
      <w:r w:rsidRPr="00C65818">
        <w:rPr>
          <w:sz w:val="24"/>
          <w:szCs w:val="24"/>
        </w:rPr>
        <w:t>Other relevant evidence for consideration include</w:t>
      </w:r>
      <w:r>
        <w:rPr>
          <w:sz w:val="24"/>
          <w:szCs w:val="24"/>
        </w:rPr>
        <w:t>s</w:t>
      </w:r>
      <w:r w:rsidRPr="00C65818">
        <w:rPr>
          <w:sz w:val="24"/>
          <w:szCs w:val="24"/>
        </w:rPr>
        <w:t xml:space="preserve"> </w:t>
      </w:r>
      <w:r>
        <w:rPr>
          <w:sz w:val="24"/>
          <w:szCs w:val="24"/>
        </w:rPr>
        <w:t>“</w:t>
      </w:r>
      <w:r w:rsidRPr="00C65818">
        <w:rPr>
          <w:sz w:val="24"/>
          <w:szCs w:val="24"/>
        </w:rPr>
        <w:t xml:space="preserve">the </w:t>
      </w:r>
      <w:r w:rsidRPr="00156790">
        <w:rPr>
          <w:sz w:val="24"/>
          <w:szCs w:val="24"/>
        </w:rPr>
        <w:t>billing history of the account, any change in the number of occupants residing in the household, the potential for energy utilization, and any other relevant facts or circumstances that come to light during the proceeding.</w:t>
      </w:r>
      <w:r>
        <w:rPr>
          <w:sz w:val="24"/>
          <w:szCs w:val="24"/>
        </w:rPr>
        <w:t>”</w:t>
      </w:r>
      <w:r w:rsidRPr="00156790">
        <w:rPr>
          <w:sz w:val="24"/>
          <w:szCs w:val="24"/>
        </w:rPr>
        <w:t xml:space="preserve">  </w:t>
      </w:r>
      <w:proofErr w:type="gramStart"/>
      <w:r w:rsidRPr="006C1E2A">
        <w:rPr>
          <w:i/>
          <w:color w:val="000000"/>
          <w:sz w:val="24"/>
          <w:szCs w:val="24"/>
        </w:rPr>
        <w:t>Waldron</w:t>
      </w:r>
      <w:r>
        <w:rPr>
          <w:color w:val="000000"/>
          <w:sz w:val="24"/>
          <w:szCs w:val="24"/>
        </w:rPr>
        <w:t xml:space="preserve"> at 100.</w:t>
      </w:r>
      <w:proofErr w:type="gramEnd"/>
    </w:p>
    <w:p w:rsidR="0044227C" w:rsidRDefault="0044227C" w:rsidP="0044227C">
      <w:pPr>
        <w:spacing w:line="360" w:lineRule="auto"/>
        <w:rPr>
          <w:color w:val="000000"/>
          <w:sz w:val="24"/>
          <w:szCs w:val="24"/>
        </w:rPr>
      </w:pPr>
    </w:p>
    <w:p w:rsidR="00CE4FB2" w:rsidRDefault="0044227C" w:rsidP="00CE4FB2">
      <w:pPr>
        <w:spacing w:line="360" w:lineRule="auto"/>
        <w:rPr>
          <w:color w:val="000000"/>
          <w:sz w:val="24"/>
          <w:szCs w:val="24"/>
        </w:rPr>
      </w:pPr>
      <w:r>
        <w:rPr>
          <w:color w:val="000000"/>
          <w:sz w:val="24"/>
          <w:szCs w:val="24"/>
        </w:rPr>
        <w:tab/>
      </w:r>
      <w:r>
        <w:rPr>
          <w:color w:val="000000"/>
          <w:sz w:val="24"/>
          <w:szCs w:val="24"/>
        </w:rPr>
        <w:tab/>
        <w:t xml:space="preserve">In the present case, Ms. Berry testified that </w:t>
      </w:r>
      <w:r w:rsidR="0032212D">
        <w:rPr>
          <w:color w:val="000000"/>
          <w:sz w:val="24"/>
          <w:szCs w:val="24"/>
        </w:rPr>
        <w:t xml:space="preserve">in June </w:t>
      </w:r>
      <w:r>
        <w:rPr>
          <w:color w:val="000000"/>
          <w:sz w:val="24"/>
          <w:szCs w:val="24"/>
        </w:rPr>
        <w:t xml:space="preserve">2004 </w:t>
      </w:r>
      <w:r w:rsidR="0032212D">
        <w:rPr>
          <w:color w:val="000000"/>
          <w:sz w:val="24"/>
          <w:szCs w:val="24"/>
        </w:rPr>
        <w:t xml:space="preserve">she had a normal electric bill of $48.05 and by July 2005 the bill was $80.00 a month. </w:t>
      </w:r>
      <w:r w:rsidR="00964428">
        <w:rPr>
          <w:color w:val="000000"/>
          <w:sz w:val="24"/>
          <w:szCs w:val="24"/>
        </w:rPr>
        <w:t xml:space="preserve"> </w:t>
      </w:r>
      <w:r w:rsidR="00B05AC6">
        <w:rPr>
          <w:color w:val="000000"/>
          <w:sz w:val="24"/>
          <w:szCs w:val="24"/>
        </w:rPr>
        <w:t>By 2008, her electric billed ranged from $120</w:t>
      </w:r>
      <w:r w:rsidR="00F214C9">
        <w:rPr>
          <w:color w:val="000000"/>
          <w:sz w:val="24"/>
          <w:szCs w:val="24"/>
        </w:rPr>
        <w:t>.00</w:t>
      </w:r>
      <w:r w:rsidR="00B05AC6">
        <w:rPr>
          <w:color w:val="000000"/>
          <w:sz w:val="24"/>
          <w:szCs w:val="24"/>
        </w:rPr>
        <w:t xml:space="preserve"> to $139.00 a month. </w:t>
      </w:r>
      <w:r w:rsidR="009C0769">
        <w:rPr>
          <w:color w:val="000000"/>
          <w:sz w:val="24"/>
          <w:szCs w:val="24"/>
        </w:rPr>
        <w:t xml:space="preserve"> </w:t>
      </w:r>
      <w:r w:rsidR="00B05AC6">
        <w:rPr>
          <w:color w:val="000000"/>
          <w:sz w:val="24"/>
          <w:szCs w:val="24"/>
        </w:rPr>
        <w:t>She insisted her appliances and usage has remained the same in her three room apartment.</w:t>
      </w:r>
      <w:r w:rsidR="00A04190">
        <w:rPr>
          <w:rStyle w:val="FootnoteReference"/>
          <w:color w:val="000000"/>
          <w:sz w:val="24"/>
          <w:szCs w:val="24"/>
        </w:rPr>
        <w:footnoteReference w:id="2"/>
      </w:r>
      <w:r w:rsidR="00B05AC6">
        <w:rPr>
          <w:color w:val="000000"/>
          <w:sz w:val="24"/>
          <w:szCs w:val="24"/>
        </w:rPr>
        <w:t xml:space="preserve"> </w:t>
      </w:r>
      <w:r w:rsidR="00F568ED">
        <w:rPr>
          <w:color w:val="000000"/>
          <w:sz w:val="24"/>
          <w:szCs w:val="24"/>
        </w:rPr>
        <w:t xml:space="preserve"> </w:t>
      </w:r>
      <w:r w:rsidR="008961D2">
        <w:rPr>
          <w:color w:val="000000"/>
          <w:sz w:val="24"/>
          <w:szCs w:val="24"/>
        </w:rPr>
        <w:t xml:space="preserve">At first blush, Ms. Berry’s testimony </w:t>
      </w:r>
      <w:r w:rsidR="00C060D2">
        <w:rPr>
          <w:color w:val="000000"/>
          <w:sz w:val="24"/>
          <w:szCs w:val="24"/>
        </w:rPr>
        <w:t xml:space="preserve">seems to </w:t>
      </w:r>
      <w:r>
        <w:rPr>
          <w:color w:val="000000"/>
          <w:sz w:val="24"/>
          <w:szCs w:val="24"/>
        </w:rPr>
        <w:t xml:space="preserve">establish a </w:t>
      </w:r>
      <w:r w:rsidRPr="006C1E2A">
        <w:rPr>
          <w:i/>
          <w:color w:val="000000"/>
          <w:sz w:val="24"/>
          <w:szCs w:val="24"/>
        </w:rPr>
        <w:t xml:space="preserve">prima </w:t>
      </w:r>
      <w:r w:rsidRPr="006C1E2A">
        <w:rPr>
          <w:i/>
          <w:color w:val="000000"/>
          <w:sz w:val="24"/>
          <w:szCs w:val="24"/>
        </w:rPr>
        <w:lastRenderedPageBreak/>
        <w:t xml:space="preserve">facie </w:t>
      </w:r>
      <w:r w:rsidRPr="00843B90">
        <w:rPr>
          <w:color w:val="000000"/>
          <w:sz w:val="24"/>
          <w:szCs w:val="24"/>
        </w:rPr>
        <w:t>case</w:t>
      </w:r>
      <w:r>
        <w:rPr>
          <w:i/>
          <w:color w:val="000000"/>
          <w:sz w:val="24"/>
          <w:szCs w:val="24"/>
        </w:rPr>
        <w:t xml:space="preserve"> </w:t>
      </w:r>
      <w:r>
        <w:rPr>
          <w:color w:val="000000"/>
          <w:sz w:val="24"/>
          <w:szCs w:val="24"/>
        </w:rPr>
        <w:t xml:space="preserve">under </w:t>
      </w:r>
      <w:r w:rsidRPr="006672C4">
        <w:rPr>
          <w:i/>
          <w:color w:val="000000"/>
          <w:sz w:val="24"/>
          <w:szCs w:val="24"/>
        </w:rPr>
        <w:t>Waldron</w:t>
      </w:r>
      <w:r>
        <w:rPr>
          <w:i/>
          <w:color w:val="000000"/>
          <w:sz w:val="24"/>
          <w:szCs w:val="24"/>
        </w:rPr>
        <w:t xml:space="preserve"> </w:t>
      </w:r>
      <w:r>
        <w:rPr>
          <w:color w:val="000000"/>
          <w:sz w:val="24"/>
          <w:szCs w:val="24"/>
        </w:rPr>
        <w:t xml:space="preserve">and </w:t>
      </w:r>
      <w:r w:rsidR="008961D2">
        <w:rPr>
          <w:color w:val="000000"/>
          <w:sz w:val="24"/>
          <w:szCs w:val="24"/>
        </w:rPr>
        <w:t xml:space="preserve">shift </w:t>
      </w:r>
      <w:r>
        <w:rPr>
          <w:color w:val="000000"/>
          <w:sz w:val="24"/>
          <w:szCs w:val="24"/>
        </w:rPr>
        <w:t>the burden of persuasion</w:t>
      </w:r>
      <w:r w:rsidR="008961D2">
        <w:rPr>
          <w:color w:val="000000"/>
          <w:sz w:val="24"/>
          <w:szCs w:val="24"/>
        </w:rPr>
        <w:t xml:space="preserve"> to Duquesne. </w:t>
      </w:r>
      <w:r w:rsidR="002C3EE0">
        <w:rPr>
          <w:color w:val="000000"/>
          <w:sz w:val="24"/>
          <w:szCs w:val="24"/>
        </w:rPr>
        <w:t xml:space="preserve"> </w:t>
      </w:r>
      <w:r>
        <w:rPr>
          <w:color w:val="000000"/>
          <w:sz w:val="24"/>
          <w:szCs w:val="24"/>
        </w:rPr>
        <w:t xml:space="preserve">However, Ms. Berry’s further testimony defeated her </w:t>
      </w:r>
      <w:r w:rsidRPr="006C1E2A">
        <w:rPr>
          <w:i/>
          <w:color w:val="000000"/>
          <w:sz w:val="24"/>
          <w:szCs w:val="24"/>
        </w:rPr>
        <w:t>prima facie</w:t>
      </w:r>
      <w:r>
        <w:rPr>
          <w:color w:val="000000"/>
          <w:sz w:val="24"/>
          <w:szCs w:val="24"/>
        </w:rPr>
        <w:t xml:space="preserve"> case and established Duquesne Light’s burden of persuasion.  Ms. Berry testified</w:t>
      </w:r>
      <w:r w:rsidR="00624E86">
        <w:rPr>
          <w:color w:val="000000"/>
          <w:sz w:val="24"/>
          <w:szCs w:val="24"/>
        </w:rPr>
        <w:t>, during the intervening years,</w:t>
      </w:r>
      <w:r>
        <w:rPr>
          <w:color w:val="000000"/>
          <w:sz w:val="24"/>
          <w:szCs w:val="24"/>
        </w:rPr>
        <w:t xml:space="preserve"> there was a rate increase and she expected her bill to increase</w:t>
      </w:r>
      <w:r w:rsidR="00624E86">
        <w:rPr>
          <w:color w:val="000000"/>
          <w:sz w:val="24"/>
          <w:szCs w:val="24"/>
        </w:rPr>
        <w:t xml:space="preserve">, just not as much </w:t>
      </w:r>
      <w:r w:rsidR="0013369D">
        <w:rPr>
          <w:color w:val="000000"/>
          <w:sz w:val="24"/>
          <w:szCs w:val="24"/>
        </w:rPr>
        <w:t xml:space="preserve">as </w:t>
      </w:r>
      <w:r w:rsidR="00624E86">
        <w:rPr>
          <w:color w:val="000000"/>
          <w:sz w:val="24"/>
          <w:szCs w:val="24"/>
        </w:rPr>
        <w:t xml:space="preserve">the bill </w:t>
      </w:r>
      <w:r w:rsidR="002C3EE0">
        <w:rPr>
          <w:color w:val="000000"/>
          <w:sz w:val="24"/>
          <w:szCs w:val="24"/>
        </w:rPr>
        <w:t xml:space="preserve">actually </w:t>
      </w:r>
      <w:r w:rsidR="00624E86">
        <w:rPr>
          <w:color w:val="000000"/>
          <w:sz w:val="24"/>
          <w:szCs w:val="24"/>
        </w:rPr>
        <w:t xml:space="preserve">did increase. </w:t>
      </w:r>
      <w:r w:rsidR="008E52BD">
        <w:rPr>
          <w:color w:val="000000"/>
          <w:sz w:val="24"/>
          <w:szCs w:val="24"/>
        </w:rPr>
        <w:t xml:space="preserve"> </w:t>
      </w:r>
      <w:r w:rsidR="00624E86">
        <w:rPr>
          <w:color w:val="000000"/>
          <w:sz w:val="24"/>
          <w:szCs w:val="24"/>
        </w:rPr>
        <w:t>Further she testified that two years ago</w:t>
      </w:r>
      <w:r w:rsidR="007B4499">
        <w:rPr>
          <w:color w:val="000000"/>
          <w:sz w:val="24"/>
          <w:szCs w:val="24"/>
        </w:rPr>
        <w:t xml:space="preserve"> </w:t>
      </w:r>
      <w:r w:rsidR="00624E86">
        <w:rPr>
          <w:color w:val="000000"/>
          <w:sz w:val="24"/>
          <w:szCs w:val="24"/>
        </w:rPr>
        <w:t xml:space="preserve">she obtained a computer.  </w:t>
      </w:r>
      <w:r w:rsidR="007B4499">
        <w:rPr>
          <w:color w:val="000000"/>
          <w:sz w:val="24"/>
          <w:szCs w:val="24"/>
        </w:rPr>
        <w:t xml:space="preserve">The addition of a computer in 2008 plus the rate increase may account for </w:t>
      </w:r>
      <w:r w:rsidR="006C73A9">
        <w:rPr>
          <w:color w:val="000000"/>
          <w:sz w:val="24"/>
          <w:szCs w:val="24"/>
        </w:rPr>
        <w:t xml:space="preserve">the </w:t>
      </w:r>
      <w:r w:rsidR="007B4499">
        <w:rPr>
          <w:color w:val="000000"/>
          <w:sz w:val="24"/>
          <w:szCs w:val="24"/>
        </w:rPr>
        <w:t xml:space="preserve">bill climbing </w:t>
      </w:r>
      <w:r w:rsidR="0013369D">
        <w:rPr>
          <w:color w:val="000000"/>
          <w:sz w:val="24"/>
          <w:szCs w:val="24"/>
        </w:rPr>
        <w:t>to</w:t>
      </w:r>
      <w:r w:rsidR="007B4499">
        <w:rPr>
          <w:color w:val="000000"/>
          <w:sz w:val="24"/>
          <w:szCs w:val="24"/>
        </w:rPr>
        <w:t xml:space="preserve"> $120.00 </w:t>
      </w:r>
      <w:r w:rsidR="0013369D">
        <w:rPr>
          <w:color w:val="000000"/>
          <w:sz w:val="24"/>
          <w:szCs w:val="24"/>
        </w:rPr>
        <w:t>and</w:t>
      </w:r>
      <w:r w:rsidR="007B4499">
        <w:rPr>
          <w:color w:val="000000"/>
          <w:sz w:val="24"/>
          <w:szCs w:val="24"/>
        </w:rPr>
        <w:t xml:space="preserve"> $139.00.  </w:t>
      </w:r>
    </w:p>
    <w:p w:rsidR="006C73A9" w:rsidRDefault="006C73A9" w:rsidP="0044227C">
      <w:pPr>
        <w:spacing w:line="360" w:lineRule="auto"/>
        <w:rPr>
          <w:color w:val="000000"/>
          <w:sz w:val="24"/>
          <w:szCs w:val="24"/>
        </w:rPr>
      </w:pPr>
    </w:p>
    <w:p w:rsidR="0044227C" w:rsidRDefault="00CE4FB2" w:rsidP="0044227C">
      <w:pPr>
        <w:spacing w:line="360" w:lineRule="auto"/>
        <w:rPr>
          <w:color w:val="000000"/>
          <w:sz w:val="24"/>
          <w:szCs w:val="24"/>
        </w:rPr>
      </w:pPr>
      <w:r>
        <w:rPr>
          <w:color w:val="000000"/>
          <w:sz w:val="24"/>
          <w:szCs w:val="24"/>
        </w:rPr>
        <w:tab/>
      </w:r>
      <w:r>
        <w:rPr>
          <w:color w:val="000000"/>
          <w:sz w:val="24"/>
          <w:szCs w:val="24"/>
        </w:rPr>
        <w:tab/>
      </w:r>
      <w:r w:rsidR="008C6D58">
        <w:rPr>
          <w:color w:val="000000"/>
          <w:sz w:val="24"/>
          <w:szCs w:val="24"/>
        </w:rPr>
        <w:t>F</w:t>
      </w:r>
      <w:r w:rsidR="00062EB4">
        <w:rPr>
          <w:color w:val="000000"/>
          <w:sz w:val="24"/>
          <w:szCs w:val="24"/>
        </w:rPr>
        <w:t xml:space="preserve">urther </w:t>
      </w:r>
      <w:r w:rsidR="008C6D58">
        <w:rPr>
          <w:color w:val="000000"/>
          <w:sz w:val="24"/>
          <w:szCs w:val="24"/>
        </w:rPr>
        <w:t xml:space="preserve">Duquesne’s technician, Mr. </w:t>
      </w:r>
      <w:r w:rsidR="00062EB4">
        <w:rPr>
          <w:color w:val="000000"/>
          <w:sz w:val="24"/>
          <w:szCs w:val="24"/>
        </w:rPr>
        <w:t>Keegan, established th</w:t>
      </w:r>
      <w:r w:rsidR="00294A9D">
        <w:rPr>
          <w:color w:val="000000"/>
          <w:sz w:val="24"/>
          <w:szCs w:val="24"/>
        </w:rPr>
        <w:t>at</w:t>
      </w:r>
      <w:r w:rsidR="00062EB4">
        <w:rPr>
          <w:color w:val="000000"/>
          <w:sz w:val="24"/>
          <w:szCs w:val="24"/>
        </w:rPr>
        <w:t xml:space="preserve"> Ms. Berry’s meter was tested in 2006 and 2009.  Each </w:t>
      </w:r>
      <w:r w:rsidR="00964428">
        <w:rPr>
          <w:color w:val="000000"/>
          <w:sz w:val="24"/>
          <w:szCs w:val="24"/>
        </w:rPr>
        <w:t xml:space="preserve">time </w:t>
      </w:r>
      <w:r w:rsidR="00062EB4">
        <w:rPr>
          <w:color w:val="000000"/>
          <w:sz w:val="24"/>
          <w:szCs w:val="24"/>
        </w:rPr>
        <w:t xml:space="preserve">the meter tested within an acceptable range of accuracy (Respondent’s Exhibit 5 and 6). </w:t>
      </w:r>
      <w:r w:rsidR="008C6D58">
        <w:rPr>
          <w:color w:val="000000"/>
          <w:sz w:val="24"/>
          <w:szCs w:val="24"/>
        </w:rPr>
        <w:t xml:space="preserve"> </w:t>
      </w:r>
      <w:r w:rsidR="00EE79E0">
        <w:rPr>
          <w:color w:val="000000"/>
          <w:sz w:val="24"/>
          <w:szCs w:val="24"/>
        </w:rPr>
        <w:t xml:space="preserve">Under </w:t>
      </w:r>
      <w:r w:rsidR="00EE79E0" w:rsidRPr="00EE79E0">
        <w:rPr>
          <w:i/>
          <w:color w:val="000000"/>
          <w:sz w:val="24"/>
          <w:szCs w:val="24"/>
        </w:rPr>
        <w:t>Waldron</w:t>
      </w:r>
      <w:r w:rsidR="00EE79E0">
        <w:rPr>
          <w:color w:val="000000"/>
          <w:sz w:val="24"/>
          <w:szCs w:val="24"/>
        </w:rPr>
        <w:t xml:space="preserve"> an accurate meter test is not the sole criteria for concluding that a utility bill is accurate.  However</w:t>
      </w:r>
      <w:r w:rsidR="00C060D2">
        <w:rPr>
          <w:color w:val="000000"/>
          <w:sz w:val="24"/>
          <w:szCs w:val="24"/>
        </w:rPr>
        <w:t>,</w:t>
      </w:r>
      <w:r w:rsidR="00EE79E0">
        <w:rPr>
          <w:color w:val="000000"/>
          <w:sz w:val="24"/>
          <w:szCs w:val="24"/>
        </w:rPr>
        <w:t xml:space="preserve"> </w:t>
      </w:r>
      <w:r w:rsidR="0044227C">
        <w:rPr>
          <w:color w:val="000000"/>
          <w:sz w:val="24"/>
          <w:szCs w:val="24"/>
        </w:rPr>
        <w:t xml:space="preserve">Duquesne </w:t>
      </w:r>
      <w:r w:rsidR="00EE79E0">
        <w:rPr>
          <w:color w:val="000000"/>
          <w:sz w:val="24"/>
          <w:szCs w:val="24"/>
        </w:rPr>
        <w:t xml:space="preserve">presented additional testimony to rebut Ms. Berry’s claim. </w:t>
      </w:r>
      <w:r w:rsidR="0005165A">
        <w:rPr>
          <w:color w:val="000000"/>
          <w:sz w:val="24"/>
          <w:szCs w:val="24"/>
        </w:rPr>
        <w:t xml:space="preserve"> </w:t>
      </w:r>
      <w:r w:rsidR="00EE79E0">
        <w:rPr>
          <w:color w:val="000000"/>
          <w:sz w:val="24"/>
          <w:szCs w:val="24"/>
        </w:rPr>
        <w:t xml:space="preserve">Ms. Brown </w:t>
      </w:r>
      <w:r w:rsidR="0044227C">
        <w:rPr>
          <w:color w:val="000000"/>
          <w:sz w:val="24"/>
          <w:szCs w:val="24"/>
        </w:rPr>
        <w:t xml:space="preserve">pointed out that Ms. Berry’s electric usage for December 2005 </w:t>
      </w:r>
      <w:r w:rsidR="007F55D8">
        <w:rPr>
          <w:color w:val="000000"/>
          <w:sz w:val="24"/>
          <w:szCs w:val="24"/>
        </w:rPr>
        <w:t xml:space="preserve">and </w:t>
      </w:r>
      <w:r w:rsidR="0044227C">
        <w:rPr>
          <w:color w:val="000000"/>
          <w:sz w:val="24"/>
          <w:szCs w:val="24"/>
        </w:rPr>
        <w:t xml:space="preserve">2009 was </w:t>
      </w:r>
      <w:r w:rsidR="00F90F64">
        <w:rPr>
          <w:color w:val="000000"/>
          <w:sz w:val="24"/>
          <w:szCs w:val="24"/>
        </w:rPr>
        <w:t xml:space="preserve">the same — </w:t>
      </w:r>
      <w:r w:rsidR="0044227C">
        <w:rPr>
          <w:color w:val="000000"/>
          <w:sz w:val="24"/>
          <w:szCs w:val="24"/>
        </w:rPr>
        <w:t>852</w:t>
      </w:r>
      <w:r w:rsidR="00CF112A">
        <w:rPr>
          <w:color w:val="000000"/>
          <w:sz w:val="24"/>
          <w:szCs w:val="24"/>
        </w:rPr>
        <w:t xml:space="preserve"> kilowatts</w:t>
      </w:r>
      <w:r w:rsidR="0044227C">
        <w:rPr>
          <w:color w:val="000000"/>
          <w:sz w:val="24"/>
          <w:szCs w:val="24"/>
        </w:rPr>
        <w:t xml:space="preserve">.  </w:t>
      </w:r>
      <w:r w:rsidR="004743D9">
        <w:rPr>
          <w:color w:val="000000"/>
          <w:sz w:val="24"/>
          <w:szCs w:val="24"/>
        </w:rPr>
        <w:t xml:space="preserve">The bill for December 2005 was $88.16; the bill for December 2009 was $115.93.  </w:t>
      </w:r>
      <w:r w:rsidR="0044227C">
        <w:rPr>
          <w:color w:val="000000"/>
          <w:sz w:val="24"/>
          <w:szCs w:val="24"/>
        </w:rPr>
        <w:t xml:space="preserve">Although the usage was the same for the </w:t>
      </w:r>
      <w:r w:rsidR="00CF112A">
        <w:rPr>
          <w:color w:val="000000"/>
          <w:sz w:val="24"/>
          <w:szCs w:val="24"/>
        </w:rPr>
        <w:t xml:space="preserve">two </w:t>
      </w:r>
      <w:r w:rsidR="0044227C">
        <w:rPr>
          <w:color w:val="000000"/>
          <w:sz w:val="24"/>
          <w:szCs w:val="24"/>
        </w:rPr>
        <w:t xml:space="preserve">December months, there was a rate increase which accounted for the higher bill in December 2009.  </w:t>
      </w:r>
    </w:p>
    <w:p w:rsidR="007F55D8" w:rsidRDefault="007F55D8" w:rsidP="0044227C">
      <w:pPr>
        <w:spacing w:line="360" w:lineRule="auto"/>
        <w:rPr>
          <w:color w:val="000000"/>
          <w:sz w:val="24"/>
          <w:szCs w:val="24"/>
        </w:rPr>
      </w:pPr>
    </w:p>
    <w:p w:rsidR="007F55D8" w:rsidRDefault="007F55D8" w:rsidP="0044227C">
      <w:pPr>
        <w:spacing w:line="360" w:lineRule="auto"/>
        <w:rPr>
          <w:color w:val="000000"/>
          <w:sz w:val="24"/>
          <w:szCs w:val="24"/>
        </w:rPr>
      </w:pPr>
      <w:r>
        <w:rPr>
          <w:color w:val="000000"/>
          <w:sz w:val="24"/>
          <w:szCs w:val="24"/>
        </w:rPr>
        <w:tab/>
      </w:r>
      <w:r>
        <w:rPr>
          <w:color w:val="000000"/>
          <w:sz w:val="24"/>
          <w:szCs w:val="24"/>
        </w:rPr>
        <w:tab/>
        <w:t xml:space="preserve">Ms. Berry did not present any additional evidence to overcome Duquesne’s rebuttal.  Lastly, </w:t>
      </w:r>
      <w:r w:rsidR="00BC239B">
        <w:rPr>
          <w:color w:val="000000"/>
          <w:sz w:val="24"/>
          <w:szCs w:val="24"/>
        </w:rPr>
        <w:t>Ms. Berry admitted that once she employed Duquesne</w:t>
      </w:r>
      <w:r w:rsidR="00294A9D">
        <w:rPr>
          <w:color w:val="000000"/>
          <w:sz w:val="24"/>
          <w:szCs w:val="24"/>
        </w:rPr>
        <w:t>’s</w:t>
      </w:r>
      <w:r w:rsidR="00BC239B">
        <w:rPr>
          <w:color w:val="000000"/>
          <w:sz w:val="24"/>
          <w:szCs w:val="24"/>
        </w:rPr>
        <w:t xml:space="preserve"> energy saving tips, her electric bill decreased.  Weighing all of the evidence presented by the parties, a conclusion is required that Complainant failed to carry her burden of proving she was overbilled by Respondent.  Accordingly, the Complaint must be dismissed.</w:t>
      </w:r>
    </w:p>
    <w:p w:rsidR="004A17DC" w:rsidRDefault="004A17DC" w:rsidP="0044227C">
      <w:pPr>
        <w:spacing w:line="360" w:lineRule="auto"/>
        <w:rPr>
          <w:color w:val="000000"/>
          <w:sz w:val="24"/>
          <w:szCs w:val="24"/>
        </w:rPr>
      </w:pPr>
    </w:p>
    <w:p w:rsidR="00E31BBB" w:rsidRPr="00AB1DD7" w:rsidRDefault="00E31BBB" w:rsidP="00E31BBB">
      <w:pPr>
        <w:spacing w:line="360" w:lineRule="auto"/>
        <w:jc w:val="center"/>
        <w:rPr>
          <w:sz w:val="24"/>
          <w:szCs w:val="24"/>
          <w:u w:val="single"/>
        </w:rPr>
      </w:pPr>
      <w:r w:rsidRPr="00AB1DD7">
        <w:rPr>
          <w:sz w:val="24"/>
          <w:szCs w:val="24"/>
          <w:u w:val="single"/>
        </w:rPr>
        <w:t>CONCLUSIONS OF LAW</w:t>
      </w:r>
    </w:p>
    <w:p w:rsidR="00E31BBB" w:rsidRDefault="00E31BBB" w:rsidP="00E31BBB">
      <w:pPr>
        <w:spacing w:line="360" w:lineRule="auto"/>
        <w:ind w:firstLine="1440"/>
        <w:rPr>
          <w:sz w:val="24"/>
          <w:szCs w:val="24"/>
        </w:rPr>
      </w:pPr>
    </w:p>
    <w:p w:rsidR="00E31BBB" w:rsidRPr="00AB1DD7" w:rsidRDefault="00E31BBB" w:rsidP="00E31BBB">
      <w:pPr>
        <w:numPr>
          <w:ilvl w:val="0"/>
          <w:numId w:val="6"/>
        </w:numPr>
        <w:tabs>
          <w:tab w:val="clear" w:pos="900"/>
          <w:tab w:val="num" w:pos="2160"/>
        </w:tabs>
        <w:spacing w:line="360" w:lineRule="auto"/>
        <w:ind w:left="0" w:firstLine="1440"/>
        <w:rPr>
          <w:sz w:val="24"/>
          <w:szCs w:val="24"/>
        </w:rPr>
      </w:pPr>
      <w:r w:rsidRPr="00AB1DD7">
        <w:rPr>
          <w:sz w:val="24"/>
          <w:szCs w:val="24"/>
        </w:rPr>
        <w:t>The Commission has jurisdiction over the parties and the subject matter of this proceeding.  66 Pa. C.S. §701.</w:t>
      </w:r>
    </w:p>
    <w:p w:rsidR="00E31BBB" w:rsidRPr="00AB1DD7" w:rsidRDefault="00E31BBB" w:rsidP="00E31BBB">
      <w:pPr>
        <w:tabs>
          <w:tab w:val="num" w:pos="2160"/>
        </w:tabs>
        <w:spacing w:line="360" w:lineRule="auto"/>
        <w:ind w:firstLine="1260"/>
        <w:rPr>
          <w:sz w:val="24"/>
          <w:szCs w:val="24"/>
        </w:rPr>
      </w:pPr>
    </w:p>
    <w:p w:rsidR="00F43171" w:rsidRDefault="00E31BBB" w:rsidP="00F43171">
      <w:pPr>
        <w:spacing w:line="360" w:lineRule="auto"/>
        <w:rPr>
          <w:sz w:val="24"/>
          <w:szCs w:val="24"/>
        </w:rPr>
      </w:pPr>
      <w:r w:rsidRPr="00AB1DD7">
        <w:rPr>
          <w:sz w:val="24"/>
          <w:szCs w:val="24"/>
        </w:rPr>
        <w:tab/>
      </w:r>
      <w:r w:rsidRPr="00AB1DD7">
        <w:rPr>
          <w:sz w:val="24"/>
          <w:szCs w:val="24"/>
        </w:rPr>
        <w:tab/>
        <w:t>2.</w:t>
      </w:r>
      <w:r w:rsidRPr="00AB1DD7">
        <w:rPr>
          <w:sz w:val="24"/>
          <w:szCs w:val="24"/>
        </w:rPr>
        <w:tab/>
        <w:t xml:space="preserve">Complainant carries the burden of proving Respondent </w:t>
      </w:r>
      <w:r w:rsidR="00F43171">
        <w:rPr>
          <w:sz w:val="24"/>
          <w:szCs w:val="24"/>
        </w:rPr>
        <w:t xml:space="preserve">has in some manner violated the provisions of the Public Utility Code (Code) or the regulations of the Commission in the course of providing her </w:t>
      </w:r>
      <w:r w:rsidR="00225BC1">
        <w:rPr>
          <w:sz w:val="24"/>
          <w:szCs w:val="24"/>
        </w:rPr>
        <w:t>electric</w:t>
      </w:r>
      <w:r w:rsidR="00F43171">
        <w:rPr>
          <w:sz w:val="24"/>
          <w:szCs w:val="24"/>
        </w:rPr>
        <w:t xml:space="preserve"> service.  </w:t>
      </w:r>
      <w:proofErr w:type="gramStart"/>
      <w:r w:rsidR="00F43171">
        <w:rPr>
          <w:sz w:val="24"/>
          <w:szCs w:val="24"/>
        </w:rPr>
        <w:t xml:space="preserve">Section 332(a) of the Public Utility Code, 66 </w:t>
      </w:r>
      <w:smartTag w:uri="urn:schemas-microsoft-com:office:smarttags" w:element="place">
        <w:smartTag w:uri="urn:schemas-microsoft-com:office:smarttags" w:element="State">
          <w:r w:rsidR="00F43171">
            <w:rPr>
              <w:sz w:val="24"/>
              <w:szCs w:val="24"/>
            </w:rPr>
            <w:t>Pa.</w:t>
          </w:r>
        </w:smartTag>
      </w:smartTag>
      <w:r w:rsidR="00F43171">
        <w:rPr>
          <w:sz w:val="24"/>
          <w:szCs w:val="24"/>
        </w:rPr>
        <w:t xml:space="preserve"> C.S. § 332(a).</w:t>
      </w:r>
      <w:proofErr w:type="gramEnd"/>
      <w:r w:rsidR="00F43171">
        <w:rPr>
          <w:sz w:val="24"/>
          <w:szCs w:val="24"/>
        </w:rPr>
        <w:t xml:space="preserve"> </w:t>
      </w:r>
    </w:p>
    <w:p w:rsidR="00E31BBB" w:rsidRPr="00AB1DD7" w:rsidRDefault="00F43171" w:rsidP="00F43171">
      <w:pPr>
        <w:spacing w:line="360" w:lineRule="auto"/>
        <w:rPr>
          <w:sz w:val="24"/>
          <w:szCs w:val="24"/>
        </w:rPr>
      </w:pPr>
      <w:r>
        <w:rPr>
          <w:sz w:val="24"/>
          <w:szCs w:val="24"/>
        </w:rPr>
        <w:lastRenderedPageBreak/>
        <w:t xml:space="preserve"> </w:t>
      </w:r>
    </w:p>
    <w:p w:rsidR="00844952" w:rsidRDefault="009034C9" w:rsidP="00844952">
      <w:pPr>
        <w:spacing w:line="360" w:lineRule="auto"/>
        <w:rPr>
          <w:sz w:val="24"/>
          <w:szCs w:val="24"/>
        </w:rPr>
      </w:pPr>
      <w:r>
        <w:rPr>
          <w:sz w:val="24"/>
          <w:szCs w:val="24"/>
        </w:rPr>
        <w:tab/>
      </w:r>
      <w:r>
        <w:rPr>
          <w:sz w:val="24"/>
          <w:szCs w:val="24"/>
        </w:rPr>
        <w:tab/>
      </w:r>
      <w:r w:rsidR="00844952">
        <w:rPr>
          <w:sz w:val="24"/>
          <w:szCs w:val="24"/>
        </w:rPr>
        <w:t>3.</w:t>
      </w:r>
      <w:r w:rsidR="00844952">
        <w:rPr>
          <w:sz w:val="24"/>
          <w:szCs w:val="24"/>
        </w:rPr>
        <w:tab/>
      </w:r>
      <w:r w:rsidR="00844952" w:rsidRPr="0052325F">
        <w:rPr>
          <w:sz w:val="24"/>
          <w:szCs w:val="24"/>
        </w:rPr>
        <w:t xml:space="preserve">Complainant has not met her burden of proving that she is entitled to the relief she seeks from this Commission.  </w:t>
      </w:r>
      <w:proofErr w:type="gramStart"/>
      <w:r w:rsidR="00844952" w:rsidRPr="0052325F">
        <w:rPr>
          <w:sz w:val="24"/>
          <w:szCs w:val="24"/>
        </w:rPr>
        <w:t>66 Pa. C.S. §332(a).</w:t>
      </w:r>
      <w:proofErr w:type="gramEnd"/>
    </w:p>
    <w:p w:rsidR="00E31BBB" w:rsidRPr="00AB1DD7" w:rsidRDefault="00E31BBB" w:rsidP="00E31BBB">
      <w:pPr>
        <w:spacing w:line="360" w:lineRule="auto"/>
        <w:rPr>
          <w:sz w:val="24"/>
          <w:szCs w:val="24"/>
        </w:rPr>
      </w:pPr>
    </w:p>
    <w:p w:rsidR="00E31BBB" w:rsidRPr="00AB1DD7" w:rsidRDefault="00E31BBB" w:rsidP="00E31BBB">
      <w:pPr>
        <w:spacing w:line="360" w:lineRule="auto"/>
        <w:jc w:val="center"/>
        <w:outlineLvl w:val="0"/>
        <w:rPr>
          <w:sz w:val="24"/>
          <w:szCs w:val="24"/>
          <w:u w:val="single"/>
        </w:rPr>
      </w:pPr>
      <w:r w:rsidRPr="00AB1DD7">
        <w:rPr>
          <w:sz w:val="24"/>
          <w:szCs w:val="24"/>
          <w:u w:val="single"/>
        </w:rPr>
        <w:t>ORDER</w:t>
      </w:r>
    </w:p>
    <w:p w:rsidR="00E31BBB" w:rsidRPr="00AB1DD7" w:rsidRDefault="00E31BBB" w:rsidP="00E31BBB">
      <w:pPr>
        <w:tabs>
          <w:tab w:val="num" w:pos="2160"/>
        </w:tabs>
        <w:spacing w:line="360" w:lineRule="auto"/>
        <w:rPr>
          <w:sz w:val="24"/>
          <w:szCs w:val="24"/>
          <w:u w:val="single"/>
        </w:rPr>
      </w:pPr>
    </w:p>
    <w:p w:rsidR="00E31BBB" w:rsidRPr="00AB1DD7" w:rsidRDefault="00E31BBB" w:rsidP="00E31BBB">
      <w:pPr>
        <w:tabs>
          <w:tab w:val="num" w:pos="2160"/>
        </w:tabs>
        <w:spacing w:line="360" w:lineRule="auto"/>
        <w:ind w:firstLine="1440"/>
        <w:rPr>
          <w:sz w:val="24"/>
          <w:szCs w:val="24"/>
        </w:rPr>
      </w:pPr>
      <w:r w:rsidRPr="00AB1DD7">
        <w:rPr>
          <w:sz w:val="24"/>
          <w:szCs w:val="24"/>
        </w:rPr>
        <w:t xml:space="preserve">THEREFORE, </w:t>
      </w:r>
    </w:p>
    <w:p w:rsidR="00E31BBB" w:rsidRPr="00AB1DD7" w:rsidRDefault="00E31BBB" w:rsidP="00E31BBB">
      <w:pPr>
        <w:tabs>
          <w:tab w:val="num" w:pos="2160"/>
        </w:tabs>
        <w:spacing w:line="360" w:lineRule="auto"/>
        <w:rPr>
          <w:sz w:val="24"/>
          <w:szCs w:val="24"/>
        </w:rPr>
      </w:pPr>
    </w:p>
    <w:p w:rsidR="00E31BBB" w:rsidRPr="00AB1DD7" w:rsidRDefault="00E31BBB" w:rsidP="00E31BBB">
      <w:pPr>
        <w:tabs>
          <w:tab w:val="num" w:pos="2160"/>
        </w:tabs>
        <w:spacing w:line="360" w:lineRule="auto"/>
        <w:ind w:firstLine="1440"/>
        <w:outlineLvl w:val="0"/>
        <w:rPr>
          <w:sz w:val="24"/>
          <w:szCs w:val="24"/>
        </w:rPr>
      </w:pPr>
      <w:r w:rsidRPr="00AB1DD7">
        <w:rPr>
          <w:sz w:val="24"/>
          <w:szCs w:val="24"/>
        </w:rPr>
        <w:t>IT IS ORDERED:</w:t>
      </w:r>
    </w:p>
    <w:p w:rsidR="00E31BBB" w:rsidRPr="00AB1DD7" w:rsidRDefault="00E31BBB" w:rsidP="00E31BBB">
      <w:pPr>
        <w:tabs>
          <w:tab w:val="num" w:pos="2160"/>
        </w:tabs>
        <w:spacing w:line="360" w:lineRule="auto"/>
        <w:rPr>
          <w:sz w:val="24"/>
          <w:szCs w:val="24"/>
        </w:rPr>
      </w:pPr>
    </w:p>
    <w:p w:rsidR="0019328D" w:rsidRDefault="00E31BBB" w:rsidP="00E31BBB">
      <w:pPr>
        <w:numPr>
          <w:ilvl w:val="0"/>
          <w:numId w:val="8"/>
        </w:numPr>
        <w:tabs>
          <w:tab w:val="num" w:pos="2160"/>
        </w:tabs>
        <w:spacing w:line="360" w:lineRule="auto"/>
        <w:ind w:left="0" w:firstLine="1440"/>
        <w:rPr>
          <w:sz w:val="24"/>
          <w:szCs w:val="24"/>
        </w:rPr>
      </w:pPr>
      <w:r w:rsidRPr="0019328D">
        <w:rPr>
          <w:sz w:val="24"/>
          <w:szCs w:val="24"/>
        </w:rPr>
        <w:t xml:space="preserve">That the </w:t>
      </w:r>
      <w:r w:rsidR="0019328D">
        <w:rPr>
          <w:sz w:val="24"/>
          <w:szCs w:val="24"/>
        </w:rPr>
        <w:t>C</w:t>
      </w:r>
      <w:r w:rsidRPr="0019328D">
        <w:rPr>
          <w:sz w:val="24"/>
          <w:szCs w:val="24"/>
        </w:rPr>
        <w:t xml:space="preserve">omplaint of </w:t>
      </w:r>
      <w:r w:rsidR="009034C9">
        <w:rPr>
          <w:sz w:val="24"/>
          <w:szCs w:val="24"/>
        </w:rPr>
        <w:t>Velma Berry against Duquesne Light Company</w:t>
      </w:r>
      <w:r w:rsidR="005C178D" w:rsidRPr="0019328D">
        <w:rPr>
          <w:sz w:val="24"/>
          <w:szCs w:val="24"/>
        </w:rPr>
        <w:t xml:space="preserve"> </w:t>
      </w:r>
      <w:r w:rsidRPr="0019328D">
        <w:rPr>
          <w:sz w:val="24"/>
          <w:szCs w:val="24"/>
        </w:rPr>
        <w:t xml:space="preserve">at Docket No. </w:t>
      </w:r>
      <w:r w:rsidR="009034C9">
        <w:rPr>
          <w:sz w:val="24"/>
          <w:szCs w:val="24"/>
        </w:rPr>
        <w:t>F</w:t>
      </w:r>
      <w:r w:rsidRPr="0019328D">
        <w:rPr>
          <w:sz w:val="24"/>
          <w:szCs w:val="24"/>
        </w:rPr>
        <w:t>-200</w:t>
      </w:r>
      <w:r w:rsidR="009034C9">
        <w:rPr>
          <w:sz w:val="24"/>
          <w:szCs w:val="24"/>
        </w:rPr>
        <w:t>9</w:t>
      </w:r>
      <w:r w:rsidRPr="0019328D">
        <w:rPr>
          <w:sz w:val="24"/>
          <w:szCs w:val="24"/>
        </w:rPr>
        <w:t>-21</w:t>
      </w:r>
      <w:r w:rsidR="0019328D" w:rsidRPr="0019328D">
        <w:rPr>
          <w:sz w:val="24"/>
          <w:szCs w:val="24"/>
        </w:rPr>
        <w:t>3</w:t>
      </w:r>
      <w:r w:rsidR="009034C9">
        <w:rPr>
          <w:sz w:val="24"/>
          <w:szCs w:val="24"/>
        </w:rPr>
        <w:t>998</w:t>
      </w:r>
      <w:r w:rsidR="0019328D" w:rsidRPr="0019328D">
        <w:rPr>
          <w:sz w:val="24"/>
          <w:szCs w:val="24"/>
        </w:rPr>
        <w:t>3</w:t>
      </w:r>
      <w:r w:rsidRPr="0019328D">
        <w:rPr>
          <w:sz w:val="24"/>
          <w:szCs w:val="24"/>
        </w:rPr>
        <w:t xml:space="preserve"> is </w:t>
      </w:r>
      <w:r w:rsidR="00D4760B">
        <w:rPr>
          <w:sz w:val="24"/>
          <w:szCs w:val="24"/>
        </w:rPr>
        <w:t xml:space="preserve">hereby </w:t>
      </w:r>
      <w:r w:rsidR="009034C9">
        <w:rPr>
          <w:sz w:val="24"/>
          <w:szCs w:val="24"/>
        </w:rPr>
        <w:t>dismissed</w:t>
      </w:r>
      <w:r w:rsidR="0019328D" w:rsidRPr="0019328D">
        <w:rPr>
          <w:sz w:val="24"/>
          <w:szCs w:val="24"/>
        </w:rPr>
        <w:t>.</w:t>
      </w:r>
    </w:p>
    <w:p w:rsidR="00E31BBB" w:rsidRPr="00AB1DD7" w:rsidRDefault="0019328D" w:rsidP="0019328D">
      <w:pPr>
        <w:tabs>
          <w:tab w:val="num" w:pos="2160"/>
        </w:tabs>
        <w:spacing w:line="360" w:lineRule="auto"/>
        <w:rPr>
          <w:sz w:val="24"/>
          <w:szCs w:val="24"/>
        </w:rPr>
      </w:pPr>
      <w:r w:rsidRPr="0019328D">
        <w:rPr>
          <w:sz w:val="24"/>
          <w:szCs w:val="24"/>
        </w:rPr>
        <w:t xml:space="preserve"> </w:t>
      </w:r>
    </w:p>
    <w:p w:rsidR="00313FDE" w:rsidRDefault="0002458C" w:rsidP="009034C9">
      <w:pPr>
        <w:tabs>
          <w:tab w:val="num" w:pos="2160"/>
        </w:tabs>
        <w:spacing w:line="360" w:lineRule="auto"/>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3129280</wp:posOffset>
            </wp:positionH>
            <wp:positionV relativeFrom="paragraph">
              <wp:posOffset>7620</wp:posOffset>
            </wp:positionV>
            <wp:extent cx="2619375" cy="1047750"/>
            <wp:effectExtent l="1905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619375" cy="1047750"/>
                    </a:xfrm>
                    <a:prstGeom prst="rect">
                      <a:avLst/>
                    </a:prstGeom>
                    <a:noFill/>
                    <a:ln w="9525">
                      <a:noFill/>
                      <a:miter lim="800000"/>
                      <a:headEnd/>
                      <a:tailEnd/>
                    </a:ln>
                  </pic:spPr>
                </pic:pic>
              </a:graphicData>
            </a:graphic>
          </wp:anchor>
        </w:drawing>
      </w:r>
    </w:p>
    <w:p w:rsidR="002348CB" w:rsidRDefault="00E31BBB" w:rsidP="00313FDE">
      <w:pPr>
        <w:tabs>
          <w:tab w:val="num" w:pos="2160"/>
          <w:tab w:val="left" w:pos="5048"/>
        </w:tabs>
        <w:rPr>
          <w:sz w:val="24"/>
          <w:szCs w:val="24"/>
        </w:rPr>
      </w:pPr>
      <w:r w:rsidRPr="00AB1DD7">
        <w:rPr>
          <w:sz w:val="24"/>
          <w:szCs w:val="24"/>
        </w:rPr>
        <w:t xml:space="preserve">Date: </w:t>
      </w:r>
      <w:r w:rsidR="00EA2FA4" w:rsidRPr="00331811">
        <w:rPr>
          <w:sz w:val="24"/>
          <w:szCs w:val="24"/>
          <w:u w:val="single"/>
        </w:rPr>
        <w:t>October</w:t>
      </w:r>
      <w:r w:rsidR="00313FDE" w:rsidRPr="00331811">
        <w:rPr>
          <w:sz w:val="24"/>
          <w:szCs w:val="24"/>
          <w:u w:val="single"/>
        </w:rPr>
        <w:t xml:space="preserve"> </w:t>
      </w:r>
      <w:r w:rsidR="004A17DC">
        <w:rPr>
          <w:sz w:val="24"/>
          <w:szCs w:val="24"/>
          <w:u w:val="single"/>
        </w:rPr>
        <w:t>26</w:t>
      </w:r>
      <w:r w:rsidRPr="00331811">
        <w:rPr>
          <w:sz w:val="24"/>
          <w:szCs w:val="24"/>
          <w:u w:val="single"/>
        </w:rPr>
        <w:t>,</w:t>
      </w:r>
      <w:r w:rsidRPr="00AB1DD7">
        <w:rPr>
          <w:sz w:val="24"/>
          <w:szCs w:val="24"/>
          <w:u w:val="single"/>
        </w:rPr>
        <w:t xml:space="preserve"> 20</w:t>
      </w:r>
      <w:r w:rsidR="00313FDE">
        <w:rPr>
          <w:sz w:val="24"/>
          <w:szCs w:val="24"/>
          <w:u w:val="single"/>
        </w:rPr>
        <w:t>10</w:t>
      </w:r>
      <w:r w:rsidR="00BE2D79">
        <w:rPr>
          <w:sz w:val="24"/>
          <w:szCs w:val="24"/>
        </w:rPr>
        <w:t xml:space="preserve"> </w:t>
      </w:r>
    </w:p>
    <w:p w:rsidR="00AD54A2" w:rsidRDefault="00AD54A2" w:rsidP="005A0240">
      <w:pPr>
        <w:contextualSpacing/>
        <w:rPr>
          <w:sz w:val="24"/>
          <w:szCs w:val="24"/>
        </w:rPr>
      </w:pPr>
      <w:r>
        <w:rPr>
          <w:sz w:val="24"/>
          <w:szCs w:val="24"/>
        </w:rPr>
        <w:tab/>
      </w:r>
      <w:r>
        <w:rPr>
          <w:sz w:val="24"/>
          <w:szCs w:val="24"/>
        </w:rPr>
        <w:tab/>
      </w:r>
    </w:p>
    <w:p w:rsidR="002C1F06" w:rsidRDefault="002C1F06" w:rsidP="005A0240">
      <w:pPr>
        <w:contextualSpacing/>
        <w:rPr>
          <w:sz w:val="24"/>
          <w:szCs w:val="24"/>
        </w:rPr>
      </w:pPr>
    </w:p>
    <w:p w:rsidR="002C1F06" w:rsidRDefault="002C1F06" w:rsidP="005A0240">
      <w:pPr>
        <w:contextualSpacing/>
        <w:rPr>
          <w:sz w:val="24"/>
          <w:szCs w:val="24"/>
        </w:rPr>
      </w:pPr>
    </w:p>
    <w:p w:rsidR="002C1F06" w:rsidRDefault="002C1F06" w:rsidP="005A0240">
      <w:pPr>
        <w:contextualSpacing/>
        <w:rPr>
          <w:sz w:val="24"/>
          <w:szCs w:val="24"/>
        </w:rPr>
      </w:pPr>
    </w:p>
    <w:p w:rsidR="004628D7" w:rsidRDefault="004628D7" w:rsidP="00F7683A">
      <w:pPr>
        <w:suppressAutoHyphens/>
        <w:jc w:val="center"/>
        <w:rPr>
          <w:kern w:val="1"/>
          <w:sz w:val="24"/>
          <w:szCs w:val="24"/>
          <w:u w:val="single"/>
        </w:rPr>
        <w:sectPr w:rsidR="004628D7" w:rsidSect="00863902">
          <w:footerReference w:type="default" r:id="rId10"/>
          <w:footerReference w:type="first" r:id="rId11"/>
          <w:pgSz w:w="12240" w:h="15840"/>
          <w:pgMar w:top="1440" w:right="1440" w:bottom="1440" w:left="1440" w:header="720" w:footer="720" w:gutter="0"/>
          <w:pgNumType w:start="1"/>
          <w:cols w:space="720"/>
          <w:titlePg/>
        </w:sectPr>
      </w:pPr>
    </w:p>
    <w:p w:rsidR="002C1F06" w:rsidRDefault="002C1F06" w:rsidP="005A0240">
      <w:pPr>
        <w:contextualSpacing/>
        <w:rPr>
          <w:sz w:val="24"/>
          <w:szCs w:val="24"/>
        </w:rPr>
      </w:pPr>
    </w:p>
    <w:sectPr w:rsidR="002C1F06" w:rsidSect="00863902">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4E7" w:rsidRDefault="00A754E7">
      <w:r>
        <w:separator/>
      </w:r>
    </w:p>
  </w:endnote>
  <w:endnote w:type="continuationSeparator" w:id="0">
    <w:p w:rsidR="00A754E7" w:rsidRDefault="00A75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902" w:rsidRDefault="00586E50">
    <w:pPr>
      <w:pStyle w:val="Footer"/>
      <w:jc w:val="center"/>
    </w:pPr>
    <w:fldSimple w:instr=" PAGE   \* MERGEFORMAT ">
      <w:r w:rsidR="001C15AD">
        <w:rPr>
          <w:noProof/>
        </w:rPr>
        <w:t>8</w:t>
      </w:r>
    </w:fldSimple>
  </w:p>
  <w:p w:rsidR="001302E3" w:rsidRDefault="001302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D2" w:rsidRDefault="002F58D2">
    <w:pPr>
      <w:pStyle w:val="Footer"/>
      <w:jc w:val="center"/>
    </w:pPr>
  </w:p>
  <w:p w:rsidR="002F58D2" w:rsidRDefault="002F5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4E7" w:rsidRDefault="00A754E7">
      <w:r>
        <w:separator/>
      </w:r>
    </w:p>
  </w:footnote>
  <w:footnote w:type="continuationSeparator" w:id="0">
    <w:p w:rsidR="00A754E7" w:rsidRDefault="00A754E7">
      <w:r>
        <w:continuationSeparator/>
      </w:r>
    </w:p>
  </w:footnote>
  <w:footnote w:id="1">
    <w:p w:rsidR="00666C84" w:rsidRPr="00CE6C2D" w:rsidRDefault="00666C84" w:rsidP="00CE6C2D">
      <w:pPr>
        <w:contextualSpacing/>
      </w:pPr>
      <w:r>
        <w:tab/>
      </w:r>
      <w:r>
        <w:rPr>
          <w:rStyle w:val="FootnoteReference"/>
        </w:rPr>
        <w:footnoteRef/>
      </w:r>
      <w:r>
        <w:t xml:space="preserve"> </w:t>
      </w:r>
      <w:r w:rsidR="004628D7">
        <w:tab/>
      </w:r>
      <w:r w:rsidRPr="00CE6C2D">
        <w:t xml:space="preserve">Respondent offered Exhibit 6, which was not sent to Complainant prior to the hearing (Tr. 8).   Respondent’s counsel was </w:t>
      </w:r>
      <w:r w:rsidR="001D5AE0">
        <w:t xml:space="preserve">directed </w:t>
      </w:r>
      <w:r w:rsidRPr="00CE6C2D">
        <w:t>to mail a copy of Exhibit 6 to Complainant later during the day after the hearing closed (Tr. 8 and 50).  Complainant was given ten days to notify the presiding office</w:t>
      </w:r>
      <w:r w:rsidR="00CE6C2D" w:rsidRPr="00CE6C2D">
        <w:t>r</w:t>
      </w:r>
      <w:r w:rsidRPr="00CE6C2D">
        <w:t xml:space="preserve"> </w:t>
      </w:r>
      <w:r w:rsidR="008F69CF">
        <w:t>in writing</w:t>
      </w:r>
      <w:r w:rsidR="00166417">
        <w:t xml:space="preserve">, if she had </w:t>
      </w:r>
      <w:r w:rsidRPr="00CE6C2D">
        <w:t xml:space="preserve">any objection to the admission of Exhibit 6 into the record.  If no objection was received from Complainant within ten days, Exhibit 6 was effectively admitted into the record.  </w:t>
      </w:r>
      <w:r w:rsidR="00CE6C2D" w:rsidRPr="00CE6C2D">
        <w:t xml:space="preserve">The presiding officer did not receive </w:t>
      </w:r>
      <w:r w:rsidR="00166417">
        <w:t xml:space="preserve">any objection </w:t>
      </w:r>
      <w:r w:rsidR="00CE6C2D" w:rsidRPr="00CE6C2D">
        <w:t>from Complainant to the admission of Exhibit 6.</w:t>
      </w:r>
      <w:r w:rsidRPr="00CE6C2D">
        <w:t xml:space="preserve"> </w:t>
      </w:r>
    </w:p>
    <w:p w:rsidR="00666C84" w:rsidRDefault="00666C84">
      <w:pPr>
        <w:pStyle w:val="FootnoteText"/>
      </w:pPr>
    </w:p>
  </w:footnote>
  <w:footnote w:id="2">
    <w:p w:rsidR="00A04190" w:rsidRDefault="00A04190" w:rsidP="00A04190">
      <w:pPr>
        <w:pStyle w:val="FootnoteText"/>
      </w:pPr>
      <w:r>
        <w:tab/>
      </w:r>
      <w:r>
        <w:rPr>
          <w:rStyle w:val="FootnoteReference"/>
        </w:rPr>
        <w:footnoteRef/>
      </w:r>
      <w:r>
        <w:t xml:space="preserve"> </w:t>
      </w:r>
      <w:r w:rsidR="004628D7">
        <w:tab/>
      </w:r>
      <w:r>
        <w:t>In her Formal Complaint, Ms. Berry alleged her electric bill was high in comparison to her neighbors’ bills that ranged between $40</w:t>
      </w:r>
      <w:r w:rsidR="00F214C9">
        <w:t>.00</w:t>
      </w:r>
      <w:r>
        <w:t xml:space="preserve"> and $60</w:t>
      </w:r>
      <w:r w:rsidR="00F214C9">
        <w:t>.00</w:t>
      </w:r>
      <w:r>
        <w:t xml:space="preserve"> a month.  At hearing, Complainant did not present any testimony or evidence concerning her neighbors’ electric usage or bills. </w:t>
      </w:r>
    </w:p>
    <w:p w:rsidR="00A04190" w:rsidRDefault="00A0419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39D26599"/>
    <w:multiLevelType w:val="hybridMultilevel"/>
    <w:tmpl w:val="217C1000"/>
    <w:lvl w:ilvl="0" w:tplc="40E026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66445D"/>
    <w:multiLevelType w:val="singleLevel"/>
    <w:tmpl w:val="04090001"/>
    <w:lvl w:ilvl="0">
      <w:start w:val="1"/>
      <w:numFmt w:val="bullet"/>
      <w:lvlText w:val=""/>
      <w:lvlJc w:val="left"/>
      <w:pPr>
        <w:ind w:left="1800" w:hanging="360"/>
      </w:pPr>
      <w:rPr>
        <w:rFonts w:ascii="Symbol" w:hAnsi="Symbol" w:hint="default"/>
      </w:rPr>
    </w:lvl>
  </w:abstractNum>
  <w:abstractNum w:abstractNumId="5">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C0711BE"/>
    <w:multiLevelType w:val="hybridMultilevel"/>
    <w:tmpl w:val="370C287A"/>
    <w:lvl w:ilvl="0" w:tplc="1E920A2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D202C40"/>
    <w:multiLevelType w:val="hybridMultilevel"/>
    <w:tmpl w:val="B764EFAA"/>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num w:numId="1">
    <w:abstractNumId w:val="2"/>
  </w:num>
  <w:num w:numId="2">
    <w:abstractNumId w:val="4"/>
  </w:num>
  <w:num w:numId="3">
    <w:abstractNumId w:val="4"/>
    <w:lvlOverride w:ilvl="0">
      <w:startOverride w:val="1"/>
    </w:lvlOverride>
  </w:num>
  <w:num w:numId="4">
    <w:abstractNumId w:val="1"/>
  </w:num>
  <w:num w:numId="5">
    <w:abstractNumId w:val="7"/>
  </w:num>
  <w:num w:numId="6">
    <w:abstractNumId w:val="0"/>
  </w:num>
  <w:num w:numId="7">
    <w:abstractNumId w:val="6"/>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docVars>
    <w:docVar w:name="dgnword-eventsink" w:val="橄ㄴᮀτͱ찔㈇"/>
  </w:docVars>
  <w:rsids>
    <w:rsidRoot w:val="00332CA0"/>
    <w:rsid w:val="00001530"/>
    <w:rsid w:val="000056C0"/>
    <w:rsid w:val="00006CCE"/>
    <w:rsid w:val="00007ECA"/>
    <w:rsid w:val="00010A9C"/>
    <w:rsid w:val="000140CE"/>
    <w:rsid w:val="0001497D"/>
    <w:rsid w:val="0001552D"/>
    <w:rsid w:val="000155F6"/>
    <w:rsid w:val="0002458C"/>
    <w:rsid w:val="000267C1"/>
    <w:rsid w:val="000274C0"/>
    <w:rsid w:val="0003409C"/>
    <w:rsid w:val="00034A40"/>
    <w:rsid w:val="00041275"/>
    <w:rsid w:val="00043968"/>
    <w:rsid w:val="000476EF"/>
    <w:rsid w:val="00047E88"/>
    <w:rsid w:val="0005036B"/>
    <w:rsid w:val="0005067F"/>
    <w:rsid w:val="0005165A"/>
    <w:rsid w:val="00056980"/>
    <w:rsid w:val="00062EB4"/>
    <w:rsid w:val="000630C5"/>
    <w:rsid w:val="0006486E"/>
    <w:rsid w:val="000659A8"/>
    <w:rsid w:val="00065E35"/>
    <w:rsid w:val="00065F42"/>
    <w:rsid w:val="00070506"/>
    <w:rsid w:val="00071879"/>
    <w:rsid w:val="000758E2"/>
    <w:rsid w:val="0007597B"/>
    <w:rsid w:val="00076AB6"/>
    <w:rsid w:val="0007713A"/>
    <w:rsid w:val="00077148"/>
    <w:rsid w:val="000829D4"/>
    <w:rsid w:val="00085B3F"/>
    <w:rsid w:val="00087BAC"/>
    <w:rsid w:val="00090595"/>
    <w:rsid w:val="00091961"/>
    <w:rsid w:val="000919EA"/>
    <w:rsid w:val="000926FF"/>
    <w:rsid w:val="00094B27"/>
    <w:rsid w:val="00097B7B"/>
    <w:rsid w:val="000A2445"/>
    <w:rsid w:val="000A2FCF"/>
    <w:rsid w:val="000B0806"/>
    <w:rsid w:val="000B5ED3"/>
    <w:rsid w:val="000B7890"/>
    <w:rsid w:val="000C13EF"/>
    <w:rsid w:val="000C374C"/>
    <w:rsid w:val="000D26AD"/>
    <w:rsid w:val="000D4AA2"/>
    <w:rsid w:val="000D51F3"/>
    <w:rsid w:val="000E0278"/>
    <w:rsid w:val="000E23F8"/>
    <w:rsid w:val="000E4F85"/>
    <w:rsid w:val="000E6C11"/>
    <w:rsid w:val="000F1C98"/>
    <w:rsid w:val="000F3032"/>
    <w:rsid w:val="000F5B53"/>
    <w:rsid w:val="000F7558"/>
    <w:rsid w:val="001000A3"/>
    <w:rsid w:val="00101417"/>
    <w:rsid w:val="00103A7D"/>
    <w:rsid w:val="00111CA1"/>
    <w:rsid w:val="00115E13"/>
    <w:rsid w:val="001174CB"/>
    <w:rsid w:val="0012115F"/>
    <w:rsid w:val="001215D8"/>
    <w:rsid w:val="001247F7"/>
    <w:rsid w:val="00125C88"/>
    <w:rsid w:val="00130279"/>
    <w:rsid w:val="001302E3"/>
    <w:rsid w:val="001320FE"/>
    <w:rsid w:val="00132166"/>
    <w:rsid w:val="0013369D"/>
    <w:rsid w:val="00136E44"/>
    <w:rsid w:val="0014534D"/>
    <w:rsid w:val="00151046"/>
    <w:rsid w:val="00153C5F"/>
    <w:rsid w:val="0015424C"/>
    <w:rsid w:val="001575E1"/>
    <w:rsid w:val="001601CE"/>
    <w:rsid w:val="0016491B"/>
    <w:rsid w:val="00164B83"/>
    <w:rsid w:val="00166417"/>
    <w:rsid w:val="00173990"/>
    <w:rsid w:val="0017554E"/>
    <w:rsid w:val="00181F34"/>
    <w:rsid w:val="00181F87"/>
    <w:rsid w:val="0018254F"/>
    <w:rsid w:val="00182CAF"/>
    <w:rsid w:val="00186B7A"/>
    <w:rsid w:val="00191A9A"/>
    <w:rsid w:val="00191E9A"/>
    <w:rsid w:val="0019328D"/>
    <w:rsid w:val="001937F5"/>
    <w:rsid w:val="001A00E0"/>
    <w:rsid w:val="001A199C"/>
    <w:rsid w:val="001A419A"/>
    <w:rsid w:val="001A4E5E"/>
    <w:rsid w:val="001A5FAE"/>
    <w:rsid w:val="001B01EF"/>
    <w:rsid w:val="001B2BC2"/>
    <w:rsid w:val="001B3F16"/>
    <w:rsid w:val="001B6F26"/>
    <w:rsid w:val="001C15AD"/>
    <w:rsid w:val="001C49E9"/>
    <w:rsid w:val="001C6B2C"/>
    <w:rsid w:val="001C6F72"/>
    <w:rsid w:val="001D51B0"/>
    <w:rsid w:val="001D5AE0"/>
    <w:rsid w:val="001D684C"/>
    <w:rsid w:val="001E11C3"/>
    <w:rsid w:val="001E1AB2"/>
    <w:rsid w:val="001E2B96"/>
    <w:rsid w:val="001E4A7D"/>
    <w:rsid w:val="001E59B9"/>
    <w:rsid w:val="001F0329"/>
    <w:rsid w:val="001F76D2"/>
    <w:rsid w:val="0020101E"/>
    <w:rsid w:val="0020245F"/>
    <w:rsid w:val="00204EB8"/>
    <w:rsid w:val="002052C6"/>
    <w:rsid w:val="00214A98"/>
    <w:rsid w:val="00214FF6"/>
    <w:rsid w:val="00221855"/>
    <w:rsid w:val="002241F2"/>
    <w:rsid w:val="00224410"/>
    <w:rsid w:val="00225BC1"/>
    <w:rsid w:val="00231766"/>
    <w:rsid w:val="0023397E"/>
    <w:rsid w:val="002348CB"/>
    <w:rsid w:val="00236BA3"/>
    <w:rsid w:val="00237321"/>
    <w:rsid w:val="002416A8"/>
    <w:rsid w:val="00244AAF"/>
    <w:rsid w:val="0024699E"/>
    <w:rsid w:val="00247900"/>
    <w:rsid w:val="00250F55"/>
    <w:rsid w:val="00252975"/>
    <w:rsid w:val="00255657"/>
    <w:rsid w:val="00256601"/>
    <w:rsid w:val="00256B89"/>
    <w:rsid w:val="0026169F"/>
    <w:rsid w:val="0026268C"/>
    <w:rsid w:val="002643F3"/>
    <w:rsid w:val="002679D8"/>
    <w:rsid w:val="0027044F"/>
    <w:rsid w:val="00270A64"/>
    <w:rsid w:val="00273ABB"/>
    <w:rsid w:val="002775C4"/>
    <w:rsid w:val="00280920"/>
    <w:rsid w:val="00284F81"/>
    <w:rsid w:val="00285C09"/>
    <w:rsid w:val="00287559"/>
    <w:rsid w:val="002920A6"/>
    <w:rsid w:val="0029259D"/>
    <w:rsid w:val="00292D0E"/>
    <w:rsid w:val="002933E1"/>
    <w:rsid w:val="002937A4"/>
    <w:rsid w:val="00293D0F"/>
    <w:rsid w:val="00294A9D"/>
    <w:rsid w:val="00295619"/>
    <w:rsid w:val="00295670"/>
    <w:rsid w:val="002A04F0"/>
    <w:rsid w:val="002A13FA"/>
    <w:rsid w:val="002A397E"/>
    <w:rsid w:val="002A432B"/>
    <w:rsid w:val="002A6915"/>
    <w:rsid w:val="002A6BD9"/>
    <w:rsid w:val="002A7350"/>
    <w:rsid w:val="002B71EF"/>
    <w:rsid w:val="002C0487"/>
    <w:rsid w:val="002C1F06"/>
    <w:rsid w:val="002C3EE0"/>
    <w:rsid w:val="002C602B"/>
    <w:rsid w:val="002D5902"/>
    <w:rsid w:val="002D5DE6"/>
    <w:rsid w:val="002E22CD"/>
    <w:rsid w:val="002E2C22"/>
    <w:rsid w:val="002E3205"/>
    <w:rsid w:val="002E3338"/>
    <w:rsid w:val="002E3CDD"/>
    <w:rsid w:val="002E5B8F"/>
    <w:rsid w:val="002E7A5E"/>
    <w:rsid w:val="002E7EF5"/>
    <w:rsid w:val="002E7F5B"/>
    <w:rsid w:val="002F0245"/>
    <w:rsid w:val="002F2098"/>
    <w:rsid w:val="002F3EC0"/>
    <w:rsid w:val="002F47C4"/>
    <w:rsid w:val="002F58D2"/>
    <w:rsid w:val="003010F8"/>
    <w:rsid w:val="00302594"/>
    <w:rsid w:val="00302BC1"/>
    <w:rsid w:val="00304D28"/>
    <w:rsid w:val="0030701F"/>
    <w:rsid w:val="003109D5"/>
    <w:rsid w:val="00310F55"/>
    <w:rsid w:val="003112F3"/>
    <w:rsid w:val="0031290E"/>
    <w:rsid w:val="00313B3D"/>
    <w:rsid w:val="00313FDE"/>
    <w:rsid w:val="00317281"/>
    <w:rsid w:val="003176EE"/>
    <w:rsid w:val="00317A93"/>
    <w:rsid w:val="0032212D"/>
    <w:rsid w:val="00322C04"/>
    <w:rsid w:val="00322CE5"/>
    <w:rsid w:val="00323598"/>
    <w:rsid w:val="00330C53"/>
    <w:rsid w:val="00331811"/>
    <w:rsid w:val="00332009"/>
    <w:rsid w:val="00332CA0"/>
    <w:rsid w:val="00334E65"/>
    <w:rsid w:val="00337866"/>
    <w:rsid w:val="00340A4C"/>
    <w:rsid w:val="00341278"/>
    <w:rsid w:val="0034158F"/>
    <w:rsid w:val="00342B51"/>
    <w:rsid w:val="00342FF5"/>
    <w:rsid w:val="00353195"/>
    <w:rsid w:val="0035327D"/>
    <w:rsid w:val="003545D3"/>
    <w:rsid w:val="0035616E"/>
    <w:rsid w:val="003568AD"/>
    <w:rsid w:val="003606E6"/>
    <w:rsid w:val="00361B43"/>
    <w:rsid w:val="00367B94"/>
    <w:rsid w:val="00374E0E"/>
    <w:rsid w:val="00374FC2"/>
    <w:rsid w:val="00376E50"/>
    <w:rsid w:val="00382B3D"/>
    <w:rsid w:val="003A1522"/>
    <w:rsid w:val="003A2374"/>
    <w:rsid w:val="003B3EAB"/>
    <w:rsid w:val="003C5AA8"/>
    <w:rsid w:val="003C73A0"/>
    <w:rsid w:val="003D63D3"/>
    <w:rsid w:val="003E0074"/>
    <w:rsid w:val="003E0A39"/>
    <w:rsid w:val="003E2131"/>
    <w:rsid w:val="003F0D53"/>
    <w:rsid w:val="003F3D5D"/>
    <w:rsid w:val="00402258"/>
    <w:rsid w:val="004024E6"/>
    <w:rsid w:val="00403E15"/>
    <w:rsid w:val="0040565F"/>
    <w:rsid w:val="004058EE"/>
    <w:rsid w:val="00411CC1"/>
    <w:rsid w:val="00412B85"/>
    <w:rsid w:val="00416B69"/>
    <w:rsid w:val="00416ED3"/>
    <w:rsid w:val="00420AEF"/>
    <w:rsid w:val="0042246F"/>
    <w:rsid w:val="004313C2"/>
    <w:rsid w:val="004374DE"/>
    <w:rsid w:val="0044227C"/>
    <w:rsid w:val="004447F6"/>
    <w:rsid w:val="0044592E"/>
    <w:rsid w:val="004465DB"/>
    <w:rsid w:val="0044702F"/>
    <w:rsid w:val="004532DC"/>
    <w:rsid w:val="0045569C"/>
    <w:rsid w:val="00461D35"/>
    <w:rsid w:val="004628D7"/>
    <w:rsid w:val="004642E1"/>
    <w:rsid w:val="00467890"/>
    <w:rsid w:val="00471EBA"/>
    <w:rsid w:val="00473445"/>
    <w:rsid w:val="004743D9"/>
    <w:rsid w:val="0047635E"/>
    <w:rsid w:val="004765ED"/>
    <w:rsid w:val="00481FFF"/>
    <w:rsid w:val="00482FD3"/>
    <w:rsid w:val="00484919"/>
    <w:rsid w:val="00485E89"/>
    <w:rsid w:val="00486B29"/>
    <w:rsid w:val="00494D92"/>
    <w:rsid w:val="00495096"/>
    <w:rsid w:val="004A17DC"/>
    <w:rsid w:val="004A29EF"/>
    <w:rsid w:val="004A4161"/>
    <w:rsid w:val="004A4BD6"/>
    <w:rsid w:val="004A5D0B"/>
    <w:rsid w:val="004B2A2B"/>
    <w:rsid w:val="004B58AD"/>
    <w:rsid w:val="004B5BE5"/>
    <w:rsid w:val="004B6230"/>
    <w:rsid w:val="004C0D7F"/>
    <w:rsid w:val="004C18D7"/>
    <w:rsid w:val="004C1C6D"/>
    <w:rsid w:val="004C1FE3"/>
    <w:rsid w:val="004D22DE"/>
    <w:rsid w:val="004D3E5C"/>
    <w:rsid w:val="004E0F7C"/>
    <w:rsid w:val="004E33E2"/>
    <w:rsid w:val="004E477C"/>
    <w:rsid w:val="004E6E5E"/>
    <w:rsid w:val="004E6EB2"/>
    <w:rsid w:val="004E7838"/>
    <w:rsid w:val="004F0B4C"/>
    <w:rsid w:val="004F3863"/>
    <w:rsid w:val="005029EC"/>
    <w:rsid w:val="005043FF"/>
    <w:rsid w:val="0051142C"/>
    <w:rsid w:val="0051419B"/>
    <w:rsid w:val="005301B0"/>
    <w:rsid w:val="00530BBA"/>
    <w:rsid w:val="00531694"/>
    <w:rsid w:val="00531B6B"/>
    <w:rsid w:val="00534AC8"/>
    <w:rsid w:val="00543549"/>
    <w:rsid w:val="00545B47"/>
    <w:rsid w:val="0055017E"/>
    <w:rsid w:val="00551CF9"/>
    <w:rsid w:val="00554C1D"/>
    <w:rsid w:val="00554E69"/>
    <w:rsid w:val="00560DC5"/>
    <w:rsid w:val="00560FFE"/>
    <w:rsid w:val="005615C1"/>
    <w:rsid w:val="00562A8D"/>
    <w:rsid w:val="00564B2F"/>
    <w:rsid w:val="00564BCA"/>
    <w:rsid w:val="005677A9"/>
    <w:rsid w:val="00571E68"/>
    <w:rsid w:val="005749FB"/>
    <w:rsid w:val="005764D6"/>
    <w:rsid w:val="00584842"/>
    <w:rsid w:val="00586E50"/>
    <w:rsid w:val="005900E3"/>
    <w:rsid w:val="005901A8"/>
    <w:rsid w:val="00593F0B"/>
    <w:rsid w:val="00596DBA"/>
    <w:rsid w:val="005A0240"/>
    <w:rsid w:val="005A09A3"/>
    <w:rsid w:val="005A251F"/>
    <w:rsid w:val="005A2737"/>
    <w:rsid w:val="005A4B89"/>
    <w:rsid w:val="005A54E3"/>
    <w:rsid w:val="005B0A7D"/>
    <w:rsid w:val="005B0AB0"/>
    <w:rsid w:val="005B5431"/>
    <w:rsid w:val="005B5713"/>
    <w:rsid w:val="005B5EF8"/>
    <w:rsid w:val="005B7595"/>
    <w:rsid w:val="005C14A4"/>
    <w:rsid w:val="005C1648"/>
    <w:rsid w:val="005C178D"/>
    <w:rsid w:val="005C2603"/>
    <w:rsid w:val="005C30CB"/>
    <w:rsid w:val="005C36EC"/>
    <w:rsid w:val="005C5552"/>
    <w:rsid w:val="005C7BF9"/>
    <w:rsid w:val="005D0BD6"/>
    <w:rsid w:val="005D1E40"/>
    <w:rsid w:val="005D1FDF"/>
    <w:rsid w:val="005D3B34"/>
    <w:rsid w:val="005D5DCE"/>
    <w:rsid w:val="005D7A1A"/>
    <w:rsid w:val="005F2639"/>
    <w:rsid w:val="005F2B28"/>
    <w:rsid w:val="005F48BB"/>
    <w:rsid w:val="005F69BC"/>
    <w:rsid w:val="006047D7"/>
    <w:rsid w:val="0061355F"/>
    <w:rsid w:val="00621691"/>
    <w:rsid w:val="00622189"/>
    <w:rsid w:val="006226F3"/>
    <w:rsid w:val="00622C3A"/>
    <w:rsid w:val="00624E86"/>
    <w:rsid w:val="006272F5"/>
    <w:rsid w:val="0062756B"/>
    <w:rsid w:val="006327EE"/>
    <w:rsid w:val="006339CA"/>
    <w:rsid w:val="00634A5C"/>
    <w:rsid w:val="00634BBE"/>
    <w:rsid w:val="00634BEA"/>
    <w:rsid w:val="0063596C"/>
    <w:rsid w:val="006360D9"/>
    <w:rsid w:val="00636674"/>
    <w:rsid w:val="006379A7"/>
    <w:rsid w:val="00640540"/>
    <w:rsid w:val="00641422"/>
    <w:rsid w:val="00641CE6"/>
    <w:rsid w:val="00644A2A"/>
    <w:rsid w:val="00652032"/>
    <w:rsid w:val="006525A0"/>
    <w:rsid w:val="0065457C"/>
    <w:rsid w:val="00657683"/>
    <w:rsid w:val="006604CD"/>
    <w:rsid w:val="00661588"/>
    <w:rsid w:val="00661F72"/>
    <w:rsid w:val="00666C84"/>
    <w:rsid w:val="006675F1"/>
    <w:rsid w:val="006716AC"/>
    <w:rsid w:val="0067466A"/>
    <w:rsid w:val="006754D0"/>
    <w:rsid w:val="00676519"/>
    <w:rsid w:val="00676730"/>
    <w:rsid w:val="00676D58"/>
    <w:rsid w:val="0069215C"/>
    <w:rsid w:val="006933D4"/>
    <w:rsid w:val="006937FA"/>
    <w:rsid w:val="00693E2B"/>
    <w:rsid w:val="00695AF6"/>
    <w:rsid w:val="006A039B"/>
    <w:rsid w:val="006A10A7"/>
    <w:rsid w:val="006A4321"/>
    <w:rsid w:val="006A56B2"/>
    <w:rsid w:val="006A6A0E"/>
    <w:rsid w:val="006B1AB1"/>
    <w:rsid w:val="006B25AA"/>
    <w:rsid w:val="006C73A9"/>
    <w:rsid w:val="006D64E2"/>
    <w:rsid w:val="006D7B11"/>
    <w:rsid w:val="006E0A54"/>
    <w:rsid w:val="006E13DE"/>
    <w:rsid w:val="006E14E0"/>
    <w:rsid w:val="006E1BF7"/>
    <w:rsid w:val="006E2126"/>
    <w:rsid w:val="006E7517"/>
    <w:rsid w:val="006F408C"/>
    <w:rsid w:val="006F4267"/>
    <w:rsid w:val="00707F34"/>
    <w:rsid w:val="00711CF2"/>
    <w:rsid w:val="00712E3C"/>
    <w:rsid w:val="00733076"/>
    <w:rsid w:val="007338C4"/>
    <w:rsid w:val="0073399C"/>
    <w:rsid w:val="00734277"/>
    <w:rsid w:val="00734D09"/>
    <w:rsid w:val="00740950"/>
    <w:rsid w:val="00741A78"/>
    <w:rsid w:val="007420F3"/>
    <w:rsid w:val="00745F64"/>
    <w:rsid w:val="007468EF"/>
    <w:rsid w:val="007505EC"/>
    <w:rsid w:val="00751ED1"/>
    <w:rsid w:val="00752824"/>
    <w:rsid w:val="00752CC2"/>
    <w:rsid w:val="007539C9"/>
    <w:rsid w:val="0075530F"/>
    <w:rsid w:val="007562AE"/>
    <w:rsid w:val="00756B16"/>
    <w:rsid w:val="00756DF8"/>
    <w:rsid w:val="0075706C"/>
    <w:rsid w:val="007649E4"/>
    <w:rsid w:val="00765B67"/>
    <w:rsid w:val="00770825"/>
    <w:rsid w:val="00773362"/>
    <w:rsid w:val="00773A51"/>
    <w:rsid w:val="007740D8"/>
    <w:rsid w:val="007771FD"/>
    <w:rsid w:val="00777ED8"/>
    <w:rsid w:val="00780CF8"/>
    <w:rsid w:val="0078251D"/>
    <w:rsid w:val="0078345C"/>
    <w:rsid w:val="00786EEC"/>
    <w:rsid w:val="00796751"/>
    <w:rsid w:val="007A1673"/>
    <w:rsid w:val="007A17C2"/>
    <w:rsid w:val="007A33DA"/>
    <w:rsid w:val="007A4B59"/>
    <w:rsid w:val="007B165B"/>
    <w:rsid w:val="007B3E3D"/>
    <w:rsid w:val="007B4499"/>
    <w:rsid w:val="007C0A7A"/>
    <w:rsid w:val="007C4783"/>
    <w:rsid w:val="007C5DCE"/>
    <w:rsid w:val="007C61E9"/>
    <w:rsid w:val="007C6A72"/>
    <w:rsid w:val="007D167C"/>
    <w:rsid w:val="007D1C19"/>
    <w:rsid w:val="007D4E3A"/>
    <w:rsid w:val="007D70FC"/>
    <w:rsid w:val="007E2256"/>
    <w:rsid w:val="007E2BE3"/>
    <w:rsid w:val="007E2C68"/>
    <w:rsid w:val="007E32D9"/>
    <w:rsid w:val="007E4D70"/>
    <w:rsid w:val="007E6245"/>
    <w:rsid w:val="007E6CA7"/>
    <w:rsid w:val="007E75F6"/>
    <w:rsid w:val="007F0F99"/>
    <w:rsid w:val="007F1737"/>
    <w:rsid w:val="007F2370"/>
    <w:rsid w:val="007F55D8"/>
    <w:rsid w:val="007F751B"/>
    <w:rsid w:val="00802E0D"/>
    <w:rsid w:val="00803D11"/>
    <w:rsid w:val="00804D2F"/>
    <w:rsid w:val="0080557F"/>
    <w:rsid w:val="00807ED8"/>
    <w:rsid w:val="00812F0F"/>
    <w:rsid w:val="00816E49"/>
    <w:rsid w:val="00816ED3"/>
    <w:rsid w:val="008173E7"/>
    <w:rsid w:val="00821F64"/>
    <w:rsid w:val="0082264A"/>
    <w:rsid w:val="00822EF8"/>
    <w:rsid w:val="00822F25"/>
    <w:rsid w:val="008256C1"/>
    <w:rsid w:val="00826D52"/>
    <w:rsid w:val="008318A7"/>
    <w:rsid w:val="0083278E"/>
    <w:rsid w:val="0083487F"/>
    <w:rsid w:val="00842273"/>
    <w:rsid w:val="0084393B"/>
    <w:rsid w:val="00844952"/>
    <w:rsid w:val="00844AED"/>
    <w:rsid w:val="00844F99"/>
    <w:rsid w:val="00844FCF"/>
    <w:rsid w:val="00845FB1"/>
    <w:rsid w:val="008464A3"/>
    <w:rsid w:val="00846CF1"/>
    <w:rsid w:val="0085020B"/>
    <w:rsid w:val="00851958"/>
    <w:rsid w:val="00851CED"/>
    <w:rsid w:val="008526BE"/>
    <w:rsid w:val="00860D29"/>
    <w:rsid w:val="00863902"/>
    <w:rsid w:val="00870181"/>
    <w:rsid w:val="00870B91"/>
    <w:rsid w:val="00870DEB"/>
    <w:rsid w:val="00871DA1"/>
    <w:rsid w:val="00872395"/>
    <w:rsid w:val="00872746"/>
    <w:rsid w:val="00874CDE"/>
    <w:rsid w:val="00876BD3"/>
    <w:rsid w:val="00876C44"/>
    <w:rsid w:val="00880392"/>
    <w:rsid w:val="00880E10"/>
    <w:rsid w:val="00885E6C"/>
    <w:rsid w:val="008961D2"/>
    <w:rsid w:val="00896386"/>
    <w:rsid w:val="008A02B0"/>
    <w:rsid w:val="008A1FFA"/>
    <w:rsid w:val="008A4B80"/>
    <w:rsid w:val="008A5BDB"/>
    <w:rsid w:val="008A64CF"/>
    <w:rsid w:val="008A706C"/>
    <w:rsid w:val="008A71EA"/>
    <w:rsid w:val="008C3295"/>
    <w:rsid w:val="008C3A48"/>
    <w:rsid w:val="008C575E"/>
    <w:rsid w:val="008C6D58"/>
    <w:rsid w:val="008D2E20"/>
    <w:rsid w:val="008D3885"/>
    <w:rsid w:val="008D3C0A"/>
    <w:rsid w:val="008D6D8C"/>
    <w:rsid w:val="008E3504"/>
    <w:rsid w:val="008E52BD"/>
    <w:rsid w:val="008E5679"/>
    <w:rsid w:val="008E777E"/>
    <w:rsid w:val="008F1824"/>
    <w:rsid w:val="008F3520"/>
    <w:rsid w:val="008F69CF"/>
    <w:rsid w:val="008F7005"/>
    <w:rsid w:val="0090027C"/>
    <w:rsid w:val="009005D7"/>
    <w:rsid w:val="00901360"/>
    <w:rsid w:val="0090294D"/>
    <w:rsid w:val="009034C9"/>
    <w:rsid w:val="00904A12"/>
    <w:rsid w:val="00904DE9"/>
    <w:rsid w:val="009065AD"/>
    <w:rsid w:val="0091085A"/>
    <w:rsid w:val="009143DB"/>
    <w:rsid w:val="00916CC3"/>
    <w:rsid w:val="00916D03"/>
    <w:rsid w:val="00921E04"/>
    <w:rsid w:val="0092280E"/>
    <w:rsid w:val="00923751"/>
    <w:rsid w:val="00930051"/>
    <w:rsid w:val="00930CE9"/>
    <w:rsid w:val="00934A84"/>
    <w:rsid w:val="0094162A"/>
    <w:rsid w:val="0094193D"/>
    <w:rsid w:val="00941A62"/>
    <w:rsid w:val="00944AD2"/>
    <w:rsid w:val="00952A6B"/>
    <w:rsid w:val="00955482"/>
    <w:rsid w:val="00957571"/>
    <w:rsid w:val="00964428"/>
    <w:rsid w:val="009713CD"/>
    <w:rsid w:val="009722A2"/>
    <w:rsid w:val="00975788"/>
    <w:rsid w:val="00980B09"/>
    <w:rsid w:val="00994779"/>
    <w:rsid w:val="009965AC"/>
    <w:rsid w:val="00997A8C"/>
    <w:rsid w:val="009A004C"/>
    <w:rsid w:val="009A129C"/>
    <w:rsid w:val="009A1356"/>
    <w:rsid w:val="009A151A"/>
    <w:rsid w:val="009A189F"/>
    <w:rsid w:val="009A3C26"/>
    <w:rsid w:val="009A3C83"/>
    <w:rsid w:val="009A7B6A"/>
    <w:rsid w:val="009B05CC"/>
    <w:rsid w:val="009B2DA0"/>
    <w:rsid w:val="009B3062"/>
    <w:rsid w:val="009C0769"/>
    <w:rsid w:val="009C0EEE"/>
    <w:rsid w:val="009C21F8"/>
    <w:rsid w:val="009C3A4A"/>
    <w:rsid w:val="009C41F7"/>
    <w:rsid w:val="009C53AA"/>
    <w:rsid w:val="009C7ADD"/>
    <w:rsid w:val="009D0D52"/>
    <w:rsid w:val="009D23F5"/>
    <w:rsid w:val="009D4D03"/>
    <w:rsid w:val="009D649B"/>
    <w:rsid w:val="009E04D7"/>
    <w:rsid w:val="009E17BB"/>
    <w:rsid w:val="009E31BB"/>
    <w:rsid w:val="009E40E2"/>
    <w:rsid w:val="009F14D9"/>
    <w:rsid w:val="009F2069"/>
    <w:rsid w:val="009F6FD0"/>
    <w:rsid w:val="00A003E8"/>
    <w:rsid w:val="00A0168A"/>
    <w:rsid w:val="00A02712"/>
    <w:rsid w:val="00A0315F"/>
    <w:rsid w:val="00A03522"/>
    <w:rsid w:val="00A04190"/>
    <w:rsid w:val="00A04906"/>
    <w:rsid w:val="00A0603C"/>
    <w:rsid w:val="00A07880"/>
    <w:rsid w:val="00A111F0"/>
    <w:rsid w:val="00A120E0"/>
    <w:rsid w:val="00A1261C"/>
    <w:rsid w:val="00A13B55"/>
    <w:rsid w:val="00A2334B"/>
    <w:rsid w:val="00A260DD"/>
    <w:rsid w:val="00A26696"/>
    <w:rsid w:val="00A3035F"/>
    <w:rsid w:val="00A32FEC"/>
    <w:rsid w:val="00A422B3"/>
    <w:rsid w:val="00A47172"/>
    <w:rsid w:val="00A503BB"/>
    <w:rsid w:val="00A526EA"/>
    <w:rsid w:val="00A602D7"/>
    <w:rsid w:val="00A61B06"/>
    <w:rsid w:val="00A63AD9"/>
    <w:rsid w:val="00A64B4B"/>
    <w:rsid w:val="00A6700E"/>
    <w:rsid w:val="00A70304"/>
    <w:rsid w:val="00A70419"/>
    <w:rsid w:val="00A7334A"/>
    <w:rsid w:val="00A73D2F"/>
    <w:rsid w:val="00A754E7"/>
    <w:rsid w:val="00A77A34"/>
    <w:rsid w:val="00A823A3"/>
    <w:rsid w:val="00A827AC"/>
    <w:rsid w:val="00A827CB"/>
    <w:rsid w:val="00A82A43"/>
    <w:rsid w:val="00A82D23"/>
    <w:rsid w:val="00A84A5E"/>
    <w:rsid w:val="00A85985"/>
    <w:rsid w:val="00A873AB"/>
    <w:rsid w:val="00A8776A"/>
    <w:rsid w:val="00A937B3"/>
    <w:rsid w:val="00A93969"/>
    <w:rsid w:val="00AA1CCA"/>
    <w:rsid w:val="00AA2265"/>
    <w:rsid w:val="00AA2380"/>
    <w:rsid w:val="00AA32D7"/>
    <w:rsid w:val="00AA5DAA"/>
    <w:rsid w:val="00AA6181"/>
    <w:rsid w:val="00AA791D"/>
    <w:rsid w:val="00AB1DD7"/>
    <w:rsid w:val="00AB3F52"/>
    <w:rsid w:val="00AB6EE2"/>
    <w:rsid w:val="00AC1587"/>
    <w:rsid w:val="00AC540C"/>
    <w:rsid w:val="00AD0EFA"/>
    <w:rsid w:val="00AD5020"/>
    <w:rsid w:val="00AD54A2"/>
    <w:rsid w:val="00AD70F9"/>
    <w:rsid w:val="00AE2D42"/>
    <w:rsid w:val="00AE6A0B"/>
    <w:rsid w:val="00AE7420"/>
    <w:rsid w:val="00AF11E0"/>
    <w:rsid w:val="00AF53C1"/>
    <w:rsid w:val="00AF6073"/>
    <w:rsid w:val="00AF6DFC"/>
    <w:rsid w:val="00B05AC6"/>
    <w:rsid w:val="00B12614"/>
    <w:rsid w:val="00B12673"/>
    <w:rsid w:val="00B12C6C"/>
    <w:rsid w:val="00B17255"/>
    <w:rsid w:val="00B22B3A"/>
    <w:rsid w:val="00B252CB"/>
    <w:rsid w:val="00B27466"/>
    <w:rsid w:val="00B2762D"/>
    <w:rsid w:val="00B27B2D"/>
    <w:rsid w:val="00B30711"/>
    <w:rsid w:val="00B30E9D"/>
    <w:rsid w:val="00B30EC6"/>
    <w:rsid w:val="00B3302C"/>
    <w:rsid w:val="00B40909"/>
    <w:rsid w:val="00B40F8F"/>
    <w:rsid w:val="00B41AEE"/>
    <w:rsid w:val="00B434E6"/>
    <w:rsid w:val="00B45CD9"/>
    <w:rsid w:val="00B50039"/>
    <w:rsid w:val="00B50AA3"/>
    <w:rsid w:val="00B5127B"/>
    <w:rsid w:val="00B56451"/>
    <w:rsid w:val="00B57D68"/>
    <w:rsid w:val="00B61798"/>
    <w:rsid w:val="00B64556"/>
    <w:rsid w:val="00B66296"/>
    <w:rsid w:val="00B671EC"/>
    <w:rsid w:val="00B67DF9"/>
    <w:rsid w:val="00B71E29"/>
    <w:rsid w:val="00B723EC"/>
    <w:rsid w:val="00B72EAF"/>
    <w:rsid w:val="00B72EDD"/>
    <w:rsid w:val="00B73DEF"/>
    <w:rsid w:val="00B81169"/>
    <w:rsid w:val="00B82E6F"/>
    <w:rsid w:val="00B876D0"/>
    <w:rsid w:val="00B87B7A"/>
    <w:rsid w:val="00B87D98"/>
    <w:rsid w:val="00B940F0"/>
    <w:rsid w:val="00B94468"/>
    <w:rsid w:val="00B9730E"/>
    <w:rsid w:val="00BA0995"/>
    <w:rsid w:val="00BA3012"/>
    <w:rsid w:val="00BA4A32"/>
    <w:rsid w:val="00BA563C"/>
    <w:rsid w:val="00BB03AD"/>
    <w:rsid w:val="00BB13F4"/>
    <w:rsid w:val="00BB44D1"/>
    <w:rsid w:val="00BC064C"/>
    <w:rsid w:val="00BC0C0D"/>
    <w:rsid w:val="00BC0F1E"/>
    <w:rsid w:val="00BC10DC"/>
    <w:rsid w:val="00BC1622"/>
    <w:rsid w:val="00BC239B"/>
    <w:rsid w:val="00BC4144"/>
    <w:rsid w:val="00BC45FC"/>
    <w:rsid w:val="00BC6790"/>
    <w:rsid w:val="00BD085F"/>
    <w:rsid w:val="00BD0DF4"/>
    <w:rsid w:val="00BD141B"/>
    <w:rsid w:val="00BD193E"/>
    <w:rsid w:val="00BD3611"/>
    <w:rsid w:val="00BD42BA"/>
    <w:rsid w:val="00BD6F79"/>
    <w:rsid w:val="00BD715C"/>
    <w:rsid w:val="00BE0DDA"/>
    <w:rsid w:val="00BE2D79"/>
    <w:rsid w:val="00BE5785"/>
    <w:rsid w:val="00BF0427"/>
    <w:rsid w:val="00BF13D7"/>
    <w:rsid w:val="00BF1B16"/>
    <w:rsid w:val="00BF4B6C"/>
    <w:rsid w:val="00BF6053"/>
    <w:rsid w:val="00C035F4"/>
    <w:rsid w:val="00C0457C"/>
    <w:rsid w:val="00C05CC8"/>
    <w:rsid w:val="00C060D2"/>
    <w:rsid w:val="00C06203"/>
    <w:rsid w:val="00C07A7B"/>
    <w:rsid w:val="00C07EAD"/>
    <w:rsid w:val="00C106E1"/>
    <w:rsid w:val="00C111F0"/>
    <w:rsid w:val="00C1344F"/>
    <w:rsid w:val="00C13F65"/>
    <w:rsid w:val="00C146C0"/>
    <w:rsid w:val="00C16552"/>
    <w:rsid w:val="00C22A9F"/>
    <w:rsid w:val="00C262F7"/>
    <w:rsid w:val="00C26FD0"/>
    <w:rsid w:val="00C33E5C"/>
    <w:rsid w:val="00C35505"/>
    <w:rsid w:val="00C416CA"/>
    <w:rsid w:val="00C42E1C"/>
    <w:rsid w:val="00C43BE5"/>
    <w:rsid w:val="00C445F0"/>
    <w:rsid w:val="00C5418D"/>
    <w:rsid w:val="00C55898"/>
    <w:rsid w:val="00C57E07"/>
    <w:rsid w:val="00C606BF"/>
    <w:rsid w:val="00C62689"/>
    <w:rsid w:val="00C63BDB"/>
    <w:rsid w:val="00C65D30"/>
    <w:rsid w:val="00C67563"/>
    <w:rsid w:val="00C7133B"/>
    <w:rsid w:val="00C7262D"/>
    <w:rsid w:val="00C743E3"/>
    <w:rsid w:val="00C837A6"/>
    <w:rsid w:val="00C837C7"/>
    <w:rsid w:val="00C86EBF"/>
    <w:rsid w:val="00C87496"/>
    <w:rsid w:val="00C90ECF"/>
    <w:rsid w:val="00C91C5E"/>
    <w:rsid w:val="00C95C9A"/>
    <w:rsid w:val="00CA1191"/>
    <w:rsid w:val="00CA17C0"/>
    <w:rsid w:val="00CA29C9"/>
    <w:rsid w:val="00CA686A"/>
    <w:rsid w:val="00CB077E"/>
    <w:rsid w:val="00CB1547"/>
    <w:rsid w:val="00CC021E"/>
    <w:rsid w:val="00CC28D6"/>
    <w:rsid w:val="00CC344C"/>
    <w:rsid w:val="00CC57D6"/>
    <w:rsid w:val="00CC5F23"/>
    <w:rsid w:val="00CD1818"/>
    <w:rsid w:val="00CD5DCC"/>
    <w:rsid w:val="00CE2111"/>
    <w:rsid w:val="00CE2576"/>
    <w:rsid w:val="00CE4270"/>
    <w:rsid w:val="00CE4FB2"/>
    <w:rsid w:val="00CE6C2D"/>
    <w:rsid w:val="00CE7DC8"/>
    <w:rsid w:val="00CF06E6"/>
    <w:rsid w:val="00CF0C8F"/>
    <w:rsid w:val="00CF112A"/>
    <w:rsid w:val="00CF4359"/>
    <w:rsid w:val="00CF4AB7"/>
    <w:rsid w:val="00CF69EC"/>
    <w:rsid w:val="00CF7469"/>
    <w:rsid w:val="00D0444F"/>
    <w:rsid w:val="00D1303E"/>
    <w:rsid w:val="00D14F9A"/>
    <w:rsid w:val="00D22FD4"/>
    <w:rsid w:val="00D26B11"/>
    <w:rsid w:val="00D277D2"/>
    <w:rsid w:val="00D3460D"/>
    <w:rsid w:val="00D34FB1"/>
    <w:rsid w:val="00D41046"/>
    <w:rsid w:val="00D41663"/>
    <w:rsid w:val="00D41E1A"/>
    <w:rsid w:val="00D4760B"/>
    <w:rsid w:val="00D47AF3"/>
    <w:rsid w:val="00D5009D"/>
    <w:rsid w:val="00D54860"/>
    <w:rsid w:val="00D5678D"/>
    <w:rsid w:val="00D5749B"/>
    <w:rsid w:val="00D576AB"/>
    <w:rsid w:val="00D62F13"/>
    <w:rsid w:val="00D64EDE"/>
    <w:rsid w:val="00D64EFD"/>
    <w:rsid w:val="00D65F22"/>
    <w:rsid w:val="00D660D0"/>
    <w:rsid w:val="00D709D1"/>
    <w:rsid w:val="00D71698"/>
    <w:rsid w:val="00D72BDC"/>
    <w:rsid w:val="00D73023"/>
    <w:rsid w:val="00D776CC"/>
    <w:rsid w:val="00D8417C"/>
    <w:rsid w:val="00D85E63"/>
    <w:rsid w:val="00D90F14"/>
    <w:rsid w:val="00D91FE5"/>
    <w:rsid w:val="00D93E5C"/>
    <w:rsid w:val="00D94799"/>
    <w:rsid w:val="00DA0FE3"/>
    <w:rsid w:val="00DA26C7"/>
    <w:rsid w:val="00DA4453"/>
    <w:rsid w:val="00DA4B6A"/>
    <w:rsid w:val="00DA53C3"/>
    <w:rsid w:val="00DA6BD5"/>
    <w:rsid w:val="00DB10C2"/>
    <w:rsid w:val="00DB3AA4"/>
    <w:rsid w:val="00DB4100"/>
    <w:rsid w:val="00DB7DEF"/>
    <w:rsid w:val="00DC241D"/>
    <w:rsid w:val="00DC3080"/>
    <w:rsid w:val="00DC617C"/>
    <w:rsid w:val="00DD034B"/>
    <w:rsid w:val="00DD06E0"/>
    <w:rsid w:val="00DD3CC9"/>
    <w:rsid w:val="00DE0FFA"/>
    <w:rsid w:val="00DE2ED3"/>
    <w:rsid w:val="00DE2FE6"/>
    <w:rsid w:val="00DE5178"/>
    <w:rsid w:val="00DE576A"/>
    <w:rsid w:val="00DE667B"/>
    <w:rsid w:val="00DF3469"/>
    <w:rsid w:val="00DF7140"/>
    <w:rsid w:val="00E0137A"/>
    <w:rsid w:val="00E029B6"/>
    <w:rsid w:val="00E0350D"/>
    <w:rsid w:val="00E10209"/>
    <w:rsid w:val="00E10956"/>
    <w:rsid w:val="00E11E5D"/>
    <w:rsid w:val="00E129D5"/>
    <w:rsid w:val="00E1328C"/>
    <w:rsid w:val="00E14B95"/>
    <w:rsid w:val="00E16361"/>
    <w:rsid w:val="00E16C2B"/>
    <w:rsid w:val="00E249BA"/>
    <w:rsid w:val="00E31095"/>
    <w:rsid w:val="00E31BBB"/>
    <w:rsid w:val="00E45392"/>
    <w:rsid w:val="00E47E82"/>
    <w:rsid w:val="00E52CEC"/>
    <w:rsid w:val="00E52FF2"/>
    <w:rsid w:val="00E53204"/>
    <w:rsid w:val="00E5366B"/>
    <w:rsid w:val="00E55E15"/>
    <w:rsid w:val="00E60646"/>
    <w:rsid w:val="00E6094B"/>
    <w:rsid w:val="00E622EF"/>
    <w:rsid w:val="00E62BD9"/>
    <w:rsid w:val="00E63648"/>
    <w:rsid w:val="00E64C33"/>
    <w:rsid w:val="00E70668"/>
    <w:rsid w:val="00E7570C"/>
    <w:rsid w:val="00E75818"/>
    <w:rsid w:val="00E77DD8"/>
    <w:rsid w:val="00E8116D"/>
    <w:rsid w:val="00E82C46"/>
    <w:rsid w:val="00E8581B"/>
    <w:rsid w:val="00E9055C"/>
    <w:rsid w:val="00E9648D"/>
    <w:rsid w:val="00E96E1C"/>
    <w:rsid w:val="00EA0994"/>
    <w:rsid w:val="00EA16CB"/>
    <w:rsid w:val="00EA2FA4"/>
    <w:rsid w:val="00EB72AE"/>
    <w:rsid w:val="00EC042E"/>
    <w:rsid w:val="00EC21E9"/>
    <w:rsid w:val="00EC42C0"/>
    <w:rsid w:val="00EC7A2F"/>
    <w:rsid w:val="00EC7D3C"/>
    <w:rsid w:val="00EC7EB2"/>
    <w:rsid w:val="00EC7F5A"/>
    <w:rsid w:val="00ED0149"/>
    <w:rsid w:val="00ED279E"/>
    <w:rsid w:val="00ED2A8B"/>
    <w:rsid w:val="00ED2E92"/>
    <w:rsid w:val="00ED603C"/>
    <w:rsid w:val="00ED79B0"/>
    <w:rsid w:val="00EE07A5"/>
    <w:rsid w:val="00EE1566"/>
    <w:rsid w:val="00EE32E7"/>
    <w:rsid w:val="00EE51E8"/>
    <w:rsid w:val="00EE5FEC"/>
    <w:rsid w:val="00EE79E0"/>
    <w:rsid w:val="00EF04DF"/>
    <w:rsid w:val="00EF0E47"/>
    <w:rsid w:val="00EF350F"/>
    <w:rsid w:val="00EF4F89"/>
    <w:rsid w:val="00EF60B5"/>
    <w:rsid w:val="00F01E09"/>
    <w:rsid w:val="00F05186"/>
    <w:rsid w:val="00F06AB3"/>
    <w:rsid w:val="00F10D22"/>
    <w:rsid w:val="00F12479"/>
    <w:rsid w:val="00F12D28"/>
    <w:rsid w:val="00F144A7"/>
    <w:rsid w:val="00F1789E"/>
    <w:rsid w:val="00F20940"/>
    <w:rsid w:val="00F214C9"/>
    <w:rsid w:val="00F22D41"/>
    <w:rsid w:val="00F304C1"/>
    <w:rsid w:val="00F31DE1"/>
    <w:rsid w:val="00F402BD"/>
    <w:rsid w:val="00F43171"/>
    <w:rsid w:val="00F43AB6"/>
    <w:rsid w:val="00F45549"/>
    <w:rsid w:val="00F45B71"/>
    <w:rsid w:val="00F460A5"/>
    <w:rsid w:val="00F46BB3"/>
    <w:rsid w:val="00F47190"/>
    <w:rsid w:val="00F50BE1"/>
    <w:rsid w:val="00F554C3"/>
    <w:rsid w:val="00F562E3"/>
    <w:rsid w:val="00F568ED"/>
    <w:rsid w:val="00F63339"/>
    <w:rsid w:val="00F63D91"/>
    <w:rsid w:val="00F66040"/>
    <w:rsid w:val="00F66166"/>
    <w:rsid w:val="00F66E07"/>
    <w:rsid w:val="00F75503"/>
    <w:rsid w:val="00F7683A"/>
    <w:rsid w:val="00F829DA"/>
    <w:rsid w:val="00F8366B"/>
    <w:rsid w:val="00F87568"/>
    <w:rsid w:val="00F90F64"/>
    <w:rsid w:val="00F93BFB"/>
    <w:rsid w:val="00F950DE"/>
    <w:rsid w:val="00FA16EA"/>
    <w:rsid w:val="00FA4C97"/>
    <w:rsid w:val="00FA52E1"/>
    <w:rsid w:val="00FA7CB0"/>
    <w:rsid w:val="00FB036A"/>
    <w:rsid w:val="00FB1C26"/>
    <w:rsid w:val="00FB46BB"/>
    <w:rsid w:val="00FC2DF9"/>
    <w:rsid w:val="00FC50BB"/>
    <w:rsid w:val="00FD0077"/>
    <w:rsid w:val="00FD0374"/>
    <w:rsid w:val="00FD17D3"/>
    <w:rsid w:val="00FD203B"/>
    <w:rsid w:val="00FD6162"/>
    <w:rsid w:val="00FD62FE"/>
    <w:rsid w:val="00FD7DC3"/>
    <w:rsid w:val="00FE0442"/>
    <w:rsid w:val="00FE2035"/>
    <w:rsid w:val="00FE3DF2"/>
    <w:rsid w:val="00FF32DD"/>
    <w:rsid w:val="00FF5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table" w:styleId="TableGrid">
    <w:name w:val="Table Grid"/>
    <w:basedOn w:val="TableNormal"/>
    <w:rsid w:val="005C2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1BBB"/>
    <w:pPr>
      <w:spacing w:line="360" w:lineRule="auto"/>
      <w:jc w:val="both"/>
    </w:pPr>
    <w:rPr>
      <w:sz w:val="26"/>
    </w:rPr>
  </w:style>
  <w:style w:type="character" w:customStyle="1" w:styleId="BodyTextChar">
    <w:name w:val="Body Text Char"/>
    <w:basedOn w:val="DefaultParagraphFont"/>
    <w:link w:val="BodyText"/>
    <w:rsid w:val="00E31BBB"/>
    <w:rPr>
      <w:sz w:val="26"/>
    </w:rPr>
  </w:style>
  <w:style w:type="paragraph" w:styleId="Header">
    <w:name w:val="header"/>
    <w:basedOn w:val="Normal"/>
    <w:link w:val="HeaderChar"/>
    <w:rsid w:val="002F58D2"/>
    <w:pPr>
      <w:tabs>
        <w:tab w:val="center" w:pos="4680"/>
        <w:tab w:val="right" w:pos="9360"/>
      </w:tabs>
    </w:pPr>
  </w:style>
  <w:style w:type="character" w:customStyle="1" w:styleId="HeaderChar">
    <w:name w:val="Header Char"/>
    <w:basedOn w:val="DefaultParagraphFont"/>
    <w:link w:val="Header"/>
    <w:rsid w:val="002F58D2"/>
  </w:style>
  <w:style w:type="character" w:customStyle="1" w:styleId="FooterChar">
    <w:name w:val="Footer Char"/>
    <w:basedOn w:val="DefaultParagraphFont"/>
    <w:link w:val="Footer"/>
    <w:uiPriority w:val="99"/>
    <w:rsid w:val="002F58D2"/>
  </w:style>
  <w:style w:type="character" w:styleId="Hyperlink">
    <w:name w:val="Hyperlink"/>
    <w:basedOn w:val="DefaultParagraphFont"/>
    <w:uiPriority w:val="99"/>
    <w:unhideWhenUsed/>
    <w:rsid w:val="0044227C"/>
    <w:rPr>
      <w:color w:val="0000FF"/>
      <w:u w:val="single"/>
    </w:rPr>
  </w:style>
</w:styles>
</file>

<file path=word/webSettings.xml><?xml version="1.0" encoding="utf-8"?>
<w:webSettings xmlns:r="http://schemas.openxmlformats.org/officeDocument/2006/relationships" xmlns:w="http://schemas.openxmlformats.org/wordprocessingml/2006/main">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81bbe3242672e17006d48aa4b5f4b657&amp;_xfercite=%3ccite%20cc%3d%22USA%22%3e%3c%21%5bCDATA%5b501%20Pa.%20433%5d%5d%3e%3c%2fcite%3e&amp;_butType=4&amp;_butStat=0&amp;_butNum=10&amp;_butInline=1&amp;_butinfo=66%20PA.C.S.%20332&amp;_fmtstr=FULL&amp;docnum=1&amp;_startdoc=1&amp;wchp=dGLzVzb-zSkAl&amp;_md5=ba6941a4b748a9d17aa72b4b8943d7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90B23-29D1-48F1-B427-60FDAE80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12271</CharactersWithSpaces>
  <SharedDoc>false</SharedDoc>
  <HLinks>
    <vt:vector size="6" baseType="variant">
      <vt:variant>
        <vt:i4>3473524</vt:i4>
      </vt:variant>
      <vt:variant>
        <vt:i4>0</vt:i4>
      </vt:variant>
      <vt:variant>
        <vt:i4>0</vt:i4>
      </vt:variant>
      <vt:variant>
        <vt:i4>5</vt:i4>
      </vt:variant>
      <vt:variant>
        <vt:lpwstr>https://www.lexis.com/research/buttonTFLink?_m=81bbe3242672e17006d48aa4b5f4b657&amp;_xfercite=%3ccite%20cc%3d%22USA%22%3e%3c%21%5bCDATA%5b501%20Pa.%20433%5d%5d%3e%3c%2fcite%3e&amp;_butType=4&amp;_butStat=0&amp;_butNum=10&amp;_butInline=1&amp;_butinfo=66%20PA.C.S.%20332&amp;_fmtstr=FULL&amp;docnum=1&amp;_startdoc=1&amp;wchp=dGLzVzb-zSkAl&amp;_md5=ba6941a4b748a9d17aa72b4b8943d749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Kim</dc:creator>
  <cp:keywords/>
  <cp:lastModifiedBy>shoffner</cp:lastModifiedBy>
  <cp:revision>4</cp:revision>
  <cp:lastPrinted>2010-10-26T15:05:00Z</cp:lastPrinted>
  <dcterms:created xsi:type="dcterms:W3CDTF">2010-10-26T16:10:00Z</dcterms:created>
  <dcterms:modified xsi:type="dcterms:W3CDTF">2010-11-04T12:22:00Z</dcterms:modified>
</cp:coreProperties>
</file>