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B20840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B20840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19, 2010</w:t>
      </w:r>
    </w:p>
    <w:p w:rsidR="00EF7864" w:rsidRDefault="00B20840" w:rsidP="00EF7864">
      <w:pPr>
        <w:ind w:left="7920" w:right="720"/>
        <w:jc w:val="both"/>
        <w:rPr>
          <w:rFonts w:ascii="Courier New" w:hAnsi="Courier New"/>
          <w:sz w:val="24"/>
        </w:rPr>
      </w:pPr>
      <w:r w:rsidRPr="00B20840">
        <w:rPr>
          <w:rFonts w:ascii="Courier New" w:hAnsi="Courier New"/>
          <w:sz w:val="24"/>
        </w:rPr>
        <w:t>U-2010-2205116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B2084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B20840" w:rsidRDefault="00B2084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B20840" w:rsidRDefault="00B2084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B20840" w:rsidRPr="005719E5" w:rsidRDefault="00B20840">
      <w:pPr>
        <w:ind w:left="432" w:right="720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ALLENTOWN  PA</w:t>
      </w:r>
      <w:proofErr w:type="gramEnd"/>
      <w:r>
        <w:rPr>
          <w:rFonts w:ascii="Courier New" w:hAnsi="Courier New"/>
          <w:sz w:val="24"/>
        </w:rPr>
        <w:t xml:space="preserve">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B20840">
      <w:pPr>
        <w:ind w:left="432" w:right="720"/>
        <w:jc w:val="both"/>
        <w:rPr>
          <w:rFonts w:ascii="Courier New" w:hAnsi="Courier New"/>
          <w:sz w:val="24"/>
        </w:rPr>
      </w:pPr>
      <w:r w:rsidRPr="00B20840">
        <w:rPr>
          <w:rFonts w:ascii="Courier New" w:hAnsi="Courier New"/>
          <w:sz w:val="24"/>
        </w:rPr>
        <w:t xml:space="preserve">Agreement dated August 25, 2010 between PPL and Milton Regional Sewer Authority relative with the right and privilege to use a portion of </w:t>
      </w:r>
      <w:r w:rsidR="00D43350">
        <w:rPr>
          <w:rFonts w:ascii="Courier New" w:hAnsi="Courier New"/>
          <w:sz w:val="24"/>
        </w:rPr>
        <w:t>PPL Electric’s Milton-Lycoming line right of way.</w:t>
      </w:r>
    </w:p>
    <w:p w:rsidR="00D43350" w:rsidRDefault="00D43350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B20840">
        <w:rPr>
          <w:rFonts w:ascii="Courier New" w:hAnsi="Courier New"/>
          <w:b/>
          <w:sz w:val="24"/>
        </w:rPr>
        <w:t xml:space="preserve">Township of </w:t>
      </w:r>
      <w:proofErr w:type="spellStart"/>
      <w:r w:rsidR="00B20840">
        <w:rPr>
          <w:rFonts w:ascii="Courier New" w:hAnsi="Courier New"/>
          <w:b/>
          <w:sz w:val="24"/>
        </w:rPr>
        <w:t>Chillisquaque</w:t>
      </w:r>
      <w:proofErr w:type="spell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B20840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mh</w:t>
      </w:r>
      <w:proofErr w:type="spellEnd"/>
      <w:proofErr w:type="gramEnd"/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encls</w:t>
      </w:r>
      <w:proofErr w:type="spellEnd"/>
      <w:proofErr w:type="gram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proofErr w:type="spellStart"/>
      <w:r>
        <w:rPr>
          <w:rFonts w:ascii="Courier New" w:hAnsi="Courier New"/>
          <w:b/>
          <w:sz w:val="24"/>
        </w:rPr>
        <w:t>cert.mail</w:t>
      </w:r>
      <w:proofErr w:type="spellEnd"/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89" w:rsidRDefault="00051289">
      <w:r>
        <w:separator/>
      </w:r>
    </w:p>
  </w:endnote>
  <w:endnote w:type="continuationSeparator" w:id="0">
    <w:p w:rsidR="00051289" w:rsidRDefault="0005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89" w:rsidRDefault="00051289">
      <w:r>
        <w:separator/>
      </w:r>
    </w:p>
  </w:footnote>
  <w:footnote w:type="continuationSeparator" w:id="0">
    <w:p w:rsidR="00051289" w:rsidRDefault="00051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51289"/>
    <w:rsid w:val="000E2ED8"/>
    <w:rsid w:val="004A0012"/>
    <w:rsid w:val="00562155"/>
    <w:rsid w:val="005719E5"/>
    <w:rsid w:val="005A14DF"/>
    <w:rsid w:val="00777E83"/>
    <w:rsid w:val="009832F1"/>
    <w:rsid w:val="009858C5"/>
    <w:rsid w:val="00B20840"/>
    <w:rsid w:val="00B62445"/>
    <w:rsid w:val="00D43350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DEAD-5561-491B-A83A-D737E88E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2010-11-09T14:26:00Z</cp:lastPrinted>
  <dcterms:created xsi:type="dcterms:W3CDTF">2010-11-09T14:27:00Z</dcterms:created>
  <dcterms:modified xsi:type="dcterms:W3CDTF">2010-11-09T14:27:00Z</dcterms:modified>
</cp:coreProperties>
</file>