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A23DF" w:rsidRDefault="00636DB8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P</w:t>
      </w:r>
      <w:r w:rsidR="00141506" w:rsidRPr="009A23DF">
        <w:rPr>
          <w:rFonts w:ascii="Times New Roman" w:hAnsi="Times New Roman"/>
          <w:b/>
          <w:spacing w:val="-3"/>
          <w:szCs w:val="24"/>
        </w:rPr>
        <w:t xml:space="preserve">ENNSYLVANIA </w:t>
      </w:r>
      <w:r w:rsidR="003E7BB4" w:rsidRPr="009A23DF">
        <w:rPr>
          <w:rFonts w:ascii="Times New Roman" w:hAnsi="Times New Roman"/>
          <w:b/>
          <w:spacing w:val="-3"/>
          <w:szCs w:val="24"/>
        </w:rPr>
        <w:fldChar w:fldCharType="begin"/>
      </w:r>
      <w:r w:rsidR="00141506" w:rsidRPr="009A23D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3E7BB4" w:rsidRPr="009A23D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23D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A23D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23D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9A23DF" w:rsidRDefault="009A23DF" w:rsidP="002329CC">
      <w:pPr>
        <w:rPr>
          <w:rFonts w:ascii="Times New Roman" w:hAnsi="Times New Roman"/>
          <w:szCs w:val="24"/>
        </w:rPr>
      </w:pP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Petition of Duquesne Light Company</w:t>
      </w:r>
      <w:r w:rsidRPr="0028764F">
        <w:rPr>
          <w:rFonts w:ascii="Times New Roman" w:hAnsi="Times New Roman"/>
        </w:rPr>
        <w:tab/>
      </w:r>
      <w:r w:rsidRPr="0028764F">
        <w:rPr>
          <w:rFonts w:ascii="Times New Roman" w:hAnsi="Times New Roman"/>
        </w:rPr>
        <w:tab/>
      </w:r>
      <w:r w:rsidRPr="0028764F">
        <w:rPr>
          <w:rFonts w:ascii="Times New Roman" w:hAnsi="Times New Roman"/>
        </w:rPr>
        <w:tab/>
        <w:t>: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To Contest the Finding of Non-Compliance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With the Alternative Energy Portfolio Standards</w:t>
      </w:r>
      <w:r w:rsidRPr="0028764F">
        <w:rPr>
          <w:rFonts w:ascii="Times New Roman" w:hAnsi="Times New Roman"/>
        </w:rPr>
        <w:tab/>
        <w:t>: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Act and Modify the Alternative Compliance</w:t>
      </w:r>
      <w:r w:rsidRPr="0028764F">
        <w:rPr>
          <w:rFonts w:ascii="Times New Roman" w:hAnsi="Times New Roman"/>
        </w:rPr>
        <w:tab/>
      </w:r>
      <w:r w:rsidRPr="0028764F">
        <w:rPr>
          <w:rFonts w:ascii="Times New Roman" w:hAnsi="Times New Roman"/>
        </w:rPr>
        <w:tab/>
        <w:t>:</w:t>
      </w:r>
      <w:r w:rsidRPr="0028764F">
        <w:rPr>
          <w:rFonts w:ascii="Times New Roman" w:hAnsi="Times New Roman"/>
        </w:rPr>
        <w:tab/>
      </w:r>
      <w:r w:rsidRPr="0028764F">
        <w:rPr>
          <w:rFonts w:ascii="Times New Roman" w:hAnsi="Times New Roman"/>
        </w:rPr>
        <w:tab/>
        <w:t>P-2010-2153577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Payment or, in the Alternative, Declare a Force</w:t>
      </w:r>
      <w:r w:rsidRPr="0028764F">
        <w:rPr>
          <w:rFonts w:ascii="Times New Roman" w:hAnsi="Times New Roman"/>
        </w:rPr>
        <w:tab/>
        <w:t>: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 xml:space="preserve">Majeure for Duquesne Light Company for the </w:t>
      </w:r>
      <w:r w:rsidRPr="0028764F">
        <w:rPr>
          <w:rFonts w:ascii="Times New Roman" w:hAnsi="Times New Roman"/>
        </w:rPr>
        <w:tab/>
        <w:t>:</w:t>
      </w:r>
    </w:p>
    <w:p w:rsidR="00F45C48" w:rsidRPr="0028764F" w:rsidRDefault="00F45C48" w:rsidP="00F45C48">
      <w:pPr>
        <w:widowControl w:val="0"/>
        <w:rPr>
          <w:rFonts w:ascii="Times New Roman" w:hAnsi="Times New Roman"/>
        </w:rPr>
      </w:pPr>
      <w:r w:rsidRPr="0028764F">
        <w:rPr>
          <w:rFonts w:ascii="Times New Roman" w:hAnsi="Times New Roman"/>
        </w:rPr>
        <w:t>2008/2009 Alternative Energy Compliance Period</w:t>
      </w:r>
      <w:r w:rsidRPr="0028764F">
        <w:rPr>
          <w:rFonts w:ascii="Times New Roman" w:hAnsi="Times New Roman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23DF" w:rsidRDefault="009A23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27C99" w:rsidRPr="00FB6879" w:rsidRDefault="00227C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 xml:space="preserve">Administrative Law Judge </w:t>
      </w:r>
      <w:r w:rsidR="009A23DF">
        <w:rPr>
          <w:rFonts w:ascii="Times New Roman" w:hAnsi="Times New Roman"/>
          <w:spacing w:val="-3"/>
          <w:szCs w:val="24"/>
        </w:rPr>
        <w:t>Katrina L. Dunderdale</w:t>
      </w:r>
      <w:r w:rsidR="0043571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A23DF">
        <w:rPr>
          <w:rFonts w:ascii="Times New Roman" w:hAnsi="Times New Roman"/>
          <w:spacing w:val="-3"/>
          <w:szCs w:val="24"/>
        </w:rPr>
        <w:t>October 21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23DF" w:rsidRPr="00585BC0" w:rsidRDefault="009A23DF" w:rsidP="009A23DF">
      <w:pPr>
        <w:ind w:firstLine="1440"/>
        <w:jc w:val="both"/>
        <w:rPr>
          <w:rFonts w:ascii="Times New Roman" w:hAnsi="Times New Roman"/>
        </w:rPr>
      </w:pPr>
      <w:r w:rsidRPr="00585BC0">
        <w:rPr>
          <w:rFonts w:ascii="Times New Roman" w:hAnsi="Times New Roman"/>
        </w:rPr>
        <w:t>1.</w:t>
      </w:r>
      <w:r w:rsidRPr="00585BC0">
        <w:rPr>
          <w:rFonts w:ascii="Times New Roman" w:hAnsi="Times New Roman"/>
        </w:rPr>
        <w:tab/>
        <w:t>T</w:t>
      </w:r>
      <w:r>
        <w:rPr>
          <w:rFonts w:ascii="Times New Roman" w:hAnsi="Times New Roman"/>
        </w:rPr>
        <w:t>hat t</w:t>
      </w:r>
      <w:r w:rsidRPr="00585BC0">
        <w:rPr>
          <w:rFonts w:ascii="Times New Roman" w:hAnsi="Times New Roman"/>
        </w:rPr>
        <w:t xml:space="preserve">he Joint </w:t>
      </w:r>
      <w:r>
        <w:rPr>
          <w:rFonts w:ascii="Times New Roman" w:hAnsi="Times New Roman"/>
        </w:rPr>
        <w:t xml:space="preserve">Petition for Settlement between Duquesne Light Company, </w:t>
      </w:r>
      <w:r w:rsidRPr="00585BC0">
        <w:rPr>
          <w:rFonts w:ascii="Times New Roman" w:hAnsi="Times New Roman"/>
        </w:rPr>
        <w:t xml:space="preserve">the Bureau of Conservation, Economics and Energy Planning, and the Law Bureau </w:t>
      </w:r>
      <w:proofErr w:type="spellStart"/>
      <w:r w:rsidRPr="00585BC0">
        <w:rPr>
          <w:rFonts w:ascii="Times New Roman" w:hAnsi="Times New Roman"/>
        </w:rPr>
        <w:t>Prosecutory</w:t>
      </w:r>
      <w:proofErr w:type="spellEnd"/>
      <w:r w:rsidRPr="00585BC0">
        <w:rPr>
          <w:rFonts w:ascii="Times New Roman" w:hAnsi="Times New Roman"/>
        </w:rPr>
        <w:t xml:space="preserve"> Staff, filed on </w:t>
      </w:r>
      <w:r>
        <w:rPr>
          <w:rFonts w:ascii="Times New Roman" w:hAnsi="Times New Roman"/>
        </w:rPr>
        <w:t>October 8, 2010,</w:t>
      </w:r>
      <w:r w:rsidRPr="00585BC0">
        <w:rPr>
          <w:rFonts w:ascii="Times New Roman" w:hAnsi="Times New Roman"/>
        </w:rPr>
        <w:t xml:space="preserve"> is admitted to the record.</w:t>
      </w:r>
    </w:p>
    <w:p w:rsidR="009A23DF" w:rsidRPr="00585BC0" w:rsidRDefault="009A23DF" w:rsidP="009A23DF">
      <w:pPr>
        <w:jc w:val="both"/>
        <w:rPr>
          <w:rFonts w:ascii="Times New Roman" w:hAnsi="Times New Roman"/>
        </w:rPr>
      </w:pPr>
    </w:p>
    <w:p w:rsidR="009A23DF" w:rsidRPr="00585BC0" w:rsidRDefault="009A23DF" w:rsidP="009A23DF">
      <w:pPr>
        <w:jc w:val="both"/>
        <w:rPr>
          <w:rFonts w:ascii="Times New Roman" w:hAnsi="Times New Roman"/>
        </w:rPr>
      </w:pPr>
      <w:r w:rsidRPr="00585BC0">
        <w:rPr>
          <w:rFonts w:ascii="Times New Roman" w:hAnsi="Times New Roman"/>
        </w:rPr>
        <w:tab/>
      </w:r>
      <w:r w:rsidRPr="00585BC0">
        <w:rPr>
          <w:rFonts w:ascii="Times New Roman" w:hAnsi="Times New Roman"/>
        </w:rPr>
        <w:tab/>
        <w:t>2.</w:t>
      </w:r>
      <w:r w:rsidRPr="00585BC0">
        <w:rPr>
          <w:rFonts w:ascii="Times New Roman" w:hAnsi="Times New Roman"/>
        </w:rPr>
        <w:tab/>
        <w:t xml:space="preserve">That the Petition of </w:t>
      </w:r>
      <w:r>
        <w:rPr>
          <w:rFonts w:ascii="Times New Roman" w:hAnsi="Times New Roman"/>
        </w:rPr>
        <w:t>Duquesne Light Company</w:t>
      </w:r>
      <w:r w:rsidRPr="00585BC0">
        <w:rPr>
          <w:rFonts w:ascii="Times New Roman" w:hAnsi="Times New Roman"/>
        </w:rPr>
        <w:t xml:space="preserve"> at Docket Number P-2010-2153</w:t>
      </w:r>
      <w:r>
        <w:rPr>
          <w:rFonts w:ascii="Times New Roman" w:hAnsi="Times New Roman"/>
        </w:rPr>
        <w:t>577</w:t>
      </w:r>
      <w:r w:rsidRPr="00585BC0">
        <w:rPr>
          <w:rFonts w:ascii="Times New Roman" w:hAnsi="Times New Roman"/>
        </w:rPr>
        <w:t xml:space="preserve"> is granted to permit </w:t>
      </w:r>
      <w:r>
        <w:rPr>
          <w:rFonts w:ascii="Times New Roman" w:hAnsi="Times New Roman"/>
        </w:rPr>
        <w:t>Duquesne Light Company</w:t>
      </w:r>
      <w:r w:rsidRPr="00585BC0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reallocate or swap 42,980 Tier I Alternative Energy Credits generated by Cadillac Renewable Energy and purchased by Duquesne Power, on behalf of Duquesne Light Company, for an equal number of eligible Tier I Alternative Energy Credits generated at facilities in Pennsylvania or PJM submitted by a MISO eligible Pennsylvania electric distribution company or electric generation supplier for the 2008/2009 compliance period</w:t>
      </w:r>
      <w:r w:rsidRPr="00585BC0">
        <w:rPr>
          <w:rFonts w:ascii="Times New Roman" w:hAnsi="Times New Roman"/>
        </w:rPr>
        <w:t>.</w:t>
      </w:r>
    </w:p>
    <w:p w:rsidR="009A23DF" w:rsidRPr="00585BC0" w:rsidRDefault="009A23DF" w:rsidP="009A23DF">
      <w:pPr>
        <w:jc w:val="both"/>
        <w:rPr>
          <w:rFonts w:ascii="Times New Roman" w:hAnsi="Times New Roman"/>
        </w:rPr>
      </w:pPr>
    </w:p>
    <w:p w:rsidR="009A23DF" w:rsidRPr="00585BC0" w:rsidRDefault="009A23DF" w:rsidP="009A23DF">
      <w:pPr>
        <w:jc w:val="both"/>
        <w:rPr>
          <w:rFonts w:ascii="Times New Roman" w:hAnsi="Times New Roman"/>
        </w:rPr>
      </w:pPr>
      <w:r w:rsidRPr="00585BC0">
        <w:rPr>
          <w:rFonts w:ascii="Times New Roman" w:hAnsi="Times New Roman"/>
        </w:rPr>
        <w:tab/>
      </w:r>
      <w:r w:rsidRPr="00585BC0">
        <w:rPr>
          <w:rFonts w:ascii="Times New Roman" w:hAnsi="Times New Roman"/>
        </w:rPr>
        <w:tab/>
        <w:t>3.</w:t>
      </w:r>
      <w:r w:rsidRPr="00585BC0">
        <w:rPr>
          <w:rFonts w:ascii="Times New Roman" w:hAnsi="Times New Roman"/>
        </w:rPr>
        <w:tab/>
        <w:t xml:space="preserve">That </w:t>
      </w:r>
      <w:r>
        <w:rPr>
          <w:rFonts w:ascii="Times New Roman" w:hAnsi="Times New Roman"/>
        </w:rPr>
        <w:t>Duquesne Light Company</w:t>
      </w:r>
      <w:r w:rsidRPr="00585B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was compliant for the 2008/2009 Alternative Energy Portfolio Standards Act compliance period</w:t>
      </w:r>
      <w:r w:rsidRPr="00585BC0">
        <w:rPr>
          <w:rFonts w:ascii="Times New Roman" w:hAnsi="Times New Roman"/>
        </w:rPr>
        <w:t>.</w:t>
      </w:r>
    </w:p>
    <w:p w:rsidR="009A23DF" w:rsidRDefault="009A23DF" w:rsidP="009A23DF">
      <w:pPr>
        <w:jc w:val="both"/>
        <w:rPr>
          <w:rFonts w:ascii="Times New Roman" w:hAnsi="Times New Roman"/>
        </w:rPr>
      </w:pPr>
      <w:r w:rsidRPr="00585BC0">
        <w:rPr>
          <w:rFonts w:ascii="Times New Roman" w:hAnsi="Times New Roman"/>
        </w:rPr>
        <w:tab/>
      </w:r>
    </w:p>
    <w:p w:rsidR="009A23DF" w:rsidRDefault="009A23DF" w:rsidP="009A23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85BC0">
        <w:rPr>
          <w:rFonts w:ascii="Times New Roman" w:hAnsi="Times New Roman"/>
        </w:rPr>
        <w:tab/>
      </w:r>
    </w:p>
    <w:p w:rsidR="009A23DF" w:rsidRDefault="009A23D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A23DF" w:rsidRPr="00585BC0" w:rsidRDefault="009A23DF" w:rsidP="009A23DF">
      <w:pPr>
        <w:ind w:firstLine="1440"/>
        <w:jc w:val="both"/>
        <w:rPr>
          <w:rFonts w:ascii="Times New Roman" w:hAnsi="Times New Roman"/>
        </w:rPr>
      </w:pPr>
      <w:r w:rsidRPr="00585BC0">
        <w:rPr>
          <w:rFonts w:ascii="Times New Roman" w:hAnsi="Times New Roman"/>
        </w:rPr>
        <w:lastRenderedPageBreak/>
        <w:t>4.</w:t>
      </w:r>
      <w:r w:rsidRPr="00585BC0">
        <w:rPr>
          <w:rFonts w:ascii="Times New Roman" w:hAnsi="Times New Roman"/>
        </w:rPr>
        <w:tab/>
        <w:t xml:space="preserve">That </w:t>
      </w:r>
      <w:r>
        <w:rPr>
          <w:rFonts w:ascii="Times New Roman" w:hAnsi="Times New Roman"/>
        </w:rPr>
        <w:t xml:space="preserve">the proceeding docketed at P-2010-2153577 shall be marked </w:t>
      </w:r>
      <w:r w:rsidRPr="00585BC0">
        <w:rPr>
          <w:rFonts w:ascii="Times New Roman" w:hAnsi="Times New Roman"/>
        </w:rPr>
        <w:t xml:space="preserve">closed. </w:t>
      </w:r>
    </w:p>
    <w:p w:rsidR="002329CC" w:rsidRDefault="002329CC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6DB8" w:rsidRPr="00B4592A" w:rsidRDefault="00C66CD0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161925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6CD0">
        <w:rPr>
          <w:rFonts w:ascii="Times New Roman" w:hAnsi="Times New Roman"/>
          <w:spacing w:val="-3"/>
          <w:szCs w:val="24"/>
        </w:rPr>
        <w:t>November 19, 2010</w:t>
      </w:r>
    </w:p>
    <w:sectPr w:rsidR="00141506" w:rsidRPr="00FB6879" w:rsidSect="009A23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44" w:rsidRDefault="005C5844">
      <w:pPr>
        <w:spacing w:line="20" w:lineRule="exact"/>
      </w:pPr>
    </w:p>
  </w:endnote>
  <w:endnote w:type="continuationSeparator" w:id="0">
    <w:p w:rsidR="005C5844" w:rsidRDefault="005C5844">
      <w:r>
        <w:t xml:space="preserve"> </w:t>
      </w:r>
    </w:p>
  </w:endnote>
  <w:endnote w:type="continuationNotice" w:id="1">
    <w:p w:rsidR="005C5844" w:rsidRDefault="005C584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44" w:rsidRDefault="005C5844">
      <w:r>
        <w:separator/>
      </w:r>
    </w:p>
  </w:footnote>
  <w:footnote w:type="continuationSeparator" w:id="0">
    <w:p w:rsidR="005C5844" w:rsidRDefault="005C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27C99"/>
    <w:rsid w:val="002329CC"/>
    <w:rsid w:val="0028314C"/>
    <w:rsid w:val="002C620A"/>
    <w:rsid w:val="0031293C"/>
    <w:rsid w:val="00320AB6"/>
    <w:rsid w:val="003566B0"/>
    <w:rsid w:val="003733F0"/>
    <w:rsid w:val="00377AFC"/>
    <w:rsid w:val="003966BE"/>
    <w:rsid w:val="003A2999"/>
    <w:rsid w:val="003C70E8"/>
    <w:rsid w:val="003E7BB4"/>
    <w:rsid w:val="003F37D4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C5844"/>
    <w:rsid w:val="005E5B67"/>
    <w:rsid w:val="00603A23"/>
    <w:rsid w:val="006117E4"/>
    <w:rsid w:val="00633E29"/>
    <w:rsid w:val="00636DB8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412E"/>
    <w:rsid w:val="00817AAD"/>
    <w:rsid w:val="00843775"/>
    <w:rsid w:val="00844956"/>
    <w:rsid w:val="00846484"/>
    <w:rsid w:val="00872B1A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23DF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74D6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F1FEC"/>
    <w:rsid w:val="00C43CD7"/>
    <w:rsid w:val="00C617B4"/>
    <w:rsid w:val="00C66CD0"/>
    <w:rsid w:val="00C92BEA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50D03"/>
    <w:rsid w:val="00D634D0"/>
    <w:rsid w:val="00D65BB6"/>
    <w:rsid w:val="00D83A9F"/>
    <w:rsid w:val="00DA2559"/>
    <w:rsid w:val="00DB393A"/>
    <w:rsid w:val="00DC7770"/>
    <w:rsid w:val="00DD51DC"/>
    <w:rsid w:val="00E2047C"/>
    <w:rsid w:val="00E476A0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36C63"/>
    <w:rsid w:val="00F45C48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C66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6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2010-11-19T15:03:00Z</cp:lastPrinted>
  <dcterms:created xsi:type="dcterms:W3CDTF">2010-11-19T14:29:00Z</dcterms:created>
  <dcterms:modified xsi:type="dcterms:W3CDTF">2010-11-19T15:03:00Z</dcterms:modified>
</cp:coreProperties>
</file>