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5C424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  <w:t>NOVEMBER 23, 2010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DD1F16">
        <w:rPr>
          <w:spacing w:val="-3"/>
        </w:rPr>
        <w:t>2206198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5C424F" w:rsidRDefault="00DD1F1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AMAN &amp; BROTHERS INC</w:t>
      </w:r>
    </w:p>
    <w:p w:rsidR="00DD1F16" w:rsidRDefault="00DD1F1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116 POWELL LANE</w:t>
      </w:r>
    </w:p>
    <w:p w:rsidR="00DD1F16" w:rsidRDefault="00DD1F1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UPPER DARBY PA  19082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DD1F16">
        <w:rPr>
          <w:b/>
          <w:spacing w:val="-3"/>
        </w:rPr>
        <w:t>AMAN &amp; BROTHERS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D85" w:rsidRDefault="00EB1D85">
      <w:pPr>
        <w:spacing w:line="20" w:lineRule="exact"/>
      </w:pPr>
    </w:p>
  </w:endnote>
  <w:endnote w:type="continuationSeparator" w:id="0">
    <w:p w:rsidR="00EB1D85" w:rsidRDefault="00EB1D85">
      <w:r>
        <w:t xml:space="preserve"> </w:t>
      </w:r>
    </w:p>
  </w:endnote>
  <w:endnote w:type="continuationNotice" w:id="1">
    <w:p w:rsidR="00EB1D85" w:rsidRDefault="00EB1D8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D85" w:rsidRDefault="00EB1D85">
      <w:r>
        <w:separator/>
      </w:r>
    </w:p>
  </w:footnote>
  <w:footnote w:type="continuationSeparator" w:id="0">
    <w:p w:rsidR="00EB1D85" w:rsidRDefault="00EB1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24F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D1F16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B1D85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2010-11-23T13:29:00Z</cp:lastPrinted>
  <dcterms:created xsi:type="dcterms:W3CDTF">2010-11-23T13:29:00Z</dcterms:created>
  <dcterms:modified xsi:type="dcterms:W3CDTF">2010-11-23T13:29:00Z</dcterms:modified>
</cp:coreProperties>
</file>