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73" w:rsidRPr="00A54E7F" w:rsidRDefault="00227273" w:rsidP="002A75E9">
      <w:pPr>
        <w:pStyle w:val="Title"/>
      </w:pPr>
      <w:r w:rsidRPr="00A54E7F">
        <w:t>PENNSYLVANIA</w:t>
      </w:r>
    </w:p>
    <w:p w:rsidR="00227273" w:rsidRPr="00A54E7F" w:rsidRDefault="00227273" w:rsidP="002A75E9">
      <w:pPr>
        <w:widowControl/>
        <w:jc w:val="center"/>
        <w:rPr>
          <w:b/>
          <w:sz w:val="26"/>
        </w:rPr>
      </w:pPr>
      <w:r w:rsidRPr="00A54E7F">
        <w:rPr>
          <w:b/>
          <w:sz w:val="26"/>
        </w:rPr>
        <w:t>PUBLIC UTILITY COMMISSION</w:t>
      </w:r>
      <w:r w:rsidRPr="00A54E7F">
        <w:t xml:space="preserve"> </w:t>
      </w:r>
    </w:p>
    <w:p w:rsidR="00227273" w:rsidRPr="00A54E7F" w:rsidRDefault="00227273" w:rsidP="002A75E9">
      <w:pPr>
        <w:widowControl/>
        <w:jc w:val="center"/>
        <w:rPr>
          <w:sz w:val="26"/>
        </w:rPr>
      </w:pPr>
      <w:smartTag w:uri="urn:schemas-microsoft-com:office:smarttags" w:element="place">
        <w:smartTag w:uri="urn:schemas-microsoft-com:office:smarttags" w:element="City">
          <w:r w:rsidRPr="00A54E7F">
            <w:rPr>
              <w:b/>
              <w:sz w:val="26"/>
            </w:rPr>
            <w:t>Harrisburg</w:t>
          </w:r>
        </w:smartTag>
        <w:r w:rsidRPr="00A54E7F">
          <w:rPr>
            <w:b/>
            <w:sz w:val="26"/>
          </w:rPr>
          <w:t xml:space="preserve">, </w:t>
        </w:r>
        <w:smartTag w:uri="urn:schemas-microsoft-com:office:smarttags" w:element="State">
          <w:r w:rsidRPr="00A54E7F">
            <w:rPr>
              <w:b/>
              <w:sz w:val="26"/>
            </w:rPr>
            <w:t>PA</w:t>
          </w:r>
        </w:smartTag>
        <w:r w:rsidRPr="00A54E7F">
          <w:rPr>
            <w:b/>
            <w:sz w:val="26"/>
          </w:rPr>
          <w:t xml:space="preserve"> </w:t>
        </w:r>
        <w:smartTag w:uri="urn:schemas-microsoft-com:office:smarttags" w:element="PostalCode">
          <w:r w:rsidRPr="00A54E7F">
            <w:rPr>
              <w:b/>
              <w:sz w:val="26"/>
            </w:rPr>
            <w:t>17105-3265</w:t>
          </w:r>
        </w:smartTag>
      </w:smartTag>
    </w:p>
    <w:p w:rsidR="00227273" w:rsidRPr="00A54E7F" w:rsidRDefault="00227273" w:rsidP="002A75E9">
      <w:pPr>
        <w:widowControl/>
        <w:jc w:val="center"/>
        <w:rPr>
          <w:sz w:val="26"/>
        </w:rPr>
      </w:pPr>
    </w:p>
    <w:p w:rsidR="00227273" w:rsidRPr="00A54E7F" w:rsidRDefault="00227273" w:rsidP="002A75E9">
      <w:pPr>
        <w:pStyle w:val="Heading5"/>
      </w:pPr>
      <w:r w:rsidRPr="00A54E7F">
        <w:t xml:space="preserve">Public Meeting held </w:t>
      </w:r>
      <w:r w:rsidR="00F84416">
        <w:t>November</w:t>
      </w:r>
      <w:r w:rsidRPr="00A54E7F">
        <w:t xml:space="preserve"> </w:t>
      </w:r>
      <w:r w:rsidR="00F84416">
        <w:t>4</w:t>
      </w:r>
      <w:r w:rsidRPr="00A54E7F">
        <w:t>, 20</w:t>
      </w:r>
      <w:r w:rsidR="00975733">
        <w:t>10</w:t>
      </w:r>
    </w:p>
    <w:p w:rsidR="00227273" w:rsidRPr="00A54E7F" w:rsidRDefault="00227273" w:rsidP="002A75E9">
      <w:pPr>
        <w:widowControl/>
        <w:rPr>
          <w:sz w:val="26"/>
        </w:rPr>
      </w:pPr>
    </w:p>
    <w:p w:rsidR="00D87BE3" w:rsidRPr="00A54E7F" w:rsidRDefault="00D87BE3" w:rsidP="002A75E9">
      <w:pPr>
        <w:widowControl/>
        <w:rPr>
          <w:sz w:val="26"/>
        </w:rPr>
      </w:pPr>
    </w:p>
    <w:p w:rsidR="00227273" w:rsidRPr="00A54E7F" w:rsidRDefault="00227273" w:rsidP="002A75E9">
      <w:pPr>
        <w:widowControl/>
        <w:rPr>
          <w:sz w:val="26"/>
        </w:rPr>
      </w:pPr>
      <w:r w:rsidRPr="00A54E7F">
        <w:rPr>
          <w:sz w:val="26"/>
        </w:rPr>
        <w:t>Commissioners Present:</w:t>
      </w:r>
    </w:p>
    <w:p w:rsidR="00227273" w:rsidRPr="00A54E7F" w:rsidRDefault="00227273" w:rsidP="002A75E9">
      <w:pPr>
        <w:widowControl/>
        <w:tabs>
          <w:tab w:val="left" w:pos="-720"/>
        </w:tabs>
        <w:suppressAutoHyphens/>
        <w:rPr>
          <w:sz w:val="26"/>
        </w:rPr>
      </w:pPr>
    </w:p>
    <w:p w:rsidR="00227273" w:rsidRPr="00A54E7F" w:rsidRDefault="00227273" w:rsidP="002A75E9">
      <w:pPr>
        <w:widowControl/>
        <w:tabs>
          <w:tab w:val="left" w:pos="-720"/>
        </w:tabs>
        <w:suppressAutoHyphens/>
        <w:rPr>
          <w:sz w:val="26"/>
        </w:rPr>
      </w:pPr>
    </w:p>
    <w:p w:rsidR="00227273" w:rsidRPr="00A54E7F" w:rsidRDefault="00227273" w:rsidP="002A75E9">
      <w:pPr>
        <w:widowControl/>
        <w:tabs>
          <w:tab w:val="left" w:pos="-720"/>
        </w:tabs>
        <w:suppressAutoHyphens/>
        <w:rPr>
          <w:sz w:val="26"/>
          <w:szCs w:val="26"/>
        </w:rPr>
      </w:pPr>
      <w:r w:rsidRPr="00A54E7F">
        <w:rPr>
          <w:sz w:val="26"/>
          <w:szCs w:val="26"/>
        </w:rPr>
        <w:tab/>
        <w:t>James H. Cawley, Chairman</w:t>
      </w:r>
    </w:p>
    <w:p w:rsidR="00227273" w:rsidRDefault="00227273" w:rsidP="002A75E9">
      <w:pPr>
        <w:widowControl/>
        <w:tabs>
          <w:tab w:val="left" w:pos="-720"/>
        </w:tabs>
        <w:suppressAutoHyphens/>
        <w:rPr>
          <w:sz w:val="26"/>
          <w:szCs w:val="26"/>
        </w:rPr>
      </w:pPr>
      <w:r w:rsidRPr="00A54E7F">
        <w:rPr>
          <w:sz w:val="26"/>
          <w:szCs w:val="26"/>
        </w:rPr>
        <w:tab/>
        <w:t>Tyrone J. Christy, Vice Chairman</w:t>
      </w:r>
      <w:r w:rsidR="00F33DE4">
        <w:rPr>
          <w:sz w:val="26"/>
          <w:szCs w:val="26"/>
        </w:rPr>
        <w:t>, Statement</w:t>
      </w:r>
    </w:p>
    <w:p w:rsidR="005D7979" w:rsidRPr="00A54E7F" w:rsidRDefault="005D7979" w:rsidP="002A75E9">
      <w:pPr>
        <w:widowControl/>
        <w:tabs>
          <w:tab w:val="left" w:pos="-720"/>
        </w:tabs>
        <w:suppressAutoHyphens/>
        <w:rPr>
          <w:sz w:val="26"/>
          <w:szCs w:val="26"/>
        </w:rPr>
      </w:pPr>
      <w:r>
        <w:rPr>
          <w:sz w:val="26"/>
          <w:szCs w:val="26"/>
        </w:rPr>
        <w:tab/>
        <w:t>John F. Coleman, Jr.</w:t>
      </w:r>
    </w:p>
    <w:p w:rsidR="00227273" w:rsidRPr="00A54E7F" w:rsidRDefault="00227273" w:rsidP="002A75E9">
      <w:pPr>
        <w:widowControl/>
        <w:tabs>
          <w:tab w:val="left" w:pos="-720"/>
        </w:tabs>
        <w:suppressAutoHyphens/>
        <w:rPr>
          <w:sz w:val="26"/>
          <w:szCs w:val="26"/>
        </w:rPr>
      </w:pPr>
      <w:r w:rsidRPr="00A54E7F">
        <w:rPr>
          <w:sz w:val="26"/>
          <w:szCs w:val="26"/>
        </w:rPr>
        <w:tab/>
        <w:t>Wayne E. Gardner</w:t>
      </w:r>
    </w:p>
    <w:p w:rsidR="00227273" w:rsidRPr="00A54E7F" w:rsidRDefault="00227273" w:rsidP="002A75E9">
      <w:pPr>
        <w:widowControl/>
        <w:tabs>
          <w:tab w:val="left" w:pos="-720"/>
        </w:tabs>
        <w:suppressAutoHyphens/>
        <w:ind w:firstLine="720"/>
        <w:rPr>
          <w:sz w:val="26"/>
          <w:szCs w:val="26"/>
        </w:rPr>
      </w:pPr>
      <w:r w:rsidRPr="00A54E7F">
        <w:rPr>
          <w:sz w:val="26"/>
          <w:szCs w:val="26"/>
        </w:rPr>
        <w:t>Robert F. Powelson</w:t>
      </w:r>
    </w:p>
    <w:p w:rsidR="00227273" w:rsidRPr="00A54E7F" w:rsidRDefault="00227273" w:rsidP="002A75E9">
      <w:pPr>
        <w:widowControl/>
        <w:tabs>
          <w:tab w:val="left" w:pos="-720"/>
        </w:tabs>
        <w:suppressAutoHyphens/>
        <w:rPr>
          <w:sz w:val="26"/>
          <w:szCs w:val="26"/>
        </w:rPr>
      </w:pPr>
    </w:p>
    <w:p w:rsidR="00227273" w:rsidRPr="00A54E7F" w:rsidRDefault="00227273" w:rsidP="002A75E9">
      <w:pPr>
        <w:widowControl/>
        <w:rPr>
          <w:sz w:val="26"/>
        </w:rPr>
      </w:pPr>
    </w:p>
    <w:p w:rsidR="00EB1C41" w:rsidRPr="00A54E7F" w:rsidRDefault="00EB1C41" w:rsidP="002A75E9">
      <w:pPr>
        <w:widowControl/>
        <w:rPr>
          <w:sz w:val="26"/>
        </w:rPr>
      </w:pPr>
    </w:p>
    <w:tbl>
      <w:tblPr>
        <w:tblW w:w="9516" w:type="dxa"/>
        <w:tblLook w:val="01E0"/>
      </w:tblPr>
      <w:tblGrid>
        <w:gridCol w:w="5508"/>
        <w:gridCol w:w="4008"/>
      </w:tblGrid>
      <w:tr w:rsidR="00227273" w:rsidRPr="00A54E7F" w:rsidTr="000F12AF">
        <w:tc>
          <w:tcPr>
            <w:tcW w:w="5508" w:type="dxa"/>
          </w:tcPr>
          <w:p w:rsidR="00227273" w:rsidRDefault="00F84416" w:rsidP="00F84416">
            <w:pPr>
              <w:widowControl/>
              <w:rPr>
                <w:sz w:val="26"/>
                <w:szCs w:val="26"/>
              </w:rPr>
            </w:pPr>
            <w:r>
              <w:rPr>
                <w:sz w:val="26"/>
                <w:szCs w:val="26"/>
              </w:rPr>
              <w:t>Pennsylvania Public Utility Commission</w:t>
            </w:r>
          </w:p>
          <w:p w:rsidR="00F84416" w:rsidRDefault="00F84416" w:rsidP="00AD1848">
            <w:pPr>
              <w:widowControl/>
              <w:ind w:right="-4098"/>
              <w:rPr>
                <w:sz w:val="26"/>
                <w:szCs w:val="26"/>
              </w:rPr>
            </w:pPr>
            <w:r>
              <w:rPr>
                <w:sz w:val="26"/>
                <w:szCs w:val="26"/>
              </w:rPr>
              <w:t>Office of Consumer Advocate</w:t>
            </w:r>
            <w:r w:rsidR="00AD1848">
              <w:rPr>
                <w:sz w:val="26"/>
                <w:szCs w:val="26"/>
              </w:rPr>
              <w:t xml:space="preserve">      </w:t>
            </w:r>
            <w:r w:rsidR="009E4994">
              <w:rPr>
                <w:sz w:val="26"/>
                <w:szCs w:val="26"/>
              </w:rPr>
              <w:t xml:space="preserve"> </w:t>
            </w:r>
          </w:p>
          <w:p w:rsidR="00F84416" w:rsidRDefault="00F84416" w:rsidP="00F84416">
            <w:pPr>
              <w:widowControl/>
              <w:rPr>
                <w:sz w:val="26"/>
                <w:szCs w:val="26"/>
              </w:rPr>
            </w:pPr>
            <w:r>
              <w:rPr>
                <w:sz w:val="26"/>
                <w:szCs w:val="26"/>
              </w:rPr>
              <w:t>Office of Small Business Advocate</w:t>
            </w:r>
          </w:p>
          <w:p w:rsidR="00F84416" w:rsidRDefault="00F84416" w:rsidP="00F84416">
            <w:pPr>
              <w:widowControl/>
              <w:rPr>
                <w:sz w:val="26"/>
                <w:szCs w:val="26"/>
              </w:rPr>
            </w:pPr>
            <w:r>
              <w:rPr>
                <w:sz w:val="26"/>
                <w:szCs w:val="26"/>
              </w:rPr>
              <w:t xml:space="preserve">Craig </w:t>
            </w:r>
            <w:proofErr w:type="spellStart"/>
            <w:r>
              <w:rPr>
                <w:sz w:val="26"/>
                <w:szCs w:val="26"/>
              </w:rPr>
              <w:t>Karchner</w:t>
            </w:r>
            <w:proofErr w:type="spellEnd"/>
          </w:p>
          <w:p w:rsidR="00F84416" w:rsidRDefault="00F84416" w:rsidP="00F84416">
            <w:pPr>
              <w:widowControl/>
              <w:rPr>
                <w:sz w:val="26"/>
                <w:szCs w:val="26"/>
              </w:rPr>
            </w:pPr>
            <w:r>
              <w:rPr>
                <w:sz w:val="26"/>
                <w:szCs w:val="26"/>
              </w:rPr>
              <w:t xml:space="preserve">Brian </w:t>
            </w:r>
            <w:proofErr w:type="spellStart"/>
            <w:r>
              <w:rPr>
                <w:sz w:val="26"/>
                <w:szCs w:val="26"/>
              </w:rPr>
              <w:t>Yahner</w:t>
            </w:r>
            <w:proofErr w:type="spellEnd"/>
          </w:p>
          <w:p w:rsidR="00F84416" w:rsidRDefault="00F84416" w:rsidP="00F84416">
            <w:pPr>
              <w:widowControl/>
              <w:rPr>
                <w:sz w:val="26"/>
                <w:szCs w:val="26"/>
              </w:rPr>
            </w:pPr>
          </w:p>
          <w:p w:rsidR="00130EBD" w:rsidRDefault="00130EBD" w:rsidP="00F84416">
            <w:pPr>
              <w:widowControl/>
              <w:rPr>
                <w:sz w:val="26"/>
                <w:szCs w:val="26"/>
              </w:rPr>
            </w:pPr>
            <w:r>
              <w:rPr>
                <w:sz w:val="26"/>
                <w:szCs w:val="26"/>
              </w:rPr>
              <w:t xml:space="preserve">            </w:t>
            </w:r>
            <w:proofErr w:type="gramStart"/>
            <w:r>
              <w:rPr>
                <w:sz w:val="26"/>
                <w:szCs w:val="26"/>
              </w:rPr>
              <w:t>v</w:t>
            </w:r>
            <w:proofErr w:type="gramEnd"/>
            <w:r>
              <w:rPr>
                <w:sz w:val="26"/>
                <w:szCs w:val="26"/>
              </w:rPr>
              <w:t>.</w:t>
            </w:r>
          </w:p>
          <w:p w:rsidR="00130EBD" w:rsidRDefault="00130EBD" w:rsidP="00F84416">
            <w:pPr>
              <w:widowControl/>
              <w:rPr>
                <w:sz w:val="26"/>
                <w:szCs w:val="26"/>
              </w:rPr>
            </w:pPr>
          </w:p>
          <w:p w:rsidR="00130EBD" w:rsidRDefault="00130EBD" w:rsidP="00F84416">
            <w:pPr>
              <w:widowControl/>
              <w:rPr>
                <w:sz w:val="26"/>
                <w:szCs w:val="26"/>
              </w:rPr>
            </w:pPr>
            <w:r>
              <w:rPr>
                <w:sz w:val="26"/>
                <w:szCs w:val="26"/>
              </w:rPr>
              <w:t>UGI Utilities, Inc. – Gas Division 1307(f)</w:t>
            </w:r>
          </w:p>
          <w:p w:rsidR="00130EBD" w:rsidRPr="00A54E7F" w:rsidRDefault="00130EBD" w:rsidP="00F84416">
            <w:pPr>
              <w:widowControl/>
              <w:rPr>
                <w:sz w:val="26"/>
                <w:szCs w:val="26"/>
              </w:rPr>
            </w:pPr>
          </w:p>
        </w:tc>
        <w:tc>
          <w:tcPr>
            <w:tcW w:w="4008" w:type="dxa"/>
          </w:tcPr>
          <w:p w:rsidR="00227273" w:rsidRDefault="00F84416" w:rsidP="009E4994">
            <w:pPr>
              <w:widowControl/>
              <w:ind w:left="-18" w:firstLine="18"/>
              <w:jc w:val="right"/>
              <w:rPr>
                <w:sz w:val="26"/>
                <w:szCs w:val="26"/>
              </w:rPr>
            </w:pPr>
            <w:r>
              <w:rPr>
                <w:sz w:val="26"/>
                <w:szCs w:val="26"/>
              </w:rPr>
              <w:t>R</w:t>
            </w:r>
            <w:r w:rsidR="00227273" w:rsidRPr="00A54E7F">
              <w:rPr>
                <w:sz w:val="26"/>
                <w:szCs w:val="26"/>
              </w:rPr>
              <w:t>-20</w:t>
            </w:r>
            <w:r w:rsidR="00450455">
              <w:rPr>
                <w:sz w:val="26"/>
                <w:szCs w:val="26"/>
              </w:rPr>
              <w:t>10</w:t>
            </w:r>
            <w:r w:rsidR="00227273" w:rsidRPr="00A54E7F">
              <w:rPr>
                <w:sz w:val="26"/>
                <w:szCs w:val="26"/>
              </w:rPr>
              <w:t>-2</w:t>
            </w:r>
            <w:r w:rsidR="00450455">
              <w:rPr>
                <w:sz w:val="26"/>
                <w:szCs w:val="26"/>
              </w:rPr>
              <w:t>1</w:t>
            </w:r>
            <w:r>
              <w:rPr>
                <w:sz w:val="26"/>
                <w:szCs w:val="26"/>
              </w:rPr>
              <w:t>72933</w:t>
            </w:r>
          </w:p>
          <w:p w:rsidR="000F12AF" w:rsidRDefault="000F12AF" w:rsidP="009E4994">
            <w:pPr>
              <w:widowControl/>
              <w:ind w:left="-18" w:firstLine="18"/>
              <w:jc w:val="right"/>
              <w:rPr>
                <w:sz w:val="26"/>
                <w:szCs w:val="26"/>
              </w:rPr>
            </w:pPr>
            <w:r>
              <w:rPr>
                <w:sz w:val="26"/>
                <w:szCs w:val="26"/>
              </w:rPr>
              <w:t>C-2010-2175547</w:t>
            </w:r>
          </w:p>
          <w:p w:rsidR="000F12AF" w:rsidRDefault="000F12AF" w:rsidP="009E4994">
            <w:pPr>
              <w:widowControl/>
              <w:ind w:left="-18" w:firstLine="18"/>
              <w:jc w:val="right"/>
              <w:rPr>
                <w:sz w:val="26"/>
                <w:szCs w:val="26"/>
              </w:rPr>
            </w:pPr>
            <w:r>
              <w:rPr>
                <w:sz w:val="26"/>
                <w:szCs w:val="26"/>
              </w:rPr>
              <w:t>C-2010-2181712</w:t>
            </w:r>
          </w:p>
          <w:p w:rsidR="000F12AF" w:rsidRDefault="000F12AF" w:rsidP="009E4994">
            <w:pPr>
              <w:widowControl/>
              <w:ind w:left="-18" w:firstLine="18"/>
              <w:jc w:val="right"/>
              <w:rPr>
                <w:sz w:val="26"/>
                <w:szCs w:val="26"/>
              </w:rPr>
            </w:pPr>
            <w:r>
              <w:rPr>
                <w:sz w:val="26"/>
                <w:szCs w:val="26"/>
              </w:rPr>
              <w:t>C-2010-2183642</w:t>
            </w:r>
          </w:p>
          <w:p w:rsidR="000F12AF" w:rsidRPr="00A54E7F" w:rsidRDefault="000F12AF" w:rsidP="009E4994">
            <w:pPr>
              <w:widowControl/>
              <w:ind w:left="-18" w:firstLine="18"/>
              <w:jc w:val="right"/>
              <w:rPr>
                <w:sz w:val="26"/>
                <w:szCs w:val="26"/>
              </w:rPr>
            </w:pPr>
            <w:r>
              <w:rPr>
                <w:sz w:val="26"/>
                <w:szCs w:val="26"/>
              </w:rPr>
              <w:t>C-2010-2183540</w:t>
            </w:r>
          </w:p>
        </w:tc>
      </w:tr>
    </w:tbl>
    <w:p w:rsidR="00227273" w:rsidRPr="00A54E7F" w:rsidRDefault="00227273" w:rsidP="002A75E9">
      <w:pPr>
        <w:widowControl/>
        <w:rPr>
          <w:sz w:val="26"/>
        </w:rPr>
      </w:pPr>
    </w:p>
    <w:p w:rsidR="00227273" w:rsidRPr="00A54E7F" w:rsidRDefault="00227273" w:rsidP="002A75E9">
      <w:pPr>
        <w:widowControl/>
        <w:jc w:val="center"/>
        <w:rPr>
          <w:b/>
          <w:sz w:val="26"/>
        </w:rPr>
      </w:pPr>
      <w:r w:rsidRPr="00A54E7F">
        <w:rPr>
          <w:b/>
          <w:sz w:val="26"/>
        </w:rPr>
        <w:t>OPINION AND ORDER</w:t>
      </w:r>
    </w:p>
    <w:p w:rsidR="00227273" w:rsidRPr="00A54E7F" w:rsidRDefault="00227273" w:rsidP="002A75E9">
      <w:pPr>
        <w:widowControl/>
        <w:spacing w:line="360" w:lineRule="auto"/>
        <w:jc w:val="center"/>
        <w:rPr>
          <w:b/>
          <w:sz w:val="26"/>
        </w:rPr>
      </w:pPr>
    </w:p>
    <w:p w:rsidR="00D87BE3" w:rsidRPr="00A54E7F" w:rsidRDefault="00D87BE3" w:rsidP="002A75E9">
      <w:pPr>
        <w:widowControl/>
        <w:spacing w:line="360" w:lineRule="auto"/>
        <w:jc w:val="center"/>
        <w:rPr>
          <w:b/>
          <w:sz w:val="26"/>
        </w:rPr>
      </w:pPr>
    </w:p>
    <w:p w:rsidR="00227273" w:rsidRPr="00A54E7F" w:rsidRDefault="00227273" w:rsidP="00EC0AA7">
      <w:pPr>
        <w:widowControl/>
        <w:spacing w:line="360" w:lineRule="auto"/>
        <w:rPr>
          <w:b/>
          <w:sz w:val="26"/>
        </w:rPr>
      </w:pPr>
      <w:r w:rsidRPr="00A54E7F">
        <w:rPr>
          <w:b/>
          <w:sz w:val="26"/>
        </w:rPr>
        <w:t>BY THE COMMISSION:</w:t>
      </w:r>
    </w:p>
    <w:p w:rsidR="005926AE" w:rsidRPr="00A54E7F" w:rsidRDefault="005926AE" w:rsidP="00EC0AA7">
      <w:pPr>
        <w:widowControl/>
        <w:spacing w:line="360" w:lineRule="auto"/>
      </w:pPr>
    </w:p>
    <w:p w:rsidR="00A84419" w:rsidRDefault="003B7747" w:rsidP="00A84419">
      <w:pPr>
        <w:widowControl/>
        <w:spacing w:line="360" w:lineRule="auto"/>
        <w:rPr>
          <w:sz w:val="26"/>
          <w:szCs w:val="26"/>
        </w:rPr>
      </w:pPr>
      <w:r w:rsidRPr="00A54E7F">
        <w:tab/>
      </w:r>
      <w:r w:rsidRPr="00A54E7F">
        <w:tab/>
      </w:r>
      <w:r w:rsidRPr="00A54E7F">
        <w:rPr>
          <w:sz w:val="26"/>
          <w:szCs w:val="26"/>
        </w:rPr>
        <w:t xml:space="preserve">Before the </w:t>
      </w:r>
      <w:r w:rsidR="000F5BDE" w:rsidRPr="00C84787">
        <w:rPr>
          <w:sz w:val="26"/>
          <w:szCs w:val="26"/>
        </w:rPr>
        <w:t>Pennsylvania Public Utility Commission</w:t>
      </w:r>
      <w:r w:rsidR="000F5BDE" w:rsidRPr="00A54E7F">
        <w:rPr>
          <w:sz w:val="26"/>
          <w:szCs w:val="26"/>
        </w:rPr>
        <w:t xml:space="preserve"> </w:t>
      </w:r>
      <w:r w:rsidR="000F5BDE">
        <w:rPr>
          <w:sz w:val="26"/>
          <w:szCs w:val="26"/>
        </w:rPr>
        <w:t>(</w:t>
      </w:r>
      <w:r w:rsidRPr="00A54E7F">
        <w:rPr>
          <w:sz w:val="26"/>
          <w:szCs w:val="26"/>
        </w:rPr>
        <w:t>Commission</w:t>
      </w:r>
      <w:r w:rsidR="000F5BDE">
        <w:rPr>
          <w:sz w:val="26"/>
          <w:szCs w:val="26"/>
        </w:rPr>
        <w:t>)</w:t>
      </w:r>
      <w:r w:rsidRPr="00A54E7F">
        <w:rPr>
          <w:sz w:val="26"/>
          <w:szCs w:val="26"/>
        </w:rPr>
        <w:t xml:space="preserve"> for consideration and disposition is </w:t>
      </w:r>
      <w:r w:rsidR="000271FD">
        <w:rPr>
          <w:sz w:val="26"/>
          <w:szCs w:val="26"/>
        </w:rPr>
        <w:t xml:space="preserve">the Recommended Decision of Administrative Law Judge (ALJ) </w:t>
      </w:r>
      <w:r w:rsidR="00130EBD">
        <w:rPr>
          <w:sz w:val="26"/>
          <w:szCs w:val="26"/>
        </w:rPr>
        <w:t>Kandace F. Melillo</w:t>
      </w:r>
      <w:r w:rsidR="000271FD">
        <w:rPr>
          <w:sz w:val="26"/>
          <w:szCs w:val="26"/>
        </w:rPr>
        <w:t xml:space="preserve">, issued on </w:t>
      </w:r>
      <w:r w:rsidR="00130EBD">
        <w:rPr>
          <w:sz w:val="26"/>
          <w:szCs w:val="26"/>
        </w:rPr>
        <w:t>Octo</w:t>
      </w:r>
      <w:r w:rsidR="00011269">
        <w:rPr>
          <w:sz w:val="26"/>
          <w:szCs w:val="26"/>
        </w:rPr>
        <w:t>ber</w:t>
      </w:r>
      <w:r w:rsidR="000271FD">
        <w:rPr>
          <w:sz w:val="26"/>
          <w:szCs w:val="26"/>
        </w:rPr>
        <w:t xml:space="preserve"> </w:t>
      </w:r>
      <w:r w:rsidR="00130EBD">
        <w:rPr>
          <w:sz w:val="26"/>
          <w:szCs w:val="26"/>
        </w:rPr>
        <w:t>1</w:t>
      </w:r>
      <w:r w:rsidR="002820FE">
        <w:rPr>
          <w:sz w:val="26"/>
          <w:szCs w:val="26"/>
        </w:rPr>
        <w:t>3</w:t>
      </w:r>
      <w:r w:rsidR="000271FD">
        <w:rPr>
          <w:sz w:val="26"/>
          <w:szCs w:val="26"/>
        </w:rPr>
        <w:t xml:space="preserve">, 2010. </w:t>
      </w:r>
      <w:r w:rsidRPr="00A54E7F">
        <w:rPr>
          <w:sz w:val="26"/>
          <w:szCs w:val="26"/>
        </w:rPr>
        <w:t xml:space="preserve"> </w:t>
      </w:r>
      <w:r w:rsidR="007674B4">
        <w:rPr>
          <w:sz w:val="26"/>
          <w:szCs w:val="26"/>
        </w:rPr>
        <w:t>Included in the Recommended Decision is a recommendation for t</w:t>
      </w:r>
      <w:r w:rsidR="00E34606">
        <w:rPr>
          <w:sz w:val="26"/>
          <w:szCs w:val="26"/>
        </w:rPr>
        <w:t xml:space="preserve">he Commission to approve </w:t>
      </w:r>
      <w:r w:rsidR="00130EBD">
        <w:rPr>
          <w:sz w:val="26"/>
          <w:szCs w:val="26"/>
        </w:rPr>
        <w:t xml:space="preserve">the Revised Stipulation In Settlement Of Section 1307(f) Rate Investigation </w:t>
      </w:r>
      <w:r w:rsidR="00253C6F">
        <w:rPr>
          <w:sz w:val="26"/>
          <w:szCs w:val="26"/>
        </w:rPr>
        <w:t xml:space="preserve">(Stipulation or </w:t>
      </w:r>
      <w:r w:rsidR="00253C6F">
        <w:rPr>
          <w:sz w:val="26"/>
          <w:szCs w:val="26"/>
        </w:rPr>
        <w:lastRenderedPageBreak/>
        <w:t>Settlement), filed on August 27, 2010 and August 31, 2010 (further revision) by UGI Utilities, Inc. – Gas Division (UGI or Company), the Office of Trial Staff</w:t>
      </w:r>
      <w:r w:rsidR="0008264D">
        <w:rPr>
          <w:sz w:val="26"/>
          <w:szCs w:val="26"/>
        </w:rPr>
        <w:t xml:space="preserve"> (OTS), the Office of Consumer Advocate (OCA),</w:t>
      </w:r>
      <w:r w:rsidR="0008264D">
        <w:rPr>
          <w:rStyle w:val="FootnoteReference"/>
          <w:sz w:val="26"/>
          <w:szCs w:val="26"/>
        </w:rPr>
        <w:footnoteReference w:id="1"/>
      </w:r>
      <w:r w:rsidR="005202E0">
        <w:rPr>
          <w:sz w:val="26"/>
          <w:szCs w:val="26"/>
        </w:rPr>
        <w:t xml:space="preserve"> the Office of </w:t>
      </w:r>
      <w:r w:rsidR="00E34606">
        <w:rPr>
          <w:sz w:val="26"/>
          <w:szCs w:val="26"/>
        </w:rPr>
        <w:t>Small Business Advocate (OSBA)</w:t>
      </w:r>
      <w:r w:rsidR="005202E0">
        <w:rPr>
          <w:sz w:val="26"/>
          <w:szCs w:val="26"/>
        </w:rPr>
        <w:t>, Shipley Energy, Inc. (</w:t>
      </w:r>
      <w:r w:rsidR="00C119DD">
        <w:rPr>
          <w:sz w:val="26"/>
          <w:szCs w:val="26"/>
        </w:rPr>
        <w:t xml:space="preserve">Shipley), Craig </w:t>
      </w:r>
      <w:proofErr w:type="spellStart"/>
      <w:r w:rsidR="00C119DD">
        <w:rPr>
          <w:sz w:val="26"/>
          <w:szCs w:val="26"/>
        </w:rPr>
        <w:t>Karchner</w:t>
      </w:r>
      <w:proofErr w:type="spellEnd"/>
      <w:r w:rsidR="00C119DD">
        <w:rPr>
          <w:sz w:val="26"/>
          <w:szCs w:val="26"/>
        </w:rPr>
        <w:t xml:space="preserve"> and Brian </w:t>
      </w:r>
      <w:proofErr w:type="spellStart"/>
      <w:r w:rsidR="00C119DD">
        <w:rPr>
          <w:sz w:val="26"/>
          <w:szCs w:val="26"/>
        </w:rPr>
        <w:t>Yahner</w:t>
      </w:r>
      <w:proofErr w:type="spellEnd"/>
      <w:r w:rsidR="00C119DD">
        <w:rPr>
          <w:sz w:val="26"/>
          <w:szCs w:val="26"/>
        </w:rPr>
        <w:t xml:space="preserve"> (Complainants </w:t>
      </w:r>
      <w:proofErr w:type="spellStart"/>
      <w:r w:rsidR="00C119DD">
        <w:rPr>
          <w:sz w:val="26"/>
          <w:szCs w:val="26"/>
        </w:rPr>
        <w:t>Karchner</w:t>
      </w:r>
      <w:proofErr w:type="spellEnd"/>
      <w:r w:rsidR="00C119DD">
        <w:rPr>
          <w:sz w:val="26"/>
          <w:szCs w:val="26"/>
        </w:rPr>
        <w:t xml:space="preserve"> and </w:t>
      </w:r>
      <w:proofErr w:type="spellStart"/>
      <w:r w:rsidR="00C119DD">
        <w:rPr>
          <w:sz w:val="26"/>
          <w:szCs w:val="26"/>
        </w:rPr>
        <w:t>Yahner</w:t>
      </w:r>
      <w:proofErr w:type="spellEnd"/>
      <w:r w:rsidR="00C119DD">
        <w:rPr>
          <w:sz w:val="26"/>
          <w:szCs w:val="26"/>
        </w:rPr>
        <w:t xml:space="preserve">).  The UGI Industrial Intervenors (UGIII), the only other </w:t>
      </w:r>
      <w:r w:rsidR="00B553EC">
        <w:rPr>
          <w:sz w:val="26"/>
          <w:szCs w:val="26"/>
        </w:rPr>
        <w:t>P</w:t>
      </w:r>
      <w:r w:rsidR="00C119DD">
        <w:rPr>
          <w:sz w:val="26"/>
          <w:szCs w:val="26"/>
        </w:rPr>
        <w:t xml:space="preserve">arty in this proceeding, filed a Letter of Non-Opposition indicating that </w:t>
      </w:r>
      <w:r w:rsidR="008F0CF8">
        <w:rPr>
          <w:sz w:val="26"/>
          <w:szCs w:val="26"/>
        </w:rPr>
        <w:t xml:space="preserve">it </w:t>
      </w:r>
      <w:r w:rsidR="00C119DD">
        <w:rPr>
          <w:sz w:val="26"/>
          <w:szCs w:val="26"/>
        </w:rPr>
        <w:t xml:space="preserve">neither opposes nor supports approval of the Settlement. </w:t>
      </w:r>
    </w:p>
    <w:p w:rsidR="00D87BE3" w:rsidRPr="00523262" w:rsidRDefault="00D87BE3" w:rsidP="00523262">
      <w:pPr>
        <w:widowControl/>
        <w:spacing w:line="360" w:lineRule="auto"/>
        <w:rPr>
          <w:sz w:val="26"/>
          <w:szCs w:val="26"/>
        </w:rPr>
      </w:pPr>
    </w:p>
    <w:p w:rsidR="00C84787" w:rsidRPr="00C84787" w:rsidRDefault="00C84787" w:rsidP="00C84787">
      <w:pPr>
        <w:spacing w:line="360" w:lineRule="auto"/>
        <w:jc w:val="center"/>
        <w:rPr>
          <w:b/>
          <w:sz w:val="26"/>
          <w:szCs w:val="26"/>
        </w:rPr>
      </w:pPr>
      <w:r w:rsidRPr="00C84787">
        <w:rPr>
          <w:b/>
          <w:sz w:val="26"/>
          <w:szCs w:val="26"/>
        </w:rPr>
        <w:t>H</w:t>
      </w:r>
      <w:r w:rsidR="00A21C9E">
        <w:rPr>
          <w:b/>
          <w:sz w:val="26"/>
          <w:szCs w:val="26"/>
        </w:rPr>
        <w:t>istory</w:t>
      </w:r>
      <w:r w:rsidRPr="00C84787">
        <w:rPr>
          <w:b/>
          <w:sz w:val="26"/>
          <w:szCs w:val="26"/>
        </w:rPr>
        <w:t xml:space="preserve"> </w:t>
      </w:r>
      <w:r w:rsidR="002173BE">
        <w:rPr>
          <w:b/>
          <w:sz w:val="26"/>
          <w:szCs w:val="26"/>
        </w:rPr>
        <w:t>o</w:t>
      </w:r>
      <w:r w:rsidR="00A21C9E">
        <w:rPr>
          <w:b/>
          <w:sz w:val="26"/>
          <w:szCs w:val="26"/>
        </w:rPr>
        <w:t>f</w:t>
      </w:r>
      <w:r w:rsidRPr="00C84787">
        <w:rPr>
          <w:b/>
          <w:sz w:val="26"/>
          <w:szCs w:val="26"/>
        </w:rPr>
        <w:t xml:space="preserve"> </w:t>
      </w:r>
      <w:r w:rsidR="002173BE">
        <w:rPr>
          <w:b/>
          <w:sz w:val="26"/>
          <w:szCs w:val="26"/>
        </w:rPr>
        <w:t>t</w:t>
      </w:r>
      <w:r w:rsidR="00A21C9E">
        <w:rPr>
          <w:b/>
          <w:sz w:val="26"/>
          <w:szCs w:val="26"/>
        </w:rPr>
        <w:t>he</w:t>
      </w:r>
      <w:r w:rsidRPr="00C84787">
        <w:rPr>
          <w:b/>
          <w:sz w:val="26"/>
          <w:szCs w:val="26"/>
        </w:rPr>
        <w:t xml:space="preserve"> </w:t>
      </w:r>
      <w:r w:rsidR="00A45A14">
        <w:rPr>
          <w:b/>
          <w:sz w:val="26"/>
          <w:szCs w:val="26"/>
        </w:rPr>
        <w:t>P</w:t>
      </w:r>
      <w:r w:rsidR="00A21C9E">
        <w:rPr>
          <w:b/>
          <w:sz w:val="26"/>
          <w:szCs w:val="26"/>
        </w:rPr>
        <w:t>roceeding</w:t>
      </w:r>
    </w:p>
    <w:p w:rsidR="002270C7" w:rsidRDefault="002270C7" w:rsidP="00C84787">
      <w:pPr>
        <w:spacing w:line="360" w:lineRule="auto"/>
        <w:rPr>
          <w:sz w:val="26"/>
          <w:szCs w:val="26"/>
        </w:rPr>
      </w:pPr>
    </w:p>
    <w:p w:rsidR="00B7437D" w:rsidRPr="009E106B" w:rsidRDefault="00B7437D" w:rsidP="00B7437D">
      <w:pPr>
        <w:spacing w:line="360" w:lineRule="auto"/>
        <w:ind w:firstLine="1440"/>
        <w:rPr>
          <w:rFonts w:cs="Times New Roman"/>
          <w:sz w:val="26"/>
          <w:szCs w:val="26"/>
        </w:rPr>
      </w:pPr>
      <w:r w:rsidRPr="009E106B">
        <w:rPr>
          <w:rFonts w:cs="Times New Roman"/>
          <w:sz w:val="26"/>
          <w:szCs w:val="26"/>
        </w:rPr>
        <w:t>On April 30, 2010, UGI submitted its annual purchased gas cost (PGC) pre-filing information (Book 1), pursuant to 52 Pa. Code §§</w:t>
      </w:r>
      <w:r w:rsidR="00B553EC">
        <w:rPr>
          <w:rFonts w:cs="Times New Roman"/>
          <w:sz w:val="26"/>
          <w:szCs w:val="26"/>
        </w:rPr>
        <w:t xml:space="preserve"> </w:t>
      </w:r>
      <w:r w:rsidRPr="009E106B">
        <w:rPr>
          <w:rFonts w:cs="Times New Roman"/>
          <w:sz w:val="26"/>
          <w:szCs w:val="26"/>
        </w:rPr>
        <w:t xml:space="preserve">53.64 and 53.65, concerning annual changes to rates for recovery of purchased gas costs.  </w:t>
      </w:r>
    </w:p>
    <w:p w:rsidR="00B7437D" w:rsidRPr="009E106B" w:rsidRDefault="00B7437D" w:rsidP="00B7437D">
      <w:pPr>
        <w:spacing w:line="360" w:lineRule="auto"/>
        <w:rPr>
          <w:rFonts w:cs="Times New Roman"/>
          <w:sz w:val="26"/>
          <w:szCs w:val="26"/>
        </w:rPr>
      </w:pPr>
    </w:p>
    <w:p w:rsidR="00B7437D" w:rsidRPr="009E106B" w:rsidRDefault="00B7437D" w:rsidP="00B7437D">
      <w:pPr>
        <w:spacing w:line="360" w:lineRule="auto"/>
        <w:rPr>
          <w:rFonts w:cs="Times New Roman"/>
          <w:sz w:val="26"/>
          <w:szCs w:val="26"/>
        </w:rPr>
      </w:pPr>
      <w:r w:rsidRPr="009E106B">
        <w:rPr>
          <w:rFonts w:cs="Times New Roman"/>
          <w:sz w:val="26"/>
          <w:szCs w:val="26"/>
        </w:rPr>
        <w:tab/>
      </w:r>
      <w:r w:rsidRPr="009E106B">
        <w:rPr>
          <w:rFonts w:cs="Times New Roman"/>
          <w:sz w:val="26"/>
          <w:szCs w:val="26"/>
        </w:rPr>
        <w:tab/>
        <w:t xml:space="preserve">On June 1, 2010, UGI filed its definitive 2010 PGC filing (PGC filing), with proposed modifications to UGI’s Gas Tariff Pa. P.U.C. Nos. 5 and 5S (Book 2), to become effective December 1, 2010.  The PGC filing, which included the Company’s direct testimony and exhibits, proposed a </w:t>
      </w:r>
      <w:proofErr w:type="gramStart"/>
      <w:r w:rsidRPr="009E106B">
        <w:rPr>
          <w:rFonts w:cs="Times New Roman"/>
          <w:sz w:val="26"/>
          <w:szCs w:val="26"/>
        </w:rPr>
        <w:t>PGC(</w:t>
      </w:r>
      <w:proofErr w:type="gramEnd"/>
      <w:r w:rsidRPr="009E106B">
        <w:rPr>
          <w:rFonts w:cs="Times New Roman"/>
          <w:sz w:val="26"/>
          <w:szCs w:val="26"/>
        </w:rPr>
        <w:t>1) rate of $8.40/</w:t>
      </w:r>
      <w:proofErr w:type="spellStart"/>
      <w:r w:rsidRPr="009E106B">
        <w:rPr>
          <w:rFonts w:cs="Times New Roman"/>
          <w:sz w:val="26"/>
          <w:szCs w:val="26"/>
        </w:rPr>
        <w:t>Mcf</w:t>
      </w:r>
      <w:proofErr w:type="spellEnd"/>
      <w:r w:rsidRPr="009E106B">
        <w:rPr>
          <w:rFonts w:cs="Times New Roman"/>
          <w:sz w:val="26"/>
          <w:szCs w:val="26"/>
        </w:rPr>
        <w:t>, a dec</w:t>
      </w:r>
      <w:r w:rsidR="00B553EC">
        <w:rPr>
          <w:rFonts w:cs="Times New Roman"/>
          <w:sz w:val="26"/>
          <w:szCs w:val="26"/>
        </w:rPr>
        <w:t>rease of $0.76/</w:t>
      </w:r>
      <w:proofErr w:type="spellStart"/>
      <w:r w:rsidR="00B553EC">
        <w:rPr>
          <w:rFonts w:cs="Times New Roman"/>
          <w:sz w:val="26"/>
          <w:szCs w:val="26"/>
        </w:rPr>
        <w:t>Mcf</w:t>
      </w:r>
      <w:proofErr w:type="spellEnd"/>
      <w:r w:rsidR="00B553EC">
        <w:rPr>
          <w:rFonts w:cs="Times New Roman"/>
          <w:sz w:val="26"/>
          <w:szCs w:val="26"/>
        </w:rPr>
        <w:t xml:space="preserve"> from the PGC</w:t>
      </w:r>
      <w:r w:rsidRPr="009E106B">
        <w:rPr>
          <w:rFonts w:cs="Times New Roman"/>
          <w:sz w:val="26"/>
          <w:szCs w:val="26"/>
        </w:rPr>
        <w:t>(1) rate of $9.16/</w:t>
      </w:r>
      <w:proofErr w:type="spellStart"/>
      <w:r w:rsidRPr="009E106B">
        <w:rPr>
          <w:rFonts w:cs="Times New Roman"/>
          <w:sz w:val="26"/>
          <w:szCs w:val="26"/>
        </w:rPr>
        <w:t>Mcf</w:t>
      </w:r>
      <w:proofErr w:type="spellEnd"/>
      <w:r w:rsidRPr="009E106B">
        <w:rPr>
          <w:rFonts w:cs="Times New Roman"/>
          <w:sz w:val="26"/>
          <w:szCs w:val="26"/>
        </w:rPr>
        <w:t xml:space="preserve"> that became effective June 1, 2010, and an average PGC(2) rate of $6.23/</w:t>
      </w:r>
      <w:proofErr w:type="spellStart"/>
      <w:r w:rsidRPr="009E106B">
        <w:rPr>
          <w:rFonts w:cs="Times New Roman"/>
          <w:sz w:val="26"/>
          <w:szCs w:val="26"/>
        </w:rPr>
        <w:t>Mcf</w:t>
      </w:r>
      <w:proofErr w:type="spellEnd"/>
      <w:r w:rsidRPr="009E106B">
        <w:rPr>
          <w:rFonts w:cs="Times New Roman"/>
          <w:sz w:val="26"/>
          <w:szCs w:val="26"/>
        </w:rPr>
        <w:t>, a decrease of $0.18/</w:t>
      </w:r>
      <w:proofErr w:type="spellStart"/>
      <w:r w:rsidRPr="009E106B">
        <w:rPr>
          <w:rFonts w:cs="Times New Roman"/>
          <w:sz w:val="26"/>
          <w:szCs w:val="26"/>
        </w:rPr>
        <w:t>Mcf</w:t>
      </w:r>
      <w:proofErr w:type="spellEnd"/>
      <w:r w:rsidRPr="009E106B">
        <w:rPr>
          <w:rFonts w:cs="Times New Roman"/>
          <w:sz w:val="26"/>
          <w:szCs w:val="26"/>
        </w:rPr>
        <w:t xml:space="preserve"> from the average PGC(2) rate of $6.41/</w:t>
      </w:r>
      <w:proofErr w:type="spellStart"/>
      <w:r w:rsidRPr="009E106B">
        <w:rPr>
          <w:rFonts w:cs="Times New Roman"/>
          <w:sz w:val="26"/>
          <w:szCs w:val="26"/>
        </w:rPr>
        <w:t>Mcf</w:t>
      </w:r>
      <w:proofErr w:type="spellEnd"/>
      <w:r w:rsidRPr="009E106B">
        <w:rPr>
          <w:rFonts w:cs="Times New Roman"/>
          <w:sz w:val="26"/>
          <w:szCs w:val="26"/>
        </w:rPr>
        <w:t xml:space="preserve"> that became effective June 1, 2010.  </w:t>
      </w:r>
    </w:p>
    <w:p w:rsidR="00B7437D" w:rsidRPr="009E106B" w:rsidRDefault="00B7437D" w:rsidP="00B7437D">
      <w:pPr>
        <w:spacing w:line="360" w:lineRule="auto"/>
        <w:rPr>
          <w:rFonts w:cs="Times New Roman"/>
          <w:sz w:val="26"/>
          <w:szCs w:val="26"/>
        </w:rPr>
      </w:pPr>
    </w:p>
    <w:p w:rsidR="00B7437D" w:rsidRPr="009E106B" w:rsidRDefault="00B7437D" w:rsidP="00B7437D">
      <w:pPr>
        <w:spacing w:line="360" w:lineRule="auto"/>
        <w:rPr>
          <w:rFonts w:cs="Times New Roman"/>
          <w:sz w:val="26"/>
          <w:szCs w:val="26"/>
        </w:rPr>
      </w:pPr>
      <w:r w:rsidRPr="009E106B">
        <w:rPr>
          <w:rFonts w:cs="Times New Roman"/>
          <w:sz w:val="26"/>
          <w:szCs w:val="26"/>
        </w:rPr>
        <w:tab/>
      </w:r>
      <w:r w:rsidRPr="009E106B">
        <w:rPr>
          <w:rFonts w:cs="Times New Roman"/>
          <w:sz w:val="26"/>
          <w:szCs w:val="26"/>
        </w:rPr>
        <w:tab/>
        <w:t xml:space="preserve">The PGC filing also proposed a Gas </w:t>
      </w:r>
      <w:proofErr w:type="gramStart"/>
      <w:r w:rsidRPr="009E106B">
        <w:rPr>
          <w:rFonts w:cs="Times New Roman"/>
          <w:sz w:val="26"/>
          <w:szCs w:val="26"/>
        </w:rPr>
        <w:t>Beyond</w:t>
      </w:r>
      <w:proofErr w:type="gramEnd"/>
      <w:r w:rsidRPr="009E106B">
        <w:rPr>
          <w:rFonts w:cs="Times New Roman"/>
          <w:sz w:val="26"/>
          <w:szCs w:val="26"/>
        </w:rPr>
        <w:t xml:space="preserve"> the Mains (GBM) rate of $10.9370/</w:t>
      </w:r>
      <w:proofErr w:type="spellStart"/>
      <w:r w:rsidRPr="009E106B">
        <w:rPr>
          <w:rFonts w:cs="Times New Roman"/>
          <w:sz w:val="26"/>
          <w:szCs w:val="26"/>
        </w:rPr>
        <w:t>Mcf</w:t>
      </w:r>
      <w:proofErr w:type="spellEnd"/>
      <w:r w:rsidRPr="009E106B">
        <w:rPr>
          <w:rFonts w:cs="Times New Roman"/>
          <w:sz w:val="26"/>
          <w:szCs w:val="26"/>
        </w:rPr>
        <w:t xml:space="preserve"> and a mechanism to transition customers receiving GBM service since a date prior to December 1, 2004 to market-based propane rates over five (5) years.  The transition mechanism proposed in the 2010 PGC proceeding had been previously agreed to by UGI to settle last year’s PGC proceeding at Docket No. </w:t>
      </w:r>
      <w:proofErr w:type="gramStart"/>
      <w:r w:rsidRPr="009E106B">
        <w:rPr>
          <w:rFonts w:cs="Times New Roman"/>
          <w:sz w:val="26"/>
          <w:szCs w:val="26"/>
        </w:rPr>
        <w:t>R-2009-2105911.</w:t>
      </w:r>
      <w:proofErr w:type="gramEnd"/>
      <w:r w:rsidRPr="009E106B">
        <w:rPr>
          <w:rFonts w:cs="Times New Roman"/>
          <w:sz w:val="26"/>
          <w:szCs w:val="26"/>
        </w:rPr>
        <w:t xml:space="preserve">  </w:t>
      </w:r>
      <w:r w:rsidRPr="009E106B">
        <w:rPr>
          <w:rFonts w:cs="Times New Roman"/>
          <w:sz w:val="26"/>
          <w:szCs w:val="26"/>
        </w:rPr>
        <w:lastRenderedPageBreak/>
        <w:t xml:space="preserve">However, affected customers were notified of the GBM changes on June 7, 2010, as the mechanism was not scheduled to go into effect until December 1, 2010.  This is the first year of the transition.   </w:t>
      </w:r>
    </w:p>
    <w:p w:rsidR="00B7437D" w:rsidRPr="009E106B" w:rsidRDefault="00B7437D" w:rsidP="00B7437D">
      <w:pPr>
        <w:spacing w:line="360" w:lineRule="auto"/>
        <w:rPr>
          <w:rFonts w:cs="Times New Roman"/>
          <w:sz w:val="26"/>
          <w:szCs w:val="26"/>
        </w:rPr>
      </w:pPr>
      <w:r w:rsidRPr="009E106B">
        <w:rPr>
          <w:rFonts w:cs="Times New Roman"/>
          <w:sz w:val="26"/>
          <w:szCs w:val="26"/>
        </w:rPr>
        <w:t xml:space="preserve"> </w:t>
      </w:r>
    </w:p>
    <w:p w:rsidR="00364B36" w:rsidRDefault="00B7437D" w:rsidP="00B7437D">
      <w:pPr>
        <w:spacing w:line="360" w:lineRule="auto"/>
        <w:ind w:firstLine="1440"/>
        <w:rPr>
          <w:sz w:val="26"/>
          <w:szCs w:val="26"/>
        </w:rPr>
      </w:pPr>
      <w:r w:rsidRPr="009E106B">
        <w:rPr>
          <w:sz w:val="26"/>
          <w:szCs w:val="26"/>
        </w:rPr>
        <w:t xml:space="preserve">Formal Complaints were filed against the PGC filing by OCA (C-2010-2175547) and OSBA (C-2010-2181712), on </w:t>
      </w:r>
      <w:r w:rsidRPr="009E106B">
        <w:rPr>
          <w:color w:val="000000"/>
          <w:sz w:val="26"/>
          <w:szCs w:val="26"/>
        </w:rPr>
        <w:t>May 12, 2010</w:t>
      </w:r>
      <w:r w:rsidRPr="009E106B">
        <w:rPr>
          <w:sz w:val="26"/>
          <w:szCs w:val="26"/>
        </w:rPr>
        <w:t xml:space="preserve">, and June 7, 2010, respectively.  OTS filed a Notice of Appearance on June 9, 2010.  A Petition to Intervene was timely filed by UGIII on or about June 17, 2010, and by Shipley, on or about </w:t>
      </w:r>
    </w:p>
    <w:p w:rsidR="00364B36" w:rsidRDefault="00B7437D" w:rsidP="00364B36">
      <w:pPr>
        <w:spacing w:line="360" w:lineRule="auto"/>
        <w:rPr>
          <w:sz w:val="26"/>
          <w:szCs w:val="26"/>
        </w:rPr>
      </w:pPr>
      <w:r w:rsidRPr="009E106B">
        <w:rPr>
          <w:sz w:val="26"/>
          <w:szCs w:val="26"/>
        </w:rPr>
        <w:t xml:space="preserve">June 21, 2010.  UGI filed Answers to the Formal Complaints of OCA and OSBA on </w:t>
      </w:r>
    </w:p>
    <w:p w:rsidR="00B7437D" w:rsidRPr="009E106B" w:rsidRDefault="00B7437D" w:rsidP="00364B36">
      <w:pPr>
        <w:spacing w:line="360" w:lineRule="auto"/>
        <w:rPr>
          <w:sz w:val="26"/>
          <w:szCs w:val="26"/>
        </w:rPr>
      </w:pPr>
      <w:proofErr w:type="gramStart"/>
      <w:r w:rsidRPr="009E106B">
        <w:rPr>
          <w:sz w:val="26"/>
          <w:szCs w:val="26"/>
        </w:rPr>
        <w:t>June 4, 2010, and June 15, 2010, respectively.</w:t>
      </w:r>
      <w:proofErr w:type="gramEnd"/>
    </w:p>
    <w:p w:rsidR="00B7437D" w:rsidRPr="009E106B" w:rsidRDefault="00B7437D" w:rsidP="00B7437D">
      <w:pPr>
        <w:spacing w:line="360" w:lineRule="auto"/>
        <w:ind w:firstLine="1440"/>
        <w:rPr>
          <w:sz w:val="26"/>
          <w:szCs w:val="26"/>
        </w:rPr>
      </w:pPr>
    </w:p>
    <w:p w:rsidR="00B7437D" w:rsidRPr="009E106B" w:rsidRDefault="00B7437D" w:rsidP="00B7437D">
      <w:pPr>
        <w:spacing w:line="360" w:lineRule="auto"/>
        <w:ind w:firstLine="1440"/>
        <w:rPr>
          <w:sz w:val="26"/>
          <w:szCs w:val="26"/>
        </w:rPr>
      </w:pPr>
      <w:r w:rsidRPr="009E106B">
        <w:rPr>
          <w:sz w:val="26"/>
          <w:szCs w:val="26"/>
        </w:rPr>
        <w:t xml:space="preserve">On June 8, 2010, </w:t>
      </w:r>
      <w:r w:rsidR="00350D92">
        <w:rPr>
          <w:sz w:val="26"/>
          <w:szCs w:val="26"/>
        </w:rPr>
        <w:t>ALJ Melillo</w:t>
      </w:r>
      <w:r w:rsidRPr="009E106B">
        <w:rPr>
          <w:sz w:val="26"/>
          <w:szCs w:val="26"/>
        </w:rPr>
        <w:t xml:space="preserve"> issued a Prehearing Conference Order which provided notice of the procedures and requirements for the upcoming June 17, 2010 Prehearing Conference. </w:t>
      </w:r>
    </w:p>
    <w:p w:rsidR="00B7437D" w:rsidRPr="009E106B" w:rsidRDefault="00B7437D" w:rsidP="00B7437D">
      <w:pPr>
        <w:spacing w:line="360" w:lineRule="auto"/>
        <w:ind w:firstLine="1440"/>
        <w:rPr>
          <w:sz w:val="26"/>
          <w:szCs w:val="26"/>
        </w:rPr>
      </w:pPr>
    </w:p>
    <w:p w:rsidR="00B7437D" w:rsidRPr="009E106B" w:rsidRDefault="00B7437D" w:rsidP="00B7437D">
      <w:pPr>
        <w:spacing w:line="360" w:lineRule="auto"/>
        <w:ind w:firstLine="1440"/>
        <w:rPr>
          <w:sz w:val="26"/>
          <w:szCs w:val="26"/>
        </w:rPr>
      </w:pPr>
      <w:r w:rsidRPr="009E106B">
        <w:rPr>
          <w:sz w:val="26"/>
          <w:szCs w:val="26"/>
        </w:rPr>
        <w:t xml:space="preserve">On June 16, 2010, UGI provided supplemental direct testimony with respect to the testimony of UGI witness J.P. </w:t>
      </w:r>
      <w:proofErr w:type="spellStart"/>
      <w:r w:rsidRPr="009E106B">
        <w:rPr>
          <w:sz w:val="26"/>
          <w:szCs w:val="26"/>
        </w:rPr>
        <w:t>Ghio</w:t>
      </w:r>
      <w:proofErr w:type="spellEnd"/>
      <w:r w:rsidRPr="009E106B">
        <w:rPr>
          <w:sz w:val="26"/>
          <w:szCs w:val="26"/>
        </w:rPr>
        <w:t xml:space="preserve">, which had been included in Book 2 previously mentioned. </w:t>
      </w:r>
    </w:p>
    <w:p w:rsidR="00B7437D" w:rsidRPr="009E106B" w:rsidRDefault="00B7437D" w:rsidP="00B7437D">
      <w:pPr>
        <w:spacing w:line="360" w:lineRule="auto"/>
        <w:ind w:firstLine="1440"/>
        <w:rPr>
          <w:sz w:val="26"/>
          <w:szCs w:val="26"/>
        </w:rPr>
      </w:pPr>
    </w:p>
    <w:p w:rsidR="0074703E" w:rsidRDefault="00B7437D" w:rsidP="00B7437D">
      <w:pPr>
        <w:spacing w:line="360" w:lineRule="auto"/>
        <w:ind w:firstLine="1350"/>
        <w:rPr>
          <w:color w:val="000000"/>
          <w:sz w:val="26"/>
          <w:szCs w:val="26"/>
        </w:rPr>
      </w:pPr>
      <w:r w:rsidRPr="009E106B">
        <w:rPr>
          <w:sz w:val="26"/>
          <w:szCs w:val="26"/>
        </w:rPr>
        <w:t xml:space="preserve">A Prehearing Conference was held on June 17, 2010, with all </w:t>
      </w:r>
      <w:r w:rsidR="00B553EC">
        <w:rPr>
          <w:sz w:val="26"/>
          <w:szCs w:val="26"/>
        </w:rPr>
        <w:t>P</w:t>
      </w:r>
      <w:r w:rsidRPr="009E106B">
        <w:rPr>
          <w:sz w:val="26"/>
          <w:szCs w:val="26"/>
        </w:rPr>
        <w:t xml:space="preserve">arties present.  UGI’s 2010 PGC pre-filing dated April 30, 2010 was identified for the record as UGI Exhibit 1 (Book 1) and the definitive filing dated June 1, 2010 was identified as UGI Exhibit 1 (Book 2).  The supplemental testimony, dated June 16, 2010, was identified as Supplemental Direct Testimony of J.P. </w:t>
      </w:r>
      <w:proofErr w:type="spellStart"/>
      <w:r w:rsidRPr="009E106B">
        <w:rPr>
          <w:sz w:val="26"/>
          <w:szCs w:val="26"/>
        </w:rPr>
        <w:t>Ghio</w:t>
      </w:r>
      <w:proofErr w:type="spellEnd"/>
      <w:r w:rsidRPr="009E106B">
        <w:rPr>
          <w:sz w:val="26"/>
          <w:szCs w:val="26"/>
        </w:rPr>
        <w:t>.  UGIII’s Petition to Intervene was granted without objection.  Also, t</w:t>
      </w:r>
      <w:r w:rsidRPr="009E106B">
        <w:rPr>
          <w:color w:val="000000"/>
          <w:sz w:val="26"/>
          <w:szCs w:val="26"/>
        </w:rPr>
        <w:t xml:space="preserve">he PGC filing was procedurally consolidated for the limited purpose of hearings with the PGC filings of affiliates UGI Central Penn Gas, Inc. (CPG) at Docket No. </w:t>
      </w:r>
      <w:proofErr w:type="gramStart"/>
      <w:r w:rsidRPr="009E106B">
        <w:rPr>
          <w:color w:val="000000"/>
          <w:sz w:val="26"/>
          <w:szCs w:val="26"/>
        </w:rPr>
        <w:t>R-2010-2172922,</w:t>
      </w:r>
      <w:proofErr w:type="gramEnd"/>
      <w:r w:rsidRPr="009E106B">
        <w:rPr>
          <w:color w:val="000000"/>
          <w:sz w:val="26"/>
          <w:szCs w:val="26"/>
        </w:rPr>
        <w:t xml:space="preserve"> and UGI Penn Natural Gas, Inc. (PNG) at Docket No. </w:t>
      </w:r>
    </w:p>
    <w:p w:rsidR="00B7437D" w:rsidRPr="009E106B" w:rsidRDefault="00B7437D" w:rsidP="0074703E">
      <w:pPr>
        <w:spacing w:line="360" w:lineRule="auto"/>
        <w:rPr>
          <w:sz w:val="26"/>
          <w:szCs w:val="26"/>
        </w:rPr>
      </w:pPr>
      <w:proofErr w:type="gramStart"/>
      <w:r w:rsidRPr="009E106B">
        <w:rPr>
          <w:color w:val="000000"/>
          <w:sz w:val="26"/>
          <w:szCs w:val="26"/>
        </w:rPr>
        <w:t>R-2010-2172928.</w:t>
      </w:r>
      <w:proofErr w:type="gramEnd"/>
      <w:r w:rsidRPr="009E106B">
        <w:rPr>
          <w:color w:val="000000"/>
          <w:sz w:val="26"/>
          <w:szCs w:val="26"/>
        </w:rPr>
        <w:t xml:space="preserve">  </w:t>
      </w:r>
      <w:r w:rsidRPr="009E106B">
        <w:rPr>
          <w:sz w:val="26"/>
          <w:szCs w:val="26"/>
        </w:rPr>
        <w:t xml:space="preserve">The </w:t>
      </w:r>
      <w:r w:rsidR="00B553EC">
        <w:rPr>
          <w:sz w:val="26"/>
          <w:szCs w:val="26"/>
        </w:rPr>
        <w:t>P</w:t>
      </w:r>
      <w:r w:rsidRPr="009E106B">
        <w:rPr>
          <w:sz w:val="26"/>
          <w:szCs w:val="26"/>
        </w:rPr>
        <w:t xml:space="preserve">arties agreed to a procedural schedule which required in-hand service of the prepared written direct testimony of other </w:t>
      </w:r>
      <w:r w:rsidR="00F46802">
        <w:rPr>
          <w:sz w:val="26"/>
          <w:szCs w:val="26"/>
        </w:rPr>
        <w:t>P</w:t>
      </w:r>
      <w:r w:rsidRPr="009E106B">
        <w:rPr>
          <w:sz w:val="26"/>
          <w:szCs w:val="26"/>
        </w:rPr>
        <w:t xml:space="preserve">arties, and rebuttal and </w:t>
      </w:r>
      <w:proofErr w:type="spellStart"/>
      <w:r w:rsidRPr="009E106B">
        <w:rPr>
          <w:sz w:val="26"/>
          <w:szCs w:val="26"/>
        </w:rPr>
        <w:lastRenderedPageBreak/>
        <w:t>surrebuttal</w:t>
      </w:r>
      <w:proofErr w:type="spellEnd"/>
      <w:r w:rsidRPr="009E106B">
        <w:rPr>
          <w:sz w:val="26"/>
          <w:szCs w:val="26"/>
        </w:rPr>
        <w:t xml:space="preserve"> testimony on July 9, 2010, July 21, 2010, and July 27, 2010, respectively, evidentiary hearings on July 29-30, 2010, and a modified discovery response time.  </w:t>
      </w:r>
    </w:p>
    <w:p w:rsidR="00B7437D" w:rsidRPr="009E106B" w:rsidRDefault="00B7437D" w:rsidP="00B7437D">
      <w:pPr>
        <w:spacing w:line="360" w:lineRule="auto"/>
        <w:ind w:firstLine="1350"/>
        <w:rPr>
          <w:sz w:val="26"/>
          <w:szCs w:val="26"/>
        </w:rPr>
      </w:pPr>
    </w:p>
    <w:p w:rsidR="0074703E" w:rsidRDefault="00855C99" w:rsidP="00B7437D">
      <w:pPr>
        <w:spacing w:line="360" w:lineRule="auto"/>
        <w:ind w:firstLine="1350"/>
        <w:rPr>
          <w:sz w:val="26"/>
          <w:szCs w:val="26"/>
        </w:rPr>
      </w:pPr>
      <w:r>
        <w:rPr>
          <w:sz w:val="26"/>
          <w:szCs w:val="26"/>
        </w:rPr>
        <w:t>ALJ Melillo</w:t>
      </w:r>
      <w:r w:rsidR="00B7437D" w:rsidRPr="009E106B">
        <w:rPr>
          <w:sz w:val="26"/>
          <w:szCs w:val="26"/>
        </w:rPr>
        <w:t xml:space="preserve"> issued a Procedural Order on June 18, 2010, which confirmed the granting of UGIII’s intervention, and set forth the procedural schedule and the other matters discussed at the Prehearing Conference.  Shipley’s intervention was separately granted on June 28, 2010.  A Revised Procedural Order was subsequently issued on </w:t>
      </w:r>
    </w:p>
    <w:p w:rsidR="00B7437D" w:rsidRPr="009E106B" w:rsidRDefault="00B7437D" w:rsidP="0074703E">
      <w:pPr>
        <w:spacing w:line="360" w:lineRule="auto"/>
        <w:rPr>
          <w:color w:val="000000"/>
          <w:sz w:val="26"/>
          <w:szCs w:val="26"/>
        </w:rPr>
      </w:pPr>
      <w:proofErr w:type="gramStart"/>
      <w:r w:rsidRPr="009E106B">
        <w:rPr>
          <w:sz w:val="26"/>
          <w:szCs w:val="26"/>
        </w:rPr>
        <w:t>July 15, 2010, to further revise the discovery response time.</w:t>
      </w:r>
      <w:proofErr w:type="gramEnd"/>
    </w:p>
    <w:p w:rsidR="00B7437D" w:rsidRPr="009E106B" w:rsidRDefault="00B7437D" w:rsidP="00B7437D">
      <w:pPr>
        <w:spacing w:line="360" w:lineRule="auto"/>
        <w:ind w:firstLine="1350"/>
        <w:rPr>
          <w:sz w:val="26"/>
          <w:szCs w:val="26"/>
        </w:rPr>
      </w:pPr>
    </w:p>
    <w:p w:rsidR="00B7437D" w:rsidRPr="009E106B" w:rsidRDefault="00B7437D" w:rsidP="00B7437D">
      <w:pPr>
        <w:spacing w:line="360" w:lineRule="auto"/>
        <w:ind w:firstLine="1350"/>
        <w:rPr>
          <w:color w:val="000000"/>
          <w:sz w:val="26"/>
          <w:szCs w:val="26"/>
        </w:rPr>
      </w:pPr>
      <w:r w:rsidRPr="009E106B">
        <w:rPr>
          <w:color w:val="000000"/>
          <w:sz w:val="26"/>
          <w:szCs w:val="26"/>
        </w:rPr>
        <w:t>UGI, PNG, and CPG filed a Joint Petition for Protective Order, pursuant to 52 Pa. Code §§</w:t>
      </w:r>
      <w:r w:rsidR="00F46802">
        <w:rPr>
          <w:color w:val="000000"/>
          <w:sz w:val="26"/>
          <w:szCs w:val="26"/>
        </w:rPr>
        <w:t xml:space="preserve"> </w:t>
      </w:r>
      <w:r w:rsidRPr="009E106B">
        <w:rPr>
          <w:color w:val="000000"/>
          <w:sz w:val="26"/>
          <w:szCs w:val="26"/>
        </w:rPr>
        <w:t xml:space="preserve">5.362(7) and 5.423.  In support of its request, UGI asserted that a protective order was warranted to protect confidential customer data or gas supply information which could be misused by wholesalers in future contract negotiations.  No </w:t>
      </w:r>
      <w:r w:rsidR="00F46802">
        <w:rPr>
          <w:color w:val="000000"/>
          <w:sz w:val="26"/>
          <w:szCs w:val="26"/>
        </w:rPr>
        <w:t>P</w:t>
      </w:r>
      <w:r w:rsidRPr="009E106B">
        <w:rPr>
          <w:color w:val="000000"/>
          <w:sz w:val="26"/>
          <w:szCs w:val="26"/>
        </w:rPr>
        <w:t>arty challenged these assertions and</w:t>
      </w:r>
      <w:r w:rsidR="00855C99">
        <w:rPr>
          <w:color w:val="000000"/>
          <w:sz w:val="26"/>
          <w:szCs w:val="26"/>
        </w:rPr>
        <w:t xml:space="preserve"> the ALJ</w:t>
      </w:r>
      <w:r w:rsidRPr="009E106B">
        <w:rPr>
          <w:color w:val="000000"/>
          <w:sz w:val="26"/>
          <w:szCs w:val="26"/>
        </w:rPr>
        <w:t xml:space="preserve"> issued a Protective Order on June 18, 2010.  </w:t>
      </w:r>
      <w:r w:rsidR="009A1B64">
        <w:rPr>
          <w:color w:val="000000"/>
          <w:sz w:val="26"/>
          <w:szCs w:val="26"/>
        </w:rPr>
        <w:t xml:space="preserve">The ALJ also </w:t>
      </w:r>
      <w:r w:rsidRPr="009E106B">
        <w:rPr>
          <w:color w:val="000000"/>
          <w:sz w:val="26"/>
          <w:szCs w:val="26"/>
        </w:rPr>
        <w:t>issued a Revised Protective Order on June 28, 2010, and granted a higher level of confidentiality necessitated by the intervention of Shipley in this PGC proceeding.</w:t>
      </w:r>
    </w:p>
    <w:p w:rsidR="00B7437D" w:rsidRPr="009E106B" w:rsidRDefault="00B7437D" w:rsidP="00B7437D">
      <w:pPr>
        <w:spacing w:line="360" w:lineRule="auto"/>
        <w:ind w:firstLine="1350"/>
        <w:rPr>
          <w:color w:val="000000"/>
          <w:sz w:val="26"/>
          <w:szCs w:val="26"/>
        </w:rPr>
      </w:pPr>
    </w:p>
    <w:p w:rsidR="00B7437D" w:rsidRPr="009E106B" w:rsidRDefault="00B7437D" w:rsidP="00B7437D">
      <w:pPr>
        <w:spacing w:line="360" w:lineRule="auto"/>
        <w:ind w:firstLine="1350"/>
        <w:rPr>
          <w:color w:val="000000"/>
          <w:sz w:val="26"/>
          <w:szCs w:val="26"/>
        </w:rPr>
      </w:pPr>
      <w:r w:rsidRPr="009E106B">
        <w:rPr>
          <w:color w:val="000000"/>
          <w:sz w:val="26"/>
          <w:szCs w:val="26"/>
        </w:rPr>
        <w:t xml:space="preserve">On July 7, 2010, UGI filed a Motion to Consolidate with respect to three (3) separate formal complaints filed by UGI GBM customers Richard Adams (C-2010-2182016), Craig </w:t>
      </w:r>
      <w:proofErr w:type="spellStart"/>
      <w:r w:rsidRPr="009E106B">
        <w:rPr>
          <w:color w:val="000000"/>
          <w:sz w:val="26"/>
          <w:szCs w:val="26"/>
        </w:rPr>
        <w:t>Karchner</w:t>
      </w:r>
      <w:proofErr w:type="spellEnd"/>
      <w:r w:rsidRPr="009E106B">
        <w:rPr>
          <w:color w:val="000000"/>
          <w:sz w:val="26"/>
          <w:szCs w:val="26"/>
        </w:rPr>
        <w:t xml:space="preserve"> (C-2010-2183642), and Brian </w:t>
      </w:r>
      <w:proofErr w:type="spellStart"/>
      <w:r w:rsidRPr="009E106B">
        <w:rPr>
          <w:color w:val="000000"/>
          <w:sz w:val="26"/>
          <w:szCs w:val="26"/>
        </w:rPr>
        <w:t>Yahner</w:t>
      </w:r>
      <w:proofErr w:type="spellEnd"/>
      <w:r w:rsidRPr="009E106B">
        <w:rPr>
          <w:color w:val="000000"/>
          <w:sz w:val="26"/>
          <w:szCs w:val="26"/>
        </w:rPr>
        <w:t xml:space="preserve"> (C-2010-2183540) on June 15, 2010 (Adams) and June 21, 2010 (</w:t>
      </w:r>
      <w:proofErr w:type="spellStart"/>
      <w:r w:rsidRPr="009E106B">
        <w:rPr>
          <w:color w:val="000000"/>
          <w:sz w:val="26"/>
          <w:szCs w:val="26"/>
        </w:rPr>
        <w:t>Karchner</w:t>
      </w:r>
      <w:proofErr w:type="spellEnd"/>
      <w:r w:rsidRPr="009E106B">
        <w:rPr>
          <w:color w:val="000000"/>
          <w:sz w:val="26"/>
          <w:szCs w:val="26"/>
        </w:rPr>
        <w:t xml:space="preserve"> and </w:t>
      </w:r>
      <w:proofErr w:type="spellStart"/>
      <w:r w:rsidRPr="009E106B">
        <w:rPr>
          <w:color w:val="000000"/>
          <w:sz w:val="26"/>
          <w:szCs w:val="26"/>
        </w:rPr>
        <w:t>Yahner</w:t>
      </w:r>
      <w:proofErr w:type="spellEnd"/>
      <w:r w:rsidRPr="009E106B">
        <w:rPr>
          <w:color w:val="000000"/>
          <w:sz w:val="26"/>
          <w:szCs w:val="26"/>
        </w:rPr>
        <w:t xml:space="preserve">).  These Complaints had not been previously noted in Commission records as having been filed against UGI’s proposed PGC rates.  In support of its Motion to Consolidate, UGI asserted that all three (3) Complaints were timely filed and related to the Company’s transition of long-term GBM customers to propane rates over a period of five (5) years, as set forth in proposed Rate GBM in the PGC filing.  </w:t>
      </w:r>
    </w:p>
    <w:p w:rsidR="00B7437D" w:rsidRDefault="00B7437D" w:rsidP="00B7437D">
      <w:pPr>
        <w:spacing w:line="360" w:lineRule="auto"/>
        <w:ind w:firstLine="1350"/>
        <w:rPr>
          <w:color w:val="000000"/>
          <w:sz w:val="26"/>
          <w:szCs w:val="26"/>
        </w:rPr>
      </w:pPr>
    </w:p>
    <w:p w:rsidR="00F46802" w:rsidRPr="009E106B" w:rsidRDefault="00F46802" w:rsidP="00B7437D">
      <w:pPr>
        <w:spacing w:line="360" w:lineRule="auto"/>
        <w:ind w:firstLine="1350"/>
        <w:rPr>
          <w:color w:val="000000"/>
          <w:sz w:val="26"/>
          <w:szCs w:val="26"/>
        </w:rPr>
      </w:pPr>
    </w:p>
    <w:p w:rsidR="00B7437D" w:rsidRPr="009E106B" w:rsidRDefault="00B7437D" w:rsidP="00B7437D">
      <w:pPr>
        <w:spacing w:line="360" w:lineRule="auto"/>
        <w:ind w:firstLine="1350"/>
        <w:rPr>
          <w:color w:val="000000"/>
          <w:sz w:val="26"/>
          <w:szCs w:val="26"/>
        </w:rPr>
      </w:pPr>
      <w:r w:rsidRPr="009E106B">
        <w:rPr>
          <w:color w:val="000000"/>
          <w:sz w:val="26"/>
          <w:szCs w:val="26"/>
        </w:rPr>
        <w:lastRenderedPageBreak/>
        <w:t>OTS opposed UGI’s Motion to Consolidate, due to its position that the challenged GBM mechanism had been previously approved in last year’s PGC Settlement.  In addition, OTS asserted that there was insufficient time in the procedural schedule to sufficiently address the matters raised in the Complaints.</w:t>
      </w:r>
    </w:p>
    <w:p w:rsidR="00B7437D" w:rsidRPr="009E106B" w:rsidRDefault="00B7437D" w:rsidP="00B7437D">
      <w:pPr>
        <w:spacing w:line="360" w:lineRule="auto"/>
        <w:ind w:firstLine="1350"/>
        <w:rPr>
          <w:color w:val="000000"/>
          <w:sz w:val="26"/>
          <w:szCs w:val="26"/>
        </w:rPr>
      </w:pPr>
    </w:p>
    <w:p w:rsidR="00B7437D" w:rsidRPr="009E106B" w:rsidRDefault="00B7437D" w:rsidP="00B7437D">
      <w:pPr>
        <w:spacing w:line="360" w:lineRule="auto"/>
        <w:ind w:firstLine="1350"/>
        <w:rPr>
          <w:color w:val="000000"/>
          <w:sz w:val="26"/>
          <w:szCs w:val="26"/>
        </w:rPr>
      </w:pPr>
      <w:r w:rsidRPr="009E106B">
        <w:rPr>
          <w:color w:val="000000"/>
          <w:sz w:val="26"/>
          <w:szCs w:val="26"/>
        </w:rPr>
        <w:t xml:space="preserve">Upon receipt of OTS’ objection and given the exigencies of the circumstances, a telephonic conference </w:t>
      </w:r>
      <w:r w:rsidR="009A1B64">
        <w:rPr>
          <w:color w:val="000000"/>
          <w:sz w:val="26"/>
          <w:szCs w:val="26"/>
        </w:rPr>
        <w:t xml:space="preserve">was convened </w:t>
      </w:r>
      <w:r w:rsidRPr="009E106B">
        <w:rPr>
          <w:color w:val="000000"/>
          <w:sz w:val="26"/>
          <w:szCs w:val="26"/>
        </w:rPr>
        <w:t xml:space="preserve">on July 9, 2010, on the Motion to Consolidate, after providing notice of the telephonic conference to all </w:t>
      </w:r>
      <w:r w:rsidR="00F46802">
        <w:rPr>
          <w:color w:val="000000"/>
          <w:sz w:val="26"/>
          <w:szCs w:val="26"/>
        </w:rPr>
        <w:t>P</w:t>
      </w:r>
      <w:r w:rsidRPr="009E106B">
        <w:rPr>
          <w:color w:val="000000"/>
          <w:sz w:val="26"/>
          <w:szCs w:val="26"/>
        </w:rPr>
        <w:t xml:space="preserve">arties.  </w:t>
      </w:r>
      <w:r w:rsidR="009A1B64">
        <w:rPr>
          <w:color w:val="000000"/>
          <w:sz w:val="26"/>
          <w:szCs w:val="26"/>
        </w:rPr>
        <w:t>The ALJ</w:t>
      </w:r>
      <w:r w:rsidRPr="009E106B">
        <w:rPr>
          <w:color w:val="000000"/>
          <w:sz w:val="26"/>
          <w:szCs w:val="26"/>
        </w:rPr>
        <w:t xml:space="preserve"> specifically provided notice to Complainant Adams that, based on </w:t>
      </w:r>
      <w:r w:rsidR="009A1B64">
        <w:rPr>
          <w:color w:val="000000"/>
          <w:sz w:val="26"/>
          <w:szCs w:val="26"/>
        </w:rPr>
        <w:t>the ALJ’s</w:t>
      </w:r>
      <w:r w:rsidRPr="009E106B">
        <w:rPr>
          <w:color w:val="000000"/>
          <w:sz w:val="26"/>
          <w:szCs w:val="26"/>
        </w:rPr>
        <w:t xml:space="preserve"> initial assessment, his Complaint was a service complaint under 66 Pa. C.S. §</w:t>
      </w:r>
      <w:r w:rsidR="00F46802">
        <w:rPr>
          <w:color w:val="000000"/>
          <w:sz w:val="26"/>
          <w:szCs w:val="26"/>
        </w:rPr>
        <w:t xml:space="preserve"> </w:t>
      </w:r>
      <w:r w:rsidRPr="009E106B">
        <w:rPr>
          <w:color w:val="000000"/>
          <w:sz w:val="26"/>
          <w:szCs w:val="26"/>
        </w:rPr>
        <w:t xml:space="preserve">1501 rather than a complaint against the proposed GBM rate and that if he disagreed, he should participate in the telephonic conference.  All </w:t>
      </w:r>
      <w:r w:rsidR="00F46802">
        <w:rPr>
          <w:color w:val="000000"/>
          <w:sz w:val="26"/>
          <w:szCs w:val="26"/>
        </w:rPr>
        <w:t>P</w:t>
      </w:r>
      <w:r w:rsidRPr="009E106B">
        <w:rPr>
          <w:color w:val="000000"/>
          <w:sz w:val="26"/>
          <w:szCs w:val="26"/>
        </w:rPr>
        <w:t xml:space="preserve">arties with the exception of Complainant Adams were present for the telephonic conference.  </w:t>
      </w:r>
    </w:p>
    <w:p w:rsidR="00B7437D" w:rsidRPr="009E106B" w:rsidRDefault="00B7437D" w:rsidP="00B7437D">
      <w:pPr>
        <w:spacing w:line="360" w:lineRule="auto"/>
        <w:ind w:firstLine="1350"/>
        <w:rPr>
          <w:color w:val="000000"/>
          <w:sz w:val="26"/>
          <w:szCs w:val="26"/>
        </w:rPr>
      </w:pPr>
    </w:p>
    <w:p w:rsidR="00B7437D" w:rsidRPr="009E106B" w:rsidRDefault="00B7437D" w:rsidP="00B7437D">
      <w:pPr>
        <w:spacing w:line="360" w:lineRule="auto"/>
        <w:ind w:firstLine="1350"/>
        <w:rPr>
          <w:color w:val="000000"/>
          <w:sz w:val="26"/>
          <w:szCs w:val="26"/>
        </w:rPr>
      </w:pPr>
      <w:r w:rsidRPr="009E106B">
        <w:rPr>
          <w:color w:val="000000"/>
          <w:sz w:val="26"/>
          <w:szCs w:val="26"/>
        </w:rPr>
        <w:t xml:space="preserve">After considering the arguments of the </w:t>
      </w:r>
      <w:r w:rsidR="00F46802">
        <w:rPr>
          <w:color w:val="000000"/>
          <w:sz w:val="26"/>
          <w:szCs w:val="26"/>
        </w:rPr>
        <w:t>P</w:t>
      </w:r>
      <w:r w:rsidRPr="009E106B">
        <w:rPr>
          <w:color w:val="000000"/>
          <w:sz w:val="26"/>
          <w:szCs w:val="26"/>
        </w:rPr>
        <w:t xml:space="preserve">arties, </w:t>
      </w:r>
      <w:r w:rsidR="000C3FDB">
        <w:rPr>
          <w:color w:val="000000"/>
          <w:sz w:val="26"/>
          <w:szCs w:val="26"/>
        </w:rPr>
        <w:t>the ALJ</w:t>
      </w:r>
      <w:r w:rsidRPr="009E106B">
        <w:rPr>
          <w:color w:val="000000"/>
          <w:sz w:val="26"/>
          <w:szCs w:val="26"/>
        </w:rPr>
        <w:t xml:space="preserve"> granted consolidation of the </w:t>
      </w:r>
      <w:proofErr w:type="spellStart"/>
      <w:r w:rsidRPr="009E106B">
        <w:rPr>
          <w:color w:val="000000"/>
          <w:sz w:val="26"/>
          <w:szCs w:val="26"/>
        </w:rPr>
        <w:t>Karchner</w:t>
      </w:r>
      <w:proofErr w:type="spellEnd"/>
      <w:r w:rsidRPr="009E106B">
        <w:rPr>
          <w:color w:val="000000"/>
          <w:sz w:val="26"/>
          <w:szCs w:val="26"/>
        </w:rPr>
        <w:t xml:space="preserve"> and </w:t>
      </w:r>
      <w:proofErr w:type="spellStart"/>
      <w:r w:rsidRPr="009E106B">
        <w:rPr>
          <w:color w:val="000000"/>
          <w:sz w:val="26"/>
          <w:szCs w:val="26"/>
        </w:rPr>
        <w:t>Yahner</w:t>
      </w:r>
      <w:proofErr w:type="spellEnd"/>
      <w:r w:rsidRPr="009E106B">
        <w:rPr>
          <w:color w:val="000000"/>
          <w:sz w:val="26"/>
          <w:szCs w:val="26"/>
        </w:rPr>
        <w:t xml:space="preserve"> Complaints, and denied consolidation of the Adams Complaint, for the reasons set forth in an Order Granting Motion to Consolidate, In Part, dated July 12, 2010.  Also, in view of the time constraints, </w:t>
      </w:r>
      <w:r w:rsidR="000C3FDB">
        <w:rPr>
          <w:color w:val="000000"/>
          <w:sz w:val="26"/>
          <w:szCs w:val="26"/>
        </w:rPr>
        <w:t>the ALJ</w:t>
      </w:r>
      <w:r w:rsidRPr="009E106B">
        <w:rPr>
          <w:color w:val="000000"/>
          <w:sz w:val="26"/>
          <w:szCs w:val="26"/>
        </w:rPr>
        <w:t xml:space="preserve"> permitted Complainants </w:t>
      </w:r>
      <w:proofErr w:type="spellStart"/>
      <w:r w:rsidRPr="009E106B">
        <w:rPr>
          <w:color w:val="000000"/>
          <w:sz w:val="26"/>
          <w:szCs w:val="26"/>
        </w:rPr>
        <w:t>Karchner</w:t>
      </w:r>
      <w:proofErr w:type="spellEnd"/>
      <w:r w:rsidRPr="009E106B">
        <w:rPr>
          <w:color w:val="000000"/>
          <w:sz w:val="26"/>
          <w:szCs w:val="26"/>
        </w:rPr>
        <w:t xml:space="preserve"> and </w:t>
      </w:r>
      <w:proofErr w:type="spellStart"/>
      <w:r w:rsidRPr="009E106B">
        <w:rPr>
          <w:color w:val="000000"/>
          <w:sz w:val="26"/>
          <w:szCs w:val="26"/>
        </w:rPr>
        <w:t>Yahner</w:t>
      </w:r>
      <w:proofErr w:type="spellEnd"/>
      <w:r w:rsidRPr="009E106B">
        <w:rPr>
          <w:color w:val="000000"/>
          <w:sz w:val="26"/>
          <w:szCs w:val="26"/>
        </w:rPr>
        <w:t xml:space="preserve"> to present oral testimony on their Complaints, at the hearing which had already been scheduled for July 29, 2010, at 10 a.m., in Harrisburg, P</w:t>
      </w:r>
      <w:r w:rsidR="00F46802">
        <w:rPr>
          <w:color w:val="000000"/>
          <w:sz w:val="26"/>
          <w:szCs w:val="26"/>
        </w:rPr>
        <w:t>ennsylvania</w:t>
      </w:r>
      <w:r w:rsidRPr="009E106B">
        <w:rPr>
          <w:color w:val="000000"/>
          <w:sz w:val="26"/>
          <w:szCs w:val="26"/>
        </w:rPr>
        <w:t>.  The Company was directed to supplement its existing GBM testimony to further support the challenged transition mechanism which it had accepted in last year’s 1307(f) Settlement.</w:t>
      </w:r>
    </w:p>
    <w:p w:rsidR="00B7437D" w:rsidRPr="009E106B" w:rsidRDefault="00B7437D" w:rsidP="00B7437D">
      <w:pPr>
        <w:spacing w:line="360" w:lineRule="auto"/>
        <w:ind w:firstLine="1350"/>
        <w:rPr>
          <w:color w:val="000000"/>
          <w:sz w:val="26"/>
          <w:szCs w:val="26"/>
        </w:rPr>
      </w:pPr>
    </w:p>
    <w:p w:rsidR="00B7437D" w:rsidRDefault="00B7437D" w:rsidP="00B7437D">
      <w:pPr>
        <w:spacing w:line="360" w:lineRule="auto"/>
        <w:rPr>
          <w:rFonts w:cs="Times New Roman"/>
          <w:sz w:val="26"/>
          <w:szCs w:val="26"/>
        </w:rPr>
      </w:pPr>
      <w:r w:rsidRPr="009E106B">
        <w:rPr>
          <w:color w:val="000000"/>
          <w:sz w:val="26"/>
          <w:szCs w:val="26"/>
        </w:rPr>
        <w:tab/>
      </w:r>
      <w:r w:rsidRPr="009E106B">
        <w:rPr>
          <w:color w:val="000000"/>
          <w:sz w:val="26"/>
          <w:szCs w:val="26"/>
        </w:rPr>
        <w:tab/>
      </w:r>
      <w:r w:rsidRPr="009E106B">
        <w:rPr>
          <w:rFonts w:cs="Times New Roman"/>
          <w:sz w:val="26"/>
          <w:szCs w:val="26"/>
        </w:rPr>
        <w:t xml:space="preserve">In accordance with the Procedural Order, OTS, OCA, OSBA, and Shipley served direct testimony on July 9, 2010.  UGI served additional supplemental direct testimony and UGI, OCA, and Shipley served rebuttal testimony on July 21, 2010.  OSBA served </w:t>
      </w:r>
      <w:proofErr w:type="spellStart"/>
      <w:r w:rsidRPr="009E106B">
        <w:rPr>
          <w:rFonts w:cs="Times New Roman"/>
          <w:sz w:val="26"/>
          <w:szCs w:val="26"/>
        </w:rPr>
        <w:t>surrebuttal</w:t>
      </w:r>
      <w:proofErr w:type="spellEnd"/>
      <w:r w:rsidRPr="009E106B">
        <w:rPr>
          <w:rFonts w:cs="Times New Roman"/>
          <w:sz w:val="26"/>
          <w:szCs w:val="26"/>
        </w:rPr>
        <w:t xml:space="preserve"> testimony on July 27, 2010.  </w:t>
      </w:r>
    </w:p>
    <w:p w:rsidR="00B7437D" w:rsidRPr="009E106B" w:rsidRDefault="00B7437D" w:rsidP="00B7437D">
      <w:pPr>
        <w:spacing w:line="360" w:lineRule="auto"/>
        <w:rPr>
          <w:rFonts w:cs="Times New Roman"/>
          <w:sz w:val="26"/>
          <w:szCs w:val="26"/>
        </w:rPr>
      </w:pPr>
    </w:p>
    <w:p w:rsidR="00B7437D" w:rsidRPr="009E106B" w:rsidRDefault="00B7437D" w:rsidP="00B7437D">
      <w:pPr>
        <w:spacing w:line="360" w:lineRule="auto"/>
        <w:rPr>
          <w:rFonts w:cs="Times New Roman"/>
          <w:sz w:val="26"/>
          <w:szCs w:val="26"/>
        </w:rPr>
      </w:pPr>
      <w:r w:rsidRPr="009E106B">
        <w:rPr>
          <w:rFonts w:cs="Times New Roman"/>
          <w:sz w:val="26"/>
          <w:szCs w:val="26"/>
        </w:rPr>
        <w:lastRenderedPageBreak/>
        <w:tab/>
      </w:r>
      <w:r w:rsidRPr="009E106B">
        <w:rPr>
          <w:rFonts w:cs="Times New Roman"/>
          <w:sz w:val="26"/>
          <w:szCs w:val="26"/>
        </w:rPr>
        <w:tab/>
        <w:t xml:space="preserve">On July 27, 2010, UGI </w:t>
      </w:r>
      <w:r w:rsidR="000C3FDB">
        <w:rPr>
          <w:rFonts w:cs="Times New Roman"/>
          <w:sz w:val="26"/>
          <w:szCs w:val="26"/>
        </w:rPr>
        <w:t xml:space="preserve">informed the ALJ </w:t>
      </w:r>
      <w:r w:rsidRPr="009E106B">
        <w:rPr>
          <w:rFonts w:cs="Times New Roman"/>
          <w:sz w:val="26"/>
          <w:szCs w:val="26"/>
        </w:rPr>
        <w:t xml:space="preserve">that the </w:t>
      </w:r>
      <w:r w:rsidR="00F46802">
        <w:rPr>
          <w:rFonts w:cs="Times New Roman"/>
          <w:sz w:val="26"/>
          <w:szCs w:val="26"/>
        </w:rPr>
        <w:t>P</w:t>
      </w:r>
      <w:r w:rsidRPr="009E106B">
        <w:rPr>
          <w:rFonts w:cs="Times New Roman"/>
          <w:sz w:val="26"/>
          <w:szCs w:val="26"/>
        </w:rPr>
        <w:t xml:space="preserve">arties had reached a settlement of all issues with respect to UGI’s PGC filing, with the exception of GBM issues, and that settlement documents could be provided by August 17, 2010.  Accordingly, on July 28, 2010, </w:t>
      </w:r>
      <w:r w:rsidR="000C3FDB">
        <w:rPr>
          <w:rFonts w:cs="Times New Roman"/>
          <w:sz w:val="26"/>
          <w:szCs w:val="26"/>
        </w:rPr>
        <w:t>the ALJ</w:t>
      </w:r>
      <w:r w:rsidRPr="009E106B">
        <w:rPr>
          <w:rFonts w:cs="Times New Roman"/>
          <w:sz w:val="26"/>
          <w:szCs w:val="26"/>
        </w:rPr>
        <w:t xml:space="preserve"> issued an Order Modifying Procedural Schedule and Providing for Settlement Procedures.  This Order suspended the procedural schedule, except as to GBM issues; however, the July 29, 2010 hearing was retained for purposes of admitting testimony and exhibits into the record by stipulation.  The </w:t>
      </w:r>
      <w:r w:rsidR="00F46802">
        <w:rPr>
          <w:rFonts w:cs="Times New Roman"/>
          <w:sz w:val="26"/>
          <w:szCs w:val="26"/>
        </w:rPr>
        <w:t>P</w:t>
      </w:r>
      <w:r w:rsidRPr="009E106B">
        <w:rPr>
          <w:rFonts w:cs="Times New Roman"/>
          <w:sz w:val="26"/>
          <w:szCs w:val="26"/>
        </w:rPr>
        <w:t xml:space="preserve">arties were required to provide a settlement petition by August 17, 2010, including statements in support to explain why the settlement satisfactorily addressed the issues/concerns raised by that </w:t>
      </w:r>
      <w:r w:rsidR="00F46802">
        <w:rPr>
          <w:rFonts w:cs="Times New Roman"/>
          <w:sz w:val="26"/>
          <w:szCs w:val="26"/>
        </w:rPr>
        <w:t>P</w:t>
      </w:r>
      <w:r w:rsidRPr="009E106B">
        <w:rPr>
          <w:rFonts w:cs="Times New Roman"/>
          <w:sz w:val="26"/>
          <w:szCs w:val="26"/>
        </w:rPr>
        <w:t xml:space="preserve">arty and why the settlement was in the public interest. </w:t>
      </w:r>
    </w:p>
    <w:p w:rsidR="00B7437D" w:rsidRPr="009E106B" w:rsidRDefault="00B7437D" w:rsidP="00B7437D">
      <w:pPr>
        <w:spacing w:line="360" w:lineRule="auto"/>
        <w:rPr>
          <w:rFonts w:cs="Times New Roman"/>
          <w:sz w:val="26"/>
          <w:szCs w:val="26"/>
        </w:rPr>
      </w:pPr>
    </w:p>
    <w:p w:rsidR="00B7437D" w:rsidRPr="009E106B" w:rsidRDefault="00B7437D" w:rsidP="00B7437D">
      <w:pPr>
        <w:spacing w:line="360" w:lineRule="auto"/>
        <w:rPr>
          <w:rFonts w:cs="Times New Roman"/>
          <w:sz w:val="26"/>
          <w:szCs w:val="26"/>
        </w:rPr>
      </w:pPr>
      <w:r w:rsidRPr="009E106B">
        <w:rPr>
          <w:rFonts w:cs="Times New Roman"/>
          <w:sz w:val="26"/>
          <w:szCs w:val="26"/>
        </w:rPr>
        <w:tab/>
      </w:r>
      <w:r w:rsidRPr="009E106B">
        <w:rPr>
          <w:rFonts w:cs="Times New Roman"/>
          <w:sz w:val="26"/>
          <w:szCs w:val="26"/>
        </w:rPr>
        <w:tab/>
        <w:t xml:space="preserve">On July 28, 2010, the </w:t>
      </w:r>
      <w:r w:rsidR="00F46802">
        <w:rPr>
          <w:rFonts w:cs="Times New Roman"/>
          <w:sz w:val="26"/>
          <w:szCs w:val="26"/>
        </w:rPr>
        <w:t>P</w:t>
      </w:r>
      <w:r w:rsidRPr="009E106B">
        <w:rPr>
          <w:rFonts w:cs="Times New Roman"/>
          <w:sz w:val="26"/>
          <w:szCs w:val="26"/>
        </w:rPr>
        <w:t>arties</w:t>
      </w:r>
      <w:r w:rsidR="00993A18">
        <w:rPr>
          <w:rFonts w:cs="Times New Roman"/>
          <w:sz w:val="26"/>
          <w:szCs w:val="26"/>
        </w:rPr>
        <w:t xml:space="preserve"> informed the ALJ that they</w:t>
      </w:r>
      <w:r w:rsidRPr="009E106B">
        <w:rPr>
          <w:rFonts w:cs="Times New Roman"/>
          <w:sz w:val="26"/>
          <w:szCs w:val="26"/>
        </w:rPr>
        <w:t xml:space="preserve"> had reached a settlement in principle as to the GBM issues, and therefore, a comprehensive resolution of all issues had been achieved.  Accordingly, </w:t>
      </w:r>
      <w:r w:rsidR="00993A18">
        <w:rPr>
          <w:rFonts w:cs="Times New Roman"/>
          <w:sz w:val="26"/>
          <w:szCs w:val="26"/>
        </w:rPr>
        <w:t>the ALJ</w:t>
      </w:r>
      <w:r w:rsidRPr="009E106B">
        <w:rPr>
          <w:rFonts w:cs="Times New Roman"/>
          <w:sz w:val="26"/>
          <w:szCs w:val="26"/>
        </w:rPr>
        <w:t xml:space="preserve"> issued an Order Suspending Remainder of Procedural Schedule, but retained the July 29, 2010 hearing for the purpose stated previously.  The settlement process delineated in the Order Modifying Procedural Schedule and Providing for Settlement Procedures was specifically made applicable to the GBM issues.</w:t>
      </w:r>
    </w:p>
    <w:p w:rsidR="00B7437D" w:rsidRPr="009E106B" w:rsidRDefault="00B7437D" w:rsidP="00B7437D">
      <w:pPr>
        <w:spacing w:line="360" w:lineRule="auto"/>
        <w:rPr>
          <w:rFonts w:cs="Times New Roman"/>
          <w:sz w:val="26"/>
          <w:szCs w:val="26"/>
        </w:rPr>
      </w:pPr>
    </w:p>
    <w:p w:rsidR="00B7437D" w:rsidRPr="009E106B" w:rsidRDefault="00B7437D" w:rsidP="00B7437D">
      <w:pPr>
        <w:spacing w:line="360" w:lineRule="auto"/>
        <w:rPr>
          <w:sz w:val="26"/>
          <w:szCs w:val="26"/>
        </w:rPr>
      </w:pPr>
      <w:r w:rsidRPr="009E106B">
        <w:rPr>
          <w:rFonts w:cs="Times New Roman"/>
          <w:sz w:val="26"/>
          <w:szCs w:val="26"/>
        </w:rPr>
        <w:tab/>
      </w:r>
      <w:r w:rsidRPr="009E106B">
        <w:rPr>
          <w:rFonts w:cs="Times New Roman"/>
          <w:sz w:val="26"/>
          <w:szCs w:val="26"/>
        </w:rPr>
        <w:tab/>
      </w:r>
      <w:r w:rsidRPr="009E106B">
        <w:rPr>
          <w:sz w:val="26"/>
          <w:szCs w:val="26"/>
        </w:rPr>
        <w:t xml:space="preserve">At the July 29, 2010 hearing, the following documents were admitted into the record:  (1) UGI Exhibit 1, consisting of (Book 1) the April 30, 2010, </w:t>
      </w:r>
      <w:proofErr w:type="spellStart"/>
      <w:r w:rsidRPr="009E106B">
        <w:rPr>
          <w:sz w:val="26"/>
          <w:szCs w:val="26"/>
        </w:rPr>
        <w:t>prefiling</w:t>
      </w:r>
      <w:proofErr w:type="spellEnd"/>
      <w:r w:rsidRPr="009E106B">
        <w:rPr>
          <w:sz w:val="26"/>
          <w:szCs w:val="26"/>
        </w:rPr>
        <w:t xml:space="preserve"> and (Book 2) the June 1, 2010, definitive filing (which also included UGI Statement No. 1, the Direct Testimony of William J. McAllister, with associated Schedules UGI-WJM-1 and 2; UGI Statement No. 2, the Direct Testimony of Brian J. Fitzpatrick, with associated Appendix UGI-BJF-1 and Exhibit UGI-BJF-1; and UGI Statement No. 3, the Direct Testimony of J.P. </w:t>
      </w:r>
      <w:proofErr w:type="spellStart"/>
      <w:r w:rsidRPr="009E106B">
        <w:rPr>
          <w:sz w:val="26"/>
          <w:szCs w:val="26"/>
        </w:rPr>
        <w:t>Ghio</w:t>
      </w:r>
      <w:proofErr w:type="spellEnd"/>
      <w:r w:rsidRPr="009E106B">
        <w:rPr>
          <w:sz w:val="26"/>
          <w:szCs w:val="26"/>
        </w:rPr>
        <w:t xml:space="preserve">, with associated Appendix UGI-JPG-1 and Exhibits UGI-JPG-1, 2, 3, and 4); (2) UGI Statement No. 3 – Supplemental, the Supplemental Direct Testimony of J.P. </w:t>
      </w:r>
      <w:proofErr w:type="spellStart"/>
      <w:r w:rsidRPr="009E106B">
        <w:rPr>
          <w:sz w:val="26"/>
          <w:szCs w:val="26"/>
        </w:rPr>
        <w:t>Ghio</w:t>
      </w:r>
      <w:proofErr w:type="spellEnd"/>
      <w:r w:rsidRPr="009E106B">
        <w:rPr>
          <w:sz w:val="26"/>
          <w:szCs w:val="26"/>
        </w:rPr>
        <w:t>; (3) UGI</w:t>
      </w:r>
      <w:r w:rsidR="00F46802">
        <w:rPr>
          <w:sz w:val="26"/>
          <w:szCs w:val="26"/>
        </w:rPr>
        <w:t xml:space="preserve"> </w:t>
      </w:r>
      <w:r w:rsidRPr="009E106B">
        <w:rPr>
          <w:sz w:val="26"/>
          <w:szCs w:val="26"/>
        </w:rPr>
        <w:t xml:space="preserve">Statement No. 1-R, the Rebuttal Testimony of William J. McAllister, with associated Exhibit UGI-WJM-1-R; (4) UGI Statement No. 2-R, the </w:t>
      </w:r>
      <w:r w:rsidRPr="009E106B">
        <w:rPr>
          <w:sz w:val="26"/>
          <w:szCs w:val="26"/>
        </w:rPr>
        <w:lastRenderedPageBreak/>
        <w:t xml:space="preserve">Rebuttal Testimony of Brian J. Fitzpatrick; (5) UGI Statement No. 3-R, the Rebuttal Testimony of J.P. </w:t>
      </w:r>
      <w:proofErr w:type="spellStart"/>
      <w:r w:rsidRPr="009E106B">
        <w:rPr>
          <w:sz w:val="26"/>
          <w:szCs w:val="26"/>
        </w:rPr>
        <w:t>Ghio</w:t>
      </w:r>
      <w:proofErr w:type="spellEnd"/>
      <w:r w:rsidRPr="009E106B">
        <w:rPr>
          <w:sz w:val="26"/>
          <w:szCs w:val="26"/>
        </w:rPr>
        <w:t xml:space="preserve">, with associated Exhibits UGI-JPG-R-1 and R-2; (6) UGI Statement No. 3-AS, the Additional Supplemental Direct Testimony of J.P. </w:t>
      </w:r>
      <w:proofErr w:type="spellStart"/>
      <w:r w:rsidRPr="009E106B">
        <w:rPr>
          <w:sz w:val="26"/>
          <w:szCs w:val="26"/>
        </w:rPr>
        <w:t>Ghio</w:t>
      </w:r>
      <w:proofErr w:type="spellEnd"/>
      <w:r w:rsidRPr="009E106B">
        <w:rPr>
          <w:sz w:val="26"/>
          <w:szCs w:val="26"/>
        </w:rPr>
        <w:t xml:space="preserve">, with associated Exhibits UGI-JPG-ASD-1, ASD-2, and ASD-3; (7) OCA Statement No. 1, the Direct Testimony of Jerome D. </w:t>
      </w:r>
      <w:proofErr w:type="spellStart"/>
      <w:r w:rsidRPr="009E106B">
        <w:rPr>
          <w:sz w:val="26"/>
          <w:szCs w:val="26"/>
        </w:rPr>
        <w:t>Mierzwa</w:t>
      </w:r>
      <w:proofErr w:type="spellEnd"/>
      <w:r w:rsidRPr="009E106B">
        <w:rPr>
          <w:sz w:val="26"/>
          <w:szCs w:val="26"/>
        </w:rPr>
        <w:t xml:space="preserve">, with attached schedules JDM-1, 2, and 3; (8) OCA Statement No. 1-R, the Rebuttal Testimony of Jerome D. </w:t>
      </w:r>
      <w:proofErr w:type="spellStart"/>
      <w:r w:rsidRPr="009E106B">
        <w:rPr>
          <w:sz w:val="26"/>
          <w:szCs w:val="26"/>
        </w:rPr>
        <w:t>Mierzwa</w:t>
      </w:r>
      <w:proofErr w:type="spellEnd"/>
      <w:r w:rsidRPr="009E106B">
        <w:rPr>
          <w:sz w:val="26"/>
          <w:szCs w:val="26"/>
        </w:rPr>
        <w:t xml:space="preserve">; (9)  OTS Statement No. 1, the Direct Testimony of Michael J. Gruber, with accompanying OTS Exhibit No. 1; (10) OSBA Statement No. 1, the Direct Testimony of Robert D. </w:t>
      </w:r>
      <w:proofErr w:type="spellStart"/>
      <w:r w:rsidRPr="009E106B">
        <w:rPr>
          <w:sz w:val="26"/>
          <w:szCs w:val="26"/>
        </w:rPr>
        <w:t>Knecht</w:t>
      </w:r>
      <w:proofErr w:type="spellEnd"/>
      <w:r w:rsidRPr="009E106B">
        <w:rPr>
          <w:sz w:val="26"/>
          <w:szCs w:val="26"/>
        </w:rPr>
        <w:t xml:space="preserve"> (proprietary and non-proprietary versions), with associated Exhibits IEc-1 and IEc-2; (11) OSBA Statement No. 2, the </w:t>
      </w:r>
      <w:proofErr w:type="spellStart"/>
      <w:r w:rsidRPr="009E106B">
        <w:rPr>
          <w:sz w:val="26"/>
          <w:szCs w:val="26"/>
        </w:rPr>
        <w:t>surrebuttal</w:t>
      </w:r>
      <w:proofErr w:type="spellEnd"/>
      <w:r w:rsidRPr="009E106B">
        <w:rPr>
          <w:sz w:val="26"/>
          <w:szCs w:val="26"/>
        </w:rPr>
        <w:t xml:space="preserve"> testimony of Robert D. </w:t>
      </w:r>
      <w:proofErr w:type="spellStart"/>
      <w:r w:rsidRPr="009E106B">
        <w:rPr>
          <w:sz w:val="26"/>
          <w:szCs w:val="26"/>
        </w:rPr>
        <w:t>Knecht</w:t>
      </w:r>
      <w:proofErr w:type="spellEnd"/>
      <w:r w:rsidRPr="009E106B">
        <w:rPr>
          <w:sz w:val="26"/>
          <w:szCs w:val="26"/>
        </w:rPr>
        <w:t xml:space="preserve">; (12) Shipley Energy Statement No. </w:t>
      </w:r>
      <w:proofErr w:type="gramStart"/>
      <w:r w:rsidRPr="009E106B">
        <w:rPr>
          <w:sz w:val="26"/>
          <w:szCs w:val="26"/>
        </w:rPr>
        <w:t xml:space="preserve">JC-1, the Direct Testimony of James L. </w:t>
      </w:r>
      <w:proofErr w:type="spellStart"/>
      <w:r w:rsidRPr="009E106B">
        <w:rPr>
          <w:sz w:val="26"/>
          <w:szCs w:val="26"/>
        </w:rPr>
        <w:t>Crist</w:t>
      </w:r>
      <w:proofErr w:type="spellEnd"/>
      <w:r w:rsidRPr="009E106B">
        <w:rPr>
          <w:sz w:val="26"/>
          <w:szCs w:val="26"/>
        </w:rPr>
        <w:t>, with accompanying Exhibits JC-1 and 2; and (13) Shipley Energy Statement No.</w:t>
      </w:r>
      <w:proofErr w:type="gramEnd"/>
      <w:r w:rsidRPr="009E106B">
        <w:rPr>
          <w:sz w:val="26"/>
          <w:szCs w:val="26"/>
        </w:rPr>
        <w:t xml:space="preserve"> </w:t>
      </w:r>
      <w:proofErr w:type="gramStart"/>
      <w:r w:rsidRPr="009E106B">
        <w:rPr>
          <w:sz w:val="26"/>
          <w:szCs w:val="26"/>
        </w:rPr>
        <w:t xml:space="preserve">JC-2, the Rebuttal Testimony of James L. </w:t>
      </w:r>
      <w:proofErr w:type="spellStart"/>
      <w:r w:rsidRPr="009E106B">
        <w:rPr>
          <w:sz w:val="26"/>
          <w:szCs w:val="26"/>
        </w:rPr>
        <w:t>Crist</w:t>
      </w:r>
      <w:proofErr w:type="spellEnd"/>
      <w:r w:rsidRPr="009E106B">
        <w:rPr>
          <w:sz w:val="26"/>
          <w:szCs w:val="26"/>
        </w:rPr>
        <w:t>.</w:t>
      </w:r>
      <w:proofErr w:type="gramEnd"/>
      <w:r w:rsidRPr="009E106B">
        <w:rPr>
          <w:sz w:val="26"/>
          <w:szCs w:val="26"/>
        </w:rPr>
        <w:t xml:space="preserve">  </w:t>
      </w:r>
    </w:p>
    <w:p w:rsidR="00B7437D" w:rsidRPr="009E106B" w:rsidRDefault="00B7437D" w:rsidP="00B7437D">
      <w:pPr>
        <w:spacing w:line="360" w:lineRule="auto"/>
        <w:rPr>
          <w:sz w:val="26"/>
          <w:szCs w:val="26"/>
        </w:rPr>
      </w:pPr>
    </w:p>
    <w:p w:rsidR="00B7437D" w:rsidRPr="009E106B" w:rsidRDefault="00B7437D" w:rsidP="00B7437D">
      <w:pPr>
        <w:spacing w:line="360" w:lineRule="auto"/>
        <w:rPr>
          <w:sz w:val="26"/>
          <w:szCs w:val="26"/>
        </w:rPr>
      </w:pPr>
      <w:r w:rsidRPr="009E106B">
        <w:rPr>
          <w:sz w:val="26"/>
          <w:szCs w:val="26"/>
        </w:rPr>
        <w:tab/>
      </w:r>
      <w:r w:rsidRPr="009E106B">
        <w:rPr>
          <w:sz w:val="26"/>
          <w:szCs w:val="26"/>
        </w:rPr>
        <w:tab/>
        <w:t xml:space="preserve">Due to the previously-mentioned controversy concerning the conclusiveness of the Rate GBM transition mechanism, </w:t>
      </w:r>
      <w:r w:rsidR="00D71FFD">
        <w:rPr>
          <w:sz w:val="26"/>
          <w:szCs w:val="26"/>
        </w:rPr>
        <w:t>the ALJ</w:t>
      </w:r>
      <w:r w:rsidRPr="009E106B">
        <w:rPr>
          <w:sz w:val="26"/>
          <w:szCs w:val="26"/>
        </w:rPr>
        <w:t xml:space="preserve"> requested that the Company provide with the Settlement a sample GBM customer notice to affected customers, an update on the number of affected customers, and a statement as to whether the Settlement would treat the transition mechanism as now being resolved.  Tr. 51-53.</w:t>
      </w:r>
    </w:p>
    <w:p w:rsidR="00B7437D" w:rsidRPr="009E106B" w:rsidRDefault="00B7437D" w:rsidP="00B7437D">
      <w:pPr>
        <w:pStyle w:val="Style"/>
        <w:spacing w:line="360" w:lineRule="auto"/>
        <w:ind w:firstLine="1440"/>
        <w:rPr>
          <w:sz w:val="26"/>
          <w:szCs w:val="26"/>
        </w:rPr>
      </w:pPr>
    </w:p>
    <w:p w:rsidR="00B7437D" w:rsidRDefault="00B7437D" w:rsidP="00B7437D">
      <w:pPr>
        <w:pStyle w:val="Style"/>
        <w:spacing w:line="360" w:lineRule="auto"/>
        <w:ind w:firstLine="1440"/>
        <w:rPr>
          <w:sz w:val="26"/>
          <w:szCs w:val="26"/>
        </w:rPr>
      </w:pPr>
      <w:r w:rsidRPr="009E106B">
        <w:rPr>
          <w:sz w:val="26"/>
          <w:szCs w:val="26"/>
        </w:rPr>
        <w:t xml:space="preserve">On August 17, 2010, UGI, OTS, OCA, and OSBA, Shipley and Complainants </w:t>
      </w:r>
      <w:proofErr w:type="spellStart"/>
      <w:r w:rsidRPr="009E106B">
        <w:rPr>
          <w:sz w:val="26"/>
          <w:szCs w:val="26"/>
        </w:rPr>
        <w:t>Karchner</w:t>
      </w:r>
      <w:proofErr w:type="spellEnd"/>
      <w:r w:rsidRPr="009E106B">
        <w:rPr>
          <w:sz w:val="26"/>
          <w:szCs w:val="26"/>
        </w:rPr>
        <w:t xml:space="preserve"> and </w:t>
      </w:r>
      <w:proofErr w:type="spellStart"/>
      <w:r w:rsidRPr="009E106B">
        <w:rPr>
          <w:sz w:val="26"/>
          <w:szCs w:val="26"/>
        </w:rPr>
        <w:t>Yahner</w:t>
      </w:r>
      <w:proofErr w:type="spellEnd"/>
      <w:r w:rsidRPr="009E106B">
        <w:rPr>
          <w:sz w:val="26"/>
          <w:szCs w:val="26"/>
        </w:rPr>
        <w:t xml:space="preserve"> collectively referred to as the “</w:t>
      </w:r>
      <w:r w:rsidR="00064A62">
        <w:rPr>
          <w:sz w:val="26"/>
          <w:szCs w:val="26"/>
        </w:rPr>
        <w:t xml:space="preserve">Settling </w:t>
      </w:r>
      <w:r w:rsidRPr="009E106B">
        <w:rPr>
          <w:sz w:val="26"/>
          <w:szCs w:val="26"/>
        </w:rPr>
        <w:t xml:space="preserve">Parties”, filed a Stipulation </w:t>
      </w:r>
      <w:proofErr w:type="gramStart"/>
      <w:r w:rsidRPr="009E106B">
        <w:rPr>
          <w:sz w:val="26"/>
          <w:szCs w:val="26"/>
        </w:rPr>
        <w:t>In Settlement Of</w:t>
      </w:r>
      <w:proofErr w:type="gramEnd"/>
      <w:r w:rsidRPr="009E106B">
        <w:rPr>
          <w:sz w:val="26"/>
          <w:szCs w:val="26"/>
        </w:rPr>
        <w:t xml:space="preserve"> Section 1307(f) Rate Investigation.  UGIII, the only other </w:t>
      </w:r>
      <w:r w:rsidR="00064A62">
        <w:rPr>
          <w:sz w:val="26"/>
          <w:szCs w:val="26"/>
        </w:rPr>
        <w:t>P</w:t>
      </w:r>
      <w:r w:rsidRPr="009E106B">
        <w:rPr>
          <w:sz w:val="26"/>
          <w:szCs w:val="26"/>
        </w:rPr>
        <w:t xml:space="preserve">arty to this proceeding, provided a Letter of Non-Opposition.  Appendix B of the Stipulation included the additional information that </w:t>
      </w:r>
      <w:r w:rsidR="00D71FFD">
        <w:rPr>
          <w:sz w:val="26"/>
          <w:szCs w:val="26"/>
        </w:rPr>
        <w:t>the ALJ</w:t>
      </w:r>
      <w:r w:rsidRPr="009E106B">
        <w:rPr>
          <w:sz w:val="26"/>
          <w:szCs w:val="26"/>
        </w:rPr>
        <w:t xml:space="preserve"> had required to be provided with the Settlement.</w:t>
      </w:r>
    </w:p>
    <w:p w:rsidR="00D71FFD" w:rsidRPr="009E106B" w:rsidRDefault="00D71FFD" w:rsidP="00B7437D">
      <w:pPr>
        <w:pStyle w:val="Style"/>
        <w:spacing w:line="360" w:lineRule="auto"/>
        <w:ind w:firstLine="1440"/>
        <w:rPr>
          <w:sz w:val="26"/>
          <w:szCs w:val="26"/>
        </w:rPr>
      </w:pPr>
    </w:p>
    <w:p w:rsidR="00B7437D" w:rsidRPr="009E106B" w:rsidRDefault="00B7437D" w:rsidP="00B7437D">
      <w:pPr>
        <w:pStyle w:val="Style"/>
        <w:spacing w:line="360" w:lineRule="auto"/>
        <w:ind w:firstLine="1440"/>
        <w:rPr>
          <w:sz w:val="26"/>
          <w:szCs w:val="26"/>
        </w:rPr>
      </w:pPr>
      <w:r w:rsidRPr="009E106B">
        <w:rPr>
          <w:sz w:val="26"/>
          <w:szCs w:val="26"/>
        </w:rPr>
        <w:t>On August 20, 2010, a telephonic conference</w:t>
      </w:r>
      <w:r w:rsidR="00D71FFD">
        <w:rPr>
          <w:sz w:val="26"/>
          <w:szCs w:val="26"/>
        </w:rPr>
        <w:t xml:space="preserve"> was convened</w:t>
      </w:r>
      <w:r w:rsidRPr="009E106B">
        <w:rPr>
          <w:sz w:val="26"/>
          <w:szCs w:val="26"/>
        </w:rPr>
        <w:t xml:space="preserve"> with the </w:t>
      </w:r>
      <w:r w:rsidR="00064A62">
        <w:rPr>
          <w:sz w:val="26"/>
          <w:szCs w:val="26"/>
        </w:rPr>
        <w:t xml:space="preserve">Settling </w:t>
      </w:r>
      <w:r w:rsidRPr="009E106B">
        <w:rPr>
          <w:sz w:val="26"/>
          <w:szCs w:val="26"/>
        </w:rPr>
        <w:t xml:space="preserve">Parties to discuss some legal concerns regarding the proposed resolution of the </w:t>
      </w:r>
      <w:proofErr w:type="spellStart"/>
      <w:r w:rsidRPr="009E106B">
        <w:rPr>
          <w:sz w:val="26"/>
          <w:szCs w:val="26"/>
        </w:rPr>
        <w:lastRenderedPageBreak/>
        <w:t>Karchner</w:t>
      </w:r>
      <w:proofErr w:type="spellEnd"/>
      <w:r w:rsidRPr="009E106B">
        <w:rPr>
          <w:sz w:val="26"/>
          <w:szCs w:val="26"/>
        </w:rPr>
        <w:t xml:space="preserve"> and </w:t>
      </w:r>
      <w:proofErr w:type="spellStart"/>
      <w:r w:rsidRPr="009E106B">
        <w:rPr>
          <w:sz w:val="26"/>
          <w:szCs w:val="26"/>
        </w:rPr>
        <w:t>Yahner</w:t>
      </w:r>
      <w:proofErr w:type="spellEnd"/>
      <w:r w:rsidRPr="009E106B">
        <w:rPr>
          <w:sz w:val="26"/>
          <w:szCs w:val="26"/>
        </w:rPr>
        <w:t xml:space="preserve"> Complaints in the Settlement.  OCA and UGIII were not present on the call as they had not taken a position on the areas of concern and asked to be excused.  As a result of the conference, the </w:t>
      </w:r>
      <w:r w:rsidR="00064A62">
        <w:rPr>
          <w:sz w:val="26"/>
          <w:szCs w:val="26"/>
        </w:rPr>
        <w:t>Settling P</w:t>
      </w:r>
      <w:r w:rsidRPr="009E106B">
        <w:rPr>
          <w:sz w:val="26"/>
          <w:szCs w:val="26"/>
        </w:rPr>
        <w:t xml:space="preserve">arties agreed to consider filing a revised settlement </w:t>
      </w:r>
      <w:proofErr w:type="gramStart"/>
      <w:r w:rsidRPr="009E106B">
        <w:rPr>
          <w:sz w:val="26"/>
          <w:szCs w:val="26"/>
        </w:rPr>
        <w:t>for  consideration</w:t>
      </w:r>
      <w:proofErr w:type="gramEnd"/>
      <w:r w:rsidRPr="009E106B">
        <w:rPr>
          <w:sz w:val="26"/>
          <w:szCs w:val="26"/>
        </w:rPr>
        <w:t xml:space="preserve"> on or before Friday, August 27, 2010.</w:t>
      </w:r>
    </w:p>
    <w:p w:rsidR="00B7437D" w:rsidRPr="009E106B" w:rsidRDefault="00B7437D" w:rsidP="00B7437D">
      <w:pPr>
        <w:pStyle w:val="Style"/>
        <w:spacing w:line="360" w:lineRule="auto"/>
        <w:ind w:firstLine="1440"/>
        <w:rPr>
          <w:sz w:val="26"/>
          <w:szCs w:val="26"/>
        </w:rPr>
      </w:pPr>
    </w:p>
    <w:p w:rsidR="00B7437D" w:rsidRPr="009E106B" w:rsidRDefault="00B7437D" w:rsidP="00B7437D">
      <w:pPr>
        <w:pStyle w:val="Style"/>
        <w:spacing w:line="360" w:lineRule="auto"/>
        <w:ind w:firstLine="1440"/>
        <w:rPr>
          <w:sz w:val="26"/>
          <w:szCs w:val="26"/>
        </w:rPr>
      </w:pPr>
      <w:r w:rsidRPr="009E106B">
        <w:rPr>
          <w:sz w:val="26"/>
          <w:szCs w:val="26"/>
        </w:rPr>
        <w:t xml:space="preserve">After further negotiation, the </w:t>
      </w:r>
      <w:r w:rsidR="00064A62">
        <w:rPr>
          <w:sz w:val="26"/>
          <w:szCs w:val="26"/>
        </w:rPr>
        <w:t xml:space="preserve">Settling </w:t>
      </w:r>
      <w:r w:rsidRPr="009E106B">
        <w:rPr>
          <w:sz w:val="26"/>
          <w:szCs w:val="26"/>
        </w:rPr>
        <w:t xml:space="preserve">Parties filed a Revised Stipulation </w:t>
      </w:r>
      <w:proofErr w:type="gramStart"/>
      <w:r w:rsidRPr="009E106B">
        <w:rPr>
          <w:sz w:val="26"/>
          <w:szCs w:val="26"/>
        </w:rPr>
        <w:t>In Settlement Of</w:t>
      </w:r>
      <w:proofErr w:type="gramEnd"/>
      <w:r w:rsidRPr="009E106B">
        <w:rPr>
          <w:sz w:val="26"/>
          <w:szCs w:val="26"/>
        </w:rPr>
        <w:t xml:space="preserve"> Section 1307(f) Rate Investigation on August 27, 2010, which modified the Settlement provisions only with respect to resolution of the </w:t>
      </w:r>
      <w:proofErr w:type="spellStart"/>
      <w:r w:rsidRPr="009E106B">
        <w:rPr>
          <w:sz w:val="26"/>
          <w:szCs w:val="26"/>
        </w:rPr>
        <w:t>Karchner</w:t>
      </w:r>
      <w:proofErr w:type="spellEnd"/>
      <w:r w:rsidRPr="009E106B">
        <w:rPr>
          <w:sz w:val="26"/>
          <w:szCs w:val="26"/>
        </w:rPr>
        <w:t xml:space="preserve"> and </w:t>
      </w:r>
      <w:proofErr w:type="spellStart"/>
      <w:r w:rsidRPr="009E106B">
        <w:rPr>
          <w:sz w:val="26"/>
          <w:szCs w:val="26"/>
        </w:rPr>
        <w:t>Yahner</w:t>
      </w:r>
      <w:proofErr w:type="spellEnd"/>
      <w:r w:rsidRPr="009E106B">
        <w:rPr>
          <w:sz w:val="26"/>
          <w:szCs w:val="26"/>
        </w:rPr>
        <w:t xml:space="preserve"> Complaints.  On August 30, 2010, </w:t>
      </w:r>
      <w:r w:rsidR="00D71FFD">
        <w:rPr>
          <w:sz w:val="26"/>
          <w:szCs w:val="26"/>
        </w:rPr>
        <w:t>the ALJ</w:t>
      </w:r>
      <w:r w:rsidRPr="009E106B">
        <w:rPr>
          <w:sz w:val="26"/>
          <w:szCs w:val="26"/>
        </w:rPr>
        <w:t xml:space="preserve"> notified the Parties that </w:t>
      </w:r>
      <w:r w:rsidR="00D226C1">
        <w:rPr>
          <w:sz w:val="26"/>
          <w:szCs w:val="26"/>
        </w:rPr>
        <w:t>her</w:t>
      </w:r>
      <w:r w:rsidRPr="009E106B">
        <w:rPr>
          <w:sz w:val="26"/>
          <w:szCs w:val="26"/>
        </w:rPr>
        <w:t xml:space="preserve"> legal concerns had been addressed, with one exception in Paragraph #42. </w:t>
      </w:r>
    </w:p>
    <w:p w:rsidR="00B7437D" w:rsidRPr="009E106B" w:rsidRDefault="00B7437D" w:rsidP="00B7437D">
      <w:pPr>
        <w:pStyle w:val="Style"/>
        <w:spacing w:line="360" w:lineRule="auto"/>
        <w:ind w:firstLine="1440"/>
        <w:rPr>
          <w:sz w:val="26"/>
          <w:szCs w:val="26"/>
        </w:rPr>
      </w:pPr>
    </w:p>
    <w:p w:rsidR="00B7437D" w:rsidRPr="009E106B" w:rsidRDefault="00B7437D" w:rsidP="00B7437D">
      <w:pPr>
        <w:pStyle w:val="Style"/>
        <w:spacing w:line="360" w:lineRule="auto"/>
        <w:ind w:firstLine="1440"/>
        <w:rPr>
          <w:sz w:val="26"/>
          <w:szCs w:val="26"/>
        </w:rPr>
      </w:pPr>
      <w:r w:rsidRPr="009E106B">
        <w:rPr>
          <w:sz w:val="26"/>
          <w:szCs w:val="26"/>
        </w:rPr>
        <w:t xml:space="preserve">On August 31, 2010, with the consent or non-opposition of all </w:t>
      </w:r>
      <w:r w:rsidR="00064A62">
        <w:rPr>
          <w:sz w:val="26"/>
          <w:szCs w:val="26"/>
        </w:rPr>
        <w:t>P</w:t>
      </w:r>
      <w:r w:rsidRPr="009E106B">
        <w:rPr>
          <w:sz w:val="26"/>
          <w:szCs w:val="26"/>
        </w:rPr>
        <w:t xml:space="preserve">arties, UGI filed a revised page 14 to the Settlement, which made the change </w:t>
      </w:r>
      <w:r w:rsidR="00D226C1">
        <w:rPr>
          <w:sz w:val="26"/>
          <w:szCs w:val="26"/>
        </w:rPr>
        <w:t>the ALJ</w:t>
      </w:r>
      <w:r w:rsidRPr="009E106B">
        <w:rPr>
          <w:sz w:val="26"/>
          <w:szCs w:val="26"/>
        </w:rPr>
        <w:t xml:space="preserve"> had requested to Paragraph #42. </w:t>
      </w:r>
    </w:p>
    <w:p w:rsidR="00B7437D" w:rsidRPr="009E106B" w:rsidRDefault="00B7437D" w:rsidP="00B7437D">
      <w:pPr>
        <w:pStyle w:val="Style"/>
        <w:spacing w:line="360" w:lineRule="auto"/>
        <w:ind w:firstLine="1440"/>
        <w:rPr>
          <w:color w:val="000000"/>
          <w:sz w:val="26"/>
          <w:szCs w:val="26"/>
        </w:rPr>
      </w:pPr>
    </w:p>
    <w:p w:rsidR="00B7437D" w:rsidRPr="009E106B" w:rsidRDefault="00B7437D" w:rsidP="00B7437D">
      <w:pPr>
        <w:pStyle w:val="Style"/>
        <w:spacing w:line="360" w:lineRule="auto"/>
        <w:ind w:firstLine="1440"/>
        <w:rPr>
          <w:spacing w:val="-3"/>
          <w:sz w:val="26"/>
          <w:szCs w:val="26"/>
        </w:rPr>
      </w:pPr>
      <w:r w:rsidRPr="009E106B">
        <w:rPr>
          <w:spacing w:val="-3"/>
          <w:sz w:val="26"/>
          <w:szCs w:val="26"/>
        </w:rPr>
        <w:t xml:space="preserve">On September 3, 2010, the UGI 1307(f) record was closed.  The record consists of the above-mentioned statements and exhibits and 54 transcript pages.  </w:t>
      </w:r>
      <w:r w:rsidR="00E930FE">
        <w:rPr>
          <w:spacing w:val="-3"/>
          <w:sz w:val="26"/>
          <w:szCs w:val="26"/>
        </w:rPr>
        <w:t xml:space="preserve">In her Recommended Decision, the ALJ recommended that the Stipulation is in the public interest </w:t>
      </w:r>
      <w:r w:rsidR="0066417A">
        <w:rPr>
          <w:spacing w:val="-3"/>
          <w:sz w:val="26"/>
          <w:szCs w:val="26"/>
        </w:rPr>
        <w:t>and should be approved.  The ALJ also recommended that the compliance filing be permitted to become effective for service rendered on and after December 1, 2010.</w:t>
      </w:r>
    </w:p>
    <w:p w:rsidR="00DE0750" w:rsidRPr="000059F9" w:rsidRDefault="00DE0750" w:rsidP="000059F9">
      <w:pPr>
        <w:spacing w:line="360" w:lineRule="auto"/>
        <w:rPr>
          <w:sz w:val="26"/>
          <w:szCs w:val="26"/>
        </w:rPr>
      </w:pPr>
    </w:p>
    <w:p w:rsidR="00DE0750" w:rsidRDefault="00DE0750" w:rsidP="00DE0750">
      <w:pPr>
        <w:widowControl/>
        <w:autoSpaceDE w:val="0"/>
        <w:autoSpaceDN w:val="0"/>
        <w:adjustRightInd w:val="0"/>
        <w:spacing w:line="360" w:lineRule="auto"/>
        <w:jc w:val="center"/>
        <w:rPr>
          <w:rFonts w:eastAsiaTheme="minorHAnsi" w:cs="Times New Roman"/>
          <w:b/>
          <w:sz w:val="26"/>
          <w:szCs w:val="26"/>
          <w:lang w:bidi="ar-SA"/>
        </w:rPr>
      </w:pPr>
      <w:r>
        <w:rPr>
          <w:rFonts w:eastAsiaTheme="minorHAnsi" w:cs="Times New Roman"/>
          <w:b/>
          <w:sz w:val="26"/>
          <w:szCs w:val="26"/>
          <w:lang w:bidi="ar-SA"/>
        </w:rPr>
        <w:t>Description of the Settlement</w:t>
      </w:r>
    </w:p>
    <w:p w:rsidR="00DE0750" w:rsidRDefault="00DE0750" w:rsidP="00DE0750">
      <w:pPr>
        <w:widowControl/>
        <w:autoSpaceDE w:val="0"/>
        <w:autoSpaceDN w:val="0"/>
        <w:adjustRightInd w:val="0"/>
        <w:spacing w:line="360" w:lineRule="auto"/>
        <w:jc w:val="center"/>
        <w:rPr>
          <w:rFonts w:eastAsiaTheme="minorHAnsi" w:cs="Times New Roman"/>
          <w:b/>
          <w:sz w:val="26"/>
          <w:szCs w:val="26"/>
          <w:lang w:bidi="ar-SA"/>
        </w:rPr>
      </w:pPr>
    </w:p>
    <w:p w:rsidR="00E74CC7" w:rsidRPr="00E74CC7" w:rsidRDefault="00E74CC7" w:rsidP="00E74CC7">
      <w:pPr>
        <w:spacing w:line="360" w:lineRule="auto"/>
        <w:ind w:firstLine="1440"/>
        <w:rPr>
          <w:rFonts w:cs="Times New Roman"/>
          <w:sz w:val="26"/>
          <w:szCs w:val="26"/>
        </w:rPr>
      </w:pPr>
      <w:r w:rsidRPr="00E74CC7">
        <w:rPr>
          <w:rFonts w:cs="Times New Roman"/>
          <w:sz w:val="26"/>
          <w:szCs w:val="26"/>
        </w:rPr>
        <w:t>The Stipulation consists of a twenty (20) page document, with attached Appendices A through G.  The body of the document provides the terms and conditions for resolving issues raised by the litigants and requests findings to comply with 66 Pa. C.S. §</w:t>
      </w:r>
      <w:r w:rsidR="00064A62">
        <w:rPr>
          <w:rFonts w:cs="Times New Roman"/>
          <w:sz w:val="26"/>
          <w:szCs w:val="26"/>
        </w:rPr>
        <w:t xml:space="preserve"> </w:t>
      </w:r>
      <w:r w:rsidRPr="00E74CC7">
        <w:rPr>
          <w:rFonts w:cs="Times New Roman"/>
          <w:sz w:val="26"/>
          <w:szCs w:val="26"/>
        </w:rPr>
        <w:t xml:space="preserve">1318 for the requisite time periods.  Appendix A provides the computation of the PGC and GBM settlement rates for UGI customers based upon adjustments to projected and experienced costs for the period ending November 30, 2011.  These rates are subject </w:t>
      </w:r>
      <w:r w:rsidRPr="00E74CC7">
        <w:rPr>
          <w:rFonts w:cs="Times New Roman"/>
          <w:sz w:val="26"/>
          <w:szCs w:val="26"/>
        </w:rPr>
        <w:lastRenderedPageBreak/>
        <w:t xml:space="preserve">to updates and tariff modifications traditionally performed as part of UGI’s December 1 PGC compliance filing.  </w:t>
      </w:r>
    </w:p>
    <w:p w:rsidR="00E74CC7" w:rsidRPr="00E74CC7" w:rsidRDefault="00E74CC7" w:rsidP="00E74CC7">
      <w:pPr>
        <w:spacing w:line="360" w:lineRule="auto"/>
        <w:rPr>
          <w:rFonts w:cs="Times New Roman"/>
          <w:sz w:val="26"/>
          <w:szCs w:val="26"/>
        </w:rPr>
      </w:pPr>
    </w:p>
    <w:p w:rsidR="00E74CC7" w:rsidRPr="00E74CC7" w:rsidRDefault="00E74CC7" w:rsidP="00E74CC7">
      <w:pPr>
        <w:spacing w:line="360" w:lineRule="auto"/>
        <w:rPr>
          <w:rFonts w:cs="Times New Roman"/>
          <w:sz w:val="26"/>
          <w:szCs w:val="26"/>
          <w:u w:val="single"/>
        </w:rPr>
      </w:pPr>
      <w:r w:rsidRPr="00E74CC7">
        <w:rPr>
          <w:rFonts w:cs="Times New Roman"/>
          <w:sz w:val="26"/>
          <w:szCs w:val="26"/>
        </w:rPr>
        <w:tab/>
      </w:r>
      <w:r w:rsidRPr="00E74CC7">
        <w:rPr>
          <w:rFonts w:cs="Times New Roman"/>
          <w:sz w:val="26"/>
          <w:szCs w:val="26"/>
        </w:rPr>
        <w:tab/>
        <w:t>Based upon the settlement adjustments, the PGC rate for Rate R, effective December 1, 2010, is $8.3530/</w:t>
      </w:r>
      <w:proofErr w:type="spellStart"/>
      <w:r w:rsidRPr="00E74CC7">
        <w:rPr>
          <w:rFonts w:cs="Times New Roman"/>
          <w:sz w:val="26"/>
          <w:szCs w:val="26"/>
        </w:rPr>
        <w:t>Mcf</w:t>
      </w:r>
      <w:proofErr w:type="spellEnd"/>
      <w:r w:rsidRPr="00E74CC7">
        <w:rPr>
          <w:rFonts w:cs="Times New Roman"/>
          <w:sz w:val="26"/>
          <w:szCs w:val="26"/>
        </w:rPr>
        <w:t>, a reduction of $0.81/</w:t>
      </w:r>
      <w:proofErr w:type="spellStart"/>
      <w:r w:rsidRPr="00E74CC7">
        <w:rPr>
          <w:rFonts w:cs="Times New Roman"/>
          <w:sz w:val="26"/>
          <w:szCs w:val="26"/>
        </w:rPr>
        <w:t>Mcf</w:t>
      </w:r>
      <w:proofErr w:type="spellEnd"/>
      <w:r w:rsidRPr="00E74CC7">
        <w:rPr>
          <w:rFonts w:cs="Times New Roman"/>
          <w:sz w:val="26"/>
          <w:szCs w:val="26"/>
        </w:rPr>
        <w:t xml:space="preserve"> (rounded) from the current PGC rate of $9.16/</w:t>
      </w:r>
      <w:proofErr w:type="spellStart"/>
      <w:r w:rsidRPr="00E74CC7">
        <w:rPr>
          <w:rFonts w:cs="Times New Roman"/>
          <w:sz w:val="26"/>
          <w:szCs w:val="26"/>
        </w:rPr>
        <w:t>Mcf</w:t>
      </w:r>
      <w:proofErr w:type="spellEnd"/>
      <w:r w:rsidRPr="00E74CC7">
        <w:rPr>
          <w:rFonts w:cs="Times New Roman"/>
          <w:sz w:val="26"/>
          <w:szCs w:val="26"/>
        </w:rPr>
        <w:t>, and a further reduction of $0.05/</w:t>
      </w:r>
      <w:proofErr w:type="spellStart"/>
      <w:r w:rsidRPr="00E74CC7">
        <w:rPr>
          <w:rFonts w:cs="Times New Roman"/>
          <w:sz w:val="26"/>
          <w:szCs w:val="26"/>
        </w:rPr>
        <w:t>Mcf</w:t>
      </w:r>
      <w:proofErr w:type="spellEnd"/>
      <w:r w:rsidRPr="00E74CC7">
        <w:rPr>
          <w:rFonts w:cs="Times New Roman"/>
          <w:sz w:val="26"/>
          <w:szCs w:val="26"/>
        </w:rPr>
        <w:t xml:space="preserve"> from the $0.76/</w:t>
      </w:r>
      <w:proofErr w:type="spellStart"/>
      <w:r w:rsidRPr="00E74CC7">
        <w:rPr>
          <w:rFonts w:cs="Times New Roman"/>
          <w:sz w:val="26"/>
          <w:szCs w:val="26"/>
        </w:rPr>
        <w:t>Mcf</w:t>
      </w:r>
      <w:proofErr w:type="spellEnd"/>
      <w:r w:rsidRPr="00E74CC7">
        <w:rPr>
          <w:rFonts w:cs="Times New Roman"/>
          <w:sz w:val="26"/>
          <w:szCs w:val="26"/>
        </w:rPr>
        <w:t xml:space="preserve"> decrease originally proposed by the Company.  The GBM rate for affected customers, effective December 1, 2010, is $10.8520/</w:t>
      </w:r>
      <w:proofErr w:type="spellStart"/>
      <w:r w:rsidRPr="00E74CC7">
        <w:rPr>
          <w:rFonts w:cs="Times New Roman"/>
          <w:sz w:val="26"/>
          <w:szCs w:val="26"/>
        </w:rPr>
        <w:t>Mcf</w:t>
      </w:r>
      <w:proofErr w:type="spellEnd"/>
      <w:r w:rsidRPr="00E74CC7">
        <w:rPr>
          <w:rFonts w:cs="Times New Roman"/>
          <w:sz w:val="26"/>
          <w:szCs w:val="26"/>
        </w:rPr>
        <w:t>, an increase of 12.7% over the current Rate GBM (PGC(1) rate) of $9.16/</w:t>
      </w:r>
      <w:proofErr w:type="spellStart"/>
      <w:r w:rsidRPr="00E74CC7">
        <w:rPr>
          <w:rFonts w:cs="Times New Roman"/>
          <w:sz w:val="26"/>
          <w:szCs w:val="26"/>
        </w:rPr>
        <w:t>Mcf</w:t>
      </w:r>
      <w:proofErr w:type="spellEnd"/>
      <w:r w:rsidRPr="00E74CC7">
        <w:rPr>
          <w:rFonts w:cs="Times New Roman"/>
          <w:sz w:val="26"/>
          <w:szCs w:val="26"/>
        </w:rPr>
        <w:t xml:space="preserve"> to reflect the phase-in of 20% of propane costs under the GBM mechanism.</w:t>
      </w:r>
    </w:p>
    <w:p w:rsidR="00E74CC7" w:rsidRPr="00E74CC7" w:rsidRDefault="00E74CC7" w:rsidP="00E74CC7">
      <w:pPr>
        <w:spacing w:line="360" w:lineRule="auto"/>
        <w:rPr>
          <w:rFonts w:cs="Times New Roman"/>
          <w:sz w:val="26"/>
          <w:szCs w:val="26"/>
        </w:rPr>
      </w:pPr>
    </w:p>
    <w:p w:rsidR="00E74CC7" w:rsidRPr="00E74CC7" w:rsidRDefault="00E74CC7" w:rsidP="00E74CC7">
      <w:pPr>
        <w:spacing w:line="360" w:lineRule="auto"/>
        <w:rPr>
          <w:rFonts w:cs="Times New Roman"/>
          <w:sz w:val="26"/>
          <w:szCs w:val="26"/>
        </w:rPr>
      </w:pPr>
      <w:r w:rsidRPr="00E74CC7">
        <w:rPr>
          <w:rFonts w:cs="Times New Roman"/>
          <w:sz w:val="26"/>
          <w:szCs w:val="26"/>
        </w:rPr>
        <w:tab/>
      </w:r>
      <w:r w:rsidRPr="00E74CC7">
        <w:rPr>
          <w:rFonts w:cs="Times New Roman"/>
          <w:sz w:val="26"/>
          <w:szCs w:val="26"/>
        </w:rPr>
        <w:tab/>
        <w:t xml:space="preserve">Appendices B, C, D, E, and F contain Statements in Support of the Stipulation, prepared by UGI, OTS, OCA, OSBA, and Shipley, respectively.  Appendix B also contains an Affidavit of G.P. </w:t>
      </w:r>
      <w:proofErr w:type="spellStart"/>
      <w:r w:rsidRPr="00E74CC7">
        <w:rPr>
          <w:rFonts w:cs="Times New Roman"/>
          <w:sz w:val="26"/>
          <w:szCs w:val="26"/>
        </w:rPr>
        <w:t>Ghio</w:t>
      </w:r>
      <w:proofErr w:type="spellEnd"/>
      <w:r w:rsidRPr="00E74CC7">
        <w:rPr>
          <w:rFonts w:cs="Times New Roman"/>
          <w:sz w:val="26"/>
          <w:szCs w:val="26"/>
        </w:rPr>
        <w:t xml:space="preserve"> and Exhibit UGI-JPG-Settlement-1, provided in response to </w:t>
      </w:r>
      <w:r w:rsidR="007E5866">
        <w:rPr>
          <w:rFonts w:cs="Times New Roman"/>
          <w:sz w:val="26"/>
          <w:szCs w:val="26"/>
        </w:rPr>
        <w:t>the ALJ’s</w:t>
      </w:r>
      <w:r w:rsidRPr="00E74CC7">
        <w:rPr>
          <w:rFonts w:cs="Times New Roman"/>
          <w:sz w:val="26"/>
          <w:szCs w:val="26"/>
        </w:rPr>
        <w:t xml:space="preserve"> request for additional settlement information.  The </w:t>
      </w:r>
      <w:r w:rsidR="00E76989">
        <w:rPr>
          <w:rFonts w:cs="Times New Roman"/>
          <w:sz w:val="26"/>
          <w:szCs w:val="26"/>
        </w:rPr>
        <w:t xml:space="preserve">Settling </w:t>
      </w:r>
      <w:r w:rsidRPr="00E74CC7">
        <w:rPr>
          <w:rFonts w:cs="Times New Roman"/>
          <w:sz w:val="26"/>
          <w:szCs w:val="26"/>
        </w:rPr>
        <w:t xml:space="preserve">Parties’ specific issues have been addressed in the Settlement, at paragraphs 26-42, as follows:  </w:t>
      </w:r>
    </w:p>
    <w:p w:rsidR="00E74CC7" w:rsidRPr="00E74CC7" w:rsidRDefault="00E74CC7" w:rsidP="00E74CC7">
      <w:pPr>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 xml:space="preserve">26. </w:t>
      </w:r>
      <w:r w:rsidRPr="00E74CC7">
        <w:rPr>
          <w:rFonts w:cs="Times New Roman"/>
          <w:sz w:val="26"/>
          <w:szCs w:val="26"/>
        </w:rPr>
        <w:tab/>
        <w:t xml:space="preserve">The Parties agree the rates for the recovery of the purchased gas costs of UGI should be revised, subject to updates, effective December 1, 2010, to reflect the rates set forth in Appendix A hereto. </w:t>
      </w:r>
    </w:p>
    <w:p w:rsidR="00E74CC7" w:rsidRPr="00E74CC7" w:rsidRDefault="00E74CC7" w:rsidP="00E74CC7">
      <w:pPr>
        <w:ind w:left="720" w:right="721"/>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 xml:space="preserve">27. </w:t>
      </w:r>
      <w:r w:rsidRPr="00E74CC7">
        <w:rPr>
          <w:rFonts w:cs="Times New Roman"/>
          <w:sz w:val="26"/>
          <w:szCs w:val="26"/>
        </w:rPr>
        <w:tab/>
        <w:t xml:space="preserve">Effective December 1, 2010, UGI shall discontinue its practice of purchasing swing gas supplies under contracts with first-of-month pricing provisions. </w:t>
      </w:r>
    </w:p>
    <w:p w:rsidR="00E74CC7" w:rsidRPr="00E74CC7" w:rsidRDefault="00E74CC7" w:rsidP="00E74CC7">
      <w:pPr>
        <w:ind w:left="720" w:right="721"/>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 xml:space="preserve">28. </w:t>
      </w:r>
      <w:r w:rsidRPr="00E74CC7">
        <w:rPr>
          <w:rFonts w:cs="Times New Roman"/>
          <w:sz w:val="26"/>
          <w:szCs w:val="26"/>
        </w:rPr>
        <w:tab/>
        <w:t xml:space="preserve">UGI will track gas losses associated with line hits and include a report of such losses in its next PGC proceedings. </w:t>
      </w:r>
    </w:p>
    <w:p w:rsidR="00E74CC7" w:rsidRPr="00E74CC7" w:rsidRDefault="00E74CC7" w:rsidP="00E74CC7">
      <w:pPr>
        <w:ind w:left="720" w:right="721"/>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 xml:space="preserve">29. </w:t>
      </w:r>
      <w:r w:rsidRPr="00E74CC7">
        <w:rPr>
          <w:rFonts w:cs="Times New Roman"/>
          <w:sz w:val="26"/>
          <w:szCs w:val="26"/>
        </w:rPr>
        <w:tab/>
        <w:t xml:space="preserve">In its compliance filing in this proceeding, UGI will revise its mandatory direct assignment rules applicable to licensed natural gas suppliers providing natural gas supply service to Rate RT - </w:t>
      </w:r>
      <w:r w:rsidRPr="00E74CC7">
        <w:rPr>
          <w:rFonts w:cs="Times New Roman"/>
          <w:i/>
          <w:iCs/>
          <w:sz w:val="26"/>
          <w:szCs w:val="26"/>
        </w:rPr>
        <w:t xml:space="preserve">General Service </w:t>
      </w:r>
      <w:r w:rsidRPr="00E74CC7">
        <w:rPr>
          <w:rFonts w:cs="Times New Roman"/>
          <w:sz w:val="26"/>
          <w:szCs w:val="26"/>
        </w:rPr>
        <w:t xml:space="preserve">- </w:t>
      </w:r>
      <w:r w:rsidRPr="00E74CC7">
        <w:rPr>
          <w:rFonts w:cs="Times New Roman"/>
          <w:i/>
          <w:iCs/>
          <w:sz w:val="26"/>
          <w:szCs w:val="26"/>
        </w:rPr>
        <w:t xml:space="preserve">Residential Transportation </w:t>
      </w:r>
      <w:r w:rsidRPr="00E74CC7">
        <w:rPr>
          <w:rFonts w:cs="Times New Roman"/>
          <w:sz w:val="26"/>
          <w:szCs w:val="26"/>
        </w:rPr>
        <w:t xml:space="preserve">and Rate NT - </w:t>
      </w:r>
      <w:r w:rsidRPr="00E74CC7">
        <w:rPr>
          <w:rFonts w:cs="Times New Roman"/>
          <w:i/>
          <w:iCs/>
          <w:sz w:val="26"/>
          <w:szCs w:val="26"/>
        </w:rPr>
        <w:t xml:space="preserve">General Service </w:t>
      </w:r>
      <w:r w:rsidRPr="00E74CC7">
        <w:rPr>
          <w:rFonts w:cs="Times New Roman"/>
          <w:i/>
          <w:iCs/>
          <w:sz w:val="26"/>
          <w:szCs w:val="26"/>
        </w:rPr>
        <w:softHyphen/>
        <w:t xml:space="preserve">Non-residential Transportation </w:t>
      </w:r>
      <w:r w:rsidRPr="00E74CC7">
        <w:rPr>
          <w:rFonts w:cs="Times New Roman"/>
          <w:sz w:val="26"/>
          <w:szCs w:val="26"/>
        </w:rPr>
        <w:t xml:space="preserve">customers (collectively "Choice Customers" or </w:t>
      </w:r>
      <w:r w:rsidRPr="00E74CC7">
        <w:rPr>
          <w:rFonts w:cs="Times New Roman"/>
          <w:sz w:val="26"/>
          <w:szCs w:val="26"/>
        </w:rPr>
        <w:lastRenderedPageBreak/>
        <w:t xml:space="preserve">individually "Choice Customer") under UGI Rate AO - </w:t>
      </w:r>
      <w:r w:rsidRPr="00E74CC7">
        <w:rPr>
          <w:rFonts w:cs="Times New Roman"/>
          <w:i/>
          <w:iCs/>
          <w:sz w:val="26"/>
          <w:szCs w:val="26"/>
        </w:rPr>
        <w:t xml:space="preserve">Aggregation Service </w:t>
      </w:r>
      <w:r w:rsidRPr="00E74CC7">
        <w:rPr>
          <w:rFonts w:cs="Times New Roman"/>
          <w:sz w:val="26"/>
          <w:szCs w:val="26"/>
        </w:rPr>
        <w:t xml:space="preserve">(collectively "Choice Suppliers" or individually "Choice Supplier") to provide that, for the period December 1, 2010 through October 31, 2011, Choice Suppliers serving Choice Customers on the Company's system on or before October 1, 2010 </w:t>
      </w:r>
      <w:r w:rsidRPr="00E74CC7">
        <w:rPr>
          <w:rFonts w:cs="Times New Roman"/>
          <w:sz w:val="26"/>
          <w:szCs w:val="26"/>
          <w:u w:val="single"/>
        </w:rPr>
        <w:t>may elect</w:t>
      </w:r>
      <w:r w:rsidRPr="00E74CC7">
        <w:rPr>
          <w:rFonts w:cs="Times New Roman"/>
          <w:sz w:val="26"/>
          <w:szCs w:val="26"/>
        </w:rPr>
        <w:t xml:space="preserve">, and Choice Suppliers serving Choice Customers on the Company's system after October 1, 2010 </w:t>
      </w:r>
      <w:r w:rsidRPr="00E74CC7">
        <w:rPr>
          <w:rFonts w:cs="Times New Roman"/>
          <w:sz w:val="26"/>
          <w:szCs w:val="26"/>
          <w:u w:val="single"/>
        </w:rPr>
        <w:t>must elect</w:t>
      </w:r>
      <w:r w:rsidRPr="00E74CC7">
        <w:rPr>
          <w:rFonts w:cs="Times New Roman"/>
          <w:sz w:val="26"/>
          <w:szCs w:val="26"/>
        </w:rPr>
        <w:t xml:space="preserve"> to receive a release of capacity in accordance with one of the following options; with such election to be made on or before October 15, 2010, except for any new Choice Suppliers to the Company's system after October 1, 2010 who shall make an election for the remainder of the period no later than 30 days prior to commencing service on the Company's system:</w:t>
      </w:r>
    </w:p>
    <w:p w:rsidR="00E74CC7" w:rsidRPr="00E74CC7" w:rsidRDefault="00E74CC7" w:rsidP="00E74CC7">
      <w:pPr>
        <w:ind w:right="1441"/>
        <w:rPr>
          <w:rFonts w:cs="Times New Roman"/>
          <w:sz w:val="26"/>
          <w:szCs w:val="26"/>
        </w:rPr>
      </w:pPr>
    </w:p>
    <w:p w:rsidR="00E74CC7" w:rsidRPr="00E74CC7" w:rsidRDefault="00E74CC7" w:rsidP="00E74CC7">
      <w:pPr>
        <w:ind w:left="1440" w:right="1441"/>
        <w:rPr>
          <w:rFonts w:cs="Times New Roman"/>
          <w:sz w:val="26"/>
          <w:szCs w:val="26"/>
        </w:rPr>
      </w:pPr>
      <w:r w:rsidRPr="00E74CC7">
        <w:rPr>
          <w:rFonts w:cs="Times New Roman"/>
          <w:sz w:val="26"/>
          <w:szCs w:val="26"/>
        </w:rPr>
        <w:tab/>
      </w:r>
      <w:proofErr w:type="gramStart"/>
      <w:r w:rsidRPr="00E74CC7">
        <w:rPr>
          <w:rFonts w:cs="Times New Roman"/>
          <w:sz w:val="26"/>
          <w:szCs w:val="26"/>
          <w:u w:val="single"/>
        </w:rPr>
        <w:t>Option One</w:t>
      </w:r>
      <w:r w:rsidRPr="00E74CC7">
        <w:rPr>
          <w:rFonts w:cs="Times New Roman"/>
          <w:sz w:val="26"/>
          <w:szCs w:val="26"/>
        </w:rPr>
        <w:t xml:space="preserve"> - A release of interstate pipeline capacity at a price equal to the projected weighted average demand cost of all PGC capacity, storage and peaking assets.</w:t>
      </w:r>
      <w:proofErr w:type="gramEnd"/>
      <w:r w:rsidRPr="00E74CC7">
        <w:rPr>
          <w:rFonts w:cs="Times New Roman"/>
          <w:sz w:val="26"/>
          <w:szCs w:val="26"/>
        </w:rPr>
        <w:t xml:space="preserve"> Such interstate pipeline capacity would be released monthly in an amount equivalent to the average projected Daily Delivery Requirement ("DDR") during the peak winter month of January, assuming normal weather, (the January Normal Daily Delivery Requirement or "January NDDR") of the Choice Customers projected to be served by the Choice Supplier during the month. </w:t>
      </w:r>
    </w:p>
    <w:p w:rsidR="00E74CC7" w:rsidRPr="00E74CC7" w:rsidRDefault="00E74CC7" w:rsidP="00E74CC7">
      <w:pPr>
        <w:ind w:right="1441"/>
        <w:rPr>
          <w:rFonts w:cs="Times New Roman"/>
          <w:sz w:val="26"/>
          <w:szCs w:val="26"/>
        </w:rPr>
      </w:pPr>
    </w:p>
    <w:p w:rsidR="00E74CC7" w:rsidRPr="00E74CC7" w:rsidRDefault="00E74CC7" w:rsidP="00E74CC7">
      <w:pPr>
        <w:ind w:left="1440" w:right="1441"/>
        <w:rPr>
          <w:rFonts w:cs="Times New Roman"/>
          <w:sz w:val="26"/>
          <w:szCs w:val="26"/>
        </w:rPr>
      </w:pPr>
      <w:r w:rsidRPr="00E74CC7">
        <w:rPr>
          <w:rFonts w:cs="Times New Roman"/>
          <w:sz w:val="26"/>
          <w:szCs w:val="26"/>
        </w:rPr>
        <w:tab/>
      </w:r>
      <w:r w:rsidRPr="00E74CC7">
        <w:rPr>
          <w:rFonts w:cs="Times New Roman"/>
          <w:sz w:val="26"/>
          <w:szCs w:val="26"/>
          <w:u w:val="single"/>
        </w:rPr>
        <w:t>Option Two</w:t>
      </w:r>
      <w:r w:rsidRPr="00E74CC7">
        <w:rPr>
          <w:rFonts w:cs="Times New Roman"/>
          <w:sz w:val="26"/>
          <w:szCs w:val="26"/>
        </w:rPr>
        <w:t xml:space="preserve"> A monthly release of interstate pipeline capacity in an amount equal to forty percent (40%) of the January NDDR of the Choice Customers served by the Choice Supplier during the month. The capacity would be released at a price equal to the projected weighted average demand cost of all PGC capacity, storage and peaking assets, divided by .40, so that the total costs of the released capacity is equal to the costs of released capacity under Option One. UGI would also make a bundled city gate sale of gas to the Choice Supplier in an amount equal to sixty (60%) of the forecasted monthly average DDR of the Choice Customers served by the Choice Supplier multiplied by the number of days in the month for each month during the months of November through March. The transaction would be a base load sale with a ratable quantity sold each day of the month. The bundled city gate sale would be priced at (1) the average published April through October INSIDE FERC First of Month Natural Gas monthly price for Columbia Gulf Mainline, plus (2) the variable transportation and storage </w:t>
      </w:r>
      <w:r w:rsidRPr="00E74CC7">
        <w:rPr>
          <w:rFonts w:cs="Times New Roman"/>
          <w:sz w:val="26"/>
          <w:szCs w:val="26"/>
        </w:rPr>
        <w:lastRenderedPageBreak/>
        <w:t xml:space="preserve">charges associated with the delivery path shown on Exhibit 1 to this Settlement, including fuel and commodity costs for storage injection and withdrawals. Option Two shall be the default election for any Choice Supplier failing to make an election by the election due date. </w:t>
      </w:r>
    </w:p>
    <w:p w:rsidR="00E74CC7" w:rsidRPr="00E74CC7" w:rsidRDefault="00E74CC7" w:rsidP="00E74CC7">
      <w:pPr>
        <w:ind w:right="1441"/>
        <w:rPr>
          <w:rFonts w:cs="Times New Roman"/>
          <w:sz w:val="26"/>
          <w:szCs w:val="26"/>
        </w:rPr>
      </w:pPr>
    </w:p>
    <w:p w:rsidR="00E74CC7" w:rsidRPr="00E74CC7" w:rsidRDefault="00E74CC7" w:rsidP="00E74CC7">
      <w:pPr>
        <w:ind w:left="1440" w:right="1441"/>
        <w:rPr>
          <w:rFonts w:cs="Times New Roman"/>
          <w:sz w:val="26"/>
          <w:szCs w:val="26"/>
        </w:rPr>
      </w:pPr>
      <w:r w:rsidRPr="00E74CC7">
        <w:rPr>
          <w:rFonts w:cs="Times New Roman"/>
          <w:sz w:val="26"/>
          <w:szCs w:val="26"/>
        </w:rPr>
        <w:tab/>
      </w:r>
      <w:r w:rsidRPr="00E74CC7">
        <w:rPr>
          <w:rFonts w:cs="Times New Roman"/>
          <w:sz w:val="26"/>
          <w:szCs w:val="26"/>
          <w:u w:val="single"/>
        </w:rPr>
        <w:t>Option Three</w:t>
      </w:r>
      <w:r w:rsidRPr="00E74CC7">
        <w:rPr>
          <w:rFonts w:cs="Times New Roman"/>
          <w:sz w:val="26"/>
          <w:szCs w:val="26"/>
        </w:rPr>
        <w:t xml:space="preserve"> - A release of interstate pipeline capacity at a price equal to the projected weighted average demand cost of all PGC capacity, storage and peaking assets. Such interstate pipeline capacity would be released monthly in an amount equivalent to the peak day projected Daily Delivery Requirement ("DDR"), assuming design cold, (the Peak Daily Delivery Requirement or " PDDR") of the Choice Customers projected to be served by the Choice Supplier during the month. </w:t>
      </w:r>
    </w:p>
    <w:p w:rsidR="00E74CC7" w:rsidRPr="00E74CC7" w:rsidRDefault="00E74CC7" w:rsidP="00E74CC7">
      <w:pPr>
        <w:ind w:right="1441"/>
        <w:rPr>
          <w:rFonts w:cs="Times New Roman"/>
          <w:sz w:val="26"/>
          <w:szCs w:val="26"/>
        </w:rPr>
      </w:pPr>
    </w:p>
    <w:p w:rsidR="00E74CC7" w:rsidRPr="00E74CC7" w:rsidRDefault="00E74CC7" w:rsidP="00E74CC7">
      <w:pPr>
        <w:ind w:left="1440" w:right="1441"/>
        <w:rPr>
          <w:rFonts w:cs="Times New Roman"/>
          <w:sz w:val="26"/>
          <w:szCs w:val="26"/>
        </w:rPr>
      </w:pPr>
      <w:r w:rsidRPr="00E74CC7">
        <w:rPr>
          <w:rFonts w:cs="Times New Roman"/>
          <w:sz w:val="26"/>
          <w:szCs w:val="26"/>
        </w:rPr>
        <w:tab/>
      </w:r>
      <w:r w:rsidRPr="00E74CC7">
        <w:rPr>
          <w:rFonts w:cs="Times New Roman"/>
          <w:sz w:val="26"/>
          <w:szCs w:val="26"/>
          <w:u w:val="single"/>
        </w:rPr>
        <w:t>Option Four</w:t>
      </w:r>
      <w:r w:rsidRPr="00E74CC7">
        <w:rPr>
          <w:rFonts w:cs="Times New Roman"/>
          <w:sz w:val="26"/>
          <w:szCs w:val="26"/>
        </w:rPr>
        <w:t xml:space="preserve"> - A release of interstate pipeline capacity in an amount equal to sixty two percent (62%) of the PDDR of the Choice Customers served by the Choice Supplier during the month. The capacity would be released at a price equal to the projected weighted average demand cost of all PGC capacity, storage and peaking assets, divided by .62, so that the total costs of the released capacity is equal to the costs of released capacity under Option Three. UGI would also make a bundled city gate sale of gas to the Choice Supplier in an amount equal to thirty-eight percent (38%) of the DDR of the Choice Customers served by the Choice Supplier during the months of November through March. The bundled city gate sale would occur on a daily basis. The bundled city gate sale would be priced at (1) the average published April through October INSIDE FERC First of Month Natural Gas monthly price for Columbia Gulf Mainline, plus (2) the variable transportation and variable storage charges associated with the delivery path shown on Exhibit I of this Settlement, including fuel and commodity costs for storage injection and withdrawals. </w:t>
      </w:r>
    </w:p>
    <w:p w:rsidR="00E74CC7" w:rsidRPr="00E74CC7" w:rsidRDefault="00E74CC7" w:rsidP="00E74CC7">
      <w:pPr>
        <w:ind w:right="1441"/>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30.</w:t>
      </w:r>
      <w:r w:rsidRPr="00E74CC7">
        <w:rPr>
          <w:rFonts w:cs="Times New Roman"/>
          <w:sz w:val="26"/>
          <w:szCs w:val="26"/>
        </w:rPr>
        <w:tab/>
        <w:t xml:space="preserve">In its compliance filing in this proceeding, UGI will revise its mandatory direct assignment rules applicable to Choice Suppliers to provide that for the period November 1, 2011 through October 31, 2012, Choice Suppliers </w:t>
      </w:r>
      <w:r w:rsidRPr="00E74CC7">
        <w:rPr>
          <w:rFonts w:cs="Times New Roman"/>
          <w:sz w:val="26"/>
          <w:szCs w:val="26"/>
          <w:u w:val="single"/>
        </w:rPr>
        <w:t>must elect</w:t>
      </w:r>
      <w:r w:rsidRPr="00E74CC7">
        <w:rPr>
          <w:rFonts w:cs="Times New Roman"/>
          <w:sz w:val="26"/>
          <w:szCs w:val="26"/>
        </w:rPr>
        <w:t xml:space="preserve"> to receive an assignment of capacity in accordance with one of the following options; with such election to be made on or before July 15, 2011, except for any new Choice Suppliers to </w:t>
      </w:r>
      <w:r w:rsidRPr="00E74CC7">
        <w:rPr>
          <w:rFonts w:cs="Times New Roman"/>
          <w:sz w:val="26"/>
          <w:szCs w:val="26"/>
        </w:rPr>
        <w:lastRenderedPageBreak/>
        <w:t>the Company’s system after July 15, 2011 shall make an election for the remainder of the period no later than 30 days prior to commencing service on the Company’s system:</w:t>
      </w:r>
    </w:p>
    <w:p w:rsidR="00E74CC7" w:rsidRPr="00E74CC7" w:rsidRDefault="00E74CC7" w:rsidP="00E74CC7">
      <w:pPr>
        <w:rPr>
          <w:rFonts w:cs="Times New Roman"/>
          <w:sz w:val="26"/>
          <w:szCs w:val="26"/>
        </w:rPr>
      </w:pPr>
      <w:r w:rsidRPr="00E74CC7">
        <w:rPr>
          <w:rFonts w:cs="Times New Roman"/>
          <w:sz w:val="26"/>
          <w:szCs w:val="26"/>
        </w:rPr>
        <w:t xml:space="preserve"> </w:t>
      </w:r>
    </w:p>
    <w:p w:rsidR="00E74CC7" w:rsidRPr="00E74CC7" w:rsidRDefault="00E74CC7" w:rsidP="00E74CC7">
      <w:pPr>
        <w:ind w:left="1440" w:right="1441"/>
        <w:rPr>
          <w:rFonts w:cs="Times New Roman"/>
          <w:sz w:val="26"/>
          <w:szCs w:val="26"/>
        </w:rPr>
      </w:pPr>
      <w:r w:rsidRPr="00E74CC7">
        <w:rPr>
          <w:rFonts w:cs="Times New Roman"/>
          <w:sz w:val="26"/>
          <w:szCs w:val="26"/>
        </w:rPr>
        <w:tab/>
      </w:r>
      <w:proofErr w:type="gramStart"/>
      <w:r w:rsidRPr="00E74CC7">
        <w:rPr>
          <w:rFonts w:cs="Times New Roman"/>
          <w:sz w:val="26"/>
          <w:szCs w:val="26"/>
          <w:u w:val="single"/>
        </w:rPr>
        <w:t>Option One</w:t>
      </w:r>
      <w:r w:rsidRPr="00E74CC7">
        <w:rPr>
          <w:rFonts w:cs="Times New Roman"/>
          <w:sz w:val="26"/>
          <w:szCs w:val="26"/>
        </w:rPr>
        <w:t xml:space="preserve"> - A release of interstate pipeline capacity at a price equal to the projected weighted average demand cost of all PGC capacity, storage and peaking assets.</w:t>
      </w:r>
      <w:proofErr w:type="gramEnd"/>
      <w:r w:rsidRPr="00E74CC7">
        <w:rPr>
          <w:rFonts w:cs="Times New Roman"/>
          <w:sz w:val="26"/>
          <w:szCs w:val="26"/>
        </w:rPr>
        <w:t xml:space="preserve"> Such interstate pipeline capacity would be released monthly in an amount equivalent to the average projected Daily Delivery Requirement ("DDR") during the peak winter month of January, assuming normal weather, (the January Normal Daily Delivery Requirement or "January NDDR") of the Choice Customers projected to be served by the Choice Supplier during the month. </w:t>
      </w:r>
    </w:p>
    <w:p w:rsidR="00E74CC7" w:rsidRPr="00E74CC7" w:rsidRDefault="00E74CC7" w:rsidP="00E74CC7">
      <w:pPr>
        <w:rPr>
          <w:rFonts w:cs="Times New Roman"/>
          <w:sz w:val="26"/>
          <w:szCs w:val="26"/>
        </w:rPr>
      </w:pPr>
    </w:p>
    <w:p w:rsidR="00E74CC7" w:rsidRPr="00E74CC7" w:rsidRDefault="00E74CC7" w:rsidP="00022F49">
      <w:pPr>
        <w:ind w:left="1440" w:right="1441"/>
        <w:rPr>
          <w:rFonts w:cs="Times New Roman"/>
          <w:sz w:val="26"/>
          <w:szCs w:val="26"/>
        </w:rPr>
      </w:pPr>
      <w:r w:rsidRPr="00E74CC7">
        <w:rPr>
          <w:rFonts w:cs="Times New Roman"/>
          <w:sz w:val="26"/>
          <w:szCs w:val="26"/>
        </w:rPr>
        <w:tab/>
      </w:r>
      <w:r w:rsidRPr="00E74CC7">
        <w:rPr>
          <w:rFonts w:cs="Times New Roman"/>
          <w:sz w:val="26"/>
          <w:szCs w:val="26"/>
          <w:u w:val="single"/>
        </w:rPr>
        <w:t>Option Two</w:t>
      </w:r>
      <w:r w:rsidRPr="00E74CC7">
        <w:rPr>
          <w:rFonts w:cs="Times New Roman"/>
          <w:sz w:val="26"/>
          <w:szCs w:val="26"/>
        </w:rPr>
        <w:t xml:space="preserve"> - A monthly release of interstate pipeline capacity in an amount equal to fifty percent (50%) of the January NDDR of the Choice Customers served by the Choice Supplier during the month. The capacity would be released at a price equal to the projected weighted average demand cost of all PGC capacity, storage and peaking assets, divided by .50, so that the total costs of the released capacity is equal to the costs of released capacity under Option One. UGI would also make a bundled city gate sale of gas to the Choice Supplier in an amount equal to fifty percent (50%) of the forecasted monthly average DDR of the Choice Customers served by the Choice Supplier multiplied by the number of days in the month for each month during the months of November through March. The transaction would be a base load sale with a ratable quantity sold each day of the month. The bundled city gate sale would be priced at (1) the average published April through October INSIDE FERC First of Month Natural Gas monthly price for Columbia Gulf Mainline, plus (2) the variable transportation and variable storage charges associated with the delivery path shown on Exhibit 1 to this Settlement, including fuel and commodity costs for storage injection and withdrawals. Option Two shall be the default election for any Choice Supplier failing to make an election by the election due date. </w:t>
      </w:r>
    </w:p>
    <w:p w:rsidR="00E74CC7" w:rsidRPr="00E74CC7" w:rsidRDefault="00E74CC7" w:rsidP="00E74CC7">
      <w:pPr>
        <w:ind w:left="1440" w:right="1441"/>
        <w:rPr>
          <w:rFonts w:cs="Times New Roman"/>
          <w:sz w:val="26"/>
          <w:szCs w:val="26"/>
        </w:rPr>
      </w:pPr>
      <w:r w:rsidRPr="00E74CC7">
        <w:rPr>
          <w:rFonts w:cs="Times New Roman"/>
          <w:sz w:val="26"/>
          <w:szCs w:val="26"/>
        </w:rPr>
        <w:tab/>
      </w:r>
      <w:r w:rsidRPr="00E74CC7">
        <w:rPr>
          <w:rFonts w:cs="Times New Roman"/>
          <w:sz w:val="26"/>
          <w:szCs w:val="26"/>
          <w:u w:val="single"/>
        </w:rPr>
        <w:t>Option Three</w:t>
      </w:r>
      <w:r w:rsidRPr="00E74CC7">
        <w:rPr>
          <w:rFonts w:cs="Times New Roman"/>
          <w:sz w:val="26"/>
          <w:szCs w:val="26"/>
        </w:rPr>
        <w:t xml:space="preserve"> - A release of interstate pipeline capacity at a price equal to the projected weighted average demand cost of all PGC capacity, storage and peaking assets. Such interstate pipeline capacity would be released monthly in an </w:t>
      </w:r>
      <w:r w:rsidRPr="00E74CC7">
        <w:rPr>
          <w:rFonts w:cs="Times New Roman"/>
          <w:sz w:val="26"/>
          <w:szCs w:val="26"/>
        </w:rPr>
        <w:lastRenderedPageBreak/>
        <w:t xml:space="preserve">amount equivalent to the peak day projected Daily Delivery Requirement ("DDR"), assuming design cold, (the Peak Daily Delivery Requirement or " PDDR") of the Choice Customers projected to be served by the Choice Supplier during the month. </w:t>
      </w:r>
    </w:p>
    <w:p w:rsidR="00E74CC7" w:rsidRPr="00E74CC7" w:rsidRDefault="00E74CC7" w:rsidP="00E74CC7">
      <w:pPr>
        <w:rPr>
          <w:rFonts w:cs="Times New Roman"/>
          <w:sz w:val="26"/>
          <w:szCs w:val="26"/>
        </w:rPr>
      </w:pPr>
    </w:p>
    <w:p w:rsidR="00E74CC7" w:rsidRPr="00E74CC7" w:rsidRDefault="00E74CC7" w:rsidP="00E74CC7">
      <w:pPr>
        <w:ind w:left="1440" w:right="1441"/>
        <w:rPr>
          <w:rFonts w:cs="Times New Roman"/>
          <w:sz w:val="26"/>
          <w:szCs w:val="26"/>
        </w:rPr>
      </w:pPr>
      <w:r w:rsidRPr="00E74CC7">
        <w:rPr>
          <w:rFonts w:cs="Times New Roman"/>
          <w:sz w:val="26"/>
          <w:szCs w:val="26"/>
        </w:rPr>
        <w:tab/>
      </w:r>
      <w:r w:rsidRPr="00E74CC7">
        <w:rPr>
          <w:rFonts w:cs="Times New Roman"/>
          <w:sz w:val="26"/>
          <w:szCs w:val="26"/>
          <w:u w:val="single"/>
        </w:rPr>
        <w:t>Option Four</w:t>
      </w:r>
      <w:r w:rsidRPr="00E74CC7">
        <w:rPr>
          <w:rFonts w:cs="Times New Roman"/>
          <w:sz w:val="26"/>
          <w:szCs w:val="26"/>
        </w:rPr>
        <w:t xml:space="preserve"> - A release of interstate pipeline capacity in an amount equal to sixty-two percent (62%) of the PDDR of the Choice Customers served by the Choice Supplier during the month. The capacity would be released at a price equal to the projected weighted average demand cost of all PGC capacity, storage and peaking assets, divided by .62, so that the total costs of the released capacity is equal to the costs of released capacity under Option Three. UGI would also make a bundled city gate sale of gas to the Choice Supplier in an amount equal to thirty-eight percent (38%) of the DDR of the Choice Customers served by the Choice Supplier during the months of November through March. The bundled city gate sale would occur on a daily basis. The bundled city gate sale would be priced at (</w:t>
      </w:r>
      <w:r w:rsidR="00E76989">
        <w:rPr>
          <w:rFonts w:cs="Times New Roman"/>
          <w:sz w:val="26"/>
          <w:szCs w:val="26"/>
        </w:rPr>
        <w:t>1</w:t>
      </w:r>
      <w:r w:rsidRPr="00E74CC7">
        <w:rPr>
          <w:rFonts w:cs="Times New Roman"/>
          <w:sz w:val="26"/>
          <w:szCs w:val="26"/>
        </w:rPr>
        <w:t>) the average published April through October INSIDE FERC First of Month Natural Gas monthly price for Columbia Gulf Mainline, plus (2) the variable transportation and variable storage charges associated with the delivery path shown on Exhibit 1 to this Settlement, including fuel and commodity costs for storage injection and withdrawals.</w:t>
      </w:r>
    </w:p>
    <w:p w:rsidR="00E74CC7" w:rsidRPr="00E74CC7" w:rsidRDefault="00E74CC7" w:rsidP="00E74CC7">
      <w:pPr>
        <w:rPr>
          <w:rFonts w:cs="Times New Roman"/>
          <w:sz w:val="26"/>
          <w:szCs w:val="26"/>
        </w:rPr>
      </w:pPr>
      <w:r w:rsidRPr="00E74CC7">
        <w:rPr>
          <w:rFonts w:cs="Times New Roman"/>
          <w:sz w:val="26"/>
          <w:szCs w:val="26"/>
        </w:rPr>
        <w:t xml:space="preserve"> </w:t>
      </w:r>
    </w:p>
    <w:p w:rsidR="00E74CC7" w:rsidRPr="00E74CC7" w:rsidRDefault="00E74CC7" w:rsidP="00E74CC7">
      <w:pPr>
        <w:ind w:left="720" w:right="721"/>
        <w:rPr>
          <w:rFonts w:cs="Times New Roman"/>
          <w:sz w:val="26"/>
          <w:szCs w:val="26"/>
        </w:rPr>
      </w:pPr>
      <w:r w:rsidRPr="00E74CC7">
        <w:rPr>
          <w:rFonts w:cs="Times New Roman"/>
          <w:sz w:val="26"/>
          <w:szCs w:val="26"/>
        </w:rPr>
        <w:tab/>
        <w:t xml:space="preserve">31. </w:t>
      </w:r>
      <w:r w:rsidRPr="00E74CC7">
        <w:rPr>
          <w:rFonts w:cs="Times New Roman"/>
          <w:sz w:val="26"/>
          <w:szCs w:val="26"/>
        </w:rPr>
        <w:tab/>
        <w:t>In its compliance filing in this proceeding, UGI will revise its proposed mandatory direct assignment rules to provide that for the annual period beginning November 1, 2012, and each 12-month period effective November 1 thereafter, subject to the Choice Capacity Assignment Review provisions, below, Choice Suppliers must elect to receive an assignment of capacity in accordance with one of the following options; with such election to be made on or before July 15, 2012, except any new Choice Suppliers to the Company's system after July 15, 2012, shall make an election for the remainder of the period no later than 30 days prior to commencing service on the Company's system:</w:t>
      </w:r>
    </w:p>
    <w:p w:rsidR="00E74CC7" w:rsidRDefault="00E74CC7" w:rsidP="00E74CC7">
      <w:pPr>
        <w:rPr>
          <w:rFonts w:cs="Times New Roman"/>
          <w:sz w:val="26"/>
          <w:szCs w:val="26"/>
        </w:rPr>
      </w:pPr>
      <w:r w:rsidRPr="00E74CC7">
        <w:rPr>
          <w:rFonts w:cs="Times New Roman"/>
          <w:sz w:val="26"/>
          <w:szCs w:val="26"/>
        </w:rPr>
        <w:t xml:space="preserve"> </w:t>
      </w:r>
    </w:p>
    <w:p w:rsidR="00022F49" w:rsidRPr="00E74CC7" w:rsidRDefault="00022F49" w:rsidP="00E74CC7">
      <w:pPr>
        <w:rPr>
          <w:rFonts w:cs="Times New Roman"/>
          <w:sz w:val="26"/>
          <w:szCs w:val="26"/>
        </w:rPr>
      </w:pPr>
    </w:p>
    <w:p w:rsidR="00E74CC7" w:rsidRPr="00E74CC7" w:rsidRDefault="00E74CC7" w:rsidP="00E74CC7">
      <w:pPr>
        <w:ind w:left="1440" w:right="1441"/>
        <w:rPr>
          <w:rFonts w:cs="Times New Roman"/>
          <w:sz w:val="26"/>
          <w:szCs w:val="26"/>
        </w:rPr>
      </w:pPr>
      <w:r w:rsidRPr="00E74CC7">
        <w:rPr>
          <w:rFonts w:cs="Times New Roman"/>
          <w:sz w:val="26"/>
          <w:szCs w:val="26"/>
        </w:rPr>
        <w:tab/>
      </w:r>
      <w:proofErr w:type="gramStart"/>
      <w:r w:rsidRPr="00E74CC7">
        <w:rPr>
          <w:rFonts w:cs="Times New Roman"/>
          <w:sz w:val="26"/>
          <w:szCs w:val="26"/>
          <w:u w:val="single"/>
        </w:rPr>
        <w:t>Option One</w:t>
      </w:r>
      <w:r w:rsidRPr="00E74CC7">
        <w:rPr>
          <w:rFonts w:cs="Times New Roman"/>
          <w:sz w:val="26"/>
          <w:szCs w:val="26"/>
        </w:rPr>
        <w:t xml:space="preserve"> - A release of interstate pipeline capacity at a price equal to the projected weighted average demand cost of all PGC capacity, storage and peaking assets.</w:t>
      </w:r>
      <w:proofErr w:type="gramEnd"/>
      <w:r w:rsidRPr="00E74CC7">
        <w:rPr>
          <w:rFonts w:cs="Times New Roman"/>
          <w:sz w:val="26"/>
          <w:szCs w:val="26"/>
        </w:rPr>
        <w:t xml:space="preserve"> Such interstate pipeline capacity would be released monthly in an </w:t>
      </w:r>
      <w:r w:rsidRPr="00E74CC7">
        <w:rPr>
          <w:rFonts w:cs="Times New Roman"/>
          <w:sz w:val="26"/>
          <w:szCs w:val="26"/>
        </w:rPr>
        <w:lastRenderedPageBreak/>
        <w:t>amount equivalent to the peak day projected Daily Delivery Requirement ("DDR"), assuming design cold, (the Peak Daily Delivery Requirement or " PDDR") of the Choice Customers projected to be served by the Choice Supplier during the month.</w:t>
      </w:r>
    </w:p>
    <w:p w:rsidR="00E74CC7" w:rsidRPr="00E74CC7" w:rsidRDefault="00E74CC7" w:rsidP="00E74CC7">
      <w:pPr>
        <w:rPr>
          <w:rFonts w:cs="Times New Roman"/>
          <w:sz w:val="26"/>
          <w:szCs w:val="26"/>
        </w:rPr>
      </w:pPr>
      <w:r w:rsidRPr="00E74CC7">
        <w:rPr>
          <w:rFonts w:cs="Times New Roman"/>
          <w:sz w:val="26"/>
          <w:szCs w:val="26"/>
        </w:rPr>
        <w:t xml:space="preserve"> </w:t>
      </w:r>
    </w:p>
    <w:p w:rsidR="00E74CC7" w:rsidRPr="00E74CC7" w:rsidRDefault="00E74CC7" w:rsidP="00E74CC7">
      <w:pPr>
        <w:ind w:left="1440" w:right="1441"/>
        <w:rPr>
          <w:rFonts w:cs="Times New Roman"/>
          <w:sz w:val="26"/>
          <w:szCs w:val="26"/>
        </w:rPr>
      </w:pPr>
      <w:r w:rsidRPr="00E74CC7">
        <w:rPr>
          <w:rFonts w:cs="Times New Roman"/>
          <w:sz w:val="26"/>
          <w:szCs w:val="26"/>
        </w:rPr>
        <w:tab/>
      </w:r>
      <w:r w:rsidRPr="00E74CC7">
        <w:rPr>
          <w:rFonts w:cs="Times New Roman"/>
          <w:sz w:val="26"/>
          <w:szCs w:val="26"/>
          <w:u w:val="single"/>
        </w:rPr>
        <w:t>Option Two</w:t>
      </w:r>
      <w:r w:rsidRPr="00E74CC7">
        <w:rPr>
          <w:rFonts w:cs="Times New Roman"/>
          <w:sz w:val="26"/>
          <w:szCs w:val="26"/>
        </w:rPr>
        <w:t xml:space="preserve"> - A monthly release of interstate pipeline capacity in an amount equal to sixty-two percent (62%) of the PDDR of the Choice Customers served by the Choice Supplier during the month. The capacity would be released at a price equal to the projected weighted average demand cost of all PGC capacity, storage and peaking assets, divided by .62, so that the total costs of the released capacity is equal to the costs of released capacity under Option One. UGI would also make a bundled city gate sale of gas to the Choice Supplier in an amount equal to thirty-eight percent (38%) of the DDR of the Choice Customers served by the Choice Supplier during the months of November through March.  The bundled city gate sale would occur on a daily basis.  The bundled city gate sale would be priced at (1) the average published April through October INSIDE FERC First of Month Natural Gas monthly price for Columbia Gulf Mainline, plus (2) the variable transportation and variable storage charges associated with the delivery path shown on Exhibit 1 to this Settlement, including fuel and commodity costs for storage injection and withdrawals. Option Two shall be the default election for any Choice Supplier failing to make an election by the election due date. </w:t>
      </w:r>
    </w:p>
    <w:p w:rsidR="00E74CC7" w:rsidRPr="00E74CC7" w:rsidRDefault="00E74CC7" w:rsidP="00E74CC7">
      <w:pPr>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 xml:space="preserve">32. </w:t>
      </w:r>
      <w:r w:rsidRPr="00E74CC7">
        <w:rPr>
          <w:rFonts w:cs="Times New Roman"/>
          <w:sz w:val="26"/>
          <w:szCs w:val="26"/>
        </w:rPr>
        <w:tab/>
        <w:t xml:space="preserve">The Parties agree UGI will not be denied PGC cost recovery for any portion of its PGC supplies or sharing mechanism revenues because of its implementation of the direct assignment settlement terms set forth in paragraphs </w:t>
      </w:r>
      <w:r w:rsidR="00E76989">
        <w:rPr>
          <w:rFonts w:cs="Times New Roman"/>
          <w:sz w:val="26"/>
          <w:szCs w:val="26"/>
        </w:rPr>
        <w:t>[</w:t>
      </w:r>
      <w:r w:rsidRPr="00E74CC7">
        <w:rPr>
          <w:rFonts w:cs="Times New Roman"/>
          <w:sz w:val="26"/>
          <w:szCs w:val="26"/>
        </w:rPr>
        <w:t>2</w:t>
      </w:r>
      <w:r w:rsidR="00E76989">
        <w:rPr>
          <w:rFonts w:cs="Times New Roman"/>
          <w:sz w:val="26"/>
          <w:szCs w:val="26"/>
        </w:rPr>
        <w:t>9-31]</w:t>
      </w:r>
      <w:r w:rsidRPr="00E74CC7">
        <w:rPr>
          <w:rFonts w:cs="Times New Roman"/>
          <w:sz w:val="26"/>
          <w:szCs w:val="26"/>
        </w:rPr>
        <w:t>.</w:t>
      </w:r>
    </w:p>
    <w:p w:rsidR="00E74CC7" w:rsidRPr="00E74CC7" w:rsidRDefault="00E74CC7" w:rsidP="00E74CC7">
      <w:pPr>
        <w:rPr>
          <w:rFonts w:cs="Times New Roman"/>
          <w:sz w:val="26"/>
          <w:szCs w:val="26"/>
        </w:rPr>
      </w:pPr>
      <w:r w:rsidRPr="00E74CC7">
        <w:rPr>
          <w:rFonts w:cs="Times New Roman"/>
          <w:sz w:val="26"/>
          <w:szCs w:val="26"/>
        </w:rPr>
        <w:t xml:space="preserve"> </w:t>
      </w:r>
    </w:p>
    <w:p w:rsidR="00E74CC7" w:rsidRPr="00E74CC7" w:rsidRDefault="00E74CC7" w:rsidP="00E74CC7">
      <w:pPr>
        <w:ind w:left="720" w:right="721"/>
        <w:rPr>
          <w:rFonts w:cs="Times New Roman"/>
          <w:sz w:val="26"/>
          <w:szCs w:val="26"/>
        </w:rPr>
      </w:pPr>
      <w:r w:rsidRPr="00E74CC7">
        <w:rPr>
          <w:rFonts w:cs="Times New Roman"/>
          <w:sz w:val="26"/>
          <w:szCs w:val="26"/>
        </w:rPr>
        <w:tab/>
        <w:t xml:space="preserve">33. </w:t>
      </w:r>
      <w:r w:rsidRPr="00E74CC7">
        <w:rPr>
          <w:rFonts w:cs="Times New Roman"/>
          <w:sz w:val="26"/>
          <w:szCs w:val="26"/>
        </w:rPr>
        <w:tab/>
        <w:t xml:space="preserve">If, on or before October 31, 2013, the total design peak day Choice demand served by Choice Suppliers on the Company system drops to a level less than 90% of the highest total design peak day demand experienced in the previous three years, or the total number of Choice customers served by Choice Suppliers on the Company's system drops to a level less than 90% of the highest total customer account experienced in the previous three years, any Choice Supplier shall have the right to file a complaint to show why the Company's capacity assignment rules have resulted in the drop and to propose changes to be considered by all </w:t>
      </w:r>
      <w:r w:rsidRPr="00E74CC7">
        <w:rPr>
          <w:rFonts w:cs="Times New Roman"/>
          <w:sz w:val="26"/>
          <w:szCs w:val="26"/>
        </w:rPr>
        <w:lastRenderedPageBreak/>
        <w:t xml:space="preserve">interested parties. Monthly, UGI shall post total Choice peak day demand levels and Choice Customer numbers on its supplier website for purposes of allowing any interested party to monitor such peak day demand levels. </w:t>
      </w:r>
    </w:p>
    <w:p w:rsidR="00E74CC7" w:rsidRPr="00E74CC7" w:rsidRDefault="00E74CC7" w:rsidP="00E74CC7">
      <w:pPr>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 xml:space="preserve">34. </w:t>
      </w:r>
      <w:r w:rsidRPr="00E74CC7">
        <w:rPr>
          <w:rFonts w:cs="Times New Roman"/>
          <w:sz w:val="26"/>
          <w:szCs w:val="26"/>
        </w:rPr>
        <w:tab/>
        <w:t xml:space="preserve">UGI will track and report on its Lost-and-Unaccounted-For Gas ("LUFG") initiatives and results in its 2011 PGC filing, and will provide a schedule in its compliance filing showing how it calculated its </w:t>
      </w:r>
      <w:proofErr w:type="spellStart"/>
      <w:r w:rsidRPr="00E74CC7">
        <w:rPr>
          <w:rFonts w:cs="Times New Roman"/>
          <w:sz w:val="26"/>
          <w:szCs w:val="26"/>
        </w:rPr>
        <w:t>retainage</w:t>
      </w:r>
      <w:proofErr w:type="spellEnd"/>
      <w:r w:rsidRPr="00E74CC7">
        <w:rPr>
          <w:rFonts w:cs="Times New Roman"/>
          <w:sz w:val="26"/>
          <w:szCs w:val="26"/>
        </w:rPr>
        <w:t xml:space="preserve"> rate using a three-year rolling average. </w:t>
      </w:r>
    </w:p>
    <w:p w:rsidR="00E74CC7" w:rsidRPr="00E74CC7" w:rsidRDefault="00E74CC7" w:rsidP="00E74CC7">
      <w:pPr>
        <w:ind w:left="720" w:right="721"/>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 xml:space="preserve">35. </w:t>
      </w:r>
      <w:r w:rsidRPr="00E74CC7">
        <w:rPr>
          <w:rFonts w:cs="Times New Roman"/>
          <w:sz w:val="26"/>
          <w:szCs w:val="26"/>
        </w:rPr>
        <w:tab/>
        <w:t xml:space="preserve">UGI will exclude volumes associated with service to its Rate XD transportation customers receiving </w:t>
      </w:r>
      <w:proofErr w:type="spellStart"/>
      <w:r w:rsidRPr="00E74CC7">
        <w:rPr>
          <w:rFonts w:cs="Times New Roman"/>
          <w:sz w:val="26"/>
          <w:szCs w:val="26"/>
        </w:rPr>
        <w:t>retainage</w:t>
      </w:r>
      <w:proofErr w:type="spellEnd"/>
      <w:r w:rsidRPr="00E74CC7">
        <w:rPr>
          <w:rFonts w:cs="Times New Roman"/>
          <w:sz w:val="26"/>
          <w:szCs w:val="26"/>
        </w:rPr>
        <w:t xml:space="preserve"> discounts in calculating its </w:t>
      </w:r>
      <w:proofErr w:type="spellStart"/>
      <w:r w:rsidRPr="00E74CC7">
        <w:rPr>
          <w:rFonts w:cs="Times New Roman"/>
          <w:sz w:val="26"/>
          <w:szCs w:val="26"/>
        </w:rPr>
        <w:t>retainage</w:t>
      </w:r>
      <w:proofErr w:type="spellEnd"/>
      <w:r w:rsidRPr="00E74CC7">
        <w:rPr>
          <w:rFonts w:cs="Times New Roman"/>
          <w:sz w:val="26"/>
          <w:szCs w:val="26"/>
        </w:rPr>
        <w:t xml:space="preserve"> rate in its compliance filing in this proceeding.</w:t>
      </w:r>
    </w:p>
    <w:p w:rsidR="00E74CC7" w:rsidRPr="00E74CC7" w:rsidRDefault="00E74CC7" w:rsidP="00E74CC7">
      <w:pPr>
        <w:ind w:left="720" w:right="721"/>
        <w:rPr>
          <w:rFonts w:cs="Times New Roman"/>
          <w:sz w:val="26"/>
          <w:szCs w:val="26"/>
        </w:rPr>
      </w:pPr>
      <w:r w:rsidRPr="00E74CC7">
        <w:rPr>
          <w:rFonts w:cs="Times New Roman"/>
          <w:sz w:val="26"/>
          <w:szCs w:val="26"/>
        </w:rPr>
        <w:t xml:space="preserve"> </w:t>
      </w:r>
    </w:p>
    <w:p w:rsidR="00E74CC7" w:rsidRPr="00E74CC7" w:rsidRDefault="00E74CC7" w:rsidP="00E74CC7">
      <w:pPr>
        <w:ind w:left="720" w:right="721"/>
        <w:rPr>
          <w:rFonts w:cs="Times New Roman"/>
          <w:sz w:val="26"/>
          <w:szCs w:val="26"/>
        </w:rPr>
      </w:pPr>
      <w:r w:rsidRPr="00E74CC7">
        <w:rPr>
          <w:rFonts w:cs="Times New Roman"/>
          <w:sz w:val="26"/>
          <w:szCs w:val="26"/>
        </w:rPr>
        <w:tab/>
        <w:t xml:space="preserve">36. </w:t>
      </w:r>
      <w:r w:rsidRPr="00E74CC7">
        <w:rPr>
          <w:rFonts w:cs="Times New Roman"/>
          <w:sz w:val="26"/>
          <w:szCs w:val="26"/>
        </w:rPr>
        <w:tab/>
        <w:t xml:space="preserve">UGI will use its best efforts, consistent with its statutory least cost fuel procurement obligations, to acquire Marcellus Shale supplies, and will provide a report in its next PGC filing addressing (a) its efforts to purchase Marcellus Shale supplies, (b) the volumes, if any, purchased, (c) to the extent determinable, the percentage of its total supplies provided by Marcellus Shale gas and (d) barriers, if any, to such purchases. </w:t>
      </w:r>
    </w:p>
    <w:p w:rsidR="00E74CC7" w:rsidRPr="00E74CC7" w:rsidRDefault="00E74CC7" w:rsidP="00E74CC7">
      <w:pPr>
        <w:ind w:left="720" w:right="721"/>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 xml:space="preserve">37. </w:t>
      </w:r>
      <w:r w:rsidRPr="00E74CC7">
        <w:rPr>
          <w:rFonts w:cs="Times New Roman"/>
          <w:sz w:val="26"/>
          <w:szCs w:val="26"/>
        </w:rPr>
        <w:tab/>
        <w:t xml:space="preserve">Consistent with UGI's representations in paragraph 15 and footnote five of its petition at Docket No. P-2009-2149107, UGI will continue to refund the appropriate portions of the Tennessee Gas Pipeline Company Environmental Surcharge refunds to transportation customers as they are received in accordance with existing policy. </w:t>
      </w:r>
    </w:p>
    <w:p w:rsidR="00E74CC7" w:rsidRPr="00E74CC7" w:rsidRDefault="00E74CC7" w:rsidP="00E74CC7">
      <w:pPr>
        <w:ind w:left="720" w:right="721"/>
        <w:rPr>
          <w:rFonts w:cs="Times New Roman"/>
          <w:sz w:val="26"/>
          <w:szCs w:val="26"/>
        </w:rPr>
      </w:pPr>
    </w:p>
    <w:p w:rsidR="00E74CC7" w:rsidRPr="00E74CC7" w:rsidRDefault="00E74CC7" w:rsidP="00E74CC7">
      <w:pPr>
        <w:ind w:left="720" w:right="721"/>
        <w:rPr>
          <w:rFonts w:cs="Times New Roman"/>
          <w:sz w:val="26"/>
          <w:szCs w:val="26"/>
        </w:rPr>
      </w:pPr>
      <w:r w:rsidRPr="00E74CC7">
        <w:rPr>
          <w:rFonts w:cs="Times New Roman"/>
          <w:sz w:val="26"/>
          <w:szCs w:val="26"/>
        </w:rPr>
        <w:tab/>
        <w:t xml:space="preserve">38. </w:t>
      </w:r>
      <w:r w:rsidRPr="00E74CC7">
        <w:rPr>
          <w:rFonts w:cs="Times New Roman"/>
          <w:sz w:val="26"/>
          <w:szCs w:val="26"/>
        </w:rPr>
        <w:tab/>
        <w:t xml:space="preserve">The Parties, other than the OCA, which neither joins nor opposes paragraphs 38 &amp; 42 of the Settlement, agree to support the issuance of a certificate of public convenience in a separate proceeding, authorizing UGI to abandon service to the service addresses of Craig </w:t>
      </w:r>
      <w:proofErr w:type="spellStart"/>
      <w:r w:rsidRPr="00E74CC7">
        <w:rPr>
          <w:rFonts w:cs="Times New Roman"/>
          <w:sz w:val="26"/>
          <w:szCs w:val="26"/>
        </w:rPr>
        <w:t>Karchner</w:t>
      </w:r>
      <w:proofErr w:type="spellEnd"/>
      <w:r w:rsidRPr="00E74CC7">
        <w:rPr>
          <w:rFonts w:cs="Times New Roman"/>
          <w:sz w:val="26"/>
          <w:szCs w:val="26"/>
        </w:rPr>
        <w:t xml:space="preserve"> and Brian </w:t>
      </w:r>
      <w:proofErr w:type="spellStart"/>
      <w:r w:rsidRPr="00E74CC7">
        <w:rPr>
          <w:rFonts w:cs="Times New Roman"/>
          <w:sz w:val="26"/>
          <w:szCs w:val="26"/>
        </w:rPr>
        <w:t>Yahner</w:t>
      </w:r>
      <w:proofErr w:type="spellEnd"/>
      <w:r w:rsidRPr="00E74CC7">
        <w:rPr>
          <w:rFonts w:cs="Times New Roman"/>
          <w:sz w:val="26"/>
          <w:szCs w:val="26"/>
        </w:rPr>
        <w:t xml:space="preserve"> upon the installation of geothermal heat pumps at </w:t>
      </w:r>
      <w:proofErr w:type="gramStart"/>
      <w:r w:rsidRPr="00E74CC7">
        <w:rPr>
          <w:rFonts w:cs="Times New Roman"/>
          <w:sz w:val="26"/>
          <w:szCs w:val="26"/>
        </w:rPr>
        <w:t>their  service</w:t>
      </w:r>
      <w:proofErr w:type="gramEnd"/>
      <w:r w:rsidRPr="00E74CC7">
        <w:rPr>
          <w:rFonts w:cs="Times New Roman"/>
          <w:sz w:val="26"/>
          <w:szCs w:val="26"/>
        </w:rPr>
        <w:t xml:space="preserve"> addresses, at UGI's cost, in accordance with the terms of this Settlement.</w:t>
      </w:r>
    </w:p>
    <w:p w:rsidR="00E74CC7" w:rsidRPr="00E74CC7" w:rsidRDefault="00E74CC7" w:rsidP="00E74CC7">
      <w:pPr>
        <w:rPr>
          <w:rFonts w:cs="Times New Roman"/>
          <w:sz w:val="26"/>
          <w:szCs w:val="26"/>
        </w:rPr>
      </w:pPr>
      <w:r w:rsidRPr="00E74CC7">
        <w:rPr>
          <w:rFonts w:cs="Times New Roman"/>
          <w:sz w:val="26"/>
          <w:szCs w:val="26"/>
        </w:rPr>
        <w:t xml:space="preserve"> </w:t>
      </w:r>
    </w:p>
    <w:p w:rsidR="00E74CC7" w:rsidRPr="00E74CC7" w:rsidRDefault="00E74CC7" w:rsidP="00E74CC7">
      <w:pPr>
        <w:ind w:left="720" w:right="720"/>
        <w:rPr>
          <w:rFonts w:cs="Times New Roman"/>
          <w:sz w:val="26"/>
          <w:szCs w:val="26"/>
        </w:rPr>
      </w:pPr>
      <w:r w:rsidRPr="00E74CC7">
        <w:rPr>
          <w:rFonts w:cs="Times New Roman"/>
          <w:sz w:val="26"/>
          <w:szCs w:val="26"/>
        </w:rPr>
        <w:tab/>
        <w:t xml:space="preserve">39. </w:t>
      </w:r>
      <w:r w:rsidRPr="00E74CC7">
        <w:rPr>
          <w:rFonts w:cs="Times New Roman"/>
          <w:sz w:val="26"/>
          <w:szCs w:val="26"/>
        </w:rPr>
        <w:tab/>
        <w:t xml:space="preserve">UGI will work with Mr. </w:t>
      </w:r>
      <w:proofErr w:type="spellStart"/>
      <w:r w:rsidRPr="00E74CC7">
        <w:rPr>
          <w:rFonts w:cs="Times New Roman"/>
          <w:sz w:val="26"/>
          <w:szCs w:val="26"/>
        </w:rPr>
        <w:t>Karchner</w:t>
      </w:r>
      <w:proofErr w:type="spellEnd"/>
      <w:r w:rsidRPr="00E74CC7">
        <w:rPr>
          <w:rFonts w:cs="Times New Roman"/>
          <w:sz w:val="26"/>
          <w:szCs w:val="26"/>
        </w:rPr>
        <w:t xml:space="preserve"> and Mr. </w:t>
      </w:r>
      <w:proofErr w:type="spellStart"/>
      <w:r w:rsidRPr="00E74CC7">
        <w:rPr>
          <w:rFonts w:cs="Times New Roman"/>
          <w:sz w:val="26"/>
          <w:szCs w:val="26"/>
        </w:rPr>
        <w:t>Yahner</w:t>
      </w:r>
      <w:proofErr w:type="spellEnd"/>
      <w:r w:rsidRPr="00E74CC7">
        <w:rPr>
          <w:rFonts w:cs="Times New Roman"/>
          <w:sz w:val="26"/>
          <w:szCs w:val="26"/>
        </w:rPr>
        <w:t xml:space="preserve"> to obtain quotes from three contractors, with at least one contractor identified by UGI, for the installation of the geothermal heat pumps meeting, at a minimum, the geothermal heat pump standards set forth in a July 21, 2010 quote from Plum-Air, Inc. provided by Mr. </w:t>
      </w:r>
      <w:proofErr w:type="spellStart"/>
      <w:r w:rsidRPr="00E74CC7">
        <w:rPr>
          <w:rFonts w:cs="Times New Roman"/>
          <w:sz w:val="26"/>
          <w:szCs w:val="26"/>
        </w:rPr>
        <w:t>Karchner</w:t>
      </w:r>
      <w:proofErr w:type="spellEnd"/>
      <w:r w:rsidRPr="00E74CC7">
        <w:rPr>
          <w:rFonts w:cs="Times New Roman"/>
          <w:sz w:val="26"/>
          <w:szCs w:val="26"/>
        </w:rPr>
        <w:t xml:space="preserve"> and Mr. </w:t>
      </w:r>
      <w:proofErr w:type="spellStart"/>
      <w:r w:rsidRPr="00E74CC7">
        <w:rPr>
          <w:rFonts w:cs="Times New Roman"/>
          <w:sz w:val="26"/>
          <w:szCs w:val="26"/>
        </w:rPr>
        <w:t>Yahner</w:t>
      </w:r>
      <w:proofErr w:type="spellEnd"/>
      <w:r w:rsidRPr="00E74CC7">
        <w:rPr>
          <w:rFonts w:cs="Times New Roman"/>
          <w:sz w:val="26"/>
          <w:szCs w:val="26"/>
        </w:rPr>
        <w:t xml:space="preserve"> to UGI, excluding that portion of the quote related to the installation of a water heater. </w:t>
      </w:r>
    </w:p>
    <w:p w:rsidR="00E74CC7" w:rsidRDefault="00E74CC7" w:rsidP="00E74CC7">
      <w:pPr>
        <w:ind w:left="720" w:right="720"/>
        <w:rPr>
          <w:rFonts w:cs="Times New Roman"/>
          <w:sz w:val="26"/>
          <w:szCs w:val="26"/>
        </w:rPr>
      </w:pPr>
    </w:p>
    <w:p w:rsidR="00E76989" w:rsidRPr="00E74CC7" w:rsidRDefault="00E76989" w:rsidP="00E74CC7">
      <w:pPr>
        <w:ind w:left="720" w:right="720"/>
        <w:rPr>
          <w:rFonts w:cs="Times New Roman"/>
          <w:sz w:val="26"/>
          <w:szCs w:val="26"/>
        </w:rPr>
      </w:pPr>
    </w:p>
    <w:p w:rsidR="00E74CC7" w:rsidRPr="00E74CC7" w:rsidRDefault="00E74CC7" w:rsidP="00E74CC7">
      <w:pPr>
        <w:ind w:left="720" w:right="720"/>
        <w:rPr>
          <w:rFonts w:cs="Times New Roman"/>
          <w:sz w:val="26"/>
          <w:szCs w:val="26"/>
        </w:rPr>
      </w:pPr>
      <w:r w:rsidRPr="00E74CC7">
        <w:rPr>
          <w:rFonts w:cs="Times New Roman"/>
          <w:sz w:val="26"/>
          <w:szCs w:val="26"/>
        </w:rPr>
        <w:lastRenderedPageBreak/>
        <w:tab/>
        <w:t xml:space="preserve">40. </w:t>
      </w:r>
      <w:r w:rsidRPr="00E74CC7">
        <w:rPr>
          <w:rFonts w:cs="Times New Roman"/>
          <w:sz w:val="26"/>
          <w:szCs w:val="26"/>
        </w:rPr>
        <w:tab/>
        <w:t xml:space="preserve">The contract for the installation of the geothermal heat pumps shall be awarded to the lowest bidder, UGI shall pay all required payments directly to the winning contractor with no "up front", deposit or other payment obligation on the part of Mr. </w:t>
      </w:r>
      <w:proofErr w:type="spellStart"/>
      <w:r w:rsidRPr="00E74CC7">
        <w:rPr>
          <w:rFonts w:cs="Times New Roman"/>
          <w:sz w:val="26"/>
          <w:szCs w:val="26"/>
        </w:rPr>
        <w:t>Karchner</w:t>
      </w:r>
      <w:proofErr w:type="spellEnd"/>
      <w:r w:rsidRPr="00E74CC7">
        <w:rPr>
          <w:rFonts w:cs="Times New Roman"/>
          <w:sz w:val="26"/>
          <w:szCs w:val="26"/>
        </w:rPr>
        <w:t xml:space="preserve"> or Mr. </w:t>
      </w:r>
      <w:proofErr w:type="spellStart"/>
      <w:r w:rsidRPr="00E74CC7">
        <w:rPr>
          <w:rFonts w:cs="Times New Roman"/>
          <w:sz w:val="26"/>
          <w:szCs w:val="26"/>
        </w:rPr>
        <w:t>Yahner</w:t>
      </w:r>
      <w:proofErr w:type="spellEnd"/>
      <w:r w:rsidRPr="00E74CC7">
        <w:rPr>
          <w:rFonts w:cs="Times New Roman"/>
          <w:sz w:val="26"/>
          <w:szCs w:val="26"/>
        </w:rPr>
        <w:t>, and UGI shall pay for excavation and the restoration of any property dug-up or disturbed by the installation process.</w:t>
      </w:r>
    </w:p>
    <w:p w:rsidR="00E74CC7" w:rsidRPr="00E74CC7" w:rsidRDefault="00E74CC7" w:rsidP="00E74CC7">
      <w:pPr>
        <w:ind w:left="720" w:right="720"/>
        <w:rPr>
          <w:rFonts w:cs="Times New Roman"/>
          <w:sz w:val="26"/>
          <w:szCs w:val="26"/>
        </w:rPr>
      </w:pPr>
      <w:r w:rsidRPr="00E74CC7">
        <w:rPr>
          <w:rFonts w:cs="Times New Roman"/>
          <w:sz w:val="26"/>
          <w:szCs w:val="26"/>
        </w:rPr>
        <w:t xml:space="preserve"> </w:t>
      </w:r>
    </w:p>
    <w:p w:rsidR="00E74CC7" w:rsidRPr="00E74CC7" w:rsidRDefault="00E74CC7" w:rsidP="00E74CC7">
      <w:pPr>
        <w:ind w:left="720" w:right="720"/>
        <w:rPr>
          <w:rFonts w:cs="Times New Roman"/>
          <w:sz w:val="26"/>
          <w:szCs w:val="26"/>
        </w:rPr>
      </w:pPr>
      <w:r w:rsidRPr="00E74CC7">
        <w:rPr>
          <w:rFonts w:cs="Times New Roman"/>
          <w:sz w:val="26"/>
          <w:szCs w:val="26"/>
        </w:rPr>
        <w:tab/>
        <w:t xml:space="preserve">41. </w:t>
      </w:r>
      <w:r w:rsidRPr="00E74CC7">
        <w:rPr>
          <w:rFonts w:cs="Times New Roman"/>
          <w:sz w:val="26"/>
          <w:szCs w:val="26"/>
        </w:rPr>
        <w:tab/>
        <w:t xml:space="preserve">UGI shall not be obligated to commence the installation of the geothermal heat pumps until a certificate of public convenience is issued authorizing the abandonment of service to the service addresses of Mr. </w:t>
      </w:r>
      <w:proofErr w:type="spellStart"/>
      <w:r w:rsidRPr="00E74CC7">
        <w:rPr>
          <w:rFonts w:cs="Times New Roman"/>
          <w:sz w:val="26"/>
          <w:szCs w:val="26"/>
        </w:rPr>
        <w:t>Karchner</w:t>
      </w:r>
      <w:proofErr w:type="spellEnd"/>
      <w:r w:rsidRPr="00E74CC7">
        <w:rPr>
          <w:rFonts w:cs="Times New Roman"/>
          <w:sz w:val="26"/>
          <w:szCs w:val="26"/>
        </w:rPr>
        <w:t xml:space="preserve"> and Mr. </w:t>
      </w:r>
      <w:proofErr w:type="spellStart"/>
      <w:r w:rsidRPr="00E74CC7">
        <w:rPr>
          <w:rFonts w:cs="Times New Roman"/>
          <w:sz w:val="26"/>
          <w:szCs w:val="26"/>
        </w:rPr>
        <w:t>Yahner</w:t>
      </w:r>
      <w:proofErr w:type="spellEnd"/>
      <w:r w:rsidRPr="00E74CC7">
        <w:rPr>
          <w:rFonts w:cs="Times New Roman"/>
          <w:sz w:val="26"/>
          <w:szCs w:val="26"/>
        </w:rPr>
        <w:t xml:space="preserve"> upon the installation of the geothermal heat pumps at these service addresses, but will otherwise strive to obtain the certificate of public convenience to abandon service and to complete the installations by November 1, 2010 or as soon thereafter as is practical. UGI agrees to make every effort to expedite the filing, publishing notice of, and processing of the petition to abandon service so as to obtain the certificate as quickly as possible. </w:t>
      </w:r>
    </w:p>
    <w:p w:rsidR="00E74CC7" w:rsidRPr="00E74CC7" w:rsidRDefault="00E74CC7" w:rsidP="00E74CC7">
      <w:pPr>
        <w:ind w:left="720" w:right="720"/>
        <w:rPr>
          <w:rFonts w:cs="Times New Roman"/>
          <w:sz w:val="26"/>
          <w:szCs w:val="26"/>
        </w:rPr>
      </w:pPr>
    </w:p>
    <w:p w:rsidR="005B1388" w:rsidRDefault="00E74CC7" w:rsidP="0022441C">
      <w:pPr>
        <w:ind w:left="720" w:right="540"/>
        <w:rPr>
          <w:rFonts w:cs="Times New Roman"/>
          <w:sz w:val="26"/>
          <w:szCs w:val="26"/>
        </w:rPr>
      </w:pPr>
      <w:r w:rsidRPr="00E74CC7">
        <w:rPr>
          <w:rFonts w:cs="Times New Roman"/>
          <w:sz w:val="26"/>
          <w:szCs w:val="26"/>
        </w:rPr>
        <w:tab/>
        <w:t xml:space="preserve">42. </w:t>
      </w:r>
      <w:r w:rsidRPr="00E74CC7">
        <w:rPr>
          <w:rFonts w:cs="Times New Roman"/>
          <w:sz w:val="26"/>
          <w:szCs w:val="26"/>
        </w:rPr>
        <w:tab/>
        <w:t xml:space="preserve">The Parties agree that the </w:t>
      </w:r>
      <w:proofErr w:type="spellStart"/>
      <w:r w:rsidRPr="00E74CC7">
        <w:rPr>
          <w:rFonts w:cs="Times New Roman"/>
          <w:sz w:val="26"/>
          <w:szCs w:val="26"/>
        </w:rPr>
        <w:t>Karchner</w:t>
      </w:r>
      <w:proofErr w:type="spellEnd"/>
      <w:r w:rsidRPr="00E74CC7">
        <w:rPr>
          <w:rFonts w:cs="Times New Roman"/>
          <w:sz w:val="26"/>
          <w:szCs w:val="26"/>
        </w:rPr>
        <w:t xml:space="preserve"> and </w:t>
      </w:r>
      <w:proofErr w:type="spellStart"/>
      <w:r w:rsidRPr="00E74CC7">
        <w:rPr>
          <w:rFonts w:cs="Times New Roman"/>
          <w:sz w:val="26"/>
          <w:szCs w:val="26"/>
        </w:rPr>
        <w:t>Yahner</w:t>
      </w:r>
      <w:proofErr w:type="spellEnd"/>
      <w:r w:rsidRPr="00E74CC7">
        <w:rPr>
          <w:rFonts w:cs="Times New Roman"/>
          <w:sz w:val="26"/>
          <w:szCs w:val="26"/>
        </w:rPr>
        <w:t xml:space="preserve"> formal complaints at docket numbers C-2010-2183642 and C-2010-2183540 will be dismissed as part of this Settlement. Furthermore, the Parties respectfully request that the presiding ALJ and the Commission specify that such dismissal will be without prejudice to the rights of Mr. </w:t>
      </w:r>
      <w:proofErr w:type="spellStart"/>
      <w:r w:rsidRPr="00E74CC7">
        <w:rPr>
          <w:rFonts w:cs="Times New Roman"/>
          <w:sz w:val="26"/>
          <w:szCs w:val="26"/>
        </w:rPr>
        <w:t>Karchner</w:t>
      </w:r>
      <w:proofErr w:type="spellEnd"/>
      <w:r w:rsidRPr="00E74CC7">
        <w:rPr>
          <w:rFonts w:cs="Times New Roman"/>
          <w:sz w:val="26"/>
          <w:szCs w:val="26"/>
        </w:rPr>
        <w:t xml:space="preserve"> and Mr. </w:t>
      </w:r>
      <w:proofErr w:type="spellStart"/>
      <w:r w:rsidRPr="00E74CC7">
        <w:rPr>
          <w:rFonts w:cs="Times New Roman"/>
          <w:sz w:val="26"/>
          <w:szCs w:val="26"/>
        </w:rPr>
        <w:t>Yahner</w:t>
      </w:r>
      <w:proofErr w:type="spellEnd"/>
      <w:r w:rsidRPr="00E74CC7">
        <w:rPr>
          <w:rFonts w:cs="Times New Roman"/>
          <w:sz w:val="26"/>
          <w:szCs w:val="26"/>
        </w:rPr>
        <w:t xml:space="preserve"> to re-file their formal complaints in the event UGI is not granted a certificate of public convenience to aba</w:t>
      </w:r>
      <w:r w:rsidR="0022441C">
        <w:rPr>
          <w:rFonts w:cs="Times New Roman"/>
          <w:sz w:val="26"/>
          <w:szCs w:val="26"/>
        </w:rPr>
        <w:t>ndon service to their accounts.</w:t>
      </w:r>
    </w:p>
    <w:p w:rsidR="000059F9" w:rsidRPr="0022441C" w:rsidRDefault="000059F9" w:rsidP="0022441C">
      <w:pPr>
        <w:ind w:left="720" w:right="540"/>
        <w:rPr>
          <w:rFonts w:cs="Times New Roman"/>
          <w:sz w:val="26"/>
          <w:szCs w:val="26"/>
        </w:rPr>
      </w:pPr>
    </w:p>
    <w:p w:rsidR="00746B51" w:rsidRPr="00746B51" w:rsidRDefault="00081909" w:rsidP="00746B51">
      <w:pPr>
        <w:spacing w:line="360" w:lineRule="auto"/>
        <w:rPr>
          <w:rFonts w:cs="Times New Roman"/>
          <w:sz w:val="26"/>
          <w:szCs w:val="26"/>
        </w:rPr>
      </w:pPr>
      <w:r>
        <w:rPr>
          <w:rFonts w:eastAsiaTheme="minorHAnsi" w:cs="Times New Roman"/>
          <w:sz w:val="26"/>
          <w:szCs w:val="26"/>
          <w:lang w:bidi="ar-SA"/>
        </w:rPr>
        <w:tab/>
      </w:r>
      <w:r>
        <w:rPr>
          <w:rFonts w:eastAsiaTheme="minorHAnsi" w:cs="Times New Roman"/>
          <w:sz w:val="26"/>
          <w:szCs w:val="26"/>
          <w:lang w:bidi="ar-SA"/>
        </w:rPr>
        <w:tab/>
      </w:r>
      <w:r w:rsidR="00746B51" w:rsidRPr="00746B51">
        <w:rPr>
          <w:rFonts w:cs="Times New Roman"/>
          <w:sz w:val="26"/>
          <w:szCs w:val="26"/>
        </w:rPr>
        <w:t>The Stipulation requests that certain findings be made, as required for gas costs incurred during the historic period, and as required for approval of proposed rates and affiliate purchases.  Specifically, with respect to the historic period, which is the twelve months ended March 31, 2010, the Stipulation requests that the Commission find that UGI has met the Section 1318 standards as to all historic period purchased gas costs.  The Stipulation references portions of the evidentiary record where specific support for the required statutory findings can be found.  This</w:t>
      </w:r>
      <w:r w:rsidR="00E76989">
        <w:rPr>
          <w:rFonts w:cs="Times New Roman"/>
          <w:sz w:val="26"/>
          <w:szCs w:val="26"/>
        </w:rPr>
        <w:t xml:space="preserve"> evidentiary support relates to</w:t>
      </w:r>
      <w:r w:rsidR="00746B51" w:rsidRPr="00746B51">
        <w:rPr>
          <w:rFonts w:cs="Times New Roman"/>
          <w:sz w:val="26"/>
          <w:szCs w:val="26"/>
        </w:rPr>
        <w:t xml:space="preserve">:  (1) FERC participation; (2) supplier negotiations/renegotiations; (3) efforts to obtain lower cost gas supplies; (4) withheld supplies; (5) affiliate transactions; (6) least cost fuel procurement policy; (7) PGC calculation; and (8) reliability. </w:t>
      </w:r>
    </w:p>
    <w:p w:rsidR="00746B51" w:rsidRPr="00746B51" w:rsidRDefault="00746B51" w:rsidP="00746B51">
      <w:pPr>
        <w:spacing w:line="360" w:lineRule="auto"/>
        <w:rPr>
          <w:rFonts w:cs="Times New Roman"/>
          <w:sz w:val="26"/>
          <w:szCs w:val="26"/>
        </w:rPr>
      </w:pPr>
    </w:p>
    <w:p w:rsidR="00746B51" w:rsidRPr="00746B51" w:rsidRDefault="00746B51" w:rsidP="00746B51">
      <w:pPr>
        <w:spacing w:line="360" w:lineRule="auto"/>
        <w:rPr>
          <w:rFonts w:cs="Times New Roman"/>
          <w:sz w:val="26"/>
          <w:szCs w:val="26"/>
        </w:rPr>
      </w:pPr>
      <w:r w:rsidRPr="00746B51">
        <w:rPr>
          <w:rFonts w:cs="Times New Roman"/>
          <w:sz w:val="26"/>
          <w:szCs w:val="26"/>
        </w:rPr>
        <w:lastRenderedPageBreak/>
        <w:tab/>
      </w:r>
      <w:r w:rsidRPr="00746B51">
        <w:rPr>
          <w:rFonts w:cs="Times New Roman"/>
          <w:sz w:val="26"/>
          <w:szCs w:val="26"/>
        </w:rPr>
        <w:tab/>
        <w:t xml:space="preserve">With respect to the twelve-month period beginning December 1, 2010, which is the period of time during which proposed rates approved in this proceeding would be in effect, the Stipulation requests Section 1318 findings, based upon the evidence of record in this proceeding concerning UGI’s purchasing practices.  Nevertheless, the </w:t>
      </w:r>
      <w:r w:rsidR="00050796">
        <w:rPr>
          <w:rFonts w:cs="Times New Roman"/>
          <w:sz w:val="26"/>
          <w:szCs w:val="26"/>
        </w:rPr>
        <w:t xml:space="preserve">Settling </w:t>
      </w:r>
      <w:r w:rsidRPr="00746B51">
        <w:rPr>
          <w:rFonts w:cs="Times New Roman"/>
          <w:sz w:val="26"/>
          <w:szCs w:val="26"/>
        </w:rPr>
        <w:t>Parties acknowledge that these findings are made solely for the purpose of setting prospective rates and that, except as agreed to in the Settlement, these findings do not bar subsequent review of and challenge to these gas purchases and practices.</w:t>
      </w:r>
    </w:p>
    <w:p w:rsidR="00746B51" w:rsidRPr="00746B51" w:rsidRDefault="00746B51" w:rsidP="00746B51">
      <w:pPr>
        <w:spacing w:line="360" w:lineRule="auto"/>
        <w:rPr>
          <w:rFonts w:cs="Times New Roman"/>
          <w:sz w:val="26"/>
          <w:szCs w:val="26"/>
        </w:rPr>
      </w:pPr>
    </w:p>
    <w:p w:rsidR="00746B51" w:rsidRPr="00746B51" w:rsidRDefault="00746B51" w:rsidP="00746B51">
      <w:pPr>
        <w:spacing w:line="360" w:lineRule="auto"/>
        <w:rPr>
          <w:rFonts w:cs="Times New Roman"/>
          <w:sz w:val="26"/>
          <w:szCs w:val="26"/>
        </w:rPr>
      </w:pPr>
      <w:r w:rsidRPr="00746B51">
        <w:rPr>
          <w:rFonts w:cs="Times New Roman"/>
          <w:sz w:val="26"/>
          <w:szCs w:val="26"/>
        </w:rPr>
        <w:tab/>
      </w:r>
      <w:r w:rsidRPr="00746B51">
        <w:rPr>
          <w:rFonts w:cs="Times New Roman"/>
          <w:sz w:val="26"/>
          <w:szCs w:val="26"/>
        </w:rPr>
        <w:tab/>
        <w:t>With respect to the interim period, which is April 1, 2010, through November 30, 2010, the Stipulation provides that a subsequent review of and challenge to these gas purchases and practices are also not precluded, except as agreed to in the Settlement.</w:t>
      </w:r>
    </w:p>
    <w:p w:rsidR="00746B51" w:rsidRPr="00746B51" w:rsidRDefault="00746B51" w:rsidP="00746B51">
      <w:pPr>
        <w:spacing w:line="360" w:lineRule="auto"/>
        <w:rPr>
          <w:rFonts w:cs="Times New Roman"/>
          <w:sz w:val="26"/>
          <w:szCs w:val="26"/>
        </w:rPr>
      </w:pPr>
      <w:r w:rsidRPr="00746B51">
        <w:rPr>
          <w:rFonts w:cs="Times New Roman"/>
          <w:sz w:val="26"/>
          <w:szCs w:val="26"/>
        </w:rPr>
        <w:t xml:space="preserve"> </w:t>
      </w:r>
    </w:p>
    <w:p w:rsidR="00746B51" w:rsidRDefault="00746B51" w:rsidP="00746B51">
      <w:pPr>
        <w:spacing w:line="360" w:lineRule="auto"/>
        <w:rPr>
          <w:rFonts w:cs="Times New Roman"/>
          <w:sz w:val="26"/>
          <w:szCs w:val="26"/>
        </w:rPr>
      </w:pPr>
      <w:r w:rsidRPr="00746B51">
        <w:rPr>
          <w:rFonts w:cs="Times New Roman"/>
          <w:sz w:val="26"/>
          <w:szCs w:val="26"/>
        </w:rPr>
        <w:tab/>
      </w:r>
      <w:r w:rsidRPr="00746B51">
        <w:rPr>
          <w:rFonts w:cs="Times New Roman"/>
          <w:sz w:val="26"/>
          <w:szCs w:val="26"/>
        </w:rPr>
        <w:tab/>
        <w:t xml:space="preserve">The Stipulation is conditioned upon the Commission’s approval of terms and conditions contained therein without modification, addition, or deletion.  If the Commission modifies the Settlement or fails to approve it by December 1, 2010, then any </w:t>
      </w:r>
      <w:r w:rsidR="00050796">
        <w:rPr>
          <w:rFonts w:cs="Times New Roman"/>
          <w:sz w:val="26"/>
          <w:szCs w:val="26"/>
        </w:rPr>
        <w:t xml:space="preserve">Settling </w:t>
      </w:r>
      <w:r w:rsidRPr="00746B51">
        <w:rPr>
          <w:rFonts w:cs="Times New Roman"/>
          <w:sz w:val="26"/>
          <w:szCs w:val="26"/>
        </w:rPr>
        <w:t xml:space="preserve">Party may elect to withdraw from this Stipulation and may proceed with litigation.  In that event, the Settlement would be void and of no effect.   </w:t>
      </w:r>
    </w:p>
    <w:p w:rsidR="00FF24CA" w:rsidRPr="00746B51" w:rsidRDefault="00FF24CA" w:rsidP="00746B51">
      <w:pPr>
        <w:spacing w:line="360" w:lineRule="auto"/>
        <w:rPr>
          <w:rFonts w:cs="Times New Roman"/>
          <w:sz w:val="26"/>
          <w:szCs w:val="26"/>
        </w:rPr>
      </w:pPr>
    </w:p>
    <w:p w:rsidR="00746B51" w:rsidRDefault="00746B51" w:rsidP="00746B51">
      <w:pPr>
        <w:widowControl/>
        <w:autoSpaceDE w:val="0"/>
        <w:autoSpaceDN w:val="0"/>
        <w:adjustRightInd w:val="0"/>
        <w:spacing w:line="360" w:lineRule="auto"/>
        <w:rPr>
          <w:rFonts w:eastAsiaTheme="minorHAnsi" w:cs="Times New Roman"/>
          <w:sz w:val="26"/>
          <w:szCs w:val="26"/>
          <w:lang w:bidi="ar-SA"/>
        </w:rPr>
      </w:pPr>
      <w:r w:rsidRPr="00746B51">
        <w:rPr>
          <w:rFonts w:cs="Times New Roman"/>
          <w:sz w:val="26"/>
          <w:szCs w:val="26"/>
        </w:rPr>
        <w:tab/>
      </w:r>
      <w:r w:rsidRPr="00746B51">
        <w:rPr>
          <w:rFonts w:cs="Times New Roman"/>
          <w:sz w:val="26"/>
          <w:szCs w:val="26"/>
        </w:rPr>
        <w:tab/>
        <w:t xml:space="preserve">The Stipulation is proposed by the </w:t>
      </w:r>
      <w:r w:rsidR="00050796">
        <w:rPr>
          <w:rFonts w:cs="Times New Roman"/>
          <w:sz w:val="26"/>
          <w:szCs w:val="26"/>
        </w:rPr>
        <w:t xml:space="preserve">Settling </w:t>
      </w:r>
      <w:r w:rsidRPr="00746B51">
        <w:rPr>
          <w:rFonts w:cs="Times New Roman"/>
          <w:sz w:val="26"/>
          <w:szCs w:val="26"/>
        </w:rPr>
        <w:t xml:space="preserve">Parties to settle certain issues in the instant proceeding and is made without any admission against, or prejudice to, any position which a Party to the Stipulation may adopt during any subsequent litigation of this proceeding, or to positions that a </w:t>
      </w:r>
      <w:r w:rsidR="00050796">
        <w:rPr>
          <w:rFonts w:cs="Times New Roman"/>
          <w:sz w:val="26"/>
          <w:szCs w:val="26"/>
        </w:rPr>
        <w:t xml:space="preserve">Settling </w:t>
      </w:r>
      <w:r w:rsidRPr="00746B51">
        <w:rPr>
          <w:rFonts w:cs="Times New Roman"/>
          <w:sz w:val="26"/>
          <w:szCs w:val="26"/>
        </w:rPr>
        <w:t xml:space="preserve">Party may advance in the future on the merits of the issues.  It is understood and agreed among the </w:t>
      </w:r>
      <w:r w:rsidR="00050796">
        <w:rPr>
          <w:rFonts w:cs="Times New Roman"/>
          <w:sz w:val="26"/>
          <w:szCs w:val="26"/>
        </w:rPr>
        <w:t xml:space="preserve">Settling </w:t>
      </w:r>
      <w:r w:rsidRPr="00746B51">
        <w:rPr>
          <w:rFonts w:cs="Times New Roman"/>
          <w:sz w:val="26"/>
          <w:szCs w:val="26"/>
        </w:rPr>
        <w:t xml:space="preserve">Parties that the Stipulation is the result of compromise and does not necessarily represent the position that would be advanced by any </w:t>
      </w:r>
      <w:r w:rsidR="00050796">
        <w:rPr>
          <w:rFonts w:cs="Times New Roman"/>
          <w:sz w:val="26"/>
          <w:szCs w:val="26"/>
        </w:rPr>
        <w:t xml:space="preserve">Settling </w:t>
      </w:r>
      <w:r w:rsidRPr="00746B51">
        <w:rPr>
          <w:rFonts w:cs="Times New Roman"/>
          <w:sz w:val="26"/>
          <w:szCs w:val="26"/>
        </w:rPr>
        <w:t>Party in the event the proceeding was to be fully litigated.</w:t>
      </w:r>
    </w:p>
    <w:p w:rsidR="00050796" w:rsidRDefault="00050796" w:rsidP="00210A0C">
      <w:pPr>
        <w:widowControl/>
        <w:autoSpaceDE w:val="0"/>
        <w:autoSpaceDN w:val="0"/>
        <w:adjustRightInd w:val="0"/>
        <w:spacing w:line="360" w:lineRule="auto"/>
        <w:rPr>
          <w:rFonts w:eastAsiaTheme="minorHAnsi" w:cs="Times New Roman"/>
          <w:sz w:val="26"/>
          <w:szCs w:val="26"/>
          <w:lang w:bidi="ar-SA"/>
        </w:rPr>
      </w:pPr>
    </w:p>
    <w:p w:rsidR="00DA4D28" w:rsidRDefault="00DA4D28" w:rsidP="00DA4D28">
      <w:pPr>
        <w:spacing w:line="360" w:lineRule="auto"/>
        <w:jc w:val="center"/>
        <w:rPr>
          <w:b/>
          <w:sz w:val="26"/>
          <w:szCs w:val="26"/>
        </w:rPr>
      </w:pPr>
      <w:r>
        <w:rPr>
          <w:b/>
          <w:sz w:val="26"/>
          <w:szCs w:val="26"/>
        </w:rPr>
        <w:lastRenderedPageBreak/>
        <w:t>Discussion</w:t>
      </w:r>
    </w:p>
    <w:p w:rsidR="00DA4D28" w:rsidRDefault="00DA4D28" w:rsidP="00DA4D28">
      <w:pPr>
        <w:spacing w:line="360" w:lineRule="auto"/>
        <w:jc w:val="center"/>
        <w:rPr>
          <w:sz w:val="26"/>
          <w:szCs w:val="26"/>
        </w:rPr>
      </w:pPr>
    </w:p>
    <w:p w:rsidR="00DA4D28" w:rsidRPr="00B41B5B" w:rsidRDefault="00DA4D28" w:rsidP="00DA4D28">
      <w:pPr>
        <w:spacing w:line="360" w:lineRule="auto"/>
        <w:ind w:firstLine="1440"/>
        <w:rPr>
          <w:sz w:val="26"/>
          <w:szCs w:val="26"/>
        </w:rPr>
      </w:pPr>
      <w:r w:rsidRPr="00A54E7F">
        <w:rPr>
          <w:sz w:val="26"/>
          <w:szCs w:val="26"/>
        </w:rPr>
        <w:t xml:space="preserve">Pursuant to our Regulations at 52 Pa. Code § 5.231, it is the Commission’s policy to promote settlements.  </w:t>
      </w:r>
      <w:r w:rsidRPr="00B41B5B">
        <w:rPr>
          <w:sz w:val="26"/>
          <w:szCs w:val="26"/>
        </w:rPr>
        <w:t>Settlements eliminate the time, effort and expense of litigating a matter to its ultimate conclusion,</w:t>
      </w:r>
      <w:r>
        <w:rPr>
          <w:sz w:val="26"/>
          <w:szCs w:val="26"/>
        </w:rPr>
        <w:t xml:space="preserve"> which may entail review of the </w:t>
      </w:r>
      <w:r w:rsidRPr="00B41B5B">
        <w:rPr>
          <w:sz w:val="26"/>
          <w:szCs w:val="26"/>
        </w:rPr>
        <w:t xml:space="preserve">Commission’s decision by the appellate courts of Pennsylvania.  Such savings benefit not only the individual </w:t>
      </w:r>
      <w:r w:rsidR="00050796">
        <w:rPr>
          <w:sz w:val="26"/>
          <w:szCs w:val="26"/>
        </w:rPr>
        <w:t>P</w:t>
      </w:r>
      <w:r w:rsidRPr="00B41B5B">
        <w:rPr>
          <w:sz w:val="26"/>
          <w:szCs w:val="26"/>
        </w:rPr>
        <w:t>arties, but also the Commission and all ratepayers of a utility, who otherwise may have to bear the financial burden such litigation necessarily entails.</w:t>
      </w:r>
    </w:p>
    <w:p w:rsidR="00DA4D28" w:rsidRDefault="00DA4D28" w:rsidP="00746B51">
      <w:pPr>
        <w:widowControl/>
        <w:autoSpaceDE w:val="0"/>
        <w:autoSpaceDN w:val="0"/>
        <w:adjustRightInd w:val="0"/>
        <w:spacing w:line="360" w:lineRule="auto"/>
        <w:ind w:firstLine="1440"/>
        <w:rPr>
          <w:rFonts w:eastAsiaTheme="minorHAnsi" w:cs="Times New Roman"/>
          <w:sz w:val="26"/>
          <w:szCs w:val="26"/>
          <w:lang w:bidi="ar-SA"/>
        </w:rPr>
      </w:pPr>
    </w:p>
    <w:p w:rsidR="005B1388" w:rsidRDefault="00DA4D28" w:rsidP="00746B51">
      <w:pPr>
        <w:widowControl/>
        <w:autoSpaceDE w:val="0"/>
        <w:autoSpaceDN w:val="0"/>
        <w:adjustRightInd w:val="0"/>
        <w:spacing w:line="360" w:lineRule="auto"/>
        <w:ind w:firstLine="1440"/>
        <w:rPr>
          <w:rFonts w:eastAsiaTheme="minorHAnsi" w:cs="Times New Roman"/>
          <w:sz w:val="26"/>
          <w:szCs w:val="26"/>
          <w:lang w:bidi="ar-SA"/>
        </w:rPr>
      </w:pPr>
      <w:r>
        <w:rPr>
          <w:rFonts w:eastAsiaTheme="minorHAnsi" w:cs="Times New Roman"/>
          <w:sz w:val="26"/>
          <w:szCs w:val="26"/>
          <w:lang w:bidi="ar-SA"/>
        </w:rPr>
        <w:t>G</w:t>
      </w:r>
      <w:r w:rsidR="00455FEA">
        <w:rPr>
          <w:rFonts w:eastAsiaTheme="minorHAnsi" w:cs="Times New Roman"/>
          <w:sz w:val="26"/>
          <w:szCs w:val="26"/>
          <w:lang w:bidi="ar-SA"/>
        </w:rPr>
        <w:t>enerally, we find this Settlement to be just and reasonable</w:t>
      </w:r>
      <w:r w:rsidR="00B5218D">
        <w:rPr>
          <w:rFonts w:eastAsiaTheme="minorHAnsi" w:cs="Times New Roman"/>
          <w:sz w:val="26"/>
          <w:szCs w:val="26"/>
          <w:lang w:bidi="ar-SA"/>
        </w:rPr>
        <w:t xml:space="preserve"> and in the public interest</w:t>
      </w:r>
      <w:r w:rsidR="00455FEA">
        <w:rPr>
          <w:rFonts w:eastAsiaTheme="minorHAnsi" w:cs="Times New Roman"/>
          <w:sz w:val="26"/>
          <w:szCs w:val="26"/>
          <w:lang w:bidi="ar-SA"/>
        </w:rPr>
        <w:t>.</w:t>
      </w:r>
      <w:r w:rsidR="00081909">
        <w:rPr>
          <w:rFonts w:eastAsiaTheme="minorHAnsi" w:cs="Times New Roman"/>
          <w:sz w:val="26"/>
          <w:szCs w:val="26"/>
          <w:lang w:bidi="ar-SA"/>
        </w:rPr>
        <w:t xml:space="preserve">  </w:t>
      </w:r>
      <w:r w:rsidR="004864C9">
        <w:rPr>
          <w:rFonts w:eastAsiaTheme="minorHAnsi" w:cs="Times New Roman"/>
          <w:sz w:val="26"/>
          <w:szCs w:val="26"/>
          <w:lang w:bidi="ar-SA"/>
        </w:rPr>
        <w:t xml:space="preserve">However, embodied within the Settlement are provisions to modify the capacity release provisions of the Company with respect to Natural Gas </w:t>
      </w:r>
      <w:proofErr w:type="gramStart"/>
      <w:r w:rsidR="004864C9">
        <w:rPr>
          <w:rFonts w:eastAsiaTheme="minorHAnsi" w:cs="Times New Roman"/>
          <w:sz w:val="26"/>
          <w:szCs w:val="26"/>
          <w:lang w:bidi="ar-SA"/>
        </w:rPr>
        <w:t>Suppliers.</w:t>
      </w:r>
      <w:proofErr w:type="gramEnd"/>
      <w:r w:rsidR="004864C9">
        <w:rPr>
          <w:rFonts w:eastAsiaTheme="minorHAnsi" w:cs="Times New Roman"/>
          <w:sz w:val="26"/>
          <w:szCs w:val="26"/>
          <w:lang w:bidi="ar-SA"/>
        </w:rPr>
        <w:t xml:space="preserve">  The terms of the Settlement are unclear as to whether or not these provisions will be subject to change in the event of future regulations with regard to capacity release.  </w:t>
      </w:r>
      <w:r w:rsidR="00385039">
        <w:rPr>
          <w:rFonts w:eastAsiaTheme="minorHAnsi" w:cs="Times New Roman"/>
          <w:sz w:val="26"/>
          <w:szCs w:val="26"/>
          <w:lang w:bidi="ar-SA"/>
        </w:rPr>
        <w:t xml:space="preserve">We find that the capacity release provisions of the Settlement </w:t>
      </w:r>
      <w:r w:rsidR="002022A4">
        <w:rPr>
          <w:rFonts w:eastAsiaTheme="minorHAnsi" w:cs="Times New Roman"/>
          <w:sz w:val="26"/>
          <w:szCs w:val="26"/>
          <w:lang w:bidi="ar-SA"/>
        </w:rPr>
        <w:t>are subject to any future changes to our capacity release Regulations.</w:t>
      </w:r>
      <w:r w:rsidR="00385039">
        <w:rPr>
          <w:rFonts w:eastAsiaTheme="minorHAnsi" w:cs="Times New Roman"/>
          <w:sz w:val="26"/>
          <w:szCs w:val="26"/>
          <w:lang w:bidi="ar-SA"/>
        </w:rPr>
        <w:t xml:space="preserve">  Accordingly, our approval of these provisions </w:t>
      </w:r>
      <w:r w:rsidR="004C36D1">
        <w:rPr>
          <w:rFonts w:eastAsiaTheme="minorHAnsi" w:cs="Times New Roman"/>
          <w:sz w:val="26"/>
          <w:szCs w:val="26"/>
          <w:lang w:bidi="ar-SA"/>
        </w:rPr>
        <w:t xml:space="preserve">in the Settlement </w:t>
      </w:r>
      <w:r w:rsidR="003B315E">
        <w:rPr>
          <w:rFonts w:eastAsiaTheme="minorHAnsi" w:cs="Times New Roman"/>
          <w:sz w:val="26"/>
          <w:szCs w:val="26"/>
          <w:lang w:bidi="ar-SA"/>
        </w:rPr>
        <w:t>is</w:t>
      </w:r>
      <w:r w:rsidR="004C36D1">
        <w:rPr>
          <w:rFonts w:eastAsiaTheme="minorHAnsi" w:cs="Times New Roman"/>
          <w:sz w:val="26"/>
          <w:szCs w:val="26"/>
          <w:lang w:bidi="ar-SA"/>
        </w:rPr>
        <w:t xml:space="preserve"> subject to this contingency.</w:t>
      </w:r>
      <w:r w:rsidR="005167E3">
        <w:rPr>
          <w:rFonts w:eastAsiaTheme="minorHAnsi" w:cs="Times New Roman"/>
          <w:sz w:val="26"/>
          <w:szCs w:val="26"/>
          <w:lang w:bidi="ar-SA"/>
        </w:rPr>
        <w:t xml:space="preserve"> </w:t>
      </w:r>
    </w:p>
    <w:p w:rsidR="00071EDA" w:rsidRDefault="00071EDA" w:rsidP="00210A0C">
      <w:pPr>
        <w:widowControl/>
        <w:spacing w:line="360" w:lineRule="auto"/>
        <w:rPr>
          <w:b/>
          <w:sz w:val="26"/>
          <w:szCs w:val="26"/>
        </w:rPr>
      </w:pPr>
    </w:p>
    <w:p w:rsidR="00FB748D" w:rsidRPr="0003006C" w:rsidRDefault="00FB748D" w:rsidP="002A75E9">
      <w:pPr>
        <w:widowControl/>
        <w:spacing w:line="360" w:lineRule="auto"/>
        <w:jc w:val="center"/>
        <w:rPr>
          <w:b/>
          <w:sz w:val="26"/>
          <w:szCs w:val="26"/>
        </w:rPr>
      </w:pPr>
      <w:r w:rsidRPr="0003006C">
        <w:rPr>
          <w:b/>
          <w:sz w:val="26"/>
          <w:szCs w:val="26"/>
        </w:rPr>
        <w:t>Conclusion</w:t>
      </w:r>
    </w:p>
    <w:p w:rsidR="00FB748D" w:rsidRPr="00A54E7F" w:rsidRDefault="00FB748D" w:rsidP="002A75E9">
      <w:pPr>
        <w:widowControl/>
        <w:spacing w:line="360" w:lineRule="auto"/>
        <w:jc w:val="center"/>
        <w:rPr>
          <w:b/>
          <w:sz w:val="26"/>
          <w:szCs w:val="26"/>
          <w:u w:val="single"/>
        </w:rPr>
      </w:pPr>
    </w:p>
    <w:p w:rsidR="00FB748D" w:rsidRDefault="00EA19B1" w:rsidP="002A75E9">
      <w:pPr>
        <w:widowControl/>
        <w:spacing w:line="360" w:lineRule="auto"/>
        <w:ind w:firstLine="1440"/>
        <w:rPr>
          <w:b/>
          <w:sz w:val="26"/>
          <w:szCs w:val="26"/>
        </w:rPr>
      </w:pPr>
      <w:r>
        <w:rPr>
          <w:sz w:val="26"/>
          <w:szCs w:val="26"/>
        </w:rPr>
        <w:t xml:space="preserve">We shall adopt </w:t>
      </w:r>
      <w:r w:rsidR="00DF5D25">
        <w:rPr>
          <w:sz w:val="26"/>
          <w:szCs w:val="26"/>
        </w:rPr>
        <w:t>the</w:t>
      </w:r>
      <w:r>
        <w:rPr>
          <w:sz w:val="26"/>
          <w:szCs w:val="26"/>
        </w:rPr>
        <w:t xml:space="preserve"> </w:t>
      </w:r>
      <w:r w:rsidR="00050796">
        <w:rPr>
          <w:sz w:val="26"/>
          <w:szCs w:val="26"/>
        </w:rPr>
        <w:t xml:space="preserve">Recommended Decision of ALJ Kandace F. Melillo and approve the </w:t>
      </w:r>
      <w:r w:rsidR="00FB35F8">
        <w:rPr>
          <w:sz w:val="26"/>
          <w:szCs w:val="26"/>
        </w:rPr>
        <w:t xml:space="preserve">Revised Stipulation In Settlement Of Section 1307(f) Rate Investigation </w:t>
      </w:r>
      <w:r w:rsidR="00DF5D25">
        <w:rPr>
          <w:sz w:val="26"/>
          <w:szCs w:val="26"/>
        </w:rPr>
        <w:t>filed by</w:t>
      </w:r>
      <w:r w:rsidR="00516CC7">
        <w:rPr>
          <w:sz w:val="26"/>
          <w:szCs w:val="26"/>
        </w:rPr>
        <w:t xml:space="preserve"> UGI Utilities, Inc. – Gas Division, the Office of Trial Staff, the Office of Consumer Advocate, the Office of Small Business Advocate, Shipley Energy, Inc., Craig </w:t>
      </w:r>
      <w:proofErr w:type="spellStart"/>
      <w:r w:rsidR="00516CC7">
        <w:rPr>
          <w:sz w:val="26"/>
          <w:szCs w:val="26"/>
        </w:rPr>
        <w:t>Karchner</w:t>
      </w:r>
      <w:proofErr w:type="spellEnd"/>
      <w:r w:rsidR="00516CC7">
        <w:rPr>
          <w:sz w:val="26"/>
          <w:szCs w:val="26"/>
        </w:rPr>
        <w:t xml:space="preserve"> and Brian </w:t>
      </w:r>
      <w:proofErr w:type="spellStart"/>
      <w:r w:rsidR="00516CC7">
        <w:rPr>
          <w:sz w:val="26"/>
          <w:szCs w:val="26"/>
        </w:rPr>
        <w:t>Yahner</w:t>
      </w:r>
      <w:proofErr w:type="spellEnd"/>
      <w:r w:rsidR="00DF5D25">
        <w:rPr>
          <w:sz w:val="26"/>
          <w:szCs w:val="26"/>
        </w:rPr>
        <w:t xml:space="preserve">, </w:t>
      </w:r>
      <w:r>
        <w:rPr>
          <w:sz w:val="26"/>
          <w:szCs w:val="26"/>
        </w:rPr>
        <w:t xml:space="preserve">as modified by this Opinion and Order.  If any </w:t>
      </w:r>
      <w:r w:rsidR="00C30348">
        <w:rPr>
          <w:sz w:val="26"/>
          <w:szCs w:val="26"/>
        </w:rPr>
        <w:t>Settling P</w:t>
      </w:r>
      <w:r>
        <w:rPr>
          <w:sz w:val="26"/>
          <w:szCs w:val="26"/>
        </w:rPr>
        <w:t xml:space="preserve">arty elects to withdraw from the </w:t>
      </w:r>
      <w:r w:rsidR="00255E57">
        <w:rPr>
          <w:sz w:val="26"/>
          <w:szCs w:val="26"/>
        </w:rPr>
        <w:t>Settlement</w:t>
      </w:r>
      <w:r>
        <w:rPr>
          <w:sz w:val="26"/>
          <w:szCs w:val="26"/>
        </w:rPr>
        <w:t xml:space="preserve">, as modified by this Opinion and Order, such election to withdraw must be made in writing, filed with the Secretary of the Commission, and served upon all Parties </w:t>
      </w:r>
      <w:r w:rsidR="00C30348">
        <w:rPr>
          <w:sz w:val="26"/>
          <w:szCs w:val="26"/>
        </w:rPr>
        <w:t>on or before November 30, 2010</w:t>
      </w:r>
      <w:r w:rsidR="00FB748D" w:rsidRPr="00A54E7F">
        <w:rPr>
          <w:sz w:val="26"/>
          <w:szCs w:val="26"/>
        </w:rPr>
        <w:t xml:space="preserve">; </w:t>
      </w:r>
      <w:r w:rsidR="00C74BB9">
        <w:rPr>
          <w:sz w:val="26"/>
          <w:szCs w:val="26"/>
        </w:rPr>
        <w:t xml:space="preserve"> </w:t>
      </w:r>
      <w:r w:rsidR="00FB748D" w:rsidRPr="00A54E7F">
        <w:rPr>
          <w:b/>
          <w:sz w:val="26"/>
          <w:szCs w:val="26"/>
        </w:rPr>
        <w:t>THER</w:t>
      </w:r>
      <w:r w:rsidR="00791F13">
        <w:rPr>
          <w:b/>
          <w:sz w:val="26"/>
          <w:szCs w:val="26"/>
        </w:rPr>
        <w:t>E</w:t>
      </w:r>
      <w:r w:rsidR="00FB748D" w:rsidRPr="00A54E7F">
        <w:rPr>
          <w:b/>
          <w:sz w:val="26"/>
          <w:szCs w:val="26"/>
        </w:rPr>
        <w:t>FORE,</w:t>
      </w:r>
    </w:p>
    <w:p w:rsidR="002D3F44" w:rsidRPr="00A54E7F" w:rsidRDefault="002D3F44" w:rsidP="002A75E9">
      <w:pPr>
        <w:widowControl/>
        <w:spacing w:line="360" w:lineRule="auto"/>
        <w:rPr>
          <w:b/>
          <w:sz w:val="26"/>
          <w:szCs w:val="26"/>
        </w:rPr>
      </w:pPr>
    </w:p>
    <w:p w:rsidR="00FB748D" w:rsidRDefault="00FB748D" w:rsidP="00104E43">
      <w:pPr>
        <w:widowControl/>
        <w:spacing w:line="360" w:lineRule="auto"/>
        <w:ind w:left="720" w:firstLine="720"/>
        <w:rPr>
          <w:b/>
          <w:sz w:val="26"/>
          <w:szCs w:val="26"/>
        </w:rPr>
      </w:pPr>
      <w:r w:rsidRPr="00A54E7F">
        <w:rPr>
          <w:b/>
          <w:sz w:val="26"/>
          <w:szCs w:val="26"/>
        </w:rPr>
        <w:lastRenderedPageBreak/>
        <w:t>IT IS ORDERED:</w:t>
      </w:r>
    </w:p>
    <w:p w:rsidR="00561535" w:rsidRDefault="00561535" w:rsidP="00104E43">
      <w:pPr>
        <w:widowControl/>
        <w:spacing w:line="360" w:lineRule="auto"/>
        <w:ind w:left="720" w:firstLine="720"/>
        <w:rPr>
          <w:b/>
          <w:sz w:val="26"/>
          <w:szCs w:val="26"/>
        </w:rPr>
      </w:pPr>
    </w:p>
    <w:p w:rsidR="00C30348" w:rsidRDefault="00C30348" w:rsidP="00210A0C">
      <w:pPr>
        <w:widowControl/>
        <w:spacing w:line="360" w:lineRule="auto"/>
        <w:ind w:firstLine="1440"/>
        <w:rPr>
          <w:sz w:val="26"/>
          <w:szCs w:val="26"/>
        </w:rPr>
      </w:pPr>
      <w:r>
        <w:rPr>
          <w:sz w:val="26"/>
          <w:szCs w:val="26"/>
        </w:rPr>
        <w:t>1.</w:t>
      </w:r>
      <w:r>
        <w:rPr>
          <w:sz w:val="26"/>
          <w:szCs w:val="26"/>
        </w:rPr>
        <w:tab/>
        <w:t>That the Recommended Decision of Administrative Law Judge Kandace F. Melillo, issued on October 13, 2010, is adopted, as modified by this Opinion and Order.</w:t>
      </w:r>
    </w:p>
    <w:p w:rsidR="00C30348" w:rsidRDefault="00C30348" w:rsidP="00210A0C">
      <w:pPr>
        <w:widowControl/>
        <w:spacing w:line="360" w:lineRule="auto"/>
        <w:ind w:firstLine="1440"/>
        <w:rPr>
          <w:sz w:val="26"/>
          <w:szCs w:val="26"/>
        </w:rPr>
      </w:pPr>
    </w:p>
    <w:p w:rsidR="00311138" w:rsidRDefault="00C71BBC" w:rsidP="00210A0C">
      <w:pPr>
        <w:widowControl/>
        <w:spacing w:line="360" w:lineRule="auto"/>
        <w:ind w:firstLine="1440"/>
        <w:rPr>
          <w:sz w:val="26"/>
          <w:szCs w:val="26"/>
        </w:rPr>
      </w:pPr>
      <w:r>
        <w:rPr>
          <w:sz w:val="26"/>
          <w:szCs w:val="26"/>
        </w:rPr>
        <w:t>2</w:t>
      </w:r>
      <w:r w:rsidR="00F17922">
        <w:rPr>
          <w:sz w:val="26"/>
          <w:szCs w:val="26"/>
        </w:rPr>
        <w:t>.</w:t>
      </w:r>
      <w:r w:rsidR="00F17922">
        <w:rPr>
          <w:sz w:val="26"/>
          <w:szCs w:val="26"/>
        </w:rPr>
        <w:tab/>
        <w:t>That the terms and conditions c</w:t>
      </w:r>
      <w:r w:rsidR="00BA5509">
        <w:rPr>
          <w:sz w:val="26"/>
          <w:szCs w:val="26"/>
        </w:rPr>
        <w:t xml:space="preserve">ontained in the </w:t>
      </w:r>
      <w:r w:rsidR="00DF5D25">
        <w:rPr>
          <w:sz w:val="26"/>
          <w:szCs w:val="26"/>
        </w:rPr>
        <w:t xml:space="preserve">Revised Stipulation </w:t>
      </w:r>
      <w:proofErr w:type="gramStart"/>
      <w:r w:rsidR="00DF5D25">
        <w:rPr>
          <w:sz w:val="26"/>
          <w:szCs w:val="26"/>
        </w:rPr>
        <w:t>In Settlement Of</w:t>
      </w:r>
      <w:proofErr w:type="gramEnd"/>
      <w:r w:rsidR="00DF5D25">
        <w:rPr>
          <w:sz w:val="26"/>
          <w:szCs w:val="26"/>
        </w:rPr>
        <w:t xml:space="preserve"> Section 1307(f) Rate Investigation </w:t>
      </w:r>
      <w:r w:rsidR="000738BE">
        <w:rPr>
          <w:sz w:val="26"/>
          <w:szCs w:val="26"/>
        </w:rPr>
        <w:t xml:space="preserve">at Docket No. </w:t>
      </w:r>
      <w:r w:rsidR="00DF5D25">
        <w:rPr>
          <w:sz w:val="26"/>
          <w:szCs w:val="26"/>
        </w:rPr>
        <w:t>R</w:t>
      </w:r>
      <w:r w:rsidR="000738BE">
        <w:rPr>
          <w:sz w:val="26"/>
          <w:szCs w:val="26"/>
        </w:rPr>
        <w:t>-2010-217</w:t>
      </w:r>
      <w:r w:rsidR="00DF5D25">
        <w:rPr>
          <w:sz w:val="26"/>
          <w:szCs w:val="26"/>
        </w:rPr>
        <w:t>2933</w:t>
      </w:r>
      <w:r w:rsidR="000738BE">
        <w:rPr>
          <w:sz w:val="26"/>
          <w:szCs w:val="26"/>
        </w:rPr>
        <w:t xml:space="preserve"> </w:t>
      </w:r>
      <w:proofErr w:type="gramStart"/>
      <w:r w:rsidR="00914BBC">
        <w:rPr>
          <w:sz w:val="26"/>
          <w:szCs w:val="26"/>
        </w:rPr>
        <w:t>be</w:t>
      </w:r>
      <w:proofErr w:type="gramEnd"/>
      <w:r w:rsidR="00914BBC">
        <w:rPr>
          <w:sz w:val="26"/>
          <w:szCs w:val="26"/>
        </w:rPr>
        <w:t xml:space="preserve"> </w:t>
      </w:r>
      <w:r w:rsidR="000738BE">
        <w:rPr>
          <w:sz w:val="26"/>
          <w:szCs w:val="26"/>
        </w:rPr>
        <w:t xml:space="preserve">approved as modified by this Opinion and Order, provided no Parties to the Joint Petition </w:t>
      </w:r>
      <w:r w:rsidR="00BA5509">
        <w:rPr>
          <w:sz w:val="26"/>
          <w:szCs w:val="26"/>
        </w:rPr>
        <w:t>F</w:t>
      </w:r>
      <w:r w:rsidR="000738BE">
        <w:rPr>
          <w:sz w:val="26"/>
          <w:szCs w:val="26"/>
        </w:rPr>
        <w:t xml:space="preserve">or Settlement withdraw from the </w:t>
      </w:r>
      <w:r w:rsidR="00311138">
        <w:rPr>
          <w:sz w:val="26"/>
          <w:szCs w:val="26"/>
        </w:rPr>
        <w:t xml:space="preserve">Settlement as per Ordering Paragraph No. </w:t>
      </w:r>
      <w:r>
        <w:rPr>
          <w:sz w:val="26"/>
          <w:szCs w:val="26"/>
        </w:rPr>
        <w:t>6</w:t>
      </w:r>
      <w:r w:rsidR="00914BBC">
        <w:rPr>
          <w:sz w:val="26"/>
          <w:szCs w:val="26"/>
        </w:rPr>
        <w:t>.</w:t>
      </w:r>
    </w:p>
    <w:p w:rsidR="00F22B8B" w:rsidRDefault="00F22B8B" w:rsidP="00210A0C">
      <w:pPr>
        <w:widowControl/>
        <w:spacing w:line="360" w:lineRule="auto"/>
        <w:ind w:firstLine="1440"/>
        <w:rPr>
          <w:sz w:val="26"/>
          <w:szCs w:val="26"/>
        </w:rPr>
      </w:pPr>
    </w:p>
    <w:p w:rsidR="00311138" w:rsidRDefault="00C71BBC" w:rsidP="001F65F8">
      <w:pPr>
        <w:widowControl/>
        <w:spacing w:line="360" w:lineRule="auto"/>
        <w:ind w:firstLine="1440"/>
        <w:rPr>
          <w:sz w:val="26"/>
          <w:szCs w:val="26"/>
        </w:rPr>
      </w:pPr>
      <w:r>
        <w:rPr>
          <w:sz w:val="26"/>
          <w:szCs w:val="26"/>
        </w:rPr>
        <w:t>3</w:t>
      </w:r>
      <w:r w:rsidR="00311138">
        <w:rPr>
          <w:sz w:val="26"/>
          <w:szCs w:val="26"/>
        </w:rPr>
        <w:t>.</w:t>
      </w:r>
      <w:r w:rsidR="00311138">
        <w:rPr>
          <w:sz w:val="26"/>
          <w:szCs w:val="26"/>
        </w:rPr>
        <w:tab/>
        <w:t xml:space="preserve">That </w:t>
      </w:r>
      <w:r w:rsidR="00DF6393">
        <w:rPr>
          <w:sz w:val="26"/>
          <w:szCs w:val="26"/>
        </w:rPr>
        <w:t xml:space="preserve">UGI </w:t>
      </w:r>
      <w:r w:rsidR="00196FC5">
        <w:rPr>
          <w:sz w:val="26"/>
          <w:szCs w:val="26"/>
        </w:rPr>
        <w:t xml:space="preserve">Utilities, Inc. – Gas Division </w:t>
      </w:r>
      <w:r w:rsidR="00311138">
        <w:rPr>
          <w:sz w:val="26"/>
          <w:szCs w:val="26"/>
        </w:rPr>
        <w:t>shall file a tariff no sooner than ten (10) days from the entry date of this Opinion and Order</w:t>
      </w:r>
      <w:r w:rsidR="008360E2">
        <w:rPr>
          <w:sz w:val="26"/>
          <w:szCs w:val="26"/>
        </w:rPr>
        <w:t xml:space="preserve">, </w:t>
      </w:r>
      <w:r w:rsidR="00196FC5">
        <w:rPr>
          <w:sz w:val="26"/>
          <w:szCs w:val="26"/>
        </w:rPr>
        <w:t xml:space="preserve">containing changes in rates to provide for the recovery of its costs of purchased gas, </w:t>
      </w:r>
      <w:r w:rsidR="008360E2">
        <w:rPr>
          <w:sz w:val="26"/>
          <w:szCs w:val="26"/>
        </w:rPr>
        <w:t xml:space="preserve">consistent with the terms and conditions of the </w:t>
      </w:r>
      <w:r w:rsidR="00196FC5">
        <w:rPr>
          <w:sz w:val="26"/>
          <w:szCs w:val="26"/>
        </w:rPr>
        <w:t>Revised Stipulation In Settlement Of Section 1307(f) Rate Investigation</w:t>
      </w:r>
      <w:r w:rsidR="003C4FE5">
        <w:rPr>
          <w:sz w:val="26"/>
          <w:szCs w:val="26"/>
        </w:rPr>
        <w:t>, as further revised on August 31, 2010.</w:t>
      </w:r>
      <w:r w:rsidR="00196FC5">
        <w:rPr>
          <w:sz w:val="26"/>
          <w:szCs w:val="26"/>
        </w:rPr>
        <w:t xml:space="preserve"> </w:t>
      </w:r>
    </w:p>
    <w:p w:rsidR="008360E2" w:rsidRDefault="008360E2" w:rsidP="001F65F8">
      <w:pPr>
        <w:widowControl/>
        <w:spacing w:line="360" w:lineRule="auto"/>
        <w:ind w:firstLine="1440"/>
        <w:rPr>
          <w:sz w:val="26"/>
          <w:szCs w:val="26"/>
        </w:rPr>
      </w:pPr>
    </w:p>
    <w:p w:rsidR="003C4FE5" w:rsidRPr="003C4FE5" w:rsidRDefault="00C71BBC" w:rsidP="003C4FE5">
      <w:pPr>
        <w:spacing w:line="360" w:lineRule="auto"/>
        <w:ind w:firstLine="1440"/>
        <w:rPr>
          <w:sz w:val="26"/>
          <w:szCs w:val="26"/>
        </w:rPr>
      </w:pPr>
      <w:r>
        <w:rPr>
          <w:sz w:val="26"/>
          <w:szCs w:val="26"/>
        </w:rPr>
        <w:t>4</w:t>
      </w:r>
      <w:r w:rsidR="008360E2" w:rsidRPr="003C4FE5">
        <w:rPr>
          <w:sz w:val="26"/>
          <w:szCs w:val="26"/>
        </w:rPr>
        <w:t>.</w:t>
      </w:r>
      <w:r w:rsidR="008360E2" w:rsidRPr="003C4FE5">
        <w:rPr>
          <w:sz w:val="26"/>
          <w:szCs w:val="26"/>
        </w:rPr>
        <w:tab/>
      </w:r>
      <w:r w:rsidR="003C4FE5" w:rsidRPr="003C4FE5">
        <w:rPr>
          <w:sz w:val="26"/>
          <w:szCs w:val="26"/>
        </w:rPr>
        <w:t xml:space="preserve">That UGI Utilities, Inc. – Gas Division, the Office of Trial Staff, the Office of Consumer Advocate, the Office of Small Business Advocate, Shipley Energy, Inc., Craig </w:t>
      </w:r>
      <w:proofErr w:type="spellStart"/>
      <w:r w:rsidR="003C4FE5" w:rsidRPr="003C4FE5">
        <w:rPr>
          <w:sz w:val="26"/>
          <w:szCs w:val="26"/>
        </w:rPr>
        <w:t>Karchner</w:t>
      </w:r>
      <w:proofErr w:type="spellEnd"/>
      <w:r w:rsidR="003C4FE5" w:rsidRPr="003C4FE5">
        <w:rPr>
          <w:sz w:val="26"/>
          <w:szCs w:val="26"/>
        </w:rPr>
        <w:t xml:space="preserve"> and Brian </w:t>
      </w:r>
      <w:proofErr w:type="spellStart"/>
      <w:r w:rsidR="003C4FE5" w:rsidRPr="003C4FE5">
        <w:rPr>
          <w:sz w:val="26"/>
          <w:szCs w:val="26"/>
        </w:rPr>
        <w:t>Yahner</w:t>
      </w:r>
      <w:proofErr w:type="spellEnd"/>
      <w:r w:rsidR="003C4FE5" w:rsidRPr="003C4FE5">
        <w:rPr>
          <w:sz w:val="26"/>
          <w:szCs w:val="26"/>
        </w:rPr>
        <w:t xml:space="preserve"> shall comply with the terms and conditions of the Revised Stipulation In Settlement Of Section 1307(f) Rate Investigation </w:t>
      </w:r>
      <w:r w:rsidR="003C4FE5">
        <w:rPr>
          <w:sz w:val="26"/>
          <w:szCs w:val="26"/>
        </w:rPr>
        <w:t xml:space="preserve">as modified </w:t>
      </w:r>
      <w:r w:rsidR="00187E9A">
        <w:rPr>
          <w:sz w:val="26"/>
          <w:szCs w:val="26"/>
        </w:rPr>
        <w:t>by this Opinion and Order</w:t>
      </w:r>
      <w:r w:rsidR="003C4FE5" w:rsidRPr="003C4FE5">
        <w:rPr>
          <w:sz w:val="26"/>
          <w:szCs w:val="26"/>
        </w:rPr>
        <w:t>, as though each term and condition stated therein had been the subject of an individual ordering paragraph.</w:t>
      </w:r>
    </w:p>
    <w:p w:rsidR="0048044B" w:rsidRDefault="0048044B" w:rsidP="008360E2">
      <w:pPr>
        <w:pStyle w:val="OutlineL2"/>
        <w:numPr>
          <w:ilvl w:val="0"/>
          <w:numId w:val="0"/>
        </w:numPr>
        <w:tabs>
          <w:tab w:val="left" w:pos="90"/>
        </w:tabs>
        <w:spacing w:after="0" w:line="360" w:lineRule="auto"/>
        <w:ind w:left="90" w:firstLine="1350"/>
        <w:rPr>
          <w:sz w:val="26"/>
          <w:szCs w:val="26"/>
        </w:rPr>
      </w:pPr>
    </w:p>
    <w:p w:rsidR="0048044B" w:rsidRDefault="00C71BBC" w:rsidP="008360E2">
      <w:pPr>
        <w:pStyle w:val="OutlineL2"/>
        <w:numPr>
          <w:ilvl w:val="0"/>
          <w:numId w:val="0"/>
        </w:numPr>
        <w:tabs>
          <w:tab w:val="left" w:pos="90"/>
        </w:tabs>
        <w:spacing w:after="0" w:line="360" w:lineRule="auto"/>
        <w:ind w:left="90" w:firstLine="1350"/>
        <w:rPr>
          <w:sz w:val="26"/>
          <w:szCs w:val="26"/>
        </w:rPr>
      </w:pPr>
      <w:r>
        <w:rPr>
          <w:sz w:val="26"/>
          <w:szCs w:val="26"/>
        </w:rPr>
        <w:t>5</w:t>
      </w:r>
      <w:r w:rsidR="0048044B">
        <w:rPr>
          <w:sz w:val="26"/>
          <w:szCs w:val="26"/>
        </w:rPr>
        <w:t>.</w:t>
      </w:r>
      <w:r w:rsidR="0048044B">
        <w:rPr>
          <w:sz w:val="26"/>
          <w:szCs w:val="26"/>
        </w:rPr>
        <w:tab/>
        <w:t xml:space="preserve">That a copy of this Opinion and Order be served upon all </w:t>
      </w:r>
      <w:r>
        <w:rPr>
          <w:sz w:val="26"/>
          <w:szCs w:val="26"/>
        </w:rPr>
        <w:t>Parties to these proceedings.</w:t>
      </w:r>
    </w:p>
    <w:p w:rsidR="00FC1949" w:rsidRDefault="00FC1949" w:rsidP="008360E2">
      <w:pPr>
        <w:pStyle w:val="OutlineL2"/>
        <w:numPr>
          <w:ilvl w:val="0"/>
          <w:numId w:val="0"/>
        </w:numPr>
        <w:tabs>
          <w:tab w:val="left" w:pos="90"/>
        </w:tabs>
        <w:spacing w:after="0" w:line="360" w:lineRule="auto"/>
        <w:ind w:left="90" w:firstLine="1350"/>
        <w:rPr>
          <w:sz w:val="26"/>
          <w:szCs w:val="26"/>
        </w:rPr>
      </w:pPr>
    </w:p>
    <w:p w:rsidR="002D3B99" w:rsidRDefault="002D3B99" w:rsidP="008360E2">
      <w:pPr>
        <w:pStyle w:val="OutlineL2"/>
        <w:numPr>
          <w:ilvl w:val="0"/>
          <w:numId w:val="0"/>
        </w:numPr>
        <w:tabs>
          <w:tab w:val="left" w:pos="90"/>
        </w:tabs>
        <w:spacing w:after="0" w:line="360" w:lineRule="auto"/>
        <w:ind w:left="90" w:firstLine="1350"/>
        <w:rPr>
          <w:sz w:val="26"/>
          <w:szCs w:val="26"/>
        </w:rPr>
      </w:pPr>
    </w:p>
    <w:p w:rsidR="00FC1949" w:rsidRDefault="00C71BBC" w:rsidP="008360E2">
      <w:pPr>
        <w:pStyle w:val="OutlineL2"/>
        <w:numPr>
          <w:ilvl w:val="0"/>
          <w:numId w:val="0"/>
        </w:numPr>
        <w:tabs>
          <w:tab w:val="left" w:pos="90"/>
        </w:tabs>
        <w:spacing w:after="0" w:line="360" w:lineRule="auto"/>
        <w:ind w:left="90" w:firstLine="1350"/>
        <w:rPr>
          <w:sz w:val="26"/>
          <w:szCs w:val="26"/>
        </w:rPr>
      </w:pPr>
      <w:r>
        <w:rPr>
          <w:sz w:val="26"/>
          <w:szCs w:val="26"/>
        </w:rPr>
        <w:lastRenderedPageBreak/>
        <w:t>6</w:t>
      </w:r>
      <w:r w:rsidR="00FC1949">
        <w:rPr>
          <w:sz w:val="26"/>
          <w:szCs w:val="26"/>
        </w:rPr>
        <w:t>.</w:t>
      </w:r>
      <w:r w:rsidR="00FC1949">
        <w:rPr>
          <w:sz w:val="26"/>
          <w:szCs w:val="26"/>
        </w:rPr>
        <w:tab/>
        <w:t>That i</w:t>
      </w:r>
      <w:r w:rsidR="00914BBC">
        <w:rPr>
          <w:sz w:val="26"/>
          <w:szCs w:val="26"/>
        </w:rPr>
        <w:t>f</w:t>
      </w:r>
      <w:r w:rsidR="00FC1949">
        <w:rPr>
          <w:sz w:val="26"/>
          <w:szCs w:val="26"/>
        </w:rPr>
        <w:t xml:space="preserve"> any </w:t>
      </w:r>
      <w:r>
        <w:rPr>
          <w:sz w:val="26"/>
          <w:szCs w:val="26"/>
        </w:rPr>
        <w:t xml:space="preserve">Settling </w:t>
      </w:r>
      <w:r w:rsidR="00FC1949">
        <w:rPr>
          <w:sz w:val="26"/>
          <w:szCs w:val="26"/>
        </w:rPr>
        <w:t>Party elects to wi</w:t>
      </w:r>
      <w:r w:rsidR="00BA5509">
        <w:rPr>
          <w:sz w:val="26"/>
          <w:szCs w:val="26"/>
        </w:rPr>
        <w:t xml:space="preserve">thdraw from the </w:t>
      </w:r>
      <w:r w:rsidR="006259B7">
        <w:rPr>
          <w:sz w:val="26"/>
          <w:szCs w:val="26"/>
        </w:rPr>
        <w:t xml:space="preserve">Revised Stipulation </w:t>
      </w:r>
      <w:proofErr w:type="gramStart"/>
      <w:r w:rsidR="006259B7">
        <w:rPr>
          <w:sz w:val="26"/>
          <w:szCs w:val="26"/>
        </w:rPr>
        <w:t>In Settlement Of</w:t>
      </w:r>
      <w:proofErr w:type="gramEnd"/>
      <w:r w:rsidR="006259B7">
        <w:rPr>
          <w:sz w:val="26"/>
          <w:szCs w:val="26"/>
        </w:rPr>
        <w:t xml:space="preserve"> Section 1307(f) Rate Investigation</w:t>
      </w:r>
      <w:r w:rsidR="00FC1949">
        <w:rPr>
          <w:sz w:val="26"/>
          <w:szCs w:val="26"/>
        </w:rPr>
        <w:t>, as modified by this Opinion and Order, such election to withdraw must be made in writing</w:t>
      </w:r>
      <w:r>
        <w:rPr>
          <w:sz w:val="26"/>
          <w:szCs w:val="26"/>
        </w:rPr>
        <w:t>, filed with the Secretary of the Commission, and served upon all Parties on or before November 30, 2010</w:t>
      </w:r>
      <w:r w:rsidR="00FC1949">
        <w:rPr>
          <w:sz w:val="26"/>
          <w:szCs w:val="26"/>
        </w:rPr>
        <w:t>.</w:t>
      </w:r>
    </w:p>
    <w:p w:rsidR="003519A0" w:rsidRDefault="003519A0" w:rsidP="008360E2">
      <w:pPr>
        <w:pStyle w:val="OutlineL2"/>
        <w:numPr>
          <w:ilvl w:val="0"/>
          <w:numId w:val="0"/>
        </w:numPr>
        <w:tabs>
          <w:tab w:val="left" w:pos="90"/>
        </w:tabs>
        <w:spacing w:after="0" w:line="360" w:lineRule="auto"/>
        <w:ind w:left="90" w:firstLine="1350"/>
        <w:rPr>
          <w:sz w:val="26"/>
          <w:szCs w:val="26"/>
        </w:rPr>
      </w:pPr>
    </w:p>
    <w:p w:rsidR="00FC1949" w:rsidRPr="008360E2" w:rsidRDefault="005762EE" w:rsidP="008360E2">
      <w:pPr>
        <w:pStyle w:val="OutlineL2"/>
        <w:numPr>
          <w:ilvl w:val="0"/>
          <w:numId w:val="0"/>
        </w:numPr>
        <w:tabs>
          <w:tab w:val="left" w:pos="90"/>
        </w:tabs>
        <w:spacing w:after="0" w:line="360" w:lineRule="auto"/>
        <w:ind w:left="90" w:firstLine="1350"/>
        <w:rPr>
          <w:sz w:val="26"/>
          <w:szCs w:val="26"/>
        </w:rPr>
      </w:pPr>
      <w:r>
        <w:rPr>
          <w:sz w:val="26"/>
          <w:szCs w:val="26"/>
        </w:rPr>
        <w:t>7</w:t>
      </w:r>
      <w:r w:rsidR="00FC1949">
        <w:rPr>
          <w:sz w:val="26"/>
          <w:szCs w:val="26"/>
        </w:rPr>
        <w:t>.</w:t>
      </w:r>
      <w:r w:rsidR="00FC1949">
        <w:rPr>
          <w:sz w:val="26"/>
          <w:szCs w:val="26"/>
        </w:rPr>
        <w:tab/>
        <w:t xml:space="preserve">If any Party to the </w:t>
      </w:r>
      <w:r w:rsidR="006259B7">
        <w:rPr>
          <w:sz w:val="26"/>
          <w:szCs w:val="26"/>
        </w:rPr>
        <w:t xml:space="preserve">Revised Stipulation </w:t>
      </w:r>
      <w:proofErr w:type="gramStart"/>
      <w:r w:rsidR="006259B7">
        <w:rPr>
          <w:sz w:val="26"/>
          <w:szCs w:val="26"/>
        </w:rPr>
        <w:t>In Settlement Of</w:t>
      </w:r>
      <w:proofErr w:type="gramEnd"/>
      <w:r w:rsidR="006259B7">
        <w:rPr>
          <w:sz w:val="26"/>
          <w:szCs w:val="26"/>
        </w:rPr>
        <w:t xml:space="preserve"> Section 1307(f) Rate Investigation</w:t>
      </w:r>
      <w:r w:rsidR="00FC1949">
        <w:rPr>
          <w:sz w:val="26"/>
          <w:szCs w:val="26"/>
        </w:rPr>
        <w:t>, as modified by this Opinion and Order, files to withdraw from the Settlement, the Commission shall take the necessary action it deems appropriate.</w:t>
      </w:r>
    </w:p>
    <w:p w:rsidR="003519A0" w:rsidRDefault="003519A0" w:rsidP="006259B7">
      <w:pPr>
        <w:widowControl/>
        <w:spacing w:line="360" w:lineRule="auto"/>
        <w:rPr>
          <w:sz w:val="26"/>
          <w:szCs w:val="26"/>
        </w:rPr>
      </w:pPr>
    </w:p>
    <w:p w:rsidR="005762EE" w:rsidRDefault="008360E2" w:rsidP="008360E2">
      <w:pPr>
        <w:tabs>
          <w:tab w:val="left" w:pos="0"/>
        </w:tabs>
        <w:spacing w:line="360" w:lineRule="auto"/>
        <w:rPr>
          <w:sz w:val="26"/>
          <w:szCs w:val="26"/>
        </w:rPr>
      </w:pPr>
      <w:r>
        <w:rPr>
          <w:sz w:val="26"/>
          <w:szCs w:val="26"/>
        </w:rPr>
        <w:tab/>
      </w:r>
      <w:r>
        <w:rPr>
          <w:sz w:val="26"/>
          <w:szCs w:val="26"/>
        </w:rPr>
        <w:tab/>
      </w:r>
      <w:r w:rsidR="005762EE">
        <w:rPr>
          <w:sz w:val="26"/>
          <w:szCs w:val="26"/>
        </w:rPr>
        <w:t>8</w:t>
      </w:r>
      <w:r w:rsidRPr="008360E2">
        <w:rPr>
          <w:sz w:val="26"/>
          <w:szCs w:val="26"/>
        </w:rPr>
        <w:t>.</w:t>
      </w:r>
      <w:r w:rsidRPr="008360E2">
        <w:rPr>
          <w:sz w:val="26"/>
          <w:szCs w:val="26"/>
        </w:rPr>
        <w:tab/>
      </w:r>
      <w:r w:rsidR="00037777">
        <w:rPr>
          <w:sz w:val="26"/>
          <w:szCs w:val="26"/>
        </w:rPr>
        <w:t xml:space="preserve">That if no </w:t>
      </w:r>
      <w:r w:rsidR="005762EE">
        <w:rPr>
          <w:sz w:val="26"/>
          <w:szCs w:val="26"/>
        </w:rPr>
        <w:t xml:space="preserve">Settling </w:t>
      </w:r>
      <w:r w:rsidR="00037777">
        <w:rPr>
          <w:sz w:val="26"/>
          <w:szCs w:val="26"/>
        </w:rPr>
        <w:t xml:space="preserve">Parties elect to withdraw from the </w:t>
      </w:r>
      <w:r w:rsidR="00574D25">
        <w:rPr>
          <w:sz w:val="26"/>
          <w:szCs w:val="26"/>
        </w:rPr>
        <w:t xml:space="preserve">Revised Stipulation </w:t>
      </w:r>
      <w:proofErr w:type="gramStart"/>
      <w:r w:rsidR="00574D25">
        <w:rPr>
          <w:sz w:val="26"/>
          <w:szCs w:val="26"/>
        </w:rPr>
        <w:t>In Settlement Of</w:t>
      </w:r>
      <w:proofErr w:type="gramEnd"/>
      <w:r w:rsidR="00574D25">
        <w:rPr>
          <w:sz w:val="26"/>
          <w:szCs w:val="26"/>
        </w:rPr>
        <w:t xml:space="preserve"> Section 1307(f) Rate Investigation</w:t>
      </w:r>
      <w:r w:rsidR="00037777">
        <w:rPr>
          <w:sz w:val="26"/>
          <w:szCs w:val="26"/>
        </w:rPr>
        <w:t xml:space="preserve">, as modified by this Opinion and Order, </w:t>
      </w:r>
      <w:r w:rsidR="005762EE">
        <w:rPr>
          <w:sz w:val="26"/>
          <w:szCs w:val="26"/>
        </w:rPr>
        <w:t xml:space="preserve">the Commission’s inquiry and investigation at Docket No. R-2010-2172933 shall be terminated and marked closed, the Formal Complaints at Docket </w:t>
      </w:r>
    </w:p>
    <w:p w:rsidR="00477B1E" w:rsidRDefault="005762EE" w:rsidP="008360E2">
      <w:pPr>
        <w:tabs>
          <w:tab w:val="left" w:pos="0"/>
        </w:tabs>
        <w:spacing w:line="360" w:lineRule="auto"/>
        <w:rPr>
          <w:sz w:val="26"/>
          <w:szCs w:val="26"/>
        </w:rPr>
      </w:pPr>
      <w:r>
        <w:rPr>
          <w:sz w:val="26"/>
          <w:szCs w:val="26"/>
        </w:rPr>
        <w:t>Nos. C-2010-</w:t>
      </w:r>
      <w:r w:rsidR="00477B1E">
        <w:rPr>
          <w:sz w:val="26"/>
          <w:szCs w:val="26"/>
        </w:rPr>
        <w:t xml:space="preserve">2175544 and C-2010-2180831 shall be considered satisfied and marked closed, and the Formal Complaints of Craig </w:t>
      </w:r>
      <w:proofErr w:type="spellStart"/>
      <w:r w:rsidR="00477B1E">
        <w:rPr>
          <w:sz w:val="26"/>
          <w:szCs w:val="26"/>
        </w:rPr>
        <w:t>Karchner</w:t>
      </w:r>
      <w:proofErr w:type="spellEnd"/>
      <w:r w:rsidR="00477B1E">
        <w:rPr>
          <w:sz w:val="26"/>
          <w:szCs w:val="26"/>
        </w:rPr>
        <w:t xml:space="preserve"> and Brian </w:t>
      </w:r>
      <w:proofErr w:type="spellStart"/>
      <w:r w:rsidR="00477B1E">
        <w:rPr>
          <w:sz w:val="26"/>
          <w:szCs w:val="26"/>
        </w:rPr>
        <w:t>Yahner</w:t>
      </w:r>
      <w:proofErr w:type="spellEnd"/>
      <w:r w:rsidR="00477B1E">
        <w:rPr>
          <w:sz w:val="26"/>
          <w:szCs w:val="26"/>
        </w:rPr>
        <w:t xml:space="preserve"> at Docket </w:t>
      </w:r>
    </w:p>
    <w:p w:rsidR="00890F6F" w:rsidRDefault="00477B1E" w:rsidP="008360E2">
      <w:pPr>
        <w:tabs>
          <w:tab w:val="left" w:pos="0"/>
        </w:tabs>
        <w:spacing w:line="360" w:lineRule="auto"/>
        <w:rPr>
          <w:sz w:val="26"/>
          <w:szCs w:val="26"/>
        </w:rPr>
      </w:pPr>
      <w:r>
        <w:rPr>
          <w:sz w:val="26"/>
          <w:szCs w:val="26"/>
        </w:rPr>
        <w:t>Nos. C-2010-2183642 and C-2010-2183540, respectively, shall be dismissed and marked closed</w:t>
      </w:r>
      <w:r w:rsidR="00890F6F">
        <w:rPr>
          <w:sz w:val="26"/>
          <w:szCs w:val="26"/>
        </w:rPr>
        <w:t>.</w:t>
      </w:r>
    </w:p>
    <w:p w:rsidR="00477B1E" w:rsidRDefault="00477B1E" w:rsidP="008360E2">
      <w:pPr>
        <w:tabs>
          <w:tab w:val="left" w:pos="0"/>
        </w:tabs>
        <w:spacing w:line="360" w:lineRule="auto"/>
        <w:rPr>
          <w:sz w:val="26"/>
          <w:szCs w:val="26"/>
        </w:rPr>
      </w:pPr>
    </w:p>
    <w:p w:rsidR="00890F6F" w:rsidRDefault="00890F6F" w:rsidP="008360E2">
      <w:pPr>
        <w:tabs>
          <w:tab w:val="left" w:pos="0"/>
        </w:tabs>
        <w:spacing w:line="360" w:lineRule="auto"/>
        <w:rPr>
          <w:sz w:val="26"/>
          <w:szCs w:val="26"/>
        </w:rPr>
      </w:pPr>
    </w:p>
    <w:p w:rsidR="00890F6F" w:rsidRDefault="00890F6F" w:rsidP="008360E2">
      <w:pPr>
        <w:tabs>
          <w:tab w:val="left" w:pos="0"/>
        </w:tabs>
        <w:spacing w:line="360" w:lineRule="auto"/>
        <w:rPr>
          <w:sz w:val="26"/>
          <w:szCs w:val="26"/>
        </w:rPr>
      </w:pPr>
    </w:p>
    <w:p w:rsidR="00890F6F" w:rsidRDefault="00890F6F" w:rsidP="008360E2">
      <w:pPr>
        <w:tabs>
          <w:tab w:val="left" w:pos="0"/>
        </w:tabs>
        <w:spacing w:line="360" w:lineRule="auto"/>
        <w:rPr>
          <w:sz w:val="26"/>
          <w:szCs w:val="26"/>
        </w:rPr>
      </w:pPr>
    </w:p>
    <w:p w:rsidR="00890F6F" w:rsidRDefault="00890F6F" w:rsidP="008360E2">
      <w:pPr>
        <w:tabs>
          <w:tab w:val="left" w:pos="0"/>
        </w:tabs>
        <w:spacing w:line="360" w:lineRule="auto"/>
        <w:rPr>
          <w:sz w:val="26"/>
          <w:szCs w:val="26"/>
        </w:rPr>
      </w:pPr>
    </w:p>
    <w:p w:rsidR="00890F6F" w:rsidRDefault="00890F6F" w:rsidP="008360E2">
      <w:pPr>
        <w:tabs>
          <w:tab w:val="left" w:pos="0"/>
        </w:tabs>
        <w:spacing w:line="360" w:lineRule="auto"/>
        <w:rPr>
          <w:sz w:val="26"/>
          <w:szCs w:val="26"/>
        </w:rPr>
      </w:pPr>
    </w:p>
    <w:p w:rsidR="00890F6F" w:rsidRDefault="00890F6F" w:rsidP="008360E2">
      <w:pPr>
        <w:tabs>
          <w:tab w:val="left" w:pos="0"/>
        </w:tabs>
        <w:spacing w:line="360" w:lineRule="auto"/>
        <w:rPr>
          <w:sz w:val="26"/>
          <w:szCs w:val="26"/>
        </w:rPr>
      </w:pPr>
    </w:p>
    <w:p w:rsidR="00890F6F" w:rsidRDefault="00890F6F" w:rsidP="008360E2">
      <w:pPr>
        <w:tabs>
          <w:tab w:val="left" w:pos="0"/>
        </w:tabs>
        <w:spacing w:line="360" w:lineRule="auto"/>
        <w:rPr>
          <w:sz w:val="26"/>
          <w:szCs w:val="26"/>
        </w:rPr>
      </w:pPr>
    </w:p>
    <w:p w:rsidR="00890F6F" w:rsidRDefault="00890F6F" w:rsidP="008360E2">
      <w:pPr>
        <w:tabs>
          <w:tab w:val="left" w:pos="0"/>
        </w:tabs>
        <w:spacing w:line="360" w:lineRule="auto"/>
        <w:rPr>
          <w:sz w:val="26"/>
          <w:szCs w:val="26"/>
        </w:rPr>
      </w:pPr>
    </w:p>
    <w:p w:rsidR="00890F6F" w:rsidRDefault="00890F6F" w:rsidP="008360E2">
      <w:pPr>
        <w:tabs>
          <w:tab w:val="left" w:pos="0"/>
        </w:tabs>
        <w:spacing w:line="360" w:lineRule="auto"/>
        <w:rPr>
          <w:sz w:val="26"/>
          <w:szCs w:val="26"/>
        </w:rPr>
      </w:pPr>
    </w:p>
    <w:p w:rsidR="008360E2" w:rsidRPr="008360E2" w:rsidRDefault="00477B1E" w:rsidP="008360E2">
      <w:pPr>
        <w:tabs>
          <w:tab w:val="left" w:pos="0"/>
        </w:tabs>
        <w:spacing w:line="360" w:lineRule="auto"/>
        <w:rPr>
          <w:sz w:val="26"/>
          <w:szCs w:val="26"/>
        </w:rPr>
      </w:pPr>
      <w:r>
        <w:rPr>
          <w:sz w:val="26"/>
          <w:szCs w:val="26"/>
        </w:rPr>
        <w:lastRenderedPageBreak/>
        <w:tab/>
      </w:r>
      <w:r>
        <w:rPr>
          <w:sz w:val="26"/>
          <w:szCs w:val="26"/>
        </w:rPr>
        <w:tab/>
        <w:t>9.</w:t>
      </w:r>
      <w:r>
        <w:rPr>
          <w:sz w:val="26"/>
          <w:szCs w:val="26"/>
        </w:rPr>
        <w:tab/>
        <w:t xml:space="preserve">That the dismissal of the Formal Complaints of Craig </w:t>
      </w:r>
      <w:proofErr w:type="spellStart"/>
      <w:r>
        <w:rPr>
          <w:sz w:val="26"/>
          <w:szCs w:val="26"/>
        </w:rPr>
        <w:t>Karchner</w:t>
      </w:r>
      <w:proofErr w:type="spellEnd"/>
      <w:r>
        <w:rPr>
          <w:sz w:val="26"/>
          <w:szCs w:val="26"/>
        </w:rPr>
        <w:t xml:space="preserve"> and Brian </w:t>
      </w:r>
      <w:proofErr w:type="spellStart"/>
      <w:r>
        <w:rPr>
          <w:sz w:val="26"/>
          <w:szCs w:val="26"/>
        </w:rPr>
        <w:t>Yahner</w:t>
      </w:r>
      <w:proofErr w:type="spellEnd"/>
      <w:r>
        <w:rPr>
          <w:sz w:val="26"/>
          <w:szCs w:val="26"/>
        </w:rPr>
        <w:t xml:space="preserve"> at Docket Nos. C-</w:t>
      </w:r>
      <w:r w:rsidR="00A562BA">
        <w:rPr>
          <w:sz w:val="26"/>
          <w:szCs w:val="26"/>
        </w:rPr>
        <w:t xml:space="preserve">2010-2183642 and C-2010-2183540, respectively, shall be without prejudice to the rights of these Complainants to re-file their Formal Complaints in the event that UGI Utilities, Inc.-Gas Division is not granted a </w:t>
      </w:r>
      <w:r w:rsidR="00242BB2">
        <w:rPr>
          <w:sz w:val="26"/>
          <w:szCs w:val="26"/>
        </w:rPr>
        <w:t>C</w:t>
      </w:r>
      <w:r w:rsidR="00A562BA">
        <w:rPr>
          <w:sz w:val="26"/>
          <w:szCs w:val="26"/>
        </w:rPr>
        <w:t xml:space="preserve">ertificate of </w:t>
      </w:r>
      <w:r w:rsidR="00242BB2">
        <w:rPr>
          <w:sz w:val="26"/>
          <w:szCs w:val="26"/>
        </w:rPr>
        <w:t>P</w:t>
      </w:r>
      <w:r w:rsidR="00A562BA">
        <w:rPr>
          <w:sz w:val="26"/>
          <w:szCs w:val="26"/>
        </w:rPr>
        <w:t>ublic</w:t>
      </w:r>
      <w:r w:rsidR="00242BB2">
        <w:rPr>
          <w:sz w:val="26"/>
          <w:szCs w:val="26"/>
        </w:rPr>
        <w:t xml:space="preserve"> C</w:t>
      </w:r>
      <w:r w:rsidR="00A562BA">
        <w:rPr>
          <w:sz w:val="26"/>
          <w:szCs w:val="26"/>
        </w:rPr>
        <w:t>onvenience to abandon service to their accounts.</w:t>
      </w:r>
      <w:r w:rsidR="005762EE">
        <w:rPr>
          <w:sz w:val="26"/>
          <w:szCs w:val="26"/>
        </w:rPr>
        <w:t xml:space="preserve"> </w:t>
      </w:r>
    </w:p>
    <w:p w:rsidR="000738BE" w:rsidRPr="00F17922" w:rsidRDefault="000738BE" w:rsidP="001F65F8">
      <w:pPr>
        <w:widowControl/>
        <w:spacing w:line="360" w:lineRule="auto"/>
        <w:ind w:firstLine="1440"/>
        <w:rPr>
          <w:sz w:val="26"/>
          <w:szCs w:val="26"/>
        </w:rPr>
      </w:pPr>
    </w:p>
    <w:p w:rsidR="009F7B7A" w:rsidRPr="00A54E7F" w:rsidRDefault="009F7B7A" w:rsidP="009962A8">
      <w:pPr>
        <w:widowControl/>
        <w:spacing w:line="360" w:lineRule="auto"/>
        <w:rPr>
          <w:sz w:val="26"/>
          <w:szCs w:val="26"/>
        </w:rPr>
      </w:pPr>
    </w:p>
    <w:p w:rsidR="005739DA" w:rsidRPr="00A54E7F" w:rsidRDefault="00B3444F" w:rsidP="009962A8">
      <w:pPr>
        <w:widowControl/>
        <w:spacing w:line="360" w:lineRule="auto"/>
        <w:ind w:left="5040"/>
        <w:rPr>
          <w:b/>
          <w:sz w:val="26"/>
          <w:szCs w:val="26"/>
        </w:rPr>
      </w:pPr>
      <w:r>
        <w:rPr>
          <w:b/>
          <w:noProof/>
          <w:sz w:val="26"/>
          <w:szCs w:val="26"/>
          <w:lang w:bidi="ar-SA"/>
        </w:rPr>
        <w:drawing>
          <wp:anchor distT="0" distB="0" distL="114300" distR="114300" simplePos="0" relativeHeight="251658240" behindDoc="1" locked="0" layoutInCell="1" allowOverlap="1">
            <wp:simplePos x="0" y="0"/>
            <wp:positionH relativeFrom="column">
              <wp:posOffset>2933700</wp:posOffset>
            </wp:positionH>
            <wp:positionV relativeFrom="paragraph">
              <wp:posOffset>26035</wp:posOffset>
            </wp:positionV>
            <wp:extent cx="2200275" cy="838200"/>
            <wp:effectExtent l="19050" t="0" r="9525" b="0"/>
            <wp:wrapNone/>
            <wp:docPr id="17" name="Picture 1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739DA" w:rsidRPr="00A54E7F">
        <w:rPr>
          <w:b/>
          <w:sz w:val="26"/>
          <w:szCs w:val="26"/>
        </w:rPr>
        <w:t>BY THE COMMISSION,</w:t>
      </w:r>
    </w:p>
    <w:p w:rsidR="005739DA" w:rsidRPr="00A54E7F" w:rsidRDefault="005739DA" w:rsidP="002A75E9">
      <w:pPr>
        <w:widowControl/>
        <w:spacing w:line="360" w:lineRule="auto"/>
        <w:ind w:left="5040"/>
        <w:rPr>
          <w:sz w:val="26"/>
          <w:szCs w:val="26"/>
        </w:rPr>
      </w:pPr>
    </w:p>
    <w:p w:rsidR="005739DA" w:rsidRPr="00A54E7F" w:rsidRDefault="005739DA" w:rsidP="002A75E9">
      <w:pPr>
        <w:widowControl/>
        <w:spacing w:line="360" w:lineRule="auto"/>
        <w:ind w:left="5040"/>
        <w:rPr>
          <w:sz w:val="26"/>
          <w:szCs w:val="26"/>
        </w:rPr>
      </w:pPr>
    </w:p>
    <w:p w:rsidR="005739DA" w:rsidRPr="00A54E7F" w:rsidRDefault="006E52C0" w:rsidP="00104E43">
      <w:pPr>
        <w:widowControl/>
        <w:ind w:left="5040"/>
        <w:rPr>
          <w:sz w:val="26"/>
          <w:szCs w:val="26"/>
        </w:rPr>
      </w:pPr>
      <w:r>
        <w:rPr>
          <w:sz w:val="26"/>
          <w:szCs w:val="26"/>
        </w:rPr>
        <w:t>Rosemary Chiavetta</w:t>
      </w:r>
    </w:p>
    <w:p w:rsidR="005739DA" w:rsidRPr="00A54E7F" w:rsidRDefault="005739DA" w:rsidP="00104E43">
      <w:pPr>
        <w:widowControl/>
        <w:ind w:left="5040"/>
        <w:rPr>
          <w:sz w:val="26"/>
          <w:szCs w:val="26"/>
        </w:rPr>
      </w:pPr>
      <w:r w:rsidRPr="00A54E7F">
        <w:rPr>
          <w:sz w:val="26"/>
          <w:szCs w:val="26"/>
        </w:rPr>
        <w:t>Secretary</w:t>
      </w:r>
    </w:p>
    <w:p w:rsidR="005739DA" w:rsidRPr="00A54E7F" w:rsidRDefault="005739DA" w:rsidP="00104E43">
      <w:pPr>
        <w:widowControl/>
        <w:rPr>
          <w:sz w:val="26"/>
          <w:szCs w:val="26"/>
        </w:rPr>
      </w:pPr>
    </w:p>
    <w:p w:rsidR="00104E43" w:rsidRPr="00A54E7F" w:rsidRDefault="00104E43" w:rsidP="00104E43">
      <w:pPr>
        <w:widowControl/>
        <w:rPr>
          <w:sz w:val="26"/>
          <w:szCs w:val="26"/>
        </w:rPr>
      </w:pPr>
    </w:p>
    <w:p w:rsidR="00104E43" w:rsidRPr="00A54E7F" w:rsidRDefault="00104E43" w:rsidP="00104E43">
      <w:pPr>
        <w:widowControl/>
        <w:rPr>
          <w:sz w:val="26"/>
          <w:szCs w:val="26"/>
        </w:rPr>
      </w:pPr>
    </w:p>
    <w:p w:rsidR="005739DA" w:rsidRPr="00A54E7F" w:rsidRDefault="005739DA" w:rsidP="002A75E9">
      <w:pPr>
        <w:widowControl/>
        <w:spacing w:line="360" w:lineRule="auto"/>
        <w:rPr>
          <w:sz w:val="26"/>
          <w:szCs w:val="26"/>
        </w:rPr>
      </w:pPr>
      <w:r w:rsidRPr="00A54E7F">
        <w:rPr>
          <w:sz w:val="26"/>
          <w:szCs w:val="26"/>
        </w:rPr>
        <w:t>(SEAL)</w:t>
      </w:r>
    </w:p>
    <w:p w:rsidR="005739DA" w:rsidRPr="00A54E7F" w:rsidRDefault="005739DA" w:rsidP="002A75E9">
      <w:pPr>
        <w:widowControl/>
        <w:spacing w:line="360" w:lineRule="auto"/>
        <w:rPr>
          <w:sz w:val="26"/>
          <w:szCs w:val="26"/>
        </w:rPr>
      </w:pPr>
      <w:r w:rsidRPr="00A54E7F">
        <w:rPr>
          <w:sz w:val="26"/>
          <w:szCs w:val="26"/>
        </w:rPr>
        <w:t xml:space="preserve">ORDER ADOPTED: </w:t>
      </w:r>
      <w:r w:rsidR="00574D25">
        <w:rPr>
          <w:sz w:val="26"/>
          <w:szCs w:val="26"/>
        </w:rPr>
        <w:t>Novem</w:t>
      </w:r>
      <w:r w:rsidR="00037777">
        <w:rPr>
          <w:sz w:val="26"/>
          <w:szCs w:val="26"/>
        </w:rPr>
        <w:t>ber</w:t>
      </w:r>
      <w:r w:rsidRPr="00A54E7F">
        <w:rPr>
          <w:sz w:val="26"/>
          <w:szCs w:val="26"/>
        </w:rPr>
        <w:t xml:space="preserve"> </w:t>
      </w:r>
      <w:r w:rsidR="00574D25">
        <w:rPr>
          <w:sz w:val="26"/>
          <w:szCs w:val="26"/>
        </w:rPr>
        <w:t>4</w:t>
      </w:r>
      <w:r w:rsidRPr="00A54E7F">
        <w:rPr>
          <w:sz w:val="26"/>
          <w:szCs w:val="26"/>
        </w:rPr>
        <w:t>, 20</w:t>
      </w:r>
      <w:r w:rsidR="006E52C0">
        <w:rPr>
          <w:sz w:val="26"/>
          <w:szCs w:val="26"/>
        </w:rPr>
        <w:t>10</w:t>
      </w:r>
    </w:p>
    <w:p w:rsidR="001255FE" w:rsidRDefault="005739DA" w:rsidP="00EE4B35">
      <w:pPr>
        <w:widowControl/>
        <w:spacing w:after="200" w:line="276" w:lineRule="auto"/>
        <w:rPr>
          <w:sz w:val="26"/>
          <w:szCs w:val="26"/>
        </w:rPr>
      </w:pPr>
      <w:r w:rsidRPr="00A54E7F">
        <w:rPr>
          <w:sz w:val="26"/>
          <w:szCs w:val="26"/>
        </w:rPr>
        <w:t>ORDER ENTERE</w:t>
      </w:r>
      <w:r w:rsidR="00E5412E">
        <w:rPr>
          <w:sz w:val="26"/>
          <w:szCs w:val="26"/>
        </w:rPr>
        <w:t>D</w:t>
      </w:r>
      <w:r w:rsidR="00746576">
        <w:rPr>
          <w:sz w:val="26"/>
          <w:szCs w:val="26"/>
        </w:rPr>
        <w:t>:</w:t>
      </w:r>
      <w:r w:rsidR="00B3444F">
        <w:rPr>
          <w:sz w:val="26"/>
          <w:szCs w:val="26"/>
        </w:rPr>
        <w:t xml:space="preserve">  November 23, 2010</w:t>
      </w:r>
    </w:p>
    <w:sectPr w:rsidR="001255FE" w:rsidSect="00803D6D">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A26" w:rsidRDefault="00E75A26" w:rsidP="00475F3D">
      <w:r>
        <w:separator/>
      </w:r>
    </w:p>
  </w:endnote>
  <w:endnote w:type="continuationSeparator" w:id="0">
    <w:p w:rsidR="00E75A26" w:rsidRDefault="00E75A26" w:rsidP="00475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90780"/>
      <w:docPartObj>
        <w:docPartGallery w:val="Page Numbers (Bottom of Page)"/>
        <w:docPartUnique/>
      </w:docPartObj>
    </w:sdtPr>
    <w:sdtContent>
      <w:p w:rsidR="005762EE" w:rsidRDefault="00331C4D">
        <w:pPr>
          <w:pStyle w:val="Footer"/>
          <w:jc w:val="center"/>
        </w:pPr>
        <w:fldSimple w:instr=" PAGE   \* MERGEFORMAT ">
          <w:r w:rsidR="00B3444F">
            <w:rPr>
              <w:noProof/>
            </w:rPr>
            <w:t>21</w:t>
          </w:r>
        </w:fldSimple>
      </w:p>
    </w:sdtContent>
  </w:sdt>
  <w:p w:rsidR="005762EE" w:rsidRDefault="00576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A26" w:rsidRDefault="00E75A26" w:rsidP="00475F3D">
      <w:r>
        <w:separator/>
      </w:r>
    </w:p>
  </w:footnote>
  <w:footnote w:type="continuationSeparator" w:id="0">
    <w:p w:rsidR="00E75A26" w:rsidRDefault="00E75A26" w:rsidP="00475F3D">
      <w:r>
        <w:continuationSeparator/>
      </w:r>
    </w:p>
  </w:footnote>
  <w:footnote w:id="1">
    <w:p w:rsidR="005762EE" w:rsidRPr="0008264D" w:rsidRDefault="005762EE" w:rsidP="0008264D">
      <w:pPr>
        <w:pStyle w:val="FootnoteText"/>
        <w:ind w:firstLine="720"/>
        <w:rPr>
          <w:sz w:val="26"/>
          <w:szCs w:val="26"/>
        </w:rPr>
      </w:pPr>
      <w:r w:rsidRPr="0008264D">
        <w:rPr>
          <w:rStyle w:val="FootnoteReference"/>
          <w:sz w:val="26"/>
          <w:szCs w:val="26"/>
        </w:rPr>
        <w:footnoteRef/>
      </w:r>
      <w:r w:rsidRPr="0008264D">
        <w:rPr>
          <w:sz w:val="26"/>
          <w:szCs w:val="26"/>
        </w:rPr>
        <w:t xml:space="preserve"> </w:t>
      </w:r>
      <w:r w:rsidRPr="0008264D">
        <w:rPr>
          <w:sz w:val="26"/>
          <w:szCs w:val="26"/>
        </w:rPr>
        <w:tab/>
        <w:t xml:space="preserve">The OCA joined in all parts of the Settlement, with the exception of Paragraphs 38-42, which were neither joined in nor opposed by the OCA.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BBF"/>
    <w:multiLevelType w:val="hybridMultilevel"/>
    <w:tmpl w:val="3F90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5709"/>
    <w:multiLevelType w:val="hybridMultilevel"/>
    <w:tmpl w:val="85523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532DA"/>
    <w:multiLevelType w:val="hybridMultilevel"/>
    <w:tmpl w:val="06EA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4459D"/>
    <w:multiLevelType w:val="hybridMultilevel"/>
    <w:tmpl w:val="A8925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D5377"/>
    <w:multiLevelType w:val="hybridMultilevel"/>
    <w:tmpl w:val="7FF6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85447"/>
    <w:multiLevelType w:val="multilevel"/>
    <w:tmpl w:val="1A8CF2EC"/>
    <w:lvl w:ilvl="0">
      <w:start w:val="1"/>
      <w:numFmt w:val="upperLetter"/>
      <w:pStyle w:val="StandardL1"/>
      <w:lvlText w:val="%1."/>
      <w:lvlJc w:val="left"/>
      <w:pPr>
        <w:tabs>
          <w:tab w:val="num" w:pos="1440"/>
        </w:tabs>
        <w:ind w:left="1440" w:hanging="720"/>
      </w:pPr>
      <w:rPr>
        <w:rFonts w:ascii="Times New Roman" w:hAnsi="Times New Roman" w:cs="Times New Roman" w:hint="default"/>
        <w:b/>
        <w:i w:val="0"/>
        <w:caps w:val="0"/>
        <w:sz w:val="24"/>
        <w:u w:val="none"/>
      </w:rPr>
    </w:lvl>
    <w:lvl w:ilvl="1">
      <w:start w:val="1"/>
      <w:numFmt w:val="decimal"/>
      <w:pStyle w:val="StandardL2"/>
      <w:lvlText w:val="%2."/>
      <w:lvlJc w:val="left"/>
      <w:pPr>
        <w:tabs>
          <w:tab w:val="num" w:pos="2160"/>
        </w:tabs>
        <w:ind w:left="720" w:firstLine="720"/>
      </w:pPr>
      <w:rPr>
        <w:rFonts w:ascii="Times New Roman" w:hAnsi="Times New Roman" w:cs="Times New Roman" w:hint="default"/>
        <w:b/>
        <w:i w:val="0"/>
        <w:caps w:val="0"/>
        <w:sz w:val="24"/>
        <w:u w:val="none"/>
      </w:rPr>
    </w:lvl>
    <w:lvl w:ilvl="2">
      <w:start w:val="1"/>
      <w:numFmt w:val="lowerLetter"/>
      <w:pStyle w:val="StandardL1"/>
      <w:lvlText w:val="%3."/>
      <w:lvlJc w:val="left"/>
      <w:pPr>
        <w:tabs>
          <w:tab w:val="num" w:pos="2880"/>
        </w:tabs>
        <w:ind w:left="1440" w:firstLine="720"/>
      </w:pPr>
      <w:rPr>
        <w:rFonts w:ascii="Times New Roman" w:hAnsi="Times New Roman" w:cs="Times New Roman" w:hint="default"/>
        <w:b/>
        <w:i w:val="0"/>
        <w:caps w:val="0"/>
        <w:sz w:val="24"/>
        <w:u w:val="none"/>
      </w:rPr>
    </w:lvl>
    <w:lvl w:ilvl="3">
      <w:start w:val="1"/>
      <w:numFmt w:val="decimal"/>
      <w:pStyle w:val="StandardL2"/>
      <w:lvlText w:val="(%4)"/>
      <w:lvlJc w:val="left"/>
      <w:pPr>
        <w:tabs>
          <w:tab w:val="num" w:pos="2880"/>
        </w:tabs>
        <w:ind w:left="0" w:firstLine="2160"/>
      </w:pPr>
      <w:rPr>
        <w:rFonts w:ascii="Times New Roman" w:hAnsi="Times New Roman" w:cs="Times New Roman" w:hint="default"/>
        <w:b w:val="0"/>
        <w:i w:val="0"/>
        <w:caps w:val="0"/>
        <w:sz w:val="24"/>
        <w:u w:val="none"/>
      </w:rPr>
    </w:lvl>
    <w:lvl w:ilvl="4">
      <w:start w:val="1"/>
      <w:numFmt w:val="lowerLetter"/>
      <w:pStyle w:val="StandardL3"/>
      <w:lvlText w:val="%5."/>
      <w:lvlJc w:val="left"/>
      <w:pPr>
        <w:tabs>
          <w:tab w:val="num" w:pos="3600"/>
        </w:tabs>
        <w:ind w:left="0" w:firstLine="2880"/>
      </w:pPr>
      <w:rPr>
        <w:rFonts w:ascii="Times New Roman" w:hAnsi="Times New Roman" w:cs="Times New Roman" w:hint="default"/>
        <w:b w:val="0"/>
        <w:i w:val="0"/>
        <w:caps w:val="0"/>
        <w:sz w:val="24"/>
        <w:u w:val="none"/>
      </w:rPr>
    </w:lvl>
    <w:lvl w:ilvl="5">
      <w:start w:val="1"/>
      <w:numFmt w:val="lowerRoman"/>
      <w:pStyle w:val="StandardL4"/>
      <w:lvlText w:val="%6."/>
      <w:lvlJc w:val="left"/>
      <w:pPr>
        <w:tabs>
          <w:tab w:val="num" w:pos="4320"/>
        </w:tabs>
        <w:ind w:left="0" w:firstLine="3600"/>
      </w:pPr>
      <w:rPr>
        <w:rFonts w:ascii="Times New Roman" w:hAnsi="Times New Roman" w:cs="Times New Roman" w:hint="default"/>
        <w:b w:val="0"/>
        <w:i w:val="0"/>
        <w:caps w:val="0"/>
        <w:sz w:val="24"/>
        <w:u w:val="none"/>
      </w:rPr>
    </w:lvl>
    <w:lvl w:ilvl="6">
      <w:start w:val="1"/>
      <w:numFmt w:val="decimal"/>
      <w:pStyle w:val="StandardL5"/>
      <w:lvlText w:val="%7)"/>
      <w:lvlJc w:val="left"/>
      <w:pPr>
        <w:tabs>
          <w:tab w:val="num" w:pos="5040"/>
        </w:tabs>
        <w:ind w:left="0" w:firstLine="4320"/>
      </w:pPr>
      <w:rPr>
        <w:rFonts w:ascii="Times New Roman" w:hAnsi="Times New Roman" w:cs="Times New Roman" w:hint="default"/>
        <w:b w:val="0"/>
        <w:i w:val="0"/>
        <w:caps w:val="0"/>
        <w:sz w:val="24"/>
        <w:u w:val="none"/>
      </w:rPr>
    </w:lvl>
    <w:lvl w:ilvl="7">
      <w:start w:val="1"/>
      <w:numFmt w:val="lowerLetter"/>
      <w:pStyle w:val="StandardL6"/>
      <w:lvlText w:val="%8)"/>
      <w:lvlJc w:val="left"/>
      <w:pPr>
        <w:tabs>
          <w:tab w:val="num" w:pos="5760"/>
        </w:tabs>
        <w:ind w:left="0" w:firstLine="5040"/>
      </w:pPr>
      <w:rPr>
        <w:rFonts w:ascii="Times New Roman" w:hAnsi="Times New Roman" w:cs="Times New Roman" w:hint="default"/>
        <w:b w:val="0"/>
        <w:i w:val="0"/>
        <w:caps w:val="0"/>
        <w:sz w:val="24"/>
        <w:u w:val="none"/>
      </w:rPr>
    </w:lvl>
    <w:lvl w:ilvl="8">
      <w:start w:val="1"/>
      <w:numFmt w:val="lowerRoman"/>
      <w:pStyle w:val="StandardL7"/>
      <w:lvlText w:val="%9)"/>
      <w:lvlJc w:val="left"/>
      <w:pPr>
        <w:tabs>
          <w:tab w:val="num" w:pos="6480"/>
        </w:tabs>
        <w:ind w:left="0" w:firstLine="5760"/>
      </w:pPr>
      <w:rPr>
        <w:rFonts w:ascii="Times New Roman" w:hAnsi="Times New Roman" w:cs="Times New Roman" w:hint="default"/>
        <w:b w:val="0"/>
        <w:i w:val="0"/>
        <w:caps w:val="0"/>
        <w:sz w:val="24"/>
        <w:u w:val="none"/>
      </w:rPr>
    </w:lvl>
  </w:abstractNum>
  <w:abstractNum w:abstractNumId="6">
    <w:nsid w:val="332A1F2E"/>
    <w:multiLevelType w:val="hybridMultilevel"/>
    <w:tmpl w:val="C57E1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815AC"/>
    <w:multiLevelType w:val="hybridMultilevel"/>
    <w:tmpl w:val="3BCC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70318"/>
    <w:multiLevelType w:val="hybridMultilevel"/>
    <w:tmpl w:val="B2088B4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4B6B03D4"/>
    <w:multiLevelType w:val="multilevel"/>
    <w:tmpl w:val="094861EC"/>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Restart w:val="0"/>
      <w:pStyle w:val="OutlineL2"/>
      <w:lvlText w:val="%2."/>
      <w:lvlJc w:val="left"/>
      <w:pPr>
        <w:tabs>
          <w:tab w:val="num" w:pos="2250"/>
        </w:tabs>
        <w:ind w:left="810" w:firstLine="720"/>
      </w:pPr>
      <w:rPr>
        <w:rFonts w:ascii="Times New Roman" w:hAnsi="Times New Roman" w:cs="Times New Roman" w:hint="default"/>
        <w:b w:val="0"/>
        <w:i w:val="0"/>
        <w:caps w:val="0"/>
        <w:strike w:val="0"/>
        <w:dstrike w:val="0"/>
        <w:color w:val="auto"/>
        <w:sz w:val="24"/>
        <w:u w:val="none"/>
        <w:effect w:val="none"/>
      </w:rPr>
    </w:lvl>
    <w:lvl w:ilvl="2">
      <w:start w:val="1"/>
      <w:numFmt w:val="upperLetter"/>
      <w:lvlRestart w:val="0"/>
      <w:lvlText w:val="%3."/>
      <w:lvlJc w:val="left"/>
      <w:pPr>
        <w:tabs>
          <w:tab w:val="num" w:pos="2160"/>
        </w:tabs>
        <w:ind w:left="0" w:firstLine="1440"/>
      </w:pPr>
      <w:rPr>
        <w:rFonts w:ascii="Times New Roman Bold" w:hAnsi="Times New Roman Bold" w:cs="Times New Roman" w:hint="default"/>
        <w:b/>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Bold" w:hAnsi="Times New Roman Bold" w:cs="Times New Roman" w:hint="default"/>
        <w:b/>
        <w:i w:val="0"/>
        <w:caps w:val="0"/>
        <w:strike w:val="0"/>
        <w:dstrike w:val="0"/>
        <w:sz w:val="24"/>
        <w:u w:val="none"/>
        <w:effect w:val="none"/>
      </w:rPr>
    </w:lvl>
    <w:lvl w:ilvl="4">
      <w:start w:val="1"/>
      <w:numFmt w:val="lowerRoman"/>
      <w:lvlText w:val="(%5)"/>
      <w:lvlJc w:val="left"/>
      <w:pPr>
        <w:tabs>
          <w:tab w:val="num" w:pos="3600"/>
        </w:tabs>
        <w:ind w:left="3600" w:hanging="720"/>
      </w:pPr>
      <w:rPr>
        <w:rFonts w:ascii="Times New Roman Bold" w:hAnsi="Times New Roman Bold" w:cs="Times New Roman" w:hint="default"/>
        <w:b/>
        <w:i w:val="0"/>
        <w:caps w:val="0"/>
        <w:strike w:val="0"/>
        <w:dstrike w:val="0"/>
        <w:sz w:val="24"/>
        <w:u w:val="none"/>
        <w:effect w:val="none"/>
      </w:rPr>
    </w:lvl>
    <w:lvl w:ilvl="5">
      <w:start w:val="1"/>
      <w:numFmt w:val="lowerLetter"/>
      <w:lvlRestart w:val="0"/>
      <w:lvlText w:val="(%6)"/>
      <w:lvlJc w:val="left"/>
      <w:pPr>
        <w:tabs>
          <w:tab w:val="num" w:pos="2880"/>
        </w:tabs>
        <w:ind w:left="0" w:firstLine="3600"/>
      </w:pPr>
      <w:rPr>
        <w:rFonts w:ascii="Times New Roman" w:hAnsi="Times New Roman" w:cs="Times New Roman" w:hint="default"/>
        <w:b w:val="0"/>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0">
    <w:nsid w:val="5866795D"/>
    <w:multiLevelType w:val="hybridMultilevel"/>
    <w:tmpl w:val="8AF8B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705F24"/>
    <w:multiLevelType w:val="hybridMultilevel"/>
    <w:tmpl w:val="E548A3F0"/>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83C2419"/>
    <w:multiLevelType w:val="hybridMultilevel"/>
    <w:tmpl w:val="F682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10"/>
  </w:num>
  <w:num w:numId="6">
    <w:abstractNumId w:val="3"/>
  </w:num>
  <w:num w:numId="7">
    <w:abstractNumId w:val="2"/>
  </w:num>
  <w:num w:numId="8">
    <w:abstractNumId w:val="1"/>
  </w:num>
  <w:num w:numId="9">
    <w:abstractNumId w:val="1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87042"/>
  </w:hdrShapeDefaults>
  <w:footnotePr>
    <w:footnote w:id="-1"/>
    <w:footnote w:id="0"/>
  </w:footnotePr>
  <w:endnotePr>
    <w:endnote w:id="-1"/>
    <w:endnote w:id="0"/>
  </w:endnotePr>
  <w:compat/>
  <w:rsids>
    <w:rsidRoot w:val="00227273"/>
    <w:rsid w:val="00000DA0"/>
    <w:rsid w:val="00000FF8"/>
    <w:rsid w:val="0000190A"/>
    <w:rsid w:val="0000222C"/>
    <w:rsid w:val="00002C30"/>
    <w:rsid w:val="000059F9"/>
    <w:rsid w:val="00005C95"/>
    <w:rsid w:val="00011269"/>
    <w:rsid w:val="000118C2"/>
    <w:rsid w:val="00020271"/>
    <w:rsid w:val="00022F49"/>
    <w:rsid w:val="00025D44"/>
    <w:rsid w:val="000271FD"/>
    <w:rsid w:val="00027497"/>
    <w:rsid w:val="0003006C"/>
    <w:rsid w:val="00037777"/>
    <w:rsid w:val="000409CB"/>
    <w:rsid w:val="00041BD8"/>
    <w:rsid w:val="00043517"/>
    <w:rsid w:val="00043745"/>
    <w:rsid w:val="0004708D"/>
    <w:rsid w:val="00050796"/>
    <w:rsid w:val="00060C1A"/>
    <w:rsid w:val="00064060"/>
    <w:rsid w:val="00064A62"/>
    <w:rsid w:val="0007146A"/>
    <w:rsid w:val="00071EDA"/>
    <w:rsid w:val="000738BE"/>
    <w:rsid w:val="00073CA6"/>
    <w:rsid w:val="000807C5"/>
    <w:rsid w:val="00081909"/>
    <w:rsid w:val="0008264D"/>
    <w:rsid w:val="00092EC4"/>
    <w:rsid w:val="0009390E"/>
    <w:rsid w:val="000B1F54"/>
    <w:rsid w:val="000C3FDB"/>
    <w:rsid w:val="000E5C72"/>
    <w:rsid w:val="000F12AF"/>
    <w:rsid w:val="000F5BDE"/>
    <w:rsid w:val="0010346A"/>
    <w:rsid w:val="00104E43"/>
    <w:rsid w:val="00106F3C"/>
    <w:rsid w:val="001073ED"/>
    <w:rsid w:val="001078B3"/>
    <w:rsid w:val="0011289F"/>
    <w:rsid w:val="0011689A"/>
    <w:rsid w:val="001255FE"/>
    <w:rsid w:val="00130EBD"/>
    <w:rsid w:val="00143738"/>
    <w:rsid w:val="00143FE0"/>
    <w:rsid w:val="001500BE"/>
    <w:rsid w:val="0015026D"/>
    <w:rsid w:val="00156CF9"/>
    <w:rsid w:val="00181DFB"/>
    <w:rsid w:val="00187E9A"/>
    <w:rsid w:val="00193D21"/>
    <w:rsid w:val="00196FC5"/>
    <w:rsid w:val="00197031"/>
    <w:rsid w:val="001A4A34"/>
    <w:rsid w:val="001B3F91"/>
    <w:rsid w:val="001B7E61"/>
    <w:rsid w:val="001C0DD9"/>
    <w:rsid w:val="001C1BB5"/>
    <w:rsid w:val="001C2EF4"/>
    <w:rsid w:val="001C5351"/>
    <w:rsid w:val="001E45AE"/>
    <w:rsid w:val="001E6692"/>
    <w:rsid w:val="001E7DC6"/>
    <w:rsid w:val="001F2286"/>
    <w:rsid w:val="001F31A2"/>
    <w:rsid w:val="001F65F8"/>
    <w:rsid w:val="002022A4"/>
    <w:rsid w:val="00210A0C"/>
    <w:rsid w:val="00212B5F"/>
    <w:rsid w:val="002166D7"/>
    <w:rsid w:val="002173BE"/>
    <w:rsid w:val="0022441C"/>
    <w:rsid w:val="002270C7"/>
    <w:rsid w:val="00227273"/>
    <w:rsid w:val="00237A8D"/>
    <w:rsid w:val="00240BC6"/>
    <w:rsid w:val="00242472"/>
    <w:rsid w:val="00242BB2"/>
    <w:rsid w:val="00245ABA"/>
    <w:rsid w:val="00246C1B"/>
    <w:rsid w:val="00250405"/>
    <w:rsid w:val="00250FAC"/>
    <w:rsid w:val="0025126D"/>
    <w:rsid w:val="00253C6F"/>
    <w:rsid w:val="00255E57"/>
    <w:rsid w:val="00260A20"/>
    <w:rsid w:val="00260F03"/>
    <w:rsid w:val="00264BDC"/>
    <w:rsid w:val="00271569"/>
    <w:rsid w:val="0027220A"/>
    <w:rsid w:val="002820FE"/>
    <w:rsid w:val="002860E3"/>
    <w:rsid w:val="0028707D"/>
    <w:rsid w:val="0028759A"/>
    <w:rsid w:val="002937DB"/>
    <w:rsid w:val="0029687B"/>
    <w:rsid w:val="00297B53"/>
    <w:rsid w:val="002A0022"/>
    <w:rsid w:val="002A75E9"/>
    <w:rsid w:val="002C7732"/>
    <w:rsid w:val="002D1B8B"/>
    <w:rsid w:val="002D36A4"/>
    <w:rsid w:val="002D3B99"/>
    <w:rsid w:val="002D3F44"/>
    <w:rsid w:val="002D6C58"/>
    <w:rsid w:val="002E0DE1"/>
    <w:rsid w:val="002F4721"/>
    <w:rsid w:val="0030291F"/>
    <w:rsid w:val="00303414"/>
    <w:rsid w:val="00304EE6"/>
    <w:rsid w:val="003066C5"/>
    <w:rsid w:val="00311138"/>
    <w:rsid w:val="00314D5B"/>
    <w:rsid w:val="003236F4"/>
    <w:rsid w:val="00327C3C"/>
    <w:rsid w:val="00331C4D"/>
    <w:rsid w:val="003409CB"/>
    <w:rsid w:val="00341D97"/>
    <w:rsid w:val="003425B3"/>
    <w:rsid w:val="00345CC4"/>
    <w:rsid w:val="00347507"/>
    <w:rsid w:val="003507B0"/>
    <w:rsid w:val="00350D92"/>
    <w:rsid w:val="003519A0"/>
    <w:rsid w:val="0035213E"/>
    <w:rsid w:val="0036135E"/>
    <w:rsid w:val="003643B5"/>
    <w:rsid w:val="00364B36"/>
    <w:rsid w:val="00365DF1"/>
    <w:rsid w:val="0037220E"/>
    <w:rsid w:val="003728F7"/>
    <w:rsid w:val="003738AC"/>
    <w:rsid w:val="003820B7"/>
    <w:rsid w:val="00385039"/>
    <w:rsid w:val="003914BC"/>
    <w:rsid w:val="00393E59"/>
    <w:rsid w:val="00395478"/>
    <w:rsid w:val="003A3116"/>
    <w:rsid w:val="003B315E"/>
    <w:rsid w:val="003B7455"/>
    <w:rsid w:val="003B7747"/>
    <w:rsid w:val="003C4FE5"/>
    <w:rsid w:val="003E0203"/>
    <w:rsid w:val="00414F23"/>
    <w:rsid w:val="00415919"/>
    <w:rsid w:val="00431ED3"/>
    <w:rsid w:val="00436EEB"/>
    <w:rsid w:val="00437EC5"/>
    <w:rsid w:val="00440E2B"/>
    <w:rsid w:val="00441CD7"/>
    <w:rsid w:val="00443E74"/>
    <w:rsid w:val="004459DD"/>
    <w:rsid w:val="004465F8"/>
    <w:rsid w:val="00447CA5"/>
    <w:rsid w:val="00450455"/>
    <w:rsid w:val="00450BD9"/>
    <w:rsid w:val="00451026"/>
    <w:rsid w:val="004520E5"/>
    <w:rsid w:val="00453BFA"/>
    <w:rsid w:val="00455FEA"/>
    <w:rsid w:val="00456ECA"/>
    <w:rsid w:val="00464D01"/>
    <w:rsid w:val="00475F3D"/>
    <w:rsid w:val="00477B1E"/>
    <w:rsid w:val="0048044B"/>
    <w:rsid w:val="00480D54"/>
    <w:rsid w:val="00485C59"/>
    <w:rsid w:val="004864C9"/>
    <w:rsid w:val="00487F55"/>
    <w:rsid w:val="0049493E"/>
    <w:rsid w:val="00496831"/>
    <w:rsid w:val="004A0AED"/>
    <w:rsid w:val="004A607D"/>
    <w:rsid w:val="004A6E85"/>
    <w:rsid w:val="004B35CE"/>
    <w:rsid w:val="004C0BEE"/>
    <w:rsid w:val="004C36D1"/>
    <w:rsid w:val="004D0678"/>
    <w:rsid w:val="004D0883"/>
    <w:rsid w:val="004D296A"/>
    <w:rsid w:val="004E4043"/>
    <w:rsid w:val="004E6A9C"/>
    <w:rsid w:val="004F79D3"/>
    <w:rsid w:val="00504E77"/>
    <w:rsid w:val="005105ED"/>
    <w:rsid w:val="00514EE8"/>
    <w:rsid w:val="005167E3"/>
    <w:rsid w:val="00516CC7"/>
    <w:rsid w:val="0052007A"/>
    <w:rsid w:val="005202E0"/>
    <w:rsid w:val="005213F8"/>
    <w:rsid w:val="00523262"/>
    <w:rsid w:val="00531DA9"/>
    <w:rsid w:val="0053299D"/>
    <w:rsid w:val="00535E90"/>
    <w:rsid w:val="00537ED4"/>
    <w:rsid w:val="0054269F"/>
    <w:rsid w:val="005440C6"/>
    <w:rsid w:val="005566C6"/>
    <w:rsid w:val="00561535"/>
    <w:rsid w:val="005640C0"/>
    <w:rsid w:val="005649B8"/>
    <w:rsid w:val="00567C4B"/>
    <w:rsid w:val="005739DA"/>
    <w:rsid w:val="00574D25"/>
    <w:rsid w:val="005762EE"/>
    <w:rsid w:val="0058301F"/>
    <w:rsid w:val="005846AA"/>
    <w:rsid w:val="005926AE"/>
    <w:rsid w:val="005B0D15"/>
    <w:rsid w:val="005B1388"/>
    <w:rsid w:val="005C37BF"/>
    <w:rsid w:val="005C6583"/>
    <w:rsid w:val="005D43B6"/>
    <w:rsid w:val="005D7574"/>
    <w:rsid w:val="005D7979"/>
    <w:rsid w:val="005D79F6"/>
    <w:rsid w:val="005F051D"/>
    <w:rsid w:val="005F5C31"/>
    <w:rsid w:val="0060052E"/>
    <w:rsid w:val="0060212D"/>
    <w:rsid w:val="00602568"/>
    <w:rsid w:val="00604A5D"/>
    <w:rsid w:val="006070C8"/>
    <w:rsid w:val="00607912"/>
    <w:rsid w:val="00615A5A"/>
    <w:rsid w:val="00615A71"/>
    <w:rsid w:val="006259B7"/>
    <w:rsid w:val="00634800"/>
    <w:rsid w:val="00640764"/>
    <w:rsid w:val="00641458"/>
    <w:rsid w:val="00644960"/>
    <w:rsid w:val="0064512A"/>
    <w:rsid w:val="0064737B"/>
    <w:rsid w:val="0066417A"/>
    <w:rsid w:val="006722F5"/>
    <w:rsid w:val="00672C2B"/>
    <w:rsid w:val="006A45CA"/>
    <w:rsid w:val="006A609D"/>
    <w:rsid w:val="006B218B"/>
    <w:rsid w:val="006E0BDC"/>
    <w:rsid w:val="006E20AE"/>
    <w:rsid w:val="006E3142"/>
    <w:rsid w:val="006E52C0"/>
    <w:rsid w:val="006F68E1"/>
    <w:rsid w:val="006F73D9"/>
    <w:rsid w:val="0070432C"/>
    <w:rsid w:val="00713864"/>
    <w:rsid w:val="007172EC"/>
    <w:rsid w:val="00717E28"/>
    <w:rsid w:val="00736187"/>
    <w:rsid w:val="00737085"/>
    <w:rsid w:val="00737541"/>
    <w:rsid w:val="00746576"/>
    <w:rsid w:val="00746B51"/>
    <w:rsid w:val="0074703E"/>
    <w:rsid w:val="0075110C"/>
    <w:rsid w:val="0075289A"/>
    <w:rsid w:val="007562E2"/>
    <w:rsid w:val="00757231"/>
    <w:rsid w:val="00763BD3"/>
    <w:rsid w:val="00766C91"/>
    <w:rsid w:val="007674B4"/>
    <w:rsid w:val="00791F13"/>
    <w:rsid w:val="0079260C"/>
    <w:rsid w:val="007A5A26"/>
    <w:rsid w:val="007B3F56"/>
    <w:rsid w:val="007B704A"/>
    <w:rsid w:val="007B7069"/>
    <w:rsid w:val="007C52B9"/>
    <w:rsid w:val="007D7A10"/>
    <w:rsid w:val="007E1226"/>
    <w:rsid w:val="007E26AE"/>
    <w:rsid w:val="007E4149"/>
    <w:rsid w:val="007E5866"/>
    <w:rsid w:val="007F2EF4"/>
    <w:rsid w:val="00803D6D"/>
    <w:rsid w:val="0080406D"/>
    <w:rsid w:val="00813089"/>
    <w:rsid w:val="00815540"/>
    <w:rsid w:val="00823BC4"/>
    <w:rsid w:val="00832C23"/>
    <w:rsid w:val="00833B35"/>
    <w:rsid w:val="0083508A"/>
    <w:rsid w:val="008360E2"/>
    <w:rsid w:val="00836325"/>
    <w:rsid w:val="008431E9"/>
    <w:rsid w:val="00843925"/>
    <w:rsid w:val="00855C99"/>
    <w:rsid w:val="00856689"/>
    <w:rsid w:val="00861ECE"/>
    <w:rsid w:val="00862EC0"/>
    <w:rsid w:val="00871990"/>
    <w:rsid w:val="008722B5"/>
    <w:rsid w:val="008858F0"/>
    <w:rsid w:val="00886A29"/>
    <w:rsid w:val="00890EFB"/>
    <w:rsid w:val="00890F6F"/>
    <w:rsid w:val="008A122F"/>
    <w:rsid w:val="008A2752"/>
    <w:rsid w:val="008A5E48"/>
    <w:rsid w:val="008A7EB3"/>
    <w:rsid w:val="008B4316"/>
    <w:rsid w:val="008B71C5"/>
    <w:rsid w:val="008C319D"/>
    <w:rsid w:val="008D4C74"/>
    <w:rsid w:val="008D7405"/>
    <w:rsid w:val="008E4A1E"/>
    <w:rsid w:val="008F0CF8"/>
    <w:rsid w:val="008F7A99"/>
    <w:rsid w:val="009023D6"/>
    <w:rsid w:val="00906176"/>
    <w:rsid w:val="00914BBC"/>
    <w:rsid w:val="009240B3"/>
    <w:rsid w:val="00927523"/>
    <w:rsid w:val="0093066D"/>
    <w:rsid w:val="009315D9"/>
    <w:rsid w:val="0094275F"/>
    <w:rsid w:val="00944D07"/>
    <w:rsid w:val="00945885"/>
    <w:rsid w:val="00950A98"/>
    <w:rsid w:val="00952724"/>
    <w:rsid w:val="0095554D"/>
    <w:rsid w:val="00965D33"/>
    <w:rsid w:val="00973E01"/>
    <w:rsid w:val="00975733"/>
    <w:rsid w:val="00982C17"/>
    <w:rsid w:val="00983246"/>
    <w:rsid w:val="00983A7E"/>
    <w:rsid w:val="00986401"/>
    <w:rsid w:val="0099219F"/>
    <w:rsid w:val="00992530"/>
    <w:rsid w:val="00993A18"/>
    <w:rsid w:val="009962A8"/>
    <w:rsid w:val="009A1B64"/>
    <w:rsid w:val="009A468A"/>
    <w:rsid w:val="009B12F6"/>
    <w:rsid w:val="009B3CFC"/>
    <w:rsid w:val="009B4A73"/>
    <w:rsid w:val="009B4DB9"/>
    <w:rsid w:val="009D35D1"/>
    <w:rsid w:val="009E106B"/>
    <w:rsid w:val="009E4994"/>
    <w:rsid w:val="009E56DB"/>
    <w:rsid w:val="009F0629"/>
    <w:rsid w:val="009F3551"/>
    <w:rsid w:val="009F5B9A"/>
    <w:rsid w:val="009F7B7A"/>
    <w:rsid w:val="00A007AF"/>
    <w:rsid w:val="00A05892"/>
    <w:rsid w:val="00A05D42"/>
    <w:rsid w:val="00A1329F"/>
    <w:rsid w:val="00A20FD9"/>
    <w:rsid w:val="00A21C9E"/>
    <w:rsid w:val="00A2534C"/>
    <w:rsid w:val="00A25A34"/>
    <w:rsid w:val="00A30831"/>
    <w:rsid w:val="00A31739"/>
    <w:rsid w:val="00A45A14"/>
    <w:rsid w:val="00A50B86"/>
    <w:rsid w:val="00A54E7F"/>
    <w:rsid w:val="00A562BA"/>
    <w:rsid w:val="00A56A9F"/>
    <w:rsid w:val="00A57276"/>
    <w:rsid w:val="00A61F35"/>
    <w:rsid w:val="00A742F5"/>
    <w:rsid w:val="00A84419"/>
    <w:rsid w:val="00A8457A"/>
    <w:rsid w:val="00A872A2"/>
    <w:rsid w:val="00A92E21"/>
    <w:rsid w:val="00A92FD8"/>
    <w:rsid w:val="00AA2ABB"/>
    <w:rsid w:val="00AB10EE"/>
    <w:rsid w:val="00AB25E7"/>
    <w:rsid w:val="00AB2AFE"/>
    <w:rsid w:val="00AB4E9E"/>
    <w:rsid w:val="00AC18B9"/>
    <w:rsid w:val="00AC43BC"/>
    <w:rsid w:val="00AD1848"/>
    <w:rsid w:val="00AD3EF9"/>
    <w:rsid w:val="00AD48FA"/>
    <w:rsid w:val="00AF08AD"/>
    <w:rsid w:val="00AF47CF"/>
    <w:rsid w:val="00B06294"/>
    <w:rsid w:val="00B139D4"/>
    <w:rsid w:val="00B1650A"/>
    <w:rsid w:val="00B229DC"/>
    <w:rsid w:val="00B262B9"/>
    <w:rsid w:val="00B30394"/>
    <w:rsid w:val="00B317D3"/>
    <w:rsid w:val="00B3444F"/>
    <w:rsid w:val="00B41B5B"/>
    <w:rsid w:val="00B42EF7"/>
    <w:rsid w:val="00B43BB8"/>
    <w:rsid w:val="00B44D0B"/>
    <w:rsid w:val="00B5218D"/>
    <w:rsid w:val="00B54447"/>
    <w:rsid w:val="00B5451B"/>
    <w:rsid w:val="00B553EC"/>
    <w:rsid w:val="00B557B9"/>
    <w:rsid w:val="00B66F10"/>
    <w:rsid w:val="00B7437D"/>
    <w:rsid w:val="00B77AE5"/>
    <w:rsid w:val="00B81B76"/>
    <w:rsid w:val="00B93ABF"/>
    <w:rsid w:val="00BA5509"/>
    <w:rsid w:val="00BB24A6"/>
    <w:rsid w:val="00BB52A8"/>
    <w:rsid w:val="00BC2103"/>
    <w:rsid w:val="00BC40EE"/>
    <w:rsid w:val="00BC64AC"/>
    <w:rsid w:val="00BD008C"/>
    <w:rsid w:val="00BD71D6"/>
    <w:rsid w:val="00BE144A"/>
    <w:rsid w:val="00BE54BB"/>
    <w:rsid w:val="00BF2537"/>
    <w:rsid w:val="00BF2994"/>
    <w:rsid w:val="00BF725A"/>
    <w:rsid w:val="00C0318E"/>
    <w:rsid w:val="00C119DD"/>
    <w:rsid w:val="00C13A28"/>
    <w:rsid w:val="00C20D1B"/>
    <w:rsid w:val="00C232A1"/>
    <w:rsid w:val="00C30348"/>
    <w:rsid w:val="00C30EED"/>
    <w:rsid w:val="00C35015"/>
    <w:rsid w:val="00C411E4"/>
    <w:rsid w:val="00C601EF"/>
    <w:rsid w:val="00C63B93"/>
    <w:rsid w:val="00C71BBC"/>
    <w:rsid w:val="00C74BB9"/>
    <w:rsid w:val="00C77A45"/>
    <w:rsid w:val="00C84787"/>
    <w:rsid w:val="00C916AF"/>
    <w:rsid w:val="00C91AC7"/>
    <w:rsid w:val="00C92590"/>
    <w:rsid w:val="00CA0E4E"/>
    <w:rsid w:val="00CA5EEE"/>
    <w:rsid w:val="00CB0EC7"/>
    <w:rsid w:val="00CB1F06"/>
    <w:rsid w:val="00CB223D"/>
    <w:rsid w:val="00CB347F"/>
    <w:rsid w:val="00CB3D6D"/>
    <w:rsid w:val="00CC6629"/>
    <w:rsid w:val="00CD15E2"/>
    <w:rsid w:val="00CD2658"/>
    <w:rsid w:val="00CD67D1"/>
    <w:rsid w:val="00CE06F0"/>
    <w:rsid w:val="00CE1B89"/>
    <w:rsid w:val="00CE2351"/>
    <w:rsid w:val="00CF10CD"/>
    <w:rsid w:val="00CF358E"/>
    <w:rsid w:val="00CF76E1"/>
    <w:rsid w:val="00D070E3"/>
    <w:rsid w:val="00D072AF"/>
    <w:rsid w:val="00D16B14"/>
    <w:rsid w:val="00D226C1"/>
    <w:rsid w:val="00D26384"/>
    <w:rsid w:val="00D32E2B"/>
    <w:rsid w:val="00D34C8A"/>
    <w:rsid w:val="00D35E95"/>
    <w:rsid w:val="00D36688"/>
    <w:rsid w:val="00D46AA8"/>
    <w:rsid w:val="00D47A46"/>
    <w:rsid w:val="00D50E72"/>
    <w:rsid w:val="00D620DA"/>
    <w:rsid w:val="00D71FFD"/>
    <w:rsid w:val="00D8320C"/>
    <w:rsid w:val="00D85D97"/>
    <w:rsid w:val="00D867B0"/>
    <w:rsid w:val="00D87BE3"/>
    <w:rsid w:val="00D94EAD"/>
    <w:rsid w:val="00DA4D28"/>
    <w:rsid w:val="00DA6337"/>
    <w:rsid w:val="00DA74BC"/>
    <w:rsid w:val="00DB41A9"/>
    <w:rsid w:val="00DB41F3"/>
    <w:rsid w:val="00DC382B"/>
    <w:rsid w:val="00DD7C5E"/>
    <w:rsid w:val="00DE0750"/>
    <w:rsid w:val="00DE2436"/>
    <w:rsid w:val="00DE430D"/>
    <w:rsid w:val="00DE5EA5"/>
    <w:rsid w:val="00DF1755"/>
    <w:rsid w:val="00DF4307"/>
    <w:rsid w:val="00DF5D25"/>
    <w:rsid w:val="00DF6393"/>
    <w:rsid w:val="00DF6BCA"/>
    <w:rsid w:val="00E01449"/>
    <w:rsid w:val="00E039AE"/>
    <w:rsid w:val="00E13DA3"/>
    <w:rsid w:val="00E30249"/>
    <w:rsid w:val="00E3298F"/>
    <w:rsid w:val="00E3438D"/>
    <w:rsid w:val="00E34606"/>
    <w:rsid w:val="00E5412E"/>
    <w:rsid w:val="00E637BF"/>
    <w:rsid w:val="00E7001C"/>
    <w:rsid w:val="00E72245"/>
    <w:rsid w:val="00E74CC7"/>
    <w:rsid w:val="00E75592"/>
    <w:rsid w:val="00E75A26"/>
    <w:rsid w:val="00E76989"/>
    <w:rsid w:val="00E801ED"/>
    <w:rsid w:val="00E81895"/>
    <w:rsid w:val="00E930FE"/>
    <w:rsid w:val="00EA19B1"/>
    <w:rsid w:val="00EA78CA"/>
    <w:rsid w:val="00EB191D"/>
    <w:rsid w:val="00EB1C41"/>
    <w:rsid w:val="00EB4B87"/>
    <w:rsid w:val="00EC0AA7"/>
    <w:rsid w:val="00EC5AC2"/>
    <w:rsid w:val="00EE1F95"/>
    <w:rsid w:val="00EE401A"/>
    <w:rsid w:val="00EE4B35"/>
    <w:rsid w:val="00EF07EB"/>
    <w:rsid w:val="00EF1BE9"/>
    <w:rsid w:val="00EF29AE"/>
    <w:rsid w:val="00F03230"/>
    <w:rsid w:val="00F17922"/>
    <w:rsid w:val="00F22B8B"/>
    <w:rsid w:val="00F23A45"/>
    <w:rsid w:val="00F33DE4"/>
    <w:rsid w:val="00F35B15"/>
    <w:rsid w:val="00F37209"/>
    <w:rsid w:val="00F41F4B"/>
    <w:rsid w:val="00F46802"/>
    <w:rsid w:val="00F534B7"/>
    <w:rsid w:val="00F543A4"/>
    <w:rsid w:val="00F707C9"/>
    <w:rsid w:val="00F80E59"/>
    <w:rsid w:val="00F84416"/>
    <w:rsid w:val="00FA02D6"/>
    <w:rsid w:val="00FB24D4"/>
    <w:rsid w:val="00FB32BB"/>
    <w:rsid w:val="00FB35F8"/>
    <w:rsid w:val="00FB3F83"/>
    <w:rsid w:val="00FB748D"/>
    <w:rsid w:val="00FC0BED"/>
    <w:rsid w:val="00FC1949"/>
    <w:rsid w:val="00FC1C43"/>
    <w:rsid w:val="00FC39AC"/>
    <w:rsid w:val="00FD1696"/>
    <w:rsid w:val="00FD760A"/>
    <w:rsid w:val="00FE2972"/>
    <w:rsid w:val="00FE4E51"/>
    <w:rsid w:val="00FE6BE2"/>
    <w:rsid w:val="00FF1444"/>
    <w:rsid w:val="00FF2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73"/>
    <w:pPr>
      <w:widowControl w:val="0"/>
      <w:spacing w:after="0" w:line="240" w:lineRule="auto"/>
    </w:pPr>
    <w:rPr>
      <w:rFonts w:ascii="Times New Roman" w:eastAsia="Times New Roman" w:hAnsi="Times New Roman" w:cs="Mangal"/>
      <w:sz w:val="20"/>
      <w:szCs w:val="20"/>
      <w:lang w:bidi="hi-IN"/>
    </w:rPr>
  </w:style>
  <w:style w:type="paragraph" w:styleId="Heading5">
    <w:name w:val="heading 5"/>
    <w:basedOn w:val="Normal"/>
    <w:next w:val="Normal"/>
    <w:link w:val="Heading5Char"/>
    <w:qFormat/>
    <w:rsid w:val="00227273"/>
    <w:pPr>
      <w:keepNext/>
      <w:widowControl/>
      <w:jc w:val="right"/>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27273"/>
    <w:rPr>
      <w:rFonts w:ascii="Times New Roman" w:eastAsia="Times New Roman" w:hAnsi="Times New Roman" w:cs="Mangal"/>
      <w:sz w:val="26"/>
      <w:szCs w:val="26"/>
      <w:lang w:bidi="hi-IN"/>
    </w:rPr>
  </w:style>
  <w:style w:type="paragraph" w:styleId="Title">
    <w:name w:val="Title"/>
    <w:basedOn w:val="Normal"/>
    <w:link w:val="TitleChar"/>
    <w:qFormat/>
    <w:rsid w:val="00227273"/>
    <w:pPr>
      <w:widowControl/>
      <w:jc w:val="center"/>
    </w:pPr>
    <w:rPr>
      <w:b/>
      <w:bCs/>
      <w:sz w:val="26"/>
      <w:szCs w:val="26"/>
    </w:rPr>
  </w:style>
  <w:style w:type="character" w:customStyle="1" w:styleId="TitleChar">
    <w:name w:val="Title Char"/>
    <w:basedOn w:val="DefaultParagraphFont"/>
    <w:link w:val="Title"/>
    <w:rsid w:val="00227273"/>
    <w:rPr>
      <w:rFonts w:ascii="Times New Roman" w:eastAsia="Times New Roman" w:hAnsi="Times New Roman" w:cs="Mangal"/>
      <w:b/>
      <w:bCs/>
      <w:sz w:val="26"/>
      <w:szCs w:val="26"/>
      <w:lang w:bidi="hi-IN"/>
    </w:rPr>
  </w:style>
  <w:style w:type="paragraph" w:styleId="FootnoteText">
    <w:name w:val="footnote text"/>
    <w:basedOn w:val="Normal"/>
    <w:link w:val="FootnoteTextChar"/>
    <w:unhideWhenUsed/>
    <w:qFormat/>
    <w:rsid w:val="00475F3D"/>
    <w:rPr>
      <w:szCs w:val="18"/>
    </w:rPr>
  </w:style>
  <w:style w:type="character" w:customStyle="1" w:styleId="FootnoteTextChar">
    <w:name w:val="Footnote Text Char"/>
    <w:basedOn w:val="DefaultParagraphFont"/>
    <w:link w:val="FootnoteText"/>
    <w:rsid w:val="00475F3D"/>
    <w:rPr>
      <w:rFonts w:ascii="Times New Roman" w:eastAsia="Times New Roman" w:hAnsi="Times New Roman" w:cs="Mangal"/>
      <w:sz w:val="20"/>
      <w:szCs w:val="18"/>
      <w:lang w:bidi="hi-IN"/>
    </w:rPr>
  </w:style>
  <w:style w:type="character" w:styleId="FootnoteReference">
    <w:name w:val="footnote reference"/>
    <w:basedOn w:val="DefaultParagraphFont"/>
    <w:unhideWhenUsed/>
    <w:rsid w:val="00475F3D"/>
    <w:rPr>
      <w:vertAlign w:val="superscript"/>
    </w:rPr>
  </w:style>
  <w:style w:type="paragraph" w:styleId="ListParagraph">
    <w:name w:val="List Paragraph"/>
    <w:basedOn w:val="Normal"/>
    <w:uiPriority w:val="34"/>
    <w:qFormat/>
    <w:rsid w:val="00B229DC"/>
    <w:pPr>
      <w:ind w:left="720"/>
      <w:contextualSpacing/>
    </w:pPr>
    <w:rPr>
      <w:szCs w:val="18"/>
    </w:rPr>
  </w:style>
  <w:style w:type="paragraph" w:styleId="Header">
    <w:name w:val="header"/>
    <w:basedOn w:val="Normal"/>
    <w:link w:val="HeaderChar"/>
    <w:uiPriority w:val="99"/>
    <w:semiHidden/>
    <w:unhideWhenUsed/>
    <w:rsid w:val="009E56DB"/>
    <w:pPr>
      <w:tabs>
        <w:tab w:val="center" w:pos="4680"/>
        <w:tab w:val="right" w:pos="9360"/>
      </w:tabs>
    </w:pPr>
    <w:rPr>
      <w:szCs w:val="18"/>
    </w:rPr>
  </w:style>
  <w:style w:type="character" w:customStyle="1" w:styleId="HeaderChar">
    <w:name w:val="Header Char"/>
    <w:basedOn w:val="DefaultParagraphFont"/>
    <w:link w:val="Header"/>
    <w:uiPriority w:val="99"/>
    <w:semiHidden/>
    <w:rsid w:val="009E56DB"/>
    <w:rPr>
      <w:rFonts w:ascii="Times New Roman" w:eastAsia="Times New Roman" w:hAnsi="Times New Roman" w:cs="Mangal"/>
      <w:sz w:val="20"/>
      <w:szCs w:val="18"/>
      <w:lang w:bidi="hi-IN"/>
    </w:rPr>
  </w:style>
  <w:style w:type="paragraph" w:styleId="Footer">
    <w:name w:val="footer"/>
    <w:basedOn w:val="Normal"/>
    <w:link w:val="FooterChar"/>
    <w:uiPriority w:val="99"/>
    <w:unhideWhenUsed/>
    <w:rsid w:val="009E56DB"/>
    <w:pPr>
      <w:tabs>
        <w:tab w:val="center" w:pos="4680"/>
        <w:tab w:val="right" w:pos="9360"/>
      </w:tabs>
    </w:pPr>
    <w:rPr>
      <w:szCs w:val="18"/>
    </w:rPr>
  </w:style>
  <w:style w:type="character" w:customStyle="1" w:styleId="FooterChar">
    <w:name w:val="Footer Char"/>
    <w:basedOn w:val="DefaultParagraphFont"/>
    <w:link w:val="Footer"/>
    <w:uiPriority w:val="99"/>
    <w:rsid w:val="009E56DB"/>
    <w:rPr>
      <w:rFonts w:ascii="Times New Roman" w:eastAsia="Times New Roman" w:hAnsi="Times New Roman" w:cs="Mangal"/>
      <w:sz w:val="20"/>
      <w:szCs w:val="18"/>
      <w:lang w:bidi="hi-IN"/>
    </w:rPr>
  </w:style>
  <w:style w:type="paragraph" w:styleId="BalloonText">
    <w:name w:val="Balloon Text"/>
    <w:basedOn w:val="Normal"/>
    <w:link w:val="BalloonTextChar"/>
    <w:uiPriority w:val="99"/>
    <w:semiHidden/>
    <w:unhideWhenUsed/>
    <w:rsid w:val="00862EC0"/>
    <w:rPr>
      <w:rFonts w:ascii="Tahoma" w:hAnsi="Tahoma"/>
      <w:sz w:val="16"/>
      <w:szCs w:val="14"/>
    </w:rPr>
  </w:style>
  <w:style w:type="character" w:customStyle="1" w:styleId="BalloonTextChar">
    <w:name w:val="Balloon Text Char"/>
    <w:basedOn w:val="DefaultParagraphFont"/>
    <w:link w:val="BalloonText"/>
    <w:uiPriority w:val="99"/>
    <w:semiHidden/>
    <w:rsid w:val="00862EC0"/>
    <w:rPr>
      <w:rFonts w:ascii="Tahoma" w:eastAsia="Times New Roman" w:hAnsi="Tahoma" w:cs="Mangal"/>
      <w:sz w:val="16"/>
      <w:szCs w:val="14"/>
      <w:lang w:bidi="hi-IN"/>
    </w:rPr>
  </w:style>
  <w:style w:type="character" w:styleId="Hyperlink">
    <w:name w:val="Hyperlink"/>
    <w:basedOn w:val="DefaultParagraphFont"/>
    <w:rsid w:val="00365DF1"/>
    <w:rPr>
      <w:color w:val="0000FF" w:themeColor="hyperlink"/>
      <w:u w:val="single"/>
    </w:rPr>
  </w:style>
  <w:style w:type="paragraph" w:customStyle="1" w:styleId="p4">
    <w:name w:val="p4"/>
    <w:basedOn w:val="Normal"/>
    <w:uiPriority w:val="99"/>
    <w:rsid w:val="00CB1F06"/>
    <w:pPr>
      <w:tabs>
        <w:tab w:val="left" w:pos="725"/>
      </w:tabs>
      <w:autoSpaceDE w:val="0"/>
      <w:autoSpaceDN w:val="0"/>
      <w:adjustRightInd w:val="0"/>
      <w:ind w:firstLine="725"/>
    </w:pPr>
    <w:rPr>
      <w:rFonts w:cs="Times New Roman"/>
      <w:sz w:val="24"/>
      <w:szCs w:val="24"/>
      <w:lang w:bidi="ar-SA"/>
    </w:rPr>
  </w:style>
  <w:style w:type="paragraph" w:customStyle="1" w:styleId="p6">
    <w:name w:val="p6"/>
    <w:basedOn w:val="Normal"/>
    <w:rsid w:val="00763BD3"/>
    <w:pPr>
      <w:tabs>
        <w:tab w:val="left" w:pos="742"/>
      </w:tabs>
      <w:autoSpaceDE w:val="0"/>
      <w:autoSpaceDN w:val="0"/>
      <w:adjustRightInd w:val="0"/>
      <w:ind w:firstLine="742"/>
    </w:pPr>
    <w:rPr>
      <w:rFonts w:cs="Times New Roman"/>
      <w:sz w:val="24"/>
      <w:szCs w:val="24"/>
      <w:lang w:bidi="ar-SA"/>
    </w:rPr>
  </w:style>
  <w:style w:type="paragraph" w:customStyle="1" w:styleId="Style">
    <w:name w:val="Style"/>
    <w:rsid w:val="00763B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OutlineL1">
    <w:name w:val="Outline_L1"/>
    <w:basedOn w:val="Normal"/>
    <w:rsid w:val="00A84419"/>
    <w:pPr>
      <w:widowControl/>
      <w:numPr>
        <w:numId w:val="10"/>
      </w:numPr>
      <w:spacing w:after="240" w:line="480" w:lineRule="auto"/>
      <w:jc w:val="center"/>
      <w:outlineLvl w:val="0"/>
    </w:pPr>
    <w:rPr>
      <w:rFonts w:cs="Times New Roman"/>
      <w:b/>
      <w:caps/>
      <w:sz w:val="24"/>
      <w:lang w:bidi="ar-SA"/>
    </w:rPr>
  </w:style>
  <w:style w:type="paragraph" w:customStyle="1" w:styleId="OutlineL2">
    <w:name w:val="Outline_L2"/>
    <w:basedOn w:val="OutlineL1"/>
    <w:rsid w:val="00A84419"/>
    <w:pPr>
      <w:numPr>
        <w:ilvl w:val="1"/>
      </w:numPr>
      <w:tabs>
        <w:tab w:val="num" w:pos="1680"/>
      </w:tabs>
      <w:ind w:left="240"/>
      <w:jc w:val="left"/>
      <w:outlineLvl w:val="1"/>
    </w:pPr>
    <w:rPr>
      <w:b w:val="0"/>
      <w:caps w:val="0"/>
    </w:rPr>
  </w:style>
  <w:style w:type="paragraph" w:styleId="BodyText">
    <w:name w:val="Body Text"/>
    <w:basedOn w:val="Normal"/>
    <w:link w:val="BodyTextChar"/>
    <w:rsid w:val="005B1388"/>
    <w:pPr>
      <w:widowControl/>
      <w:spacing w:line="360" w:lineRule="auto"/>
      <w:jc w:val="both"/>
    </w:pPr>
    <w:rPr>
      <w:rFonts w:cs="Times New Roman"/>
      <w:sz w:val="26"/>
      <w:lang w:bidi="ar-SA"/>
    </w:rPr>
  </w:style>
  <w:style w:type="character" w:customStyle="1" w:styleId="BodyTextChar">
    <w:name w:val="Body Text Char"/>
    <w:basedOn w:val="DefaultParagraphFont"/>
    <w:link w:val="BodyText"/>
    <w:rsid w:val="005B1388"/>
    <w:rPr>
      <w:rFonts w:ascii="Times New Roman" w:eastAsia="Times New Roman" w:hAnsi="Times New Roman" w:cs="Times New Roman"/>
      <w:sz w:val="26"/>
      <w:szCs w:val="20"/>
    </w:rPr>
  </w:style>
  <w:style w:type="paragraph" w:customStyle="1" w:styleId="FirmQuote">
    <w:name w:val="Firm Quote"/>
    <w:basedOn w:val="Normal"/>
    <w:rsid w:val="005B1388"/>
    <w:pPr>
      <w:widowControl/>
      <w:spacing w:before="240" w:after="240" w:line="480" w:lineRule="auto"/>
      <w:ind w:left="1440" w:right="1440"/>
    </w:pPr>
    <w:rPr>
      <w:rFonts w:cs="Times New Roman"/>
      <w:sz w:val="24"/>
      <w:szCs w:val="24"/>
      <w:lang w:bidi="ar-SA"/>
    </w:rPr>
  </w:style>
  <w:style w:type="paragraph" w:customStyle="1" w:styleId="StandardL1">
    <w:name w:val="Standard_L1"/>
    <w:basedOn w:val="Normal"/>
    <w:rsid w:val="005B1388"/>
    <w:pPr>
      <w:widowControl/>
      <w:numPr>
        <w:ilvl w:val="2"/>
        <w:numId w:val="13"/>
      </w:numPr>
      <w:tabs>
        <w:tab w:val="clear" w:pos="2880"/>
        <w:tab w:val="num" w:pos="1440"/>
      </w:tabs>
      <w:spacing w:after="240" w:line="480" w:lineRule="auto"/>
      <w:ind w:hanging="720"/>
      <w:outlineLvl w:val="0"/>
    </w:pPr>
    <w:rPr>
      <w:rFonts w:cs="Times New Roman"/>
      <w:b/>
      <w:sz w:val="24"/>
      <w:lang w:bidi="ar-SA"/>
    </w:rPr>
  </w:style>
  <w:style w:type="paragraph" w:customStyle="1" w:styleId="StandardL2">
    <w:name w:val="Standard_L2"/>
    <w:basedOn w:val="StandardL1"/>
    <w:rsid w:val="005B1388"/>
    <w:pPr>
      <w:numPr>
        <w:ilvl w:val="3"/>
      </w:numPr>
      <w:tabs>
        <w:tab w:val="clear" w:pos="2880"/>
        <w:tab w:val="num" w:pos="2160"/>
      </w:tabs>
      <w:spacing w:after="120"/>
      <w:ind w:left="720" w:firstLine="720"/>
      <w:outlineLvl w:val="1"/>
    </w:pPr>
    <w:rPr>
      <w:b w:val="0"/>
    </w:rPr>
  </w:style>
  <w:style w:type="paragraph" w:customStyle="1" w:styleId="StandardL3">
    <w:name w:val="Standard_L3"/>
    <w:basedOn w:val="StandardL2"/>
    <w:rsid w:val="005B1388"/>
    <w:pPr>
      <w:numPr>
        <w:ilvl w:val="4"/>
      </w:numPr>
      <w:tabs>
        <w:tab w:val="clear" w:pos="3600"/>
        <w:tab w:val="num" w:pos="2880"/>
      </w:tabs>
      <w:ind w:left="1440" w:firstLine="720"/>
      <w:outlineLvl w:val="2"/>
    </w:pPr>
  </w:style>
  <w:style w:type="paragraph" w:customStyle="1" w:styleId="StandardL4">
    <w:name w:val="Standard_L4"/>
    <w:basedOn w:val="StandardL3"/>
    <w:rsid w:val="005B1388"/>
    <w:pPr>
      <w:numPr>
        <w:ilvl w:val="5"/>
      </w:numPr>
      <w:tabs>
        <w:tab w:val="clear" w:pos="4320"/>
        <w:tab w:val="num" w:pos="2880"/>
      </w:tabs>
      <w:spacing w:after="240"/>
      <w:ind w:left="2160" w:firstLine="1440"/>
      <w:outlineLvl w:val="3"/>
    </w:pPr>
  </w:style>
  <w:style w:type="paragraph" w:customStyle="1" w:styleId="StandardL5">
    <w:name w:val="Standard_L5"/>
    <w:basedOn w:val="StandardL4"/>
    <w:rsid w:val="005B1388"/>
    <w:pPr>
      <w:numPr>
        <w:ilvl w:val="6"/>
      </w:numPr>
      <w:tabs>
        <w:tab w:val="clear" w:pos="5040"/>
        <w:tab w:val="num" w:pos="3600"/>
      </w:tabs>
      <w:ind w:firstLine="2880"/>
      <w:outlineLvl w:val="4"/>
    </w:pPr>
  </w:style>
  <w:style w:type="paragraph" w:customStyle="1" w:styleId="StandardL6">
    <w:name w:val="Standard_L6"/>
    <w:basedOn w:val="StandardL5"/>
    <w:rsid w:val="005B1388"/>
    <w:pPr>
      <w:numPr>
        <w:ilvl w:val="7"/>
      </w:numPr>
      <w:tabs>
        <w:tab w:val="clear" w:pos="5760"/>
        <w:tab w:val="num" w:pos="4320"/>
      </w:tabs>
      <w:ind w:firstLine="3600"/>
      <w:outlineLvl w:val="5"/>
    </w:pPr>
  </w:style>
  <w:style w:type="paragraph" w:customStyle="1" w:styleId="StandardL7">
    <w:name w:val="Standard_L7"/>
    <w:basedOn w:val="StandardL6"/>
    <w:rsid w:val="005B1388"/>
    <w:pPr>
      <w:numPr>
        <w:ilvl w:val="8"/>
      </w:numPr>
      <w:tabs>
        <w:tab w:val="clear" w:pos="6480"/>
        <w:tab w:val="num" w:pos="5040"/>
      </w:tabs>
      <w:ind w:firstLine="4320"/>
      <w:outlineLvl w:val="6"/>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30A03-0C7F-4D5C-B25F-8F231186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21</Pages>
  <Words>5910</Words>
  <Characters>33688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Administrator</cp:lastModifiedBy>
  <cp:revision>14</cp:revision>
  <cp:lastPrinted>2010-11-23T16:29:00Z</cp:lastPrinted>
  <dcterms:created xsi:type="dcterms:W3CDTF">2010-11-05T16:28:00Z</dcterms:created>
  <dcterms:modified xsi:type="dcterms:W3CDTF">2010-11-23T16:29:00Z</dcterms:modified>
</cp:coreProperties>
</file>