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E36204">
        <w:rPr>
          <w:b/>
          <w:sz w:val="24"/>
        </w:rPr>
        <w:t>A-2010-2192350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E36204">
        <w:rPr>
          <w:sz w:val="24"/>
        </w:rPr>
        <w:t>Reliant Energy Northeast, LLC d/b/a Reliant Energy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2A029B">
        <w:rPr>
          <w:sz w:val="24"/>
        </w:rPr>
        <w:t xml:space="preserve">as a </w:t>
      </w:r>
      <w:r w:rsidR="00E36204">
        <w:rPr>
          <w:sz w:val="24"/>
        </w:rPr>
        <w:t xml:space="preserve">supplier of retail electric power 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E36204">
        <w:rPr>
          <w:b/>
          <w:sz w:val="24"/>
        </w:rPr>
        <w:t>18</w:t>
      </w:r>
      <w:r w:rsidR="00E36204" w:rsidRPr="00E36204">
        <w:rPr>
          <w:b/>
          <w:sz w:val="24"/>
          <w:vertAlign w:val="superscript"/>
        </w:rPr>
        <w:t>th</w:t>
      </w:r>
      <w:r w:rsidR="00E36204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E36204">
        <w:rPr>
          <w:b/>
          <w:sz w:val="24"/>
        </w:rPr>
        <w:t>October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E36204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4530"/>
    <w:rsid w:val="00E36204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2010-12-02T17:47:00Z</cp:lastPrinted>
  <dcterms:created xsi:type="dcterms:W3CDTF">2010-12-02T17:47:00Z</dcterms:created>
  <dcterms:modified xsi:type="dcterms:W3CDTF">2010-12-02T17:47:00Z</dcterms:modified>
</cp:coreProperties>
</file>