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98E" w:rsidRDefault="000E0E01">
      <w:pPr>
        <w:pStyle w:val="Title"/>
        <w:rPr>
          <w:sz w:val="26"/>
        </w:rPr>
      </w:pPr>
      <w:r>
        <w:rPr>
          <w:sz w:val="26"/>
        </w:rPr>
        <w:t>PENNSYLVANIA</w:t>
      </w:r>
    </w:p>
    <w:p w:rsidR="00355666" w:rsidRDefault="000E0E01">
      <w:pPr>
        <w:pStyle w:val="Title"/>
        <w:rPr>
          <w:sz w:val="26"/>
        </w:rPr>
      </w:pPr>
      <w:r>
        <w:rPr>
          <w:sz w:val="26"/>
        </w:rPr>
        <w:t xml:space="preserve"> </w:t>
      </w:r>
      <w:r w:rsidR="00355666">
        <w:rPr>
          <w:sz w:val="26"/>
        </w:rPr>
        <w:t>PUBLIC UTILITY COMMISSION</w:t>
      </w:r>
    </w:p>
    <w:p w:rsidR="00355666" w:rsidRDefault="00355666">
      <w:pPr>
        <w:jc w:val="center"/>
        <w:rPr>
          <w:b/>
          <w:sz w:val="26"/>
        </w:rPr>
      </w:pPr>
      <w:smartTag w:uri="urn:schemas-microsoft-com:office:smarttags" w:element="place">
        <w:smartTag w:uri="urn:schemas-microsoft-com:office:smarttags" w:element="City">
          <w:r>
            <w:rPr>
              <w:b/>
              <w:sz w:val="26"/>
            </w:rPr>
            <w:t>Harrisburg</w:t>
          </w:r>
        </w:smartTag>
        <w:r>
          <w:rPr>
            <w:b/>
            <w:sz w:val="26"/>
          </w:rPr>
          <w:t xml:space="preserve">, </w:t>
        </w:r>
        <w:smartTag w:uri="urn:schemas-microsoft-com:office:smarttags" w:element="State">
          <w:r>
            <w:rPr>
              <w:b/>
              <w:sz w:val="26"/>
            </w:rPr>
            <w:t>PA</w:t>
          </w:r>
        </w:smartTag>
        <w:r>
          <w:rPr>
            <w:b/>
            <w:sz w:val="26"/>
          </w:rPr>
          <w:t xml:space="preserve"> </w:t>
        </w:r>
        <w:smartTag w:uri="urn:schemas-microsoft-com:office:smarttags" w:element="PostalCode">
          <w:r>
            <w:rPr>
              <w:b/>
              <w:sz w:val="26"/>
            </w:rPr>
            <w:t>17105-3265</w:t>
          </w:r>
        </w:smartTag>
      </w:smartTag>
    </w:p>
    <w:p w:rsidR="00355666" w:rsidRDefault="00355666">
      <w:pPr>
        <w:jc w:val="center"/>
        <w:rPr>
          <w:b/>
          <w:sz w:val="26"/>
        </w:rPr>
      </w:pPr>
    </w:p>
    <w:p w:rsidR="00355666" w:rsidRDefault="00355666">
      <w:pPr>
        <w:jc w:val="right"/>
        <w:rPr>
          <w:sz w:val="26"/>
        </w:rPr>
      </w:pPr>
      <w:r>
        <w:rPr>
          <w:sz w:val="26"/>
        </w:rPr>
        <w:t xml:space="preserve">Public Meeting held </w:t>
      </w:r>
      <w:r w:rsidR="007D25D1">
        <w:rPr>
          <w:sz w:val="26"/>
        </w:rPr>
        <w:t>December 2, 2010</w:t>
      </w:r>
    </w:p>
    <w:p w:rsidR="00355666" w:rsidRDefault="00355666">
      <w:pPr>
        <w:jc w:val="right"/>
        <w:rPr>
          <w:sz w:val="26"/>
        </w:rPr>
      </w:pPr>
    </w:p>
    <w:p w:rsidR="00355666" w:rsidRDefault="00355666">
      <w:pPr>
        <w:rPr>
          <w:sz w:val="26"/>
        </w:rPr>
      </w:pPr>
      <w:r>
        <w:rPr>
          <w:sz w:val="26"/>
        </w:rPr>
        <w:t>Commissioners Present:</w:t>
      </w:r>
    </w:p>
    <w:p w:rsidR="00355666" w:rsidRDefault="00355666">
      <w:pPr>
        <w:rPr>
          <w:sz w:val="26"/>
        </w:rPr>
      </w:pPr>
    </w:p>
    <w:p w:rsidR="00355666" w:rsidRDefault="00355666" w:rsidP="008D7466">
      <w:pPr>
        <w:ind w:firstLine="450"/>
        <w:rPr>
          <w:sz w:val="26"/>
        </w:rPr>
      </w:pPr>
      <w:r>
        <w:rPr>
          <w:sz w:val="26"/>
        </w:rPr>
        <w:tab/>
      </w:r>
      <w:r w:rsidR="00507F12">
        <w:rPr>
          <w:sz w:val="26"/>
        </w:rPr>
        <w:t>James H. Cawley</w:t>
      </w:r>
      <w:r>
        <w:rPr>
          <w:sz w:val="26"/>
        </w:rPr>
        <w:t>, Chairman</w:t>
      </w:r>
    </w:p>
    <w:p w:rsidR="000E0E01" w:rsidRDefault="00355666" w:rsidP="001A414C">
      <w:pPr>
        <w:rPr>
          <w:sz w:val="26"/>
        </w:rPr>
      </w:pPr>
      <w:r>
        <w:rPr>
          <w:sz w:val="26"/>
        </w:rPr>
        <w:tab/>
      </w:r>
      <w:r w:rsidR="000E0E01">
        <w:rPr>
          <w:sz w:val="26"/>
        </w:rPr>
        <w:t>Tyrone J. Christy</w:t>
      </w:r>
      <w:r w:rsidR="008D7466">
        <w:rPr>
          <w:sz w:val="26"/>
        </w:rPr>
        <w:t>, Vice Chairman</w:t>
      </w:r>
    </w:p>
    <w:p w:rsidR="00E253D3" w:rsidRDefault="00E253D3" w:rsidP="00E253D3">
      <w:pPr>
        <w:ind w:firstLine="720"/>
        <w:rPr>
          <w:sz w:val="26"/>
        </w:rPr>
      </w:pPr>
      <w:r>
        <w:rPr>
          <w:sz w:val="26"/>
        </w:rPr>
        <w:t>John F. Coleman, Jr.</w:t>
      </w:r>
    </w:p>
    <w:p w:rsidR="004C6988" w:rsidRDefault="004C6988" w:rsidP="004C6988">
      <w:pPr>
        <w:ind w:firstLine="720"/>
        <w:rPr>
          <w:sz w:val="26"/>
        </w:rPr>
      </w:pPr>
      <w:r>
        <w:rPr>
          <w:sz w:val="26"/>
        </w:rPr>
        <w:t xml:space="preserve">Wayne E. Gardner </w:t>
      </w:r>
    </w:p>
    <w:p w:rsidR="00265B0E" w:rsidRDefault="00265B0E" w:rsidP="000E0E01">
      <w:pPr>
        <w:ind w:firstLine="720"/>
        <w:rPr>
          <w:sz w:val="26"/>
        </w:rPr>
      </w:pPr>
      <w:r>
        <w:rPr>
          <w:sz w:val="26"/>
        </w:rPr>
        <w:t>Robert F. Powelson</w:t>
      </w:r>
      <w:r w:rsidR="00E37E7E">
        <w:rPr>
          <w:sz w:val="26"/>
        </w:rPr>
        <w:t xml:space="preserve"> </w:t>
      </w:r>
    </w:p>
    <w:p w:rsidR="00355666" w:rsidRDefault="00355666">
      <w:pPr>
        <w:rPr>
          <w:sz w:val="26"/>
        </w:rPr>
      </w:pPr>
    </w:p>
    <w:p w:rsidR="00C70E03" w:rsidRPr="005110BA" w:rsidRDefault="005110BA" w:rsidP="005110BA">
      <w:pPr>
        <w:pStyle w:val="Heading1"/>
        <w:jc w:val="left"/>
        <w:rPr>
          <w:b w:val="0"/>
          <w:sz w:val="26"/>
          <w:szCs w:val="26"/>
        </w:rPr>
      </w:pPr>
      <w:smartTag w:uri="urn:schemas-microsoft-com:office:smarttags" w:element="State">
        <w:smartTag w:uri="urn:schemas-microsoft-com:office:smarttags" w:element="place">
          <w:r w:rsidRPr="005110BA">
            <w:rPr>
              <w:b w:val="0"/>
              <w:sz w:val="26"/>
              <w:szCs w:val="26"/>
            </w:rPr>
            <w:t>Pennsylvania</w:t>
          </w:r>
        </w:smartTag>
      </w:smartTag>
      <w:r w:rsidRPr="005110BA">
        <w:rPr>
          <w:b w:val="0"/>
          <w:sz w:val="26"/>
          <w:szCs w:val="26"/>
        </w:rPr>
        <w:t xml:space="preserve"> Universal Service Fund</w:t>
      </w:r>
      <w:r>
        <w:rPr>
          <w:b w:val="0"/>
          <w:sz w:val="26"/>
          <w:szCs w:val="26"/>
        </w:rPr>
        <w:tab/>
      </w:r>
      <w:r>
        <w:rPr>
          <w:b w:val="0"/>
          <w:sz w:val="26"/>
          <w:szCs w:val="26"/>
        </w:rPr>
        <w:tab/>
        <w:t>:</w:t>
      </w:r>
      <w:r>
        <w:rPr>
          <w:b w:val="0"/>
          <w:sz w:val="26"/>
          <w:szCs w:val="26"/>
        </w:rPr>
        <w:tab/>
        <w:t>Docket No. M-00001337</w:t>
      </w:r>
    </w:p>
    <w:p w:rsidR="005110BA" w:rsidRDefault="005110BA" w:rsidP="005110BA">
      <w:pPr>
        <w:rPr>
          <w:sz w:val="26"/>
          <w:szCs w:val="26"/>
        </w:rPr>
      </w:pPr>
      <w:r w:rsidRPr="005110BA">
        <w:rPr>
          <w:sz w:val="26"/>
          <w:szCs w:val="26"/>
        </w:rPr>
        <w:t>Annual Rate Adjustment</w:t>
      </w:r>
      <w:r>
        <w:rPr>
          <w:sz w:val="26"/>
          <w:szCs w:val="26"/>
        </w:rPr>
        <w:tab/>
      </w:r>
      <w:r>
        <w:rPr>
          <w:sz w:val="26"/>
          <w:szCs w:val="26"/>
        </w:rPr>
        <w:tab/>
      </w:r>
      <w:r>
        <w:rPr>
          <w:sz w:val="26"/>
          <w:szCs w:val="26"/>
        </w:rPr>
        <w:tab/>
      </w:r>
      <w:r>
        <w:rPr>
          <w:sz w:val="26"/>
          <w:szCs w:val="26"/>
        </w:rPr>
        <w:tab/>
        <w:t>:</w:t>
      </w:r>
    </w:p>
    <w:p w:rsidR="005110BA" w:rsidRDefault="005110BA" w:rsidP="005110BA">
      <w:pPr>
        <w:rPr>
          <w:sz w:val="26"/>
          <w:szCs w:val="26"/>
        </w:rPr>
      </w:pPr>
    </w:p>
    <w:p w:rsidR="00CA6624" w:rsidRDefault="00CA6624" w:rsidP="005110BA">
      <w:pPr>
        <w:rPr>
          <w:sz w:val="26"/>
          <w:szCs w:val="26"/>
        </w:rPr>
      </w:pPr>
    </w:p>
    <w:p w:rsidR="00CA6624" w:rsidRPr="005110BA" w:rsidRDefault="00CA6624" w:rsidP="005110BA">
      <w:pPr>
        <w:rPr>
          <w:sz w:val="26"/>
          <w:szCs w:val="26"/>
        </w:rPr>
      </w:pPr>
    </w:p>
    <w:p w:rsidR="00355666" w:rsidRDefault="00B74D33">
      <w:pPr>
        <w:pStyle w:val="Heading1"/>
        <w:rPr>
          <w:sz w:val="26"/>
        </w:rPr>
      </w:pPr>
      <w:r>
        <w:rPr>
          <w:sz w:val="26"/>
        </w:rPr>
        <w:t xml:space="preserve">CORRECTED </w:t>
      </w:r>
      <w:r w:rsidR="00355666">
        <w:rPr>
          <w:sz w:val="26"/>
        </w:rPr>
        <w:t>ORDER</w:t>
      </w:r>
    </w:p>
    <w:p w:rsidR="00CA6624" w:rsidRPr="00CA6624" w:rsidRDefault="00CA6624" w:rsidP="00CA6624"/>
    <w:p w:rsidR="00355666" w:rsidRDefault="00355666">
      <w:pPr>
        <w:jc w:val="center"/>
        <w:rPr>
          <w:b/>
          <w:sz w:val="26"/>
        </w:rPr>
      </w:pPr>
    </w:p>
    <w:p w:rsidR="00355666" w:rsidRDefault="00355666">
      <w:pPr>
        <w:rPr>
          <w:b/>
          <w:sz w:val="26"/>
        </w:rPr>
      </w:pPr>
      <w:r>
        <w:rPr>
          <w:b/>
          <w:sz w:val="26"/>
        </w:rPr>
        <w:t>BY THE COMMISSION:</w:t>
      </w:r>
    </w:p>
    <w:p w:rsidR="00355666" w:rsidRDefault="00355666">
      <w:pPr>
        <w:rPr>
          <w:sz w:val="26"/>
        </w:rPr>
      </w:pPr>
    </w:p>
    <w:p w:rsidR="007D25D1" w:rsidRPr="00EC2A09" w:rsidRDefault="005110BA" w:rsidP="005110BA">
      <w:pPr>
        <w:spacing w:line="360" w:lineRule="auto"/>
        <w:rPr>
          <w:sz w:val="26"/>
          <w:szCs w:val="26"/>
        </w:rPr>
      </w:pPr>
      <w:r>
        <w:rPr>
          <w:sz w:val="26"/>
        </w:rPr>
        <w:tab/>
      </w:r>
      <w:r w:rsidRPr="00E37E7E">
        <w:rPr>
          <w:sz w:val="26"/>
          <w:szCs w:val="26"/>
        </w:rPr>
        <w:t>On</w:t>
      </w:r>
      <w:r w:rsidR="00E37E7E" w:rsidRPr="00E37E7E">
        <w:rPr>
          <w:sz w:val="26"/>
          <w:szCs w:val="26"/>
        </w:rPr>
        <w:t xml:space="preserve"> </w:t>
      </w:r>
      <w:r w:rsidR="00E37E7E" w:rsidRPr="00E37E7E">
        <w:rPr>
          <w:kern w:val="1"/>
          <w:sz w:val="26"/>
          <w:szCs w:val="26"/>
        </w:rPr>
        <w:t>September 28, 2010</w:t>
      </w:r>
      <w:r w:rsidR="008D7466">
        <w:rPr>
          <w:sz w:val="26"/>
        </w:rPr>
        <w:t>,</w:t>
      </w:r>
      <w:r>
        <w:rPr>
          <w:sz w:val="26"/>
        </w:rPr>
        <w:t xml:space="preserve"> </w:t>
      </w:r>
      <w:r w:rsidR="00CA3E12">
        <w:rPr>
          <w:sz w:val="26"/>
        </w:rPr>
        <w:t>Solix, Inc.</w:t>
      </w:r>
      <w:r>
        <w:rPr>
          <w:sz w:val="26"/>
        </w:rPr>
        <w:t xml:space="preserve"> (</w:t>
      </w:r>
      <w:r w:rsidR="00CA3E12">
        <w:rPr>
          <w:sz w:val="26"/>
        </w:rPr>
        <w:t>Solix</w:t>
      </w:r>
      <w:r w:rsidR="00E37E7E">
        <w:rPr>
          <w:sz w:val="26"/>
        </w:rPr>
        <w:t>), the 2000-2011</w:t>
      </w:r>
      <w:r>
        <w:rPr>
          <w:sz w:val="26"/>
        </w:rPr>
        <w:t xml:space="preserve"> Administrator for the Pennsylvania Universal Service Fund (PaUSF or Fund), </w:t>
      </w:r>
      <w:r w:rsidR="00784EAC">
        <w:rPr>
          <w:sz w:val="26"/>
        </w:rPr>
        <w:t xml:space="preserve">filed </w:t>
      </w:r>
      <w:r>
        <w:rPr>
          <w:sz w:val="26"/>
        </w:rPr>
        <w:t>its Annual Administrator’s Report</w:t>
      </w:r>
      <w:r w:rsidR="001E6995">
        <w:rPr>
          <w:sz w:val="26"/>
        </w:rPr>
        <w:t xml:space="preserve"> (Report)</w:t>
      </w:r>
      <w:r>
        <w:rPr>
          <w:sz w:val="26"/>
        </w:rPr>
        <w:t xml:space="preserve"> to the Commission</w:t>
      </w:r>
      <w:r w:rsidR="001E6995">
        <w:rPr>
          <w:sz w:val="26"/>
        </w:rPr>
        <w:t>.</w:t>
      </w:r>
      <w:r>
        <w:rPr>
          <w:sz w:val="26"/>
        </w:rPr>
        <w:t xml:space="preserve">  </w:t>
      </w:r>
      <w:r w:rsidR="00CA3E12">
        <w:rPr>
          <w:sz w:val="26"/>
        </w:rPr>
        <w:t>Solix</w:t>
      </w:r>
      <w:r>
        <w:rPr>
          <w:sz w:val="26"/>
        </w:rPr>
        <w:t xml:space="preserve"> </w:t>
      </w:r>
      <w:r w:rsidR="00784EAC">
        <w:rPr>
          <w:sz w:val="26"/>
        </w:rPr>
        <w:t>served</w:t>
      </w:r>
      <w:r>
        <w:rPr>
          <w:sz w:val="26"/>
        </w:rPr>
        <w:t xml:space="preserve"> copies of the Report o</w:t>
      </w:r>
      <w:r w:rsidR="00277D59">
        <w:rPr>
          <w:sz w:val="26"/>
        </w:rPr>
        <w:t>n</w:t>
      </w:r>
      <w:r>
        <w:rPr>
          <w:sz w:val="26"/>
        </w:rPr>
        <w:t xml:space="preserve"> the telecommunications carriers participating in the PaUSF, the Office of Consumer Advocate and the Office of Small Bu</w:t>
      </w:r>
      <w:r w:rsidR="00EC2A09">
        <w:rPr>
          <w:sz w:val="26"/>
        </w:rPr>
        <w:t xml:space="preserve">siness Advocate.  </w:t>
      </w:r>
      <w:r w:rsidR="00EC2A09" w:rsidRPr="00EC2A09">
        <w:rPr>
          <w:sz w:val="26"/>
          <w:szCs w:val="26"/>
        </w:rPr>
        <w:t xml:space="preserve">AT&amp;T and the </w:t>
      </w:r>
      <w:r w:rsidR="006A6D84">
        <w:rPr>
          <w:kern w:val="2"/>
          <w:sz w:val="26"/>
          <w:szCs w:val="26"/>
        </w:rPr>
        <w:t>Pennsylvania Telephone Association (PTA)</w:t>
      </w:r>
      <w:r w:rsidR="00EC2A09" w:rsidRPr="00EC2A09">
        <w:rPr>
          <w:sz w:val="26"/>
          <w:szCs w:val="26"/>
        </w:rPr>
        <w:t xml:space="preserve"> filed comments.</w:t>
      </w:r>
      <w:r w:rsidR="007D25D1" w:rsidRPr="00EC2A09">
        <w:rPr>
          <w:sz w:val="26"/>
          <w:szCs w:val="26"/>
        </w:rPr>
        <w:t xml:space="preserve">  </w:t>
      </w:r>
    </w:p>
    <w:p w:rsidR="007D25D1" w:rsidRDefault="007D25D1" w:rsidP="005110BA">
      <w:pPr>
        <w:spacing w:line="360" w:lineRule="auto"/>
        <w:rPr>
          <w:sz w:val="26"/>
        </w:rPr>
      </w:pPr>
      <w:r>
        <w:rPr>
          <w:sz w:val="26"/>
        </w:rPr>
        <w:tab/>
      </w:r>
    </w:p>
    <w:p w:rsidR="00AE3142" w:rsidRDefault="007D25D1" w:rsidP="005110BA">
      <w:pPr>
        <w:spacing w:line="360" w:lineRule="auto"/>
        <w:rPr>
          <w:sz w:val="26"/>
        </w:rPr>
      </w:pPr>
      <w:r>
        <w:rPr>
          <w:sz w:val="26"/>
        </w:rPr>
        <w:tab/>
        <w:t>On November 15, 2010, AT&amp;T</w:t>
      </w:r>
      <w:r w:rsidR="002B3179">
        <w:rPr>
          <w:sz w:val="26"/>
        </w:rPr>
        <w:t xml:space="preserve"> Communications of Pennsylvania</w:t>
      </w:r>
      <w:r>
        <w:rPr>
          <w:sz w:val="26"/>
        </w:rPr>
        <w:t xml:space="preserve">, LLC, TCG Pittsburgh, and TGC New Jersey, Inc. (collectively AT&amp;T), filed comments to the Report.  In its comments, AT&amp;T stated that it does not object to the report.  However, AT&amp;T </w:t>
      </w:r>
      <w:r w:rsidR="00EE1593">
        <w:rPr>
          <w:sz w:val="26"/>
        </w:rPr>
        <w:t xml:space="preserve">noted its concerns over the 7.5% </w:t>
      </w:r>
      <w:r>
        <w:rPr>
          <w:sz w:val="26"/>
        </w:rPr>
        <w:t>increase in the annual assessment for 2011, particularly in light of the shrinking number of customers who need support and the</w:t>
      </w:r>
      <w:r w:rsidR="00AE3142">
        <w:rPr>
          <w:sz w:val="26"/>
        </w:rPr>
        <w:t xml:space="preserve">       </w:t>
      </w:r>
    </w:p>
    <w:p w:rsidR="005110BA" w:rsidRDefault="007D25D1" w:rsidP="005110BA">
      <w:pPr>
        <w:spacing w:line="360" w:lineRule="auto"/>
        <w:rPr>
          <w:sz w:val="26"/>
        </w:rPr>
      </w:pPr>
      <w:r>
        <w:rPr>
          <w:sz w:val="26"/>
        </w:rPr>
        <w:lastRenderedPageBreak/>
        <w:t>declining number of contributing carriers.  AT&amp;T further urged the Commission to resolve the pending Recommended Decisions of ALJs Melillo and Colwell at Docket No. I-00040105.</w:t>
      </w:r>
    </w:p>
    <w:p w:rsidR="00AE3142" w:rsidRDefault="00AE3142" w:rsidP="005110BA">
      <w:pPr>
        <w:spacing w:line="360" w:lineRule="auto"/>
        <w:rPr>
          <w:sz w:val="26"/>
        </w:rPr>
      </w:pPr>
    </w:p>
    <w:p w:rsidR="005110BA" w:rsidRDefault="00B7401A" w:rsidP="005110BA">
      <w:pPr>
        <w:spacing w:line="360" w:lineRule="auto"/>
        <w:rPr>
          <w:sz w:val="26"/>
        </w:rPr>
      </w:pPr>
      <w:r>
        <w:rPr>
          <w:sz w:val="26"/>
        </w:rPr>
        <w:tab/>
        <w:t>On November 19</w:t>
      </w:r>
      <w:r w:rsidR="00EC2A09">
        <w:rPr>
          <w:sz w:val="26"/>
        </w:rPr>
        <w:t xml:space="preserve">, 2010, </w:t>
      </w:r>
      <w:r>
        <w:rPr>
          <w:sz w:val="26"/>
        </w:rPr>
        <w:t xml:space="preserve">the PTA filed comments.  In its comments, PTA states that </w:t>
      </w:r>
      <w:r w:rsidR="007C4AD0">
        <w:rPr>
          <w:sz w:val="26"/>
        </w:rPr>
        <w:t>AT&amp;T</w:t>
      </w:r>
      <w:r w:rsidR="0027076D">
        <w:rPr>
          <w:sz w:val="26"/>
        </w:rPr>
        <w:t xml:space="preserve"> improperly raised</w:t>
      </w:r>
      <w:r w:rsidR="007C4AD0">
        <w:rPr>
          <w:sz w:val="26"/>
        </w:rPr>
        <w:t xml:space="preserve"> </w:t>
      </w:r>
      <w:r w:rsidR="0027076D">
        <w:rPr>
          <w:sz w:val="26"/>
        </w:rPr>
        <w:t>ar</w:t>
      </w:r>
      <w:r w:rsidR="002B3179">
        <w:rPr>
          <w:sz w:val="26"/>
        </w:rPr>
        <w:t>guments against the existing Pa</w:t>
      </w:r>
      <w:r w:rsidR="0027076D">
        <w:rPr>
          <w:sz w:val="26"/>
        </w:rPr>
        <w:t xml:space="preserve">USF and the Commission’s universal service policy in its </w:t>
      </w:r>
      <w:r w:rsidR="002B3179">
        <w:rPr>
          <w:sz w:val="26"/>
        </w:rPr>
        <w:t>comments</w:t>
      </w:r>
      <w:r w:rsidR="0027076D">
        <w:rPr>
          <w:sz w:val="26"/>
        </w:rPr>
        <w:t xml:space="preserve"> to the Report.  PTA contends that these issues were </w:t>
      </w:r>
      <w:r w:rsidR="002B3179">
        <w:rPr>
          <w:sz w:val="26"/>
        </w:rPr>
        <w:t xml:space="preserve">already </w:t>
      </w:r>
      <w:r w:rsidR="0027076D">
        <w:rPr>
          <w:sz w:val="26"/>
        </w:rPr>
        <w:t xml:space="preserve">properly raised in two separate pending </w:t>
      </w:r>
      <w:r w:rsidR="004A416E">
        <w:rPr>
          <w:sz w:val="26"/>
        </w:rPr>
        <w:t>Dockets before the Commission (Docket No. I-00040105), the litigation of wh</w:t>
      </w:r>
      <w:r w:rsidR="00A06A39">
        <w:rPr>
          <w:sz w:val="26"/>
        </w:rPr>
        <w:t>ich is complete.  PTA also asserts</w:t>
      </w:r>
      <w:r w:rsidR="004A416E">
        <w:rPr>
          <w:sz w:val="26"/>
        </w:rPr>
        <w:t xml:space="preserve"> that</w:t>
      </w:r>
      <w:r w:rsidR="00EE1593">
        <w:rPr>
          <w:sz w:val="26"/>
        </w:rPr>
        <w:t>,</w:t>
      </w:r>
      <w:r w:rsidR="004A416E">
        <w:rPr>
          <w:sz w:val="26"/>
        </w:rPr>
        <w:t xml:space="preserve"> contrary to AT&amp;T’s statement that this years’ increase </w:t>
      </w:r>
      <w:r w:rsidR="002B3179">
        <w:rPr>
          <w:sz w:val="26"/>
        </w:rPr>
        <w:t>by</w:t>
      </w:r>
      <w:r w:rsidR="004A416E">
        <w:rPr>
          <w:sz w:val="26"/>
        </w:rPr>
        <w:t xml:space="preserve"> 7.5% is the largest single </w:t>
      </w:r>
      <w:r w:rsidR="00A06A39">
        <w:rPr>
          <w:sz w:val="26"/>
        </w:rPr>
        <w:t>annual increase in the past nine years, increases over the years have varied greatly.  For example, PTA notes that increases have ranged from 10.96% in the 2001-02 year to 0.67% two years later.  PTA also notes that this years’ increase will only raise the current assessment factor from 1.16% to 1.25%, which is substantially below the federal assessment rate of 15.3% for support of federal USF programs.  Finally,</w:t>
      </w:r>
      <w:r w:rsidR="002B3179">
        <w:rPr>
          <w:sz w:val="26"/>
        </w:rPr>
        <w:t xml:space="preserve"> for the reasons stated above, </w:t>
      </w:r>
      <w:r w:rsidR="00A06A39">
        <w:rPr>
          <w:sz w:val="26"/>
        </w:rPr>
        <w:t xml:space="preserve">PTA </w:t>
      </w:r>
      <w:r w:rsidR="006545AF">
        <w:rPr>
          <w:sz w:val="26"/>
        </w:rPr>
        <w:t>urges the Commission not to consider AT&amp;T’s comments in reviewing the Report.</w:t>
      </w:r>
    </w:p>
    <w:p w:rsidR="00510535" w:rsidRDefault="00510535" w:rsidP="005110BA">
      <w:pPr>
        <w:spacing w:line="360" w:lineRule="auto"/>
        <w:rPr>
          <w:sz w:val="26"/>
        </w:rPr>
      </w:pPr>
    </w:p>
    <w:p w:rsidR="00316EFC" w:rsidRDefault="00510535" w:rsidP="005110BA">
      <w:pPr>
        <w:spacing w:line="360" w:lineRule="auto"/>
        <w:rPr>
          <w:sz w:val="26"/>
        </w:rPr>
      </w:pPr>
      <w:r>
        <w:rPr>
          <w:sz w:val="26"/>
        </w:rPr>
        <w:tab/>
        <w:t>In its comm</w:t>
      </w:r>
      <w:r w:rsidR="00434DD1">
        <w:rPr>
          <w:sz w:val="26"/>
        </w:rPr>
        <w:t>ents, the PTA also states</w:t>
      </w:r>
      <w:r>
        <w:rPr>
          <w:sz w:val="26"/>
        </w:rPr>
        <w:t xml:space="preserve"> that the FCC recently released its </w:t>
      </w:r>
      <w:r w:rsidR="00CC23D8">
        <w:rPr>
          <w:sz w:val="26"/>
        </w:rPr>
        <w:t>ruling on universal service contributions for nomadic interconnected Voice over Internet Protocol (VoIP)</w:t>
      </w:r>
      <w:r w:rsidR="00434DD1">
        <w:rPr>
          <w:sz w:val="26"/>
        </w:rPr>
        <w:t xml:space="preserve"> service providers. </w:t>
      </w:r>
      <w:r w:rsidR="000D6C00">
        <w:rPr>
          <w:rStyle w:val="FootnoteReference"/>
          <w:sz w:val="26"/>
        </w:rPr>
        <w:footnoteReference w:id="1"/>
      </w:r>
      <w:r w:rsidR="00434DD1">
        <w:rPr>
          <w:sz w:val="26"/>
        </w:rPr>
        <w:t xml:space="preserve"> </w:t>
      </w:r>
      <w:r w:rsidR="00472680">
        <w:rPr>
          <w:sz w:val="26"/>
        </w:rPr>
        <w:t>The FCC ruling</w:t>
      </w:r>
      <w:r w:rsidR="000D6C00" w:rsidRPr="00472680">
        <w:rPr>
          <w:sz w:val="26"/>
        </w:rPr>
        <w:t xml:space="preserve"> </w:t>
      </w:r>
      <w:r w:rsidR="00A47148">
        <w:rPr>
          <w:sz w:val="26"/>
          <w:szCs w:val="26"/>
        </w:rPr>
        <w:t xml:space="preserve">held </w:t>
      </w:r>
      <w:r w:rsidR="00472680" w:rsidRPr="00472680">
        <w:rPr>
          <w:sz w:val="26"/>
          <w:szCs w:val="26"/>
        </w:rPr>
        <w:t>that states may extend their universal service contribution requirements to future intrastate revenues of nomadic interconnected VoIP service providers</w:t>
      </w:r>
      <w:r w:rsidR="00472680">
        <w:rPr>
          <w:sz w:val="26"/>
          <w:szCs w:val="26"/>
        </w:rPr>
        <w:t>, as long as the state’s requirements do not conflict with federal law or policy</w:t>
      </w:r>
      <w:r w:rsidR="00472680" w:rsidRPr="00472680">
        <w:rPr>
          <w:sz w:val="26"/>
          <w:szCs w:val="26"/>
        </w:rPr>
        <w:t>.</w:t>
      </w:r>
      <w:r w:rsidR="00472680">
        <w:rPr>
          <w:color w:val="FF0000"/>
          <w:sz w:val="26"/>
          <w:szCs w:val="26"/>
        </w:rPr>
        <w:t xml:space="preserve">  </w:t>
      </w:r>
      <w:r w:rsidR="00434DD1">
        <w:rPr>
          <w:sz w:val="26"/>
        </w:rPr>
        <w:t>The PTA notes that this ruling is significant to the ass</w:t>
      </w:r>
      <w:r w:rsidR="008F4420">
        <w:rPr>
          <w:sz w:val="26"/>
        </w:rPr>
        <w:t xml:space="preserve">essment factor for the PaUSF because inclusion of the VoIP carriers would decrease the factor even further.  </w:t>
      </w:r>
    </w:p>
    <w:p w:rsidR="00316EFC" w:rsidRDefault="00316EFC" w:rsidP="005110BA">
      <w:pPr>
        <w:spacing w:line="360" w:lineRule="auto"/>
        <w:rPr>
          <w:sz w:val="26"/>
        </w:rPr>
      </w:pPr>
    </w:p>
    <w:p w:rsidR="00C447E3" w:rsidRDefault="00316EFC" w:rsidP="00C447E3">
      <w:pPr>
        <w:spacing w:line="360" w:lineRule="auto"/>
        <w:ind w:firstLine="720"/>
        <w:rPr>
          <w:sz w:val="26"/>
        </w:rPr>
      </w:pPr>
      <w:r>
        <w:rPr>
          <w:sz w:val="26"/>
        </w:rPr>
        <w:lastRenderedPageBreak/>
        <w:t>We note that t</w:t>
      </w:r>
      <w:r w:rsidR="00434DD1">
        <w:rPr>
          <w:sz w:val="26"/>
        </w:rPr>
        <w:t>he FCC issued this ruling on November 5, 2010, after Solix filed its annual report and recommendations concerning the PaUSF.</w:t>
      </w:r>
      <w:r w:rsidR="008F4420">
        <w:rPr>
          <w:sz w:val="26"/>
        </w:rPr>
        <w:t xml:space="preserve">  As such, th</w:t>
      </w:r>
      <w:r>
        <w:rPr>
          <w:sz w:val="26"/>
        </w:rPr>
        <w:t xml:space="preserve">is ruling is not considered in the current filing addressed here today.  </w:t>
      </w:r>
      <w:r w:rsidR="00A047C9">
        <w:rPr>
          <w:sz w:val="26"/>
        </w:rPr>
        <w:t>However, th</w:t>
      </w:r>
      <w:r w:rsidR="008F4420">
        <w:rPr>
          <w:sz w:val="26"/>
        </w:rPr>
        <w:t xml:space="preserve">e Commission reserves the right to further examine its current fund and regulations to determine whether VoIP carriers should be assessed in compliance with the FCC’s directives and the Commission’s current regulations.  </w:t>
      </w:r>
      <w:r w:rsidR="00434DD1">
        <w:rPr>
          <w:sz w:val="26"/>
        </w:rPr>
        <w:t xml:space="preserve"> </w:t>
      </w:r>
    </w:p>
    <w:p w:rsidR="00EE1593" w:rsidRDefault="00EE1593" w:rsidP="005110BA">
      <w:pPr>
        <w:spacing w:line="360" w:lineRule="auto"/>
        <w:rPr>
          <w:sz w:val="26"/>
        </w:rPr>
      </w:pPr>
    </w:p>
    <w:p w:rsidR="00CA6624" w:rsidRDefault="005110BA" w:rsidP="005110BA">
      <w:pPr>
        <w:spacing w:line="360" w:lineRule="auto"/>
        <w:rPr>
          <w:sz w:val="26"/>
        </w:rPr>
      </w:pPr>
      <w:r>
        <w:rPr>
          <w:sz w:val="26"/>
        </w:rPr>
        <w:tab/>
        <w:t>Pursuant to our regulation at 52 Pa.</w:t>
      </w:r>
      <w:r w:rsidR="00EE1593">
        <w:rPr>
          <w:sz w:val="26"/>
        </w:rPr>
        <w:t xml:space="preserve"> </w:t>
      </w:r>
      <w:r>
        <w:rPr>
          <w:sz w:val="26"/>
        </w:rPr>
        <w:t>Code §</w:t>
      </w:r>
      <w:r w:rsidR="001B10C8">
        <w:rPr>
          <w:sz w:val="26"/>
        </w:rPr>
        <w:t xml:space="preserve"> </w:t>
      </w:r>
      <w:r>
        <w:rPr>
          <w:sz w:val="26"/>
        </w:rPr>
        <w:t>63.164 (relating to Commission</w:t>
      </w:r>
      <w:r w:rsidR="00784EAC">
        <w:rPr>
          <w:sz w:val="26"/>
        </w:rPr>
        <w:t xml:space="preserve"> USF </w:t>
      </w:r>
      <w:r>
        <w:rPr>
          <w:sz w:val="26"/>
        </w:rPr>
        <w:t xml:space="preserve">oversight) we are issuing </w:t>
      </w:r>
      <w:r w:rsidR="00AE6C7B">
        <w:rPr>
          <w:sz w:val="26"/>
        </w:rPr>
        <w:t>this</w:t>
      </w:r>
      <w:r>
        <w:rPr>
          <w:sz w:val="26"/>
        </w:rPr>
        <w:t xml:space="preserve"> </w:t>
      </w:r>
      <w:r w:rsidR="000E0478">
        <w:rPr>
          <w:sz w:val="26"/>
        </w:rPr>
        <w:t>o</w:t>
      </w:r>
      <w:r>
        <w:rPr>
          <w:sz w:val="26"/>
        </w:rPr>
        <w:t xml:space="preserve">rder within </w:t>
      </w:r>
      <w:r w:rsidR="00EE1593">
        <w:rPr>
          <w:sz w:val="26"/>
        </w:rPr>
        <w:t xml:space="preserve">ninety </w:t>
      </w:r>
      <w:r>
        <w:rPr>
          <w:sz w:val="26"/>
        </w:rPr>
        <w:t>days of receipt of the Administrator’s Annual Report</w:t>
      </w:r>
      <w:r w:rsidR="000E0478">
        <w:rPr>
          <w:sz w:val="26"/>
        </w:rPr>
        <w:t>.  This o</w:t>
      </w:r>
      <w:r w:rsidR="00AE6C7B">
        <w:rPr>
          <w:sz w:val="26"/>
        </w:rPr>
        <w:t>rder</w:t>
      </w:r>
      <w:r>
        <w:rPr>
          <w:sz w:val="26"/>
        </w:rPr>
        <w:t xml:space="preserve"> establishes the size of the Fund, approves a budget for the next calendar year, establishes the assessment rate for contributing telecommunications providers, and establishes administrative guidelines for the upcoming year.  Based upon the Report from </w:t>
      </w:r>
      <w:r w:rsidR="00CA3E12">
        <w:rPr>
          <w:sz w:val="26"/>
        </w:rPr>
        <w:t>Solix</w:t>
      </w:r>
      <w:r>
        <w:rPr>
          <w:sz w:val="26"/>
        </w:rPr>
        <w:t>, we have made the following determinations regarding the PaUSF for calendar year 20</w:t>
      </w:r>
      <w:r w:rsidR="00645510">
        <w:rPr>
          <w:sz w:val="26"/>
        </w:rPr>
        <w:t>11</w:t>
      </w:r>
      <w:r w:rsidR="00E41685">
        <w:rPr>
          <w:sz w:val="26"/>
        </w:rPr>
        <w:t>.</w:t>
      </w:r>
    </w:p>
    <w:p w:rsidR="00CA6624" w:rsidRDefault="00CA6624" w:rsidP="005110BA">
      <w:pPr>
        <w:spacing w:line="360" w:lineRule="auto"/>
        <w:rPr>
          <w:sz w:val="26"/>
        </w:rPr>
      </w:pPr>
    </w:p>
    <w:p w:rsidR="005110BA" w:rsidRDefault="005110BA" w:rsidP="005110BA">
      <w:pPr>
        <w:spacing w:line="360" w:lineRule="auto"/>
        <w:rPr>
          <w:sz w:val="26"/>
          <w:u w:val="single"/>
        </w:rPr>
      </w:pPr>
      <w:r>
        <w:rPr>
          <w:sz w:val="26"/>
        </w:rPr>
        <w:t>1.</w:t>
      </w:r>
      <w:r>
        <w:rPr>
          <w:sz w:val="26"/>
        </w:rPr>
        <w:tab/>
      </w:r>
      <w:r>
        <w:rPr>
          <w:sz w:val="26"/>
          <w:u w:val="single"/>
        </w:rPr>
        <w:t>Maintain Five Percent (5%) Contingency</w:t>
      </w:r>
      <w:r w:rsidR="00111A9C">
        <w:rPr>
          <w:sz w:val="26"/>
          <w:u w:val="single"/>
        </w:rPr>
        <w:t xml:space="preserve">  </w:t>
      </w:r>
    </w:p>
    <w:p w:rsidR="007D25D1" w:rsidRDefault="005110BA" w:rsidP="005110BA">
      <w:pPr>
        <w:spacing w:line="360" w:lineRule="auto"/>
        <w:rPr>
          <w:sz w:val="26"/>
        </w:rPr>
      </w:pPr>
      <w:r>
        <w:rPr>
          <w:sz w:val="26"/>
        </w:rPr>
        <w:tab/>
        <w:t xml:space="preserve">We agree with </w:t>
      </w:r>
      <w:r w:rsidR="00CA3E12">
        <w:rPr>
          <w:sz w:val="26"/>
        </w:rPr>
        <w:t>Solix</w:t>
      </w:r>
      <w:r>
        <w:rPr>
          <w:sz w:val="26"/>
        </w:rPr>
        <w:t>’s recommendation that we maintain the annual funding contingency of</w:t>
      </w:r>
      <w:r w:rsidR="00EE1593">
        <w:rPr>
          <w:sz w:val="26"/>
        </w:rPr>
        <w:t xml:space="preserve"> </w:t>
      </w:r>
      <w:r>
        <w:rPr>
          <w:sz w:val="26"/>
        </w:rPr>
        <w:t xml:space="preserve">5%.  Last year </w:t>
      </w:r>
      <w:r w:rsidR="00CA3E12">
        <w:rPr>
          <w:sz w:val="26"/>
        </w:rPr>
        <w:t>Solix</w:t>
      </w:r>
      <w:r>
        <w:rPr>
          <w:sz w:val="26"/>
        </w:rPr>
        <w:t xml:space="preserve"> recommended </w:t>
      </w:r>
      <w:r w:rsidR="000E0478">
        <w:rPr>
          <w:sz w:val="26"/>
        </w:rPr>
        <w:t xml:space="preserve">that </w:t>
      </w:r>
      <w:r>
        <w:rPr>
          <w:sz w:val="26"/>
        </w:rPr>
        <w:t>we maintain a 5% contingency</w:t>
      </w:r>
      <w:r w:rsidR="001B10C8">
        <w:rPr>
          <w:sz w:val="26"/>
        </w:rPr>
        <w:t>.  T</w:t>
      </w:r>
      <w:r w:rsidR="00B920DB">
        <w:rPr>
          <w:sz w:val="26"/>
        </w:rPr>
        <w:t xml:space="preserve">his amount proved </w:t>
      </w:r>
      <w:r w:rsidR="00645510">
        <w:rPr>
          <w:sz w:val="26"/>
        </w:rPr>
        <w:t>to provide sufficient cash flow to ensure that all PUSF support payments are made on schedule</w:t>
      </w:r>
      <w:r w:rsidR="007E7A32">
        <w:rPr>
          <w:sz w:val="26"/>
        </w:rPr>
        <w:t>.</w:t>
      </w:r>
      <w:r>
        <w:rPr>
          <w:sz w:val="26"/>
        </w:rPr>
        <w:t xml:space="preserve">  </w:t>
      </w:r>
    </w:p>
    <w:p w:rsidR="005110BA" w:rsidRDefault="005110BA" w:rsidP="005110BA">
      <w:pPr>
        <w:spacing w:line="360" w:lineRule="auto"/>
        <w:rPr>
          <w:sz w:val="26"/>
        </w:rPr>
      </w:pPr>
    </w:p>
    <w:p w:rsidR="007E7A32" w:rsidRDefault="007E7A32" w:rsidP="000E0478">
      <w:pPr>
        <w:spacing w:line="360" w:lineRule="auto"/>
        <w:rPr>
          <w:sz w:val="26"/>
          <w:u w:val="single"/>
        </w:rPr>
      </w:pPr>
      <w:r>
        <w:rPr>
          <w:sz w:val="26"/>
        </w:rPr>
        <w:t>2.</w:t>
      </w:r>
      <w:r>
        <w:rPr>
          <w:sz w:val="26"/>
        </w:rPr>
        <w:tab/>
      </w:r>
      <w:r w:rsidR="00507F12">
        <w:rPr>
          <w:sz w:val="26"/>
          <w:u w:val="single"/>
        </w:rPr>
        <w:t>Encourage Annual Payments</w:t>
      </w:r>
    </w:p>
    <w:p w:rsidR="00507F12" w:rsidRDefault="007E7A32" w:rsidP="007E7A32">
      <w:pPr>
        <w:spacing w:line="360" w:lineRule="auto"/>
        <w:rPr>
          <w:sz w:val="26"/>
        </w:rPr>
      </w:pPr>
      <w:r>
        <w:rPr>
          <w:sz w:val="26"/>
        </w:rPr>
        <w:tab/>
      </w:r>
      <w:r w:rsidR="00CA3E12">
        <w:rPr>
          <w:sz w:val="26"/>
        </w:rPr>
        <w:t>Solix</w:t>
      </w:r>
      <w:r>
        <w:rPr>
          <w:sz w:val="26"/>
        </w:rPr>
        <w:t xml:space="preserve"> states that</w:t>
      </w:r>
      <w:r w:rsidR="00B920DB">
        <w:rPr>
          <w:sz w:val="26"/>
        </w:rPr>
        <w:t>,</w:t>
      </w:r>
      <w:r>
        <w:rPr>
          <w:sz w:val="26"/>
        </w:rPr>
        <w:t xml:space="preserve"> </w:t>
      </w:r>
      <w:r w:rsidR="00507F12">
        <w:rPr>
          <w:sz w:val="26"/>
        </w:rPr>
        <w:t xml:space="preserve">since the Fund’s inception in 2000, most carriers that are required to pay into the PaUSF have paid via monthly contributions, regardless of their total annual amount due.  As a way to increase operational efficiencies for the carriers as well as the Administrator, </w:t>
      </w:r>
      <w:r w:rsidR="00CA3E12">
        <w:rPr>
          <w:sz w:val="26"/>
        </w:rPr>
        <w:t>Solix</w:t>
      </w:r>
      <w:r w:rsidR="00507F12">
        <w:rPr>
          <w:sz w:val="26"/>
        </w:rPr>
        <w:t xml:space="preserve"> recommends that the PaPUC </w:t>
      </w:r>
      <w:r w:rsidR="00CA3E12">
        <w:rPr>
          <w:sz w:val="26"/>
        </w:rPr>
        <w:t xml:space="preserve">continue to </w:t>
      </w:r>
      <w:r w:rsidR="00507F12">
        <w:rPr>
          <w:sz w:val="26"/>
        </w:rPr>
        <w:t xml:space="preserve">encourage carriers to pay their annual contributions in a lump sum payment at the beginning of the calendar year rather than </w:t>
      </w:r>
      <w:r w:rsidR="00CA3E12">
        <w:rPr>
          <w:sz w:val="26"/>
        </w:rPr>
        <w:t xml:space="preserve">in </w:t>
      </w:r>
      <w:r w:rsidR="00507F12">
        <w:rPr>
          <w:sz w:val="26"/>
        </w:rPr>
        <w:t xml:space="preserve">monthly installments if economically feasible for the carrier.  </w:t>
      </w:r>
      <w:r w:rsidR="00CA3E12">
        <w:rPr>
          <w:sz w:val="26"/>
        </w:rPr>
        <w:t xml:space="preserve"> We agree and encourage carriers</w:t>
      </w:r>
      <w:r w:rsidR="00507F12">
        <w:rPr>
          <w:sz w:val="26"/>
        </w:rPr>
        <w:t xml:space="preserve">, especially those with less than $2,000 in annual payments </w:t>
      </w:r>
      <w:r w:rsidR="00507F12">
        <w:rPr>
          <w:sz w:val="26"/>
        </w:rPr>
        <w:lastRenderedPageBreak/>
        <w:t xml:space="preserve">to pay in lump sum at the beginning of the calendar year for greater </w:t>
      </w:r>
      <w:r w:rsidR="00645510">
        <w:rPr>
          <w:sz w:val="26"/>
        </w:rPr>
        <w:t xml:space="preserve">operational </w:t>
      </w:r>
      <w:r w:rsidR="00507F12">
        <w:rPr>
          <w:sz w:val="26"/>
        </w:rPr>
        <w:t xml:space="preserve">efficiency.  There is no financial penalty for not paying in lump sum; however, </w:t>
      </w:r>
      <w:r w:rsidR="00BF1C98">
        <w:rPr>
          <w:sz w:val="26"/>
        </w:rPr>
        <w:t>lump sum payment</w:t>
      </w:r>
      <w:r w:rsidR="00507F12">
        <w:rPr>
          <w:sz w:val="26"/>
        </w:rPr>
        <w:t xml:space="preserve"> is encouraged by this Commission.</w:t>
      </w:r>
    </w:p>
    <w:p w:rsidR="000108E7" w:rsidRDefault="000108E7" w:rsidP="007E7A32">
      <w:pPr>
        <w:spacing w:line="360" w:lineRule="auto"/>
        <w:rPr>
          <w:sz w:val="26"/>
        </w:rPr>
      </w:pPr>
    </w:p>
    <w:p w:rsidR="00CA3E12" w:rsidRDefault="007E7A32" w:rsidP="007E7A32">
      <w:pPr>
        <w:spacing w:line="360" w:lineRule="auto"/>
        <w:rPr>
          <w:sz w:val="26"/>
          <w:u w:val="single"/>
        </w:rPr>
      </w:pPr>
      <w:r>
        <w:rPr>
          <w:sz w:val="26"/>
        </w:rPr>
        <w:t>3.</w:t>
      </w:r>
      <w:r>
        <w:rPr>
          <w:sz w:val="26"/>
        </w:rPr>
        <w:tab/>
      </w:r>
      <w:r w:rsidR="00CA3E12">
        <w:rPr>
          <w:sz w:val="26"/>
          <w:u w:val="single"/>
        </w:rPr>
        <w:t>Carryover Balance</w:t>
      </w:r>
    </w:p>
    <w:p w:rsidR="00CA3E12" w:rsidRDefault="00CA3E12" w:rsidP="000A3988">
      <w:pPr>
        <w:spacing w:line="360" w:lineRule="auto"/>
        <w:rPr>
          <w:sz w:val="26"/>
        </w:rPr>
      </w:pPr>
      <w:r>
        <w:rPr>
          <w:sz w:val="26"/>
        </w:rPr>
        <w:tab/>
        <w:t xml:space="preserve">Solix states in its </w:t>
      </w:r>
      <w:r w:rsidR="001B10C8">
        <w:rPr>
          <w:sz w:val="26"/>
        </w:rPr>
        <w:t>R</w:t>
      </w:r>
      <w:r>
        <w:rPr>
          <w:sz w:val="26"/>
        </w:rPr>
        <w:t xml:space="preserve">eport that the </w:t>
      </w:r>
      <w:r w:rsidR="001B10C8">
        <w:rPr>
          <w:sz w:val="26"/>
        </w:rPr>
        <w:t>F</w:t>
      </w:r>
      <w:r>
        <w:rPr>
          <w:sz w:val="26"/>
        </w:rPr>
        <w:t xml:space="preserve">und </w:t>
      </w:r>
      <w:r w:rsidR="000E0E01">
        <w:rPr>
          <w:sz w:val="26"/>
        </w:rPr>
        <w:t xml:space="preserve">balance </w:t>
      </w:r>
      <w:r>
        <w:rPr>
          <w:sz w:val="26"/>
        </w:rPr>
        <w:t xml:space="preserve">is currently </w:t>
      </w:r>
      <w:r w:rsidR="000E0E01">
        <w:rPr>
          <w:sz w:val="26"/>
        </w:rPr>
        <w:t>in</w:t>
      </w:r>
      <w:r>
        <w:rPr>
          <w:sz w:val="26"/>
        </w:rPr>
        <w:t xml:space="preserve">creasing by </w:t>
      </w:r>
      <w:r w:rsidR="000E0E01">
        <w:rPr>
          <w:sz w:val="26"/>
        </w:rPr>
        <w:t>an average of $</w:t>
      </w:r>
      <w:r w:rsidR="00866900">
        <w:rPr>
          <w:sz w:val="26"/>
        </w:rPr>
        <w:t>4</w:t>
      </w:r>
      <w:r w:rsidR="00C25EDA">
        <w:rPr>
          <w:sz w:val="26"/>
        </w:rPr>
        <w:t>,</w:t>
      </w:r>
      <w:r w:rsidR="00866900">
        <w:rPr>
          <w:sz w:val="26"/>
        </w:rPr>
        <w:t>909</w:t>
      </w:r>
      <w:r>
        <w:rPr>
          <w:sz w:val="26"/>
        </w:rPr>
        <w:t xml:space="preserve"> per month, </w:t>
      </w:r>
      <w:r w:rsidR="000E0E01">
        <w:rPr>
          <w:sz w:val="26"/>
        </w:rPr>
        <w:t>primarily</w:t>
      </w:r>
      <w:r w:rsidR="00866900">
        <w:rPr>
          <w:sz w:val="26"/>
        </w:rPr>
        <w:t xml:space="preserve"> due to the </w:t>
      </w:r>
      <w:r w:rsidR="002D4DAF">
        <w:rPr>
          <w:sz w:val="26"/>
        </w:rPr>
        <w:t>usual Jan</w:t>
      </w:r>
      <w:r w:rsidR="00866900">
        <w:rPr>
          <w:sz w:val="26"/>
        </w:rPr>
        <w:t>uary jump in revenue because of yearly filers</w:t>
      </w:r>
      <w:r w:rsidR="00BE6CB2">
        <w:rPr>
          <w:sz w:val="26"/>
        </w:rPr>
        <w:t xml:space="preserve"> and by</w:t>
      </w:r>
      <w:r w:rsidR="00B920DB">
        <w:rPr>
          <w:sz w:val="26"/>
        </w:rPr>
        <w:t xml:space="preserve"> an </w:t>
      </w:r>
      <w:r w:rsidR="00BE6CB2">
        <w:rPr>
          <w:sz w:val="26"/>
        </w:rPr>
        <w:t>average earned interest</w:t>
      </w:r>
      <w:r w:rsidR="002D4DAF">
        <w:rPr>
          <w:sz w:val="26"/>
        </w:rPr>
        <w:t xml:space="preserve"> of $393 per month.  </w:t>
      </w:r>
      <w:r w:rsidR="008600FD">
        <w:rPr>
          <w:sz w:val="26"/>
        </w:rPr>
        <w:t>F</w:t>
      </w:r>
      <w:r w:rsidR="000D466E">
        <w:rPr>
          <w:sz w:val="26"/>
        </w:rPr>
        <w:t xml:space="preserve">ollowing a downward trend </w:t>
      </w:r>
      <w:r w:rsidR="00216008">
        <w:rPr>
          <w:sz w:val="26"/>
        </w:rPr>
        <w:t>in</w:t>
      </w:r>
      <w:r w:rsidR="008600FD">
        <w:rPr>
          <w:sz w:val="26"/>
        </w:rPr>
        <w:t xml:space="preserve"> the second half of 2009</w:t>
      </w:r>
      <w:r w:rsidR="000D466E">
        <w:rPr>
          <w:sz w:val="26"/>
        </w:rPr>
        <w:t>, the Fund balance is projected to</w:t>
      </w:r>
      <w:r w:rsidR="00EE1593">
        <w:rPr>
          <w:sz w:val="26"/>
        </w:rPr>
        <w:t xml:space="preserve"> decrease due to latter-</w:t>
      </w:r>
      <w:r w:rsidR="000D466E">
        <w:rPr>
          <w:sz w:val="26"/>
        </w:rPr>
        <w:t>year write-offs and reduced billed assessments resulting in an anticipated year-end fund balance of $2.5 million (</w:t>
      </w:r>
      <w:r w:rsidR="008600FD">
        <w:rPr>
          <w:sz w:val="26"/>
        </w:rPr>
        <w:t>only -1.94% decrease from 2009</w:t>
      </w:r>
      <w:r w:rsidR="000D466E">
        <w:rPr>
          <w:sz w:val="26"/>
        </w:rPr>
        <w:t xml:space="preserve">).  </w:t>
      </w:r>
      <w:r>
        <w:rPr>
          <w:sz w:val="26"/>
        </w:rPr>
        <w:t xml:space="preserve"> Solix </w:t>
      </w:r>
      <w:r w:rsidR="00E41685">
        <w:rPr>
          <w:sz w:val="26"/>
        </w:rPr>
        <w:t>asserts</w:t>
      </w:r>
      <w:r>
        <w:rPr>
          <w:sz w:val="26"/>
        </w:rPr>
        <w:t xml:space="preserve"> that it would be prudent to utilize a conservative estimated balance of $1.</w:t>
      </w:r>
      <w:r w:rsidR="008600FD">
        <w:rPr>
          <w:sz w:val="26"/>
        </w:rPr>
        <w:t>5 million as of December 31, 2010</w:t>
      </w:r>
      <w:r w:rsidR="00EE1593">
        <w:rPr>
          <w:sz w:val="26"/>
        </w:rPr>
        <w:t>,</w:t>
      </w:r>
      <w:r>
        <w:rPr>
          <w:sz w:val="26"/>
        </w:rPr>
        <w:t xml:space="preserve"> for calculation purposes, providing a further cushion for any unforeseen variances.  We agree with Solix’</w:t>
      </w:r>
      <w:r w:rsidR="001B10C8">
        <w:rPr>
          <w:sz w:val="26"/>
        </w:rPr>
        <w:t>s</w:t>
      </w:r>
      <w:r>
        <w:rPr>
          <w:sz w:val="26"/>
        </w:rPr>
        <w:t xml:space="preserve"> recommendation </w:t>
      </w:r>
      <w:r w:rsidR="00A62B79" w:rsidRPr="00BA6B63">
        <w:rPr>
          <w:sz w:val="26"/>
        </w:rPr>
        <w:t>to</w:t>
      </w:r>
      <w:r>
        <w:rPr>
          <w:sz w:val="26"/>
        </w:rPr>
        <w:t xml:space="preserve"> err on the side of caution</w:t>
      </w:r>
      <w:r w:rsidR="00A62B79">
        <w:rPr>
          <w:sz w:val="26"/>
        </w:rPr>
        <w:t xml:space="preserve"> </w:t>
      </w:r>
      <w:r w:rsidR="00A62B79" w:rsidRPr="00BA6B63">
        <w:rPr>
          <w:sz w:val="26"/>
        </w:rPr>
        <w:t>so that the Fund is adequately funded</w:t>
      </w:r>
      <w:r w:rsidR="001B10C8" w:rsidRPr="00BA6B63">
        <w:rPr>
          <w:sz w:val="26"/>
        </w:rPr>
        <w:t>.</w:t>
      </w:r>
      <w:r w:rsidR="00A62B79" w:rsidRPr="00BA6B63">
        <w:rPr>
          <w:rStyle w:val="FootnoteReference"/>
          <w:sz w:val="26"/>
        </w:rPr>
        <w:footnoteReference w:id="2"/>
      </w:r>
      <w:r w:rsidR="001B10C8" w:rsidRPr="00BA6B63">
        <w:rPr>
          <w:sz w:val="26"/>
        </w:rPr>
        <w:t xml:space="preserve">  </w:t>
      </w:r>
      <w:r w:rsidR="00BA6B63">
        <w:rPr>
          <w:sz w:val="26"/>
        </w:rPr>
        <w:t xml:space="preserve"> </w:t>
      </w:r>
      <w:r w:rsidR="001B10C8">
        <w:rPr>
          <w:sz w:val="26"/>
        </w:rPr>
        <w:t xml:space="preserve">We </w:t>
      </w:r>
      <w:r w:rsidR="00B920DB">
        <w:rPr>
          <w:sz w:val="26"/>
        </w:rPr>
        <w:t xml:space="preserve">therefore </w:t>
      </w:r>
      <w:r w:rsidR="001B10C8">
        <w:rPr>
          <w:sz w:val="26"/>
        </w:rPr>
        <w:t xml:space="preserve">will </w:t>
      </w:r>
      <w:r w:rsidR="009848FD">
        <w:rPr>
          <w:sz w:val="26"/>
        </w:rPr>
        <w:t>use</w:t>
      </w:r>
      <w:r w:rsidR="001B10C8">
        <w:rPr>
          <w:sz w:val="26"/>
        </w:rPr>
        <w:t xml:space="preserve"> the $1.5 million figure for the Fund’s</w:t>
      </w:r>
      <w:r>
        <w:rPr>
          <w:sz w:val="26"/>
        </w:rPr>
        <w:t xml:space="preserve"> surplus contingency cushion at the end of the year for the purposes of </w:t>
      </w:r>
      <w:r w:rsidR="009848FD">
        <w:rPr>
          <w:sz w:val="26"/>
        </w:rPr>
        <w:t>calculating calendar</w:t>
      </w:r>
      <w:r>
        <w:rPr>
          <w:sz w:val="26"/>
        </w:rPr>
        <w:t xml:space="preserve"> year 20</w:t>
      </w:r>
      <w:r w:rsidR="008600FD">
        <w:rPr>
          <w:sz w:val="26"/>
        </w:rPr>
        <w:t>11</w:t>
      </w:r>
      <w:r>
        <w:rPr>
          <w:sz w:val="26"/>
        </w:rPr>
        <w:t xml:space="preserve"> contributions.</w:t>
      </w:r>
    </w:p>
    <w:p w:rsidR="00CA6624" w:rsidRDefault="00CA6624" w:rsidP="007E7A32">
      <w:pPr>
        <w:spacing w:line="360" w:lineRule="auto"/>
        <w:rPr>
          <w:sz w:val="26"/>
        </w:rPr>
      </w:pPr>
    </w:p>
    <w:p w:rsidR="007E7A32" w:rsidRDefault="00CA3E12" w:rsidP="007E7A32">
      <w:pPr>
        <w:spacing w:line="360" w:lineRule="auto"/>
        <w:rPr>
          <w:sz w:val="26"/>
        </w:rPr>
      </w:pPr>
      <w:r>
        <w:rPr>
          <w:sz w:val="26"/>
        </w:rPr>
        <w:t>4.</w:t>
      </w:r>
      <w:r>
        <w:rPr>
          <w:sz w:val="26"/>
        </w:rPr>
        <w:tab/>
      </w:r>
      <w:r w:rsidR="007E7A32" w:rsidRPr="00D5399A">
        <w:rPr>
          <w:sz w:val="26"/>
          <w:u w:val="single"/>
        </w:rPr>
        <w:t>Assessment Rate for Calendar Year 20</w:t>
      </w:r>
      <w:r w:rsidR="000D466E" w:rsidRPr="00D5399A">
        <w:rPr>
          <w:sz w:val="26"/>
          <w:u w:val="single"/>
        </w:rPr>
        <w:t>1</w:t>
      </w:r>
      <w:r w:rsidR="00BE6CB2">
        <w:rPr>
          <w:sz w:val="26"/>
          <w:u w:val="single"/>
        </w:rPr>
        <w:t>1</w:t>
      </w:r>
    </w:p>
    <w:p w:rsidR="00EA1370" w:rsidRDefault="007E7A32" w:rsidP="000A3988">
      <w:pPr>
        <w:spacing w:line="360" w:lineRule="auto"/>
        <w:rPr>
          <w:sz w:val="26"/>
        </w:rPr>
      </w:pPr>
      <w:r>
        <w:rPr>
          <w:sz w:val="26"/>
        </w:rPr>
        <w:tab/>
        <w:t xml:space="preserve">We agree with </w:t>
      </w:r>
      <w:r w:rsidR="00487F1E">
        <w:rPr>
          <w:sz w:val="26"/>
        </w:rPr>
        <w:t>Solix</w:t>
      </w:r>
      <w:r>
        <w:rPr>
          <w:sz w:val="26"/>
        </w:rPr>
        <w:t xml:space="preserve"> that </w:t>
      </w:r>
      <w:r w:rsidR="00E402B9">
        <w:rPr>
          <w:sz w:val="26"/>
        </w:rPr>
        <w:t>each carrier’s contribution</w:t>
      </w:r>
      <w:r w:rsidR="00B83E27">
        <w:rPr>
          <w:sz w:val="26"/>
        </w:rPr>
        <w:t xml:space="preserve"> rate</w:t>
      </w:r>
      <w:r>
        <w:rPr>
          <w:sz w:val="26"/>
        </w:rPr>
        <w:t xml:space="preserve"> should be </w:t>
      </w:r>
      <w:r w:rsidR="00EA1370">
        <w:rPr>
          <w:sz w:val="26"/>
        </w:rPr>
        <w:t xml:space="preserve">increased from </w:t>
      </w:r>
      <w:r w:rsidR="004350CB">
        <w:rPr>
          <w:sz w:val="26"/>
        </w:rPr>
        <w:t>1.1651414% (</w:t>
      </w:r>
      <w:r w:rsidR="00F409FD">
        <w:rPr>
          <w:sz w:val="26"/>
        </w:rPr>
        <w:t>0</w:t>
      </w:r>
      <w:r w:rsidR="004350CB">
        <w:rPr>
          <w:sz w:val="26"/>
        </w:rPr>
        <w:t xml:space="preserve">.011651414) of 2008 </w:t>
      </w:r>
      <w:r w:rsidR="00EA1370">
        <w:rPr>
          <w:sz w:val="26"/>
        </w:rPr>
        <w:t>average monthly intrastate end-user retail telecommunications revenue</w:t>
      </w:r>
      <w:r w:rsidR="00D5399A">
        <w:rPr>
          <w:sz w:val="26"/>
        </w:rPr>
        <w:t xml:space="preserve"> to </w:t>
      </w:r>
      <w:r w:rsidR="004350CB">
        <w:rPr>
          <w:sz w:val="26"/>
        </w:rPr>
        <w:t xml:space="preserve">1.2529634% (0.012529634) of 2009 </w:t>
      </w:r>
      <w:r w:rsidR="00D6111D">
        <w:rPr>
          <w:sz w:val="26"/>
        </w:rPr>
        <w:t>average monthly intrastate end-user retail telecommunications revenues</w:t>
      </w:r>
      <w:r w:rsidR="00EA1370">
        <w:rPr>
          <w:sz w:val="26"/>
        </w:rPr>
        <w:t xml:space="preserve">.  </w:t>
      </w:r>
      <w:r w:rsidR="000A3988">
        <w:rPr>
          <w:sz w:val="26"/>
        </w:rPr>
        <w:t>This represents an increase of approximately 7</w:t>
      </w:r>
      <w:r w:rsidR="00BE6CB2">
        <w:rPr>
          <w:sz w:val="26"/>
        </w:rPr>
        <w:t>.5</w:t>
      </w:r>
      <w:r w:rsidR="000A3988">
        <w:rPr>
          <w:sz w:val="26"/>
        </w:rPr>
        <w:t>% of last year’s contribution rate</w:t>
      </w:r>
      <w:r w:rsidR="00573175">
        <w:rPr>
          <w:sz w:val="26"/>
        </w:rPr>
        <w:t xml:space="preserve">.  </w:t>
      </w:r>
      <w:r w:rsidR="00EA1370">
        <w:rPr>
          <w:sz w:val="26"/>
        </w:rPr>
        <w:t>This increase will cover the projected expenses for the Fund for calendar year 20</w:t>
      </w:r>
      <w:r w:rsidR="004350CB">
        <w:rPr>
          <w:sz w:val="26"/>
        </w:rPr>
        <w:t>11</w:t>
      </w:r>
      <w:r w:rsidR="00EA1370">
        <w:rPr>
          <w:sz w:val="26"/>
        </w:rPr>
        <w:t>.</w:t>
      </w:r>
    </w:p>
    <w:p w:rsidR="007E7A32" w:rsidRDefault="007E7A32" w:rsidP="007E7A32">
      <w:pPr>
        <w:spacing w:line="360" w:lineRule="auto"/>
        <w:rPr>
          <w:sz w:val="26"/>
        </w:rPr>
      </w:pPr>
    </w:p>
    <w:p w:rsidR="007E7A32" w:rsidRDefault="007E7A32" w:rsidP="007E7A32">
      <w:pPr>
        <w:spacing w:line="360" w:lineRule="auto"/>
        <w:rPr>
          <w:sz w:val="26"/>
        </w:rPr>
      </w:pPr>
      <w:r>
        <w:rPr>
          <w:sz w:val="26"/>
        </w:rPr>
        <w:lastRenderedPageBreak/>
        <w:tab/>
        <w:t xml:space="preserve">The assessment calculation is based on data submitted by telecommunications carriers during the annual data collection process as well as </w:t>
      </w:r>
      <w:r w:rsidR="00E41685">
        <w:rPr>
          <w:sz w:val="26"/>
        </w:rPr>
        <w:t>Solix’s</w:t>
      </w:r>
      <w:r w:rsidR="006F114B">
        <w:rPr>
          <w:sz w:val="26"/>
        </w:rPr>
        <w:t xml:space="preserve"> </w:t>
      </w:r>
      <w:r>
        <w:rPr>
          <w:sz w:val="26"/>
        </w:rPr>
        <w:t xml:space="preserve">projections of the Fund carryover balance and </w:t>
      </w:r>
      <w:r w:rsidR="00E41685">
        <w:rPr>
          <w:sz w:val="26"/>
        </w:rPr>
        <w:t>projected 20</w:t>
      </w:r>
      <w:r w:rsidR="004350CB">
        <w:rPr>
          <w:sz w:val="26"/>
        </w:rPr>
        <w:t>11</w:t>
      </w:r>
      <w:r w:rsidR="00E41685">
        <w:rPr>
          <w:sz w:val="26"/>
        </w:rPr>
        <w:t xml:space="preserve"> </w:t>
      </w:r>
      <w:r>
        <w:rPr>
          <w:sz w:val="26"/>
        </w:rPr>
        <w:t>administrative and auditing fees as follows:</w:t>
      </w:r>
    </w:p>
    <w:p w:rsidR="006F114B" w:rsidRDefault="006F114B" w:rsidP="007E7A32">
      <w:pPr>
        <w:spacing w:line="360" w:lineRule="auto"/>
        <w:rPr>
          <w:sz w:val="26"/>
        </w:rPr>
      </w:pPr>
    </w:p>
    <w:p w:rsidR="007E7A32" w:rsidRDefault="00B920DB" w:rsidP="00B920DB">
      <w:pPr>
        <w:ind w:left="1440" w:hanging="720"/>
        <w:rPr>
          <w:sz w:val="26"/>
        </w:rPr>
      </w:pPr>
      <w:r>
        <w:rPr>
          <w:sz w:val="26"/>
        </w:rPr>
        <w:t>1.</w:t>
      </w:r>
      <w:r w:rsidR="00507F12">
        <w:rPr>
          <w:sz w:val="26"/>
        </w:rPr>
        <w:tab/>
      </w:r>
      <w:r w:rsidR="007E7A32">
        <w:rPr>
          <w:sz w:val="26"/>
        </w:rPr>
        <w:t>Reported 200</w:t>
      </w:r>
      <w:r w:rsidR="000A3988">
        <w:rPr>
          <w:sz w:val="26"/>
        </w:rPr>
        <w:t>8</w:t>
      </w:r>
      <w:r w:rsidR="007E7A32">
        <w:rPr>
          <w:sz w:val="26"/>
        </w:rPr>
        <w:t>/200</w:t>
      </w:r>
      <w:r w:rsidR="000A3988">
        <w:rPr>
          <w:sz w:val="26"/>
        </w:rPr>
        <w:t>9</w:t>
      </w:r>
      <w:r w:rsidR="007E7A32">
        <w:rPr>
          <w:sz w:val="26"/>
        </w:rPr>
        <w:t xml:space="preserve"> annual access line growth rate = </w:t>
      </w:r>
      <w:r w:rsidR="00507F12">
        <w:rPr>
          <w:sz w:val="26"/>
        </w:rPr>
        <w:t>-</w:t>
      </w:r>
      <w:r w:rsidR="000A3988">
        <w:rPr>
          <w:sz w:val="26"/>
        </w:rPr>
        <w:t>6</w:t>
      </w:r>
      <w:r w:rsidR="00D6111D">
        <w:rPr>
          <w:sz w:val="26"/>
        </w:rPr>
        <w:t>.</w:t>
      </w:r>
      <w:r w:rsidR="000A3988">
        <w:rPr>
          <w:sz w:val="26"/>
        </w:rPr>
        <w:t>24</w:t>
      </w:r>
      <w:r w:rsidR="00507F12">
        <w:rPr>
          <w:sz w:val="26"/>
        </w:rPr>
        <w:t>%</w:t>
      </w:r>
      <w:r w:rsidR="00EA21BF">
        <w:rPr>
          <w:sz w:val="26"/>
        </w:rPr>
        <w:t>; however, there w</w:t>
      </w:r>
      <w:r w:rsidR="002D6169">
        <w:rPr>
          <w:sz w:val="26"/>
        </w:rPr>
        <w:t>ere</w:t>
      </w:r>
      <w:r w:rsidR="00EA21BF">
        <w:rPr>
          <w:sz w:val="26"/>
        </w:rPr>
        <w:t xml:space="preserve"> </w:t>
      </w:r>
      <w:r w:rsidR="00322A2C">
        <w:rPr>
          <w:sz w:val="26"/>
        </w:rPr>
        <w:t>three</w:t>
      </w:r>
      <w:r w:rsidR="00EA21BF">
        <w:rPr>
          <w:sz w:val="26"/>
        </w:rPr>
        <w:t xml:space="preserve"> carrier</w:t>
      </w:r>
      <w:r w:rsidR="002D6169">
        <w:rPr>
          <w:sz w:val="26"/>
        </w:rPr>
        <w:t>s</w:t>
      </w:r>
      <w:r w:rsidR="00EA21BF">
        <w:rPr>
          <w:sz w:val="26"/>
        </w:rPr>
        <w:t xml:space="preserve"> with </w:t>
      </w:r>
      <w:r w:rsidR="00322A2C">
        <w:rPr>
          <w:sz w:val="26"/>
        </w:rPr>
        <w:t>positive access line growth</w:t>
      </w:r>
      <w:r w:rsidR="00E41685">
        <w:rPr>
          <w:sz w:val="26"/>
        </w:rPr>
        <w:t>.  T</w:t>
      </w:r>
      <w:r w:rsidR="00EA21BF">
        <w:rPr>
          <w:sz w:val="26"/>
        </w:rPr>
        <w:t>herefore</w:t>
      </w:r>
      <w:r w:rsidR="00322A2C">
        <w:rPr>
          <w:sz w:val="26"/>
        </w:rPr>
        <w:t>,</w:t>
      </w:r>
      <w:r w:rsidR="00EA21BF">
        <w:rPr>
          <w:sz w:val="26"/>
        </w:rPr>
        <w:t xml:space="preserve"> the total support was raised by $</w:t>
      </w:r>
      <w:r w:rsidR="00322A2C">
        <w:rPr>
          <w:sz w:val="26"/>
        </w:rPr>
        <w:t>13</w:t>
      </w:r>
      <w:r w:rsidR="002D6169">
        <w:rPr>
          <w:sz w:val="26"/>
        </w:rPr>
        <w:t>,</w:t>
      </w:r>
      <w:r w:rsidR="00322A2C">
        <w:rPr>
          <w:sz w:val="26"/>
        </w:rPr>
        <w:t>311.</w:t>
      </w:r>
      <w:r w:rsidR="006F114B">
        <w:rPr>
          <w:rStyle w:val="FootnoteReference"/>
          <w:sz w:val="26"/>
        </w:rPr>
        <w:footnoteReference w:id="3"/>
      </w:r>
      <w:r w:rsidR="00507F12">
        <w:rPr>
          <w:sz w:val="26"/>
        </w:rPr>
        <w:t xml:space="preserve"> </w:t>
      </w:r>
    </w:p>
    <w:p w:rsidR="00CA6624" w:rsidRDefault="00B920DB" w:rsidP="008F4420">
      <w:pPr>
        <w:ind w:left="1440" w:hanging="720"/>
        <w:rPr>
          <w:sz w:val="26"/>
        </w:rPr>
      </w:pPr>
      <w:r>
        <w:rPr>
          <w:sz w:val="26"/>
        </w:rPr>
        <w:t>2.</w:t>
      </w:r>
      <w:r w:rsidR="007E7A32">
        <w:rPr>
          <w:sz w:val="26"/>
        </w:rPr>
        <w:tab/>
        <w:t xml:space="preserve">Projected </w:t>
      </w:r>
      <w:r w:rsidR="00517377">
        <w:rPr>
          <w:sz w:val="26"/>
        </w:rPr>
        <w:t>PaUSF Fund balance as of 12/31/10</w:t>
      </w:r>
      <w:r w:rsidR="007E7A32">
        <w:rPr>
          <w:sz w:val="26"/>
        </w:rPr>
        <w:t xml:space="preserve"> = $</w:t>
      </w:r>
      <w:r w:rsidR="00487F1E">
        <w:rPr>
          <w:sz w:val="26"/>
        </w:rPr>
        <w:t>1</w:t>
      </w:r>
      <w:r w:rsidR="007E7A32">
        <w:rPr>
          <w:sz w:val="26"/>
        </w:rPr>
        <w:t>,</w:t>
      </w:r>
      <w:r w:rsidR="00487F1E">
        <w:rPr>
          <w:sz w:val="26"/>
        </w:rPr>
        <w:t>5</w:t>
      </w:r>
      <w:r w:rsidR="007E7A32">
        <w:rPr>
          <w:sz w:val="26"/>
        </w:rPr>
        <w:t>00,000</w:t>
      </w:r>
    </w:p>
    <w:p w:rsidR="00855461" w:rsidRDefault="00B920DB" w:rsidP="00B920DB">
      <w:pPr>
        <w:ind w:left="1440" w:hanging="720"/>
        <w:rPr>
          <w:sz w:val="26"/>
        </w:rPr>
      </w:pPr>
      <w:r>
        <w:rPr>
          <w:sz w:val="26"/>
        </w:rPr>
        <w:t>3.</w:t>
      </w:r>
      <w:r w:rsidR="007E7A32">
        <w:rPr>
          <w:sz w:val="26"/>
        </w:rPr>
        <w:tab/>
        <w:t>Projected 20</w:t>
      </w:r>
      <w:r w:rsidR="00632221">
        <w:rPr>
          <w:sz w:val="26"/>
        </w:rPr>
        <w:t>11</w:t>
      </w:r>
      <w:r w:rsidR="007E7A32">
        <w:rPr>
          <w:sz w:val="26"/>
        </w:rPr>
        <w:t xml:space="preserve"> annual support due to recipient carriers = $</w:t>
      </w:r>
      <w:r w:rsidR="00322A2C">
        <w:rPr>
          <w:sz w:val="26"/>
        </w:rPr>
        <w:t>33,612</w:t>
      </w:r>
      <w:r w:rsidR="00D6111D">
        <w:rPr>
          <w:sz w:val="26"/>
        </w:rPr>
        <w:t>,</w:t>
      </w:r>
      <w:r w:rsidR="00322A2C">
        <w:rPr>
          <w:sz w:val="26"/>
        </w:rPr>
        <w:t>31</w:t>
      </w:r>
      <w:r w:rsidR="00D6111D">
        <w:rPr>
          <w:sz w:val="26"/>
        </w:rPr>
        <w:t>5</w:t>
      </w:r>
      <w:r w:rsidR="005F0C5A">
        <w:rPr>
          <w:rStyle w:val="FootnoteReference"/>
          <w:sz w:val="26"/>
        </w:rPr>
        <w:footnoteReference w:id="4"/>
      </w:r>
    </w:p>
    <w:p w:rsidR="007E7A32" w:rsidRDefault="00B920DB" w:rsidP="00B920DB">
      <w:pPr>
        <w:ind w:left="1440" w:hanging="720"/>
        <w:rPr>
          <w:sz w:val="26"/>
        </w:rPr>
      </w:pPr>
      <w:r>
        <w:rPr>
          <w:sz w:val="26"/>
        </w:rPr>
        <w:t>4.</w:t>
      </w:r>
      <w:r w:rsidR="007E7A32">
        <w:rPr>
          <w:sz w:val="26"/>
        </w:rPr>
        <w:tab/>
        <w:t>Projected 20</w:t>
      </w:r>
      <w:r w:rsidR="00632221">
        <w:rPr>
          <w:sz w:val="26"/>
        </w:rPr>
        <w:t>11</w:t>
      </w:r>
      <w:r w:rsidR="007E7A32">
        <w:rPr>
          <w:sz w:val="26"/>
        </w:rPr>
        <w:t xml:space="preserve"> annual administration and audit fees = $1</w:t>
      </w:r>
      <w:r w:rsidR="00255A6A">
        <w:rPr>
          <w:sz w:val="26"/>
        </w:rPr>
        <w:t>5</w:t>
      </w:r>
      <w:r w:rsidR="00A0327E">
        <w:rPr>
          <w:sz w:val="26"/>
        </w:rPr>
        <w:t>5,778</w:t>
      </w:r>
      <w:r w:rsidR="001E5719">
        <w:rPr>
          <w:rStyle w:val="FootnoteReference"/>
          <w:sz w:val="26"/>
        </w:rPr>
        <w:footnoteReference w:id="5"/>
      </w:r>
    </w:p>
    <w:p w:rsidR="007E7A32" w:rsidRDefault="00B920DB" w:rsidP="00B920DB">
      <w:pPr>
        <w:ind w:left="1440" w:hanging="720"/>
        <w:rPr>
          <w:sz w:val="26"/>
        </w:rPr>
      </w:pPr>
      <w:r>
        <w:rPr>
          <w:sz w:val="26"/>
        </w:rPr>
        <w:t>5.</w:t>
      </w:r>
      <w:r w:rsidR="007E7A32">
        <w:rPr>
          <w:sz w:val="26"/>
        </w:rPr>
        <w:tab/>
        <w:t>Projected 20</w:t>
      </w:r>
      <w:r w:rsidR="00632221">
        <w:rPr>
          <w:sz w:val="26"/>
        </w:rPr>
        <w:t>11</w:t>
      </w:r>
      <w:r w:rsidR="00BE6CB2">
        <w:rPr>
          <w:sz w:val="26"/>
        </w:rPr>
        <w:t xml:space="preserve"> </w:t>
      </w:r>
      <w:r w:rsidR="007E7A32">
        <w:rPr>
          <w:sz w:val="26"/>
        </w:rPr>
        <w:t>allowance for uncollectibles = $1,</w:t>
      </w:r>
      <w:r w:rsidR="001F34A1">
        <w:rPr>
          <w:sz w:val="26"/>
        </w:rPr>
        <w:t>60</w:t>
      </w:r>
      <w:r w:rsidR="00632221">
        <w:rPr>
          <w:sz w:val="26"/>
        </w:rPr>
        <w:t>5</w:t>
      </w:r>
      <w:r w:rsidR="00A0327E">
        <w:rPr>
          <w:sz w:val="26"/>
        </w:rPr>
        <w:t>,</w:t>
      </w:r>
      <w:r w:rsidR="00632221">
        <w:rPr>
          <w:sz w:val="26"/>
        </w:rPr>
        <w:t>616</w:t>
      </w:r>
      <w:r w:rsidR="00D02D0C">
        <w:rPr>
          <w:rStyle w:val="FootnoteReference"/>
          <w:sz w:val="26"/>
        </w:rPr>
        <w:footnoteReference w:id="6"/>
      </w:r>
    </w:p>
    <w:p w:rsidR="007E7A32" w:rsidRDefault="00B920DB" w:rsidP="00B920DB">
      <w:pPr>
        <w:ind w:left="1440" w:hanging="720"/>
        <w:rPr>
          <w:sz w:val="26"/>
        </w:rPr>
      </w:pPr>
      <w:r>
        <w:rPr>
          <w:sz w:val="26"/>
        </w:rPr>
        <w:t>6.</w:t>
      </w:r>
      <w:r w:rsidR="007E7A32">
        <w:rPr>
          <w:sz w:val="26"/>
        </w:rPr>
        <w:tab/>
        <w:t>Projected 20</w:t>
      </w:r>
      <w:r w:rsidR="00632221">
        <w:rPr>
          <w:sz w:val="26"/>
        </w:rPr>
        <w:t>11</w:t>
      </w:r>
      <w:r w:rsidR="007E7A32">
        <w:rPr>
          <w:sz w:val="26"/>
        </w:rPr>
        <w:t xml:space="preserve"> total annual fund size = $33,</w:t>
      </w:r>
      <w:r w:rsidR="004F6561">
        <w:rPr>
          <w:sz w:val="26"/>
        </w:rPr>
        <w:t>8</w:t>
      </w:r>
      <w:r w:rsidR="00632221">
        <w:rPr>
          <w:sz w:val="26"/>
        </w:rPr>
        <w:t>73</w:t>
      </w:r>
      <w:r w:rsidR="00256C54">
        <w:rPr>
          <w:sz w:val="26"/>
        </w:rPr>
        <w:t>,</w:t>
      </w:r>
      <w:r w:rsidR="00A0327E">
        <w:rPr>
          <w:sz w:val="26"/>
        </w:rPr>
        <w:t>7</w:t>
      </w:r>
      <w:r w:rsidR="00632221">
        <w:rPr>
          <w:sz w:val="26"/>
        </w:rPr>
        <w:t>09</w:t>
      </w:r>
    </w:p>
    <w:p w:rsidR="00CA6624" w:rsidRDefault="007E3D02" w:rsidP="00371CD6">
      <w:pPr>
        <w:ind w:left="1440" w:hanging="720"/>
        <w:rPr>
          <w:sz w:val="26"/>
        </w:rPr>
      </w:pPr>
      <w:r>
        <w:rPr>
          <w:sz w:val="26"/>
        </w:rPr>
        <w:tab/>
      </w:r>
      <w:r w:rsidR="007E7A32">
        <w:rPr>
          <w:sz w:val="26"/>
        </w:rPr>
        <w:t>[(Line 3 + Line 4 + Line 5 – Line 2)]</w:t>
      </w:r>
    </w:p>
    <w:p w:rsidR="007E7A32" w:rsidRDefault="00B920DB" w:rsidP="00B920DB">
      <w:pPr>
        <w:ind w:left="1440" w:hanging="720"/>
        <w:rPr>
          <w:sz w:val="26"/>
        </w:rPr>
      </w:pPr>
      <w:r>
        <w:rPr>
          <w:sz w:val="26"/>
        </w:rPr>
        <w:t>7.</w:t>
      </w:r>
      <w:r w:rsidR="00D80932">
        <w:rPr>
          <w:sz w:val="26"/>
        </w:rPr>
        <w:tab/>
        <w:t>Reported 2009</w:t>
      </w:r>
      <w:r w:rsidR="007E7A32">
        <w:rPr>
          <w:sz w:val="26"/>
        </w:rPr>
        <w:t xml:space="preserve"> intrastate retail revenues = $</w:t>
      </w:r>
      <w:r w:rsidR="00A0327E">
        <w:rPr>
          <w:sz w:val="26"/>
        </w:rPr>
        <w:t>2,</w:t>
      </w:r>
      <w:r w:rsidR="00632221">
        <w:rPr>
          <w:sz w:val="26"/>
        </w:rPr>
        <w:t>703</w:t>
      </w:r>
      <w:r w:rsidR="00A0327E">
        <w:rPr>
          <w:sz w:val="26"/>
        </w:rPr>
        <w:t>,</w:t>
      </w:r>
      <w:r w:rsidR="00632221">
        <w:rPr>
          <w:sz w:val="26"/>
        </w:rPr>
        <w:t>487</w:t>
      </w:r>
      <w:r w:rsidR="00A0327E">
        <w:rPr>
          <w:sz w:val="26"/>
        </w:rPr>
        <w:t>,</w:t>
      </w:r>
      <w:r w:rsidR="00632221">
        <w:rPr>
          <w:sz w:val="26"/>
        </w:rPr>
        <w:t>494</w:t>
      </w:r>
    </w:p>
    <w:p w:rsidR="00172C9D" w:rsidRDefault="00B920DB" w:rsidP="00B920DB">
      <w:pPr>
        <w:ind w:left="1440" w:hanging="720"/>
        <w:rPr>
          <w:sz w:val="26"/>
        </w:rPr>
      </w:pPr>
      <w:r>
        <w:rPr>
          <w:sz w:val="26"/>
        </w:rPr>
        <w:t>8.</w:t>
      </w:r>
      <w:r w:rsidR="007E7A32">
        <w:rPr>
          <w:sz w:val="26"/>
        </w:rPr>
        <w:tab/>
        <w:t>20</w:t>
      </w:r>
      <w:r w:rsidR="00632221">
        <w:rPr>
          <w:sz w:val="26"/>
        </w:rPr>
        <w:t>11</w:t>
      </w:r>
      <w:r w:rsidR="007E7A32">
        <w:rPr>
          <w:sz w:val="26"/>
        </w:rPr>
        <w:t xml:space="preserve"> Assessme</w:t>
      </w:r>
      <w:r w:rsidR="00784EAC">
        <w:rPr>
          <w:sz w:val="26"/>
        </w:rPr>
        <w:t xml:space="preserve">nt </w:t>
      </w:r>
      <w:r w:rsidR="00632221">
        <w:rPr>
          <w:sz w:val="26"/>
        </w:rPr>
        <w:t>Rate</w:t>
      </w:r>
      <w:r w:rsidR="00784EAC">
        <w:rPr>
          <w:sz w:val="26"/>
        </w:rPr>
        <w:t xml:space="preserve"> =</w:t>
      </w:r>
      <w:r w:rsidR="007E7A32">
        <w:rPr>
          <w:sz w:val="26"/>
        </w:rPr>
        <w:t xml:space="preserve"> </w:t>
      </w:r>
      <w:r w:rsidR="00AE6C7B">
        <w:rPr>
          <w:sz w:val="26"/>
        </w:rPr>
        <w:t>$</w:t>
      </w:r>
      <w:r w:rsidR="007E7A32">
        <w:rPr>
          <w:sz w:val="26"/>
        </w:rPr>
        <w:t>33,</w:t>
      </w:r>
      <w:r w:rsidR="001F34A1">
        <w:rPr>
          <w:sz w:val="26"/>
        </w:rPr>
        <w:t>8</w:t>
      </w:r>
      <w:r w:rsidR="00632221">
        <w:rPr>
          <w:sz w:val="26"/>
        </w:rPr>
        <w:t>73</w:t>
      </w:r>
      <w:r w:rsidR="00A0327E">
        <w:rPr>
          <w:sz w:val="26"/>
        </w:rPr>
        <w:t>,7</w:t>
      </w:r>
      <w:r w:rsidR="00632221">
        <w:rPr>
          <w:sz w:val="26"/>
        </w:rPr>
        <w:t>09</w:t>
      </w:r>
      <w:r w:rsidR="007E7A32">
        <w:rPr>
          <w:sz w:val="26"/>
        </w:rPr>
        <w:t>/$</w:t>
      </w:r>
      <w:r w:rsidR="00A0327E">
        <w:rPr>
          <w:sz w:val="26"/>
        </w:rPr>
        <w:t>2,</w:t>
      </w:r>
      <w:r w:rsidR="00632221">
        <w:rPr>
          <w:sz w:val="26"/>
        </w:rPr>
        <w:t>703</w:t>
      </w:r>
      <w:r w:rsidR="00A0327E">
        <w:rPr>
          <w:sz w:val="26"/>
        </w:rPr>
        <w:t>,</w:t>
      </w:r>
      <w:r w:rsidR="00632221">
        <w:rPr>
          <w:sz w:val="26"/>
        </w:rPr>
        <w:t>487</w:t>
      </w:r>
      <w:r w:rsidR="00A0327E">
        <w:rPr>
          <w:sz w:val="26"/>
        </w:rPr>
        <w:t>,</w:t>
      </w:r>
      <w:r w:rsidR="00632221">
        <w:rPr>
          <w:sz w:val="26"/>
        </w:rPr>
        <w:t>494</w:t>
      </w:r>
      <w:r w:rsidR="007E7A32">
        <w:rPr>
          <w:sz w:val="26"/>
        </w:rPr>
        <w:t xml:space="preserve"> = </w:t>
      </w:r>
      <w:r w:rsidR="004F6561">
        <w:rPr>
          <w:sz w:val="26"/>
        </w:rPr>
        <w:t>.</w:t>
      </w:r>
      <w:r w:rsidR="003C2C33">
        <w:rPr>
          <w:sz w:val="26"/>
        </w:rPr>
        <w:t>01</w:t>
      </w:r>
      <w:r w:rsidR="00632221">
        <w:rPr>
          <w:sz w:val="26"/>
        </w:rPr>
        <w:t>2529634</w:t>
      </w:r>
      <w:r w:rsidR="003C2C33">
        <w:rPr>
          <w:sz w:val="26"/>
        </w:rPr>
        <w:t xml:space="preserve"> </w:t>
      </w:r>
      <w:r w:rsidR="00EA4303">
        <w:rPr>
          <w:sz w:val="26"/>
        </w:rPr>
        <w:t xml:space="preserve">  </w:t>
      </w:r>
      <w:r w:rsidR="003C2C33">
        <w:rPr>
          <w:sz w:val="26"/>
        </w:rPr>
        <w:t>[</w:t>
      </w:r>
      <w:r w:rsidR="007E7A32">
        <w:rPr>
          <w:sz w:val="26"/>
        </w:rPr>
        <w:t>(Line 6/Line 7)]</w:t>
      </w:r>
    </w:p>
    <w:p w:rsidR="003E31C6" w:rsidRDefault="003E31C6" w:rsidP="00B920DB">
      <w:pPr>
        <w:ind w:left="1440" w:hanging="720"/>
        <w:rPr>
          <w:sz w:val="26"/>
        </w:rPr>
      </w:pPr>
    </w:p>
    <w:p w:rsidR="005D102A" w:rsidRDefault="005D102A" w:rsidP="005D102A">
      <w:pPr>
        <w:spacing w:line="480" w:lineRule="auto"/>
        <w:rPr>
          <w:sz w:val="26"/>
        </w:rPr>
      </w:pPr>
      <w:r>
        <w:rPr>
          <w:sz w:val="26"/>
        </w:rPr>
        <w:t>5.</w:t>
      </w:r>
      <w:r>
        <w:rPr>
          <w:sz w:val="26"/>
        </w:rPr>
        <w:tab/>
      </w:r>
      <w:r>
        <w:rPr>
          <w:sz w:val="26"/>
          <w:u w:val="single"/>
        </w:rPr>
        <w:t>Conclusion</w:t>
      </w:r>
    </w:p>
    <w:p w:rsidR="00F15C95" w:rsidRDefault="00AE1720" w:rsidP="00B74D33">
      <w:pPr>
        <w:spacing w:line="480" w:lineRule="auto"/>
        <w:ind w:firstLine="720"/>
        <w:rPr>
          <w:b/>
          <w:sz w:val="26"/>
        </w:rPr>
      </w:pPr>
      <w:r>
        <w:rPr>
          <w:sz w:val="26"/>
        </w:rPr>
        <w:t>The Commission agrees with Solix’s recommendations regarding maintaining a</w:t>
      </w:r>
      <w:r w:rsidR="000F2420">
        <w:rPr>
          <w:sz w:val="26"/>
        </w:rPr>
        <w:t xml:space="preserve"> </w:t>
      </w:r>
      <w:r>
        <w:rPr>
          <w:sz w:val="26"/>
        </w:rPr>
        <w:t xml:space="preserve">5% annual funding contingency, encouraging annual payments, </w:t>
      </w:r>
      <w:r w:rsidR="004336A1">
        <w:rPr>
          <w:sz w:val="26"/>
        </w:rPr>
        <w:t xml:space="preserve">using a carryover balance, and increasing the assessment rate by </w:t>
      </w:r>
      <w:r w:rsidR="00EE1593">
        <w:rPr>
          <w:sz w:val="26"/>
        </w:rPr>
        <w:t>7.5%</w:t>
      </w:r>
      <w:r w:rsidR="004336A1">
        <w:rPr>
          <w:sz w:val="26"/>
        </w:rPr>
        <w:t>.</w:t>
      </w:r>
      <w:r w:rsidR="00371CD6">
        <w:rPr>
          <w:sz w:val="26"/>
        </w:rPr>
        <w:t xml:space="preserve">  However, </w:t>
      </w:r>
      <w:r w:rsidR="000108E7">
        <w:rPr>
          <w:sz w:val="26"/>
        </w:rPr>
        <w:t xml:space="preserve">as discussed above, </w:t>
      </w:r>
      <w:r w:rsidR="00371CD6">
        <w:rPr>
          <w:sz w:val="26"/>
        </w:rPr>
        <w:t xml:space="preserve">the Commission reserves the </w:t>
      </w:r>
      <w:proofErr w:type="gramStart"/>
      <w:r w:rsidR="00371CD6">
        <w:rPr>
          <w:sz w:val="26"/>
        </w:rPr>
        <w:t>right to further examine</w:t>
      </w:r>
      <w:proofErr w:type="gramEnd"/>
      <w:r w:rsidR="00371CD6">
        <w:rPr>
          <w:sz w:val="26"/>
        </w:rPr>
        <w:t xml:space="preserve"> its current fund and regulations to determine whether VoIP carriers should be assessed in compliance with the FCC’s directives and the Commission’s current regulations.</w:t>
      </w:r>
      <w:r w:rsidR="007D25D1">
        <w:rPr>
          <w:sz w:val="26"/>
        </w:rPr>
        <w:t xml:space="preserve">  </w:t>
      </w:r>
      <w:r w:rsidR="00355666">
        <w:rPr>
          <w:b/>
          <w:sz w:val="26"/>
        </w:rPr>
        <w:t>THEREFORE,</w:t>
      </w:r>
    </w:p>
    <w:p w:rsidR="00355666" w:rsidRDefault="00355666" w:rsidP="00B74D33">
      <w:pPr>
        <w:spacing w:line="360" w:lineRule="auto"/>
        <w:rPr>
          <w:b/>
          <w:sz w:val="26"/>
        </w:rPr>
      </w:pPr>
      <w:r>
        <w:rPr>
          <w:b/>
          <w:sz w:val="26"/>
        </w:rPr>
        <w:lastRenderedPageBreak/>
        <w:t xml:space="preserve"> </w:t>
      </w:r>
      <w:r w:rsidR="00F15C95">
        <w:rPr>
          <w:b/>
          <w:sz w:val="26"/>
        </w:rPr>
        <w:t xml:space="preserve"> </w:t>
      </w:r>
      <w:r w:rsidR="00B74D33">
        <w:rPr>
          <w:b/>
          <w:sz w:val="26"/>
        </w:rPr>
        <w:tab/>
      </w:r>
      <w:r>
        <w:rPr>
          <w:b/>
          <w:sz w:val="26"/>
        </w:rPr>
        <w:t>IT IS ORDERED:</w:t>
      </w:r>
    </w:p>
    <w:p w:rsidR="00406B53" w:rsidRPr="00EA1370" w:rsidRDefault="00406B53" w:rsidP="003C2550">
      <w:pPr>
        <w:pStyle w:val="BodyTextIndent2"/>
      </w:pPr>
    </w:p>
    <w:p w:rsidR="003C2550" w:rsidRDefault="00355666" w:rsidP="003C2550">
      <w:pPr>
        <w:pStyle w:val="BodyTextIndent2"/>
      </w:pPr>
      <w:r w:rsidRPr="00EA1370">
        <w:t>1.</w:t>
      </w:r>
      <w:r w:rsidRPr="00EA1370">
        <w:tab/>
      </w:r>
      <w:r w:rsidR="003C2550" w:rsidRPr="00EA1370">
        <w:t xml:space="preserve">That </w:t>
      </w:r>
      <w:r w:rsidR="001F34A1" w:rsidRPr="00EA1370">
        <w:t>Solix</w:t>
      </w:r>
      <w:r w:rsidR="004F6561" w:rsidRPr="00EA1370">
        <w:t>, Inc.’s</w:t>
      </w:r>
      <w:r w:rsidR="005A39A8" w:rsidRPr="00EA1370">
        <w:t xml:space="preserve"> Administrator’s Report dated </w:t>
      </w:r>
      <w:r w:rsidR="00D80932">
        <w:t xml:space="preserve">September 28, 2010, </w:t>
      </w:r>
      <w:r w:rsidR="005A39A8" w:rsidRPr="00EA1370">
        <w:t xml:space="preserve"> is approved and the PaUSF’s </w:t>
      </w:r>
      <w:r w:rsidR="00E402B9" w:rsidRPr="00EA1370">
        <w:t xml:space="preserve">monthly </w:t>
      </w:r>
      <w:r w:rsidR="005A39A8" w:rsidRPr="00EA1370">
        <w:t>contribution factor for 20</w:t>
      </w:r>
      <w:r w:rsidR="00D80932">
        <w:t>11</w:t>
      </w:r>
      <w:r w:rsidR="005A39A8" w:rsidRPr="00EA1370">
        <w:t xml:space="preserve"> is hereby increased </w:t>
      </w:r>
      <w:r w:rsidR="00EA1370" w:rsidRPr="00EA1370">
        <w:t xml:space="preserve">from </w:t>
      </w:r>
      <w:r w:rsidR="0030049F">
        <w:t xml:space="preserve">1.1651414% (0.011651414) of 2008 average monthly intrastate end-user retail telecommunications revenue to 1.2529634% (0.012529634) of 2009 </w:t>
      </w:r>
      <w:r w:rsidR="00B033BC">
        <w:t>average monthly intrastate end-user retail telecommunications revenue</w:t>
      </w:r>
      <w:r w:rsidR="00EA1370" w:rsidRPr="00EA1370">
        <w:t xml:space="preserve">.  </w:t>
      </w:r>
    </w:p>
    <w:p w:rsidR="005A39A8" w:rsidRDefault="005A39A8" w:rsidP="003C2550">
      <w:pPr>
        <w:pStyle w:val="BodyTextIndent2"/>
      </w:pPr>
    </w:p>
    <w:p w:rsidR="00F956FC" w:rsidRDefault="005A39A8" w:rsidP="00CA6624">
      <w:pPr>
        <w:pStyle w:val="BodyTextIndent2"/>
      </w:pPr>
      <w:r>
        <w:t>2.</w:t>
      </w:r>
      <w:r>
        <w:tab/>
        <w:t xml:space="preserve">That </w:t>
      </w:r>
      <w:r w:rsidR="001F34A1">
        <w:t xml:space="preserve">Solix, </w:t>
      </w:r>
      <w:r w:rsidR="004F6561">
        <w:t xml:space="preserve">Inc. </w:t>
      </w:r>
      <w:r>
        <w:t>is directed to send a letter to all contributors of the Fund explaining specifically how this contribution factor increase affects them and what their monthly contributions will be for the calendar year 20</w:t>
      </w:r>
      <w:r w:rsidR="005F038A">
        <w:t>11</w:t>
      </w:r>
      <w:r w:rsidR="006F114B">
        <w:t>; the letter should encourage</w:t>
      </w:r>
      <w:r w:rsidR="004F6561">
        <w:t xml:space="preserve"> lump sum payments in early 20</w:t>
      </w:r>
      <w:r w:rsidR="005F038A">
        <w:t>11</w:t>
      </w:r>
      <w:r w:rsidR="00AE6C7B">
        <w:t>, particularly for those carriers with total annual contributions of less than $2,000</w:t>
      </w:r>
      <w:r w:rsidR="00F25897">
        <w:t>; the letter</w:t>
      </w:r>
      <w:r w:rsidR="009848FD">
        <w:t xml:space="preserve"> </w:t>
      </w:r>
      <w:r>
        <w:t xml:space="preserve">must be </w:t>
      </w:r>
      <w:r w:rsidR="009848FD">
        <w:t>pre-</w:t>
      </w:r>
      <w:r>
        <w:t xml:space="preserve">approved by Commission </w:t>
      </w:r>
      <w:r w:rsidR="009848FD">
        <w:t>s</w:t>
      </w:r>
      <w:r>
        <w:t>taff before it is mailed to participants.</w:t>
      </w:r>
    </w:p>
    <w:p w:rsidR="006545AF" w:rsidRDefault="006545AF" w:rsidP="004F6561">
      <w:pPr>
        <w:pStyle w:val="BodyTextIndent2"/>
        <w:ind w:firstLine="0"/>
      </w:pPr>
    </w:p>
    <w:p w:rsidR="007E3D02" w:rsidRPr="00304809" w:rsidRDefault="00505186" w:rsidP="007E3D02">
      <w:pPr>
        <w:pStyle w:val="p17"/>
        <w:ind w:left="5057"/>
        <w:rPr>
          <w:b/>
          <w:bCs/>
          <w:sz w:val="26"/>
          <w:szCs w:val="26"/>
        </w:rPr>
      </w:pPr>
      <w:r>
        <w:rPr>
          <w:b/>
          <w:bCs/>
          <w:noProof/>
          <w:sz w:val="26"/>
          <w:szCs w:val="26"/>
        </w:rPr>
        <w:drawing>
          <wp:anchor distT="0" distB="0" distL="114300" distR="114300" simplePos="0" relativeHeight="251659264" behindDoc="1" locked="0" layoutInCell="1" allowOverlap="1">
            <wp:simplePos x="0" y="0"/>
            <wp:positionH relativeFrom="column">
              <wp:posOffset>2933700</wp:posOffset>
            </wp:positionH>
            <wp:positionV relativeFrom="paragraph">
              <wp:posOffset>167005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E3D02" w:rsidRPr="00304809">
        <w:rPr>
          <w:b/>
          <w:bCs/>
          <w:sz w:val="26"/>
          <w:szCs w:val="26"/>
        </w:rPr>
        <w:t>BY THE COMMISSION</w:t>
      </w:r>
    </w:p>
    <w:p w:rsidR="007E3D02" w:rsidRPr="00CD6C97" w:rsidRDefault="007E3D02" w:rsidP="007E3D02">
      <w:pPr>
        <w:tabs>
          <w:tab w:val="left" w:pos="5057"/>
        </w:tabs>
        <w:rPr>
          <w:b/>
          <w:bCs/>
          <w:sz w:val="26"/>
          <w:szCs w:val="26"/>
        </w:rPr>
      </w:pPr>
    </w:p>
    <w:p w:rsidR="007E3D02" w:rsidRDefault="007E3D02" w:rsidP="007E3D02">
      <w:pPr>
        <w:tabs>
          <w:tab w:val="left" w:pos="5057"/>
        </w:tabs>
        <w:rPr>
          <w:b/>
          <w:bCs/>
          <w:sz w:val="26"/>
          <w:szCs w:val="26"/>
        </w:rPr>
      </w:pPr>
    </w:p>
    <w:p w:rsidR="00F956FC" w:rsidRDefault="00F956FC" w:rsidP="007E3D02">
      <w:pPr>
        <w:tabs>
          <w:tab w:val="left" w:pos="5057"/>
        </w:tabs>
        <w:rPr>
          <w:b/>
          <w:bCs/>
          <w:sz w:val="26"/>
          <w:szCs w:val="26"/>
        </w:rPr>
      </w:pPr>
    </w:p>
    <w:p w:rsidR="00F956FC" w:rsidRPr="00CD6C97" w:rsidRDefault="00F956FC" w:rsidP="007E3D02">
      <w:pPr>
        <w:tabs>
          <w:tab w:val="left" w:pos="5057"/>
        </w:tabs>
        <w:rPr>
          <w:b/>
          <w:bCs/>
          <w:sz w:val="26"/>
          <w:szCs w:val="26"/>
        </w:rPr>
      </w:pPr>
    </w:p>
    <w:p w:rsidR="007E3D02" w:rsidRDefault="007E3D02" w:rsidP="007E3D02">
      <w:pPr>
        <w:pStyle w:val="p18"/>
        <w:ind w:left="5062"/>
        <w:rPr>
          <w:sz w:val="26"/>
          <w:szCs w:val="26"/>
        </w:rPr>
      </w:pPr>
      <w:r w:rsidRPr="00671D91">
        <w:rPr>
          <w:sz w:val="26"/>
          <w:szCs w:val="26"/>
        </w:rPr>
        <w:t>Rosemary Chiavetta</w:t>
      </w:r>
    </w:p>
    <w:p w:rsidR="007E3D02" w:rsidRPr="00CD6C97" w:rsidRDefault="007E3D02" w:rsidP="007E3D02">
      <w:pPr>
        <w:pStyle w:val="p18"/>
        <w:ind w:left="5062"/>
        <w:rPr>
          <w:sz w:val="26"/>
          <w:szCs w:val="26"/>
        </w:rPr>
      </w:pPr>
      <w:r w:rsidRPr="00CD6C97">
        <w:rPr>
          <w:sz w:val="26"/>
          <w:szCs w:val="26"/>
        </w:rPr>
        <w:t>Secretary</w:t>
      </w:r>
    </w:p>
    <w:p w:rsidR="00355666" w:rsidRDefault="00355666">
      <w:pPr>
        <w:jc w:val="both"/>
        <w:rPr>
          <w:caps/>
          <w:sz w:val="26"/>
        </w:rPr>
      </w:pPr>
    </w:p>
    <w:p w:rsidR="007E3D02" w:rsidRDefault="007E3D02">
      <w:pPr>
        <w:jc w:val="both"/>
        <w:rPr>
          <w:caps/>
          <w:sz w:val="26"/>
        </w:rPr>
      </w:pPr>
    </w:p>
    <w:p w:rsidR="007E3D02" w:rsidRDefault="007E3D02">
      <w:pPr>
        <w:jc w:val="both"/>
        <w:rPr>
          <w:caps/>
          <w:sz w:val="26"/>
        </w:rPr>
      </w:pPr>
    </w:p>
    <w:p w:rsidR="007E3D02" w:rsidRDefault="007E3D02">
      <w:pPr>
        <w:jc w:val="both"/>
        <w:rPr>
          <w:caps/>
          <w:sz w:val="26"/>
        </w:rPr>
      </w:pPr>
    </w:p>
    <w:p w:rsidR="007E3D02" w:rsidRDefault="007E3D02">
      <w:pPr>
        <w:jc w:val="both"/>
        <w:rPr>
          <w:caps/>
          <w:sz w:val="26"/>
        </w:rPr>
      </w:pPr>
    </w:p>
    <w:p w:rsidR="00355666" w:rsidRDefault="00355666">
      <w:pPr>
        <w:jc w:val="both"/>
        <w:rPr>
          <w:caps/>
          <w:sz w:val="26"/>
        </w:rPr>
      </w:pPr>
      <w:r>
        <w:rPr>
          <w:caps/>
          <w:sz w:val="26"/>
        </w:rPr>
        <w:t>(SEAL)</w:t>
      </w:r>
    </w:p>
    <w:p w:rsidR="00355666" w:rsidRDefault="00355666">
      <w:pPr>
        <w:jc w:val="both"/>
        <w:rPr>
          <w:caps/>
          <w:sz w:val="26"/>
        </w:rPr>
      </w:pPr>
    </w:p>
    <w:p w:rsidR="00355666" w:rsidRDefault="00355666">
      <w:pPr>
        <w:jc w:val="both"/>
        <w:rPr>
          <w:sz w:val="26"/>
        </w:rPr>
      </w:pPr>
      <w:r>
        <w:rPr>
          <w:caps/>
          <w:sz w:val="26"/>
        </w:rPr>
        <w:t>Order Adopted</w:t>
      </w:r>
      <w:r>
        <w:rPr>
          <w:sz w:val="26"/>
        </w:rPr>
        <w:t>:</w:t>
      </w:r>
      <w:r w:rsidR="005F558D">
        <w:rPr>
          <w:sz w:val="26"/>
        </w:rPr>
        <w:t xml:space="preserve"> December 2, 2010</w:t>
      </w:r>
      <w:r>
        <w:rPr>
          <w:sz w:val="26"/>
        </w:rPr>
        <w:t xml:space="preserve">  </w:t>
      </w:r>
      <w:r>
        <w:rPr>
          <w:sz w:val="26"/>
        </w:rPr>
        <w:tab/>
      </w:r>
    </w:p>
    <w:p w:rsidR="00355666" w:rsidRDefault="00355666">
      <w:pPr>
        <w:jc w:val="both"/>
        <w:rPr>
          <w:sz w:val="26"/>
        </w:rPr>
      </w:pPr>
    </w:p>
    <w:p w:rsidR="00355666" w:rsidRDefault="00355666">
      <w:pPr>
        <w:rPr>
          <w:sz w:val="26"/>
        </w:rPr>
      </w:pPr>
      <w:r>
        <w:rPr>
          <w:caps/>
          <w:sz w:val="26"/>
        </w:rPr>
        <w:t>Order Entered</w:t>
      </w:r>
      <w:r>
        <w:rPr>
          <w:sz w:val="26"/>
        </w:rPr>
        <w:t xml:space="preserve">: </w:t>
      </w:r>
      <w:r w:rsidR="007E7136">
        <w:rPr>
          <w:sz w:val="26"/>
        </w:rPr>
        <w:t xml:space="preserve"> </w:t>
      </w:r>
      <w:r w:rsidR="00505186">
        <w:rPr>
          <w:sz w:val="26"/>
        </w:rPr>
        <w:t>December 3, 2010</w:t>
      </w:r>
    </w:p>
    <w:sectPr w:rsidR="00355666" w:rsidSect="007511E6">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DCD" w:rsidRDefault="009B4DCD">
      <w:r>
        <w:separator/>
      </w:r>
    </w:p>
  </w:endnote>
  <w:endnote w:type="continuationSeparator" w:id="0">
    <w:p w:rsidR="009B4DCD" w:rsidRDefault="009B4D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66E" w:rsidRDefault="00FC07A4">
    <w:pPr>
      <w:pStyle w:val="Footer"/>
      <w:framePr w:wrap="around" w:vAnchor="text" w:hAnchor="margin" w:xAlign="center" w:y="1"/>
      <w:rPr>
        <w:rStyle w:val="PageNumber"/>
      </w:rPr>
    </w:pPr>
    <w:r>
      <w:rPr>
        <w:rStyle w:val="PageNumber"/>
      </w:rPr>
      <w:fldChar w:fldCharType="begin"/>
    </w:r>
    <w:r w:rsidR="000D466E">
      <w:rPr>
        <w:rStyle w:val="PageNumber"/>
      </w:rPr>
      <w:instrText xml:space="preserve">PAGE  </w:instrText>
    </w:r>
    <w:r>
      <w:rPr>
        <w:rStyle w:val="PageNumber"/>
      </w:rPr>
      <w:fldChar w:fldCharType="separate"/>
    </w:r>
    <w:r w:rsidR="000D466E">
      <w:rPr>
        <w:rStyle w:val="PageNumber"/>
        <w:noProof/>
      </w:rPr>
      <w:t>2</w:t>
    </w:r>
    <w:r>
      <w:rPr>
        <w:rStyle w:val="PageNumber"/>
      </w:rPr>
      <w:fldChar w:fldCharType="end"/>
    </w:r>
  </w:p>
  <w:p w:rsidR="000D466E" w:rsidRDefault="000D46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66E" w:rsidRDefault="00FC07A4">
    <w:pPr>
      <w:pStyle w:val="Footer"/>
      <w:framePr w:wrap="around" w:vAnchor="text" w:hAnchor="margin" w:xAlign="center" w:y="1"/>
      <w:rPr>
        <w:rStyle w:val="PageNumber"/>
      </w:rPr>
    </w:pPr>
    <w:r>
      <w:rPr>
        <w:rStyle w:val="PageNumber"/>
      </w:rPr>
      <w:fldChar w:fldCharType="begin"/>
    </w:r>
    <w:r w:rsidR="000D466E">
      <w:rPr>
        <w:rStyle w:val="PageNumber"/>
      </w:rPr>
      <w:instrText xml:space="preserve">PAGE  </w:instrText>
    </w:r>
    <w:r>
      <w:rPr>
        <w:rStyle w:val="PageNumber"/>
      </w:rPr>
      <w:fldChar w:fldCharType="separate"/>
    </w:r>
    <w:r w:rsidR="00505186">
      <w:rPr>
        <w:rStyle w:val="PageNumber"/>
        <w:noProof/>
      </w:rPr>
      <w:t>6</w:t>
    </w:r>
    <w:r>
      <w:rPr>
        <w:rStyle w:val="PageNumber"/>
      </w:rPr>
      <w:fldChar w:fldCharType="end"/>
    </w:r>
  </w:p>
  <w:p w:rsidR="000D466E" w:rsidRDefault="000D46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DCD" w:rsidRDefault="009B4DCD">
      <w:r>
        <w:separator/>
      </w:r>
    </w:p>
  </w:footnote>
  <w:footnote w:type="continuationSeparator" w:id="0">
    <w:p w:rsidR="009B4DCD" w:rsidRDefault="009B4DCD">
      <w:r>
        <w:continuationSeparator/>
      </w:r>
    </w:p>
  </w:footnote>
  <w:footnote w:id="1">
    <w:p w:rsidR="000D6C00" w:rsidRPr="000D6C00" w:rsidRDefault="000D6C00">
      <w:pPr>
        <w:pStyle w:val="FootnoteText"/>
      </w:pPr>
      <w:r w:rsidRPr="000D6C00">
        <w:rPr>
          <w:rStyle w:val="FootnoteReference"/>
        </w:rPr>
        <w:footnoteRef/>
      </w:r>
      <w:r w:rsidRPr="000D6C00">
        <w:t xml:space="preserve"> </w:t>
      </w:r>
      <w:r w:rsidRPr="000D6C00">
        <w:rPr>
          <w:i/>
          <w:iCs/>
        </w:rPr>
        <w:t xml:space="preserve">In Re: Matter of Universal Service Contribution Methodology, Petition of the Nebraska Public Service Commission and Kansas Corporation Commission for a Declaratory Ruling Declaring that State Universal Service funds May Assess Nomadic VoIP Intrastate Revenues, </w:t>
      </w:r>
      <w:r w:rsidRPr="000D6C00">
        <w:t>Docket No. 06-122 (November 5, 2010) (</w:t>
      </w:r>
      <w:r w:rsidRPr="000D6C00">
        <w:rPr>
          <w:i/>
          <w:iCs/>
        </w:rPr>
        <w:t>VoIP USF Order</w:t>
      </w:r>
      <w:r w:rsidRPr="000D6C00">
        <w:t>).</w:t>
      </w:r>
    </w:p>
  </w:footnote>
  <w:footnote w:id="2">
    <w:p w:rsidR="000D466E" w:rsidRPr="00BD3C97" w:rsidRDefault="000D466E">
      <w:pPr>
        <w:pStyle w:val="FootnoteText"/>
      </w:pPr>
      <w:r w:rsidRPr="00BA6B63">
        <w:rPr>
          <w:rStyle w:val="FootnoteReference"/>
        </w:rPr>
        <w:footnoteRef/>
      </w:r>
      <w:r w:rsidRPr="00BA6B63">
        <w:t xml:space="preserve"> The Commission previously adopted this methodology in last year’s rate adjustment Order, </w:t>
      </w:r>
      <w:r w:rsidRPr="00BA6B63">
        <w:rPr>
          <w:i/>
        </w:rPr>
        <w:t xml:space="preserve">In re: Pennsylvania Universal Service Fund Annual Rate Adjustment, </w:t>
      </w:r>
      <w:r w:rsidRPr="00BA6B63">
        <w:t xml:space="preserve">Docket No. M-00001337, November </w:t>
      </w:r>
      <w:r w:rsidR="00517377">
        <w:t>19</w:t>
      </w:r>
      <w:r w:rsidRPr="00BA6B63">
        <w:t>, 200</w:t>
      </w:r>
      <w:r w:rsidR="00517377">
        <w:t>9</w:t>
      </w:r>
      <w:r w:rsidRPr="00BA6B63">
        <w:t>.</w:t>
      </w:r>
    </w:p>
  </w:footnote>
  <w:footnote w:id="3">
    <w:p w:rsidR="000D466E" w:rsidRPr="00FC1018" w:rsidRDefault="000D466E">
      <w:pPr>
        <w:pStyle w:val="FootnoteText"/>
        <w:rPr>
          <w:i/>
        </w:rPr>
      </w:pPr>
      <w:r>
        <w:rPr>
          <w:rStyle w:val="FootnoteReference"/>
        </w:rPr>
        <w:footnoteRef/>
      </w:r>
      <w:r>
        <w:t xml:space="preserve"> The amount of $</w:t>
      </w:r>
      <w:r w:rsidR="00322A2C">
        <w:t>13</w:t>
      </w:r>
      <w:r w:rsidR="00411190">
        <w:t>,</w:t>
      </w:r>
      <w:r w:rsidR="00322A2C">
        <w:t>311</w:t>
      </w:r>
      <w:r>
        <w:t xml:space="preserve"> is ad</w:t>
      </w:r>
      <w:r w:rsidR="00322A2C">
        <w:t>ded to last year’s projected 2010</w:t>
      </w:r>
      <w:r>
        <w:t xml:space="preserve"> annual support due recipient carriers of $</w:t>
      </w:r>
      <w:r w:rsidR="00E718BC">
        <w:t>33,5</w:t>
      </w:r>
      <w:r w:rsidR="006A383A">
        <w:t>99</w:t>
      </w:r>
      <w:r w:rsidR="00E718BC">
        <w:t>,0</w:t>
      </w:r>
      <w:r w:rsidR="006A383A">
        <w:t>05</w:t>
      </w:r>
      <w:r>
        <w:t xml:space="preserve"> to yield the projected 20</w:t>
      </w:r>
      <w:r w:rsidR="00411190">
        <w:t>10</w:t>
      </w:r>
      <w:r>
        <w:t xml:space="preserve"> annual support due to recipient carriers of $33,</w:t>
      </w:r>
      <w:r w:rsidR="00322A2C">
        <w:t>612,31</w:t>
      </w:r>
      <w:r w:rsidR="00411190">
        <w:t>5</w:t>
      </w:r>
      <w:r>
        <w:t xml:space="preserve"> at line 3.  Even though the recipient carriers’ aggregate annual access lines growth rate is negative, if carriers have net increases in access lines, they are entitled </w:t>
      </w:r>
      <w:r w:rsidRPr="00BA6B63">
        <w:t xml:space="preserve">to more support in accordance with the adoption of the small company plan in the Commission’s 1999 </w:t>
      </w:r>
      <w:r w:rsidR="003E31C6">
        <w:rPr>
          <w:i/>
        </w:rPr>
        <w:t xml:space="preserve">Global Order, </w:t>
      </w:r>
      <w:r w:rsidRPr="00BA6B63">
        <w:rPr>
          <w:i/>
        </w:rPr>
        <w:t xml:space="preserve">Nextlink Pennsylvania, Inc., </w:t>
      </w:r>
      <w:r w:rsidRPr="00BA6B63">
        <w:t>93 Pa</w:t>
      </w:r>
      <w:r w:rsidR="003E31C6">
        <w:t xml:space="preserve"> </w:t>
      </w:r>
      <w:r w:rsidRPr="00BA6B63">
        <w:t>P</w:t>
      </w:r>
      <w:r w:rsidR="003E31C6">
        <w:t>.</w:t>
      </w:r>
      <w:r w:rsidRPr="00BA6B63">
        <w:t>U</w:t>
      </w:r>
      <w:r w:rsidR="003E31C6">
        <w:t>.</w:t>
      </w:r>
      <w:r w:rsidRPr="00BA6B63">
        <w:t>C</w:t>
      </w:r>
      <w:r w:rsidR="003E31C6">
        <w:t>.</w:t>
      </w:r>
      <w:r w:rsidRPr="00BA6B63">
        <w:t xml:space="preserve"> 172 (September 30, 1999</w:t>
      </w:r>
      <w:r w:rsidR="003E31C6">
        <w:t>),</w:t>
      </w:r>
      <w:r w:rsidRPr="00BA6B63">
        <w:t xml:space="preserve"> 196 P.U.R. 4</w:t>
      </w:r>
      <w:r w:rsidRPr="00BA6B63">
        <w:rPr>
          <w:vertAlign w:val="superscript"/>
        </w:rPr>
        <w:t>th</w:t>
      </w:r>
      <w:r w:rsidR="003E31C6">
        <w:t xml:space="preserve"> 1</w:t>
      </w:r>
      <w:r w:rsidRPr="00BA6B63">
        <w:t xml:space="preserve">72, </w:t>
      </w:r>
      <w:r w:rsidRPr="00BA6B63">
        <w:rPr>
          <w:i/>
        </w:rPr>
        <w:t xml:space="preserve">aff’d sub nom.  Bell Atlantic-Pennsylvania, Inc. v. Pennsylvania Public Utility Commission, </w:t>
      </w:r>
      <w:r w:rsidRPr="00BA6B63">
        <w:t>763 A.2d 440 (Pa.</w:t>
      </w:r>
      <w:r w:rsidR="003E31C6">
        <w:t xml:space="preserve"> </w:t>
      </w:r>
      <w:r w:rsidR="00EE1593">
        <w:t xml:space="preserve">Cmwlth. 2000) </w:t>
      </w:r>
      <w:r w:rsidRPr="00BA6B63">
        <w:rPr>
          <w:i/>
        </w:rPr>
        <w:t>alloc. granted.</w:t>
      </w:r>
    </w:p>
  </w:footnote>
  <w:footnote w:id="4">
    <w:p w:rsidR="000D466E" w:rsidRDefault="000D466E">
      <w:pPr>
        <w:pStyle w:val="FootnoteText"/>
      </w:pPr>
      <w:r>
        <w:rPr>
          <w:rStyle w:val="FootnoteReference"/>
        </w:rPr>
        <w:footnoteRef/>
      </w:r>
      <w:r>
        <w:t xml:space="preserve"> Annual support projections are based upon annual reports submitted by the recipient carriers.</w:t>
      </w:r>
    </w:p>
  </w:footnote>
  <w:footnote w:id="5">
    <w:p w:rsidR="000D466E" w:rsidRDefault="000D466E">
      <w:pPr>
        <w:pStyle w:val="FootnoteText"/>
      </w:pPr>
      <w:r>
        <w:rPr>
          <w:rStyle w:val="FootnoteReference"/>
        </w:rPr>
        <w:footnoteRef/>
      </w:r>
      <w:r>
        <w:t xml:space="preserve"> This projection is based upon the contracted administrator’s fee of $1</w:t>
      </w:r>
      <w:r w:rsidR="00216008">
        <w:t>30,778</w:t>
      </w:r>
      <w:r>
        <w:t xml:space="preserve"> for calendar year 20</w:t>
      </w:r>
      <w:r w:rsidR="00322A2C">
        <w:t>11</w:t>
      </w:r>
      <w:r>
        <w:t xml:space="preserve"> plus an estimate of $25,000 needed for external auditor’s fees in 20</w:t>
      </w:r>
      <w:r w:rsidR="00B46751">
        <w:t>11</w:t>
      </w:r>
      <w:r>
        <w:t xml:space="preserve">.   </w:t>
      </w:r>
      <w:r w:rsidR="00EA5F92">
        <w:t>In 2010, t</w:t>
      </w:r>
      <w:r>
        <w:t>he PaUSF paid</w:t>
      </w:r>
      <w:r w:rsidR="00EE1593">
        <w:t xml:space="preserve"> $23,</w:t>
      </w:r>
      <w:r w:rsidR="00573175">
        <w:t>293</w:t>
      </w:r>
      <w:r w:rsidR="00EA5F92">
        <w:t xml:space="preserve"> in auditor fees for the fiscal year ending December 31, 2009.  </w:t>
      </w:r>
    </w:p>
  </w:footnote>
  <w:footnote w:id="6">
    <w:p w:rsidR="000D466E" w:rsidRDefault="000D466E">
      <w:pPr>
        <w:pStyle w:val="FootnoteText"/>
      </w:pPr>
      <w:r>
        <w:rPr>
          <w:rStyle w:val="FootnoteReference"/>
        </w:rPr>
        <w:footnoteRef/>
      </w:r>
      <w:r>
        <w:t xml:space="preserve"> This represents the 5% contingency for uncollectibles over the year 20</w:t>
      </w:r>
      <w:r w:rsidR="00632221">
        <w:t>11</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421A2"/>
    <w:multiLevelType w:val="singleLevel"/>
    <w:tmpl w:val="FCD66254"/>
    <w:lvl w:ilvl="0">
      <w:start w:val="2"/>
      <w:numFmt w:val="decimal"/>
      <w:lvlText w:val="(%1)"/>
      <w:lvlJc w:val="left"/>
      <w:pPr>
        <w:tabs>
          <w:tab w:val="num" w:pos="1095"/>
        </w:tabs>
        <w:ind w:left="1095" w:hanging="375"/>
      </w:pPr>
      <w:rPr>
        <w:rFonts w:hint="default"/>
      </w:rPr>
    </w:lvl>
  </w:abstractNum>
  <w:abstractNum w:abstractNumId="1">
    <w:nsid w:val="39B469D5"/>
    <w:multiLevelType w:val="singleLevel"/>
    <w:tmpl w:val="BD16936C"/>
    <w:lvl w:ilvl="0">
      <w:start w:val="1"/>
      <w:numFmt w:val="decimal"/>
      <w:lvlText w:val="(%1)"/>
      <w:lvlJc w:val="left"/>
      <w:pPr>
        <w:tabs>
          <w:tab w:val="num" w:pos="1080"/>
        </w:tabs>
        <w:ind w:left="1080" w:hanging="360"/>
      </w:pPr>
      <w:rPr>
        <w:rFonts w:hint="default"/>
      </w:rPr>
    </w:lvl>
  </w:abstractNum>
  <w:abstractNum w:abstractNumId="2">
    <w:nsid w:val="71284ADC"/>
    <w:multiLevelType w:val="hybridMultilevel"/>
    <w:tmpl w:val="1DD2712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75DD03A8"/>
    <w:multiLevelType w:val="hybridMultilevel"/>
    <w:tmpl w:val="6C685FD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C349E"/>
    <w:rsid w:val="000006E5"/>
    <w:rsid w:val="000108E7"/>
    <w:rsid w:val="00015811"/>
    <w:rsid w:val="00025D97"/>
    <w:rsid w:val="00051AD5"/>
    <w:rsid w:val="0005480F"/>
    <w:rsid w:val="000631AA"/>
    <w:rsid w:val="000646D9"/>
    <w:rsid w:val="00077F5A"/>
    <w:rsid w:val="00081499"/>
    <w:rsid w:val="00083F56"/>
    <w:rsid w:val="000A1CAC"/>
    <w:rsid w:val="000A3988"/>
    <w:rsid w:val="000D3734"/>
    <w:rsid w:val="000D3CE0"/>
    <w:rsid w:val="000D466E"/>
    <w:rsid w:val="000D6C00"/>
    <w:rsid w:val="000E0478"/>
    <w:rsid w:val="000E0E01"/>
    <w:rsid w:val="000F2420"/>
    <w:rsid w:val="00111A9C"/>
    <w:rsid w:val="00121212"/>
    <w:rsid w:val="00124B79"/>
    <w:rsid w:val="0012599B"/>
    <w:rsid w:val="00133B1B"/>
    <w:rsid w:val="00142E6B"/>
    <w:rsid w:val="001432F5"/>
    <w:rsid w:val="00146806"/>
    <w:rsid w:val="00164BEB"/>
    <w:rsid w:val="001662B0"/>
    <w:rsid w:val="00166D42"/>
    <w:rsid w:val="001672BE"/>
    <w:rsid w:val="00172C33"/>
    <w:rsid w:val="00172C9D"/>
    <w:rsid w:val="00180DB5"/>
    <w:rsid w:val="00197119"/>
    <w:rsid w:val="001A414C"/>
    <w:rsid w:val="001A662F"/>
    <w:rsid w:val="001B10C8"/>
    <w:rsid w:val="001D3C67"/>
    <w:rsid w:val="001E31CF"/>
    <w:rsid w:val="001E5719"/>
    <w:rsid w:val="001E6995"/>
    <w:rsid w:val="001F34A1"/>
    <w:rsid w:val="0021227D"/>
    <w:rsid w:val="002139F1"/>
    <w:rsid w:val="00216008"/>
    <w:rsid w:val="002210D8"/>
    <w:rsid w:val="00226A07"/>
    <w:rsid w:val="00250812"/>
    <w:rsid w:val="00251BC9"/>
    <w:rsid w:val="002522D9"/>
    <w:rsid w:val="00255A6A"/>
    <w:rsid w:val="00256C54"/>
    <w:rsid w:val="00265B0E"/>
    <w:rsid w:val="00266D01"/>
    <w:rsid w:val="0027076D"/>
    <w:rsid w:val="00277D59"/>
    <w:rsid w:val="002A0486"/>
    <w:rsid w:val="002A4159"/>
    <w:rsid w:val="002B00EB"/>
    <w:rsid w:val="002B1BF1"/>
    <w:rsid w:val="002B3179"/>
    <w:rsid w:val="002B4700"/>
    <w:rsid w:val="002D4DAF"/>
    <w:rsid w:val="002D6169"/>
    <w:rsid w:val="002E30CA"/>
    <w:rsid w:val="002E7D24"/>
    <w:rsid w:val="002F148B"/>
    <w:rsid w:val="0030049F"/>
    <w:rsid w:val="00304D44"/>
    <w:rsid w:val="003056DD"/>
    <w:rsid w:val="00316EFC"/>
    <w:rsid w:val="00321D40"/>
    <w:rsid w:val="003223FC"/>
    <w:rsid w:val="00322A2C"/>
    <w:rsid w:val="003275E6"/>
    <w:rsid w:val="00344B4A"/>
    <w:rsid w:val="003479C5"/>
    <w:rsid w:val="00355666"/>
    <w:rsid w:val="00371CD6"/>
    <w:rsid w:val="00375006"/>
    <w:rsid w:val="003A7431"/>
    <w:rsid w:val="003C113C"/>
    <w:rsid w:val="003C2550"/>
    <w:rsid w:val="003C2C33"/>
    <w:rsid w:val="003D1BDB"/>
    <w:rsid w:val="003D6D2B"/>
    <w:rsid w:val="003E31C6"/>
    <w:rsid w:val="004027C0"/>
    <w:rsid w:val="00406B53"/>
    <w:rsid w:val="00411190"/>
    <w:rsid w:val="00427C93"/>
    <w:rsid w:val="004336A1"/>
    <w:rsid w:val="00434DD1"/>
    <w:rsid w:val="004350CB"/>
    <w:rsid w:val="0044031F"/>
    <w:rsid w:val="004438CC"/>
    <w:rsid w:val="00472680"/>
    <w:rsid w:val="0047346B"/>
    <w:rsid w:val="00481A63"/>
    <w:rsid w:val="00485654"/>
    <w:rsid w:val="00486B69"/>
    <w:rsid w:val="00487F1E"/>
    <w:rsid w:val="00496D44"/>
    <w:rsid w:val="004A416E"/>
    <w:rsid w:val="004C48B2"/>
    <w:rsid w:val="004C6988"/>
    <w:rsid w:val="004D4A5D"/>
    <w:rsid w:val="004D5A2E"/>
    <w:rsid w:val="004E3AE2"/>
    <w:rsid w:val="004F6561"/>
    <w:rsid w:val="00505186"/>
    <w:rsid w:val="00507F12"/>
    <w:rsid w:val="00510535"/>
    <w:rsid w:val="005110BA"/>
    <w:rsid w:val="005117E9"/>
    <w:rsid w:val="00517377"/>
    <w:rsid w:val="0053622A"/>
    <w:rsid w:val="00545938"/>
    <w:rsid w:val="00554318"/>
    <w:rsid w:val="005600B2"/>
    <w:rsid w:val="00573175"/>
    <w:rsid w:val="00577EDD"/>
    <w:rsid w:val="00591DFE"/>
    <w:rsid w:val="005A39A8"/>
    <w:rsid w:val="005A68A6"/>
    <w:rsid w:val="005B3094"/>
    <w:rsid w:val="005D102A"/>
    <w:rsid w:val="005D1A08"/>
    <w:rsid w:val="005F038A"/>
    <w:rsid w:val="005F0C5A"/>
    <w:rsid w:val="005F3DD9"/>
    <w:rsid w:val="005F558D"/>
    <w:rsid w:val="005F7BDC"/>
    <w:rsid w:val="00600637"/>
    <w:rsid w:val="00607670"/>
    <w:rsid w:val="006078BA"/>
    <w:rsid w:val="00632221"/>
    <w:rsid w:val="006352D7"/>
    <w:rsid w:val="00644013"/>
    <w:rsid w:val="006440D9"/>
    <w:rsid w:val="00645510"/>
    <w:rsid w:val="00650FFE"/>
    <w:rsid w:val="006545AF"/>
    <w:rsid w:val="00671342"/>
    <w:rsid w:val="0068285B"/>
    <w:rsid w:val="00693943"/>
    <w:rsid w:val="006A383A"/>
    <w:rsid w:val="006A43B0"/>
    <w:rsid w:val="006A6D84"/>
    <w:rsid w:val="006C1E75"/>
    <w:rsid w:val="006D3C22"/>
    <w:rsid w:val="006D59AD"/>
    <w:rsid w:val="006E1946"/>
    <w:rsid w:val="006F114B"/>
    <w:rsid w:val="007308A8"/>
    <w:rsid w:val="00744CF3"/>
    <w:rsid w:val="007511E6"/>
    <w:rsid w:val="007608A7"/>
    <w:rsid w:val="00762CC2"/>
    <w:rsid w:val="0076403D"/>
    <w:rsid w:val="007750E6"/>
    <w:rsid w:val="00784EAC"/>
    <w:rsid w:val="00795D6F"/>
    <w:rsid w:val="007A53D5"/>
    <w:rsid w:val="007C2D07"/>
    <w:rsid w:val="007C4AD0"/>
    <w:rsid w:val="007D25D1"/>
    <w:rsid w:val="007D65D1"/>
    <w:rsid w:val="007E3D02"/>
    <w:rsid w:val="007E7136"/>
    <w:rsid w:val="007E7A32"/>
    <w:rsid w:val="007F1DE0"/>
    <w:rsid w:val="007F4359"/>
    <w:rsid w:val="00802935"/>
    <w:rsid w:val="008161F6"/>
    <w:rsid w:val="00827B24"/>
    <w:rsid w:val="00830A6B"/>
    <w:rsid w:val="0084266B"/>
    <w:rsid w:val="0084398E"/>
    <w:rsid w:val="0085513F"/>
    <w:rsid w:val="00855461"/>
    <w:rsid w:val="008600FD"/>
    <w:rsid w:val="00866900"/>
    <w:rsid w:val="00866A4A"/>
    <w:rsid w:val="00867BCC"/>
    <w:rsid w:val="008A47E2"/>
    <w:rsid w:val="008C5D01"/>
    <w:rsid w:val="008D3394"/>
    <w:rsid w:val="008D3B4E"/>
    <w:rsid w:val="008D7466"/>
    <w:rsid w:val="008E09BC"/>
    <w:rsid w:val="008F3A20"/>
    <w:rsid w:val="008F4420"/>
    <w:rsid w:val="008F794A"/>
    <w:rsid w:val="00910C20"/>
    <w:rsid w:val="00923908"/>
    <w:rsid w:val="00931D1B"/>
    <w:rsid w:val="009334AD"/>
    <w:rsid w:val="009349EB"/>
    <w:rsid w:val="00935706"/>
    <w:rsid w:val="009462AE"/>
    <w:rsid w:val="00950033"/>
    <w:rsid w:val="00964A9F"/>
    <w:rsid w:val="009848FD"/>
    <w:rsid w:val="009A117E"/>
    <w:rsid w:val="009A2AE4"/>
    <w:rsid w:val="009A374D"/>
    <w:rsid w:val="009B4DCD"/>
    <w:rsid w:val="009F7C43"/>
    <w:rsid w:val="00A0327E"/>
    <w:rsid w:val="00A047C9"/>
    <w:rsid w:val="00A04BA0"/>
    <w:rsid w:val="00A06A39"/>
    <w:rsid w:val="00A30E17"/>
    <w:rsid w:val="00A44732"/>
    <w:rsid w:val="00A46C9F"/>
    <w:rsid w:val="00A47148"/>
    <w:rsid w:val="00A5341F"/>
    <w:rsid w:val="00A53422"/>
    <w:rsid w:val="00A62B79"/>
    <w:rsid w:val="00A66F57"/>
    <w:rsid w:val="00A714C7"/>
    <w:rsid w:val="00A74C35"/>
    <w:rsid w:val="00A7522C"/>
    <w:rsid w:val="00A904DA"/>
    <w:rsid w:val="00AA595A"/>
    <w:rsid w:val="00AA7315"/>
    <w:rsid w:val="00AB4025"/>
    <w:rsid w:val="00AB420D"/>
    <w:rsid w:val="00AC3856"/>
    <w:rsid w:val="00AE1720"/>
    <w:rsid w:val="00AE3142"/>
    <w:rsid w:val="00AE6C7B"/>
    <w:rsid w:val="00AF316B"/>
    <w:rsid w:val="00AF7A66"/>
    <w:rsid w:val="00B033BC"/>
    <w:rsid w:val="00B21F82"/>
    <w:rsid w:val="00B332DD"/>
    <w:rsid w:val="00B46751"/>
    <w:rsid w:val="00B7401A"/>
    <w:rsid w:val="00B74D33"/>
    <w:rsid w:val="00B83E27"/>
    <w:rsid w:val="00B873E1"/>
    <w:rsid w:val="00B920DB"/>
    <w:rsid w:val="00BA3D54"/>
    <w:rsid w:val="00BA6B63"/>
    <w:rsid w:val="00BC0E1C"/>
    <w:rsid w:val="00BC1153"/>
    <w:rsid w:val="00BC1AD3"/>
    <w:rsid w:val="00BC3F1D"/>
    <w:rsid w:val="00BD06A7"/>
    <w:rsid w:val="00BD3AEC"/>
    <w:rsid w:val="00BD3C97"/>
    <w:rsid w:val="00BE185D"/>
    <w:rsid w:val="00BE58ED"/>
    <w:rsid w:val="00BE6CB2"/>
    <w:rsid w:val="00BF1C98"/>
    <w:rsid w:val="00C17588"/>
    <w:rsid w:val="00C25EDA"/>
    <w:rsid w:val="00C3016A"/>
    <w:rsid w:val="00C333A5"/>
    <w:rsid w:val="00C4388B"/>
    <w:rsid w:val="00C43B8A"/>
    <w:rsid w:val="00C447E3"/>
    <w:rsid w:val="00C517CA"/>
    <w:rsid w:val="00C53E87"/>
    <w:rsid w:val="00C545AC"/>
    <w:rsid w:val="00C56613"/>
    <w:rsid w:val="00C635A8"/>
    <w:rsid w:val="00C70497"/>
    <w:rsid w:val="00C70E03"/>
    <w:rsid w:val="00C75F94"/>
    <w:rsid w:val="00C779CC"/>
    <w:rsid w:val="00CA2DA5"/>
    <w:rsid w:val="00CA3E12"/>
    <w:rsid w:val="00CA6624"/>
    <w:rsid w:val="00CC23D8"/>
    <w:rsid w:val="00CC349E"/>
    <w:rsid w:val="00CC38A7"/>
    <w:rsid w:val="00CC54A5"/>
    <w:rsid w:val="00CE15DA"/>
    <w:rsid w:val="00D02700"/>
    <w:rsid w:val="00D02D0C"/>
    <w:rsid w:val="00D2484A"/>
    <w:rsid w:val="00D455FC"/>
    <w:rsid w:val="00D5399A"/>
    <w:rsid w:val="00D6111D"/>
    <w:rsid w:val="00D65441"/>
    <w:rsid w:val="00D80932"/>
    <w:rsid w:val="00D920D3"/>
    <w:rsid w:val="00D9776F"/>
    <w:rsid w:val="00DA4130"/>
    <w:rsid w:val="00DB5CB7"/>
    <w:rsid w:val="00DC1097"/>
    <w:rsid w:val="00DE28EE"/>
    <w:rsid w:val="00DE5B66"/>
    <w:rsid w:val="00E03607"/>
    <w:rsid w:val="00E03B0D"/>
    <w:rsid w:val="00E12B34"/>
    <w:rsid w:val="00E253D3"/>
    <w:rsid w:val="00E32C2B"/>
    <w:rsid w:val="00E37E7E"/>
    <w:rsid w:val="00E402B9"/>
    <w:rsid w:val="00E41685"/>
    <w:rsid w:val="00E4472A"/>
    <w:rsid w:val="00E462AD"/>
    <w:rsid w:val="00E46BD7"/>
    <w:rsid w:val="00E60776"/>
    <w:rsid w:val="00E63F2B"/>
    <w:rsid w:val="00E718BC"/>
    <w:rsid w:val="00E964FC"/>
    <w:rsid w:val="00EA1370"/>
    <w:rsid w:val="00EA21BF"/>
    <w:rsid w:val="00EA4303"/>
    <w:rsid w:val="00EA5F92"/>
    <w:rsid w:val="00EB475C"/>
    <w:rsid w:val="00EC2A09"/>
    <w:rsid w:val="00EC477D"/>
    <w:rsid w:val="00ED28EC"/>
    <w:rsid w:val="00EE1593"/>
    <w:rsid w:val="00F1287B"/>
    <w:rsid w:val="00F15C95"/>
    <w:rsid w:val="00F164D2"/>
    <w:rsid w:val="00F25897"/>
    <w:rsid w:val="00F303DB"/>
    <w:rsid w:val="00F34397"/>
    <w:rsid w:val="00F37AFB"/>
    <w:rsid w:val="00F409FD"/>
    <w:rsid w:val="00F804D0"/>
    <w:rsid w:val="00F80999"/>
    <w:rsid w:val="00F870AA"/>
    <w:rsid w:val="00F956FC"/>
    <w:rsid w:val="00F95D7E"/>
    <w:rsid w:val="00FC023F"/>
    <w:rsid w:val="00FC07A4"/>
    <w:rsid w:val="00FC0914"/>
    <w:rsid w:val="00FC10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11E6"/>
  </w:style>
  <w:style w:type="paragraph" w:styleId="Heading1">
    <w:name w:val="heading 1"/>
    <w:basedOn w:val="Normal"/>
    <w:next w:val="Normal"/>
    <w:qFormat/>
    <w:rsid w:val="007511E6"/>
    <w:pPr>
      <w:keepNext/>
      <w:jc w:val="center"/>
      <w:outlineLvl w:val="0"/>
    </w:pPr>
    <w:rPr>
      <w:b/>
      <w:sz w:val="24"/>
    </w:rPr>
  </w:style>
  <w:style w:type="paragraph" w:styleId="Heading2">
    <w:name w:val="heading 2"/>
    <w:basedOn w:val="Normal"/>
    <w:next w:val="Normal"/>
    <w:qFormat/>
    <w:rsid w:val="007511E6"/>
    <w:pPr>
      <w:keepNext/>
      <w:spacing w:line="360" w:lineRule="auto"/>
      <w:outlineLvl w:val="1"/>
    </w:pPr>
    <w:rPr>
      <w:sz w:val="26"/>
      <w:u w:val="single"/>
    </w:rPr>
  </w:style>
  <w:style w:type="paragraph" w:styleId="Heading3">
    <w:name w:val="heading 3"/>
    <w:basedOn w:val="Normal"/>
    <w:next w:val="Normal"/>
    <w:qFormat/>
    <w:rsid w:val="007511E6"/>
    <w:pPr>
      <w:keepNext/>
      <w:jc w:val="center"/>
      <w:outlineLvl w:val="2"/>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511E6"/>
    <w:pPr>
      <w:jc w:val="center"/>
    </w:pPr>
    <w:rPr>
      <w:b/>
      <w:sz w:val="24"/>
    </w:rPr>
  </w:style>
  <w:style w:type="paragraph" w:styleId="BodyText">
    <w:name w:val="Body Text"/>
    <w:basedOn w:val="Normal"/>
    <w:rsid w:val="007511E6"/>
    <w:pPr>
      <w:spacing w:line="360" w:lineRule="auto"/>
    </w:pPr>
    <w:rPr>
      <w:sz w:val="24"/>
    </w:rPr>
  </w:style>
  <w:style w:type="paragraph" w:styleId="Footer">
    <w:name w:val="footer"/>
    <w:basedOn w:val="Normal"/>
    <w:rsid w:val="007511E6"/>
    <w:pPr>
      <w:tabs>
        <w:tab w:val="center" w:pos="4320"/>
        <w:tab w:val="right" w:pos="8640"/>
      </w:tabs>
    </w:pPr>
    <w:rPr>
      <w:sz w:val="26"/>
    </w:rPr>
  </w:style>
  <w:style w:type="paragraph" w:styleId="FootnoteText">
    <w:name w:val="footnote text"/>
    <w:basedOn w:val="Normal"/>
    <w:semiHidden/>
    <w:rsid w:val="007511E6"/>
  </w:style>
  <w:style w:type="character" w:styleId="FootnoteReference">
    <w:name w:val="footnote reference"/>
    <w:basedOn w:val="DefaultParagraphFont"/>
    <w:semiHidden/>
    <w:rsid w:val="007511E6"/>
    <w:rPr>
      <w:vertAlign w:val="superscript"/>
    </w:rPr>
  </w:style>
  <w:style w:type="paragraph" w:styleId="BodyTextIndent2">
    <w:name w:val="Body Text Indent 2"/>
    <w:basedOn w:val="Normal"/>
    <w:rsid w:val="007511E6"/>
    <w:pPr>
      <w:spacing w:line="360" w:lineRule="auto"/>
      <w:ind w:firstLine="720"/>
    </w:pPr>
    <w:rPr>
      <w:sz w:val="26"/>
    </w:rPr>
  </w:style>
  <w:style w:type="paragraph" w:styleId="BodyTextIndent3">
    <w:name w:val="Body Text Indent 3"/>
    <w:basedOn w:val="Normal"/>
    <w:rsid w:val="007511E6"/>
    <w:pPr>
      <w:ind w:left="1080" w:hanging="360"/>
    </w:pPr>
    <w:rPr>
      <w:sz w:val="22"/>
    </w:rPr>
  </w:style>
  <w:style w:type="character" w:styleId="PageNumber">
    <w:name w:val="page number"/>
    <w:basedOn w:val="DefaultParagraphFont"/>
    <w:rsid w:val="007511E6"/>
  </w:style>
  <w:style w:type="paragraph" w:styleId="BalloonText">
    <w:name w:val="Balloon Text"/>
    <w:basedOn w:val="Normal"/>
    <w:semiHidden/>
    <w:rsid w:val="00083F56"/>
    <w:rPr>
      <w:rFonts w:ascii="Tahoma" w:hAnsi="Tahoma" w:cs="Tahoma"/>
      <w:sz w:val="16"/>
      <w:szCs w:val="16"/>
    </w:rPr>
  </w:style>
  <w:style w:type="paragraph" w:customStyle="1" w:styleId="p17">
    <w:name w:val="p17"/>
    <w:basedOn w:val="Normal"/>
    <w:rsid w:val="007E3D02"/>
    <w:pPr>
      <w:widowControl w:val="0"/>
      <w:tabs>
        <w:tab w:val="left" w:pos="5057"/>
      </w:tabs>
      <w:autoSpaceDE w:val="0"/>
      <w:autoSpaceDN w:val="0"/>
      <w:adjustRightInd w:val="0"/>
      <w:ind w:left="3617"/>
    </w:pPr>
    <w:rPr>
      <w:sz w:val="24"/>
      <w:szCs w:val="24"/>
    </w:rPr>
  </w:style>
  <w:style w:type="paragraph" w:customStyle="1" w:styleId="p18">
    <w:name w:val="p18"/>
    <w:basedOn w:val="Normal"/>
    <w:rsid w:val="007E3D02"/>
    <w:pPr>
      <w:widowControl w:val="0"/>
      <w:tabs>
        <w:tab w:val="left" w:pos="5062"/>
      </w:tabs>
      <w:autoSpaceDE w:val="0"/>
      <w:autoSpaceDN w:val="0"/>
      <w:adjustRightInd w:val="0"/>
      <w:ind w:left="3622"/>
    </w:pPr>
    <w:rPr>
      <w:sz w:val="24"/>
      <w:szCs w:val="24"/>
    </w:rPr>
  </w:style>
  <w:style w:type="paragraph" w:styleId="ListParagraph">
    <w:name w:val="List Paragraph"/>
    <w:basedOn w:val="Normal"/>
    <w:uiPriority w:val="34"/>
    <w:qFormat/>
    <w:rsid w:val="003E31C6"/>
    <w:pPr>
      <w:ind w:left="720"/>
      <w:contextualSpacing/>
    </w:pPr>
  </w:style>
</w:styles>
</file>

<file path=word/webSettings.xml><?xml version="1.0" encoding="utf-8"?>
<w:webSettings xmlns:r="http://schemas.openxmlformats.org/officeDocument/2006/relationships" xmlns:w="http://schemas.openxmlformats.org/wordprocessingml/2006/main">
  <w:divs>
    <w:div w:id="1660961609">
      <w:bodyDiv w:val="1"/>
      <w:marLeft w:val="0"/>
      <w:marRight w:val="0"/>
      <w:marTop w:val="0"/>
      <w:marBottom w:val="0"/>
      <w:divBdr>
        <w:top w:val="none" w:sz="0" w:space="0" w:color="auto"/>
        <w:left w:val="none" w:sz="0" w:space="0" w:color="auto"/>
        <w:bottom w:val="none" w:sz="0" w:space="0" w:color="auto"/>
        <w:right w:val="none" w:sz="0" w:space="0" w:color="auto"/>
      </w:divBdr>
    </w:div>
    <w:div w:id="2000226974">
      <w:bodyDiv w:val="1"/>
      <w:marLeft w:val="0"/>
      <w:marRight w:val="0"/>
      <w:marTop w:val="0"/>
      <w:marBottom w:val="0"/>
      <w:divBdr>
        <w:top w:val="none" w:sz="0" w:space="0" w:color="auto"/>
        <w:left w:val="none" w:sz="0" w:space="0" w:color="auto"/>
        <w:bottom w:val="none" w:sz="0" w:space="0" w:color="auto"/>
        <w:right w:val="none" w:sz="0" w:space="0" w:color="auto"/>
      </w:divBdr>
    </w:div>
    <w:div w:id="212638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64C6A-BFD4-461C-846D-D07B52478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PUBLIC UTILITY COMMISSION</vt:lpstr>
    </vt:vector>
  </TitlesOfParts>
  <Company>PA PUC</Company>
  <LinksUpToDate>false</LinksUpToDate>
  <CharactersWithSpaces>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UTILITY COMMISSION</dc:title>
  <dc:subject/>
  <dc:creator>BARNES</dc:creator>
  <cp:keywords/>
  <dc:description/>
  <cp:lastModifiedBy>Administrator</cp:lastModifiedBy>
  <cp:revision>4</cp:revision>
  <cp:lastPrinted>2010-12-14T12:55:00Z</cp:lastPrinted>
  <dcterms:created xsi:type="dcterms:W3CDTF">2010-12-13T20:25:00Z</dcterms:created>
  <dcterms:modified xsi:type="dcterms:W3CDTF">2010-12-14T12:55:00Z</dcterms:modified>
</cp:coreProperties>
</file>