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60" w:rsidRDefault="002439CF" w:rsidP="002439CF">
      <w:pPr>
        <w:spacing w:line="240" w:lineRule="auto"/>
        <w:contextualSpacing/>
        <w:rPr>
          <w:b/>
        </w:rPr>
      </w:pPr>
      <w:r>
        <w:rPr>
          <w:b/>
        </w:rPr>
        <w:t>BEFORE THE</w:t>
      </w:r>
    </w:p>
    <w:p w:rsidR="002439CF" w:rsidRDefault="002439CF" w:rsidP="002439CF">
      <w:pPr>
        <w:spacing w:line="240" w:lineRule="auto"/>
        <w:contextualSpacing/>
        <w:rPr>
          <w:b/>
        </w:rPr>
      </w:pPr>
      <w:r>
        <w:rPr>
          <w:b/>
        </w:rPr>
        <w:t>PENNSYLVANIA PUBLIC UTILITY COMMISSION</w:t>
      </w:r>
    </w:p>
    <w:p w:rsidR="002439CF" w:rsidRDefault="002439CF" w:rsidP="002439CF">
      <w:pPr>
        <w:spacing w:line="240" w:lineRule="auto"/>
        <w:contextualSpacing/>
        <w:rPr>
          <w:b/>
        </w:rPr>
      </w:pPr>
    </w:p>
    <w:p w:rsidR="002439CF" w:rsidRDefault="002439CF" w:rsidP="002439CF">
      <w:pPr>
        <w:spacing w:line="240" w:lineRule="auto"/>
        <w:contextualSpacing/>
        <w:jc w:val="left"/>
      </w:pPr>
    </w:p>
    <w:p w:rsidR="002439CF" w:rsidRDefault="002439CF" w:rsidP="002439CF">
      <w:pPr>
        <w:spacing w:line="240" w:lineRule="auto"/>
        <w:contextualSpacing/>
        <w:jc w:val="left"/>
      </w:pPr>
    </w:p>
    <w:p w:rsidR="002439CF" w:rsidRDefault="002439CF" w:rsidP="002439CF">
      <w:pPr>
        <w:spacing w:line="240" w:lineRule="auto"/>
        <w:contextualSpacing/>
        <w:jc w:val="left"/>
      </w:pPr>
      <w:r>
        <w:t>Paul Smith</w:t>
      </w:r>
      <w:r>
        <w:tab/>
      </w:r>
      <w:r>
        <w:tab/>
      </w:r>
      <w:r>
        <w:tab/>
      </w:r>
      <w:r>
        <w:tab/>
      </w:r>
      <w:r>
        <w:tab/>
        <w:t>:</w:t>
      </w:r>
    </w:p>
    <w:p w:rsidR="002439CF" w:rsidRDefault="002439CF" w:rsidP="002439CF">
      <w:pPr>
        <w:spacing w:line="240" w:lineRule="auto"/>
        <w:contextualSpacing/>
        <w:jc w:val="left"/>
      </w:pPr>
      <w:r>
        <w:tab/>
      </w:r>
      <w:r>
        <w:tab/>
      </w:r>
      <w:r>
        <w:tab/>
      </w:r>
      <w:r>
        <w:tab/>
      </w:r>
      <w:r>
        <w:tab/>
      </w:r>
      <w:r>
        <w:tab/>
        <w:t>:</w:t>
      </w:r>
    </w:p>
    <w:p w:rsidR="002439CF" w:rsidRDefault="002439CF" w:rsidP="002439CF">
      <w:pPr>
        <w:spacing w:line="240" w:lineRule="auto"/>
        <w:contextualSpacing/>
        <w:jc w:val="left"/>
      </w:pPr>
      <w:r>
        <w:tab/>
        <w:t>v.</w:t>
      </w:r>
      <w:r>
        <w:tab/>
      </w:r>
      <w:r>
        <w:tab/>
      </w:r>
      <w:r>
        <w:tab/>
      </w:r>
      <w:r>
        <w:tab/>
      </w:r>
      <w:r>
        <w:tab/>
        <w:t>:</w:t>
      </w:r>
      <w:r>
        <w:tab/>
      </w:r>
      <w:r>
        <w:tab/>
      </w:r>
      <w:r>
        <w:tab/>
        <w:t>C-2010-2203000</w:t>
      </w:r>
    </w:p>
    <w:p w:rsidR="002439CF" w:rsidRDefault="002439CF" w:rsidP="002439CF">
      <w:pPr>
        <w:spacing w:line="240" w:lineRule="auto"/>
        <w:contextualSpacing/>
        <w:jc w:val="left"/>
      </w:pPr>
      <w:r>
        <w:tab/>
      </w:r>
      <w:r>
        <w:tab/>
      </w:r>
      <w:r>
        <w:tab/>
      </w:r>
      <w:r>
        <w:tab/>
      </w:r>
      <w:r>
        <w:tab/>
      </w:r>
      <w:r>
        <w:tab/>
        <w:t>:</w:t>
      </w:r>
    </w:p>
    <w:p w:rsidR="002439CF" w:rsidRDefault="002439CF" w:rsidP="002439CF">
      <w:pPr>
        <w:spacing w:line="240" w:lineRule="auto"/>
        <w:contextualSpacing/>
        <w:jc w:val="left"/>
      </w:pPr>
      <w:r>
        <w:t>National Fuel Gas Distribution Company</w:t>
      </w:r>
      <w:r>
        <w:tab/>
        <w:t>:</w:t>
      </w:r>
    </w:p>
    <w:p w:rsidR="002439CF" w:rsidRDefault="002439CF" w:rsidP="002439CF">
      <w:pPr>
        <w:spacing w:line="240" w:lineRule="auto"/>
        <w:contextualSpacing/>
        <w:jc w:val="left"/>
      </w:pPr>
    </w:p>
    <w:p w:rsidR="00AB36A0" w:rsidRDefault="00AB36A0" w:rsidP="002439CF">
      <w:pPr>
        <w:spacing w:line="240" w:lineRule="auto"/>
        <w:contextualSpacing/>
        <w:jc w:val="left"/>
      </w:pPr>
    </w:p>
    <w:p w:rsidR="002439CF" w:rsidRDefault="002439CF" w:rsidP="002439CF">
      <w:pPr>
        <w:spacing w:line="240" w:lineRule="auto"/>
        <w:contextualSpacing/>
        <w:jc w:val="left"/>
      </w:pPr>
    </w:p>
    <w:p w:rsidR="002439CF" w:rsidRDefault="002439CF" w:rsidP="002439CF">
      <w:pPr>
        <w:spacing w:line="240" w:lineRule="auto"/>
        <w:contextualSpacing/>
        <w:rPr>
          <w:b/>
        </w:rPr>
      </w:pPr>
      <w:r>
        <w:rPr>
          <w:b/>
        </w:rPr>
        <w:t>ORDER DENYING PRELIMINARY OBJECTIONS</w:t>
      </w:r>
    </w:p>
    <w:p w:rsidR="002439CF" w:rsidRDefault="002439CF" w:rsidP="002439CF">
      <w:pPr>
        <w:spacing w:line="240" w:lineRule="auto"/>
        <w:contextualSpacing/>
        <w:rPr>
          <w:b/>
        </w:rPr>
      </w:pPr>
    </w:p>
    <w:p w:rsidR="002439CF" w:rsidRDefault="002439CF" w:rsidP="002439CF">
      <w:pPr>
        <w:spacing w:line="240" w:lineRule="auto"/>
        <w:contextualSpacing/>
        <w:rPr>
          <w:b/>
        </w:rPr>
      </w:pPr>
    </w:p>
    <w:p w:rsidR="002439CF" w:rsidRDefault="002439CF" w:rsidP="002439CF">
      <w:pPr>
        <w:spacing w:line="240" w:lineRule="auto"/>
        <w:contextualSpacing/>
        <w:rPr>
          <w:u w:val="single"/>
        </w:rPr>
      </w:pPr>
      <w:r>
        <w:rPr>
          <w:u w:val="single"/>
        </w:rPr>
        <w:t>HISTORY OF THE PROCEEDING</w:t>
      </w:r>
    </w:p>
    <w:p w:rsidR="002439CF" w:rsidRDefault="002439CF" w:rsidP="002439CF">
      <w:pPr>
        <w:spacing w:line="240" w:lineRule="auto"/>
        <w:contextualSpacing/>
        <w:rPr>
          <w:u w:val="single"/>
        </w:rPr>
      </w:pPr>
    </w:p>
    <w:p w:rsidR="002439CF" w:rsidRDefault="002439CF" w:rsidP="002439CF">
      <w:pPr>
        <w:contextualSpacing/>
        <w:jc w:val="left"/>
      </w:pPr>
    </w:p>
    <w:p w:rsidR="00632C76" w:rsidRDefault="002439CF" w:rsidP="002439CF">
      <w:pPr>
        <w:contextualSpacing/>
        <w:jc w:val="left"/>
      </w:pPr>
      <w:r>
        <w:tab/>
      </w:r>
      <w:r>
        <w:tab/>
        <w:t>On October 4, 2010, Paul Smith (Complainant) filed a formal Complaint against National Fuel Gas Distribution Company (NFG or Respondent) alleging that the balance transferred to his account from a prior account of his wife should be assigned to his wife’s ex-husband, in full or in part</w:t>
      </w:r>
      <w:r w:rsidR="00632C76">
        <w:t>, due to the circumstances surrounding the situation</w:t>
      </w:r>
      <w:r>
        <w:t>.</w:t>
      </w:r>
      <w:r w:rsidR="00632C76">
        <w:t xml:space="preserve">  The amount is causing economic hardship to his family, including termination notices from NFG.</w:t>
      </w:r>
    </w:p>
    <w:p w:rsidR="00632C76" w:rsidRDefault="00632C76" w:rsidP="002439CF">
      <w:pPr>
        <w:contextualSpacing/>
        <w:jc w:val="left"/>
      </w:pPr>
    </w:p>
    <w:p w:rsidR="008F4299" w:rsidRDefault="00632C76" w:rsidP="002439CF">
      <w:pPr>
        <w:contextualSpacing/>
        <w:jc w:val="left"/>
      </w:pPr>
      <w:r>
        <w:tab/>
      </w:r>
      <w:r>
        <w:tab/>
        <w:t xml:space="preserve">NFG was served with the Complaint on October 7, 2010 and filed its Answer &amp; New Matter and Preliminary Objections </w:t>
      </w:r>
      <w:r w:rsidR="00D329CD">
        <w:t xml:space="preserve">(POs) </w:t>
      </w:r>
      <w:r>
        <w:t xml:space="preserve">on October 25, 2010.  </w:t>
      </w:r>
      <w:r w:rsidR="009E3537">
        <w:t>The Answer denies incorrect charges</w:t>
      </w:r>
      <w:r w:rsidR="008F4299">
        <w:t xml:space="preserve"> or uncooperative behavior from the Respondent.  The New Matter avers that the Complaint raises the same issues as in Complainant’s action at </w:t>
      </w:r>
      <w:r w:rsidR="00D329CD">
        <w:t xml:space="preserve">Bureau of Consumer </w:t>
      </w:r>
      <w:r w:rsidR="007517D8">
        <w:t>Services (</w:t>
      </w:r>
      <w:r w:rsidR="008F4299">
        <w:t>BCS</w:t>
      </w:r>
      <w:r w:rsidR="00D329CD">
        <w:t>)</w:t>
      </w:r>
      <w:r w:rsidR="008F4299">
        <w:t xml:space="preserve"> No. 2638720 and claims the affirmative defense of res judicata.  </w:t>
      </w:r>
    </w:p>
    <w:p w:rsidR="008F4299" w:rsidRDefault="008F4299" w:rsidP="002439CF">
      <w:pPr>
        <w:contextualSpacing/>
        <w:jc w:val="left"/>
      </w:pPr>
    </w:p>
    <w:p w:rsidR="002439CF" w:rsidRDefault="008F4299" w:rsidP="002439CF">
      <w:pPr>
        <w:contextualSpacing/>
        <w:jc w:val="left"/>
      </w:pPr>
      <w:r>
        <w:tab/>
      </w:r>
      <w:r>
        <w:tab/>
        <w:t xml:space="preserve">The Preliminary Objections </w:t>
      </w:r>
      <w:r w:rsidR="00D329CD">
        <w:t>outline dates on which Complainant filed informal complaints with the Commission’s BCS and the contents of the informals, avers that the filing of the formal Complaint was not timely and therefore, the BCS decision is a final Commission order which prevents the Commission from considering the formal Complaint regarding the same subject matter.  The POs</w:t>
      </w:r>
      <w:r w:rsidR="00033673">
        <w:t xml:space="preserve"> seek dismissal of the Complaint.</w:t>
      </w:r>
    </w:p>
    <w:p w:rsidR="00033673" w:rsidRDefault="00033673" w:rsidP="002439CF">
      <w:pPr>
        <w:contextualSpacing/>
        <w:jc w:val="left"/>
      </w:pPr>
    </w:p>
    <w:p w:rsidR="00033673" w:rsidRDefault="00033673" w:rsidP="002439CF">
      <w:pPr>
        <w:contextualSpacing/>
        <w:jc w:val="left"/>
      </w:pPr>
      <w:r>
        <w:lastRenderedPageBreak/>
        <w:tab/>
      </w:r>
      <w:r>
        <w:tab/>
        <w:t xml:space="preserve">The time for filing a response has passed, and </w:t>
      </w:r>
      <w:r w:rsidR="00915919">
        <w:t>the POs are ready for decision.</w:t>
      </w:r>
    </w:p>
    <w:p w:rsidR="00915919" w:rsidRDefault="00915919" w:rsidP="002439CF">
      <w:pPr>
        <w:contextualSpacing/>
        <w:jc w:val="left"/>
      </w:pPr>
    </w:p>
    <w:p w:rsidR="00915919" w:rsidRDefault="00915919" w:rsidP="00915919">
      <w:pPr>
        <w:contextualSpacing/>
        <w:rPr>
          <w:u w:val="single"/>
        </w:rPr>
      </w:pPr>
      <w:r>
        <w:rPr>
          <w:u w:val="single"/>
        </w:rPr>
        <w:t>DISCUSSION</w:t>
      </w:r>
    </w:p>
    <w:p w:rsidR="00915919" w:rsidRDefault="00915919" w:rsidP="00915919">
      <w:pPr>
        <w:contextualSpacing/>
        <w:rPr>
          <w:u w:val="single"/>
        </w:rPr>
      </w:pPr>
    </w:p>
    <w:p w:rsidR="00915919" w:rsidRDefault="00915919" w:rsidP="00915919">
      <w:pPr>
        <w:jc w:val="left"/>
        <w:rPr>
          <w:rFonts w:eastAsia="Calibri"/>
        </w:rPr>
      </w:pPr>
      <w:r>
        <w:tab/>
      </w:r>
      <w:r>
        <w:tab/>
      </w:r>
      <w:r>
        <w:rPr>
          <w:rFonts w:eastAsia="Calibri"/>
        </w:rPr>
        <w:t xml:space="preserve">Commission preliminary objection practice is similar to Pennsylvania civil practice.  </w:t>
      </w:r>
      <w:r>
        <w:rPr>
          <w:rFonts w:eastAsia="Calibri"/>
          <w:i/>
        </w:rPr>
        <w:t xml:space="preserve">Equitable Small Transportation Interveners v. Equitable Gas Company, </w:t>
      </w:r>
      <w:r>
        <w:rPr>
          <w:rFonts w:eastAsia="Calibri"/>
        </w:rPr>
        <w:t xml:space="preserve">1994 </w:t>
      </w:r>
      <w:smartTag w:uri="urn:schemas-microsoft-com:office:smarttags" w:element="place">
        <w:smartTag w:uri="urn:schemas-microsoft-com:office:smarttags" w:element="State">
          <w:r>
            <w:rPr>
              <w:rFonts w:eastAsia="Calibri"/>
            </w:rPr>
            <w:t>Pa.</w:t>
          </w:r>
        </w:smartTag>
      </w:smartTag>
      <w:r>
        <w:rPr>
          <w:rFonts w:eastAsia="Calibri"/>
        </w:rPr>
        <w:t xml:space="preserve"> PUC LEXIS 69, PUC Docket No. C-000935435 (July 18, 1994). </w:t>
      </w:r>
      <w:r>
        <w:rPr>
          <w:rFonts w:eastAsia="Calibri"/>
        </w:rPr>
        <w:tab/>
        <w:t xml:space="preserve"> When considering the preliminary objection, the Commission must determine “whether the law says with certainty, based on well-pleaded factual averments . . . that no recovery or relief is possible.  </w:t>
      </w:r>
      <w:r>
        <w:rPr>
          <w:rFonts w:eastAsia="Calibri"/>
          <w:i/>
        </w:rPr>
        <w:t xml:space="preserve">P. J. S. v. Pa. State Ethics Commission, </w:t>
      </w:r>
      <w:r>
        <w:rPr>
          <w:rFonts w:eastAsia="Calibri"/>
        </w:rPr>
        <w:t xml:space="preserve">669 A.2d 1105 (Pa. Cmwlth. 1996).  Any doubt must be resolved in favor of the non-moving party by refusing to sustain the preliminary objections.  </w:t>
      </w:r>
      <w:r>
        <w:rPr>
          <w:rFonts w:eastAsia="Calibri"/>
          <w:i/>
        </w:rPr>
        <w:t xml:space="preserve">Boyd v. Ward, </w:t>
      </w:r>
      <w:r>
        <w:rPr>
          <w:rFonts w:eastAsia="Calibri"/>
        </w:rPr>
        <w:t xml:space="preserve">802 A.2d 705 (Pa. Cmwlth. 2002).”  </w:t>
      </w:r>
      <w:r w:rsidRPr="00F87999">
        <w:rPr>
          <w:rFonts w:eastAsia="Calibri"/>
          <w:i/>
        </w:rPr>
        <w:t xml:space="preserve">Dept. of Auditor General, et al. v. State Employees’ Retirement System, et al., </w:t>
      </w:r>
      <w:r>
        <w:rPr>
          <w:rFonts w:eastAsia="Calibri"/>
        </w:rPr>
        <w:t xml:space="preserve">836 A.2d 1053, 1064 (Pa. Cmwlth. 2003).  </w:t>
      </w:r>
      <w:r>
        <w:rPr>
          <w:rFonts w:eastAsia="Calibri"/>
          <w:i/>
        </w:rPr>
        <w:t xml:space="preserve"> </w:t>
      </w:r>
    </w:p>
    <w:p w:rsidR="00915919" w:rsidRDefault="00915919" w:rsidP="00915919">
      <w:pPr>
        <w:rPr>
          <w:rFonts w:eastAsia="Calibri"/>
        </w:rPr>
      </w:pPr>
    </w:p>
    <w:p w:rsidR="00915919" w:rsidRDefault="00915919" w:rsidP="00915919">
      <w:pPr>
        <w:jc w:val="left"/>
        <w:rPr>
          <w:rFonts w:eastAsia="Calibri"/>
        </w:rPr>
      </w:pPr>
      <w:r>
        <w:rPr>
          <w:rFonts w:eastAsia="Calibri"/>
        </w:rPr>
        <w:tab/>
      </w:r>
      <w:r>
        <w:rPr>
          <w:rFonts w:eastAsia="Calibri"/>
        </w:rPr>
        <w:tab/>
        <w:t>The rules regard preliminary objections are simple and specific:</w:t>
      </w:r>
    </w:p>
    <w:p w:rsidR="00915919" w:rsidRDefault="00915919" w:rsidP="00915919">
      <w:pPr>
        <w:jc w:val="left"/>
        <w:rPr>
          <w:rFonts w:eastAsia="Calibri"/>
        </w:rPr>
      </w:pPr>
    </w:p>
    <w:p w:rsidR="00915919" w:rsidRDefault="00915919" w:rsidP="00915919">
      <w:pPr>
        <w:spacing w:line="240" w:lineRule="auto"/>
        <w:ind w:left="1440" w:right="1440"/>
        <w:contextualSpacing/>
        <w:jc w:val="left"/>
        <w:rPr>
          <w:rFonts w:eastAsia="Calibri"/>
          <w:b/>
        </w:rPr>
      </w:pPr>
      <w:r>
        <w:rPr>
          <w:rFonts w:eastAsia="Calibri"/>
          <w:b/>
        </w:rPr>
        <w:t>§ 5.101.  Preliminary objections.</w:t>
      </w:r>
    </w:p>
    <w:p w:rsidR="00915919" w:rsidRDefault="00915919" w:rsidP="00915919">
      <w:pPr>
        <w:spacing w:line="240" w:lineRule="auto"/>
        <w:ind w:left="1440" w:right="1440"/>
        <w:contextualSpacing/>
        <w:jc w:val="left"/>
        <w:rPr>
          <w:rFonts w:eastAsia="Calibri"/>
        </w:rPr>
      </w:pPr>
      <w:r>
        <w:rPr>
          <w:rFonts w:eastAsia="Calibri"/>
        </w:rPr>
        <w:t>(a)</w:t>
      </w:r>
      <w:r>
        <w:rPr>
          <w:rFonts w:eastAsia="Calibri"/>
        </w:rPr>
        <w:tab/>
      </w:r>
      <w:r>
        <w:rPr>
          <w:rFonts w:eastAsia="Calibri"/>
          <w:i/>
        </w:rPr>
        <w:t>Grounds.</w:t>
      </w:r>
      <w:r>
        <w:rPr>
          <w:rFonts w:eastAsia="Calibri"/>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15919" w:rsidRDefault="00915919" w:rsidP="00915919">
      <w:pPr>
        <w:spacing w:line="240" w:lineRule="auto"/>
        <w:ind w:left="1440" w:right="1440"/>
        <w:contextualSpacing/>
        <w:jc w:val="left"/>
        <w:rPr>
          <w:rFonts w:eastAsia="Calibri"/>
          <w:i/>
        </w:rPr>
      </w:pPr>
    </w:p>
    <w:p w:rsidR="00915919" w:rsidRDefault="00915919" w:rsidP="00915919">
      <w:pPr>
        <w:spacing w:line="240" w:lineRule="auto"/>
        <w:ind w:left="1440" w:right="1440"/>
        <w:contextualSpacing/>
        <w:jc w:val="left"/>
        <w:rPr>
          <w:rFonts w:eastAsia="Calibri"/>
        </w:rPr>
      </w:pPr>
      <w:r>
        <w:rPr>
          <w:rFonts w:eastAsia="Calibri"/>
        </w:rPr>
        <w:t>(1)  Lack of Commission jurisdiction or improper service of the pleading initiating the proceeding.</w:t>
      </w:r>
    </w:p>
    <w:p w:rsidR="00915919" w:rsidRDefault="00915919" w:rsidP="00915919">
      <w:pPr>
        <w:spacing w:line="240" w:lineRule="auto"/>
        <w:ind w:left="1440" w:right="1440"/>
        <w:contextualSpacing/>
        <w:jc w:val="left"/>
        <w:rPr>
          <w:rFonts w:eastAsia="Calibri"/>
        </w:rPr>
      </w:pPr>
    </w:p>
    <w:p w:rsidR="00915919" w:rsidRDefault="00915919" w:rsidP="00915919">
      <w:pPr>
        <w:spacing w:line="240" w:lineRule="auto"/>
        <w:ind w:left="1440" w:right="1440"/>
        <w:contextualSpacing/>
        <w:jc w:val="left"/>
        <w:rPr>
          <w:rFonts w:eastAsia="Calibri"/>
        </w:rPr>
      </w:pPr>
      <w:r>
        <w:rPr>
          <w:rFonts w:eastAsia="Calibri"/>
        </w:rPr>
        <w:t>(2)  Failure of a pleading to conform to this chapter or the inclusion of scandalous or impertinent matter.</w:t>
      </w:r>
    </w:p>
    <w:p w:rsidR="00915919" w:rsidRDefault="00915919" w:rsidP="00915919">
      <w:pPr>
        <w:spacing w:line="240" w:lineRule="auto"/>
        <w:ind w:left="1440" w:right="1440"/>
        <w:contextualSpacing/>
        <w:jc w:val="left"/>
        <w:rPr>
          <w:rFonts w:eastAsia="Calibri"/>
        </w:rPr>
      </w:pPr>
    </w:p>
    <w:p w:rsidR="00915919" w:rsidRDefault="00915919" w:rsidP="00915919">
      <w:pPr>
        <w:spacing w:line="240" w:lineRule="auto"/>
        <w:ind w:left="1440" w:right="1440"/>
        <w:contextualSpacing/>
        <w:jc w:val="left"/>
        <w:rPr>
          <w:rFonts w:eastAsia="Calibri"/>
        </w:rPr>
      </w:pPr>
      <w:r>
        <w:rPr>
          <w:rFonts w:eastAsia="Calibri"/>
        </w:rPr>
        <w:t>(3)  Insufficient specificity of a pleading.</w:t>
      </w:r>
    </w:p>
    <w:p w:rsidR="00915919" w:rsidRDefault="00915919" w:rsidP="00915919">
      <w:pPr>
        <w:spacing w:line="240" w:lineRule="auto"/>
        <w:ind w:left="1440" w:right="1440"/>
        <w:contextualSpacing/>
        <w:jc w:val="left"/>
        <w:rPr>
          <w:rFonts w:eastAsia="Calibri"/>
        </w:rPr>
      </w:pPr>
    </w:p>
    <w:p w:rsidR="00915919" w:rsidRDefault="00915919" w:rsidP="00915919">
      <w:pPr>
        <w:spacing w:line="240" w:lineRule="auto"/>
        <w:ind w:left="1440" w:right="1440"/>
        <w:contextualSpacing/>
        <w:jc w:val="left"/>
        <w:rPr>
          <w:rFonts w:eastAsia="Calibri"/>
        </w:rPr>
      </w:pPr>
      <w:r>
        <w:rPr>
          <w:rFonts w:eastAsia="Calibri"/>
        </w:rPr>
        <w:t>(4)  Legal insufficiency of a pleading.</w:t>
      </w:r>
    </w:p>
    <w:p w:rsidR="00915919" w:rsidRDefault="00915919" w:rsidP="00915919">
      <w:pPr>
        <w:spacing w:line="240" w:lineRule="auto"/>
        <w:ind w:left="1440" w:right="1440"/>
        <w:contextualSpacing/>
        <w:jc w:val="left"/>
        <w:rPr>
          <w:rFonts w:eastAsia="Calibri"/>
        </w:rPr>
      </w:pPr>
    </w:p>
    <w:p w:rsidR="00915919" w:rsidRDefault="00915919" w:rsidP="00915919">
      <w:pPr>
        <w:spacing w:line="240" w:lineRule="auto"/>
        <w:ind w:left="1440" w:right="1440"/>
        <w:contextualSpacing/>
        <w:jc w:val="left"/>
        <w:rPr>
          <w:rFonts w:eastAsia="Calibri"/>
        </w:rPr>
      </w:pPr>
      <w:r>
        <w:rPr>
          <w:rFonts w:eastAsia="Calibri"/>
        </w:rPr>
        <w:t>(5) Lack of capacity to sue, nonjoinder of a necessary party or misjoinder of a cause of action.</w:t>
      </w:r>
    </w:p>
    <w:p w:rsidR="00915919" w:rsidRDefault="00915919" w:rsidP="00915919">
      <w:pPr>
        <w:spacing w:line="240" w:lineRule="auto"/>
        <w:ind w:left="1440" w:right="1440"/>
        <w:contextualSpacing/>
        <w:jc w:val="left"/>
        <w:rPr>
          <w:rFonts w:eastAsia="Calibri"/>
        </w:rPr>
      </w:pPr>
    </w:p>
    <w:p w:rsidR="00915919" w:rsidRDefault="00915919" w:rsidP="00915919">
      <w:pPr>
        <w:spacing w:line="240" w:lineRule="auto"/>
        <w:ind w:left="1440" w:right="1440"/>
        <w:contextualSpacing/>
        <w:jc w:val="left"/>
        <w:rPr>
          <w:rFonts w:eastAsia="Calibri"/>
        </w:rPr>
      </w:pPr>
      <w:r>
        <w:rPr>
          <w:rFonts w:eastAsia="Calibri"/>
        </w:rPr>
        <w:t>(6)  Pendency of a prior proceeding or agreement for alternative dispute resolution.</w:t>
      </w:r>
    </w:p>
    <w:p w:rsidR="00915919" w:rsidRPr="00D10A1C" w:rsidRDefault="00915919" w:rsidP="00915919">
      <w:pPr>
        <w:spacing w:line="240" w:lineRule="auto"/>
        <w:ind w:left="1440" w:right="1440"/>
        <w:contextualSpacing/>
        <w:rPr>
          <w:rFonts w:eastAsia="Calibri"/>
        </w:rPr>
      </w:pPr>
      <w:r>
        <w:rPr>
          <w:rFonts w:eastAsia="Calibri"/>
        </w:rPr>
        <w:lastRenderedPageBreak/>
        <w:t>* * *</w:t>
      </w:r>
    </w:p>
    <w:p w:rsidR="00915919" w:rsidRDefault="00915919" w:rsidP="00915919">
      <w:pPr>
        <w:spacing w:line="240" w:lineRule="auto"/>
        <w:ind w:left="1440" w:right="1440"/>
        <w:contextualSpacing/>
        <w:jc w:val="left"/>
        <w:rPr>
          <w:rFonts w:eastAsia="Calibri"/>
        </w:rPr>
      </w:pPr>
      <w:r>
        <w:rPr>
          <w:rFonts w:eastAsia="Calibri"/>
        </w:rPr>
        <w:t xml:space="preserve">52 Pa. Code § 5.101(a).  </w:t>
      </w:r>
    </w:p>
    <w:p w:rsidR="00915919" w:rsidRDefault="00915919" w:rsidP="00915919">
      <w:pPr>
        <w:ind w:left="1440" w:right="1440"/>
        <w:jc w:val="left"/>
        <w:rPr>
          <w:rFonts w:eastAsia="Calibri"/>
        </w:rPr>
      </w:pPr>
    </w:p>
    <w:p w:rsidR="00915919" w:rsidRPr="003E75C6" w:rsidRDefault="00915919" w:rsidP="00915919">
      <w:pPr>
        <w:jc w:val="left"/>
        <w:rPr>
          <w:rFonts w:eastAsia="Calibri"/>
        </w:rPr>
      </w:pPr>
      <w:r w:rsidRPr="003E75C6">
        <w:rPr>
          <w:rFonts w:eastAsia="Calibri"/>
        </w:rPr>
        <w:tab/>
      </w:r>
      <w:r>
        <w:rPr>
          <w:rFonts w:eastAsia="Calibri"/>
        </w:rPr>
        <w:tab/>
      </w:r>
      <w:r w:rsidRPr="003E75C6">
        <w:rPr>
          <w:rFonts w:eastAsia="Calibri"/>
        </w:rPr>
        <w:t xml:space="preserve">In deciding the preliminary objections, the Commission must determine whether, based on well-pleaded factual averments of the Petitioners, recovery or relief is possible.  </w:t>
      </w:r>
      <w:r w:rsidRPr="003E75C6">
        <w:rPr>
          <w:rFonts w:eastAsia="Calibri"/>
          <w:i/>
        </w:rPr>
        <w:t>Dept. of Auditor General, et al v. SERS, et al.</w:t>
      </w:r>
      <w:r w:rsidRPr="003E75C6">
        <w:rPr>
          <w:rFonts w:eastAsia="Calibri"/>
        </w:rPr>
        <w:t xml:space="preserve">, 836 A.2d 1053, 1064 (Pa. Cmwlth. 2003), 2003 Pa. Commw. LEXIS 849;  </w:t>
      </w:r>
      <w:r w:rsidRPr="003E75C6">
        <w:rPr>
          <w:rFonts w:eastAsia="Calibri"/>
          <w:i/>
        </w:rPr>
        <w:t xml:space="preserve">P.J.S. v. </w:t>
      </w:r>
      <w:smartTag w:uri="urn:schemas-microsoft-com:office:smarttags" w:element="PlaceName">
        <w:r w:rsidRPr="003E75C6">
          <w:rPr>
            <w:rFonts w:eastAsia="Calibri"/>
            <w:i/>
          </w:rPr>
          <w:t>Pa.</w:t>
        </w:r>
      </w:smartTag>
      <w:r w:rsidRPr="003E75C6">
        <w:rPr>
          <w:rFonts w:eastAsia="Calibri"/>
          <w:i/>
        </w:rPr>
        <w:t xml:space="preserve"> </w:t>
      </w:r>
      <w:smartTag w:uri="urn:schemas-microsoft-com:office:smarttags" w:element="PlaceType">
        <w:r w:rsidRPr="003E75C6">
          <w:rPr>
            <w:rFonts w:eastAsia="Calibri"/>
            <w:i/>
          </w:rPr>
          <w:t>State</w:t>
        </w:r>
      </w:smartTag>
      <w:r w:rsidRPr="003E75C6">
        <w:rPr>
          <w:rFonts w:eastAsia="Calibri"/>
          <w:i/>
        </w:rPr>
        <w:t xml:space="preserve"> Ethics Comm’n,</w:t>
      </w:r>
      <w:r w:rsidRPr="003E75C6">
        <w:rPr>
          <w:rFonts w:eastAsia="Calibri"/>
        </w:rPr>
        <w:t xml:space="preserve"> 669 A.2d 1105 (</w:t>
      </w:r>
      <w:smartTag w:uri="urn:schemas-microsoft-com:office:smarttags" w:element="State">
        <w:r w:rsidRPr="003E75C6">
          <w:rPr>
            <w:rFonts w:eastAsia="Calibri"/>
          </w:rPr>
          <w:t>Pa.</w:t>
        </w:r>
      </w:smartTag>
      <w:r w:rsidRPr="003E75C6">
        <w:rPr>
          <w:rFonts w:eastAsia="Calibri"/>
        </w:rPr>
        <w:t xml:space="preserve"> Cmwlth. 1996)</w:t>
      </w:r>
      <w:r>
        <w:rPr>
          <w:rFonts w:eastAsia="Calibri"/>
        </w:rPr>
        <w:t>,</w:t>
      </w:r>
      <w:r w:rsidRPr="003E75C6">
        <w:rPr>
          <w:rFonts w:eastAsia="Calibri"/>
        </w:rPr>
        <w:t xml:space="preserve"> 1996 </w:t>
      </w:r>
      <w:smartTag w:uri="urn:schemas-microsoft-com:office:smarttags" w:element="place">
        <w:smartTag w:uri="urn:schemas-microsoft-com:office:smarttags" w:element="State">
          <w:r w:rsidRPr="003E75C6">
            <w:rPr>
              <w:rFonts w:eastAsia="Calibri"/>
            </w:rPr>
            <w:t>Pa.</w:t>
          </w:r>
        </w:smartTag>
      </w:smartTag>
      <w:r w:rsidRPr="003E75C6">
        <w:rPr>
          <w:rFonts w:eastAsia="Calibri"/>
        </w:rPr>
        <w:t xml:space="preserve"> Commw. LEXIS 11.  Any doubt must be resolved in favor of the non-moving party by refusing to sustain the preliminary objections.  </w:t>
      </w:r>
      <w:r w:rsidRPr="003E75C6">
        <w:rPr>
          <w:rFonts w:eastAsia="Calibri"/>
          <w:i/>
        </w:rPr>
        <w:t xml:space="preserve">Boyd v. Ward, </w:t>
      </w:r>
      <w:r w:rsidRPr="003E75C6">
        <w:rPr>
          <w:rFonts w:eastAsia="Calibri"/>
        </w:rPr>
        <w:t>802 A.2d 705 (Pa.Cmwlth. 2002)</w:t>
      </w:r>
      <w:r>
        <w:rPr>
          <w:rFonts w:eastAsia="Calibri"/>
        </w:rPr>
        <w:t>,</w:t>
      </w:r>
      <w:r w:rsidRPr="003E75C6">
        <w:rPr>
          <w:rFonts w:eastAsia="Calibri"/>
        </w:rPr>
        <w:t xml:space="preserve"> 2002 Pa. Commw. LEXIS 580.  All of the non-moving party’s averments in the complaint must be viewed as true for purposes of deciding the preliminary objections, and only those facts specifically admitted may be considered against the non-moving party.  </w:t>
      </w:r>
      <w:r w:rsidRPr="003E75C6">
        <w:rPr>
          <w:rFonts w:eastAsia="Calibri"/>
          <w:i/>
        </w:rPr>
        <w:t xml:space="preserve">Ridge v. State Employees’ Retirement </w:t>
      </w:r>
      <w:r w:rsidRPr="00F514AD">
        <w:rPr>
          <w:rFonts w:eastAsia="Calibri"/>
          <w:i/>
        </w:rPr>
        <w:t>Board</w:t>
      </w:r>
      <w:r w:rsidRPr="003E75C6">
        <w:rPr>
          <w:rFonts w:eastAsia="Calibri"/>
        </w:rPr>
        <w:t xml:space="preserve">, 690 A.2d 1312 (Pa. Cmwlth. 1997) 1997 Pa. Commw. LEXIS 148.  </w:t>
      </w:r>
    </w:p>
    <w:p w:rsidR="00915919" w:rsidRPr="009058F2" w:rsidRDefault="00915919" w:rsidP="00915919">
      <w:pPr>
        <w:contextualSpacing/>
        <w:jc w:val="left"/>
        <w:rPr>
          <w:rFonts w:eastAsia="Calibri"/>
        </w:rPr>
      </w:pPr>
    </w:p>
    <w:p w:rsidR="00915919" w:rsidRDefault="00915919" w:rsidP="00915919">
      <w:pPr>
        <w:contextualSpacing/>
        <w:jc w:val="left"/>
        <w:rPr>
          <w:rFonts w:eastAsia="Calibri"/>
        </w:rPr>
      </w:pPr>
      <w:r>
        <w:rPr>
          <w:rFonts w:eastAsia="Calibri"/>
        </w:rPr>
        <w:tab/>
      </w:r>
      <w:r>
        <w:rPr>
          <w:rFonts w:eastAsia="Calibri"/>
        </w:rPr>
        <w:tab/>
        <w:t xml:space="preserve">Therefore, it is only the facts in the Complaint which can be presumed to be true in order to determine whether recovery is possible.  The Complaint alleges that </w:t>
      </w:r>
      <w:r w:rsidR="005C6F1B">
        <w:rPr>
          <w:rFonts w:eastAsia="Calibri"/>
        </w:rPr>
        <w:t xml:space="preserve">NFG should have placed the balance from a previous account, in full or in part, on another customer’s bill, not his.  </w:t>
      </w:r>
      <w:r w:rsidR="00512F47">
        <w:rPr>
          <w:rFonts w:eastAsia="Calibri"/>
        </w:rPr>
        <w:t xml:space="preserve">He states that his is a low income family and this balance transfer has placed a serious burden on his family, and that he is subject to repeated termination notices because of it.  </w:t>
      </w:r>
    </w:p>
    <w:p w:rsidR="00915919" w:rsidRDefault="00915919" w:rsidP="00915919">
      <w:pPr>
        <w:contextualSpacing/>
        <w:jc w:val="left"/>
        <w:rPr>
          <w:rFonts w:eastAsia="Calibri"/>
        </w:rPr>
      </w:pPr>
    </w:p>
    <w:p w:rsidR="00915919" w:rsidRPr="00CB4F91" w:rsidRDefault="00915919" w:rsidP="00915919">
      <w:pPr>
        <w:contextualSpacing/>
        <w:jc w:val="left"/>
        <w:rPr>
          <w:rFonts w:eastAsia="Calibri"/>
        </w:rPr>
      </w:pPr>
      <w:r>
        <w:rPr>
          <w:rFonts w:eastAsia="Calibri"/>
        </w:rPr>
        <w:tab/>
      </w:r>
      <w:r>
        <w:rPr>
          <w:rFonts w:eastAsia="Calibri"/>
        </w:rPr>
        <w:tab/>
      </w:r>
      <w:r w:rsidR="00512F47">
        <w:rPr>
          <w:rFonts w:eastAsia="Calibri"/>
        </w:rPr>
        <w:t>NFG</w:t>
      </w:r>
      <w:r>
        <w:rPr>
          <w:rFonts w:eastAsia="Calibri"/>
        </w:rPr>
        <w:t xml:space="preserve"> states that this claim has already been adjudicated and is barred by res judicata, and therefore, this Complaint fails to state a claim upon which relief can be granted.  52 Pa. Code § 5.101(a)(4).  PECO bases its argument on the </w:t>
      </w:r>
      <w:r w:rsidR="00512F47">
        <w:rPr>
          <w:rFonts w:eastAsia="Calibri"/>
        </w:rPr>
        <w:t xml:space="preserve">BCS decision in BCS No. 2712919, which was issued on August 14, 2010 and not timely appealed.  </w:t>
      </w:r>
    </w:p>
    <w:p w:rsidR="00915919" w:rsidRDefault="00915919" w:rsidP="00915919">
      <w:pPr>
        <w:contextualSpacing/>
        <w:jc w:val="left"/>
        <w:rPr>
          <w:rFonts w:eastAsia="Calibri"/>
        </w:rPr>
      </w:pPr>
    </w:p>
    <w:p w:rsidR="00915919" w:rsidRDefault="009542CC" w:rsidP="009542CC">
      <w:pPr>
        <w:jc w:val="left"/>
        <w:rPr>
          <w:rFonts w:eastAsia="Calibri"/>
        </w:rPr>
      </w:pPr>
      <w:r>
        <w:rPr>
          <w:rFonts w:eastAsia="Calibri"/>
        </w:rPr>
        <w:tab/>
      </w:r>
      <w:r>
        <w:rPr>
          <w:rFonts w:eastAsia="Calibri"/>
        </w:rPr>
        <w:tab/>
      </w:r>
      <w:r w:rsidR="00915919">
        <w:rPr>
          <w:rFonts w:eastAsia="Calibri"/>
        </w:rPr>
        <w:t>Well-established rules of law do not permit the re-litigation of those issues which have already been the subj</w:t>
      </w:r>
      <w:r>
        <w:rPr>
          <w:rFonts w:eastAsia="Calibri"/>
        </w:rPr>
        <w:t xml:space="preserve">ect of full and fair litigation: </w:t>
      </w:r>
    </w:p>
    <w:p w:rsidR="009542CC" w:rsidRDefault="009542CC" w:rsidP="009542CC">
      <w:pPr>
        <w:jc w:val="left"/>
        <w:rPr>
          <w:rFonts w:eastAsia="Calibri"/>
        </w:rPr>
      </w:pPr>
    </w:p>
    <w:p w:rsidR="00915919" w:rsidRDefault="00915919" w:rsidP="00915919">
      <w:pPr>
        <w:jc w:val="left"/>
        <w:rPr>
          <w:rFonts w:eastAsia="Calibri"/>
        </w:rPr>
      </w:pPr>
      <w:r>
        <w:rPr>
          <w:rFonts w:eastAsia="Calibri"/>
        </w:rPr>
        <w:tab/>
      </w:r>
      <w:r>
        <w:rPr>
          <w:rFonts w:eastAsia="Calibri"/>
        </w:rPr>
        <w:tab/>
        <w:t>ALJ John Corbett quotes the following cases:</w:t>
      </w:r>
    </w:p>
    <w:p w:rsidR="00915919" w:rsidRDefault="00915919" w:rsidP="00915919">
      <w:pPr>
        <w:jc w:val="left"/>
        <w:rPr>
          <w:rFonts w:eastAsia="Calibri"/>
        </w:rPr>
      </w:pPr>
    </w:p>
    <w:p w:rsidR="00915919" w:rsidRDefault="00915919" w:rsidP="00915919">
      <w:pPr>
        <w:spacing w:line="240" w:lineRule="auto"/>
        <w:ind w:left="720" w:right="720"/>
        <w:jc w:val="left"/>
        <w:rPr>
          <w:rFonts w:eastAsia="Calibri"/>
        </w:rPr>
      </w:pPr>
      <w:r>
        <w:rPr>
          <w:rFonts w:eastAsia="Calibri"/>
        </w:rPr>
        <w:lastRenderedPageBreak/>
        <w:tab/>
        <w:t xml:space="preserve">“Res judicata, which is also known as claim preclusion, holds that a final judgment on the merits by a court of competent jurisdiction will bar any future action on the same cause of action between the parties and their privies.”  </w:t>
      </w:r>
      <w:r>
        <w:rPr>
          <w:rFonts w:eastAsia="Calibri"/>
          <w:i/>
        </w:rPr>
        <w:t xml:space="preserve">Hopewell Estates, Inc. v. Kent, 435 Pa. Superior Ct. 471, 476, 646 A.2d 1192 (1994).  </w:t>
      </w:r>
      <w:r>
        <w:rPr>
          <w:rFonts w:eastAsia="Calibri"/>
        </w:rPr>
        <w:t xml:space="preserve">(Emphasis added.)  Indeed, the doctrines of res judicata and collateral estoppel apply to cases before the Commission.  The commission summarized these doctrines in </w:t>
      </w:r>
      <w:r>
        <w:rPr>
          <w:rFonts w:eastAsia="Calibri"/>
          <w:i/>
        </w:rPr>
        <w:t xml:space="preserve">O’Toole v. Bell Telephone Company of Pennsylvania, Inc., 77 Pa. P.U.C. 98, 104 (1992) </w:t>
      </w:r>
      <w:r w:rsidRPr="006601B2">
        <w:rPr>
          <w:rFonts w:eastAsia="Calibri"/>
        </w:rPr>
        <w:t>as follows:</w:t>
      </w:r>
    </w:p>
    <w:p w:rsidR="00915919" w:rsidRDefault="00915919" w:rsidP="00915919">
      <w:pPr>
        <w:spacing w:line="240" w:lineRule="auto"/>
        <w:ind w:left="720" w:right="720"/>
        <w:jc w:val="left"/>
        <w:rPr>
          <w:rFonts w:eastAsia="Calibri"/>
        </w:rPr>
      </w:pPr>
    </w:p>
    <w:p w:rsidR="00915919" w:rsidRDefault="00915919" w:rsidP="00915919">
      <w:pPr>
        <w:spacing w:line="240" w:lineRule="auto"/>
        <w:ind w:left="1440" w:right="1440"/>
        <w:jc w:val="left"/>
        <w:rPr>
          <w:rFonts w:eastAsia="Calibri"/>
          <w:i/>
        </w:rPr>
      </w:pPr>
      <w:r>
        <w:rPr>
          <w:rFonts w:eastAsia="Calibri"/>
        </w:rPr>
        <w:tab/>
        <w:t xml:space="preserve">The doctrine of res judicata reflects the refusal of the law to tolerate the relitigation of a matter decided by a court of competent jurisdiction.  Final valid judgment on the merits by a court of competent jurisdiction bars any future suit between the same parties on the same cause of action.  For the doctrine to prevail, four conditions must be met: (1) identity of issues, (2) identity of causes of action, (3) identity of persons and parties to the action, and (4) identity of the quality and capacity of the parties suing or sued.  </w:t>
      </w:r>
      <w:r>
        <w:rPr>
          <w:rFonts w:eastAsia="Calibri"/>
          <w:i/>
        </w:rPr>
        <w:t>Day v. Volkswagenwerk Aktienqesellschaft, 318 Pa. Superior Ct. 255, 474 A.2d 1313, 1316, 1317 (1983)</w:t>
      </w:r>
    </w:p>
    <w:p w:rsidR="00915919" w:rsidRDefault="00915919" w:rsidP="00915919">
      <w:pPr>
        <w:spacing w:line="240" w:lineRule="auto"/>
        <w:ind w:left="1440" w:right="1440"/>
        <w:jc w:val="left"/>
        <w:rPr>
          <w:rFonts w:eastAsia="Calibri"/>
          <w:i/>
        </w:rPr>
      </w:pPr>
    </w:p>
    <w:p w:rsidR="00915919" w:rsidRDefault="00915919" w:rsidP="00915919">
      <w:pPr>
        <w:spacing w:line="240" w:lineRule="auto"/>
        <w:ind w:left="1440" w:right="1440"/>
        <w:jc w:val="left"/>
        <w:rPr>
          <w:rFonts w:eastAsia="Calibri"/>
          <w:i/>
        </w:rPr>
      </w:pPr>
      <w:r>
        <w:rPr>
          <w:rFonts w:eastAsia="Calibri"/>
          <w:i/>
        </w:rPr>
        <w:tab/>
      </w:r>
      <w:r>
        <w:rPr>
          <w:rFonts w:eastAsia="Calibri"/>
        </w:rPr>
        <w:t xml:space="preserve">Similar to the doctrine of res judicata is the doctrine of collateral estoppel; however, it is a broader concept.  Collateral estoppel operates to prevent a question of law or an issue of fact that has been once litigated and adjudicated finally in a court of competent jurisdiction from being relitigated in a subsequent suit.  The four requirements for a plea of collateral estoppel to prevail are: (1) the issues decided in the prior adjudication is identical with the one presented in the later action, (2) there was a final judgment on the merits, (3) the party against whom the plea is asserted was a party or in privity with a party to the prior adjudication, and (4) the party against whom the pleas is asserted had had a full and fair opportunity to litigate the issue in question in the prior action.  </w:t>
      </w:r>
      <w:r>
        <w:rPr>
          <w:rFonts w:eastAsia="Calibri"/>
          <w:i/>
        </w:rPr>
        <w:t xml:space="preserve">Day, 464 A.2d at 1318, 1319.  </w:t>
      </w:r>
      <w:r>
        <w:rPr>
          <w:rFonts w:eastAsia="Calibri"/>
        </w:rPr>
        <w:t xml:space="preserve">Collateral estoppel is a doctrine of issue preclusion that seeks to prevent the relitigation of a finally litigated issue in a subsequent proceeding between the same parties.  </w:t>
      </w:r>
      <w:r>
        <w:rPr>
          <w:rFonts w:eastAsia="Calibri"/>
          <w:i/>
        </w:rPr>
        <w:t xml:space="preserve">Baker v. Pa. Human Relations Comm., 75 Pa. Commonwealth Ct. 296, 307, 462 A.2d 881 (1983). </w:t>
      </w:r>
    </w:p>
    <w:p w:rsidR="00915919" w:rsidRDefault="00915919" w:rsidP="00915919">
      <w:pPr>
        <w:jc w:val="left"/>
        <w:rPr>
          <w:rFonts w:eastAsia="Calibri"/>
          <w:i/>
        </w:rPr>
      </w:pPr>
    </w:p>
    <w:p w:rsidR="00915919" w:rsidRDefault="00915919" w:rsidP="00915919">
      <w:pPr>
        <w:spacing w:line="240" w:lineRule="auto"/>
        <w:ind w:left="720" w:right="720"/>
        <w:jc w:val="left"/>
        <w:rPr>
          <w:rFonts w:eastAsia="Calibri"/>
        </w:rPr>
      </w:pPr>
      <w:r>
        <w:rPr>
          <w:rFonts w:eastAsia="Calibri"/>
        </w:rPr>
        <w:tab/>
        <w:t>Besides the doctrines of res judicata and collateral estoppel, a complaint such as this one may be barred by 66 Pa. C.S. § 316.  That section provides, in pertinent part, that:</w:t>
      </w:r>
    </w:p>
    <w:p w:rsidR="00915919" w:rsidRDefault="00915919" w:rsidP="00915919">
      <w:pPr>
        <w:spacing w:line="240" w:lineRule="auto"/>
        <w:ind w:left="720" w:right="720"/>
        <w:jc w:val="left"/>
        <w:rPr>
          <w:rFonts w:eastAsia="Calibri"/>
        </w:rPr>
      </w:pPr>
    </w:p>
    <w:p w:rsidR="00915919" w:rsidRDefault="00915919" w:rsidP="00915919">
      <w:pPr>
        <w:spacing w:line="240" w:lineRule="auto"/>
        <w:ind w:left="1440" w:right="1440"/>
        <w:jc w:val="left"/>
        <w:rPr>
          <w:rFonts w:eastAsia="Calibri"/>
        </w:rPr>
      </w:pPr>
      <w:r>
        <w:rPr>
          <w:rFonts w:eastAsia="Calibri"/>
        </w:rPr>
        <w:tab/>
        <w:t xml:space="preserve">Whenever the commission shall make any rule, regulation, finding, determination or order, the same shall be prima facie evidence of the facts found and shall remain conclusive upon all </w:t>
      </w:r>
      <w:r>
        <w:rPr>
          <w:rFonts w:eastAsia="Calibri"/>
        </w:rPr>
        <w:lastRenderedPageBreak/>
        <w:t>parties affected thereby, unless set aside, annulled or modified on judicial review.</w:t>
      </w:r>
    </w:p>
    <w:p w:rsidR="00915919" w:rsidRDefault="00915919" w:rsidP="00915919">
      <w:pPr>
        <w:spacing w:line="240" w:lineRule="auto"/>
        <w:ind w:left="1440" w:right="1440"/>
        <w:jc w:val="left"/>
        <w:rPr>
          <w:rFonts w:eastAsia="Calibri"/>
        </w:rPr>
      </w:pPr>
    </w:p>
    <w:p w:rsidR="00915919" w:rsidRDefault="00915919" w:rsidP="00915919">
      <w:pPr>
        <w:spacing w:line="240" w:lineRule="auto"/>
        <w:ind w:left="720" w:right="720"/>
        <w:jc w:val="left"/>
        <w:rPr>
          <w:rFonts w:eastAsia="Calibri"/>
        </w:rPr>
      </w:pPr>
      <w:r>
        <w:rPr>
          <w:rFonts w:eastAsia="Calibri"/>
        </w:rPr>
        <w:tab/>
        <w:t>This section of the Public Utility Code precludes a collateral attack upon a Commission order that has not been reversed upon appeal.</w:t>
      </w:r>
    </w:p>
    <w:p w:rsidR="00915919" w:rsidRPr="00337BA5" w:rsidRDefault="00915919" w:rsidP="00915919">
      <w:pPr>
        <w:spacing w:line="240" w:lineRule="auto"/>
        <w:ind w:left="720" w:right="720"/>
        <w:jc w:val="left"/>
        <w:rPr>
          <w:rFonts w:eastAsia="Calibri"/>
          <w:i/>
        </w:rPr>
      </w:pPr>
      <w:r>
        <w:rPr>
          <w:rFonts w:eastAsia="Calibri"/>
          <w:i/>
        </w:rPr>
        <w:t>Jordan v. The United Telephone Company of Pennsylvania, 1995 Pa. PUC LEXIS 158 (Initial Decision dated December 22, 1995).</w:t>
      </w:r>
    </w:p>
    <w:p w:rsidR="00915919" w:rsidRDefault="00915919" w:rsidP="00915919">
      <w:pPr>
        <w:jc w:val="left"/>
        <w:rPr>
          <w:rFonts w:eastAsia="Calibri"/>
        </w:rPr>
      </w:pPr>
      <w:r>
        <w:rPr>
          <w:rFonts w:eastAsia="Calibri"/>
          <w:i/>
        </w:rPr>
        <w:tab/>
      </w:r>
    </w:p>
    <w:p w:rsidR="00205405" w:rsidRPr="00205405" w:rsidRDefault="00915919" w:rsidP="00243996">
      <w:pPr>
        <w:jc w:val="left"/>
        <w:rPr>
          <w:rFonts w:eastAsia="Times New Roman"/>
        </w:rPr>
      </w:pPr>
      <w:r>
        <w:rPr>
          <w:rFonts w:eastAsia="Calibri"/>
        </w:rPr>
        <w:tab/>
      </w:r>
      <w:r>
        <w:rPr>
          <w:rFonts w:eastAsia="Calibri"/>
        </w:rPr>
        <w:tab/>
      </w:r>
      <w:r w:rsidR="009542CC">
        <w:rPr>
          <w:rFonts w:eastAsia="Calibri"/>
        </w:rPr>
        <w:t xml:space="preserve">This matter fails to satisfy this test because an informal case before the Commission’s BCS </w:t>
      </w:r>
      <w:r w:rsidR="00205405">
        <w:rPr>
          <w:rFonts w:eastAsia="Calibri"/>
        </w:rPr>
        <w:t>is not a court of competent jurisdiction.</w:t>
      </w:r>
      <w:r w:rsidR="00243996">
        <w:rPr>
          <w:rFonts w:eastAsia="Calibri"/>
        </w:rPr>
        <w:t xml:space="preserve">  </w:t>
      </w:r>
      <w:r w:rsidR="00205405" w:rsidRPr="00205405">
        <w:t xml:space="preserve">Under res judicata, when a </w:t>
      </w:r>
      <w:r w:rsidR="00205405" w:rsidRPr="007517D8">
        <w:rPr>
          <w:rStyle w:val="term1"/>
          <w:b w:val="0"/>
          <w:u w:val="single"/>
        </w:rPr>
        <w:t>court of competent jurisdiction</w:t>
      </w:r>
      <w:r w:rsidR="00205405" w:rsidRPr="00205405">
        <w:t xml:space="preserve"> enters a final judgment on the merits of a cause of action, the parties to that case and their privies are thereafter bound "not only as to every matter which was offered and received, but also as to any other admissible matter which might have been offered." </w:t>
      </w:r>
      <w:hyperlink r:id="rId6" w:history="1">
        <w:r w:rsidR="00205405" w:rsidRPr="00205405">
          <w:rPr>
            <w:rStyle w:val="Hyperlink"/>
            <w:i/>
            <w:color w:val="auto"/>
            <w:u w:val="none"/>
          </w:rPr>
          <w:t>Commission v. Sunnen</w:t>
        </w:r>
        <w:r w:rsidR="00205405" w:rsidRPr="00205405">
          <w:rPr>
            <w:rStyle w:val="Hyperlink"/>
            <w:color w:val="auto"/>
            <w:u w:val="none"/>
          </w:rPr>
          <w:t>, 333 U.S. 591, 68 S.Ct. 715, 719 (1948);</w:t>
        </w:r>
      </w:hyperlink>
      <w:r w:rsidR="00205405" w:rsidRPr="00205405">
        <w:t xml:space="preserve"> </w:t>
      </w:r>
      <w:hyperlink r:id="rId7" w:history="1">
        <w:r w:rsidR="00205405" w:rsidRPr="00205405">
          <w:rPr>
            <w:rStyle w:val="Hyperlink"/>
            <w:color w:val="auto"/>
            <w:u w:val="none"/>
          </w:rPr>
          <w:t>Jones v. Costlow, 354 Pa. 245, 47 A.2d 259 (1946).</w:t>
        </w:r>
      </w:hyperlink>
      <w:r w:rsidR="00205405" w:rsidRPr="00205405">
        <w:t xml:space="preserve">; </w:t>
      </w:r>
      <w:r w:rsidR="00205405" w:rsidRPr="00205405">
        <w:rPr>
          <w:rFonts w:eastAsia="Times New Roman"/>
          <w:i/>
        </w:rPr>
        <w:t>Jane A. Suprick and Ransom Township v. Commonwealth Telephone Company</w:t>
      </w:r>
      <w:r w:rsidR="00205405">
        <w:rPr>
          <w:rFonts w:eastAsia="Times New Roman"/>
        </w:rPr>
        <w:t xml:space="preserve">, </w:t>
      </w:r>
      <w:r w:rsidR="00205405" w:rsidRPr="00205405">
        <w:rPr>
          <w:rFonts w:eastAsia="Times New Roman"/>
        </w:rPr>
        <w:t>Docket Nos. C-00903161; C-00903197</w:t>
      </w:r>
      <w:r w:rsidR="00243996" w:rsidRPr="00243996">
        <w:rPr>
          <w:rFonts w:eastAsia="Times New Roman"/>
        </w:rPr>
        <w:t>, (</w:t>
      </w:r>
      <w:r w:rsidR="00243996" w:rsidRPr="00205405">
        <w:rPr>
          <w:rFonts w:eastAsia="Times New Roman"/>
        </w:rPr>
        <w:t>January 25, 1995</w:t>
      </w:r>
      <w:r w:rsidR="00243996" w:rsidRPr="00243996">
        <w:rPr>
          <w:rFonts w:eastAsia="Times New Roman"/>
        </w:rPr>
        <w:t>), 1</w:t>
      </w:r>
      <w:r w:rsidR="00205405" w:rsidRPr="00205405">
        <w:rPr>
          <w:rFonts w:eastAsia="Times New Roman"/>
        </w:rPr>
        <w:t>995 Pa. PUC LEXIS 15</w:t>
      </w:r>
      <w:r w:rsidR="00243996" w:rsidRPr="00243996">
        <w:rPr>
          <w:rFonts w:eastAsia="Times New Roman"/>
        </w:rPr>
        <w:t>.</w:t>
      </w:r>
    </w:p>
    <w:p w:rsidR="00205405" w:rsidRPr="00205405" w:rsidRDefault="00205405" w:rsidP="00243996">
      <w:pPr>
        <w:spacing w:line="240" w:lineRule="auto"/>
        <w:ind w:left="1440" w:right="1440"/>
        <w:contextualSpacing/>
        <w:jc w:val="left"/>
        <w:rPr>
          <w:rFonts w:eastAsia="Times New Roman"/>
        </w:rPr>
      </w:pPr>
      <w:r w:rsidRPr="00205405">
        <w:rPr>
          <w:rFonts w:ascii="Verdana" w:eastAsia="Times New Roman" w:hAnsi="Verdana"/>
          <w:sz w:val="20"/>
          <w:szCs w:val="20"/>
        </w:rPr>
        <w:br/>
      </w:r>
    </w:p>
    <w:p w:rsidR="00205405" w:rsidRPr="00243996" w:rsidRDefault="00205405" w:rsidP="00243996">
      <w:pPr>
        <w:spacing w:line="240" w:lineRule="auto"/>
        <w:ind w:left="1440" w:right="1440"/>
        <w:contextualSpacing/>
        <w:jc w:val="left"/>
        <w:rPr>
          <w:rFonts w:eastAsia="Times New Roman"/>
        </w:rPr>
      </w:pPr>
      <w:r w:rsidRPr="00243996">
        <w:t xml:space="preserve">The modern principle of claim preclusion is that a final, valid judgment on the merits by a </w:t>
      </w:r>
      <w:r w:rsidRPr="00243996">
        <w:rPr>
          <w:rStyle w:val="term1"/>
        </w:rPr>
        <w:t>court of competent jurisdiction</w:t>
      </w:r>
      <w:r w:rsidRPr="00243996">
        <w:t xml:space="preserve"> precludes any future suit or action between the parties or their privies on the same cause of action. The "fundamental principle" underlying the rule of claim preclusion is that a judgement should be "conclusive as between the parties and their privies in respect to every fact which properly could have been considered in reaching the determination and in respect to all points of law relating directly to the cause of action and affecting the subject matter before the court." Claim preclusion applies not only to matters which were actually litigated, but also to matters which should have been litigated at the first proceeding if they were part of the same cause of action.</w:t>
      </w:r>
      <w:r w:rsidRPr="00243996">
        <w:br/>
        <w:t> </w:t>
      </w:r>
      <w:r w:rsidRPr="00243996">
        <w:br/>
      </w:r>
      <w:hyperlink r:id="rId8" w:history="1">
        <w:r w:rsidRPr="007517D8">
          <w:rPr>
            <w:rStyle w:val="Hyperlink"/>
            <w:i/>
            <w:color w:val="auto"/>
            <w:u w:val="none"/>
          </w:rPr>
          <w:t>Hebden v. Workmen's Compensation Appeal Board (Bethenergy Mines)</w:t>
        </w:r>
        <w:r w:rsidRPr="007517D8">
          <w:rPr>
            <w:rStyle w:val="Hyperlink"/>
            <w:color w:val="auto"/>
            <w:u w:val="none"/>
          </w:rPr>
          <w:t>, 142 Pa. Cmwlth. 176, 187, 597 A.2d 182, 187 (1991)</w:t>
        </w:r>
      </w:hyperlink>
      <w:r w:rsidRPr="007517D8">
        <w:t xml:space="preserve"> </w:t>
      </w:r>
      <w:r w:rsidRPr="00243996">
        <w:t>(citations omitted).</w:t>
      </w:r>
      <w:bookmarkStart w:id="0" w:name="7387-"/>
      <w:r w:rsidRPr="00243996">
        <w:rPr>
          <w:color w:val="000000"/>
        </w:rPr>
        <w:t xml:space="preserve"> </w:t>
      </w:r>
      <w:bookmarkEnd w:id="0"/>
    </w:p>
    <w:p w:rsidR="00205405" w:rsidRPr="00205405" w:rsidRDefault="00205405" w:rsidP="00243996">
      <w:pPr>
        <w:spacing w:line="240" w:lineRule="auto"/>
        <w:ind w:left="1440" w:right="1440"/>
        <w:contextualSpacing/>
        <w:jc w:val="left"/>
        <w:rPr>
          <w:rFonts w:eastAsia="Times New Roman"/>
        </w:rPr>
      </w:pPr>
    </w:p>
    <w:p w:rsidR="00205405" w:rsidRPr="00205405" w:rsidRDefault="00205405" w:rsidP="00243996">
      <w:pPr>
        <w:spacing w:line="240" w:lineRule="auto"/>
        <w:ind w:left="1440" w:right="1440"/>
        <w:contextualSpacing/>
        <w:jc w:val="left"/>
        <w:rPr>
          <w:rFonts w:eastAsia="Times New Roman"/>
        </w:rPr>
      </w:pPr>
      <w:r w:rsidRPr="00205405">
        <w:rPr>
          <w:rFonts w:eastAsia="Times New Roman"/>
          <w:i/>
        </w:rPr>
        <w:t>Equitable Small Transportation Intervenors v. Equitable Gas Company</w:t>
      </w:r>
      <w:r w:rsidR="00243996">
        <w:rPr>
          <w:rFonts w:eastAsia="Times New Roman"/>
        </w:rPr>
        <w:t xml:space="preserve">, </w:t>
      </w:r>
      <w:r w:rsidRPr="00205405">
        <w:rPr>
          <w:rFonts w:eastAsia="Times New Roman"/>
        </w:rPr>
        <w:t>Docket No. C-00935435</w:t>
      </w:r>
      <w:r w:rsidR="00243996">
        <w:rPr>
          <w:rFonts w:eastAsia="Times New Roman"/>
        </w:rPr>
        <w:t>, (</w:t>
      </w:r>
      <w:r w:rsidR="00243996" w:rsidRPr="00205405">
        <w:rPr>
          <w:rFonts w:eastAsia="Times New Roman"/>
        </w:rPr>
        <w:t>July 18, 1994</w:t>
      </w:r>
      <w:r w:rsidR="00243996">
        <w:rPr>
          <w:rFonts w:eastAsia="Times New Roman"/>
          <w:iCs/>
          <w:color w:val="000000"/>
        </w:rPr>
        <w:t xml:space="preserve">) </w:t>
      </w:r>
      <w:r w:rsidR="00243996" w:rsidRPr="00243996">
        <w:rPr>
          <w:rFonts w:eastAsia="Times New Roman"/>
          <w:iCs/>
          <w:color w:val="000000"/>
        </w:rPr>
        <w:t>1994 Pa. PUC LEXIS 69</w:t>
      </w:r>
      <w:r w:rsidR="00243996">
        <w:rPr>
          <w:rFonts w:eastAsia="Times New Roman"/>
          <w:i/>
          <w:iCs/>
          <w:color w:val="000000"/>
        </w:rPr>
        <w:t>.</w:t>
      </w:r>
    </w:p>
    <w:p w:rsidR="00205405" w:rsidRPr="00205405" w:rsidRDefault="00205405" w:rsidP="00243996">
      <w:pPr>
        <w:spacing w:line="240" w:lineRule="auto"/>
        <w:ind w:left="1440" w:right="1440"/>
        <w:contextualSpacing/>
        <w:jc w:val="left"/>
        <w:rPr>
          <w:rFonts w:eastAsia="Times New Roman"/>
        </w:rPr>
      </w:pPr>
      <w:r w:rsidRPr="00205405">
        <w:rPr>
          <w:rFonts w:eastAsia="Times New Roman"/>
        </w:rPr>
        <w:br/>
      </w:r>
    </w:p>
    <w:p w:rsidR="00205405" w:rsidRPr="00205405" w:rsidRDefault="00205405" w:rsidP="00243996">
      <w:pPr>
        <w:spacing w:line="240" w:lineRule="auto"/>
        <w:ind w:left="1440" w:right="1440"/>
        <w:contextualSpacing/>
        <w:jc w:val="left"/>
        <w:rPr>
          <w:rFonts w:eastAsia="Times New Roman"/>
        </w:rPr>
      </w:pPr>
      <w:r w:rsidRPr="00205405">
        <w:rPr>
          <w:rFonts w:eastAsia="Times New Roman"/>
        </w:rPr>
        <w:lastRenderedPageBreak/>
        <w:br/>
      </w:r>
    </w:p>
    <w:p w:rsidR="00205405" w:rsidRDefault="00205405" w:rsidP="00915919">
      <w:pPr>
        <w:jc w:val="left"/>
        <w:rPr>
          <w:rFonts w:eastAsia="Calibri"/>
        </w:rPr>
      </w:pPr>
    </w:p>
    <w:p w:rsidR="00205405" w:rsidRDefault="00205405" w:rsidP="00915919">
      <w:pPr>
        <w:jc w:val="left"/>
        <w:rPr>
          <w:rFonts w:eastAsia="Calibri"/>
        </w:rPr>
      </w:pPr>
    </w:p>
    <w:p w:rsidR="00915919" w:rsidRDefault="007517D8" w:rsidP="00915919">
      <w:pPr>
        <w:jc w:val="left"/>
        <w:rPr>
          <w:rFonts w:eastAsia="Calibri"/>
        </w:rPr>
      </w:pPr>
      <w:r>
        <w:rPr>
          <w:rFonts w:eastAsia="Calibri"/>
        </w:rPr>
        <w:tab/>
      </w:r>
      <w:r>
        <w:rPr>
          <w:rFonts w:eastAsia="Calibri"/>
        </w:rPr>
        <w:tab/>
      </w:r>
      <w:r w:rsidR="002B0DEC">
        <w:rPr>
          <w:rFonts w:eastAsia="Calibri"/>
        </w:rPr>
        <w:t>The procedures used by the BCS do not meet the test for “</w:t>
      </w:r>
      <w:r>
        <w:rPr>
          <w:rFonts w:eastAsia="Calibri"/>
        </w:rPr>
        <w:t>l</w:t>
      </w:r>
      <w:r w:rsidR="002B0DEC">
        <w:rPr>
          <w:rFonts w:eastAsia="Calibri"/>
        </w:rPr>
        <w:t xml:space="preserve">itigated and adjudicated finally in a court of competent jurisdiction,” because they do not provide the protections and due process of litigation.  The parties are not sworn, they do not face each other in a hearing room and cannot explore their claims through discovery and cross-examination.  The BCS informal decision is not a “Commission order” within the meaning of </w:t>
      </w:r>
      <w:r w:rsidR="000568EE">
        <w:rPr>
          <w:rFonts w:eastAsia="Calibri"/>
        </w:rPr>
        <w:t xml:space="preserve">Section 316 of the Public Utility Code and the case law regarding res judicata and claim preclusion.  </w:t>
      </w:r>
    </w:p>
    <w:p w:rsidR="000568EE" w:rsidRDefault="000568EE" w:rsidP="00915919">
      <w:pPr>
        <w:jc w:val="left"/>
        <w:rPr>
          <w:rFonts w:eastAsia="Calibri"/>
        </w:rPr>
      </w:pPr>
    </w:p>
    <w:p w:rsidR="002A0E71" w:rsidRDefault="000568EE" w:rsidP="00915919">
      <w:pPr>
        <w:jc w:val="left"/>
        <w:rPr>
          <w:rFonts w:eastAsia="Calibri"/>
        </w:rPr>
      </w:pPr>
      <w:r>
        <w:rPr>
          <w:rFonts w:eastAsia="Calibri"/>
        </w:rPr>
        <w:tab/>
      </w:r>
      <w:r>
        <w:rPr>
          <w:rFonts w:eastAsia="Calibri"/>
        </w:rPr>
        <w:tab/>
        <w:t>While the Commission recognizes the BCS informal decision as a “commission payment a</w:t>
      </w:r>
      <w:r w:rsidR="00691D86">
        <w:rPr>
          <w:rFonts w:eastAsia="Calibri"/>
        </w:rPr>
        <w:t>gree</w:t>
      </w:r>
      <w:r>
        <w:rPr>
          <w:rFonts w:eastAsia="Calibri"/>
        </w:rPr>
        <w:t xml:space="preserve">ment” when a payment arrangement is sought within the confines of Chapter 14, and requires a timely “appeal” by the filing of a formal complaint, the situation is very different.  Chapter 14 provides </w:t>
      </w:r>
      <w:r w:rsidR="00D63D9F">
        <w:rPr>
          <w:rFonts w:eastAsia="Calibri"/>
        </w:rPr>
        <w:t>extremely</w:t>
      </w:r>
      <w:r>
        <w:rPr>
          <w:rFonts w:eastAsia="Calibri"/>
        </w:rPr>
        <w:t xml:space="preserve"> limited </w:t>
      </w:r>
      <w:r w:rsidR="00691D86">
        <w:rPr>
          <w:rFonts w:eastAsia="Calibri"/>
        </w:rPr>
        <w:t xml:space="preserve">circumstances for Commission action at all when a payment agreement is sought:  one per customer per arrearage </w:t>
      </w:r>
      <w:r w:rsidR="002A0E71">
        <w:rPr>
          <w:rFonts w:eastAsia="Calibri"/>
        </w:rPr>
        <w:t xml:space="preserve">amount, </w:t>
      </w:r>
      <w:r w:rsidR="00691D86">
        <w:rPr>
          <w:rFonts w:eastAsia="Calibri"/>
        </w:rPr>
        <w:t xml:space="preserve">to be paid over </w:t>
      </w:r>
      <w:r w:rsidR="002A0E71">
        <w:rPr>
          <w:rFonts w:eastAsia="Calibri"/>
        </w:rPr>
        <w:t xml:space="preserve">no more than </w:t>
      </w:r>
      <w:r w:rsidR="00691D86">
        <w:rPr>
          <w:rFonts w:eastAsia="Calibri"/>
        </w:rPr>
        <w:t xml:space="preserve">a statutorily-specified number of months.  66 Pa. C.S. § 1405.  This type of pro forma decision </w:t>
      </w:r>
      <w:r w:rsidR="00430257">
        <w:rPr>
          <w:rFonts w:eastAsia="Calibri"/>
        </w:rPr>
        <w:t xml:space="preserve">removes Commission discretion and </w:t>
      </w:r>
      <w:r w:rsidR="00691D86">
        <w:rPr>
          <w:rFonts w:eastAsia="Calibri"/>
        </w:rPr>
        <w:t>is very different from decisions regarding any other subject matter, which are entitled to full</w:t>
      </w:r>
      <w:r w:rsidR="00430257">
        <w:rPr>
          <w:rFonts w:eastAsia="Calibri"/>
        </w:rPr>
        <w:t xml:space="preserve"> litigation because of the variety of possible results. </w:t>
      </w:r>
    </w:p>
    <w:p w:rsidR="002A0E71" w:rsidRDefault="002A0E71" w:rsidP="00915919">
      <w:pPr>
        <w:jc w:val="left"/>
        <w:rPr>
          <w:rFonts w:eastAsia="Calibri"/>
        </w:rPr>
      </w:pPr>
    </w:p>
    <w:p w:rsidR="002A0E71" w:rsidRDefault="002A0E71" w:rsidP="00915919">
      <w:pPr>
        <w:jc w:val="left"/>
        <w:rPr>
          <w:rFonts w:eastAsia="Calibri"/>
        </w:rPr>
      </w:pPr>
      <w:r>
        <w:rPr>
          <w:rFonts w:eastAsia="Calibri"/>
        </w:rPr>
        <w:tab/>
      </w:r>
      <w:r>
        <w:rPr>
          <w:rFonts w:eastAsia="Calibri"/>
        </w:rPr>
        <w:tab/>
        <w:t>The question here is whether the balance from a prior account was properly applied to the account of the Complainant.  The POs will be denied and the matter scheduled for an evidentiary hearing.  Complainant is warned that he has the burden of proving that the Respondent’s actions were legally incorrect.</w:t>
      </w:r>
    </w:p>
    <w:p w:rsidR="004C067C" w:rsidRDefault="004C067C">
      <w:pPr>
        <w:rPr>
          <w:rFonts w:eastAsia="Calibri"/>
        </w:rPr>
      </w:pPr>
      <w:r>
        <w:rPr>
          <w:rFonts w:eastAsia="Calibri"/>
        </w:rPr>
        <w:br w:type="page"/>
      </w:r>
    </w:p>
    <w:p w:rsidR="002A0E71" w:rsidRDefault="002A0E71" w:rsidP="00915919">
      <w:pPr>
        <w:jc w:val="left"/>
        <w:rPr>
          <w:rFonts w:eastAsia="Calibri"/>
        </w:rPr>
      </w:pPr>
    </w:p>
    <w:p w:rsidR="000568EE" w:rsidRDefault="002A0E71" w:rsidP="002A0E71">
      <w:pPr>
        <w:rPr>
          <w:rFonts w:eastAsia="Calibri"/>
        </w:rPr>
      </w:pPr>
      <w:r>
        <w:rPr>
          <w:rFonts w:eastAsia="Calibri"/>
        </w:rPr>
        <w:t>ORDER</w:t>
      </w:r>
    </w:p>
    <w:p w:rsidR="002A0E71" w:rsidRDefault="002A0E71" w:rsidP="002A0E71">
      <w:pPr>
        <w:rPr>
          <w:rFonts w:eastAsia="Calibri"/>
        </w:rPr>
      </w:pPr>
    </w:p>
    <w:p w:rsidR="002A0E71" w:rsidRDefault="002A0E71" w:rsidP="002A0E71">
      <w:pPr>
        <w:jc w:val="left"/>
        <w:rPr>
          <w:rFonts w:eastAsia="Calibri"/>
        </w:rPr>
      </w:pPr>
      <w:r>
        <w:rPr>
          <w:rFonts w:eastAsia="Calibri"/>
        </w:rPr>
        <w:tab/>
      </w:r>
      <w:r>
        <w:rPr>
          <w:rFonts w:eastAsia="Calibri"/>
        </w:rPr>
        <w:tab/>
        <w:t>THEREFORE,</w:t>
      </w:r>
    </w:p>
    <w:p w:rsidR="002A0E71" w:rsidRDefault="002A0E71" w:rsidP="002A0E71">
      <w:pPr>
        <w:jc w:val="left"/>
        <w:rPr>
          <w:rFonts w:eastAsia="Calibri"/>
        </w:rPr>
      </w:pPr>
    </w:p>
    <w:p w:rsidR="002A0E71" w:rsidRDefault="002A0E71" w:rsidP="002A0E71">
      <w:pPr>
        <w:jc w:val="left"/>
        <w:rPr>
          <w:rFonts w:eastAsia="Calibri"/>
        </w:rPr>
      </w:pPr>
      <w:r>
        <w:rPr>
          <w:rFonts w:eastAsia="Calibri"/>
        </w:rPr>
        <w:tab/>
      </w:r>
      <w:r>
        <w:rPr>
          <w:rFonts w:eastAsia="Calibri"/>
        </w:rPr>
        <w:tab/>
        <w:t>IT IS ORDERED:</w:t>
      </w:r>
    </w:p>
    <w:p w:rsidR="002A0E71" w:rsidRDefault="002A0E71" w:rsidP="002A0E71">
      <w:pPr>
        <w:jc w:val="left"/>
        <w:rPr>
          <w:rFonts w:eastAsia="Calibri"/>
        </w:rPr>
      </w:pPr>
    </w:p>
    <w:p w:rsidR="002A0E71" w:rsidRDefault="002A0E71" w:rsidP="002A0E71">
      <w:pPr>
        <w:jc w:val="left"/>
        <w:rPr>
          <w:rFonts w:eastAsia="Calibri"/>
        </w:rPr>
      </w:pPr>
      <w:r>
        <w:rPr>
          <w:rFonts w:eastAsia="Calibri"/>
        </w:rPr>
        <w:tab/>
      </w:r>
      <w:r>
        <w:rPr>
          <w:rFonts w:eastAsia="Calibri"/>
        </w:rPr>
        <w:tab/>
        <w:t>1.</w:t>
      </w:r>
      <w:r>
        <w:rPr>
          <w:rFonts w:eastAsia="Calibri"/>
        </w:rPr>
        <w:tab/>
        <w:t xml:space="preserve">That the Preliminary Objections filed by the National Fuel Gas Distribution Company in the case captioned </w:t>
      </w:r>
      <w:r>
        <w:rPr>
          <w:rFonts w:eastAsia="Calibri"/>
          <w:i/>
        </w:rPr>
        <w:t xml:space="preserve">Paul Smith v. National Fuel Gas Distribution Company, </w:t>
      </w:r>
      <w:r w:rsidR="00AB36A0">
        <w:rPr>
          <w:rFonts w:eastAsia="Calibri"/>
        </w:rPr>
        <w:t>Docket No. C-2010-2203000, are denied.</w:t>
      </w:r>
    </w:p>
    <w:p w:rsidR="00AB36A0" w:rsidRDefault="00AB36A0" w:rsidP="002A0E71">
      <w:pPr>
        <w:jc w:val="left"/>
        <w:rPr>
          <w:rFonts w:eastAsia="Calibri"/>
        </w:rPr>
      </w:pPr>
    </w:p>
    <w:p w:rsidR="00AB36A0" w:rsidRDefault="00AB36A0" w:rsidP="002A0E71">
      <w:pPr>
        <w:jc w:val="left"/>
        <w:rPr>
          <w:rFonts w:eastAsia="Calibri"/>
        </w:rPr>
      </w:pPr>
      <w:r>
        <w:rPr>
          <w:rFonts w:eastAsia="Calibri"/>
        </w:rPr>
        <w:tab/>
      </w:r>
      <w:r>
        <w:rPr>
          <w:rFonts w:eastAsia="Calibri"/>
        </w:rPr>
        <w:tab/>
        <w:t>2.</w:t>
      </w:r>
      <w:r>
        <w:rPr>
          <w:rFonts w:eastAsia="Calibri"/>
        </w:rPr>
        <w:tab/>
        <w:t xml:space="preserve">That the case captioned </w:t>
      </w:r>
      <w:r>
        <w:rPr>
          <w:rFonts w:eastAsia="Calibri"/>
          <w:i/>
        </w:rPr>
        <w:t xml:space="preserve">Paul Smith v. National Fuel Gas Distribution Company, </w:t>
      </w:r>
      <w:r>
        <w:rPr>
          <w:rFonts w:eastAsia="Calibri"/>
        </w:rPr>
        <w:t>Docket No. C-2010-2203000, be set for hearing.</w:t>
      </w:r>
    </w:p>
    <w:p w:rsidR="00AB36A0" w:rsidRDefault="00AB36A0" w:rsidP="002A0E71">
      <w:pPr>
        <w:jc w:val="left"/>
        <w:rPr>
          <w:rFonts w:eastAsia="Calibri"/>
        </w:rPr>
      </w:pPr>
    </w:p>
    <w:p w:rsidR="00AB36A0" w:rsidRDefault="00AB36A0" w:rsidP="002A0E71">
      <w:pPr>
        <w:jc w:val="left"/>
        <w:rPr>
          <w:rFonts w:eastAsia="Calibri"/>
        </w:rPr>
      </w:pPr>
      <w:r>
        <w:rPr>
          <w:rFonts w:eastAsia="Calibri"/>
        </w:rPr>
        <w:tab/>
      </w:r>
      <w:r>
        <w:rPr>
          <w:rFonts w:eastAsia="Calibri"/>
        </w:rPr>
        <w:tab/>
      </w:r>
    </w:p>
    <w:p w:rsidR="00AB36A0" w:rsidRDefault="00AB36A0" w:rsidP="00AB36A0">
      <w:pPr>
        <w:spacing w:line="240" w:lineRule="auto"/>
        <w:jc w:val="left"/>
        <w:rPr>
          <w:rFonts w:eastAsia="Calibri"/>
        </w:rPr>
      </w:pPr>
      <w:r>
        <w:rPr>
          <w:rFonts w:eastAsia="Calibri"/>
        </w:rPr>
        <w:t>Dated:</w:t>
      </w:r>
      <w:r>
        <w:rPr>
          <w:rFonts w:eastAsia="Calibri"/>
        </w:rPr>
        <w:tab/>
      </w:r>
      <w:r>
        <w:rPr>
          <w:rFonts w:eastAsia="Calibri"/>
          <w:u w:val="single"/>
        </w:rPr>
        <w:t>December 15, 2010</w:t>
      </w:r>
      <w:r>
        <w:rPr>
          <w:rFonts w:eastAsia="Calibri"/>
        </w:rPr>
        <w:tab/>
      </w:r>
      <w:r>
        <w:rPr>
          <w:rFonts w:eastAsia="Calibri"/>
        </w:rPr>
        <w:tab/>
      </w:r>
      <w:r>
        <w:rPr>
          <w:rFonts w:eastAsia="Calibri"/>
        </w:rPr>
        <w:tab/>
      </w:r>
      <w:r>
        <w:rPr>
          <w:rFonts w:eastAsia="Calibri"/>
        </w:rPr>
        <w:tab/>
      </w:r>
      <w:r>
        <w:rPr>
          <w:rFonts w:eastAsia="Calibri"/>
        </w:rPr>
        <w:tab/>
        <w:t>____________________________</w:t>
      </w:r>
    </w:p>
    <w:p w:rsidR="00AB36A0" w:rsidRDefault="00AB36A0" w:rsidP="00AB36A0">
      <w:pPr>
        <w:spacing w:line="240" w:lineRule="auto"/>
        <w:jc w:val="left"/>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Susan D. Colwell</w:t>
      </w:r>
    </w:p>
    <w:p w:rsidR="00AB36A0" w:rsidRPr="00AB36A0" w:rsidRDefault="00AB36A0" w:rsidP="00AB36A0">
      <w:pPr>
        <w:spacing w:line="240" w:lineRule="auto"/>
        <w:jc w:val="left"/>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Administrative Law Judge</w:t>
      </w:r>
    </w:p>
    <w:p w:rsidR="00915919" w:rsidRPr="00915919" w:rsidRDefault="00915919" w:rsidP="00915919">
      <w:pPr>
        <w:contextualSpacing/>
        <w:jc w:val="left"/>
      </w:pPr>
    </w:p>
    <w:p w:rsidR="00334AAB" w:rsidRDefault="00334AAB" w:rsidP="002439CF">
      <w:pPr>
        <w:spacing w:line="240" w:lineRule="auto"/>
        <w:contextualSpacing/>
        <w:jc w:val="left"/>
        <w:sectPr w:rsidR="00334AAB" w:rsidSect="00AB36A0">
          <w:footerReference w:type="default" r:id="rId9"/>
          <w:pgSz w:w="12240" w:h="15840"/>
          <w:pgMar w:top="1440" w:right="1440" w:bottom="1440" w:left="1440" w:header="720" w:footer="720" w:gutter="0"/>
          <w:cols w:space="720"/>
          <w:titlePg/>
          <w:docGrid w:linePitch="360"/>
        </w:sectPr>
      </w:pPr>
    </w:p>
    <w:p w:rsidR="00334AAB" w:rsidRPr="004E33E4" w:rsidRDefault="00334AAB" w:rsidP="00334AAB">
      <w:pPr>
        <w:spacing w:line="240" w:lineRule="auto"/>
        <w:jc w:val="left"/>
        <w:rPr>
          <w:rFonts w:ascii="Microsoft Sans Serif" w:hAnsi="Microsoft Sans Serif" w:cs="Microsoft Sans Serif"/>
          <w:b/>
          <w:u w:val="single"/>
        </w:rPr>
      </w:pPr>
      <w:r w:rsidRPr="00AD11B1">
        <w:rPr>
          <w:rFonts w:ascii="Microsoft Sans Serif" w:hAnsi="Microsoft Sans Serif" w:cs="Microsoft Sans Serif"/>
          <w:b/>
          <w:noProof/>
          <w:u w:val="single"/>
        </w:rPr>
        <w:lastRenderedPageBreak/>
        <w:t>C-2010-2203000</w:t>
      </w:r>
      <w:r w:rsidRPr="004E33E4">
        <w:rPr>
          <w:rFonts w:ascii="Microsoft Sans Serif" w:hAnsi="Microsoft Sans Serif" w:cs="Microsoft Sans Serif"/>
          <w:b/>
          <w:u w:val="single"/>
        </w:rPr>
        <w:t xml:space="preserve"> </w:t>
      </w:r>
      <w:r>
        <w:rPr>
          <w:rFonts w:ascii="Microsoft Sans Serif" w:hAnsi="Microsoft Sans Serif" w:cs="Microsoft Sans Serif"/>
          <w:b/>
          <w:u w:val="single"/>
        </w:rPr>
        <w:t>–</w:t>
      </w:r>
      <w:r w:rsidRPr="004E33E4">
        <w:rPr>
          <w:rFonts w:ascii="Microsoft Sans Serif" w:hAnsi="Microsoft Sans Serif" w:cs="Microsoft Sans Serif"/>
          <w:b/>
          <w:u w:val="single"/>
        </w:rPr>
        <w:t xml:space="preserve"> </w:t>
      </w:r>
      <w:r>
        <w:rPr>
          <w:rFonts w:ascii="Microsoft Sans Serif" w:hAnsi="Microsoft Sans Serif" w:cs="Microsoft Sans Serif"/>
          <w:b/>
          <w:u w:val="single"/>
        </w:rPr>
        <w:t>PAUL SMITH v. NATIONAL FUEL GAS DISTRIBUTION COMPANY</w:t>
      </w:r>
    </w:p>
    <w:p w:rsidR="00334AAB" w:rsidRPr="004E33E4" w:rsidRDefault="00334AAB" w:rsidP="00334AAB">
      <w:pPr>
        <w:spacing w:line="240" w:lineRule="auto"/>
        <w:jc w:val="left"/>
        <w:rPr>
          <w:rFonts w:ascii="Microsoft Sans Serif" w:hAnsi="Microsoft Sans Serif" w:cs="Microsoft Sans Serif"/>
        </w:rPr>
      </w:pPr>
    </w:p>
    <w:p w:rsidR="00334AAB" w:rsidRDefault="00334AAB" w:rsidP="00334AAB">
      <w:pPr>
        <w:spacing w:line="240" w:lineRule="auto"/>
        <w:jc w:val="left"/>
        <w:rPr>
          <w:rFonts w:ascii="Microsoft Sans Serif" w:hAnsi="Microsoft Sans Serif" w:cs="Microsoft Sans Serif"/>
          <w:noProof/>
        </w:rPr>
      </w:pPr>
    </w:p>
    <w:p w:rsidR="00334AAB" w:rsidRPr="004E33E4" w:rsidRDefault="00334AAB" w:rsidP="00334AAB">
      <w:pPr>
        <w:spacing w:line="240" w:lineRule="auto"/>
        <w:jc w:val="left"/>
        <w:rPr>
          <w:rFonts w:ascii="Microsoft Sans Serif" w:hAnsi="Microsoft Sans Serif" w:cs="Microsoft Sans Serif"/>
        </w:rPr>
      </w:pPr>
      <w:r w:rsidRPr="00AD11B1">
        <w:rPr>
          <w:rFonts w:ascii="Microsoft Sans Serif" w:hAnsi="Microsoft Sans Serif" w:cs="Microsoft Sans Serif"/>
          <w:noProof/>
        </w:rPr>
        <w:t>PAUL SMITH</w:t>
      </w:r>
    </w:p>
    <w:p w:rsidR="00334AAB" w:rsidRDefault="00334AAB" w:rsidP="00334AAB">
      <w:pPr>
        <w:spacing w:line="240" w:lineRule="auto"/>
        <w:jc w:val="left"/>
        <w:rPr>
          <w:rFonts w:ascii="Microsoft Sans Serif" w:hAnsi="Microsoft Sans Serif" w:cs="Microsoft Sans Serif"/>
        </w:rPr>
      </w:pPr>
      <w:r>
        <w:rPr>
          <w:rFonts w:ascii="Microsoft Sans Serif" w:hAnsi="Microsoft Sans Serif" w:cs="Microsoft Sans Serif"/>
        </w:rPr>
        <w:t>*********************</w:t>
      </w:r>
    </w:p>
    <w:p w:rsidR="00334AAB" w:rsidRDefault="00334AAB" w:rsidP="00334AAB">
      <w:pPr>
        <w:spacing w:line="240" w:lineRule="auto"/>
        <w:jc w:val="left"/>
        <w:rPr>
          <w:rFonts w:ascii="Microsoft Sans Serif" w:hAnsi="Microsoft Sans Serif" w:cs="Microsoft Sans Serif"/>
        </w:rPr>
      </w:pPr>
      <w:r>
        <w:rPr>
          <w:rFonts w:ascii="Microsoft Sans Serif" w:hAnsi="Microsoft Sans Serif" w:cs="Microsoft Sans Serif"/>
        </w:rPr>
        <w:t>*********************</w:t>
      </w:r>
    </w:p>
    <w:p w:rsidR="00334AAB" w:rsidRPr="004E33E4" w:rsidRDefault="00334AAB" w:rsidP="00334AAB">
      <w:pPr>
        <w:spacing w:line="240" w:lineRule="auto"/>
        <w:jc w:val="left"/>
        <w:rPr>
          <w:rFonts w:ascii="Microsoft Sans Serif" w:hAnsi="Microsoft Sans Serif" w:cs="Microsoft Sans Serif"/>
        </w:rPr>
      </w:pPr>
    </w:p>
    <w:p w:rsidR="00334AAB" w:rsidRPr="004E33E4" w:rsidRDefault="00334AAB" w:rsidP="00334AAB">
      <w:pPr>
        <w:spacing w:line="240" w:lineRule="auto"/>
        <w:jc w:val="left"/>
        <w:rPr>
          <w:rFonts w:ascii="Microsoft Sans Serif" w:hAnsi="Microsoft Sans Serif" w:cs="Microsoft Sans Serif"/>
        </w:rPr>
      </w:pPr>
      <w:r w:rsidRPr="00AD11B1">
        <w:rPr>
          <w:rFonts w:ascii="Microsoft Sans Serif" w:hAnsi="Microsoft Sans Serif" w:cs="Microsoft Sans Serif"/>
          <w:noProof/>
        </w:rPr>
        <w:t>ATTORNEY CHRISTOPHER M TREJCHEL</w:t>
      </w:r>
    </w:p>
    <w:p w:rsidR="00334AAB" w:rsidRPr="004E33E4" w:rsidRDefault="00334AAB" w:rsidP="00334AAB">
      <w:pPr>
        <w:spacing w:line="240" w:lineRule="auto"/>
        <w:jc w:val="left"/>
        <w:rPr>
          <w:rFonts w:ascii="Microsoft Sans Serif" w:hAnsi="Microsoft Sans Serif" w:cs="Microsoft Sans Serif"/>
        </w:rPr>
      </w:pPr>
      <w:r w:rsidRPr="00AD11B1">
        <w:rPr>
          <w:rFonts w:ascii="Microsoft Sans Serif" w:hAnsi="Microsoft Sans Serif" w:cs="Microsoft Sans Serif"/>
          <w:noProof/>
        </w:rPr>
        <w:t>NATIONAL FUEL GAS DISTRIBUTION CORPORATION</w:t>
      </w:r>
    </w:p>
    <w:p w:rsidR="00334AAB" w:rsidRPr="004E33E4" w:rsidRDefault="00334AAB" w:rsidP="00334AAB">
      <w:pPr>
        <w:spacing w:line="240" w:lineRule="auto"/>
        <w:jc w:val="left"/>
        <w:rPr>
          <w:rFonts w:ascii="Microsoft Sans Serif" w:hAnsi="Microsoft Sans Serif" w:cs="Microsoft Sans Serif"/>
        </w:rPr>
      </w:pPr>
      <w:r w:rsidRPr="00AD11B1">
        <w:rPr>
          <w:rFonts w:ascii="Microsoft Sans Serif" w:hAnsi="Microsoft Sans Serif" w:cs="Microsoft Sans Serif"/>
          <w:noProof/>
        </w:rPr>
        <w:t>P.O. BOX 2081</w:t>
      </w:r>
    </w:p>
    <w:p w:rsidR="002439CF" w:rsidRPr="002439CF" w:rsidRDefault="00334AAB" w:rsidP="002439CF">
      <w:pPr>
        <w:spacing w:line="240" w:lineRule="auto"/>
        <w:jc w:val="left"/>
      </w:pPr>
      <w:r w:rsidRPr="00AD11B1">
        <w:rPr>
          <w:rFonts w:ascii="Microsoft Sans Serif" w:hAnsi="Microsoft Sans Serif" w:cs="Microsoft Sans Serif"/>
          <w:noProof/>
        </w:rPr>
        <w:t>ERIE</w:t>
      </w:r>
      <w:r w:rsidRPr="004E33E4">
        <w:rPr>
          <w:rFonts w:ascii="Microsoft Sans Serif" w:hAnsi="Microsoft Sans Serif" w:cs="Microsoft Sans Serif"/>
        </w:rPr>
        <w:t xml:space="preserve"> </w:t>
      </w:r>
      <w:r w:rsidRPr="00AD11B1">
        <w:rPr>
          <w:rFonts w:ascii="Microsoft Sans Serif" w:hAnsi="Microsoft Sans Serif" w:cs="Microsoft Sans Serif"/>
          <w:noProof/>
        </w:rPr>
        <w:t>PA</w:t>
      </w:r>
      <w:r w:rsidRPr="004E33E4">
        <w:rPr>
          <w:rFonts w:ascii="Microsoft Sans Serif" w:hAnsi="Microsoft Sans Serif" w:cs="Microsoft Sans Serif"/>
        </w:rPr>
        <w:t xml:space="preserve">  </w:t>
      </w:r>
      <w:r w:rsidRPr="00AD11B1">
        <w:rPr>
          <w:rFonts w:ascii="Microsoft Sans Serif" w:hAnsi="Microsoft Sans Serif" w:cs="Microsoft Sans Serif"/>
          <w:noProof/>
        </w:rPr>
        <w:t>16512</w:t>
      </w:r>
    </w:p>
    <w:sectPr w:rsidR="002439CF" w:rsidRPr="002439CF" w:rsidSect="00334AAB">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05A" w:rsidRDefault="001B005A" w:rsidP="00AB36A0">
      <w:pPr>
        <w:spacing w:line="240" w:lineRule="auto"/>
      </w:pPr>
      <w:r>
        <w:separator/>
      </w:r>
    </w:p>
  </w:endnote>
  <w:endnote w:type="continuationSeparator" w:id="0">
    <w:p w:rsidR="001B005A" w:rsidRDefault="001B005A" w:rsidP="00AB36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7735"/>
      <w:docPartObj>
        <w:docPartGallery w:val="Page Numbers (Bottom of Page)"/>
        <w:docPartUnique/>
      </w:docPartObj>
    </w:sdtPr>
    <w:sdtContent>
      <w:p w:rsidR="00AB36A0" w:rsidRDefault="00FD61A5">
        <w:pPr>
          <w:pStyle w:val="Footer"/>
        </w:pPr>
        <w:fldSimple w:instr=" PAGE   \* MERGEFORMAT ">
          <w:r w:rsidR="00334AAB">
            <w:rPr>
              <w:noProof/>
            </w:rPr>
            <w:t>8</w:t>
          </w:r>
        </w:fldSimple>
      </w:p>
    </w:sdtContent>
  </w:sdt>
  <w:p w:rsidR="00AB36A0" w:rsidRDefault="00AB3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05A" w:rsidRDefault="001B005A" w:rsidP="00AB36A0">
      <w:pPr>
        <w:spacing w:line="240" w:lineRule="auto"/>
      </w:pPr>
      <w:r>
        <w:separator/>
      </w:r>
    </w:p>
  </w:footnote>
  <w:footnote w:type="continuationSeparator" w:id="0">
    <w:p w:rsidR="001B005A" w:rsidRDefault="001B005A" w:rsidP="00AB36A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439CF"/>
    <w:rsid w:val="00001E3A"/>
    <w:rsid w:val="00001EF6"/>
    <w:rsid w:val="00003D11"/>
    <w:rsid w:val="00005558"/>
    <w:rsid w:val="000079FE"/>
    <w:rsid w:val="00012104"/>
    <w:rsid w:val="0001305A"/>
    <w:rsid w:val="00016E55"/>
    <w:rsid w:val="0002105C"/>
    <w:rsid w:val="00025D7A"/>
    <w:rsid w:val="00031D75"/>
    <w:rsid w:val="00032379"/>
    <w:rsid w:val="00033303"/>
    <w:rsid w:val="00033673"/>
    <w:rsid w:val="00035BB8"/>
    <w:rsid w:val="00040EB6"/>
    <w:rsid w:val="00044B8B"/>
    <w:rsid w:val="00044FC0"/>
    <w:rsid w:val="00046714"/>
    <w:rsid w:val="000541C0"/>
    <w:rsid w:val="0005423F"/>
    <w:rsid w:val="00055078"/>
    <w:rsid w:val="00055CC5"/>
    <w:rsid w:val="000568EE"/>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902E3"/>
    <w:rsid w:val="00091F08"/>
    <w:rsid w:val="0009220F"/>
    <w:rsid w:val="00092B4E"/>
    <w:rsid w:val="00092E44"/>
    <w:rsid w:val="0009318F"/>
    <w:rsid w:val="000931F7"/>
    <w:rsid w:val="00093562"/>
    <w:rsid w:val="00097D77"/>
    <w:rsid w:val="000A2192"/>
    <w:rsid w:val="000A4551"/>
    <w:rsid w:val="000A5DEA"/>
    <w:rsid w:val="000A652E"/>
    <w:rsid w:val="000A770B"/>
    <w:rsid w:val="000B2D0C"/>
    <w:rsid w:val="000B339A"/>
    <w:rsid w:val="000B7111"/>
    <w:rsid w:val="000C2696"/>
    <w:rsid w:val="000C2A2B"/>
    <w:rsid w:val="000C34F3"/>
    <w:rsid w:val="000C4163"/>
    <w:rsid w:val="000C6B6E"/>
    <w:rsid w:val="000C6EF0"/>
    <w:rsid w:val="000D29BA"/>
    <w:rsid w:val="000D3E49"/>
    <w:rsid w:val="000D5763"/>
    <w:rsid w:val="000E2F36"/>
    <w:rsid w:val="000E49E6"/>
    <w:rsid w:val="000E7EF5"/>
    <w:rsid w:val="000F1890"/>
    <w:rsid w:val="000F2E5F"/>
    <w:rsid w:val="000F47F1"/>
    <w:rsid w:val="000F678B"/>
    <w:rsid w:val="000F78BE"/>
    <w:rsid w:val="0010080E"/>
    <w:rsid w:val="001021FB"/>
    <w:rsid w:val="00102A77"/>
    <w:rsid w:val="0010420D"/>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3068D"/>
    <w:rsid w:val="00135526"/>
    <w:rsid w:val="00140273"/>
    <w:rsid w:val="0014105E"/>
    <w:rsid w:val="00143142"/>
    <w:rsid w:val="00143C25"/>
    <w:rsid w:val="00145327"/>
    <w:rsid w:val="00152FD8"/>
    <w:rsid w:val="001537E3"/>
    <w:rsid w:val="00153C39"/>
    <w:rsid w:val="00154F0C"/>
    <w:rsid w:val="0015569F"/>
    <w:rsid w:val="00155E87"/>
    <w:rsid w:val="0015737B"/>
    <w:rsid w:val="00157E46"/>
    <w:rsid w:val="00162D2F"/>
    <w:rsid w:val="0016521D"/>
    <w:rsid w:val="00170FE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05A"/>
    <w:rsid w:val="001B06B8"/>
    <w:rsid w:val="001B1B1D"/>
    <w:rsid w:val="001B3572"/>
    <w:rsid w:val="001B3D6F"/>
    <w:rsid w:val="001B4B2B"/>
    <w:rsid w:val="001B6470"/>
    <w:rsid w:val="001B760E"/>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4882"/>
    <w:rsid w:val="001F6E43"/>
    <w:rsid w:val="001F6F77"/>
    <w:rsid w:val="001F74FC"/>
    <w:rsid w:val="002004A8"/>
    <w:rsid w:val="002019B1"/>
    <w:rsid w:val="00201E65"/>
    <w:rsid w:val="00205405"/>
    <w:rsid w:val="0021162B"/>
    <w:rsid w:val="002125E4"/>
    <w:rsid w:val="00215381"/>
    <w:rsid w:val="00216C32"/>
    <w:rsid w:val="00216F76"/>
    <w:rsid w:val="0021750E"/>
    <w:rsid w:val="00220D97"/>
    <w:rsid w:val="00221A88"/>
    <w:rsid w:val="002241D0"/>
    <w:rsid w:val="00224756"/>
    <w:rsid w:val="00227A4A"/>
    <w:rsid w:val="00230CC6"/>
    <w:rsid w:val="002337D7"/>
    <w:rsid w:val="00234DEB"/>
    <w:rsid w:val="0023584A"/>
    <w:rsid w:val="00236C44"/>
    <w:rsid w:val="002422D0"/>
    <w:rsid w:val="00243996"/>
    <w:rsid w:val="002439CF"/>
    <w:rsid w:val="002451F7"/>
    <w:rsid w:val="002455CC"/>
    <w:rsid w:val="00246523"/>
    <w:rsid w:val="0024777B"/>
    <w:rsid w:val="00247CE0"/>
    <w:rsid w:val="00251E5A"/>
    <w:rsid w:val="00252DB6"/>
    <w:rsid w:val="00252F2A"/>
    <w:rsid w:val="0025351B"/>
    <w:rsid w:val="002546D8"/>
    <w:rsid w:val="002558A3"/>
    <w:rsid w:val="00256505"/>
    <w:rsid w:val="00260459"/>
    <w:rsid w:val="00260814"/>
    <w:rsid w:val="00263AD5"/>
    <w:rsid w:val="0026705F"/>
    <w:rsid w:val="002704DD"/>
    <w:rsid w:val="0027210A"/>
    <w:rsid w:val="002748C2"/>
    <w:rsid w:val="002752C3"/>
    <w:rsid w:val="00277591"/>
    <w:rsid w:val="00284760"/>
    <w:rsid w:val="00287CB1"/>
    <w:rsid w:val="0029096F"/>
    <w:rsid w:val="00290AD2"/>
    <w:rsid w:val="0029353E"/>
    <w:rsid w:val="00293F4E"/>
    <w:rsid w:val="00297286"/>
    <w:rsid w:val="002A05C6"/>
    <w:rsid w:val="002A0E71"/>
    <w:rsid w:val="002A5F4D"/>
    <w:rsid w:val="002A70E9"/>
    <w:rsid w:val="002A7A0A"/>
    <w:rsid w:val="002B0DEC"/>
    <w:rsid w:val="002B3E20"/>
    <w:rsid w:val="002B541A"/>
    <w:rsid w:val="002B754D"/>
    <w:rsid w:val="002C1023"/>
    <w:rsid w:val="002C4F02"/>
    <w:rsid w:val="002C69AD"/>
    <w:rsid w:val="002D0E4D"/>
    <w:rsid w:val="002D7978"/>
    <w:rsid w:val="002E7DDB"/>
    <w:rsid w:val="002F21B6"/>
    <w:rsid w:val="002F222D"/>
    <w:rsid w:val="002F42FC"/>
    <w:rsid w:val="002F5C03"/>
    <w:rsid w:val="002F6F4F"/>
    <w:rsid w:val="002F75DA"/>
    <w:rsid w:val="00304AA1"/>
    <w:rsid w:val="00306C33"/>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AAB"/>
    <w:rsid w:val="00334F62"/>
    <w:rsid w:val="003364EB"/>
    <w:rsid w:val="00336CE8"/>
    <w:rsid w:val="003425CF"/>
    <w:rsid w:val="0034272B"/>
    <w:rsid w:val="00342BFE"/>
    <w:rsid w:val="00344C34"/>
    <w:rsid w:val="003470E8"/>
    <w:rsid w:val="00354574"/>
    <w:rsid w:val="003550C3"/>
    <w:rsid w:val="00356988"/>
    <w:rsid w:val="003601E1"/>
    <w:rsid w:val="00360F5F"/>
    <w:rsid w:val="0036124A"/>
    <w:rsid w:val="0036153E"/>
    <w:rsid w:val="0036237C"/>
    <w:rsid w:val="003625F5"/>
    <w:rsid w:val="003643C9"/>
    <w:rsid w:val="003657F1"/>
    <w:rsid w:val="00365A2F"/>
    <w:rsid w:val="0036754C"/>
    <w:rsid w:val="00375889"/>
    <w:rsid w:val="00381B05"/>
    <w:rsid w:val="00385BF0"/>
    <w:rsid w:val="00385DAD"/>
    <w:rsid w:val="00386626"/>
    <w:rsid w:val="003908D7"/>
    <w:rsid w:val="00390929"/>
    <w:rsid w:val="00390DBB"/>
    <w:rsid w:val="00391CFF"/>
    <w:rsid w:val="003924CC"/>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2B14"/>
    <w:rsid w:val="003F01A7"/>
    <w:rsid w:val="003F2E62"/>
    <w:rsid w:val="004047B1"/>
    <w:rsid w:val="0040584C"/>
    <w:rsid w:val="00406807"/>
    <w:rsid w:val="004078EF"/>
    <w:rsid w:val="00407C2F"/>
    <w:rsid w:val="0041082C"/>
    <w:rsid w:val="00411425"/>
    <w:rsid w:val="00413B28"/>
    <w:rsid w:val="00413BA5"/>
    <w:rsid w:val="00413DAC"/>
    <w:rsid w:val="0041623E"/>
    <w:rsid w:val="00416AB2"/>
    <w:rsid w:val="00421203"/>
    <w:rsid w:val="00423359"/>
    <w:rsid w:val="00425C94"/>
    <w:rsid w:val="00426277"/>
    <w:rsid w:val="004262B3"/>
    <w:rsid w:val="00430257"/>
    <w:rsid w:val="00431130"/>
    <w:rsid w:val="00433AE5"/>
    <w:rsid w:val="0043485A"/>
    <w:rsid w:val="00440521"/>
    <w:rsid w:val="004407EE"/>
    <w:rsid w:val="00441078"/>
    <w:rsid w:val="00442254"/>
    <w:rsid w:val="00443307"/>
    <w:rsid w:val="00444E41"/>
    <w:rsid w:val="00445003"/>
    <w:rsid w:val="00446B02"/>
    <w:rsid w:val="00447A63"/>
    <w:rsid w:val="004521D4"/>
    <w:rsid w:val="0045300F"/>
    <w:rsid w:val="00454158"/>
    <w:rsid w:val="00454723"/>
    <w:rsid w:val="00460140"/>
    <w:rsid w:val="0046238B"/>
    <w:rsid w:val="00465D71"/>
    <w:rsid w:val="0047070D"/>
    <w:rsid w:val="00477A71"/>
    <w:rsid w:val="00481269"/>
    <w:rsid w:val="004839FC"/>
    <w:rsid w:val="00484BCE"/>
    <w:rsid w:val="00487E8F"/>
    <w:rsid w:val="00491F39"/>
    <w:rsid w:val="0049475D"/>
    <w:rsid w:val="0049575D"/>
    <w:rsid w:val="00496DB8"/>
    <w:rsid w:val="004A11A6"/>
    <w:rsid w:val="004A5318"/>
    <w:rsid w:val="004A741E"/>
    <w:rsid w:val="004B0321"/>
    <w:rsid w:val="004B1ADE"/>
    <w:rsid w:val="004B570B"/>
    <w:rsid w:val="004B652A"/>
    <w:rsid w:val="004B7DB2"/>
    <w:rsid w:val="004C067C"/>
    <w:rsid w:val="004C30D2"/>
    <w:rsid w:val="004C3AE2"/>
    <w:rsid w:val="004C4C1E"/>
    <w:rsid w:val="004D0BE0"/>
    <w:rsid w:val="004D14F0"/>
    <w:rsid w:val="004D4A68"/>
    <w:rsid w:val="004D6DCE"/>
    <w:rsid w:val="004E429F"/>
    <w:rsid w:val="004F160A"/>
    <w:rsid w:val="004F2F62"/>
    <w:rsid w:val="004F37CB"/>
    <w:rsid w:val="004F45CA"/>
    <w:rsid w:val="004F616B"/>
    <w:rsid w:val="00500A53"/>
    <w:rsid w:val="00504F92"/>
    <w:rsid w:val="00505551"/>
    <w:rsid w:val="005078B3"/>
    <w:rsid w:val="00511C54"/>
    <w:rsid w:val="00512F47"/>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4A3A"/>
    <w:rsid w:val="005650FF"/>
    <w:rsid w:val="005674EF"/>
    <w:rsid w:val="00570C2E"/>
    <w:rsid w:val="00571577"/>
    <w:rsid w:val="00571C60"/>
    <w:rsid w:val="0057213D"/>
    <w:rsid w:val="005732E9"/>
    <w:rsid w:val="00575D4F"/>
    <w:rsid w:val="00575F27"/>
    <w:rsid w:val="0058036C"/>
    <w:rsid w:val="0058073B"/>
    <w:rsid w:val="00580815"/>
    <w:rsid w:val="00582289"/>
    <w:rsid w:val="0058363F"/>
    <w:rsid w:val="00585BD9"/>
    <w:rsid w:val="00587B74"/>
    <w:rsid w:val="00593FF1"/>
    <w:rsid w:val="0059623B"/>
    <w:rsid w:val="005A1839"/>
    <w:rsid w:val="005A2923"/>
    <w:rsid w:val="005A3759"/>
    <w:rsid w:val="005B3D45"/>
    <w:rsid w:val="005B78C4"/>
    <w:rsid w:val="005C373B"/>
    <w:rsid w:val="005C3DD2"/>
    <w:rsid w:val="005C4AAA"/>
    <w:rsid w:val="005C6F1B"/>
    <w:rsid w:val="005D1442"/>
    <w:rsid w:val="005E06D4"/>
    <w:rsid w:val="005F064D"/>
    <w:rsid w:val="005F512E"/>
    <w:rsid w:val="005F5A21"/>
    <w:rsid w:val="00600458"/>
    <w:rsid w:val="0060369E"/>
    <w:rsid w:val="00603824"/>
    <w:rsid w:val="00605D75"/>
    <w:rsid w:val="006073B5"/>
    <w:rsid w:val="00610CE1"/>
    <w:rsid w:val="006113D8"/>
    <w:rsid w:val="00616232"/>
    <w:rsid w:val="00620850"/>
    <w:rsid w:val="006225AC"/>
    <w:rsid w:val="006230A9"/>
    <w:rsid w:val="00624D32"/>
    <w:rsid w:val="006273ED"/>
    <w:rsid w:val="00632C76"/>
    <w:rsid w:val="00634EB5"/>
    <w:rsid w:val="0063516D"/>
    <w:rsid w:val="00635AE1"/>
    <w:rsid w:val="006416B8"/>
    <w:rsid w:val="0064349A"/>
    <w:rsid w:val="006466B3"/>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1D86"/>
    <w:rsid w:val="00695397"/>
    <w:rsid w:val="0069562F"/>
    <w:rsid w:val="006A177A"/>
    <w:rsid w:val="006A5F8B"/>
    <w:rsid w:val="006A600F"/>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3444"/>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17D8"/>
    <w:rsid w:val="0075585E"/>
    <w:rsid w:val="00772458"/>
    <w:rsid w:val="00775812"/>
    <w:rsid w:val="00781AFB"/>
    <w:rsid w:val="00782461"/>
    <w:rsid w:val="0078470A"/>
    <w:rsid w:val="0078583D"/>
    <w:rsid w:val="00785939"/>
    <w:rsid w:val="00787AF1"/>
    <w:rsid w:val="0079132B"/>
    <w:rsid w:val="0079360E"/>
    <w:rsid w:val="007969E6"/>
    <w:rsid w:val="00796DA1"/>
    <w:rsid w:val="007A2C57"/>
    <w:rsid w:val="007A3440"/>
    <w:rsid w:val="007A34B3"/>
    <w:rsid w:val="007B1039"/>
    <w:rsid w:val="007B1644"/>
    <w:rsid w:val="007B413B"/>
    <w:rsid w:val="007B5461"/>
    <w:rsid w:val="007C19EC"/>
    <w:rsid w:val="007C342D"/>
    <w:rsid w:val="007C60E2"/>
    <w:rsid w:val="007D158A"/>
    <w:rsid w:val="007D5B1C"/>
    <w:rsid w:val="007E0ADA"/>
    <w:rsid w:val="007E15CF"/>
    <w:rsid w:val="007E5866"/>
    <w:rsid w:val="007F07AF"/>
    <w:rsid w:val="007F2A44"/>
    <w:rsid w:val="007F6E2B"/>
    <w:rsid w:val="007F773D"/>
    <w:rsid w:val="008003C8"/>
    <w:rsid w:val="00802118"/>
    <w:rsid w:val="00804065"/>
    <w:rsid w:val="008047DD"/>
    <w:rsid w:val="00806213"/>
    <w:rsid w:val="00812B80"/>
    <w:rsid w:val="008168A2"/>
    <w:rsid w:val="008213E7"/>
    <w:rsid w:val="00821687"/>
    <w:rsid w:val="0082217D"/>
    <w:rsid w:val="00822A40"/>
    <w:rsid w:val="00830A48"/>
    <w:rsid w:val="00833331"/>
    <w:rsid w:val="00834B96"/>
    <w:rsid w:val="00836415"/>
    <w:rsid w:val="00836B47"/>
    <w:rsid w:val="00840A53"/>
    <w:rsid w:val="008427B3"/>
    <w:rsid w:val="0085047D"/>
    <w:rsid w:val="008524EA"/>
    <w:rsid w:val="008530B9"/>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62FA"/>
    <w:rsid w:val="008C03AD"/>
    <w:rsid w:val="008C11EE"/>
    <w:rsid w:val="008C1485"/>
    <w:rsid w:val="008C175C"/>
    <w:rsid w:val="008D2DBA"/>
    <w:rsid w:val="008D530C"/>
    <w:rsid w:val="008D56D1"/>
    <w:rsid w:val="008D638B"/>
    <w:rsid w:val="008D7ECE"/>
    <w:rsid w:val="008E44FF"/>
    <w:rsid w:val="008E5F96"/>
    <w:rsid w:val="008E6FB7"/>
    <w:rsid w:val="008E7FE5"/>
    <w:rsid w:val="008F25DF"/>
    <w:rsid w:val="008F29E0"/>
    <w:rsid w:val="008F4299"/>
    <w:rsid w:val="008F4FCE"/>
    <w:rsid w:val="008F63E4"/>
    <w:rsid w:val="00900008"/>
    <w:rsid w:val="00902EB1"/>
    <w:rsid w:val="00904C01"/>
    <w:rsid w:val="009050BB"/>
    <w:rsid w:val="00905F7A"/>
    <w:rsid w:val="00906A31"/>
    <w:rsid w:val="00906B1B"/>
    <w:rsid w:val="00910398"/>
    <w:rsid w:val="0091039C"/>
    <w:rsid w:val="00911640"/>
    <w:rsid w:val="0091213F"/>
    <w:rsid w:val="00912783"/>
    <w:rsid w:val="0091451C"/>
    <w:rsid w:val="00915919"/>
    <w:rsid w:val="00915C3E"/>
    <w:rsid w:val="00915D45"/>
    <w:rsid w:val="00923349"/>
    <w:rsid w:val="009252D3"/>
    <w:rsid w:val="00926002"/>
    <w:rsid w:val="00930EBA"/>
    <w:rsid w:val="00935580"/>
    <w:rsid w:val="009366E0"/>
    <w:rsid w:val="00940622"/>
    <w:rsid w:val="009412D9"/>
    <w:rsid w:val="00944730"/>
    <w:rsid w:val="009471B5"/>
    <w:rsid w:val="00951A6C"/>
    <w:rsid w:val="00952928"/>
    <w:rsid w:val="009531DA"/>
    <w:rsid w:val="00953CFD"/>
    <w:rsid w:val="009542CC"/>
    <w:rsid w:val="009669E3"/>
    <w:rsid w:val="009671DB"/>
    <w:rsid w:val="0096755D"/>
    <w:rsid w:val="00972738"/>
    <w:rsid w:val="00974C35"/>
    <w:rsid w:val="00976E81"/>
    <w:rsid w:val="009808B0"/>
    <w:rsid w:val="00980958"/>
    <w:rsid w:val="00983488"/>
    <w:rsid w:val="00983EDB"/>
    <w:rsid w:val="009849EF"/>
    <w:rsid w:val="00987014"/>
    <w:rsid w:val="009871AC"/>
    <w:rsid w:val="00997443"/>
    <w:rsid w:val="009A2AFB"/>
    <w:rsid w:val="009A2DE2"/>
    <w:rsid w:val="009A3B62"/>
    <w:rsid w:val="009A5C47"/>
    <w:rsid w:val="009A68E7"/>
    <w:rsid w:val="009A6BC5"/>
    <w:rsid w:val="009B4A92"/>
    <w:rsid w:val="009B4B7B"/>
    <w:rsid w:val="009B66C0"/>
    <w:rsid w:val="009B72A1"/>
    <w:rsid w:val="009B74A5"/>
    <w:rsid w:val="009C24F9"/>
    <w:rsid w:val="009D3AAC"/>
    <w:rsid w:val="009D5B63"/>
    <w:rsid w:val="009E1679"/>
    <w:rsid w:val="009E2348"/>
    <w:rsid w:val="009E239E"/>
    <w:rsid w:val="009E271D"/>
    <w:rsid w:val="009E3537"/>
    <w:rsid w:val="009E362F"/>
    <w:rsid w:val="009E59CA"/>
    <w:rsid w:val="009F1EA5"/>
    <w:rsid w:val="009F768D"/>
    <w:rsid w:val="00A00F26"/>
    <w:rsid w:val="00A018F7"/>
    <w:rsid w:val="00A02ABC"/>
    <w:rsid w:val="00A039B4"/>
    <w:rsid w:val="00A063F2"/>
    <w:rsid w:val="00A0799C"/>
    <w:rsid w:val="00A07D8F"/>
    <w:rsid w:val="00A13C95"/>
    <w:rsid w:val="00A1707A"/>
    <w:rsid w:val="00A215E2"/>
    <w:rsid w:val="00A23803"/>
    <w:rsid w:val="00A249F6"/>
    <w:rsid w:val="00A26704"/>
    <w:rsid w:val="00A27248"/>
    <w:rsid w:val="00A27289"/>
    <w:rsid w:val="00A34AEC"/>
    <w:rsid w:val="00A35AFD"/>
    <w:rsid w:val="00A40731"/>
    <w:rsid w:val="00A429D5"/>
    <w:rsid w:val="00A433E2"/>
    <w:rsid w:val="00A448EF"/>
    <w:rsid w:val="00A4598C"/>
    <w:rsid w:val="00A510EE"/>
    <w:rsid w:val="00A52A4E"/>
    <w:rsid w:val="00A5343C"/>
    <w:rsid w:val="00A64C8D"/>
    <w:rsid w:val="00A70355"/>
    <w:rsid w:val="00A73D4F"/>
    <w:rsid w:val="00A74128"/>
    <w:rsid w:val="00A7538D"/>
    <w:rsid w:val="00A75DD6"/>
    <w:rsid w:val="00A7618B"/>
    <w:rsid w:val="00A77155"/>
    <w:rsid w:val="00A77757"/>
    <w:rsid w:val="00A8008F"/>
    <w:rsid w:val="00A8092D"/>
    <w:rsid w:val="00A80E74"/>
    <w:rsid w:val="00A851A4"/>
    <w:rsid w:val="00A86BD8"/>
    <w:rsid w:val="00A87EDF"/>
    <w:rsid w:val="00A90897"/>
    <w:rsid w:val="00A90C67"/>
    <w:rsid w:val="00A92B4B"/>
    <w:rsid w:val="00AA013D"/>
    <w:rsid w:val="00AA1496"/>
    <w:rsid w:val="00AA155D"/>
    <w:rsid w:val="00AA3D06"/>
    <w:rsid w:val="00AA4899"/>
    <w:rsid w:val="00AA4D37"/>
    <w:rsid w:val="00AA59F2"/>
    <w:rsid w:val="00AA639F"/>
    <w:rsid w:val="00AB16AD"/>
    <w:rsid w:val="00AB36A0"/>
    <w:rsid w:val="00AB3CE6"/>
    <w:rsid w:val="00AB3E2B"/>
    <w:rsid w:val="00AB671D"/>
    <w:rsid w:val="00AB7130"/>
    <w:rsid w:val="00AC0D42"/>
    <w:rsid w:val="00AC2C30"/>
    <w:rsid w:val="00AC3558"/>
    <w:rsid w:val="00AC46EE"/>
    <w:rsid w:val="00AC701A"/>
    <w:rsid w:val="00AC74A3"/>
    <w:rsid w:val="00AC7DAD"/>
    <w:rsid w:val="00AD02BB"/>
    <w:rsid w:val="00AD344D"/>
    <w:rsid w:val="00AD49BE"/>
    <w:rsid w:val="00AD53F5"/>
    <w:rsid w:val="00AD5E7B"/>
    <w:rsid w:val="00AD7989"/>
    <w:rsid w:val="00AE1A08"/>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3036"/>
    <w:rsid w:val="00B2793E"/>
    <w:rsid w:val="00B3022C"/>
    <w:rsid w:val="00B33B37"/>
    <w:rsid w:val="00B374E5"/>
    <w:rsid w:val="00B41FA0"/>
    <w:rsid w:val="00B42826"/>
    <w:rsid w:val="00B43982"/>
    <w:rsid w:val="00B459AF"/>
    <w:rsid w:val="00B55869"/>
    <w:rsid w:val="00B567F1"/>
    <w:rsid w:val="00B569FA"/>
    <w:rsid w:val="00B571D3"/>
    <w:rsid w:val="00B635A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640"/>
    <w:rsid w:val="00BF0242"/>
    <w:rsid w:val="00BF0AE5"/>
    <w:rsid w:val="00BF144D"/>
    <w:rsid w:val="00BF214A"/>
    <w:rsid w:val="00BF3E1B"/>
    <w:rsid w:val="00BF7D51"/>
    <w:rsid w:val="00C02723"/>
    <w:rsid w:val="00C02A91"/>
    <w:rsid w:val="00C04960"/>
    <w:rsid w:val="00C06163"/>
    <w:rsid w:val="00C11391"/>
    <w:rsid w:val="00C114A8"/>
    <w:rsid w:val="00C1324E"/>
    <w:rsid w:val="00C138A5"/>
    <w:rsid w:val="00C14B96"/>
    <w:rsid w:val="00C158D4"/>
    <w:rsid w:val="00C211F9"/>
    <w:rsid w:val="00C22F92"/>
    <w:rsid w:val="00C25927"/>
    <w:rsid w:val="00C27126"/>
    <w:rsid w:val="00C310B8"/>
    <w:rsid w:val="00C31DBD"/>
    <w:rsid w:val="00C3305D"/>
    <w:rsid w:val="00C3343C"/>
    <w:rsid w:val="00C3343E"/>
    <w:rsid w:val="00C3643C"/>
    <w:rsid w:val="00C36C29"/>
    <w:rsid w:val="00C502DD"/>
    <w:rsid w:val="00C613E2"/>
    <w:rsid w:val="00C65047"/>
    <w:rsid w:val="00C653CC"/>
    <w:rsid w:val="00C665D4"/>
    <w:rsid w:val="00C74775"/>
    <w:rsid w:val="00C76F9B"/>
    <w:rsid w:val="00C77064"/>
    <w:rsid w:val="00C80AB6"/>
    <w:rsid w:val="00C833D6"/>
    <w:rsid w:val="00C84CDE"/>
    <w:rsid w:val="00C8762A"/>
    <w:rsid w:val="00C9306D"/>
    <w:rsid w:val="00C93320"/>
    <w:rsid w:val="00C95318"/>
    <w:rsid w:val="00C95A99"/>
    <w:rsid w:val="00C96B98"/>
    <w:rsid w:val="00C96F6B"/>
    <w:rsid w:val="00CA043D"/>
    <w:rsid w:val="00CA069B"/>
    <w:rsid w:val="00CA27F9"/>
    <w:rsid w:val="00CA4F28"/>
    <w:rsid w:val="00CB067C"/>
    <w:rsid w:val="00CB15CA"/>
    <w:rsid w:val="00CB26B3"/>
    <w:rsid w:val="00CB3B7D"/>
    <w:rsid w:val="00CB687E"/>
    <w:rsid w:val="00CC074E"/>
    <w:rsid w:val="00CC1659"/>
    <w:rsid w:val="00CC30C3"/>
    <w:rsid w:val="00CC363A"/>
    <w:rsid w:val="00CC3D4E"/>
    <w:rsid w:val="00CC74BD"/>
    <w:rsid w:val="00CD0768"/>
    <w:rsid w:val="00CD3CC4"/>
    <w:rsid w:val="00CE047D"/>
    <w:rsid w:val="00CE43AF"/>
    <w:rsid w:val="00CE665D"/>
    <w:rsid w:val="00CE6758"/>
    <w:rsid w:val="00CE7731"/>
    <w:rsid w:val="00CF1226"/>
    <w:rsid w:val="00CF6A79"/>
    <w:rsid w:val="00CF73D7"/>
    <w:rsid w:val="00D00AAE"/>
    <w:rsid w:val="00D02D5A"/>
    <w:rsid w:val="00D03B9D"/>
    <w:rsid w:val="00D06F2D"/>
    <w:rsid w:val="00D13B2D"/>
    <w:rsid w:val="00D15660"/>
    <w:rsid w:val="00D16E7D"/>
    <w:rsid w:val="00D17731"/>
    <w:rsid w:val="00D21DFB"/>
    <w:rsid w:val="00D227C4"/>
    <w:rsid w:val="00D23048"/>
    <w:rsid w:val="00D23DD0"/>
    <w:rsid w:val="00D251C3"/>
    <w:rsid w:val="00D329CD"/>
    <w:rsid w:val="00D33231"/>
    <w:rsid w:val="00D36240"/>
    <w:rsid w:val="00D36DB7"/>
    <w:rsid w:val="00D40E5E"/>
    <w:rsid w:val="00D4138D"/>
    <w:rsid w:val="00D41493"/>
    <w:rsid w:val="00D4152F"/>
    <w:rsid w:val="00D43EF1"/>
    <w:rsid w:val="00D43F6F"/>
    <w:rsid w:val="00D46755"/>
    <w:rsid w:val="00D46CFF"/>
    <w:rsid w:val="00D46FBF"/>
    <w:rsid w:val="00D47BB6"/>
    <w:rsid w:val="00D62214"/>
    <w:rsid w:val="00D632D1"/>
    <w:rsid w:val="00D63D9F"/>
    <w:rsid w:val="00D65E10"/>
    <w:rsid w:val="00D709A0"/>
    <w:rsid w:val="00D70A78"/>
    <w:rsid w:val="00D71394"/>
    <w:rsid w:val="00D7252A"/>
    <w:rsid w:val="00D73BC0"/>
    <w:rsid w:val="00D76C93"/>
    <w:rsid w:val="00D81512"/>
    <w:rsid w:val="00D85346"/>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E761A"/>
    <w:rsid w:val="00DF2338"/>
    <w:rsid w:val="00DF4C70"/>
    <w:rsid w:val="00DF4D56"/>
    <w:rsid w:val="00DF63EB"/>
    <w:rsid w:val="00DF78BC"/>
    <w:rsid w:val="00E030AE"/>
    <w:rsid w:val="00E04EFF"/>
    <w:rsid w:val="00E05D02"/>
    <w:rsid w:val="00E101A9"/>
    <w:rsid w:val="00E12954"/>
    <w:rsid w:val="00E12FAE"/>
    <w:rsid w:val="00E13468"/>
    <w:rsid w:val="00E2457B"/>
    <w:rsid w:val="00E247DE"/>
    <w:rsid w:val="00E257AB"/>
    <w:rsid w:val="00E3212A"/>
    <w:rsid w:val="00E32512"/>
    <w:rsid w:val="00E333C7"/>
    <w:rsid w:val="00E3374E"/>
    <w:rsid w:val="00E33A7F"/>
    <w:rsid w:val="00E34A79"/>
    <w:rsid w:val="00E4104D"/>
    <w:rsid w:val="00E41293"/>
    <w:rsid w:val="00E44479"/>
    <w:rsid w:val="00E45108"/>
    <w:rsid w:val="00E475F0"/>
    <w:rsid w:val="00E50CA8"/>
    <w:rsid w:val="00E538E6"/>
    <w:rsid w:val="00E553E9"/>
    <w:rsid w:val="00E577FD"/>
    <w:rsid w:val="00E61098"/>
    <w:rsid w:val="00E62177"/>
    <w:rsid w:val="00E6494D"/>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5D98"/>
    <w:rsid w:val="00EB7A35"/>
    <w:rsid w:val="00EC027A"/>
    <w:rsid w:val="00EC05B4"/>
    <w:rsid w:val="00EC074E"/>
    <w:rsid w:val="00EC0B10"/>
    <w:rsid w:val="00EC33EA"/>
    <w:rsid w:val="00EC62F1"/>
    <w:rsid w:val="00ED03A3"/>
    <w:rsid w:val="00ED0AA7"/>
    <w:rsid w:val="00ED2F8A"/>
    <w:rsid w:val="00ED7658"/>
    <w:rsid w:val="00EE1EE5"/>
    <w:rsid w:val="00EE2928"/>
    <w:rsid w:val="00EE359A"/>
    <w:rsid w:val="00EF2966"/>
    <w:rsid w:val="00EF7235"/>
    <w:rsid w:val="00F00A4D"/>
    <w:rsid w:val="00F01EA8"/>
    <w:rsid w:val="00F023A3"/>
    <w:rsid w:val="00F030F9"/>
    <w:rsid w:val="00F04C8C"/>
    <w:rsid w:val="00F054DA"/>
    <w:rsid w:val="00F06144"/>
    <w:rsid w:val="00F07BCF"/>
    <w:rsid w:val="00F16FAB"/>
    <w:rsid w:val="00F21CA5"/>
    <w:rsid w:val="00F31625"/>
    <w:rsid w:val="00F31BDC"/>
    <w:rsid w:val="00F32242"/>
    <w:rsid w:val="00F36CDE"/>
    <w:rsid w:val="00F36E39"/>
    <w:rsid w:val="00F40A8F"/>
    <w:rsid w:val="00F40FF5"/>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4C6F"/>
    <w:rsid w:val="00FB64A1"/>
    <w:rsid w:val="00FB6732"/>
    <w:rsid w:val="00FB7D16"/>
    <w:rsid w:val="00FC110D"/>
    <w:rsid w:val="00FC3800"/>
    <w:rsid w:val="00FC4527"/>
    <w:rsid w:val="00FC65BE"/>
    <w:rsid w:val="00FC70C0"/>
    <w:rsid w:val="00FD1EEA"/>
    <w:rsid w:val="00FD30C0"/>
    <w:rsid w:val="00FD36CA"/>
    <w:rsid w:val="00FD3B41"/>
    <w:rsid w:val="00FD61A5"/>
    <w:rsid w:val="00FD6C73"/>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36A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B36A0"/>
  </w:style>
  <w:style w:type="paragraph" w:styleId="Footer">
    <w:name w:val="footer"/>
    <w:basedOn w:val="Normal"/>
    <w:link w:val="FooterChar"/>
    <w:uiPriority w:val="99"/>
    <w:unhideWhenUsed/>
    <w:rsid w:val="00AB36A0"/>
    <w:pPr>
      <w:tabs>
        <w:tab w:val="center" w:pos="4680"/>
        <w:tab w:val="right" w:pos="9360"/>
      </w:tabs>
      <w:spacing w:line="240" w:lineRule="auto"/>
    </w:pPr>
  </w:style>
  <w:style w:type="character" w:customStyle="1" w:styleId="FooterChar">
    <w:name w:val="Footer Char"/>
    <w:basedOn w:val="DefaultParagraphFont"/>
    <w:link w:val="Footer"/>
    <w:uiPriority w:val="99"/>
    <w:rsid w:val="00AB36A0"/>
  </w:style>
  <w:style w:type="character" w:styleId="Hyperlink">
    <w:name w:val="Hyperlink"/>
    <w:basedOn w:val="DefaultParagraphFont"/>
    <w:uiPriority w:val="99"/>
    <w:semiHidden/>
    <w:unhideWhenUsed/>
    <w:rsid w:val="00205405"/>
    <w:rPr>
      <w:color w:val="0000FF"/>
      <w:u w:val="single"/>
    </w:rPr>
  </w:style>
  <w:style w:type="character" w:customStyle="1" w:styleId="term1">
    <w:name w:val="term1"/>
    <w:basedOn w:val="DefaultParagraphFont"/>
    <w:rsid w:val="00205405"/>
    <w:rPr>
      <w:b/>
      <w:bCs/>
    </w:rPr>
  </w:style>
  <w:style w:type="character" w:styleId="Emphasis">
    <w:name w:val="Emphasis"/>
    <w:basedOn w:val="DefaultParagraphFont"/>
    <w:uiPriority w:val="20"/>
    <w:qFormat/>
    <w:rsid w:val="00205405"/>
    <w:rPr>
      <w:i/>
      <w:iCs/>
    </w:rPr>
  </w:style>
</w:styles>
</file>

<file path=word/webSettings.xml><?xml version="1.0" encoding="utf-8"?>
<w:webSettings xmlns:r="http://schemas.openxmlformats.org/officeDocument/2006/relationships" xmlns:w="http://schemas.openxmlformats.org/wordprocessingml/2006/main">
  <w:divs>
    <w:div w:id="1145128791">
      <w:bodyDiv w:val="1"/>
      <w:marLeft w:val="0"/>
      <w:marRight w:val="0"/>
      <w:marTop w:val="0"/>
      <w:marBottom w:val="0"/>
      <w:divBdr>
        <w:top w:val="none" w:sz="0" w:space="0" w:color="auto"/>
        <w:left w:val="none" w:sz="0" w:space="0" w:color="auto"/>
        <w:bottom w:val="none" w:sz="0" w:space="0" w:color="auto"/>
        <w:right w:val="none" w:sz="0" w:space="0" w:color="auto"/>
      </w:divBdr>
      <w:divsChild>
        <w:div w:id="1409839674">
          <w:marLeft w:val="0"/>
          <w:marRight w:val="0"/>
          <w:marTop w:val="0"/>
          <w:marBottom w:val="0"/>
          <w:divBdr>
            <w:top w:val="none" w:sz="0" w:space="0" w:color="auto"/>
            <w:left w:val="none" w:sz="0" w:space="0" w:color="auto"/>
            <w:bottom w:val="none" w:sz="0" w:space="0" w:color="auto"/>
            <w:right w:val="none" w:sz="0" w:space="0" w:color="auto"/>
          </w:divBdr>
          <w:divsChild>
            <w:div w:id="578562834">
              <w:marLeft w:val="0"/>
              <w:marRight w:val="0"/>
              <w:marTop w:val="0"/>
              <w:marBottom w:val="0"/>
              <w:divBdr>
                <w:top w:val="none" w:sz="0" w:space="0" w:color="auto"/>
                <w:left w:val="none" w:sz="0" w:space="0" w:color="auto"/>
                <w:bottom w:val="none" w:sz="0" w:space="0" w:color="auto"/>
                <w:right w:val="none" w:sz="0" w:space="0" w:color="auto"/>
              </w:divBdr>
              <w:divsChild>
                <w:div w:id="773522586">
                  <w:marLeft w:val="0"/>
                  <w:marRight w:val="0"/>
                  <w:marTop w:val="0"/>
                  <w:marBottom w:val="0"/>
                  <w:divBdr>
                    <w:top w:val="none" w:sz="0" w:space="0" w:color="auto"/>
                    <w:left w:val="none" w:sz="0" w:space="0" w:color="auto"/>
                    <w:bottom w:val="none" w:sz="0" w:space="0" w:color="auto"/>
                    <w:right w:val="none" w:sz="0" w:space="0" w:color="auto"/>
                  </w:divBdr>
                  <w:divsChild>
                    <w:div w:id="57759768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536233">
      <w:bodyDiv w:val="1"/>
      <w:marLeft w:val="0"/>
      <w:marRight w:val="0"/>
      <w:marTop w:val="0"/>
      <w:marBottom w:val="0"/>
      <w:divBdr>
        <w:top w:val="none" w:sz="0" w:space="0" w:color="auto"/>
        <w:left w:val="none" w:sz="0" w:space="0" w:color="auto"/>
        <w:bottom w:val="none" w:sz="0" w:space="0" w:color="auto"/>
        <w:right w:val="none" w:sz="0" w:space="0" w:color="auto"/>
      </w:divBdr>
      <w:divsChild>
        <w:div w:id="610744012">
          <w:marLeft w:val="0"/>
          <w:marRight w:val="0"/>
          <w:marTop w:val="0"/>
          <w:marBottom w:val="0"/>
          <w:divBdr>
            <w:top w:val="none" w:sz="0" w:space="0" w:color="auto"/>
            <w:left w:val="none" w:sz="0" w:space="0" w:color="auto"/>
            <w:bottom w:val="none" w:sz="0" w:space="0" w:color="auto"/>
            <w:right w:val="none" w:sz="0" w:space="0" w:color="auto"/>
          </w:divBdr>
          <w:divsChild>
            <w:div w:id="745296873">
              <w:marLeft w:val="0"/>
              <w:marRight w:val="0"/>
              <w:marTop w:val="0"/>
              <w:marBottom w:val="0"/>
              <w:divBdr>
                <w:top w:val="none" w:sz="0" w:space="0" w:color="auto"/>
                <w:left w:val="none" w:sz="0" w:space="0" w:color="auto"/>
                <w:bottom w:val="none" w:sz="0" w:space="0" w:color="auto"/>
                <w:right w:val="none" w:sz="0" w:space="0" w:color="auto"/>
              </w:divBdr>
              <w:divsChild>
                <w:div w:id="309985595">
                  <w:marLeft w:val="0"/>
                  <w:marRight w:val="0"/>
                  <w:marTop w:val="0"/>
                  <w:marBottom w:val="0"/>
                  <w:divBdr>
                    <w:top w:val="none" w:sz="0" w:space="0" w:color="auto"/>
                    <w:left w:val="none" w:sz="0" w:space="0" w:color="auto"/>
                    <w:bottom w:val="none" w:sz="0" w:space="0" w:color="auto"/>
                    <w:right w:val="none" w:sz="0" w:space="0" w:color="auto"/>
                  </w:divBdr>
                  <w:divsChild>
                    <w:div w:id="213852771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ae4aa8ece88a26ab9741234094602f79&amp;_xfercite=%3ccite%20cc%3d%22USA%22%3e%3c%21%5bCDATA%5b1994%20Pa.%20PUC%20LEXIS%2069%5d%5d%3e%3c%2fcite%3e&amp;_butType=3&amp;_butStat=2&amp;_butNum=12&amp;_butInline=1&amp;_butinfo=%3ccite%20cc%3d%22USA%22%3e%3c%21%5bCDATA%5b142%20Pa.%20Commw.%20176%2cat%20187%5d%5d%3e%3c%2fcite%3e&amp;_fmtstr=FULL&amp;docnum=2&amp;_startdoc=1&amp;wchp=dGLzVzb-zSkAW&amp;_md5=29c71239d5dad61aee4f72c6696f9ca8" TargetMode="External"/><Relationship Id="rId3" Type="http://schemas.openxmlformats.org/officeDocument/2006/relationships/webSettings" Target="webSettings.xml"/><Relationship Id="rId7" Type="http://schemas.openxmlformats.org/officeDocument/2006/relationships/hyperlink" Target="https://www.lexis.com/research/buttonTFLink?_m=24642f80dcfaf24c2d31494edb7a1fa5&amp;_xfercite=%3ccite%20cc%3d%22USA%22%3e%3c%21%5bCDATA%5b1995%20Pa.%20PUC%20LEXIS%2015%5d%5d%3e%3c%2fcite%3e&amp;_butType=3&amp;_butStat=2&amp;_butNum=8&amp;_butInline=1&amp;_butinfo=%3ccite%20cc%3d%22USA%22%3e%3c%21%5bCDATA%5b354%20Pa.%20245%5d%5d%3e%3c%2fcite%3e&amp;_fmtstr=FULL&amp;docnum=1&amp;_startdoc=1&amp;wchp=dGLzVzb-zSkAW&amp;_md5=2d7c14e6e83f9790709a18a5fa5142f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xis.com/research/buttonTFLink?_m=24642f80dcfaf24c2d31494edb7a1fa5&amp;_xfercite=%3ccite%20cc%3d%22USA%22%3e%3c%21%5bCDATA%5b1995%20Pa.%20PUC%20LEXIS%2015%5d%5d%3e%3c%2fcite%3e&amp;_butType=3&amp;_butStat=2&amp;_butNum=7&amp;_butInline=1&amp;_butinfo=%3ccite%20cc%3d%22USA%22%3e%3c%21%5bCDATA%5b333%20U.S.%20591%5d%5d%3e%3c%2fcite%3e&amp;_fmtstr=FULL&amp;docnum=1&amp;_startdoc=1&amp;wchp=dGLzVzb-zSkAW&amp;_md5=a44c3c8f123adffd66a18b7ae6daf75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dcterms:created xsi:type="dcterms:W3CDTF">2010-12-16T14:50:00Z</dcterms:created>
  <dcterms:modified xsi:type="dcterms:W3CDTF">2010-12-16T14:50:00Z</dcterms:modified>
</cp:coreProperties>
</file>