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69" w:rsidRPr="009D296C" w:rsidRDefault="009E1669" w:rsidP="009E1669">
      <w:pPr>
        <w:jc w:val="center"/>
        <w:rPr>
          <w:rFonts w:ascii="Century Schoolbook" w:hAnsi="Century Schoolbook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9D296C">
            <w:rPr>
              <w:rFonts w:ascii="Century Schoolbook" w:hAnsi="Century Schoolbook"/>
              <w:b/>
              <w:sz w:val="22"/>
              <w:szCs w:val="22"/>
            </w:rPr>
            <w:t>PENNSYLVANIA</w:t>
          </w:r>
        </w:smartTag>
      </w:smartTag>
      <w:r w:rsidRPr="009D296C">
        <w:rPr>
          <w:rFonts w:ascii="Century Schoolbook" w:hAnsi="Century Schoolbook"/>
          <w:b/>
          <w:sz w:val="22"/>
          <w:szCs w:val="22"/>
        </w:rPr>
        <w:t xml:space="preserve"> PUBLIC UTILITY COMMISSION</w:t>
      </w:r>
    </w:p>
    <w:p w:rsidR="009E1669" w:rsidRPr="009D296C" w:rsidRDefault="009E1669" w:rsidP="009E1669">
      <w:pPr>
        <w:jc w:val="center"/>
        <w:rPr>
          <w:rFonts w:ascii="Century Schoolbook" w:hAnsi="Century Schoolbook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9D296C">
            <w:rPr>
              <w:rFonts w:ascii="Century Schoolbook" w:hAnsi="Century Schoolbook"/>
              <w:b/>
              <w:sz w:val="22"/>
              <w:szCs w:val="22"/>
            </w:rPr>
            <w:t>Harrisburg</w:t>
          </w:r>
        </w:smartTag>
        <w:r w:rsidRPr="009D296C">
          <w:rPr>
            <w:rFonts w:ascii="Century Schoolbook" w:hAnsi="Century Schoolbook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9D296C">
            <w:rPr>
              <w:rFonts w:ascii="Century Schoolbook" w:hAnsi="Century Schoolbook"/>
              <w:b/>
              <w:sz w:val="22"/>
              <w:szCs w:val="22"/>
            </w:rPr>
            <w:t>Pennsylvania</w:t>
          </w:r>
        </w:smartTag>
        <w:r w:rsidRPr="009D296C">
          <w:rPr>
            <w:rFonts w:ascii="Century Schoolbook" w:hAnsi="Century Schoolbook"/>
            <w:b/>
            <w:sz w:val="22"/>
            <w:szCs w:val="22"/>
          </w:rPr>
          <w:t xml:space="preserve">  </w:t>
        </w:r>
        <w:smartTag w:uri="urn:schemas-microsoft-com:office:smarttags" w:element="PostalCode">
          <w:r w:rsidRPr="009D296C">
            <w:rPr>
              <w:rFonts w:ascii="Century Schoolbook" w:hAnsi="Century Schoolbook"/>
              <w:b/>
              <w:sz w:val="22"/>
              <w:szCs w:val="22"/>
            </w:rPr>
            <w:t>17105-3265</w:t>
          </w:r>
        </w:smartTag>
      </w:smartTag>
    </w:p>
    <w:p w:rsidR="009E1669" w:rsidRPr="009D296C" w:rsidRDefault="009E1669" w:rsidP="009E1669">
      <w:pPr>
        <w:rPr>
          <w:rFonts w:ascii="Century Schoolbook" w:hAnsi="Century Schoolbook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3888"/>
        <w:gridCol w:w="720"/>
        <w:gridCol w:w="4248"/>
      </w:tblGrid>
      <w:tr w:rsidR="009E1669" w:rsidRPr="009D296C" w:rsidTr="00894358">
        <w:tc>
          <w:tcPr>
            <w:tcW w:w="3888" w:type="dxa"/>
          </w:tcPr>
          <w:p w:rsidR="009E1669" w:rsidRPr="009D296C" w:rsidRDefault="009E1669" w:rsidP="006E24FF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  <w:r w:rsidRPr="009D296C">
              <w:rPr>
                <w:rFonts w:ascii="Century Schoolbook" w:hAnsi="Century Schoolbook"/>
                <w:b/>
                <w:sz w:val="22"/>
                <w:szCs w:val="22"/>
              </w:rPr>
              <w:t xml:space="preserve">Re: </w:t>
            </w:r>
            <w:r w:rsidR="006E24FF" w:rsidRPr="009D296C">
              <w:rPr>
                <w:rFonts w:ascii="Century Schoolbook" w:hAnsi="Century Schoolbook"/>
                <w:b/>
                <w:sz w:val="22"/>
                <w:szCs w:val="22"/>
              </w:rPr>
              <w:t>Pennsylvania Public Utility Commission et al v. PECO Energy Company – Electric Division</w:t>
            </w:r>
          </w:p>
        </w:tc>
        <w:tc>
          <w:tcPr>
            <w:tcW w:w="720" w:type="dxa"/>
          </w:tcPr>
          <w:p w:rsidR="009E1669" w:rsidRPr="009D296C" w:rsidRDefault="009E1669" w:rsidP="009E1669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:rsidR="009E1669" w:rsidRPr="009D296C" w:rsidRDefault="002801B5" w:rsidP="009E1669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  <w:r w:rsidRPr="009D296C">
              <w:rPr>
                <w:rFonts w:ascii="Century Schoolbook" w:hAnsi="Century Schoolbook"/>
                <w:b/>
                <w:sz w:val="22"/>
                <w:szCs w:val="22"/>
              </w:rPr>
              <w:t xml:space="preserve">Public Meeting: </w:t>
            </w:r>
            <w:r w:rsidR="006E24FF" w:rsidRPr="009D296C">
              <w:rPr>
                <w:rFonts w:ascii="Century Schoolbook" w:hAnsi="Century Schoolbook"/>
                <w:b/>
                <w:sz w:val="22"/>
                <w:szCs w:val="22"/>
              </w:rPr>
              <w:t>December 16, 2010</w:t>
            </w:r>
          </w:p>
          <w:p w:rsidR="00C66AA8" w:rsidRPr="009D296C" w:rsidRDefault="006E24FF" w:rsidP="00E80C05">
            <w:pPr>
              <w:rPr>
                <w:rFonts w:ascii="Century Schoolbook" w:hAnsi="Century Schoolbook"/>
                <w:b/>
                <w:kern w:val="1"/>
                <w:sz w:val="22"/>
                <w:szCs w:val="22"/>
              </w:rPr>
            </w:pPr>
            <w:r w:rsidRPr="009D296C">
              <w:rPr>
                <w:rFonts w:ascii="Century Schoolbook" w:hAnsi="Century Schoolbook"/>
                <w:b/>
                <w:kern w:val="1"/>
                <w:sz w:val="22"/>
                <w:szCs w:val="22"/>
              </w:rPr>
              <w:t>2161575</w:t>
            </w:r>
            <w:r w:rsidR="00C66AA8" w:rsidRPr="009D296C">
              <w:rPr>
                <w:rFonts w:ascii="Century Schoolbook" w:hAnsi="Century Schoolbook"/>
                <w:b/>
                <w:kern w:val="1"/>
                <w:sz w:val="22"/>
                <w:szCs w:val="22"/>
              </w:rPr>
              <w:t xml:space="preserve">-OSA </w:t>
            </w:r>
          </w:p>
          <w:p w:rsidR="00E80C05" w:rsidRPr="009D296C" w:rsidRDefault="009E1669" w:rsidP="00E80C05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  <w:r w:rsidRPr="009D296C">
              <w:rPr>
                <w:rFonts w:ascii="Century Schoolbook" w:hAnsi="Century Schoolbook"/>
                <w:b/>
                <w:sz w:val="22"/>
                <w:szCs w:val="22"/>
              </w:rPr>
              <w:t xml:space="preserve">Docket No. </w:t>
            </w:r>
            <w:r w:rsidR="00E80C05" w:rsidRPr="009D296C"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r w:rsidR="006E24FF" w:rsidRPr="009D296C">
              <w:rPr>
                <w:rFonts w:ascii="Century Schoolbook" w:hAnsi="Century Schoolbook"/>
                <w:b/>
                <w:sz w:val="22"/>
                <w:szCs w:val="22"/>
              </w:rPr>
              <w:t>R-2010-2161575</w:t>
            </w:r>
          </w:p>
          <w:p w:rsidR="009E1669" w:rsidRPr="009D296C" w:rsidRDefault="009E1669" w:rsidP="009E1669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</w:tc>
      </w:tr>
    </w:tbl>
    <w:p w:rsidR="009E1669" w:rsidRPr="009D296C" w:rsidRDefault="009E1669" w:rsidP="009E1669">
      <w:pPr>
        <w:jc w:val="both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ab/>
      </w:r>
      <w:r w:rsidRPr="009D296C">
        <w:rPr>
          <w:rFonts w:ascii="Century Schoolbook" w:hAnsi="Century Schoolbook"/>
          <w:sz w:val="22"/>
          <w:szCs w:val="22"/>
        </w:rPr>
        <w:tab/>
      </w:r>
      <w:r w:rsidRPr="009D296C">
        <w:rPr>
          <w:rFonts w:ascii="Century Schoolbook" w:hAnsi="Century Schoolbook"/>
          <w:sz w:val="22"/>
          <w:szCs w:val="22"/>
        </w:rPr>
        <w:tab/>
      </w:r>
      <w:r w:rsidRPr="009D296C">
        <w:rPr>
          <w:rFonts w:ascii="Century Schoolbook" w:hAnsi="Century Schoolbook"/>
          <w:sz w:val="22"/>
          <w:szCs w:val="22"/>
        </w:rPr>
        <w:tab/>
      </w:r>
      <w:r w:rsidRPr="009D296C">
        <w:rPr>
          <w:rFonts w:ascii="Century Schoolbook" w:hAnsi="Century Schoolbook"/>
          <w:sz w:val="22"/>
          <w:szCs w:val="22"/>
        </w:rPr>
        <w:tab/>
      </w:r>
      <w:r w:rsidRPr="009D296C">
        <w:rPr>
          <w:rFonts w:ascii="Century Schoolbook" w:hAnsi="Century Schoolbook"/>
          <w:sz w:val="22"/>
          <w:szCs w:val="22"/>
        </w:rPr>
        <w:tab/>
        <w:t xml:space="preserve"> </w:t>
      </w:r>
    </w:p>
    <w:p w:rsidR="00930C81" w:rsidRPr="009D296C" w:rsidRDefault="00930C81" w:rsidP="00930C81">
      <w:pPr>
        <w:keepNext/>
        <w:autoSpaceDE w:val="0"/>
        <w:autoSpaceDN w:val="0"/>
        <w:adjustRightInd w:val="0"/>
        <w:jc w:val="center"/>
        <w:rPr>
          <w:rFonts w:ascii="Century Schoolbook" w:hAnsi="Century Schoolbook"/>
          <w:b/>
          <w:bCs/>
          <w:sz w:val="22"/>
          <w:szCs w:val="22"/>
          <w:u w:val="single"/>
        </w:rPr>
      </w:pPr>
      <w:r w:rsidRPr="009D296C">
        <w:rPr>
          <w:rFonts w:ascii="Century Schoolbook" w:hAnsi="Century Schoolbook"/>
          <w:b/>
          <w:bCs/>
          <w:sz w:val="22"/>
          <w:szCs w:val="22"/>
          <w:u w:val="single"/>
        </w:rPr>
        <w:t>MOTION OF</w:t>
      </w:r>
      <w:r w:rsidR="001D17A3" w:rsidRPr="009D296C">
        <w:rPr>
          <w:rFonts w:ascii="Century Schoolbook" w:hAnsi="Century Schoolbook"/>
          <w:b/>
          <w:bCs/>
          <w:sz w:val="22"/>
          <w:szCs w:val="22"/>
          <w:u w:val="single"/>
        </w:rPr>
        <w:t xml:space="preserve"> </w:t>
      </w:r>
      <w:r w:rsidRPr="009D296C">
        <w:rPr>
          <w:rFonts w:ascii="Century Schoolbook" w:hAnsi="Century Schoolbook"/>
          <w:b/>
          <w:bCs/>
          <w:sz w:val="22"/>
          <w:szCs w:val="22"/>
          <w:u w:val="single"/>
        </w:rPr>
        <w:t>CHAIRMAN JAMES H. CAWLEY</w:t>
      </w:r>
    </w:p>
    <w:p w:rsidR="00930C81" w:rsidRPr="009D296C" w:rsidRDefault="00930C81" w:rsidP="00930C81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ab/>
      </w:r>
    </w:p>
    <w:p w:rsidR="00010DA4" w:rsidRPr="009D296C" w:rsidRDefault="00204759" w:rsidP="00C66AA8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ab/>
      </w:r>
      <w:proofErr w:type="gramStart"/>
      <w:r w:rsidR="008816FF" w:rsidRPr="009D296C">
        <w:rPr>
          <w:rFonts w:ascii="Century Schoolbook" w:hAnsi="Century Schoolbook"/>
          <w:sz w:val="22"/>
          <w:szCs w:val="22"/>
        </w:rPr>
        <w:t xml:space="preserve">Before </w:t>
      </w:r>
      <w:r w:rsidR="007E14CD">
        <w:rPr>
          <w:rFonts w:ascii="Century Schoolbook" w:hAnsi="Century Schoolbook"/>
          <w:sz w:val="22"/>
          <w:szCs w:val="22"/>
        </w:rPr>
        <w:t>us</w:t>
      </w:r>
      <w:r w:rsidR="006E24FF" w:rsidRPr="009D296C">
        <w:rPr>
          <w:rFonts w:ascii="Century Schoolbook" w:hAnsi="Century Schoolbook"/>
          <w:sz w:val="22"/>
          <w:szCs w:val="22"/>
        </w:rPr>
        <w:t xml:space="preserve"> </w:t>
      </w:r>
      <w:r w:rsidR="00965B10">
        <w:rPr>
          <w:rFonts w:ascii="Century Schoolbook" w:hAnsi="Century Schoolbook"/>
          <w:sz w:val="22"/>
          <w:szCs w:val="22"/>
        </w:rPr>
        <w:t>are</w:t>
      </w:r>
      <w:r w:rsidR="00965B10" w:rsidRPr="009D296C">
        <w:rPr>
          <w:rFonts w:ascii="Century Schoolbook" w:hAnsi="Century Schoolbook"/>
          <w:sz w:val="22"/>
          <w:szCs w:val="22"/>
        </w:rPr>
        <w:t xml:space="preserve"> </w:t>
      </w:r>
      <w:r w:rsidR="006E24FF" w:rsidRPr="009D296C">
        <w:rPr>
          <w:rFonts w:ascii="Century Schoolbook" w:hAnsi="Century Schoolbook"/>
          <w:sz w:val="22"/>
          <w:szCs w:val="22"/>
        </w:rPr>
        <w:t>the base rate case filing of PECO Energy Company – Electric Division (PECO), the Joint Petition for Partial Settlement</w:t>
      </w:r>
      <w:r w:rsidR="008816FF" w:rsidRPr="009D296C">
        <w:rPr>
          <w:rFonts w:ascii="Century Schoolbook" w:hAnsi="Century Schoolbook"/>
          <w:sz w:val="22"/>
          <w:szCs w:val="22"/>
        </w:rPr>
        <w:t xml:space="preserve"> (Settlement)</w:t>
      </w:r>
      <w:r w:rsidR="006E24FF" w:rsidRPr="009D296C">
        <w:rPr>
          <w:rFonts w:ascii="Century Schoolbook" w:hAnsi="Century Schoolbook"/>
          <w:sz w:val="22"/>
          <w:szCs w:val="22"/>
        </w:rPr>
        <w:t>, and the Recommended Decision of Administrative Law Judges Chestnut and Pell</w:t>
      </w:r>
      <w:r w:rsidR="00E04407" w:rsidRPr="009D296C">
        <w:rPr>
          <w:rFonts w:ascii="Century Schoolbook" w:hAnsi="Century Schoolbook"/>
          <w:sz w:val="22"/>
          <w:szCs w:val="22"/>
        </w:rPr>
        <w:t>.</w:t>
      </w:r>
      <w:proofErr w:type="gramEnd"/>
      <w:r w:rsidR="00E04407" w:rsidRPr="009D296C">
        <w:rPr>
          <w:rFonts w:ascii="Century Schoolbook" w:hAnsi="Century Schoolbook"/>
          <w:sz w:val="22"/>
          <w:szCs w:val="22"/>
        </w:rPr>
        <w:t xml:space="preserve">  </w:t>
      </w:r>
      <w:r w:rsidR="008816FF" w:rsidRPr="009D296C">
        <w:rPr>
          <w:rFonts w:ascii="Century Schoolbook" w:hAnsi="Century Schoolbook"/>
          <w:sz w:val="22"/>
          <w:szCs w:val="22"/>
        </w:rPr>
        <w:t xml:space="preserve">One of the contested issues not resolved by the Settlement is the treatment of Generation-Related Uncollectible Account Expense.   </w:t>
      </w:r>
      <w:r w:rsidR="008A69F6" w:rsidRPr="009D296C">
        <w:rPr>
          <w:rFonts w:ascii="Century Schoolbook" w:hAnsi="Century Schoolbook"/>
          <w:sz w:val="22"/>
          <w:szCs w:val="22"/>
        </w:rPr>
        <w:t xml:space="preserve"> The Office of Trial Staff</w:t>
      </w:r>
      <w:r w:rsidR="008816FF" w:rsidRPr="009D296C">
        <w:rPr>
          <w:rFonts w:ascii="Century Schoolbook" w:hAnsi="Century Schoolbook"/>
          <w:sz w:val="22"/>
          <w:szCs w:val="22"/>
        </w:rPr>
        <w:t xml:space="preserve"> </w:t>
      </w:r>
      <w:r w:rsidR="008A69F6" w:rsidRPr="009D296C">
        <w:rPr>
          <w:rFonts w:ascii="Century Schoolbook" w:hAnsi="Century Schoolbook"/>
          <w:sz w:val="22"/>
          <w:szCs w:val="22"/>
        </w:rPr>
        <w:t>(</w:t>
      </w:r>
      <w:r w:rsidR="008816FF" w:rsidRPr="009D296C">
        <w:rPr>
          <w:rFonts w:ascii="Century Schoolbook" w:hAnsi="Century Schoolbook"/>
          <w:sz w:val="22"/>
          <w:szCs w:val="22"/>
        </w:rPr>
        <w:t>OTS</w:t>
      </w:r>
      <w:r w:rsidR="008A69F6" w:rsidRPr="009D296C">
        <w:rPr>
          <w:rFonts w:ascii="Century Schoolbook" w:hAnsi="Century Schoolbook"/>
          <w:sz w:val="22"/>
          <w:szCs w:val="22"/>
        </w:rPr>
        <w:t>)</w:t>
      </w:r>
      <w:r w:rsidR="008816FF" w:rsidRPr="009D296C">
        <w:rPr>
          <w:rFonts w:ascii="Century Schoolbook" w:hAnsi="Century Schoolbook"/>
          <w:sz w:val="22"/>
          <w:szCs w:val="22"/>
        </w:rPr>
        <w:t xml:space="preserve"> proposed that PECO be required to unbundl</w:t>
      </w:r>
      <w:r w:rsidR="00944AE5">
        <w:rPr>
          <w:rFonts w:ascii="Century Schoolbook" w:hAnsi="Century Schoolbook"/>
          <w:sz w:val="22"/>
          <w:szCs w:val="22"/>
        </w:rPr>
        <w:t>e</w:t>
      </w:r>
      <w:r w:rsidR="00524338">
        <w:rPr>
          <w:rFonts w:ascii="Century Schoolbook" w:hAnsi="Century Schoolbook"/>
          <w:sz w:val="22"/>
          <w:szCs w:val="22"/>
        </w:rPr>
        <w:t xml:space="preserve"> </w:t>
      </w:r>
      <w:r w:rsidR="008816FF" w:rsidRPr="009D296C">
        <w:rPr>
          <w:rFonts w:ascii="Century Schoolbook" w:hAnsi="Century Schoolbook"/>
          <w:sz w:val="22"/>
          <w:szCs w:val="22"/>
        </w:rPr>
        <w:t>its generation-related uncollectible accounts expense from its distribution rates for residential and small commercial default service customers, and establish a Merchant Function Charge (MFC) to recover uncollectible costs</w:t>
      </w:r>
      <w:r w:rsidR="000C0D29" w:rsidRPr="009D296C">
        <w:rPr>
          <w:rFonts w:ascii="Century Schoolbook" w:hAnsi="Century Schoolbook"/>
          <w:sz w:val="22"/>
          <w:szCs w:val="22"/>
        </w:rPr>
        <w:t>.  OTS also proposed that PECO purchase electric generation supplier (EGS)</w:t>
      </w:r>
      <w:r w:rsidR="007E14CD">
        <w:rPr>
          <w:rFonts w:ascii="Century Schoolbook" w:hAnsi="Century Schoolbook"/>
          <w:sz w:val="22"/>
          <w:szCs w:val="22"/>
        </w:rPr>
        <w:t xml:space="preserve"> receivables at a discount, including</w:t>
      </w:r>
      <w:r w:rsidR="000C0D29" w:rsidRPr="009D296C">
        <w:rPr>
          <w:rFonts w:ascii="Century Schoolbook" w:hAnsi="Century Schoolbook"/>
          <w:sz w:val="22"/>
          <w:szCs w:val="22"/>
        </w:rPr>
        <w:t xml:space="preserve"> a component based on PECO’s corresponding uncollectible accounts expense rate.  PECO proposed instead to continue to recover all uncollectible accounts expense</w:t>
      </w:r>
      <w:r w:rsidR="007E14CD">
        <w:rPr>
          <w:rFonts w:ascii="Century Schoolbook" w:hAnsi="Century Schoolbook"/>
          <w:sz w:val="22"/>
          <w:szCs w:val="22"/>
        </w:rPr>
        <w:t xml:space="preserve"> through its distribution rates.  It</w:t>
      </w:r>
      <w:r w:rsidR="000C0D29" w:rsidRPr="009D296C">
        <w:rPr>
          <w:rFonts w:ascii="Century Schoolbook" w:hAnsi="Century Schoolbook"/>
          <w:sz w:val="22"/>
          <w:szCs w:val="22"/>
        </w:rPr>
        <w:t xml:space="preserve"> agreed to implement a purchase of re</w:t>
      </w:r>
      <w:r w:rsidR="00AB50EC">
        <w:rPr>
          <w:rFonts w:ascii="Century Schoolbook" w:hAnsi="Century Schoolbook"/>
          <w:sz w:val="22"/>
          <w:szCs w:val="22"/>
        </w:rPr>
        <w:t>ceivables (POR) program providing for the</w:t>
      </w:r>
      <w:r w:rsidR="00BE70B0" w:rsidRPr="009D296C">
        <w:rPr>
          <w:rFonts w:ascii="Century Schoolbook" w:hAnsi="Century Schoolbook"/>
          <w:sz w:val="22"/>
          <w:szCs w:val="22"/>
        </w:rPr>
        <w:t xml:space="preserve"> purchase EGS receivables at a zero discount.</w:t>
      </w:r>
    </w:p>
    <w:p w:rsidR="00204759" w:rsidRPr="009D296C" w:rsidRDefault="00BE70B0" w:rsidP="00C66AA8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 xml:space="preserve">  </w:t>
      </w:r>
    </w:p>
    <w:p w:rsidR="00010DA4" w:rsidRPr="009D296C" w:rsidRDefault="00BE70B0" w:rsidP="00C66AA8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ab/>
        <w:t>Both the OTS and PECO proposals have merit.  Both eliminate subsidies related to uncollectible accounts expense in a competitively neutral manner.  Therefore, the ALJ</w:t>
      </w:r>
      <w:r w:rsidR="001E5CA3" w:rsidRPr="009D296C">
        <w:rPr>
          <w:rFonts w:ascii="Century Schoolbook" w:hAnsi="Century Schoolbook"/>
          <w:sz w:val="22"/>
          <w:szCs w:val="22"/>
        </w:rPr>
        <w:t>s</w:t>
      </w:r>
      <w:r w:rsidRPr="009D296C">
        <w:rPr>
          <w:rFonts w:ascii="Century Schoolbook" w:hAnsi="Century Schoolbook"/>
          <w:sz w:val="22"/>
          <w:szCs w:val="22"/>
        </w:rPr>
        <w:t xml:space="preserve">’ decision in this matter </w:t>
      </w:r>
      <w:r w:rsidR="009D296C" w:rsidRPr="009D296C">
        <w:rPr>
          <w:rFonts w:ascii="Century Schoolbook" w:hAnsi="Century Schoolbook"/>
          <w:sz w:val="22"/>
          <w:szCs w:val="22"/>
        </w:rPr>
        <w:t xml:space="preserve">in favor of PECO </w:t>
      </w:r>
      <w:r w:rsidRPr="009D296C">
        <w:rPr>
          <w:rFonts w:ascii="Century Schoolbook" w:hAnsi="Century Schoolbook"/>
          <w:sz w:val="22"/>
          <w:szCs w:val="22"/>
        </w:rPr>
        <w:t xml:space="preserve">should be upheld.   However, PECO’s proposal only has merit to the extent it continues to </w:t>
      </w:r>
      <w:r w:rsidR="00332748" w:rsidRPr="009D296C">
        <w:rPr>
          <w:rFonts w:ascii="Century Schoolbook" w:hAnsi="Century Schoolbook"/>
          <w:sz w:val="22"/>
          <w:szCs w:val="22"/>
        </w:rPr>
        <w:t xml:space="preserve">offer a POR program </w:t>
      </w:r>
      <w:r w:rsidR="00AB50EC">
        <w:rPr>
          <w:rFonts w:ascii="Century Schoolbook" w:hAnsi="Century Schoolbook"/>
          <w:sz w:val="22"/>
          <w:szCs w:val="22"/>
        </w:rPr>
        <w:t>that includ</w:t>
      </w:r>
      <w:r w:rsidR="00332748" w:rsidRPr="009D296C">
        <w:rPr>
          <w:rFonts w:ascii="Century Schoolbook" w:hAnsi="Century Schoolbook"/>
          <w:sz w:val="22"/>
          <w:szCs w:val="22"/>
        </w:rPr>
        <w:t>es similar bad debt recovery and utility billing services embodied with</w:t>
      </w:r>
      <w:r w:rsidR="00944AE5">
        <w:rPr>
          <w:rFonts w:ascii="Century Schoolbook" w:hAnsi="Century Schoolbook"/>
          <w:sz w:val="22"/>
          <w:szCs w:val="22"/>
        </w:rPr>
        <w:t>in</w:t>
      </w:r>
      <w:r w:rsidR="00332748" w:rsidRPr="009D296C">
        <w:rPr>
          <w:rFonts w:ascii="Century Schoolbook" w:hAnsi="Century Schoolbook"/>
          <w:sz w:val="22"/>
          <w:szCs w:val="22"/>
        </w:rPr>
        <w:t xml:space="preserve"> </w:t>
      </w:r>
      <w:r w:rsidR="00965B10">
        <w:rPr>
          <w:rFonts w:ascii="Century Schoolbook" w:hAnsi="Century Schoolbook"/>
          <w:sz w:val="22"/>
          <w:szCs w:val="22"/>
        </w:rPr>
        <w:t>its</w:t>
      </w:r>
      <w:r w:rsidR="00965B10" w:rsidRPr="009D296C">
        <w:rPr>
          <w:rFonts w:ascii="Century Schoolbook" w:hAnsi="Century Schoolbook"/>
          <w:sz w:val="22"/>
          <w:szCs w:val="22"/>
        </w:rPr>
        <w:t xml:space="preserve"> </w:t>
      </w:r>
      <w:r w:rsidR="00332748" w:rsidRPr="009D296C">
        <w:rPr>
          <w:rFonts w:ascii="Century Schoolbook" w:hAnsi="Century Schoolbook"/>
          <w:sz w:val="22"/>
          <w:szCs w:val="22"/>
        </w:rPr>
        <w:t xml:space="preserve">POR program.  </w:t>
      </w:r>
      <w:r w:rsidR="007447D4">
        <w:rPr>
          <w:rFonts w:ascii="Century Schoolbook" w:hAnsi="Century Schoolbook"/>
          <w:sz w:val="22"/>
          <w:szCs w:val="22"/>
        </w:rPr>
        <w:t xml:space="preserve">If </w:t>
      </w:r>
      <w:r w:rsidR="00AB50EC">
        <w:rPr>
          <w:rFonts w:ascii="Century Schoolbook" w:hAnsi="Century Schoolbook"/>
          <w:sz w:val="22"/>
          <w:szCs w:val="22"/>
        </w:rPr>
        <w:t>PECO terminates</w:t>
      </w:r>
      <w:r w:rsidR="00332748" w:rsidRPr="009D296C">
        <w:rPr>
          <w:rFonts w:ascii="Century Schoolbook" w:hAnsi="Century Schoolbook"/>
          <w:sz w:val="22"/>
          <w:szCs w:val="22"/>
        </w:rPr>
        <w:t xml:space="preserve"> or significantly modifies its POR program, PECO </w:t>
      </w:r>
      <w:r w:rsidR="008D5101">
        <w:rPr>
          <w:rFonts w:ascii="Century Schoolbook" w:hAnsi="Century Schoolbook"/>
          <w:sz w:val="22"/>
          <w:szCs w:val="22"/>
        </w:rPr>
        <w:t xml:space="preserve">must </w:t>
      </w:r>
      <w:r w:rsidR="00332748" w:rsidRPr="009D296C">
        <w:rPr>
          <w:rFonts w:ascii="Century Schoolbook" w:hAnsi="Century Schoolbook"/>
          <w:sz w:val="22"/>
          <w:szCs w:val="22"/>
        </w:rPr>
        <w:t xml:space="preserve">file a tariff </w:t>
      </w:r>
      <w:r w:rsidR="00944AE5">
        <w:rPr>
          <w:rFonts w:ascii="Century Schoolbook" w:hAnsi="Century Schoolbook"/>
          <w:sz w:val="22"/>
          <w:szCs w:val="22"/>
        </w:rPr>
        <w:t>supplement</w:t>
      </w:r>
      <w:r w:rsidR="00965B10">
        <w:rPr>
          <w:rFonts w:ascii="Century Schoolbook" w:hAnsi="Century Schoolbook"/>
          <w:sz w:val="22"/>
          <w:szCs w:val="22"/>
        </w:rPr>
        <w:t xml:space="preserve"> </w:t>
      </w:r>
      <w:r w:rsidR="00332748" w:rsidRPr="009D296C">
        <w:rPr>
          <w:rFonts w:ascii="Century Schoolbook" w:hAnsi="Century Schoolbook"/>
          <w:sz w:val="22"/>
          <w:szCs w:val="22"/>
        </w:rPr>
        <w:t>with this Commission establish</w:t>
      </w:r>
      <w:r w:rsidR="00944AE5">
        <w:rPr>
          <w:rFonts w:ascii="Century Schoolbook" w:hAnsi="Century Schoolbook"/>
          <w:sz w:val="22"/>
          <w:szCs w:val="22"/>
        </w:rPr>
        <w:t>ing</w:t>
      </w:r>
      <w:r w:rsidR="00332748" w:rsidRPr="009D296C">
        <w:rPr>
          <w:rFonts w:ascii="Century Schoolbook" w:hAnsi="Century Schoolbook"/>
          <w:sz w:val="22"/>
          <w:szCs w:val="22"/>
        </w:rPr>
        <w:t xml:space="preserve"> how it will address cost </w:t>
      </w:r>
      <w:r w:rsidR="002017D9" w:rsidRPr="009D296C">
        <w:rPr>
          <w:rFonts w:ascii="Century Schoolbook" w:hAnsi="Century Schoolbook"/>
          <w:sz w:val="22"/>
          <w:szCs w:val="22"/>
        </w:rPr>
        <w:t xml:space="preserve">recovery associated with </w:t>
      </w:r>
      <w:r w:rsidR="008A69F6" w:rsidRPr="009D296C">
        <w:rPr>
          <w:rFonts w:ascii="Century Schoolbook" w:hAnsi="Century Schoolbook"/>
          <w:sz w:val="22"/>
          <w:szCs w:val="22"/>
        </w:rPr>
        <w:t>uncollectible</w:t>
      </w:r>
      <w:r w:rsidR="008D5101">
        <w:rPr>
          <w:rFonts w:ascii="Century Schoolbook" w:hAnsi="Century Schoolbook"/>
          <w:sz w:val="22"/>
          <w:szCs w:val="22"/>
        </w:rPr>
        <w:t xml:space="preserve"> expense</w:t>
      </w:r>
      <w:r w:rsidR="008A69F6" w:rsidRPr="009D296C">
        <w:rPr>
          <w:rFonts w:ascii="Century Schoolbook" w:hAnsi="Century Schoolbook"/>
          <w:sz w:val="22"/>
          <w:szCs w:val="22"/>
        </w:rPr>
        <w:t>s</w:t>
      </w:r>
      <w:r w:rsidR="00010DA4" w:rsidRPr="009D296C">
        <w:rPr>
          <w:rFonts w:ascii="Century Schoolbook" w:hAnsi="Century Schoolbook"/>
          <w:sz w:val="22"/>
          <w:szCs w:val="22"/>
        </w:rPr>
        <w:t xml:space="preserve"> or other applicable costs</w:t>
      </w:r>
      <w:r w:rsidR="008A69F6" w:rsidRPr="009D296C">
        <w:rPr>
          <w:rFonts w:ascii="Century Schoolbook" w:hAnsi="Century Schoolbook"/>
          <w:sz w:val="22"/>
          <w:szCs w:val="22"/>
        </w:rPr>
        <w:t xml:space="preserve">.  </w:t>
      </w:r>
      <w:r w:rsidR="00944AE5">
        <w:rPr>
          <w:rFonts w:ascii="Century Schoolbook" w:hAnsi="Century Schoolbook"/>
          <w:sz w:val="22"/>
          <w:szCs w:val="22"/>
        </w:rPr>
        <w:t xml:space="preserve">If need be, </w:t>
      </w:r>
      <w:r w:rsidR="008A69F6" w:rsidRPr="009D296C">
        <w:rPr>
          <w:rFonts w:ascii="Century Schoolbook" w:hAnsi="Century Schoolbook"/>
          <w:sz w:val="22"/>
          <w:szCs w:val="22"/>
        </w:rPr>
        <w:t>OTS can, at th</w:t>
      </w:r>
      <w:r w:rsidR="00AB50EC">
        <w:rPr>
          <w:rFonts w:ascii="Century Schoolbook" w:hAnsi="Century Schoolbook"/>
          <w:sz w:val="22"/>
          <w:szCs w:val="22"/>
        </w:rPr>
        <w:t>at time, address the need for a</w:t>
      </w:r>
      <w:r w:rsidR="008A69F6" w:rsidRPr="009D296C">
        <w:rPr>
          <w:rFonts w:ascii="Century Schoolbook" w:hAnsi="Century Schoolbook"/>
          <w:sz w:val="22"/>
          <w:szCs w:val="22"/>
        </w:rPr>
        <w:t xml:space="preserve"> MFC in that proceeding.</w:t>
      </w:r>
    </w:p>
    <w:p w:rsidR="00010DA4" w:rsidRPr="009D296C" w:rsidRDefault="00010DA4" w:rsidP="00C66AA8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</w:p>
    <w:p w:rsidR="00BE70B0" w:rsidRPr="009D296C" w:rsidRDefault="00010DA4" w:rsidP="00C66AA8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ab/>
        <w:t>Our decision i</w:t>
      </w:r>
      <w:r w:rsidR="00944AE5">
        <w:rPr>
          <w:rFonts w:ascii="Century Schoolbook" w:hAnsi="Century Schoolbook"/>
          <w:sz w:val="22"/>
          <w:szCs w:val="22"/>
        </w:rPr>
        <w:t>n</w:t>
      </w:r>
      <w:r w:rsidRPr="009D296C">
        <w:rPr>
          <w:rFonts w:ascii="Century Schoolbook" w:hAnsi="Century Schoolbook"/>
          <w:sz w:val="22"/>
          <w:szCs w:val="22"/>
        </w:rPr>
        <w:t xml:space="preserve"> this proceeding is without </w:t>
      </w:r>
      <w:r w:rsidR="001E5CA3" w:rsidRPr="009D296C">
        <w:rPr>
          <w:rFonts w:ascii="Century Schoolbook" w:hAnsi="Century Schoolbook"/>
          <w:sz w:val="22"/>
          <w:szCs w:val="22"/>
        </w:rPr>
        <w:t>prejudice</w:t>
      </w:r>
      <w:r w:rsidRPr="009D296C">
        <w:rPr>
          <w:rFonts w:ascii="Century Schoolbook" w:hAnsi="Century Schoolbook"/>
          <w:sz w:val="22"/>
          <w:szCs w:val="22"/>
        </w:rPr>
        <w:t xml:space="preserve"> to any future Commission proceedings that may seek to establish regulations </w:t>
      </w:r>
      <w:r w:rsidR="009D296C" w:rsidRPr="009D296C">
        <w:rPr>
          <w:rFonts w:ascii="Century Schoolbook" w:hAnsi="Century Schoolbook"/>
          <w:sz w:val="22"/>
          <w:szCs w:val="22"/>
        </w:rPr>
        <w:t xml:space="preserve">regarding the treatment of </w:t>
      </w:r>
      <w:r w:rsidRPr="009D296C">
        <w:rPr>
          <w:rFonts w:ascii="Century Schoolbook" w:hAnsi="Century Schoolbook"/>
          <w:sz w:val="22"/>
          <w:szCs w:val="22"/>
        </w:rPr>
        <w:t>default service</w:t>
      </w:r>
      <w:r w:rsidR="00AB50EC">
        <w:rPr>
          <w:rFonts w:ascii="Century Schoolbook" w:hAnsi="Century Schoolbook"/>
          <w:sz w:val="22"/>
          <w:szCs w:val="22"/>
        </w:rPr>
        <w:t>-</w:t>
      </w:r>
      <w:r w:rsidR="009D296C" w:rsidRPr="009D296C">
        <w:rPr>
          <w:rFonts w:ascii="Century Schoolbook" w:hAnsi="Century Schoolbook"/>
          <w:sz w:val="22"/>
          <w:szCs w:val="22"/>
        </w:rPr>
        <w:t xml:space="preserve">related </w:t>
      </w:r>
      <w:r w:rsidRPr="009D296C">
        <w:rPr>
          <w:rFonts w:ascii="Century Schoolbook" w:hAnsi="Century Schoolbook"/>
          <w:sz w:val="22"/>
          <w:szCs w:val="22"/>
        </w:rPr>
        <w:t>costs.</w:t>
      </w:r>
      <w:r w:rsidR="008A69F6" w:rsidRPr="009D296C">
        <w:rPr>
          <w:rFonts w:ascii="Century Schoolbook" w:hAnsi="Century Schoolbook"/>
          <w:sz w:val="22"/>
          <w:szCs w:val="22"/>
        </w:rPr>
        <w:t xml:space="preserve">  </w:t>
      </w:r>
    </w:p>
    <w:p w:rsidR="00E04407" w:rsidRPr="009D296C" w:rsidRDefault="00E04407" w:rsidP="00C66AA8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</w:rPr>
      </w:pPr>
    </w:p>
    <w:p w:rsidR="00930C81" w:rsidRPr="009D296C" w:rsidRDefault="00930C81" w:rsidP="00930C81">
      <w:pPr>
        <w:autoSpaceDE w:val="0"/>
        <w:autoSpaceDN w:val="0"/>
        <w:adjustRightInd w:val="0"/>
        <w:rPr>
          <w:rFonts w:ascii="Century Schoolbook" w:hAnsi="Century Schoolbook"/>
          <w:b/>
          <w:bCs/>
          <w:sz w:val="22"/>
          <w:szCs w:val="22"/>
        </w:rPr>
      </w:pPr>
      <w:r w:rsidRPr="009D296C">
        <w:rPr>
          <w:rFonts w:ascii="Century Schoolbook" w:hAnsi="Century Schoolbook"/>
          <w:b/>
          <w:bCs/>
          <w:sz w:val="22"/>
          <w:szCs w:val="22"/>
        </w:rPr>
        <w:t>THEREFORE, I MOVE THAT:</w:t>
      </w:r>
    </w:p>
    <w:p w:rsidR="00D82CD1" w:rsidRPr="009D296C" w:rsidRDefault="00D82CD1" w:rsidP="00AE03FE">
      <w:pPr>
        <w:rPr>
          <w:rFonts w:ascii="Century Schoolbook" w:hAnsi="Century Schoolbook"/>
          <w:sz w:val="22"/>
          <w:szCs w:val="22"/>
        </w:rPr>
      </w:pPr>
    </w:p>
    <w:p w:rsidR="009B4CB3" w:rsidRPr="009D296C" w:rsidRDefault="00091CDF" w:rsidP="00AE03FE">
      <w:pPr>
        <w:ind w:firstLine="72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>1.</w:t>
      </w:r>
      <w:r w:rsidRPr="009D296C">
        <w:rPr>
          <w:rFonts w:ascii="Century Schoolbook" w:hAnsi="Century Schoolbook"/>
          <w:sz w:val="22"/>
          <w:szCs w:val="22"/>
        </w:rPr>
        <w:tab/>
      </w:r>
      <w:r w:rsidR="009F74E5" w:rsidRPr="009D296C">
        <w:rPr>
          <w:rFonts w:ascii="Century Schoolbook" w:hAnsi="Century Schoolbook"/>
          <w:sz w:val="22"/>
          <w:szCs w:val="22"/>
        </w:rPr>
        <w:t xml:space="preserve">The </w:t>
      </w:r>
      <w:r w:rsidR="00E6277D" w:rsidRPr="009D296C">
        <w:rPr>
          <w:rFonts w:ascii="Century Schoolbook" w:hAnsi="Century Schoolbook"/>
          <w:sz w:val="22"/>
          <w:szCs w:val="22"/>
        </w:rPr>
        <w:t xml:space="preserve">Joint Petition for </w:t>
      </w:r>
      <w:r w:rsidR="00A25848" w:rsidRPr="009D296C">
        <w:rPr>
          <w:rFonts w:ascii="Century Schoolbook" w:hAnsi="Century Schoolbook"/>
          <w:sz w:val="22"/>
          <w:szCs w:val="22"/>
        </w:rPr>
        <w:t xml:space="preserve">Partial </w:t>
      </w:r>
      <w:r w:rsidR="00E6277D" w:rsidRPr="009D296C">
        <w:rPr>
          <w:rFonts w:ascii="Century Schoolbook" w:hAnsi="Century Schoolbook"/>
          <w:sz w:val="22"/>
          <w:szCs w:val="22"/>
        </w:rPr>
        <w:t xml:space="preserve">Settlement in </w:t>
      </w:r>
      <w:r w:rsidR="00EC72D6" w:rsidRPr="009D296C">
        <w:rPr>
          <w:rFonts w:ascii="Century Schoolbook" w:hAnsi="Century Schoolbook"/>
          <w:sz w:val="22"/>
          <w:szCs w:val="22"/>
        </w:rPr>
        <w:t>D</w:t>
      </w:r>
      <w:r w:rsidR="00E6277D" w:rsidRPr="009D296C">
        <w:rPr>
          <w:rFonts w:ascii="Century Schoolbook" w:hAnsi="Century Schoolbook"/>
          <w:sz w:val="22"/>
          <w:szCs w:val="22"/>
        </w:rPr>
        <w:t>ocket</w:t>
      </w:r>
      <w:r w:rsidR="00EC72D6" w:rsidRPr="009D296C">
        <w:rPr>
          <w:rFonts w:ascii="Century Schoolbook" w:hAnsi="Century Schoolbook"/>
          <w:sz w:val="22"/>
          <w:szCs w:val="22"/>
        </w:rPr>
        <w:t xml:space="preserve"> No.</w:t>
      </w:r>
      <w:r w:rsidR="00E6277D" w:rsidRPr="009D296C">
        <w:rPr>
          <w:rFonts w:ascii="Century Schoolbook" w:hAnsi="Century Schoolbook"/>
          <w:b/>
          <w:sz w:val="22"/>
          <w:szCs w:val="22"/>
        </w:rPr>
        <w:t xml:space="preserve"> </w:t>
      </w:r>
      <w:r w:rsidR="00A25848" w:rsidRPr="009D296C">
        <w:rPr>
          <w:rFonts w:ascii="Century Schoolbook" w:hAnsi="Century Schoolbook"/>
          <w:sz w:val="22"/>
          <w:szCs w:val="22"/>
        </w:rPr>
        <w:t>R-2010-2161575</w:t>
      </w:r>
      <w:r w:rsidR="00E6277D" w:rsidRPr="009D296C">
        <w:rPr>
          <w:rFonts w:ascii="Century Schoolbook" w:hAnsi="Century Schoolbook"/>
          <w:sz w:val="22"/>
          <w:szCs w:val="22"/>
        </w:rPr>
        <w:t xml:space="preserve"> </w:t>
      </w:r>
      <w:proofErr w:type="gramStart"/>
      <w:r w:rsidR="007C508B" w:rsidRPr="009D296C">
        <w:rPr>
          <w:rFonts w:ascii="Century Schoolbook" w:hAnsi="Century Schoolbook"/>
          <w:sz w:val="22"/>
          <w:szCs w:val="22"/>
        </w:rPr>
        <w:t>be</w:t>
      </w:r>
      <w:proofErr w:type="gramEnd"/>
      <w:r w:rsidR="007C508B" w:rsidRPr="009D296C">
        <w:rPr>
          <w:rFonts w:ascii="Century Schoolbook" w:hAnsi="Century Schoolbook"/>
          <w:sz w:val="22"/>
          <w:szCs w:val="22"/>
        </w:rPr>
        <w:t xml:space="preserve"> </w:t>
      </w:r>
      <w:r w:rsidR="009C7C82" w:rsidRPr="009D296C">
        <w:rPr>
          <w:rFonts w:ascii="Century Schoolbook" w:hAnsi="Century Schoolbook"/>
          <w:sz w:val="22"/>
          <w:szCs w:val="22"/>
        </w:rPr>
        <w:t>adopted as agreed by the parties.</w:t>
      </w:r>
    </w:p>
    <w:p w:rsidR="007C508B" w:rsidRPr="009D296C" w:rsidRDefault="007C508B" w:rsidP="00AE03FE">
      <w:pPr>
        <w:rPr>
          <w:rFonts w:ascii="Century Schoolbook" w:hAnsi="Century Schoolbook"/>
          <w:sz w:val="22"/>
          <w:szCs w:val="22"/>
        </w:rPr>
      </w:pPr>
    </w:p>
    <w:p w:rsidR="00AE03FE" w:rsidRPr="009D296C" w:rsidRDefault="00AE03FE" w:rsidP="00E6277D">
      <w:pPr>
        <w:ind w:firstLine="72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>2.</w:t>
      </w:r>
      <w:r w:rsidRPr="009D296C">
        <w:rPr>
          <w:rFonts w:ascii="Century Schoolbook" w:hAnsi="Century Schoolbook"/>
          <w:sz w:val="22"/>
          <w:szCs w:val="22"/>
        </w:rPr>
        <w:tab/>
      </w:r>
      <w:r w:rsidR="00EC72D6" w:rsidRPr="009D296C">
        <w:rPr>
          <w:rFonts w:ascii="Century Schoolbook" w:hAnsi="Century Schoolbook"/>
          <w:sz w:val="22"/>
          <w:szCs w:val="22"/>
        </w:rPr>
        <w:t xml:space="preserve">The </w:t>
      </w:r>
      <w:r w:rsidR="00E6277D" w:rsidRPr="009D296C">
        <w:rPr>
          <w:rFonts w:ascii="Century Schoolbook" w:hAnsi="Century Schoolbook"/>
          <w:sz w:val="22"/>
          <w:szCs w:val="22"/>
        </w:rPr>
        <w:t>Recommended Decision of Administrative Law Judge</w:t>
      </w:r>
      <w:r w:rsidR="00A25848" w:rsidRPr="009D296C">
        <w:rPr>
          <w:rFonts w:ascii="Century Schoolbook" w:hAnsi="Century Schoolbook"/>
          <w:sz w:val="22"/>
          <w:szCs w:val="22"/>
        </w:rPr>
        <w:t>s Marlane R. Chestn</w:t>
      </w:r>
      <w:r w:rsidR="00AB50EC">
        <w:rPr>
          <w:rFonts w:ascii="Century Schoolbook" w:hAnsi="Century Schoolbook"/>
          <w:sz w:val="22"/>
          <w:szCs w:val="22"/>
        </w:rPr>
        <w:t>ut and Christo</w:t>
      </w:r>
      <w:r w:rsidR="00A25848" w:rsidRPr="009D296C">
        <w:rPr>
          <w:rFonts w:ascii="Century Schoolbook" w:hAnsi="Century Schoolbook"/>
          <w:sz w:val="22"/>
          <w:szCs w:val="22"/>
        </w:rPr>
        <w:t>pher P. Pell</w:t>
      </w:r>
      <w:r w:rsidR="00E6277D" w:rsidRPr="009D296C">
        <w:rPr>
          <w:rFonts w:ascii="Century Schoolbook" w:hAnsi="Century Schoolbook"/>
          <w:sz w:val="22"/>
          <w:szCs w:val="22"/>
        </w:rPr>
        <w:t xml:space="preserve"> be</w:t>
      </w:r>
      <w:r w:rsidR="002C0E03" w:rsidRPr="009D296C">
        <w:rPr>
          <w:rFonts w:ascii="Century Schoolbook" w:hAnsi="Century Schoolbook"/>
          <w:sz w:val="22"/>
          <w:szCs w:val="22"/>
        </w:rPr>
        <w:t xml:space="preserve"> adopted as</w:t>
      </w:r>
      <w:r w:rsidR="00E6277D" w:rsidRPr="009D296C">
        <w:rPr>
          <w:rFonts w:ascii="Century Schoolbook" w:hAnsi="Century Schoolbook"/>
          <w:sz w:val="22"/>
          <w:szCs w:val="22"/>
        </w:rPr>
        <w:t xml:space="preserve"> </w:t>
      </w:r>
      <w:r w:rsidR="007E05EC" w:rsidRPr="009D296C">
        <w:rPr>
          <w:rFonts w:ascii="Century Schoolbook" w:hAnsi="Century Schoolbook"/>
          <w:sz w:val="22"/>
          <w:szCs w:val="22"/>
        </w:rPr>
        <w:t>modified</w:t>
      </w:r>
      <w:r w:rsidR="00E6277D" w:rsidRPr="009D296C">
        <w:rPr>
          <w:rFonts w:ascii="Century Schoolbook" w:hAnsi="Century Schoolbook"/>
          <w:sz w:val="22"/>
          <w:szCs w:val="22"/>
        </w:rPr>
        <w:t xml:space="preserve"> </w:t>
      </w:r>
      <w:r w:rsidR="00527E41" w:rsidRPr="009D296C">
        <w:rPr>
          <w:rFonts w:ascii="Century Schoolbook" w:hAnsi="Century Schoolbook"/>
          <w:sz w:val="22"/>
          <w:szCs w:val="22"/>
        </w:rPr>
        <w:t xml:space="preserve">by </w:t>
      </w:r>
      <w:r w:rsidR="00E6277D" w:rsidRPr="009D296C">
        <w:rPr>
          <w:rFonts w:ascii="Century Schoolbook" w:hAnsi="Century Schoolbook"/>
          <w:sz w:val="22"/>
          <w:szCs w:val="22"/>
        </w:rPr>
        <w:t xml:space="preserve">this </w:t>
      </w:r>
      <w:r w:rsidR="000F64EF" w:rsidRPr="009D296C">
        <w:rPr>
          <w:rFonts w:ascii="Century Schoolbook" w:hAnsi="Century Schoolbook"/>
          <w:sz w:val="22"/>
          <w:szCs w:val="22"/>
        </w:rPr>
        <w:t>m</w:t>
      </w:r>
      <w:r w:rsidR="00E6277D" w:rsidRPr="009D296C">
        <w:rPr>
          <w:rFonts w:ascii="Century Schoolbook" w:hAnsi="Century Schoolbook"/>
          <w:sz w:val="22"/>
          <w:szCs w:val="22"/>
        </w:rPr>
        <w:t>otion</w:t>
      </w:r>
      <w:r w:rsidRPr="009D296C">
        <w:rPr>
          <w:rFonts w:ascii="Century Schoolbook" w:hAnsi="Century Schoolbook"/>
          <w:sz w:val="22"/>
          <w:szCs w:val="22"/>
        </w:rPr>
        <w:t>.</w:t>
      </w:r>
    </w:p>
    <w:p w:rsidR="00625424" w:rsidRPr="009D296C" w:rsidRDefault="00625424" w:rsidP="00625424">
      <w:pPr>
        <w:ind w:left="720"/>
        <w:rPr>
          <w:rFonts w:ascii="Century Schoolbook" w:hAnsi="Century Schoolbook"/>
          <w:sz w:val="22"/>
          <w:szCs w:val="22"/>
        </w:rPr>
      </w:pPr>
    </w:p>
    <w:p w:rsidR="009B4CB3" w:rsidRDefault="00E6277D" w:rsidP="001D17A3">
      <w:pPr>
        <w:ind w:firstLine="720"/>
        <w:rPr>
          <w:rFonts w:ascii="Century Schoolbook" w:hAnsi="Century Schoolbook"/>
          <w:sz w:val="22"/>
          <w:szCs w:val="22"/>
        </w:rPr>
      </w:pPr>
      <w:r w:rsidRPr="009D296C">
        <w:rPr>
          <w:rFonts w:ascii="Century Schoolbook" w:hAnsi="Century Schoolbook"/>
          <w:sz w:val="22"/>
          <w:szCs w:val="22"/>
        </w:rPr>
        <w:t>3</w:t>
      </w:r>
      <w:r w:rsidR="00026163" w:rsidRPr="009D296C">
        <w:rPr>
          <w:rFonts w:ascii="Century Schoolbook" w:hAnsi="Century Schoolbook"/>
          <w:sz w:val="22"/>
          <w:szCs w:val="22"/>
        </w:rPr>
        <w:t>.</w:t>
      </w:r>
      <w:r w:rsidR="00026163" w:rsidRPr="009D296C">
        <w:rPr>
          <w:rFonts w:ascii="Century Schoolbook" w:hAnsi="Century Schoolbook"/>
          <w:sz w:val="22"/>
          <w:szCs w:val="22"/>
        </w:rPr>
        <w:tab/>
      </w:r>
      <w:r w:rsidR="00756FCE" w:rsidRPr="009D296C">
        <w:rPr>
          <w:rFonts w:ascii="Century Schoolbook" w:hAnsi="Century Schoolbook"/>
          <w:sz w:val="22"/>
          <w:szCs w:val="22"/>
        </w:rPr>
        <w:t>The</w:t>
      </w:r>
      <w:r w:rsidR="009B4CB3" w:rsidRPr="009D296C">
        <w:rPr>
          <w:rFonts w:ascii="Century Schoolbook" w:hAnsi="Century Schoolbook"/>
          <w:sz w:val="22"/>
          <w:szCs w:val="22"/>
        </w:rPr>
        <w:t xml:space="preserve"> Office of Special Assistants </w:t>
      </w:r>
      <w:proofErr w:type="gramStart"/>
      <w:r w:rsidR="003413A9" w:rsidRPr="009D296C">
        <w:rPr>
          <w:rFonts w:ascii="Century Schoolbook" w:hAnsi="Century Schoolbook"/>
          <w:sz w:val="22"/>
          <w:szCs w:val="22"/>
        </w:rPr>
        <w:t>prepare</w:t>
      </w:r>
      <w:proofErr w:type="gramEnd"/>
      <w:r w:rsidR="003413A9" w:rsidRPr="009D296C">
        <w:rPr>
          <w:rFonts w:ascii="Century Schoolbook" w:hAnsi="Century Schoolbook"/>
          <w:sz w:val="22"/>
          <w:szCs w:val="22"/>
        </w:rPr>
        <w:t xml:space="preserve"> </w:t>
      </w:r>
      <w:r w:rsidRPr="009D296C">
        <w:rPr>
          <w:rFonts w:ascii="Century Schoolbook" w:hAnsi="Century Schoolbook"/>
          <w:sz w:val="22"/>
          <w:szCs w:val="22"/>
        </w:rPr>
        <w:t>an</w:t>
      </w:r>
      <w:r w:rsidR="009C7C82" w:rsidRPr="009D296C">
        <w:rPr>
          <w:rFonts w:ascii="Century Schoolbook" w:hAnsi="Century Schoolbook"/>
          <w:sz w:val="22"/>
          <w:szCs w:val="22"/>
        </w:rPr>
        <w:t xml:space="preserve"> </w:t>
      </w:r>
      <w:r w:rsidR="00D11B90" w:rsidRPr="009D296C">
        <w:rPr>
          <w:rFonts w:ascii="Century Schoolbook" w:hAnsi="Century Schoolbook"/>
          <w:sz w:val="22"/>
          <w:szCs w:val="22"/>
        </w:rPr>
        <w:t>O</w:t>
      </w:r>
      <w:r w:rsidR="003413A9" w:rsidRPr="009D296C">
        <w:rPr>
          <w:rFonts w:ascii="Century Schoolbook" w:hAnsi="Century Schoolbook"/>
          <w:sz w:val="22"/>
          <w:szCs w:val="22"/>
        </w:rPr>
        <w:t>rder consistent with this m</w:t>
      </w:r>
      <w:r w:rsidR="009B4CB3" w:rsidRPr="009D296C">
        <w:rPr>
          <w:rFonts w:ascii="Century Schoolbook" w:hAnsi="Century Schoolbook"/>
          <w:sz w:val="22"/>
          <w:szCs w:val="22"/>
        </w:rPr>
        <w:t>otion.</w:t>
      </w:r>
    </w:p>
    <w:p w:rsidR="00C32AF0" w:rsidRPr="009D296C" w:rsidRDefault="00C32AF0" w:rsidP="001D17A3">
      <w:pPr>
        <w:ind w:firstLine="720"/>
        <w:rPr>
          <w:rFonts w:ascii="Century Schoolbook" w:hAnsi="Century Schoolbook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9B4CB3" w:rsidRPr="009D296C" w:rsidTr="00AB50EC">
        <w:trPr>
          <w:trHeight w:val="65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4CB3" w:rsidRPr="009D296C" w:rsidRDefault="009B4CB3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/>
                <w:sz w:val="22"/>
                <w:szCs w:val="22"/>
              </w:rPr>
            </w:pPr>
          </w:p>
          <w:p w:rsidR="00C32AF0" w:rsidRDefault="00C32AF0" w:rsidP="009D296C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9B4CB3" w:rsidRPr="009D296C" w:rsidRDefault="009B4CB3" w:rsidP="00C32AF0">
            <w:pPr>
              <w:autoSpaceDE w:val="0"/>
              <w:autoSpaceDN w:val="0"/>
              <w:adjustRightInd w:val="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 w:rsidRPr="009D296C">
              <w:rPr>
                <w:rFonts w:ascii="Century Schoolbook" w:hAnsi="Century Schoolbook"/>
                <w:b/>
                <w:bCs/>
                <w:sz w:val="22"/>
                <w:szCs w:val="22"/>
              </w:rPr>
              <w:t xml:space="preserve">DATE:  </w:t>
            </w:r>
            <w:r w:rsidR="009D296C" w:rsidRPr="009D296C">
              <w:rPr>
                <w:rFonts w:ascii="Century Schoolbook" w:hAnsi="Century Schoolbook"/>
                <w:b/>
                <w:bCs/>
                <w:sz w:val="22"/>
                <w:szCs w:val="22"/>
              </w:rPr>
              <w:t>December 16, 2010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4CB3" w:rsidRPr="009D296C" w:rsidRDefault="009B4CB3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/>
                <w:sz w:val="22"/>
                <w:szCs w:val="22"/>
                <w:u w:val="single"/>
              </w:rPr>
            </w:pPr>
            <w:r w:rsidRPr="009D296C">
              <w:rPr>
                <w:rFonts w:ascii="Century Schoolbook" w:hAnsi="Century Schoolbook"/>
                <w:sz w:val="22"/>
                <w:szCs w:val="22"/>
              </w:rPr>
              <w:t>_________________________________</w:t>
            </w:r>
            <w:r w:rsidRPr="009D296C">
              <w:rPr>
                <w:rFonts w:ascii="Century Schoolbook" w:hAnsi="Century Schoolbook"/>
                <w:sz w:val="22"/>
                <w:szCs w:val="22"/>
                <w:u w:val="single"/>
              </w:rPr>
              <w:t xml:space="preserve"> </w:t>
            </w:r>
          </w:p>
          <w:p w:rsidR="009B4CB3" w:rsidRPr="009D296C" w:rsidRDefault="009B4CB3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 w:rsidRPr="009D296C">
              <w:rPr>
                <w:rFonts w:ascii="Century Schoolbook" w:hAnsi="Century Schoolbook"/>
                <w:b/>
                <w:bCs/>
                <w:sz w:val="22"/>
                <w:szCs w:val="22"/>
              </w:rPr>
              <w:t>James H. Cawley, Chairman</w:t>
            </w:r>
          </w:p>
        </w:tc>
      </w:tr>
    </w:tbl>
    <w:p w:rsidR="00C05077" w:rsidRPr="001D17A3" w:rsidRDefault="00C05077">
      <w:pPr>
        <w:rPr>
          <w:sz w:val="22"/>
          <w:szCs w:val="22"/>
        </w:rPr>
      </w:pPr>
    </w:p>
    <w:sectPr w:rsidR="00C05077" w:rsidRPr="001D17A3" w:rsidSect="00C32AF0">
      <w:pgSz w:w="12240" w:h="15840"/>
      <w:pgMar w:top="630" w:right="1800" w:bottom="5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1B" w:rsidRDefault="007B201B">
      <w:r>
        <w:separator/>
      </w:r>
    </w:p>
  </w:endnote>
  <w:endnote w:type="continuationSeparator" w:id="0">
    <w:p w:rsidR="007B201B" w:rsidRDefault="007B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1B" w:rsidRDefault="007B201B">
      <w:r>
        <w:separator/>
      </w:r>
    </w:p>
  </w:footnote>
  <w:footnote w:type="continuationSeparator" w:id="0">
    <w:p w:rsidR="007B201B" w:rsidRDefault="007B2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922C8C"/>
    <w:lvl w:ilvl="0">
      <w:numFmt w:val="bullet"/>
      <w:lvlText w:val="*"/>
      <w:lvlJc w:val="left"/>
    </w:lvl>
  </w:abstractNum>
  <w:abstractNum w:abstractNumId="1">
    <w:nsid w:val="305E4FCD"/>
    <w:multiLevelType w:val="singleLevel"/>
    <w:tmpl w:val="3F2E1980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36191881"/>
    <w:multiLevelType w:val="hybridMultilevel"/>
    <w:tmpl w:val="543A8E3C"/>
    <w:lvl w:ilvl="0" w:tplc="D67E30D8">
      <w:start w:val="3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F74B48"/>
    <w:multiLevelType w:val="hybridMultilevel"/>
    <w:tmpl w:val="330CCE08"/>
    <w:lvl w:ilvl="0" w:tplc="C6A089D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ED7B37"/>
    <w:multiLevelType w:val="hybridMultilevel"/>
    <w:tmpl w:val="7CDA1B5A"/>
    <w:lvl w:ilvl="0" w:tplc="40A6A536">
      <w:start w:val="2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C81"/>
    <w:rsid w:val="0000159A"/>
    <w:rsid w:val="00010DA4"/>
    <w:rsid w:val="00011F1E"/>
    <w:rsid w:val="00013228"/>
    <w:rsid w:val="00017284"/>
    <w:rsid w:val="0002376F"/>
    <w:rsid w:val="00024479"/>
    <w:rsid w:val="0002448B"/>
    <w:rsid w:val="00024D34"/>
    <w:rsid w:val="0002581A"/>
    <w:rsid w:val="00026163"/>
    <w:rsid w:val="0003297F"/>
    <w:rsid w:val="000348D7"/>
    <w:rsid w:val="000406BB"/>
    <w:rsid w:val="00063E1E"/>
    <w:rsid w:val="00063E4C"/>
    <w:rsid w:val="00076C02"/>
    <w:rsid w:val="0008018C"/>
    <w:rsid w:val="00091CDF"/>
    <w:rsid w:val="000948CD"/>
    <w:rsid w:val="00096A39"/>
    <w:rsid w:val="000A4368"/>
    <w:rsid w:val="000B3205"/>
    <w:rsid w:val="000B4453"/>
    <w:rsid w:val="000C0D29"/>
    <w:rsid w:val="000C1850"/>
    <w:rsid w:val="000D178A"/>
    <w:rsid w:val="000D2A34"/>
    <w:rsid w:val="000D3DF6"/>
    <w:rsid w:val="000D7A78"/>
    <w:rsid w:val="000D7D50"/>
    <w:rsid w:val="000E10E3"/>
    <w:rsid w:val="000E12F0"/>
    <w:rsid w:val="000F0D9A"/>
    <w:rsid w:val="000F64EF"/>
    <w:rsid w:val="000F751C"/>
    <w:rsid w:val="00102FCB"/>
    <w:rsid w:val="00103B88"/>
    <w:rsid w:val="00107060"/>
    <w:rsid w:val="00120220"/>
    <w:rsid w:val="0015344C"/>
    <w:rsid w:val="00162006"/>
    <w:rsid w:val="00176A91"/>
    <w:rsid w:val="00180735"/>
    <w:rsid w:val="001846FF"/>
    <w:rsid w:val="001947E5"/>
    <w:rsid w:val="001A1065"/>
    <w:rsid w:val="001A3401"/>
    <w:rsid w:val="001A5036"/>
    <w:rsid w:val="001A5C66"/>
    <w:rsid w:val="001B58C4"/>
    <w:rsid w:val="001D17A3"/>
    <w:rsid w:val="001D60DB"/>
    <w:rsid w:val="001E5CA3"/>
    <w:rsid w:val="001F4168"/>
    <w:rsid w:val="002014D3"/>
    <w:rsid w:val="002017D9"/>
    <w:rsid w:val="00204759"/>
    <w:rsid w:val="00205EBE"/>
    <w:rsid w:val="00216C54"/>
    <w:rsid w:val="00226253"/>
    <w:rsid w:val="00237A13"/>
    <w:rsid w:val="00240F3E"/>
    <w:rsid w:val="0025181F"/>
    <w:rsid w:val="00253506"/>
    <w:rsid w:val="002801B5"/>
    <w:rsid w:val="00281AD5"/>
    <w:rsid w:val="002868D6"/>
    <w:rsid w:val="0029059D"/>
    <w:rsid w:val="00291F4F"/>
    <w:rsid w:val="00293248"/>
    <w:rsid w:val="002A2831"/>
    <w:rsid w:val="002A4F58"/>
    <w:rsid w:val="002A5D45"/>
    <w:rsid w:val="002B4B43"/>
    <w:rsid w:val="002C0853"/>
    <w:rsid w:val="002C0E03"/>
    <w:rsid w:val="002C30E7"/>
    <w:rsid w:val="002C3C0B"/>
    <w:rsid w:val="002E318B"/>
    <w:rsid w:val="002E438C"/>
    <w:rsid w:val="002E43B2"/>
    <w:rsid w:val="002F69E9"/>
    <w:rsid w:val="003009BD"/>
    <w:rsid w:val="003029C4"/>
    <w:rsid w:val="00302E4E"/>
    <w:rsid w:val="003056E2"/>
    <w:rsid w:val="00310373"/>
    <w:rsid w:val="0031396F"/>
    <w:rsid w:val="00320609"/>
    <w:rsid w:val="00323568"/>
    <w:rsid w:val="003271AA"/>
    <w:rsid w:val="00332748"/>
    <w:rsid w:val="00333315"/>
    <w:rsid w:val="00335827"/>
    <w:rsid w:val="00337FE7"/>
    <w:rsid w:val="003413A9"/>
    <w:rsid w:val="003462F3"/>
    <w:rsid w:val="00350668"/>
    <w:rsid w:val="0036184B"/>
    <w:rsid w:val="003623EF"/>
    <w:rsid w:val="003715BF"/>
    <w:rsid w:val="00371CA6"/>
    <w:rsid w:val="00372F7B"/>
    <w:rsid w:val="003833B2"/>
    <w:rsid w:val="003A255A"/>
    <w:rsid w:val="003A30F3"/>
    <w:rsid w:val="003A4763"/>
    <w:rsid w:val="003A5917"/>
    <w:rsid w:val="003A7B96"/>
    <w:rsid w:val="003B201E"/>
    <w:rsid w:val="003C18C6"/>
    <w:rsid w:val="003C39B3"/>
    <w:rsid w:val="003C66F8"/>
    <w:rsid w:val="003D08FE"/>
    <w:rsid w:val="003D71E8"/>
    <w:rsid w:val="003D73D9"/>
    <w:rsid w:val="003D76AF"/>
    <w:rsid w:val="003D7863"/>
    <w:rsid w:val="003E5033"/>
    <w:rsid w:val="003F2753"/>
    <w:rsid w:val="004145F1"/>
    <w:rsid w:val="00421C95"/>
    <w:rsid w:val="00422E3D"/>
    <w:rsid w:val="004278E0"/>
    <w:rsid w:val="00440E10"/>
    <w:rsid w:val="004459CA"/>
    <w:rsid w:val="00450B6D"/>
    <w:rsid w:val="0045568F"/>
    <w:rsid w:val="00462AD6"/>
    <w:rsid w:val="00463E13"/>
    <w:rsid w:val="00466DDA"/>
    <w:rsid w:val="0047752B"/>
    <w:rsid w:val="00481DAF"/>
    <w:rsid w:val="004906A3"/>
    <w:rsid w:val="0049236F"/>
    <w:rsid w:val="004941D4"/>
    <w:rsid w:val="00495840"/>
    <w:rsid w:val="004966DA"/>
    <w:rsid w:val="0049722C"/>
    <w:rsid w:val="004A2EE6"/>
    <w:rsid w:val="004A7E69"/>
    <w:rsid w:val="004B6B4C"/>
    <w:rsid w:val="004C01AC"/>
    <w:rsid w:val="004D6795"/>
    <w:rsid w:val="004E0AA4"/>
    <w:rsid w:val="00511276"/>
    <w:rsid w:val="005121EA"/>
    <w:rsid w:val="00524338"/>
    <w:rsid w:val="0052748D"/>
    <w:rsid w:val="00527E41"/>
    <w:rsid w:val="00527ECD"/>
    <w:rsid w:val="005401FA"/>
    <w:rsid w:val="00541D9A"/>
    <w:rsid w:val="00543C00"/>
    <w:rsid w:val="0055060D"/>
    <w:rsid w:val="005562C7"/>
    <w:rsid w:val="00562CC9"/>
    <w:rsid w:val="0058418B"/>
    <w:rsid w:val="00594865"/>
    <w:rsid w:val="005973A5"/>
    <w:rsid w:val="005A03FD"/>
    <w:rsid w:val="005A2E16"/>
    <w:rsid w:val="005A3A88"/>
    <w:rsid w:val="005A46E0"/>
    <w:rsid w:val="005C1543"/>
    <w:rsid w:val="005C2431"/>
    <w:rsid w:val="005C3299"/>
    <w:rsid w:val="005C7AB4"/>
    <w:rsid w:val="005D3C4C"/>
    <w:rsid w:val="005D5D2D"/>
    <w:rsid w:val="005E7836"/>
    <w:rsid w:val="005F1B79"/>
    <w:rsid w:val="00600E08"/>
    <w:rsid w:val="0060427C"/>
    <w:rsid w:val="00625396"/>
    <w:rsid w:val="00625424"/>
    <w:rsid w:val="00643834"/>
    <w:rsid w:val="006558E3"/>
    <w:rsid w:val="00666113"/>
    <w:rsid w:val="00674977"/>
    <w:rsid w:val="00677E3B"/>
    <w:rsid w:val="00687F60"/>
    <w:rsid w:val="006A4CD1"/>
    <w:rsid w:val="006A5792"/>
    <w:rsid w:val="006B157C"/>
    <w:rsid w:val="006B28DC"/>
    <w:rsid w:val="006B65F0"/>
    <w:rsid w:val="006C407A"/>
    <w:rsid w:val="006C75AE"/>
    <w:rsid w:val="006D6C72"/>
    <w:rsid w:val="006D7A18"/>
    <w:rsid w:val="006E24FF"/>
    <w:rsid w:val="006E684D"/>
    <w:rsid w:val="00700862"/>
    <w:rsid w:val="0070540F"/>
    <w:rsid w:val="007067C4"/>
    <w:rsid w:val="007078F4"/>
    <w:rsid w:val="00714AEF"/>
    <w:rsid w:val="00723B9F"/>
    <w:rsid w:val="0072582A"/>
    <w:rsid w:val="00726876"/>
    <w:rsid w:val="0072701E"/>
    <w:rsid w:val="00736FE6"/>
    <w:rsid w:val="007379BA"/>
    <w:rsid w:val="007415A9"/>
    <w:rsid w:val="007421DF"/>
    <w:rsid w:val="007447D4"/>
    <w:rsid w:val="00746F8F"/>
    <w:rsid w:val="00755D0D"/>
    <w:rsid w:val="00756FCE"/>
    <w:rsid w:val="007628D1"/>
    <w:rsid w:val="00763D21"/>
    <w:rsid w:val="007640F1"/>
    <w:rsid w:val="00772199"/>
    <w:rsid w:val="00772CC7"/>
    <w:rsid w:val="00774D8E"/>
    <w:rsid w:val="00775552"/>
    <w:rsid w:val="007815D6"/>
    <w:rsid w:val="00790A48"/>
    <w:rsid w:val="007A4A45"/>
    <w:rsid w:val="007A59D9"/>
    <w:rsid w:val="007A6DD0"/>
    <w:rsid w:val="007B201B"/>
    <w:rsid w:val="007B2285"/>
    <w:rsid w:val="007B230C"/>
    <w:rsid w:val="007B4692"/>
    <w:rsid w:val="007B6C92"/>
    <w:rsid w:val="007C4104"/>
    <w:rsid w:val="007C508B"/>
    <w:rsid w:val="007E05EC"/>
    <w:rsid w:val="007E0682"/>
    <w:rsid w:val="007E14CD"/>
    <w:rsid w:val="007E21EC"/>
    <w:rsid w:val="007E29B7"/>
    <w:rsid w:val="007F34DF"/>
    <w:rsid w:val="007F4935"/>
    <w:rsid w:val="00802DE5"/>
    <w:rsid w:val="00802E6C"/>
    <w:rsid w:val="0080491E"/>
    <w:rsid w:val="00805C32"/>
    <w:rsid w:val="00810793"/>
    <w:rsid w:val="008118DE"/>
    <w:rsid w:val="008124BB"/>
    <w:rsid w:val="0082001B"/>
    <w:rsid w:val="008356E4"/>
    <w:rsid w:val="00847BCD"/>
    <w:rsid w:val="008501F6"/>
    <w:rsid w:val="008506A4"/>
    <w:rsid w:val="00850732"/>
    <w:rsid w:val="00852FAD"/>
    <w:rsid w:val="00856CEE"/>
    <w:rsid w:val="008601DD"/>
    <w:rsid w:val="0088052D"/>
    <w:rsid w:val="008816FF"/>
    <w:rsid w:val="00894358"/>
    <w:rsid w:val="008967AB"/>
    <w:rsid w:val="008A18AB"/>
    <w:rsid w:val="008A337A"/>
    <w:rsid w:val="008A69F6"/>
    <w:rsid w:val="008A6EB6"/>
    <w:rsid w:val="008B3D9B"/>
    <w:rsid w:val="008B63E6"/>
    <w:rsid w:val="008D5101"/>
    <w:rsid w:val="008D796B"/>
    <w:rsid w:val="008E0238"/>
    <w:rsid w:val="008E1513"/>
    <w:rsid w:val="008F113E"/>
    <w:rsid w:val="008F134A"/>
    <w:rsid w:val="008F4848"/>
    <w:rsid w:val="009012D3"/>
    <w:rsid w:val="00903CFC"/>
    <w:rsid w:val="009166B9"/>
    <w:rsid w:val="00930C81"/>
    <w:rsid w:val="0093497F"/>
    <w:rsid w:val="00944AE5"/>
    <w:rsid w:val="00952124"/>
    <w:rsid w:val="00957F9C"/>
    <w:rsid w:val="00963257"/>
    <w:rsid w:val="00965B10"/>
    <w:rsid w:val="0097266F"/>
    <w:rsid w:val="0097578B"/>
    <w:rsid w:val="009869F1"/>
    <w:rsid w:val="009A08AB"/>
    <w:rsid w:val="009A5254"/>
    <w:rsid w:val="009A5864"/>
    <w:rsid w:val="009A5DA2"/>
    <w:rsid w:val="009A6858"/>
    <w:rsid w:val="009B4CB3"/>
    <w:rsid w:val="009B6296"/>
    <w:rsid w:val="009C499D"/>
    <w:rsid w:val="009C7C82"/>
    <w:rsid w:val="009D296C"/>
    <w:rsid w:val="009E1669"/>
    <w:rsid w:val="009F0D0C"/>
    <w:rsid w:val="009F749F"/>
    <w:rsid w:val="009F74E5"/>
    <w:rsid w:val="00A12B8A"/>
    <w:rsid w:val="00A12FC8"/>
    <w:rsid w:val="00A16DEF"/>
    <w:rsid w:val="00A21767"/>
    <w:rsid w:val="00A25848"/>
    <w:rsid w:val="00A317ED"/>
    <w:rsid w:val="00A3383F"/>
    <w:rsid w:val="00A35567"/>
    <w:rsid w:val="00A428B5"/>
    <w:rsid w:val="00A45D41"/>
    <w:rsid w:val="00A475D5"/>
    <w:rsid w:val="00A50CE7"/>
    <w:rsid w:val="00A51782"/>
    <w:rsid w:val="00A52906"/>
    <w:rsid w:val="00A57540"/>
    <w:rsid w:val="00A6575D"/>
    <w:rsid w:val="00A67DD4"/>
    <w:rsid w:val="00A81492"/>
    <w:rsid w:val="00A815BC"/>
    <w:rsid w:val="00A91F46"/>
    <w:rsid w:val="00A926A8"/>
    <w:rsid w:val="00A95F1B"/>
    <w:rsid w:val="00AA4B75"/>
    <w:rsid w:val="00AB50EC"/>
    <w:rsid w:val="00AD7E65"/>
    <w:rsid w:val="00AE03FE"/>
    <w:rsid w:val="00AE7D5C"/>
    <w:rsid w:val="00B023EF"/>
    <w:rsid w:val="00B04DD1"/>
    <w:rsid w:val="00B12708"/>
    <w:rsid w:val="00B12DF5"/>
    <w:rsid w:val="00B332C8"/>
    <w:rsid w:val="00B42388"/>
    <w:rsid w:val="00B4379B"/>
    <w:rsid w:val="00B46FF4"/>
    <w:rsid w:val="00B54B35"/>
    <w:rsid w:val="00B60652"/>
    <w:rsid w:val="00B661A0"/>
    <w:rsid w:val="00B67DF2"/>
    <w:rsid w:val="00B71763"/>
    <w:rsid w:val="00B7350F"/>
    <w:rsid w:val="00B77BA9"/>
    <w:rsid w:val="00B83D51"/>
    <w:rsid w:val="00B87FE8"/>
    <w:rsid w:val="00BA1CA6"/>
    <w:rsid w:val="00BA544F"/>
    <w:rsid w:val="00BB65C4"/>
    <w:rsid w:val="00BB70C2"/>
    <w:rsid w:val="00BC2C80"/>
    <w:rsid w:val="00BD1AFA"/>
    <w:rsid w:val="00BD684A"/>
    <w:rsid w:val="00BD7E45"/>
    <w:rsid w:val="00BE23B8"/>
    <w:rsid w:val="00BE70B0"/>
    <w:rsid w:val="00BF7F00"/>
    <w:rsid w:val="00C04210"/>
    <w:rsid w:val="00C05077"/>
    <w:rsid w:val="00C15421"/>
    <w:rsid w:val="00C15C85"/>
    <w:rsid w:val="00C3295F"/>
    <w:rsid w:val="00C32AF0"/>
    <w:rsid w:val="00C34D0F"/>
    <w:rsid w:val="00C419D5"/>
    <w:rsid w:val="00C45C6F"/>
    <w:rsid w:val="00C515F2"/>
    <w:rsid w:val="00C5752F"/>
    <w:rsid w:val="00C62998"/>
    <w:rsid w:val="00C63A87"/>
    <w:rsid w:val="00C66AA8"/>
    <w:rsid w:val="00C716E6"/>
    <w:rsid w:val="00C72A2A"/>
    <w:rsid w:val="00C8023D"/>
    <w:rsid w:val="00C80F99"/>
    <w:rsid w:val="00C84AF6"/>
    <w:rsid w:val="00C87128"/>
    <w:rsid w:val="00C920DF"/>
    <w:rsid w:val="00C96C6F"/>
    <w:rsid w:val="00CA035B"/>
    <w:rsid w:val="00CA40D6"/>
    <w:rsid w:val="00CA6BFA"/>
    <w:rsid w:val="00CB4E01"/>
    <w:rsid w:val="00CC11DD"/>
    <w:rsid w:val="00CC76D4"/>
    <w:rsid w:val="00CD3CA7"/>
    <w:rsid w:val="00CE6B0F"/>
    <w:rsid w:val="00CF6656"/>
    <w:rsid w:val="00CF78D5"/>
    <w:rsid w:val="00D01F5E"/>
    <w:rsid w:val="00D06385"/>
    <w:rsid w:val="00D114C1"/>
    <w:rsid w:val="00D11B90"/>
    <w:rsid w:val="00D23081"/>
    <w:rsid w:val="00D27871"/>
    <w:rsid w:val="00D34D71"/>
    <w:rsid w:val="00D3551A"/>
    <w:rsid w:val="00D376BA"/>
    <w:rsid w:val="00D45DE6"/>
    <w:rsid w:val="00D47552"/>
    <w:rsid w:val="00D57CA7"/>
    <w:rsid w:val="00D60A1D"/>
    <w:rsid w:val="00D61EE7"/>
    <w:rsid w:val="00D67AF4"/>
    <w:rsid w:val="00D72F8A"/>
    <w:rsid w:val="00D73B9C"/>
    <w:rsid w:val="00D7778C"/>
    <w:rsid w:val="00D82CD1"/>
    <w:rsid w:val="00D904DF"/>
    <w:rsid w:val="00DA357E"/>
    <w:rsid w:val="00DB0148"/>
    <w:rsid w:val="00DB67B5"/>
    <w:rsid w:val="00DC03AA"/>
    <w:rsid w:val="00DD7D60"/>
    <w:rsid w:val="00DF032C"/>
    <w:rsid w:val="00DF6C36"/>
    <w:rsid w:val="00E04407"/>
    <w:rsid w:val="00E07D3E"/>
    <w:rsid w:val="00E12D04"/>
    <w:rsid w:val="00E2673B"/>
    <w:rsid w:val="00E27F65"/>
    <w:rsid w:val="00E37880"/>
    <w:rsid w:val="00E4627B"/>
    <w:rsid w:val="00E468D0"/>
    <w:rsid w:val="00E50F0A"/>
    <w:rsid w:val="00E6277D"/>
    <w:rsid w:val="00E63437"/>
    <w:rsid w:val="00E74FEA"/>
    <w:rsid w:val="00E80C05"/>
    <w:rsid w:val="00E81C17"/>
    <w:rsid w:val="00E908DE"/>
    <w:rsid w:val="00E930A1"/>
    <w:rsid w:val="00E95DA5"/>
    <w:rsid w:val="00E973B7"/>
    <w:rsid w:val="00EA0F28"/>
    <w:rsid w:val="00EA38ED"/>
    <w:rsid w:val="00EA3A06"/>
    <w:rsid w:val="00EC20E7"/>
    <w:rsid w:val="00EC5407"/>
    <w:rsid w:val="00EC72D6"/>
    <w:rsid w:val="00ED231F"/>
    <w:rsid w:val="00EE359B"/>
    <w:rsid w:val="00EF781A"/>
    <w:rsid w:val="00F0654B"/>
    <w:rsid w:val="00F13E13"/>
    <w:rsid w:val="00F17DC8"/>
    <w:rsid w:val="00F220DB"/>
    <w:rsid w:val="00F259D4"/>
    <w:rsid w:val="00F36529"/>
    <w:rsid w:val="00F41D9D"/>
    <w:rsid w:val="00F449EF"/>
    <w:rsid w:val="00F44B71"/>
    <w:rsid w:val="00F467A9"/>
    <w:rsid w:val="00F51D23"/>
    <w:rsid w:val="00F541E1"/>
    <w:rsid w:val="00FA2D37"/>
    <w:rsid w:val="00FA2E1E"/>
    <w:rsid w:val="00FB2021"/>
    <w:rsid w:val="00FC4E73"/>
    <w:rsid w:val="00FD0E6E"/>
    <w:rsid w:val="00FD11AB"/>
    <w:rsid w:val="00FD1219"/>
    <w:rsid w:val="00FD43D9"/>
    <w:rsid w:val="00FD628A"/>
    <w:rsid w:val="00FD72C0"/>
    <w:rsid w:val="00FD7A82"/>
    <w:rsid w:val="00FE3C04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1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30C81"/>
    <w:rPr>
      <w:sz w:val="16"/>
      <w:szCs w:val="16"/>
    </w:rPr>
  </w:style>
  <w:style w:type="paragraph" w:styleId="CommentText">
    <w:name w:val="annotation text"/>
    <w:basedOn w:val="Normal"/>
    <w:semiHidden/>
    <w:rsid w:val="00930C8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0C81"/>
    <w:rPr>
      <w:b/>
      <w:bCs/>
    </w:rPr>
  </w:style>
  <w:style w:type="paragraph" w:styleId="BalloonText">
    <w:name w:val="Balloon Text"/>
    <w:basedOn w:val="Normal"/>
    <w:semiHidden/>
    <w:rsid w:val="00930C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82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2CD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726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6876"/>
  </w:style>
  <w:style w:type="character" w:styleId="FootnoteReference">
    <w:name w:val="footnote reference"/>
    <w:basedOn w:val="DefaultParagraphFont"/>
    <w:rsid w:val="007268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CEFB-67CE-47D1-8889-41ED1B6F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OF</vt:lpstr>
    </vt:vector>
  </TitlesOfParts>
  <Company>PA Public Utility Commission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OF</dc:title>
  <dc:subject/>
  <dc:creator>OSBORNE</dc:creator>
  <cp:keywords/>
  <dc:description/>
  <cp:lastModifiedBy>mmuth</cp:lastModifiedBy>
  <cp:revision>2</cp:revision>
  <cp:lastPrinted>2010-12-15T20:48:00Z</cp:lastPrinted>
  <dcterms:created xsi:type="dcterms:W3CDTF">2010-12-15T20:48:00Z</dcterms:created>
  <dcterms:modified xsi:type="dcterms:W3CDTF">2010-12-15T20:48:00Z</dcterms:modified>
</cp:coreProperties>
</file>