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0B3718">
        <w:rPr>
          <w:b/>
          <w:sz w:val="24"/>
        </w:rPr>
        <w:t>A-2010-2200223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0B3718">
        <w:rPr>
          <w:sz w:val="24"/>
        </w:rPr>
        <w:t>MAA, Inc. d/b/a Industrial Energy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services </w:t>
      </w:r>
      <w:r w:rsidR="002A029B">
        <w:rPr>
          <w:sz w:val="24"/>
        </w:rPr>
        <w:t>as a broker/marketer</w:t>
      </w:r>
      <w:r w:rsidR="00D44530">
        <w:rPr>
          <w:sz w:val="24"/>
        </w:rPr>
        <w:t xml:space="preserve"> 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0B3718">
        <w:rPr>
          <w:b/>
          <w:sz w:val="24"/>
        </w:rPr>
        <w:t>17</w:t>
      </w:r>
      <w:r w:rsidR="000B3718" w:rsidRPr="000B3718">
        <w:rPr>
          <w:b/>
          <w:sz w:val="24"/>
          <w:vertAlign w:val="superscript"/>
        </w:rPr>
        <w:t>th</w:t>
      </w:r>
      <w:r w:rsidR="000B3718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0B3718">
        <w:rPr>
          <w:b/>
          <w:sz w:val="24"/>
        </w:rPr>
        <w:t>December 2010.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0B3718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0B3718"/>
    <w:rsid w:val="00177243"/>
    <w:rsid w:val="002A029B"/>
    <w:rsid w:val="002E516B"/>
    <w:rsid w:val="003553A1"/>
    <w:rsid w:val="0071389D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2010-12-17T14:23:00Z</cp:lastPrinted>
  <dcterms:created xsi:type="dcterms:W3CDTF">2010-12-17T14:24:00Z</dcterms:created>
  <dcterms:modified xsi:type="dcterms:W3CDTF">2010-12-17T14:24:00Z</dcterms:modified>
</cp:coreProperties>
</file>