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E23926" w:rsidP="000A0B57">
            <w:pPr>
              <w:jc w:val="right"/>
              <w:rPr>
                <w:rFonts w:ascii="Arial" w:hAnsi="Arial"/>
                <w:sz w:val="16"/>
                <w:szCs w:val="16"/>
              </w:rPr>
            </w:pPr>
            <w:r w:rsidRPr="00E23926">
              <w:rPr>
                <w:sz w:val="16"/>
                <w:szCs w:val="16"/>
              </w:rPr>
              <w:t>M</w:t>
            </w:r>
            <w:r w:rsidRPr="00E23926">
              <w:rPr>
                <w:sz w:val="16"/>
                <w:szCs w:val="16"/>
              </w:rPr>
              <w:noBreakHyphen/>
            </w:r>
            <w:r w:rsidR="000A0B57">
              <w:rPr>
                <w:sz w:val="16"/>
                <w:szCs w:val="16"/>
              </w:rPr>
              <w:t>00051865</w:t>
            </w:r>
          </w:p>
        </w:tc>
      </w:tr>
    </w:tbl>
    <w:p w:rsidR="00FA0E37" w:rsidRDefault="007B6949" w:rsidP="00FA0E37">
      <w:pPr>
        <w:jc w:val="center"/>
        <w:rPr>
          <w:b/>
          <w:sz w:val="26"/>
          <w:szCs w:val="26"/>
        </w:rPr>
      </w:pPr>
      <w:r>
        <w:rPr>
          <w:b/>
          <w:sz w:val="26"/>
          <w:szCs w:val="26"/>
        </w:rPr>
        <w:t>December 17, 2010</w:t>
      </w:r>
    </w:p>
    <w:p w:rsidR="001E1BF3" w:rsidRDefault="001E1BF3" w:rsidP="00FA0E37">
      <w:pPr>
        <w:jc w:val="center"/>
        <w:rPr>
          <w:b/>
          <w:sz w:val="26"/>
          <w:szCs w:val="26"/>
        </w:rPr>
      </w:pPr>
    </w:p>
    <w:p w:rsidR="001E1BF3" w:rsidRPr="009E40EC" w:rsidRDefault="001E1BF3" w:rsidP="00FA0E37">
      <w:pPr>
        <w:jc w:val="center"/>
        <w:rPr>
          <w:b/>
          <w:sz w:val="26"/>
          <w:szCs w:val="26"/>
        </w:rPr>
      </w:pPr>
    </w:p>
    <w:p w:rsidR="00BE4A72" w:rsidRDefault="00E23926" w:rsidP="00BE4A72">
      <w:pPr>
        <w:rPr>
          <w:sz w:val="26"/>
          <w:szCs w:val="26"/>
        </w:rPr>
      </w:pPr>
      <w:r w:rsidRPr="00B2209E">
        <w:rPr>
          <w:sz w:val="26"/>
          <w:szCs w:val="26"/>
        </w:rPr>
        <w:t xml:space="preserve">TO ALL INTERESTED </w:t>
      </w:r>
      <w:r w:rsidR="00996CB1">
        <w:rPr>
          <w:sz w:val="26"/>
          <w:szCs w:val="26"/>
        </w:rPr>
        <w:t>STAKEHOLDERS</w:t>
      </w:r>
      <w:r w:rsidRPr="00B2209E">
        <w:rPr>
          <w:sz w:val="26"/>
          <w:szCs w:val="26"/>
        </w:rPr>
        <w:t>:</w:t>
      </w:r>
    </w:p>
    <w:p w:rsidR="00C90506" w:rsidRPr="009E40EC" w:rsidRDefault="00C90506" w:rsidP="00BE4A72">
      <w:pPr>
        <w:rPr>
          <w:sz w:val="26"/>
          <w:szCs w:val="26"/>
        </w:rPr>
      </w:pPr>
    </w:p>
    <w:p w:rsidR="009B23D8" w:rsidRDefault="009B23D8" w:rsidP="00CD0FDC">
      <w:pPr>
        <w:ind w:left="1440" w:hanging="720"/>
        <w:rPr>
          <w:sz w:val="26"/>
          <w:szCs w:val="26"/>
        </w:rPr>
      </w:pPr>
      <w:r>
        <w:rPr>
          <w:sz w:val="26"/>
          <w:szCs w:val="26"/>
        </w:rPr>
        <w:t>Re:</w:t>
      </w:r>
      <w:r w:rsidR="00C77F29">
        <w:rPr>
          <w:sz w:val="26"/>
          <w:szCs w:val="26"/>
        </w:rPr>
        <w:tab/>
      </w:r>
      <w:r w:rsidR="006F2D71">
        <w:rPr>
          <w:sz w:val="26"/>
          <w:szCs w:val="26"/>
        </w:rPr>
        <w:t>Implementation of the Alternative Energy Portfolio Standards Act of 2004:  Standards for the Participation of Demand Side Management Resources – Technical Reference Manual 2011 Update</w:t>
      </w:r>
      <w:r w:rsidR="00CD0FDC">
        <w:rPr>
          <w:sz w:val="26"/>
          <w:szCs w:val="26"/>
        </w:rPr>
        <w:t>.</w:t>
      </w:r>
    </w:p>
    <w:p w:rsidR="00CD0FDC" w:rsidRDefault="00CD0FDC" w:rsidP="00CD0FDC">
      <w:pPr>
        <w:ind w:left="1440" w:hanging="720"/>
        <w:rPr>
          <w:sz w:val="26"/>
          <w:szCs w:val="26"/>
        </w:rPr>
      </w:pPr>
      <w:r>
        <w:rPr>
          <w:sz w:val="26"/>
          <w:szCs w:val="26"/>
        </w:rPr>
        <w:tab/>
        <w:t>Docket No. M-</w:t>
      </w:r>
      <w:r w:rsidR="006F2D71">
        <w:rPr>
          <w:sz w:val="26"/>
          <w:szCs w:val="26"/>
        </w:rPr>
        <w:t>00051865</w:t>
      </w:r>
    </w:p>
    <w:p w:rsidR="00C90506" w:rsidRPr="00BE4A72" w:rsidRDefault="00C90506" w:rsidP="009E40EC">
      <w:pPr>
        <w:rPr>
          <w:sz w:val="26"/>
          <w:szCs w:val="26"/>
        </w:rPr>
      </w:pPr>
    </w:p>
    <w:p w:rsidR="00A20C12" w:rsidRDefault="0000221E" w:rsidP="000E4437">
      <w:pPr>
        <w:rPr>
          <w:sz w:val="26"/>
          <w:szCs w:val="26"/>
        </w:rPr>
      </w:pPr>
      <w:r>
        <w:rPr>
          <w:sz w:val="26"/>
          <w:szCs w:val="26"/>
        </w:rPr>
        <w:tab/>
      </w:r>
      <w:r w:rsidR="00026B9B">
        <w:rPr>
          <w:sz w:val="26"/>
          <w:szCs w:val="26"/>
        </w:rPr>
        <w:t xml:space="preserve">On </w:t>
      </w:r>
      <w:r w:rsidR="006F2D71">
        <w:rPr>
          <w:sz w:val="26"/>
          <w:szCs w:val="26"/>
        </w:rPr>
        <w:t>November</w:t>
      </w:r>
      <w:r w:rsidR="00D933B0">
        <w:rPr>
          <w:sz w:val="26"/>
          <w:szCs w:val="26"/>
        </w:rPr>
        <w:t xml:space="preserve"> 1</w:t>
      </w:r>
      <w:r w:rsidR="006F2D71">
        <w:rPr>
          <w:sz w:val="26"/>
          <w:szCs w:val="26"/>
        </w:rPr>
        <w:t>9</w:t>
      </w:r>
      <w:r w:rsidR="00026B9B">
        <w:rPr>
          <w:sz w:val="26"/>
          <w:szCs w:val="26"/>
        </w:rPr>
        <w:t>, 20</w:t>
      </w:r>
      <w:r w:rsidR="00D933B0">
        <w:rPr>
          <w:sz w:val="26"/>
          <w:szCs w:val="26"/>
        </w:rPr>
        <w:t>1</w:t>
      </w:r>
      <w:r w:rsidR="00026B9B">
        <w:rPr>
          <w:sz w:val="26"/>
          <w:szCs w:val="26"/>
        </w:rPr>
        <w:t>0, the Pennsylvania Public Utility Commission (Commission) adopted</w:t>
      </w:r>
      <w:r w:rsidR="00F5640A">
        <w:rPr>
          <w:sz w:val="26"/>
          <w:szCs w:val="26"/>
        </w:rPr>
        <w:t xml:space="preserve"> a </w:t>
      </w:r>
      <w:r w:rsidR="006F2D71">
        <w:rPr>
          <w:sz w:val="26"/>
          <w:szCs w:val="26"/>
        </w:rPr>
        <w:t xml:space="preserve">Tentative Order </w:t>
      </w:r>
      <w:r w:rsidR="00665686">
        <w:rPr>
          <w:sz w:val="26"/>
          <w:szCs w:val="26"/>
        </w:rPr>
        <w:t>issuing</w:t>
      </w:r>
      <w:r w:rsidR="006F2D71">
        <w:rPr>
          <w:sz w:val="26"/>
          <w:szCs w:val="26"/>
        </w:rPr>
        <w:t xml:space="preserve"> the proposed 2011 Technical Reference Manual </w:t>
      </w:r>
      <w:r w:rsidR="00E26FA2">
        <w:rPr>
          <w:sz w:val="26"/>
          <w:szCs w:val="26"/>
        </w:rPr>
        <w:t xml:space="preserve">(TRM) </w:t>
      </w:r>
      <w:r w:rsidR="006F2D71">
        <w:rPr>
          <w:sz w:val="26"/>
          <w:szCs w:val="26"/>
        </w:rPr>
        <w:t xml:space="preserve">update for comment.  </w:t>
      </w:r>
      <w:r w:rsidR="0096629A">
        <w:rPr>
          <w:sz w:val="26"/>
          <w:szCs w:val="26"/>
        </w:rPr>
        <w:t xml:space="preserve">The Tentative Order and Proposed 2011 </w:t>
      </w:r>
      <w:r w:rsidR="00E26FA2">
        <w:rPr>
          <w:sz w:val="26"/>
          <w:szCs w:val="26"/>
        </w:rPr>
        <w:t>TRM</w:t>
      </w:r>
      <w:r w:rsidR="0096629A">
        <w:rPr>
          <w:sz w:val="26"/>
          <w:szCs w:val="26"/>
        </w:rPr>
        <w:t xml:space="preserve"> update are posted on the Commission’s website at:  </w:t>
      </w:r>
      <w:hyperlink r:id="rId9" w:history="1">
        <w:r w:rsidR="0096629A" w:rsidRPr="002445A4">
          <w:rPr>
            <w:rStyle w:val="Hyperlink"/>
            <w:sz w:val="26"/>
            <w:szCs w:val="26"/>
          </w:rPr>
          <w:t>http://www.puc.state.pa.us/electric/Act129/TRM.aspx</w:t>
        </w:r>
      </w:hyperlink>
      <w:r w:rsidR="0096629A">
        <w:rPr>
          <w:sz w:val="26"/>
          <w:szCs w:val="26"/>
        </w:rPr>
        <w:t>.</w:t>
      </w:r>
    </w:p>
    <w:p w:rsidR="0096629A" w:rsidRDefault="0096629A" w:rsidP="000E4437">
      <w:pPr>
        <w:rPr>
          <w:sz w:val="26"/>
          <w:szCs w:val="26"/>
        </w:rPr>
      </w:pPr>
    </w:p>
    <w:p w:rsidR="0096629A" w:rsidRDefault="0096629A" w:rsidP="000E4437">
      <w:pPr>
        <w:rPr>
          <w:sz w:val="26"/>
          <w:szCs w:val="26"/>
        </w:rPr>
      </w:pPr>
      <w:r>
        <w:rPr>
          <w:sz w:val="26"/>
          <w:szCs w:val="26"/>
        </w:rPr>
        <w:tab/>
        <w:t xml:space="preserve">Enclosed please find Errata to the Proposed 2011 </w:t>
      </w:r>
      <w:r w:rsidR="00E26FA2">
        <w:rPr>
          <w:sz w:val="26"/>
          <w:szCs w:val="26"/>
        </w:rPr>
        <w:t>TRM</w:t>
      </w:r>
      <w:r>
        <w:rPr>
          <w:sz w:val="26"/>
          <w:szCs w:val="26"/>
        </w:rPr>
        <w:t xml:space="preserve"> update.  Th</w:t>
      </w:r>
      <w:r w:rsidR="00A6651B">
        <w:rPr>
          <w:sz w:val="26"/>
          <w:szCs w:val="26"/>
        </w:rPr>
        <w:t>e</w:t>
      </w:r>
      <w:r>
        <w:rPr>
          <w:sz w:val="26"/>
          <w:szCs w:val="26"/>
        </w:rPr>
        <w:t xml:space="preserve"> Errata corrects an inconsistent value </w:t>
      </w:r>
      <w:r w:rsidR="00763FA1">
        <w:rPr>
          <w:sz w:val="26"/>
          <w:szCs w:val="26"/>
        </w:rPr>
        <w:t xml:space="preserve">and source reference </w:t>
      </w:r>
      <w:r>
        <w:rPr>
          <w:sz w:val="26"/>
          <w:szCs w:val="26"/>
        </w:rPr>
        <w:t xml:space="preserve">for </w:t>
      </w:r>
      <w:r w:rsidR="00763FA1">
        <w:rPr>
          <w:sz w:val="26"/>
          <w:szCs w:val="26"/>
        </w:rPr>
        <w:t xml:space="preserve">CFL hours of operation per day in Table 2-14: </w:t>
      </w:r>
      <w:r w:rsidR="00725127">
        <w:rPr>
          <w:sz w:val="26"/>
          <w:szCs w:val="26"/>
        </w:rPr>
        <w:t xml:space="preserve"> </w:t>
      </w:r>
      <w:r w:rsidR="00763FA1" w:rsidRPr="00A6651B">
        <w:rPr>
          <w:i/>
          <w:sz w:val="26"/>
          <w:szCs w:val="26"/>
        </w:rPr>
        <w:t>Calculating Assumptions</w:t>
      </w:r>
      <w:r w:rsidR="00763FA1">
        <w:rPr>
          <w:sz w:val="26"/>
          <w:szCs w:val="26"/>
        </w:rPr>
        <w:t xml:space="preserve">, under Section </w:t>
      </w:r>
      <w:r w:rsidR="00725127">
        <w:rPr>
          <w:sz w:val="26"/>
          <w:szCs w:val="26"/>
        </w:rPr>
        <w:t xml:space="preserve">2.7 Home Audit Conservation Kits on </w:t>
      </w:r>
      <w:r w:rsidR="00A6651B">
        <w:rPr>
          <w:sz w:val="26"/>
          <w:szCs w:val="26"/>
        </w:rPr>
        <w:t>p</w:t>
      </w:r>
      <w:r w:rsidR="00725127">
        <w:rPr>
          <w:sz w:val="26"/>
          <w:szCs w:val="26"/>
        </w:rPr>
        <w:t>age 34</w:t>
      </w:r>
      <w:r w:rsidR="00665686">
        <w:rPr>
          <w:sz w:val="26"/>
          <w:szCs w:val="26"/>
        </w:rPr>
        <w:t xml:space="preserve"> of the Proposed 2011 TRM update</w:t>
      </w:r>
      <w:r w:rsidR="00725127">
        <w:rPr>
          <w:sz w:val="26"/>
          <w:szCs w:val="26"/>
        </w:rPr>
        <w:t xml:space="preserve">.  The Errata also corrects the source reference for CFL hours in Table 2-43:  </w:t>
      </w:r>
      <w:r w:rsidR="00725127" w:rsidRPr="00A6651B">
        <w:rPr>
          <w:i/>
          <w:sz w:val="26"/>
          <w:szCs w:val="26"/>
        </w:rPr>
        <w:t>ENERGY STAR Lighting – References</w:t>
      </w:r>
      <w:r w:rsidR="00725127">
        <w:rPr>
          <w:sz w:val="26"/>
          <w:szCs w:val="26"/>
        </w:rPr>
        <w:t xml:space="preserve">, under Section </w:t>
      </w:r>
      <w:r w:rsidR="001D3268">
        <w:rPr>
          <w:sz w:val="26"/>
          <w:szCs w:val="26"/>
        </w:rPr>
        <w:t xml:space="preserve">2.26 ENERGY STAR </w:t>
      </w:r>
      <w:proofErr w:type="gramStart"/>
      <w:r w:rsidR="001D3268">
        <w:rPr>
          <w:sz w:val="26"/>
          <w:szCs w:val="26"/>
        </w:rPr>
        <w:t>Lighting</w:t>
      </w:r>
      <w:proofErr w:type="gramEnd"/>
      <w:r w:rsidR="001D3268">
        <w:rPr>
          <w:sz w:val="26"/>
          <w:szCs w:val="26"/>
        </w:rPr>
        <w:t xml:space="preserve"> on pages 104 and 105</w:t>
      </w:r>
      <w:r w:rsidR="00665686">
        <w:rPr>
          <w:sz w:val="26"/>
          <w:szCs w:val="26"/>
        </w:rPr>
        <w:t xml:space="preserve"> of the Proposed 2011 TRM update</w:t>
      </w:r>
      <w:r w:rsidR="001D3268">
        <w:rPr>
          <w:sz w:val="26"/>
          <w:szCs w:val="26"/>
        </w:rPr>
        <w:t>.</w:t>
      </w:r>
    </w:p>
    <w:p w:rsidR="001D3268" w:rsidRDefault="001D3268" w:rsidP="000E4437">
      <w:pPr>
        <w:rPr>
          <w:sz w:val="26"/>
          <w:szCs w:val="26"/>
        </w:rPr>
      </w:pPr>
    </w:p>
    <w:p w:rsidR="001D3268" w:rsidRDefault="001D3268" w:rsidP="000E4437">
      <w:pPr>
        <w:rPr>
          <w:sz w:val="26"/>
          <w:szCs w:val="26"/>
        </w:rPr>
      </w:pPr>
      <w:r>
        <w:rPr>
          <w:sz w:val="26"/>
          <w:szCs w:val="26"/>
        </w:rPr>
        <w:tab/>
        <w:t>A copy of this letter and the enclosed Errata pages, along with a redlined version of the Errata</w:t>
      </w:r>
      <w:r w:rsidR="00A6651B">
        <w:rPr>
          <w:sz w:val="26"/>
          <w:szCs w:val="26"/>
        </w:rPr>
        <w:t>,</w:t>
      </w:r>
      <w:r>
        <w:rPr>
          <w:sz w:val="26"/>
          <w:szCs w:val="26"/>
        </w:rPr>
        <w:t xml:space="preserve"> will be posted on the Commission’s website at the above-referenced web address.  </w:t>
      </w:r>
      <w:r w:rsidR="006565E9">
        <w:rPr>
          <w:sz w:val="26"/>
          <w:szCs w:val="26"/>
        </w:rPr>
        <w:t xml:space="preserve">The Proposed 2011 </w:t>
      </w:r>
      <w:r w:rsidR="00E26FA2">
        <w:rPr>
          <w:sz w:val="26"/>
          <w:szCs w:val="26"/>
        </w:rPr>
        <w:t>TRM</w:t>
      </w:r>
      <w:r w:rsidR="006565E9">
        <w:rPr>
          <w:sz w:val="26"/>
          <w:szCs w:val="26"/>
        </w:rPr>
        <w:t xml:space="preserve"> update posted on the Commission’s website has been corrected.  </w:t>
      </w:r>
    </w:p>
    <w:p w:rsidR="006565E9" w:rsidRDefault="006565E9" w:rsidP="000E4437">
      <w:pPr>
        <w:rPr>
          <w:sz w:val="26"/>
          <w:szCs w:val="26"/>
        </w:rPr>
      </w:pPr>
    </w:p>
    <w:p w:rsidR="006565E9" w:rsidRDefault="006565E9" w:rsidP="000E4437">
      <w:pPr>
        <w:rPr>
          <w:sz w:val="26"/>
          <w:szCs w:val="26"/>
        </w:rPr>
      </w:pPr>
      <w:r>
        <w:rPr>
          <w:sz w:val="26"/>
          <w:szCs w:val="26"/>
        </w:rPr>
        <w:tab/>
        <w:t xml:space="preserve">The contact person for technical issues related to </w:t>
      </w:r>
      <w:r w:rsidR="00E26FA2">
        <w:rPr>
          <w:sz w:val="26"/>
          <w:szCs w:val="26"/>
        </w:rPr>
        <w:t xml:space="preserve">the proposed 2011 version of the TRM is Gregory A. Shawley, at 717-787-5369 or </w:t>
      </w:r>
      <w:hyperlink r:id="rId10" w:history="1">
        <w:r w:rsidR="00E26FA2" w:rsidRPr="002445A4">
          <w:rPr>
            <w:rStyle w:val="Hyperlink"/>
            <w:sz w:val="26"/>
            <w:szCs w:val="26"/>
          </w:rPr>
          <w:t>gshawley@state.pa.us</w:t>
        </w:r>
      </w:hyperlink>
      <w:r w:rsidR="00E26FA2">
        <w:rPr>
          <w:sz w:val="26"/>
          <w:szCs w:val="26"/>
        </w:rPr>
        <w:t xml:space="preserve">.  The contact person for legal and process issues related to </w:t>
      </w:r>
      <w:r w:rsidR="000A0B57">
        <w:rPr>
          <w:sz w:val="26"/>
          <w:szCs w:val="26"/>
        </w:rPr>
        <w:t xml:space="preserve">the proposed 2011 version of the TRM is Kriss Brown at 717-787-4518 or </w:t>
      </w:r>
      <w:hyperlink r:id="rId11" w:history="1">
        <w:r w:rsidR="000A0B57" w:rsidRPr="002445A4">
          <w:rPr>
            <w:rStyle w:val="Hyperlink"/>
            <w:sz w:val="26"/>
            <w:szCs w:val="26"/>
          </w:rPr>
          <w:t>kribrown@state.pa.us</w:t>
        </w:r>
      </w:hyperlink>
      <w:r w:rsidR="000A0B57">
        <w:rPr>
          <w:sz w:val="26"/>
          <w:szCs w:val="26"/>
        </w:rPr>
        <w:t xml:space="preserve">.  </w:t>
      </w:r>
    </w:p>
    <w:p w:rsidR="006768AE" w:rsidRPr="00A20C12" w:rsidRDefault="007B6949" w:rsidP="006768AE">
      <w:pPr>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2209800</wp:posOffset>
            </wp:positionH>
            <wp:positionV relativeFrom="paragraph">
              <wp:posOffset>111125</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E4A72" w:rsidRPr="00BE4A72" w:rsidRDefault="00BE4A72" w:rsidP="00BE4A72">
      <w:pPr>
        <w:ind w:left="3600"/>
        <w:rPr>
          <w:sz w:val="26"/>
          <w:szCs w:val="26"/>
        </w:rPr>
      </w:pPr>
      <w:r w:rsidRPr="00BE4A72">
        <w:rPr>
          <w:sz w:val="26"/>
          <w:szCs w:val="26"/>
        </w:rPr>
        <w:tab/>
        <w:t>Sincerely,</w:t>
      </w:r>
    </w:p>
    <w:p w:rsidR="00BE4A72" w:rsidRPr="002B37D7" w:rsidRDefault="00BE4A72" w:rsidP="00BE4A72">
      <w:pPr>
        <w:ind w:left="3600"/>
        <w:rPr>
          <w:sz w:val="26"/>
          <w:szCs w:val="26"/>
        </w:rPr>
      </w:pPr>
    </w:p>
    <w:p w:rsidR="00BE4A72" w:rsidRPr="002B37D7" w:rsidRDefault="00BE4A72" w:rsidP="00BE4A72">
      <w:pPr>
        <w:ind w:left="3600"/>
        <w:rPr>
          <w:sz w:val="26"/>
          <w:szCs w:val="26"/>
        </w:rPr>
      </w:pPr>
    </w:p>
    <w:p w:rsidR="002B37D7" w:rsidRPr="002B37D7" w:rsidRDefault="00C77F29" w:rsidP="002B37D7">
      <w:pPr>
        <w:jc w:val="both"/>
        <w:rPr>
          <w:color w:val="000000"/>
          <w:sz w:val="26"/>
          <w:szCs w:val="26"/>
        </w:rPr>
      </w:pPr>
      <w:r w:rsidRPr="002B37D7">
        <w:rPr>
          <w:sz w:val="26"/>
          <w:szCs w:val="26"/>
        </w:rPr>
        <w:tab/>
      </w:r>
      <w:r w:rsidR="002B37D7" w:rsidRPr="002B37D7">
        <w:rPr>
          <w:sz w:val="26"/>
          <w:szCs w:val="26"/>
        </w:rPr>
        <w:tab/>
      </w:r>
      <w:r w:rsidR="002B37D7" w:rsidRPr="002B37D7">
        <w:rPr>
          <w:sz w:val="26"/>
          <w:szCs w:val="26"/>
        </w:rPr>
        <w:tab/>
      </w:r>
      <w:r w:rsidR="002B37D7" w:rsidRPr="002B37D7">
        <w:rPr>
          <w:sz w:val="26"/>
          <w:szCs w:val="26"/>
        </w:rPr>
        <w:tab/>
      </w:r>
      <w:r w:rsidR="002B37D7" w:rsidRPr="002B37D7">
        <w:rPr>
          <w:sz w:val="26"/>
          <w:szCs w:val="26"/>
        </w:rPr>
        <w:tab/>
      </w:r>
      <w:r w:rsidR="002B37D7" w:rsidRPr="002B37D7">
        <w:rPr>
          <w:sz w:val="26"/>
          <w:szCs w:val="26"/>
        </w:rPr>
        <w:tab/>
      </w:r>
      <w:r w:rsidR="002B37D7" w:rsidRPr="002B37D7">
        <w:rPr>
          <w:color w:val="000000"/>
          <w:sz w:val="26"/>
          <w:szCs w:val="26"/>
        </w:rPr>
        <w:t>Rosemary Chiavetta</w:t>
      </w:r>
    </w:p>
    <w:p w:rsidR="00C77F29" w:rsidRDefault="002B37D7" w:rsidP="000A0B57">
      <w:pPr>
        <w:jc w:val="both"/>
        <w:rPr>
          <w:color w:val="000000"/>
          <w:sz w:val="26"/>
          <w:szCs w:val="26"/>
        </w:rPr>
      </w:pPr>
      <w:r w:rsidRPr="002B37D7">
        <w:rPr>
          <w:color w:val="000000"/>
          <w:sz w:val="26"/>
          <w:szCs w:val="26"/>
        </w:rPr>
        <w:tab/>
      </w:r>
      <w:r w:rsidRPr="002B37D7">
        <w:rPr>
          <w:color w:val="000000"/>
          <w:sz w:val="26"/>
          <w:szCs w:val="26"/>
        </w:rPr>
        <w:tab/>
      </w:r>
      <w:r w:rsidRPr="002B37D7">
        <w:rPr>
          <w:color w:val="000000"/>
          <w:sz w:val="26"/>
          <w:szCs w:val="26"/>
        </w:rPr>
        <w:tab/>
      </w:r>
      <w:r w:rsidRPr="002B37D7">
        <w:rPr>
          <w:color w:val="000000"/>
          <w:sz w:val="26"/>
          <w:szCs w:val="26"/>
        </w:rPr>
        <w:tab/>
      </w:r>
      <w:r w:rsidRPr="002B37D7">
        <w:rPr>
          <w:color w:val="000000"/>
          <w:sz w:val="26"/>
          <w:szCs w:val="26"/>
        </w:rPr>
        <w:tab/>
      </w:r>
      <w:r w:rsidRPr="002B37D7">
        <w:rPr>
          <w:color w:val="000000"/>
          <w:sz w:val="26"/>
          <w:szCs w:val="26"/>
        </w:rPr>
        <w:tab/>
        <w:t>Secretary</w:t>
      </w:r>
    </w:p>
    <w:p w:rsidR="00EE6D92" w:rsidRDefault="00EE6D92" w:rsidP="000A0B57">
      <w:pPr>
        <w:jc w:val="both"/>
        <w:rPr>
          <w:sz w:val="26"/>
          <w:szCs w:val="26"/>
        </w:rPr>
        <w:sectPr w:rsidR="00EE6D92" w:rsidSect="003150CE">
          <w:footerReference w:type="even" r:id="rId13"/>
          <w:footerReference w:type="default" r:id="rId14"/>
          <w:pgSz w:w="12240" w:h="15840"/>
          <w:pgMar w:top="504" w:right="1440" w:bottom="1440" w:left="1440" w:header="720" w:footer="720" w:gutter="0"/>
          <w:cols w:space="720"/>
          <w:docGrid w:linePitch="272"/>
        </w:sectPr>
      </w:pPr>
    </w:p>
    <w:p w:rsidR="00180535" w:rsidRDefault="00180535" w:rsidP="00180535">
      <w:pPr>
        <w:pStyle w:val="Caption"/>
      </w:pPr>
      <w:bookmarkStart w:id="0" w:name="_Ref274915498"/>
      <w:bookmarkStart w:id="1" w:name="_Toc276994853"/>
      <w:r>
        <w:lastRenderedPageBreak/>
        <w:t xml:space="preserve">Table </w:t>
      </w:r>
      <w:r w:rsidR="00585A5E">
        <w:fldChar w:fldCharType="begin"/>
      </w:r>
      <w:r w:rsidR="00585A5E">
        <w:instrText xml:space="preserve"> STYLEREF 1 \s </w:instrText>
      </w:r>
      <w:r w:rsidR="00585A5E">
        <w:fldChar w:fldCharType="separate"/>
      </w:r>
      <w:r w:rsidR="007B6949">
        <w:rPr>
          <w:b w:val="0"/>
          <w:bCs w:val="0"/>
          <w:noProof/>
        </w:rPr>
        <w:t>Error! No text of specified style in document.</w:t>
      </w:r>
      <w:r w:rsidR="00585A5E">
        <w:fldChar w:fldCharType="end"/>
      </w:r>
      <w:r>
        <w:noBreakHyphen/>
      </w:r>
      <w:fldSimple w:instr=" SEQ Table \* ARABIC \s 1 ">
        <w:r w:rsidR="007B6949">
          <w:rPr>
            <w:noProof/>
          </w:rPr>
          <w:t>1</w:t>
        </w:r>
      </w:fldSimple>
      <w:bookmarkEnd w:id="0"/>
      <w:r>
        <w:t xml:space="preserve">: </w:t>
      </w:r>
      <w:r w:rsidRPr="001E691D">
        <w:t>Calculation Assumptions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7"/>
        <w:gridCol w:w="1655"/>
        <w:gridCol w:w="2744"/>
      </w:tblGrid>
      <w:tr w:rsidR="00180535" w:rsidRPr="00E41CEA" w:rsidTr="00633FC7">
        <w:trPr>
          <w:tblHeader/>
        </w:trPr>
        <w:tc>
          <w:tcPr>
            <w:tcW w:w="2703" w:type="pct"/>
            <w:shd w:val="clear" w:color="auto" w:fill="BFBFBF"/>
          </w:tcPr>
          <w:p w:rsidR="00180535" w:rsidRPr="006E0899" w:rsidRDefault="00180535" w:rsidP="00633FC7">
            <w:pPr>
              <w:pStyle w:val="TableCell"/>
              <w:spacing w:before="60" w:after="60"/>
              <w:rPr>
                <w:b/>
              </w:rPr>
            </w:pPr>
            <w:r w:rsidRPr="006E0899">
              <w:rPr>
                <w:b/>
              </w:rPr>
              <w:t>Component</w:t>
            </w:r>
          </w:p>
        </w:tc>
        <w:tc>
          <w:tcPr>
            <w:tcW w:w="864" w:type="pct"/>
            <w:shd w:val="clear" w:color="auto" w:fill="BFBFBF"/>
          </w:tcPr>
          <w:p w:rsidR="00180535" w:rsidRPr="006E0899" w:rsidRDefault="00180535" w:rsidP="00633FC7">
            <w:pPr>
              <w:pStyle w:val="TableCell"/>
              <w:spacing w:before="60" w:after="60"/>
              <w:rPr>
                <w:b/>
              </w:rPr>
            </w:pPr>
            <w:r w:rsidRPr="006E0899">
              <w:rPr>
                <w:b/>
              </w:rPr>
              <w:t>Value</w:t>
            </w:r>
          </w:p>
        </w:tc>
        <w:tc>
          <w:tcPr>
            <w:tcW w:w="1433" w:type="pct"/>
            <w:shd w:val="clear" w:color="auto" w:fill="BFBFBF"/>
          </w:tcPr>
          <w:p w:rsidR="00180535" w:rsidRPr="006E0899" w:rsidRDefault="00180535" w:rsidP="00633FC7">
            <w:pPr>
              <w:pStyle w:val="TableCell"/>
              <w:spacing w:before="60" w:after="60"/>
              <w:rPr>
                <w:b/>
              </w:rPr>
            </w:pPr>
            <w:r w:rsidRPr="006E0899">
              <w:rPr>
                <w:b/>
              </w:rPr>
              <w:t xml:space="preserve">Source     </w:t>
            </w:r>
          </w:p>
        </w:tc>
      </w:tr>
      <w:tr w:rsidR="00180535" w:rsidRPr="00E41CEA" w:rsidTr="00633FC7">
        <w:tc>
          <w:tcPr>
            <w:tcW w:w="2703" w:type="pct"/>
          </w:tcPr>
          <w:p w:rsidR="00180535" w:rsidRPr="005550BB" w:rsidRDefault="00180535" w:rsidP="00633FC7">
            <w:pPr>
              <w:pStyle w:val="TableCell"/>
              <w:spacing w:before="60" w:after="60"/>
            </w:pPr>
            <w:r w:rsidRPr="005550BB">
              <w:t>N</w:t>
            </w:r>
            <w:r w:rsidRPr="006E0899">
              <w:rPr>
                <w:vertAlign w:val="subscript"/>
              </w:rPr>
              <w:t>CFL</w:t>
            </w:r>
            <w:r w:rsidRPr="005550BB">
              <w:t>: Number of CFLs per kit</w:t>
            </w:r>
          </w:p>
        </w:tc>
        <w:tc>
          <w:tcPr>
            <w:tcW w:w="864" w:type="pct"/>
          </w:tcPr>
          <w:p w:rsidR="00180535" w:rsidRDefault="00180535" w:rsidP="00633FC7">
            <w:pPr>
              <w:pStyle w:val="TableCell"/>
              <w:spacing w:before="60" w:after="60"/>
            </w:pPr>
            <w:r>
              <w:t>4</w:t>
            </w:r>
          </w:p>
        </w:tc>
        <w:tc>
          <w:tcPr>
            <w:tcW w:w="1433" w:type="pct"/>
          </w:tcPr>
          <w:p w:rsidR="00180535" w:rsidRDefault="00180535" w:rsidP="00633FC7">
            <w:pPr>
              <w:pStyle w:val="TableCell"/>
              <w:spacing w:before="60" w:after="60"/>
            </w:pPr>
            <w:r>
              <w:t>Program design</w:t>
            </w:r>
            <w:r>
              <w:rPr>
                <w:rStyle w:val="FootnoteReference"/>
              </w:rPr>
              <w:footnoteReference w:id="1"/>
            </w:r>
          </w:p>
        </w:tc>
      </w:tr>
      <w:tr w:rsidR="00180535" w:rsidRPr="00E41CEA" w:rsidTr="00633FC7">
        <w:tc>
          <w:tcPr>
            <w:tcW w:w="2703" w:type="pct"/>
          </w:tcPr>
          <w:p w:rsidR="00180535" w:rsidRPr="005550BB" w:rsidRDefault="00180535" w:rsidP="00633FC7">
            <w:pPr>
              <w:pStyle w:val="TableCell"/>
              <w:spacing w:before="60" w:after="60"/>
            </w:pPr>
            <w:proofErr w:type="spellStart"/>
            <w:r w:rsidRPr="005550BB">
              <w:t>CFL</w:t>
            </w:r>
            <w:r w:rsidRPr="006E0899">
              <w:rPr>
                <w:vertAlign w:val="subscript"/>
              </w:rPr>
              <w:t>Watts</w:t>
            </w:r>
            <w:proofErr w:type="spellEnd"/>
            <w:r w:rsidRPr="005550BB">
              <w:t xml:space="preserve">, Difference between supplanted and efficient </w:t>
            </w:r>
            <w:proofErr w:type="spellStart"/>
            <w:r w:rsidRPr="005550BB">
              <w:t>luminaire</w:t>
            </w:r>
            <w:proofErr w:type="spellEnd"/>
            <w:r w:rsidRPr="005550BB">
              <w:t xml:space="preserve"> wattage (W)</w:t>
            </w:r>
          </w:p>
        </w:tc>
        <w:tc>
          <w:tcPr>
            <w:tcW w:w="864" w:type="pct"/>
          </w:tcPr>
          <w:p w:rsidR="00180535" w:rsidRPr="00440194" w:rsidRDefault="00180535" w:rsidP="00633FC7">
            <w:pPr>
              <w:pStyle w:val="TableCell"/>
              <w:spacing w:before="60" w:after="60"/>
            </w:pPr>
            <w:r>
              <w:t>47</w:t>
            </w:r>
          </w:p>
        </w:tc>
        <w:tc>
          <w:tcPr>
            <w:tcW w:w="1433" w:type="pct"/>
          </w:tcPr>
          <w:p w:rsidR="00180535" w:rsidRPr="00440194" w:rsidRDefault="00180535" w:rsidP="00633FC7">
            <w:pPr>
              <w:pStyle w:val="TableCell"/>
              <w:spacing w:before="60" w:after="60"/>
            </w:pPr>
            <w:r>
              <w:t xml:space="preserve">Program Design </w:t>
            </w:r>
          </w:p>
        </w:tc>
      </w:tr>
      <w:tr w:rsidR="00180535" w:rsidRPr="002E4E52" w:rsidTr="00633FC7">
        <w:tc>
          <w:tcPr>
            <w:tcW w:w="2703" w:type="pct"/>
          </w:tcPr>
          <w:p w:rsidR="00180535" w:rsidRPr="005550BB" w:rsidRDefault="00180535" w:rsidP="00633FC7">
            <w:pPr>
              <w:pStyle w:val="TableCell"/>
              <w:spacing w:before="60" w:after="60"/>
            </w:pPr>
            <w:r w:rsidRPr="005550BB">
              <w:t>ISR , In Service Rate or Percentage of units rebated that actually get used</w:t>
            </w:r>
          </w:p>
        </w:tc>
        <w:tc>
          <w:tcPr>
            <w:tcW w:w="864" w:type="pct"/>
          </w:tcPr>
          <w:p w:rsidR="00180535" w:rsidRDefault="00180535" w:rsidP="00633FC7">
            <w:pPr>
              <w:pStyle w:val="TableCell"/>
              <w:spacing w:before="60" w:after="60"/>
            </w:pPr>
            <w:r>
              <w:t>variable</w:t>
            </w:r>
          </w:p>
        </w:tc>
        <w:tc>
          <w:tcPr>
            <w:tcW w:w="1433" w:type="pct"/>
          </w:tcPr>
          <w:p w:rsidR="00180535" w:rsidRPr="00440194" w:rsidRDefault="00180535" w:rsidP="00633FC7">
            <w:pPr>
              <w:pStyle w:val="TableCell"/>
              <w:spacing w:before="60" w:after="60"/>
            </w:pPr>
            <w:r>
              <w:t>EDC Data Gathering</w:t>
            </w:r>
          </w:p>
        </w:tc>
      </w:tr>
      <w:tr w:rsidR="00180535" w:rsidRPr="002E4E52" w:rsidTr="00633FC7">
        <w:tc>
          <w:tcPr>
            <w:tcW w:w="2703" w:type="pct"/>
          </w:tcPr>
          <w:p w:rsidR="00180535" w:rsidRPr="005550BB" w:rsidRDefault="00180535" w:rsidP="00633FC7">
            <w:pPr>
              <w:pStyle w:val="TableCell"/>
              <w:spacing w:before="60" w:after="60"/>
            </w:pPr>
            <w:proofErr w:type="spellStart"/>
            <w:r w:rsidRPr="005550BB">
              <w:t>CFL</w:t>
            </w:r>
            <w:r w:rsidRPr="006E0899">
              <w:rPr>
                <w:vertAlign w:val="subscript"/>
              </w:rPr>
              <w:t>hours</w:t>
            </w:r>
            <w:proofErr w:type="spellEnd"/>
            <w:r w:rsidRPr="005550BB">
              <w:t>, hours of operation per day</w:t>
            </w:r>
          </w:p>
        </w:tc>
        <w:tc>
          <w:tcPr>
            <w:tcW w:w="864" w:type="pct"/>
          </w:tcPr>
          <w:p w:rsidR="00180535" w:rsidRDefault="00180535" w:rsidP="00633FC7">
            <w:pPr>
              <w:pStyle w:val="TableCell"/>
              <w:spacing w:before="60" w:after="60"/>
            </w:pPr>
            <w:r>
              <w:t>1.9</w:t>
            </w:r>
          </w:p>
        </w:tc>
        <w:tc>
          <w:tcPr>
            <w:tcW w:w="1433" w:type="pct"/>
          </w:tcPr>
          <w:p w:rsidR="00180535" w:rsidRPr="00440194" w:rsidRDefault="00180535" w:rsidP="00633FC7">
            <w:pPr>
              <w:pStyle w:val="TableCell"/>
              <w:spacing w:before="60" w:after="60"/>
            </w:pPr>
            <w:r>
              <w:t>1</w:t>
            </w:r>
          </w:p>
        </w:tc>
      </w:tr>
      <w:tr w:rsidR="00180535" w:rsidRPr="002E4E52" w:rsidTr="00633FC7">
        <w:tc>
          <w:tcPr>
            <w:tcW w:w="2703" w:type="pct"/>
          </w:tcPr>
          <w:p w:rsidR="00180535" w:rsidRPr="005550BB" w:rsidRDefault="00180535" w:rsidP="00633FC7">
            <w:pPr>
              <w:pStyle w:val="TableCell"/>
              <w:spacing w:before="60" w:after="60"/>
            </w:pPr>
            <w:r w:rsidRPr="005550BB">
              <w:t>CF , CFL  Summer Demand Coincidence Factor</w:t>
            </w:r>
          </w:p>
        </w:tc>
        <w:tc>
          <w:tcPr>
            <w:tcW w:w="864" w:type="pct"/>
          </w:tcPr>
          <w:p w:rsidR="00180535" w:rsidRDefault="00180535" w:rsidP="00633FC7">
            <w:pPr>
              <w:pStyle w:val="TableCell"/>
              <w:spacing w:before="60" w:after="60"/>
            </w:pPr>
            <w:r>
              <w:t>0.05</w:t>
            </w:r>
          </w:p>
        </w:tc>
        <w:tc>
          <w:tcPr>
            <w:tcW w:w="1433" w:type="pct"/>
          </w:tcPr>
          <w:p w:rsidR="00180535" w:rsidRPr="00440194" w:rsidRDefault="00180535" w:rsidP="00633FC7">
            <w:pPr>
              <w:pStyle w:val="TableCell"/>
              <w:spacing w:before="60" w:after="60"/>
            </w:pPr>
            <w:r>
              <w:t>PA TRM Table 4-3</w:t>
            </w:r>
          </w:p>
        </w:tc>
      </w:tr>
      <w:tr w:rsidR="00180535" w:rsidRPr="002E4E52" w:rsidTr="00633FC7">
        <w:tc>
          <w:tcPr>
            <w:tcW w:w="2703" w:type="pct"/>
          </w:tcPr>
          <w:p w:rsidR="00180535" w:rsidRPr="003337F7" w:rsidRDefault="00180535" w:rsidP="00633FC7">
            <w:pPr>
              <w:pStyle w:val="TableCell"/>
              <w:spacing w:before="60" w:after="60"/>
            </w:pPr>
            <w:proofErr w:type="spellStart"/>
            <w:r>
              <w:t>N</w:t>
            </w:r>
            <w:r w:rsidRPr="006E0899">
              <w:rPr>
                <w:vertAlign w:val="subscript"/>
              </w:rPr>
              <w:t>Aerator</w:t>
            </w:r>
            <w:proofErr w:type="spellEnd"/>
            <w:r>
              <w:t>: Number of faucet aerators per kit</w:t>
            </w:r>
          </w:p>
        </w:tc>
        <w:tc>
          <w:tcPr>
            <w:tcW w:w="864" w:type="pct"/>
          </w:tcPr>
          <w:p w:rsidR="00180535" w:rsidRDefault="00180535" w:rsidP="00633FC7">
            <w:pPr>
              <w:pStyle w:val="TableCell"/>
              <w:spacing w:before="60" w:after="60"/>
            </w:pPr>
            <w:r>
              <w:t>4</w:t>
            </w:r>
          </w:p>
        </w:tc>
        <w:tc>
          <w:tcPr>
            <w:tcW w:w="1433" w:type="pct"/>
          </w:tcPr>
          <w:p w:rsidR="00180535" w:rsidRDefault="00180535" w:rsidP="00633FC7">
            <w:pPr>
              <w:pStyle w:val="TableCell"/>
              <w:spacing w:before="60" w:after="60"/>
            </w:pPr>
            <w:r>
              <w:t>Program design</w:t>
            </w:r>
          </w:p>
        </w:tc>
      </w:tr>
      <w:tr w:rsidR="00180535" w:rsidRPr="002E4E52" w:rsidTr="00633FC7">
        <w:tc>
          <w:tcPr>
            <w:tcW w:w="2703" w:type="pct"/>
          </w:tcPr>
          <w:p w:rsidR="00180535" w:rsidRPr="005550BB" w:rsidRDefault="00180535" w:rsidP="00633FC7">
            <w:pPr>
              <w:pStyle w:val="TableCell"/>
              <w:spacing w:before="60" w:after="60"/>
            </w:pPr>
            <w:proofErr w:type="spellStart"/>
            <w:r>
              <w:t>N</w:t>
            </w:r>
            <w:r w:rsidRPr="006E0899">
              <w:rPr>
                <w:vertAlign w:val="subscript"/>
              </w:rPr>
              <w:t>SmartStrip</w:t>
            </w:r>
            <w:proofErr w:type="spellEnd"/>
            <w:r>
              <w:t>: Number of Smart Strips per kit</w:t>
            </w:r>
          </w:p>
        </w:tc>
        <w:tc>
          <w:tcPr>
            <w:tcW w:w="864" w:type="pct"/>
          </w:tcPr>
          <w:p w:rsidR="00180535" w:rsidRDefault="00180535" w:rsidP="00633FC7">
            <w:pPr>
              <w:pStyle w:val="TableCell"/>
              <w:spacing w:before="60" w:after="60"/>
            </w:pPr>
            <w:r>
              <w:t>2</w:t>
            </w:r>
          </w:p>
        </w:tc>
        <w:tc>
          <w:tcPr>
            <w:tcW w:w="1433" w:type="pct"/>
          </w:tcPr>
          <w:p w:rsidR="00180535" w:rsidRDefault="00180535" w:rsidP="00633FC7">
            <w:pPr>
              <w:pStyle w:val="TableCell"/>
              <w:spacing w:before="60" w:after="60"/>
            </w:pPr>
            <w:r>
              <w:t>Program design</w:t>
            </w:r>
          </w:p>
        </w:tc>
      </w:tr>
      <w:tr w:rsidR="00180535" w:rsidRPr="002E4E52" w:rsidTr="00633FC7">
        <w:tc>
          <w:tcPr>
            <w:tcW w:w="2703" w:type="pct"/>
          </w:tcPr>
          <w:p w:rsidR="00180535" w:rsidRPr="005550BB" w:rsidRDefault="00180535" w:rsidP="00633FC7">
            <w:pPr>
              <w:pStyle w:val="TableCell"/>
              <w:spacing w:before="60" w:after="60"/>
            </w:pPr>
            <w:proofErr w:type="spellStart"/>
            <w:r>
              <w:t>Savings</w:t>
            </w:r>
            <w:r w:rsidRPr="006E0899">
              <w:rPr>
                <w:vertAlign w:val="subscript"/>
              </w:rPr>
              <w:t>Aerator</w:t>
            </w:r>
            <w:proofErr w:type="spellEnd"/>
            <w:r w:rsidRPr="006E0899">
              <w:rPr>
                <w:vertAlign w:val="subscript"/>
              </w:rPr>
              <w:t xml:space="preserve"> </w:t>
            </w:r>
            <w:r w:rsidRPr="003337F7">
              <w:t>(kWh)</w:t>
            </w:r>
          </w:p>
        </w:tc>
        <w:tc>
          <w:tcPr>
            <w:tcW w:w="864" w:type="pct"/>
          </w:tcPr>
          <w:p w:rsidR="00180535" w:rsidRDefault="00180535" w:rsidP="00633FC7">
            <w:pPr>
              <w:pStyle w:val="TableCell"/>
              <w:spacing w:before="60" w:after="60"/>
            </w:pPr>
            <w:r>
              <w:t>61</w:t>
            </w:r>
          </w:p>
        </w:tc>
        <w:tc>
          <w:tcPr>
            <w:tcW w:w="1433" w:type="pct"/>
          </w:tcPr>
          <w:p w:rsidR="00180535" w:rsidRDefault="00180535" w:rsidP="00633FC7">
            <w:pPr>
              <w:pStyle w:val="TableCell"/>
              <w:spacing w:before="60" w:after="60"/>
            </w:pPr>
            <w:r>
              <w:t>FE Interim TRM</w:t>
            </w:r>
          </w:p>
        </w:tc>
      </w:tr>
      <w:tr w:rsidR="00180535" w:rsidRPr="002E4E52" w:rsidTr="00633FC7">
        <w:tc>
          <w:tcPr>
            <w:tcW w:w="2703" w:type="pct"/>
          </w:tcPr>
          <w:p w:rsidR="00180535" w:rsidRDefault="00180535" w:rsidP="00633FC7">
            <w:pPr>
              <w:pStyle w:val="TableCell"/>
              <w:spacing w:before="60" w:after="60"/>
            </w:pPr>
            <w:proofErr w:type="spellStart"/>
            <w:r>
              <w:t>DemandReduction</w:t>
            </w:r>
            <w:r w:rsidRPr="006E0899">
              <w:rPr>
                <w:vertAlign w:val="subscript"/>
              </w:rPr>
              <w:t>Aerator</w:t>
            </w:r>
            <w:proofErr w:type="spellEnd"/>
            <w:r w:rsidRPr="006E0899">
              <w:rPr>
                <w:vertAlign w:val="subscript"/>
              </w:rPr>
              <w:t xml:space="preserve"> </w:t>
            </w:r>
            <w:r w:rsidRPr="003337F7">
              <w:t>(kW)</w:t>
            </w:r>
          </w:p>
        </w:tc>
        <w:tc>
          <w:tcPr>
            <w:tcW w:w="864" w:type="pct"/>
          </w:tcPr>
          <w:p w:rsidR="00180535" w:rsidRDefault="00180535" w:rsidP="00633FC7">
            <w:pPr>
              <w:pStyle w:val="TableCell"/>
              <w:spacing w:before="60" w:after="60"/>
            </w:pPr>
            <w:r>
              <w:t>.006</w:t>
            </w:r>
          </w:p>
        </w:tc>
        <w:tc>
          <w:tcPr>
            <w:tcW w:w="1433" w:type="pct"/>
          </w:tcPr>
          <w:p w:rsidR="00180535" w:rsidRDefault="00180535" w:rsidP="00633FC7">
            <w:pPr>
              <w:pStyle w:val="TableCell"/>
              <w:spacing w:before="60" w:after="60"/>
            </w:pPr>
            <w:r>
              <w:t>FE Interim TRM</w:t>
            </w:r>
          </w:p>
        </w:tc>
      </w:tr>
      <w:tr w:rsidR="00180535" w:rsidRPr="002E4E52" w:rsidTr="00633FC7">
        <w:tc>
          <w:tcPr>
            <w:tcW w:w="2703" w:type="pct"/>
          </w:tcPr>
          <w:p w:rsidR="00180535" w:rsidRPr="005550BB" w:rsidRDefault="00180535" w:rsidP="00633FC7">
            <w:pPr>
              <w:pStyle w:val="TableCell"/>
              <w:spacing w:before="60" w:after="60"/>
            </w:pPr>
            <w:proofErr w:type="spellStart"/>
            <w:r w:rsidRPr="00D40170">
              <w:t>ISR</w:t>
            </w:r>
            <w:r w:rsidRPr="006E0899">
              <w:rPr>
                <w:vertAlign w:val="subscript"/>
              </w:rPr>
              <w:t>Aerator</w:t>
            </w:r>
            <w:proofErr w:type="spellEnd"/>
          </w:p>
        </w:tc>
        <w:tc>
          <w:tcPr>
            <w:tcW w:w="864" w:type="pct"/>
          </w:tcPr>
          <w:p w:rsidR="00180535" w:rsidRDefault="00180535" w:rsidP="00633FC7">
            <w:pPr>
              <w:pStyle w:val="TableCell"/>
              <w:spacing w:before="60" w:after="60"/>
            </w:pPr>
            <w:r>
              <w:t>variable</w:t>
            </w:r>
          </w:p>
        </w:tc>
        <w:tc>
          <w:tcPr>
            <w:tcW w:w="1433" w:type="pct"/>
          </w:tcPr>
          <w:p w:rsidR="00180535" w:rsidRDefault="00180535" w:rsidP="00633FC7">
            <w:pPr>
              <w:pStyle w:val="TableCell"/>
              <w:spacing w:before="60" w:after="60"/>
            </w:pPr>
            <w:r>
              <w:t>EDC Data Gathering</w:t>
            </w:r>
            <w:r>
              <w:rPr>
                <w:rStyle w:val="FootnoteReference"/>
              </w:rPr>
              <w:footnoteReference w:id="2"/>
            </w:r>
          </w:p>
        </w:tc>
      </w:tr>
      <w:tr w:rsidR="00180535" w:rsidRPr="002E4E52" w:rsidTr="00633FC7">
        <w:tc>
          <w:tcPr>
            <w:tcW w:w="2703" w:type="pct"/>
          </w:tcPr>
          <w:p w:rsidR="00180535" w:rsidRPr="005550BB" w:rsidRDefault="00180535" w:rsidP="00633FC7">
            <w:pPr>
              <w:pStyle w:val="TableCell"/>
              <w:spacing w:before="60" w:after="60"/>
            </w:pPr>
            <w:proofErr w:type="spellStart"/>
            <w:r>
              <w:t>Savings</w:t>
            </w:r>
            <w:r w:rsidRPr="006E0899">
              <w:rPr>
                <w:vertAlign w:val="subscript"/>
              </w:rPr>
              <w:t>SmartStrip</w:t>
            </w:r>
            <w:proofErr w:type="spellEnd"/>
            <w:r w:rsidRPr="006E0899">
              <w:rPr>
                <w:vertAlign w:val="subscript"/>
              </w:rPr>
              <w:t xml:space="preserve"> </w:t>
            </w:r>
            <w:r w:rsidRPr="003337F7">
              <w:t>(kWh)</w:t>
            </w:r>
          </w:p>
        </w:tc>
        <w:tc>
          <w:tcPr>
            <w:tcW w:w="864" w:type="pct"/>
          </w:tcPr>
          <w:p w:rsidR="00180535" w:rsidRDefault="00180535" w:rsidP="00633FC7">
            <w:pPr>
              <w:pStyle w:val="TableCell"/>
              <w:spacing w:before="60" w:after="60"/>
            </w:pPr>
            <w:r>
              <w:t>184</w:t>
            </w:r>
          </w:p>
        </w:tc>
        <w:tc>
          <w:tcPr>
            <w:tcW w:w="1433" w:type="pct"/>
          </w:tcPr>
          <w:p w:rsidR="00180535" w:rsidRDefault="00180535" w:rsidP="00633FC7">
            <w:pPr>
              <w:pStyle w:val="TableCell"/>
              <w:spacing w:before="60" w:after="60"/>
            </w:pPr>
            <w:r>
              <w:t>FE Interim TRM</w:t>
            </w:r>
          </w:p>
        </w:tc>
      </w:tr>
      <w:tr w:rsidR="00180535" w:rsidRPr="002E4E52" w:rsidTr="00633FC7">
        <w:tc>
          <w:tcPr>
            <w:tcW w:w="2703" w:type="pct"/>
          </w:tcPr>
          <w:p w:rsidR="00180535" w:rsidRDefault="00180535" w:rsidP="00633FC7">
            <w:pPr>
              <w:pStyle w:val="TableCell"/>
              <w:spacing w:before="60" w:after="60"/>
            </w:pPr>
            <w:proofErr w:type="spellStart"/>
            <w:r>
              <w:t>DemandReduction</w:t>
            </w:r>
            <w:r w:rsidRPr="006E0899">
              <w:rPr>
                <w:vertAlign w:val="subscript"/>
              </w:rPr>
              <w:t>SmartStrip</w:t>
            </w:r>
            <w:proofErr w:type="spellEnd"/>
            <w:r w:rsidRPr="006E0899">
              <w:rPr>
                <w:vertAlign w:val="subscript"/>
              </w:rPr>
              <w:t xml:space="preserve"> </w:t>
            </w:r>
            <w:r w:rsidRPr="003337F7">
              <w:t>(kW)</w:t>
            </w:r>
          </w:p>
        </w:tc>
        <w:tc>
          <w:tcPr>
            <w:tcW w:w="864" w:type="pct"/>
          </w:tcPr>
          <w:p w:rsidR="00180535" w:rsidRDefault="00180535" w:rsidP="00633FC7">
            <w:pPr>
              <w:pStyle w:val="TableCell"/>
              <w:spacing w:before="60" w:after="60"/>
            </w:pPr>
            <w:r>
              <w:t>.013</w:t>
            </w:r>
          </w:p>
        </w:tc>
        <w:tc>
          <w:tcPr>
            <w:tcW w:w="1433" w:type="pct"/>
          </w:tcPr>
          <w:p w:rsidR="00180535" w:rsidRDefault="00180535" w:rsidP="00633FC7">
            <w:pPr>
              <w:pStyle w:val="TableCell"/>
              <w:spacing w:before="60" w:after="60"/>
            </w:pPr>
            <w:r>
              <w:t>FE Interim TRM</w:t>
            </w:r>
          </w:p>
        </w:tc>
      </w:tr>
      <w:tr w:rsidR="00180535" w:rsidRPr="002E4E52" w:rsidTr="00633FC7">
        <w:tc>
          <w:tcPr>
            <w:tcW w:w="2703" w:type="pct"/>
          </w:tcPr>
          <w:p w:rsidR="00180535" w:rsidRPr="005550BB" w:rsidRDefault="00180535" w:rsidP="00633FC7">
            <w:pPr>
              <w:pStyle w:val="TableCell"/>
              <w:spacing w:before="60" w:after="60"/>
            </w:pPr>
            <w:r w:rsidRPr="00D40170">
              <w:t xml:space="preserve"> </w:t>
            </w:r>
            <w:proofErr w:type="spellStart"/>
            <w:r w:rsidRPr="00D40170">
              <w:t>ISR</w:t>
            </w:r>
            <w:r w:rsidRPr="006E0899">
              <w:rPr>
                <w:vertAlign w:val="subscript"/>
              </w:rPr>
              <w:t>SmartStrip</w:t>
            </w:r>
            <w:proofErr w:type="spellEnd"/>
            <w:r w:rsidRPr="006E0899">
              <w:rPr>
                <w:vertAlign w:val="subscript"/>
              </w:rPr>
              <w:t xml:space="preserve"> </w:t>
            </w:r>
            <w:r>
              <w:t xml:space="preserve"> </w:t>
            </w:r>
          </w:p>
        </w:tc>
        <w:tc>
          <w:tcPr>
            <w:tcW w:w="864" w:type="pct"/>
          </w:tcPr>
          <w:p w:rsidR="00180535" w:rsidRDefault="00180535" w:rsidP="00633FC7">
            <w:pPr>
              <w:pStyle w:val="TableCell"/>
              <w:spacing w:before="60" w:after="60"/>
            </w:pPr>
            <w:r>
              <w:t>variable</w:t>
            </w:r>
          </w:p>
        </w:tc>
        <w:tc>
          <w:tcPr>
            <w:tcW w:w="1433" w:type="pct"/>
          </w:tcPr>
          <w:p w:rsidR="00180535" w:rsidRDefault="00180535" w:rsidP="00633FC7">
            <w:pPr>
              <w:pStyle w:val="TableCell"/>
              <w:spacing w:before="60" w:after="60"/>
            </w:pPr>
            <w:r>
              <w:t>EDC Data Gathering</w:t>
            </w:r>
          </w:p>
        </w:tc>
      </w:tr>
      <w:tr w:rsidR="00180535" w:rsidRPr="002E4E52" w:rsidTr="00633FC7">
        <w:tc>
          <w:tcPr>
            <w:tcW w:w="2703" w:type="pct"/>
          </w:tcPr>
          <w:p w:rsidR="00180535" w:rsidRPr="005550BB" w:rsidRDefault="00180535" w:rsidP="00633FC7">
            <w:pPr>
              <w:pStyle w:val="TableCell"/>
              <w:spacing w:before="60" w:after="60"/>
            </w:pPr>
            <w:proofErr w:type="spellStart"/>
            <w:r>
              <w:t>Savings</w:t>
            </w:r>
            <w:r w:rsidRPr="006E0899">
              <w:rPr>
                <w:vertAlign w:val="subscript"/>
              </w:rPr>
              <w:t>NiteLite</w:t>
            </w:r>
            <w:proofErr w:type="spellEnd"/>
            <w:r w:rsidRPr="006E0899">
              <w:rPr>
                <w:vertAlign w:val="subscript"/>
              </w:rPr>
              <w:t xml:space="preserve"> </w:t>
            </w:r>
            <w:r w:rsidRPr="003337F7">
              <w:t>(kWh)</w:t>
            </w:r>
          </w:p>
        </w:tc>
        <w:tc>
          <w:tcPr>
            <w:tcW w:w="864" w:type="pct"/>
          </w:tcPr>
          <w:p w:rsidR="00180535" w:rsidRDefault="00180535" w:rsidP="00633FC7">
            <w:pPr>
              <w:pStyle w:val="TableCell"/>
              <w:spacing w:before="60" w:after="60"/>
            </w:pPr>
            <w:r>
              <w:t>26.3</w:t>
            </w:r>
          </w:p>
        </w:tc>
        <w:tc>
          <w:tcPr>
            <w:tcW w:w="1433" w:type="pct"/>
          </w:tcPr>
          <w:p w:rsidR="00180535" w:rsidRDefault="00180535" w:rsidP="00633FC7">
            <w:pPr>
              <w:pStyle w:val="TableCell"/>
              <w:spacing w:before="60" w:after="60"/>
            </w:pPr>
            <w:r>
              <w:t>PA Interim TRM</w:t>
            </w:r>
            <w:r>
              <w:rPr>
                <w:rStyle w:val="FootnoteReference"/>
              </w:rPr>
              <w:footnoteReference w:id="3"/>
            </w:r>
          </w:p>
        </w:tc>
      </w:tr>
      <w:tr w:rsidR="00180535" w:rsidRPr="002E4E52" w:rsidTr="00633FC7">
        <w:tc>
          <w:tcPr>
            <w:tcW w:w="2703" w:type="pct"/>
          </w:tcPr>
          <w:p w:rsidR="00180535" w:rsidRDefault="00180535" w:rsidP="00633FC7">
            <w:pPr>
              <w:pStyle w:val="TableCell"/>
              <w:spacing w:before="60" w:after="60"/>
            </w:pPr>
            <w:proofErr w:type="spellStart"/>
            <w:r>
              <w:t>DemandReduction</w:t>
            </w:r>
            <w:r w:rsidRPr="006E0899">
              <w:rPr>
                <w:vertAlign w:val="subscript"/>
              </w:rPr>
              <w:t>NiteLite</w:t>
            </w:r>
            <w:proofErr w:type="spellEnd"/>
            <w:r w:rsidRPr="006E0899">
              <w:rPr>
                <w:vertAlign w:val="subscript"/>
              </w:rPr>
              <w:t xml:space="preserve"> </w:t>
            </w:r>
            <w:r w:rsidRPr="003337F7">
              <w:t>(kW)</w:t>
            </w:r>
          </w:p>
        </w:tc>
        <w:tc>
          <w:tcPr>
            <w:tcW w:w="864" w:type="pct"/>
          </w:tcPr>
          <w:p w:rsidR="00180535" w:rsidRDefault="00180535" w:rsidP="00633FC7">
            <w:pPr>
              <w:pStyle w:val="TableCell"/>
              <w:spacing w:before="60" w:after="60"/>
            </w:pPr>
            <w:r>
              <w:t>0</w:t>
            </w:r>
          </w:p>
        </w:tc>
        <w:tc>
          <w:tcPr>
            <w:tcW w:w="1433" w:type="pct"/>
          </w:tcPr>
          <w:p w:rsidR="00180535" w:rsidRDefault="00180535" w:rsidP="00633FC7">
            <w:pPr>
              <w:pStyle w:val="TableCell"/>
              <w:spacing w:before="60" w:after="60"/>
            </w:pPr>
            <w:r>
              <w:t>PA Interim TRM</w:t>
            </w:r>
          </w:p>
        </w:tc>
      </w:tr>
      <w:tr w:rsidR="00180535" w:rsidRPr="002E4E52" w:rsidTr="00633FC7">
        <w:tc>
          <w:tcPr>
            <w:tcW w:w="2703" w:type="pct"/>
          </w:tcPr>
          <w:p w:rsidR="00180535" w:rsidRPr="005550BB" w:rsidRDefault="00180535" w:rsidP="00633FC7">
            <w:pPr>
              <w:pStyle w:val="TableCell"/>
              <w:spacing w:before="60" w:after="60"/>
            </w:pPr>
            <w:r w:rsidRPr="00D40170">
              <w:t xml:space="preserve"> </w:t>
            </w:r>
            <w:proofErr w:type="spellStart"/>
            <w:r w:rsidRPr="00D40170">
              <w:t>ISR</w:t>
            </w:r>
            <w:r w:rsidRPr="006E0899">
              <w:rPr>
                <w:vertAlign w:val="subscript"/>
              </w:rPr>
              <w:t>NiteLite</w:t>
            </w:r>
            <w:proofErr w:type="spellEnd"/>
            <w:r w:rsidRPr="006E0899">
              <w:rPr>
                <w:vertAlign w:val="subscript"/>
              </w:rPr>
              <w:t xml:space="preserve"> </w:t>
            </w:r>
            <w:r>
              <w:t xml:space="preserve"> </w:t>
            </w:r>
          </w:p>
        </w:tc>
        <w:tc>
          <w:tcPr>
            <w:tcW w:w="864" w:type="pct"/>
          </w:tcPr>
          <w:p w:rsidR="00180535" w:rsidRDefault="00180535" w:rsidP="00633FC7">
            <w:pPr>
              <w:pStyle w:val="TableCell"/>
              <w:spacing w:before="60" w:after="60"/>
            </w:pPr>
            <w:r>
              <w:t>variable</w:t>
            </w:r>
          </w:p>
        </w:tc>
        <w:tc>
          <w:tcPr>
            <w:tcW w:w="1433" w:type="pct"/>
          </w:tcPr>
          <w:p w:rsidR="00180535" w:rsidRDefault="00180535" w:rsidP="00633FC7">
            <w:pPr>
              <w:pStyle w:val="TableCell"/>
              <w:spacing w:before="60" w:after="60"/>
            </w:pPr>
            <w:r>
              <w:t>EDC Data Gathering</w:t>
            </w:r>
          </w:p>
        </w:tc>
      </w:tr>
      <w:tr w:rsidR="00180535" w:rsidRPr="002E4E52" w:rsidTr="00633FC7">
        <w:tc>
          <w:tcPr>
            <w:tcW w:w="2703" w:type="pct"/>
          </w:tcPr>
          <w:p w:rsidR="00180535" w:rsidRPr="00D40170" w:rsidRDefault="00180535" w:rsidP="00633FC7">
            <w:pPr>
              <w:pStyle w:val="TableCell"/>
              <w:spacing w:before="60" w:after="60"/>
            </w:pPr>
            <w:proofErr w:type="spellStart"/>
            <w:r>
              <w:t>N</w:t>
            </w:r>
            <w:r w:rsidRPr="006E0899">
              <w:rPr>
                <w:vertAlign w:val="subscript"/>
              </w:rPr>
              <w:t>NiteLite</w:t>
            </w:r>
            <w:proofErr w:type="spellEnd"/>
          </w:p>
        </w:tc>
        <w:tc>
          <w:tcPr>
            <w:tcW w:w="864" w:type="pct"/>
          </w:tcPr>
          <w:p w:rsidR="00180535" w:rsidRDefault="00180535" w:rsidP="00633FC7">
            <w:pPr>
              <w:pStyle w:val="TableCell"/>
              <w:spacing w:before="60" w:after="60"/>
            </w:pPr>
            <w:r>
              <w:t>2</w:t>
            </w:r>
          </w:p>
        </w:tc>
        <w:tc>
          <w:tcPr>
            <w:tcW w:w="1433" w:type="pct"/>
          </w:tcPr>
          <w:p w:rsidR="00180535" w:rsidRDefault="00180535" w:rsidP="00633FC7">
            <w:pPr>
              <w:pStyle w:val="TableCell"/>
              <w:spacing w:before="60" w:after="60"/>
            </w:pPr>
            <w:r>
              <w:t>Program Design</w:t>
            </w:r>
          </w:p>
        </w:tc>
      </w:tr>
    </w:tbl>
    <w:p w:rsidR="00180535" w:rsidRDefault="00180535" w:rsidP="00180535">
      <w:pPr>
        <w:pStyle w:val="BodyText"/>
        <w:rPr>
          <w:rFonts w:eastAsia="Calibri"/>
          <w:b/>
        </w:rPr>
      </w:pPr>
    </w:p>
    <w:p w:rsidR="00180535" w:rsidRPr="00180535" w:rsidRDefault="00180535" w:rsidP="00180535">
      <w:pPr>
        <w:pStyle w:val="BodyText"/>
        <w:rPr>
          <w:rFonts w:ascii="Arial" w:eastAsia="Calibri" w:hAnsi="Arial" w:cs="Arial"/>
          <w:b/>
        </w:rPr>
      </w:pPr>
      <w:r w:rsidRPr="00180535">
        <w:rPr>
          <w:rFonts w:ascii="Arial" w:eastAsia="Calibri" w:hAnsi="Arial" w:cs="Arial"/>
          <w:b/>
        </w:rPr>
        <w:t>Sources:</w:t>
      </w:r>
    </w:p>
    <w:p w:rsidR="00180535" w:rsidRPr="00403912" w:rsidRDefault="00180535" w:rsidP="00180535">
      <w:pPr>
        <w:pStyle w:val="source1"/>
        <w:numPr>
          <w:ilvl w:val="0"/>
          <w:numId w:val="13"/>
        </w:numPr>
      </w:pPr>
      <w:r>
        <w:t xml:space="preserve">United States Department of Energy, </w:t>
      </w:r>
      <w:r>
        <w:rPr>
          <w:i/>
        </w:rPr>
        <w:t>Energy Star CFL Market Profile: Data Trends and Market Insights</w:t>
      </w:r>
      <w:r>
        <w:t xml:space="preserve">.  </w:t>
      </w:r>
      <w:proofErr w:type="spellStart"/>
      <w:r>
        <w:t>Prebared</w:t>
      </w:r>
      <w:proofErr w:type="spellEnd"/>
      <w:r>
        <w:t xml:space="preserve"> by D&amp;R International, Ltd.: September 2010; pg. 24.</w:t>
      </w:r>
    </w:p>
    <w:p w:rsidR="00180535" w:rsidRPr="00180535" w:rsidRDefault="00180535" w:rsidP="00180535">
      <w:pPr>
        <w:pStyle w:val="Heading3"/>
        <w:keepLines w:val="0"/>
        <w:numPr>
          <w:ilvl w:val="2"/>
          <w:numId w:val="0"/>
        </w:numPr>
        <w:tabs>
          <w:tab w:val="left" w:pos="900"/>
        </w:tabs>
        <w:overflowPunct w:val="0"/>
        <w:autoSpaceDE w:val="0"/>
        <w:autoSpaceDN w:val="0"/>
        <w:adjustRightInd w:val="0"/>
        <w:spacing w:before="120" w:after="120" w:line="288" w:lineRule="auto"/>
        <w:ind w:left="900" w:hanging="900"/>
        <w:textAlignment w:val="baseline"/>
        <w:rPr>
          <w:rFonts w:ascii="Arial" w:hAnsi="Arial" w:cs="Arial"/>
          <w:color w:val="auto"/>
        </w:rPr>
      </w:pPr>
      <w:r w:rsidRPr="00180535">
        <w:rPr>
          <w:rFonts w:ascii="Arial" w:hAnsi="Arial" w:cs="Arial"/>
          <w:b w:val="0"/>
          <w:color w:val="auto"/>
        </w:rPr>
        <w:t>1.1.1</w:t>
      </w:r>
      <w:r w:rsidRPr="00180535">
        <w:rPr>
          <w:rFonts w:ascii="Arial" w:hAnsi="Arial" w:cs="Arial"/>
          <w:color w:val="auto"/>
        </w:rPr>
        <w:tab/>
        <w:t>Partially Deemed Savings</w:t>
      </w:r>
    </w:p>
    <w:p w:rsidR="00180535" w:rsidRPr="00180535" w:rsidRDefault="00180535" w:rsidP="00180535">
      <w:pPr>
        <w:pStyle w:val="BodyText"/>
        <w:rPr>
          <w:rFonts w:ascii="Arial" w:hAnsi="Arial" w:cs="Arial"/>
        </w:rPr>
      </w:pPr>
      <w:r w:rsidRPr="00180535">
        <w:rPr>
          <w:rFonts w:ascii="Arial" w:hAnsi="Arial" w:cs="Arial"/>
        </w:rPr>
        <w:t>The deemed energy and demand savings per kit are dependent on the measured ISRs for the individual kit components.</w:t>
      </w:r>
    </w:p>
    <w:p w:rsidR="00180535" w:rsidRDefault="00180535" w:rsidP="000A0B57">
      <w:pPr>
        <w:jc w:val="both"/>
        <w:rPr>
          <w:rFonts w:ascii="Arial" w:hAnsi="Arial" w:cs="Arial"/>
          <w:sz w:val="26"/>
          <w:szCs w:val="26"/>
        </w:rPr>
        <w:sectPr w:rsidR="00180535" w:rsidSect="00967812">
          <w:footerReference w:type="default" r:id="rId15"/>
          <w:pgSz w:w="12240" w:h="15840"/>
          <w:pgMar w:top="1440" w:right="1440" w:bottom="1440" w:left="1440" w:header="1440" w:footer="750" w:gutter="0"/>
          <w:pgNumType w:start="34"/>
          <w:cols w:space="720"/>
          <w:docGrid w:linePitch="326"/>
        </w:sectPr>
      </w:pPr>
    </w:p>
    <w:p w:rsidR="00426E20" w:rsidRDefault="00426E20" w:rsidP="00426E20">
      <w:pPr>
        <w:pStyle w:val="StyleCaptionCentered"/>
      </w:pPr>
      <w:bookmarkStart w:id="2" w:name="_Toc276994882"/>
      <w:r>
        <w:lastRenderedPageBreak/>
        <w:t xml:space="preserve">Table </w:t>
      </w:r>
      <w:r w:rsidR="00585A5E">
        <w:fldChar w:fldCharType="begin"/>
      </w:r>
      <w:r w:rsidR="00585A5E">
        <w:instrText xml:space="preserve"> STYLEREF 1 \s </w:instrText>
      </w:r>
      <w:r w:rsidR="00585A5E">
        <w:fldChar w:fldCharType="separate"/>
      </w:r>
      <w:r w:rsidR="007B6949">
        <w:rPr>
          <w:b w:val="0"/>
          <w:bCs w:val="0"/>
          <w:noProof/>
        </w:rPr>
        <w:t>Error! No text of specified style in document.</w:t>
      </w:r>
      <w:r w:rsidR="00585A5E">
        <w:fldChar w:fldCharType="end"/>
      </w:r>
      <w:r>
        <w:noBreakHyphen/>
      </w:r>
      <w:fldSimple w:instr=" SEQ Table \* ARABIC \s 1 ">
        <w:r w:rsidR="007B6949">
          <w:rPr>
            <w:noProof/>
          </w:rPr>
          <w:t>2</w:t>
        </w:r>
      </w:fldSimple>
      <w:r>
        <w:t>: ENERGY STAR Lighting - References</w:t>
      </w:r>
      <w:bookmarkEnd w:id="2"/>
    </w:p>
    <w:tbl>
      <w:tblPr>
        <w:tblStyle w:val="PATable2"/>
        <w:tblW w:w="8640" w:type="dxa"/>
        <w:tblLook w:val="0020"/>
      </w:tblPr>
      <w:tblGrid>
        <w:gridCol w:w="2680"/>
        <w:gridCol w:w="1809"/>
        <w:gridCol w:w="1932"/>
        <w:gridCol w:w="2219"/>
      </w:tblGrid>
      <w:tr w:rsidR="00426E20" w:rsidRPr="006E01C9" w:rsidTr="00633FC7">
        <w:trPr>
          <w:cnfStyle w:val="100000000000"/>
          <w:trHeight w:val="317"/>
        </w:trPr>
        <w:tc>
          <w:tcPr>
            <w:tcW w:w="821" w:type="dxa"/>
          </w:tcPr>
          <w:p w:rsidR="00426E20" w:rsidRPr="006E01C9" w:rsidRDefault="00426E20" w:rsidP="00633FC7">
            <w:pPr>
              <w:pStyle w:val="TableCell"/>
              <w:spacing w:before="60" w:after="60"/>
            </w:pPr>
            <w:r w:rsidRPr="006E01C9">
              <w:t>Component</w:t>
            </w:r>
          </w:p>
        </w:tc>
        <w:tc>
          <w:tcPr>
            <w:tcW w:w="821" w:type="dxa"/>
          </w:tcPr>
          <w:p w:rsidR="00426E20" w:rsidRPr="006E01C9" w:rsidRDefault="00426E20" w:rsidP="00633FC7">
            <w:pPr>
              <w:pStyle w:val="TableCell"/>
              <w:spacing w:before="60" w:after="60"/>
            </w:pPr>
            <w:r w:rsidRPr="006E01C9">
              <w:t>Type</w:t>
            </w:r>
          </w:p>
        </w:tc>
        <w:tc>
          <w:tcPr>
            <w:tcW w:w="821" w:type="dxa"/>
          </w:tcPr>
          <w:p w:rsidR="00426E20" w:rsidRPr="006E01C9" w:rsidRDefault="00426E20" w:rsidP="00633FC7">
            <w:pPr>
              <w:pStyle w:val="TableCell"/>
              <w:spacing w:before="60" w:after="60"/>
            </w:pPr>
            <w:r w:rsidRPr="006E01C9">
              <w:t>Value</w:t>
            </w:r>
          </w:p>
        </w:tc>
        <w:tc>
          <w:tcPr>
            <w:tcW w:w="821" w:type="dxa"/>
          </w:tcPr>
          <w:p w:rsidR="00426E20" w:rsidRPr="006E01C9" w:rsidRDefault="00426E20" w:rsidP="00633FC7">
            <w:pPr>
              <w:pStyle w:val="TableCell"/>
              <w:spacing w:before="60" w:after="60"/>
            </w:pPr>
            <w:r w:rsidRPr="006E01C9">
              <w:t>Sources</w:t>
            </w:r>
          </w:p>
        </w:tc>
      </w:tr>
      <w:tr w:rsidR="00426E20" w:rsidRPr="00B36FB8" w:rsidTr="00633FC7">
        <w:trPr>
          <w:trHeight w:val="317"/>
        </w:trPr>
        <w:tc>
          <w:tcPr>
            <w:tcW w:w="821" w:type="dxa"/>
          </w:tcPr>
          <w:p w:rsidR="00426E20" w:rsidRPr="00B36FB8" w:rsidRDefault="00426E20" w:rsidP="00633FC7">
            <w:pPr>
              <w:pStyle w:val="TableCell"/>
              <w:spacing w:before="60" w:after="60"/>
            </w:pPr>
            <w:proofErr w:type="spellStart"/>
            <w:r w:rsidRPr="00B36FB8">
              <w:t>CFL</w:t>
            </w:r>
            <w:r w:rsidRPr="00B36FB8">
              <w:rPr>
                <w:vertAlign w:val="subscript"/>
              </w:rPr>
              <w:t>watts</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Variable</w:t>
            </w:r>
          </w:p>
        </w:tc>
        <w:tc>
          <w:tcPr>
            <w:tcW w:w="821" w:type="dxa"/>
          </w:tcPr>
          <w:p w:rsidR="00426E20" w:rsidRPr="00B36FB8" w:rsidRDefault="00426E20" w:rsidP="00633FC7">
            <w:pPr>
              <w:pStyle w:val="TableCell"/>
              <w:spacing w:before="60" w:after="60"/>
            </w:pPr>
            <w:r w:rsidRPr="00B36FB8">
              <w:t>Data Gathering</w:t>
            </w:r>
          </w:p>
        </w:tc>
      </w:tr>
      <w:tr w:rsidR="00426E20" w:rsidRPr="00B36FB8" w:rsidTr="00633FC7">
        <w:trPr>
          <w:cnfStyle w:val="000000010000"/>
          <w:trHeight w:val="317"/>
        </w:trPr>
        <w:tc>
          <w:tcPr>
            <w:tcW w:w="821" w:type="dxa"/>
          </w:tcPr>
          <w:p w:rsidR="00426E20" w:rsidRPr="00B36FB8" w:rsidRDefault="00426E20" w:rsidP="00633FC7">
            <w:pPr>
              <w:pStyle w:val="TableCell"/>
              <w:spacing w:before="60" w:after="60"/>
            </w:pPr>
            <w:proofErr w:type="spellStart"/>
            <w:r w:rsidRPr="00B36FB8">
              <w:t>CFL</w:t>
            </w:r>
            <w:r w:rsidRPr="00B36FB8">
              <w:rPr>
                <w:vertAlign w:val="subscript"/>
              </w:rPr>
              <w:t>hours</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t>1.9</w:t>
            </w:r>
          </w:p>
        </w:tc>
        <w:tc>
          <w:tcPr>
            <w:tcW w:w="821" w:type="dxa"/>
          </w:tcPr>
          <w:p w:rsidR="00426E20" w:rsidRPr="00B36FB8" w:rsidRDefault="00426E20" w:rsidP="00633FC7">
            <w:pPr>
              <w:pStyle w:val="TableCell"/>
              <w:spacing w:before="60" w:after="60"/>
            </w:pPr>
            <w:r w:rsidRPr="00B36FB8">
              <w:t>6</w:t>
            </w:r>
          </w:p>
        </w:tc>
      </w:tr>
      <w:tr w:rsidR="00426E20" w:rsidRPr="00B36FB8" w:rsidTr="00633FC7">
        <w:trPr>
          <w:trHeight w:val="317"/>
        </w:trPr>
        <w:tc>
          <w:tcPr>
            <w:tcW w:w="821" w:type="dxa"/>
          </w:tcPr>
          <w:p w:rsidR="00426E20" w:rsidRPr="00B36FB8" w:rsidRDefault="00426E20" w:rsidP="00633FC7">
            <w:pPr>
              <w:pStyle w:val="TableCell"/>
              <w:spacing w:before="60" w:after="60"/>
            </w:pPr>
            <w:r w:rsidRPr="00B36FB8">
              <w:t>ISR</w:t>
            </w:r>
            <w:r w:rsidRPr="00B36FB8">
              <w:rPr>
                <w:vertAlign w:val="subscript"/>
              </w:rPr>
              <w:t>CFL</w:t>
            </w:r>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84%</w:t>
            </w:r>
          </w:p>
        </w:tc>
        <w:tc>
          <w:tcPr>
            <w:tcW w:w="821" w:type="dxa"/>
          </w:tcPr>
          <w:p w:rsidR="00426E20" w:rsidRPr="00B36FB8" w:rsidRDefault="00426E20" w:rsidP="00633FC7">
            <w:pPr>
              <w:pStyle w:val="TableCell"/>
              <w:spacing w:before="60" w:after="60"/>
            </w:pPr>
            <w:r w:rsidRPr="00B36FB8">
              <w:t>3</w:t>
            </w:r>
          </w:p>
        </w:tc>
      </w:tr>
      <w:tr w:rsidR="00426E20" w:rsidRPr="00B36FB8" w:rsidTr="00633FC7">
        <w:trPr>
          <w:cnfStyle w:val="000000010000"/>
          <w:trHeight w:val="317"/>
        </w:trPr>
        <w:tc>
          <w:tcPr>
            <w:tcW w:w="821" w:type="dxa"/>
          </w:tcPr>
          <w:p w:rsidR="00426E20" w:rsidRPr="00B36FB8" w:rsidRDefault="00426E20" w:rsidP="00633FC7">
            <w:pPr>
              <w:pStyle w:val="TableCell"/>
              <w:spacing w:before="60" w:after="60"/>
            </w:pPr>
            <w:proofErr w:type="spellStart"/>
            <w:r w:rsidRPr="00B36FB8">
              <w:t>Torch</w:t>
            </w:r>
            <w:r w:rsidRPr="00B36FB8">
              <w:rPr>
                <w:vertAlign w:val="subscript"/>
              </w:rPr>
              <w:t>watts</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115.8</w:t>
            </w:r>
          </w:p>
        </w:tc>
        <w:tc>
          <w:tcPr>
            <w:tcW w:w="821" w:type="dxa"/>
          </w:tcPr>
          <w:p w:rsidR="00426E20" w:rsidRPr="00B36FB8" w:rsidRDefault="00426E20" w:rsidP="00633FC7">
            <w:pPr>
              <w:pStyle w:val="TableCell"/>
              <w:spacing w:before="60" w:after="60"/>
            </w:pPr>
            <w:r w:rsidRPr="00B36FB8">
              <w:t>1</w:t>
            </w:r>
          </w:p>
        </w:tc>
      </w:tr>
      <w:tr w:rsidR="00426E20" w:rsidRPr="00B36FB8" w:rsidTr="00633FC7">
        <w:trPr>
          <w:trHeight w:val="317"/>
        </w:trPr>
        <w:tc>
          <w:tcPr>
            <w:tcW w:w="821" w:type="dxa"/>
          </w:tcPr>
          <w:p w:rsidR="00426E20" w:rsidRPr="00B36FB8" w:rsidRDefault="00426E20" w:rsidP="00633FC7">
            <w:pPr>
              <w:pStyle w:val="TableCell"/>
              <w:spacing w:before="60" w:after="60"/>
            </w:pPr>
            <w:proofErr w:type="spellStart"/>
            <w:r w:rsidRPr="00B36FB8">
              <w:t>Torch</w:t>
            </w:r>
            <w:r w:rsidRPr="00B36FB8">
              <w:rPr>
                <w:vertAlign w:val="subscript"/>
              </w:rPr>
              <w:t>hours</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3.0</w:t>
            </w:r>
          </w:p>
        </w:tc>
        <w:tc>
          <w:tcPr>
            <w:tcW w:w="821" w:type="dxa"/>
          </w:tcPr>
          <w:p w:rsidR="00426E20" w:rsidRPr="00B36FB8" w:rsidRDefault="00426E20" w:rsidP="00633FC7">
            <w:pPr>
              <w:pStyle w:val="TableCell"/>
              <w:spacing w:before="60" w:after="60"/>
            </w:pPr>
            <w:r w:rsidRPr="00B36FB8">
              <w:t>2</w:t>
            </w:r>
          </w:p>
        </w:tc>
      </w:tr>
      <w:tr w:rsidR="00426E20" w:rsidRPr="00B36FB8" w:rsidTr="00633FC7">
        <w:trPr>
          <w:cnfStyle w:val="000000010000"/>
          <w:trHeight w:val="317"/>
        </w:trPr>
        <w:tc>
          <w:tcPr>
            <w:tcW w:w="821" w:type="dxa"/>
          </w:tcPr>
          <w:p w:rsidR="00426E20" w:rsidRPr="00B36FB8" w:rsidRDefault="00426E20" w:rsidP="00633FC7">
            <w:pPr>
              <w:pStyle w:val="TableCell"/>
              <w:spacing w:before="60" w:after="60"/>
            </w:pPr>
            <w:proofErr w:type="spellStart"/>
            <w:r w:rsidRPr="00B36FB8">
              <w:t>ISR</w:t>
            </w:r>
            <w:r w:rsidRPr="00B36FB8">
              <w:rPr>
                <w:vertAlign w:val="subscript"/>
              </w:rPr>
              <w:t>Torch</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83%</w:t>
            </w:r>
          </w:p>
        </w:tc>
        <w:tc>
          <w:tcPr>
            <w:tcW w:w="821" w:type="dxa"/>
          </w:tcPr>
          <w:p w:rsidR="00426E20" w:rsidRPr="00B36FB8" w:rsidRDefault="00426E20" w:rsidP="00633FC7">
            <w:pPr>
              <w:pStyle w:val="TableCell"/>
              <w:spacing w:before="60" w:after="60"/>
            </w:pPr>
            <w:r w:rsidRPr="00B36FB8">
              <w:t>3</w:t>
            </w:r>
          </w:p>
        </w:tc>
      </w:tr>
      <w:tr w:rsidR="00426E20" w:rsidRPr="00B36FB8" w:rsidTr="00633FC7">
        <w:trPr>
          <w:trHeight w:val="317"/>
        </w:trPr>
        <w:tc>
          <w:tcPr>
            <w:tcW w:w="821" w:type="dxa"/>
          </w:tcPr>
          <w:p w:rsidR="00426E20" w:rsidRPr="00B36FB8" w:rsidRDefault="00426E20" w:rsidP="00633FC7">
            <w:pPr>
              <w:pStyle w:val="TableCell"/>
              <w:spacing w:before="60" w:after="60"/>
            </w:pPr>
            <w:proofErr w:type="spellStart"/>
            <w:r w:rsidRPr="00B36FB8">
              <w:t>IF</w:t>
            </w:r>
            <w:r w:rsidRPr="00B36FB8">
              <w:rPr>
                <w:vertAlign w:val="subscript"/>
              </w:rPr>
              <w:t>watts</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48.7</w:t>
            </w:r>
          </w:p>
        </w:tc>
        <w:tc>
          <w:tcPr>
            <w:tcW w:w="821" w:type="dxa"/>
          </w:tcPr>
          <w:p w:rsidR="00426E20" w:rsidRPr="00B36FB8" w:rsidRDefault="00426E20" w:rsidP="00633FC7">
            <w:pPr>
              <w:pStyle w:val="TableCell"/>
              <w:spacing w:before="60" w:after="60"/>
            </w:pPr>
            <w:r w:rsidRPr="00B36FB8">
              <w:t>1</w:t>
            </w:r>
          </w:p>
        </w:tc>
      </w:tr>
      <w:tr w:rsidR="00426E20" w:rsidRPr="00B36FB8" w:rsidTr="00633FC7">
        <w:trPr>
          <w:cnfStyle w:val="000000010000"/>
          <w:trHeight w:val="317"/>
        </w:trPr>
        <w:tc>
          <w:tcPr>
            <w:tcW w:w="821" w:type="dxa"/>
          </w:tcPr>
          <w:p w:rsidR="00426E20" w:rsidRPr="00B36FB8" w:rsidRDefault="00426E20" w:rsidP="00633FC7">
            <w:pPr>
              <w:pStyle w:val="TableCell"/>
              <w:spacing w:before="60" w:after="60"/>
            </w:pPr>
            <w:proofErr w:type="spellStart"/>
            <w:r w:rsidRPr="00B36FB8">
              <w:t>IF</w:t>
            </w:r>
            <w:r w:rsidRPr="00B36FB8">
              <w:rPr>
                <w:vertAlign w:val="subscript"/>
              </w:rPr>
              <w:t>hours</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2.6</w:t>
            </w:r>
          </w:p>
        </w:tc>
        <w:tc>
          <w:tcPr>
            <w:tcW w:w="821" w:type="dxa"/>
          </w:tcPr>
          <w:p w:rsidR="00426E20" w:rsidRPr="00B36FB8" w:rsidRDefault="00426E20" w:rsidP="00633FC7">
            <w:pPr>
              <w:pStyle w:val="TableCell"/>
              <w:spacing w:before="60" w:after="60"/>
            </w:pPr>
            <w:r w:rsidRPr="00B36FB8">
              <w:t>2</w:t>
            </w:r>
          </w:p>
        </w:tc>
      </w:tr>
      <w:tr w:rsidR="00426E20" w:rsidRPr="00B36FB8" w:rsidTr="00633FC7">
        <w:trPr>
          <w:trHeight w:val="317"/>
        </w:trPr>
        <w:tc>
          <w:tcPr>
            <w:tcW w:w="821" w:type="dxa"/>
          </w:tcPr>
          <w:p w:rsidR="00426E20" w:rsidRPr="00B36FB8" w:rsidRDefault="00426E20" w:rsidP="00633FC7">
            <w:pPr>
              <w:pStyle w:val="TableCell"/>
              <w:spacing w:before="60" w:after="60"/>
            </w:pPr>
            <w:r w:rsidRPr="00B36FB8">
              <w:t>ISR</w:t>
            </w:r>
            <w:r w:rsidRPr="00B36FB8">
              <w:rPr>
                <w:vertAlign w:val="subscript"/>
              </w:rPr>
              <w:t>IF</w:t>
            </w:r>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95%</w:t>
            </w:r>
          </w:p>
        </w:tc>
        <w:tc>
          <w:tcPr>
            <w:tcW w:w="821" w:type="dxa"/>
          </w:tcPr>
          <w:p w:rsidR="00426E20" w:rsidRPr="00B36FB8" w:rsidRDefault="00426E20" w:rsidP="00633FC7">
            <w:pPr>
              <w:pStyle w:val="TableCell"/>
              <w:spacing w:before="60" w:after="60"/>
            </w:pPr>
            <w:r w:rsidRPr="00B36FB8">
              <w:t>3</w:t>
            </w:r>
          </w:p>
        </w:tc>
      </w:tr>
      <w:tr w:rsidR="00426E20" w:rsidRPr="00B36FB8" w:rsidTr="00633FC7">
        <w:trPr>
          <w:cnfStyle w:val="000000010000"/>
          <w:trHeight w:val="317"/>
        </w:trPr>
        <w:tc>
          <w:tcPr>
            <w:tcW w:w="821" w:type="dxa"/>
          </w:tcPr>
          <w:p w:rsidR="00426E20" w:rsidRPr="00B36FB8" w:rsidRDefault="00426E20" w:rsidP="00633FC7">
            <w:pPr>
              <w:pStyle w:val="TableCell"/>
              <w:spacing w:before="60" w:after="60"/>
            </w:pPr>
            <w:proofErr w:type="spellStart"/>
            <w:r w:rsidRPr="00B36FB8">
              <w:t>OF</w:t>
            </w:r>
            <w:r w:rsidRPr="00B36FB8">
              <w:rPr>
                <w:vertAlign w:val="subscript"/>
              </w:rPr>
              <w:t>watts</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94.7</w:t>
            </w:r>
          </w:p>
        </w:tc>
        <w:tc>
          <w:tcPr>
            <w:tcW w:w="821" w:type="dxa"/>
          </w:tcPr>
          <w:p w:rsidR="00426E20" w:rsidRPr="00B36FB8" w:rsidRDefault="00426E20" w:rsidP="00633FC7">
            <w:pPr>
              <w:pStyle w:val="TableCell"/>
              <w:spacing w:before="60" w:after="60"/>
            </w:pPr>
            <w:r w:rsidRPr="00B36FB8">
              <w:t>1</w:t>
            </w:r>
          </w:p>
        </w:tc>
      </w:tr>
      <w:tr w:rsidR="00426E20" w:rsidRPr="00B36FB8" w:rsidTr="00633FC7">
        <w:trPr>
          <w:trHeight w:val="317"/>
        </w:trPr>
        <w:tc>
          <w:tcPr>
            <w:tcW w:w="821" w:type="dxa"/>
          </w:tcPr>
          <w:p w:rsidR="00426E20" w:rsidRPr="00B36FB8" w:rsidRDefault="00426E20" w:rsidP="00633FC7">
            <w:pPr>
              <w:pStyle w:val="TableCell"/>
              <w:spacing w:before="60" w:after="60"/>
            </w:pPr>
            <w:proofErr w:type="spellStart"/>
            <w:r w:rsidRPr="00B36FB8">
              <w:t>OF</w:t>
            </w:r>
            <w:r w:rsidRPr="00B36FB8">
              <w:rPr>
                <w:vertAlign w:val="subscript"/>
              </w:rPr>
              <w:t>hours</w:t>
            </w:r>
            <w:proofErr w:type="spellEnd"/>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4.5</w:t>
            </w:r>
          </w:p>
        </w:tc>
        <w:tc>
          <w:tcPr>
            <w:tcW w:w="821" w:type="dxa"/>
          </w:tcPr>
          <w:p w:rsidR="00426E20" w:rsidRPr="00B36FB8" w:rsidRDefault="00426E20" w:rsidP="00633FC7">
            <w:pPr>
              <w:pStyle w:val="TableCell"/>
              <w:spacing w:before="60" w:after="60"/>
            </w:pPr>
            <w:r w:rsidRPr="00B36FB8">
              <w:t>2</w:t>
            </w:r>
          </w:p>
        </w:tc>
      </w:tr>
      <w:tr w:rsidR="00426E20" w:rsidRPr="00B36FB8" w:rsidTr="00633FC7">
        <w:trPr>
          <w:cnfStyle w:val="000000010000"/>
          <w:trHeight w:val="317"/>
        </w:trPr>
        <w:tc>
          <w:tcPr>
            <w:tcW w:w="821" w:type="dxa"/>
          </w:tcPr>
          <w:p w:rsidR="00426E20" w:rsidRPr="00B36FB8" w:rsidRDefault="00426E20" w:rsidP="00633FC7">
            <w:pPr>
              <w:pStyle w:val="TableCell"/>
              <w:spacing w:before="60" w:after="60"/>
            </w:pPr>
            <w:r w:rsidRPr="00B36FB8">
              <w:t>ISR</w:t>
            </w:r>
            <w:r w:rsidRPr="00B36FB8">
              <w:rPr>
                <w:vertAlign w:val="subscript"/>
              </w:rPr>
              <w:t>OF</w:t>
            </w:r>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87%</w:t>
            </w:r>
          </w:p>
        </w:tc>
        <w:tc>
          <w:tcPr>
            <w:tcW w:w="821" w:type="dxa"/>
          </w:tcPr>
          <w:p w:rsidR="00426E20" w:rsidRPr="00B36FB8" w:rsidRDefault="00426E20" w:rsidP="00633FC7">
            <w:pPr>
              <w:pStyle w:val="TableCell"/>
              <w:spacing w:before="60" w:after="60"/>
            </w:pPr>
            <w:r w:rsidRPr="00B36FB8">
              <w:t>3</w:t>
            </w:r>
          </w:p>
        </w:tc>
      </w:tr>
      <w:tr w:rsidR="00426E20" w:rsidRPr="00B36FB8" w:rsidTr="00633FC7">
        <w:trPr>
          <w:trHeight w:val="317"/>
        </w:trPr>
        <w:tc>
          <w:tcPr>
            <w:tcW w:w="821" w:type="dxa"/>
          </w:tcPr>
          <w:p w:rsidR="00426E20" w:rsidRPr="00B36FB8" w:rsidRDefault="00426E20" w:rsidP="00633FC7">
            <w:pPr>
              <w:pStyle w:val="TableCell"/>
              <w:spacing w:before="60" w:after="60"/>
            </w:pPr>
            <w:r w:rsidRPr="00B36FB8">
              <w:t>CF</w:t>
            </w:r>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5%</w:t>
            </w:r>
          </w:p>
        </w:tc>
        <w:tc>
          <w:tcPr>
            <w:tcW w:w="821" w:type="dxa"/>
          </w:tcPr>
          <w:p w:rsidR="00426E20" w:rsidRPr="00B36FB8" w:rsidRDefault="00426E20" w:rsidP="00633FC7">
            <w:pPr>
              <w:pStyle w:val="TableCell"/>
              <w:spacing w:before="60" w:after="60"/>
            </w:pPr>
            <w:r w:rsidRPr="00B36FB8">
              <w:t>4</w:t>
            </w:r>
          </w:p>
        </w:tc>
      </w:tr>
      <w:tr w:rsidR="00426E20" w:rsidRPr="00B36FB8" w:rsidTr="00633FC7">
        <w:trPr>
          <w:cnfStyle w:val="000000010000"/>
          <w:trHeight w:val="317"/>
        </w:trPr>
        <w:tc>
          <w:tcPr>
            <w:tcW w:w="821" w:type="dxa"/>
          </w:tcPr>
          <w:p w:rsidR="00426E20" w:rsidRPr="00B36FB8" w:rsidRDefault="00426E20" w:rsidP="00633FC7">
            <w:pPr>
              <w:pStyle w:val="TableCell"/>
              <w:spacing w:before="60" w:after="60"/>
            </w:pPr>
            <w:r w:rsidRPr="00B36FB8">
              <w:sym w:font="Symbol" w:char="F044"/>
            </w:r>
            <w:r w:rsidRPr="00B36FB8">
              <w:t>kWh</w:t>
            </w:r>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180 kWh</w:t>
            </w:r>
          </w:p>
        </w:tc>
        <w:tc>
          <w:tcPr>
            <w:tcW w:w="821" w:type="dxa"/>
          </w:tcPr>
          <w:p w:rsidR="00426E20" w:rsidRPr="00B36FB8" w:rsidRDefault="00426E20" w:rsidP="00633FC7">
            <w:pPr>
              <w:pStyle w:val="TableCell"/>
              <w:spacing w:before="60" w:after="60"/>
            </w:pPr>
            <w:r w:rsidRPr="00B36FB8">
              <w:t>5</w:t>
            </w:r>
          </w:p>
        </w:tc>
      </w:tr>
      <w:tr w:rsidR="00426E20" w:rsidRPr="00B36FB8" w:rsidTr="00633FC7">
        <w:trPr>
          <w:trHeight w:val="317"/>
        </w:trPr>
        <w:tc>
          <w:tcPr>
            <w:tcW w:w="821" w:type="dxa"/>
          </w:tcPr>
          <w:p w:rsidR="00426E20" w:rsidRPr="00B36FB8" w:rsidRDefault="00426E20" w:rsidP="00633FC7">
            <w:pPr>
              <w:pStyle w:val="TableCell"/>
              <w:spacing w:before="60" w:after="60"/>
            </w:pPr>
            <w:r w:rsidRPr="00B36FB8">
              <w:sym w:font="Symbol" w:char="F044"/>
            </w:r>
            <w:r w:rsidRPr="00B36FB8">
              <w:t>kW</w:t>
            </w:r>
          </w:p>
        </w:tc>
        <w:tc>
          <w:tcPr>
            <w:tcW w:w="821" w:type="dxa"/>
          </w:tcPr>
          <w:p w:rsidR="00426E20" w:rsidRPr="00B36FB8" w:rsidRDefault="00426E20" w:rsidP="00633FC7">
            <w:pPr>
              <w:pStyle w:val="TableCell"/>
              <w:spacing w:before="60" w:after="60"/>
            </w:pPr>
            <w:r w:rsidRPr="00B36FB8">
              <w:t>Fixed</w:t>
            </w:r>
          </w:p>
        </w:tc>
        <w:tc>
          <w:tcPr>
            <w:tcW w:w="821" w:type="dxa"/>
          </w:tcPr>
          <w:p w:rsidR="00426E20" w:rsidRPr="00B36FB8" w:rsidRDefault="00426E20" w:rsidP="00633FC7">
            <w:pPr>
              <w:pStyle w:val="TableCell"/>
              <w:spacing w:before="60" w:after="60"/>
            </w:pPr>
            <w:r w:rsidRPr="00B36FB8">
              <w:t>0.01968</w:t>
            </w:r>
          </w:p>
        </w:tc>
        <w:tc>
          <w:tcPr>
            <w:tcW w:w="821" w:type="dxa"/>
          </w:tcPr>
          <w:p w:rsidR="00426E20" w:rsidRPr="00B36FB8" w:rsidRDefault="00426E20" w:rsidP="00633FC7">
            <w:pPr>
              <w:pStyle w:val="TableCell"/>
              <w:spacing w:before="60" w:after="60"/>
            </w:pPr>
            <w:r w:rsidRPr="00B36FB8">
              <w:t>5</w:t>
            </w:r>
          </w:p>
        </w:tc>
      </w:tr>
    </w:tbl>
    <w:p w:rsidR="00426E20" w:rsidRDefault="00426E20" w:rsidP="00426E20"/>
    <w:p w:rsidR="00426E20" w:rsidRPr="00426E20" w:rsidRDefault="00426E20" w:rsidP="00426E20">
      <w:pPr>
        <w:rPr>
          <w:rFonts w:ascii="Arial" w:hAnsi="Arial" w:cs="Arial"/>
          <w:b/>
        </w:rPr>
      </w:pPr>
      <w:r w:rsidRPr="00426E20">
        <w:rPr>
          <w:rFonts w:ascii="Arial" w:hAnsi="Arial" w:cs="Arial"/>
          <w:b/>
        </w:rPr>
        <w:t>Sources:</w:t>
      </w:r>
    </w:p>
    <w:p w:rsidR="00426E20" w:rsidRDefault="00426E20" w:rsidP="00426E20">
      <w:pPr>
        <w:pStyle w:val="source1"/>
        <w:numPr>
          <w:ilvl w:val="0"/>
          <w:numId w:val="13"/>
        </w:numPr>
      </w:pPr>
      <w:r>
        <w:t>Nexus Market Research, “Impact Evaluation of the Massachusetts, Rhode Island and Vermont 2003 Residential Lighting Programs”, Final Report, October 1, 2004, p. 43 (Table 4-9)</w:t>
      </w:r>
    </w:p>
    <w:p w:rsidR="00426E20" w:rsidRDefault="00426E20" w:rsidP="00426E20">
      <w:pPr>
        <w:pStyle w:val="source1"/>
      </w:pPr>
      <w:proofErr w:type="gramStart"/>
      <w:r>
        <w:t>Ibid.,</w:t>
      </w:r>
      <w:proofErr w:type="gramEnd"/>
      <w:r>
        <w:t xml:space="preserve"> p. 104 (Table 9-7).  This table adjusts for differences between logged sample and the much larger telephone survey sample and should, therefore, have less bias.</w:t>
      </w:r>
    </w:p>
    <w:p w:rsidR="00426E20" w:rsidRDefault="00426E20" w:rsidP="00426E20">
      <w:pPr>
        <w:pStyle w:val="source1"/>
      </w:pPr>
      <w:proofErr w:type="gramStart"/>
      <w:r>
        <w:t>Ibid.,</w:t>
      </w:r>
      <w:proofErr w:type="gramEnd"/>
      <w:r>
        <w:t xml:space="preserve"> p. 42 (Table 4-7).  These values reflect both actual installations and the % of units planned to be installed within a year from the logged sample.   The logged % is used because the adjusted values (</w:t>
      </w:r>
      <w:proofErr w:type="spellStart"/>
      <w:r w:rsidRPr="00526FC4">
        <w:rPr>
          <w:strike/>
        </w:rPr>
        <w:t>i.e</w:t>
      </w:r>
      <w:proofErr w:type="spellEnd"/>
      <w:r>
        <w:t xml:space="preserve"> to account for differences between logging and telephone survey samples) were not available for both installs and planned installs.  However, this seems appropriate because the % actual installed in the logged sample from this table is essentially identical to the % after adjusting for differences between the logged group and the telephone sample (p. 100, Table 9-3).</w:t>
      </w:r>
    </w:p>
    <w:p w:rsidR="00426E20" w:rsidRDefault="00426E20" w:rsidP="00426E20">
      <w:pPr>
        <w:pStyle w:val="source1"/>
      </w:pPr>
      <w:r>
        <w:t>RLW Analytics, “Development of Common Demand Impacts for Energy Efficiency Measures/Programs for the ISO Forward Capacity Market (FCM)”, prepared for the New England State Program Working Group (SPWG), March 25, 2007, p. IV.</w:t>
      </w:r>
    </w:p>
    <w:p w:rsidR="00426E20" w:rsidRDefault="00426E20" w:rsidP="00426E20">
      <w:pPr>
        <w:pStyle w:val="source1"/>
      </w:pPr>
      <w:r>
        <w:t>Efficiency Vermont</w:t>
      </w:r>
      <w:r w:rsidRPr="00B350D1">
        <w:t>. Technical Reference User Manual: Measure Savings Algorithms and Cost Assumptions (July 2008).</w:t>
      </w:r>
    </w:p>
    <w:p w:rsidR="00426E20" w:rsidRPr="00403912" w:rsidRDefault="00426E20" w:rsidP="00426E20">
      <w:pPr>
        <w:pStyle w:val="source1"/>
      </w:pPr>
      <w:r>
        <w:t xml:space="preserve">United States Department of Energy, </w:t>
      </w:r>
      <w:r>
        <w:rPr>
          <w:i/>
        </w:rPr>
        <w:t>Energy Star CFL Market Profile: Data Trends and Market Insights</w:t>
      </w:r>
      <w:r>
        <w:t>.  Prepared by D&amp;R International, Ltd.: September 2010; pg. 24.</w:t>
      </w:r>
    </w:p>
    <w:p w:rsidR="00426E20" w:rsidRDefault="00426E20" w:rsidP="00426E20">
      <w:pPr>
        <w:pStyle w:val="source1"/>
        <w:numPr>
          <w:ilvl w:val="0"/>
          <w:numId w:val="0"/>
        </w:numPr>
        <w:ind w:left="720"/>
      </w:pPr>
      <w:r>
        <w:lastRenderedPageBreak/>
        <w:t xml:space="preserve">The 1.9 average daily hours of use, for all household socket locations, for all bulbs is based upon two independent large scale comprehensive residential lighting metering studies (one national and on in California). National: U.S. Department of Energy.  US Lighting Market Characterization, Volume 1: National Lighting Inventory and Energy Consumption Estimate. 2002.  California: KEMA, Inc. “Final Evaluation Report: Upstream Lighting Program.” </w:t>
      </w:r>
      <w:proofErr w:type="gramStart"/>
      <w:r>
        <w:t>Prepared for the California Public Utilities Commission, Energy Division.</w:t>
      </w:r>
      <w:proofErr w:type="gramEnd"/>
      <w:r>
        <w:t xml:space="preserve"> February 6, 2010.  </w:t>
      </w:r>
    </w:p>
    <w:p w:rsidR="00426E20" w:rsidRDefault="00426E20" w:rsidP="00426E20">
      <w:pPr>
        <w:rPr>
          <w:rFonts w:cs="Arial"/>
          <w:b/>
          <w:bCs/>
          <w:iCs/>
          <w:sz w:val="24"/>
          <w:szCs w:val="28"/>
        </w:rPr>
      </w:pPr>
    </w:p>
    <w:p w:rsidR="00EE6D92" w:rsidRPr="00180535" w:rsidRDefault="00EE6D92" w:rsidP="000A0B57">
      <w:pPr>
        <w:jc w:val="both"/>
        <w:rPr>
          <w:rFonts w:ascii="Arial" w:hAnsi="Arial" w:cs="Arial"/>
          <w:sz w:val="26"/>
          <w:szCs w:val="26"/>
        </w:rPr>
      </w:pPr>
    </w:p>
    <w:sectPr w:rsidR="00EE6D92" w:rsidRPr="00180535" w:rsidSect="00426E20">
      <w:footerReference w:type="default" r:id="rId16"/>
      <w:pgSz w:w="12240" w:h="15840"/>
      <w:pgMar w:top="1440" w:right="1440" w:bottom="720" w:left="1440" w:header="1440" w:footer="795" w:gutter="0"/>
      <w:pgNumType w:start="10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B98" w:rsidRDefault="00350B98">
      <w:r>
        <w:separator/>
      </w:r>
    </w:p>
  </w:endnote>
  <w:endnote w:type="continuationSeparator" w:id="0">
    <w:p w:rsidR="00350B98" w:rsidRDefault="00350B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E9" w:rsidRDefault="00585A5E">
    <w:pPr>
      <w:pStyle w:val="Footer"/>
      <w:framePr w:wrap="around" w:vAnchor="text" w:hAnchor="margin" w:xAlign="center" w:y="1"/>
      <w:rPr>
        <w:rStyle w:val="PageNumber"/>
      </w:rPr>
    </w:pPr>
    <w:r>
      <w:rPr>
        <w:rStyle w:val="PageNumber"/>
      </w:rPr>
      <w:fldChar w:fldCharType="begin"/>
    </w:r>
    <w:r w:rsidR="006565E9">
      <w:rPr>
        <w:rStyle w:val="PageNumber"/>
      </w:rPr>
      <w:instrText xml:space="preserve">PAGE  </w:instrText>
    </w:r>
    <w:r>
      <w:rPr>
        <w:rStyle w:val="PageNumber"/>
      </w:rPr>
      <w:fldChar w:fldCharType="separate"/>
    </w:r>
    <w:r w:rsidR="006565E9">
      <w:rPr>
        <w:rStyle w:val="PageNumber"/>
        <w:noProof/>
      </w:rPr>
      <w:t>2</w:t>
    </w:r>
    <w:r>
      <w:rPr>
        <w:rStyle w:val="PageNumber"/>
      </w:rPr>
      <w:fldChar w:fldCharType="end"/>
    </w:r>
  </w:p>
  <w:p w:rsidR="006565E9" w:rsidRDefault="006565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12345"/>
      <w:docPartObj>
        <w:docPartGallery w:val="Page Numbers (Bottom of Page)"/>
        <w:docPartUnique/>
      </w:docPartObj>
    </w:sdtPr>
    <w:sdtContent>
      <w:p w:rsidR="006565E9" w:rsidRDefault="00585A5E">
        <w:pPr>
          <w:pStyle w:val="Footer"/>
          <w:jc w:val="center"/>
        </w:pPr>
        <w:r w:rsidRPr="00AD0A9B">
          <w:rPr>
            <w:sz w:val="26"/>
            <w:szCs w:val="26"/>
          </w:rPr>
          <w:fldChar w:fldCharType="begin"/>
        </w:r>
        <w:r w:rsidR="006565E9" w:rsidRPr="00AD0A9B">
          <w:rPr>
            <w:sz w:val="26"/>
            <w:szCs w:val="26"/>
          </w:rPr>
          <w:instrText xml:space="preserve"> PAGE   \* MERGEFORMAT </w:instrText>
        </w:r>
        <w:r w:rsidRPr="00AD0A9B">
          <w:rPr>
            <w:sz w:val="26"/>
            <w:szCs w:val="26"/>
          </w:rPr>
          <w:fldChar w:fldCharType="separate"/>
        </w:r>
        <w:r w:rsidR="007B6949">
          <w:rPr>
            <w:noProof/>
            <w:sz w:val="26"/>
            <w:szCs w:val="26"/>
          </w:rPr>
          <w:t>1</w:t>
        </w:r>
        <w:r w:rsidRPr="00AD0A9B">
          <w:rPr>
            <w:sz w:val="26"/>
            <w:szCs w:val="26"/>
          </w:rPr>
          <w:fldChar w:fldCharType="end"/>
        </w:r>
      </w:p>
    </w:sdtContent>
  </w:sdt>
  <w:p w:rsidR="006565E9" w:rsidRDefault="006565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32471"/>
      <w:docPartObj>
        <w:docPartGallery w:val="Page Numbers (Bottom of Page)"/>
        <w:docPartUnique/>
      </w:docPartObj>
    </w:sdtPr>
    <w:sdtContent>
      <w:p w:rsidR="00CD4C54" w:rsidRDefault="00350B98">
        <w:pPr>
          <w:pStyle w:val="Footer"/>
          <w:jc w:val="right"/>
        </w:pPr>
      </w:p>
      <w:p w:rsidR="00CD4C54" w:rsidRDefault="004B74B6">
        <w:pPr>
          <w:pStyle w:val="Footer"/>
          <w:jc w:val="right"/>
        </w:pPr>
        <w:r w:rsidRPr="00180535">
          <w:rPr>
            <w:rFonts w:ascii="Arial" w:hAnsi="Arial" w:cs="Arial"/>
          </w:rPr>
          <w:t xml:space="preserve">Page | </w:t>
        </w:r>
        <w:r w:rsidR="00585A5E" w:rsidRPr="00180535">
          <w:rPr>
            <w:rFonts w:ascii="Arial" w:hAnsi="Arial" w:cs="Arial"/>
          </w:rPr>
          <w:fldChar w:fldCharType="begin"/>
        </w:r>
        <w:r w:rsidRPr="00180535">
          <w:rPr>
            <w:rFonts w:ascii="Arial" w:hAnsi="Arial" w:cs="Arial"/>
          </w:rPr>
          <w:instrText xml:space="preserve"> PAGE   \* MERGEFORMAT </w:instrText>
        </w:r>
        <w:r w:rsidR="00585A5E" w:rsidRPr="00180535">
          <w:rPr>
            <w:rFonts w:ascii="Arial" w:hAnsi="Arial" w:cs="Arial"/>
          </w:rPr>
          <w:fldChar w:fldCharType="separate"/>
        </w:r>
        <w:r w:rsidR="007B6949">
          <w:rPr>
            <w:rFonts w:ascii="Arial" w:hAnsi="Arial" w:cs="Arial"/>
            <w:noProof/>
          </w:rPr>
          <w:t>34</w:t>
        </w:r>
        <w:r w:rsidR="00585A5E" w:rsidRPr="00180535">
          <w:rPr>
            <w:rFonts w:ascii="Arial" w:hAnsi="Arial" w:cs="Arial"/>
          </w:rPr>
          <w:fldChar w:fldCharType="end"/>
        </w:r>
        <w:r>
          <w:t xml:space="preserve"> </w:t>
        </w:r>
      </w:p>
    </w:sdtContent>
  </w:sdt>
  <w:p w:rsidR="00CD4C54" w:rsidRDefault="00350B9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32475"/>
      <w:docPartObj>
        <w:docPartGallery w:val="Page Numbers (Bottom of Page)"/>
        <w:docPartUnique/>
      </w:docPartObj>
    </w:sdtPr>
    <w:sdtContent>
      <w:p w:rsidR="00EF7EC0" w:rsidRDefault="004B74B6">
        <w:pPr>
          <w:pStyle w:val="Footer"/>
          <w:jc w:val="right"/>
        </w:pPr>
        <w:r w:rsidRPr="00426E20">
          <w:rPr>
            <w:rFonts w:ascii="Arial" w:hAnsi="Arial" w:cs="Arial"/>
          </w:rPr>
          <w:t xml:space="preserve">Page | </w:t>
        </w:r>
        <w:r w:rsidR="00585A5E" w:rsidRPr="00426E20">
          <w:rPr>
            <w:rFonts w:ascii="Arial" w:hAnsi="Arial" w:cs="Arial"/>
          </w:rPr>
          <w:fldChar w:fldCharType="begin"/>
        </w:r>
        <w:r w:rsidRPr="00426E20">
          <w:rPr>
            <w:rFonts w:ascii="Arial" w:hAnsi="Arial" w:cs="Arial"/>
          </w:rPr>
          <w:instrText xml:space="preserve"> PAGE   \* MERGEFORMAT </w:instrText>
        </w:r>
        <w:r w:rsidR="00585A5E" w:rsidRPr="00426E20">
          <w:rPr>
            <w:rFonts w:ascii="Arial" w:hAnsi="Arial" w:cs="Arial"/>
          </w:rPr>
          <w:fldChar w:fldCharType="separate"/>
        </w:r>
        <w:r w:rsidR="007B6949">
          <w:rPr>
            <w:rFonts w:ascii="Arial" w:hAnsi="Arial" w:cs="Arial"/>
            <w:noProof/>
          </w:rPr>
          <w:t>104</w:t>
        </w:r>
        <w:r w:rsidR="00585A5E" w:rsidRPr="00426E20">
          <w:rPr>
            <w:rFonts w:ascii="Arial" w:hAnsi="Arial" w:cs="Arial"/>
          </w:rPr>
          <w:fldChar w:fldCharType="end"/>
        </w:r>
        <w:r>
          <w:t xml:space="preserve"> </w:t>
        </w:r>
      </w:p>
    </w:sdtContent>
  </w:sdt>
  <w:p w:rsidR="00EF7EC0" w:rsidRDefault="00350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B98" w:rsidRDefault="00350B98">
      <w:r>
        <w:separator/>
      </w:r>
    </w:p>
  </w:footnote>
  <w:footnote w:type="continuationSeparator" w:id="0">
    <w:p w:rsidR="00350B98" w:rsidRDefault="00350B98">
      <w:r>
        <w:continuationSeparator/>
      </w:r>
    </w:p>
  </w:footnote>
  <w:footnote w:id="1">
    <w:p w:rsidR="00180535" w:rsidRDefault="00180535" w:rsidP="00180535">
      <w:pPr>
        <w:pStyle w:val="FootnoteText"/>
      </w:pPr>
      <w:r>
        <w:rPr>
          <w:rStyle w:val="FootnoteReference"/>
        </w:rPr>
        <w:footnoteRef/>
      </w:r>
      <w:r>
        <w:t xml:space="preserve"> </w:t>
      </w:r>
      <w:r w:rsidRPr="00F5687D">
        <w:t>Four 23-W CFLs are sent out.  We assume that one replaces a 100W lamp while the remaining CFLs replace 60W lamps.</w:t>
      </w:r>
    </w:p>
  </w:footnote>
  <w:footnote w:id="2">
    <w:p w:rsidR="00180535" w:rsidRDefault="00180535" w:rsidP="00180535">
      <w:pPr>
        <w:pStyle w:val="FootnoteText"/>
      </w:pPr>
      <w:r>
        <w:rPr>
          <w:rStyle w:val="FootnoteReference"/>
        </w:rPr>
        <w:footnoteRef/>
      </w:r>
      <w:r>
        <w:t xml:space="preserve"> </w:t>
      </w:r>
      <w:r w:rsidRPr="00F5687D">
        <w:t>The ISR calculation for aerators is averaged from observations of a binary variable that takes on value 1 if the aerator is installed and the home has electric water heating, 0 otherwise.</w:t>
      </w:r>
    </w:p>
  </w:footnote>
  <w:footnote w:id="3">
    <w:p w:rsidR="00180535" w:rsidRDefault="00180535" w:rsidP="00180535">
      <w:pPr>
        <w:pStyle w:val="FootnoteText"/>
      </w:pPr>
      <w:r>
        <w:rPr>
          <w:rStyle w:val="FootnoteReference"/>
        </w:rPr>
        <w:footnoteRef/>
      </w:r>
      <w:r>
        <w:t xml:space="preserve"> </w:t>
      </w:r>
      <w:r w:rsidRPr="00952ED8">
        <w:t xml:space="preserve">The savings for night lights are 22.07 kWh in the PA Interim TRM, </w:t>
      </w:r>
      <w:r>
        <w:t xml:space="preserve">p. 24.  However, these savings </w:t>
      </w:r>
      <w:r w:rsidRPr="00952ED8">
        <w:t>are the product of 26.3 kWh and an ISR of 0.84.  Since the ISR for the conservation kit items are determined by data gathering during the impact evaluation, the savings for night lights herein are cast as 26.3 × ISR, with ISR as a program-specific empirically determined variable.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3"/>
  </w:num>
  <w:num w:numId="4">
    <w:abstractNumId w:val="5"/>
  </w:num>
  <w:num w:numId="5">
    <w:abstractNumId w:val="10"/>
  </w:num>
  <w:num w:numId="6">
    <w:abstractNumId w:val="4"/>
  </w:num>
  <w:num w:numId="7">
    <w:abstractNumId w:val="11"/>
  </w:num>
  <w:num w:numId="8">
    <w:abstractNumId w:val="9"/>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74A51"/>
    <w:rsid w:val="0000221E"/>
    <w:rsid w:val="00026B9B"/>
    <w:rsid w:val="000315CB"/>
    <w:rsid w:val="00031795"/>
    <w:rsid w:val="0005484F"/>
    <w:rsid w:val="000A0B57"/>
    <w:rsid w:val="000E4437"/>
    <w:rsid w:val="001048C8"/>
    <w:rsid w:val="00111D7A"/>
    <w:rsid w:val="001209F1"/>
    <w:rsid w:val="00142748"/>
    <w:rsid w:val="00180535"/>
    <w:rsid w:val="0019426D"/>
    <w:rsid w:val="00195546"/>
    <w:rsid w:val="001D3268"/>
    <w:rsid w:val="001E1BF3"/>
    <w:rsid w:val="002229C3"/>
    <w:rsid w:val="002326FD"/>
    <w:rsid w:val="0027154A"/>
    <w:rsid w:val="0029471C"/>
    <w:rsid w:val="002B37D7"/>
    <w:rsid w:val="002D1E4B"/>
    <w:rsid w:val="002F0138"/>
    <w:rsid w:val="003150CE"/>
    <w:rsid w:val="00350B98"/>
    <w:rsid w:val="003569E8"/>
    <w:rsid w:val="00361704"/>
    <w:rsid w:val="0037135B"/>
    <w:rsid w:val="003C75BF"/>
    <w:rsid w:val="003E6951"/>
    <w:rsid w:val="00426E20"/>
    <w:rsid w:val="00442D19"/>
    <w:rsid w:val="004B74B6"/>
    <w:rsid w:val="004D2698"/>
    <w:rsid w:val="0051639C"/>
    <w:rsid w:val="00557565"/>
    <w:rsid w:val="0057281F"/>
    <w:rsid w:val="00581B96"/>
    <w:rsid w:val="005849A9"/>
    <w:rsid w:val="00585A5E"/>
    <w:rsid w:val="005A321D"/>
    <w:rsid w:val="005B3AB6"/>
    <w:rsid w:val="005E25C5"/>
    <w:rsid w:val="005F17E7"/>
    <w:rsid w:val="00600948"/>
    <w:rsid w:val="006565E9"/>
    <w:rsid w:val="00660A33"/>
    <w:rsid w:val="00665686"/>
    <w:rsid w:val="006755C0"/>
    <w:rsid w:val="006768AE"/>
    <w:rsid w:val="006F2D71"/>
    <w:rsid w:val="00725127"/>
    <w:rsid w:val="007617B1"/>
    <w:rsid w:val="00763FA1"/>
    <w:rsid w:val="0077378E"/>
    <w:rsid w:val="00774136"/>
    <w:rsid w:val="00782131"/>
    <w:rsid w:val="007B6949"/>
    <w:rsid w:val="007F06E2"/>
    <w:rsid w:val="00822F76"/>
    <w:rsid w:val="00852CD0"/>
    <w:rsid w:val="00856EC1"/>
    <w:rsid w:val="008673D7"/>
    <w:rsid w:val="00877C7E"/>
    <w:rsid w:val="00942E5E"/>
    <w:rsid w:val="0096629A"/>
    <w:rsid w:val="0096632A"/>
    <w:rsid w:val="00996CB1"/>
    <w:rsid w:val="009B23D8"/>
    <w:rsid w:val="009E40EC"/>
    <w:rsid w:val="009F5F66"/>
    <w:rsid w:val="00A20C12"/>
    <w:rsid w:val="00A5263D"/>
    <w:rsid w:val="00A6149B"/>
    <w:rsid w:val="00A65768"/>
    <w:rsid w:val="00A6651B"/>
    <w:rsid w:val="00A74877"/>
    <w:rsid w:val="00A96E3F"/>
    <w:rsid w:val="00AB497F"/>
    <w:rsid w:val="00AB53D2"/>
    <w:rsid w:val="00AD0A9B"/>
    <w:rsid w:val="00B346DF"/>
    <w:rsid w:val="00BC406B"/>
    <w:rsid w:val="00BE4A72"/>
    <w:rsid w:val="00BE5119"/>
    <w:rsid w:val="00BE7271"/>
    <w:rsid w:val="00C01093"/>
    <w:rsid w:val="00C74A51"/>
    <w:rsid w:val="00C77F29"/>
    <w:rsid w:val="00C90506"/>
    <w:rsid w:val="00CA2448"/>
    <w:rsid w:val="00CB5738"/>
    <w:rsid w:val="00CC55DB"/>
    <w:rsid w:val="00CD0FDC"/>
    <w:rsid w:val="00CF047C"/>
    <w:rsid w:val="00CF0782"/>
    <w:rsid w:val="00D11AE6"/>
    <w:rsid w:val="00D160E5"/>
    <w:rsid w:val="00D55933"/>
    <w:rsid w:val="00D55A7A"/>
    <w:rsid w:val="00D62E64"/>
    <w:rsid w:val="00D82F3E"/>
    <w:rsid w:val="00D933B0"/>
    <w:rsid w:val="00E23926"/>
    <w:rsid w:val="00E26FA2"/>
    <w:rsid w:val="00E349DA"/>
    <w:rsid w:val="00E83E92"/>
    <w:rsid w:val="00EE6D92"/>
    <w:rsid w:val="00F04F77"/>
    <w:rsid w:val="00F271A9"/>
    <w:rsid w:val="00F3104B"/>
    <w:rsid w:val="00F43D92"/>
    <w:rsid w:val="00F5640A"/>
    <w:rsid w:val="00F66053"/>
    <w:rsid w:val="00F7094C"/>
    <w:rsid w:val="00F75EE4"/>
    <w:rsid w:val="00F94160"/>
    <w:rsid w:val="00FA0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paragraph" w:styleId="Heading3">
    <w:name w:val="heading 3"/>
    <w:basedOn w:val="Normal"/>
    <w:next w:val="Normal"/>
    <w:link w:val="Heading3Char"/>
    <w:semiHidden/>
    <w:unhideWhenUsed/>
    <w:qFormat/>
    <w:rsid w:val="001805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character" w:customStyle="1" w:styleId="Heading3Char">
    <w:name w:val="Heading 3 Char"/>
    <w:basedOn w:val="DefaultParagraphFont"/>
    <w:link w:val="Heading3"/>
    <w:semiHidden/>
    <w:rsid w:val="00180535"/>
    <w:rPr>
      <w:rFonts w:asciiTheme="majorHAnsi" w:eastAsiaTheme="majorEastAsia" w:hAnsiTheme="majorHAnsi" w:cstheme="majorBidi"/>
      <w:b/>
      <w:bCs/>
      <w:color w:val="4F81BD" w:themeColor="accent1"/>
    </w:rPr>
  </w:style>
  <w:style w:type="paragraph" w:styleId="Caption">
    <w:name w:val="caption"/>
    <w:basedOn w:val="Normal"/>
    <w:next w:val="Normal"/>
    <w:qFormat/>
    <w:rsid w:val="00180535"/>
    <w:pPr>
      <w:keepNext/>
      <w:overflowPunct w:val="0"/>
      <w:autoSpaceDE w:val="0"/>
      <w:autoSpaceDN w:val="0"/>
      <w:adjustRightInd w:val="0"/>
      <w:spacing w:before="120" w:after="120" w:line="288" w:lineRule="auto"/>
      <w:jc w:val="center"/>
      <w:textAlignment w:val="baseline"/>
    </w:pPr>
    <w:rPr>
      <w:rFonts w:ascii="Arial Narrow" w:hAnsi="Arial Narrow"/>
      <w:b/>
      <w:bCs/>
    </w:rPr>
  </w:style>
  <w:style w:type="paragraph" w:customStyle="1" w:styleId="TableCell">
    <w:name w:val="TableCell"/>
    <w:basedOn w:val="Normal"/>
    <w:link w:val="TableCellChar"/>
    <w:uiPriority w:val="99"/>
    <w:rsid w:val="00180535"/>
    <w:pPr>
      <w:keepNext/>
      <w:tabs>
        <w:tab w:val="left" w:pos="720"/>
      </w:tabs>
      <w:overflowPunct w:val="0"/>
      <w:autoSpaceDE w:val="0"/>
      <w:autoSpaceDN w:val="0"/>
      <w:adjustRightInd w:val="0"/>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180535"/>
    <w:rPr>
      <w:rFonts w:ascii="Arial" w:hAnsi="Arial"/>
      <w:sz w:val="18"/>
    </w:rPr>
  </w:style>
  <w:style w:type="paragraph" w:customStyle="1" w:styleId="source1">
    <w:name w:val="source 1"/>
    <w:basedOn w:val="ListParagraph"/>
    <w:qFormat/>
    <w:rsid w:val="00180535"/>
    <w:pPr>
      <w:numPr>
        <w:numId w:val="12"/>
      </w:numPr>
      <w:overflowPunct w:val="0"/>
      <w:autoSpaceDE w:val="0"/>
      <w:autoSpaceDN w:val="0"/>
      <w:spacing w:after="100" w:line="288" w:lineRule="auto"/>
      <w:contextualSpacing w:val="0"/>
      <w:textAlignment w:val="baseline"/>
    </w:pPr>
    <w:rPr>
      <w:rFonts w:ascii="Arial" w:hAnsi="Arial" w:cs="Arial"/>
    </w:rPr>
  </w:style>
  <w:style w:type="paragraph" w:customStyle="1" w:styleId="source2">
    <w:name w:val="source 2"/>
    <w:basedOn w:val="ListParagraph"/>
    <w:qFormat/>
    <w:rsid w:val="00180535"/>
    <w:pPr>
      <w:numPr>
        <w:ilvl w:val="1"/>
        <w:numId w:val="12"/>
      </w:numPr>
      <w:overflowPunct w:val="0"/>
      <w:autoSpaceDE w:val="0"/>
      <w:autoSpaceDN w:val="0"/>
      <w:spacing w:after="100" w:line="288" w:lineRule="auto"/>
      <w:contextualSpacing w:val="0"/>
      <w:textAlignment w:val="baseline"/>
    </w:pPr>
    <w:rPr>
      <w:rFonts w:ascii="Arial" w:eastAsia="Calibri" w:hAnsi="Arial" w:cs="Arial"/>
    </w:rPr>
  </w:style>
  <w:style w:type="paragraph" w:styleId="ListParagraph">
    <w:name w:val="List Paragraph"/>
    <w:basedOn w:val="Normal"/>
    <w:uiPriority w:val="34"/>
    <w:qFormat/>
    <w:rsid w:val="00180535"/>
    <w:pPr>
      <w:ind w:left="720"/>
      <w:contextualSpacing/>
    </w:pPr>
  </w:style>
  <w:style w:type="table" w:customStyle="1" w:styleId="PATable2">
    <w:name w:val="PATable2"/>
    <w:basedOn w:val="TableNormal"/>
    <w:uiPriority w:val="99"/>
    <w:qFormat/>
    <w:rsid w:val="00426E20"/>
    <w:pPr>
      <w:keepNext/>
    </w:pPr>
    <w:rPr>
      <w:rFonts w:ascii="Garamond"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paragraph" w:customStyle="1" w:styleId="StyleCaptionCentered">
    <w:name w:val="Style Caption + Centered"/>
    <w:basedOn w:val="Caption"/>
    <w:rsid w:val="00426E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brown@state.pa.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gshawley@state.pa.us" TargetMode="External"/><Relationship Id="rId4" Type="http://schemas.openxmlformats.org/officeDocument/2006/relationships/settings" Target="settings.xml"/><Relationship Id="rId9" Type="http://schemas.openxmlformats.org/officeDocument/2006/relationships/hyperlink" Target="http://www.puc.state.pa.us/electric/Act129/TRM.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34D7-9BC1-4A62-B24B-172B9804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11</cp:revision>
  <cp:lastPrinted>2010-12-17T17:03:00Z</cp:lastPrinted>
  <dcterms:created xsi:type="dcterms:W3CDTF">2010-12-15T21:17:00Z</dcterms:created>
  <dcterms:modified xsi:type="dcterms:W3CDTF">2010-12-17T17:03:00Z</dcterms:modified>
</cp:coreProperties>
</file>