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0C3609" w:rsidP="003B1503">
      <w:pPr>
        <w:rPr>
          <w:sz w:val="24"/>
          <w:szCs w:val="24"/>
        </w:rPr>
      </w:pPr>
      <w:r>
        <w:rPr>
          <w:sz w:val="24"/>
          <w:szCs w:val="24"/>
        </w:rPr>
        <w:t>Jamal and Aisha McKay</w:t>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Pr>
          <w:sz w:val="24"/>
          <w:szCs w:val="24"/>
        </w:rPr>
        <w:t>C</w:t>
      </w:r>
      <w:r w:rsidRPr="008745A3">
        <w:rPr>
          <w:sz w:val="24"/>
          <w:szCs w:val="24"/>
        </w:rPr>
        <w:t>-20</w:t>
      </w:r>
      <w:r w:rsidR="007D41EF">
        <w:rPr>
          <w:sz w:val="24"/>
          <w:szCs w:val="24"/>
        </w:rPr>
        <w:t>10</w:t>
      </w:r>
      <w:r w:rsidRPr="008745A3">
        <w:rPr>
          <w:sz w:val="24"/>
          <w:szCs w:val="24"/>
        </w:rPr>
        <w:t>-2</w:t>
      </w:r>
      <w:r w:rsidR="007D41EF">
        <w:rPr>
          <w:sz w:val="24"/>
          <w:szCs w:val="24"/>
        </w:rPr>
        <w:t>1</w:t>
      </w:r>
      <w:r w:rsidR="000C3609">
        <w:rPr>
          <w:sz w:val="24"/>
          <w:szCs w:val="24"/>
        </w:rPr>
        <w:t>85908</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w:t>
      </w:r>
      <w:r w:rsidR="000C3609">
        <w:rPr>
          <w:sz w:val="24"/>
          <w:szCs w:val="24"/>
        </w:rPr>
        <w:t>ennsylvania-American Water Company</w:t>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 xml:space="preserve">In accordance with the provisions of 66 </w:t>
      </w:r>
      <w:proofErr w:type="spellStart"/>
      <w:r w:rsidRPr="00C81100">
        <w:rPr>
          <w:sz w:val="24"/>
          <w:szCs w:val="24"/>
        </w:rPr>
        <w:t>Pa.C.S.</w:t>
      </w:r>
      <w:r w:rsidR="007751E5" w:rsidRPr="00C81100">
        <w:rPr>
          <w:sz w:val="24"/>
          <w:szCs w:val="24"/>
        </w:rPr>
        <w:t>A</w:t>
      </w:r>
      <w:proofErr w:type="spellEnd"/>
      <w:r w:rsidR="007751E5" w:rsidRPr="00C81100">
        <w:rPr>
          <w:sz w:val="24"/>
          <w:szCs w:val="24"/>
        </w:rPr>
        <w:t>.</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B145BF">
        <w:rPr>
          <w:b/>
          <w:sz w:val="24"/>
          <w:szCs w:val="24"/>
        </w:rPr>
        <w:t>2</w:t>
      </w:r>
      <w:r w:rsidR="00A66698" w:rsidRPr="00C81100">
        <w:rPr>
          <w:b/>
          <w:sz w:val="24"/>
          <w:szCs w:val="24"/>
        </w:rPr>
        <w:t xml:space="preserve">, Commonwealth Keystone Building, 400 North Street, Harrisburg, Pennsylvania, on </w:t>
      </w:r>
      <w:r w:rsidR="000C3609">
        <w:rPr>
          <w:b/>
          <w:sz w:val="24"/>
          <w:szCs w:val="24"/>
        </w:rPr>
        <w:t>Wednesday</w:t>
      </w:r>
      <w:r w:rsidR="007E5F82" w:rsidRPr="00C81100">
        <w:rPr>
          <w:b/>
          <w:sz w:val="24"/>
          <w:szCs w:val="24"/>
        </w:rPr>
        <w:t>,</w:t>
      </w:r>
      <w:r w:rsidR="0094378D" w:rsidRPr="00C81100">
        <w:rPr>
          <w:b/>
          <w:sz w:val="24"/>
          <w:szCs w:val="24"/>
        </w:rPr>
        <w:t xml:space="preserve"> </w:t>
      </w:r>
      <w:r w:rsidR="000C3609">
        <w:rPr>
          <w:b/>
          <w:sz w:val="24"/>
          <w:szCs w:val="24"/>
        </w:rPr>
        <w:t>January 26</w:t>
      </w:r>
      <w:r w:rsidR="0094378D" w:rsidRPr="00C81100">
        <w:rPr>
          <w:b/>
          <w:sz w:val="24"/>
          <w:szCs w:val="24"/>
        </w:rPr>
        <w:t>, 201</w:t>
      </w:r>
      <w:r w:rsidR="000C3609">
        <w:rPr>
          <w:b/>
          <w:sz w:val="24"/>
          <w:szCs w:val="24"/>
        </w:rPr>
        <w:t>1</w:t>
      </w:r>
      <w:r w:rsidR="0094378D" w:rsidRPr="00C81100">
        <w:rPr>
          <w:b/>
          <w:sz w:val="24"/>
          <w:szCs w:val="24"/>
        </w:rPr>
        <w:t>, at 10:00 a.m.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D67F1" w:rsidRPr="00C81100">
        <w:rPr>
          <w:sz w:val="24"/>
          <w:szCs w:val="24"/>
        </w:rPr>
        <w:t xml:space="preserve">10:00 a.m. on </w:t>
      </w:r>
      <w:r w:rsidR="000C3609">
        <w:rPr>
          <w:sz w:val="24"/>
          <w:szCs w:val="24"/>
        </w:rPr>
        <w:t>Wednesday</w:t>
      </w:r>
      <w:r w:rsidR="007E5F82" w:rsidRPr="00C81100">
        <w:rPr>
          <w:sz w:val="24"/>
          <w:szCs w:val="24"/>
        </w:rPr>
        <w:t xml:space="preserve">, </w:t>
      </w:r>
      <w:r w:rsidR="000C3609">
        <w:rPr>
          <w:sz w:val="24"/>
          <w:szCs w:val="24"/>
        </w:rPr>
        <w:t>January 26</w:t>
      </w:r>
      <w:r w:rsidR="00524411">
        <w:rPr>
          <w:sz w:val="24"/>
          <w:szCs w:val="24"/>
        </w:rPr>
        <w:t xml:space="preserve">, </w:t>
      </w:r>
      <w:r w:rsidR="009D67F1" w:rsidRPr="00C81100">
        <w:rPr>
          <w:sz w:val="24"/>
          <w:szCs w:val="24"/>
        </w:rPr>
        <w:t>20</w:t>
      </w:r>
      <w:r w:rsidR="0094378D" w:rsidRPr="00C81100">
        <w:rPr>
          <w:sz w:val="24"/>
          <w:szCs w:val="24"/>
        </w:rPr>
        <w:t>1</w:t>
      </w:r>
      <w:r w:rsidR="000C3609">
        <w:rPr>
          <w:sz w:val="24"/>
          <w:szCs w:val="24"/>
        </w:rPr>
        <w:t>1</w:t>
      </w:r>
      <w:r w:rsidR="009D67F1" w:rsidRPr="00C81100">
        <w:rPr>
          <w:sz w:val="24"/>
          <w:szCs w:val="24"/>
        </w:rPr>
        <w:t>, in Hearing Room</w:t>
      </w:r>
      <w:r w:rsidR="00C85CA5" w:rsidRPr="00C81100">
        <w:rPr>
          <w:sz w:val="24"/>
          <w:szCs w:val="24"/>
        </w:rPr>
        <w:t xml:space="preserve"> </w:t>
      </w:r>
      <w:r w:rsidR="00B145BF">
        <w:rPr>
          <w:sz w:val="24"/>
          <w:szCs w:val="24"/>
        </w:rPr>
        <w:t>2</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7" w:history="1">
        <w:r w:rsidRPr="00C81100">
          <w:rPr>
            <w:rStyle w:val="Hyperlink"/>
            <w:sz w:val="24"/>
            <w:szCs w:val="24"/>
          </w:rPr>
          <w:t>debuckley@state.pa.us</w:t>
        </w:r>
      </w:hyperlink>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 xml:space="preserve">ecretary’s Bureau </w:t>
      </w:r>
      <w:r w:rsidRPr="00C81100">
        <w:rPr>
          <w:sz w:val="24"/>
          <w:szCs w:val="24"/>
        </w:rPr>
        <w:lastRenderedPageBreak/>
        <w:t>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0C3609">
        <w:rPr>
          <w:sz w:val="24"/>
          <w:szCs w:val="24"/>
        </w:rPr>
        <w:t>Friday,</w:t>
      </w:r>
      <w:r w:rsidR="008F2448">
        <w:rPr>
          <w:sz w:val="24"/>
          <w:szCs w:val="24"/>
        </w:rPr>
        <w:t xml:space="preserve"> </w:t>
      </w:r>
      <w:r w:rsidR="000C3609" w:rsidRPr="000C3609">
        <w:rPr>
          <w:b/>
          <w:sz w:val="24"/>
          <w:szCs w:val="24"/>
        </w:rPr>
        <w:t>January 14, 2011</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lastRenderedPageBreak/>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C3609">
        <w:rPr>
          <w:sz w:val="24"/>
          <w:szCs w:val="24"/>
          <w:u w:val="single"/>
        </w:rPr>
        <w:t>December</w:t>
      </w:r>
      <w:r w:rsidR="00712615">
        <w:rPr>
          <w:sz w:val="24"/>
          <w:szCs w:val="24"/>
          <w:u w:val="single"/>
        </w:rPr>
        <w:t xml:space="preserve"> 16</w:t>
      </w:r>
      <w:r w:rsidR="005031B5" w:rsidRPr="00C81100">
        <w:rPr>
          <w:sz w:val="24"/>
          <w:szCs w:val="24"/>
          <w:u w:val="single"/>
        </w:rPr>
        <w:t>, 2010</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1E3484" w:rsidRDefault="00777417" w:rsidP="00115DAF">
      <w:pPr>
        <w:widowControl w:val="0"/>
        <w:rPr>
          <w:sz w:val="24"/>
          <w:szCs w:val="24"/>
        </w:rPr>
        <w:sectPr w:rsidR="001E3484" w:rsidSect="006B08C2">
          <w:footerReference w:type="even" r:id="rId8"/>
          <w:footerReference w:type="default" r:id="rId9"/>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1E3484" w:rsidRPr="00613D52" w:rsidRDefault="001E3484" w:rsidP="001E3484">
      <w:pPr>
        <w:rPr>
          <w:rFonts w:ascii="Microsoft Sans Serif" w:hAnsi="Microsoft Sans Serif" w:cs="Microsoft Sans Serif"/>
          <w:b/>
          <w:u w:val="single"/>
        </w:rPr>
      </w:pPr>
      <w:r w:rsidRPr="00613D52">
        <w:rPr>
          <w:rFonts w:ascii="Microsoft Sans Serif" w:hAnsi="Microsoft Sans Serif" w:cs="Microsoft Sans Serif"/>
          <w:b/>
          <w:noProof/>
          <w:u w:val="single"/>
        </w:rPr>
        <w:lastRenderedPageBreak/>
        <w:t>C-2010-2185908</w:t>
      </w:r>
      <w:r w:rsidRPr="00613D52">
        <w:rPr>
          <w:rFonts w:ascii="Microsoft Sans Serif" w:hAnsi="Microsoft Sans Serif" w:cs="Microsoft Sans Serif"/>
          <w:b/>
          <w:u w:val="single"/>
        </w:rPr>
        <w:t xml:space="preserve"> - </w:t>
      </w:r>
      <w:r w:rsidRPr="00613D52">
        <w:rPr>
          <w:rFonts w:ascii="Microsoft Sans Serif" w:hAnsi="Microsoft Sans Serif" w:cs="Microsoft Sans Serif"/>
          <w:noProof/>
          <w:u w:val="single"/>
        </w:rPr>
        <w:t>JAMAL &amp; AISHA MCKAY V. PENNSYLVANIA-AMERICAN WATER COMPANY</w:t>
      </w:r>
    </w:p>
    <w:p w:rsidR="001E3484" w:rsidRPr="004E33E4" w:rsidRDefault="001E3484" w:rsidP="001E3484">
      <w:pPr>
        <w:rPr>
          <w:rFonts w:ascii="Microsoft Sans Serif" w:hAnsi="Microsoft Sans Serif" w:cs="Microsoft Sans Serif"/>
        </w:rPr>
      </w:pPr>
    </w:p>
    <w:p w:rsidR="001E3484" w:rsidRPr="004E33E4" w:rsidRDefault="001E3484" w:rsidP="001E3484">
      <w:pPr>
        <w:rPr>
          <w:rFonts w:ascii="Microsoft Sans Serif" w:hAnsi="Microsoft Sans Serif" w:cs="Microsoft Sans Serif"/>
        </w:rPr>
      </w:pP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ATTORNEY BRIAN J. KNIPE</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BUCHANAN INGERSOLL &amp; ROONEY, PC</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17 NORTH SECOND STREET</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15TH FLOOR</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HARRISBURG</w:t>
      </w:r>
      <w:r w:rsidRPr="004E33E4">
        <w:rPr>
          <w:rFonts w:ascii="Microsoft Sans Serif" w:hAnsi="Microsoft Sans Serif" w:cs="Microsoft Sans Serif"/>
        </w:rPr>
        <w:t xml:space="preserve"> </w:t>
      </w:r>
      <w:r w:rsidRPr="00F5147C">
        <w:rPr>
          <w:rFonts w:ascii="Microsoft Sans Serif" w:hAnsi="Microsoft Sans Serif" w:cs="Microsoft Sans Serif"/>
          <w:noProof/>
        </w:rPr>
        <w:t>PA</w:t>
      </w:r>
      <w:r w:rsidRPr="004E33E4">
        <w:rPr>
          <w:rFonts w:ascii="Microsoft Sans Serif" w:hAnsi="Microsoft Sans Serif" w:cs="Microsoft Sans Serif"/>
        </w:rPr>
        <w:t xml:space="preserve">  </w:t>
      </w:r>
      <w:r w:rsidRPr="00F5147C">
        <w:rPr>
          <w:rFonts w:ascii="Microsoft Sans Serif" w:hAnsi="Microsoft Sans Serif" w:cs="Microsoft Sans Serif"/>
          <w:noProof/>
        </w:rPr>
        <w:t>17101-1503</w:t>
      </w:r>
    </w:p>
    <w:p w:rsidR="001E3484" w:rsidRPr="004E33E4" w:rsidRDefault="001E3484" w:rsidP="001E3484">
      <w:pPr>
        <w:rPr>
          <w:rFonts w:ascii="Microsoft Sans Serif" w:hAnsi="Microsoft Sans Serif" w:cs="Microsoft Sans Serif"/>
        </w:rPr>
      </w:pPr>
    </w:p>
    <w:p w:rsidR="001E3484" w:rsidRPr="004E33E4" w:rsidRDefault="001E3484" w:rsidP="001E3484">
      <w:pPr>
        <w:rPr>
          <w:rFonts w:ascii="Microsoft Sans Serif" w:hAnsi="Microsoft Sans Serif" w:cs="Microsoft Sans Serif"/>
        </w:rPr>
      </w:pP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JAMAL &amp; AISHA MCKAY</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7873 COUNTRY PLACE DR</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LOT G37</w:t>
      </w:r>
    </w:p>
    <w:p w:rsidR="001E3484" w:rsidRPr="004E33E4" w:rsidRDefault="001E3484" w:rsidP="001E3484">
      <w:pPr>
        <w:rPr>
          <w:rFonts w:ascii="Microsoft Sans Serif" w:hAnsi="Microsoft Sans Serif" w:cs="Microsoft Sans Serif"/>
        </w:rPr>
      </w:pPr>
      <w:r w:rsidRPr="00F5147C">
        <w:rPr>
          <w:rFonts w:ascii="Microsoft Sans Serif" w:hAnsi="Microsoft Sans Serif" w:cs="Microsoft Sans Serif"/>
          <w:noProof/>
        </w:rPr>
        <w:t>TOBYHANNA</w:t>
      </w:r>
      <w:r w:rsidRPr="004E33E4">
        <w:rPr>
          <w:rFonts w:ascii="Microsoft Sans Serif" w:hAnsi="Microsoft Sans Serif" w:cs="Microsoft Sans Serif"/>
        </w:rPr>
        <w:t xml:space="preserve"> </w:t>
      </w:r>
      <w:r w:rsidRPr="00F5147C">
        <w:rPr>
          <w:rFonts w:ascii="Microsoft Sans Serif" w:hAnsi="Microsoft Sans Serif" w:cs="Microsoft Sans Serif"/>
          <w:noProof/>
        </w:rPr>
        <w:t>PA</w:t>
      </w:r>
      <w:r w:rsidRPr="004E33E4">
        <w:rPr>
          <w:rFonts w:ascii="Microsoft Sans Serif" w:hAnsi="Microsoft Sans Serif" w:cs="Microsoft Sans Serif"/>
        </w:rPr>
        <w:t xml:space="preserve">  </w:t>
      </w:r>
      <w:r w:rsidRPr="00F5147C">
        <w:rPr>
          <w:rFonts w:ascii="Microsoft Sans Serif" w:hAnsi="Microsoft Sans Serif" w:cs="Microsoft Sans Serif"/>
          <w:noProof/>
        </w:rPr>
        <w:t>18466</w:t>
      </w:r>
    </w:p>
    <w:p w:rsidR="001600B8" w:rsidRPr="00C81100" w:rsidRDefault="001600B8" w:rsidP="00115DAF">
      <w:pPr>
        <w:widowControl w:val="0"/>
        <w:rPr>
          <w:sz w:val="24"/>
          <w:szCs w:val="24"/>
        </w:rPr>
      </w:pPr>
    </w:p>
    <w:sectPr w:rsidR="001600B8" w:rsidRPr="00C81100" w:rsidSect="001E3484">
      <w:pgSz w:w="12240" w:h="15840" w:code="1"/>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B09" w:rsidRDefault="00187B09">
      <w:r>
        <w:separator/>
      </w:r>
    </w:p>
  </w:endnote>
  <w:endnote w:type="continuationSeparator" w:id="0">
    <w:p w:rsidR="00187B09" w:rsidRDefault="00187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A317CF"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A317CF"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1E3484">
      <w:rPr>
        <w:rStyle w:val="PageNumber"/>
        <w:noProof/>
      </w:rPr>
      <w:t>4</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B09" w:rsidRDefault="00187B09">
      <w:r>
        <w:separator/>
      </w:r>
    </w:p>
  </w:footnote>
  <w:footnote w:type="continuationSeparator" w:id="0">
    <w:p w:rsidR="00187B09" w:rsidRDefault="00187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B40DB"/>
    <w:rsid w:val="000C29CA"/>
    <w:rsid w:val="000C3609"/>
    <w:rsid w:val="000D39CD"/>
    <w:rsid w:val="000E64D7"/>
    <w:rsid w:val="001109E2"/>
    <w:rsid w:val="00115DAF"/>
    <w:rsid w:val="00122DFB"/>
    <w:rsid w:val="00150EB1"/>
    <w:rsid w:val="001600B8"/>
    <w:rsid w:val="0016688B"/>
    <w:rsid w:val="00166B0E"/>
    <w:rsid w:val="001765C3"/>
    <w:rsid w:val="00187B09"/>
    <w:rsid w:val="001C5B6F"/>
    <w:rsid w:val="001E1C95"/>
    <w:rsid w:val="001E3484"/>
    <w:rsid w:val="001F7F8A"/>
    <w:rsid w:val="00212490"/>
    <w:rsid w:val="00251B56"/>
    <w:rsid w:val="002B0937"/>
    <w:rsid w:val="002D3280"/>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50652"/>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D205E"/>
    <w:rsid w:val="009D67F1"/>
    <w:rsid w:val="009E7BFB"/>
    <w:rsid w:val="009F1C01"/>
    <w:rsid w:val="00A01330"/>
    <w:rsid w:val="00A07660"/>
    <w:rsid w:val="00A317CF"/>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280"/>
    <w:pPr>
      <w:autoSpaceDE w:val="0"/>
      <w:autoSpaceDN w:val="0"/>
    </w:pPr>
  </w:style>
  <w:style w:type="paragraph" w:styleId="Heading1">
    <w:name w:val="heading 1"/>
    <w:basedOn w:val="Normal"/>
    <w:next w:val="Normal"/>
    <w:qFormat/>
    <w:rsid w:val="002D3280"/>
    <w:pPr>
      <w:keepNext/>
      <w:widowControl w:val="0"/>
      <w:outlineLvl w:val="0"/>
    </w:pPr>
    <w:rPr>
      <w:sz w:val="26"/>
      <w:szCs w:val="26"/>
    </w:rPr>
  </w:style>
  <w:style w:type="paragraph" w:styleId="Heading2">
    <w:name w:val="heading 2"/>
    <w:basedOn w:val="Normal"/>
    <w:next w:val="Normal"/>
    <w:qFormat/>
    <w:rsid w:val="002D3280"/>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D3280"/>
    <w:pPr>
      <w:widowControl w:val="0"/>
      <w:spacing w:line="360" w:lineRule="auto"/>
      <w:ind w:firstLine="1440"/>
    </w:pPr>
    <w:rPr>
      <w:sz w:val="26"/>
      <w:szCs w:val="26"/>
    </w:rPr>
  </w:style>
  <w:style w:type="paragraph" w:styleId="BodyTextIndent2">
    <w:name w:val="Body Text Indent 2"/>
    <w:basedOn w:val="Normal"/>
    <w:rsid w:val="002D3280"/>
    <w:pPr>
      <w:widowControl w:val="0"/>
      <w:spacing w:line="360" w:lineRule="auto"/>
      <w:ind w:left="1440" w:firstLine="720"/>
    </w:pPr>
    <w:rPr>
      <w:sz w:val="26"/>
      <w:szCs w:val="26"/>
    </w:rPr>
  </w:style>
  <w:style w:type="paragraph" w:styleId="BodyTextIndent3">
    <w:name w:val="Body Text Indent 3"/>
    <w:basedOn w:val="Normal"/>
    <w:rsid w:val="002D3280"/>
    <w:pPr>
      <w:widowControl w:val="0"/>
      <w:spacing w:line="480" w:lineRule="atLeast"/>
      <w:ind w:firstLine="720"/>
      <w:jc w:val="both"/>
    </w:pPr>
    <w:rPr>
      <w:sz w:val="26"/>
      <w:szCs w:val="26"/>
    </w:rPr>
  </w:style>
  <w:style w:type="paragraph" w:customStyle="1" w:styleId="ParaTab1">
    <w:name w:val="ParaTab 1"/>
    <w:rsid w:val="002D3280"/>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4889</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2010-11-16T16:35:00Z</cp:lastPrinted>
  <dcterms:created xsi:type="dcterms:W3CDTF">2010-12-20T16:41:00Z</dcterms:created>
  <dcterms:modified xsi:type="dcterms:W3CDTF">2010-12-20T16:41:00Z</dcterms:modified>
</cp:coreProperties>
</file>