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ED" w:rsidRPr="0042082F" w:rsidRDefault="00A165ED" w:rsidP="000E0862">
      <w:pPr>
        <w:spacing w:line="240" w:lineRule="auto"/>
        <w:rPr>
          <w:b/>
          <w:sz w:val="26"/>
          <w:szCs w:val="26"/>
        </w:rPr>
      </w:pPr>
      <w:r w:rsidRPr="0042082F">
        <w:rPr>
          <w:b/>
          <w:sz w:val="26"/>
          <w:szCs w:val="26"/>
        </w:rPr>
        <w:t>PENNSYLVANIA</w:t>
      </w:r>
    </w:p>
    <w:p w:rsidR="00A165ED" w:rsidRPr="0042082F" w:rsidRDefault="00A165ED" w:rsidP="000E0862">
      <w:pPr>
        <w:spacing w:line="240" w:lineRule="auto"/>
        <w:rPr>
          <w:b/>
          <w:sz w:val="26"/>
          <w:szCs w:val="26"/>
        </w:rPr>
      </w:pPr>
      <w:r w:rsidRPr="0042082F">
        <w:rPr>
          <w:b/>
          <w:sz w:val="26"/>
          <w:szCs w:val="26"/>
        </w:rPr>
        <w:t>PUBLIC UTILITY COMMISSION</w:t>
      </w:r>
    </w:p>
    <w:p w:rsidR="00A165ED" w:rsidRPr="0042082F" w:rsidRDefault="00A165ED" w:rsidP="000E0862">
      <w:pPr>
        <w:spacing w:line="240" w:lineRule="auto"/>
        <w:rPr>
          <w:b/>
          <w:sz w:val="26"/>
          <w:szCs w:val="26"/>
        </w:rPr>
      </w:pPr>
      <w:r w:rsidRPr="0042082F">
        <w:rPr>
          <w:b/>
          <w:sz w:val="26"/>
          <w:szCs w:val="26"/>
        </w:rPr>
        <w:t>Harrisburg, PA 17105-3265</w:t>
      </w:r>
    </w:p>
    <w:p w:rsidR="00A165ED" w:rsidRPr="0042082F" w:rsidRDefault="00A165ED" w:rsidP="000E0862">
      <w:pPr>
        <w:spacing w:line="240" w:lineRule="auto"/>
        <w:rPr>
          <w:sz w:val="26"/>
          <w:szCs w:val="26"/>
        </w:rPr>
      </w:pPr>
    </w:p>
    <w:p w:rsidR="00A165ED" w:rsidRPr="0042082F" w:rsidRDefault="00A165ED" w:rsidP="000E0862">
      <w:pPr>
        <w:spacing w:line="240" w:lineRule="auto"/>
        <w:jc w:val="right"/>
        <w:rPr>
          <w:sz w:val="26"/>
          <w:szCs w:val="26"/>
        </w:rPr>
      </w:pPr>
      <w:r w:rsidRPr="0042082F">
        <w:rPr>
          <w:sz w:val="26"/>
          <w:szCs w:val="26"/>
        </w:rPr>
        <w:t>Public Meeting Held December 16, 2010</w:t>
      </w:r>
    </w:p>
    <w:p w:rsidR="00A165ED" w:rsidRPr="0042082F" w:rsidRDefault="00A165ED" w:rsidP="000E0862">
      <w:pPr>
        <w:spacing w:line="240" w:lineRule="auto"/>
        <w:rPr>
          <w:b/>
          <w:sz w:val="26"/>
          <w:szCs w:val="26"/>
        </w:rPr>
      </w:pPr>
    </w:p>
    <w:p w:rsidR="00A165ED" w:rsidRDefault="00A165ED" w:rsidP="000E0862">
      <w:pPr>
        <w:spacing w:line="240" w:lineRule="auto"/>
        <w:jc w:val="left"/>
        <w:rPr>
          <w:sz w:val="26"/>
          <w:szCs w:val="26"/>
        </w:rPr>
      </w:pPr>
      <w:r>
        <w:rPr>
          <w:sz w:val="26"/>
          <w:szCs w:val="26"/>
        </w:rPr>
        <w:t>Commissioners Present:</w:t>
      </w:r>
    </w:p>
    <w:p w:rsidR="00A165ED" w:rsidRDefault="00A165ED" w:rsidP="000E0862">
      <w:pPr>
        <w:spacing w:line="240" w:lineRule="auto"/>
        <w:jc w:val="left"/>
        <w:rPr>
          <w:sz w:val="26"/>
          <w:szCs w:val="26"/>
        </w:rPr>
      </w:pPr>
    </w:p>
    <w:p w:rsidR="00A165ED" w:rsidRPr="007C22C3" w:rsidRDefault="00A165ED" w:rsidP="000E0862">
      <w:pPr>
        <w:spacing w:line="240" w:lineRule="auto"/>
        <w:ind w:firstLine="720"/>
        <w:jc w:val="left"/>
        <w:rPr>
          <w:sz w:val="26"/>
          <w:szCs w:val="26"/>
        </w:rPr>
      </w:pPr>
      <w:r w:rsidRPr="007C22C3">
        <w:rPr>
          <w:sz w:val="26"/>
          <w:szCs w:val="26"/>
        </w:rPr>
        <w:t>James H. Cawley, Chairman</w:t>
      </w:r>
      <w:r w:rsidR="00DB4376" w:rsidRPr="007C22C3">
        <w:rPr>
          <w:sz w:val="26"/>
          <w:szCs w:val="26"/>
        </w:rPr>
        <w:t xml:space="preserve">, </w:t>
      </w:r>
      <w:r w:rsidR="00823141" w:rsidRPr="007C22C3">
        <w:rPr>
          <w:sz w:val="26"/>
          <w:szCs w:val="26"/>
        </w:rPr>
        <w:t>Partial Dissenting Statement (Rate Design)</w:t>
      </w:r>
    </w:p>
    <w:p w:rsidR="00A165ED" w:rsidRPr="007C22C3" w:rsidRDefault="00A165ED" w:rsidP="007E716E">
      <w:pPr>
        <w:spacing w:line="240" w:lineRule="auto"/>
        <w:ind w:firstLine="720"/>
        <w:jc w:val="both"/>
        <w:rPr>
          <w:sz w:val="26"/>
          <w:szCs w:val="26"/>
        </w:rPr>
      </w:pPr>
      <w:r w:rsidRPr="007C22C3">
        <w:rPr>
          <w:sz w:val="26"/>
          <w:szCs w:val="26"/>
        </w:rPr>
        <w:t>Tyrone J. Christy, Vice Chairman</w:t>
      </w:r>
      <w:r w:rsidR="007C22C3" w:rsidRPr="007C22C3">
        <w:rPr>
          <w:sz w:val="26"/>
          <w:szCs w:val="26"/>
        </w:rPr>
        <w:t>, Partial Dissent All-In/All-Out Requirement</w:t>
      </w:r>
    </w:p>
    <w:p w:rsidR="00A165ED" w:rsidRPr="007C22C3" w:rsidRDefault="00A165ED" w:rsidP="007C22C3">
      <w:pPr>
        <w:spacing w:line="240" w:lineRule="auto"/>
        <w:ind w:firstLine="720"/>
        <w:jc w:val="left"/>
        <w:rPr>
          <w:sz w:val="26"/>
          <w:szCs w:val="26"/>
        </w:rPr>
      </w:pPr>
      <w:r w:rsidRPr="007C22C3">
        <w:rPr>
          <w:sz w:val="26"/>
          <w:szCs w:val="26"/>
        </w:rPr>
        <w:t>John F. Coleman, Jr.</w:t>
      </w:r>
    </w:p>
    <w:p w:rsidR="00A165ED" w:rsidRPr="007C22C3" w:rsidRDefault="00A165ED" w:rsidP="000E0862">
      <w:pPr>
        <w:spacing w:line="240" w:lineRule="auto"/>
        <w:ind w:firstLine="720"/>
        <w:jc w:val="left"/>
        <w:rPr>
          <w:sz w:val="26"/>
          <w:szCs w:val="26"/>
        </w:rPr>
      </w:pPr>
      <w:r w:rsidRPr="007C22C3">
        <w:rPr>
          <w:sz w:val="26"/>
          <w:szCs w:val="26"/>
        </w:rPr>
        <w:t>Wayne E. Gardner</w:t>
      </w:r>
      <w:r w:rsidR="00823141" w:rsidRPr="007C22C3">
        <w:rPr>
          <w:sz w:val="26"/>
          <w:szCs w:val="26"/>
        </w:rPr>
        <w:t>, Partial Dissenting Statement (Rate Design)</w:t>
      </w:r>
    </w:p>
    <w:p w:rsidR="00A165ED" w:rsidRPr="007C22C3" w:rsidRDefault="00A165ED" w:rsidP="000E0862">
      <w:pPr>
        <w:spacing w:line="240" w:lineRule="auto"/>
        <w:ind w:firstLine="720"/>
        <w:jc w:val="left"/>
        <w:rPr>
          <w:sz w:val="26"/>
          <w:szCs w:val="26"/>
        </w:rPr>
      </w:pPr>
      <w:r w:rsidRPr="007C22C3">
        <w:rPr>
          <w:sz w:val="26"/>
          <w:szCs w:val="26"/>
        </w:rPr>
        <w:t>Robert F. Powelson</w:t>
      </w:r>
    </w:p>
    <w:p w:rsidR="00450708" w:rsidRDefault="00450708" w:rsidP="000E0862">
      <w:pPr>
        <w:tabs>
          <w:tab w:val="left" w:pos="720"/>
          <w:tab w:val="left" w:pos="5040"/>
        </w:tabs>
        <w:spacing w:line="240" w:lineRule="auto"/>
        <w:jc w:val="left"/>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F5B12" w:rsidTr="005218D1">
        <w:trPr>
          <w:trHeight w:val="315"/>
        </w:trPr>
        <w:tc>
          <w:tcPr>
            <w:tcW w:w="4788" w:type="dxa"/>
          </w:tcPr>
          <w:p w:rsidR="00FF5B12" w:rsidRDefault="00FF5B12" w:rsidP="000E0862">
            <w:pPr>
              <w:spacing w:line="240" w:lineRule="auto"/>
              <w:jc w:val="left"/>
              <w:rPr>
                <w:sz w:val="26"/>
                <w:szCs w:val="26"/>
              </w:rPr>
            </w:pPr>
            <w:r w:rsidRPr="0042082F">
              <w:rPr>
                <w:sz w:val="26"/>
                <w:szCs w:val="26"/>
              </w:rPr>
              <w:t>Pennsylvania Public Utility Commission</w:t>
            </w:r>
          </w:p>
        </w:tc>
        <w:tc>
          <w:tcPr>
            <w:tcW w:w="4788" w:type="dxa"/>
          </w:tcPr>
          <w:p w:rsidR="00FF5B12" w:rsidRDefault="00FF5B12" w:rsidP="000E0862">
            <w:pPr>
              <w:spacing w:line="240" w:lineRule="auto"/>
              <w:jc w:val="right"/>
              <w:rPr>
                <w:sz w:val="26"/>
                <w:szCs w:val="26"/>
              </w:rPr>
            </w:pPr>
            <w:r w:rsidRPr="0042082F">
              <w:rPr>
                <w:sz w:val="26"/>
                <w:szCs w:val="26"/>
              </w:rPr>
              <w:t>R-2010-2161694</w:t>
            </w:r>
          </w:p>
        </w:tc>
      </w:tr>
      <w:tr w:rsidR="00A85133" w:rsidTr="003753BE">
        <w:trPr>
          <w:trHeight w:val="360"/>
        </w:trPr>
        <w:tc>
          <w:tcPr>
            <w:tcW w:w="4788" w:type="dxa"/>
          </w:tcPr>
          <w:p w:rsidR="00A85133" w:rsidRPr="0042082F" w:rsidRDefault="00A85133" w:rsidP="000E0862">
            <w:pPr>
              <w:spacing w:line="240" w:lineRule="auto"/>
              <w:jc w:val="left"/>
              <w:rPr>
                <w:sz w:val="26"/>
                <w:szCs w:val="26"/>
              </w:rPr>
            </w:pPr>
            <w:r>
              <w:rPr>
                <w:sz w:val="26"/>
                <w:szCs w:val="26"/>
              </w:rPr>
              <w:t>Office of Consumer Advocate</w:t>
            </w:r>
          </w:p>
        </w:tc>
        <w:tc>
          <w:tcPr>
            <w:tcW w:w="4788" w:type="dxa"/>
          </w:tcPr>
          <w:p w:rsidR="00A85133" w:rsidRPr="0042082F" w:rsidRDefault="007C1BD4" w:rsidP="000E0862">
            <w:pPr>
              <w:spacing w:line="240" w:lineRule="auto"/>
              <w:jc w:val="right"/>
              <w:rPr>
                <w:sz w:val="26"/>
                <w:szCs w:val="26"/>
              </w:rPr>
            </w:pPr>
            <w:r>
              <w:rPr>
                <w:sz w:val="26"/>
                <w:szCs w:val="26"/>
              </w:rPr>
              <w:t>C-2010-2171967</w:t>
            </w:r>
          </w:p>
        </w:tc>
      </w:tr>
      <w:tr w:rsidR="00BD5497" w:rsidTr="005218D1">
        <w:trPr>
          <w:trHeight w:val="180"/>
        </w:trPr>
        <w:tc>
          <w:tcPr>
            <w:tcW w:w="4788" w:type="dxa"/>
          </w:tcPr>
          <w:p w:rsidR="00BD5497" w:rsidRDefault="00BD5497" w:rsidP="000E0862">
            <w:pPr>
              <w:spacing w:line="240" w:lineRule="auto"/>
              <w:jc w:val="left"/>
              <w:rPr>
                <w:sz w:val="26"/>
                <w:szCs w:val="26"/>
              </w:rPr>
            </w:pPr>
            <w:r>
              <w:rPr>
                <w:sz w:val="26"/>
                <w:szCs w:val="26"/>
              </w:rPr>
              <w:t>Office of Small Business Advocate</w:t>
            </w:r>
          </w:p>
        </w:tc>
        <w:tc>
          <w:tcPr>
            <w:tcW w:w="4788" w:type="dxa"/>
          </w:tcPr>
          <w:p w:rsidR="00BD5497" w:rsidRPr="00EC27FA" w:rsidRDefault="00BD5497" w:rsidP="000E0862">
            <w:pPr>
              <w:jc w:val="right"/>
              <w:rPr>
                <w:sz w:val="26"/>
                <w:szCs w:val="26"/>
              </w:rPr>
            </w:pPr>
            <w:r>
              <w:rPr>
                <w:sz w:val="26"/>
                <w:szCs w:val="26"/>
              </w:rPr>
              <w:t>C-2010-2174138</w:t>
            </w:r>
          </w:p>
        </w:tc>
      </w:tr>
      <w:tr w:rsidR="00A85133" w:rsidTr="005218D1">
        <w:trPr>
          <w:trHeight w:val="270"/>
        </w:trPr>
        <w:tc>
          <w:tcPr>
            <w:tcW w:w="4788" w:type="dxa"/>
          </w:tcPr>
          <w:p w:rsidR="00A85133" w:rsidRDefault="00A85133" w:rsidP="000E0862">
            <w:pPr>
              <w:spacing w:line="240" w:lineRule="auto"/>
              <w:jc w:val="left"/>
              <w:rPr>
                <w:sz w:val="26"/>
                <w:szCs w:val="26"/>
              </w:rPr>
            </w:pPr>
            <w:r w:rsidRPr="00D17A61">
              <w:rPr>
                <w:sz w:val="26"/>
                <w:szCs w:val="26"/>
              </w:rPr>
              <w:t>PP&amp;L Industrial Customer Alliance</w:t>
            </w:r>
          </w:p>
        </w:tc>
        <w:tc>
          <w:tcPr>
            <w:tcW w:w="4788" w:type="dxa"/>
          </w:tcPr>
          <w:p w:rsidR="00A85133" w:rsidRDefault="00A85133" w:rsidP="000E0862">
            <w:pPr>
              <w:jc w:val="right"/>
              <w:rPr>
                <w:sz w:val="26"/>
                <w:szCs w:val="26"/>
              </w:rPr>
            </w:pPr>
            <w:r w:rsidRPr="00A85133">
              <w:rPr>
                <w:sz w:val="26"/>
                <w:szCs w:val="26"/>
              </w:rPr>
              <w:t>C-2010-2176959</w:t>
            </w:r>
          </w:p>
        </w:tc>
      </w:tr>
      <w:tr w:rsidR="00BD5497" w:rsidTr="00990F44">
        <w:trPr>
          <w:trHeight w:val="360"/>
        </w:trPr>
        <w:tc>
          <w:tcPr>
            <w:tcW w:w="4788" w:type="dxa"/>
          </w:tcPr>
          <w:p w:rsidR="00BD5497" w:rsidRDefault="00BD5497" w:rsidP="000E0862">
            <w:pPr>
              <w:spacing w:line="240" w:lineRule="auto"/>
              <w:jc w:val="left"/>
              <w:rPr>
                <w:sz w:val="26"/>
                <w:szCs w:val="26"/>
              </w:rPr>
            </w:pPr>
            <w:r>
              <w:rPr>
                <w:sz w:val="26"/>
                <w:szCs w:val="26"/>
              </w:rPr>
              <w:t>Elaine &amp; Clayton Andrews, Jr.</w:t>
            </w:r>
          </w:p>
        </w:tc>
        <w:tc>
          <w:tcPr>
            <w:tcW w:w="4788" w:type="dxa"/>
          </w:tcPr>
          <w:p w:rsidR="00BD5497" w:rsidRDefault="00BD5497" w:rsidP="000E0862">
            <w:pPr>
              <w:spacing w:line="240" w:lineRule="auto"/>
              <w:jc w:val="right"/>
              <w:rPr>
                <w:sz w:val="26"/>
                <w:szCs w:val="26"/>
              </w:rPr>
            </w:pPr>
            <w:r>
              <w:rPr>
                <w:sz w:val="26"/>
                <w:szCs w:val="26"/>
              </w:rPr>
              <w:t>C-2010-2174117</w:t>
            </w:r>
          </w:p>
        </w:tc>
      </w:tr>
      <w:tr w:rsidR="00B2421F" w:rsidTr="00990F44">
        <w:trPr>
          <w:trHeight w:val="360"/>
        </w:trPr>
        <w:tc>
          <w:tcPr>
            <w:tcW w:w="4788" w:type="dxa"/>
          </w:tcPr>
          <w:p w:rsidR="00B2421F" w:rsidRDefault="00B2421F" w:rsidP="000E0862">
            <w:pPr>
              <w:spacing w:line="240" w:lineRule="auto"/>
              <w:jc w:val="left"/>
              <w:rPr>
                <w:sz w:val="26"/>
                <w:szCs w:val="26"/>
              </w:rPr>
            </w:pPr>
            <w:r>
              <w:rPr>
                <w:sz w:val="26"/>
                <w:szCs w:val="26"/>
              </w:rPr>
              <w:t>Ashley A. Buck</w:t>
            </w:r>
          </w:p>
        </w:tc>
        <w:tc>
          <w:tcPr>
            <w:tcW w:w="4788" w:type="dxa"/>
          </w:tcPr>
          <w:p w:rsidR="00B2421F" w:rsidRDefault="00B2421F" w:rsidP="000E0862">
            <w:pPr>
              <w:spacing w:line="240" w:lineRule="auto"/>
              <w:jc w:val="right"/>
              <w:rPr>
                <w:sz w:val="26"/>
                <w:szCs w:val="26"/>
              </w:rPr>
            </w:pPr>
            <w:r w:rsidRPr="00B2421F">
              <w:rPr>
                <w:sz w:val="26"/>
                <w:szCs w:val="26"/>
              </w:rPr>
              <w:t>C-2010-2172723</w:t>
            </w:r>
          </w:p>
        </w:tc>
      </w:tr>
      <w:tr w:rsidR="00BD5497" w:rsidTr="005218D1">
        <w:trPr>
          <w:trHeight w:val="270"/>
        </w:trPr>
        <w:tc>
          <w:tcPr>
            <w:tcW w:w="4788" w:type="dxa"/>
          </w:tcPr>
          <w:p w:rsidR="00BD5497" w:rsidRDefault="00BD5497" w:rsidP="000E0862">
            <w:pPr>
              <w:spacing w:line="240" w:lineRule="auto"/>
              <w:jc w:val="left"/>
              <w:rPr>
                <w:sz w:val="26"/>
                <w:szCs w:val="26"/>
              </w:rPr>
            </w:pPr>
            <w:r>
              <w:rPr>
                <w:sz w:val="26"/>
                <w:szCs w:val="26"/>
              </w:rPr>
              <w:t>Eric Joseph Epstein</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-2010-2171487</w:t>
            </w:r>
          </w:p>
        </w:tc>
      </w:tr>
      <w:tr w:rsidR="00BD5497" w:rsidTr="005218D1">
        <w:trPr>
          <w:trHeight w:val="270"/>
        </w:trPr>
        <w:tc>
          <w:tcPr>
            <w:tcW w:w="4788" w:type="dxa"/>
          </w:tcPr>
          <w:p w:rsidR="00BD5497" w:rsidRDefault="00BD5497" w:rsidP="000E0862">
            <w:pPr>
              <w:spacing w:line="240" w:lineRule="auto"/>
              <w:jc w:val="left"/>
              <w:rPr>
                <w:sz w:val="26"/>
                <w:szCs w:val="26"/>
              </w:rPr>
            </w:pPr>
            <w:r>
              <w:rPr>
                <w:sz w:val="26"/>
                <w:szCs w:val="26"/>
              </w:rPr>
              <w:t>Vincent C. Giglio</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-2010-2204823</w:t>
            </w:r>
          </w:p>
        </w:tc>
      </w:tr>
      <w:tr w:rsidR="00BD5497" w:rsidTr="00990F44">
        <w:trPr>
          <w:trHeight w:val="360"/>
        </w:trPr>
        <w:tc>
          <w:tcPr>
            <w:tcW w:w="4788" w:type="dxa"/>
          </w:tcPr>
          <w:p w:rsidR="00BD5497" w:rsidRDefault="00BD5497" w:rsidP="000E0862">
            <w:pPr>
              <w:spacing w:line="240" w:lineRule="auto"/>
              <w:jc w:val="left"/>
              <w:rPr>
                <w:sz w:val="26"/>
                <w:szCs w:val="26"/>
              </w:rPr>
            </w:pPr>
            <w:r>
              <w:rPr>
                <w:sz w:val="26"/>
                <w:szCs w:val="26"/>
              </w:rPr>
              <w:t>Stephen Goldstein</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-2010-2179405</w:t>
            </w:r>
          </w:p>
        </w:tc>
      </w:tr>
      <w:tr w:rsidR="00BD5497" w:rsidTr="00990F44">
        <w:trPr>
          <w:trHeight w:val="360"/>
        </w:trPr>
        <w:tc>
          <w:tcPr>
            <w:tcW w:w="4788" w:type="dxa"/>
          </w:tcPr>
          <w:p w:rsidR="00BD5497" w:rsidRDefault="00BD5497" w:rsidP="000E0862">
            <w:pPr>
              <w:spacing w:line="240" w:lineRule="auto"/>
              <w:jc w:val="left"/>
              <w:rPr>
                <w:sz w:val="26"/>
                <w:szCs w:val="26"/>
              </w:rPr>
            </w:pPr>
            <w:r>
              <w:rPr>
                <w:sz w:val="26"/>
                <w:szCs w:val="26"/>
              </w:rPr>
              <w:t>Peter</w:t>
            </w:r>
            <w:r w:rsidR="00B2421F">
              <w:rPr>
                <w:sz w:val="26"/>
                <w:szCs w:val="26"/>
              </w:rPr>
              <w:t xml:space="preserve"> </w:t>
            </w:r>
            <w:r>
              <w:rPr>
                <w:sz w:val="26"/>
                <w:szCs w:val="26"/>
              </w:rPr>
              <w:t>Grieger</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-2010-2177233</w:t>
            </w:r>
          </w:p>
        </w:tc>
      </w:tr>
      <w:tr w:rsidR="00BD5497" w:rsidTr="004D5C39">
        <w:tc>
          <w:tcPr>
            <w:tcW w:w="4788" w:type="dxa"/>
          </w:tcPr>
          <w:p w:rsidR="00BD5497" w:rsidRDefault="00BD5497" w:rsidP="000E0862">
            <w:pPr>
              <w:spacing w:line="240" w:lineRule="auto"/>
              <w:jc w:val="left"/>
              <w:rPr>
                <w:sz w:val="26"/>
                <w:szCs w:val="26"/>
              </w:rPr>
            </w:pPr>
            <w:r>
              <w:rPr>
                <w:sz w:val="26"/>
                <w:szCs w:val="26"/>
              </w:rPr>
              <w:t>William P. Hart</w:t>
            </w:r>
          </w:p>
        </w:tc>
        <w:tc>
          <w:tcPr>
            <w:tcW w:w="4788" w:type="dxa"/>
          </w:tcPr>
          <w:p w:rsidR="00BD5497" w:rsidRPr="00EC27FA" w:rsidRDefault="00BD5497" w:rsidP="000E0862">
            <w:pPr>
              <w:jc w:val="right"/>
              <w:rPr>
                <w:sz w:val="26"/>
                <w:szCs w:val="26"/>
              </w:rPr>
            </w:pPr>
            <w:r>
              <w:rPr>
                <w:sz w:val="26"/>
                <w:szCs w:val="26"/>
              </w:rPr>
              <w:t>C-2010-2187127</w:t>
            </w:r>
          </w:p>
        </w:tc>
      </w:tr>
      <w:tr w:rsidR="00BD5497" w:rsidTr="004D5C39">
        <w:tc>
          <w:tcPr>
            <w:tcW w:w="4788" w:type="dxa"/>
          </w:tcPr>
          <w:p w:rsidR="00BD5497" w:rsidRDefault="00BD5497" w:rsidP="000E0862">
            <w:pPr>
              <w:spacing w:line="240" w:lineRule="auto"/>
              <w:jc w:val="left"/>
              <w:rPr>
                <w:sz w:val="26"/>
                <w:szCs w:val="26"/>
              </w:rPr>
            </w:pPr>
            <w:r>
              <w:rPr>
                <w:sz w:val="26"/>
                <w:szCs w:val="26"/>
              </w:rPr>
              <w:t>Linda M. Johnson</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-2010-2177258</w:t>
            </w:r>
          </w:p>
        </w:tc>
      </w:tr>
      <w:tr w:rsidR="00BD5497" w:rsidTr="004D5C39">
        <w:tc>
          <w:tcPr>
            <w:tcW w:w="4788" w:type="dxa"/>
          </w:tcPr>
          <w:p w:rsidR="00BD5497" w:rsidRDefault="00BD5497" w:rsidP="000E0862">
            <w:pPr>
              <w:spacing w:line="240" w:lineRule="auto"/>
              <w:jc w:val="left"/>
              <w:rPr>
                <w:sz w:val="26"/>
                <w:szCs w:val="26"/>
              </w:rPr>
            </w:pPr>
            <w:r>
              <w:rPr>
                <w:sz w:val="26"/>
                <w:szCs w:val="26"/>
              </w:rPr>
              <w:t>Gerard Martin</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-2010-2177205</w:t>
            </w:r>
          </w:p>
        </w:tc>
      </w:tr>
      <w:tr w:rsidR="00BD5497" w:rsidTr="004D5C39">
        <w:tc>
          <w:tcPr>
            <w:tcW w:w="4788" w:type="dxa"/>
          </w:tcPr>
          <w:p w:rsidR="00BD5497" w:rsidRDefault="00BD5497" w:rsidP="000E0862">
            <w:pPr>
              <w:spacing w:line="240" w:lineRule="auto"/>
              <w:jc w:val="left"/>
              <w:rPr>
                <w:sz w:val="26"/>
                <w:szCs w:val="26"/>
              </w:rPr>
            </w:pPr>
            <w:r>
              <w:rPr>
                <w:sz w:val="26"/>
                <w:szCs w:val="26"/>
              </w:rPr>
              <w:t>Eugene R. Ruoff</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-2010-2179392</w:t>
            </w:r>
          </w:p>
        </w:tc>
      </w:tr>
      <w:tr w:rsidR="00BD5497" w:rsidTr="004D5C39">
        <w:tc>
          <w:tcPr>
            <w:tcW w:w="4788" w:type="dxa"/>
          </w:tcPr>
          <w:p w:rsidR="00BD5497" w:rsidRDefault="00BD5497" w:rsidP="000E0862">
            <w:pPr>
              <w:spacing w:line="240" w:lineRule="auto"/>
              <w:jc w:val="left"/>
              <w:rPr>
                <w:sz w:val="26"/>
                <w:szCs w:val="26"/>
              </w:rPr>
            </w:pPr>
            <w:r>
              <w:rPr>
                <w:sz w:val="26"/>
                <w:szCs w:val="26"/>
              </w:rPr>
              <w:t>George R. Snyder</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-2010-2177318</w:t>
            </w:r>
          </w:p>
        </w:tc>
      </w:tr>
      <w:tr w:rsidR="00BD5497" w:rsidTr="004D5C39">
        <w:tc>
          <w:tcPr>
            <w:tcW w:w="4788" w:type="dxa"/>
          </w:tcPr>
          <w:p w:rsidR="00BD5497" w:rsidRDefault="00BD5497" w:rsidP="000E0862">
            <w:pPr>
              <w:spacing w:line="240" w:lineRule="auto"/>
              <w:jc w:val="left"/>
              <w:rPr>
                <w:sz w:val="26"/>
                <w:szCs w:val="26"/>
              </w:rPr>
            </w:pPr>
            <w:r>
              <w:rPr>
                <w:sz w:val="26"/>
                <w:szCs w:val="26"/>
              </w:rPr>
              <w:t>Shannon Stiffler</w:t>
            </w:r>
          </w:p>
        </w:tc>
        <w:tc>
          <w:tcPr>
            <w:tcW w:w="4788" w:type="dxa"/>
          </w:tcPr>
          <w:p w:rsidR="00BD5497" w:rsidRPr="00EC27FA" w:rsidRDefault="00BD5497" w:rsidP="000E0862">
            <w:pPr>
              <w:jc w:val="right"/>
              <w:rPr>
                <w:sz w:val="26"/>
                <w:szCs w:val="26"/>
              </w:rPr>
            </w:pPr>
            <w:r w:rsidRPr="00EC27FA">
              <w:rPr>
                <w:sz w:val="26"/>
                <w:szCs w:val="26"/>
              </w:rPr>
              <w:t>C</w:t>
            </w:r>
            <w:r>
              <w:rPr>
                <w:sz w:val="26"/>
                <w:szCs w:val="26"/>
              </w:rPr>
              <w:t>-2010-2179404</w:t>
            </w:r>
          </w:p>
        </w:tc>
      </w:tr>
      <w:tr w:rsidR="00BD5497" w:rsidTr="004D5C39">
        <w:tc>
          <w:tcPr>
            <w:tcW w:w="4788" w:type="dxa"/>
          </w:tcPr>
          <w:p w:rsidR="00BD5497" w:rsidRDefault="00BD5497" w:rsidP="000E0862">
            <w:pPr>
              <w:spacing w:line="240" w:lineRule="auto"/>
              <w:jc w:val="left"/>
              <w:rPr>
                <w:sz w:val="26"/>
                <w:szCs w:val="26"/>
              </w:rPr>
            </w:pPr>
            <w:r>
              <w:rPr>
                <w:sz w:val="26"/>
                <w:szCs w:val="26"/>
              </w:rPr>
              <w:t>Township of Whitehall</w:t>
            </w:r>
          </w:p>
        </w:tc>
        <w:tc>
          <w:tcPr>
            <w:tcW w:w="4788" w:type="dxa"/>
          </w:tcPr>
          <w:p w:rsidR="00BD5497" w:rsidRPr="00EC27FA" w:rsidRDefault="00BD5497" w:rsidP="000E0862">
            <w:pPr>
              <w:jc w:val="right"/>
              <w:rPr>
                <w:sz w:val="26"/>
                <w:szCs w:val="26"/>
              </w:rPr>
            </w:pPr>
            <w:r>
              <w:rPr>
                <w:sz w:val="26"/>
                <w:szCs w:val="26"/>
              </w:rPr>
              <w:t>C-2010-2179394</w:t>
            </w:r>
          </w:p>
        </w:tc>
      </w:tr>
      <w:tr w:rsidR="00BD5497" w:rsidTr="004D5C39">
        <w:tc>
          <w:tcPr>
            <w:tcW w:w="4788" w:type="dxa"/>
          </w:tcPr>
          <w:p w:rsidR="00BD5497" w:rsidRDefault="00BD5497" w:rsidP="000E0862">
            <w:pPr>
              <w:spacing w:line="240" w:lineRule="auto"/>
              <w:jc w:val="left"/>
              <w:rPr>
                <w:sz w:val="26"/>
                <w:szCs w:val="26"/>
              </w:rPr>
            </w:pPr>
            <w:r>
              <w:rPr>
                <w:sz w:val="26"/>
                <w:szCs w:val="26"/>
              </w:rPr>
              <w:tab/>
            </w:r>
            <w:r>
              <w:rPr>
                <w:sz w:val="26"/>
                <w:szCs w:val="26"/>
              </w:rPr>
              <w:tab/>
            </w:r>
            <w:r w:rsidR="007C22C3">
              <w:rPr>
                <w:sz w:val="26"/>
                <w:szCs w:val="26"/>
              </w:rPr>
              <w:t>V</w:t>
            </w:r>
          </w:p>
        </w:tc>
        <w:tc>
          <w:tcPr>
            <w:tcW w:w="4788" w:type="dxa"/>
          </w:tcPr>
          <w:p w:rsidR="00BD5497" w:rsidRPr="00EC27FA" w:rsidRDefault="00BD5497" w:rsidP="000E0862">
            <w:pPr>
              <w:jc w:val="right"/>
              <w:rPr>
                <w:sz w:val="26"/>
                <w:szCs w:val="26"/>
              </w:rPr>
            </w:pPr>
          </w:p>
        </w:tc>
      </w:tr>
      <w:tr w:rsidR="00BD5497" w:rsidTr="004D5C39">
        <w:tc>
          <w:tcPr>
            <w:tcW w:w="4788" w:type="dxa"/>
          </w:tcPr>
          <w:p w:rsidR="00BD5497" w:rsidRDefault="00BD5497" w:rsidP="000E0862">
            <w:pPr>
              <w:spacing w:line="240" w:lineRule="auto"/>
              <w:jc w:val="left"/>
              <w:rPr>
                <w:sz w:val="26"/>
                <w:szCs w:val="26"/>
              </w:rPr>
            </w:pPr>
            <w:r w:rsidRPr="0042082F">
              <w:rPr>
                <w:sz w:val="26"/>
                <w:szCs w:val="26"/>
              </w:rPr>
              <w:t>PPL</w:t>
            </w:r>
            <w:r>
              <w:rPr>
                <w:sz w:val="26"/>
                <w:szCs w:val="26"/>
              </w:rPr>
              <w:t xml:space="preserve"> Electric Utilities Corporation</w:t>
            </w:r>
          </w:p>
        </w:tc>
        <w:tc>
          <w:tcPr>
            <w:tcW w:w="4788" w:type="dxa"/>
          </w:tcPr>
          <w:p w:rsidR="00BD5497" w:rsidRPr="00EC27FA" w:rsidRDefault="00BD5497" w:rsidP="000E0862">
            <w:pPr>
              <w:jc w:val="right"/>
              <w:rPr>
                <w:sz w:val="26"/>
                <w:szCs w:val="26"/>
              </w:rPr>
            </w:pPr>
          </w:p>
        </w:tc>
      </w:tr>
    </w:tbl>
    <w:p w:rsidR="006C0FAE" w:rsidRDefault="006C0FAE" w:rsidP="000E0862">
      <w:pPr>
        <w:spacing w:after="200" w:line="276" w:lineRule="auto"/>
        <w:jc w:val="left"/>
        <w:sectPr w:rsidR="006C0FAE" w:rsidSect="00123A27">
          <w:footerReference w:type="default" r:id="rId8"/>
          <w:pgSz w:w="12240" w:h="15840" w:code="1"/>
          <w:pgMar w:top="1440" w:right="1440" w:bottom="1440" w:left="1440" w:header="720" w:footer="720" w:gutter="0"/>
          <w:cols w:space="720"/>
          <w:titlePg/>
          <w:docGrid w:linePitch="360"/>
        </w:sectPr>
      </w:pPr>
    </w:p>
    <w:p w:rsidR="00A279EA" w:rsidRPr="00A20503" w:rsidRDefault="00A279EA" w:rsidP="00A20503">
      <w:pPr>
        <w:spacing w:line="240" w:lineRule="auto"/>
        <w:rPr>
          <w:b/>
          <w:sz w:val="26"/>
          <w:szCs w:val="26"/>
          <w:u w:val="single"/>
        </w:rPr>
      </w:pPr>
      <w:r w:rsidRPr="00A20503">
        <w:rPr>
          <w:b/>
          <w:sz w:val="26"/>
          <w:szCs w:val="26"/>
          <w:u w:val="single"/>
        </w:rPr>
        <w:lastRenderedPageBreak/>
        <w:t>Table of Contents</w:t>
      </w:r>
    </w:p>
    <w:p w:rsidR="00A279EA" w:rsidRPr="00A20503" w:rsidRDefault="00A279EA" w:rsidP="00A20503">
      <w:pPr>
        <w:spacing w:line="240" w:lineRule="auto"/>
        <w:rPr>
          <w:sz w:val="26"/>
          <w:szCs w:val="26"/>
        </w:rPr>
      </w:pPr>
    </w:p>
    <w:p w:rsidR="00A279EA" w:rsidRPr="00A20503" w:rsidRDefault="00A279EA" w:rsidP="004026AC">
      <w:pPr>
        <w:spacing w:line="240" w:lineRule="auto"/>
        <w:jc w:val="left"/>
        <w:rPr>
          <w:sz w:val="26"/>
          <w:szCs w:val="26"/>
        </w:rPr>
      </w:pPr>
      <w:r w:rsidRPr="00A20503">
        <w:rPr>
          <w:sz w:val="26"/>
          <w:szCs w:val="26"/>
        </w:rPr>
        <w:t xml:space="preserve">  I.</w:t>
      </w:r>
      <w:r w:rsidRPr="00A20503">
        <w:rPr>
          <w:sz w:val="26"/>
          <w:szCs w:val="26"/>
        </w:rPr>
        <w:tab/>
        <w:t>History of the  Proceeding ...................................................................</w:t>
      </w:r>
      <w:r w:rsidRPr="00A20503">
        <w:rPr>
          <w:sz w:val="26"/>
          <w:szCs w:val="26"/>
        </w:rPr>
        <w:tab/>
        <w:t xml:space="preserve">  1</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 xml:space="preserve"> II.</w:t>
      </w:r>
      <w:r w:rsidRPr="00A20503">
        <w:rPr>
          <w:sz w:val="26"/>
          <w:szCs w:val="26"/>
        </w:rPr>
        <w:tab/>
        <w:t>Discussion ...............................................................................</w:t>
      </w:r>
      <w:r w:rsidR="001B5FF5">
        <w:rPr>
          <w:sz w:val="26"/>
          <w:szCs w:val="26"/>
        </w:rPr>
        <w:t>.</w:t>
      </w:r>
      <w:r w:rsidRPr="00A20503">
        <w:rPr>
          <w:sz w:val="26"/>
          <w:szCs w:val="26"/>
        </w:rPr>
        <w:t>............</w:t>
      </w:r>
      <w:r w:rsidRPr="00A20503">
        <w:rPr>
          <w:sz w:val="26"/>
          <w:szCs w:val="26"/>
        </w:rPr>
        <w:tab/>
        <w:t xml:space="preserve">  5</w:t>
      </w:r>
    </w:p>
    <w:p w:rsidR="00A279EA" w:rsidRPr="00A20503" w:rsidRDefault="00A279EA" w:rsidP="004026AC">
      <w:pPr>
        <w:spacing w:line="240" w:lineRule="auto"/>
        <w:jc w:val="left"/>
        <w:rPr>
          <w:sz w:val="26"/>
          <w:szCs w:val="26"/>
        </w:rPr>
      </w:pPr>
      <w:r w:rsidRPr="00A20503">
        <w:rPr>
          <w:sz w:val="26"/>
          <w:szCs w:val="26"/>
        </w:rPr>
        <w:tab/>
        <w:t>A.</w:t>
      </w:r>
      <w:r w:rsidRPr="00A20503">
        <w:rPr>
          <w:sz w:val="26"/>
          <w:szCs w:val="26"/>
        </w:rPr>
        <w:tab/>
        <w:t>Introduction ......................................</w:t>
      </w:r>
      <w:r w:rsidR="00A20503">
        <w:rPr>
          <w:sz w:val="26"/>
          <w:szCs w:val="26"/>
        </w:rPr>
        <w:t>..</w:t>
      </w:r>
      <w:r w:rsidRPr="00A20503">
        <w:rPr>
          <w:sz w:val="26"/>
          <w:szCs w:val="26"/>
        </w:rPr>
        <w:t>.....................................</w:t>
      </w:r>
      <w:r w:rsidRPr="00A20503">
        <w:rPr>
          <w:sz w:val="26"/>
          <w:szCs w:val="26"/>
        </w:rPr>
        <w:tab/>
        <w:t xml:space="preserve">  5</w:t>
      </w:r>
    </w:p>
    <w:p w:rsidR="00A279EA" w:rsidRPr="00A20503" w:rsidRDefault="00A279EA" w:rsidP="004026AC">
      <w:pPr>
        <w:spacing w:line="240" w:lineRule="auto"/>
        <w:jc w:val="left"/>
        <w:rPr>
          <w:sz w:val="26"/>
          <w:szCs w:val="26"/>
        </w:rPr>
      </w:pPr>
      <w:r w:rsidRPr="00A20503">
        <w:rPr>
          <w:sz w:val="26"/>
          <w:szCs w:val="26"/>
        </w:rPr>
        <w:tab/>
        <w:t>B.</w:t>
      </w:r>
      <w:r w:rsidRPr="00A20503">
        <w:rPr>
          <w:sz w:val="26"/>
          <w:szCs w:val="26"/>
        </w:rPr>
        <w:tab/>
        <w:t>Terms and Conditions of the Partial Settlement .....................</w:t>
      </w:r>
      <w:r w:rsidRPr="00A20503">
        <w:rPr>
          <w:sz w:val="26"/>
          <w:szCs w:val="26"/>
        </w:rPr>
        <w:tab/>
        <w:t xml:space="preserve">  8</w:t>
      </w:r>
    </w:p>
    <w:p w:rsidR="00A279EA" w:rsidRPr="00A20503" w:rsidRDefault="00A279EA" w:rsidP="004026AC">
      <w:pPr>
        <w:spacing w:line="240" w:lineRule="auto"/>
        <w:jc w:val="left"/>
        <w:rPr>
          <w:sz w:val="26"/>
          <w:szCs w:val="26"/>
        </w:rPr>
      </w:pPr>
      <w:r w:rsidRPr="00A20503">
        <w:rPr>
          <w:sz w:val="26"/>
          <w:szCs w:val="26"/>
        </w:rPr>
        <w:tab/>
        <w:t>C</w:t>
      </w:r>
      <w:r w:rsidRPr="00A20503">
        <w:rPr>
          <w:sz w:val="26"/>
          <w:szCs w:val="26"/>
        </w:rPr>
        <w:tab/>
        <w:t>Legal Principles Applicable to Review of Settlements ..........</w:t>
      </w:r>
      <w:r w:rsidRPr="00A20503">
        <w:rPr>
          <w:sz w:val="26"/>
          <w:szCs w:val="26"/>
        </w:rPr>
        <w:tab/>
        <w:t>13</w:t>
      </w:r>
    </w:p>
    <w:p w:rsidR="00A279EA" w:rsidRPr="00A20503" w:rsidRDefault="00A279EA" w:rsidP="004026AC">
      <w:pPr>
        <w:spacing w:line="240" w:lineRule="auto"/>
        <w:jc w:val="left"/>
        <w:rPr>
          <w:sz w:val="26"/>
          <w:szCs w:val="26"/>
        </w:rPr>
      </w:pPr>
      <w:r w:rsidRPr="00A20503">
        <w:rPr>
          <w:sz w:val="26"/>
          <w:szCs w:val="26"/>
        </w:rPr>
        <w:tab/>
        <w:t>D</w:t>
      </w:r>
      <w:r w:rsidRPr="00A20503">
        <w:rPr>
          <w:sz w:val="26"/>
          <w:szCs w:val="26"/>
        </w:rPr>
        <w:tab/>
        <w:t>Disposition of Partial Settlement .............................................</w:t>
      </w:r>
      <w:r w:rsidRPr="00A20503">
        <w:rPr>
          <w:sz w:val="26"/>
          <w:szCs w:val="26"/>
        </w:rPr>
        <w:tab/>
        <w:t>16</w:t>
      </w:r>
    </w:p>
    <w:p w:rsidR="00A279EA" w:rsidRPr="00A20503" w:rsidRDefault="00A279EA" w:rsidP="004026AC">
      <w:pPr>
        <w:spacing w:line="240" w:lineRule="auto"/>
        <w:jc w:val="left"/>
        <w:rPr>
          <w:sz w:val="26"/>
          <w:szCs w:val="26"/>
        </w:rPr>
      </w:pPr>
      <w:r w:rsidRPr="00A20503">
        <w:rPr>
          <w:sz w:val="26"/>
          <w:szCs w:val="26"/>
        </w:rPr>
        <w:tab/>
        <w:t>E.</w:t>
      </w:r>
      <w:r w:rsidRPr="00A20503">
        <w:rPr>
          <w:sz w:val="26"/>
          <w:szCs w:val="26"/>
        </w:rPr>
        <w:tab/>
        <w:t>Non-Settled Issues ...................................</w:t>
      </w:r>
      <w:r w:rsidR="00A20503">
        <w:rPr>
          <w:sz w:val="26"/>
          <w:szCs w:val="26"/>
        </w:rPr>
        <w:t>...............................</w:t>
      </w:r>
      <w:r w:rsidRPr="00A20503">
        <w:rPr>
          <w:sz w:val="26"/>
          <w:szCs w:val="26"/>
        </w:rPr>
        <w:t>.</w:t>
      </w:r>
      <w:r w:rsidRPr="00A20503">
        <w:rPr>
          <w:sz w:val="26"/>
          <w:szCs w:val="26"/>
        </w:rPr>
        <w:tab/>
        <w:t>21</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t>1.</w:t>
      </w:r>
      <w:r w:rsidRPr="00A20503">
        <w:rPr>
          <w:sz w:val="26"/>
          <w:szCs w:val="26"/>
        </w:rPr>
        <w:tab/>
        <w:t>Reserved Issues ............................................................</w:t>
      </w:r>
      <w:r w:rsidRPr="00A20503">
        <w:rPr>
          <w:sz w:val="26"/>
          <w:szCs w:val="26"/>
        </w:rPr>
        <w:tab/>
        <w:t>21</w:t>
      </w:r>
    </w:p>
    <w:p w:rsidR="00E94F6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p>
    <w:p w:rsidR="00A279EA" w:rsidRPr="00A20503" w:rsidRDefault="00A279EA" w:rsidP="00E94F63">
      <w:pPr>
        <w:spacing w:line="240" w:lineRule="auto"/>
        <w:ind w:firstLine="2160"/>
        <w:jc w:val="left"/>
        <w:rPr>
          <w:sz w:val="26"/>
          <w:szCs w:val="26"/>
        </w:rPr>
      </w:pPr>
      <w:r w:rsidRPr="00A20503">
        <w:rPr>
          <w:sz w:val="26"/>
          <w:szCs w:val="26"/>
        </w:rPr>
        <w:t>a.</w:t>
      </w:r>
      <w:r w:rsidRPr="00A20503">
        <w:rPr>
          <w:sz w:val="26"/>
          <w:szCs w:val="26"/>
        </w:rPr>
        <w:tab/>
        <w:t>The Applicable Cost of Service Study .............</w:t>
      </w:r>
      <w:r w:rsidRPr="00A20503">
        <w:rPr>
          <w:sz w:val="26"/>
          <w:szCs w:val="26"/>
        </w:rPr>
        <w:tab/>
        <w:t>23</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Parties ..........................</w:t>
      </w:r>
      <w:r w:rsidRPr="00A20503">
        <w:rPr>
          <w:sz w:val="26"/>
          <w:szCs w:val="26"/>
        </w:rPr>
        <w:tab/>
        <w:t>26</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w:t>
      </w:r>
      <w:r w:rsidR="009B7FF0">
        <w:rPr>
          <w:sz w:val="26"/>
          <w:szCs w:val="26"/>
        </w:rPr>
        <w:t>commendation ................</w:t>
      </w:r>
      <w:r w:rsidR="009B7FF0">
        <w:rPr>
          <w:sz w:val="26"/>
          <w:szCs w:val="26"/>
        </w:rPr>
        <w:tab/>
        <w:t>32</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009B7FF0">
        <w:rPr>
          <w:sz w:val="26"/>
          <w:szCs w:val="26"/>
        </w:rPr>
        <w:t>.............................</w:t>
      </w:r>
      <w:r w:rsidR="009B7FF0">
        <w:rPr>
          <w:sz w:val="26"/>
          <w:szCs w:val="26"/>
        </w:rPr>
        <w:tab/>
        <w:t>33</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9B7FF0">
        <w:rPr>
          <w:sz w:val="26"/>
          <w:szCs w:val="26"/>
        </w:rPr>
        <w:t>.............................</w:t>
      </w:r>
      <w:r w:rsidR="009B7FF0">
        <w:rPr>
          <w:sz w:val="26"/>
          <w:szCs w:val="26"/>
        </w:rPr>
        <w:tab/>
        <w:t>35</w:t>
      </w:r>
    </w:p>
    <w:p w:rsidR="00E94F6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p>
    <w:p w:rsidR="00A279EA" w:rsidRPr="00A20503" w:rsidRDefault="00A279EA" w:rsidP="00E94F63">
      <w:pPr>
        <w:spacing w:line="240" w:lineRule="auto"/>
        <w:ind w:firstLine="2160"/>
        <w:jc w:val="left"/>
        <w:rPr>
          <w:sz w:val="26"/>
          <w:szCs w:val="26"/>
        </w:rPr>
      </w:pPr>
      <w:r w:rsidRPr="00A20503">
        <w:rPr>
          <w:sz w:val="26"/>
          <w:szCs w:val="26"/>
        </w:rPr>
        <w:t>b.</w:t>
      </w:r>
      <w:r w:rsidRPr="00A20503">
        <w:rPr>
          <w:sz w:val="26"/>
          <w:szCs w:val="26"/>
        </w:rPr>
        <w:tab/>
        <w:t>Revenue Allocatio</w:t>
      </w:r>
      <w:r w:rsidR="00E94F63">
        <w:rPr>
          <w:sz w:val="26"/>
          <w:szCs w:val="26"/>
        </w:rPr>
        <w:t>n Pursuant to Applicable</w:t>
      </w:r>
      <w:r w:rsidRPr="00A20503">
        <w:rPr>
          <w:sz w:val="26"/>
          <w:szCs w:val="26"/>
        </w:rPr>
        <w:t xml:space="preserve"> </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00E94F63">
        <w:rPr>
          <w:sz w:val="26"/>
          <w:szCs w:val="26"/>
        </w:rPr>
        <w:t xml:space="preserve">Cost of </w:t>
      </w:r>
      <w:r w:rsidRPr="00A20503">
        <w:rPr>
          <w:sz w:val="26"/>
          <w:szCs w:val="26"/>
        </w:rPr>
        <w:t>Service Study ....</w:t>
      </w:r>
      <w:r w:rsidR="00A20503">
        <w:rPr>
          <w:sz w:val="26"/>
          <w:szCs w:val="26"/>
        </w:rPr>
        <w:t>......</w:t>
      </w:r>
      <w:r w:rsidRPr="00A20503">
        <w:rPr>
          <w:sz w:val="26"/>
          <w:szCs w:val="26"/>
        </w:rPr>
        <w:t>..............</w:t>
      </w:r>
      <w:r w:rsidR="00E94F63">
        <w:rPr>
          <w:sz w:val="26"/>
          <w:szCs w:val="26"/>
        </w:rPr>
        <w:t>.....</w:t>
      </w:r>
      <w:r w:rsidR="009B7FF0">
        <w:rPr>
          <w:sz w:val="26"/>
          <w:szCs w:val="26"/>
        </w:rPr>
        <w:t>...........</w:t>
      </w:r>
      <w:r w:rsidR="009B7FF0">
        <w:rPr>
          <w:sz w:val="26"/>
          <w:szCs w:val="26"/>
        </w:rPr>
        <w:tab/>
        <w:t>36</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w:t>
      </w:r>
      <w:r w:rsidR="009B7FF0">
        <w:rPr>
          <w:sz w:val="26"/>
          <w:szCs w:val="26"/>
        </w:rPr>
        <w:t>es ..........................</w:t>
      </w:r>
      <w:r w:rsidR="009B7FF0">
        <w:rPr>
          <w:sz w:val="26"/>
          <w:szCs w:val="26"/>
        </w:rPr>
        <w:tab/>
        <w:t>36</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Reco</w:t>
      </w:r>
      <w:r w:rsidR="009B7FF0">
        <w:rPr>
          <w:sz w:val="26"/>
          <w:szCs w:val="26"/>
        </w:rPr>
        <w:t>mmendation ..................</w:t>
      </w:r>
      <w:r w:rsidR="009B7FF0">
        <w:rPr>
          <w:sz w:val="26"/>
          <w:szCs w:val="26"/>
        </w:rPr>
        <w:tab/>
        <w:t>42</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Pr="00A20503">
        <w:rPr>
          <w:sz w:val="26"/>
          <w:szCs w:val="26"/>
        </w:rPr>
        <w:tab/>
        <w:t>44</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9B7FF0">
        <w:rPr>
          <w:sz w:val="26"/>
          <w:szCs w:val="26"/>
        </w:rPr>
        <w:t>.............................</w:t>
      </w:r>
      <w:r w:rsidR="009B7FF0">
        <w:rPr>
          <w:sz w:val="26"/>
          <w:szCs w:val="26"/>
        </w:rPr>
        <w:tab/>
        <w:t>46</w:t>
      </w:r>
    </w:p>
    <w:p w:rsidR="00E94F6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p>
    <w:p w:rsidR="00A279EA" w:rsidRPr="00A20503" w:rsidRDefault="00A279EA" w:rsidP="00E94F63">
      <w:pPr>
        <w:spacing w:line="240" w:lineRule="auto"/>
        <w:ind w:firstLine="2160"/>
        <w:jc w:val="left"/>
        <w:rPr>
          <w:sz w:val="26"/>
          <w:szCs w:val="26"/>
        </w:rPr>
      </w:pPr>
      <w:r w:rsidRPr="00A20503">
        <w:rPr>
          <w:sz w:val="26"/>
          <w:szCs w:val="26"/>
        </w:rPr>
        <w:t>c.</w:t>
      </w:r>
      <w:r w:rsidRPr="00A20503">
        <w:rPr>
          <w:sz w:val="26"/>
          <w:szCs w:val="26"/>
        </w:rPr>
        <w:tab/>
        <w:t xml:space="preserve">Net Metering/Compensation </w:t>
      </w:r>
      <w:r w:rsidR="009B7FF0">
        <w:rPr>
          <w:sz w:val="26"/>
          <w:szCs w:val="26"/>
        </w:rPr>
        <w:t>.............................</w:t>
      </w:r>
      <w:r w:rsidR="009B7FF0">
        <w:rPr>
          <w:sz w:val="26"/>
          <w:szCs w:val="26"/>
        </w:rPr>
        <w:tab/>
        <w:t>47</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Parties</w:t>
      </w:r>
      <w:r w:rsidR="009B7FF0">
        <w:rPr>
          <w:sz w:val="26"/>
          <w:szCs w:val="26"/>
        </w:rPr>
        <w:t xml:space="preserve"> ............................</w:t>
      </w:r>
      <w:r w:rsidR="009B7FF0">
        <w:rPr>
          <w:sz w:val="26"/>
          <w:szCs w:val="26"/>
        </w:rPr>
        <w:tab/>
        <w:t>47</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Recommendation ...................</w:t>
      </w:r>
      <w:r w:rsidR="009B7FF0">
        <w:rPr>
          <w:sz w:val="26"/>
          <w:szCs w:val="26"/>
        </w:rPr>
        <w:tab/>
        <w:t>50</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00A20503">
        <w:rPr>
          <w:sz w:val="26"/>
          <w:szCs w:val="26"/>
        </w:rPr>
        <w:t>..</w:t>
      </w:r>
      <w:r w:rsidR="009B7FF0">
        <w:rPr>
          <w:sz w:val="26"/>
          <w:szCs w:val="26"/>
        </w:rPr>
        <w:t>..........</w:t>
      </w:r>
      <w:r w:rsidR="009B7FF0">
        <w:rPr>
          <w:sz w:val="26"/>
          <w:szCs w:val="26"/>
        </w:rPr>
        <w:tab/>
        <w:t>51</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A20503">
        <w:rPr>
          <w:sz w:val="26"/>
          <w:szCs w:val="26"/>
        </w:rPr>
        <w:t>..</w:t>
      </w:r>
      <w:r w:rsidR="009B7FF0">
        <w:rPr>
          <w:sz w:val="26"/>
          <w:szCs w:val="26"/>
        </w:rPr>
        <w:t>......</w:t>
      </w:r>
      <w:r w:rsidR="009B7FF0">
        <w:rPr>
          <w:sz w:val="26"/>
          <w:szCs w:val="26"/>
        </w:rPr>
        <w:tab/>
        <w:t>52</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t>d.</w:t>
      </w:r>
      <w:r w:rsidRPr="00A20503">
        <w:rPr>
          <w:sz w:val="26"/>
          <w:szCs w:val="26"/>
        </w:rPr>
        <w:tab/>
        <w:t>Net Metering/Plain Language ...................</w:t>
      </w:r>
      <w:r w:rsidR="00A20503">
        <w:rPr>
          <w:sz w:val="26"/>
          <w:szCs w:val="26"/>
        </w:rPr>
        <w:t>.</w:t>
      </w:r>
      <w:r w:rsidR="009B7FF0">
        <w:rPr>
          <w:sz w:val="26"/>
          <w:szCs w:val="26"/>
        </w:rPr>
        <w:t>.......</w:t>
      </w:r>
      <w:r w:rsidR="009B7FF0">
        <w:rPr>
          <w:sz w:val="26"/>
          <w:szCs w:val="26"/>
        </w:rPr>
        <w:tab/>
        <w:t>53</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Parties............</w:t>
      </w:r>
      <w:r w:rsidR="009B7FF0">
        <w:rPr>
          <w:sz w:val="26"/>
          <w:szCs w:val="26"/>
        </w:rPr>
        <w:t>.................</w:t>
      </w:r>
      <w:r w:rsidR="009B7FF0">
        <w:rPr>
          <w:sz w:val="26"/>
          <w:szCs w:val="26"/>
        </w:rPr>
        <w:tab/>
        <w:t>53</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w:t>
      </w:r>
      <w:r w:rsidR="009B7FF0">
        <w:rPr>
          <w:sz w:val="26"/>
          <w:szCs w:val="26"/>
        </w:rPr>
        <w:t>ommendation .................</w:t>
      </w:r>
      <w:r w:rsidR="009B7FF0">
        <w:rPr>
          <w:sz w:val="26"/>
          <w:szCs w:val="26"/>
        </w:rPr>
        <w:tab/>
        <w:t>54</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003F14E3">
        <w:rPr>
          <w:sz w:val="26"/>
          <w:szCs w:val="26"/>
        </w:rPr>
        <w:t>..</w:t>
      </w:r>
      <w:r w:rsidR="009B7FF0">
        <w:rPr>
          <w:sz w:val="26"/>
          <w:szCs w:val="26"/>
        </w:rPr>
        <w:t>..........</w:t>
      </w:r>
      <w:r w:rsidR="009B7FF0">
        <w:rPr>
          <w:sz w:val="26"/>
          <w:szCs w:val="26"/>
        </w:rPr>
        <w:tab/>
        <w:t>54</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3F14E3">
        <w:rPr>
          <w:sz w:val="26"/>
          <w:szCs w:val="26"/>
        </w:rPr>
        <w:t>..</w:t>
      </w:r>
      <w:r w:rsidRPr="00A20503">
        <w:rPr>
          <w:sz w:val="26"/>
          <w:szCs w:val="26"/>
        </w:rPr>
        <w:t>......................................</w:t>
      </w:r>
      <w:r w:rsidRPr="00A20503">
        <w:rPr>
          <w:sz w:val="26"/>
          <w:szCs w:val="26"/>
        </w:rPr>
        <w:tab/>
        <w:t>55</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003F14E3">
        <w:rPr>
          <w:sz w:val="26"/>
          <w:szCs w:val="26"/>
        </w:rPr>
        <w:tab/>
      </w:r>
      <w:r w:rsidRPr="00A20503">
        <w:rPr>
          <w:sz w:val="26"/>
          <w:szCs w:val="26"/>
        </w:rPr>
        <w:t>e.</w:t>
      </w:r>
      <w:r w:rsidRPr="00A20503">
        <w:rPr>
          <w:sz w:val="26"/>
          <w:szCs w:val="26"/>
        </w:rPr>
        <w:tab/>
        <w:t xml:space="preserve">Funding Levels for WRAP and HELP </w:t>
      </w:r>
      <w:r w:rsidR="00E94F63">
        <w:rPr>
          <w:sz w:val="26"/>
          <w:szCs w:val="26"/>
        </w:rPr>
        <w:t>Programs</w:t>
      </w:r>
      <w:r w:rsidR="00E94F63">
        <w:rPr>
          <w:sz w:val="26"/>
          <w:szCs w:val="26"/>
        </w:rPr>
        <w:tab/>
        <w:t>55</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Partie</w:t>
      </w:r>
      <w:r w:rsidR="009B7FF0">
        <w:rPr>
          <w:sz w:val="26"/>
          <w:szCs w:val="26"/>
        </w:rPr>
        <w:t>s ...........................</w:t>
      </w:r>
      <w:r w:rsidR="009B7FF0">
        <w:rPr>
          <w:sz w:val="26"/>
          <w:szCs w:val="26"/>
        </w:rPr>
        <w:tab/>
        <w:t>55</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Reco</w:t>
      </w:r>
      <w:r w:rsidR="009B7FF0">
        <w:rPr>
          <w:sz w:val="26"/>
          <w:szCs w:val="26"/>
        </w:rPr>
        <w:t>mmendation ..................</w:t>
      </w:r>
      <w:r w:rsidR="009B7FF0">
        <w:rPr>
          <w:sz w:val="26"/>
          <w:szCs w:val="26"/>
        </w:rPr>
        <w:tab/>
        <w:t>56</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009B7FF0">
        <w:rPr>
          <w:sz w:val="26"/>
          <w:szCs w:val="26"/>
        </w:rPr>
        <w:t>.............................</w:t>
      </w:r>
      <w:r w:rsidR="009B7FF0">
        <w:rPr>
          <w:sz w:val="26"/>
          <w:szCs w:val="26"/>
        </w:rPr>
        <w:tab/>
        <w:t>57</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9B7FF0">
        <w:rPr>
          <w:sz w:val="26"/>
          <w:szCs w:val="26"/>
        </w:rPr>
        <w:t>.............................</w:t>
      </w:r>
      <w:r w:rsidR="009B7FF0">
        <w:rPr>
          <w:sz w:val="26"/>
          <w:szCs w:val="26"/>
        </w:rPr>
        <w:tab/>
        <w:t>57</w:t>
      </w:r>
    </w:p>
    <w:p w:rsidR="00A279EA" w:rsidRPr="00A20503" w:rsidRDefault="009B7FF0" w:rsidP="00E94F63">
      <w:pPr>
        <w:spacing w:after="200" w:line="276" w:lineRule="auto"/>
        <w:jc w:val="left"/>
        <w:rPr>
          <w:sz w:val="26"/>
          <w:szCs w:val="26"/>
        </w:rPr>
      </w:pPr>
      <w:r>
        <w:rPr>
          <w:sz w:val="26"/>
          <w:szCs w:val="26"/>
        </w:rPr>
        <w:br w:type="page"/>
      </w:r>
      <w:r w:rsidR="00A279EA" w:rsidRPr="00A20503">
        <w:rPr>
          <w:sz w:val="26"/>
          <w:szCs w:val="26"/>
        </w:rPr>
        <w:lastRenderedPageBreak/>
        <w:tab/>
      </w:r>
      <w:r w:rsidR="00A279EA" w:rsidRPr="00A20503">
        <w:rPr>
          <w:sz w:val="26"/>
          <w:szCs w:val="26"/>
        </w:rPr>
        <w:tab/>
      </w:r>
      <w:r w:rsidR="00A279EA" w:rsidRPr="00A20503">
        <w:rPr>
          <w:sz w:val="26"/>
          <w:szCs w:val="26"/>
        </w:rPr>
        <w:tab/>
        <w:t>f.</w:t>
      </w:r>
      <w:r w:rsidR="00A279EA" w:rsidRPr="00A20503">
        <w:rPr>
          <w:sz w:val="26"/>
          <w:szCs w:val="26"/>
        </w:rPr>
        <w:tab/>
        <w:t>Purchase of Receivables Iss</w:t>
      </w:r>
      <w:r>
        <w:rPr>
          <w:sz w:val="26"/>
          <w:szCs w:val="26"/>
        </w:rPr>
        <w:t>ues .........................</w:t>
      </w:r>
      <w:r>
        <w:rPr>
          <w:sz w:val="26"/>
          <w:szCs w:val="26"/>
        </w:rPr>
        <w:tab/>
        <w:t>57</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 xml:space="preserve">Positions of the Parties </w:t>
      </w:r>
      <w:r w:rsidR="004026AC">
        <w:rPr>
          <w:sz w:val="26"/>
          <w:szCs w:val="26"/>
        </w:rPr>
        <w:t>...........................</w:t>
      </w:r>
      <w:r w:rsidR="009B7FF0">
        <w:rPr>
          <w:sz w:val="26"/>
          <w:szCs w:val="26"/>
        </w:rPr>
        <w:t>.</w:t>
      </w:r>
      <w:r w:rsidR="009B7FF0">
        <w:rPr>
          <w:sz w:val="26"/>
          <w:szCs w:val="26"/>
        </w:rPr>
        <w:tab/>
        <w:t>57</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Reco</w:t>
      </w:r>
      <w:r w:rsidR="009B7FF0">
        <w:rPr>
          <w:sz w:val="26"/>
          <w:szCs w:val="26"/>
        </w:rPr>
        <w:t>mmendation ..................</w:t>
      </w:r>
      <w:r w:rsidR="009B7FF0">
        <w:rPr>
          <w:sz w:val="26"/>
          <w:szCs w:val="26"/>
        </w:rPr>
        <w:tab/>
        <w:t>58</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(a)</w:t>
      </w:r>
      <w:r w:rsidRPr="00A20503">
        <w:rPr>
          <w:sz w:val="26"/>
          <w:szCs w:val="26"/>
        </w:rPr>
        <w:tab/>
        <w:t>PPL’s 2010 POR Program; Pro</w:t>
      </w:r>
      <w:r w:rsidR="006931A9">
        <w:rPr>
          <w:sz w:val="26"/>
          <w:szCs w:val="26"/>
        </w:rPr>
        <w:t>-</w:t>
      </w:r>
    </w:p>
    <w:p w:rsidR="006931A9" w:rsidRDefault="001B5FF5" w:rsidP="004026AC">
      <w:pPr>
        <w:spacing w:line="240" w:lineRule="auto"/>
        <w:jc w:val="left"/>
        <w:rPr>
          <w:sz w:val="26"/>
          <w:szCs w:val="26"/>
        </w:rPr>
      </w:pPr>
      <w:r>
        <w:rPr>
          <w:sz w:val="26"/>
          <w:szCs w:val="26"/>
        </w:rPr>
        <w:tab/>
      </w:r>
      <w:r w:rsidR="00A279EA" w:rsidRPr="00A20503">
        <w:rPr>
          <w:sz w:val="26"/>
          <w:szCs w:val="26"/>
        </w:rPr>
        <w:tab/>
      </w:r>
      <w:r w:rsidR="00A279EA" w:rsidRPr="00A20503">
        <w:rPr>
          <w:sz w:val="26"/>
          <w:szCs w:val="26"/>
        </w:rPr>
        <w:tab/>
      </w:r>
      <w:r w:rsidR="00A279EA" w:rsidRPr="00A20503">
        <w:rPr>
          <w:sz w:val="26"/>
          <w:szCs w:val="26"/>
        </w:rPr>
        <w:tab/>
      </w:r>
      <w:r w:rsidR="00A279EA" w:rsidRPr="00A20503">
        <w:rPr>
          <w:sz w:val="26"/>
          <w:szCs w:val="26"/>
        </w:rPr>
        <w:tab/>
      </w:r>
      <w:r w:rsidR="00A279EA" w:rsidRPr="00A20503">
        <w:rPr>
          <w:sz w:val="26"/>
          <w:szCs w:val="26"/>
        </w:rPr>
        <w:tab/>
      </w:r>
      <w:r w:rsidR="006931A9">
        <w:rPr>
          <w:sz w:val="26"/>
          <w:szCs w:val="26"/>
        </w:rPr>
        <w:t xml:space="preserve">posed </w:t>
      </w:r>
      <w:r w:rsidR="00A279EA" w:rsidRPr="00A20503">
        <w:rPr>
          <w:sz w:val="26"/>
          <w:szCs w:val="26"/>
        </w:rPr>
        <w:t xml:space="preserve">Change to Uncollectible </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004026AC">
        <w:rPr>
          <w:sz w:val="26"/>
          <w:szCs w:val="26"/>
        </w:rPr>
        <w:tab/>
      </w:r>
      <w:r w:rsidR="004026AC">
        <w:rPr>
          <w:sz w:val="26"/>
          <w:szCs w:val="26"/>
        </w:rPr>
        <w:tab/>
      </w:r>
      <w:r w:rsidR="006931A9">
        <w:rPr>
          <w:sz w:val="26"/>
          <w:szCs w:val="26"/>
        </w:rPr>
        <w:tab/>
        <w:t xml:space="preserve">Accounts </w:t>
      </w:r>
      <w:r w:rsidR="004026AC">
        <w:rPr>
          <w:sz w:val="26"/>
          <w:szCs w:val="26"/>
        </w:rPr>
        <w:t>Expense Factor; and</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6931A9">
        <w:rPr>
          <w:sz w:val="26"/>
          <w:szCs w:val="26"/>
        </w:rPr>
        <w:t xml:space="preserve">Burden of </w:t>
      </w:r>
      <w:r w:rsidR="004026AC">
        <w:rPr>
          <w:sz w:val="26"/>
          <w:szCs w:val="26"/>
        </w:rPr>
        <w:t xml:space="preserve">Proof/ </w:t>
      </w:r>
      <w:r w:rsidR="009B7FF0">
        <w:rPr>
          <w:sz w:val="26"/>
          <w:szCs w:val="26"/>
        </w:rPr>
        <w:t>Persuasion .......</w:t>
      </w:r>
      <w:r w:rsidR="009B7FF0">
        <w:rPr>
          <w:sz w:val="26"/>
          <w:szCs w:val="26"/>
        </w:rPr>
        <w:tab/>
        <w:t>63</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(b</w:t>
      </w:r>
      <w:r w:rsidR="004026AC">
        <w:rPr>
          <w:sz w:val="26"/>
          <w:szCs w:val="26"/>
        </w:rPr>
        <w:t>)</w:t>
      </w:r>
      <w:r w:rsidR="004026AC">
        <w:rPr>
          <w:sz w:val="26"/>
          <w:szCs w:val="26"/>
        </w:rPr>
        <w:tab/>
        <w:t>Elimination of Uncollectible</w:t>
      </w:r>
    </w:p>
    <w:p w:rsidR="006931A9"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4026AC">
        <w:rPr>
          <w:sz w:val="26"/>
          <w:szCs w:val="26"/>
        </w:rPr>
        <w:t xml:space="preserve">Accounts </w:t>
      </w:r>
      <w:r w:rsidRPr="00A20503">
        <w:rPr>
          <w:sz w:val="26"/>
          <w:szCs w:val="26"/>
        </w:rPr>
        <w:t>Expense Percentage</w:t>
      </w:r>
    </w:p>
    <w:p w:rsidR="006931A9"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FC3338">
        <w:rPr>
          <w:sz w:val="26"/>
          <w:szCs w:val="26"/>
        </w:rPr>
        <w:t xml:space="preserve">Factor </w:t>
      </w:r>
      <w:r w:rsidR="004026AC">
        <w:rPr>
          <w:sz w:val="26"/>
          <w:szCs w:val="26"/>
        </w:rPr>
        <w:t>and Imple</w:t>
      </w:r>
      <w:r w:rsidR="00FC3338">
        <w:rPr>
          <w:sz w:val="26"/>
          <w:szCs w:val="26"/>
        </w:rPr>
        <w:t>mentation of a</w:t>
      </w:r>
    </w:p>
    <w:p w:rsidR="006931A9" w:rsidRDefault="006931A9"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C3338">
        <w:rPr>
          <w:sz w:val="26"/>
          <w:szCs w:val="26"/>
        </w:rPr>
        <w:t>Nonby</w:t>
      </w:r>
      <w:r>
        <w:rPr>
          <w:sz w:val="26"/>
          <w:szCs w:val="26"/>
        </w:rPr>
        <w:t>pass</w:t>
      </w:r>
      <w:r w:rsidR="00A279EA" w:rsidRPr="00A20503">
        <w:rPr>
          <w:sz w:val="26"/>
          <w:szCs w:val="26"/>
        </w:rPr>
        <w:t>able MFC to</w:t>
      </w:r>
      <w:r w:rsidR="00FC3338">
        <w:rPr>
          <w:sz w:val="26"/>
          <w:szCs w:val="26"/>
        </w:rPr>
        <w:t xml:space="preserve"> </w:t>
      </w:r>
      <w:r w:rsidR="00A279EA" w:rsidRPr="00A20503">
        <w:rPr>
          <w:sz w:val="26"/>
          <w:szCs w:val="26"/>
        </w:rPr>
        <w:t xml:space="preserve">both and </w:t>
      </w:r>
    </w:p>
    <w:p w:rsidR="00FC3338" w:rsidRDefault="006931A9"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C3338">
        <w:rPr>
          <w:sz w:val="26"/>
          <w:szCs w:val="26"/>
        </w:rPr>
        <w:t xml:space="preserve">Shopping and </w:t>
      </w:r>
      <w:r>
        <w:rPr>
          <w:sz w:val="26"/>
          <w:szCs w:val="26"/>
        </w:rPr>
        <w:t>Non-</w:t>
      </w:r>
      <w:r w:rsidR="00A279EA" w:rsidRPr="00A20503">
        <w:rPr>
          <w:sz w:val="26"/>
          <w:szCs w:val="26"/>
        </w:rPr>
        <w:t>Shopping</w:t>
      </w:r>
    </w:p>
    <w:p w:rsidR="00A279EA" w:rsidRPr="00A20503" w:rsidRDefault="00FC3338"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279EA" w:rsidRPr="00A20503">
        <w:rPr>
          <w:sz w:val="26"/>
          <w:szCs w:val="26"/>
        </w:rPr>
        <w:t xml:space="preserve">Customers </w:t>
      </w:r>
      <w:r w:rsidR="006931A9">
        <w:rPr>
          <w:sz w:val="26"/>
          <w:szCs w:val="26"/>
        </w:rPr>
        <w:t>..</w:t>
      </w:r>
      <w:r>
        <w:rPr>
          <w:sz w:val="26"/>
          <w:szCs w:val="26"/>
        </w:rPr>
        <w:t>.........................</w:t>
      </w:r>
      <w:r w:rsidR="009B7FF0">
        <w:rPr>
          <w:sz w:val="26"/>
          <w:szCs w:val="26"/>
        </w:rPr>
        <w:t>..........</w:t>
      </w:r>
      <w:r w:rsidR="009B7FF0">
        <w:rPr>
          <w:sz w:val="26"/>
          <w:szCs w:val="26"/>
        </w:rPr>
        <w:tab/>
        <w:t>70</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(c)</w:t>
      </w:r>
      <w:r w:rsidRPr="00A20503">
        <w:rPr>
          <w:sz w:val="26"/>
          <w:szCs w:val="26"/>
        </w:rPr>
        <w:tab/>
        <w:t>All-In/All-Out Provision .........</w:t>
      </w:r>
      <w:r w:rsidR="009B3979">
        <w:rPr>
          <w:sz w:val="26"/>
          <w:szCs w:val="26"/>
        </w:rPr>
        <w:t>.</w:t>
      </w:r>
      <w:r w:rsidR="009B7FF0">
        <w:rPr>
          <w:sz w:val="26"/>
          <w:szCs w:val="26"/>
        </w:rPr>
        <w:t>....</w:t>
      </w:r>
      <w:r w:rsidR="009B7FF0">
        <w:rPr>
          <w:sz w:val="26"/>
          <w:szCs w:val="26"/>
        </w:rPr>
        <w:tab/>
        <w:t>75</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(d)</w:t>
      </w:r>
      <w:r w:rsidRPr="00A20503">
        <w:rPr>
          <w:sz w:val="26"/>
          <w:szCs w:val="26"/>
        </w:rPr>
        <w:tab/>
        <w:t>Whether the Current Tracking</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 xml:space="preserve">Mechanism for the Small C&amp;I </w:t>
      </w:r>
    </w:p>
    <w:p w:rsidR="004026AC"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4026AC">
        <w:rPr>
          <w:sz w:val="26"/>
          <w:szCs w:val="26"/>
        </w:rPr>
        <w:t xml:space="preserve">Customer </w:t>
      </w:r>
      <w:r w:rsidRPr="00A20503">
        <w:rPr>
          <w:sz w:val="26"/>
          <w:szCs w:val="26"/>
        </w:rPr>
        <w:t>POR Program Should</w:t>
      </w:r>
    </w:p>
    <w:p w:rsidR="00A279EA" w:rsidRPr="00A20503" w:rsidRDefault="004026AC"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931A9">
        <w:rPr>
          <w:sz w:val="26"/>
          <w:szCs w:val="26"/>
        </w:rPr>
        <w:t xml:space="preserve">Be </w:t>
      </w:r>
      <w:r w:rsidR="00A279EA" w:rsidRPr="00A20503">
        <w:rPr>
          <w:sz w:val="26"/>
          <w:szCs w:val="26"/>
        </w:rPr>
        <w:t>Eliminated .</w:t>
      </w:r>
      <w:r>
        <w:rPr>
          <w:sz w:val="26"/>
          <w:szCs w:val="26"/>
        </w:rPr>
        <w:t>..................</w:t>
      </w:r>
      <w:r w:rsidR="009B3979">
        <w:rPr>
          <w:sz w:val="26"/>
          <w:szCs w:val="26"/>
        </w:rPr>
        <w:t>.</w:t>
      </w:r>
      <w:r>
        <w:rPr>
          <w:sz w:val="26"/>
          <w:szCs w:val="26"/>
        </w:rPr>
        <w:t>.......</w:t>
      </w:r>
      <w:r w:rsidR="004534F5">
        <w:rPr>
          <w:sz w:val="26"/>
          <w:szCs w:val="26"/>
        </w:rPr>
        <w:t>....</w:t>
      </w:r>
      <w:r w:rsidR="004534F5">
        <w:rPr>
          <w:sz w:val="26"/>
          <w:szCs w:val="26"/>
        </w:rPr>
        <w:tab/>
        <w:t>77</w:t>
      </w:r>
    </w:p>
    <w:p w:rsidR="00A279EA" w:rsidRPr="00A20503" w:rsidRDefault="00A279EA" w:rsidP="004026AC">
      <w:pPr>
        <w:spacing w:line="240" w:lineRule="auto"/>
        <w:jc w:val="left"/>
        <w:rPr>
          <w:sz w:val="26"/>
          <w:szCs w:val="26"/>
        </w:rPr>
      </w:pPr>
    </w:p>
    <w:p w:rsidR="001E587D" w:rsidRDefault="00A279EA" w:rsidP="004026AC">
      <w:pPr>
        <w:spacing w:line="240" w:lineRule="auto"/>
        <w:jc w:val="left"/>
        <w:rPr>
          <w:sz w:val="26"/>
          <w:szCs w:val="26"/>
        </w:rPr>
      </w:pPr>
      <w:r w:rsidRPr="00A20503">
        <w:rPr>
          <w:sz w:val="26"/>
          <w:szCs w:val="26"/>
        </w:rPr>
        <w:t>\</w:t>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(e)</w:t>
      </w:r>
      <w:r w:rsidRPr="00A20503">
        <w:rPr>
          <w:sz w:val="26"/>
          <w:szCs w:val="26"/>
        </w:rPr>
        <w:tab/>
        <w:t>Whether the POR Program Should</w:t>
      </w:r>
    </w:p>
    <w:p w:rsidR="001E587D"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 xml:space="preserve">Be </w:t>
      </w:r>
      <w:r w:rsidRPr="00A20503">
        <w:rPr>
          <w:sz w:val="26"/>
          <w:szCs w:val="26"/>
        </w:rPr>
        <w:t>Expanded to Include Large</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 xml:space="preserve">C&amp;I </w:t>
      </w:r>
      <w:r w:rsidRPr="00A20503">
        <w:rPr>
          <w:sz w:val="26"/>
          <w:szCs w:val="26"/>
        </w:rPr>
        <w:t xml:space="preserve">Customers </w:t>
      </w:r>
      <w:r w:rsidR="001E587D">
        <w:rPr>
          <w:sz w:val="26"/>
          <w:szCs w:val="26"/>
        </w:rPr>
        <w:t>.</w:t>
      </w:r>
      <w:r w:rsidR="004534F5">
        <w:rPr>
          <w:sz w:val="26"/>
          <w:szCs w:val="26"/>
        </w:rPr>
        <w:t>............................</w:t>
      </w:r>
      <w:r w:rsidR="004534F5">
        <w:rPr>
          <w:sz w:val="26"/>
          <w:szCs w:val="26"/>
        </w:rPr>
        <w:tab/>
        <w:t>79</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001E587D">
        <w:rPr>
          <w:sz w:val="26"/>
          <w:szCs w:val="26"/>
        </w:rPr>
        <w:t>.</w:t>
      </w:r>
      <w:r w:rsidR="004534F5">
        <w:rPr>
          <w:sz w:val="26"/>
          <w:szCs w:val="26"/>
        </w:rPr>
        <w:t>.........................</w:t>
      </w:r>
      <w:r w:rsidR="004534F5">
        <w:rPr>
          <w:sz w:val="26"/>
          <w:szCs w:val="26"/>
        </w:rPr>
        <w:tab/>
        <w:t>82</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(a)</w:t>
      </w:r>
      <w:r w:rsidRPr="00A20503">
        <w:rPr>
          <w:sz w:val="26"/>
          <w:szCs w:val="26"/>
        </w:rPr>
        <w:tab/>
        <w:t>PPL’s Reliance on Historical Data</w:t>
      </w:r>
    </w:p>
    <w:p w:rsidR="001E587D"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 xml:space="preserve">For </w:t>
      </w:r>
      <w:r w:rsidRPr="00A20503">
        <w:rPr>
          <w:sz w:val="26"/>
          <w:szCs w:val="26"/>
        </w:rPr>
        <w:t>Expense Calculations (RESA</w:t>
      </w:r>
    </w:p>
    <w:p w:rsidR="00A279EA" w:rsidRPr="00A20503" w:rsidRDefault="001E587D"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279EA" w:rsidRPr="00A20503">
        <w:rPr>
          <w:sz w:val="26"/>
          <w:szCs w:val="26"/>
        </w:rPr>
        <w:t>Excep</w:t>
      </w:r>
      <w:r>
        <w:rPr>
          <w:sz w:val="26"/>
          <w:szCs w:val="26"/>
        </w:rPr>
        <w:t>t</w:t>
      </w:r>
      <w:r w:rsidR="00A279EA" w:rsidRPr="00A20503">
        <w:rPr>
          <w:sz w:val="26"/>
          <w:szCs w:val="26"/>
        </w:rPr>
        <w:t xml:space="preserve">ions at </w:t>
      </w:r>
      <w:r w:rsidR="00105FCC">
        <w:rPr>
          <w:sz w:val="26"/>
          <w:szCs w:val="26"/>
        </w:rPr>
        <w:t>6-14) .......................</w:t>
      </w:r>
      <w:r w:rsidR="00105FCC">
        <w:rPr>
          <w:sz w:val="26"/>
          <w:szCs w:val="26"/>
        </w:rPr>
        <w:tab/>
        <w:t>82</w:t>
      </w:r>
    </w:p>
    <w:p w:rsidR="00A279EA" w:rsidRPr="00A20503" w:rsidRDefault="00A279EA" w:rsidP="004026AC">
      <w:pPr>
        <w:spacing w:line="240" w:lineRule="auto"/>
        <w:jc w:val="left"/>
        <w:rPr>
          <w:sz w:val="26"/>
          <w:szCs w:val="26"/>
        </w:rPr>
      </w:pPr>
    </w:p>
    <w:p w:rsidR="001E587D" w:rsidRDefault="00A279EA" w:rsidP="004026AC">
      <w:pPr>
        <w:spacing w:line="240" w:lineRule="auto"/>
        <w:jc w:val="left"/>
        <w:rPr>
          <w:sz w:val="26"/>
          <w:szCs w:val="26"/>
        </w:rPr>
      </w:pPr>
      <w:r w:rsidRPr="00A20503">
        <w:rPr>
          <w:sz w:val="26"/>
          <w:szCs w:val="26"/>
        </w:rPr>
        <w:tab/>
      </w:r>
      <w:r w:rsidR="001B5FF5">
        <w:rPr>
          <w:sz w:val="26"/>
          <w:szCs w:val="26"/>
        </w:rPr>
        <w:tab/>
      </w:r>
      <w:r w:rsidRPr="00A20503">
        <w:rPr>
          <w:sz w:val="26"/>
          <w:szCs w:val="26"/>
        </w:rPr>
        <w:tab/>
      </w:r>
      <w:r w:rsidRPr="00A20503">
        <w:rPr>
          <w:sz w:val="26"/>
          <w:szCs w:val="26"/>
        </w:rPr>
        <w:tab/>
      </w:r>
      <w:r w:rsidRPr="00A20503">
        <w:rPr>
          <w:sz w:val="26"/>
          <w:szCs w:val="26"/>
        </w:rPr>
        <w:tab/>
        <w:t>(b)</w:t>
      </w:r>
      <w:r w:rsidRPr="00A20503">
        <w:rPr>
          <w:sz w:val="26"/>
          <w:szCs w:val="26"/>
        </w:rPr>
        <w:tab/>
        <w:t>RESA’s Alternative – The Non</w:t>
      </w:r>
      <w:r w:rsidR="001E587D">
        <w:rPr>
          <w:sz w:val="26"/>
          <w:szCs w:val="26"/>
        </w:rPr>
        <w:t>-</w:t>
      </w:r>
    </w:p>
    <w:p w:rsidR="001E587D" w:rsidRDefault="001E587D"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279EA" w:rsidRPr="00A20503">
        <w:rPr>
          <w:sz w:val="26"/>
          <w:szCs w:val="26"/>
        </w:rPr>
        <w:t>bypass</w:t>
      </w:r>
      <w:r w:rsidR="00A279EA" w:rsidRPr="00A20503">
        <w:rPr>
          <w:sz w:val="26"/>
          <w:szCs w:val="26"/>
        </w:rPr>
        <w:tab/>
        <w:t xml:space="preserve">able Charge Issue (RESA </w:t>
      </w:r>
    </w:p>
    <w:p w:rsidR="00A279EA" w:rsidRPr="00A20503" w:rsidRDefault="001E587D"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279EA" w:rsidRPr="00A20503">
        <w:rPr>
          <w:sz w:val="26"/>
          <w:szCs w:val="26"/>
        </w:rPr>
        <w:t>Exceptions</w:t>
      </w:r>
      <w:r>
        <w:rPr>
          <w:sz w:val="26"/>
          <w:szCs w:val="26"/>
        </w:rPr>
        <w:t xml:space="preserve"> </w:t>
      </w:r>
      <w:r w:rsidR="00A279EA" w:rsidRPr="00A20503">
        <w:rPr>
          <w:sz w:val="26"/>
          <w:szCs w:val="26"/>
        </w:rPr>
        <w:t>at</w:t>
      </w:r>
      <w:r w:rsidR="00105FCC">
        <w:rPr>
          <w:sz w:val="26"/>
          <w:szCs w:val="26"/>
        </w:rPr>
        <w:t xml:space="preserve"> 14-17) .....................</w:t>
      </w:r>
      <w:r w:rsidR="00105FCC">
        <w:rPr>
          <w:sz w:val="26"/>
          <w:szCs w:val="26"/>
        </w:rPr>
        <w:tab/>
        <w:t>87</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(c)</w:t>
      </w:r>
      <w:r w:rsidRPr="00A20503">
        <w:rPr>
          <w:sz w:val="26"/>
          <w:szCs w:val="26"/>
        </w:rPr>
        <w:tab/>
        <w:t xml:space="preserve">All-In/All-Out Requirement for </w:t>
      </w:r>
    </w:p>
    <w:p w:rsidR="001E587D"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Resi</w:t>
      </w:r>
      <w:r w:rsidRPr="00A20503">
        <w:rPr>
          <w:sz w:val="26"/>
          <w:szCs w:val="26"/>
        </w:rPr>
        <w:t xml:space="preserve">dential Customers (RESA </w:t>
      </w:r>
    </w:p>
    <w:p w:rsidR="00A279EA" w:rsidRPr="00A20503" w:rsidRDefault="001E587D" w:rsidP="004026AC">
      <w:pPr>
        <w:spacing w:line="240" w:lineRule="auto"/>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279EA" w:rsidRPr="00A20503">
        <w:rPr>
          <w:sz w:val="26"/>
          <w:szCs w:val="26"/>
        </w:rPr>
        <w:t>Exceptions</w:t>
      </w:r>
      <w:r>
        <w:rPr>
          <w:sz w:val="26"/>
          <w:szCs w:val="26"/>
        </w:rPr>
        <w:t xml:space="preserve"> </w:t>
      </w:r>
      <w:r w:rsidR="00A279EA" w:rsidRPr="00A20503">
        <w:rPr>
          <w:sz w:val="26"/>
          <w:szCs w:val="26"/>
        </w:rPr>
        <w:t>a</w:t>
      </w:r>
      <w:r w:rsidR="00105FCC">
        <w:rPr>
          <w:sz w:val="26"/>
          <w:szCs w:val="26"/>
        </w:rPr>
        <w:t>t 18-20) ....................</w:t>
      </w:r>
      <w:r w:rsidR="00105FCC">
        <w:rPr>
          <w:sz w:val="26"/>
          <w:szCs w:val="26"/>
        </w:rPr>
        <w:tab/>
        <w:t>88</w:t>
      </w:r>
    </w:p>
    <w:p w:rsidR="00A279EA" w:rsidRPr="00A20503" w:rsidRDefault="00A279EA" w:rsidP="004026AC">
      <w:pPr>
        <w:spacing w:line="240" w:lineRule="auto"/>
        <w:jc w:val="left"/>
        <w:rPr>
          <w:sz w:val="26"/>
          <w:szCs w:val="26"/>
        </w:rPr>
      </w:pPr>
    </w:p>
    <w:p w:rsidR="00FC3338" w:rsidRDefault="00FC3338">
      <w:pPr>
        <w:spacing w:after="200" w:line="276" w:lineRule="auto"/>
        <w:jc w:val="left"/>
        <w:rPr>
          <w:sz w:val="26"/>
          <w:szCs w:val="26"/>
        </w:rPr>
      </w:pPr>
      <w:r>
        <w:rPr>
          <w:sz w:val="26"/>
          <w:szCs w:val="26"/>
        </w:rPr>
        <w:br w:type="page"/>
      </w:r>
    </w:p>
    <w:p w:rsidR="00A279EA" w:rsidRPr="00A20503" w:rsidRDefault="00A279EA" w:rsidP="004026AC">
      <w:pPr>
        <w:spacing w:line="240" w:lineRule="auto"/>
        <w:jc w:val="left"/>
        <w:rPr>
          <w:sz w:val="26"/>
          <w:szCs w:val="26"/>
        </w:rPr>
      </w:pPr>
      <w:r w:rsidRPr="00A20503">
        <w:rPr>
          <w:sz w:val="26"/>
          <w:szCs w:val="26"/>
        </w:rPr>
        <w:lastRenderedPageBreak/>
        <w:tab/>
      </w:r>
      <w:r w:rsidRPr="00A20503">
        <w:rPr>
          <w:sz w:val="26"/>
          <w:szCs w:val="26"/>
        </w:rPr>
        <w:tab/>
      </w:r>
      <w:r w:rsidRPr="00A20503">
        <w:rPr>
          <w:sz w:val="26"/>
          <w:szCs w:val="26"/>
        </w:rPr>
        <w:tab/>
      </w:r>
      <w:r w:rsidRPr="00A20503">
        <w:rPr>
          <w:sz w:val="26"/>
          <w:szCs w:val="26"/>
        </w:rPr>
        <w:tab/>
      </w:r>
      <w:r w:rsidRPr="00A20503">
        <w:rPr>
          <w:sz w:val="26"/>
          <w:szCs w:val="26"/>
        </w:rPr>
        <w:tab/>
        <w:t>(d)</w:t>
      </w:r>
      <w:r w:rsidRPr="00A20503">
        <w:rPr>
          <w:sz w:val="26"/>
          <w:szCs w:val="26"/>
        </w:rPr>
        <w:tab/>
        <w:t xml:space="preserve">RESA’s Proposed Elimination </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of Small C&amp;I Tracker (RESA</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001E587D">
        <w:rPr>
          <w:sz w:val="26"/>
          <w:szCs w:val="26"/>
        </w:rPr>
        <w:t>Except</w:t>
      </w:r>
      <w:r w:rsidRPr="00A20503">
        <w:rPr>
          <w:sz w:val="26"/>
          <w:szCs w:val="26"/>
        </w:rPr>
        <w:t>ions at 20-21) .....................</w:t>
      </w:r>
      <w:r w:rsidRPr="00A20503">
        <w:rPr>
          <w:sz w:val="26"/>
          <w:szCs w:val="26"/>
        </w:rPr>
        <w:tab/>
      </w:r>
      <w:r w:rsidR="001B5FF5">
        <w:rPr>
          <w:sz w:val="26"/>
          <w:szCs w:val="26"/>
        </w:rPr>
        <w:t xml:space="preserve"> </w:t>
      </w:r>
      <w:r w:rsidR="009F10B9">
        <w:rPr>
          <w:sz w:val="26"/>
          <w:szCs w:val="26"/>
        </w:rPr>
        <w:t xml:space="preserve"> </w:t>
      </w:r>
      <w:r w:rsidR="001B5FF5">
        <w:rPr>
          <w:sz w:val="26"/>
          <w:szCs w:val="26"/>
        </w:rPr>
        <w:t xml:space="preserve"> </w:t>
      </w:r>
      <w:r w:rsidR="009F10B9">
        <w:rPr>
          <w:sz w:val="26"/>
          <w:szCs w:val="26"/>
        </w:rPr>
        <w:t>90</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(e)</w:t>
      </w:r>
      <w:r w:rsidRPr="00A20503">
        <w:rPr>
          <w:sz w:val="26"/>
          <w:szCs w:val="26"/>
        </w:rPr>
        <w:tab/>
        <w:t>RESA’s Proposal to Expand POR</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 xml:space="preserve">to Large C&amp;I Customers (RESA’s </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r>
      <w:r w:rsidRPr="00A20503">
        <w:rPr>
          <w:sz w:val="26"/>
          <w:szCs w:val="26"/>
        </w:rPr>
        <w:tab/>
        <w:t>Exceptions at 21-24) .........</w:t>
      </w:r>
      <w:r w:rsidR="005E392F">
        <w:rPr>
          <w:sz w:val="26"/>
          <w:szCs w:val="26"/>
        </w:rPr>
        <w:t>.</w:t>
      </w:r>
      <w:r w:rsidRPr="00A20503">
        <w:rPr>
          <w:sz w:val="26"/>
          <w:szCs w:val="26"/>
        </w:rPr>
        <w:t>...........</w:t>
      </w:r>
      <w:r w:rsidRPr="00A20503">
        <w:rPr>
          <w:sz w:val="26"/>
          <w:szCs w:val="26"/>
        </w:rPr>
        <w:tab/>
        <w:t xml:space="preserve"> </w:t>
      </w:r>
      <w:r w:rsidR="005E392F">
        <w:rPr>
          <w:sz w:val="26"/>
          <w:szCs w:val="26"/>
        </w:rPr>
        <w:t xml:space="preserve">  </w:t>
      </w:r>
      <w:r w:rsidR="009F10B9">
        <w:rPr>
          <w:sz w:val="26"/>
          <w:szCs w:val="26"/>
        </w:rPr>
        <w:t xml:space="preserve"> 91</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005E392F">
        <w:rPr>
          <w:sz w:val="26"/>
          <w:szCs w:val="26"/>
        </w:rPr>
        <w:t>.</w:t>
      </w:r>
      <w:r w:rsidRPr="00A20503">
        <w:rPr>
          <w:sz w:val="26"/>
          <w:szCs w:val="26"/>
        </w:rPr>
        <w:t>.....................................</w:t>
      </w:r>
      <w:r w:rsidRPr="00A20503">
        <w:rPr>
          <w:sz w:val="26"/>
          <w:szCs w:val="26"/>
        </w:rPr>
        <w:tab/>
        <w:t xml:space="preserve">  </w:t>
      </w:r>
      <w:r w:rsidR="005E392F">
        <w:rPr>
          <w:sz w:val="26"/>
          <w:szCs w:val="26"/>
        </w:rPr>
        <w:t xml:space="preserve">  </w:t>
      </w:r>
      <w:r w:rsidRPr="00A20503">
        <w:rPr>
          <w:sz w:val="26"/>
          <w:szCs w:val="26"/>
        </w:rPr>
        <w:t>9</w:t>
      </w:r>
      <w:r w:rsidR="009F10B9">
        <w:rPr>
          <w:sz w:val="26"/>
          <w:szCs w:val="26"/>
        </w:rPr>
        <w:t>4</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t>g.</w:t>
      </w:r>
      <w:r w:rsidRPr="00A20503">
        <w:rPr>
          <w:sz w:val="26"/>
          <w:szCs w:val="26"/>
        </w:rPr>
        <w:tab/>
        <w:t>PPLICA’s Rate Design Proposal to Create</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Special Industrial Ra</w:t>
      </w:r>
      <w:r w:rsidR="005E392F">
        <w:rPr>
          <w:sz w:val="26"/>
          <w:szCs w:val="26"/>
        </w:rPr>
        <w:t>te Schedule LP-4 SI ..........</w:t>
      </w:r>
      <w:r w:rsidR="005E392F">
        <w:rPr>
          <w:sz w:val="26"/>
          <w:szCs w:val="26"/>
        </w:rPr>
        <w:tab/>
        <w:t xml:space="preserve">    </w:t>
      </w:r>
      <w:r w:rsidR="009F10B9">
        <w:rPr>
          <w:sz w:val="26"/>
          <w:szCs w:val="26"/>
        </w:rPr>
        <w:t>96</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w:t>
      </w:r>
      <w:r w:rsidRPr="00A20503">
        <w:rPr>
          <w:sz w:val="26"/>
          <w:szCs w:val="26"/>
        </w:rPr>
        <w:tab/>
        <w:t>Positions of the Parties ............</w:t>
      </w:r>
      <w:r w:rsidR="009F10B9">
        <w:rPr>
          <w:sz w:val="26"/>
          <w:szCs w:val="26"/>
        </w:rPr>
        <w:t>.................</w:t>
      </w:r>
      <w:r w:rsidR="005E392F">
        <w:rPr>
          <w:sz w:val="26"/>
          <w:szCs w:val="26"/>
        </w:rPr>
        <w:t>..</w:t>
      </w:r>
      <w:r w:rsidR="009F10B9">
        <w:rPr>
          <w:sz w:val="26"/>
          <w:szCs w:val="26"/>
        </w:rPr>
        <w:t xml:space="preserve">  96</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w:t>
      </w:r>
      <w:r w:rsidRPr="00A20503">
        <w:rPr>
          <w:sz w:val="26"/>
          <w:szCs w:val="26"/>
        </w:rPr>
        <w:tab/>
        <w:t>The ALJ’s Recommendation ...................</w:t>
      </w:r>
      <w:r w:rsidRPr="00A20503">
        <w:rPr>
          <w:sz w:val="26"/>
          <w:szCs w:val="26"/>
        </w:rPr>
        <w:tab/>
      </w:r>
      <w:r w:rsidR="005E392F">
        <w:rPr>
          <w:sz w:val="26"/>
          <w:szCs w:val="26"/>
        </w:rPr>
        <w:t xml:space="preserve">  </w:t>
      </w:r>
      <w:r w:rsidR="009F10B9">
        <w:rPr>
          <w:sz w:val="26"/>
          <w:szCs w:val="26"/>
        </w:rPr>
        <w:t>102</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iii.</w:t>
      </w:r>
      <w:r w:rsidRPr="00A20503">
        <w:rPr>
          <w:sz w:val="26"/>
          <w:szCs w:val="26"/>
        </w:rPr>
        <w:tab/>
        <w:t>Exceptions ...............................................</w:t>
      </w:r>
      <w:r w:rsidRPr="00A20503">
        <w:rPr>
          <w:sz w:val="26"/>
          <w:szCs w:val="26"/>
        </w:rPr>
        <w:tab/>
      </w:r>
      <w:r w:rsidR="005E392F">
        <w:rPr>
          <w:sz w:val="26"/>
          <w:szCs w:val="26"/>
        </w:rPr>
        <w:t xml:space="preserve">  </w:t>
      </w:r>
      <w:r w:rsidR="009F10B9">
        <w:rPr>
          <w:sz w:val="26"/>
          <w:szCs w:val="26"/>
        </w:rPr>
        <w:t>10</w:t>
      </w:r>
      <w:r w:rsidR="005A4143">
        <w:rPr>
          <w:sz w:val="26"/>
          <w:szCs w:val="26"/>
        </w:rPr>
        <w:t>8</w:t>
      </w:r>
    </w:p>
    <w:p w:rsidR="00A279EA" w:rsidRPr="00A20503" w:rsidRDefault="00A279EA" w:rsidP="004026AC">
      <w:pPr>
        <w:spacing w:line="240" w:lineRule="auto"/>
        <w:jc w:val="left"/>
        <w:rPr>
          <w:sz w:val="26"/>
          <w:szCs w:val="26"/>
        </w:rPr>
      </w:pPr>
      <w:r w:rsidRPr="00A20503">
        <w:rPr>
          <w:sz w:val="26"/>
          <w:szCs w:val="26"/>
        </w:rPr>
        <w:tab/>
      </w:r>
      <w:r w:rsidRPr="00A20503">
        <w:rPr>
          <w:sz w:val="26"/>
          <w:szCs w:val="26"/>
        </w:rPr>
        <w:tab/>
      </w:r>
      <w:r w:rsidRPr="00A20503">
        <w:rPr>
          <w:sz w:val="26"/>
          <w:szCs w:val="26"/>
        </w:rPr>
        <w:tab/>
      </w:r>
      <w:r w:rsidRPr="00A20503">
        <w:rPr>
          <w:sz w:val="26"/>
          <w:szCs w:val="26"/>
        </w:rPr>
        <w:tab/>
        <w:t>iv.</w:t>
      </w:r>
      <w:r w:rsidRPr="00A20503">
        <w:rPr>
          <w:sz w:val="26"/>
          <w:szCs w:val="26"/>
        </w:rPr>
        <w:tab/>
        <w:t>Disposition ...............................................</w:t>
      </w:r>
      <w:r w:rsidRPr="00A20503">
        <w:rPr>
          <w:sz w:val="26"/>
          <w:szCs w:val="26"/>
        </w:rPr>
        <w:tab/>
      </w:r>
      <w:r w:rsidR="005E392F">
        <w:rPr>
          <w:sz w:val="26"/>
          <w:szCs w:val="26"/>
        </w:rPr>
        <w:t xml:space="preserve">  </w:t>
      </w:r>
      <w:r w:rsidR="005A4143">
        <w:rPr>
          <w:sz w:val="26"/>
          <w:szCs w:val="26"/>
        </w:rPr>
        <w:t>110</w:t>
      </w:r>
    </w:p>
    <w:p w:rsidR="00A279EA" w:rsidRPr="00A20503" w:rsidRDefault="00A279EA" w:rsidP="004026AC">
      <w:pPr>
        <w:spacing w:line="240" w:lineRule="auto"/>
        <w:jc w:val="left"/>
        <w:rPr>
          <w:sz w:val="26"/>
          <w:szCs w:val="26"/>
        </w:rPr>
      </w:pPr>
    </w:p>
    <w:p w:rsidR="00A279EA" w:rsidRPr="00A20503" w:rsidRDefault="001B5FF5" w:rsidP="004026AC">
      <w:pPr>
        <w:spacing w:line="240" w:lineRule="auto"/>
        <w:jc w:val="left"/>
        <w:rPr>
          <w:sz w:val="26"/>
          <w:szCs w:val="26"/>
        </w:rPr>
      </w:pPr>
      <w:r>
        <w:rPr>
          <w:sz w:val="26"/>
          <w:szCs w:val="26"/>
        </w:rPr>
        <w:t>III.</w:t>
      </w:r>
      <w:r>
        <w:rPr>
          <w:sz w:val="26"/>
          <w:szCs w:val="26"/>
        </w:rPr>
        <w:tab/>
      </w:r>
      <w:r w:rsidR="00A279EA" w:rsidRPr="00A20503">
        <w:rPr>
          <w:sz w:val="26"/>
          <w:szCs w:val="26"/>
        </w:rPr>
        <w:t>Conclusion ..........................................................................</w:t>
      </w:r>
      <w:r w:rsidR="005E392F">
        <w:rPr>
          <w:sz w:val="26"/>
          <w:szCs w:val="26"/>
        </w:rPr>
        <w:t>.</w:t>
      </w:r>
      <w:r w:rsidR="009F10B9">
        <w:rPr>
          <w:sz w:val="26"/>
          <w:szCs w:val="26"/>
        </w:rPr>
        <w:t>................</w:t>
      </w:r>
      <w:r w:rsidR="009F10B9">
        <w:rPr>
          <w:sz w:val="26"/>
          <w:szCs w:val="26"/>
        </w:rPr>
        <w:tab/>
        <w:t xml:space="preserve">  11</w:t>
      </w:r>
      <w:r w:rsidR="005A4143">
        <w:rPr>
          <w:sz w:val="26"/>
          <w:szCs w:val="26"/>
        </w:rPr>
        <w:t>3</w:t>
      </w:r>
    </w:p>
    <w:p w:rsidR="00A279EA" w:rsidRPr="00A20503" w:rsidRDefault="00A279EA" w:rsidP="004026AC">
      <w:pPr>
        <w:spacing w:line="240" w:lineRule="auto"/>
        <w:jc w:val="left"/>
        <w:rPr>
          <w:sz w:val="26"/>
          <w:szCs w:val="26"/>
        </w:rPr>
      </w:pPr>
    </w:p>
    <w:p w:rsidR="00A279EA" w:rsidRPr="00A20503" w:rsidRDefault="00A279EA" w:rsidP="004026AC">
      <w:pPr>
        <w:spacing w:line="240" w:lineRule="auto"/>
        <w:jc w:val="left"/>
        <w:rPr>
          <w:sz w:val="26"/>
          <w:szCs w:val="26"/>
        </w:rPr>
      </w:pPr>
      <w:r w:rsidRPr="00A20503">
        <w:rPr>
          <w:sz w:val="26"/>
          <w:szCs w:val="26"/>
        </w:rPr>
        <w:t>Ordering Paragraphs .........................................................................</w:t>
      </w:r>
      <w:r w:rsidR="005E392F">
        <w:rPr>
          <w:sz w:val="26"/>
          <w:szCs w:val="26"/>
        </w:rPr>
        <w:t>...........</w:t>
      </w:r>
      <w:r w:rsidR="009F10B9">
        <w:rPr>
          <w:sz w:val="26"/>
          <w:szCs w:val="26"/>
        </w:rPr>
        <w:t>...</w:t>
      </w:r>
      <w:r w:rsidR="009F10B9">
        <w:rPr>
          <w:sz w:val="26"/>
          <w:szCs w:val="26"/>
        </w:rPr>
        <w:tab/>
        <w:t xml:space="preserve">  11</w:t>
      </w:r>
      <w:r w:rsidR="005A4143">
        <w:rPr>
          <w:sz w:val="26"/>
          <w:szCs w:val="26"/>
        </w:rPr>
        <w:t>4</w:t>
      </w:r>
    </w:p>
    <w:p w:rsidR="008E2BBD" w:rsidRPr="00A20503" w:rsidRDefault="008E2BBD" w:rsidP="004026AC">
      <w:pPr>
        <w:spacing w:after="200" w:line="240" w:lineRule="auto"/>
        <w:jc w:val="left"/>
        <w:rPr>
          <w:sz w:val="26"/>
          <w:szCs w:val="26"/>
        </w:rPr>
        <w:sectPr w:rsidR="008E2BBD" w:rsidRPr="00A20503" w:rsidSect="00B050F2">
          <w:pgSz w:w="12240" w:h="15840" w:code="1"/>
          <w:pgMar w:top="1440" w:right="1440" w:bottom="1440" w:left="1440" w:header="720" w:footer="720" w:gutter="0"/>
          <w:pgNumType w:fmt="lowerRoman"/>
          <w:cols w:space="720"/>
          <w:titlePg/>
          <w:docGrid w:linePitch="360"/>
        </w:sectPr>
      </w:pPr>
    </w:p>
    <w:p w:rsidR="00A165ED" w:rsidRPr="00D17A61" w:rsidRDefault="00A165ED" w:rsidP="000E0862">
      <w:pPr>
        <w:rPr>
          <w:b/>
          <w:sz w:val="26"/>
          <w:szCs w:val="26"/>
        </w:rPr>
      </w:pPr>
      <w:r w:rsidRPr="00D17A61">
        <w:rPr>
          <w:b/>
          <w:sz w:val="26"/>
          <w:szCs w:val="26"/>
        </w:rPr>
        <w:lastRenderedPageBreak/>
        <w:t>OPINION AND ORDER</w:t>
      </w:r>
    </w:p>
    <w:p w:rsidR="00A165ED" w:rsidRPr="00D17A61" w:rsidRDefault="00A165ED" w:rsidP="000E0862">
      <w:pPr>
        <w:rPr>
          <w:b/>
          <w:sz w:val="26"/>
          <w:szCs w:val="26"/>
        </w:rPr>
      </w:pPr>
    </w:p>
    <w:p w:rsidR="00A165ED" w:rsidRPr="00D17A61" w:rsidRDefault="00A165ED" w:rsidP="000E0862">
      <w:pPr>
        <w:jc w:val="both"/>
        <w:rPr>
          <w:b/>
          <w:sz w:val="26"/>
          <w:szCs w:val="26"/>
        </w:rPr>
      </w:pPr>
      <w:r w:rsidRPr="00D17A61">
        <w:rPr>
          <w:b/>
          <w:sz w:val="26"/>
          <w:szCs w:val="26"/>
        </w:rPr>
        <w:t>BY THE COMMISSION:</w:t>
      </w:r>
    </w:p>
    <w:p w:rsidR="00A165ED" w:rsidRPr="00D17A61" w:rsidRDefault="00A165ED" w:rsidP="000E0862">
      <w:pPr>
        <w:jc w:val="both"/>
        <w:rPr>
          <w:b/>
          <w:sz w:val="26"/>
          <w:szCs w:val="26"/>
        </w:rPr>
      </w:pPr>
    </w:p>
    <w:p w:rsidR="008817BC" w:rsidRDefault="00A165ED" w:rsidP="000E0862">
      <w:pPr>
        <w:jc w:val="left"/>
        <w:rPr>
          <w:sz w:val="26"/>
          <w:szCs w:val="26"/>
        </w:rPr>
      </w:pPr>
      <w:r w:rsidRPr="00D17A61">
        <w:rPr>
          <w:sz w:val="26"/>
          <w:szCs w:val="26"/>
        </w:rPr>
        <w:tab/>
      </w:r>
      <w:r w:rsidR="000358D7">
        <w:rPr>
          <w:sz w:val="26"/>
          <w:szCs w:val="26"/>
        </w:rPr>
        <w:tab/>
      </w:r>
      <w:r w:rsidRPr="00D17A61">
        <w:rPr>
          <w:sz w:val="26"/>
          <w:szCs w:val="26"/>
        </w:rPr>
        <w:t xml:space="preserve">Before the </w:t>
      </w:r>
      <w:r w:rsidR="00017FCB">
        <w:rPr>
          <w:sz w:val="26"/>
          <w:szCs w:val="26"/>
        </w:rPr>
        <w:t xml:space="preserve">Pennsylvania Public Utility </w:t>
      </w:r>
      <w:r w:rsidRPr="00D17A61">
        <w:rPr>
          <w:sz w:val="26"/>
          <w:szCs w:val="26"/>
        </w:rPr>
        <w:t xml:space="preserve">Commission </w:t>
      </w:r>
      <w:r w:rsidR="00B210F3">
        <w:rPr>
          <w:sz w:val="26"/>
          <w:szCs w:val="26"/>
        </w:rPr>
        <w:t xml:space="preserve">(Commission) </w:t>
      </w:r>
      <w:r w:rsidRPr="00D17A61">
        <w:rPr>
          <w:sz w:val="26"/>
          <w:szCs w:val="26"/>
        </w:rPr>
        <w:t xml:space="preserve">for consideration and disposition </w:t>
      </w:r>
      <w:r w:rsidR="00B210F3">
        <w:rPr>
          <w:sz w:val="26"/>
          <w:szCs w:val="26"/>
        </w:rPr>
        <w:t xml:space="preserve">are the Exceptions </w:t>
      </w:r>
      <w:r w:rsidR="00A2375D">
        <w:rPr>
          <w:sz w:val="26"/>
          <w:szCs w:val="26"/>
        </w:rPr>
        <w:t>to</w:t>
      </w:r>
      <w:r w:rsidR="007A1208">
        <w:rPr>
          <w:sz w:val="26"/>
          <w:szCs w:val="26"/>
        </w:rPr>
        <w:t xml:space="preserve"> </w:t>
      </w:r>
      <w:r w:rsidRPr="00D17A61">
        <w:rPr>
          <w:sz w:val="26"/>
          <w:szCs w:val="26"/>
        </w:rPr>
        <w:t xml:space="preserve">the Recommended Decision </w:t>
      </w:r>
      <w:r w:rsidR="00835566" w:rsidRPr="00D17A61">
        <w:rPr>
          <w:sz w:val="26"/>
          <w:szCs w:val="26"/>
        </w:rPr>
        <w:t>(R</w:t>
      </w:r>
      <w:r w:rsidR="00A2375D">
        <w:rPr>
          <w:sz w:val="26"/>
          <w:szCs w:val="26"/>
        </w:rPr>
        <w:t>.</w:t>
      </w:r>
      <w:r w:rsidR="00835566" w:rsidRPr="00D17A61">
        <w:rPr>
          <w:sz w:val="26"/>
          <w:szCs w:val="26"/>
        </w:rPr>
        <w:t>D</w:t>
      </w:r>
      <w:r w:rsidR="00A2375D">
        <w:rPr>
          <w:sz w:val="26"/>
          <w:szCs w:val="26"/>
        </w:rPr>
        <w:t>.</w:t>
      </w:r>
      <w:r w:rsidR="00835566" w:rsidRPr="00D17A61">
        <w:rPr>
          <w:sz w:val="26"/>
          <w:szCs w:val="26"/>
        </w:rPr>
        <w:t xml:space="preserve">) </w:t>
      </w:r>
      <w:r w:rsidRPr="00D17A61">
        <w:rPr>
          <w:sz w:val="26"/>
          <w:szCs w:val="26"/>
        </w:rPr>
        <w:t xml:space="preserve">of Administrative Law Judge (ALJ) Susan D. Colwell, issued on </w:t>
      </w:r>
      <w:r w:rsidR="005304CF" w:rsidRPr="00D17A61">
        <w:rPr>
          <w:sz w:val="26"/>
          <w:szCs w:val="26"/>
        </w:rPr>
        <w:t>October 15, 2010</w:t>
      </w:r>
      <w:r w:rsidR="005F338C">
        <w:rPr>
          <w:sz w:val="26"/>
          <w:szCs w:val="26"/>
        </w:rPr>
        <w:t>,</w:t>
      </w:r>
      <w:r w:rsidR="005304CF" w:rsidRPr="00D17A61">
        <w:rPr>
          <w:sz w:val="26"/>
          <w:szCs w:val="26"/>
        </w:rPr>
        <w:t xml:space="preserve"> regarding the above-captioned distribution </w:t>
      </w:r>
      <w:r w:rsidR="00AB6CE9">
        <w:rPr>
          <w:sz w:val="26"/>
          <w:szCs w:val="26"/>
        </w:rPr>
        <w:t xml:space="preserve">general </w:t>
      </w:r>
      <w:r w:rsidR="00FA1612" w:rsidRPr="00D17A61">
        <w:rPr>
          <w:sz w:val="26"/>
          <w:szCs w:val="26"/>
        </w:rPr>
        <w:t>rate increase.</w:t>
      </w:r>
    </w:p>
    <w:p w:rsidR="008817BC" w:rsidRDefault="008817BC" w:rsidP="000E0862">
      <w:pPr>
        <w:jc w:val="left"/>
        <w:rPr>
          <w:sz w:val="26"/>
          <w:szCs w:val="26"/>
        </w:rPr>
      </w:pPr>
    </w:p>
    <w:p w:rsidR="008817BC" w:rsidRDefault="00FA1612" w:rsidP="000E0862">
      <w:pPr>
        <w:jc w:val="left"/>
        <w:rPr>
          <w:sz w:val="26"/>
          <w:szCs w:val="26"/>
        </w:rPr>
      </w:pPr>
      <w:r w:rsidRPr="00D17A61">
        <w:rPr>
          <w:sz w:val="26"/>
          <w:szCs w:val="26"/>
        </w:rPr>
        <w:tab/>
      </w:r>
      <w:r w:rsidR="000358D7">
        <w:rPr>
          <w:sz w:val="26"/>
          <w:szCs w:val="26"/>
        </w:rPr>
        <w:tab/>
      </w:r>
      <w:r w:rsidRPr="00D17A61">
        <w:rPr>
          <w:sz w:val="26"/>
          <w:szCs w:val="26"/>
        </w:rPr>
        <w:t>Exceptions were filed on November 4, 2010</w:t>
      </w:r>
      <w:r w:rsidR="005F338C">
        <w:rPr>
          <w:sz w:val="26"/>
          <w:szCs w:val="26"/>
        </w:rPr>
        <w:t>,</w:t>
      </w:r>
      <w:r w:rsidRPr="00D17A61">
        <w:rPr>
          <w:sz w:val="26"/>
          <w:szCs w:val="26"/>
        </w:rPr>
        <w:t xml:space="preserve"> by the following </w:t>
      </w:r>
      <w:r w:rsidR="005F338C">
        <w:rPr>
          <w:sz w:val="26"/>
          <w:szCs w:val="26"/>
        </w:rPr>
        <w:t>P</w:t>
      </w:r>
      <w:r w:rsidRPr="00D17A61">
        <w:rPr>
          <w:sz w:val="26"/>
          <w:szCs w:val="26"/>
        </w:rPr>
        <w:t xml:space="preserve">arties: </w:t>
      </w:r>
      <w:r w:rsidR="00835566" w:rsidRPr="00D17A61">
        <w:rPr>
          <w:sz w:val="26"/>
          <w:szCs w:val="26"/>
        </w:rPr>
        <w:t xml:space="preserve">the </w:t>
      </w:r>
      <w:r w:rsidR="005F338C" w:rsidRPr="00D17A61">
        <w:rPr>
          <w:sz w:val="26"/>
          <w:szCs w:val="26"/>
        </w:rPr>
        <w:t>Commission on Economic Opportunity (CEO)</w:t>
      </w:r>
      <w:r w:rsidR="005F338C">
        <w:rPr>
          <w:sz w:val="26"/>
          <w:szCs w:val="26"/>
        </w:rPr>
        <w:t xml:space="preserve">, the </w:t>
      </w:r>
      <w:r w:rsidR="00835566" w:rsidRPr="00D17A61">
        <w:rPr>
          <w:sz w:val="26"/>
          <w:szCs w:val="26"/>
        </w:rPr>
        <w:t xml:space="preserve">Office of Consumer Advocate (OCA), the Office of Small Business Advocate (OSBA), PP&amp;L Industrial Customer Alliance (PPLICA), </w:t>
      </w:r>
      <w:r w:rsidR="005F338C" w:rsidRPr="00D17A61">
        <w:rPr>
          <w:sz w:val="26"/>
          <w:szCs w:val="26"/>
        </w:rPr>
        <w:t xml:space="preserve">Retail Energy Supply Association (RESA) </w:t>
      </w:r>
      <w:r w:rsidR="005F338C">
        <w:rPr>
          <w:sz w:val="26"/>
          <w:szCs w:val="26"/>
        </w:rPr>
        <w:t xml:space="preserve">and </w:t>
      </w:r>
      <w:r w:rsidR="00835566" w:rsidRPr="00D17A61">
        <w:rPr>
          <w:sz w:val="26"/>
          <w:szCs w:val="26"/>
        </w:rPr>
        <w:t>Sustainable Energy Fund</w:t>
      </w:r>
      <w:r w:rsidR="0004096A" w:rsidRPr="00D17A61">
        <w:rPr>
          <w:sz w:val="26"/>
          <w:szCs w:val="26"/>
        </w:rPr>
        <w:t xml:space="preserve"> of Central Eastern Pennsylvania</w:t>
      </w:r>
      <w:r w:rsidR="00835566" w:rsidRPr="00D17A61">
        <w:rPr>
          <w:sz w:val="26"/>
          <w:szCs w:val="26"/>
        </w:rPr>
        <w:t xml:space="preserve"> (SEF).  Rep</w:t>
      </w:r>
      <w:r w:rsidR="007351B0" w:rsidRPr="00D17A61">
        <w:rPr>
          <w:sz w:val="26"/>
          <w:szCs w:val="26"/>
        </w:rPr>
        <w:t>l</w:t>
      </w:r>
      <w:r w:rsidR="00A01DD5">
        <w:rPr>
          <w:sz w:val="26"/>
          <w:szCs w:val="26"/>
        </w:rPr>
        <w:t>y</w:t>
      </w:r>
      <w:r w:rsidR="00835566" w:rsidRPr="00D17A61">
        <w:rPr>
          <w:sz w:val="26"/>
          <w:szCs w:val="26"/>
        </w:rPr>
        <w:t xml:space="preserve"> Exceptions were filed </w:t>
      </w:r>
      <w:r w:rsidR="00FC54D8" w:rsidRPr="00D17A61">
        <w:rPr>
          <w:sz w:val="26"/>
          <w:szCs w:val="26"/>
        </w:rPr>
        <w:t>on November 15, 2010</w:t>
      </w:r>
      <w:r w:rsidR="0034408E">
        <w:rPr>
          <w:sz w:val="26"/>
          <w:szCs w:val="26"/>
        </w:rPr>
        <w:t>,</w:t>
      </w:r>
      <w:r w:rsidR="00FC54D8" w:rsidRPr="00D17A61">
        <w:rPr>
          <w:sz w:val="26"/>
          <w:szCs w:val="26"/>
        </w:rPr>
        <w:t xml:space="preserve"> </w:t>
      </w:r>
      <w:r w:rsidR="00835566" w:rsidRPr="00D17A61">
        <w:rPr>
          <w:sz w:val="26"/>
          <w:szCs w:val="26"/>
        </w:rPr>
        <w:t xml:space="preserve">by </w:t>
      </w:r>
      <w:r w:rsidR="005F338C">
        <w:rPr>
          <w:sz w:val="26"/>
          <w:szCs w:val="26"/>
        </w:rPr>
        <w:t xml:space="preserve">the </w:t>
      </w:r>
      <w:r w:rsidR="005F338C" w:rsidRPr="00D17A61">
        <w:rPr>
          <w:sz w:val="26"/>
          <w:szCs w:val="26"/>
        </w:rPr>
        <w:t xml:space="preserve">OCA, </w:t>
      </w:r>
      <w:r w:rsidR="005F338C">
        <w:rPr>
          <w:sz w:val="26"/>
          <w:szCs w:val="26"/>
        </w:rPr>
        <w:t xml:space="preserve">the OSBA, </w:t>
      </w:r>
      <w:r w:rsidR="00835566" w:rsidRPr="00D17A61">
        <w:rPr>
          <w:sz w:val="26"/>
          <w:szCs w:val="26"/>
        </w:rPr>
        <w:t>PPL Electric Utilities Corporation (PPL</w:t>
      </w:r>
      <w:r w:rsidR="0004096A" w:rsidRPr="00D17A61">
        <w:rPr>
          <w:sz w:val="26"/>
          <w:szCs w:val="26"/>
        </w:rPr>
        <w:t xml:space="preserve"> </w:t>
      </w:r>
      <w:r w:rsidR="00947E83" w:rsidRPr="00D17A61">
        <w:rPr>
          <w:sz w:val="26"/>
          <w:szCs w:val="26"/>
        </w:rPr>
        <w:t>or the Company</w:t>
      </w:r>
      <w:r w:rsidR="00835566" w:rsidRPr="00D17A61">
        <w:rPr>
          <w:sz w:val="26"/>
          <w:szCs w:val="26"/>
        </w:rPr>
        <w:t>)</w:t>
      </w:r>
      <w:r w:rsidR="007351B0" w:rsidRPr="00D17A61">
        <w:rPr>
          <w:sz w:val="26"/>
          <w:szCs w:val="26"/>
        </w:rPr>
        <w:t xml:space="preserve">, </w:t>
      </w:r>
      <w:r w:rsidR="007A1208">
        <w:rPr>
          <w:sz w:val="26"/>
          <w:szCs w:val="26"/>
        </w:rPr>
        <w:t>PPLICA,</w:t>
      </w:r>
      <w:r w:rsidR="007351B0" w:rsidRPr="00D17A61">
        <w:rPr>
          <w:sz w:val="26"/>
          <w:szCs w:val="26"/>
        </w:rPr>
        <w:t xml:space="preserve"> and </w:t>
      </w:r>
      <w:r w:rsidR="00FC54D8" w:rsidRPr="00D17A61">
        <w:rPr>
          <w:sz w:val="26"/>
          <w:szCs w:val="26"/>
        </w:rPr>
        <w:t>the Office of Trial Staff (OTS).</w:t>
      </w:r>
    </w:p>
    <w:p w:rsidR="008817BC" w:rsidRDefault="008817BC" w:rsidP="000E0862">
      <w:pPr>
        <w:jc w:val="left"/>
        <w:rPr>
          <w:sz w:val="26"/>
          <w:szCs w:val="26"/>
        </w:rPr>
      </w:pPr>
    </w:p>
    <w:p w:rsidR="008817BC" w:rsidRPr="006D36DA" w:rsidRDefault="006D36DA" w:rsidP="006D36DA">
      <w:pPr>
        <w:keepNext/>
        <w:ind w:left="180"/>
        <w:rPr>
          <w:b/>
          <w:sz w:val="26"/>
          <w:szCs w:val="26"/>
        </w:rPr>
      </w:pPr>
      <w:r>
        <w:rPr>
          <w:b/>
          <w:sz w:val="26"/>
          <w:szCs w:val="26"/>
        </w:rPr>
        <w:t>I.</w:t>
      </w:r>
      <w:r>
        <w:rPr>
          <w:b/>
          <w:sz w:val="26"/>
          <w:szCs w:val="26"/>
        </w:rPr>
        <w:tab/>
      </w:r>
      <w:r w:rsidR="00FC54D8" w:rsidRPr="006D36DA">
        <w:rPr>
          <w:b/>
          <w:sz w:val="26"/>
          <w:szCs w:val="26"/>
        </w:rPr>
        <w:t>H</w:t>
      </w:r>
      <w:r w:rsidR="00E6333F" w:rsidRPr="006D36DA">
        <w:rPr>
          <w:b/>
          <w:sz w:val="26"/>
          <w:szCs w:val="26"/>
        </w:rPr>
        <w:t xml:space="preserve">ISTORY OF THE </w:t>
      </w:r>
      <w:r w:rsidR="00FC54D8" w:rsidRPr="006D36DA">
        <w:rPr>
          <w:b/>
          <w:sz w:val="26"/>
          <w:szCs w:val="26"/>
        </w:rPr>
        <w:t>P</w:t>
      </w:r>
      <w:r w:rsidR="00E6333F" w:rsidRPr="006D36DA">
        <w:rPr>
          <w:b/>
          <w:sz w:val="26"/>
          <w:szCs w:val="26"/>
        </w:rPr>
        <w:t>ROCEEDING</w:t>
      </w:r>
    </w:p>
    <w:p w:rsidR="008817BC" w:rsidRDefault="008817BC" w:rsidP="000E0862">
      <w:pPr>
        <w:keepNext/>
        <w:jc w:val="left"/>
        <w:rPr>
          <w:sz w:val="26"/>
          <w:szCs w:val="26"/>
        </w:rPr>
      </w:pPr>
    </w:p>
    <w:p w:rsidR="008817BC" w:rsidRDefault="000358D7" w:rsidP="000E0862">
      <w:pPr>
        <w:ind w:firstLine="720"/>
        <w:jc w:val="left"/>
        <w:rPr>
          <w:sz w:val="26"/>
          <w:szCs w:val="26"/>
        </w:rPr>
      </w:pPr>
      <w:r>
        <w:rPr>
          <w:sz w:val="26"/>
          <w:szCs w:val="26"/>
        </w:rPr>
        <w:tab/>
      </w:r>
      <w:r w:rsidR="002F0C51" w:rsidRPr="00D17A61">
        <w:rPr>
          <w:sz w:val="26"/>
          <w:szCs w:val="26"/>
        </w:rPr>
        <w:t>On March 31, 2010, PPL filed Supplement No. 83 to Tariff</w:t>
      </w:r>
      <w:r w:rsidR="006C4BA3">
        <w:rPr>
          <w:sz w:val="26"/>
          <w:szCs w:val="26"/>
        </w:rPr>
        <w:t>—</w:t>
      </w:r>
      <w:r w:rsidR="002F0C51" w:rsidRPr="00D17A61">
        <w:rPr>
          <w:sz w:val="26"/>
          <w:szCs w:val="26"/>
        </w:rPr>
        <w:t xml:space="preserve"> Electric Pa. P.U.C. No. 201 (Supplement No. </w:t>
      </w:r>
      <w:r w:rsidR="005F338C">
        <w:rPr>
          <w:sz w:val="26"/>
          <w:szCs w:val="26"/>
        </w:rPr>
        <w:t>83</w:t>
      </w:r>
      <w:r w:rsidR="002F0C51" w:rsidRPr="00D17A61">
        <w:rPr>
          <w:sz w:val="26"/>
          <w:szCs w:val="26"/>
        </w:rPr>
        <w:t>)</w:t>
      </w:r>
      <w:r w:rsidR="006C4BA3">
        <w:rPr>
          <w:sz w:val="26"/>
          <w:szCs w:val="26"/>
        </w:rPr>
        <w:t>,</w:t>
      </w:r>
      <w:r w:rsidR="002F0C51" w:rsidRPr="00D17A61">
        <w:rPr>
          <w:sz w:val="26"/>
          <w:szCs w:val="26"/>
        </w:rPr>
        <w:t xml:space="preserve"> to become effective June 1, 2010, </w:t>
      </w:r>
      <w:r w:rsidR="00FD3F85">
        <w:rPr>
          <w:sz w:val="26"/>
          <w:szCs w:val="26"/>
        </w:rPr>
        <w:t xml:space="preserve">subsequently suspended until January 1, 2011, </w:t>
      </w:r>
      <w:r w:rsidR="00947E83" w:rsidRPr="00D17A61">
        <w:rPr>
          <w:sz w:val="26"/>
          <w:szCs w:val="26"/>
        </w:rPr>
        <w:t xml:space="preserve">along with its direct testimony, exhibits and supporting information </w:t>
      </w:r>
      <w:r w:rsidR="002F0C51" w:rsidRPr="00D17A61">
        <w:rPr>
          <w:sz w:val="26"/>
          <w:szCs w:val="26"/>
        </w:rPr>
        <w:t>seeking Commission approval</w:t>
      </w:r>
      <w:r w:rsidR="006356B5">
        <w:rPr>
          <w:sz w:val="26"/>
          <w:szCs w:val="26"/>
        </w:rPr>
        <w:t xml:space="preserve"> of</w:t>
      </w:r>
      <w:r w:rsidR="002F0C51" w:rsidRPr="00D17A61">
        <w:rPr>
          <w:sz w:val="26"/>
          <w:szCs w:val="26"/>
        </w:rPr>
        <w:t xml:space="preserve"> </w:t>
      </w:r>
      <w:r w:rsidR="00F83C1F" w:rsidRPr="00D17A61">
        <w:rPr>
          <w:sz w:val="26"/>
          <w:szCs w:val="26"/>
        </w:rPr>
        <w:t xml:space="preserve">changes in rates, rules, and regulations </w:t>
      </w:r>
      <w:r w:rsidR="00FD3F85">
        <w:rPr>
          <w:sz w:val="26"/>
          <w:szCs w:val="26"/>
        </w:rPr>
        <w:t xml:space="preserve">proposed </w:t>
      </w:r>
      <w:r w:rsidR="00F83C1F" w:rsidRPr="00D17A61">
        <w:rPr>
          <w:sz w:val="26"/>
          <w:szCs w:val="26"/>
        </w:rPr>
        <w:t xml:space="preserve">to produce </w:t>
      </w:r>
      <w:r w:rsidR="00FD3F85">
        <w:rPr>
          <w:sz w:val="26"/>
          <w:szCs w:val="26"/>
        </w:rPr>
        <w:t xml:space="preserve">an increase of </w:t>
      </w:r>
      <w:r w:rsidR="00F83C1F" w:rsidRPr="00D17A61">
        <w:rPr>
          <w:sz w:val="26"/>
          <w:szCs w:val="26"/>
        </w:rPr>
        <w:t>approximately $114.7 million in annual distribution service</w:t>
      </w:r>
      <w:r w:rsidR="00F83C1F" w:rsidRPr="00D17A61">
        <w:rPr>
          <w:i/>
          <w:sz w:val="26"/>
          <w:szCs w:val="26"/>
        </w:rPr>
        <w:t xml:space="preserve"> </w:t>
      </w:r>
      <w:r w:rsidR="00F83C1F" w:rsidRPr="00D17A61">
        <w:rPr>
          <w:sz w:val="26"/>
          <w:szCs w:val="26"/>
        </w:rPr>
        <w:t>revenues.  As proposed, the rate change</w:t>
      </w:r>
      <w:r w:rsidR="00FD3F85">
        <w:rPr>
          <w:sz w:val="26"/>
          <w:szCs w:val="26"/>
        </w:rPr>
        <w:t>s</w:t>
      </w:r>
      <w:r w:rsidR="00F83C1F" w:rsidRPr="00D17A61">
        <w:rPr>
          <w:sz w:val="26"/>
          <w:szCs w:val="26"/>
        </w:rPr>
        <w:t xml:space="preserve"> represented an average increase in distribution rates of approximately 16.5%, which equates to an average increase in total </w:t>
      </w:r>
      <w:r w:rsidR="00364FB8">
        <w:rPr>
          <w:sz w:val="26"/>
          <w:szCs w:val="26"/>
        </w:rPr>
        <w:t xml:space="preserve">billed </w:t>
      </w:r>
      <w:r w:rsidR="00F83C1F" w:rsidRPr="00D17A61">
        <w:rPr>
          <w:sz w:val="26"/>
          <w:szCs w:val="26"/>
        </w:rPr>
        <w:t>rates</w:t>
      </w:r>
      <w:r w:rsidR="0055678B">
        <w:rPr>
          <w:sz w:val="26"/>
          <w:szCs w:val="26"/>
        </w:rPr>
        <w:t xml:space="preserve"> </w:t>
      </w:r>
      <w:r w:rsidR="00F83C1F" w:rsidRPr="00D17A61">
        <w:rPr>
          <w:sz w:val="26"/>
          <w:szCs w:val="26"/>
        </w:rPr>
        <w:t>(distribution, transmission, generation, and transition charges) of approximately 2.4%.  PPL proposed general rate increase was based on a future test year ending December 31, 2010.</w:t>
      </w:r>
    </w:p>
    <w:p w:rsidR="008817BC" w:rsidRDefault="008817BC" w:rsidP="000E0862">
      <w:pPr>
        <w:ind w:firstLine="720"/>
        <w:jc w:val="left"/>
        <w:rPr>
          <w:sz w:val="26"/>
          <w:szCs w:val="26"/>
        </w:rPr>
      </w:pPr>
    </w:p>
    <w:p w:rsidR="008817BC" w:rsidRDefault="000358D7" w:rsidP="000E0862">
      <w:pPr>
        <w:ind w:firstLine="720"/>
        <w:jc w:val="left"/>
        <w:rPr>
          <w:sz w:val="26"/>
          <w:szCs w:val="26"/>
        </w:rPr>
      </w:pPr>
      <w:r>
        <w:rPr>
          <w:sz w:val="26"/>
          <w:szCs w:val="26"/>
        </w:rPr>
        <w:tab/>
      </w:r>
      <w:r w:rsidR="00F83C1F" w:rsidRPr="00D17A61">
        <w:rPr>
          <w:sz w:val="26"/>
          <w:szCs w:val="26"/>
        </w:rPr>
        <w:t>By Order entered May 20, 2010</w:t>
      </w:r>
      <w:r w:rsidR="00564F0B" w:rsidRPr="00D17A61">
        <w:rPr>
          <w:sz w:val="26"/>
          <w:szCs w:val="26"/>
        </w:rPr>
        <w:t xml:space="preserve"> (</w:t>
      </w:r>
      <w:r w:rsidR="00564F0B" w:rsidRPr="00DF7081">
        <w:rPr>
          <w:i/>
          <w:sz w:val="26"/>
          <w:szCs w:val="26"/>
        </w:rPr>
        <w:t>Suspension Order</w:t>
      </w:r>
      <w:r w:rsidR="00564F0B" w:rsidRPr="00D17A61">
        <w:rPr>
          <w:sz w:val="26"/>
          <w:szCs w:val="26"/>
        </w:rPr>
        <w:t>)</w:t>
      </w:r>
      <w:r w:rsidR="00F83C1F" w:rsidRPr="00D17A61">
        <w:rPr>
          <w:sz w:val="26"/>
          <w:szCs w:val="26"/>
        </w:rPr>
        <w:t xml:space="preserve">, the Commission instituted a formal investigation to determine whether the proposed tariff filing and proposed changes in rates, rules, and regulations are unlawful, unjust, </w:t>
      </w:r>
      <w:r w:rsidR="00564F0B" w:rsidRPr="00D17A61">
        <w:rPr>
          <w:sz w:val="26"/>
          <w:szCs w:val="26"/>
        </w:rPr>
        <w:t>unreasonable, and co</w:t>
      </w:r>
      <w:r w:rsidR="008207FF">
        <w:rPr>
          <w:sz w:val="26"/>
          <w:szCs w:val="26"/>
        </w:rPr>
        <w:t>n</w:t>
      </w:r>
      <w:r w:rsidR="00564F0B" w:rsidRPr="00D17A61">
        <w:rPr>
          <w:sz w:val="26"/>
          <w:szCs w:val="26"/>
        </w:rPr>
        <w:t xml:space="preserve">trary to the public interest.  The Commission also determined in its </w:t>
      </w:r>
      <w:r w:rsidR="00DF7081">
        <w:rPr>
          <w:i/>
          <w:sz w:val="26"/>
          <w:szCs w:val="26"/>
        </w:rPr>
        <w:t>S</w:t>
      </w:r>
      <w:r w:rsidR="00564F0B" w:rsidRPr="00DF7081">
        <w:rPr>
          <w:i/>
          <w:sz w:val="26"/>
          <w:szCs w:val="26"/>
        </w:rPr>
        <w:t xml:space="preserve">uspension </w:t>
      </w:r>
      <w:r w:rsidR="00DF7081">
        <w:rPr>
          <w:i/>
          <w:sz w:val="26"/>
          <w:szCs w:val="26"/>
        </w:rPr>
        <w:t>O</w:t>
      </w:r>
      <w:r w:rsidR="00564F0B" w:rsidRPr="00DF7081">
        <w:rPr>
          <w:i/>
          <w:sz w:val="26"/>
          <w:szCs w:val="26"/>
        </w:rPr>
        <w:t>rder</w:t>
      </w:r>
      <w:r w:rsidR="00564F0B" w:rsidRPr="00D17A61">
        <w:rPr>
          <w:sz w:val="26"/>
          <w:szCs w:val="26"/>
        </w:rPr>
        <w:t xml:space="preserve"> that consideration should be given to the reasonableness of the Company’s existing rates, rules, and regulations.</w:t>
      </w:r>
    </w:p>
    <w:p w:rsidR="000A04BA" w:rsidRDefault="000A04BA" w:rsidP="000E0862">
      <w:pPr>
        <w:ind w:firstLine="720"/>
        <w:jc w:val="left"/>
        <w:rPr>
          <w:sz w:val="26"/>
          <w:szCs w:val="26"/>
        </w:rPr>
      </w:pPr>
    </w:p>
    <w:p w:rsidR="00FD3F85" w:rsidRDefault="00FD3F85" w:rsidP="000E0862">
      <w:pPr>
        <w:ind w:firstLine="720"/>
        <w:jc w:val="left"/>
        <w:rPr>
          <w:sz w:val="26"/>
          <w:szCs w:val="26"/>
        </w:rPr>
      </w:pPr>
      <w:r>
        <w:rPr>
          <w:sz w:val="26"/>
          <w:szCs w:val="26"/>
        </w:rPr>
        <w:tab/>
        <w:t>On May 25, 2010, PPL filed Supplement No. 89 to Tariff-Electric Pa. P.U.C. No. 201,</w:t>
      </w:r>
      <w:r w:rsidR="000A04BA">
        <w:rPr>
          <w:sz w:val="26"/>
          <w:szCs w:val="26"/>
        </w:rPr>
        <w:t xml:space="preserve"> for the purpose of</w:t>
      </w:r>
      <w:r>
        <w:rPr>
          <w:sz w:val="26"/>
          <w:szCs w:val="26"/>
        </w:rPr>
        <w:t xml:space="preserve"> suspending</w:t>
      </w:r>
      <w:r w:rsidR="00AB6CE9">
        <w:rPr>
          <w:sz w:val="26"/>
          <w:szCs w:val="26"/>
        </w:rPr>
        <w:t xml:space="preserve"> the effective date of</w:t>
      </w:r>
      <w:r>
        <w:rPr>
          <w:sz w:val="26"/>
          <w:szCs w:val="26"/>
        </w:rPr>
        <w:t xml:space="preserve"> Supplement No. 83 until January 1, 2011.</w:t>
      </w:r>
    </w:p>
    <w:p w:rsidR="008817BC" w:rsidRDefault="008817BC" w:rsidP="000E0862">
      <w:pPr>
        <w:ind w:firstLine="720"/>
        <w:jc w:val="left"/>
        <w:rPr>
          <w:sz w:val="26"/>
          <w:szCs w:val="26"/>
        </w:rPr>
      </w:pPr>
    </w:p>
    <w:p w:rsidR="008817BC" w:rsidRDefault="000358D7" w:rsidP="000E0862">
      <w:pPr>
        <w:ind w:firstLine="720"/>
        <w:jc w:val="left"/>
        <w:rPr>
          <w:sz w:val="26"/>
          <w:szCs w:val="26"/>
        </w:rPr>
      </w:pPr>
      <w:r>
        <w:rPr>
          <w:sz w:val="26"/>
          <w:szCs w:val="26"/>
        </w:rPr>
        <w:tab/>
      </w:r>
      <w:r w:rsidR="002F0C51" w:rsidRPr="00D17A61">
        <w:rPr>
          <w:sz w:val="26"/>
          <w:szCs w:val="26"/>
        </w:rPr>
        <w:t xml:space="preserve">Formal </w:t>
      </w:r>
      <w:r w:rsidR="000A04BA">
        <w:rPr>
          <w:sz w:val="26"/>
          <w:szCs w:val="26"/>
        </w:rPr>
        <w:t>C</w:t>
      </w:r>
      <w:r w:rsidR="002F0C51" w:rsidRPr="00D17A61">
        <w:rPr>
          <w:sz w:val="26"/>
          <w:szCs w:val="26"/>
        </w:rPr>
        <w:t xml:space="preserve">omplaints </w:t>
      </w:r>
      <w:r w:rsidR="000A04BA">
        <w:rPr>
          <w:sz w:val="26"/>
          <w:szCs w:val="26"/>
        </w:rPr>
        <w:t xml:space="preserve">(Complaints) </w:t>
      </w:r>
      <w:r w:rsidR="002F0C51" w:rsidRPr="00D17A61">
        <w:rPr>
          <w:sz w:val="26"/>
          <w:szCs w:val="26"/>
        </w:rPr>
        <w:t xml:space="preserve">against the proposed rate increase were filed by </w:t>
      </w:r>
      <w:r>
        <w:rPr>
          <w:sz w:val="26"/>
          <w:szCs w:val="26"/>
        </w:rPr>
        <w:t xml:space="preserve">the </w:t>
      </w:r>
      <w:r w:rsidR="002F0C51" w:rsidRPr="00A85133">
        <w:rPr>
          <w:sz w:val="26"/>
          <w:szCs w:val="26"/>
        </w:rPr>
        <w:t>OCA</w:t>
      </w:r>
      <w:r w:rsidR="0004096A" w:rsidRPr="00D17A61">
        <w:rPr>
          <w:sz w:val="26"/>
          <w:szCs w:val="26"/>
        </w:rPr>
        <w:t xml:space="preserve">, </w:t>
      </w:r>
      <w:r>
        <w:rPr>
          <w:sz w:val="26"/>
          <w:szCs w:val="26"/>
        </w:rPr>
        <w:t xml:space="preserve">the </w:t>
      </w:r>
      <w:r w:rsidR="002F0C51" w:rsidRPr="00D17A61">
        <w:rPr>
          <w:sz w:val="26"/>
          <w:szCs w:val="26"/>
        </w:rPr>
        <w:t>OSBA</w:t>
      </w:r>
      <w:r w:rsidR="0004096A" w:rsidRPr="00D17A61">
        <w:rPr>
          <w:sz w:val="26"/>
          <w:szCs w:val="26"/>
        </w:rPr>
        <w:t>,</w:t>
      </w:r>
      <w:r w:rsidR="002F0C51" w:rsidRPr="00D17A61">
        <w:rPr>
          <w:sz w:val="26"/>
          <w:szCs w:val="26"/>
        </w:rPr>
        <w:t xml:space="preserve"> </w:t>
      </w:r>
      <w:r w:rsidR="002F0C51" w:rsidRPr="00A85133">
        <w:rPr>
          <w:sz w:val="26"/>
          <w:szCs w:val="26"/>
        </w:rPr>
        <w:t>PPLICA</w:t>
      </w:r>
      <w:r w:rsidR="0004096A" w:rsidRPr="00D17A61">
        <w:rPr>
          <w:sz w:val="26"/>
          <w:szCs w:val="26"/>
        </w:rPr>
        <w:t>,</w:t>
      </w:r>
      <w:r w:rsidR="002F0C51" w:rsidRPr="00D17A61">
        <w:rPr>
          <w:sz w:val="26"/>
          <w:szCs w:val="26"/>
        </w:rPr>
        <w:t xml:space="preserve"> Elaine &amp; Clayton Andrews, Jr.</w:t>
      </w:r>
      <w:r w:rsidR="0004096A" w:rsidRPr="00D17A61">
        <w:rPr>
          <w:sz w:val="26"/>
          <w:szCs w:val="26"/>
        </w:rPr>
        <w:t>,</w:t>
      </w:r>
      <w:r w:rsidR="002F0C51" w:rsidRPr="00D17A61">
        <w:rPr>
          <w:sz w:val="26"/>
          <w:szCs w:val="26"/>
        </w:rPr>
        <w:t xml:space="preserve"> </w:t>
      </w:r>
      <w:r w:rsidR="002F0C51" w:rsidRPr="00B2421F">
        <w:rPr>
          <w:sz w:val="26"/>
          <w:szCs w:val="26"/>
        </w:rPr>
        <w:t>Ashley A. Buck</w:t>
      </w:r>
      <w:r w:rsidR="0004096A" w:rsidRPr="00D17A61">
        <w:rPr>
          <w:sz w:val="26"/>
          <w:szCs w:val="26"/>
        </w:rPr>
        <w:t>,</w:t>
      </w:r>
      <w:r w:rsidR="002F0C51" w:rsidRPr="00D17A61">
        <w:rPr>
          <w:sz w:val="26"/>
          <w:szCs w:val="26"/>
        </w:rPr>
        <w:t xml:space="preserve"> </w:t>
      </w:r>
      <w:r w:rsidR="00892EE1" w:rsidRPr="00D17A61">
        <w:rPr>
          <w:sz w:val="26"/>
          <w:szCs w:val="26"/>
        </w:rPr>
        <w:t xml:space="preserve">Eric J. Epstein, </w:t>
      </w:r>
      <w:r w:rsidR="006356B5">
        <w:rPr>
          <w:sz w:val="26"/>
          <w:szCs w:val="26"/>
        </w:rPr>
        <w:t>Vincent C. Giglio (</w:t>
      </w:r>
      <w:r w:rsidR="00FD462B">
        <w:rPr>
          <w:sz w:val="26"/>
          <w:szCs w:val="26"/>
        </w:rPr>
        <w:t xml:space="preserve">note that </w:t>
      </w:r>
      <w:r w:rsidR="006356B5">
        <w:rPr>
          <w:sz w:val="26"/>
          <w:szCs w:val="26"/>
        </w:rPr>
        <w:t>this C</w:t>
      </w:r>
      <w:r w:rsidR="00B61C7A">
        <w:rPr>
          <w:sz w:val="26"/>
          <w:szCs w:val="26"/>
        </w:rPr>
        <w:t xml:space="preserve">omplaint was </w:t>
      </w:r>
      <w:r w:rsidR="00FD462B">
        <w:rPr>
          <w:sz w:val="26"/>
          <w:szCs w:val="26"/>
        </w:rPr>
        <w:t xml:space="preserve">not </w:t>
      </w:r>
      <w:r w:rsidR="00B61C7A">
        <w:rPr>
          <w:sz w:val="26"/>
          <w:szCs w:val="26"/>
        </w:rPr>
        <w:t>file</w:t>
      </w:r>
      <w:r w:rsidR="00FD462B">
        <w:rPr>
          <w:sz w:val="26"/>
          <w:szCs w:val="26"/>
        </w:rPr>
        <w:t>d until October 13, 2010, or two days after the ALJ’s October 15, 2010 R.D. was issued),</w:t>
      </w:r>
      <w:r w:rsidR="00B61C7A">
        <w:rPr>
          <w:sz w:val="26"/>
          <w:szCs w:val="26"/>
        </w:rPr>
        <w:t xml:space="preserve"> </w:t>
      </w:r>
      <w:r w:rsidR="002F0C51" w:rsidRPr="00D17A61">
        <w:rPr>
          <w:sz w:val="26"/>
          <w:szCs w:val="26"/>
        </w:rPr>
        <w:t>Donald L. Foreman (note that Mr. Foreman withdrew his Complaint on May 10, 2010)</w:t>
      </w:r>
      <w:r w:rsidR="0004096A" w:rsidRPr="00D17A61">
        <w:rPr>
          <w:sz w:val="26"/>
          <w:szCs w:val="26"/>
        </w:rPr>
        <w:t>,</w:t>
      </w:r>
      <w:r w:rsidR="002F0C51" w:rsidRPr="00D17A61">
        <w:rPr>
          <w:sz w:val="26"/>
          <w:szCs w:val="26"/>
        </w:rPr>
        <w:t xml:space="preserve"> Stephen F. Goldstein</w:t>
      </w:r>
      <w:r w:rsidR="0004096A" w:rsidRPr="00D17A61">
        <w:rPr>
          <w:sz w:val="26"/>
          <w:szCs w:val="26"/>
        </w:rPr>
        <w:t>,</w:t>
      </w:r>
      <w:r w:rsidR="002F0C51" w:rsidRPr="00D17A61">
        <w:rPr>
          <w:sz w:val="26"/>
          <w:szCs w:val="26"/>
        </w:rPr>
        <w:t xml:space="preserve"> Peter Grieger</w:t>
      </w:r>
      <w:r w:rsidR="0004096A" w:rsidRPr="00D17A61">
        <w:rPr>
          <w:sz w:val="26"/>
          <w:szCs w:val="26"/>
        </w:rPr>
        <w:t>,</w:t>
      </w:r>
      <w:r w:rsidR="002F0C51" w:rsidRPr="00D17A61">
        <w:rPr>
          <w:sz w:val="26"/>
          <w:szCs w:val="26"/>
        </w:rPr>
        <w:t xml:space="preserve"> William P. Hart</w:t>
      </w:r>
      <w:r w:rsidR="0004096A" w:rsidRPr="00D17A61">
        <w:rPr>
          <w:sz w:val="26"/>
          <w:szCs w:val="26"/>
        </w:rPr>
        <w:t>,</w:t>
      </w:r>
      <w:r w:rsidR="002F0C51" w:rsidRPr="00D17A61">
        <w:rPr>
          <w:sz w:val="26"/>
          <w:szCs w:val="26"/>
        </w:rPr>
        <w:t xml:space="preserve"> Linda M. Johnson</w:t>
      </w:r>
      <w:r w:rsidR="0004096A" w:rsidRPr="00D17A61">
        <w:rPr>
          <w:sz w:val="26"/>
          <w:szCs w:val="26"/>
        </w:rPr>
        <w:t>,</w:t>
      </w:r>
      <w:r w:rsidR="002F0C51" w:rsidRPr="00D17A61">
        <w:rPr>
          <w:sz w:val="26"/>
          <w:szCs w:val="26"/>
        </w:rPr>
        <w:t xml:space="preserve"> Gerard Martin</w:t>
      </w:r>
      <w:r w:rsidR="0004096A" w:rsidRPr="00D17A61">
        <w:rPr>
          <w:sz w:val="26"/>
          <w:szCs w:val="26"/>
        </w:rPr>
        <w:t>,</w:t>
      </w:r>
      <w:r w:rsidR="002F0C51" w:rsidRPr="00D17A61">
        <w:rPr>
          <w:sz w:val="26"/>
          <w:szCs w:val="26"/>
        </w:rPr>
        <w:t xml:space="preserve"> Eugene R. Ruoff</w:t>
      </w:r>
      <w:r w:rsidR="0004096A" w:rsidRPr="00D17A61">
        <w:rPr>
          <w:sz w:val="26"/>
          <w:szCs w:val="26"/>
        </w:rPr>
        <w:t>,</w:t>
      </w:r>
      <w:r w:rsidR="002F0C51" w:rsidRPr="00D17A61">
        <w:rPr>
          <w:sz w:val="26"/>
          <w:szCs w:val="26"/>
        </w:rPr>
        <w:t xml:space="preserve"> Elaine B. Santarelli (</w:t>
      </w:r>
      <w:r w:rsidR="0004096A" w:rsidRPr="00D17A61">
        <w:rPr>
          <w:sz w:val="26"/>
          <w:szCs w:val="26"/>
        </w:rPr>
        <w:t xml:space="preserve">note that </w:t>
      </w:r>
      <w:r w:rsidR="002F0C51" w:rsidRPr="00D17A61">
        <w:rPr>
          <w:sz w:val="26"/>
          <w:szCs w:val="26"/>
        </w:rPr>
        <w:t>Ms. Santarelli withdrew her Complaint by letter dated October 4, 2010)</w:t>
      </w:r>
      <w:r w:rsidR="0004096A" w:rsidRPr="00D17A61">
        <w:rPr>
          <w:sz w:val="26"/>
          <w:szCs w:val="26"/>
        </w:rPr>
        <w:t>,</w:t>
      </w:r>
      <w:r w:rsidR="002F0C51" w:rsidRPr="00D17A61">
        <w:rPr>
          <w:sz w:val="26"/>
          <w:szCs w:val="26"/>
        </w:rPr>
        <w:t xml:space="preserve"> George R. Snyder</w:t>
      </w:r>
      <w:r w:rsidR="0004096A" w:rsidRPr="00D17A61">
        <w:rPr>
          <w:sz w:val="26"/>
          <w:szCs w:val="26"/>
        </w:rPr>
        <w:t>,</w:t>
      </w:r>
      <w:r w:rsidR="002F0C51" w:rsidRPr="00D17A61">
        <w:rPr>
          <w:sz w:val="26"/>
          <w:szCs w:val="26"/>
        </w:rPr>
        <w:t xml:space="preserve"> Shannon Stiffler</w:t>
      </w:r>
      <w:r w:rsidR="0004096A" w:rsidRPr="00D17A61">
        <w:rPr>
          <w:sz w:val="26"/>
          <w:szCs w:val="26"/>
        </w:rPr>
        <w:t>,</w:t>
      </w:r>
      <w:r w:rsidR="002F0C51" w:rsidRPr="00D17A61">
        <w:rPr>
          <w:sz w:val="26"/>
          <w:szCs w:val="26"/>
        </w:rPr>
        <w:t xml:space="preserve"> </w:t>
      </w:r>
      <w:r w:rsidR="00A87E3D">
        <w:rPr>
          <w:sz w:val="26"/>
          <w:szCs w:val="26"/>
        </w:rPr>
        <w:t xml:space="preserve">Dr. </w:t>
      </w:r>
      <w:r w:rsidR="003901A6">
        <w:rPr>
          <w:sz w:val="26"/>
          <w:szCs w:val="26"/>
        </w:rPr>
        <w:t xml:space="preserve">Elaine F. Wasilewski </w:t>
      </w:r>
      <w:r w:rsidR="006356B5">
        <w:rPr>
          <w:sz w:val="26"/>
          <w:szCs w:val="26"/>
        </w:rPr>
        <w:t xml:space="preserve">(note that </w:t>
      </w:r>
      <w:r w:rsidR="00A87E3D">
        <w:rPr>
          <w:sz w:val="26"/>
          <w:szCs w:val="26"/>
        </w:rPr>
        <w:t>Dr. Wasilewski</w:t>
      </w:r>
      <w:r w:rsidR="006356B5">
        <w:rPr>
          <w:sz w:val="26"/>
          <w:szCs w:val="26"/>
        </w:rPr>
        <w:t xml:space="preserve"> </w:t>
      </w:r>
      <w:r w:rsidR="00B61C7A">
        <w:rPr>
          <w:sz w:val="26"/>
          <w:szCs w:val="26"/>
        </w:rPr>
        <w:t xml:space="preserve">elected to </w:t>
      </w:r>
      <w:r w:rsidR="006356B5">
        <w:rPr>
          <w:sz w:val="26"/>
          <w:szCs w:val="26"/>
        </w:rPr>
        <w:t xml:space="preserve">pursue her service </w:t>
      </w:r>
      <w:r w:rsidR="00B61C7A">
        <w:rPr>
          <w:sz w:val="26"/>
          <w:szCs w:val="26"/>
        </w:rPr>
        <w:t xml:space="preserve">dispute and not </w:t>
      </w:r>
      <w:r w:rsidR="00A87E3D">
        <w:rPr>
          <w:sz w:val="26"/>
          <w:szCs w:val="26"/>
        </w:rPr>
        <w:t xml:space="preserve">her </w:t>
      </w:r>
      <w:r w:rsidR="00240E02">
        <w:rPr>
          <w:sz w:val="26"/>
          <w:szCs w:val="26"/>
        </w:rPr>
        <w:t>Formal</w:t>
      </w:r>
      <w:r w:rsidR="00A87E3D">
        <w:rPr>
          <w:sz w:val="26"/>
          <w:szCs w:val="26"/>
        </w:rPr>
        <w:t xml:space="preserve"> C</w:t>
      </w:r>
      <w:r w:rsidR="006356B5">
        <w:rPr>
          <w:sz w:val="26"/>
          <w:szCs w:val="26"/>
        </w:rPr>
        <w:t>omplain</w:t>
      </w:r>
      <w:r w:rsidR="00A87E3D">
        <w:rPr>
          <w:sz w:val="26"/>
          <w:szCs w:val="26"/>
        </w:rPr>
        <w:t>t</w:t>
      </w:r>
      <w:r w:rsidR="00B61C7A">
        <w:rPr>
          <w:sz w:val="26"/>
          <w:szCs w:val="26"/>
        </w:rPr>
        <w:t xml:space="preserve"> against the rates</w:t>
      </w:r>
      <w:r w:rsidR="00A87E3D">
        <w:rPr>
          <w:sz w:val="26"/>
          <w:szCs w:val="26"/>
        </w:rPr>
        <w:t xml:space="preserve"> in this proceeding</w:t>
      </w:r>
      <w:r w:rsidR="00B61C7A">
        <w:rPr>
          <w:sz w:val="26"/>
          <w:szCs w:val="26"/>
        </w:rPr>
        <w:t>, Tr. at 6)</w:t>
      </w:r>
      <w:r w:rsidR="006356B5">
        <w:rPr>
          <w:sz w:val="26"/>
          <w:szCs w:val="26"/>
        </w:rPr>
        <w:t xml:space="preserve"> </w:t>
      </w:r>
      <w:r w:rsidR="002F0C51" w:rsidRPr="00D17A61">
        <w:rPr>
          <w:sz w:val="26"/>
          <w:szCs w:val="26"/>
        </w:rPr>
        <w:t>and Whitehall Township.</w:t>
      </w:r>
      <w:r w:rsidR="009E048F" w:rsidRPr="00D17A61">
        <w:rPr>
          <w:sz w:val="26"/>
          <w:szCs w:val="26"/>
        </w:rPr>
        <w:t xml:space="preserve">  </w:t>
      </w:r>
      <w:r>
        <w:rPr>
          <w:sz w:val="26"/>
          <w:szCs w:val="26"/>
        </w:rPr>
        <w:t xml:space="preserve">The </w:t>
      </w:r>
      <w:r w:rsidR="009E048F" w:rsidRPr="00D17A61">
        <w:rPr>
          <w:sz w:val="26"/>
          <w:szCs w:val="26"/>
        </w:rPr>
        <w:t>OTS filed a Notice of Intervention in the proceeding.</w:t>
      </w:r>
    </w:p>
    <w:p w:rsidR="008817BC" w:rsidRDefault="008817BC" w:rsidP="000E0862">
      <w:pPr>
        <w:ind w:firstLine="720"/>
        <w:jc w:val="left"/>
        <w:rPr>
          <w:sz w:val="26"/>
          <w:szCs w:val="26"/>
        </w:rPr>
      </w:pPr>
    </w:p>
    <w:p w:rsidR="008817BC" w:rsidRDefault="000358D7" w:rsidP="000E0862">
      <w:pPr>
        <w:ind w:firstLine="720"/>
        <w:jc w:val="left"/>
        <w:rPr>
          <w:sz w:val="26"/>
          <w:szCs w:val="26"/>
        </w:rPr>
      </w:pPr>
      <w:r>
        <w:rPr>
          <w:sz w:val="26"/>
          <w:szCs w:val="26"/>
        </w:rPr>
        <w:tab/>
      </w:r>
      <w:r w:rsidR="002F0C51" w:rsidRPr="00D17A61">
        <w:rPr>
          <w:sz w:val="26"/>
          <w:szCs w:val="26"/>
        </w:rPr>
        <w:t>A prehearing conference was held on Wednesday, May 26, 2010</w:t>
      </w:r>
      <w:r w:rsidR="00A01DD5">
        <w:rPr>
          <w:sz w:val="26"/>
          <w:szCs w:val="26"/>
        </w:rPr>
        <w:t>,</w:t>
      </w:r>
      <w:r w:rsidR="002F0C51" w:rsidRPr="00D17A61">
        <w:rPr>
          <w:sz w:val="26"/>
          <w:szCs w:val="26"/>
        </w:rPr>
        <w:t xml:space="preserve"> in Harrisburg.  Petitions to intervene filed by the following were granted</w:t>
      </w:r>
      <w:r w:rsidR="008001EA">
        <w:rPr>
          <w:sz w:val="26"/>
          <w:szCs w:val="26"/>
        </w:rPr>
        <w:t xml:space="preserve"> by ALJ Colwell</w:t>
      </w:r>
      <w:r w:rsidR="002F0C51" w:rsidRPr="00D17A61">
        <w:rPr>
          <w:sz w:val="26"/>
          <w:szCs w:val="26"/>
        </w:rPr>
        <w:t xml:space="preserve">:  CEO; </w:t>
      </w:r>
      <w:r w:rsidR="008001EA" w:rsidRPr="00D17A61">
        <w:rPr>
          <w:sz w:val="26"/>
          <w:szCs w:val="26"/>
        </w:rPr>
        <w:t>Citizens for Pennsylvania’s Future (PennFuture),</w:t>
      </w:r>
      <w:r w:rsidR="008001EA">
        <w:rPr>
          <w:sz w:val="26"/>
          <w:szCs w:val="26"/>
        </w:rPr>
        <w:t xml:space="preserve"> </w:t>
      </w:r>
      <w:r w:rsidR="002F0C51" w:rsidRPr="00D17A61">
        <w:rPr>
          <w:sz w:val="26"/>
          <w:szCs w:val="26"/>
        </w:rPr>
        <w:t>Dominion Retail, Inc.</w:t>
      </w:r>
      <w:r w:rsidR="0004096A" w:rsidRPr="00D17A61">
        <w:rPr>
          <w:sz w:val="26"/>
          <w:szCs w:val="26"/>
        </w:rPr>
        <w:t xml:space="preserve"> (Dominion Retail)</w:t>
      </w:r>
      <w:r w:rsidR="002F0C51" w:rsidRPr="00D17A61">
        <w:rPr>
          <w:sz w:val="26"/>
          <w:szCs w:val="26"/>
        </w:rPr>
        <w:t xml:space="preserve">, International Brotherhood of Electrical Workers, Local 1600 (IBEW); </w:t>
      </w:r>
      <w:r w:rsidR="008001EA" w:rsidRPr="00D17A61">
        <w:rPr>
          <w:sz w:val="26"/>
          <w:szCs w:val="26"/>
        </w:rPr>
        <w:t>RESA</w:t>
      </w:r>
      <w:r w:rsidR="008001EA">
        <w:rPr>
          <w:sz w:val="26"/>
          <w:szCs w:val="26"/>
        </w:rPr>
        <w:t xml:space="preserve">, </w:t>
      </w:r>
      <w:r w:rsidR="002F0C51" w:rsidRPr="00D17A61">
        <w:rPr>
          <w:sz w:val="26"/>
          <w:szCs w:val="26"/>
        </w:rPr>
        <w:t>Richards Energy Group</w:t>
      </w:r>
      <w:r w:rsidR="009E048F" w:rsidRPr="00D17A61">
        <w:rPr>
          <w:sz w:val="26"/>
          <w:szCs w:val="26"/>
        </w:rPr>
        <w:t xml:space="preserve"> (Richards)</w:t>
      </w:r>
      <w:r w:rsidR="002F0C51" w:rsidRPr="00D17A61">
        <w:rPr>
          <w:sz w:val="26"/>
          <w:szCs w:val="26"/>
        </w:rPr>
        <w:t xml:space="preserve"> </w:t>
      </w:r>
      <w:r w:rsidR="009E048F" w:rsidRPr="00D17A61">
        <w:rPr>
          <w:sz w:val="26"/>
          <w:szCs w:val="26"/>
        </w:rPr>
        <w:t xml:space="preserve">and </w:t>
      </w:r>
      <w:r w:rsidR="002A5BDA">
        <w:rPr>
          <w:sz w:val="26"/>
          <w:szCs w:val="26"/>
        </w:rPr>
        <w:t>SEF</w:t>
      </w:r>
      <w:r w:rsidR="002F0C51" w:rsidRPr="00D17A61">
        <w:rPr>
          <w:sz w:val="26"/>
          <w:szCs w:val="26"/>
        </w:rPr>
        <w:t>.  A petition to intervene filed</w:t>
      </w:r>
      <w:r w:rsidR="00DF7081">
        <w:rPr>
          <w:sz w:val="26"/>
          <w:szCs w:val="26"/>
        </w:rPr>
        <w:t xml:space="preserve"> on May 24, </w:t>
      </w:r>
      <w:r w:rsidR="00DF7081">
        <w:rPr>
          <w:sz w:val="26"/>
          <w:szCs w:val="26"/>
        </w:rPr>
        <w:lastRenderedPageBreak/>
        <w:t>2010,</w:t>
      </w:r>
      <w:r w:rsidR="002F0C51" w:rsidRPr="00D17A61">
        <w:rPr>
          <w:sz w:val="26"/>
          <w:szCs w:val="26"/>
        </w:rPr>
        <w:t xml:space="preserve"> by Washington Gas Energy Services was not addressed a</w:t>
      </w:r>
      <w:r w:rsidR="009E048F" w:rsidRPr="00D17A61">
        <w:rPr>
          <w:sz w:val="26"/>
          <w:szCs w:val="26"/>
        </w:rPr>
        <w:t xml:space="preserve">t the prehearing conference, </w:t>
      </w:r>
      <w:r w:rsidR="00CB2D03" w:rsidRPr="00D17A61">
        <w:rPr>
          <w:sz w:val="26"/>
          <w:szCs w:val="26"/>
        </w:rPr>
        <w:t xml:space="preserve">but was later denied </w:t>
      </w:r>
      <w:r w:rsidR="009E048F" w:rsidRPr="00D17A61">
        <w:rPr>
          <w:sz w:val="26"/>
          <w:szCs w:val="26"/>
        </w:rPr>
        <w:t xml:space="preserve">by Initial Decision </w:t>
      </w:r>
      <w:r w:rsidR="00DF7081">
        <w:rPr>
          <w:sz w:val="26"/>
          <w:szCs w:val="26"/>
        </w:rPr>
        <w:t xml:space="preserve">dated August 5, 2010, </w:t>
      </w:r>
      <w:r w:rsidR="009E048F" w:rsidRPr="00D17A61">
        <w:rPr>
          <w:sz w:val="26"/>
          <w:szCs w:val="26"/>
        </w:rPr>
        <w:t>due to the entity’s failure to provide proof of required legal representation.</w:t>
      </w:r>
    </w:p>
    <w:p w:rsidR="008817BC" w:rsidRDefault="008817BC" w:rsidP="000E0862">
      <w:pPr>
        <w:pStyle w:val="ListParagraph"/>
        <w:ind w:left="1080"/>
        <w:jc w:val="left"/>
        <w:rPr>
          <w:sz w:val="26"/>
          <w:szCs w:val="26"/>
        </w:rPr>
      </w:pPr>
    </w:p>
    <w:p w:rsidR="008817BC" w:rsidRDefault="000358D7" w:rsidP="000E0862">
      <w:pPr>
        <w:ind w:firstLine="720"/>
        <w:jc w:val="left"/>
        <w:rPr>
          <w:sz w:val="26"/>
          <w:szCs w:val="26"/>
        </w:rPr>
      </w:pPr>
      <w:r>
        <w:rPr>
          <w:sz w:val="26"/>
          <w:szCs w:val="26"/>
        </w:rPr>
        <w:tab/>
      </w:r>
      <w:r w:rsidR="002F0C51" w:rsidRPr="00D17A61">
        <w:rPr>
          <w:sz w:val="26"/>
          <w:szCs w:val="26"/>
        </w:rPr>
        <w:t>Public input hearings were held in Scranton and Wilkes-Barre on June 14, 2010, in Bethlehem and Allentown on June 21, 2010, and in Harrisburg on June 23, 2010.</w:t>
      </w:r>
    </w:p>
    <w:p w:rsidR="008817BC" w:rsidRDefault="008817BC" w:rsidP="000E0862">
      <w:pPr>
        <w:ind w:firstLine="720"/>
        <w:jc w:val="left"/>
        <w:rPr>
          <w:sz w:val="26"/>
          <w:szCs w:val="26"/>
        </w:rPr>
      </w:pPr>
    </w:p>
    <w:p w:rsidR="008817BC" w:rsidRDefault="000358D7" w:rsidP="000E0862">
      <w:pPr>
        <w:ind w:firstLine="720"/>
        <w:jc w:val="left"/>
        <w:rPr>
          <w:sz w:val="26"/>
          <w:szCs w:val="26"/>
        </w:rPr>
      </w:pPr>
      <w:r>
        <w:rPr>
          <w:sz w:val="26"/>
          <w:szCs w:val="26"/>
        </w:rPr>
        <w:tab/>
      </w:r>
      <w:r w:rsidR="002F0C51" w:rsidRPr="00D17A61">
        <w:rPr>
          <w:sz w:val="26"/>
          <w:szCs w:val="26"/>
        </w:rPr>
        <w:t xml:space="preserve">Parties other than the Company served direct testimony and accompanying exhibits on June 29, 2010, and PPL served supplemental testimony to address issues raised by the Commission in its </w:t>
      </w:r>
      <w:r w:rsidR="002F0C51" w:rsidRPr="00DF7081">
        <w:rPr>
          <w:i/>
          <w:sz w:val="26"/>
          <w:szCs w:val="26"/>
        </w:rPr>
        <w:t>Suspension Order</w:t>
      </w:r>
      <w:r w:rsidR="002F0C51" w:rsidRPr="00D17A61">
        <w:rPr>
          <w:sz w:val="26"/>
          <w:szCs w:val="26"/>
        </w:rPr>
        <w:t>.  On July 27, 2010, rebuttal testimony and exhibits were served, and on August 9, 2010, PPL served rejoinder testimony and exhibits.</w:t>
      </w:r>
    </w:p>
    <w:p w:rsidR="003D1E9B" w:rsidRDefault="003D1E9B" w:rsidP="000E0862">
      <w:pPr>
        <w:ind w:firstLine="720"/>
        <w:jc w:val="left"/>
        <w:rPr>
          <w:sz w:val="26"/>
          <w:szCs w:val="26"/>
        </w:rPr>
      </w:pPr>
    </w:p>
    <w:p w:rsidR="008817BC" w:rsidRPr="00AB6CE9" w:rsidRDefault="003D1E9B" w:rsidP="000E0862">
      <w:pPr>
        <w:ind w:firstLine="720"/>
        <w:jc w:val="left"/>
        <w:rPr>
          <w:sz w:val="26"/>
          <w:szCs w:val="26"/>
        </w:rPr>
      </w:pPr>
      <w:r w:rsidRPr="00AB6CE9">
        <w:rPr>
          <w:sz w:val="26"/>
          <w:szCs w:val="26"/>
        </w:rPr>
        <w:tab/>
        <w:t>A Partial Settlement in principle of a number of issues was reached prior to the hearing dates.</w:t>
      </w:r>
    </w:p>
    <w:p w:rsidR="003D1E9B" w:rsidRDefault="003D1E9B" w:rsidP="000E0862">
      <w:pPr>
        <w:ind w:firstLine="720"/>
        <w:jc w:val="left"/>
        <w:rPr>
          <w:sz w:val="26"/>
          <w:szCs w:val="26"/>
        </w:rPr>
      </w:pPr>
    </w:p>
    <w:p w:rsidR="008817BC" w:rsidRDefault="00436F46" w:rsidP="000E0862">
      <w:pPr>
        <w:ind w:firstLine="720"/>
        <w:jc w:val="left"/>
        <w:rPr>
          <w:sz w:val="26"/>
          <w:szCs w:val="26"/>
        </w:rPr>
      </w:pPr>
      <w:r>
        <w:rPr>
          <w:sz w:val="26"/>
          <w:szCs w:val="26"/>
        </w:rPr>
        <w:tab/>
      </w:r>
      <w:r w:rsidR="002F0C51" w:rsidRPr="00D17A61">
        <w:rPr>
          <w:sz w:val="26"/>
          <w:szCs w:val="26"/>
        </w:rPr>
        <w:t>The evidentiary hearing was held on August 11, 2010</w:t>
      </w:r>
      <w:r w:rsidR="00DF7081">
        <w:rPr>
          <w:sz w:val="26"/>
          <w:szCs w:val="26"/>
        </w:rPr>
        <w:t>,</w:t>
      </w:r>
      <w:r w:rsidR="002F0C51" w:rsidRPr="00D17A61">
        <w:rPr>
          <w:sz w:val="26"/>
          <w:szCs w:val="26"/>
        </w:rPr>
        <w:t xml:space="preserve"> for the following purposes:  (1) to support the partial settlement;</w:t>
      </w:r>
      <w:r w:rsidR="00E57091" w:rsidRPr="00E57091">
        <w:rPr>
          <w:rStyle w:val="FootnoteReference"/>
          <w:vertAlign w:val="superscript"/>
        </w:rPr>
        <w:footnoteReference w:id="1"/>
      </w:r>
      <w:r w:rsidR="002F0C51" w:rsidRPr="00E57091">
        <w:rPr>
          <w:sz w:val="26"/>
          <w:szCs w:val="26"/>
          <w:vertAlign w:val="superscript"/>
        </w:rPr>
        <w:t xml:space="preserve"> </w:t>
      </w:r>
      <w:r w:rsidR="002F0C51" w:rsidRPr="00D17A61">
        <w:rPr>
          <w:sz w:val="26"/>
          <w:szCs w:val="26"/>
        </w:rPr>
        <w:t xml:space="preserve">(2) to provide evidence for the issues not settled; and (3) to hear the testimony of </w:t>
      </w:r>
      <w:r w:rsidR="00E57091">
        <w:rPr>
          <w:sz w:val="26"/>
          <w:szCs w:val="26"/>
        </w:rPr>
        <w:t>C</w:t>
      </w:r>
      <w:r w:rsidR="002F0C51" w:rsidRPr="00D17A61">
        <w:rPr>
          <w:sz w:val="26"/>
          <w:szCs w:val="26"/>
        </w:rPr>
        <w:t xml:space="preserve">omplainant Elaine Andrews, whose </w:t>
      </w:r>
      <w:r w:rsidR="00E57091">
        <w:rPr>
          <w:sz w:val="26"/>
          <w:szCs w:val="26"/>
        </w:rPr>
        <w:t>C</w:t>
      </w:r>
      <w:r w:rsidR="002F0C51" w:rsidRPr="00D17A61">
        <w:rPr>
          <w:sz w:val="26"/>
          <w:szCs w:val="26"/>
        </w:rPr>
        <w:t>omplaint had been treated as informal when it should have been formal, in order to provide due process to her.</w:t>
      </w:r>
      <w:r w:rsidR="002F0C51" w:rsidRPr="00D17A61">
        <w:rPr>
          <w:rStyle w:val="FootnoteReference"/>
          <w:sz w:val="26"/>
          <w:szCs w:val="26"/>
          <w:vertAlign w:val="superscript"/>
        </w:rPr>
        <w:footnoteReference w:id="2"/>
      </w:r>
    </w:p>
    <w:p w:rsidR="00E57091" w:rsidRDefault="00E57091" w:rsidP="000E0862">
      <w:pPr>
        <w:ind w:firstLine="720"/>
        <w:jc w:val="left"/>
        <w:rPr>
          <w:sz w:val="26"/>
          <w:szCs w:val="26"/>
        </w:rPr>
      </w:pPr>
    </w:p>
    <w:p w:rsidR="008817BC" w:rsidRDefault="00436F46" w:rsidP="000E0862">
      <w:pPr>
        <w:ind w:firstLine="720"/>
        <w:jc w:val="left"/>
        <w:rPr>
          <w:sz w:val="26"/>
          <w:szCs w:val="26"/>
        </w:rPr>
      </w:pPr>
      <w:r>
        <w:rPr>
          <w:sz w:val="26"/>
          <w:szCs w:val="26"/>
        </w:rPr>
        <w:tab/>
      </w:r>
      <w:r w:rsidR="002F0C51" w:rsidRPr="00D17A61">
        <w:rPr>
          <w:sz w:val="26"/>
          <w:szCs w:val="26"/>
        </w:rPr>
        <w:t xml:space="preserve">On August 26, 2010, the following </w:t>
      </w:r>
      <w:r w:rsidR="00AB6CE9">
        <w:rPr>
          <w:sz w:val="26"/>
          <w:szCs w:val="26"/>
        </w:rPr>
        <w:t>P</w:t>
      </w:r>
      <w:r w:rsidR="002F0C51" w:rsidRPr="00D17A61">
        <w:rPr>
          <w:sz w:val="26"/>
          <w:szCs w:val="26"/>
        </w:rPr>
        <w:t xml:space="preserve">arties filed a Joint Petition for Partial Settlement </w:t>
      </w:r>
      <w:r w:rsidR="000C1FE1">
        <w:rPr>
          <w:sz w:val="26"/>
          <w:szCs w:val="26"/>
        </w:rPr>
        <w:t xml:space="preserve">(Joint Petition or Partial Settlement) </w:t>
      </w:r>
      <w:r w:rsidR="002F0C51" w:rsidRPr="00D17A61">
        <w:rPr>
          <w:sz w:val="26"/>
          <w:szCs w:val="26"/>
        </w:rPr>
        <w:t xml:space="preserve">and various statements in support:  PPL, </w:t>
      </w:r>
      <w:r>
        <w:rPr>
          <w:sz w:val="26"/>
          <w:szCs w:val="26"/>
        </w:rPr>
        <w:t xml:space="preserve">the </w:t>
      </w:r>
      <w:r w:rsidR="002F0C51" w:rsidRPr="00D17A61">
        <w:rPr>
          <w:sz w:val="26"/>
          <w:szCs w:val="26"/>
        </w:rPr>
        <w:t xml:space="preserve">OCA, </w:t>
      </w:r>
      <w:r w:rsidR="000C1FE1">
        <w:rPr>
          <w:sz w:val="26"/>
          <w:szCs w:val="26"/>
        </w:rPr>
        <w:t xml:space="preserve">the OTS and </w:t>
      </w:r>
      <w:r w:rsidR="002F0C51" w:rsidRPr="00D17A61">
        <w:rPr>
          <w:sz w:val="26"/>
          <w:szCs w:val="26"/>
        </w:rPr>
        <w:t>Richards Energy Group, Inc.</w:t>
      </w:r>
      <w:r w:rsidR="00C800F1" w:rsidRPr="00D17A61">
        <w:rPr>
          <w:sz w:val="26"/>
          <w:szCs w:val="26"/>
        </w:rPr>
        <w:t xml:space="preserve"> (collectively, Joint Petitioners)</w:t>
      </w:r>
      <w:r w:rsidR="002F0C51" w:rsidRPr="00D17A61">
        <w:rPr>
          <w:sz w:val="26"/>
          <w:szCs w:val="26"/>
        </w:rPr>
        <w:t xml:space="preserve">.  </w:t>
      </w:r>
      <w:r w:rsidR="000C1FE1" w:rsidRPr="00D17A61">
        <w:rPr>
          <w:sz w:val="26"/>
          <w:szCs w:val="26"/>
        </w:rPr>
        <w:lastRenderedPageBreak/>
        <w:t>CEO,</w:t>
      </w:r>
      <w:r w:rsidR="000C1FE1">
        <w:rPr>
          <w:sz w:val="26"/>
          <w:szCs w:val="26"/>
        </w:rPr>
        <w:t xml:space="preserve"> </w:t>
      </w:r>
      <w:r w:rsidR="000C1FE1" w:rsidRPr="00D17A61">
        <w:rPr>
          <w:sz w:val="26"/>
          <w:szCs w:val="26"/>
        </w:rPr>
        <w:t xml:space="preserve">Dominion Retail, Inc., Mr. Epstein, </w:t>
      </w:r>
      <w:r w:rsidR="000C1FE1">
        <w:rPr>
          <w:sz w:val="26"/>
          <w:szCs w:val="26"/>
        </w:rPr>
        <w:t xml:space="preserve">the </w:t>
      </w:r>
      <w:r w:rsidR="000C1FE1" w:rsidRPr="00D17A61">
        <w:rPr>
          <w:sz w:val="26"/>
          <w:szCs w:val="26"/>
        </w:rPr>
        <w:t>OSBA,</w:t>
      </w:r>
      <w:r w:rsidR="000C1FE1">
        <w:rPr>
          <w:sz w:val="26"/>
          <w:szCs w:val="26"/>
        </w:rPr>
        <w:t xml:space="preserve"> </w:t>
      </w:r>
      <w:r w:rsidR="000C1FE1" w:rsidRPr="00D17A61">
        <w:rPr>
          <w:sz w:val="26"/>
          <w:szCs w:val="26"/>
        </w:rPr>
        <w:t>PennFuture</w:t>
      </w:r>
      <w:r w:rsidR="000C1FE1">
        <w:rPr>
          <w:sz w:val="26"/>
          <w:szCs w:val="26"/>
        </w:rPr>
        <w:t>,</w:t>
      </w:r>
      <w:r w:rsidR="000C1FE1" w:rsidRPr="00D17A61">
        <w:rPr>
          <w:sz w:val="26"/>
          <w:szCs w:val="26"/>
        </w:rPr>
        <w:t xml:space="preserve"> </w:t>
      </w:r>
      <w:r w:rsidR="002F0C51" w:rsidRPr="00D17A61">
        <w:rPr>
          <w:sz w:val="26"/>
          <w:szCs w:val="26"/>
        </w:rPr>
        <w:t xml:space="preserve">PPLICA, </w:t>
      </w:r>
      <w:r w:rsidR="000C1FE1" w:rsidRPr="00D17A61">
        <w:rPr>
          <w:sz w:val="26"/>
          <w:szCs w:val="26"/>
        </w:rPr>
        <w:t>RESA</w:t>
      </w:r>
      <w:r w:rsidR="000C1FE1">
        <w:rPr>
          <w:sz w:val="26"/>
          <w:szCs w:val="26"/>
        </w:rPr>
        <w:t xml:space="preserve"> and</w:t>
      </w:r>
      <w:r w:rsidR="000C1FE1" w:rsidRPr="00D17A61">
        <w:rPr>
          <w:sz w:val="26"/>
          <w:szCs w:val="26"/>
        </w:rPr>
        <w:t xml:space="preserve"> </w:t>
      </w:r>
      <w:r w:rsidR="002A5BDA">
        <w:rPr>
          <w:sz w:val="26"/>
          <w:szCs w:val="26"/>
        </w:rPr>
        <w:t>SEF</w:t>
      </w:r>
      <w:r w:rsidR="002F0C51" w:rsidRPr="00D17A61">
        <w:rPr>
          <w:sz w:val="26"/>
          <w:szCs w:val="26"/>
        </w:rPr>
        <w:t xml:space="preserve"> did not oppose t</w:t>
      </w:r>
      <w:r w:rsidR="00072BA6" w:rsidRPr="00D17A61">
        <w:rPr>
          <w:sz w:val="26"/>
          <w:szCs w:val="26"/>
        </w:rPr>
        <w:t>he Settlement</w:t>
      </w:r>
      <w:r w:rsidR="002F0C51" w:rsidRPr="00D17A61">
        <w:rPr>
          <w:sz w:val="26"/>
          <w:szCs w:val="26"/>
        </w:rPr>
        <w:t xml:space="preserve">.  The </w:t>
      </w:r>
      <w:r w:rsidR="00072BA6" w:rsidRPr="00D17A61">
        <w:rPr>
          <w:sz w:val="26"/>
          <w:szCs w:val="26"/>
        </w:rPr>
        <w:t xml:space="preserve">Settlement </w:t>
      </w:r>
      <w:r w:rsidR="002F0C51" w:rsidRPr="00D17A61">
        <w:rPr>
          <w:sz w:val="26"/>
          <w:szCs w:val="26"/>
        </w:rPr>
        <w:t xml:space="preserve">was served upon all </w:t>
      </w:r>
      <w:r w:rsidR="000C1FE1">
        <w:rPr>
          <w:sz w:val="26"/>
          <w:szCs w:val="26"/>
        </w:rPr>
        <w:t>P</w:t>
      </w:r>
      <w:r w:rsidR="002F0C51" w:rsidRPr="00D17A61">
        <w:rPr>
          <w:sz w:val="26"/>
          <w:szCs w:val="26"/>
        </w:rPr>
        <w:t xml:space="preserve">arties of </w:t>
      </w:r>
      <w:r w:rsidR="008207FF">
        <w:rPr>
          <w:sz w:val="26"/>
          <w:szCs w:val="26"/>
        </w:rPr>
        <w:t>R</w:t>
      </w:r>
      <w:r w:rsidR="002F0C51" w:rsidRPr="00D17A61">
        <w:rPr>
          <w:sz w:val="26"/>
          <w:szCs w:val="26"/>
        </w:rPr>
        <w:t xml:space="preserve">ecord, including the formal </w:t>
      </w:r>
      <w:r w:rsidR="008817BC" w:rsidRPr="000927E4">
        <w:rPr>
          <w:i/>
          <w:sz w:val="26"/>
          <w:szCs w:val="26"/>
        </w:rPr>
        <w:t>pro se</w:t>
      </w:r>
      <w:r w:rsidR="002F0C51" w:rsidRPr="00D17A61">
        <w:rPr>
          <w:sz w:val="26"/>
          <w:szCs w:val="26"/>
        </w:rPr>
        <w:t xml:space="preserve"> </w:t>
      </w:r>
      <w:r w:rsidR="000C1FE1">
        <w:rPr>
          <w:sz w:val="26"/>
          <w:szCs w:val="26"/>
        </w:rPr>
        <w:t>C</w:t>
      </w:r>
      <w:r w:rsidR="002F0C51" w:rsidRPr="00D17A61">
        <w:rPr>
          <w:sz w:val="26"/>
          <w:szCs w:val="26"/>
        </w:rPr>
        <w:t xml:space="preserve">omplainants.  </w:t>
      </w:r>
      <w:r w:rsidR="00072BA6" w:rsidRPr="00D17A61">
        <w:rPr>
          <w:sz w:val="26"/>
          <w:szCs w:val="26"/>
        </w:rPr>
        <w:t xml:space="preserve">By letter dated September 28, 2010, the ALJ </w:t>
      </w:r>
      <w:r w:rsidR="005E0F28" w:rsidRPr="00D17A61">
        <w:rPr>
          <w:sz w:val="26"/>
          <w:szCs w:val="26"/>
        </w:rPr>
        <w:t xml:space="preserve">transmitted another copy of the Joint Petition for Partial Settlement to </w:t>
      </w:r>
      <w:r w:rsidR="002F0C51" w:rsidRPr="00D17A61">
        <w:rPr>
          <w:sz w:val="26"/>
          <w:szCs w:val="26"/>
        </w:rPr>
        <w:t xml:space="preserve">the remaining </w:t>
      </w:r>
      <w:r w:rsidR="000C1FE1">
        <w:rPr>
          <w:sz w:val="26"/>
          <w:szCs w:val="26"/>
        </w:rPr>
        <w:t>F</w:t>
      </w:r>
      <w:r w:rsidR="002F0C51" w:rsidRPr="00D17A61">
        <w:rPr>
          <w:sz w:val="26"/>
          <w:szCs w:val="26"/>
        </w:rPr>
        <w:t xml:space="preserve">ormal </w:t>
      </w:r>
      <w:r w:rsidR="000C1FE1">
        <w:rPr>
          <w:sz w:val="26"/>
          <w:szCs w:val="26"/>
        </w:rPr>
        <w:t>C</w:t>
      </w:r>
      <w:r w:rsidR="002F0C51" w:rsidRPr="00D17A61">
        <w:rPr>
          <w:sz w:val="26"/>
          <w:szCs w:val="26"/>
        </w:rPr>
        <w:t xml:space="preserve">omplainants </w:t>
      </w:r>
      <w:r w:rsidR="005E0F28" w:rsidRPr="00D17A61">
        <w:rPr>
          <w:sz w:val="26"/>
          <w:szCs w:val="26"/>
        </w:rPr>
        <w:t xml:space="preserve">advising them </w:t>
      </w:r>
      <w:r w:rsidR="00072BA6" w:rsidRPr="00D17A61">
        <w:rPr>
          <w:sz w:val="26"/>
          <w:szCs w:val="26"/>
        </w:rPr>
        <w:t xml:space="preserve">that they </w:t>
      </w:r>
      <w:r w:rsidR="002F0C51" w:rsidRPr="00D17A61">
        <w:rPr>
          <w:sz w:val="26"/>
          <w:szCs w:val="26"/>
        </w:rPr>
        <w:t>had until October 8, 2010</w:t>
      </w:r>
      <w:r w:rsidR="000C1FE1">
        <w:rPr>
          <w:sz w:val="26"/>
          <w:szCs w:val="26"/>
        </w:rPr>
        <w:t>,</w:t>
      </w:r>
      <w:r w:rsidR="002F0C51" w:rsidRPr="00D17A61">
        <w:rPr>
          <w:sz w:val="26"/>
          <w:szCs w:val="26"/>
        </w:rPr>
        <w:t xml:space="preserve"> to file comments in writing </w:t>
      </w:r>
      <w:r w:rsidR="00072BA6" w:rsidRPr="00D17A61">
        <w:rPr>
          <w:sz w:val="26"/>
          <w:szCs w:val="26"/>
        </w:rPr>
        <w:t xml:space="preserve">regarding the </w:t>
      </w:r>
      <w:r w:rsidR="000C1FE1">
        <w:rPr>
          <w:sz w:val="26"/>
          <w:szCs w:val="26"/>
        </w:rPr>
        <w:t xml:space="preserve">Partial </w:t>
      </w:r>
      <w:r w:rsidR="00072BA6" w:rsidRPr="00D17A61">
        <w:rPr>
          <w:sz w:val="26"/>
          <w:szCs w:val="26"/>
        </w:rPr>
        <w:t>Settlement</w:t>
      </w:r>
      <w:r w:rsidR="002F0C51" w:rsidRPr="00D17A61">
        <w:rPr>
          <w:sz w:val="26"/>
          <w:szCs w:val="26"/>
        </w:rPr>
        <w:t xml:space="preserve">.  No comments were received.  For the remainder of the issues, main briefs were filed on September 3, 2010, and reply briefs </w:t>
      </w:r>
      <w:r w:rsidR="000C1FE1">
        <w:rPr>
          <w:sz w:val="26"/>
          <w:szCs w:val="26"/>
        </w:rPr>
        <w:t xml:space="preserve">were filed </w:t>
      </w:r>
      <w:r w:rsidR="002F0C51" w:rsidRPr="00D17A61">
        <w:rPr>
          <w:sz w:val="26"/>
          <w:szCs w:val="26"/>
        </w:rPr>
        <w:t>on September 14, 2010.  The record</w:t>
      </w:r>
      <w:r w:rsidR="005E0F28" w:rsidRPr="00D17A61">
        <w:rPr>
          <w:sz w:val="26"/>
          <w:szCs w:val="26"/>
        </w:rPr>
        <w:t xml:space="preserve"> closed upon their receipt.</w:t>
      </w:r>
    </w:p>
    <w:p w:rsidR="008817BC" w:rsidRDefault="008817BC" w:rsidP="000E0862">
      <w:pPr>
        <w:ind w:firstLine="720"/>
        <w:jc w:val="left"/>
        <w:rPr>
          <w:sz w:val="26"/>
          <w:szCs w:val="26"/>
        </w:rPr>
      </w:pPr>
    </w:p>
    <w:p w:rsidR="000F637F" w:rsidRPr="00175217" w:rsidRDefault="00175217" w:rsidP="000E0862">
      <w:pPr>
        <w:jc w:val="left"/>
        <w:rPr>
          <w:sz w:val="26"/>
          <w:szCs w:val="26"/>
        </w:rPr>
      </w:pPr>
      <w:r>
        <w:rPr>
          <w:sz w:val="26"/>
          <w:szCs w:val="26"/>
        </w:rPr>
        <w:tab/>
      </w:r>
      <w:r w:rsidR="00436F46">
        <w:rPr>
          <w:sz w:val="26"/>
          <w:szCs w:val="26"/>
        </w:rPr>
        <w:tab/>
      </w:r>
      <w:r w:rsidR="005E0F28" w:rsidRPr="00D17A61">
        <w:rPr>
          <w:sz w:val="26"/>
          <w:szCs w:val="26"/>
        </w:rPr>
        <w:t xml:space="preserve">On October 15, 2010, ALJ </w:t>
      </w:r>
      <w:r w:rsidR="00496E4C">
        <w:rPr>
          <w:sz w:val="26"/>
          <w:szCs w:val="26"/>
        </w:rPr>
        <w:t xml:space="preserve">Colwell’s </w:t>
      </w:r>
      <w:r w:rsidR="005E0F28" w:rsidRPr="00D17A61">
        <w:rPr>
          <w:sz w:val="26"/>
          <w:szCs w:val="26"/>
        </w:rPr>
        <w:t xml:space="preserve">R.D. </w:t>
      </w:r>
      <w:r w:rsidR="00496E4C">
        <w:rPr>
          <w:sz w:val="26"/>
          <w:szCs w:val="26"/>
        </w:rPr>
        <w:t>was issued</w:t>
      </w:r>
      <w:r>
        <w:rPr>
          <w:sz w:val="26"/>
          <w:szCs w:val="26"/>
        </w:rPr>
        <w:t xml:space="preserve">, wherein she made forty-eight </w:t>
      </w:r>
      <w:r w:rsidRPr="00D17A61">
        <w:rPr>
          <w:sz w:val="26"/>
          <w:szCs w:val="26"/>
        </w:rPr>
        <w:t xml:space="preserve">Findings of Fact and </w:t>
      </w:r>
      <w:r>
        <w:rPr>
          <w:sz w:val="26"/>
          <w:szCs w:val="26"/>
        </w:rPr>
        <w:t xml:space="preserve">reached twenty-two </w:t>
      </w:r>
      <w:r w:rsidRPr="00D17A61">
        <w:rPr>
          <w:sz w:val="26"/>
          <w:szCs w:val="26"/>
        </w:rPr>
        <w:t>Conclusions</w:t>
      </w:r>
      <w:r w:rsidR="0045020C">
        <w:rPr>
          <w:sz w:val="26"/>
          <w:szCs w:val="26"/>
        </w:rPr>
        <w:t xml:space="preserve"> of Law</w:t>
      </w:r>
      <w:r>
        <w:rPr>
          <w:sz w:val="26"/>
          <w:szCs w:val="26"/>
        </w:rPr>
        <w:t>.</w:t>
      </w:r>
      <w:r w:rsidRPr="00D17A61" w:rsidDel="00AE7F6E">
        <w:rPr>
          <w:sz w:val="26"/>
          <w:szCs w:val="26"/>
        </w:rPr>
        <w:t xml:space="preserve"> </w:t>
      </w:r>
      <w:r w:rsidR="00496E4C">
        <w:rPr>
          <w:sz w:val="26"/>
          <w:szCs w:val="26"/>
        </w:rPr>
        <w:t xml:space="preserve"> </w:t>
      </w:r>
      <w:r>
        <w:rPr>
          <w:sz w:val="26"/>
          <w:szCs w:val="26"/>
        </w:rPr>
        <w:t>The ALJ</w:t>
      </w:r>
      <w:r w:rsidR="008207FF">
        <w:rPr>
          <w:sz w:val="26"/>
          <w:szCs w:val="26"/>
        </w:rPr>
        <w:t xml:space="preserve">, </w:t>
      </w:r>
      <w:r w:rsidR="008207FF">
        <w:rPr>
          <w:i/>
          <w:sz w:val="26"/>
          <w:szCs w:val="26"/>
        </w:rPr>
        <w:t>inter alia</w:t>
      </w:r>
      <w:r w:rsidR="008207FF">
        <w:rPr>
          <w:sz w:val="26"/>
          <w:szCs w:val="26"/>
        </w:rPr>
        <w:t>,</w:t>
      </w:r>
      <w:r>
        <w:rPr>
          <w:sz w:val="26"/>
          <w:szCs w:val="26"/>
        </w:rPr>
        <w:t xml:space="preserve"> </w:t>
      </w:r>
      <w:r w:rsidR="005E0F28" w:rsidRPr="00D17A61">
        <w:rPr>
          <w:sz w:val="26"/>
          <w:szCs w:val="26"/>
        </w:rPr>
        <w:t>recommend</w:t>
      </w:r>
      <w:r w:rsidR="00496E4C">
        <w:rPr>
          <w:sz w:val="26"/>
          <w:szCs w:val="26"/>
        </w:rPr>
        <w:t>ed</w:t>
      </w:r>
      <w:r w:rsidR="008207FF">
        <w:rPr>
          <w:sz w:val="26"/>
          <w:szCs w:val="26"/>
        </w:rPr>
        <w:t>:</w:t>
      </w:r>
      <w:r w:rsidR="005E0F28" w:rsidRPr="00D17A61">
        <w:rPr>
          <w:sz w:val="26"/>
          <w:szCs w:val="26"/>
        </w:rPr>
        <w:t xml:space="preserve"> </w:t>
      </w:r>
      <w:r w:rsidR="003375ED">
        <w:rPr>
          <w:sz w:val="26"/>
          <w:szCs w:val="26"/>
        </w:rPr>
        <w:t xml:space="preserve">(1) </w:t>
      </w:r>
      <w:r w:rsidR="005E0F28" w:rsidRPr="00D17A61">
        <w:rPr>
          <w:sz w:val="26"/>
          <w:szCs w:val="26"/>
        </w:rPr>
        <w:t xml:space="preserve">that the </w:t>
      </w:r>
      <w:r w:rsidR="003375ED">
        <w:rPr>
          <w:sz w:val="26"/>
          <w:szCs w:val="26"/>
        </w:rPr>
        <w:t xml:space="preserve">Partial </w:t>
      </w:r>
      <w:r w:rsidR="005E0F28" w:rsidRPr="00D17A61">
        <w:rPr>
          <w:sz w:val="26"/>
          <w:szCs w:val="26"/>
        </w:rPr>
        <w:t>Settlement</w:t>
      </w:r>
      <w:r w:rsidR="003375ED">
        <w:rPr>
          <w:sz w:val="26"/>
          <w:szCs w:val="26"/>
        </w:rPr>
        <w:t xml:space="preserve">, which was </w:t>
      </w:r>
      <w:r w:rsidR="003375ED" w:rsidRPr="003375ED">
        <w:rPr>
          <w:sz w:val="26"/>
          <w:szCs w:val="26"/>
        </w:rPr>
        <w:t>designed to produce an annual distribution rate revenue increase of approximately $77.5 million</w:t>
      </w:r>
      <w:r w:rsidR="003375ED">
        <w:rPr>
          <w:sz w:val="26"/>
          <w:szCs w:val="26"/>
        </w:rPr>
        <w:t xml:space="preserve"> in lieu of the originally requested $114.7 million,</w:t>
      </w:r>
      <w:r w:rsidR="005E0F28" w:rsidRPr="003375ED">
        <w:rPr>
          <w:sz w:val="26"/>
          <w:szCs w:val="26"/>
        </w:rPr>
        <w:t xml:space="preserve"> </w:t>
      </w:r>
      <w:r w:rsidR="005E0F28" w:rsidRPr="00D17A61">
        <w:rPr>
          <w:sz w:val="26"/>
          <w:szCs w:val="26"/>
        </w:rPr>
        <w:t xml:space="preserve">be approved </w:t>
      </w:r>
      <w:r w:rsidR="003375ED">
        <w:rPr>
          <w:sz w:val="26"/>
          <w:szCs w:val="26"/>
        </w:rPr>
        <w:t xml:space="preserve">without modification; </w:t>
      </w:r>
      <w:r w:rsidR="00E50828">
        <w:rPr>
          <w:sz w:val="26"/>
          <w:szCs w:val="26"/>
        </w:rPr>
        <w:t xml:space="preserve">(2) that the remainder of the issues as presented by the Parties be addressed by the Commission; </w:t>
      </w:r>
      <w:r w:rsidR="003375ED">
        <w:rPr>
          <w:sz w:val="26"/>
          <w:szCs w:val="26"/>
        </w:rPr>
        <w:t>(</w:t>
      </w:r>
      <w:r w:rsidR="00E50828">
        <w:rPr>
          <w:sz w:val="26"/>
          <w:szCs w:val="26"/>
        </w:rPr>
        <w:t>3</w:t>
      </w:r>
      <w:r w:rsidR="003375ED">
        <w:rPr>
          <w:sz w:val="26"/>
          <w:szCs w:val="26"/>
        </w:rPr>
        <w:t>)</w:t>
      </w:r>
      <w:r w:rsidR="00431ECA">
        <w:rPr>
          <w:sz w:val="26"/>
          <w:szCs w:val="26"/>
        </w:rPr>
        <w:t> </w:t>
      </w:r>
      <w:r w:rsidR="000F637F" w:rsidRPr="00175217">
        <w:rPr>
          <w:sz w:val="26"/>
          <w:szCs w:val="26"/>
        </w:rPr>
        <w:t xml:space="preserve">that the Complaints filed by </w:t>
      </w:r>
      <w:r w:rsidR="0034408E">
        <w:rPr>
          <w:sz w:val="26"/>
          <w:szCs w:val="26"/>
        </w:rPr>
        <w:t>the OCA,</w:t>
      </w:r>
      <w:r w:rsidR="000F637F" w:rsidRPr="00175217">
        <w:rPr>
          <w:sz w:val="26"/>
          <w:szCs w:val="26"/>
        </w:rPr>
        <w:t xml:space="preserve"> </w:t>
      </w:r>
      <w:r w:rsidR="0034408E">
        <w:rPr>
          <w:sz w:val="26"/>
          <w:szCs w:val="26"/>
        </w:rPr>
        <w:t xml:space="preserve">the </w:t>
      </w:r>
      <w:r w:rsidR="000F637F" w:rsidRPr="00175217">
        <w:rPr>
          <w:sz w:val="26"/>
          <w:szCs w:val="26"/>
        </w:rPr>
        <w:t>OSBA and PPLICA be sustained</w:t>
      </w:r>
      <w:r w:rsidR="00AE7F6E" w:rsidRPr="00175217">
        <w:rPr>
          <w:sz w:val="26"/>
          <w:szCs w:val="26"/>
        </w:rPr>
        <w:t>,</w:t>
      </w:r>
      <w:r w:rsidR="000F637F" w:rsidRPr="00175217">
        <w:rPr>
          <w:sz w:val="26"/>
          <w:szCs w:val="26"/>
        </w:rPr>
        <w:t xml:space="preserve"> in part</w:t>
      </w:r>
      <w:r w:rsidR="00AE7F6E" w:rsidRPr="00175217">
        <w:rPr>
          <w:sz w:val="26"/>
          <w:szCs w:val="26"/>
        </w:rPr>
        <w:t>,</w:t>
      </w:r>
      <w:r w:rsidR="000F637F" w:rsidRPr="00175217">
        <w:rPr>
          <w:sz w:val="26"/>
          <w:szCs w:val="26"/>
        </w:rPr>
        <w:t xml:space="preserve"> and dismissed</w:t>
      </w:r>
      <w:r w:rsidR="00AE7F6E" w:rsidRPr="00175217">
        <w:rPr>
          <w:sz w:val="26"/>
          <w:szCs w:val="26"/>
        </w:rPr>
        <w:t>,</w:t>
      </w:r>
      <w:r w:rsidR="000F637F" w:rsidRPr="00175217">
        <w:rPr>
          <w:sz w:val="26"/>
          <w:szCs w:val="26"/>
        </w:rPr>
        <w:t xml:space="preserve"> in part</w:t>
      </w:r>
      <w:r w:rsidR="00AE7F6E" w:rsidRPr="00175217">
        <w:rPr>
          <w:sz w:val="26"/>
          <w:szCs w:val="26"/>
        </w:rPr>
        <w:t xml:space="preserve">, consistent with her R.D.; </w:t>
      </w:r>
      <w:r w:rsidR="00E50828">
        <w:rPr>
          <w:sz w:val="26"/>
          <w:szCs w:val="26"/>
        </w:rPr>
        <w:t xml:space="preserve">and </w:t>
      </w:r>
      <w:r w:rsidR="00AE7F6E" w:rsidRPr="00175217">
        <w:rPr>
          <w:sz w:val="26"/>
          <w:szCs w:val="26"/>
        </w:rPr>
        <w:t>(</w:t>
      </w:r>
      <w:r w:rsidR="00E50828">
        <w:rPr>
          <w:sz w:val="26"/>
          <w:szCs w:val="26"/>
        </w:rPr>
        <w:t>4</w:t>
      </w:r>
      <w:r w:rsidR="00AE7F6E" w:rsidRPr="00175217">
        <w:rPr>
          <w:sz w:val="26"/>
          <w:szCs w:val="26"/>
        </w:rPr>
        <w:t>) that the Complaints filed by Elaine &amp; Clayton Andrews, Jr.; Ashley A. Buck; Eric J. Epstein; Stephen F. Goldstein; Peter Grieger; William P. Hart; Linda M. Johnson; Gerard Martin; Eugene R. Ruoff; George</w:t>
      </w:r>
      <w:r w:rsidR="007B75F9">
        <w:rPr>
          <w:sz w:val="26"/>
          <w:szCs w:val="26"/>
        </w:rPr>
        <w:t> </w:t>
      </w:r>
      <w:r w:rsidR="00AE7F6E" w:rsidRPr="00175217">
        <w:rPr>
          <w:sz w:val="26"/>
          <w:szCs w:val="26"/>
        </w:rPr>
        <w:t>R.</w:t>
      </w:r>
      <w:r w:rsidR="007B75F9">
        <w:rPr>
          <w:sz w:val="26"/>
          <w:szCs w:val="26"/>
        </w:rPr>
        <w:t> </w:t>
      </w:r>
      <w:r w:rsidR="00AE7F6E" w:rsidRPr="00175217">
        <w:rPr>
          <w:sz w:val="26"/>
          <w:szCs w:val="26"/>
        </w:rPr>
        <w:t>Snyder; Shannon Stiffler; and Whitehall Township, and any other complaint</w:t>
      </w:r>
      <w:r w:rsidR="00AB6CE9">
        <w:rPr>
          <w:sz w:val="26"/>
          <w:szCs w:val="26"/>
        </w:rPr>
        <w:t>s</w:t>
      </w:r>
      <w:r w:rsidR="00AE7F6E" w:rsidRPr="00175217">
        <w:rPr>
          <w:sz w:val="26"/>
          <w:szCs w:val="26"/>
        </w:rPr>
        <w:t xml:space="preserve"> not specifically noted but filed prior to issuance of this Order be dismissed.</w:t>
      </w:r>
    </w:p>
    <w:p w:rsidR="000F637F" w:rsidRDefault="000F637F" w:rsidP="000E0862">
      <w:pPr>
        <w:jc w:val="left"/>
      </w:pPr>
    </w:p>
    <w:p w:rsidR="008817BC" w:rsidRDefault="00AE7F6E" w:rsidP="000E0862">
      <w:pPr>
        <w:ind w:firstLine="720"/>
        <w:jc w:val="left"/>
        <w:rPr>
          <w:sz w:val="26"/>
          <w:szCs w:val="26"/>
        </w:rPr>
      </w:pPr>
      <w:r>
        <w:rPr>
          <w:sz w:val="26"/>
          <w:szCs w:val="26"/>
        </w:rPr>
        <w:tab/>
      </w:r>
      <w:r w:rsidR="00A86A81">
        <w:rPr>
          <w:sz w:val="26"/>
          <w:szCs w:val="26"/>
        </w:rPr>
        <w:t xml:space="preserve">As noted, </w:t>
      </w:r>
      <w:r w:rsidR="00A86A81" w:rsidRPr="00D17A61">
        <w:rPr>
          <w:sz w:val="26"/>
          <w:szCs w:val="26"/>
        </w:rPr>
        <w:t>Exceptions were filed on November 4, 2010</w:t>
      </w:r>
      <w:r w:rsidR="00A86A81">
        <w:rPr>
          <w:sz w:val="26"/>
          <w:szCs w:val="26"/>
        </w:rPr>
        <w:t>,</w:t>
      </w:r>
      <w:r w:rsidR="00A86A81" w:rsidRPr="00D17A61">
        <w:rPr>
          <w:sz w:val="26"/>
          <w:szCs w:val="26"/>
        </w:rPr>
        <w:t xml:space="preserve"> by CEO</w:t>
      </w:r>
      <w:r w:rsidR="00A86A81">
        <w:rPr>
          <w:sz w:val="26"/>
          <w:szCs w:val="26"/>
        </w:rPr>
        <w:t xml:space="preserve">, the </w:t>
      </w:r>
      <w:r w:rsidR="00A86A81" w:rsidRPr="00D17A61">
        <w:rPr>
          <w:sz w:val="26"/>
          <w:szCs w:val="26"/>
        </w:rPr>
        <w:t>OCA, the OSBA, PPLICA, RESA</w:t>
      </w:r>
      <w:r w:rsidR="00A86A81">
        <w:rPr>
          <w:sz w:val="26"/>
          <w:szCs w:val="26"/>
        </w:rPr>
        <w:t xml:space="preserve">, and </w:t>
      </w:r>
      <w:r w:rsidR="002A5BDA">
        <w:rPr>
          <w:sz w:val="26"/>
          <w:szCs w:val="26"/>
        </w:rPr>
        <w:t>SEF</w:t>
      </w:r>
      <w:r w:rsidR="00A86A81" w:rsidRPr="00D17A61">
        <w:rPr>
          <w:sz w:val="26"/>
          <w:szCs w:val="26"/>
        </w:rPr>
        <w:t>.  Repl</w:t>
      </w:r>
      <w:r w:rsidR="00A86A81">
        <w:rPr>
          <w:sz w:val="26"/>
          <w:szCs w:val="26"/>
        </w:rPr>
        <w:t>y</w:t>
      </w:r>
      <w:r w:rsidR="00A86A81" w:rsidRPr="00D17A61">
        <w:rPr>
          <w:sz w:val="26"/>
          <w:szCs w:val="26"/>
        </w:rPr>
        <w:t xml:space="preserve"> Exceptions were filed on November 15, 2010</w:t>
      </w:r>
      <w:r w:rsidR="00522707">
        <w:rPr>
          <w:sz w:val="26"/>
          <w:szCs w:val="26"/>
        </w:rPr>
        <w:t>,</w:t>
      </w:r>
      <w:r w:rsidR="00A86A81" w:rsidRPr="00D17A61">
        <w:rPr>
          <w:sz w:val="26"/>
          <w:szCs w:val="26"/>
        </w:rPr>
        <w:t xml:space="preserve"> by </w:t>
      </w:r>
      <w:r w:rsidR="00A86A81">
        <w:rPr>
          <w:sz w:val="26"/>
          <w:szCs w:val="26"/>
        </w:rPr>
        <w:t xml:space="preserve">the </w:t>
      </w:r>
      <w:r w:rsidR="00A86A81" w:rsidRPr="00D17A61">
        <w:rPr>
          <w:sz w:val="26"/>
          <w:szCs w:val="26"/>
        </w:rPr>
        <w:t xml:space="preserve">OCA, </w:t>
      </w:r>
      <w:r w:rsidR="00A86A81">
        <w:rPr>
          <w:sz w:val="26"/>
          <w:szCs w:val="26"/>
        </w:rPr>
        <w:t xml:space="preserve">the OSBA, </w:t>
      </w:r>
      <w:r w:rsidR="00A86A81" w:rsidRPr="00D17A61">
        <w:rPr>
          <w:sz w:val="26"/>
          <w:szCs w:val="26"/>
        </w:rPr>
        <w:t>PPL</w:t>
      </w:r>
      <w:r w:rsidR="00A86A81">
        <w:rPr>
          <w:sz w:val="26"/>
          <w:szCs w:val="26"/>
        </w:rPr>
        <w:t>,</w:t>
      </w:r>
      <w:r w:rsidR="00A86A81" w:rsidRPr="00D17A61">
        <w:rPr>
          <w:sz w:val="26"/>
          <w:szCs w:val="26"/>
        </w:rPr>
        <w:t xml:space="preserve"> </w:t>
      </w:r>
      <w:r w:rsidR="00A86A81">
        <w:rPr>
          <w:sz w:val="26"/>
          <w:szCs w:val="26"/>
        </w:rPr>
        <w:t>PPLICA,</w:t>
      </w:r>
      <w:r w:rsidR="00A86A81" w:rsidRPr="00D17A61">
        <w:rPr>
          <w:sz w:val="26"/>
          <w:szCs w:val="26"/>
        </w:rPr>
        <w:t xml:space="preserve"> and the OTS</w:t>
      </w:r>
      <w:r w:rsidR="00A86A81">
        <w:rPr>
          <w:sz w:val="26"/>
          <w:szCs w:val="26"/>
        </w:rPr>
        <w:t>.</w:t>
      </w:r>
    </w:p>
    <w:p w:rsidR="00F92EC1" w:rsidRPr="00A86A81" w:rsidRDefault="00F92EC1" w:rsidP="000E0862">
      <w:pPr>
        <w:jc w:val="left"/>
        <w:rPr>
          <w:b/>
          <w:sz w:val="26"/>
          <w:szCs w:val="26"/>
        </w:rPr>
      </w:pPr>
    </w:p>
    <w:p w:rsidR="00F92EC1" w:rsidRDefault="00F92EC1" w:rsidP="000E0862">
      <w:pPr>
        <w:keepNext/>
        <w:rPr>
          <w:b/>
          <w:sz w:val="26"/>
          <w:szCs w:val="26"/>
        </w:rPr>
      </w:pPr>
      <w:r>
        <w:rPr>
          <w:b/>
          <w:sz w:val="26"/>
          <w:szCs w:val="26"/>
        </w:rPr>
        <w:lastRenderedPageBreak/>
        <w:t>II.</w:t>
      </w:r>
      <w:r>
        <w:rPr>
          <w:b/>
          <w:sz w:val="26"/>
          <w:szCs w:val="26"/>
        </w:rPr>
        <w:tab/>
      </w:r>
      <w:r w:rsidRPr="00A86A81">
        <w:rPr>
          <w:b/>
          <w:sz w:val="26"/>
          <w:szCs w:val="26"/>
        </w:rPr>
        <w:t>DISCUSSION</w:t>
      </w:r>
    </w:p>
    <w:p w:rsidR="00F92EC1" w:rsidRDefault="00F92EC1" w:rsidP="000E0862">
      <w:pPr>
        <w:keepNext/>
        <w:jc w:val="left"/>
        <w:rPr>
          <w:b/>
          <w:sz w:val="26"/>
          <w:szCs w:val="26"/>
        </w:rPr>
      </w:pPr>
    </w:p>
    <w:p w:rsidR="008817BC" w:rsidRPr="00F92EC1" w:rsidRDefault="00F92EC1" w:rsidP="000E0862">
      <w:pPr>
        <w:keepNext/>
        <w:ind w:left="720"/>
        <w:jc w:val="left"/>
        <w:rPr>
          <w:b/>
          <w:sz w:val="26"/>
          <w:szCs w:val="26"/>
        </w:rPr>
      </w:pPr>
      <w:r>
        <w:rPr>
          <w:b/>
          <w:sz w:val="26"/>
          <w:szCs w:val="26"/>
        </w:rPr>
        <w:t>A.</w:t>
      </w:r>
      <w:r>
        <w:rPr>
          <w:b/>
          <w:sz w:val="26"/>
          <w:szCs w:val="26"/>
        </w:rPr>
        <w:tab/>
      </w:r>
      <w:r w:rsidR="00E64E26">
        <w:rPr>
          <w:b/>
          <w:sz w:val="26"/>
          <w:szCs w:val="26"/>
        </w:rPr>
        <w:t>Introduction</w:t>
      </w:r>
    </w:p>
    <w:p w:rsidR="008817BC" w:rsidRDefault="008817BC" w:rsidP="000E0862">
      <w:pPr>
        <w:pStyle w:val="ListParagraph"/>
        <w:keepNext/>
        <w:jc w:val="left"/>
        <w:rPr>
          <w:sz w:val="26"/>
          <w:szCs w:val="26"/>
        </w:rPr>
      </w:pPr>
    </w:p>
    <w:p w:rsidR="00384C6C" w:rsidRDefault="00384C6C" w:rsidP="000E0862">
      <w:pPr>
        <w:pStyle w:val="ListParagraph"/>
        <w:ind w:left="0"/>
        <w:jc w:val="left"/>
        <w:rPr>
          <w:sz w:val="26"/>
          <w:szCs w:val="26"/>
        </w:rPr>
      </w:pPr>
      <w:r w:rsidRPr="00384C6C">
        <w:rPr>
          <w:sz w:val="26"/>
          <w:szCs w:val="26"/>
        </w:rPr>
        <w:tab/>
      </w:r>
      <w:r>
        <w:rPr>
          <w:sz w:val="26"/>
          <w:szCs w:val="26"/>
        </w:rPr>
        <w:tab/>
        <w:t>The ALJ provided a historical chronology of events leading up to this rate case in her Recommended Decision, part of which is well worth repeating here:</w:t>
      </w:r>
    </w:p>
    <w:p w:rsidR="00384C6C" w:rsidRDefault="00384C6C" w:rsidP="000E0862">
      <w:pPr>
        <w:pStyle w:val="ListParagraph"/>
        <w:ind w:left="0"/>
        <w:jc w:val="left"/>
        <w:rPr>
          <w:sz w:val="26"/>
          <w:szCs w:val="26"/>
        </w:rPr>
      </w:pPr>
    </w:p>
    <w:p w:rsidR="00384C6C" w:rsidRPr="00456123" w:rsidRDefault="0091640C" w:rsidP="000E0862">
      <w:pPr>
        <w:spacing w:line="240" w:lineRule="auto"/>
        <w:ind w:left="1440" w:right="1440"/>
        <w:jc w:val="left"/>
        <w:rPr>
          <w:sz w:val="26"/>
          <w:szCs w:val="26"/>
        </w:rPr>
      </w:pPr>
      <w:r>
        <w:rPr>
          <w:sz w:val="26"/>
          <w:szCs w:val="26"/>
        </w:rPr>
        <w:tab/>
      </w:r>
      <w:r w:rsidR="00384C6C" w:rsidRPr="00456123">
        <w:rPr>
          <w:sz w:val="26"/>
          <w:szCs w:val="26"/>
        </w:rPr>
        <w:t xml:space="preserve">Rate cases are rarely without controversy, and this one comes with its share.  This case is the last step in PPL Electric Utility Corporation’s (Company’s) conversion from a fully integrated electric company to the distribution-only company that it was directed to become under the Electric Competition Act, 66 Pa. C.S. § 2801 </w:t>
      </w:r>
      <w:r w:rsidR="00384C6C" w:rsidRPr="00456123">
        <w:rPr>
          <w:i/>
          <w:sz w:val="26"/>
          <w:szCs w:val="26"/>
        </w:rPr>
        <w:t>et seq</w:t>
      </w:r>
      <w:r w:rsidR="00384C6C" w:rsidRPr="00456123">
        <w:rPr>
          <w:sz w:val="26"/>
          <w:szCs w:val="26"/>
        </w:rPr>
        <w:t xml:space="preserve">.  While there were two rate cases brought since passage of the Act, they were brought while the generation rate caps, imposed as part of the Company’s restructuring, were still in effect.  When those caps expired on December 31, 2009, the Company, no longer the owner of any generation, supplied power which it had purchased on the open market to its default service customers.  The price of that power was roughly 30% higher than the power the Company had supplied when the generation rate caps were in effect.  The price of the electricity itself is a “pass-through” cost, meaning that the Company charges its customer the price that it pays for the commodity and is not permitted to make a profit on it.  In other words, the increased cost of electricity did not benefit this utility.  </w:t>
      </w:r>
    </w:p>
    <w:p w:rsidR="00384C6C" w:rsidRPr="00456123" w:rsidRDefault="00384C6C" w:rsidP="000E0862">
      <w:pPr>
        <w:spacing w:line="240" w:lineRule="auto"/>
        <w:ind w:left="1440" w:right="1440"/>
        <w:jc w:val="left"/>
        <w:rPr>
          <w:sz w:val="26"/>
          <w:szCs w:val="26"/>
        </w:rPr>
      </w:pPr>
    </w:p>
    <w:p w:rsidR="00384C6C" w:rsidRPr="00456123" w:rsidRDefault="0091640C" w:rsidP="000E0862">
      <w:pPr>
        <w:spacing w:line="240" w:lineRule="auto"/>
        <w:ind w:left="1440" w:right="1440"/>
        <w:jc w:val="left"/>
        <w:rPr>
          <w:sz w:val="26"/>
          <w:szCs w:val="26"/>
        </w:rPr>
      </w:pPr>
      <w:r>
        <w:rPr>
          <w:sz w:val="26"/>
          <w:szCs w:val="26"/>
        </w:rPr>
        <w:tab/>
      </w:r>
      <w:r w:rsidR="00384C6C" w:rsidRPr="00456123">
        <w:rPr>
          <w:sz w:val="26"/>
          <w:szCs w:val="26"/>
        </w:rPr>
        <w:t xml:space="preserve">In the meantime, the Company’s first rate case under the Act, in 2004 while the generation rate caps were still in effect, was to raise the rates for only distribution.  As a fully-integrated electric company, PPL had designed rates which created a subsidy from generation to and from certain rate schedules for the benefit of residential customers.  This had kept the rates for residential customers artificially low for many years.  The Act required that customers be charged the amount that it costs the Company to provide the service, and that the cost of the commodity itself be passed through to the customer.  The Commonwealth Court left little doubt that the Act requires each customer class to pay for the electricity </w:t>
      </w:r>
      <w:r w:rsidR="00384C6C" w:rsidRPr="00456123">
        <w:rPr>
          <w:sz w:val="26"/>
          <w:szCs w:val="26"/>
        </w:rPr>
        <w:lastRenderedPageBreak/>
        <w:t xml:space="preserve">used and the cost of providing it to that class, and that the Company is required to work towards this goal.  </w:t>
      </w:r>
    </w:p>
    <w:p w:rsidR="00384C6C" w:rsidRPr="00456123" w:rsidRDefault="00384C6C" w:rsidP="000E0862">
      <w:pPr>
        <w:spacing w:line="240" w:lineRule="auto"/>
        <w:ind w:left="1440" w:right="1440"/>
        <w:jc w:val="left"/>
        <w:rPr>
          <w:sz w:val="26"/>
          <w:szCs w:val="26"/>
        </w:rPr>
      </w:pPr>
    </w:p>
    <w:p w:rsidR="00384C6C" w:rsidRPr="00456123" w:rsidRDefault="0091640C" w:rsidP="000E0862">
      <w:pPr>
        <w:spacing w:line="240" w:lineRule="auto"/>
        <w:ind w:left="1440" w:right="1440"/>
        <w:jc w:val="left"/>
        <w:rPr>
          <w:sz w:val="26"/>
          <w:szCs w:val="26"/>
        </w:rPr>
      </w:pPr>
      <w:r>
        <w:rPr>
          <w:sz w:val="26"/>
          <w:szCs w:val="26"/>
        </w:rPr>
        <w:tab/>
      </w:r>
      <w:r w:rsidR="00384C6C" w:rsidRPr="00456123">
        <w:rPr>
          <w:sz w:val="26"/>
          <w:szCs w:val="26"/>
        </w:rPr>
        <w:t>The Company declared its intent to achieve rate parity (or near parity) over the course of three rate cases: the remand of the 2004 case, the 2007 case which resulted in a complete settlement, and this case.  The rates proposed here continue to promote the goal but do not quite achieve it.  The parties generally agree that the residential rates would jump too high, and that the ratemaking principles of gradualism and avoidance of rate shock justify the remaining subsidy shown by the cost of service studies submitted in this case.  There has been substantial progress made toward the goal, however, over the course of these three cases.</w:t>
      </w:r>
    </w:p>
    <w:p w:rsidR="00384C6C" w:rsidRPr="00456123" w:rsidRDefault="00384C6C" w:rsidP="000E0862">
      <w:pPr>
        <w:spacing w:line="240" w:lineRule="auto"/>
        <w:ind w:left="1440" w:right="1440"/>
        <w:jc w:val="left"/>
        <w:rPr>
          <w:sz w:val="26"/>
          <w:szCs w:val="26"/>
        </w:rPr>
      </w:pPr>
    </w:p>
    <w:p w:rsidR="000D50FE" w:rsidRDefault="0091640C" w:rsidP="000E0862">
      <w:pPr>
        <w:spacing w:line="240" w:lineRule="auto"/>
        <w:ind w:left="1440" w:right="1440"/>
        <w:jc w:val="left"/>
        <w:rPr>
          <w:sz w:val="26"/>
          <w:szCs w:val="26"/>
        </w:rPr>
      </w:pPr>
      <w:r>
        <w:rPr>
          <w:sz w:val="26"/>
          <w:szCs w:val="26"/>
        </w:rPr>
        <w:tab/>
      </w:r>
      <w:r w:rsidR="00384C6C" w:rsidRPr="00456123">
        <w:rPr>
          <w:sz w:val="26"/>
          <w:szCs w:val="26"/>
        </w:rPr>
        <w:t>Whatever satisfaction could be taken by the parties from diligently working towards the goal set by the Legislature in the Electric Competition Act is more than mitigated by the hardship that rising rates cause as expressed by the Company’s customers when faced with the possibility of another increase in the electric bills so close on the heels of the generation rate cap expiration on December 31, 2009.  Although the participation at the five public input hearings held in June, 2010, was not particularly high, the testimony was universally and vehemently against the proposal.  This rate case has the distinction of being brought in a time of economic downturn, when prices and unemployment are high, and social security is not being increased.  In addition, over 450 consumers</w:t>
      </w:r>
      <w:r w:rsidR="00456123" w:rsidRPr="00456123">
        <w:rPr>
          <w:sz w:val="26"/>
          <w:szCs w:val="26"/>
          <w:vertAlign w:val="superscript"/>
        </w:rPr>
        <w:t>1</w:t>
      </w:r>
      <w:r w:rsidR="00384C6C" w:rsidRPr="00456123">
        <w:rPr>
          <w:sz w:val="26"/>
          <w:szCs w:val="26"/>
        </w:rPr>
        <w:t xml:space="preserve"> took advantage of the Commission’s acceptance of informal comments and used their own or the Commission’s “Objection or Comments to Proposed Rate Increase Form” on the website and filed these with their own stories and objections.</w:t>
      </w:r>
      <w:r w:rsidR="00B812EA" w:rsidRPr="00B812EA">
        <w:rPr>
          <w:sz w:val="26"/>
          <w:szCs w:val="26"/>
          <w:vertAlign w:val="superscript"/>
        </w:rPr>
        <w:t>2</w:t>
      </w:r>
      <w:r w:rsidR="00384C6C" w:rsidRPr="00456123">
        <w:rPr>
          <w:sz w:val="26"/>
          <w:szCs w:val="26"/>
        </w:rPr>
        <w:t xml:space="preserve">  While these are informal and not part of the official record, they do provide a firm indication of the general response to this proposed rate increase in the customer base.</w:t>
      </w:r>
      <w:r w:rsidR="00384C6C" w:rsidRPr="00456123">
        <w:rPr>
          <w:sz w:val="26"/>
          <w:szCs w:val="26"/>
          <w:vertAlign w:val="superscript"/>
        </w:rPr>
        <w:t xml:space="preserve"> </w:t>
      </w:r>
      <w:r w:rsidR="00384C6C" w:rsidRPr="00456123">
        <w:rPr>
          <w:sz w:val="26"/>
          <w:szCs w:val="26"/>
        </w:rPr>
        <w:t xml:space="preserve"> Roughly 75 of these were referred to the Company for evaluation and determination whether they qualified for a PPL customer assistance program.  The Company indicated in testimony that each had been evaluated </w:t>
      </w:r>
    </w:p>
    <w:p w:rsidR="000D50FE" w:rsidRDefault="000D50FE">
      <w:pPr>
        <w:spacing w:after="200" w:line="276" w:lineRule="auto"/>
        <w:jc w:val="left"/>
        <w:rPr>
          <w:sz w:val="26"/>
          <w:szCs w:val="26"/>
        </w:rPr>
      </w:pPr>
      <w:r>
        <w:rPr>
          <w:sz w:val="26"/>
          <w:szCs w:val="26"/>
        </w:rPr>
        <w:br w:type="page"/>
      </w:r>
    </w:p>
    <w:p w:rsidR="00384C6C" w:rsidRDefault="00384C6C" w:rsidP="000E0862">
      <w:pPr>
        <w:spacing w:line="240" w:lineRule="auto"/>
        <w:ind w:left="1440" w:right="1440"/>
        <w:jc w:val="left"/>
        <w:rPr>
          <w:sz w:val="26"/>
          <w:szCs w:val="26"/>
        </w:rPr>
      </w:pPr>
      <w:r w:rsidRPr="00456123">
        <w:rPr>
          <w:sz w:val="26"/>
          <w:szCs w:val="26"/>
        </w:rPr>
        <w:lastRenderedPageBreak/>
        <w:t xml:space="preserve">and most were referred to its WRAP program.  PPL Electric Stmt. 9-R at 25.  </w:t>
      </w:r>
    </w:p>
    <w:p w:rsidR="00456123" w:rsidRDefault="00B812EA" w:rsidP="000E0862">
      <w:pPr>
        <w:spacing w:line="240" w:lineRule="auto"/>
        <w:ind w:left="1440" w:right="1440"/>
        <w:jc w:val="left"/>
        <w:rPr>
          <w:sz w:val="26"/>
          <w:szCs w:val="26"/>
        </w:rPr>
      </w:pPr>
      <w:r>
        <w:rPr>
          <w:sz w:val="26"/>
          <w:szCs w:val="26"/>
        </w:rPr>
        <w:t>________________</w:t>
      </w:r>
    </w:p>
    <w:p w:rsidR="00B812EA" w:rsidRDefault="00B812EA" w:rsidP="000E0862">
      <w:pPr>
        <w:spacing w:line="240" w:lineRule="auto"/>
        <w:ind w:left="1440" w:right="1440"/>
        <w:jc w:val="left"/>
        <w:rPr>
          <w:sz w:val="26"/>
          <w:szCs w:val="26"/>
        </w:rPr>
      </w:pPr>
    </w:p>
    <w:p w:rsidR="00B812EA" w:rsidRDefault="00B812EA" w:rsidP="000E0862">
      <w:pPr>
        <w:spacing w:line="240" w:lineRule="auto"/>
        <w:ind w:left="1440" w:right="1440"/>
        <w:jc w:val="left"/>
      </w:pPr>
      <w:r>
        <w:tab/>
      </w:r>
      <w:r w:rsidRPr="00B812EA">
        <w:rPr>
          <w:vertAlign w:val="superscript"/>
        </w:rPr>
        <w:t>1</w:t>
      </w:r>
      <w:r>
        <w:tab/>
        <w:t>These customers can be divided into three categories:  those who do not understand shopping, those who understand and do shop, and those who understand but choose not to shop.  There are indications of all three.</w:t>
      </w:r>
    </w:p>
    <w:p w:rsidR="00B812EA" w:rsidRDefault="00B812EA" w:rsidP="000E0862">
      <w:pPr>
        <w:spacing w:line="240" w:lineRule="auto"/>
        <w:ind w:left="1440" w:right="1440"/>
        <w:jc w:val="left"/>
      </w:pPr>
      <w:r>
        <w:tab/>
      </w:r>
      <w:r w:rsidRPr="00B812EA">
        <w:rPr>
          <w:vertAlign w:val="superscript"/>
        </w:rPr>
        <w:t>2</w:t>
      </w:r>
      <w:r>
        <w:tab/>
        <w:t>While a number of these stated that the customer did not believe that anyone read these, every one of them was read by the presiding officer and evaluated for information which might indicate a service complaint (a few were referred back to BCS), or qualification for a customer assistance program, or information indicating that it was intended to be a formal complaint (two were identified and addressed).</w:t>
      </w:r>
    </w:p>
    <w:p w:rsidR="00B812EA" w:rsidRDefault="00B812EA" w:rsidP="000E0862">
      <w:pPr>
        <w:spacing w:line="240" w:lineRule="auto"/>
        <w:ind w:left="1440" w:right="1440"/>
        <w:jc w:val="left"/>
        <w:rPr>
          <w:sz w:val="26"/>
          <w:szCs w:val="26"/>
        </w:rPr>
      </w:pPr>
      <w:r>
        <w:tab/>
      </w:r>
      <w:r w:rsidRPr="00B812EA">
        <w:rPr>
          <w:vertAlign w:val="superscript"/>
        </w:rPr>
        <w:t>3</w:t>
      </w:r>
      <w:r>
        <w:tab/>
        <w:t>Letters were received from Senator Lisa Boscola and Representatives Jim Wansacz, 114</w:t>
      </w:r>
      <w:r w:rsidRPr="00FC43B9">
        <w:rPr>
          <w:vertAlign w:val="superscript"/>
        </w:rPr>
        <w:t>th</w:t>
      </w:r>
      <w:r>
        <w:t xml:space="preserve"> District, Karen Bobeck, 117</w:t>
      </w:r>
      <w:r w:rsidRPr="00FC43B9">
        <w:rPr>
          <w:vertAlign w:val="superscript"/>
        </w:rPr>
        <w:t>th</w:t>
      </w:r>
      <w:r>
        <w:t xml:space="preserve"> District, and Michael Hanna, 76</w:t>
      </w:r>
      <w:r w:rsidRPr="00FC43B9">
        <w:rPr>
          <w:vertAlign w:val="superscript"/>
        </w:rPr>
        <w:t>th</w:t>
      </w:r>
      <w:r>
        <w:t xml:space="preserve"> District, as well as one joint letter from the Northeast Delegation.</w:t>
      </w:r>
    </w:p>
    <w:p w:rsidR="00456123" w:rsidRDefault="00456123" w:rsidP="000E0862">
      <w:pPr>
        <w:pStyle w:val="ListParagraph"/>
        <w:ind w:left="1440" w:right="1440"/>
        <w:jc w:val="left"/>
        <w:rPr>
          <w:sz w:val="26"/>
          <w:szCs w:val="26"/>
        </w:rPr>
      </w:pPr>
    </w:p>
    <w:p w:rsidR="008817BC" w:rsidRDefault="001B4C42" w:rsidP="000E0862">
      <w:pPr>
        <w:ind w:firstLine="720"/>
        <w:jc w:val="left"/>
        <w:rPr>
          <w:sz w:val="26"/>
          <w:szCs w:val="26"/>
        </w:rPr>
      </w:pPr>
      <w:r>
        <w:rPr>
          <w:sz w:val="26"/>
          <w:szCs w:val="26"/>
        </w:rPr>
        <w:tab/>
      </w:r>
      <w:r w:rsidR="0002596D" w:rsidRPr="00D17A61">
        <w:rPr>
          <w:sz w:val="26"/>
          <w:szCs w:val="26"/>
        </w:rPr>
        <w:t xml:space="preserve">In addition to the public input hearings, the ALJ noted that many customers took advantage of the informal comment process </w:t>
      </w:r>
      <w:r w:rsidR="00163166">
        <w:rPr>
          <w:sz w:val="26"/>
          <w:szCs w:val="26"/>
        </w:rPr>
        <w:t xml:space="preserve">in which they </w:t>
      </w:r>
      <w:r w:rsidR="0002596D" w:rsidRPr="00D17A61">
        <w:rPr>
          <w:sz w:val="26"/>
          <w:szCs w:val="26"/>
        </w:rPr>
        <w:t>advise</w:t>
      </w:r>
      <w:r w:rsidR="00163166">
        <w:rPr>
          <w:sz w:val="26"/>
          <w:szCs w:val="26"/>
        </w:rPr>
        <w:t>d</w:t>
      </w:r>
      <w:r w:rsidR="0002596D" w:rsidRPr="00D17A61">
        <w:rPr>
          <w:sz w:val="26"/>
          <w:szCs w:val="26"/>
        </w:rPr>
        <w:t xml:space="preserve"> the Commission of their view</w:t>
      </w:r>
      <w:r w:rsidR="00BC3C08" w:rsidRPr="00D17A61">
        <w:rPr>
          <w:sz w:val="26"/>
          <w:szCs w:val="26"/>
        </w:rPr>
        <w:t xml:space="preserve">s regarding </w:t>
      </w:r>
      <w:r w:rsidR="0002596D" w:rsidRPr="00D17A61">
        <w:rPr>
          <w:sz w:val="26"/>
          <w:szCs w:val="26"/>
        </w:rPr>
        <w:t>not only the merits</w:t>
      </w:r>
      <w:r w:rsidR="00163166">
        <w:rPr>
          <w:sz w:val="26"/>
          <w:szCs w:val="26"/>
        </w:rPr>
        <w:t>,</w:t>
      </w:r>
      <w:r w:rsidR="0002596D" w:rsidRPr="00D17A61">
        <w:rPr>
          <w:sz w:val="26"/>
          <w:szCs w:val="26"/>
        </w:rPr>
        <w:t xml:space="preserve"> or lack thereof</w:t>
      </w:r>
      <w:r w:rsidR="00163166">
        <w:rPr>
          <w:sz w:val="26"/>
          <w:szCs w:val="26"/>
        </w:rPr>
        <w:t>,</w:t>
      </w:r>
      <w:r w:rsidR="0002596D" w:rsidRPr="00D17A61">
        <w:rPr>
          <w:sz w:val="26"/>
          <w:szCs w:val="26"/>
        </w:rPr>
        <w:t xml:space="preserve"> of the Company’s requested rate increase, but also of the</w:t>
      </w:r>
      <w:r w:rsidR="00FA5FDC" w:rsidRPr="00D17A61">
        <w:rPr>
          <w:sz w:val="26"/>
          <w:szCs w:val="26"/>
        </w:rPr>
        <w:t xml:space="preserve">ir concern that the </w:t>
      </w:r>
      <w:r w:rsidR="0002596D" w:rsidRPr="00D17A61">
        <w:rPr>
          <w:sz w:val="26"/>
          <w:szCs w:val="26"/>
        </w:rPr>
        <w:t>Commission</w:t>
      </w:r>
      <w:r w:rsidR="00FA5FDC" w:rsidRPr="00D17A61">
        <w:rPr>
          <w:sz w:val="26"/>
          <w:szCs w:val="26"/>
        </w:rPr>
        <w:t xml:space="preserve"> </w:t>
      </w:r>
      <w:r w:rsidR="00D70586">
        <w:rPr>
          <w:sz w:val="26"/>
          <w:szCs w:val="26"/>
        </w:rPr>
        <w:t xml:space="preserve">allegedly </w:t>
      </w:r>
      <w:r w:rsidR="00FA5FDC" w:rsidRPr="00D17A61">
        <w:rPr>
          <w:sz w:val="26"/>
          <w:szCs w:val="26"/>
        </w:rPr>
        <w:t xml:space="preserve">rubber stamps utility rate increase requests without adequate consideration of customer input.  R.D. at 3.  </w:t>
      </w:r>
      <w:r w:rsidR="00522707">
        <w:rPr>
          <w:sz w:val="26"/>
          <w:szCs w:val="26"/>
        </w:rPr>
        <w:t xml:space="preserve">ALJ Colwell explained that </w:t>
      </w:r>
      <w:r w:rsidR="00FA5FDC" w:rsidRPr="00D17A61">
        <w:rPr>
          <w:sz w:val="26"/>
          <w:szCs w:val="26"/>
        </w:rPr>
        <w:t>this Commission must perform a balancing of customer and utility interests to achieve a result that is in the public interest</w:t>
      </w:r>
      <w:r w:rsidR="009B45F4" w:rsidRPr="00D17A61">
        <w:rPr>
          <w:sz w:val="26"/>
          <w:szCs w:val="26"/>
        </w:rPr>
        <w:t xml:space="preserve"> – a balancing that is not often easy</w:t>
      </w:r>
      <w:r w:rsidR="00D2479D" w:rsidRPr="00D17A61">
        <w:rPr>
          <w:sz w:val="26"/>
          <w:szCs w:val="26"/>
        </w:rPr>
        <w:t xml:space="preserve">.  </w:t>
      </w:r>
      <w:r w:rsidR="002E1570" w:rsidRPr="00D17A61">
        <w:rPr>
          <w:sz w:val="26"/>
          <w:szCs w:val="26"/>
        </w:rPr>
        <w:t xml:space="preserve">R.D. at 3-4.  </w:t>
      </w:r>
      <w:r w:rsidR="00D2479D" w:rsidRPr="00D17A61">
        <w:rPr>
          <w:sz w:val="26"/>
          <w:szCs w:val="26"/>
        </w:rPr>
        <w:t xml:space="preserve">For customers, </w:t>
      </w:r>
      <w:r w:rsidR="009B45F4" w:rsidRPr="00D17A61">
        <w:rPr>
          <w:sz w:val="26"/>
          <w:szCs w:val="26"/>
        </w:rPr>
        <w:t xml:space="preserve">the right balance </w:t>
      </w:r>
      <w:r w:rsidR="00D2479D" w:rsidRPr="00D17A61">
        <w:rPr>
          <w:sz w:val="26"/>
          <w:szCs w:val="26"/>
        </w:rPr>
        <w:t xml:space="preserve">means </w:t>
      </w:r>
      <w:r w:rsidR="00FA5FDC" w:rsidRPr="00D17A61">
        <w:rPr>
          <w:sz w:val="26"/>
          <w:szCs w:val="26"/>
        </w:rPr>
        <w:t>rates that are reasonable</w:t>
      </w:r>
      <w:r w:rsidR="002E1570" w:rsidRPr="00D17A61">
        <w:rPr>
          <w:sz w:val="26"/>
          <w:szCs w:val="26"/>
        </w:rPr>
        <w:t xml:space="preserve"> but not excessive</w:t>
      </w:r>
      <w:r w:rsidR="00D2479D" w:rsidRPr="00D17A61">
        <w:rPr>
          <w:sz w:val="26"/>
          <w:szCs w:val="26"/>
        </w:rPr>
        <w:t xml:space="preserve">.  For the utility, it also means </w:t>
      </w:r>
      <w:r w:rsidR="00163166">
        <w:rPr>
          <w:sz w:val="26"/>
          <w:szCs w:val="26"/>
        </w:rPr>
        <w:t xml:space="preserve">that </w:t>
      </w:r>
      <w:r w:rsidR="00D2479D" w:rsidRPr="00D17A61">
        <w:rPr>
          <w:sz w:val="26"/>
          <w:szCs w:val="26"/>
        </w:rPr>
        <w:t xml:space="preserve">rates </w:t>
      </w:r>
      <w:r w:rsidR="00163166">
        <w:rPr>
          <w:sz w:val="26"/>
          <w:szCs w:val="26"/>
        </w:rPr>
        <w:t xml:space="preserve">must be just and reasonable, </w:t>
      </w:r>
      <w:r w:rsidR="00D2479D" w:rsidRPr="00163166">
        <w:rPr>
          <w:i/>
          <w:sz w:val="26"/>
          <w:szCs w:val="26"/>
        </w:rPr>
        <w:t>i.e.</w:t>
      </w:r>
      <w:r w:rsidR="00163166">
        <w:rPr>
          <w:sz w:val="26"/>
          <w:szCs w:val="26"/>
        </w:rPr>
        <w:t>,</w:t>
      </w:r>
      <w:r w:rsidR="00D2479D" w:rsidRPr="00D17A61">
        <w:rPr>
          <w:sz w:val="26"/>
          <w:szCs w:val="26"/>
        </w:rPr>
        <w:t xml:space="preserve"> rates </w:t>
      </w:r>
      <w:r w:rsidR="00163166">
        <w:rPr>
          <w:sz w:val="26"/>
          <w:szCs w:val="26"/>
        </w:rPr>
        <w:t xml:space="preserve">are set </w:t>
      </w:r>
      <w:r w:rsidR="00D2479D" w:rsidRPr="00D17A61">
        <w:rPr>
          <w:sz w:val="26"/>
          <w:szCs w:val="26"/>
        </w:rPr>
        <w:t xml:space="preserve">at a level to allow the utility to remain financially healthy in order to attract affordable capital for improvements and to maintain adequate, efficient, safe, and reasonable service and facilities to meet </w:t>
      </w:r>
      <w:r w:rsidR="00163166">
        <w:rPr>
          <w:sz w:val="26"/>
          <w:szCs w:val="26"/>
        </w:rPr>
        <w:t>the</w:t>
      </w:r>
      <w:r w:rsidR="00D2479D" w:rsidRPr="00D17A61">
        <w:rPr>
          <w:sz w:val="26"/>
          <w:szCs w:val="26"/>
        </w:rPr>
        <w:t xml:space="preserve"> statutory obligation under Section 1501 of the Code.  </w:t>
      </w:r>
      <w:r w:rsidR="004D2602">
        <w:rPr>
          <w:i/>
          <w:sz w:val="26"/>
          <w:szCs w:val="26"/>
        </w:rPr>
        <w:t>Pennsylvania Pub. Util. Comm’n v. Pennsylvania Gas &amp; Water Co.</w:t>
      </w:r>
      <w:r w:rsidR="008817BC" w:rsidRPr="008817BC">
        <w:rPr>
          <w:sz w:val="26"/>
          <w:szCs w:val="26"/>
        </w:rPr>
        <w:t>, 61 Pa. PUC 409 (1986).</w:t>
      </w:r>
      <w:r w:rsidR="008B461C">
        <w:rPr>
          <w:sz w:val="26"/>
          <w:szCs w:val="26"/>
        </w:rPr>
        <w:t xml:space="preserve">  R.D. at 35.</w:t>
      </w:r>
    </w:p>
    <w:p w:rsidR="008817BC" w:rsidRDefault="008817BC" w:rsidP="000E0862">
      <w:pPr>
        <w:ind w:firstLine="720"/>
        <w:jc w:val="left"/>
        <w:rPr>
          <w:sz w:val="26"/>
          <w:szCs w:val="26"/>
        </w:rPr>
      </w:pPr>
    </w:p>
    <w:p w:rsidR="00B812EA" w:rsidRDefault="001B4C42" w:rsidP="000E0862">
      <w:pPr>
        <w:ind w:firstLine="720"/>
        <w:jc w:val="left"/>
        <w:rPr>
          <w:sz w:val="26"/>
          <w:szCs w:val="26"/>
        </w:rPr>
      </w:pPr>
      <w:r>
        <w:rPr>
          <w:sz w:val="26"/>
          <w:szCs w:val="26"/>
        </w:rPr>
        <w:lastRenderedPageBreak/>
        <w:tab/>
      </w:r>
      <w:r w:rsidR="002E1570" w:rsidRPr="00D17A61">
        <w:rPr>
          <w:sz w:val="26"/>
          <w:szCs w:val="26"/>
        </w:rPr>
        <w:t xml:space="preserve">The balancing of customer and utility interests in the rate making process is achieved with the OCA and </w:t>
      </w:r>
      <w:r>
        <w:rPr>
          <w:sz w:val="26"/>
          <w:szCs w:val="26"/>
        </w:rPr>
        <w:t xml:space="preserve">the </w:t>
      </w:r>
      <w:r w:rsidR="002E1570" w:rsidRPr="00D17A61">
        <w:rPr>
          <w:sz w:val="26"/>
          <w:szCs w:val="26"/>
        </w:rPr>
        <w:t>OSBA guarding the residential and small business customers’ segments interests</w:t>
      </w:r>
      <w:r w:rsidR="00163166">
        <w:rPr>
          <w:sz w:val="26"/>
          <w:szCs w:val="26"/>
        </w:rPr>
        <w:t>, respectively,</w:t>
      </w:r>
      <w:r w:rsidR="002E1570" w:rsidRPr="00D17A61">
        <w:rPr>
          <w:sz w:val="26"/>
          <w:szCs w:val="26"/>
        </w:rPr>
        <w:t xml:space="preserve"> through careful expert evaluation of the Company’s proposal and claims.  R.D. at 3.  </w:t>
      </w:r>
      <w:r w:rsidR="00D226E4" w:rsidRPr="00D17A61">
        <w:rPr>
          <w:sz w:val="26"/>
          <w:szCs w:val="26"/>
        </w:rPr>
        <w:t xml:space="preserve">In addition, the OTS has a special role in </w:t>
      </w:r>
      <w:r w:rsidR="00163166" w:rsidRPr="00D17A61">
        <w:rPr>
          <w:sz w:val="26"/>
          <w:szCs w:val="26"/>
        </w:rPr>
        <w:t xml:space="preserve">evaluating whether the public interest has been met </w:t>
      </w:r>
      <w:r w:rsidR="00163166">
        <w:rPr>
          <w:sz w:val="26"/>
          <w:szCs w:val="26"/>
        </w:rPr>
        <w:t xml:space="preserve">in </w:t>
      </w:r>
      <w:r w:rsidR="00D226E4" w:rsidRPr="00D17A61">
        <w:rPr>
          <w:sz w:val="26"/>
          <w:szCs w:val="26"/>
        </w:rPr>
        <w:t xml:space="preserve">these kind of cases –– </w:t>
      </w:r>
      <w:r w:rsidR="00D226E4" w:rsidRPr="00522707">
        <w:rPr>
          <w:i/>
          <w:sz w:val="26"/>
          <w:szCs w:val="26"/>
        </w:rPr>
        <w:t>i.e.</w:t>
      </w:r>
      <w:r w:rsidR="00D226E4" w:rsidRPr="00D17A61">
        <w:rPr>
          <w:sz w:val="26"/>
          <w:szCs w:val="26"/>
        </w:rPr>
        <w:t xml:space="preserve">, </w:t>
      </w:r>
      <w:r w:rsidR="00D70586">
        <w:rPr>
          <w:sz w:val="26"/>
          <w:szCs w:val="26"/>
        </w:rPr>
        <w:t xml:space="preserve">evaluating </w:t>
      </w:r>
      <w:r w:rsidR="00D226E4" w:rsidRPr="00D17A61">
        <w:rPr>
          <w:sz w:val="26"/>
          <w:szCs w:val="26"/>
        </w:rPr>
        <w:t xml:space="preserve">whether the balance of customer and utility interests has been achieved.  The ALJ </w:t>
      </w:r>
      <w:r w:rsidR="00FC1122">
        <w:rPr>
          <w:sz w:val="26"/>
          <w:szCs w:val="26"/>
        </w:rPr>
        <w:t xml:space="preserve">explained </w:t>
      </w:r>
      <w:r w:rsidR="00D226E4" w:rsidRPr="00D17A61">
        <w:rPr>
          <w:sz w:val="26"/>
          <w:szCs w:val="26"/>
        </w:rPr>
        <w:t xml:space="preserve">that the General Assembly was careful </w:t>
      </w:r>
      <w:r w:rsidR="00FC1122">
        <w:rPr>
          <w:sz w:val="26"/>
          <w:szCs w:val="26"/>
        </w:rPr>
        <w:t xml:space="preserve">in creating the OCA, the OSBA and the OTS </w:t>
      </w:r>
      <w:r w:rsidR="00D226E4" w:rsidRPr="00D17A61">
        <w:rPr>
          <w:sz w:val="26"/>
          <w:szCs w:val="26"/>
        </w:rPr>
        <w:t>t</w:t>
      </w:r>
      <w:r w:rsidR="00EE5F08" w:rsidRPr="00D17A61">
        <w:rPr>
          <w:sz w:val="26"/>
          <w:szCs w:val="26"/>
        </w:rPr>
        <w:t xml:space="preserve">o assist this Commission in reaching a result that is in the public interest.  We </w:t>
      </w:r>
      <w:r w:rsidR="00D70586">
        <w:rPr>
          <w:sz w:val="26"/>
          <w:szCs w:val="26"/>
        </w:rPr>
        <w:t xml:space="preserve">agree with the ALJ wholeheartedly and </w:t>
      </w:r>
      <w:r w:rsidR="00EE5F08" w:rsidRPr="00D17A61">
        <w:rPr>
          <w:sz w:val="26"/>
          <w:szCs w:val="26"/>
        </w:rPr>
        <w:t xml:space="preserve">emphasize that </w:t>
      </w:r>
      <w:r w:rsidR="006F21F8">
        <w:rPr>
          <w:sz w:val="26"/>
          <w:szCs w:val="26"/>
        </w:rPr>
        <w:t xml:space="preserve">the </w:t>
      </w:r>
      <w:r w:rsidR="004D2602">
        <w:rPr>
          <w:sz w:val="26"/>
          <w:szCs w:val="26"/>
        </w:rPr>
        <w:t>s</w:t>
      </w:r>
      <w:r w:rsidR="006F21F8">
        <w:rPr>
          <w:sz w:val="26"/>
          <w:szCs w:val="26"/>
        </w:rPr>
        <w:t>tatutory</w:t>
      </w:r>
      <w:r w:rsidR="00AB6CE9">
        <w:rPr>
          <w:sz w:val="26"/>
          <w:szCs w:val="26"/>
        </w:rPr>
        <w:t xml:space="preserve"> public</w:t>
      </w:r>
      <w:r w:rsidR="006F21F8">
        <w:rPr>
          <w:sz w:val="26"/>
          <w:szCs w:val="26"/>
        </w:rPr>
        <w:t xml:space="preserve"> </w:t>
      </w:r>
      <w:r w:rsidR="004D2602">
        <w:rPr>
          <w:sz w:val="26"/>
          <w:szCs w:val="26"/>
        </w:rPr>
        <w:t>a</w:t>
      </w:r>
      <w:r w:rsidR="006F21F8">
        <w:rPr>
          <w:sz w:val="26"/>
          <w:szCs w:val="26"/>
        </w:rPr>
        <w:t>dvocates</w:t>
      </w:r>
      <w:r w:rsidR="00061FCC">
        <w:rPr>
          <w:sz w:val="26"/>
          <w:szCs w:val="26"/>
        </w:rPr>
        <w:t xml:space="preserve"> provide valuable assistance in the evaluation of </w:t>
      </w:r>
      <w:r w:rsidR="00FC1122">
        <w:rPr>
          <w:sz w:val="26"/>
          <w:szCs w:val="26"/>
        </w:rPr>
        <w:t xml:space="preserve">general </w:t>
      </w:r>
      <w:r w:rsidR="00061FCC">
        <w:rPr>
          <w:sz w:val="26"/>
          <w:szCs w:val="26"/>
        </w:rPr>
        <w:t>rate increase requests,</w:t>
      </w:r>
      <w:r w:rsidR="00EE5F08" w:rsidRPr="00D17A61">
        <w:rPr>
          <w:sz w:val="26"/>
          <w:szCs w:val="26"/>
        </w:rPr>
        <w:t xml:space="preserve"> especially in times like these </w:t>
      </w:r>
      <w:r w:rsidR="00D70586">
        <w:rPr>
          <w:sz w:val="26"/>
          <w:szCs w:val="26"/>
        </w:rPr>
        <w:t>where</w:t>
      </w:r>
      <w:r w:rsidR="00FC1122">
        <w:rPr>
          <w:sz w:val="26"/>
          <w:szCs w:val="26"/>
        </w:rPr>
        <w:t xml:space="preserve"> many citizens of the Commonwealth are experiencing</w:t>
      </w:r>
      <w:r w:rsidR="00EE5F08" w:rsidRPr="00D17A61">
        <w:rPr>
          <w:sz w:val="26"/>
          <w:szCs w:val="26"/>
        </w:rPr>
        <w:t xml:space="preserve"> great economic hardship</w:t>
      </w:r>
      <w:r w:rsidR="00FC1122">
        <w:rPr>
          <w:sz w:val="26"/>
          <w:szCs w:val="26"/>
        </w:rPr>
        <w:t>.</w:t>
      </w:r>
    </w:p>
    <w:p w:rsidR="00B812EA" w:rsidRDefault="00B812EA" w:rsidP="000E0862">
      <w:pPr>
        <w:ind w:firstLine="720"/>
        <w:jc w:val="left"/>
        <w:rPr>
          <w:sz w:val="26"/>
          <w:szCs w:val="26"/>
        </w:rPr>
      </w:pPr>
    </w:p>
    <w:p w:rsidR="00E170B2" w:rsidRDefault="00B812EA" w:rsidP="000E0862">
      <w:pPr>
        <w:ind w:firstLine="720"/>
        <w:jc w:val="left"/>
        <w:rPr>
          <w:sz w:val="26"/>
          <w:szCs w:val="26"/>
        </w:rPr>
      </w:pPr>
      <w:r>
        <w:rPr>
          <w:sz w:val="26"/>
          <w:szCs w:val="26"/>
        </w:rPr>
        <w:tab/>
      </w:r>
      <w:r w:rsidR="00E50828">
        <w:rPr>
          <w:sz w:val="26"/>
          <w:szCs w:val="26"/>
        </w:rPr>
        <w:t xml:space="preserve">At the same time, as explained by </w:t>
      </w:r>
      <w:r w:rsidR="00E50828" w:rsidRPr="00B71F0A">
        <w:rPr>
          <w:sz w:val="26"/>
          <w:szCs w:val="26"/>
        </w:rPr>
        <w:t xml:space="preserve">ALJ Colwell, </w:t>
      </w:r>
      <w:r w:rsidR="00B71F0A" w:rsidRPr="00B71F0A">
        <w:rPr>
          <w:sz w:val="26"/>
          <w:szCs w:val="26"/>
        </w:rPr>
        <w:t xml:space="preserve">just as the costs of individual customers have </w:t>
      </w:r>
      <w:r w:rsidR="00BA3910" w:rsidRPr="00B71F0A">
        <w:rPr>
          <w:sz w:val="26"/>
          <w:szCs w:val="26"/>
        </w:rPr>
        <w:t xml:space="preserve">risen, </w:t>
      </w:r>
      <w:r w:rsidR="00B71F0A">
        <w:rPr>
          <w:sz w:val="26"/>
          <w:szCs w:val="26"/>
        </w:rPr>
        <w:t xml:space="preserve">so too </w:t>
      </w:r>
      <w:r w:rsidR="00D410CE">
        <w:rPr>
          <w:sz w:val="26"/>
          <w:szCs w:val="26"/>
        </w:rPr>
        <w:t xml:space="preserve">costs </w:t>
      </w:r>
      <w:r w:rsidR="00B71F0A">
        <w:rPr>
          <w:sz w:val="26"/>
          <w:szCs w:val="26"/>
        </w:rPr>
        <w:t xml:space="preserve">have </w:t>
      </w:r>
      <w:r w:rsidR="00D410CE">
        <w:rPr>
          <w:sz w:val="26"/>
          <w:szCs w:val="26"/>
        </w:rPr>
        <w:t xml:space="preserve">risen for </w:t>
      </w:r>
      <w:r w:rsidR="00BA3910" w:rsidRPr="00B71F0A">
        <w:rPr>
          <w:sz w:val="26"/>
          <w:szCs w:val="26"/>
        </w:rPr>
        <w:t>PPL</w:t>
      </w:r>
      <w:r w:rsidR="00D410CE">
        <w:rPr>
          <w:sz w:val="26"/>
          <w:szCs w:val="26"/>
        </w:rPr>
        <w:t xml:space="preserve"> in its </w:t>
      </w:r>
      <w:r w:rsidR="00522707" w:rsidRPr="00B71F0A">
        <w:rPr>
          <w:sz w:val="26"/>
          <w:szCs w:val="26"/>
        </w:rPr>
        <w:t>provi</w:t>
      </w:r>
      <w:r w:rsidR="00D410CE">
        <w:rPr>
          <w:sz w:val="26"/>
          <w:szCs w:val="26"/>
        </w:rPr>
        <w:t xml:space="preserve">sion of </w:t>
      </w:r>
      <w:r w:rsidR="00522707" w:rsidRPr="00B71F0A">
        <w:rPr>
          <w:sz w:val="26"/>
          <w:szCs w:val="26"/>
        </w:rPr>
        <w:t xml:space="preserve">safe, reliable electric distribution service </w:t>
      </w:r>
      <w:r w:rsidR="00D410CE">
        <w:rPr>
          <w:sz w:val="26"/>
          <w:szCs w:val="26"/>
        </w:rPr>
        <w:t xml:space="preserve">to all customers </w:t>
      </w:r>
      <w:r w:rsidR="00522707" w:rsidRPr="00B71F0A">
        <w:rPr>
          <w:sz w:val="26"/>
          <w:szCs w:val="26"/>
        </w:rPr>
        <w:t>t</w:t>
      </w:r>
      <w:r w:rsidR="00D410CE">
        <w:rPr>
          <w:sz w:val="26"/>
          <w:szCs w:val="26"/>
        </w:rPr>
        <w:t>hroughout its service territory.</w:t>
      </w:r>
      <w:r w:rsidR="00BA3910" w:rsidRPr="00B71F0A">
        <w:rPr>
          <w:sz w:val="26"/>
          <w:szCs w:val="26"/>
        </w:rPr>
        <w:t xml:space="preserve"> </w:t>
      </w:r>
      <w:r w:rsidR="00EC6A33" w:rsidRPr="00B71F0A">
        <w:rPr>
          <w:sz w:val="26"/>
          <w:szCs w:val="26"/>
        </w:rPr>
        <w:t xml:space="preserve"> </w:t>
      </w:r>
      <w:r w:rsidR="00BA3910" w:rsidRPr="00B71F0A">
        <w:rPr>
          <w:sz w:val="26"/>
          <w:szCs w:val="26"/>
        </w:rPr>
        <w:t>It is with th</w:t>
      </w:r>
      <w:r w:rsidR="00FC1122" w:rsidRPr="00B71F0A">
        <w:rPr>
          <w:sz w:val="26"/>
          <w:szCs w:val="26"/>
        </w:rPr>
        <w:t>is</w:t>
      </w:r>
      <w:r w:rsidR="00BA3910" w:rsidRPr="00B71F0A">
        <w:rPr>
          <w:sz w:val="26"/>
          <w:szCs w:val="26"/>
        </w:rPr>
        <w:t xml:space="preserve"> unders</w:t>
      </w:r>
      <w:r w:rsidR="00BA3910" w:rsidRPr="00D17A61">
        <w:rPr>
          <w:sz w:val="26"/>
          <w:szCs w:val="26"/>
        </w:rPr>
        <w:t>tanding that</w:t>
      </w:r>
      <w:r w:rsidR="0094436C">
        <w:rPr>
          <w:sz w:val="26"/>
          <w:szCs w:val="26"/>
        </w:rPr>
        <w:t xml:space="preserve">, as will be discussed in more detail </w:t>
      </w:r>
      <w:r w:rsidR="0094436C">
        <w:rPr>
          <w:i/>
          <w:sz w:val="26"/>
          <w:szCs w:val="26"/>
        </w:rPr>
        <w:t>infra</w:t>
      </w:r>
      <w:r w:rsidR="0094436C">
        <w:rPr>
          <w:sz w:val="26"/>
          <w:szCs w:val="26"/>
        </w:rPr>
        <w:t>,</w:t>
      </w:r>
      <w:r w:rsidR="00BA3910" w:rsidRPr="00D17A61">
        <w:rPr>
          <w:sz w:val="26"/>
          <w:szCs w:val="26"/>
        </w:rPr>
        <w:t xml:space="preserve"> we </w:t>
      </w:r>
      <w:r w:rsidR="00FC1122">
        <w:rPr>
          <w:sz w:val="26"/>
          <w:szCs w:val="26"/>
        </w:rPr>
        <w:t xml:space="preserve">will </w:t>
      </w:r>
      <w:r w:rsidR="00BA3910" w:rsidRPr="00D17A61">
        <w:rPr>
          <w:sz w:val="26"/>
          <w:szCs w:val="26"/>
        </w:rPr>
        <w:t xml:space="preserve">approve the </w:t>
      </w:r>
      <w:r w:rsidR="00FC1122">
        <w:rPr>
          <w:sz w:val="26"/>
          <w:szCs w:val="26"/>
        </w:rPr>
        <w:t xml:space="preserve">Partial </w:t>
      </w:r>
      <w:r w:rsidR="00BA3910" w:rsidRPr="00D17A61">
        <w:rPr>
          <w:sz w:val="26"/>
          <w:szCs w:val="26"/>
        </w:rPr>
        <w:t xml:space="preserve">Settlement </w:t>
      </w:r>
      <w:r w:rsidR="00FC1122">
        <w:rPr>
          <w:sz w:val="26"/>
          <w:szCs w:val="26"/>
        </w:rPr>
        <w:t>proposed by the Joint Petitioners</w:t>
      </w:r>
      <w:r w:rsidR="0094436C">
        <w:rPr>
          <w:sz w:val="26"/>
          <w:szCs w:val="26"/>
        </w:rPr>
        <w:t xml:space="preserve">.  The Partial Settlement </w:t>
      </w:r>
      <w:r w:rsidR="00FC1122">
        <w:rPr>
          <w:sz w:val="26"/>
          <w:szCs w:val="26"/>
        </w:rPr>
        <w:t xml:space="preserve">will </w:t>
      </w:r>
      <w:r w:rsidR="00E170B2">
        <w:rPr>
          <w:sz w:val="26"/>
          <w:szCs w:val="26"/>
        </w:rPr>
        <w:t xml:space="preserve">result in an increase in distribution revenues of $77.5 million, which is $37.2 million less than the $114.7 million </w:t>
      </w:r>
      <w:r w:rsidR="00BA3910" w:rsidRPr="00D17A61">
        <w:rPr>
          <w:sz w:val="26"/>
          <w:szCs w:val="26"/>
        </w:rPr>
        <w:t>originally proposed by the Company</w:t>
      </w:r>
      <w:r w:rsidR="00EC6A33" w:rsidRPr="00D17A61">
        <w:rPr>
          <w:sz w:val="26"/>
          <w:szCs w:val="26"/>
        </w:rPr>
        <w:t>.</w:t>
      </w:r>
      <w:r w:rsidR="00AB6CE9">
        <w:rPr>
          <w:sz w:val="26"/>
          <w:szCs w:val="26"/>
        </w:rPr>
        <w:t xml:space="preserve">  Based on the input from those present at the public input hearings and the consensus of the petitioning Parties </w:t>
      </w:r>
      <w:r w:rsidR="00384C6C">
        <w:rPr>
          <w:sz w:val="26"/>
          <w:szCs w:val="26"/>
        </w:rPr>
        <w:t>to t</w:t>
      </w:r>
      <w:r w:rsidR="00AB6CE9">
        <w:rPr>
          <w:sz w:val="26"/>
          <w:szCs w:val="26"/>
        </w:rPr>
        <w:t>he Partial Settlement,</w:t>
      </w:r>
      <w:r w:rsidR="00384C6C">
        <w:rPr>
          <w:sz w:val="26"/>
          <w:szCs w:val="26"/>
        </w:rPr>
        <w:t xml:space="preserve"> we are of the opinion that the resulting rates </w:t>
      </w:r>
      <w:r w:rsidR="0094436C">
        <w:rPr>
          <w:sz w:val="26"/>
          <w:szCs w:val="26"/>
        </w:rPr>
        <w:t xml:space="preserve">contained in the Partial Settlement </w:t>
      </w:r>
      <w:r w:rsidR="00384C6C">
        <w:rPr>
          <w:sz w:val="26"/>
          <w:szCs w:val="26"/>
        </w:rPr>
        <w:t xml:space="preserve">are just and reasonable and </w:t>
      </w:r>
      <w:r w:rsidR="0094436C">
        <w:rPr>
          <w:sz w:val="26"/>
          <w:szCs w:val="26"/>
        </w:rPr>
        <w:t xml:space="preserve">approval of those rates is </w:t>
      </w:r>
      <w:r w:rsidR="00384C6C">
        <w:rPr>
          <w:sz w:val="26"/>
          <w:szCs w:val="26"/>
        </w:rPr>
        <w:t>in the best interest of the Company and its customers.</w:t>
      </w:r>
    </w:p>
    <w:p w:rsidR="008817BC" w:rsidRDefault="008817BC" w:rsidP="000E0862">
      <w:pPr>
        <w:ind w:left="360"/>
        <w:jc w:val="left"/>
        <w:rPr>
          <w:sz w:val="26"/>
          <w:szCs w:val="26"/>
        </w:rPr>
      </w:pPr>
    </w:p>
    <w:p w:rsidR="008817BC" w:rsidRPr="002C2C41" w:rsidRDefault="002C2C41" w:rsidP="000E0862">
      <w:pPr>
        <w:keepNext/>
        <w:ind w:left="720"/>
        <w:jc w:val="left"/>
        <w:rPr>
          <w:b/>
          <w:sz w:val="26"/>
          <w:szCs w:val="26"/>
        </w:rPr>
      </w:pPr>
      <w:r>
        <w:rPr>
          <w:b/>
          <w:sz w:val="26"/>
          <w:szCs w:val="26"/>
        </w:rPr>
        <w:t>B.</w:t>
      </w:r>
      <w:r>
        <w:rPr>
          <w:b/>
          <w:sz w:val="26"/>
          <w:szCs w:val="26"/>
        </w:rPr>
        <w:tab/>
      </w:r>
      <w:r w:rsidR="00EC6A33" w:rsidRPr="002C2C41">
        <w:rPr>
          <w:b/>
          <w:sz w:val="26"/>
          <w:szCs w:val="26"/>
        </w:rPr>
        <w:t xml:space="preserve">Terms and Conditions of the </w:t>
      </w:r>
      <w:r>
        <w:rPr>
          <w:b/>
          <w:sz w:val="26"/>
          <w:szCs w:val="26"/>
        </w:rPr>
        <w:t xml:space="preserve">Partial </w:t>
      </w:r>
      <w:r w:rsidR="00EC6A33" w:rsidRPr="002C2C41">
        <w:rPr>
          <w:b/>
          <w:sz w:val="26"/>
          <w:szCs w:val="26"/>
        </w:rPr>
        <w:t>Settlement</w:t>
      </w:r>
    </w:p>
    <w:p w:rsidR="008817BC" w:rsidRDefault="008817BC" w:rsidP="000E0862">
      <w:pPr>
        <w:keepNext/>
        <w:spacing w:line="240" w:lineRule="auto"/>
        <w:jc w:val="left"/>
        <w:rPr>
          <w:rFonts w:eastAsia="Times New Roman"/>
          <w:sz w:val="26"/>
          <w:szCs w:val="26"/>
          <w:u w:val="single"/>
        </w:rPr>
      </w:pPr>
    </w:p>
    <w:p w:rsidR="008817BC" w:rsidRDefault="00555E61" w:rsidP="000E0862">
      <w:pPr>
        <w:ind w:firstLine="720"/>
        <w:jc w:val="left"/>
        <w:rPr>
          <w:rFonts w:eastAsia="Times New Roman"/>
          <w:sz w:val="26"/>
          <w:szCs w:val="26"/>
        </w:rPr>
      </w:pPr>
      <w:r>
        <w:rPr>
          <w:rFonts w:eastAsia="Times New Roman"/>
          <w:sz w:val="26"/>
          <w:szCs w:val="26"/>
        </w:rPr>
        <w:tab/>
      </w:r>
      <w:r w:rsidR="00C800F1" w:rsidRPr="00D17A61">
        <w:rPr>
          <w:rFonts w:eastAsia="Times New Roman"/>
          <w:sz w:val="26"/>
          <w:szCs w:val="26"/>
        </w:rPr>
        <w:t xml:space="preserve">The Joint Petitioners agreed to the following terms and conditions in </w:t>
      </w:r>
      <w:r w:rsidR="002C2C41">
        <w:rPr>
          <w:rFonts w:eastAsia="Times New Roman"/>
          <w:sz w:val="26"/>
          <w:szCs w:val="26"/>
        </w:rPr>
        <w:t>the P</w:t>
      </w:r>
      <w:r w:rsidR="00C800F1" w:rsidRPr="00D17A61">
        <w:rPr>
          <w:rFonts w:eastAsia="Times New Roman"/>
          <w:sz w:val="26"/>
          <w:szCs w:val="26"/>
        </w:rPr>
        <w:t xml:space="preserve">artial </w:t>
      </w:r>
      <w:r w:rsidR="002C2C41">
        <w:rPr>
          <w:rFonts w:eastAsia="Times New Roman"/>
          <w:sz w:val="26"/>
          <w:szCs w:val="26"/>
        </w:rPr>
        <w:t>S</w:t>
      </w:r>
      <w:r w:rsidR="00C800F1" w:rsidRPr="00D17A61">
        <w:rPr>
          <w:rFonts w:eastAsia="Times New Roman"/>
          <w:sz w:val="26"/>
          <w:szCs w:val="26"/>
        </w:rPr>
        <w:t>ettlement of PPL’s proposed rate increase:</w:t>
      </w:r>
    </w:p>
    <w:p w:rsidR="0094436C" w:rsidRDefault="0094436C" w:rsidP="000E0862">
      <w:pPr>
        <w:ind w:firstLine="720"/>
        <w:jc w:val="left"/>
        <w:rPr>
          <w:rFonts w:eastAsia="Times New Roman"/>
          <w:sz w:val="26"/>
          <w:szCs w:val="26"/>
        </w:rPr>
      </w:pPr>
    </w:p>
    <w:p w:rsidR="006D50ED" w:rsidRPr="002C2C41" w:rsidRDefault="0092182E" w:rsidP="000E0862">
      <w:pPr>
        <w:pStyle w:val="Pleading2L2"/>
        <w:numPr>
          <w:ilvl w:val="0"/>
          <w:numId w:val="0"/>
        </w:numPr>
        <w:tabs>
          <w:tab w:val="num" w:pos="2160"/>
          <w:tab w:val="num" w:pos="2250"/>
          <w:tab w:val="left" w:pos="2880"/>
        </w:tabs>
        <w:spacing w:line="360" w:lineRule="auto"/>
        <w:ind w:left="2160" w:right="1440" w:hanging="720"/>
        <w:contextualSpacing/>
        <w:rPr>
          <w:b/>
          <w:sz w:val="26"/>
          <w:szCs w:val="26"/>
        </w:rPr>
      </w:pPr>
      <w:r>
        <w:rPr>
          <w:sz w:val="26"/>
          <w:szCs w:val="26"/>
        </w:rPr>
        <w:t>A.</w:t>
      </w:r>
      <w:r>
        <w:rPr>
          <w:sz w:val="26"/>
          <w:szCs w:val="26"/>
        </w:rPr>
        <w:tab/>
      </w:r>
      <w:r w:rsidR="008817BC" w:rsidRPr="008817BC">
        <w:rPr>
          <w:sz w:val="26"/>
          <w:szCs w:val="26"/>
        </w:rPr>
        <w:t>Revenue Requirement</w:t>
      </w: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2553AB">
        <w:rPr>
          <w:sz w:val="26"/>
          <w:szCs w:val="26"/>
        </w:rPr>
        <w:t>1.</w:t>
      </w:r>
      <w:r w:rsidR="002553AB">
        <w:rPr>
          <w:sz w:val="26"/>
          <w:szCs w:val="26"/>
        </w:rPr>
        <w:tab/>
      </w:r>
      <w:r w:rsidR="006D50ED" w:rsidRPr="002C2C41">
        <w:rPr>
          <w:sz w:val="26"/>
          <w:szCs w:val="26"/>
        </w:rPr>
        <w:t>PPL Electric will b</w:t>
      </w:r>
      <w:r w:rsidR="006D50ED" w:rsidRPr="00D17A61">
        <w:rPr>
          <w:sz w:val="26"/>
          <w:szCs w:val="26"/>
        </w:rPr>
        <w:t>e permitted to submit a revised supplement to PPL Electric’s Tariff – Electric Pa. P.U.C. No. 201 designed to produce an annual distribution rate revenue increase of approximately $77.5 million, to become effective for service rendered on and after January 1, 2011.  This increase in annual operating revenue is in lieu of the requested increase of approximately $114.7 million.  As explained below, certain issues raised in this proceeding are reserved for litigation.  It is the understanding of the Parties that the resolutions of the issues reserved for litigation will not result in any change to the increase in annual distribution operating revenues of $77.5 million agreed to above.</w:t>
      </w:r>
    </w:p>
    <w:p w:rsidR="006D50ED" w:rsidRPr="00D17A61" w:rsidRDefault="006D50ED" w:rsidP="000E0862">
      <w:pPr>
        <w:pStyle w:val="Pleading2L3"/>
        <w:numPr>
          <w:ilvl w:val="0"/>
          <w:numId w:val="0"/>
        </w:numPr>
        <w:tabs>
          <w:tab w:val="left" w:pos="1440"/>
          <w:tab w:val="num" w:pos="2160"/>
          <w:tab w:val="left" w:pos="2880"/>
        </w:tabs>
        <w:spacing w:line="240" w:lineRule="auto"/>
        <w:ind w:left="1440" w:right="1440"/>
        <w:contextualSpacing/>
        <w:rPr>
          <w:sz w:val="26"/>
          <w:szCs w:val="26"/>
        </w:rPr>
      </w:pP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2553AB">
        <w:rPr>
          <w:sz w:val="26"/>
          <w:szCs w:val="26"/>
        </w:rPr>
        <w:t>2.</w:t>
      </w:r>
      <w:r w:rsidR="002553AB">
        <w:rPr>
          <w:sz w:val="26"/>
          <w:szCs w:val="26"/>
        </w:rPr>
        <w:tab/>
      </w:r>
      <w:r w:rsidR="006D50ED" w:rsidRPr="00D17A61">
        <w:rPr>
          <w:sz w:val="26"/>
          <w:szCs w:val="26"/>
        </w:rPr>
        <w:t>The settlement as to revenue requirement shall be a “black box” settlement, except for the following items:  (a) the settlement rates include PPL Electric’s proposed storm insurance premiums; (b) the settlement rates include the Company’s claim for Company Use generation supply; (c) the settlement rates reflect the adoption of the tax accounting method provided for in Regulation Section 1.162-4 of the Internal Revenue Service regarding repair allowance as explained in Mr. Kleha’s testimonies; and (d) the settlement rates include $5.09 million of customer education costs discussed in Mr. Krall’s rebuttal testimony and do not reflect the $39,000 of education and marketing for the Company’s time-of-use rates identified in SEF’s testimony.</w:t>
      </w:r>
      <w:r w:rsidR="003D198E" w:rsidRPr="003D198E">
        <w:rPr>
          <w:sz w:val="26"/>
          <w:szCs w:val="26"/>
          <w:vertAlign w:val="superscript"/>
        </w:rPr>
        <w:t>3</w:t>
      </w:r>
    </w:p>
    <w:p w:rsidR="006D50ED" w:rsidRPr="00D17A61" w:rsidRDefault="006D50ED" w:rsidP="000E0862">
      <w:pPr>
        <w:pStyle w:val="Pleading2L3"/>
        <w:numPr>
          <w:ilvl w:val="0"/>
          <w:numId w:val="0"/>
        </w:numPr>
        <w:tabs>
          <w:tab w:val="left" w:pos="1440"/>
        </w:tabs>
        <w:spacing w:line="240" w:lineRule="auto"/>
        <w:ind w:left="2160" w:right="1440"/>
        <w:contextualSpacing/>
        <w:rPr>
          <w:sz w:val="26"/>
          <w:szCs w:val="26"/>
        </w:rPr>
      </w:pP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2553AB">
        <w:rPr>
          <w:sz w:val="26"/>
          <w:szCs w:val="26"/>
        </w:rPr>
        <w:t>3.</w:t>
      </w:r>
      <w:r w:rsidR="002553AB">
        <w:rPr>
          <w:sz w:val="26"/>
          <w:szCs w:val="26"/>
        </w:rPr>
        <w:tab/>
      </w:r>
      <w:r w:rsidR="006D50ED" w:rsidRPr="00D17A61">
        <w:rPr>
          <w:sz w:val="26"/>
          <w:szCs w:val="26"/>
        </w:rPr>
        <w:t xml:space="preserve">In order to meet the Commission’s smart meter surcharge requirements in </w:t>
      </w:r>
      <w:r w:rsidR="006D50ED" w:rsidRPr="00D17A61">
        <w:rPr>
          <w:i/>
          <w:sz w:val="26"/>
          <w:szCs w:val="26"/>
        </w:rPr>
        <w:t>Petition of PPL Electric Utilities Corporation for Approval of Smart Meter Technology Procurement and Installation Plan</w:t>
      </w:r>
      <w:r w:rsidR="006D50ED" w:rsidRPr="00D17A61">
        <w:rPr>
          <w:sz w:val="26"/>
          <w:szCs w:val="26"/>
        </w:rPr>
        <w:t xml:space="preserve">, Order entered on June 24, 2010 at Docket No. M-2009-2123945, and for that purpose only, PPL Electric will use a 10.0% common equity cost rate and the capital structure proposed by PPL Electric in this proceeding.  The designated return on common equity and capital </w:t>
      </w:r>
      <w:r w:rsidR="006D50ED" w:rsidRPr="00D17A61">
        <w:rPr>
          <w:sz w:val="26"/>
          <w:szCs w:val="26"/>
        </w:rPr>
        <w:lastRenderedPageBreak/>
        <w:t>structure ratios are established solely for purposes of establishing the smart meter surcharge.  It is under</w:t>
      </w:r>
      <w:r w:rsidR="003D198E">
        <w:rPr>
          <w:sz w:val="26"/>
          <w:szCs w:val="26"/>
        </w:rPr>
        <w:t>-</w:t>
      </w:r>
      <w:r w:rsidR="006D50ED" w:rsidRPr="00D17A61">
        <w:rPr>
          <w:sz w:val="26"/>
          <w:szCs w:val="26"/>
        </w:rPr>
        <w:t xml:space="preserve">stood and agreed that this Settlement is the result of compromises and does not necessarily reflect any Party’s position with respect to the current cost of common equity or capital structure for PPL Electric.  The Parties agree that the common equity cost rate and capital structure set forth in this agreement shall not be cited as precedent by any Party in this or any other proceeding except to establish a smart meter surcharge for PPL Electric.  This agreement is made without any admission against, or prejudice to, any position which any Party to this Settlement may adopt during litigation of any other proceeding other than proceedings to establish a smart meter surcharge for PPL Electric.  The Commission’s approval of this Settlement shall not be construed to represent approval of any Party’s position on these issues. </w:t>
      </w:r>
    </w:p>
    <w:p w:rsidR="006D50ED" w:rsidRPr="00D17A61" w:rsidRDefault="006D50ED" w:rsidP="000E0862">
      <w:pPr>
        <w:pStyle w:val="Pleading2L3"/>
        <w:numPr>
          <w:ilvl w:val="0"/>
          <w:numId w:val="0"/>
        </w:numPr>
        <w:tabs>
          <w:tab w:val="num" w:pos="2970"/>
        </w:tabs>
        <w:spacing w:line="240" w:lineRule="auto"/>
        <w:ind w:left="2160" w:right="1440"/>
        <w:contextualSpacing/>
        <w:rPr>
          <w:sz w:val="26"/>
          <w:szCs w:val="26"/>
        </w:rPr>
      </w:pP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2553AB">
        <w:rPr>
          <w:sz w:val="26"/>
          <w:szCs w:val="26"/>
        </w:rPr>
        <w:t>4.</w:t>
      </w:r>
      <w:r w:rsidR="002553AB">
        <w:rPr>
          <w:sz w:val="26"/>
          <w:szCs w:val="26"/>
        </w:rPr>
        <w:tab/>
      </w:r>
      <w:r w:rsidR="006D50ED" w:rsidRPr="00D17A61">
        <w:rPr>
          <w:sz w:val="26"/>
          <w:szCs w:val="26"/>
        </w:rPr>
        <w:t>PPL Electric agrees that, if it adopts the tax accounting treatment regarding repair allowances that may be authorized by Regulation Section 1.263 of the regulations of the Internal Revenue Code, PPL Electric will implement for Regulation Section 1.263 the same ratemaking procedures that it has implemented for Regulation Section 1.162-4 of the regulations of the Internal Revenue Code under which additional tax benefits are recorded as deferred income taxes, the unamortized balances of which will be deducted from rate base in future base rate proceedings, unless the</w:t>
      </w:r>
      <w:r>
        <w:rPr>
          <w:sz w:val="26"/>
          <w:szCs w:val="26"/>
        </w:rPr>
        <w:t xml:space="preserve"> Commission directs otherwise.</w:t>
      </w:r>
    </w:p>
    <w:p w:rsidR="006D50ED" w:rsidRPr="00D17A61" w:rsidRDefault="006D50ED" w:rsidP="000E0862">
      <w:pPr>
        <w:pStyle w:val="Pleading2L3"/>
        <w:numPr>
          <w:ilvl w:val="0"/>
          <w:numId w:val="0"/>
        </w:numPr>
        <w:tabs>
          <w:tab w:val="left" w:pos="1440"/>
          <w:tab w:val="num" w:pos="2160"/>
          <w:tab w:val="left" w:pos="2880"/>
          <w:tab w:val="num" w:pos="2970"/>
        </w:tabs>
        <w:spacing w:line="240" w:lineRule="auto"/>
        <w:ind w:left="2160" w:right="1440" w:hanging="1440"/>
        <w:contextualSpacing/>
        <w:rPr>
          <w:sz w:val="26"/>
          <w:szCs w:val="26"/>
        </w:rPr>
      </w:pPr>
    </w:p>
    <w:p w:rsidR="006D50ED" w:rsidRPr="00D17A61" w:rsidRDefault="006D50ED" w:rsidP="000E0862">
      <w:pPr>
        <w:pStyle w:val="Pleading2L2"/>
        <w:keepNext/>
        <w:keepLines/>
        <w:numPr>
          <w:ilvl w:val="0"/>
          <w:numId w:val="0"/>
        </w:numPr>
        <w:tabs>
          <w:tab w:val="left" w:pos="1440"/>
          <w:tab w:val="num" w:pos="2160"/>
          <w:tab w:val="left" w:pos="2880"/>
        </w:tabs>
        <w:spacing w:line="240" w:lineRule="auto"/>
        <w:ind w:left="2880" w:right="1440" w:hanging="1440"/>
        <w:contextualSpacing/>
        <w:rPr>
          <w:sz w:val="26"/>
          <w:szCs w:val="26"/>
        </w:rPr>
      </w:pPr>
      <w:r w:rsidRPr="00D17A61">
        <w:rPr>
          <w:sz w:val="26"/>
          <w:szCs w:val="26"/>
        </w:rPr>
        <w:t>B.</w:t>
      </w:r>
      <w:r w:rsidRPr="00D17A61">
        <w:rPr>
          <w:sz w:val="26"/>
          <w:szCs w:val="26"/>
        </w:rPr>
        <w:tab/>
      </w:r>
      <w:r w:rsidR="008817BC" w:rsidRPr="008817BC">
        <w:rPr>
          <w:sz w:val="26"/>
          <w:szCs w:val="26"/>
        </w:rPr>
        <w:t>Revenue Allocation</w:t>
      </w:r>
    </w:p>
    <w:p w:rsidR="006D50ED" w:rsidRPr="00D17A61" w:rsidRDefault="006D50ED" w:rsidP="000E0862">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sz w:val="26"/>
          <w:szCs w:val="26"/>
        </w:rPr>
      </w:pPr>
    </w:p>
    <w:p w:rsidR="00135ADF"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2553AB">
        <w:rPr>
          <w:sz w:val="26"/>
          <w:szCs w:val="26"/>
        </w:rPr>
        <w:t>5.</w:t>
      </w:r>
      <w:r w:rsidR="002553AB">
        <w:rPr>
          <w:sz w:val="26"/>
          <w:szCs w:val="26"/>
        </w:rPr>
        <w:tab/>
      </w:r>
      <w:r w:rsidR="006D50ED" w:rsidRPr="00D17A61">
        <w:rPr>
          <w:sz w:val="26"/>
          <w:szCs w:val="26"/>
        </w:rPr>
        <w:t xml:space="preserve">The proposal of the Office of Consumer Advocate regarding Rate Schedule RTS is accepted.  The present customer charge will remain in effect, and the revenue increase to Rate Schedule RTS will be limited to 150 percent of the percentage increase to the entire Residential class.  Any revenue shortfall resulting from application of this provision will be recovered from customers </w:t>
      </w:r>
      <w:r>
        <w:rPr>
          <w:sz w:val="26"/>
          <w:szCs w:val="26"/>
        </w:rPr>
        <w:t>served under Rate Schedule RS.</w:t>
      </w:r>
    </w:p>
    <w:p w:rsidR="006D50ED" w:rsidRPr="00D17A61" w:rsidRDefault="006D50ED" w:rsidP="000E0862">
      <w:pPr>
        <w:pStyle w:val="Pleading2L3"/>
        <w:numPr>
          <w:ilvl w:val="0"/>
          <w:numId w:val="0"/>
        </w:numPr>
        <w:tabs>
          <w:tab w:val="left" w:pos="1440"/>
          <w:tab w:val="num" w:pos="2160"/>
          <w:tab w:val="left" w:pos="2880"/>
          <w:tab w:val="num" w:pos="2970"/>
        </w:tabs>
        <w:spacing w:line="240" w:lineRule="auto"/>
        <w:ind w:left="2160" w:right="1440" w:hanging="1440"/>
        <w:contextualSpacing/>
        <w:rPr>
          <w:sz w:val="26"/>
          <w:szCs w:val="26"/>
        </w:rPr>
      </w:pPr>
    </w:p>
    <w:p w:rsidR="006D50ED" w:rsidRPr="00D17A61" w:rsidRDefault="006D50ED" w:rsidP="000E0862">
      <w:pPr>
        <w:pStyle w:val="Pleading2L2"/>
        <w:keepNext/>
        <w:keepLines/>
        <w:numPr>
          <w:ilvl w:val="0"/>
          <w:numId w:val="0"/>
        </w:numPr>
        <w:tabs>
          <w:tab w:val="left" w:pos="1440"/>
          <w:tab w:val="num" w:pos="2160"/>
          <w:tab w:val="left" w:pos="2880"/>
        </w:tabs>
        <w:spacing w:line="240" w:lineRule="auto"/>
        <w:ind w:left="2880" w:right="1440" w:hanging="1440"/>
        <w:contextualSpacing/>
        <w:rPr>
          <w:sz w:val="26"/>
          <w:szCs w:val="26"/>
        </w:rPr>
      </w:pPr>
      <w:r w:rsidRPr="00D17A61">
        <w:rPr>
          <w:sz w:val="26"/>
          <w:szCs w:val="26"/>
        </w:rPr>
        <w:t>C.</w:t>
      </w:r>
      <w:r w:rsidRPr="00D17A61">
        <w:rPr>
          <w:sz w:val="26"/>
          <w:szCs w:val="26"/>
        </w:rPr>
        <w:tab/>
      </w:r>
      <w:r w:rsidR="008817BC" w:rsidRPr="008817BC">
        <w:rPr>
          <w:sz w:val="26"/>
          <w:szCs w:val="26"/>
        </w:rPr>
        <w:t>Rate Design</w:t>
      </w:r>
      <w:r w:rsidRPr="00D17A61">
        <w:rPr>
          <w:sz w:val="26"/>
          <w:szCs w:val="26"/>
        </w:rPr>
        <w:t xml:space="preserve"> </w:t>
      </w:r>
    </w:p>
    <w:p w:rsidR="006D50ED" w:rsidRPr="00D17A61" w:rsidRDefault="006D50ED" w:rsidP="000E0862">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sz w:val="26"/>
          <w:szCs w:val="26"/>
        </w:rPr>
      </w:pP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6D50ED" w:rsidRPr="00D17A61">
        <w:rPr>
          <w:sz w:val="26"/>
          <w:szCs w:val="26"/>
        </w:rPr>
        <w:t>6.</w:t>
      </w:r>
      <w:r w:rsidR="006D50ED" w:rsidRPr="00D17A61">
        <w:rPr>
          <w:sz w:val="26"/>
          <w:szCs w:val="26"/>
        </w:rPr>
        <w:tab/>
        <w:t>The RS customer charge will be $8.75 per month.  The Universal Service Rider charge will be removed from the customer charge and recovered through energy charges.  There will be a flat energy rate.</w:t>
      </w:r>
    </w:p>
    <w:p w:rsidR="006D50ED" w:rsidRPr="00D17A61" w:rsidRDefault="006D50ED" w:rsidP="000E0862">
      <w:pPr>
        <w:pStyle w:val="Pleading2L3"/>
        <w:numPr>
          <w:ilvl w:val="0"/>
          <w:numId w:val="0"/>
        </w:numPr>
        <w:tabs>
          <w:tab w:val="left" w:pos="1440"/>
          <w:tab w:val="num" w:pos="2160"/>
          <w:tab w:val="left" w:pos="2880"/>
        </w:tabs>
        <w:spacing w:line="240" w:lineRule="auto"/>
        <w:ind w:left="2160" w:right="1440" w:hanging="1440"/>
        <w:contextualSpacing/>
        <w:rPr>
          <w:sz w:val="26"/>
          <w:szCs w:val="26"/>
        </w:rPr>
      </w:pPr>
    </w:p>
    <w:p w:rsidR="006D50ED" w:rsidRPr="00D17A61" w:rsidRDefault="006D50ED" w:rsidP="000E0862">
      <w:pPr>
        <w:pStyle w:val="Pleading2L2"/>
        <w:keepNext/>
        <w:keepLines/>
        <w:numPr>
          <w:ilvl w:val="0"/>
          <w:numId w:val="0"/>
        </w:numPr>
        <w:tabs>
          <w:tab w:val="left" w:pos="1440"/>
          <w:tab w:val="num" w:pos="2160"/>
          <w:tab w:val="left" w:pos="2880"/>
        </w:tabs>
        <w:spacing w:line="240" w:lineRule="auto"/>
        <w:ind w:left="1440" w:right="1440"/>
        <w:contextualSpacing/>
        <w:rPr>
          <w:b/>
          <w:sz w:val="26"/>
          <w:szCs w:val="26"/>
        </w:rPr>
      </w:pPr>
      <w:r w:rsidRPr="00D17A61">
        <w:rPr>
          <w:sz w:val="26"/>
          <w:szCs w:val="26"/>
        </w:rPr>
        <w:t>D.</w:t>
      </w:r>
      <w:r w:rsidRPr="00D17A61">
        <w:rPr>
          <w:b/>
          <w:sz w:val="26"/>
          <w:szCs w:val="26"/>
        </w:rPr>
        <w:tab/>
      </w:r>
      <w:r w:rsidR="008817BC" w:rsidRPr="008817BC">
        <w:rPr>
          <w:sz w:val="26"/>
          <w:szCs w:val="26"/>
        </w:rPr>
        <w:t>Tariff Language</w:t>
      </w:r>
    </w:p>
    <w:p w:rsidR="006D50ED" w:rsidRPr="00D17A61" w:rsidRDefault="006D50ED" w:rsidP="000E0862">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sz w:val="26"/>
          <w:szCs w:val="26"/>
        </w:rPr>
      </w:pPr>
    </w:p>
    <w:p w:rsidR="006D50ED" w:rsidRPr="00D17A61" w:rsidRDefault="003B4AF6" w:rsidP="000E0862">
      <w:pPr>
        <w:pStyle w:val="Pleading2L3"/>
        <w:numPr>
          <w:ilvl w:val="0"/>
          <w:numId w:val="0"/>
        </w:numPr>
        <w:spacing w:line="240" w:lineRule="auto"/>
        <w:ind w:left="2160" w:right="1440"/>
        <w:contextualSpacing/>
        <w:rPr>
          <w:sz w:val="26"/>
          <w:szCs w:val="26"/>
        </w:rPr>
      </w:pPr>
      <w:r>
        <w:rPr>
          <w:sz w:val="26"/>
          <w:szCs w:val="26"/>
        </w:rPr>
        <w:t>2</w:t>
      </w:r>
      <w:r w:rsidR="006D50ED" w:rsidRPr="00D17A61">
        <w:rPr>
          <w:sz w:val="26"/>
          <w:szCs w:val="26"/>
        </w:rPr>
        <w:t>7.</w:t>
      </w:r>
      <w:r w:rsidR="006D50ED" w:rsidRPr="00D17A61">
        <w:rPr>
          <w:sz w:val="26"/>
          <w:szCs w:val="26"/>
        </w:rPr>
        <w:tab/>
        <w:t>In response to the testimony of REG, PPL Electric will modify its proposal regarding Tariff Rule 4 as set forth in Supplement No. 83.  The word “overhead” will be removed from the first sentence and the following new sentence will be added to Tariff Rule 4:  “Standard service includes overhead service and underground service at new residential developments, locations where the Company in its discretion has elected to install underground facilities and at locations where the customer has paid for the incremental cost of installing facilities underground.”</w:t>
      </w:r>
      <w:r w:rsidR="00135ADF" w:rsidRPr="00D17A61">
        <w:rPr>
          <w:sz w:val="26"/>
          <w:szCs w:val="26"/>
        </w:rPr>
        <w:t xml:space="preserve"> </w:t>
      </w:r>
    </w:p>
    <w:p w:rsidR="006D50ED" w:rsidRPr="00D17A61" w:rsidRDefault="006D50ED" w:rsidP="000E0862">
      <w:pPr>
        <w:pStyle w:val="Pleading2L3"/>
        <w:numPr>
          <w:ilvl w:val="0"/>
          <w:numId w:val="0"/>
        </w:numPr>
        <w:tabs>
          <w:tab w:val="num" w:pos="2160"/>
          <w:tab w:val="num" w:pos="2970"/>
        </w:tabs>
        <w:spacing w:line="240" w:lineRule="auto"/>
        <w:ind w:left="2160" w:right="1440" w:hanging="720"/>
        <w:contextualSpacing/>
        <w:rPr>
          <w:sz w:val="26"/>
          <w:szCs w:val="26"/>
        </w:rPr>
      </w:pPr>
    </w:p>
    <w:p w:rsidR="006D50ED" w:rsidRPr="00D17A61" w:rsidRDefault="006D50ED" w:rsidP="000E0862">
      <w:pPr>
        <w:pStyle w:val="Pleading2L2"/>
        <w:keepNext/>
        <w:keepLines/>
        <w:numPr>
          <w:ilvl w:val="0"/>
          <w:numId w:val="0"/>
        </w:numPr>
        <w:tabs>
          <w:tab w:val="left" w:pos="1440"/>
          <w:tab w:val="num" w:pos="2160"/>
          <w:tab w:val="left" w:pos="2880"/>
        </w:tabs>
        <w:spacing w:line="240" w:lineRule="auto"/>
        <w:ind w:left="2880" w:right="1440" w:hanging="1440"/>
        <w:contextualSpacing/>
        <w:rPr>
          <w:sz w:val="26"/>
          <w:szCs w:val="26"/>
          <w:u w:val="single"/>
        </w:rPr>
      </w:pPr>
      <w:r w:rsidRPr="00D17A61">
        <w:rPr>
          <w:sz w:val="26"/>
          <w:szCs w:val="26"/>
        </w:rPr>
        <w:t>E.</w:t>
      </w:r>
      <w:r w:rsidRPr="00D17A61">
        <w:rPr>
          <w:sz w:val="26"/>
          <w:szCs w:val="26"/>
        </w:rPr>
        <w:tab/>
      </w:r>
      <w:r w:rsidR="008817BC" w:rsidRPr="008817BC">
        <w:rPr>
          <w:sz w:val="26"/>
          <w:szCs w:val="26"/>
        </w:rPr>
        <w:t>Universal Service</w:t>
      </w:r>
    </w:p>
    <w:p w:rsidR="006D50ED" w:rsidRPr="00D17A61" w:rsidRDefault="006D50ED" w:rsidP="000E0862">
      <w:pPr>
        <w:pStyle w:val="Pleading2L2"/>
        <w:keepNext/>
        <w:keepLines/>
        <w:numPr>
          <w:ilvl w:val="0"/>
          <w:numId w:val="0"/>
        </w:numPr>
        <w:tabs>
          <w:tab w:val="left" w:pos="1440"/>
          <w:tab w:val="num" w:pos="2160"/>
          <w:tab w:val="num" w:pos="2250"/>
          <w:tab w:val="left" w:pos="2880"/>
        </w:tabs>
        <w:spacing w:line="240" w:lineRule="auto"/>
        <w:ind w:left="2160" w:right="1440" w:hanging="1440"/>
        <w:contextualSpacing/>
        <w:rPr>
          <w:b/>
          <w:sz w:val="26"/>
          <w:szCs w:val="26"/>
        </w:rPr>
      </w:pPr>
    </w:p>
    <w:p w:rsidR="006D50ED" w:rsidRPr="00D17A61" w:rsidRDefault="003B4AF6" w:rsidP="000E0862">
      <w:pPr>
        <w:pStyle w:val="Pleading2L3"/>
        <w:numPr>
          <w:ilvl w:val="0"/>
          <w:numId w:val="0"/>
        </w:numPr>
        <w:tabs>
          <w:tab w:val="num" w:pos="2160"/>
        </w:tabs>
        <w:spacing w:line="240" w:lineRule="auto"/>
        <w:ind w:left="2160" w:right="1440"/>
        <w:contextualSpacing/>
        <w:rPr>
          <w:sz w:val="26"/>
          <w:szCs w:val="26"/>
        </w:rPr>
      </w:pPr>
      <w:r>
        <w:rPr>
          <w:sz w:val="26"/>
          <w:szCs w:val="26"/>
        </w:rPr>
        <w:t>2</w:t>
      </w:r>
      <w:r w:rsidR="006D50ED" w:rsidRPr="00D17A61">
        <w:rPr>
          <w:sz w:val="26"/>
          <w:szCs w:val="26"/>
        </w:rPr>
        <w:t>8.</w:t>
      </w:r>
      <w:r w:rsidR="006D50ED" w:rsidRPr="00D17A61">
        <w:rPr>
          <w:sz w:val="26"/>
          <w:szCs w:val="26"/>
        </w:rPr>
        <w:tab/>
        <w:t>PPL Electric will agree to a credit of $50 per customer for incremental OnTrack customers above 32,500, with an annual true-u</w:t>
      </w:r>
      <w:r>
        <w:rPr>
          <w:sz w:val="26"/>
          <w:szCs w:val="26"/>
        </w:rPr>
        <w:t>p for the number of customers.</w:t>
      </w:r>
    </w:p>
    <w:p w:rsidR="006D50ED" w:rsidRPr="00D17A61" w:rsidRDefault="006D50ED" w:rsidP="000E0862">
      <w:pPr>
        <w:pStyle w:val="Pleading2L3"/>
        <w:numPr>
          <w:ilvl w:val="0"/>
          <w:numId w:val="0"/>
        </w:numPr>
        <w:tabs>
          <w:tab w:val="num" w:pos="2160"/>
        </w:tabs>
        <w:spacing w:line="240" w:lineRule="auto"/>
        <w:ind w:left="2160" w:right="1440"/>
        <w:contextualSpacing/>
        <w:rPr>
          <w:sz w:val="26"/>
          <w:szCs w:val="26"/>
        </w:rPr>
      </w:pPr>
    </w:p>
    <w:p w:rsidR="001C1B7B" w:rsidRPr="00D17A61" w:rsidRDefault="003B4AF6" w:rsidP="000E0862">
      <w:pPr>
        <w:pStyle w:val="Pleading2L3"/>
        <w:numPr>
          <w:ilvl w:val="0"/>
          <w:numId w:val="0"/>
        </w:numPr>
        <w:tabs>
          <w:tab w:val="num" w:pos="2160"/>
        </w:tabs>
        <w:spacing w:line="240" w:lineRule="auto"/>
        <w:ind w:left="2160" w:right="1440"/>
        <w:contextualSpacing/>
        <w:rPr>
          <w:sz w:val="26"/>
          <w:szCs w:val="26"/>
        </w:rPr>
      </w:pPr>
      <w:r>
        <w:rPr>
          <w:sz w:val="26"/>
          <w:szCs w:val="26"/>
        </w:rPr>
        <w:t>2</w:t>
      </w:r>
      <w:r w:rsidR="006D50ED" w:rsidRPr="00D17A61">
        <w:rPr>
          <w:sz w:val="26"/>
          <w:szCs w:val="26"/>
        </w:rPr>
        <w:t>9.</w:t>
      </w:r>
      <w:r w:rsidR="006D50ED" w:rsidRPr="00D17A61">
        <w:rPr>
          <w:sz w:val="26"/>
          <w:szCs w:val="26"/>
        </w:rPr>
        <w:tab/>
        <w:t>PPL Electric plans to continue to use community based organizations to assist in the implementation of its universal service programs and will continue to do so as long as use of those organizations remains an efficient and cost-effective practice</w:t>
      </w:r>
      <w:r>
        <w:rPr>
          <w:sz w:val="26"/>
          <w:szCs w:val="26"/>
        </w:rPr>
        <w:t>.</w:t>
      </w:r>
    </w:p>
    <w:p w:rsidR="006D50ED" w:rsidRPr="00D17A61" w:rsidRDefault="006D50ED" w:rsidP="000E0862">
      <w:pPr>
        <w:pStyle w:val="Pleading2L3"/>
        <w:numPr>
          <w:ilvl w:val="0"/>
          <w:numId w:val="0"/>
        </w:numPr>
        <w:tabs>
          <w:tab w:val="num" w:pos="2160"/>
        </w:tabs>
        <w:spacing w:line="240" w:lineRule="auto"/>
        <w:ind w:left="2160" w:right="1440"/>
        <w:contextualSpacing/>
        <w:rPr>
          <w:sz w:val="26"/>
          <w:szCs w:val="26"/>
        </w:rPr>
      </w:pPr>
    </w:p>
    <w:p w:rsidR="006D50ED" w:rsidRPr="00D17A61" w:rsidRDefault="003B4AF6" w:rsidP="000E0862">
      <w:pPr>
        <w:pStyle w:val="Pleading2L3"/>
        <w:numPr>
          <w:ilvl w:val="0"/>
          <w:numId w:val="0"/>
        </w:numPr>
        <w:tabs>
          <w:tab w:val="num" w:pos="2160"/>
        </w:tabs>
        <w:spacing w:line="240" w:lineRule="auto"/>
        <w:ind w:left="2160" w:right="1440"/>
        <w:contextualSpacing/>
        <w:rPr>
          <w:sz w:val="26"/>
          <w:szCs w:val="26"/>
        </w:rPr>
      </w:pPr>
      <w:r>
        <w:rPr>
          <w:sz w:val="26"/>
          <w:szCs w:val="26"/>
        </w:rPr>
        <w:t>3</w:t>
      </w:r>
      <w:r w:rsidR="001C1B7B" w:rsidRPr="00D17A61">
        <w:rPr>
          <w:sz w:val="26"/>
          <w:szCs w:val="26"/>
        </w:rPr>
        <w:t>0.</w:t>
      </w:r>
      <w:r w:rsidR="001C1B7B" w:rsidRPr="00D17A61">
        <w:rPr>
          <w:sz w:val="26"/>
          <w:szCs w:val="26"/>
        </w:rPr>
        <w:tab/>
      </w:r>
      <w:r w:rsidR="006D50ED" w:rsidRPr="00D17A61">
        <w:rPr>
          <w:sz w:val="26"/>
          <w:szCs w:val="26"/>
        </w:rPr>
        <w:t xml:space="preserve">PPL Electric agrees to adopt OCA’s CAP Plus methodology and will implement the proposal no later than the 2011-2012 heating season, unless the Department of Public Welfare changes its current policy and allows PPL Electric to apply Low Income </w:t>
      </w:r>
      <w:r w:rsidR="006D50ED" w:rsidRPr="00D17A61">
        <w:rPr>
          <w:sz w:val="26"/>
          <w:szCs w:val="26"/>
        </w:rPr>
        <w:lastRenderedPageBreak/>
        <w:t>Home Energy Assistance Program grants to Custo</w:t>
      </w:r>
      <w:r>
        <w:rPr>
          <w:sz w:val="26"/>
          <w:szCs w:val="26"/>
        </w:rPr>
        <w:t>mer Assistance Program credits.</w:t>
      </w:r>
      <w:r w:rsidR="006D50ED" w:rsidRPr="00D17A61">
        <w:rPr>
          <w:sz w:val="26"/>
          <w:szCs w:val="26"/>
        </w:rPr>
        <w:t xml:space="preserve"> </w:t>
      </w:r>
    </w:p>
    <w:p w:rsidR="006D50ED" w:rsidRPr="00D17A61" w:rsidRDefault="006D50ED" w:rsidP="000E0862">
      <w:pPr>
        <w:pStyle w:val="Pleading2L3"/>
        <w:numPr>
          <w:ilvl w:val="0"/>
          <w:numId w:val="0"/>
        </w:numPr>
        <w:tabs>
          <w:tab w:val="num" w:pos="2160"/>
        </w:tabs>
        <w:spacing w:line="240" w:lineRule="auto"/>
        <w:ind w:left="2160" w:right="1440"/>
        <w:contextualSpacing/>
        <w:rPr>
          <w:sz w:val="26"/>
          <w:szCs w:val="26"/>
        </w:rPr>
      </w:pPr>
    </w:p>
    <w:p w:rsidR="003D198E" w:rsidRDefault="00EE0956" w:rsidP="000E0862">
      <w:pPr>
        <w:pStyle w:val="Pleading2L3"/>
        <w:numPr>
          <w:ilvl w:val="0"/>
          <w:numId w:val="0"/>
        </w:numPr>
        <w:tabs>
          <w:tab w:val="num" w:pos="2160"/>
        </w:tabs>
        <w:spacing w:line="240" w:lineRule="auto"/>
        <w:ind w:left="2160" w:right="1440"/>
        <w:contextualSpacing/>
        <w:rPr>
          <w:sz w:val="26"/>
          <w:szCs w:val="26"/>
        </w:rPr>
      </w:pPr>
      <w:r>
        <w:rPr>
          <w:sz w:val="26"/>
          <w:szCs w:val="26"/>
        </w:rPr>
        <w:t>3</w:t>
      </w:r>
      <w:r w:rsidR="006D50ED" w:rsidRPr="00D17A61">
        <w:rPr>
          <w:sz w:val="26"/>
          <w:szCs w:val="26"/>
        </w:rPr>
        <w:t>1.</w:t>
      </w:r>
      <w:r w:rsidR="006D50ED" w:rsidRPr="00D17A61">
        <w:rPr>
          <w:sz w:val="26"/>
          <w:szCs w:val="26"/>
        </w:rPr>
        <w:tab/>
        <w:t>This settlement does not abridge or expand Mr. Epstein’s rights regarding PPL Electric’s Universal Service and Energy Conservation Plan, 2011-2013, Docket No. M</w:t>
      </w:r>
      <w:r w:rsidR="006D50ED" w:rsidRPr="00D17A61">
        <w:rPr>
          <w:sz w:val="26"/>
          <w:szCs w:val="26"/>
        </w:rPr>
        <w:noBreakHyphen/>
        <w:t>2010-2179796.</w:t>
      </w:r>
      <w:r w:rsidR="0092182E" w:rsidRPr="004F3E8E">
        <w:rPr>
          <w:rStyle w:val="FootnoteReference"/>
          <w:sz w:val="24"/>
          <w:szCs w:val="24"/>
          <w:vertAlign w:val="superscript"/>
        </w:rPr>
        <w:footnoteReference w:id="3"/>
      </w:r>
      <w:r w:rsidR="006D50ED" w:rsidRPr="004F3E8E">
        <w:rPr>
          <w:szCs w:val="24"/>
          <w:vertAlign w:val="superscript"/>
        </w:rPr>
        <w:t xml:space="preserve"> </w:t>
      </w:r>
      <w:r w:rsidR="006D50ED" w:rsidRPr="00D17A61">
        <w:rPr>
          <w:sz w:val="26"/>
          <w:szCs w:val="26"/>
        </w:rPr>
        <w:t xml:space="preserve"> PPL Electric agrees to </w:t>
      </w:r>
    </w:p>
    <w:p w:rsidR="001C1B7B" w:rsidRDefault="006D50ED" w:rsidP="000E0862">
      <w:pPr>
        <w:pStyle w:val="Pleading2L3"/>
        <w:numPr>
          <w:ilvl w:val="0"/>
          <w:numId w:val="0"/>
        </w:numPr>
        <w:tabs>
          <w:tab w:val="num" w:pos="2160"/>
        </w:tabs>
        <w:spacing w:line="240" w:lineRule="auto"/>
        <w:ind w:left="2160" w:right="1440"/>
        <w:contextualSpacing/>
        <w:rPr>
          <w:sz w:val="26"/>
          <w:szCs w:val="26"/>
        </w:rPr>
      </w:pPr>
      <w:r w:rsidRPr="00D17A61">
        <w:rPr>
          <w:sz w:val="26"/>
          <w:szCs w:val="26"/>
        </w:rPr>
        <w:t xml:space="preserve">meet with Mr. Epstein and other interested parties to develop a proposed schedule for resolution of this proceeding, consistent with all </w:t>
      </w:r>
      <w:r w:rsidR="00EE0956">
        <w:rPr>
          <w:sz w:val="26"/>
          <w:szCs w:val="26"/>
        </w:rPr>
        <w:t>Commission adopted procedures.</w:t>
      </w:r>
    </w:p>
    <w:p w:rsidR="00856248" w:rsidRDefault="003D198E" w:rsidP="000E0862">
      <w:pPr>
        <w:pStyle w:val="Pleading2L3"/>
        <w:numPr>
          <w:ilvl w:val="0"/>
          <w:numId w:val="0"/>
        </w:numPr>
        <w:tabs>
          <w:tab w:val="num" w:pos="2160"/>
        </w:tabs>
        <w:spacing w:line="360" w:lineRule="auto"/>
        <w:ind w:left="2160" w:right="1440" w:hanging="720"/>
        <w:contextualSpacing/>
        <w:rPr>
          <w:sz w:val="26"/>
          <w:szCs w:val="26"/>
        </w:rPr>
      </w:pPr>
      <w:r>
        <w:rPr>
          <w:sz w:val="26"/>
          <w:szCs w:val="26"/>
        </w:rPr>
        <w:t>_______________</w:t>
      </w:r>
    </w:p>
    <w:p w:rsidR="003D198E" w:rsidRPr="00D17A61" w:rsidRDefault="003D198E" w:rsidP="000E0862">
      <w:pPr>
        <w:pStyle w:val="Pleading2L3"/>
        <w:numPr>
          <w:ilvl w:val="0"/>
          <w:numId w:val="0"/>
        </w:numPr>
        <w:tabs>
          <w:tab w:val="num" w:pos="2160"/>
        </w:tabs>
        <w:spacing w:line="240" w:lineRule="auto"/>
        <w:ind w:left="1440" w:right="1440"/>
        <w:contextualSpacing/>
        <w:rPr>
          <w:sz w:val="26"/>
          <w:szCs w:val="26"/>
        </w:rPr>
      </w:pPr>
      <w:r>
        <w:rPr>
          <w:szCs w:val="26"/>
        </w:rPr>
        <w:tab/>
      </w:r>
      <w:r w:rsidRPr="003D198E">
        <w:rPr>
          <w:szCs w:val="26"/>
          <w:vertAlign w:val="superscript"/>
        </w:rPr>
        <w:t>3</w:t>
      </w:r>
      <w:r>
        <w:rPr>
          <w:szCs w:val="26"/>
        </w:rPr>
        <w:tab/>
      </w:r>
      <w:r w:rsidRPr="00392088">
        <w:rPr>
          <w:szCs w:val="26"/>
        </w:rPr>
        <w:t>All education and marketing expenses for PPL Electric’s time-of-use rates will be recovered through PPL Electric’s Generation Service Charge (“GSC”) pursuant to the Commission’s Order in PPL Electric Time-of-Use proceeding at Docket No. R-2009-2</w:t>
      </w:r>
      <w:r>
        <w:rPr>
          <w:szCs w:val="26"/>
        </w:rPr>
        <w:t>122718 entered March 9, 2010.</w:t>
      </w:r>
    </w:p>
    <w:p w:rsidR="003D198E" w:rsidRDefault="003D198E" w:rsidP="000E0862">
      <w:pPr>
        <w:ind w:firstLine="1440"/>
        <w:jc w:val="left"/>
        <w:rPr>
          <w:sz w:val="26"/>
          <w:szCs w:val="26"/>
        </w:rPr>
      </w:pPr>
    </w:p>
    <w:p w:rsidR="00D530B5" w:rsidRDefault="001450CC" w:rsidP="000E0862">
      <w:pPr>
        <w:ind w:firstLine="1440"/>
        <w:jc w:val="left"/>
        <w:rPr>
          <w:rFonts w:eastAsiaTheme="minorHAnsi"/>
          <w:sz w:val="26"/>
        </w:rPr>
      </w:pPr>
      <w:r w:rsidRPr="00D17A61">
        <w:rPr>
          <w:sz w:val="26"/>
          <w:szCs w:val="26"/>
        </w:rPr>
        <w:t xml:space="preserve">The </w:t>
      </w:r>
      <w:r w:rsidR="00D530B5">
        <w:rPr>
          <w:sz w:val="26"/>
          <w:szCs w:val="26"/>
        </w:rPr>
        <w:t xml:space="preserve">Partial </w:t>
      </w:r>
      <w:r w:rsidRPr="00D17A61">
        <w:rPr>
          <w:sz w:val="26"/>
          <w:szCs w:val="26"/>
        </w:rPr>
        <w:t xml:space="preserve">Settlement </w:t>
      </w:r>
      <w:r w:rsidR="00D530B5">
        <w:rPr>
          <w:sz w:val="26"/>
          <w:szCs w:val="26"/>
        </w:rPr>
        <w:t xml:space="preserve">has been </w:t>
      </w:r>
      <w:r w:rsidRPr="00D17A61">
        <w:rPr>
          <w:sz w:val="26"/>
          <w:szCs w:val="26"/>
        </w:rPr>
        <w:t xml:space="preserve">proposed by the Joint Petitioners to settle </w:t>
      </w:r>
      <w:r w:rsidR="00C3427E">
        <w:rPr>
          <w:sz w:val="26"/>
          <w:szCs w:val="26"/>
        </w:rPr>
        <w:t xml:space="preserve">certain issues in </w:t>
      </w:r>
      <w:r w:rsidRPr="00D17A61">
        <w:rPr>
          <w:sz w:val="26"/>
          <w:szCs w:val="26"/>
        </w:rPr>
        <w:t xml:space="preserve">the instant case and is made without any admission against, or prejudice to, any position which any joint party might adopt during subsequent litigation, including further litigation of this proceeding. </w:t>
      </w:r>
      <w:r w:rsidR="00611828" w:rsidRPr="00D17A61">
        <w:rPr>
          <w:sz w:val="26"/>
          <w:szCs w:val="26"/>
        </w:rPr>
        <w:t xml:space="preserve"> </w:t>
      </w:r>
      <w:r w:rsidR="00D530B5">
        <w:rPr>
          <w:sz w:val="26"/>
          <w:szCs w:val="26"/>
        </w:rPr>
        <w:t xml:space="preserve">It </w:t>
      </w:r>
      <w:r w:rsidR="00856248" w:rsidRPr="003A7C54">
        <w:rPr>
          <w:rFonts w:eastAsiaTheme="minorHAnsi"/>
          <w:sz w:val="26"/>
        </w:rPr>
        <w:t>is conditioned upon Commission approval of all terms and conditions contained therein without modification.</w:t>
      </w:r>
    </w:p>
    <w:p w:rsidR="00D530B5" w:rsidRDefault="00D530B5" w:rsidP="000E0862">
      <w:pPr>
        <w:ind w:firstLine="1440"/>
        <w:jc w:val="left"/>
        <w:rPr>
          <w:rFonts w:eastAsiaTheme="minorHAnsi"/>
          <w:sz w:val="26"/>
        </w:rPr>
      </w:pPr>
    </w:p>
    <w:p w:rsidR="008817BC" w:rsidRDefault="00D530B5" w:rsidP="000E0862">
      <w:pPr>
        <w:ind w:firstLine="1440"/>
        <w:jc w:val="left"/>
        <w:rPr>
          <w:sz w:val="26"/>
          <w:szCs w:val="26"/>
        </w:rPr>
      </w:pPr>
      <w:r>
        <w:rPr>
          <w:rFonts w:eastAsiaTheme="minorHAnsi"/>
          <w:sz w:val="26"/>
        </w:rPr>
        <w:t>The terms of the Partial Settlement provide that i</w:t>
      </w:r>
      <w:r w:rsidR="00856248" w:rsidRPr="003A7C54">
        <w:rPr>
          <w:rFonts w:eastAsiaTheme="minorHAnsi"/>
          <w:sz w:val="26"/>
        </w:rPr>
        <w:t xml:space="preserve">f the Commission rejects or modifies the </w:t>
      </w:r>
      <w:r>
        <w:rPr>
          <w:rFonts w:eastAsiaTheme="minorHAnsi"/>
          <w:sz w:val="26"/>
        </w:rPr>
        <w:t xml:space="preserve">Partial </w:t>
      </w:r>
      <w:r w:rsidR="00856248" w:rsidRPr="003A7C54">
        <w:rPr>
          <w:rFonts w:eastAsiaTheme="minorHAnsi"/>
          <w:sz w:val="26"/>
        </w:rPr>
        <w:t xml:space="preserve">Settlement, then any Joint Petitioner may elect to withdraw from </w:t>
      </w:r>
      <w:r>
        <w:rPr>
          <w:rFonts w:eastAsiaTheme="minorHAnsi"/>
          <w:sz w:val="26"/>
        </w:rPr>
        <w:t xml:space="preserve">it </w:t>
      </w:r>
      <w:r w:rsidR="00856248" w:rsidRPr="003A7C54">
        <w:rPr>
          <w:rFonts w:eastAsiaTheme="minorHAnsi"/>
          <w:sz w:val="26"/>
        </w:rPr>
        <w:t>and may proceed with litigation</w:t>
      </w:r>
      <w:r>
        <w:rPr>
          <w:rFonts w:eastAsiaTheme="minorHAnsi"/>
          <w:sz w:val="26"/>
        </w:rPr>
        <w:t>.  In</w:t>
      </w:r>
      <w:r w:rsidR="00856248" w:rsidRPr="003A7C54">
        <w:rPr>
          <w:rFonts w:eastAsiaTheme="minorHAnsi"/>
          <w:sz w:val="26"/>
        </w:rPr>
        <w:t xml:space="preserve"> such event, th</w:t>
      </w:r>
      <w:r>
        <w:rPr>
          <w:rFonts w:eastAsiaTheme="minorHAnsi"/>
          <w:sz w:val="26"/>
        </w:rPr>
        <w:t xml:space="preserve">e </w:t>
      </w:r>
      <w:r w:rsidR="004F3E8E">
        <w:rPr>
          <w:rFonts w:eastAsiaTheme="minorHAnsi"/>
          <w:sz w:val="26"/>
        </w:rPr>
        <w:t>Joint Petitioners</w:t>
      </w:r>
      <w:r>
        <w:rPr>
          <w:rFonts w:eastAsiaTheme="minorHAnsi"/>
          <w:sz w:val="26"/>
        </w:rPr>
        <w:t xml:space="preserve"> agree that the Partial S</w:t>
      </w:r>
      <w:r w:rsidR="00856248" w:rsidRPr="003A7C54">
        <w:rPr>
          <w:rFonts w:eastAsiaTheme="minorHAnsi"/>
          <w:sz w:val="26"/>
        </w:rPr>
        <w:t xml:space="preserve">ettlement shall be void and of no effect. </w:t>
      </w:r>
      <w:r>
        <w:rPr>
          <w:rFonts w:eastAsiaTheme="minorHAnsi"/>
          <w:sz w:val="26"/>
        </w:rPr>
        <w:t xml:space="preserve"> The </w:t>
      </w:r>
      <w:r w:rsidR="004F3E8E">
        <w:rPr>
          <w:rFonts w:eastAsiaTheme="minorHAnsi"/>
          <w:sz w:val="26"/>
        </w:rPr>
        <w:t>Joint Petitioners</w:t>
      </w:r>
      <w:r>
        <w:rPr>
          <w:rFonts w:eastAsiaTheme="minorHAnsi"/>
          <w:sz w:val="26"/>
        </w:rPr>
        <w:t xml:space="preserve"> also agree that s</w:t>
      </w:r>
      <w:r w:rsidR="00856248" w:rsidRPr="003A7C54">
        <w:rPr>
          <w:rFonts w:eastAsiaTheme="minorHAnsi"/>
          <w:sz w:val="26"/>
        </w:rPr>
        <w:t xml:space="preserve">uch election to withdraw from the </w:t>
      </w:r>
      <w:r>
        <w:rPr>
          <w:rFonts w:eastAsiaTheme="minorHAnsi"/>
          <w:sz w:val="26"/>
        </w:rPr>
        <w:t xml:space="preserve">Partial </w:t>
      </w:r>
      <w:r w:rsidR="00856248" w:rsidRPr="003A7C54">
        <w:rPr>
          <w:rFonts w:eastAsiaTheme="minorHAnsi"/>
          <w:sz w:val="26"/>
        </w:rPr>
        <w:t xml:space="preserve">Settlement must be made in writing, filed with the Secretary of the Commission and served upon all Joint Petitioners within five (5) business days after the entry of an order rejecting or modifying the </w:t>
      </w:r>
      <w:r>
        <w:rPr>
          <w:rFonts w:eastAsiaTheme="minorHAnsi"/>
          <w:sz w:val="26"/>
        </w:rPr>
        <w:t xml:space="preserve">Partial </w:t>
      </w:r>
      <w:r w:rsidR="00856248" w:rsidRPr="003A7C54">
        <w:rPr>
          <w:rFonts w:eastAsiaTheme="minorHAnsi"/>
          <w:sz w:val="26"/>
        </w:rPr>
        <w:t>Settlement</w:t>
      </w:r>
      <w:r w:rsidR="003A7C54">
        <w:rPr>
          <w:rFonts w:eastAsiaTheme="minorHAnsi"/>
          <w:sz w:val="26"/>
        </w:rPr>
        <w:t xml:space="preserve">.  </w:t>
      </w:r>
      <w:r w:rsidR="001450CC" w:rsidRPr="00D17A61">
        <w:rPr>
          <w:sz w:val="26"/>
          <w:szCs w:val="26"/>
        </w:rPr>
        <w:t xml:space="preserve">In </w:t>
      </w:r>
      <w:r w:rsidR="001450CC" w:rsidRPr="00D17A61">
        <w:rPr>
          <w:sz w:val="26"/>
          <w:szCs w:val="26"/>
        </w:rPr>
        <w:lastRenderedPageBreak/>
        <w:t xml:space="preserve">the event that the Commission </w:t>
      </w:r>
      <w:r>
        <w:rPr>
          <w:sz w:val="26"/>
          <w:szCs w:val="26"/>
        </w:rPr>
        <w:t xml:space="preserve">does not approve </w:t>
      </w:r>
      <w:r w:rsidR="001450CC" w:rsidRPr="00D17A61">
        <w:rPr>
          <w:sz w:val="26"/>
          <w:szCs w:val="26"/>
        </w:rPr>
        <w:t xml:space="preserve">the </w:t>
      </w:r>
      <w:r>
        <w:rPr>
          <w:sz w:val="26"/>
          <w:szCs w:val="26"/>
        </w:rPr>
        <w:t xml:space="preserve">Partial </w:t>
      </w:r>
      <w:r w:rsidR="001450CC" w:rsidRPr="00D17A61">
        <w:rPr>
          <w:sz w:val="26"/>
          <w:szCs w:val="26"/>
        </w:rPr>
        <w:t>Settlement or that the Company or any other Joint P</w:t>
      </w:r>
      <w:r w:rsidR="00611828" w:rsidRPr="00D17A61">
        <w:rPr>
          <w:sz w:val="26"/>
          <w:szCs w:val="26"/>
        </w:rPr>
        <w:t>etitioner</w:t>
      </w:r>
      <w:r w:rsidR="001450CC" w:rsidRPr="00D17A61">
        <w:rPr>
          <w:sz w:val="26"/>
          <w:szCs w:val="26"/>
        </w:rPr>
        <w:t xml:space="preserve"> should elect to withdraw, as provided above, the Joint P</w:t>
      </w:r>
      <w:r w:rsidR="00611828" w:rsidRPr="00D17A61">
        <w:rPr>
          <w:sz w:val="26"/>
          <w:szCs w:val="26"/>
        </w:rPr>
        <w:t>etitioner</w:t>
      </w:r>
      <w:r w:rsidR="001450CC" w:rsidRPr="00D17A61">
        <w:rPr>
          <w:sz w:val="26"/>
          <w:szCs w:val="26"/>
        </w:rPr>
        <w:t xml:space="preserve">s reserve their respective rights to fully litigate this case, including but not limited to presentation of witnesses, cross-examination and legal argument through submission of Briefs, Exceptions and </w:t>
      </w:r>
      <w:r w:rsidR="00BA3A82">
        <w:rPr>
          <w:sz w:val="26"/>
          <w:szCs w:val="26"/>
        </w:rPr>
        <w:t>Reply Exceptions</w:t>
      </w:r>
      <w:r w:rsidR="001450CC" w:rsidRPr="00D17A61">
        <w:rPr>
          <w:sz w:val="26"/>
          <w:szCs w:val="26"/>
        </w:rPr>
        <w:t>.</w:t>
      </w:r>
    </w:p>
    <w:p w:rsidR="008817BC" w:rsidRDefault="008817BC" w:rsidP="000E0862">
      <w:pPr>
        <w:ind w:firstLine="1440"/>
        <w:jc w:val="left"/>
        <w:rPr>
          <w:sz w:val="26"/>
          <w:szCs w:val="26"/>
        </w:rPr>
      </w:pPr>
    </w:p>
    <w:p w:rsidR="008817BC" w:rsidRDefault="003A7C54" w:rsidP="000E0862">
      <w:pPr>
        <w:ind w:firstLine="720"/>
        <w:jc w:val="left"/>
        <w:rPr>
          <w:rFonts w:eastAsia="Times New Roman"/>
          <w:sz w:val="26"/>
          <w:szCs w:val="26"/>
        </w:rPr>
      </w:pPr>
      <w:r>
        <w:rPr>
          <w:rFonts w:eastAsia="Times New Roman"/>
          <w:sz w:val="26"/>
          <w:szCs w:val="26"/>
        </w:rPr>
        <w:tab/>
      </w:r>
      <w:r w:rsidR="001450CC" w:rsidRPr="00D17A61">
        <w:rPr>
          <w:rFonts w:eastAsia="Times New Roman"/>
          <w:sz w:val="26"/>
          <w:szCs w:val="26"/>
        </w:rPr>
        <w:t xml:space="preserve">Letters of non-opposition to the </w:t>
      </w:r>
      <w:r w:rsidR="00D530B5">
        <w:rPr>
          <w:rFonts w:eastAsia="Times New Roman"/>
          <w:sz w:val="26"/>
          <w:szCs w:val="26"/>
        </w:rPr>
        <w:t xml:space="preserve">Partial </w:t>
      </w:r>
      <w:r w:rsidR="00636765" w:rsidRPr="00D17A61">
        <w:rPr>
          <w:rFonts w:eastAsia="Times New Roman"/>
          <w:sz w:val="26"/>
          <w:szCs w:val="26"/>
        </w:rPr>
        <w:t xml:space="preserve">Settlement </w:t>
      </w:r>
      <w:r w:rsidR="001450CC" w:rsidRPr="00D17A61">
        <w:rPr>
          <w:rFonts w:eastAsia="Times New Roman"/>
          <w:sz w:val="26"/>
          <w:szCs w:val="26"/>
        </w:rPr>
        <w:t>were filed by</w:t>
      </w:r>
      <w:r>
        <w:rPr>
          <w:rFonts w:eastAsia="Times New Roman"/>
          <w:sz w:val="26"/>
          <w:szCs w:val="26"/>
        </w:rPr>
        <w:t xml:space="preserve"> CEO, </w:t>
      </w:r>
      <w:r w:rsidRPr="00D17A61">
        <w:rPr>
          <w:rFonts w:eastAsia="Times New Roman"/>
          <w:sz w:val="26"/>
          <w:szCs w:val="26"/>
        </w:rPr>
        <w:t xml:space="preserve">Dominion Retail, Mr. Epstein, PennFuture, </w:t>
      </w:r>
      <w:r>
        <w:rPr>
          <w:rFonts w:eastAsia="Times New Roman"/>
          <w:sz w:val="26"/>
          <w:szCs w:val="26"/>
        </w:rPr>
        <w:t xml:space="preserve">PPLICA </w:t>
      </w:r>
      <w:r w:rsidR="001450CC" w:rsidRPr="00D17A61">
        <w:rPr>
          <w:rFonts w:eastAsia="Times New Roman"/>
          <w:sz w:val="26"/>
          <w:szCs w:val="26"/>
        </w:rPr>
        <w:t xml:space="preserve">and </w:t>
      </w:r>
      <w:r w:rsidR="002A5BDA">
        <w:rPr>
          <w:rFonts w:eastAsia="Times New Roman"/>
          <w:sz w:val="26"/>
          <w:szCs w:val="26"/>
        </w:rPr>
        <w:t>SEF</w:t>
      </w:r>
      <w:r w:rsidR="001450CC" w:rsidRPr="00D17A61">
        <w:rPr>
          <w:rFonts w:eastAsia="Times New Roman"/>
          <w:sz w:val="26"/>
          <w:szCs w:val="26"/>
        </w:rPr>
        <w:t>.</w:t>
      </w:r>
    </w:p>
    <w:p w:rsidR="008817BC" w:rsidRDefault="008817BC" w:rsidP="000E0862">
      <w:pPr>
        <w:ind w:firstLine="720"/>
        <w:jc w:val="left"/>
        <w:rPr>
          <w:rFonts w:eastAsia="Times New Roman"/>
          <w:sz w:val="26"/>
          <w:szCs w:val="26"/>
        </w:rPr>
      </w:pPr>
    </w:p>
    <w:p w:rsidR="008817BC" w:rsidRDefault="003D198E" w:rsidP="000E0862">
      <w:pPr>
        <w:pStyle w:val="Heading2"/>
        <w:keepNext/>
        <w:widowControl/>
        <w:spacing w:line="360" w:lineRule="auto"/>
        <w:ind w:left="720"/>
        <w:rPr>
          <w:i/>
          <w:szCs w:val="26"/>
        </w:rPr>
      </w:pPr>
      <w:bookmarkStart w:id="0" w:name="_Toc264354744"/>
      <w:r>
        <w:rPr>
          <w:szCs w:val="26"/>
        </w:rPr>
        <w:t>C.</w:t>
      </w:r>
      <w:r>
        <w:rPr>
          <w:szCs w:val="26"/>
        </w:rPr>
        <w:tab/>
      </w:r>
      <w:r w:rsidR="00611828" w:rsidRPr="00D17A61">
        <w:rPr>
          <w:szCs w:val="26"/>
        </w:rPr>
        <w:t>L</w:t>
      </w:r>
      <w:r w:rsidR="005502A0">
        <w:rPr>
          <w:szCs w:val="26"/>
        </w:rPr>
        <w:t>egal Principles Applicable to Review of Settlements</w:t>
      </w:r>
      <w:bookmarkEnd w:id="0"/>
    </w:p>
    <w:p w:rsidR="008817BC" w:rsidRDefault="008817BC" w:rsidP="000E0862">
      <w:pPr>
        <w:keepNext/>
        <w:jc w:val="left"/>
        <w:rPr>
          <w:sz w:val="26"/>
          <w:szCs w:val="26"/>
        </w:rPr>
      </w:pPr>
    </w:p>
    <w:p w:rsidR="008817BC" w:rsidRDefault="00611828" w:rsidP="000E0862">
      <w:pPr>
        <w:ind w:firstLine="1440"/>
        <w:jc w:val="left"/>
        <w:rPr>
          <w:sz w:val="26"/>
          <w:szCs w:val="26"/>
        </w:rPr>
      </w:pPr>
      <w:r w:rsidRPr="00D17A61">
        <w:rPr>
          <w:sz w:val="26"/>
          <w:szCs w:val="26"/>
        </w:rPr>
        <w:t>The purpose of this investigation is to establish distribution rates for PPL</w:t>
      </w:r>
      <w:r w:rsidR="00C62F07">
        <w:rPr>
          <w:sz w:val="26"/>
          <w:szCs w:val="26"/>
        </w:rPr>
        <w:t>’s</w:t>
      </w:r>
      <w:r w:rsidRPr="00D17A61">
        <w:rPr>
          <w:sz w:val="26"/>
          <w:szCs w:val="26"/>
        </w:rPr>
        <w:t xml:space="preserve"> customers </w:t>
      </w:r>
      <w:r w:rsidR="008D6E70">
        <w:rPr>
          <w:sz w:val="26"/>
          <w:szCs w:val="26"/>
        </w:rPr>
        <w:t xml:space="preserve">that </w:t>
      </w:r>
      <w:r w:rsidRPr="00D17A61">
        <w:rPr>
          <w:sz w:val="26"/>
          <w:szCs w:val="26"/>
        </w:rPr>
        <w:t xml:space="preserve">are “just and reasonable” pursuant to Section 1301 of the Public Utility Code (Code), 66 Pa. C.S. § 1301.  A public utility seeking a general rate increase is entitled to an opportunity to earn a fair rate of return on the value of the property dedicated to public service.  </w:t>
      </w:r>
      <w:r w:rsidRPr="00D17A61">
        <w:rPr>
          <w:i/>
          <w:sz w:val="26"/>
          <w:szCs w:val="26"/>
        </w:rPr>
        <w:t>Pennsylvania Gas and Water Co. v. Pennsylvania Pub. Util. Comm’n</w:t>
      </w:r>
      <w:r w:rsidRPr="00D17A61">
        <w:rPr>
          <w:sz w:val="26"/>
          <w:szCs w:val="26"/>
        </w:rPr>
        <w:t xml:space="preserve">, 341 A.2d 239 (Pa. Cmwlth. 1975).  In determining what constitutes a fair rate of return, the Commission is guided by the criteria set forth in </w:t>
      </w:r>
      <w:r w:rsidRPr="00D17A61">
        <w:rPr>
          <w:i/>
          <w:sz w:val="26"/>
          <w:szCs w:val="26"/>
        </w:rPr>
        <w:t>Bluefield Water Works and Improvement Co. v. Public Service Comm’n of West Virginia,</w:t>
      </w:r>
      <w:r w:rsidRPr="00D17A61">
        <w:rPr>
          <w:sz w:val="26"/>
          <w:szCs w:val="26"/>
        </w:rPr>
        <w:t xml:space="preserve"> 262 U.S. 679 (1923) and </w:t>
      </w:r>
      <w:r w:rsidRPr="00D17A61">
        <w:rPr>
          <w:i/>
          <w:sz w:val="26"/>
          <w:szCs w:val="26"/>
        </w:rPr>
        <w:t>Federal Power Comm’n v. Hope Natural Gas Co.</w:t>
      </w:r>
      <w:r w:rsidRPr="00D17A61">
        <w:rPr>
          <w:sz w:val="26"/>
          <w:szCs w:val="26"/>
        </w:rPr>
        <w:t xml:space="preserve">, 320 U.S. 591 (1944).  In </w:t>
      </w:r>
      <w:r w:rsidRPr="00D17A61">
        <w:rPr>
          <w:i/>
          <w:sz w:val="26"/>
          <w:szCs w:val="26"/>
        </w:rPr>
        <w:t>Bluefield</w:t>
      </w:r>
      <w:r w:rsidRPr="00D17A61">
        <w:rPr>
          <w:sz w:val="26"/>
          <w:szCs w:val="26"/>
        </w:rPr>
        <w:t xml:space="preserve"> the United States Supreme Court stated:</w:t>
      </w:r>
    </w:p>
    <w:p w:rsidR="00611828" w:rsidRPr="00D17A61" w:rsidRDefault="00611828" w:rsidP="000E0862">
      <w:pPr>
        <w:rPr>
          <w:sz w:val="26"/>
          <w:szCs w:val="26"/>
        </w:rPr>
      </w:pPr>
    </w:p>
    <w:p w:rsidR="00611828" w:rsidRPr="00D17A61" w:rsidRDefault="0091640C" w:rsidP="000E0862">
      <w:pPr>
        <w:spacing w:line="240" w:lineRule="auto"/>
        <w:ind w:left="1440" w:right="1440"/>
        <w:jc w:val="left"/>
        <w:rPr>
          <w:sz w:val="26"/>
          <w:szCs w:val="26"/>
        </w:rPr>
      </w:pPr>
      <w:r>
        <w:rPr>
          <w:sz w:val="26"/>
          <w:szCs w:val="26"/>
        </w:rPr>
        <w:tab/>
      </w:r>
      <w:r w:rsidR="00611828" w:rsidRPr="00D17A61">
        <w:rPr>
          <w:sz w:val="26"/>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w:t>
      </w:r>
      <w:r w:rsidR="00611828" w:rsidRPr="00D17A61">
        <w:rPr>
          <w:sz w:val="26"/>
          <w:szCs w:val="26"/>
        </w:rPr>
        <w:lastRenderedPageBreak/>
        <w:t>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611828" w:rsidRPr="00D17A61" w:rsidRDefault="00611828" w:rsidP="000E0862">
      <w:pPr>
        <w:spacing w:line="240" w:lineRule="auto"/>
        <w:ind w:left="1440" w:right="1440"/>
        <w:rPr>
          <w:sz w:val="26"/>
          <w:szCs w:val="26"/>
        </w:rPr>
      </w:pPr>
    </w:p>
    <w:p w:rsidR="00611828" w:rsidRPr="00D17A61" w:rsidRDefault="00611828" w:rsidP="000E0862">
      <w:pPr>
        <w:pStyle w:val="BodyText"/>
        <w:spacing w:line="240" w:lineRule="auto"/>
        <w:jc w:val="both"/>
        <w:rPr>
          <w:sz w:val="26"/>
          <w:szCs w:val="26"/>
        </w:rPr>
      </w:pPr>
      <w:r w:rsidRPr="00D17A61">
        <w:rPr>
          <w:i/>
          <w:sz w:val="26"/>
          <w:szCs w:val="26"/>
        </w:rPr>
        <w:t xml:space="preserve">Bluefield, </w:t>
      </w:r>
      <w:r w:rsidRPr="00D17A61">
        <w:rPr>
          <w:sz w:val="26"/>
          <w:szCs w:val="26"/>
        </w:rPr>
        <w:t>262 U.S. at 692-3.</w:t>
      </w:r>
    </w:p>
    <w:p w:rsidR="00611828" w:rsidRPr="00D17A61" w:rsidRDefault="00611828" w:rsidP="000E0862">
      <w:pPr>
        <w:suppressAutoHyphens/>
        <w:ind w:firstLine="1440"/>
        <w:rPr>
          <w:spacing w:val="-3"/>
          <w:sz w:val="26"/>
          <w:szCs w:val="26"/>
        </w:rPr>
      </w:pPr>
    </w:p>
    <w:p w:rsidR="008817BC" w:rsidRDefault="00FD69CA" w:rsidP="000E0862">
      <w:pPr>
        <w:pStyle w:val="BodyText"/>
        <w:spacing w:after="0"/>
        <w:ind w:firstLine="1440"/>
        <w:jc w:val="left"/>
        <w:rPr>
          <w:sz w:val="26"/>
          <w:szCs w:val="26"/>
        </w:rPr>
      </w:pPr>
      <w:r>
        <w:rPr>
          <w:sz w:val="26"/>
          <w:szCs w:val="26"/>
        </w:rPr>
        <w:t xml:space="preserve">It is the </w:t>
      </w:r>
      <w:r w:rsidR="00611828" w:rsidRPr="00D17A61">
        <w:rPr>
          <w:sz w:val="26"/>
          <w:szCs w:val="26"/>
        </w:rPr>
        <w:t>Commission</w:t>
      </w:r>
      <w:r>
        <w:rPr>
          <w:sz w:val="26"/>
          <w:szCs w:val="26"/>
        </w:rPr>
        <w:t>’s stated</w:t>
      </w:r>
      <w:r w:rsidR="00611828" w:rsidRPr="00D17A61">
        <w:rPr>
          <w:sz w:val="26"/>
          <w:szCs w:val="26"/>
        </w:rPr>
        <w:t xml:space="preserve"> policy </w:t>
      </w:r>
      <w:r>
        <w:rPr>
          <w:sz w:val="26"/>
          <w:szCs w:val="26"/>
        </w:rPr>
        <w:t xml:space="preserve">to </w:t>
      </w:r>
      <w:r w:rsidR="00611828" w:rsidRPr="00D17A61">
        <w:rPr>
          <w:sz w:val="26"/>
          <w:szCs w:val="26"/>
        </w:rPr>
        <w:t>promote settlements, 52 Pa. Code §</w:t>
      </w:r>
      <w:r w:rsidR="008D6E70">
        <w:rPr>
          <w:sz w:val="26"/>
          <w:szCs w:val="26"/>
        </w:rPr>
        <w:t> </w:t>
      </w:r>
      <w:r w:rsidR="00611828" w:rsidRPr="00D17A61">
        <w:rPr>
          <w:sz w:val="26"/>
          <w:szCs w:val="26"/>
        </w:rPr>
        <w:t>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w:t>
      </w:r>
      <w:r w:rsidR="00465C13" w:rsidRPr="00D17A61">
        <w:rPr>
          <w:sz w:val="26"/>
          <w:szCs w:val="26"/>
        </w:rPr>
        <w:t>:</w:t>
      </w:r>
    </w:p>
    <w:p w:rsidR="008817BC" w:rsidRDefault="008817BC" w:rsidP="000E0862">
      <w:pPr>
        <w:pStyle w:val="BodyText"/>
        <w:spacing w:after="0"/>
        <w:ind w:firstLine="1440"/>
        <w:jc w:val="left"/>
        <w:rPr>
          <w:sz w:val="26"/>
          <w:szCs w:val="26"/>
        </w:rPr>
      </w:pPr>
    </w:p>
    <w:p w:rsidR="00465C13" w:rsidRPr="00D17A61" w:rsidRDefault="0091640C" w:rsidP="000E0862">
      <w:pPr>
        <w:pStyle w:val="BodyText"/>
        <w:spacing w:after="0" w:line="240" w:lineRule="auto"/>
        <w:ind w:left="1440" w:right="1440"/>
        <w:contextualSpacing/>
        <w:jc w:val="left"/>
        <w:rPr>
          <w:sz w:val="26"/>
          <w:szCs w:val="26"/>
        </w:rPr>
      </w:pPr>
      <w:r>
        <w:rPr>
          <w:sz w:val="26"/>
          <w:szCs w:val="26"/>
        </w:rPr>
        <w:tab/>
      </w:r>
      <w:r w:rsidR="00465C13" w:rsidRPr="00D17A61">
        <w:rPr>
          <w:sz w:val="26"/>
          <w:szCs w:val="26"/>
        </w:rPr>
        <w:t>In the Commission’s judgment, the results achieved from a negotiated settlement or stipulation, or both, in which the interested parties have had an opportunity to participate are often preferable to those achieved at the conclusion of a fully litigated proceeding. . . .</w:t>
      </w:r>
    </w:p>
    <w:p w:rsidR="00465C13" w:rsidRPr="00D17A61" w:rsidRDefault="00465C13" w:rsidP="000E0862">
      <w:pPr>
        <w:pStyle w:val="BodyText"/>
        <w:spacing w:after="0" w:line="240" w:lineRule="auto"/>
        <w:ind w:left="1440" w:right="1440"/>
        <w:contextualSpacing/>
        <w:jc w:val="both"/>
        <w:rPr>
          <w:sz w:val="26"/>
          <w:szCs w:val="26"/>
        </w:rPr>
      </w:pPr>
    </w:p>
    <w:p w:rsidR="00465C13" w:rsidRPr="00D17A61" w:rsidRDefault="00465C13" w:rsidP="000E0862">
      <w:pPr>
        <w:pStyle w:val="BodyText"/>
        <w:spacing w:after="0"/>
        <w:ind w:left="1440" w:right="1440" w:hanging="1440"/>
        <w:contextualSpacing/>
        <w:jc w:val="both"/>
        <w:rPr>
          <w:sz w:val="26"/>
          <w:szCs w:val="26"/>
        </w:rPr>
      </w:pPr>
      <w:r w:rsidRPr="00D17A61">
        <w:rPr>
          <w:sz w:val="26"/>
          <w:szCs w:val="26"/>
        </w:rPr>
        <w:t>52 Pa. Code § 69.401 (in pertinent part).</w:t>
      </w:r>
    </w:p>
    <w:p w:rsidR="00465C13" w:rsidRPr="00D17A61" w:rsidRDefault="00465C13" w:rsidP="000E0862">
      <w:pPr>
        <w:suppressAutoHyphens/>
        <w:ind w:firstLine="1440"/>
        <w:jc w:val="both"/>
        <w:rPr>
          <w:sz w:val="26"/>
          <w:szCs w:val="26"/>
        </w:rPr>
      </w:pPr>
    </w:p>
    <w:p w:rsidR="008817BC" w:rsidRDefault="00611828" w:rsidP="000E0862">
      <w:pPr>
        <w:suppressAutoHyphens/>
        <w:ind w:firstLine="1440"/>
        <w:jc w:val="left"/>
        <w:rPr>
          <w:sz w:val="26"/>
          <w:szCs w:val="26"/>
        </w:rPr>
      </w:pPr>
      <w:r w:rsidRPr="00D17A61">
        <w:rPr>
          <w:sz w:val="26"/>
          <w:szCs w:val="26"/>
        </w:rPr>
        <w:t xml:space="preserve">Rate cases are expensive to litigate and the cost of such litigation at a reasonable level is an operating expense recovered in the rates approved by the Commission.  </w:t>
      </w:r>
      <w:r w:rsidR="006C0AED" w:rsidRPr="00D17A61">
        <w:rPr>
          <w:sz w:val="26"/>
          <w:szCs w:val="26"/>
        </w:rPr>
        <w:t>Partial or full s</w:t>
      </w:r>
      <w:r w:rsidRPr="00D17A61">
        <w:rPr>
          <w:sz w:val="26"/>
          <w:szCs w:val="26"/>
        </w:rPr>
        <w:t>ettlement</w:t>
      </w:r>
      <w:r w:rsidR="006C0AED" w:rsidRPr="00D17A61">
        <w:rPr>
          <w:sz w:val="26"/>
          <w:szCs w:val="26"/>
        </w:rPr>
        <w:t>s</w:t>
      </w:r>
      <w:r w:rsidRPr="00D17A61">
        <w:rPr>
          <w:sz w:val="26"/>
          <w:szCs w:val="26"/>
        </w:rPr>
        <w:t xml:space="preserve"> allow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w:t>
      </w:r>
      <w:r w:rsidR="006C0AED" w:rsidRPr="00D17A61">
        <w:rPr>
          <w:sz w:val="26"/>
          <w:szCs w:val="26"/>
        </w:rPr>
        <w:t>ing</w:t>
      </w:r>
      <w:r w:rsidRPr="00D17A61">
        <w:rPr>
          <w:sz w:val="26"/>
          <w:szCs w:val="26"/>
        </w:rPr>
        <w:t xml:space="preserve"> significant expense savings for the company’s customers.  </w:t>
      </w:r>
      <w:r w:rsidR="006C0AED" w:rsidRPr="00D17A61">
        <w:rPr>
          <w:sz w:val="26"/>
          <w:szCs w:val="26"/>
        </w:rPr>
        <w:t xml:space="preserve">For this and other sound reasons, </w:t>
      </w:r>
      <w:r w:rsidRPr="00D17A61">
        <w:rPr>
          <w:sz w:val="26"/>
          <w:szCs w:val="26"/>
        </w:rPr>
        <w:t>settlements are encouraged by long-standing Commission policy.</w:t>
      </w:r>
    </w:p>
    <w:p w:rsidR="008817BC" w:rsidRDefault="008817BC" w:rsidP="000E0862">
      <w:pPr>
        <w:ind w:firstLine="1440"/>
        <w:jc w:val="left"/>
        <w:rPr>
          <w:sz w:val="26"/>
          <w:szCs w:val="26"/>
        </w:rPr>
      </w:pPr>
    </w:p>
    <w:p w:rsidR="008817BC" w:rsidRDefault="00611828" w:rsidP="000E0862">
      <w:pPr>
        <w:jc w:val="left"/>
        <w:rPr>
          <w:sz w:val="26"/>
          <w:szCs w:val="26"/>
        </w:rPr>
      </w:pPr>
      <w:r w:rsidRPr="00D17A61">
        <w:rPr>
          <w:sz w:val="26"/>
          <w:szCs w:val="26"/>
        </w:rPr>
        <w:tab/>
      </w:r>
      <w:r w:rsidRPr="00D17A61">
        <w:rPr>
          <w:sz w:val="26"/>
          <w:szCs w:val="26"/>
        </w:rPr>
        <w:tab/>
      </w:r>
      <w:r w:rsidR="008E2F4B" w:rsidRPr="00D17A61">
        <w:rPr>
          <w:sz w:val="26"/>
          <w:szCs w:val="26"/>
        </w:rPr>
        <w:t xml:space="preserve">Despite the policy favoring settlements, the Commission does not simply </w:t>
      </w:r>
      <w:r w:rsidR="00DA7839" w:rsidRPr="00D17A61">
        <w:rPr>
          <w:sz w:val="26"/>
          <w:szCs w:val="26"/>
        </w:rPr>
        <w:t>rubber stamp</w:t>
      </w:r>
      <w:r w:rsidR="008E2F4B" w:rsidRPr="00D17A61">
        <w:rPr>
          <w:sz w:val="26"/>
          <w:szCs w:val="26"/>
        </w:rPr>
        <w:t xml:space="preserve"> settlements without further inquiry.  </w:t>
      </w:r>
      <w:r w:rsidRPr="00D17A61">
        <w:rPr>
          <w:sz w:val="26"/>
          <w:szCs w:val="26"/>
        </w:rPr>
        <w:t xml:space="preserve">In order to accept a </w:t>
      </w:r>
      <w:r w:rsidR="008E2F4B" w:rsidRPr="00D17A61">
        <w:rPr>
          <w:sz w:val="26"/>
          <w:szCs w:val="26"/>
        </w:rPr>
        <w:t xml:space="preserve">rate case </w:t>
      </w:r>
      <w:r w:rsidRPr="00D17A61">
        <w:rPr>
          <w:sz w:val="26"/>
          <w:szCs w:val="26"/>
        </w:rPr>
        <w:t>settlement</w:t>
      </w:r>
      <w:r w:rsidR="008E2F4B" w:rsidRPr="00D17A61">
        <w:rPr>
          <w:sz w:val="26"/>
          <w:szCs w:val="26"/>
        </w:rPr>
        <w:t xml:space="preserve"> such as that proposed here</w:t>
      </w:r>
      <w:r w:rsidRPr="00D17A61">
        <w:rPr>
          <w:sz w:val="26"/>
          <w:szCs w:val="26"/>
        </w:rPr>
        <w:t xml:space="preserve">, the Commission must determine that the proposed terms and conditions are in the public interest.  </w:t>
      </w:r>
      <w:r w:rsidRPr="00D17A61">
        <w:rPr>
          <w:i/>
          <w:sz w:val="26"/>
          <w:szCs w:val="26"/>
        </w:rPr>
        <w:t>Pa. Pub. Util. Comm’n v. York Water Co.</w:t>
      </w:r>
      <w:r w:rsidRPr="00D17A61">
        <w:rPr>
          <w:sz w:val="26"/>
          <w:szCs w:val="26"/>
        </w:rPr>
        <w:t xml:space="preserve">, Docket No. R-00049165 (Order entered October 4, 2004); </w:t>
      </w:r>
      <w:r w:rsidRPr="00D17A61">
        <w:rPr>
          <w:i/>
          <w:sz w:val="26"/>
          <w:szCs w:val="26"/>
        </w:rPr>
        <w:t>Pa. P</w:t>
      </w:r>
      <w:r w:rsidR="00773045">
        <w:rPr>
          <w:i/>
          <w:sz w:val="26"/>
          <w:szCs w:val="26"/>
        </w:rPr>
        <w:t>.U.C.</w:t>
      </w:r>
      <w:r w:rsidRPr="00D17A61">
        <w:rPr>
          <w:i/>
          <w:sz w:val="26"/>
          <w:szCs w:val="26"/>
        </w:rPr>
        <w:t xml:space="preserve"> v. C. S. Water and Sewer Assoc.</w:t>
      </w:r>
      <w:r w:rsidRPr="00D17A61">
        <w:rPr>
          <w:sz w:val="26"/>
          <w:szCs w:val="26"/>
        </w:rPr>
        <w:t>, 74 Pa. P.U.C. 767 (1991).</w:t>
      </w:r>
    </w:p>
    <w:p w:rsidR="008817BC" w:rsidRDefault="008817BC" w:rsidP="000E0862">
      <w:pPr>
        <w:jc w:val="left"/>
        <w:rPr>
          <w:sz w:val="26"/>
          <w:szCs w:val="26"/>
        </w:rPr>
      </w:pPr>
    </w:p>
    <w:p w:rsidR="008817BC" w:rsidRDefault="008E2F4B" w:rsidP="000E0862">
      <w:pPr>
        <w:ind w:firstLine="1440"/>
        <w:jc w:val="left"/>
        <w:rPr>
          <w:sz w:val="26"/>
          <w:szCs w:val="26"/>
        </w:rPr>
      </w:pPr>
      <w:r w:rsidRPr="00D17A61">
        <w:rPr>
          <w:sz w:val="26"/>
          <w:szCs w:val="26"/>
        </w:rPr>
        <w:t xml:space="preserve">With regard to the burden of proof in this matter, </w:t>
      </w:r>
      <w:r w:rsidR="00611828" w:rsidRPr="00D17A61">
        <w:rPr>
          <w:sz w:val="26"/>
          <w:szCs w:val="26"/>
        </w:rPr>
        <w:t xml:space="preserve">Section 315(a) of the Code </w:t>
      </w:r>
      <w:r w:rsidRPr="00D17A61">
        <w:rPr>
          <w:sz w:val="26"/>
          <w:szCs w:val="26"/>
        </w:rPr>
        <w:t>provides</w:t>
      </w:r>
      <w:r w:rsidR="00611828" w:rsidRPr="00D17A61">
        <w:rPr>
          <w:sz w:val="26"/>
          <w:szCs w:val="26"/>
        </w:rPr>
        <w:t>:</w:t>
      </w:r>
    </w:p>
    <w:p w:rsidR="00611828" w:rsidRPr="00D17A61" w:rsidRDefault="00611828" w:rsidP="000E0862">
      <w:pPr>
        <w:ind w:firstLine="1440"/>
        <w:rPr>
          <w:sz w:val="26"/>
          <w:szCs w:val="26"/>
        </w:rPr>
      </w:pPr>
    </w:p>
    <w:p w:rsidR="00611828" w:rsidRPr="00D17A61" w:rsidRDefault="00611828" w:rsidP="000E0862">
      <w:pPr>
        <w:keepNext/>
        <w:ind w:left="1440"/>
        <w:jc w:val="both"/>
        <w:rPr>
          <w:b/>
          <w:sz w:val="26"/>
          <w:szCs w:val="26"/>
        </w:rPr>
      </w:pPr>
      <w:r w:rsidRPr="00D17A61">
        <w:rPr>
          <w:b/>
          <w:sz w:val="26"/>
          <w:szCs w:val="26"/>
        </w:rPr>
        <w:t>§ 315.  Burden of proof</w:t>
      </w:r>
    </w:p>
    <w:p w:rsidR="00611828" w:rsidRPr="00D17A61" w:rsidRDefault="00611828" w:rsidP="000E0862">
      <w:pPr>
        <w:keepNext/>
        <w:numPr>
          <w:ilvl w:val="0"/>
          <w:numId w:val="4"/>
        </w:numPr>
        <w:spacing w:line="240" w:lineRule="auto"/>
        <w:ind w:left="1440" w:right="1440" w:firstLine="360"/>
        <w:jc w:val="left"/>
        <w:rPr>
          <w:sz w:val="26"/>
          <w:szCs w:val="26"/>
        </w:rPr>
      </w:pPr>
      <w:r w:rsidRPr="00D17A61">
        <w:rPr>
          <w:b/>
          <w:sz w:val="26"/>
          <w:szCs w:val="26"/>
        </w:rPr>
        <w:t>Reasonableness of rates.—</w:t>
      </w:r>
      <w:r w:rsidRPr="00D17A61">
        <w:rPr>
          <w:sz w:val="26"/>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611828" w:rsidRPr="00D17A61" w:rsidRDefault="00611828" w:rsidP="000E0862">
      <w:pPr>
        <w:ind w:right="1440"/>
        <w:jc w:val="left"/>
        <w:rPr>
          <w:sz w:val="26"/>
          <w:szCs w:val="26"/>
        </w:rPr>
      </w:pPr>
    </w:p>
    <w:p w:rsidR="008817BC" w:rsidRDefault="00611828" w:rsidP="000E0862">
      <w:pPr>
        <w:tabs>
          <w:tab w:val="left" w:pos="9360"/>
        </w:tabs>
        <w:jc w:val="left"/>
        <w:rPr>
          <w:sz w:val="26"/>
          <w:szCs w:val="26"/>
        </w:rPr>
      </w:pPr>
      <w:r w:rsidRPr="00D17A61">
        <w:rPr>
          <w:sz w:val="26"/>
          <w:szCs w:val="26"/>
        </w:rPr>
        <w:t xml:space="preserve">66 Pa. C.S. § 315(a).  Consequently in this proceeding, </w:t>
      </w:r>
      <w:r w:rsidR="00953EF0" w:rsidRPr="00D17A61">
        <w:rPr>
          <w:sz w:val="26"/>
          <w:szCs w:val="26"/>
        </w:rPr>
        <w:t xml:space="preserve">PPL </w:t>
      </w:r>
      <w:r w:rsidRPr="00D17A61">
        <w:rPr>
          <w:sz w:val="26"/>
          <w:szCs w:val="26"/>
        </w:rPr>
        <w:t>has the burden to prove that the rate increase it has proposed through the Settlement is just and reasonable.</w:t>
      </w:r>
      <w:r w:rsidR="00857D74">
        <w:rPr>
          <w:sz w:val="26"/>
          <w:szCs w:val="26"/>
        </w:rPr>
        <w:t xml:space="preserve">  </w:t>
      </w:r>
      <w:r w:rsidR="00E95083" w:rsidRPr="00D17A61">
        <w:rPr>
          <w:sz w:val="26"/>
          <w:szCs w:val="26"/>
        </w:rPr>
        <w:t xml:space="preserve">The Joint Petitioners have reached an accord on many of the issues and claims that arose in this proceeding and submitted a Joint Petition for Partial Settlement </w:t>
      </w:r>
      <w:r w:rsidR="00857D74">
        <w:rPr>
          <w:sz w:val="26"/>
          <w:szCs w:val="26"/>
        </w:rPr>
        <w:t xml:space="preserve">for the </w:t>
      </w:r>
      <w:r w:rsidR="00E95083" w:rsidRPr="00D17A61">
        <w:rPr>
          <w:sz w:val="26"/>
          <w:szCs w:val="26"/>
        </w:rPr>
        <w:t xml:space="preserve">Commission </w:t>
      </w:r>
      <w:r w:rsidR="007A2407">
        <w:rPr>
          <w:sz w:val="26"/>
          <w:szCs w:val="26"/>
        </w:rPr>
        <w:t xml:space="preserve">to </w:t>
      </w:r>
      <w:r w:rsidR="00E95083" w:rsidRPr="00D17A61">
        <w:rPr>
          <w:sz w:val="26"/>
          <w:szCs w:val="26"/>
        </w:rPr>
        <w:t xml:space="preserve">review.  In reviewing the </w:t>
      </w:r>
      <w:r w:rsidR="00857D74">
        <w:rPr>
          <w:sz w:val="26"/>
          <w:szCs w:val="26"/>
        </w:rPr>
        <w:t xml:space="preserve">Partial </w:t>
      </w:r>
      <w:r w:rsidR="00E95083" w:rsidRPr="00D17A61">
        <w:rPr>
          <w:sz w:val="26"/>
          <w:szCs w:val="26"/>
        </w:rPr>
        <w:t xml:space="preserve">Settlement, the question which must be answered is whether it is in the public interest.  The Joint Petitioners have the burden to prove that the </w:t>
      </w:r>
      <w:r w:rsidR="00857D74">
        <w:rPr>
          <w:sz w:val="26"/>
          <w:szCs w:val="26"/>
        </w:rPr>
        <w:t xml:space="preserve">Partial </w:t>
      </w:r>
      <w:r w:rsidR="00E95083" w:rsidRPr="00D17A61">
        <w:rPr>
          <w:sz w:val="26"/>
          <w:szCs w:val="26"/>
        </w:rPr>
        <w:t xml:space="preserve">Settlement is in the public interest. </w:t>
      </w:r>
    </w:p>
    <w:p w:rsidR="008817BC" w:rsidRDefault="008817BC" w:rsidP="000E0862">
      <w:pPr>
        <w:tabs>
          <w:tab w:val="left" w:pos="9360"/>
        </w:tabs>
        <w:jc w:val="left"/>
        <w:rPr>
          <w:sz w:val="26"/>
          <w:szCs w:val="26"/>
        </w:rPr>
      </w:pPr>
    </w:p>
    <w:p w:rsidR="008817BC" w:rsidRPr="008E2BBD" w:rsidRDefault="00C069D8" w:rsidP="000E0862">
      <w:pPr>
        <w:keepNext/>
        <w:ind w:left="720"/>
        <w:jc w:val="left"/>
        <w:rPr>
          <w:b/>
          <w:sz w:val="26"/>
          <w:szCs w:val="26"/>
        </w:rPr>
      </w:pPr>
      <w:r>
        <w:rPr>
          <w:b/>
          <w:sz w:val="26"/>
          <w:szCs w:val="26"/>
        </w:rPr>
        <w:lastRenderedPageBreak/>
        <w:t>D</w:t>
      </w:r>
      <w:r w:rsidR="008E2BBD">
        <w:rPr>
          <w:b/>
          <w:sz w:val="26"/>
          <w:szCs w:val="26"/>
        </w:rPr>
        <w:t>.</w:t>
      </w:r>
      <w:r w:rsidR="008E2BBD">
        <w:rPr>
          <w:b/>
          <w:sz w:val="26"/>
          <w:szCs w:val="26"/>
        </w:rPr>
        <w:tab/>
      </w:r>
      <w:r w:rsidR="00E95083" w:rsidRPr="008E2BBD">
        <w:rPr>
          <w:b/>
          <w:sz w:val="26"/>
          <w:szCs w:val="26"/>
        </w:rPr>
        <w:t>Disposition</w:t>
      </w:r>
      <w:r w:rsidR="005502A0" w:rsidRPr="008E2BBD">
        <w:rPr>
          <w:b/>
          <w:sz w:val="26"/>
          <w:szCs w:val="26"/>
        </w:rPr>
        <w:t xml:space="preserve"> of </w:t>
      </w:r>
      <w:r w:rsidR="00857D74" w:rsidRPr="008E2BBD">
        <w:rPr>
          <w:b/>
          <w:sz w:val="26"/>
          <w:szCs w:val="26"/>
        </w:rPr>
        <w:t xml:space="preserve">Partial </w:t>
      </w:r>
      <w:r w:rsidR="005502A0" w:rsidRPr="008E2BBD">
        <w:rPr>
          <w:b/>
          <w:sz w:val="26"/>
          <w:szCs w:val="26"/>
        </w:rPr>
        <w:t>Settlement</w:t>
      </w:r>
    </w:p>
    <w:p w:rsidR="008817BC" w:rsidRDefault="008817BC" w:rsidP="000E0862">
      <w:pPr>
        <w:pStyle w:val="ListParagraph"/>
        <w:keepNext/>
        <w:tabs>
          <w:tab w:val="left" w:pos="9360"/>
        </w:tabs>
        <w:ind w:left="1080"/>
        <w:jc w:val="left"/>
        <w:rPr>
          <w:b/>
          <w:sz w:val="26"/>
          <w:szCs w:val="26"/>
        </w:rPr>
      </w:pPr>
    </w:p>
    <w:p w:rsidR="008817BC" w:rsidRDefault="00857D74" w:rsidP="000E0862">
      <w:pPr>
        <w:pStyle w:val="BodyText"/>
        <w:spacing w:after="0"/>
        <w:ind w:firstLine="1440"/>
        <w:jc w:val="left"/>
        <w:rPr>
          <w:sz w:val="26"/>
          <w:szCs w:val="26"/>
        </w:rPr>
      </w:pPr>
      <w:r>
        <w:rPr>
          <w:sz w:val="26"/>
          <w:szCs w:val="26"/>
        </w:rPr>
        <w:t xml:space="preserve">As noted above, a Partial </w:t>
      </w:r>
      <w:r w:rsidR="00DA7839" w:rsidRPr="00D17A61">
        <w:rPr>
          <w:sz w:val="26"/>
          <w:szCs w:val="26"/>
        </w:rPr>
        <w:t>Settlement in principle of a number of issues was reached prior to the hearing dates</w:t>
      </w:r>
      <w:r>
        <w:rPr>
          <w:sz w:val="26"/>
          <w:szCs w:val="26"/>
        </w:rPr>
        <w:t>.  As such, the P</w:t>
      </w:r>
      <w:r w:rsidR="00DA7839" w:rsidRPr="00D17A61">
        <w:rPr>
          <w:sz w:val="26"/>
          <w:szCs w:val="26"/>
        </w:rPr>
        <w:t xml:space="preserve">arties </w:t>
      </w:r>
      <w:r w:rsidR="007A2407">
        <w:rPr>
          <w:sz w:val="26"/>
          <w:szCs w:val="26"/>
        </w:rPr>
        <w:t>entered</w:t>
      </w:r>
      <w:r w:rsidR="00DA7839" w:rsidRPr="00D17A61">
        <w:rPr>
          <w:sz w:val="26"/>
          <w:szCs w:val="26"/>
        </w:rPr>
        <w:t xml:space="preserve"> their written testimony into the record but did not conduct cross examination on the </w:t>
      </w:r>
      <w:r>
        <w:rPr>
          <w:sz w:val="26"/>
          <w:szCs w:val="26"/>
        </w:rPr>
        <w:t xml:space="preserve">settled </w:t>
      </w:r>
      <w:r w:rsidR="00DA7839" w:rsidRPr="00D17A61">
        <w:rPr>
          <w:sz w:val="26"/>
          <w:szCs w:val="26"/>
        </w:rPr>
        <w:t>issues</w:t>
      </w:r>
      <w:r>
        <w:rPr>
          <w:sz w:val="26"/>
          <w:szCs w:val="26"/>
        </w:rPr>
        <w:t>.</w:t>
      </w:r>
      <w:r w:rsidR="00DA7839" w:rsidRPr="00D17A61">
        <w:rPr>
          <w:sz w:val="26"/>
          <w:szCs w:val="26"/>
        </w:rPr>
        <w:t xml:space="preserve">  The Joint Petition </w:t>
      </w:r>
      <w:r>
        <w:rPr>
          <w:sz w:val="26"/>
          <w:szCs w:val="26"/>
        </w:rPr>
        <w:t>i</w:t>
      </w:r>
      <w:r w:rsidR="00DA7839" w:rsidRPr="00D17A61">
        <w:rPr>
          <w:sz w:val="26"/>
          <w:szCs w:val="26"/>
        </w:rPr>
        <w:t xml:space="preserve">s not signed by all </w:t>
      </w:r>
      <w:r>
        <w:rPr>
          <w:sz w:val="26"/>
          <w:szCs w:val="26"/>
        </w:rPr>
        <w:t>P</w:t>
      </w:r>
      <w:r w:rsidR="00DA7839" w:rsidRPr="00D17A61">
        <w:rPr>
          <w:sz w:val="26"/>
          <w:szCs w:val="26"/>
        </w:rPr>
        <w:t>arties</w:t>
      </w:r>
      <w:r w:rsidR="007A2407">
        <w:rPr>
          <w:sz w:val="26"/>
          <w:szCs w:val="26"/>
        </w:rPr>
        <w:t>,</w:t>
      </w:r>
      <w:r w:rsidR="00DA7839" w:rsidRPr="00D17A61">
        <w:rPr>
          <w:sz w:val="26"/>
          <w:szCs w:val="26"/>
        </w:rPr>
        <w:t xml:space="preserve"> but it is not opposed by any litigating party.  It was served on the </w:t>
      </w:r>
      <w:r>
        <w:rPr>
          <w:sz w:val="26"/>
          <w:szCs w:val="26"/>
        </w:rPr>
        <w:t>F</w:t>
      </w:r>
      <w:r w:rsidR="00DA7839" w:rsidRPr="00D17A61">
        <w:rPr>
          <w:sz w:val="26"/>
          <w:szCs w:val="26"/>
        </w:rPr>
        <w:t xml:space="preserve">ormal </w:t>
      </w:r>
      <w:r>
        <w:rPr>
          <w:sz w:val="26"/>
          <w:szCs w:val="26"/>
        </w:rPr>
        <w:t>C</w:t>
      </w:r>
      <w:r w:rsidR="00DA7839" w:rsidRPr="00D17A61">
        <w:rPr>
          <w:sz w:val="26"/>
          <w:szCs w:val="26"/>
        </w:rPr>
        <w:t>omplainants, none of wh</w:t>
      </w:r>
      <w:r>
        <w:rPr>
          <w:sz w:val="26"/>
          <w:szCs w:val="26"/>
        </w:rPr>
        <w:t>om</w:t>
      </w:r>
      <w:r w:rsidR="00DA7839" w:rsidRPr="00D17A61">
        <w:rPr>
          <w:sz w:val="26"/>
          <w:szCs w:val="26"/>
        </w:rPr>
        <w:t xml:space="preserve"> filed a response other than the statements in support or letters of non-opposition discussed </w:t>
      </w:r>
      <w:r w:rsidR="00465C13" w:rsidRPr="00D17A61">
        <w:rPr>
          <w:sz w:val="26"/>
          <w:szCs w:val="26"/>
        </w:rPr>
        <w:t>in the R.D.</w:t>
      </w:r>
    </w:p>
    <w:p w:rsidR="008817BC" w:rsidRDefault="008817BC" w:rsidP="000E0862">
      <w:pPr>
        <w:pStyle w:val="BodyText"/>
        <w:spacing w:after="0" w:line="240" w:lineRule="auto"/>
        <w:ind w:firstLine="1440"/>
        <w:jc w:val="left"/>
        <w:rPr>
          <w:sz w:val="26"/>
          <w:szCs w:val="26"/>
        </w:rPr>
      </w:pPr>
    </w:p>
    <w:p w:rsidR="008817BC" w:rsidRDefault="00465C13" w:rsidP="000E0862">
      <w:pPr>
        <w:pStyle w:val="BodyText"/>
        <w:spacing w:after="0"/>
        <w:ind w:firstLine="1440"/>
        <w:contextualSpacing/>
        <w:jc w:val="left"/>
        <w:rPr>
          <w:sz w:val="26"/>
          <w:szCs w:val="26"/>
        </w:rPr>
      </w:pPr>
      <w:r w:rsidRPr="00D17A61">
        <w:rPr>
          <w:sz w:val="26"/>
          <w:szCs w:val="26"/>
        </w:rPr>
        <w:t>As noted previously, i</w:t>
      </w:r>
      <w:r w:rsidR="00DA7839" w:rsidRPr="00D17A61">
        <w:rPr>
          <w:sz w:val="26"/>
          <w:szCs w:val="26"/>
        </w:rPr>
        <w:t>t is in the public interest to provide a public utility the financial ability to proffer safe</w:t>
      </w:r>
      <w:r w:rsidRPr="00D17A61">
        <w:rPr>
          <w:sz w:val="26"/>
          <w:szCs w:val="26"/>
        </w:rPr>
        <w:t xml:space="preserve">, efficient </w:t>
      </w:r>
      <w:r w:rsidR="00DA7839" w:rsidRPr="00D17A61">
        <w:rPr>
          <w:sz w:val="26"/>
          <w:szCs w:val="26"/>
        </w:rPr>
        <w:t xml:space="preserve">and adequate service to its customers.  In terms of revenue requirement, the </w:t>
      </w:r>
      <w:r w:rsidRPr="00D17A61">
        <w:rPr>
          <w:sz w:val="26"/>
          <w:szCs w:val="26"/>
        </w:rPr>
        <w:t xml:space="preserve">Company’s </w:t>
      </w:r>
      <w:r w:rsidR="00DA7839" w:rsidRPr="00D17A61">
        <w:rPr>
          <w:sz w:val="26"/>
          <w:szCs w:val="26"/>
        </w:rPr>
        <w:t xml:space="preserve">original filing sought a distribution revenue increase of $114.7 million, and the Settlement </w:t>
      </w:r>
      <w:r w:rsidRPr="00D17A61">
        <w:rPr>
          <w:sz w:val="26"/>
          <w:szCs w:val="26"/>
        </w:rPr>
        <w:t>allows f</w:t>
      </w:r>
      <w:r w:rsidR="00DA7839" w:rsidRPr="00D17A61">
        <w:rPr>
          <w:sz w:val="26"/>
          <w:szCs w:val="26"/>
        </w:rPr>
        <w:t>or $77.5 million, or approximately 67.6%</w:t>
      </w:r>
      <w:r w:rsidRPr="00D17A61">
        <w:rPr>
          <w:sz w:val="26"/>
          <w:szCs w:val="26"/>
        </w:rPr>
        <w:t xml:space="preserve"> of the original amount sought</w:t>
      </w:r>
      <w:r w:rsidR="00DA7839" w:rsidRPr="00D17A61">
        <w:rPr>
          <w:sz w:val="26"/>
          <w:szCs w:val="26"/>
        </w:rPr>
        <w:t xml:space="preserve">.  The Company </w:t>
      </w:r>
      <w:r w:rsidR="00857D74">
        <w:rPr>
          <w:sz w:val="26"/>
          <w:szCs w:val="26"/>
        </w:rPr>
        <w:t xml:space="preserve">claimed </w:t>
      </w:r>
      <w:r w:rsidR="00DA7839" w:rsidRPr="00D17A61">
        <w:rPr>
          <w:sz w:val="26"/>
          <w:szCs w:val="26"/>
        </w:rPr>
        <w:t>the following reasons for seeking the increase:</w:t>
      </w:r>
    </w:p>
    <w:p w:rsidR="00DA7839" w:rsidRPr="00D17A61" w:rsidRDefault="00DA7839" w:rsidP="000E0862">
      <w:pPr>
        <w:pStyle w:val="BodyText"/>
        <w:tabs>
          <w:tab w:val="left" w:pos="2160"/>
        </w:tabs>
        <w:spacing w:after="0" w:line="240" w:lineRule="auto"/>
        <w:ind w:left="1440" w:right="1440"/>
        <w:contextualSpacing/>
        <w:jc w:val="both"/>
        <w:rPr>
          <w:sz w:val="26"/>
          <w:szCs w:val="26"/>
        </w:rPr>
      </w:pPr>
    </w:p>
    <w:p w:rsidR="00DA7839" w:rsidRPr="00D17A61" w:rsidRDefault="00DA7839" w:rsidP="000E0862">
      <w:pPr>
        <w:pStyle w:val="BodyText"/>
        <w:tabs>
          <w:tab w:val="left" w:pos="2160"/>
        </w:tabs>
        <w:spacing w:after="0" w:line="240" w:lineRule="auto"/>
        <w:ind w:left="1440" w:right="1440"/>
        <w:contextualSpacing/>
        <w:jc w:val="both"/>
        <w:rPr>
          <w:sz w:val="26"/>
          <w:szCs w:val="26"/>
        </w:rPr>
      </w:pPr>
      <w:r w:rsidRPr="00D17A61">
        <w:rPr>
          <w:sz w:val="26"/>
          <w:szCs w:val="26"/>
        </w:rPr>
        <w:t>1.</w:t>
      </w:r>
      <w:r w:rsidRPr="00D17A61">
        <w:rPr>
          <w:sz w:val="26"/>
          <w:szCs w:val="26"/>
        </w:rPr>
        <w:tab/>
        <w:t>Decline in distribution sales</w:t>
      </w:r>
      <w:r w:rsidR="00465C13" w:rsidRPr="00D17A61">
        <w:rPr>
          <w:sz w:val="26"/>
          <w:szCs w:val="26"/>
        </w:rPr>
        <w:t>;</w:t>
      </w:r>
    </w:p>
    <w:p w:rsidR="00DA7839" w:rsidRPr="00D17A61" w:rsidRDefault="00DA7839" w:rsidP="000E0862">
      <w:pPr>
        <w:pStyle w:val="BodyText"/>
        <w:tabs>
          <w:tab w:val="left" w:pos="2160"/>
        </w:tabs>
        <w:spacing w:after="0" w:line="240" w:lineRule="auto"/>
        <w:ind w:left="1440" w:right="1440"/>
        <w:contextualSpacing/>
        <w:jc w:val="both"/>
        <w:rPr>
          <w:sz w:val="26"/>
          <w:szCs w:val="26"/>
        </w:rPr>
      </w:pPr>
    </w:p>
    <w:p w:rsidR="00DA7839" w:rsidRPr="00D17A61" w:rsidRDefault="00DA7839" w:rsidP="000E0862">
      <w:pPr>
        <w:pStyle w:val="BodyText"/>
        <w:tabs>
          <w:tab w:val="left" w:pos="2160"/>
        </w:tabs>
        <w:spacing w:after="0" w:line="240" w:lineRule="auto"/>
        <w:ind w:left="1440" w:right="1440"/>
        <w:contextualSpacing/>
        <w:jc w:val="both"/>
        <w:rPr>
          <w:sz w:val="26"/>
          <w:szCs w:val="26"/>
        </w:rPr>
      </w:pPr>
      <w:r w:rsidRPr="00D17A61">
        <w:rPr>
          <w:sz w:val="26"/>
          <w:szCs w:val="26"/>
        </w:rPr>
        <w:t>2.</w:t>
      </w:r>
      <w:r w:rsidRPr="00D17A61">
        <w:rPr>
          <w:sz w:val="26"/>
          <w:szCs w:val="26"/>
        </w:rPr>
        <w:tab/>
        <w:t>Increase in operation and maintenance expenses</w:t>
      </w:r>
      <w:r w:rsidR="00465C13" w:rsidRPr="00D17A61">
        <w:rPr>
          <w:sz w:val="26"/>
          <w:szCs w:val="26"/>
        </w:rPr>
        <w:t>;</w:t>
      </w:r>
    </w:p>
    <w:p w:rsidR="00DA7839" w:rsidRPr="00D17A61" w:rsidRDefault="00DA7839" w:rsidP="000E0862">
      <w:pPr>
        <w:pStyle w:val="BodyText"/>
        <w:tabs>
          <w:tab w:val="left" w:pos="2160"/>
        </w:tabs>
        <w:spacing w:after="0" w:line="240" w:lineRule="auto"/>
        <w:ind w:left="1440" w:right="1440"/>
        <w:contextualSpacing/>
        <w:jc w:val="both"/>
        <w:rPr>
          <w:sz w:val="26"/>
          <w:szCs w:val="26"/>
        </w:rPr>
      </w:pPr>
    </w:p>
    <w:p w:rsidR="00DA7839" w:rsidRPr="00D17A61" w:rsidRDefault="00DA7839" w:rsidP="000E0862">
      <w:pPr>
        <w:pStyle w:val="BodyText"/>
        <w:tabs>
          <w:tab w:val="left" w:pos="2160"/>
        </w:tabs>
        <w:spacing w:after="0" w:line="240" w:lineRule="auto"/>
        <w:ind w:left="2160" w:right="1440" w:hanging="720"/>
        <w:contextualSpacing/>
        <w:jc w:val="both"/>
        <w:rPr>
          <w:sz w:val="26"/>
          <w:szCs w:val="26"/>
        </w:rPr>
      </w:pPr>
      <w:r w:rsidRPr="00D17A61">
        <w:rPr>
          <w:sz w:val="26"/>
          <w:szCs w:val="26"/>
        </w:rPr>
        <w:t>3.</w:t>
      </w:r>
      <w:r w:rsidRPr="00D17A61">
        <w:rPr>
          <w:sz w:val="26"/>
          <w:szCs w:val="26"/>
        </w:rPr>
        <w:tab/>
        <w:t>Need for substantial investments in distribution assets in order to reinforce aging infrastructure; and</w:t>
      </w:r>
    </w:p>
    <w:p w:rsidR="00DA7839" w:rsidRPr="00D17A61" w:rsidRDefault="00DA7839" w:rsidP="000E0862">
      <w:pPr>
        <w:pStyle w:val="BodyText"/>
        <w:tabs>
          <w:tab w:val="left" w:pos="2160"/>
        </w:tabs>
        <w:spacing w:after="0" w:line="240" w:lineRule="auto"/>
        <w:ind w:left="1440" w:right="1440"/>
        <w:contextualSpacing/>
        <w:jc w:val="both"/>
        <w:rPr>
          <w:sz w:val="26"/>
          <w:szCs w:val="26"/>
        </w:rPr>
      </w:pPr>
    </w:p>
    <w:p w:rsidR="00DA7839" w:rsidRPr="00D17A61" w:rsidRDefault="00DA7839" w:rsidP="000E0862">
      <w:pPr>
        <w:pStyle w:val="BodyText"/>
        <w:tabs>
          <w:tab w:val="left" w:pos="2160"/>
        </w:tabs>
        <w:spacing w:after="0" w:line="240" w:lineRule="auto"/>
        <w:ind w:left="2160" w:right="1440" w:hanging="720"/>
        <w:contextualSpacing/>
        <w:jc w:val="both"/>
        <w:rPr>
          <w:sz w:val="26"/>
          <w:szCs w:val="26"/>
        </w:rPr>
      </w:pPr>
      <w:r w:rsidRPr="00D17A61">
        <w:rPr>
          <w:sz w:val="26"/>
          <w:szCs w:val="26"/>
        </w:rPr>
        <w:t>4.</w:t>
      </w:r>
      <w:r w:rsidRPr="00D17A61">
        <w:rPr>
          <w:sz w:val="26"/>
          <w:szCs w:val="26"/>
        </w:rPr>
        <w:tab/>
        <w:t xml:space="preserve">Need to raise capital to pay for those investments at a time when capital markets are constrained. </w:t>
      </w:r>
    </w:p>
    <w:p w:rsidR="00DA7839" w:rsidRPr="00D17A61" w:rsidRDefault="00DA7839" w:rsidP="000E0862">
      <w:pPr>
        <w:pStyle w:val="BodyText"/>
        <w:tabs>
          <w:tab w:val="left" w:pos="1800"/>
        </w:tabs>
        <w:spacing w:after="0" w:line="240" w:lineRule="auto"/>
        <w:ind w:left="1800" w:right="720" w:hanging="360"/>
        <w:contextualSpacing/>
        <w:jc w:val="both"/>
        <w:rPr>
          <w:sz w:val="26"/>
          <w:szCs w:val="26"/>
        </w:rPr>
      </w:pPr>
    </w:p>
    <w:p w:rsidR="00DA7839" w:rsidRPr="00D17A61" w:rsidRDefault="00DA7839" w:rsidP="000E0862">
      <w:pPr>
        <w:pStyle w:val="BodyText"/>
        <w:spacing w:after="0"/>
        <w:contextualSpacing/>
        <w:jc w:val="both"/>
        <w:rPr>
          <w:sz w:val="26"/>
          <w:szCs w:val="26"/>
        </w:rPr>
      </w:pPr>
      <w:r w:rsidRPr="00D17A61">
        <w:rPr>
          <w:sz w:val="26"/>
          <w:szCs w:val="26"/>
        </w:rPr>
        <w:t>PPL Stmt. in Support at 3-4.</w:t>
      </w:r>
    </w:p>
    <w:p w:rsidR="00DA7839" w:rsidRPr="00D17A61" w:rsidRDefault="00DA7839" w:rsidP="000E0862">
      <w:pPr>
        <w:pStyle w:val="BodyText"/>
        <w:spacing w:after="0"/>
        <w:ind w:firstLine="1440"/>
        <w:contextualSpacing/>
        <w:jc w:val="both"/>
        <w:rPr>
          <w:sz w:val="26"/>
          <w:szCs w:val="26"/>
        </w:rPr>
      </w:pPr>
    </w:p>
    <w:p w:rsidR="008817BC" w:rsidRDefault="00897E76" w:rsidP="000E0862">
      <w:pPr>
        <w:pStyle w:val="BodyText"/>
        <w:spacing w:after="0"/>
        <w:ind w:firstLine="1440"/>
        <w:contextualSpacing/>
        <w:jc w:val="left"/>
        <w:rPr>
          <w:sz w:val="26"/>
          <w:szCs w:val="26"/>
        </w:rPr>
      </w:pPr>
      <w:r>
        <w:rPr>
          <w:sz w:val="26"/>
          <w:szCs w:val="26"/>
        </w:rPr>
        <w:t xml:space="preserve">ALJ </w:t>
      </w:r>
      <w:r w:rsidR="00857D74">
        <w:rPr>
          <w:sz w:val="26"/>
          <w:szCs w:val="26"/>
        </w:rPr>
        <w:t xml:space="preserve">Colwell </w:t>
      </w:r>
      <w:r>
        <w:rPr>
          <w:sz w:val="26"/>
          <w:szCs w:val="26"/>
        </w:rPr>
        <w:t>gave considerable weight to the C</w:t>
      </w:r>
      <w:r w:rsidR="00DA7839" w:rsidRPr="00D17A61">
        <w:rPr>
          <w:sz w:val="26"/>
          <w:szCs w:val="26"/>
        </w:rPr>
        <w:t>ompany</w:t>
      </w:r>
      <w:r w:rsidR="00E36983" w:rsidRPr="00D17A61">
        <w:rPr>
          <w:sz w:val="26"/>
          <w:szCs w:val="26"/>
        </w:rPr>
        <w:t xml:space="preserve">’s </w:t>
      </w:r>
      <w:r w:rsidR="00DA7839" w:rsidRPr="00D17A61">
        <w:rPr>
          <w:sz w:val="26"/>
          <w:szCs w:val="26"/>
        </w:rPr>
        <w:t>testi</w:t>
      </w:r>
      <w:r>
        <w:rPr>
          <w:sz w:val="26"/>
          <w:szCs w:val="26"/>
        </w:rPr>
        <w:t>mony</w:t>
      </w:r>
      <w:r w:rsidR="00DA7839" w:rsidRPr="00D17A61">
        <w:rPr>
          <w:sz w:val="26"/>
          <w:szCs w:val="26"/>
        </w:rPr>
        <w:t xml:space="preserve"> that the return on equity would decline to about </w:t>
      </w:r>
      <w:r w:rsidR="00857D74">
        <w:rPr>
          <w:sz w:val="26"/>
          <w:szCs w:val="26"/>
        </w:rPr>
        <w:t>four percent</w:t>
      </w:r>
      <w:r w:rsidR="00DA7839" w:rsidRPr="00D17A61">
        <w:rPr>
          <w:sz w:val="26"/>
          <w:szCs w:val="26"/>
        </w:rPr>
        <w:t xml:space="preserve"> in 2010, and further decline to about </w:t>
      </w:r>
      <w:r w:rsidR="00857D74">
        <w:rPr>
          <w:sz w:val="26"/>
          <w:szCs w:val="26"/>
        </w:rPr>
        <w:t xml:space="preserve">two percent </w:t>
      </w:r>
      <w:r w:rsidR="00DA7839" w:rsidRPr="00D17A61">
        <w:rPr>
          <w:sz w:val="26"/>
          <w:szCs w:val="26"/>
        </w:rPr>
        <w:t xml:space="preserve">in 2011 without rate relief.  </w:t>
      </w:r>
      <w:r>
        <w:rPr>
          <w:sz w:val="26"/>
          <w:szCs w:val="26"/>
        </w:rPr>
        <w:t>She also noted that t</w:t>
      </w:r>
      <w:r w:rsidR="00DA7839" w:rsidRPr="00D17A61">
        <w:rPr>
          <w:sz w:val="26"/>
          <w:szCs w:val="26"/>
        </w:rPr>
        <w:t xml:space="preserve">he Company is satisfied that the $77.5 million increase will provide the opportunity to earn a reasonable return, and thereby attract capital on reasonable terms and conditions to allow it to continue to </w:t>
      </w:r>
      <w:r w:rsidR="00DA7839" w:rsidRPr="00D17A61">
        <w:rPr>
          <w:sz w:val="26"/>
          <w:szCs w:val="26"/>
        </w:rPr>
        <w:lastRenderedPageBreak/>
        <w:t>provide safe and reliable service.  PPL Stmt. in Support at 4.</w:t>
      </w:r>
      <w:r>
        <w:rPr>
          <w:sz w:val="26"/>
          <w:szCs w:val="26"/>
        </w:rPr>
        <w:t xml:space="preserve">  </w:t>
      </w:r>
      <w:r w:rsidR="00FD69CA">
        <w:rPr>
          <w:sz w:val="26"/>
          <w:szCs w:val="26"/>
        </w:rPr>
        <w:t xml:space="preserve">Based on the </w:t>
      </w:r>
      <w:r w:rsidR="0087617B">
        <w:rPr>
          <w:sz w:val="26"/>
          <w:szCs w:val="26"/>
        </w:rPr>
        <w:t>Company’s testimony that its projected return on equity would decline markedly without rate relief, w</w:t>
      </w:r>
      <w:r>
        <w:rPr>
          <w:sz w:val="26"/>
          <w:szCs w:val="26"/>
        </w:rPr>
        <w:t xml:space="preserve">e </w:t>
      </w:r>
      <w:r w:rsidR="0087617B">
        <w:rPr>
          <w:sz w:val="26"/>
          <w:szCs w:val="26"/>
        </w:rPr>
        <w:t xml:space="preserve">agree that some level of rate increase is appropriate at this time.  In addition, </w:t>
      </w:r>
      <w:r w:rsidR="00AD1479">
        <w:rPr>
          <w:sz w:val="26"/>
          <w:szCs w:val="26"/>
        </w:rPr>
        <w:t xml:space="preserve">keeping in mind the carefully balanced public interest determination we are charged with making, </w:t>
      </w:r>
      <w:r w:rsidR="0087617B">
        <w:rPr>
          <w:sz w:val="26"/>
          <w:szCs w:val="26"/>
        </w:rPr>
        <w:t xml:space="preserve">we </w:t>
      </w:r>
      <w:r w:rsidR="00AD1479">
        <w:rPr>
          <w:sz w:val="26"/>
          <w:szCs w:val="26"/>
        </w:rPr>
        <w:t xml:space="preserve">find </w:t>
      </w:r>
      <w:r w:rsidR="0087617B">
        <w:rPr>
          <w:sz w:val="26"/>
          <w:szCs w:val="26"/>
        </w:rPr>
        <w:t>significant PPL</w:t>
      </w:r>
      <w:r w:rsidR="00AD1479">
        <w:rPr>
          <w:sz w:val="26"/>
          <w:szCs w:val="26"/>
        </w:rPr>
        <w:t>’s</w:t>
      </w:r>
      <w:r w:rsidR="0087617B">
        <w:rPr>
          <w:sz w:val="26"/>
          <w:szCs w:val="26"/>
        </w:rPr>
        <w:t xml:space="preserve"> view </w:t>
      </w:r>
      <w:r w:rsidR="00B7157C">
        <w:rPr>
          <w:sz w:val="26"/>
          <w:szCs w:val="26"/>
        </w:rPr>
        <w:t xml:space="preserve">that </w:t>
      </w:r>
      <w:r w:rsidR="0087617B">
        <w:rPr>
          <w:sz w:val="26"/>
          <w:szCs w:val="26"/>
        </w:rPr>
        <w:t xml:space="preserve">the $77.5 million increase </w:t>
      </w:r>
      <w:r w:rsidR="00AD1479">
        <w:rPr>
          <w:sz w:val="26"/>
          <w:szCs w:val="26"/>
        </w:rPr>
        <w:t xml:space="preserve">will be </w:t>
      </w:r>
      <w:r w:rsidR="0087617B">
        <w:rPr>
          <w:sz w:val="26"/>
          <w:szCs w:val="26"/>
        </w:rPr>
        <w:t>sufficient to allow it the opportunity to earn a reasonable return and</w:t>
      </w:r>
      <w:r w:rsidR="00857D74">
        <w:rPr>
          <w:sz w:val="26"/>
          <w:szCs w:val="26"/>
        </w:rPr>
        <w:t>,</w:t>
      </w:r>
      <w:r w:rsidR="0087617B">
        <w:rPr>
          <w:sz w:val="26"/>
          <w:szCs w:val="26"/>
        </w:rPr>
        <w:t xml:space="preserve"> thereby</w:t>
      </w:r>
      <w:r w:rsidR="00857D74">
        <w:rPr>
          <w:sz w:val="26"/>
          <w:szCs w:val="26"/>
        </w:rPr>
        <w:t>,</w:t>
      </w:r>
      <w:r w:rsidR="0087617B">
        <w:rPr>
          <w:sz w:val="26"/>
          <w:szCs w:val="26"/>
        </w:rPr>
        <w:t xml:space="preserve"> position it</w:t>
      </w:r>
      <w:r w:rsidR="00AD1479">
        <w:rPr>
          <w:sz w:val="26"/>
          <w:szCs w:val="26"/>
        </w:rPr>
        <w:t>self</w:t>
      </w:r>
      <w:r w:rsidR="0087617B">
        <w:rPr>
          <w:sz w:val="26"/>
          <w:szCs w:val="26"/>
        </w:rPr>
        <w:t xml:space="preserve"> to attract capital on</w:t>
      </w:r>
      <w:r w:rsidR="00AD1479">
        <w:rPr>
          <w:sz w:val="26"/>
          <w:szCs w:val="26"/>
        </w:rPr>
        <w:t xml:space="preserve"> reasonable terms</w:t>
      </w:r>
      <w:r>
        <w:rPr>
          <w:sz w:val="26"/>
          <w:szCs w:val="26"/>
        </w:rPr>
        <w:t xml:space="preserve">. </w:t>
      </w:r>
    </w:p>
    <w:p w:rsidR="008817BC" w:rsidRDefault="008817BC" w:rsidP="000E0862">
      <w:pPr>
        <w:pStyle w:val="BodyText"/>
        <w:spacing w:after="0"/>
        <w:ind w:firstLine="1440"/>
        <w:contextualSpacing/>
        <w:jc w:val="left"/>
        <w:rPr>
          <w:sz w:val="26"/>
          <w:szCs w:val="26"/>
        </w:rPr>
      </w:pPr>
    </w:p>
    <w:p w:rsidR="008817BC" w:rsidRDefault="00897E76" w:rsidP="000E0862">
      <w:pPr>
        <w:pStyle w:val="BodyText"/>
        <w:spacing w:after="0"/>
        <w:ind w:firstLine="1440"/>
        <w:contextualSpacing/>
        <w:jc w:val="left"/>
        <w:rPr>
          <w:sz w:val="26"/>
          <w:szCs w:val="26"/>
        </w:rPr>
      </w:pPr>
      <w:r>
        <w:rPr>
          <w:sz w:val="26"/>
          <w:szCs w:val="26"/>
        </w:rPr>
        <w:t>With regard to particular projects it has undertaken that drove this rate in</w:t>
      </w:r>
      <w:r w:rsidR="004A6BE4">
        <w:rPr>
          <w:sz w:val="26"/>
          <w:szCs w:val="26"/>
        </w:rPr>
        <w:t>c</w:t>
      </w:r>
      <w:r>
        <w:rPr>
          <w:sz w:val="26"/>
          <w:szCs w:val="26"/>
        </w:rPr>
        <w:t xml:space="preserve">rease, </w:t>
      </w:r>
      <w:r w:rsidR="00DA7839" w:rsidRPr="00D17A61">
        <w:rPr>
          <w:sz w:val="26"/>
          <w:szCs w:val="26"/>
        </w:rPr>
        <w:t>PPL cites the installation of extensive advanced metering systems</w:t>
      </w:r>
      <w:r w:rsidR="00577DE2">
        <w:rPr>
          <w:sz w:val="26"/>
          <w:szCs w:val="26"/>
        </w:rPr>
        <w:t>;</w:t>
      </w:r>
      <w:r w:rsidR="00DA7839" w:rsidRPr="00D17A61">
        <w:rPr>
          <w:sz w:val="26"/>
          <w:szCs w:val="26"/>
        </w:rPr>
        <w:t xml:space="preserve"> a mobile operations management project </w:t>
      </w:r>
      <w:r w:rsidR="007A2407">
        <w:rPr>
          <w:sz w:val="26"/>
          <w:szCs w:val="26"/>
        </w:rPr>
        <w:t>that</w:t>
      </w:r>
      <w:r w:rsidR="00DA7839" w:rsidRPr="00D17A61">
        <w:rPr>
          <w:sz w:val="26"/>
          <w:szCs w:val="26"/>
        </w:rPr>
        <w:t xml:space="preserve"> equipped all construction vehicles with mobile data terminals with GPS tracking capability to streamline operations and improve efficiency</w:t>
      </w:r>
      <w:r w:rsidR="00577DE2">
        <w:rPr>
          <w:sz w:val="26"/>
          <w:szCs w:val="26"/>
        </w:rPr>
        <w:t>;</w:t>
      </w:r>
      <w:r w:rsidR="00DA7839" w:rsidRPr="00D17A61">
        <w:rPr>
          <w:sz w:val="26"/>
          <w:szCs w:val="26"/>
        </w:rPr>
        <w:t xml:space="preserve"> an automated system for employees to respond to after-hours service interruptions and emergencies</w:t>
      </w:r>
      <w:r w:rsidR="00577DE2">
        <w:rPr>
          <w:sz w:val="26"/>
          <w:szCs w:val="26"/>
        </w:rPr>
        <w:t>;</w:t>
      </w:r>
      <w:r w:rsidR="00DA7839" w:rsidRPr="00D17A61">
        <w:rPr>
          <w:sz w:val="26"/>
          <w:szCs w:val="26"/>
        </w:rPr>
        <w:t xml:space="preserve"> a new storm management site</w:t>
      </w:r>
      <w:r w:rsidR="00577DE2">
        <w:rPr>
          <w:sz w:val="26"/>
          <w:szCs w:val="26"/>
        </w:rPr>
        <w:t>;</w:t>
      </w:r>
      <w:r w:rsidR="00DA7839" w:rsidRPr="00D17A61">
        <w:rPr>
          <w:sz w:val="26"/>
          <w:szCs w:val="26"/>
        </w:rPr>
        <w:t xml:space="preserve"> </w:t>
      </w:r>
      <w:r w:rsidR="00577DE2">
        <w:rPr>
          <w:sz w:val="26"/>
          <w:szCs w:val="26"/>
        </w:rPr>
        <w:t xml:space="preserve">and </w:t>
      </w:r>
      <w:r w:rsidR="00DA7839" w:rsidRPr="00D17A61">
        <w:rPr>
          <w:sz w:val="26"/>
          <w:szCs w:val="26"/>
        </w:rPr>
        <w:t xml:space="preserve">improvements to call center technology with expanded self-service capabilities for conducting business after hours and on weekends.  The Company avers that the increase will permit it to raise capital efficiently even in the present constrained market in order to fund these types of expenditures. </w:t>
      </w:r>
      <w:r w:rsidR="00857D74">
        <w:rPr>
          <w:sz w:val="26"/>
          <w:szCs w:val="26"/>
        </w:rPr>
        <w:t xml:space="preserve"> PPL Stmt. in Support at 4 - 5.</w:t>
      </w:r>
      <w:r w:rsidR="007A2407">
        <w:rPr>
          <w:sz w:val="26"/>
          <w:szCs w:val="26"/>
        </w:rPr>
        <w:t xml:space="preserve">  </w:t>
      </w:r>
    </w:p>
    <w:p w:rsidR="008817BC" w:rsidRDefault="008817BC" w:rsidP="000E0862">
      <w:pPr>
        <w:pStyle w:val="BodyText"/>
        <w:spacing w:after="0"/>
        <w:ind w:firstLine="1440"/>
        <w:contextualSpacing/>
        <w:jc w:val="left"/>
        <w:rPr>
          <w:sz w:val="26"/>
          <w:szCs w:val="26"/>
        </w:rPr>
      </w:pPr>
    </w:p>
    <w:p w:rsidR="008817BC" w:rsidRDefault="00130112" w:rsidP="000E0862">
      <w:pPr>
        <w:pStyle w:val="BodyText"/>
        <w:spacing w:after="0"/>
        <w:ind w:firstLine="1440"/>
        <w:contextualSpacing/>
        <w:jc w:val="left"/>
        <w:rPr>
          <w:sz w:val="26"/>
          <w:szCs w:val="26"/>
        </w:rPr>
      </w:pPr>
      <w:r>
        <w:rPr>
          <w:sz w:val="26"/>
          <w:szCs w:val="26"/>
        </w:rPr>
        <w:t>PPL</w:t>
      </w:r>
      <w:r w:rsidR="00DA7839" w:rsidRPr="00D17A61">
        <w:rPr>
          <w:sz w:val="26"/>
          <w:szCs w:val="26"/>
        </w:rPr>
        <w:t xml:space="preserve">, </w:t>
      </w:r>
      <w:r>
        <w:rPr>
          <w:sz w:val="26"/>
          <w:szCs w:val="26"/>
        </w:rPr>
        <w:t xml:space="preserve">the </w:t>
      </w:r>
      <w:r w:rsidR="00DA7839" w:rsidRPr="00D17A61">
        <w:rPr>
          <w:sz w:val="26"/>
          <w:szCs w:val="26"/>
        </w:rPr>
        <w:t>O</w:t>
      </w:r>
      <w:r w:rsidR="00857D74">
        <w:rPr>
          <w:sz w:val="26"/>
          <w:szCs w:val="26"/>
        </w:rPr>
        <w:t>CA and the O</w:t>
      </w:r>
      <w:r w:rsidR="00DA7839" w:rsidRPr="00D17A61">
        <w:rPr>
          <w:sz w:val="26"/>
          <w:szCs w:val="26"/>
        </w:rPr>
        <w:t xml:space="preserve">TS </w:t>
      </w:r>
      <w:r w:rsidR="00577DE2">
        <w:rPr>
          <w:sz w:val="26"/>
          <w:szCs w:val="26"/>
        </w:rPr>
        <w:t xml:space="preserve">were the three parties that </w:t>
      </w:r>
      <w:r w:rsidR="00DA7839" w:rsidRPr="00D17A61">
        <w:rPr>
          <w:sz w:val="26"/>
          <w:szCs w:val="26"/>
        </w:rPr>
        <w:t>presented evidence regarding revenue requirement, and all three are signatories to the Joint Petition</w:t>
      </w:r>
      <w:r w:rsidR="00577DE2">
        <w:rPr>
          <w:sz w:val="26"/>
          <w:szCs w:val="26"/>
        </w:rPr>
        <w:t>.</w:t>
      </w:r>
      <w:r w:rsidR="00E36983" w:rsidRPr="00D17A61">
        <w:rPr>
          <w:sz w:val="26"/>
          <w:szCs w:val="26"/>
        </w:rPr>
        <w:t xml:space="preserve">  </w:t>
      </w:r>
      <w:r w:rsidR="00784EF1">
        <w:rPr>
          <w:sz w:val="26"/>
          <w:szCs w:val="26"/>
        </w:rPr>
        <w:t xml:space="preserve">The </w:t>
      </w:r>
      <w:r w:rsidR="00DA7839" w:rsidRPr="00D17A61">
        <w:rPr>
          <w:sz w:val="26"/>
          <w:szCs w:val="26"/>
        </w:rPr>
        <w:t>OCA states that its witness</w:t>
      </w:r>
      <w:r w:rsidR="00B7157C">
        <w:rPr>
          <w:sz w:val="26"/>
          <w:szCs w:val="26"/>
        </w:rPr>
        <w:t xml:space="preserve"> </w:t>
      </w:r>
      <w:r w:rsidR="00DA7839" w:rsidRPr="00D17A61">
        <w:rPr>
          <w:sz w:val="26"/>
          <w:szCs w:val="26"/>
        </w:rPr>
        <w:t>thoroughly reviewed PPL’s claimed revenue and expense items and its claimed level of rate base in this proceeding.  This review has enabled the OCA to agree t</w:t>
      </w:r>
      <w:r w:rsidR="002B32F1">
        <w:rPr>
          <w:sz w:val="26"/>
          <w:szCs w:val="26"/>
        </w:rPr>
        <w:t>hat the</w:t>
      </w:r>
      <w:r w:rsidR="00DA7839" w:rsidRPr="00D17A61">
        <w:rPr>
          <w:sz w:val="26"/>
          <w:szCs w:val="26"/>
        </w:rPr>
        <w:t xml:space="preserve"> </w:t>
      </w:r>
      <w:r w:rsidR="002B32F1">
        <w:rPr>
          <w:sz w:val="26"/>
          <w:szCs w:val="26"/>
        </w:rPr>
        <w:t xml:space="preserve">settled </w:t>
      </w:r>
      <w:r w:rsidR="00DA7839" w:rsidRPr="00D17A61">
        <w:rPr>
          <w:sz w:val="26"/>
          <w:szCs w:val="26"/>
        </w:rPr>
        <w:t xml:space="preserve">revenue increase </w:t>
      </w:r>
      <w:r w:rsidR="00E36983" w:rsidRPr="00D17A61">
        <w:rPr>
          <w:sz w:val="26"/>
          <w:szCs w:val="26"/>
        </w:rPr>
        <w:t xml:space="preserve">is </w:t>
      </w:r>
      <w:r w:rsidR="00DA7839" w:rsidRPr="00D17A61">
        <w:rPr>
          <w:sz w:val="26"/>
          <w:szCs w:val="26"/>
        </w:rPr>
        <w:t>appropriate in this case.</w:t>
      </w:r>
      <w:r w:rsidR="0013353A">
        <w:rPr>
          <w:sz w:val="26"/>
          <w:szCs w:val="26"/>
        </w:rPr>
        <w:t xml:space="preserve">  OCA Stmt. in Support at 4-5.</w:t>
      </w:r>
      <w:r w:rsidR="007A2407">
        <w:rPr>
          <w:sz w:val="26"/>
          <w:szCs w:val="26"/>
        </w:rPr>
        <w:t xml:space="preserve">  The OTS is likewise in accord.</w:t>
      </w:r>
    </w:p>
    <w:p w:rsidR="008817BC" w:rsidRDefault="008817BC" w:rsidP="000E0862">
      <w:pPr>
        <w:tabs>
          <w:tab w:val="left" w:pos="720"/>
          <w:tab w:val="left" w:pos="9450"/>
        </w:tabs>
        <w:ind w:firstLine="1440"/>
        <w:jc w:val="left"/>
        <w:rPr>
          <w:sz w:val="26"/>
          <w:szCs w:val="26"/>
        </w:rPr>
      </w:pPr>
    </w:p>
    <w:p w:rsidR="008817BC" w:rsidRDefault="007B7379" w:rsidP="000E0862">
      <w:pPr>
        <w:tabs>
          <w:tab w:val="left" w:pos="720"/>
          <w:tab w:val="left" w:pos="9450"/>
        </w:tabs>
        <w:ind w:firstLine="1440"/>
        <w:jc w:val="left"/>
        <w:rPr>
          <w:sz w:val="26"/>
          <w:szCs w:val="26"/>
        </w:rPr>
      </w:pPr>
      <w:r w:rsidRPr="00D17A61">
        <w:rPr>
          <w:sz w:val="26"/>
          <w:szCs w:val="26"/>
        </w:rPr>
        <w:t>Some</w:t>
      </w:r>
      <w:r w:rsidR="00DA7839" w:rsidRPr="00D17A61">
        <w:rPr>
          <w:sz w:val="26"/>
          <w:szCs w:val="26"/>
        </w:rPr>
        <w:t xml:space="preserve"> citizens </w:t>
      </w:r>
      <w:r w:rsidRPr="00D17A61">
        <w:rPr>
          <w:sz w:val="26"/>
          <w:szCs w:val="26"/>
        </w:rPr>
        <w:t>at</w:t>
      </w:r>
      <w:r w:rsidR="00DA7839" w:rsidRPr="00D17A61">
        <w:rPr>
          <w:sz w:val="26"/>
          <w:szCs w:val="26"/>
        </w:rPr>
        <w:t xml:space="preserve"> the </w:t>
      </w:r>
      <w:r w:rsidR="00E36983" w:rsidRPr="00D17A61">
        <w:rPr>
          <w:sz w:val="26"/>
          <w:szCs w:val="26"/>
        </w:rPr>
        <w:t>p</w:t>
      </w:r>
      <w:r w:rsidR="00DA7839" w:rsidRPr="00D17A61">
        <w:rPr>
          <w:sz w:val="26"/>
          <w:szCs w:val="26"/>
        </w:rPr>
        <w:t xml:space="preserve">ublic </w:t>
      </w:r>
      <w:r w:rsidR="00E36983" w:rsidRPr="00D17A61">
        <w:rPr>
          <w:sz w:val="26"/>
          <w:szCs w:val="26"/>
        </w:rPr>
        <w:t>i</w:t>
      </w:r>
      <w:r w:rsidR="00DA7839" w:rsidRPr="00D17A61">
        <w:rPr>
          <w:sz w:val="26"/>
          <w:szCs w:val="26"/>
        </w:rPr>
        <w:t>nput hearings contended that th</w:t>
      </w:r>
      <w:r w:rsidRPr="00D17A61">
        <w:rPr>
          <w:sz w:val="26"/>
          <w:szCs w:val="26"/>
        </w:rPr>
        <w:t>e</w:t>
      </w:r>
      <w:r w:rsidR="007B3114" w:rsidRPr="00D17A61">
        <w:rPr>
          <w:sz w:val="26"/>
          <w:szCs w:val="26"/>
        </w:rPr>
        <w:t xml:space="preserve"> </w:t>
      </w:r>
      <w:r w:rsidRPr="00D17A61">
        <w:rPr>
          <w:sz w:val="26"/>
          <w:szCs w:val="26"/>
        </w:rPr>
        <w:t xml:space="preserve">Company’s </w:t>
      </w:r>
      <w:r w:rsidR="007B3114" w:rsidRPr="00D17A61">
        <w:rPr>
          <w:sz w:val="26"/>
          <w:szCs w:val="26"/>
        </w:rPr>
        <w:t>proposed increase</w:t>
      </w:r>
      <w:r w:rsidR="007A2407">
        <w:rPr>
          <w:sz w:val="26"/>
          <w:szCs w:val="26"/>
        </w:rPr>
        <w:t>,</w:t>
      </w:r>
      <w:r w:rsidR="007B3114" w:rsidRPr="00D17A61">
        <w:rPr>
          <w:sz w:val="26"/>
          <w:szCs w:val="26"/>
        </w:rPr>
        <w:t xml:space="preserve"> which comes on the heels of an approximate </w:t>
      </w:r>
      <w:r w:rsidR="00577DE2">
        <w:rPr>
          <w:sz w:val="26"/>
          <w:szCs w:val="26"/>
        </w:rPr>
        <w:t xml:space="preserve">thirty percent </w:t>
      </w:r>
      <w:r w:rsidR="007B3114" w:rsidRPr="00D17A61">
        <w:rPr>
          <w:sz w:val="26"/>
          <w:szCs w:val="26"/>
        </w:rPr>
        <w:t xml:space="preserve">increase </w:t>
      </w:r>
      <w:r w:rsidR="00513A68" w:rsidRPr="00D17A61">
        <w:rPr>
          <w:sz w:val="26"/>
          <w:szCs w:val="26"/>
        </w:rPr>
        <w:t>that took effect January 2010,</w:t>
      </w:r>
      <w:r w:rsidR="007B3114" w:rsidRPr="00D17A61">
        <w:rPr>
          <w:sz w:val="26"/>
          <w:szCs w:val="26"/>
        </w:rPr>
        <w:t xml:space="preserve"> is to</w:t>
      </w:r>
      <w:r w:rsidR="00513A68" w:rsidRPr="00D17A61">
        <w:rPr>
          <w:sz w:val="26"/>
          <w:szCs w:val="26"/>
        </w:rPr>
        <w:t>o</w:t>
      </w:r>
      <w:r w:rsidR="007B3114" w:rsidRPr="00D17A61">
        <w:rPr>
          <w:sz w:val="26"/>
          <w:szCs w:val="26"/>
        </w:rPr>
        <w:t xml:space="preserve"> much to bear and</w:t>
      </w:r>
      <w:r w:rsidR="00DA7839" w:rsidRPr="00D17A61">
        <w:rPr>
          <w:sz w:val="26"/>
          <w:szCs w:val="26"/>
        </w:rPr>
        <w:t xml:space="preserve"> </w:t>
      </w:r>
      <w:r w:rsidRPr="00D17A61">
        <w:rPr>
          <w:sz w:val="26"/>
          <w:szCs w:val="26"/>
        </w:rPr>
        <w:t xml:space="preserve">that </w:t>
      </w:r>
      <w:r w:rsidR="00DA7839" w:rsidRPr="00D17A61">
        <w:rPr>
          <w:sz w:val="26"/>
          <w:szCs w:val="26"/>
        </w:rPr>
        <w:t xml:space="preserve">is reason </w:t>
      </w:r>
      <w:r w:rsidRPr="00D17A61">
        <w:rPr>
          <w:sz w:val="26"/>
          <w:szCs w:val="26"/>
        </w:rPr>
        <w:t xml:space="preserve">enough </w:t>
      </w:r>
      <w:r w:rsidR="00DA7839" w:rsidRPr="00D17A61">
        <w:rPr>
          <w:sz w:val="26"/>
          <w:szCs w:val="26"/>
        </w:rPr>
        <w:t xml:space="preserve">to prohibit </w:t>
      </w:r>
      <w:r w:rsidR="00DA7839" w:rsidRPr="00D17A61">
        <w:rPr>
          <w:sz w:val="26"/>
          <w:szCs w:val="26"/>
        </w:rPr>
        <w:lastRenderedPageBreak/>
        <w:t xml:space="preserve">the proposed rate increase.  Tr. at </w:t>
      </w:r>
      <w:r w:rsidR="007B3114" w:rsidRPr="00D17A61">
        <w:rPr>
          <w:sz w:val="26"/>
          <w:szCs w:val="26"/>
        </w:rPr>
        <w:t>50-54</w:t>
      </w:r>
      <w:r w:rsidR="00DA7839" w:rsidRPr="00D17A61">
        <w:rPr>
          <w:sz w:val="26"/>
          <w:szCs w:val="26"/>
        </w:rPr>
        <w:t>, 1</w:t>
      </w:r>
      <w:r w:rsidR="00513A68" w:rsidRPr="00D17A61">
        <w:rPr>
          <w:sz w:val="26"/>
          <w:szCs w:val="26"/>
        </w:rPr>
        <w:t>22-</w:t>
      </w:r>
      <w:r w:rsidR="00DA7839" w:rsidRPr="00D17A61">
        <w:rPr>
          <w:sz w:val="26"/>
          <w:szCs w:val="26"/>
        </w:rPr>
        <w:t>1</w:t>
      </w:r>
      <w:r w:rsidR="00513A68" w:rsidRPr="00D17A61">
        <w:rPr>
          <w:sz w:val="26"/>
          <w:szCs w:val="26"/>
        </w:rPr>
        <w:t>25,</w:t>
      </w:r>
      <w:r w:rsidR="00DA7839" w:rsidRPr="00D17A61">
        <w:rPr>
          <w:sz w:val="26"/>
          <w:szCs w:val="26"/>
        </w:rPr>
        <w:t xml:space="preserve"> </w:t>
      </w:r>
      <w:r w:rsidR="00513A68" w:rsidRPr="00D17A61">
        <w:rPr>
          <w:sz w:val="26"/>
          <w:szCs w:val="26"/>
        </w:rPr>
        <w:t>168-174</w:t>
      </w:r>
      <w:r w:rsidRPr="00D17A61">
        <w:rPr>
          <w:sz w:val="26"/>
          <w:szCs w:val="26"/>
        </w:rPr>
        <w:t>.</w:t>
      </w:r>
      <w:r w:rsidR="002B32F1">
        <w:rPr>
          <w:sz w:val="26"/>
          <w:szCs w:val="26"/>
        </w:rPr>
        <w:t xml:space="preserve"> </w:t>
      </w:r>
      <w:r w:rsidR="00DA7839" w:rsidRPr="00D17A61">
        <w:rPr>
          <w:sz w:val="26"/>
          <w:szCs w:val="26"/>
        </w:rPr>
        <w:t xml:space="preserve"> The ALJ </w:t>
      </w:r>
      <w:r w:rsidR="001E18C8" w:rsidRPr="00D17A61">
        <w:rPr>
          <w:sz w:val="26"/>
          <w:szCs w:val="26"/>
        </w:rPr>
        <w:t xml:space="preserve">determined </w:t>
      </w:r>
      <w:r w:rsidR="00DA7839" w:rsidRPr="00D17A61">
        <w:rPr>
          <w:sz w:val="26"/>
          <w:szCs w:val="26"/>
        </w:rPr>
        <w:t xml:space="preserve">that </w:t>
      </w:r>
      <w:r w:rsidR="001E18C8" w:rsidRPr="00D17A61">
        <w:rPr>
          <w:sz w:val="26"/>
          <w:szCs w:val="26"/>
        </w:rPr>
        <w:t xml:space="preserve">while </w:t>
      </w:r>
      <w:r w:rsidR="00DA7839" w:rsidRPr="00D17A61">
        <w:rPr>
          <w:sz w:val="26"/>
          <w:szCs w:val="26"/>
        </w:rPr>
        <w:t>th</w:t>
      </w:r>
      <w:r w:rsidR="001E18C8" w:rsidRPr="00D17A61">
        <w:rPr>
          <w:sz w:val="26"/>
          <w:szCs w:val="26"/>
        </w:rPr>
        <w:t>e citizens’ testimony was consistent with regard to the anticipated impact of a rate increase, the arguments presented were</w:t>
      </w:r>
      <w:r w:rsidR="00DA7839" w:rsidRPr="00D17A61">
        <w:rPr>
          <w:sz w:val="26"/>
          <w:szCs w:val="26"/>
        </w:rPr>
        <w:t xml:space="preserve"> not legally sustainable</w:t>
      </w:r>
      <w:r w:rsidR="001E18C8" w:rsidRPr="00D17A61">
        <w:rPr>
          <w:sz w:val="26"/>
          <w:szCs w:val="26"/>
        </w:rPr>
        <w:t xml:space="preserve"> on the basis of the record evidence</w:t>
      </w:r>
      <w:r w:rsidR="00DA7839" w:rsidRPr="00D17A61">
        <w:rPr>
          <w:sz w:val="26"/>
          <w:szCs w:val="26"/>
        </w:rPr>
        <w:t xml:space="preserve">.  </w:t>
      </w:r>
      <w:r w:rsidR="00727330" w:rsidRPr="00D17A61">
        <w:rPr>
          <w:sz w:val="26"/>
          <w:szCs w:val="26"/>
        </w:rPr>
        <w:t xml:space="preserve">R.D. </w:t>
      </w:r>
      <w:r w:rsidR="002B32F1">
        <w:rPr>
          <w:sz w:val="26"/>
          <w:szCs w:val="26"/>
        </w:rPr>
        <w:t>2-3</w:t>
      </w:r>
      <w:r w:rsidR="00C43DC9">
        <w:rPr>
          <w:sz w:val="26"/>
          <w:szCs w:val="26"/>
        </w:rPr>
        <w:t>;</w:t>
      </w:r>
      <w:r w:rsidR="008C6432">
        <w:rPr>
          <w:sz w:val="26"/>
          <w:szCs w:val="26"/>
        </w:rPr>
        <w:t xml:space="preserve"> </w:t>
      </w:r>
      <w:r w:rsidR="00727330" w:rsidRPr="00D17A61">
        <w:rPr>
          <w:sz w:val="26"/>
          <w:szCs w:val="26"/>
        </w:rPr>
        <w:t xml:space="preserve">30-32.  Our review </w:t>
      </w:r>
      <w:r w:rsidR="00C43DC9">
        <w:rPr>
          <w:sz w:val="26"/>
          <w:szCs w:val="26"/>
        </w:rPr>
        <w:t xml:space="preserve">of the record evidence </w:t>
      </w:r>
      <w:r w:rsidR="00727330" w:rsidRPr="00D17A61">
        <w:rPr>
          <w:sz w:val="26"/>
          <w:szCs w:val="26"/>
        </w:rPr>
        <w:t>indicates that t</w:t>
      </w:r>
      <w:r w:rsidR="00DA7839" w:rsidRPr="00D17A61">
        <w:rPr>
          <w:sz w:val="26"/>
          <w:szCs w:val="26"/>
        </w:rPr>
        <w:t xml:space="preserve">he </w:t>
      </w:r>
      <w:r w:rsidR="002B32F1">
        <w:rPr>
          <w:sz w:val="26"/>
          <w:szCs w:val="26"/>
        </w:rPr>
        <w:t>citizens’ testimony and arguments</w:t>
      </w:r>
      <w:r w:rsidR="00DA7839" w:rsidRPr="00D17A61">
        <w:rPr>
          <w:sz w:val="26"/>
          <w:szCs w:val="26"/>
        </w:rPr>
        <w:t xml:space="preserve"> d</w:t>
      </w:r>
      <w:r w:rsidR="001E18C8" w:rsidRPr="00D17A61">
        <w:rPr>
          <w:sz w:val="26"/>
          <w:szCs w:val="26"/>
        </w:rPr>
        <w:t>o</w:t>
      </w:r>
      <w:r w:rsidR="00DA7839" w:rsidRPr="00D17A61">
        <w:rPr>
          <w:sz w:val="26"/>
          <w:szCs w:val="26"/>
        </w:rPr>
        <w:t xml:space="preserve"> not address reasons </w:t>
      </w:r>
      <w:r w:rsidR="00577DE2">
        <w:rPr>
          <w:sz w:val="26"/>
          <w:szCs w:val="26"/>
        </w:rPr>
        <w:t xml:space="preserve">as to why </w:t>
      </w:r>
      <w:r w:rsidR="00DA7839" w:rsidRPr="00D17A61">
        <w:rPr>
          <w:sz w:val="26"/>
          <w:szCs w:val="26"/>
        </w:rPr>
        <w:t>the increase is unjustified</w:t>
      </w:r>
      <w:r w:rsidR="00727330" w:rsidRPr="00D17A61">
        <w:rPr>
          <w:sz w:val="26"/>
          <w:szCs w:val="26"/>
        </w:rPr>
        <w:t xml:space="preserve"> as much as </w:t>
      </w:r>
      <w:r w:rsidR="00DA7839" w:rsidRPr="00D17A61">
        <w:rPr>
          <w:sz w:val="26"/>
          <w:szCs w:val="26"/>
        </w:rPr>
        <w:t>t</w:t>
      </w:r>
      <w:r w:rsidR="001E18C8" w:rsidRPr="00D17A61">
        <w:rPr>
          <w:sz w:val="26"/>
          <w:szCs w:val="26"/>
        </w:rPr>
        <w:t>hey</w:t>
      </w:r>
      <w:r w:rsidR="00DA7839" w:rsidRPr="00D17A61">
        <w:rPr>
          <w:sz w:val="26"/>
          <w:szCs w:val="26"/>
        </w:rPr>
        <w:t xml:space="preserve"> suggest reasons </w:t>
      </w:r>
      <w:r w:rsidR="00FD731C">
        <w:rPr>
          <w:sz w:val="26"/>
          <w:szCs w:val="26"/>
        </w:rPr>
        <w:t xml:space="preserve">as to </w:t>
      </w:r>
      <w:r w:rsidR="00DA7839" w:rsidRPr="00D17A61">
        <w:rPr>
          <w:sz w:val="26"/>
          <w:szCs w:val="26"/>
        </w:rPr>
        <w:t xml:space="preserve">why an increase cannot be maintained by some ratepayers.  </w:t>
      </w:r>
      <w:r w:rsidR="001E18C8" w:rsidRPr="00D17A61">
        <w:rPr>
          <w:sz w:val="26"/>
          <w:szCs w:val="26"/>
        </w:rPr>
        <w:t xml:space="preserve">The </w:t>
      </w:r>
      <w:r w:rsidR="00FD731C">
        <w:rPr>
          <w:sz w:val="26"/>
          <w:szCs w:val="26"/>
        </w:rPr>
        <w:t xml:space="preserve">Partial </w:t>
      </w:r>
      <w:r w:rsidR="001E18C8" w:rsidRPr="00D17A61">
        <w:rPr>
          <w:sz w:val="26"/>
          <w:szCs w:val="26"/>
        </w:rPr>
        <w:t>Settlement, which substantially reduces t</w:t>
      </w:r>
      <w:r w:rsidR="00DA7839" w:rsidRPr="00D17A61">
        <w:rPr>
          <w:sz w:val="26"/>
          <w:szCs w:val="26"/>
        </w:rPr>
        <w:t xml:space="preserve">he proposed </w:t>
      </w:r>
      <w:r w:rsidR="002B32F1">
        <w:rPr>
          <w:sz w:val="26"/>
          <w:szCs w:val="26"/>
        </w:rPr>
        <w:t xml:space="preserve">rate </w:t>
      </w:r>
      <w:r w:rsidR="00DA7839" w:rsidRPr="00D17A61">
        <w:rPr>
          <w:sz w:val="26"/>
          <w:szCs w:val="26"/>
        </w:rPr>
        <w:t>increase, reasonably accounts for the current difficult financial environment</w:t>
      </w:r>
      <w:r w:rsidR="002B32F1">
        <w:rPr>
          <w:sz w:val="26"/>
          <w:szCs w:val="26"/>
        </w:rPr>
        <w:t xml:space="preserve"> faced by</w:t>
      </w:r>
      <w:r w:rsidR="000E7E33">
        <w:rPr>
          <w:sz w:val="26"/>
          <w:szCs w:val="26"/>
        </w:rPr>
        <w:t> </w:t>
      </w:r>
      <w:r w:rsidR="002B32F1">
        <w:rPr>
          <w:sz w:val="26"/>
          <w:szCs w:val="26"/>
        </w:rPr>
        <w:t>all</w:t>
      </w:r>
      <w:r w:rsidR="000E7E33">
        <w:rPr>
          <w:sz w:val="26"/>
          <w:szCs w:val="26"/>
        </w:rPr>
        <w:t>.</w:t>
      </w:r>
    </w:p>
    <w:p w:rsidR="008817BC" w:rsidRDefault="008817BC" w:rsidP="000E0862">
      <w:pPr>
        <w:pStyle w:val="BodyText"/>
        <w:spacing w:after="0"/>
        <w:ind w:firstLine="1440"/>
        <w:contextualSpacing/>
        <w:jc w:val="left"/>
        <w:rPr>
          <w:sz w:val="26"/>
          <w:szCs w:val="26"/>
        </w:rPr>
      </w:pPr>
    </w:p>
    <w:p w:rsidR="008817BC" w:rsidRDefault="002B32F1" w:rsidP="000E0862">
      <w:pPr>
        <w:pStyle w:val="BodyText"/>
        <w:spacing w:after="0"/>
        <w:ind w:firstLine="1440"/>
        <w:contextualSpacing/>
        <w:jc w:val="left"/>
        <w:rPr>
          <w:sz w:val="26"/>
          <w:szCs w:val="26"/>
        </w:rPr>
      </w:pPr>
      <w:r>
        <w:rPr>
          <w:sz w:val="26"/>
          <w:szCs w:val="26"/>
        </w:rPr>
        <w:t xml:space="preserve">Further support for a determination that the </w:t>
      </w:r>
      <w:r w:rsidR="00FD731C">
        <w:rPr>
          <w:sz w:val="26"/>
          <w:szCs w:val="26"/>
        </w:rPr>
        <w:t xml:space="preserve">Partial </w:t>
      </w:r>
      <w:r>
        <w:rPr>
          <w:sz w:val="26"/>
          <w:szCs w:val="26"/>
        </w:rPr>
        <w:t xml:space="preserve">Settlement should be approved is </w:t>
      </w:r>
      <w:r w:rsidR="00FD731C">
        <w:rPr>
          <w:sz w:val="26"/>
          <w:szCs w:val="26"/>
        </w:rPr>
        <w:t xml:space="preserve">included </w:t>
      </w:r>
      <w:r>
        <w:rPr>
          <w:sz w:val="26"/>
          <w:szCs w:val="26"/>
        </w:rPr>
        <w:t>in the</w:t>
      </w:r>
      <w:r w:rsidR="00DA7839" w:rsidRPr="00D17A61">
        <w:rPr>
          <w:sz w:val="26"/>
          <w:szCs w:val="26"/>
        </w:rPr>
        <w:t xml:space="preserve"> Partial Settlement </w:t>
      </w:r>
      <w:r>
        <w:rPr>
          <w:sz w:val="26"/>
          <w:szCs w:val="26"/>
        </w:rPr>
        <w:t xml:space="preserve">itself, which </w:t>
      </w:r>
      <w:r w:rsidR="00DA7839" w:rsidRPr="00D17A61">
        <w:rPr>
          <w:sz w:val="26"/>
          <w:szCs w:val="26"/>
        </w:rPr>
        <w:t>states</w:t>
      </w:r>
      <w:r>
        <w:rPr>
          <w:sz w:val="26"/>
          <w:szCs w:val="26"/>
        </w:rPr>
        <w:t xml:space="preserve"> in pertinent part</w:t>
      </w:r>
      <w:r w:rsidR="00DA7839" w:rsidRPr="00D17A61">
        <w:rPr>
          <w:sz w:val="26"/>
          <w:szCs w:val="26"/>
        </w:rPr>
        <w:t>:</w:t>
      </w:r>
    </w:p>
    <w:p w:rsidR="00DA7839" w:rsidRPr="00D17A61" w:rsidRDefault="00DA7839" w:rsidP="000E0862">
      <w:pPr>
        <w:pStyle w:val="BodyText"/>
        <w:spacing w:after="0"/>
        <w:jc w:val="both"/>
        <w:rPr>
          <w:sz w:val="26"/>
          <w:szCs w:val="26"/>
        </w:rPr>
      </w:pPr>
    </w:p>
    <w:p w:rsidR="00DA7839" w:rsidRPr="00D17A61" w:rsidRDefault="00DA7839" w:rsidP="000E0862">
      <w:pPr>
        <w:pStyle w:val="Pleading2L3"/>
        <w:numPr>
          <w:ilvl w:val="0"/>
          <w:numId w:val="0"/>
        </w:numPr>
        <w:tabs>
          <w:tab w:val="num" w:pos="2160"/>
        </w:tabs>
        <w:spacing w:line="240" w:lineRule="auto"/>
        <w:ind w:left="1440" w:right="1440"/>
        <w:contextualSpacing/>
        <w:rPr>
          <w:sz w:val="26"/>
          <w:szCs w:val="26"/>
        </w:rPr>
      </w:pPr>
      <w:r w:rsidRPr="00D17A61">
        <w:rPr>
          <w:sz w:val="26"/>
          <w:szCs w:val="26"/>
        </w:rPr>
        <w:t>38.</w:t>
      </w:r>
      <w:r w:rsidRPr="00D17A61">
        <w:rPr>
          <w:sz w:val="26"/>
          <w:szCs w:val="26"/>
        </w:rPr>
        <w:tab/>
        <w:t>This Settlement was achieved by the Joint Petitioners after an extensive investigation of PPL Electric’s filing, including extensive informal and formal discovery and the filing of direct, rebuttal, surreb</w:t>
      </w:r>
      <w:r w:rsidR="0013353A">
        <w:rPr>
          <w:sz w:val="26"/>
          <w:szCs w:val="26"/>
        </w:rPr>
        <w:t>uttal and rejoinder testimony.</w:t>
      </w:r>
    </w:p>
    <w:p w:rsidR="00DA7839" w:rsidRPr="00D17A61" w:rsidRDefault="00DA7839" w:rsidP="000E0862">
      <w:pPr>
        <w:pStyle w:val="Pleading2L3"/>
        <w:numPr>
          <w:ilvl w:val="0"/>
          <w:numId w:val="0"/>
        </w:numPr>
        <w:tabs>
          <w:tab w:val="num" w:pos="2160"/>
        </w:tabs>
        <w:spacing w:line="240" w:lineRule="auto"/>
        <w:ind w:left="1440" w:right="1440"/>
        <w:contextualSpacing/>
        <w:jc w:val="both"/>
        <w:rPr>
          <w:sz w:val="26"/>
          <w:szCs w:val="26"/>
        </w:rPr>
      </w:pPr>
    </w:p>
    <w:p w:rsidR="00DA7839" w:rsidRPr="00D17A61" w:rsidRDefault="00DA7839" w:rsidP="000E0862">
      <w:pPr>
        <w:pStyle w:val="Pleading2L3"/>
        <w:numPr>
          <w:ilvl w:val="0"/>
          <w:numId w:val="0"/>
        </w:numPr>
        <w:tabs>
          <w:tab w:val="num" w:pos="2160"/>
        </w:tabs>
        <w:spacing w:line="240" w:lineRule="auto"/>
        <w:ind w:left="1440" w:right="1440"/>
        <w:contextualSpacing/>
        <w:rPr>
          <w:sz w:val="26"/>
          <w:szCs w:val="26"/>
        </w:rPr>
      </w:pPr>
      <w:r w:rsidRPr="00D17A61">
        <w:rPr>
          <w:sz w:val="26"/>
          <w:szCs w:val="26"/>
        </w:rPr>
        <w:t>39.</w:t>
      </w:r>
      <w:r w:rsidRPr="00D17A61">
        <w:rPr>
          <w:sz w:val="26"/>
          <w:szCs w:val="26"/>
        </w:rPr>
        <w:tab/>
        <w:t>Acceptance of the Settlement will reduce the necessity of further administrative and potential appellate proceedings, which could impose a substantial cost on the Joint Petitioners</w:t>
      </w:r>
      <w:r w:rsidR="0013353A">
        <w:rPr>
          <w:sz w:val="26"/>
          <w:szCs w:val="26"/>
        </w:rPr>
        <w:t xml:space="preserve"> and PPL Electric’s customers.</w:t>
      </w:r>
    </w:p>
    <w:p w:rsidR="007B4421" w:rsidRPr="00D17A61" w:rsidRDefault="007B4421" w:rsidP="000E0862">
      <w:pPr>
        <w:pStyle w:val="Pleading2L3"/>
        <w:numPr>
          <w:ilvl w:val="0"/>
          <w:numId w:val="0"/>
        </w:numPr>
        <w:tabs>
          <w:tab w:val="num" w:pos="2160"/>
        </w:tabs>
        <w:spacing w:line="240" w:lineRule="auto"/>
        <w:ind w:left="1440" w:right="1440"/>
        <w:contextualSpacing/>
        <w:jc w:val="both"/>
        <w:rPr>
          <w:sz w:val="26"/>
          <w:szCs w:val="26"/>
        </w:rPr>
      </w:pPr>
    </w:p>
    <w:p w:rsidR="00DA7839" w:rsidRPr="00D17A61" w:rsidRDefault="00DA7839" w:rsidP="000E0862">
      <w:pPr>
        <w:pStyle w:val="Pleading2L3"/>
        <w:numPr>
          <w:ilvl w:val="0"/>
          <w:numId w:val="0"/>
        </w:numPr>
        <w:tabs>
          <w:tab w:val="num" w:pos="2160"/>
        </w:tabs>
        <w:spacing w:line="240" w:lineRule="auto"/>
        <w:ind w:left="1440" w:right="1440"/>
        <w:contextualSpacing/>
        <w:rPr>
          <w:sz w:val="26"/>
          <w:szCs w:val="26"/>
        </w:rPr>
      </w:pPr>
      <w:r w:rsidRPr="00D17A61">
        <w:rPr>
          <w:sz w:val="26"/>
          <w:szCs w:val="26"/>
        </w:rPr>
        <w:t>40.</w:t>
      </w:r>
      <w:r w:rsidRPr="00D17A61">
        <w:rPr>
          <w:sz w:val="26"/>
          <w:szCs w:val="26"/>
        </w:rPr>
        <w:tab/>
        <w:t>Joint Petitioners are submitting their respective Statements in Support of this Settlement under separate cover.  In their respective Statements in Support, each Joint Petitioner explains why, in its view, the Settlement is fair, just and reasonable and reflects a reasonable compromise of the disputed issues in this proceeding.  It is noted that, because certain Joint Petitioners only participated with regard to certain issues in this proceeding, some of the Statements in Support may be limited in the scope of issues addressed.</w:t>
      </w:r>
    </w:p>
    <w:p w:rsidR="00DA7839" w:rsidRPr="00D17A61" w:rsidRDefault="00DA7839" w:rsidP="000E0862">
      <w:pPr>
        <w:pStyle w:val="Pleading2L3"/>
        <w:numPr>
          <w:ilvl w:val="0"/>
          <w:numId w:val="0"/>
        </w:numPr>
        <w:tabs>
          <w:tab w:val="num" w:pos="2160"/>
        </w:tabs>
        <w:spacing w:line="240" w:lineRule="auto"/>
        <w:ind w:left="1440" w:right="1440"/>
        <w:contextualSpacing/>
        <w:jc w:val="both"/>
        <w:rPr>
          <w:sz w:val="26"/>
          <w:szCs w:val="26"/>
        </w:rPr>
      </w:pPr>
    </w:p>
    <w:p w:rsidR="00DA7839" w:rsidRPr="00D17A61" w:rsidRDefault="00DA7839" w:rsidP="000E0862">
      <w:pPr>
        <w:pStyle w:val="Pleading2L3"/>
        <w:numPr>
          <w:ilvl w:val="0"/>
          <w:numId w:val="0"/>
        </w:numPr>
        <w:tabs>
          <w:tab w:val="num" w:pos="2160"/>
        </w:tabs>
        <w:spacing w:line="360" w:lineRule="auto"/>
        <w:ind w:left="1440" w:right="1440" w:hanging="1440"/>
        <w:contextualSpacing/>
        <w:jc w:val="both"/>
        <w:rPr>
          <w:sz w:val="26"/>
          <w:szCs w:val="26"/>
        </w:rPr>
      </w:pPr>
      <w:r w:rsidRPr="00D17A61">
        <w:rPr>
          <w:sz w:val="26"/>
          <w:szCs w:val="26"/>
        </w:rPr>
        <w:t>Joint Petition for Partial Settlement at 9-10.</w:t>
      </w:r>
    </w:p>
    <w:p w:rsidR="00DA7839" w:rsidRPr="00D17A61" w:rsidRDefault="00DA7839" w:rsidP="000E0862">
      <w:pPr>
        <w:pStyle w:val="BodyText"/>
        <w:spacing w:after="0"/>
        <w:ind w:firstLine="1440"/>
        <w:jc w:val="both"/>
        <w:rPr>
          <w:sz w:val="26"/>
          <w:szCs w:val="26"/>
        </w:rPr>
      </w:pPr>
    </w:p>
    <w:p w:rsidR="008817BC" w:rsidRDefault="00DA7839" w:rsidP="000E0862">
      <w:pPr>
        <w:pStyle w:val="BodyText"/>
        <w:spacing w:after="0"/>
        <w:ind w:firstLine="1440"/>
        <w:jc w:val="left"/>
        <w:rPr>
          <w:sz w:val="26"/>
          <w:szCs w:val="26"/>
        </w:rPr>
      </w:pPr>
      <w:r w:rsidRPr="00D17A61">
        <w:rPr>
          <w:sz w:val="26"/>
          <w:szCs w:val="26"/>
        </w:rPr>
        <w:lastRenderedPageBreak/>
        <w:t xml:space="preserve">In its Statement in Support, PPL </w:t>
      </w:r>
      <w:r w:rsidR="008802D2">
        <w:rPr>
          <w:sz w:val="26"/>
          <w:szCs w:val="26"/>
        </w:rPr>
        <w:t xml:space="preserve">recognizes </w:t>
      </w:r>
      <w:r w:rsidRPr="00D17A61">
        <w:rPr>
          <w:sz w:val="26"/>
          <w:szCs w:val="26"/>
        </w:rPr>
        <w:t xml:space="preserve">the fact that the </w:t>
      </w:r>
      <w:r w:rsidR="00CC3FB3">
        <w:rPr>
          <w:sz w:val="26"/>
          <w:szCs w:val="26"/>
        </w:rPr>
        <w:t xml:space="preserve">Partial </w:t>
      </w:r>
      <w:r w:rsidRPr="00D17A61">
        <w:rPr>
          <w:sz w:val="26"/>
          <w:szCs w:val="26"/>
        </w:rPr>
        <w:t>Settlement</w:t>
      </w:r>
      <w:r w:rsidR="008802D2">
        <w:rPr>
          <w:sz w:val="26"/>
          <w:szCs w:val="26"/>
        </w:rPr>
        <w:t>, being unopposed,</w:t>
      </w:r>
      <w:r w:rsidRPr="00D17A61">
        <w:rPr>
          <w:sz w:val="26"/>
          <w:szCs w:val="26"/>
        </w:rPr>
        <w:t xml:space="preserve"> is strong evidence that the </w:t>
      </w:r>
      <w:r w:rsidR="008802D2">
        <w:rPr>
          <w:sz w:val="26"/>
          <w:szCs w:val="26"/>
        </w:rPr>
        <w:t>S</w:t>
      </w:r>
      <w:r w:rsidRPr="00D17A61">
        <w:rPr>
          <w:sz w:val="26"/>
          <w:szCs w:val="26"/>
        </w:rPr>
        <w:t xml:space="preserve">ettlement is reasonable and in the public interest, particularly given the diverse interests of the </w:t>
      </w:r>
      <w:r w:rsidR="00CC3FB3">
        <w:rPr>
          <w:sz w:val="26"/>
          <w:szCs w:val="26"/>
        </w:rPr>
        <w:t>P</w:t>
      </w:r>
      <w:r w:rsidRPr="00D17A61">
        <w:rPr>
          <w:sz w:val="26"/>
          <w:szCs w:val="26"/>
        </w:rPr>
        <w:t>arties and their role in this investigation.</w:t>
      </w:r>
      <w:r w:rsidR="007B4421" w:rsidRPr="00D17A61">
        <w:rPr>
          <w:sz w:val="26"/>
          <w:szCs w:val="26"/>
        </w:rPr>
        <w:t xml:space="preserve">  </w:t>
      </w:r>
      <w:r w:rsidR="008802D2">
        <w:rPr>
          <w:sz w:val="26"/>
          <w:szCs w:val="26"/>
        </w:rPr>
        <w:t xml:space="preserve">PPL </w:t>
      </w:r>
      <w:r w:rsidR="007B4421" w:rsidRPr="00D17A61">
        <w:rPr>
          <w:sz w:val="26"/>
          <w:szCs w:val="26"/>
        </w:rPr>
        <w:t xml:space="preserve">also </w:t>
      </w:r>
      <w:r w:rsidRPr="00D17A61">
        <w:rPr>
          <w:sz w:val="26"/>
          <w:szCs w:val="26"/>
        </w:rPr>
        <w:t xml:space="preserve">points out that the </w:t>
      </w:r>
      <w:r w:rsidR="00CC3FB3">
        <w:rPr>
          <w:sz w:val="26"/>
          <w:szCs w:val="26"/>
        </w:rPr>
        <w:t xml:space="preserve">Partial </w:t>
      </w:r>
      <w:r w:rsidRPr="00D17A61">
        <w:rPr>
          <w:sz w:val="26"/>
          <w:szCs w:val="26"/>
        </w:rPr>
        <w:t>Settlement was achieved only after a comprehensive investigation of PPL’s operations</w:t>
      </w:r>
      <w:r w:rsidR="007B4421" w:rsidRPr="00D17A61">
        <w:rPr>
          <w:sz w:val="26"/>
          <w:szCs w:val="26"/>
        </w:rPr>
        <w:t xml:space="preserve"> by numerous </w:t>
      </w:r>
      <w:r w:rsidR="00CC3FB3">
        <w:rPr>
          <w:sz w:val="26"/>
          <w:szCs w:val="26"/>
        </w:rPr>
        <w:t>P</w:t>
      </w:r>
      <w:r w:rsidR="007B4421" w:rsidRPr="00D17A61">
        <w:rPr>
          <w:sz w:val="26"/>
          <w:szCs w:val="26"/>
        </w:rPr>
        <w:t>arties</w:t>
      </w:r>
      <w:r w:rsidRPr="00D17A61">
        <w:rPr>
          <w:sz w:val="26"/>
          <w:szCs w:val="26"/>
        </w:rPr>
        <w:t xml:space="preserve">.  Moreover, the </w:t>
      </w:r>
      <w:r w:rsidR="00CC3FB3">
        <w:rPr>
          <w:sz w:val="26"/>
          <w:szCs w:val="26"/>
        </w:rPr>
        <w:t>P</w:t>
      </w:r>
      <w:r w:rsidRPr="00D17A61">
        <w:rPr>
          <w:sz w:val="26"/>
          <w:szCs w:val="26"/>
        </w:rPr>
        <w:t xml:space="preserve">arties participated in numerous settlement discussions and formal negotiations which ultimately led to the </w:t>
      </w:r>
      <w:r w:rsidR="00C22842">
        <w:rPr>
          <w:sz w:val="26"/>
          <w:szCs w:val="26"/>
        </w:rPr>
        <w:t xml:space="preserve">Partial </w:t>
      </w:r>
      <w:r w:rsidRPr="00D17A61">
        <w:rPr>
          <w:sz w:val="26"/>
          <w:szCs w:val="26"/>
        </w:rPr>
        <w:t>Settlement.</w:t>
      </w:r>
    </w:p>
    <w:p w:rsidR="008C6432" w:rsidRDefault="008C6432" w:rsidP="000E0862">
      <w:pPr>
        <w:pStyle w:val="BodyText"/>
        <w:spacing w:after="0"/>
        <w:ind w:firstLine="1440"/>
        <w:jc w:val="left"/>
        <w:rPr>
          <w:sz w:val="26"/>
          <w:szCs w:val="26"/>
        </w:rPr>
      </w:pPr>
    </w:p>
    <w:p w:rsidR="008817BC" w:rsidRDefault="00DA7839" w:rsidP="000E0862">
      <w:pPr>
        <w:pStyle w:val="BodyText"/>
        <w:spacing w:after="0"/>
        <w:ind w:firstLine="1440"/>
        <w:jc w:val="left"/>
        <w:rPr>
          <w:sz w:val="26"/>
          <w:szCs w:val="26"/>
        </w:rPr>
      </w:pPr>
      <w:r w:rsidRPr="00D17A61">
        <w:rPr>
          <w:sz w:val="26"/>
          <w:szCs w:val="26"/>
        </w:rPr>
        <w:t xml:space="preserve">The </w:t>
      </w:r>
      <w:r w:rsidR="00D31C39" w:rsidRPr="00D17A61">
        <w:rPr>
          <w:sz w:val="26"/>
          <w:szCs w:val="26"/>
        </w:rPr>
        <w:t xml:space="preserve">Joint Petitioners </w:t>
      </w:r>
      <w:r w:rsidRPr="00D17A61">
        <w:rPr>
          <w:sz w:val="26"/>
          <w:szCs w:val="26"/>
        </w:rPr>
        <w:t>identif</w:t>
      </w:r>
      <w:r w:rsidR="00D31C39" w:rsidRPr="00D17A61">
        <w:rPr>
          <w:sz w:val="26"/>
          <w:szCs w:val="26"/>
        </w:rPr>
        <w:t>ied</w:t>
      </w:r>
      <w:r w:rsidRPr="00D17A61">
        <w:rPr>
          <w:sz w:val="26"/>
          <w:szCs w:val="26"/>
        </w:rPr>
        <w:t xml:space="preserve"> the </w:t>
      </w:r>
      <w:r w:rsidR="004C6E0B">
        <w:rPr>
          <w:sz w:val="26"/>
          <w:szCs w:val="26"/>
        </w:rPr>
        <w:t>P</w:t>
      </w:r>
      <w:r w:rsidRPr="00D17A61">
        <w:rPr>
          <w:sz w:val="26"/>
          <w:szCs w:val="26"/>
        </w:rPr>
        <w:t xml:space="preserve">artial </w:t>
      </w:r>
      <w:r w:rsidR="004C6E0B">
        <w:rPr>
          <w:sz w:val="26"/>
          <w:szCs w:val="26"/>
        </w:rPr>
        <w:t>S</w:t>
      </w:r>
      <w:r w:rsidRPr="00D17A61">
        <w:rPr>
          <w:sz w:val="26"/>
          <w:szCs w:val="26"/>
        </w:rPr>
        <w:t>ettlement as a “black box”</w:t>
      </w:r>
      <w:r w:rsidR="00D31C39" w:rsidRPr="00D17A61">
        <w:rPr>
          <w:sz w:val="26"/>
          <w:szCs w:val="26"/>
        </w:rPr>
        <w:t xml:space="preserve"> settlement.</w:t>
      </w:r>
      <w:r w:rsidRPr="00D17A61">
        <w:rPr>
          <w:sz w:val="26"/>
          <w:szCs w:val="26"/>
        </w:rPr>
        <w:t xml:space="preserve"> </w:t>
      </w:r>
      <w:r w:rsidR="00D31C39" w:rsidRPr="00D17A61">
        <w:rPr>
          <w:sz w:val="26"/>
          <w:szCs w:val="26"/>
        </w:rPr>
        <w:t xml:space="preserve"> </w:t>
      </w:r>
      <w:r w:rsidR="004C6E0B">
        <w:rPr>
          <w:sz w:val="26"/>
          <w:szCs w:val="26"/>
        </w:rPr>
        <w:t xml:space="preserve">The </w:t>
      </w:r>
      <w:r w:rsidRPr="00D17A61">
        <w:rPr>
          <w:sz w:val="26"/>
          <w:szCs w:val="26"/>
        </w:rPr>
        <w:t>OTS explain</w:t>
      </w:r>
      <w:r w:rsidR="00D31C39" w:rsidRPr="00D17A61">
        <w:rPr>
          <w:sz w:val="26"/>
          <w:szCs w:val="26"/>
        </w:rPr>
        <w:t>ed</w:t>
      </w:r>
      <w:r w:rsidRPr="00D17A61">
        <w:rPr>
          <w:sz w:val="26"/>
          <w:szCs w:val="26"/>
        </w:rPr>
        <w:t xml:space="preserve"> both the concept and its benefits:</w:t>
      </w:r>
    </w:p>
    <w:p w:rsidR="00DA7839" w:rsidRPr="00D17A61" w:rsidRDefault="00DA7839" w:rsidP="000E0862">
      <w:pPr>
        <w:pStyle w:val="BodyText"/>
        <w:spacing w:after="0"/>
        <w:ind w:firstLine="1440"/>
        <w:jc w:val="both"/>
        <w:rPr>
          <w:sz w:val="26"/>
          <w:szCs w:val="26"/>
        </w:rPr>
      </w:pPr>
    </w:p>
    <w:p w:rsidR="00DA7839" w:rsidRPr="00D17A61" w:rsidRDefault="00DA7839" w:rsidP="000E0862">
      <w:pPr>
        <w:tabs>
          <w:tab w:val="left" w:pos="-720"/>
        </w:tabs>
        <w:suppressAutoHyphens/>
        <w:spacing w:line="240" w:lineRule="auto"/>
        <w:ind w:left="1440" w:right="1440"/>
        <w:contextualSpacing/>
        <w:jc w:val="left"/>
        <w:rPr>
          <w:spacing w:val="-3"/>
          <w:sz w:val="26"/>
          <w:szCs w:val="26"/>
        </w:rPr>
      </w:pPr>
      <w:r w:rsidRPr="00D17A61">
        <w:rPr>
          <w:spacing w:val="-3"/>
          <w:sz w:val="26"/>
          <w:szCs w:val="26"/>
        </w:rPr>
        <w:t>12.</w:t>
      </w:r>
      <w:r w:rsidRPr="00D17A61">
        <w:rPr>
          <w:spacing w:val="-3"/>
          <w:sz w:val="26"/>
          <w:szCs w:val="26"/>
        </w:rPr>
        <w:tab/>
        <w:t>The additional base rate revenue has been agreed to in the context of a “Black Box” settlement with a few, limited, exceptions.  A “Black Box” agreement does not specifically identify the resolution of any disputed issues.  Instead, an overall increase to base rates is agreed to and parties retain all rights to further challenge all issues in subsequent proceedings.  “Black Box” settlements benefit ratepayers as it allows for the resolution of a proceeding in a timely manner while avoiding significant additional expenses.  OTS is of the opinion that an agreement as to the resolution of each and every disputed issue in this proceeding would not have been possible without judicial intervention.  The involvement of the ALJ would have added time and expense to an already cumbersome proceeding.  Avoiding this necessity will benefit ratepayers by keeping the expenses associated with this filing at a reasonable level.</w:t>
      </w:r>
    </w:p>
    <w:p w:rsidR="00DA7839" w:rsidRPr="00D17A61" w:rsidRDefault="00DA7839" w:rsidP="000E0862">
      <w:pPr>
        <w:tabs>
          <w:tab w:val="left" w:pos="-720"/>
        </w:tabs>
        <w:suppressAutoHyphens/>
        <w:spacing w:line="240" w:lineRule="auto"/>
        <w:ind w:left="1440" w:right="1440"/>
        <w:contextualSpacing/>
        <w:jc w:val="both"/>
        <w:rPr>
          <w:spacing w:val="-3"/>
          <w:sz w:val="26"/>
          <w:szCs w:val="26"/>
        </w:rPr>
      </w:pPr>
    </w:p>
    <w:p w:rsidR="00DA7839" w:rsidRPr="00D17A61" w:rsidRDefault="00DA7839" w:rsidP="000E0862">
      <w:pPr>
        <w:tabs>
          <w:tab w:val="left" w:pos="-720"/>
        </w:tabs>
        <w:suppressAutoHyphens/>
        <w:spacing w:line="240" w:lineRule="auto"/>
        <w:ind w:left="1440" w:right="1440" w:firstLine="720"/>
        <w:contextualSpacing/>
        <w:jc w:val="left"/>
        <w:rPr>
          <w:spacing w:val="-3"/>
          <w:sz w:val="26"/>
          <w:szCs w:val="26"/>
        </w:rPr>
      </w:pPr>
      <w:r w:rsidRPr="00D17A61">
        <w:rPr>
          <w:spacing w:val="-3"/>
          <w:sz w:val="26"/>
          <w:szCs w:val="26"/>
        </w:rPr>
        <w:t>This increased level of “Black Box” revenue adequately balances the interests of ratepayers, shareholders and the Com</w:t>
      </w:r>
      <w:r w:rsidR="00C22842">
        <w:rPr>
          <w:spacing w:val="-3"/>
          <w:sz w:val="26"/>
          <w:szCs w:val="26"/>
        </w:rPr>
        <w:t>-</w:t>
      </w:r>
      <w:r w:rsidRPr="00D17A61">
        <w:rPr>
          <w:spacing w:val="-3"/>
          <w:sz w:val="26"/>
          <w:szCs w:val="26"/>
        </w:rPr>
        <w:t>pany.  The Company will receive sufficient operating funds in order to provide safe and adequate service while earning an acceptable return on its inv</w:t>
      </w:r>
      <w:r w:rsidR="00C22842">
        <w:rPr>
          <w:spacing w:val="-3"/>
          <w:sz w:val="26"/>
          <w:szCs w:val="26"/>
        </w:rPr>
        <w:t xml:space="preserve">estment for its shareholders.  </w:t>
      </w:r>
      <w:r w:rsidRPr="00D17A61">
        <w:rPr>
          <w:spacing w:val="-3"/>
          <w:sz w:val="26"/>
          <w:szCs w:val="26"/>
        </w:rPr>
        <w:t xml:space="preserve">Ratepayers are protected as the resulting increase minimizes the impact of the Company’s initial proposal.  The negotiated compromise represents approximately 67.6% of the Company’s filed request.  Mitigation of the level of the rate increase benefits ratepayers and results in rates that are just and </w:t>
      </w:r>
      <w:r w:rsidRPr="00D17A61">
        <w:rPr>
          <w:spacing w:val="-3"/>
          <w:sz w:val="26"/>
          <w:szCs w:val="26"/>
        </w:rPr>
        <w:lastRenderedPageBreak/>
        <w:t>reasonable.  As such, this element supports the standard for approval of a settlement as they are just and reasonable and in accordance with the Public Utility Code and all pertinent case law.</w:t>
      </w:r>
    </w:p>
    <w:p w:rsidR="00DA7839" w:rsidRPr="00D17A61" w:rsidRDefault="00DA7839" w:rsidP="000E0862">
      <w:pPr>
        <w:tabs>
          <w:tab w:val="left" w:pos="-720"/>
        </w:tabs>
        <w:suppressAutoHyphens/>
        <w:spacing w:line="240" w:lineRule="auto"/>
        <w:ind w:left="1440" w:right="1440"/>
        <w:contextualSpacing/>
        <w:jc w:val="both"/>
        <w:rPr>
          <w:spacing w:val="-3"/>
          <w:sz w:val="26"/>
          <w:szCs w:val="26"/>
        </w:rPr>
      </w:pPr>
    </w:p>
    <w:p w:rsidR="00DA7839" w:rsidRPr="00D17A61" w:rsidRDefault="00DA7839" w:rsidP="000E0862">
      <w:pPr>
        <w:tabs>
          <w:tab w:val="left" w:pos="-720"/>
        </w:tabs>
        <w:suppressAutoHyphens/>
        <w:spacing w:line="240" w:lineRule="auto"/>
        <w:ind w:left="1440" w:right="1440" w:firstLine="720"/>
        <w:contextualSpacing/>
        <w:jc w:val="left"/>
        <w:rPr>
          <w:spacing w:val="-3"/>
          <w:sz w:val="26"/>
          <w:szCs w:val="26"/>
        </w:rPr>
      </w:pPr>
      <w:r w:rsidRPr="00D17A61">
        <w:rPr>
          <w:spacing w:val="-3"/>
          <w:sz w:val="26"/>
          <w:szCs w:val="26"/>
        </w:rPr>
        <w:t>Utility regulation in Pennsylvania allows for the recovery of prudently incurred expenses as well as allowing the utility the opportunity to earn a reasonable return on the value of the assets used and useful in serving the public.  The increase agreed to by the parties in this proceeding respects this principle by providing adequate income to the Company to satisfy its operational and investment needs.  At the same time, the limitation on the increase protects ratepayers by ensuring that their rates are just and reasonable and that no excess revenue is included in the tariff rates being charged.</w:t>
      </w:r>
    </w:p>
    <w:p w:rsidR="00DA7839" w:rsidRPr="00D17A61" w:rsidRDefault="00DA7839" w:rsidP="000E0862">
      <w:pPr>
        <w:tabs>
          <w:tab w:val="left" w:pos="-720"/>
        </w:tabs>
        <w:suppressAutoHyphens/>
        <w:spacing w:line="240" w:lineRule="auto"/>
        <w:ind w:left="1440" w:right="1440"/>
        <w:contextualSpacing/>
        <w:jc w:val="both"/>
        <w:rPr>
          <w:spacing w:val="-3"/>
          <w:sz w:val="26"/>
          <w:szCs w:val="26"/>
        </w:rPr>
      </w:pPr>
    </w:p>
    <w:p w:rsidR="00DA7839" w:rsidRPr="00D17A61" w:rsidRDefault="00DA7839" w:rsidP="000E0862">
      <w:pPr>
        <w:tabs>
          <w:tab w:val="left" w:pos="-720"/>
        </w:tabs>
        <w:suppressAutoHyphens/>
        <w:ind w:left="1440" w:right="1440" w:hanging="1440"/>
        <w:contextualSpacing/>
        <w:jc w:val="both"/>
        <w:rPr>
          <w:spacing w:val="-3"/>
          <w:sz w:val="26"/>
          <w:szCs w:val="26"/>
        </w:rPr>
      </w:pPr>
      <w:r w:rsidRPr="00D17A61">
        <w:rPr>
          <w:spacing w:val="-3"/>
          <w:sz w:val="26"/>
          <w:szCs w:val="26"/>
        </w:rPr>
        <w:t>OTS Stmt. in Support at 6-7.</w:t>
      </w:r>
    </w:p>
    <w:p w:rsidR="00DA7839" w:rsidRPr="00D17A61" w:rsidRDefault="00DA7839" w:rsidP="000E0862">
      <w:pPr>
        <w:tabs>
          <w:tab w:val="left" w:pos="-720"/>
        </w:tabs>
        <w:suppressAutoHyphens/>
        <w:ind w:left="1440" w:right="1440" w:hanging="1440"/>
        <w:contextualSpacing/>
        <w:jc w:val="both"/>
        <w:rPr>
          <w:spacing w:val="-3"/>
          <w:sz w:val="26"/>
          <w:szCs w:val="26"/>
        </w:rPr>
      </w:pPr>
    </w:p>
    <w:p w:rsidR="008817BC" w:rsidRDefault="00D31C39" w:rsidP="000E0862">
      <w:pPr>
        <w:pStyle w:val="BodyText"/>
        <w:spacing w:after="0"/>
        <w:ind w:firstLine="1440"/>
        <w:jc w:val="left"/>
        <w:rPr>
          <w:sz w:val="26"/>
          <w:szCs w:val="26"/>
        </w:rPr>
      </w:pPr>
      <w:r w:rsidRPr="00D17A61">
        <w:rPr>
          <w:sz w:val="26"/>
          <w:szCs w:val="26"/>
        </w:rPr>
        <w:t xml:space="preserve">Similar to </w:t>
      </w:r>
      <w:r w:rsidR="00F8569C">
        <w:rPr>
          <w:sz w:val="26"/>
          <w:szCs w:val="26"/>
        </w:rPr>
        <w:t xml:space="preserve">the </w:t>
      </w:r>
      <w:r w:rsidRPr="00D17A61">
        <w:rPr>
          <w:sz w:val="26"/>
          <w:szCs w:val="26"/>
        </w:rPr>
        <w:t xml:space="preserve">OTS, </w:t>
      </w:r>
      <w:r w:rsidR="00F8569C">
        <w:rPr>
          <w:sz w:val="26"/>
          <w:szCs w:val="26"/>
        </w:rPr>
        <w:t xml:space="preserve">the </w:t>
      </w:r>
      <w:r w:rsidR="00DA7839" w:rsidRPr="00D17A61">
        <w:rPr>
          <w:sz w:val="26"/>
          <w:szCs w:val="26"/>
        </w:rPr>
        <w:t xml:space="preserve">OCA </w:t>
      </w:r>
      <w:r w:rsidRPr="00D17A61">
        <w:rPr>
          <w:sz w:val="26"/>
          <w:szCs w:val="26"/>
        </w:rPr>
        <w:t>found many reasons to s</w:t>
      </w:r>
      <w:r w:rsidR="00DA7839" w:rsidRPr="00D17A61">
        <w:rPr>
          <w:sz w:val="26"/>
          <w:szCs w:val="26"/>
        </w:rPr>
        <w:t>upport the resolution of issue</w:t>
      </w:r>
      <w:r w:rsidRPr="00D17A61">
        <w:rPr>
          <w:sz w:val="26"/>
          <w:szCs w:val="26"/>
        </w:rPr>
        <w:t>s through Settlement</w:t>
      </w:r>
      <w:r w:rsidR="00DA7839" w:rsidRPr="00D17A61">
        <w:rPr>
          <w:sz w:val="26"/>
          <w:szCs w:val="26"/>
        </w:rPr>
        <w:t xml:space="preserve">.  There are a number of settled issues that have been championed by the OCA </w:t>
      </w:r>
      <w:r w:rsidR="00CA24EF" w:rsidRPr="00D17A61">
        <w:rPr>
          <w:sz w:val="26"/>
          <w:szCs w:val="26"/>
        </w:rPr>
        <w:t>as</w:t>
      </w:r>
      <w:r w:rsidR="00DA7839" w:rsidRPr="00D17A61">
        <w:rPr>
          <w:sz w:val="26"/>
          <w:szCs w:val="26"/>
        </w:rPr>
        <w:t xml:space="preserve"> beneficial to ratepayers</w:t>
      </w:r>
      <w:r w:rsidR="00CA24EF" w:rsidRPr="00D17A61">
        <w:rPr>
          <w:sz w:val="26"/>
          <w:szCs w:val="26"/>
        </w:rPr>
        <w:t>.  These include: (1) t</w:t>
      </w:r>
      <w:r w:rsidR="00DA7839" w:rsidRPr="00D17A61">
        <w:rPr>
          <w:sz w:val="26"/>
          <w:szCs w:val="26"/>
        </w:rPr>
        <w:t xml:space="preserve">he reduced </w:t>
      </w:r>
      <w:r w:rsidR="00CA24EF" w:rsidRPr="00D17A61">
        <w:rPr>
          <w:sz w:val="26"/>
          <w:szCs w:val="26"/>
        </w:rPr>
        <w:t xml:space="preserve">rate </w:t>
      </w:r>
      <w:r w:rsidR="00DA7839" w:rsidRPr="00D17A61">
        <w:rPr>
          <w:sz w:val="26"/>
          <w:szCs w:val="26"/>
        </w:rPr>
        <w:t xml:space="preserve">increase </w:t>
      </w:r>
      <w:r w:rsidR="00CA24EF" w:rsidRPr="00D17A61">
        <w:rPr>
          <w:sz w:val="26"/>
          <w:szCs w:val="26"/>
        </w:rPr>
        <w:t>as compared to the originally proposed rates</w:t>
      </w:r>
      <w:r w:rsidR="00DA7839" w:rsidRPr="00D17A61">
        <w:rPr>
          <w:sz w:val="26"/>
          <w:szCs w:val="26"/>
        </w:rPr>
        <w:t xml:space="preserve">, </w:t>
      </w:r>
      <w:r w:rsidR="00CA24EF" w:rsidRPr="00D17A61">
        <w:rPr>
          <w:sz w:val="26"/>
          <w:szCs w:val="26"/>
        </w:rPr>
        <w:t xml:space="preserve">OCA Stmt. in Support </w:t>
      </w:r>
      <w:r w:rsidR="00DA7839" w:rsidRPr="00D17A61">
        <w:rPr>
          <w:sz w:val="26"/>
          <w:szCs w:val="26"/>
        </w:rPr>
        <w:t>at 4;</w:t>
      </w:r>
      <w:r w:rsidR="00CA24EF" w:rsidRPr="00D17A61">
        <w:rPr>
          <w:sz w:val="26"/>
          <w:szCs w:val="26"/>
        </w:rPr>
        <w:t xml:space="preserve"> (2) </w:t>
      </w:r>
      <w:r w:rsidR="00DA7839" w:rsidRPr="00D17A61">
        <w:rPr>
          <w:sz w:val="26"/>
          <w:szCs w:val="26"/>
        </w:rPr>
        <w:t xml:space="preserve">the inclusion of the storm insurance in the smaller </w:t>
      </w:r>
      <w:r w:rsidR="00CA24EF" w:rsidRPr="00D17A61">
        <w:rPr>
          <w:sz w:val="26"/>
          <w:szCs w:val="26"/>
        </w:rPr>
        <w:t xml:space="preserve">rate </w:t>
      </w:r>
      <w:r w:rsidR="00DA7839" w:rsidRPr="00D17A61">
        <w:rPr>
          <w:sz w:val="26"/>
          <w:szCs w:val="26"/>
        </w:rPr>
        <w:t xml:space="preserve">increase, </w:t>
      </w:r>
      <w:r w:rsidR="00CA24EF" w:rsidRPr="00D17A61">
        <w:rPr>
          <w:sz w:val="26"/>
          <w:szCs w:val="26"/>
        </w:rPr>
        <w:t xml:space="preserve">OCA Stmt. in Support </w:t>
      </w:r>
      <w:r w:rsidR="00DA7839" w:rsidRPr="00D17A61">
        <w:rPr>
          <w:sz w:val="26"/>
          <w:szCs w:val="26"/>
        </w:rPr>
        <w:t xml:space="preserve">at 5; </w:t>
      </w:r>
      <w:r w:rsidR="00CA24EF" w:rsidRPr="00D17A61">
        <w:rPr>
          <w:sz w:val="26"/>
          <w:szCs w:val="26"/>
        </w:rPr>
        <w:t xml:space="preserve">(3) </w:t>
      </w:r>
      <w:r w:rsidR="00DA7839" w:rsidRPr="00D17A61">
        <w:rPr>
          <w:sz w:val="26"/>
          <w:szCs w:val="26"/>
        </w:rPr>
        <w:t>the inclusion of a portion of consumer education cost within the limited increase</w:t>
      </w:r>
      <w:r w:rsidR="008078DE" w:rsidRPr="00D17A61">
        <w:rPr>
          <w:sz w:val="26"/>
          <w:szCs w:val="26"/>
        </w:rPr>
        <w:t>,</w:t>
      </w:r>
      <w:r w:rsidR="00DA7839" w:rsidRPr="00D17A61">
        <w:rPr>
          <w:sz w:val="26"/>
          <w:szCs w:val="26"/>
        </w:rPr>
        <w:t xml:space="preserve"> </w:t>
      </w:r>
      <w:r w:rsidR="00CA24EF" w:rsidRPr="00D17A61">
        <w:rPr>
          <w:sz w:val="26"/>
          <w:szCs w:val="26"/>
        </w:rPr>
        <w:t xml:space="preserve">OCA Stmt. in Support </w:t>
      </w:r>
      <w:r w:rsidR="00DA7839" w:rsidRPr="00D17A61">
        <w:rPr>
          <w:sz w:val="26"/>
          <w:szCs w:val="26"/>
        </w:rPr>
        <w:t xml:space="preserve">at 6; </w:t>
      </w:r>
      <w:r w:rsidR="008078DE" w:rsidRPr="00D17A61">
        <w:rPr>
          <w:sz w:val="26"/>
          <w:szCs w:val="26"/>
        </w:rPr>
        <w:t xml:space="preserve">(4) </w:t>
      </w:r>
      <w:r w:rsidR="00DA7839" w:rsidRPr="00D17A61">
        <w:rPr>
          <w:sz w:val="26"/>
          <w:szCs w:val="26"/>
        </w:rPr>
        <w:t>the use of a 10.0% common equity cost rate for the smart meter surcharge</w:t>
      </w:r>
      <w:r w:rsidR="0003574E">
        <w:rPr>
          <w:sz w:val="26"/>
          <w:szCs w:val="26"/>
        </w:rPr>
        <w:t xml:space="preserve"> that </w:t>
      </w:r>
      <w:r w:rsidR="00DA7839" w:rsidRPr="00D17A61">
        <w:rPr>
          <w:sz w:val="26"/>
          <w:szCs w:val="26"/>
        </w:rPr>
        <w:t xml:space="preserve">is lower than the percentage </w:t>
      </w:r>
      <w:r w:rsidR="0003574E">
        <w:rPr>
          <w:sz w:val="26"/>
          <w:szCs w:val="26"/>
        </w:rPr>
        <w:t xml:space="preserve">originally </w:t>
      </w:r>
      <w:r w:rsidR="00DA7839" w:rsidRPr="00D17A61">
        <w:rPr>
          <w:sz w:val="26"/>
          <w:szCs w:val="26"/>
        </w:rPr>
        <w:t xml:space="preserve">sought, </w:t>
      </w:r>
      <w:r w:rsidR="008078DE" w:rsidRPr="00D17A61">
        <w:rPr>
          <w:sz w:val="26"/>
          <w:szCs w:val="26"/>
        </w:rPr>
        <w:t xml:space="preserve">OCA Stmt. in Support </w:t>
      </w:r>
      <w:r w:rsidR="00DA7839" w:rsidRPr="00D17A61">
        <w:rPr>
          <w:sz w:val="26"/>
          <w:szCs w:val="26"/>
        </w:rPr>
        <w:t xml:space="preserve">at 6; </w:t>
      </w:r>
      <w:r w:rsidR="008078DE" w:rsidRPr="00D17A61">
        <w:rPr>
          <w:sz w:val="26"/>
          <w:szCs w:val="26"/>
        </w:rPr>
        <w:t xml:space="preserve">(5) </w:t>
      </w:r>
      <w:r w:rsidR="00DA7839" w:rsidRPr="00D17A61">
        <w:rPr>
          <w:sz w:val="26"/>
          <w:szCs w:val="26"/>
        </w:rPr>
        <w:t xml:space="preserve">the RTS rate increase is limited to 150% of the percentage increase of the residential class instead of the 200% proposed by the filing, </w:t>
      </w:r>
      <w:r w:rsidR="008078DE" w:rsidRPr="00D17A61">
        <w:rPr>
          <w:sz w:val="26"/>
          <w:szCs w:val="26"/>
        </w:rPr>
        <w:t xml:space="preserve">OCA Stmt. in Support </w:t>
      </w:r>
      <w:r w:rsidR="00DA7839" w:rsidRPr="00D17A61">
        <w:rPr>
          <w:sz w:val="26"/>
          <w:szCs w:val="26"/>
        </w:rPr>
        <w:t>at</w:t>
      </w:r>
      <w:r w:rsidR="0074703D">
        <w:rPr>
          <w:sz w:val="26"/>
          <w:szCs w:val="26"/>
        </w:rPr>
        <w:t> </w:t>
      </w:r>
      <w:r w:rsidR="00DA7839" w:rsidRPr="00D17A61">
        <w:rPr>
          <w:sz w:val="26"/>
          <w:szCs w:val="26"/>
        </w:rPr>
        <w:t xml:space="preserve">8; </w:t>
      </w:r>
      <w:r w:rsidR="008078DE" w:rsidRPr="00D17A61">
        <w:rPr>
          <w:sz w:val="26"/>
          <w:szCs w:val="26"/>
        </w:rPr>
        <w:t xml:space="preserve">(6) </w:t>
      </w:r>
      <w:r w:rsidR="00DA7839" w:rsidRPr="00D17A61">
        <w:rPr>
          <w:sz w:val="26"/>
          <w:szCs w:val="26"/>
        </w:rPr>
        <w:t xml:space="preserve">the residential customer charge will be $8.75 per month, reduced from the $15.38 originally sought, </w:t>
      </w:r>
      <w:r w:rsidR="008078DE" w:rsidRPr="00D17A61">
        <w:rPr>
          <w:sz w:val="26"/>
          <w:szCs w:val="26"/>
        </w:rPr>
        <w:t xml:space="preserve">OCA Stmt. in Support </w:t>
      </w:r>
      <w:r w:rsidR="00DA7839" w:rsidRPr="00D17A61">
        <w:rPr>
          <w:sz w:val="26"/>
          <w:szCs w:val="26"/>
        </w:rPr>
        <w:t xml:space="preserve">at 10-11; </w:t>
      </w:r>
      <w:r w:rsidR="008078DE" w:rsidRPr="00D17A61">
        <w:rPr>
          <w:sz w:val="26"/>
          <w:szCs w:val="26"/>
        </w:rPr>
        <w:t xml:space="preserve">(7) </w:t>
      </w:r>
      <w:r w:rsidR="00DA7839" w:rsidRPr="00D17A61">
        <w:rPr>
          <w:sz w:val="26"/>
          <w:szCs w:val="26"/>
        </w:rPr>
        <w:t xml:space="preserve">the implementation of an adjustment that will offset CAP credit amounts and pre-program arrearages by $50 per customer applied to the number of CAP participants over 32,500 on an average annual basis, establishing a reasonable level of offset to avoid double recovery of bad debt expense, </w:t>
      </w:r>
      <w:r w:rsidR="008078DE" w:rsidRPr="00D17A61">
        <w:rPr>
          <w:sz w:val="26"/>
          <w:szCs w:val="26"/>
        </w:rPr>
        <w:t xml:space="preserve">OCA Stmt. in Support </w:t>
      </w:r>
      <w:r w:rsidR="00DA7839" w:rsidRPr="00D17A61">
        <w:rPr>
          <w:sz w:val="26"/>
          <w:szCs w:val="26"/>
        </w:rPr>
        <w:t>at 12-13;</w:t>
      </w:r>
      <w:r w:rsidR="008078DE" w:rsidRPr="00D17A61">
        <w:rPr>
          <w:sz w:val="26"/>
          <w:szCs w:val="26"/>
        </w:rPr>
        <w:t xml:space="preserve"> a</w:t>
      </w:r>
      <w:r w:rsidR="00DA7839" w:rsidRPr="00D17A61">
        <w:rPr>
          <w:sz w:val="26"/>
          <w:szCs w:val="26"/>
        </w:rPr>
        <w:t xml:space="preserve">nd </w:t>
      </w:r>
      <w:r w:rsidR="008078DE" w:rsidRPr="00D17A61">
        <w:rPr>
          <w:sz w:val="26"/>
          <w:szCs w:val="26"/>
        </w:rPr>
        <w:t xml:space="preserve">(8) </w:t>
      </w:r>
      <w:r w:rsidR="00DA7839" w:rsidRPr="00D17A61">
        <w:rPr>
          <w:sz w:val="26"/>
          <w:szCs w:val="26"/>
        </w:rPr>
        <w:t xml:space="preserve">inclusion of a CAP-Plus program that </w:t>
      </w:r>
      <w:r w:rsidR="00DA7839" w:rsidRPr="00D17A61">
        <w:rPr>
          <w:sz w:val="26"/>
          <w:szCs w:val="26"/>
        </w:rPr>
        <w:lastRenderedPageBreak/>
        <w:t xml:space="preserve">will allow PPL to comply with the DPW directive regarding use of LIHEAP funds without passing higher costs to non-participating ratepayers, </w:t>
      </w:r>
      <w:r w:rsidR="008078DE" w:rsidRPr="00D17A61">
        <w:rPr>
          <w:sz w:val="26"/>
          <w:szCs w:val="26"/>
        </w:rPr>
        <w:t xml:space="preserve">OCA Stmt. in Support </w:t>
      </w:r>
      <w:r w:rsidR="00DA7839" w:rsidRPr="00D17A61">
        <w:rPr>
          <w:sz w:val="26"/>
          <w:szCs w:val="26"/>
        </w:rPr>
        <w:t>at 12</w:t>
      </w:r>
      <w:r w:rsidR="0003574E">
        <w:rPr>
          <w:sz w:val="26"/>
          <w:szCs w:val="26"/>
        </w:rPr>
        <w:noBreakHyphen/>
      </w:r>
      <w:r w:rsidR="00DA7839" w:rsidRPr="00D17A61">
        <w:rPr>
          <w:sz w:val="26"/>
          <w:szCs w:val="26"/>
        </w:rPr>
        <w:t xml:space="preserve">14.  </w:t>
      </w:r>
      <w:r w:rsidR="00F8569C">
        <w:rPr>
          <w:sz w:val="26"/>
          <w:szCs w:val="26"/>
        </w:rPr>
        <w:t>We</w:t>
      </w:r>
      <w:r w:rsidR="00FF070A">
        <w:rPr>
          <w:sz w:val="26"/>
          <w:szCs w:val="26"/>
        </w:rPr>
        <w:t xml:space="preserve"> determine </w:t>
      </w:r>
      <w:r w:rsidR="00F8569C">
        <w:rPr>
          <w:sz w:val="26"/>
          <w:szCs w:val="26"/>
        </w:rPr>
        <w:t>that t</w:t>
      </w:r>
      <w:r w:rsidR="00DA7839" w:rsidRPr="00D17A61">
        <w:rPr>
          <w:sz w:val="26"/>
          <w:szCs w:val="26"/>
        </w:rPr>
        <w:t xml:space="preserve">hese specific terms all support a finding that the Joint Petition for </w:t>
      </w:r>
      <w:r w:rsidR="008078DE" w:rsidRPr="00D17A61">
        <w:rPr>
          <w:sz w:val="26"/>
          <w:szCs w:val="26"/>
        </w:rPr>
        <w:t xml:space="preserve">Partial </w:t>
      </w:r>
      <w:r w:rsidR="00DA7839" w:rsidRPr="00D17A61">
        <w:rPr>
          <w:sz w:val="26"/>
          <w:szCs w:val="26"/>
        </w:rPr>
        <w:t xml:space="preserve">Settlement is in the public interest.  </w:t>
      </w:r>
    </w:p>
    <w:p w:rsidR="008817BC" w:rsidRDefault="008817BC" w:rsidP="000E0862">
      <w:pPr>
        <w:pStyle w:val="BodyText"/>
        <w:spacing w:after="0"/>
        <w:ind w:firstLine="1440"/>
        <w:jc w:val="left"/>
        <w:rPr>
          <w:sz w:val="26"/>
          <w:szCs w:val="26"/>
        </w:rPr>
      </w:pPr>
    </w:p>
    <w:p w:rsidR="008817BC" w:rsidRDefault="00692BF8" w:rsidP="000E0862">
      <w:pPr>
        <w:pStyle w:val="BodyText"/>
        <w:spacing w:after="0"/>
        <w:ind w:firstLine="1440"/>
        <w:jc w:val="left"/>
        <w:rPr>
          <w:sz w:val="26"/>
          <w:szCs w:val="26"/>
        </w:rPr>
      </w:pPr>
      <w:r>
        <w:rPr>
          <w:sz w:val="26"/>
          <w:szCs w:val="26"/>
        </w:rPr>
        <w:t xml:space="preserve">We find these many arguments in favor of approval of the </w:t>
      </w:r>
      <w:r w:rsidR="0074703D">
        <w:rPr>
          <w:sz w:val="26"/>
          <w:szCs w:val="26"/>
        </w:rPr>
        <w:t xml:space="preserve">Partial </w:t>
      </w:r>
      <w:r>
        <w:rPr>
          <w:sz w:val="26"/>
          <w:szCs w:val="26"/>
        </w:rPr>
        <w:t xml:space="preserve">Settlement persuasive.   </w:t>
      </w:r>
      <w:r w:rsidR="00703056" w:rsidRPr="00D17A61">
        <w:rPr>
          <w:sz w:val="26"/>
          <w:szCs w:val="26"/>
        </w:rPr>
        <w:t>T</w:t>
      </w:r>
      <w:r w:rsidR="008078DE" w:rsidRPr="00D17A61">
        <w:rPr>
          <w:sz w:val="26"/>
          <w:szCs w:val="26"/>
        </w:rPr>
        <w:t xml:space="preserve">he Partial Settlement </w:t>
      </w:r>
      <w:r w:rsidR="00703056" w:rsidRPr="00D17A61">
        <w:rPr>
          <w:sz w:val="26"/>
          <w:szCs w:val="26"/>
        </w:rPr>
        <w:t>resolves issues impacting</w:t>
      </w:r>
      <w:r w:rsidR="00DA7839" w:rsidRPr="00D17A61">
        <w:rPr>
          <w:sz w:val="26"/>
          <w:szCs w:val="26"/>
        </w:rPr>
        <w:t xml:space="preserve"> </w:t>
      </w:r>
      <w:r w:rsidR="00703056" w:rsidRPr="00D17A61">
        <w:rPr>
          <w:sz w:val="26"/>
          <w:szCs w:val="26"/>
        </w:rPr>
        <w:t xml:space="preserve">residential </w:t>
      </w:r>
      <w:r w:rsidR="00DA7839" w:rsidRPr="00D17A61">
        <w:rPr>
          <w:sz w:val="26"/>
          <w:szCs w:val="26"/>
        </w:rPr>
        <w:t>consumers, small business</w:t>
      </w:r>
      <w:r w:rsidR="00703056" w:rsidRPr="00D17A61">
        <w:rPr>
          <w:sz w:val="26"/>
          <w:szCs w:val="26"/>
        </w:rPr>
        <w:t>es</w:t>
      </w:r>
      <w:r w:rsidR="00DA7839" w:rsidRPr="00D17A61">
        <w:rPr>
          <w:sz w:val="26"/>
          <w:szCs w:val="26"/>
        </w:rPr>
        <w:t xml:space="preserve">, large </w:t>
      </w:r>
      <w:r w:rsidR="0074703D">
        <w:rPr>
          <w:sz w:val="26"/>
          <w:szCs w:val="26"/>
        </w:rPr>
        <w:t>Commercial and Industrial (</w:t>
      </w:r>
      <w:r w:rsidR="00DA7839" w:rsidRPr="00D17A61">
        <w:rPr>
          <w:sz w:val="26"/>
          <w:szCs w:val="26"/>
        </w:rPr>
        <w:t>C&amp;I</w:t>
      </w:r>
      <w:r w:rsidR="0074703D">
        <w:rPr>
          <w:sz w:val="26"/>
          <w:szCs w:val="26"/>
        </w:rPr>
        <w:t>)</w:t>
      </w:r>
      <w:r w:rsidR="00DA7839" w:rsidRPr="00D17A61">
        <w:rPr>
          <w:sz w:val="26"/>
          <w:szCs w:val="26"/>
        </w:rPr>
        <w:t xml:space="preserve"> customers, </w:t>
      </w:r>
      <w:r w:rsidR="00E20FDD">
        <w:rPr>
          <w:sz w:val="26"/>
          <w:szCs w:val="26"/>
        </w:rPr>
        <w:t>Electric Generation Suppliers (</w:t>
      </w:r>
      <w:r w:rsidR="00DA7839" w:rsidRPr="00D17A61">
        <w:rPr>
          <w:sz w:val="26"/>
          <w:szCs w:val="26"/>
        </w:rPr>
        <w:t>EGSs</w:t>
      </w:r>
      <w:r w:rsidR="00E20FDD">
        <w:rPr>
          <w:sz w:val="26"/>
          <w:szCs w:val="26"/>
        </w:rPr>
        <w:t>)</w:t>
      </w:r>
      <w:r w:rsidR="00DA7839" w:rsidRPr="00D17A61">
        <w:rPr>
          <w:sz w:val="26"/>
          <w:szCs w:val="26"/>
        </w:rPr>
        <w:t xml:space="preserve">, and the public interest at large.  </w:t>
      </w:r>
      <w:r>
        <w:rPr>
          <w:sz w:val="26"/>
          <w:szCs w:val="26"/>
        </w:rPr>
        <w:t xml:space="preserve">The benefits of </w:t>
      </w:r>
      <w:r w:rsidR="00E20FDD">
        <w:rPr>
          <w:sz w:val="26"/>
          <w:szCs w:val="26"/>
        </w:rPr>
        <w:t>the Partial S</w:t>
      </w:r>
      <w:r>
        <w:rPr>
          <w:sz w:val="26"/>
          <w:szCs w:val="26"/>
        </w:rPr>
        <w:t xml:space="preserve">ettlement are many.  </w:t>
      </w:r>
      <w:r w:rsidR="00DA7839" w:rsidRPr="00D17A61">
        <w:rPr>
          <w:sz w:val="26"/>
          <w:szCs w:val="26"/>
        </w:rPr>
        <w:t>For the reasons stated herein and in the</w:t>
      </w:r>
      <w:r w:rsidR="00703056" w:rsidRPr="00D17A61">
        <w:rPr>
          <w:sz w:val="26"/>
          <w:szCs w:val="26"/>
        </w:rPr>
        <w:t xml:space="preserve"> Joint Petitioners’</w:t>
      </w:r>
      <w:r w:rsidR="00DA7839" w:rsidRPr="00D17A61">
        <w:rPr>
          <w:sz w:val="26"/>
          <w:szCs w:val="26"/>
        </w:rPr>
        <w:t xml:space="preserve"> </w:t>
      </w:r>
      <w:r w:rsidR="00E20FDD">
        <w:rPr>
          <w:sz w:val="26"/>
          <w:szCs w:val="26"/>
        </w:rPr>
        <w:t>S</w:t>
      </w:r>
      <w:r w:rsidR="00DA7839" w:rsidRPr="00D17A61">
        <w:rPr>
          <w:sz w:val="26"/>
          <w:szCs w:val="26"/>
        </w:rPr>
        <w:t xml:space="preserve">tatements in </w:t>
      </w:r>
      <w:r w:rsidR="00E20FDD">
        <w:rPr>
          <w:sz w:val="26"/>
          <w:szCs w:val="26"/>
        </w:rPr>
        <w:t>S</w:t>
      </w:r>
      <w:r w:rsidR="00DA7839" w:rsidRPr="00D17A61">
        <w:rPr>
          <w:sz w:val="26"/>
          <w:szCs w:val="26"/>
        </w:rPr>
        <w:t xml:space="preserve">upport, </w:t>
      </w:r>
      <w:r w:rsidR="00703056" w:rsidRPr="00D17A61">
        <w:rPr>
          <w:sz w:val="26"/>
          <w:szCs w:val="26"/>
        </w:rPr>
        <w:t xml:space="preserve">we determine that ALJ </w:t>
      </w:r>
      <w:r w:rsidR="0074703D">
        <w:rPr>
          <w:sz w:val="26"/>
          <w:szCs w:val="26"/>
        </w:rPr>
        <w:t xml:space="preserve">Colwell </w:t>
      </w:r>
      <w:r w:rsidR="00703056" w:rsidRPr="00D17A61">
        <w:rPr>
          <w:sz w:val="26"/>
          <w:szCs w:val="26"/>
        </w:rPr>
        <w:t xml:space="preserve">correctly concluded that </w:t>
      </w:r>
      <w:r w:rsidR="00DA7839" w:rsidRPr="00D17A61">
        <w:rPr>
          <w:sz w:val="26"/>
          <w:szCs w:val="26"/>
        </w:rPr>
        <w:t xml:space="preserve">the Joint Petition for </w:t>
      </w:r>
      <w:r w:rsidR="00703056" w:rsidRPr="00D17A61">
        <w:rPr>
          <w:sz w:val="26"/>
          <w:szCs w:val="26"/>
        </w:rPr>
        <w:t xml:space="preserve">Partial </w:t>
      </w:r>
      <w:r w:rsidR="00DA7839" w:rsidRPr="00D17A61">
        <w:rPr>
          <w:sz w:val="26"/>
          <w:szCs w:val="26"/>
        </w:rPr>
        <w:t>Settlement is in the public interest</w:t>
      </w:r>
      <w:r w:rsidR="00703056" w:rsidRPr="00D17A61">
        <w:rPr>
          <w:sz w:val="26"/>
          <w:szCs w:val="26"/>
        </w:rPr>
        <w:t xml:space="preserve">.  </w:t>
      </w:r>
      <w:r w:rsidR="00E20FDD">
        <w:rPr>
          <w:sz w:val="26"/>
          <w:szCs w:val="26"/>
        </w:rPr>
        <w:t>Accordingly, we shall approve i</w:t>
      </w:r>
      <w:r w:rsidR="00703056" w:rsidRPr="00D17A61">
        <w:rPr>
          <w:sz w:val="26"/>
          <w:szCs w:val="26"/>
        </w:rPr>
        <w:t xml:space="preserve">t </w:t>
      </w:r>
      <w:r w:rsidR="00DA7839" w:rsidRPr="00D17A61">
        <w:rPr>
          <w:sz w:val="26"/>
          <w:szCs w:val="26"/>
        </w:rPr>
        <w:t>without modification.</w:t>
      </w:r>
    </w:p>
    <w:p w:rsidR="005502A0" w:rsidRDefault="005502A0" w:rsidP="000E0862">
      <w:pPr>
        <w:pStyle w:val="BodyText"/>
        <w:spacing w:after="0"/>
        <w:jc w:val="both"/>
        <w:rPr>
          <w:sz w:val="26"/>
          <w:szCs w:val="26"/>
        </w:rPr>
      </w:pPr>
    </w:p>
    <w:p w:rsidR="00A75D1D" w:rsidRDefault="00C069D8" w:rsidP="000E0862">
      <w:pPr>
        <w:pStyle w:val="Pleading2L1"/>
        <w:keepNext/>
        <w:numPr>
          <w:ilvl w:val="0"/>
          <w:numId w:val="0"/>
        </w:numPr>
        <w:spacing w:line="360" w:lineRule="auto"/>
        <w:ind w:left="720"/>
        <w:jc w:val="left"/>
        <w:rPr>
          <w:caps w:val="0"/>
          <w:sz w:val="26"/>
          <w:szCs w:val="26"/>
          <w:u w:val="none"/>
        </w:rPr>
      </w:pPr>
      <w:r w:rsidRPr="00A00473">
        <w:rPr>
          <w:sz w:val="26"/>
          <w:szCs w:val="26"/>
          <w:u w:val="none"/>
        </w:rPr>
        <w:t>E.</w:t>
      </w:r>
      <w:r w:rsidRPr="00A00473">
        <w:rPr>
          <w:sz w:val="26"/>
          <w:szCs w:val="26"/>
          <w:u w:val="none"/>
        </w:rPr>
        <w:tab/>
      </w:r>
      <w:r w:rsidR="00A00473">
        <w:rPr>
          <w:sz w:val="26"/>
          <w:szCs w:val="26"/>
          <w:u w:val="none"/>
        </w:rPr>
        <w:t>N</w:t>
      </w:r>
      <w:r w:rsidR="00E6333F" w:rsidRPr="00A00473">
        <w:rPr>
          <w:caps w:val="0"/>
          <w:sz w:val="26"/>
          <w:szCs w:val="26"/>
          <w:u w:val="none"/>
        </w:rPr>
        <w:t>on-</w:t>
      </w:r>
      <w:r w:rsidR="0080118B">
        <w:rPr>
          <w:caps w:val="0"/>
          <w:sz w:val="26"/>
          <w:szCs w:val="26"/>
          <w:u w:val="none"/>
        </w:rPr>
        <w:t>S</w:t>
      </w:r>
      <w:r w:rsidR="00E6333F" w:rsidRPr="00A00473">
        <w:rPr>
          <w:caps w:val="0"/>
          <w:sz w:val="26"/>
          <w:szCs w:val="26"/>
          <w:u w:val="none"/>
        </w:rPr>
        <w:t xml:space="preserve">ettled </w:t>
      </w:r>
      <w:r w:rsidR="00A00473">
        <w:rPr>
          <w:caps w:val="0"/>
          <w:sz w:val="26"/>
          <w:szCs w:val="26"/>
          <w:u w:val="none"/>
        </w:rPr>
        <w:t>I</w:t>
      </w:r>
      <w:r w:rsidR="00E6333F" w:rsidRPr="00A00473">
        <w:rPr>
          <w:caps w:val="0"/>
          <w:sz w:val="26"/>
          <w:szCs w:val="26"/>
          <w:u w:val="none"/>
        </w:rPr>
        <w:t>ssues</w:t>
      </w:r>
    </w:p>
    <w:p w:rsidR="00A75D1D" w:rsidRDefault="00A75D1D" w:rsidP="000E0862">
      <w:pPr>
        <w:pStyle w:val="BodyText"/>
        <w:keepNext/>
        <w:spacing w:after="0"/>
        <w:ind w:left="1440"/>
        <w:jc w:val="left"/>
        <w:rPr>
          <w:b/>
          <w:sz w:val="26"/>
          <w:szCs w:val="26"/>
        </w:rPr>
      </w:pPr>
      <w:r>
        <w:rPr>
          <w:b/>
          <w:sz w:val="26"/>
          <w:szCs w:val="26"/>
        </w:rPr>
        <w:t>1.</w:t>
      </w:r>
      <w:r>
        <w:rPr>
          <w:b/>
          <w:sz w:val="26"/>
          <w:szCs w:val="26"/>
        </w:rPr>
        <w:tab/>
        <w:t>Reserved Issues</w:t>
      </w:r>
    </w:p>
    <w:p w:rsidR="00A75D1D" w:rsidRPr="00A75D1D" w:rsidRDefault="00A75D1D" w:rsidP="000E0862">
      <w:pPr>
        <w:pStyle w:val="Pleading2L9"/>
        <w:widowControl/>
        <w:numPr>
          <w:ilvl w:val="0"/>
          <w:numId w:val="0"/>
        </w:numPr>
      </w:pPr>
    </w:p>
    <w:p w:rsidR="008817BC" w:rsidRDefault="00C3427E" w:rsidP="000E0862">
      <w:pPr>
        <w:pStyle w:val="BodyText"/>
        <w:tabs>
          <w:tab w:val="left" w:pos="2160"/>
        </w:tabs>
        <w:spacing w:after="0"/>
        <w:ind w:firstLine="1440"/>
        <w:jc w:val="left"/>
        <w:rPr>
          <w:sz w:val="26"/>
          <w:szCs w:val="26"/>
        </w:rPr>
      </w:pPr>
      <w:r>
        <w:rPr>
          <w:sz w:val="26"/>
          <w:szCs w:val="26"/>
        </w:rPr>
        <w:t xml:space="preserve">We turn now to those issues </w:t>
      </w:r>
      <w:r w:rsidR="00FD5E4C">
        <w:rPr>
          <w:sz w:val="26"/>
          <w:szCs w:val="26"/>
        </w:rPr>
        <w:t xml:space="preserve">on which </w:t>
      </w:r>
      <w:r>
        <w:rPr>
          <w:sz w:val="26"/>
          <w:szCs w:val="26"/>
        </w:rPr>
        <w:t xml:space="preserve">the Parties </w:t>
      </w:r>
      <w:r w:rsidR="00FD5E4C">
        <w:rPr>
          <w:sz w:val="26"/>
          <w:szCs w:val="26"/>
        </w:rPr>
        <w:t>did not reach a settlement.</w:t>
      </w:r>
      <w:r>
        <w:rPr>
          <w:sz w:val="26"/>
          <w:szCs w:val="26"/>
        </w:rPr>
        <w:t xml:space="preserve">  </w:t>
      </w:r>
      <w:r w:rsidR="00FD5E4C">
        <w:rPr>
          <w:sz w:val="26"/>
          <w:szCs w:val="26"/>
        </w:rPr>
        <w:t xml:space="preserve">The non-settled issues listed below were </w:t>
      </w:r>
      <w:r w:rsidR="00113A7B" w:rsidRPr="00D17A61">
        <w:rPr>
          <w:sz w:val="26"/>
          <w:szCs w:val="26"/>
        </w:rPr>
        <w:t>reserved for litigation</w:t>
      </w:r>
      <w:r w:rsidR="00113A7B">
        <w:rPr>
          <w:sz w:val="26"/>
          <w:szCs w:val="26"/>
        </w:rPr>
        <w:t xml:space="preserve"> and were </w:t>
      </w:r>
      <w:r w:rsidR="00FD5E4C">
        <w:rPr>
          <w:sz w:val="26"/>
          <w:szCs w:val="26"/>
        </w:rPr>
        <w:t xml:space="preserve">not considered in the </w:t>
      </w:r>
      <w:r w:rsidRPr="00D17A61">
        <w:rPr>
          <w:sz w:val="26"/>
          <w:szCs w:val="26"/>
        </w:rPr>
        <w:t>Joint Petition for Partial Settlement</w:t>
      </w:r>
      <w:r w:rsidR="00113A7B">
        <w:rPr>
          <w:sz w:val="26"/>
          <w:szCs w:val="26"/>
        </w:rPr>
        <w:t>:</w:t>
      </w:r>
    </w:p>
    <w:p w:rsidR="008817BC" w:rsidRDefault="008817BC" w:rsidP="000E0862">
      <w:pPr>
        <w:pStyle w:val="BodyText"/>
        <w:tabs>
          <w:tab w:val="left" w:pos="2160"/>
        </w:tabs>
        <w:spacing w:after="0"/>
        <w:ind w:firstLine="1440"/>
        <w:jc w:val="left"/>
        <w:rPr>
          <w:sz w:val="26"/>
          <w:szCs w:val="26"/>
        </w:rPr>
      </w:pPr>
    </w:p>
    <w:p w:rsidR="008817BC" w:rsidRPr="00D04568" w:rsidRDefault="001578B6" w:rsidP="000E0862">
      <w:pPr>
        <w:pStyle w:val="Pleading2L3"/>
        <w:numPr>
          <w:ilvl w:val="0"/>
          <w:numId w:val="0"/>
        </w:numPr>
        <w:tabs>
          <w:tab w:val="left" w:pos="2160"/>
        </w:tabs>
        <w:spacing w:line="240" w:lineRule="auto"/>
        <w:ind w:left="1440" w:hanging="720"/>
        <w:contextualSpacing/>
        <w:rPr>
          <w:sz w:val="26"/>
          <w:szCs w:val="26"/>
        </w:rPr>
      </w:pPr>
      <w:r w:rsidRPr="00D04568">
        <w:rPr>
          <w:sz w:val="26"/>
          <w:szCs w:val="26"/>
        </w:rPr>
        <w:t>a</w:t>
      </w:r>
      <w:r w:rsidR="00C3427E" w:rsidRPr="00D04568">
        <w:rPr>
          <w:sz w:val="26"/>
          <w:szCs w:val="26"/>
        </w:rPr>
        <w:t>.</w:t>
      </w:r>
      <w:r w:rsidR="00C3427E" w:rsidRPr="00D04568">
        <w:rPr>
          <w:sz w:val="26"/>
          <w:szCs w:val="26"/>
        </w:rPr>
        <w:tab/>
      </w:r>
      <w:r w:rsidR="00D04568" w:rsidRPr="00D04568">
        <w:rPr>
          <w:sz w:val="26"/>
          <w:szCs w:val="26"/>
        </w:rPr>
        <w:t xml:space="preserve">Applicable </w:t>
      </w:r>
      <w:r w:rsidR="00BC4B58" w:rsidRPr="00D04568">
        <w:rPr>
          <w:sz w:val="26"/>
          <w:szCs w:val="26"/>
        </w:rPr>
        <w:t>Cost of Service Study (COSS)</w:t>
      </w:r>
    </w:p>
    <w:p w:rsidR="008817BC" w:rsidRPr="00D04568" w:rsidRDefault="008817BC" w:rsidP="000E0862">
      <w:pPr>
        <w:pStyle w:val="Pleading2L3"/>
        <w:numPr>
          <w:ilvl w:val="0"/>
          <w:numId w:val="0"/>
        </w:numPr>
        <w:tabs>
          <w:tab w:val="left" w:pos="2160"/>
        </w:tabs>
        <w:spacing w:line="240" w:lineRule="auto"/>
        <w:ind w:left="1440" w:hanging="720"/>
        <w:contextualSpacing/>
        <w:rPr>
          <w:sz w:val="26"/>
          <w:szCs w:val="26"/>
        </w:rPr>
      </w:pPr>
    </w:p>
    <w:p w:rsidR="008817BC" w:rsidRPr="00D04568" w:rsidRDefault="001578B6" w:rsidP="000E0862">
      <w:pPr>
        <w:pStyle w:val="Pleading2L3"/>
        <w:numPr>
          <w:ilvl w:val="0"/>
          <w:numId w:val="0"/>
        </w:numPr>
        <w:tabs>
          <w:tab w:val="left" w:pos="2160"/>
        </w:tabs>
        <w:spacing w:line="240" w:lineRule="auto"/>
        <w:ind w:left="1440" w:hanging="720"/>
        <w:contextualSpacing/>
        <w:rPr>
          <w:sz w:val="26"/>
          <w:szCs w:val="26"/>
        </w:rPr>
      </w:pPr>
      <w:r w:rsidRPr="00D04568">
        <w:rPr>
          <w:sz w:val="26"/>
          <w:szCs w:val="26"/>
        </w:rPr>
        <w:t>b</w:t>
      </w:r>
      <w:r w:rsidR="00C3427E" w:rsidRPr="00D04568">
        <w:rPr>
          <w:sz w:val="26"/>
          <w:szCs w:val="26"/>
        </w:rPr>
        <w:t>.</w:t>
      </w:r>
      <w:r w:rsidR="00C3427E" w:rsidRPr="00D04568">
        <w:rPr>
          <w:sz w:val="26"/>
          <w:szCs w:val="26"/>
        </w:rPr>
        <w:tab/>
      </w:r>
      <w:r w:rsidR="00D04568" w:rsidRPr="00D04568">
        <w:rPr>
          <w:sz w:val="26"/>
          <w:szCs w:val="26"/>
        </w:rPr>
        <w:t>Revenue Allocation Pursuant to Applicable Cost of Service Study</w:t>
      </w:r>
    </w:p>
    <w:p w:rsidR="008817BC" w:rsidRPr="00D04568" w:rsidRDefault="008817BC" w:rsidP="000E0862">
      <w:pPr>
        <w:pStyle w:val="Pleading2L3"/>
        <w:numPr>
          <w:ilvl w:val="0"/>
          <w:numId w:val="0"/>
        </w:numPr>
        <w:tabs>
          <w:tab w:val="left" w:pos="2160"/>
        </w:tabs>
        <w:spacing w:line="240" w:lineRule="auto"/>
        <w:ind w:left="1440" w:hanging="720"/>
        <w:contextualSpacing/>
        <w:rPr>
          <w:sz w:val="26"/>
          <w:szCs w:val="26"/>
        </w:rPr>
      </w:pPr>
    </w:p>
    <w:p w:rsidR="008817BC" w:rsidRPr="00D04568" w:rsidRDefault="001578B6" w:rsidP="000E0862">
      <w:pPr>
        <w:pStyle w:val="Pleading2L3"/>
        <w:numPr>
          <w:ilvl w:val="0"/>
          <w:numId w:val="0"/>
        </w:numPr>
        <w:tabs>
          <w:tab w:val="left" w:pos="2160"/>
        </w:tabs>
        <w:spacing w:line="240" w:lineRule="auto"/>
        <w:ind w:left="1440" w:hanging="720"/>
        <w:contextualSpacing/>
        <w:rPr>
          <w:sz w:val="26"/>
          <w:szCs w:val="26"/>
        </w:rPr>
      </w:pPr>
      <w:r w:rsidRPr="00D04568">
        <w:rPr>
          <w:sz w:val="26"/>
          <w:szCs w:val="26"/>
        </w:rPr>
        <w:t>c</w:t>
      </w:r>
      <w:r w:rsidR="00C3427E" w:rsidRPr="00D04568">
        <w:rPr>
          <w:sz w:val="26"/>
          <w:szCs w:val="26"/>
        </w:rPr>
        <w:t>.</w:t>
      </w:r>
      <w:r w:rsidR="00C3427E" w:rsidRPr="00D04568">
        <w:rPr>
          <w:sz w:val="26"/>
          <w:szCs w:val="26"/>
        </w:rPr>
        <w:tab/>
      </w:r>
      <w:r w:rsidR="00D04568" w:rsidRPr="00D04568">
        <w:rPr>
          <w:sz w:val="26"/>
          <w:szCs w:val="26"/>
        </w:rPr>
        <w:t>Net Metering/Compensation</w:t>
      </w:r>
    </w:p>
    <w:p w:rsidR="008817BC" w:rsidRPr="00D04568" w:rsidRDefault="008817BC" w:rsidP="000E0862">
      <w:pPr>
        <w:pStyle w:val="Pleading2L3"/>
        <w:numPr>
          <w:ilvl w:val="0"/>
          <w:numId w:val="0"/>
        </w:numPr>
        <w:tabs>
          <w:tab w:val="left" w:pos="2160"/>
        </w:tabs>
        <w:spacing w:line="240" w:lineRule="auto"/>
        <w:ind w:left="1440" w:hanging="720"/>
        <w:contextualSpacing/>
        <w:rPr>
          <w:sz w:val="26"/>
          <w:szCs w:val="26"/>
        </w:rPr>
      </w:pPr>
    </w:p>
    <w:p w:rsidR="008817BC" w:rsidRPr="00D04568" w:rsidRDefault="001578B6" w:rsidP="000E0862">
      <w:pPr>
        <w:pStyle w:val="Pleading2L3"/>
        <w:numPr>
          <w:ilvl w:val="0"/>
          <w:numId w:val="0"/>
        </w:numPr>
        <w:tabs>
          <w:tab w:val="num" w:pos="0"/>
          <w:tab w:val="left" w:pos="2160"/>
        </w:tabs>
        <w:spacing w:line="240" w:lineRule="auto"/>
        <w:ind w:left="1440" w:hanging="720"/>
        <w:contextualSpacing/>
        <w:rPr>
          <w:sz w:val="26"/>
          <w:szCs w:val="26"/>
        </w:rPr>
      </w:pPr>
      <w:r w:rsidRPr="00D04568">
        <w:rPr>
          <w:sz w:val="26"/>
          <w:szCs w:val="26"/>
        </w:rPr>
        <w:t>d</w:t>
      </w:r>
      <w:r w:rsidR="00C3427E" w:rsidRPr="00D04568">
        <w:rPr>
          <w:sz w:val="26"/>
          <w:szCs w:val="26"/>
        </w:rPr>
        <w:t>.</w:t>
      </w:r>
      <w:r w:rsidR="00C3427E" w:rsidRPr="00D04568">
        <w:rPr>
          <w:sz w:val="26"/>
          <w:szCs w:val="26"/>
        </w:rPr>
        <w:tab/>
      </w:r>
      <w:r w:rsidR="00D04568" w:rsidRPr="00D04568">
        <w:rPr>
          <w:sz w:val="26"/>
          <w:szCs w:val="26"/>
        </w:rPr>
        <w:t>Net Metering/Plain Language</w:t>
      </w:r>
    </w:p>
    <w:p w:rsidR="008817BC" w:rsidRPr="00D04568" w:rsidRDefault="008817BC" w:rsidP="000E0862">
      <w:pPr>
        <w:pStyle w:val="Pleading2L3"/>
        <w:numPr>
          <w:ilvl w:val="0"/>
          <w:numId w:val="0"/>
        </w:numPr>
        <w:tabs>
          <w:tab w:val="num" w:pos="0"/>
          <w:tab w:val="left" w:pos="2160"/>
        </w:tabs>
        <w:spacing w:line="240" w:lineRule="auto"/>
        <w:ind w:left="1440" w:hanging="720"/>
        <w:contextualSpacing/>
        <w:rPr>
          <w:sz w:val="26"/>
          <w:szCs w:val="26"/>
        </w:rPr>
      </w:pPr>
    </w:p>
    <w:p w:rsidR="008817BC" w:rsidRPr="00D04568" w:rsidRDefault="001578B6" w:rsidP="000E0862">
      <w:pPr>
        <w:pStyle w:val="Pleading2L3"/>
        <w:numPr>
          <w:ilvl w:val="0"/>
          <w:numId w:val="0"/>
        </w:numPr>
        <w:tabs>
          <w:tab w:val="num" w:pos="0"/>
          <w:tab w:val="left" w:pos="2160"/>
        </w:tabs>
        <w:spacing w:line="240" w:lineRule="auto"/>
        <w:ind w:left="1440" w:hanging="720"/>
        <w:contextualSpacing/>
        <w:rPr>
          <w:sz w:val="26"/>
          <w:szCs w:val="26"/>
        </w:rPr>
      </w:pPr>
      <w:r w:rsidRPr="00D04568">
        <w:rPr>
          <w:sz w:val="26"/>
          <w:szCs w:val="26"/>
        </w:rPr>
        <w:t>e</w:t>
      </w:r>
      <w:r w:rsidR="00C3427E" w:rsidRPr="00D04568">
        <w:rPr>
          <w:sz w:val="26"/>
          <w:szCs w:val="26"/>
        </w:rPr>
        <w:t>.</w:t>
      </w:r>
      <w:r w:rsidR="00C3427E" w:rsidRPr="00D04568">
        <w:rPr>
          <w:sz w:val="26"/>
          <w:szCs w:val="26"/>
        </w:rPr>
        <w:tab/>
      </w:r>
      <w:r w:rsidR="00D04568" w:rsidRPr="00D04568">
        <w:rPr>
          <w:sz w:val="26"/>
          <w:szCs w:val="26"/>
        </w:rPr>
        <w:t>Funding Levels for WRAPs and HELP Programs</w:t>
      </w:r>
    </w:p>
    <w:p w:rsidR="008817BC" w:rsidRPr="00D04568" w:rsidRDefault="008817BC" w:rsidP="000E0862">
      <w:pPr>
        <w:pStyle w:val="Pleading2L3"/>
        <w:numPr>
          <w:ilvl w:val="0"/>
          <w:numId w:val="0"/>
        </w:numPr>
        <w:tabs>
          <w:tab w:val="num" w:pos="0"/>
          <w:tab w:val="left" w:pos="2160"/>
        </w:tabs>
        <w:spacing w:line="240" w:lineRule="auto"/>
        <w:ind w:left="1440" w:hanging="720"/>
        <w:contextualSpacing/>
        <w:rPr>
          <w:sz w:val="26"/>
          <w:szCs w:val="26"/>
        </w:rPr>
      </w:pPr>
    </w:p>
    <w:p w:rsidR="00D04568" w:rsidRDefault="00D04568" w:rsidP="000E0862">
      <w:pPr>
        <w:pStyle w:val="Pleading2L3"/>
        <w:numPr>
          <w:ilvl w:val="0"/>
          <w:numId w:val="0"/>
        </w:numPr>
        <w:tabs>
          <w:tab w:val="num" w:pos="0"/>
          <w:tab w:val="left" w:pos="2160"/>
        </w:tabs>
        <w:spacing w:line="240" w:lineRule="auto"/>
        <w:ind w:left="1440" w:hanging="720"/>
        <w:contextualSpacing/>
        <w:rPr>
          <w:sz w:val="26"/>
          <w:szCs w:val="26"/>
        </w:rPr>
      </w:pPr>
      <w:r w:rsidRPr="00D04568">
        <w:rPr>
          <w:sz w:val="26"/>
          <w:szCs w:val="26"/>
        </w:rPr>
        <w:lastRenderedPageBreak/>
        <w:t>f.</w:t>
      </w:r>
      <w:r w:rsidRPr="00D04568">
        <w:rPr>
          <w:sz w:val="26"/>
          <w:szCs w:val="26"/>
        </w:rPr>
        <w:tab/>
      </w:r>
      <w:r>
        <w:rPr>
          <w:sz w:val="26"/>
          <w:szCs w:val="26"/>
        </w:rPr>
        <w:t>Purchase of Receivables Issues</w:t>
      </w:r>
    </w:p>
    <w:p w:rsidR="00D04568" w:rsidRPr="00D04568" w:rsidRDefault="00D04568" w:rsidP="000E0862">
      <w:pPr>
        <w:pStyle w:val="Pleading2L3"/>
        <w:numPr>
          <w:ilvl w:val="0"/>
          <w:numId w:val="0"/>
        </w:numPr>
        <w:tabs>
          <w:tab w:val="num" w:pos="0"/>
          <w:tab w:val="left" w:pos="2160"/>
        </w:tabs>
        <w:spacing w:line="240" w:lineRule="auto"/>
        <w:ind w:left="1440" w:hanging="720"/>
        <w:contextualSpacing/>
        <w:rPr>
          <w:sz w:val="26"/>
          <w:szCs w:val="26"/>
        </w:rPr>
      </w:pPr>
    </w:p>
    <w:p w:rsidR="008817BC" w:rsidRPr="00D04568" w:rsidRDefault="00D04568" w:rsidP="000E0862">
      <w:pPr>
        <w:pStyle w:val="Pleading2L3"/>
        <w:numPr>
          <w:ilvl w:val="0"/>
          <w:numId w:val="0"/>
        </w:numPr>
        <w:tabs>
          <w:tab w:val="num" w:pos="0"/>
          <w:tab w:val="left" w:pos="2160"/>
        </w:tabs>
        <w:spacing w:line="240" w:lineRule="auto"/>
        <w:ind w:left="1440" w:hanging="720"/>
        <w:contextualSpacing/>
        <w:rPr>
          <w:sz w:val="26"/>
          <w:szCs w:val="26"/>
        </w:rPr>
      </w:pPr>
      <w:r>
        <w:rPr>
          <w:sz w:val="26"/>
          <w:szCs w:val="26"/>
        </w:rPr>
        <w:t>g</w:t>
      </w:r>
      <w:r w:rsidR="00C3427E" w:rsidRPr="00D04568">
        <w:rPr>
          <w:sz w:val="26"/>
          <w:szCs w:val="26"/>
        </w:rPr>
        <w:t>.</w:t>
      </w:r>
      <w:r w:rsidR="00C3427E" w:rsidRPr="00D04568">
        <w:rPr>
          <w:sz w:val="26"/>
          <w:szCs w:val="26"/>
        </w:rPr>
        <w:tab/>
        <w:t>PPLICA</w:t>
      </w:r>
      <w:r w:rsidR="00FF070A" w:rsidRPr="00D04568">
        <w:rPr>
          <w:sz w:val="26"/>
          <w:szCs w:val="26"/>
        </w:rPr>
        <w:t>’s</w:t>
      </w:r>
      <w:r>
        <w:rPr>
          <w:sz w:val="26"/>
          <w:szCs w:val="26"/>
        </w:rPr>
        <w:t xml:space="preserve"> R</w:t>
      </w:r>
      <w:r w:rsidR="00C3427E" w:rsidRPr="00D04568">
        <w:rPr>
          <w:sz w:val="26"/>
          <w:szCs w:val="26"/>
        </w:rPr>
        <w:t xml:space="preserve">ate </w:t>
      </w:r>
      <w:r>
        <w:rPr>
          <w:sz w:val="26"/>
          <w:szCs w:val="26"/>
        </w:rPr>
        <w:t>D</w:t>
      </w:r>
      <w:r w:rsidR="00C3427E" w:rsidRPr="00D04568">
        <w:rPr>
          <w:sz w:val="26"/>
          <w:szCs w:val="26"/>
        </w:rPr>
        <w:t xml:space="preserve">esign </w:t>
      </w:r>
      <w:r>
        <w:rPr>
          <w:sz w:val="26"/>
          <w:szCs w:val="26"/>
        </w:rPr>
        <w:t>P</w:t>
      </w:r>
      <w:r w:rsidR="00C3427E" w:rsidRPr="00D04568">
        <w:rPr>
          <w:sz w:val="26"/>
          <w:szCs w:val="26"/>
        </w:rPr>
        <w:t xml:space="preserve">roposal to </w:t>
      </w:r>
      <w:r>
        <w:rPr>
          <w:sz w:val="26"/>
          <w:szCs w:val="26"/>
        </w:rPr>
        <w:t>M</w:t>
      </w:r>
      <w:r w:rsidR="008C6432" w:rsidRPr="00D04568">
        <w:rPr>
          <w:sz w:val="26"/>
          <w:szCs w:val="26"/>
        </w:rPr>
        <w:t>odify Rate Schedule LP-4.</w:t>
      </w:r>
    </w:p>
    <w:p w:rsidR="00271329" w:rsidRDefault="00271329" w:rsidP="000E0862">
      <w:pPr>
        <w:ind w:firstLine="1440"/>
        <w:jc w:val="left"/>
        <w:rPr>
          <w:sz w:val="26"/>
          <w:szCs w:val="26"/>
        </w:rPr>
      </w:pPr>
    </w:p>
    <w:p w:rsidR="008817BC" w:rsidRDefault="00B80055" w:rsidP="000E0862">
      <w:pPr>
        <w:ind w:firstLine="1440"/>
        <w:jc w:val="left"/>
        <w:rPr>
          <w:sz w:val="26"/>
          <w:szCs w:val="26"/>
        </w:rPr>
      </w:pPr>
      <w:r>
        <w:rPr>
          <w:sz w:val="26"/>
          <w:szCs w:val="26"/>
        </w:rPr>
        <w:t>The applicable legal standard we use in reaching final disposition</w:t>
      </w:r>
      <w:r w:rsidR="00DF15A0">
        <w:rPr>
          <w:sz w:val="26"/>
          <w:szCs w:val="26"/>
        </w:rPr>
        <w:t>s</w:t>
      </w:r>
      <w:r>
        <w:rPr>
          <w:sz w:val="26"/>
          <w:szCs w:val="26"/>
        </w:rPr>
        <w:t xml:space="preserve"> on these non-settled issues is found in </w:t>
      </w:r>
      <w:r w:rsidR="00D17A61" w:rsidRPr="00D17A61">
        <w:rPr>
          <w:sz w:val="26"/>
          <w:szCs w:val="26"/>
        </w:rPr>
        <w:t xml:space="preserve">Section 1301 of the Public Utility Code, 66 Pa. C.S. § 1301, </w:t>
      </w:r>
      <w:r>
        <w:rPr>
          <w:sz w:val="26"/>
          <w:szCs w:val="26"/>
        </w:rPr>
        <w:t xml:space="preserve">which </w:t>
      </w:r>
      <w:r w:rsidR="00D17A61" w:rsidRPr="00D17A61">
        <w:rPr>
          <w:sz w:val="26"/>
          <w:szCs w:val="26"/>
        </w:rPr>
        <w:t xml:space="preserve">provides:  “every rate made, demanded, or received by any public utility, or by any two or more public utilities jointly, shall be just and reasonable, and in conformity with regulations or orders of the commission.”  </w:t>
      </w:r>
      <w:r w:rsidR="00D17A61" w:rsidRPr="00D17A61">
        <w:rPr>
          <w:spacing w:val="-3"/>
          <w:sz w:val="26"/>
          <w:szCs w:val="26"/>
        </w:rPr>
        <w:t xml:space="preserve">In deciding any general rate increase case brought under Section 1308(d) of the Code, 66 Pa. C.S. </w:t>
      </w:r>
      <w:r w:rsidR="00F54B07">
        <w:rPr>
          <w:spacing w:val="-3"/>
          <w:sz w:val="26"/>
          <w:szCs w:val="26"/>
        </w:rPr>
        <w:t xml:space="preserve">§ </w:t>
      </w:r>
      <w:r w:rsidR="0020789A">
        <w:rPr>
          <w:spacing w:val="-3"/>
          <w:sz w:val="26"/>
          <w:szCs w:val="26"/>
        </w:rPr>
        <w:t>1308</w:t>
      </w:r>
      <w:r w:rsidR="0003574E">
        <w:rPr>
          <w:spacing w:val="-3"/>
          <w:sz w:val="26"/>
          <w:szCs w:val="26"/>
        </w:rPr>
        <w:t>,</w:t>
      </w:r>
      <w:r w:rsidR="0020789A">
        <w:rPr>
          <w:spacing w:val="-3"/>
          <w:sz w:val="26"/>
          <w:szCs w:val="26"/>
        </w:rPr>
        <w:t xml:space="preserve"> </w:t>
      </w:r>
      <w:r w:rsidR="00D17A61" w:rsidRPr="00D17A61">
        <w:rPr>
          <w:spacing w:val="-3"/>
          <w:sz w:val="26"/>
          <w:szCs w:val="26"/>
        </w:rPr>
        <w:t xml:space="preserve">certain general legal standards always apply. </w:t>
      </w:r>
      <w:r w:rsidR="0020789A">
        <w:rPr>
          <w:sz w:val="26"/>
          <w:szCs w:val="26"/>
        </w:rPr>
        <w:t>For instance, t</w:t>
      </w:r>
      <w:r w:rsidR="00D17A61" w:rsidRPr="00D17A61">
        <w:rPr>
          <w:sz w:val="26"/>
          <w:szCs w:val="26"/>
        </w:rPr>
        <w:t xml:space="preserve">he burden of proof to establish the justness and reasonableness of every element of the utility’s rate increase rests solely upon the public utility.  66 Pa. C.S. § 315(a).  “It is well-established that the evidence adduced by a utility to meet this burden must be substantial.”  </w:t>
      </w:r>
      <w:r w:rsidR="00D17A61" w:rsidRPr="00D17A61">
        <w:rPr>
          <w:i/>
          <w:sz w:val="26"/>
          <w:szCs w:val="26"/>
        </w:rPr>
        <w:t>Lower Frederick Twp. v. Pennsylvania Pub. Util. Comm’n</w:t>
      </w:r>
      <w:r w:rsidR="00D17A61" w:rsidRPr="00D17A61">
        <w:rPr>
          <w:sz w:val="26"/>
          <w:szCs w:val="26"/>
        </w:rPr>
        <w:t>, 409 A.2</w:t>
      </w:r>
      <w:r w:rsidR="00DF15A0">
        <w:rPr>
          <w:sz w:val="26"/>
          <w:szCs w:val="26"/>
        </w:rPr>
        <w:t>d 505, 507 (Pa. Cmwlth. 1980).</w:t>
      </w:r>
    </w:p>
    <w:p w:rsidR="008817BC" w:rsidRDefault="008817BC" w:rsidP="000E0862">
      <w:pPr>
        <w:ind w:firstLine="1440"/>
        <w:jc w:val="left"/>
        <w:rPr>
          <w:sz w:val="26"/>
          <w:szCs w:val="26"/>
        </w:rPr>
      </w:pPr>
    </w:p>
    <w:p w:rsidR="008817BC" w:rsidRDefault="00D17A61" w:rsidP="000E0862">
      <w:pPr>
        <w:tabs>
          <w:tab w:val="left" w:pos="2160"/>
        </w:tabs>
        <w:ind w:firstLine="1440"/>
        <w:jc w:val="left"/>
        <w:rPr>
          <w:sz w:val="26"/>
          <w:szCs w:val="26"/>
        </w:rPr>
      </w:pPr>
      <w:r w:rsidRPr="00D17A61">
        <w:rPr>
          <w:sz w:val="26"/>
          <w:szCs w:val="26"/>
        </w:rPr>
        <w:t xml:space="preserve">While the burden of proof remains with the public utility throughout the rate proceeding, the Commission has stated that where a party proposes an adjustment to a ratemaking claim of a utility, the proposing party bears the </w:t>
      </w:r>
      <w:r w:rsidRPr="00D17A61">
        <w:rPr>
          <w:bCs/>
          <w:sz w:val="26"/>
          <w:szCs w:val="26"/>
        </w:rPr>
        <w:t>burden</w:t>
      </w:r>
      <w:r w:rsidRPr="00D17A61">
        <w:rPr>
          <w:sz w:val="26"/>
          <w:szCs w:val="26"/>
        </w:rPr>
        <w:t xml:space="preserve"> of presenting some evidence or analysis tending to demonstrate the reasonableness of the adjustment.  </w:t>
      </w:r>
      <w:r w:rsidRPr="00D17A61">
        <w:rPr>
          <w:i/>
          <w:sz w:val="26"/>
          <w:szCs w:val="26"/>
        </w:rPr>
        <w:t>Pa. PUC v. Aqua Pennsylvania, Inc</w:t>
      </w:r>
      <w:r w:rsidRPr="00D17A61">
        <w:rPr>
          <w:sz w:val="26"/>
          <w:szCs w:val="26"/>
        </w:rPr>
        <w:t xml:space="preserve">., Docket No. R-00072711 </w:t>
      </w:r>
      <w:r w:rsidR="007B75F9">
        <w:rPr>
          <w:sz w:val="26"/>
          <w:szCs w:val="26"/>
        </w:rPr>
        <w:t>(Order entered July 17, 2008).</w:t>
      </w:r>
    </w:p>
    <w:p w:rsidR="008817BC" w:rsidRDefault="008817BC" w:rsidP="000E0862">
      <w:pPr>
        <w:tabs>
          <w:tab w:val="left" w:pos="-720"/>
          <w:tab w:val="left" w:pos="2160"/>
        </w:tabs>
        <w:suppressAutoHyphens/>
        <w:ind w:firstLine="1440"/>
        <w:jc w:val="left"/>
        <w:rPr>
          <w:sz w:val="26"/>
          <w:szCs w:val="26"/>
        </w:rPr>
      </w:pPr>
    </w:p>
    <w:p w:rsidR="008817BC" w:rsidRDefault="00D17A61" w:rsidP="000E0862">
      <w:pPr>
        <w:tabs>
          <w:tab w:val="left" w:pos="-720"/>
          <w:tab w:val="left" w:pos="2160"/>
        </w:tabs>
        <w:suppressAutoHyphens/>
        <w:ind w:firstLine="1440"/>
        <w:jc w:val="left"/>
        <w:rPr>
          <w:sz w:val="26"/>
          <w:szCs w:val="26"/>
        </w:rPr>
      </w:pPr>
      <w:r w:rsidRPr="00D17A61">
        <w:rPr>
          <w:sz w:val="26"/>
          <w:szCs w:val="26"/>
        </w:rPr>
        <w:t xml:space="preserve">In addition, Section 523 of the Public Utility Code, 66 Pa. C.S. § 523, requires the Commission to “consider . . . the efficiency, effectiveness and adequacy of service of each utility when determining just and reasonable rates. . . .”  In exchange for customers paying rates for service, which include the cost of utility plant in service and a rate of return, a public utility is obligated to provide safe, adequate and reasonable service.  “[I]n exchange for the utility’s provision of safe, adequate and reasonable service, the ratepayers are obligated to pay rates which cover the cost of service which includes reasonable operation and maintenance expenses, depreciation, taxes and a fair </w:t>
      </w:r>
      <w:r w:rsidRPr="00D17A61">
        <w:rPr>
          <w:sz w:val="26"/>
          <w:szCs w:val="26"/>
        </w:rPr>
        <w:lastRenderedPageBreak/>
        <w:t xml:space="preserve">rate of return for the utility’s investors . . .  In return for providing safe and adequate service, the utility is entitled to recover, through rates, these enumerated costs.”  </w:t>
      </w:r>
      <w:r w:rsidRPr="00D17A61">
        <w:rPr>
          <w:i/>
          <w:spacing w:val="-3"/>
          <w:sz w:val="26"/>
          <w:szCs w:val="26"/>
        </w:rPr>
        <w:t>Pa</w:t>
      </w:r>
      <w:r w:rsidR="00F005F4">
        <w:rPr>
          <w:i/>
          <w:spacing w:val="-3"/>
          <w:sz w:val="26"/>
          <w:szCs w:val="26"/>
        </w:rPr>
        <w:t>.</w:t>
      </w:r>
      <w:r w:rsidRPr="00D17A61">
        <w:rPr>
          <w:i/>
          <w:spacing w:val="-3"/>
          <w:sz w:val="26"/>
          <w:szCs w:val="26"/>
        </w:rPr>
        <w:t xml:space="preserve"> PUC</w:t>
      </w:r>
      <w:r w:rsidRPr="00D17A61">
        <w:rPr>
          <w:i/>
          <w:sz w:val="26"/>
          <w:szCs w:val="26"/>
        </w:rPr>
        <w:t xml:space="preserve"> v. Pennsylvania Gas &amp; Water Co., </w:t>
      </w:r>
      <w:r w:rsidRPr="00D17A61">
        <w:rPr>
          <w:sz w:val="26"/>
          <w:szCs w:val="26"/>
        </w:rPr>
        <w:t>61 Pa. PUC 409, 415-16 (1986); 66 Pa. C.S. § 1501.  Accordingly, the General Assembly has given the Commission discretionary authority to deny a proposed rate increase, in whole or in part, if the Commission finds “that the service rendered by the public utility is inadequate.”  66 Pa. C.S. § 526(a).</w:t>
      </w:r>
    </w:p>
    <w:p w:rsidR="00271329" w:rsidRDefault="00271329" w:rsidP="000E0862">
      <w:pPr>
        <w:tabs>
          <w:tab w:val="left" w:pos="-720"/>
          <w:tab w:val="left" w:pos="2160"/>
        </w:tabs>
        <w:suppressAutoHyphens/>
        <w:ind w:firstLine="1440"/>
        <w:jc w:val="left"/>
        <w:rPr>
          <w:sz w:val="26"/>
          <w:szCs w:val="26"/>
        </w:rPr>
      </w:pPr>
    </w:p>
    <w:p w:rsidR="00D17A61" w:rsidRPr="00D17A61" w:rsidRDefault="00271329" w:rsidP="000E0862">
      <w:pPr>
        <w:tabs>
          <w:tab w:val="left" w:pos="-720"/>
          <w:tab w:val="left" w:pos="2160"/>
        </w:tabs>
        <w:suppressAutoHyphens/>
        <w:ind w:firstLine="1440"/>
        <w:jc w:val="left"/>
        <w:rPr>
          <w:spacing w:val="-3"/>
          <w:sz w:val="26"/>
          <w:szCs w:val="26"/>
        </w:rPr>
      </w:pPr>
      <w:r>
        <w:rPr>
          <w:sz w:val="26"/>
          <w:szCs w:val="26"/>
        </w:rPr>
        <w:t xml:space="preserve">As noted, Exceptions and Reply Exceptions were filed </w:t>
      </w:r>
      <w:r w:rsidR="00B123AA">
        <w:rPr>
          <w:sz w:val="26"/>
          <w:szCs w:val="26"/>
        </w:rPr>
        <w:t xml:space="preserve">with regard to the ALJ’s recommendations on </w:t>
      </w:r>
      <w:r w:rsidR="00DF15A0">
        <w:rPr>
          <w:sz w:val="26"/>
          <w:szCs w:val="26"/>
        </w:rPr>
        <w:t>certain</w:t>
      </w:r>
      <w:r w:rsidR="00B123AA">
        <w:rPr>
          <w:sz w:val="26"/>
          <w:szCs w:val="26"/>
        </w:rPr>
        <w:t xml:space="preserve"> non-settled issues.  As a preliminary matter before addressing these issues, we note that a</w:t>
      </w:r>
      <w:r w:rsidR="00B123AA" w:rsidRPr="00885D9E">
        <w:rPr>
          <w:rFonts w:ascii="Times New (W1)" w:hAnsi="Times New (W1)"/>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00B123AA" w:rsidRPr="00885D9E">
        <w:rPr>
          <w:rFonts w:ascii="Times New (W1)" w:hAnsi="Times New (W1)"/>
          <w:i/>
          <w:sz w:val="26"/>
          <w:szCs w:val="26"/>
        </w:rPr>
        <w:t>Consolidated Rail Corporation v. Pennsylvania Public Utility Commission</w:t>
      </w:r>
      <w:r w:rsidR="00B123AA" w:rsidRPr="00885D9E">
        <w:rPr>
          <w:rFonts w:ascii="Times New (W1)" w:hAnsi="Times New (W1)"/>
          <w:sz w:val="26"/>
          <w:szCs w:val="26"/>
        </w:rPr>
        <w:t xml:space="preserve">, 625 A.2d 741 (Pa. Cmwlth. 1993); </w:t>
      </w:r>
      <w:r w:rsidR="00B123AA" w:rsidRPr="00885D9E">
        <w:rPr>
          <w:rFonts w:ascii="Times New (W1)" w:hAnsi="Times New (W1)"/>
          <w:i/>
          <w:sz w:val="26"/>
          <w:szCs w:val="26"/>
        </w:rPr>
        <w:t>see also</w:t>
      </w:r>
      <w:r w:rsidR="00B123AA" w:rsidRPr="00885D9E">
        <w:rPr>
          <w:rFonts w:ascii="Times New (W1)" w:hAnsi="Times New (W1)"/>
          <w:sz w:val="26"/>
          <w:szCs w:val="26"/>
        </w:rPr>
        <w:t xml:space="preserve">, </w:t>
      </w:r>
      <w:r w:rsidR="00B123AA" w:rsidRPr="00885D9E">
        <w:rPr>
          <w:rFonts w:ascii="Times New (W1)" w:hAnsi="Times New (W1)"/>
          <w:i/>
          <w:sz w:val="26"/>
          <w:szCs w:val="26"/>
        </w:rPr>
        <w:t>generally</w:t>
      </w:r>
      <w:r w:rsidR="00B123AA" w:rsidRPr="00885D9E">
        <w:rPr>
          <w:rFonts w:ascii="Times New (W1)" w:hAnsi="Times New (W1)"/>
          <w:sz w:val="26"/>
          <w:szCs w:val="26"/>
        </w:rPr>
        <w:t xml:space="preserve">, </w:t>
      </w:r>
      <w:r w:rsidR="00B123AA" w:rsidRPr="00885D9E">
        <w:rPr>
          <w:rFonts w:ascii="Times New (W1)" w:hAnsi="Times New (W1)"/>
          <w:i/>
          <w:sz w:val="26"/>
          <w:szCs w:val="26"/>
        </w:rPr>
        <w:t>University of Pennsylvania v. Pa. PUC</w:t>
      </w:r>
      <w:r w:rsidR="00B123AA" w:rsidRPr="00885D9E">
        <w:rPr>
          <w:rFonts w:ascii="Times New (W1)" w:hAnsi="Times New (W1)"/>
          <w:sz w:val="26"/>
          <w:szCs w:val="26"/>
        </w:rPr>
        <w:t>, 485 A.2d 1217 (Pa. Cmwlth. 1984).</w:t>
      </w:r>
      <w:r w:rsidR="00B123AA">
        <w:rPr>
          <w:rFonts w:ascii="Times New (W1)" w:hAnsi="Times New (W1)"/>
          <w:sz w:val="26"/>
          <w:szCs w:val="26"/>
        </w:rPr>
        <w:t xml:space="preserve">  With that said, the ALJ’s recommendations on the unsettled issues and the Exceptions thereto are now ripe for disposition.</w:t>
      </w:r>
    </w:p>
    <w:p w:rsidR="00B123AA" w:rsidRDefault="00B123AA" w:rsidP="000E0862">
      <w:pPr>
        <w:pStyle w:val="Pleading2L3"/>
        <w:numPr>
          <w:ilvl w:val="0"/>
          <w:numId w:val="0"/>
        </w:numPr>
        <w:spacing w:line="360" w:lineRule="auto"/>
        <w:ind w:left="1440"/>
        <w:rPr>
          <w:b/>
          <w:sz w:val="26"/>
          <w:szCs w:val="26"/>
        </w:rPr>
      </w:pPr>
    </w:p>
    <w:p w:rsidR="00A94F92" w:rsidRPr="00D86DF0" w:rsidRDefault="00B123AA" w:rsidP="000E0862">
      <w:pPr>
        <w:pStyle w:val="Pleading2L3"/>
        <w:numPr>
          <w:ilvl w:val="0"/>
          <w:numId w:val="0"/>
        </w:numPr>
        <w:spacing w:line="360" w:lineRule="auto"/>
        <w:ind w:left="1440"/>
        <w:rPr>
          <w:b/>
          <w:sz w:val="26"/>
          <w:szCs w:val="26"/>
        </w:rPr>
      </w:pPr>
      <w:r>
        <w:rPr>
          <w:b/>
          <w:sz w:val="26"/>
          <w:szCs w:val="26"/>
        </w:rPr>
        <w:t>a</w:t>
      </w:r>
      <w:r w:rsidR="00D86DF0" w:rsidRPr="00D86DF0">
        <w:rPr>
          <w:b/>
          <w:sz w:val="26"/>
          <w:szCs w:val="26"/>
        </w:rPr>
        <w:t>.</w:t>
      </w:r>
      <w:r w:rsidR="00D86DF0" w:rsidRPr="00D86DF0">
        <w:rPr>
          <w:b/>
          <w:sz w:val="26"/>
          <w:szCs w:val="26"/>
        </w:rPr>
        <w:tab/>
      </w:r>
      <w:r w:rsidR="00055A8E">
        <w:rPr>
          <w:b/>
          <w:sz w:val="26"/>
          <w:szCs w:val="26"/>
        </w:rPr>
        <w:t xml:space="preserve">The Applicable </w:t>
      </w:r>
      <w:r w:rsidR="00BC4B58" w:rsidRPr="006C58B1">
        <w:rPr>
          <w:b/>
          <w:sz w:val="26"/>
          <w:szCs w:val="26"/>
        </w:rPr>
        <w:t>Cost of Service Study (COSS)</w:t>
      </w:r>
    </w:p>
    <w:p w:rsidR="00A94F92" w:rsidRPr="00CB744C" w:rsidRDefault="00A94F92"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sidRPr="00CB744C">
        <w:rPr>
          <w:sz w:val="26"/>
          <w:szCs w:val="26"/>
        </w:rPr>
        <w:t xml:space="preserve">When a utility files for a rate increase, it must file a </w:t>
      </w:r>
      <w:r>
        <w:rPr>
          <w:sz w:val="26"/>
          <w:szCs w:val="26"/>
        </w:rPr>
        <w:t>COSS</w:t>
      </w:r>
      <w:r w:rsidRPr="00CB744C">
        <w:rPr>
          <w:sz w:val="26"/>
          <w:szCs w:val="26"/>
        </w:rPr>
        <w:t xml:space="preserve"> assigning to each customer class a rate based upon operating costs that it incurred in providing that service.  </w:t>
      </w:r>
      <w:r w:rsidRPr="00CB744C">
        <w:rPr>
          <w:i/>
          <w:sz w:val="26"/>
          <w:szCs w:val="26"/>
        </w:rPr>
        <w:t xml:space="preserve">Lloyd v. Pa. PUC, </w:t>
      </w:r>
      <w:r w:rsidRPr="00CB744C">
        <w:rPr>
          <w:sz w:val="26"/>
          <w:szCs w:val="26"/>
        </w:rPr>
        <w:t xml:space="preserve">904 A.2d 1010 (Pa. Cmwlth. 2006) </w:t>
      </w:r>
      <w:r w:rsidRPr="00CB744C">
        <w:rPr>
          <w:i/>
          <w:sz w:val="26"/>
          <w:szCs w:val="26"/>
        </w:rPr>
        <w:t xml:space="preserve">appeal denied </w:t>
      </w:r>
      <w:r w:rsidRPr="00CB744C">
        <w:rPr>
          <w:sz w:val="26"/>
          <w:szCs w:val="26"/>
        </w:rPr>
        <w:t>591 Pa. 676, 916 A.2d 1104, fn. 10 (2007)</w:t>
      </w:r>
      <w:r>
        <w:rPr>
          <w:sz w:val="26"/>
          <w:szCs w:val="26"/>
        </w:rPr>
        <w:t xml:space="preserve"> </w:t>
      </w:r>
      <w:r w:rsidRPr="00CB744C">
        <w:rPr>
          <w:sz w:val="26"/>
          <w:szCs w:val="26"/>
        </w:rPr>
        <w:t>(</w:t>
      </w:r>
      <w:r w:rsidRPr="00CB744C">
        <w:rPr>
          <w:i/>
          <w:sz w:val="26"/>
          <w:szCs w:val="26"/>
        </w:rPr>
        <w:t>Lloyd</w:t>
      </w:r>
      <w:r w:rsidRPr="00CB744C">
        <w:rPr>
          <w:sz w:val="26"/>
          <w:szCs w:val="26"/>
        </w:rPr>
        <w:t>).</w:t>
      </w:r>
      <w:r w:rsidRPr="00883EEF">
        <w:rPr>
          <w:rStyle w:val="FootnoteReference"/>
          <w:rFonts w:ascii="Times New (W1)" w:hAnsi="Times New (W1)"/>
          <w:sz w:val="28"/>
          <w:szCs w:val="28"/>
          <w:vertAlign w:val="superscript"/>
        </w:rPr>
        <w:footnoteReference w:id="4"/>
      </w:r>
    </w:p>
    <w:p w:rsidR="00A94F92" w:rsidRPr="00CB744C" w:rsidRDefault="00A94F92" w:rsidP="000E0862">
      <w:pPr>
        <w:pStyle w:val="Pleading2L3"/>
        <w:numPr>
          <w:ilvl w:val="0"/>
          <w:numId w:val="0"/>
        </w:numPr>
        <w:spacing w:line="360" w:lineRule="auto"/>
        <w:ind w:firstLine="1440"/>
        <w:rPr>
          <w:sz w:val="26"/>
          <w:szCs w:val="26"/>
        </w:rPr>
      </w:pPr>
    </w:p>
    <w:p w:rsidR="00A94F92" w:rsidRPr="00922863" w:rsidRDefault="00A94F92" w:rsidP="000E0862">
      <w:pPr>
        <w:pStyle w:val="Pleading2L3"/>
        <w:numPr>
          <w:ilvl w:val="0"/>
          <w:numId w:val="0"/>
        </w:numPr>
        <w:spacing w:line="360" w:lineRule="auto"/>
        <w:ind w:firstLine="1440"/>
        <w:rPr>
          <w:i/>
          <w:sz w:val="26"/>
          <w:szCs w:val="26"/>
        </w:rPr>
      </w:pPr>
      <w:r>
        <w:rPr>
          <w:sz w:val="26"/>
          <w:szCs w:val="26"/>
        </w:rPr>
        <w:lastRenderedPageBreak/>
        <w:t>PPL’s</w:t>
      </w:r>
      <w:r w:rsidRPr="00CB744C">
        <w:rPr>
          <w:sz w:val="26"/>
          <w:szCs w:val="26"/>
        </w:rPr>
        <w:t xml:space="preserve"> proposed revenue allocation was guided by the Commonwealth Court decision arising from </w:t>
      </w:r>
      <w:r w:rsidR="006C58B1">
        <w:rPr>
          <w:sz w:val="26"/>
          <w:szCs w:val="26"/>
        </w:rPr>
        <w:t>its</w:t>
      </w:r>
      <w:r w:rsidRPr="00CB744C">
        <w:rPr>
          <w:sz w:val="26"/>
          <w:szCs w:val="26"/>
        </w:rPr>
        <w:t xml:space="preserve"> 2004 rate case, which held that the cost of service should be the “polestar” of utility ratemaking.  </w:t>
      </w:r>
      <w:r w:rsidRPr="00CB744C">
        <w:rPr>
          <w:i/>
          <w:sz w:val="26"/>
          <w:szCs w:val="26"/>
        </w:rPr>
        <w:t>Lloyd</w:t>
      </w:r>
      <w:r w:rsidRPr="00CB744C">
        <w:rPr>
          <w:sz w:val="26"/>
          <w:szCs w:val="26"/>
        </w:rPr>
        <w:t xml:space="preserve"> at 1020.  The method of determining the cost of service is a matter of some contention in any rate case, and this one is no exception.  </w:t>
      </w:r>
      <w:r>
        <w:rPr>
          <w:sz w:val="26"/>
          <w:szCs w:val="26"/>
        </w:rPr>
        <w:t>R.D. at</w:t>
      </w:r>
      <w:r w:rsidR="00883EEF">
        <w:rPr>
          <w:sz w:val="26"/>
          <w:szCs w:val="26"/>
        </w:rPr>
        <w:t xml:space="preserve"> </w:t>
      </w:r>
      <w:r>
        <w:rPr>
          <w:sz w:val="26"/>
          <w:szCs w:val="26"/>
        </w:rPr>
        <w:t xml:space="preserve"> 36.  </w:t>
      </w:r>
      <w:r w:rsidRPr="00CB744C">
        <w:rPr>
          <w:sz w:val="26"/>
          <w:szCs w:val="26"/>
        </w:rPr>
        <w:t xml:space="preserve">While </w:t>
      </w:r>
      <w:r>
        <w:rPr>
          <w:sz w:val="26"/>
          <w:szCs w:val="26"/>
        </w:rPr>
        <w:t>it is</w:t>
      </w:r>
      <w:r w:rsidRPr="00CB744C">
        <w:rPr>
          <w:sz w:val="26"/>
          <w:szCs w:val="26"/>
        </w:rPr>
        <w:t xml:space="preserve"> agree</w:t>
      </w:r>
      <w:r>
        <w:rPr>
          <w:sz w:val="26"/>
          <w:szCs w:val="26"/>
        </w:rPr>
        <w:t>d</w:t>
      </w:r>
      <w:r w:rsidRPr="00CB744C">
        <w:rPr>
          <w:sz w:val="26"/>
          <w:szCs w:val="26"/>
        </w:rPr>
        <w:t xml:space="preserve"> that a </w:t>
      </w:r>
      <w:r>
        <w:rPr>
          <w:sz w:val="26"/>
          <w:szCs w:val="26"/>
        </w:rPr>
        <w:t>COSS</w:t>
      </w:r>
      <w:r w:rsidRPr="00CB744C">
        <w:rPr>
          <w:sz w:val="26"/>
          <w:szCs w:val="26"/>
        </w:rPr>
        <w:t xml:space="preserve"> is important, opinions differ</w:t>
      </w:r>
      <w:r w:rsidR="00FE6B26">
        <w:rPr>
          <w:sz w:val="26"/>
          <w:szCs w:val="26"/>
        </w:rPr>
        <w:t>ed</w:t>
      </w:r>
      <w:r w:rsidRPr="00CB744C">
        <w:rPr>
          <w:sz w:val="26"/>
          <w:szCs w:val="26"/>
        </w:rPr>
        <w:t xml:space="preserve"> on how </w:t>
      </w:r>
      <w:r w:rsidR="00FE6B26">
        <w:rPr>
          <w:sz w:val="26"/>
          <w:szCs w:val="26"/>
        </w:rPr>
        <w:t>the study should be conducted</w:t>
      </w:r>
      <w:r w:rsidRPr="00CB744C">
        <w:rPr>
          <w:sz w:val="26"/>
          <w:szCs w:val="26"/>
        </w:rPr>
        <w:t>.</w:t>
      </w:r>
      <w:r>
        <w:rPr>
          <w:sz w:val="26"/>
          <w:szCs w:val="26"/>
        </w:rPr>
        <w:t xml:space="preserve">  </w:t>
      </w:r>
      <w:r>
        <w:rPr>
          <w:i/>
          <w:sz w:val="26"/>
          <w:szCs w:val="26"/>
        </w:rPr>
        <w:t>Id.</w:t>
      </w:r>
      <w:r w:rsidRPr="00CB744C">
        <w:rPr>
          <w:sz w:val="26"/>
          <w:szCs w:val="26"/>
        </w:rPr>
        <w:t xml:space="preserve">  </w:t>
      </w:r>
      <w:r>
        <w:rPr>
          <w:sz w:val="26"/>
          <w:szCs w:val="26"/>
        </w:rPr>
        <w:t>PPL</w:t>
      </w:r>
      <w:r w:rsidRPr="00CB744C">
        <w:rPr>
          <w:sz w:val="26"/>
          <w:szCs w:val="26"/>
        </w:rPr>
        <w:t xml:space="preserve">, the OCA and </w:t>
      </w:r>
      <w:r>
        <w:rPr>
          <w:sz w:val="26"/>
          <w:szCs w:val="26"/>
        </w:rPr>
        <w:t xml:space="preserve">the </w:t>
      </w:r>
      <w:r w:rsidRPr="00CB744C">
        <w:rPr>
          <w:sz w:val="26"/>
          <w:szCs w:val="26"/>
        </w:rPr>
        <w:t xml:space="preserve">OSBA submitted </w:t>
      </w:r>
      <w:r>
        <w:rPr>
          <w:sz w:val="26"/>
          <w:szCs w:val="26"/>
        </w:rPr>
        <w:t xml:space="preserve">proposed </w:t>
      </w:r>
      <w:r w:rsidRPr="00CB744C">
        <w:rPr>
          <w:sz w:val="26"/>
          <w:szCs w:val="26"/>
        </w:rPr>
        <w:t>COSS</w:t>
      </w:r>
      <w:r>
        <w:rPr>
          <w:sz w:val="26"/>
          <w:szCs w:val="26"/>
        </w:rPr>
        <w:t>s in this case</w:t>
      </w:r>
      <w:r w:rsidRPr="00CB744C">
        <w:rPr>
          <w:sz w:val="26"/>
          <w:szCs w:val="26"/>
        </w:rPr>
        <w:t>.</w:t>
      </w:r>
      <w:r>
        <w:rPr>
          <w:sz w:val="26"/>
          <w:szCs w:val="26"/>
        </w:rPr>
        <w:t xml:space="preserve">  </w:t>
      </w:r>
      <w:r>
        <w:rPr>
          <w:i/>
          <w:sz w:val="26"/>
          <w:szCs w:val="26"/>
        </w:rPr>
        <w:t>Id.</w:t>
      </w:r>
    </w:p>
    <w:p w:rsidR="00A94F92" w:rsidRPr="00CB744C" w:rsidRDefault="00A94F92"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sidRPr="00CB744C">
        <w:rPr>
          <w:sz w:val="26"/>
          <w:szCs w:val="26"/>
        </w:rPr>
        <w:t>Simply put, “[</w:t>
      </w:r>
      <w:r w:rsidR="00FE6B26">
        <w:rPr>
          <w:sz w:val="26"/>
          <w:szCs w:val="26"/>
        </w:rPr>
        <w:t>t</w:t>
      </w:r>
      <w:r w:rsidRPr="00CB744C">
        <w:rPr>
          <w:sz w:val="26"/>
          <w:szCs w:val="26"/>
        </w:rPr>
        <w:t xml:space="preserve">]he underlying principle of a COSS is that costs are assigned to the rate classes that </w:t>
      </w:r>
      <w:r w:rsidRPr="00CB744C">
        <w:rPr>
          <w:i/>
          <w:sz w:val="26"/>
          <w:szCs w:val="26"/>
        </w:rPr>
        <w:t>cause</w:t>
      </w:r>
      <w:r w:rsidRPr="00CB744C">
        <w:rPr>
          <w:sz w:val="26"/>
          <w:szCs w:val="26"/>
        </w:rPr>
        <w:t xml:space="preserve"> the utility t</w:t>
      </w:r>
      <w:r>
        <w:rPr>
          <w:sz w:val="26"/>
          <w:szCs w:val="26"/>
        </w:rPr>
        <w:t>o incur those costs.”  OSBA St</w:t>
      </w:r>
      <w:r w:rsidRPr="00CB744C">
        <w:rPr>
          <w:sz w:val="26"/>
          <w:szCs w:val="26"/>
        </w:rPr>
        <w:t xml:space="preserve">. 1 at 4.  </w:t>
      </w:r>
      <w:r>
        <w:rPr>
          <w:sz w:val="26"/>
          <w:szCs w:val="26"/>
        </w:rPr>
        <w:t>In its Main Brief (M.B.), PPL</w:t>
      </w:r>
      <w:r w:rsidRPr="00CB744C">
        <w:rPr>
          <w:sz w:val="26"/>
          <w:szCs w:val="26"/>
        </w:rPr>
        <w:t xml:space="preserve"> states:</w:t>
      </w:r>
    </w:p>
    <w:p w:rsidR="00A94F92" w:rsidRPr="00CB744C" w:rsidRDefault="00A94F92" w:rsidP="000E0862">
      <w:pPr>
        <w:pStyle w:val="Pleading2L3"/>
        <w:numPr>
          <w:ilvl w:val="0"/>
          <w:numId w:val="0"/>
        </w:numPr>
        <w:spacing w:line="240" w:lineRule="auto"/>
        <w:ind w:firstLine="1440"/>
        <w:rPr>
          <w:sz w:val="26"/>
          <w:szCs w:val="26"/>
        </w:rPr>
      </w:pPr>
    </w:p>
    <w:p w:rsidR="00A94F92" w:rsidRPr="00CB744C" w:rsidRDefault="0091640C" w:rsidP="000E0862">
      <w:pPr>
        <w:pStyle w:val="Pleading2L3"/>
        <w:numPr>
          <w:ilvl w:val="0"/>
          <w:numId w:val="0"/>
        </w:numPr>
        <w:spacing w:line="240" w:lineRule="auto"/>
        <w:ind w:left="1440" w:right="1440"/>
        <w:contextualSpacing/>
        <w:rPr>
          <w:sz w:val="26"/>
          <w:szCs w:val="26"/>
        </w:rPr>
      </w:pPr>
      <w:r>
        <w:rPr>
          <w:sz w:val="26"/>
          <w:szCs w:val="26"/>
        </w:rPr>
        <w:tab/>
      </w:r>
      <w:r w:rsidR="00A94F92" w:rsidRPr="00CB744C">
        <w:rPr>
          <w:sz w:val="26"/>
          <w:szCs w:val="26"/>
        </w:rPr>
        <w:t>Fully allocated cost of service studies, such as those presented by PPL Electric in this proceeding, take the Company’s overall total cost of service and allocate it to the various rate classes and then calculate the rate of return provided by that class.  The studies then compare the rate of return provided by each rate class to the system average rate of return to determine if each rate class is paying above or below its allocated cost of service.  That conclusion provides important guidance in base rate proceedings as to whether a rate class should receive a rate increase, and if so, the amount of the increase.</w:t>
      </w:r>
    </w:p>
    <w:p w:rsidR="00A94F92" w:rsidRPr="00CB744C" w:rsidRDefault="00A94F92" w:rsidP="000E0862">
      <w:pPr>
        <w:pStyle w:val="Pleading2L3"/>
        <w:numPr>
          <w:ilvl w:val="0"/>
          <w:numId w:val="0"/>
        </w:numPr>
        <w:spacing w:line="240" w:lineRule="auto"/>
        <w:ind w:left="1440" w:right="1440" w:hanging="1440"/>
        <w:contextualSpacing/>
        <w:rPr>
          <w:sz w:val="26"/>
          <w:szCs w:val="26"/>
        </w:rPr>
      </w:pPr>
    </w:p>
    <w:p w:rsidR="00A94F92" w:rsidRPr="00CB744C" w:rsidRDefault="00A94F92" w:rsidP="000E0862">
      <w:pPr>
        <w:pStyle w:val="Pleading2L3"/>
        <w:numPr>
          <w:ilvl w:val="0"/>
          <w:numId w:val="0"/>
        </w:numPr>
        <w:spacing w:line="360" w:lineRule="auto"/>
        <w:ind w:left="1440" w:right="1440" w:hanging="1440"/>
        <w:contextualSpacing/>
        <w:rPr>
          <w:sz w:val="26"/>
          <w:szCs w:val="26"/>
        </w:rPr>
      </w:pPr>
      <w:r w:rsidRPr="00CB744C">
        <w:rPr>
          <w:sz w:val="26"/>
          <w:szCs w:val="26"/>
        </w:rPr>
        <w:t xml:space="preserve">PPL </w:t>
      </w:r>
      <w:r>
        <w:rPr>
          <w:sz w:val="26"/>
          <w:szCs w:val="26"/>
        </w:rPr>
        <w:t>M.B.</w:t>
      </w:r>
      <w:r w:rsidRPr="00CB744C">
        <w:rPr>
          <w:sz w:val="26"/>
          <w:szCs w:val="26"/>
        </w:rPr>
        <w:t xml:space="preserve"> at 13</w:t>
      </w:r>
      <w:r>
        <w:rPr>
          <w:sz w:val="26"/>
          <w:szCs w:val="26"/>
        </w:rPr>
        <w:t>; R.D. at 36, 37</w:t>
      </w:r>
      <w:r w:rsidRPr="00CB744C">
        <w:rPr>
          <w:sz w:val="26"/>
          <w:szCs w:val="26"/>
        </w:rPr>
        <w:t>.</w:t>
      </w:r>
    </w:p>
    <w:p w:rsidR="00A94F92" w:rsidRPr="00CB744C" w:rsidRDefault="00A94F92" w:rsidP="000E0862">
      <w:pPr>
        <w:pStyle w:val="Pleading2L3"/>
        <w:numPr>
          <w:ilvl w:val="0"/>
          <w:numId w:val="0"/>
        </w:numPr>
        <w:spacing w:line="360" w:lineRule="auto"/>
        <w:ind w:left="1440" w:right="1440" w:hanging="1440"/>
        <w:contextualSpacing/>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PPL’s case in chief presented</w:t>
      </w:r>
      <w:r w:rsidRPr="00CB744C">
        <w:rPr>
          <w:sz w:val="26"/>
          <w:szCs w:val="26"/>
        </w:rPr>
        <w:t xml:space="preserve"> COSS JMK-1 and JMK-2 </w:t>
      </w:r>
      <w:r>
        <w:rPr>
          <w:sz w:val="26"/>
          <w:szCs w:val="26"/>
        </w:rPr>
        <w:t>representing</w:t>
      </w:r>
      <w:r w:rsidRPr="00CB744C">
        <w:rPr>
          <w:sz w:val="26"/>
          <w:szCs w:val="26"/>
        </w:rPr>
        <w:t xml:space="preserve"> the historic and future test years.</w:t>
      </w:r>
      <w:r>
        <w:rPr>
          <w:sz w:val="26"/>
          <w:szCs w:val="26"/>
        </w:rPr>
        <w:t xml:space="preserve">  R.D. at 37.</w:t>
      </w:r>
      <w:r w:rsidRPr="00CB744C">
        <w:rPr>
          <w:sz w:val="26"/>
          <w:szCs w:val="26"/>
        </w:rPr>
        <w:t xml:space="preserve">  During the discovery process, </w:t>
      </w:r>
      <w:r>
        <w:rPr>
          <w:sz w:val="26"/>
          <w:szCs w:val="26"/>
        </w:rPr>
        <w:t>PPL</w:t>
      </w:r>
      <w:r w:rsidRPr="00CB744C">
        <w:rPr>
          <w:sz w:val="26"/>
          <w:szCs w:val="26"/>
        </w:rPr>
        <w:t xml:space="preserve"> found certain errors in JMK-2 and replaced it with JMK-2 (Rev.), which was admitted into evidence.</w:t>
      </w:r>
      <w:r>
        <w:rPr>
          <w:sz w:val="26"/>
          <w:szCs w:val="26"/>
        </w:rPr>
        <w:t xml:space="preserve">  </w:t>
      </w:r>
      <w:r>
        <w:rPr>
          <w:i/>
          <w:sz w:val="26"/>
          <w:szCs w:val="26"/>
        </w:rPr>
        <w:t>Id.</w:t>
      </w:r>
      <w:r w:rsidRPr="00CB744C">
        <w:rPr>
          <w:sz w:val="26"/>
          <w:szCs w:val="26"/>
        </w:rPr>
        <w:t xml:space="preserve">  </w:t>
      </w:r>
      <w:r>
        <w:rPr>
          <w:sz w:val="26"/>
          <w:szCs w:val="26"/>
        </w:rPr>
        <w:t xml:space="preserve">PPL submitted two other COSSs labeled </w:t>
      </w:r>
      <w:r w:rsidRPr="00CB744C">
        <w:rPr>
          <w:sz w:val="26"/>
          <w:szCs w:val="26"/>
        </w:rPr>
        <w:t>JMK-2A</w:t>
      </w:r>
      <w:r>
        <w:rPr>
          <w:sz w:val="26"/>
          <w:szCs w:val="26"/>
        </w:rPr>
        <w:t xml:space="preserve"> and JMK-2B.  JMK-2A</w:t>
      </w:r>
      <w:r w:rsidRPr="00CB744C">
        <w:rPr>
          <w:sz w:val="26"/>
          <w:szCs w:val="26"/>
        </w:rPr>
        <w:t xml:space="preserve"> classifies substations as entirely demand-related and was updated to reflect the Company’s final accounting exhibit, PPL Electric Ex. Future 1 (Revised).</w:t>
      </w:r>
      <w:r>
        <w:rPr>
          <w:sz w:val="26"/>
          <w:szCs w:val="26"/>
        </w:rPr>
        <w:t xml:space="preserve">  </w:t>
      </w:r>
      <w:r>
        <w:rPr>
          <w:i/>
          <w:sz w:val="26"/>
          <w:szCs w:val="26"/>
        </w:rPr>
        <w:t>Id.</w:t>
      </w:r>
      <w:r w:rsidRPr="00CB744C">
        <w:rPr>
          <w:sz w:val="26"/>
          <w:szCs w:val="26"/>
        </w:rPr>
        <w:t xml:space="preserve">  </w:t>
      </w:r>
      <w:r>
        <w:rPr>
          <w:sz w:val="26"/>
          <w:szCs w:val="26"/>
        </w:rPr>
        <w:t xml:space="preserve">PPL’s COSS </w:t>
      </w:r>
      <w:r w:rsidRPr="00CB744C">
        <w:rPr>
          <w:sz w:val="26"/>
          <w:szCs w:val="26"/>
        </w:rPr>
        <w:t xml:space="preserve">JMK-2B was created to follow the methodology used in </w:t>
      </w:r>
      <w:r>
        <w:rPr>
          <w:sz w:val="26"/>
          <w:szCs w:val="26"/>
        </w:rPr>
        <w:t xml:space="preserve">PPL’s </w:t>
      </w:r>
      <w:r w:rsidRPr="00CB744C">
        <w:rPr>
          <w:sz w:val="26"/>
          <w:szCs w:val="26"/>
        </w:rPr>
        <w:t>prior</w:t>
      </w:r>
      <w:r>
        <w:rPr>
          <w:sz w:val="26"/>
          <w:szCs w:val="26"/>
        </w:rPr>
        <w:t xml:space="preserve"> base rate</w:t>
      </w:r>
      <w:r w:rsidRPr="00CB744C">
        <w:rPr>
          <w:sz w:val="26"/>
          <w:szCs w:val="26"/>
        </w:rPr>
        <w:t xml:space="preserve"> </w:t>
      </w:r>
      <w:r w:rsidRPr="00CB744C">
        <w:rPr>
          <w:sz w:val="26"/>
          <w:szCs w:val="26"/>
        </w:rPr>
        <w:lastRenderedPageBreak/>
        <w:t xml:space="preserve">cases in which all primary voltage facilities </w:t>
      </w:r>
      <w:r>
        <w:rPr>
          <w:sz w:val="26"/>
          <w:szCs w:val="26"/>
        </w:rPr>
        <w:t>we</w:t>
      </w:r>
      <w:r w:rsidRPr="00CB744C">
        <w:rPr>
          <w:sz w:val="26"/>
          <w:szCs w:val="26"/>
        </w:rPr>
        <w:t>re classified as demand</w:t>
      </w:r>
      <w:r>
        <w:rPr>
          <w:sz w:val="26"/>
          <w:szCs w:val="26"/>
        </w:rPr>
        <w:t>-</w:t>
      </w:r>
      <w:r w:rsidRPr="00CB744C">
        <w:rPr>
          <w:sz w:val="26"/>
          <w:szCs w:val="26"/>
        </w:rPr>
        <w:t>related.</w:t>
      </w:r>
      <w:r>
        <w:rPr>
          <w:sz w:val="26"/>
          <w:szCs w:val="26"/>
        </w:rPr>
        <w:t xml:space="preserve">  </w:t>
      </w:r>
      <w:r>
        <w:rPr>
          <w:i/>
          <w:sz w:val="26"/>
          <w:szCs w:val="26"/>
        </w:rPr>
        <w:t>Id.</w:t>
      </w:r>
      <w:r w:rsidRPr="00CB744C">
        <w:rPr>
          <w:sz w:val="26"/>
          <w:szCs w:val="26"/>
        </w:rPr>
        <w:t xml:space="preserve">  PPL </w:t>
      </w:r>
      <w:r>
        <w:rPr>
          <w:sz w:val="26"/>
          <w:szCs w:val="26"/>
        </w:rPr>
        <w:t xml:space="preserve">M.B. at 14, </w:t>
      </w:r>
      <w:r w:rsidRPr="00CB744C">
        <w:rPr>
          <w:sz w:val="26"/>
          <w:szCs w:val="26"/>
        </w:rPr>
        <w:t>15</w:t>
      </w:r>
      <w:r>
        <w:rPr>
          <w:sz w:val="26"/>
          <w:szCs w:val="26"/>
        </w:rPr>
        <w:t>; R.D. at 37</w:t>
      </w:r>
      <w:r w:rsidRPr="00CB744C">
        <w:rPr>
          <w:sz w:val="26"/>
          <w:szCs w:val="26"/>
        </w:rPr>
        <w:t>.</w:t>
      </w:r>
      <w:r w:rsidRPr="00FE6B26">
        <w:rPr>
          <w:rStyle w:val="FootnoteReference"/>
          <w:vertAlign w:val="superscript"/>
        </w:rPr>
        <w:footnoteReference w:id="5"/>
      </w:r>
    </w:p>
    <w:p w:rsidR="00A94F92" w:rsidRPr="00CB744C" w:rsidRDefault="00A94F92" w:rsidP="000E0862">
      <w:pPr>
        <w:spacing w:line="240" w:lineRule="auto"/>
        <w:jc w:val="left"/>
        <w:rPr>
          <w:rFonts w:eastAsia="Times New Roman"/>
          <w:sz w:val="26"/>
          <w:szCs w:val="26"/>
        </w:rPr>
      </w:pPr>
    </w:p>
    <w:p w:rsidR="00A94F92" w:rsidRDefault="00082D12" w:rsidP="000E0862">
      <w:pPr>
        <w:pStyle w:val="Pleading2L3"/>
        <w:numPr>
          <w:ilvl w:val="0"/>
          <w:numId w:val="0"/>
        </w:numPr>
        <w:tabs>
          <w:tab w:val="left" w:pos="2160"/>
        </w:tabs>
        <w:spacing w:line="360" w:lineRule="auto"/>
        <w:ind w:firstLine="1440"/>
        <w:rPr>
          <w:sz w:val="26"/>
          <w:szCs w:val="26"/>
        </w:rPr>
      </w:pPr>
      <w:r>
        <w:rPr>
          <w:sz w:val="26"/>
          <w:szCs w:val="26"/>
        </w:rPr>
        <w:t xml:space="preserve">The ALJ cited to the OCA Main Brief </w:t>
      </w:r>
      <w:r w:rsidR="00E35A75">
        <w:rPr>
          <w:sz w:val="26"/>
          <w:szCs w:val="26"/>
        </w:rPr>
        <w:t xml:space="preserve">for the proposition </w:t>
      </w:r>
      <w:r>
        <w:rPr>
          <w:sz w:val="26"/>
          <w:szCs w:val="26"/>
        </w:rPr>
        <w:t xml:space="preserve">that the Parties </w:t>
      </w:r>
      <w:r w:rsidR="00E35A75">
        <w:rPr>
          <w:sz w:val="26"/>
          <w:szCs w:val="26"/>
        </w:rPr>
        <w:t xml:space="preserve">had </w:t>
      </w:r>
      <w:r>
        <w:rPr>
          <w:sz w:val="26"/>
          <w:szCs w:val="26"/>
        </w:rPr>
        <w:t>agreed that the development of a COSSA is not an exact science:</w:t>
      </w:r>
    </w:p>
    <w:p w:rsidR="00082D12" w:rsidRPr="00CB744C" w:rsidRDefault="00082D12" w:rsidP="000E0862">
      <w:pPr>
        <w:pStyle w:val="Pleading2L3"/>
        <w:numPr>
          <w:ilvl w:val="0"/>
          <w:numId w:val="0"/>
        </w:numPr>
        <w:tabs>
          <w:tab w:val="left" w:pos="2160"/>
        </w:tabs>
        <w:spacing w:line="360" w:lineRule="auto"/>
        <w:ind w:firstLine="1440"/>
        <w:rPr>
          <w:sz w:val="26"/>
          <w:szCs w:val="26"/>
        </w:rPr>
      </w:pPr>
    </w:p>
    <w:p w:rsidR="00A94F92" w:rsidRDefault="0091640C" w:rsidP="000E0862">
      <w:pPr>
        <w:pStyle w:val="Pleading2L3"/>
        <w:numPr>
          <w:ilvl w:val="0"/>
          <w:numId w:val="0"/>
        </w:numPr>
        <w:spacing w:line="240" w:lineRule="auto"/>
        <w:ind w:left="1530" w:right="1440"/>
        <w:contextualSpacing/>
        <w:rPr>
          <w:sz w:val="26"/>
          <w:szCs w:val="26"/>
        </w:rPr>
      </w:pPr>
      <w:r>
        <w:rPr>
          <w:sz w:val="26"/>
          <w:szCs w:val="26"/>
        </w:rPr>
        <w:tab/>
      </w:r>
      <w:r w:rsidR="00A94F92" w:rsidRPr="00CB744C">
        <w:rPr>
          <w:sz w:val="26"/>
          <w:szCs w:val="26"/>
        </w:rPr>
        <w:t>Both Company witness Kleha and OCA witness Watkins testified that the process of developing a cost of service study is subject to considerable discretion.  As Company witness Kleha testified, the “process inherently requires a substantial level of judgment and can be more accurately described as engineering/accounting art, rather than science.”  PPL St. 7 at 24.  OCA witness Watkins explained that, “</w:t>
      </w:r>
      <w:r w:rsidR="00A94F92">
        <w:rPr>
          <w:sz w:val="26"/>
          <w:szCs w:val="26"/>
        </w:rPr>
        <w:t>C</w:t>
      </w:r>
      <w:r w:rsidR="00A94F92" w:rsidRPr="00CB744C">
        <w:rPr>
          <w:sz w:val="26"/>
          <w:szCs w:val="26"/>
        </w:rPr>
        <w:t>ost allocation studies involve art as much as science and are subjective by their very nature.”  OCA St. 3 at 4.  As both PPL witness Kleha and OCA witness Watkins testified, the cost of service study should serve as a guide and one of a number of tools in assigning revenue responsibility.  OCA St. 3 at 4; PPL St. 7 at 19-23.</w:t>
      </w:r>
    </w:p>
    <w:p w:rsidR="00A94F92" w:rsidRPr="00CB744C" w:rsidRDefault="00A94F92" w:rsidP="000E0862">
      <w:pPr>
        <w:pStyle w:val="Pleading2L3"/>
        <w:numPr>
          <w:ilvl w:val="0"/>
          <w:numId w:val="0"/>
        </w:numPr>
        <w:spacing w:line="240" w:lineRule="auto"/>
        <w:ind w:left="1440" w:right="1440"/>
        <w:contextualSpacing/>
        <w:rPr>
          <w:sz w:val="26"/>
          <w:szCs w:val="26"/>
        </w:rPr>
      </w:pPr>
    </w:p>
    <w:p w:rsidR="00A94F92" w:rsidRDefault="00A94F92" w:rsidP="000E0862">
      <w:pPr>
        <w:pStyle w:val="Pleading2L3"/>
        <w:numPr>
          <w:ilvl w:val="0"/>
          <w:numId w:val="0"/>
        </w:numPr>
        <w:spacing w:line="360" w:lineRule="auto"/>
        <w:ind w:left="1440" w:right="1440" w:hanging="1440"/>
        <w:contextualSpacing/>
        <w:rPr>
          <w:sz w:val="26"/>
          <w:szCs w:val="26"/>
        </w:rPr>
      </w:pPr>
      <w:r w:rsidRPr="00CB744C">
        <w:rPr>
          <w:sz w:val="26"/>
          <w:szCs w:val="26"/>
        </w:rPr>
        <w:t xml:space="preserve">OCA </w:t>
      </w:r>
      <w:r>
        <w:rPr>
          <w:sz w:val="26"/>
          <w:szCs w:val="26"/>
        </w:rPr>
        <w:t>M.B.</w:t>
      </w:r>
      <w:r w:rsidRPr="00CB744C">
        <w:rPr>
          <w:sz w:val="26"/>
          <w:szCs w:val="26"/>
        </w:rPr>
        <w:t xml:space="preserve"> at 19</w:t>
      </w:r>
      <w:r w:rsidR="00082D12">
        <w:rPr>
          <w:sz w:val="26"/>
          <w:szCs w:val="26"/>
        </w:rPr>
        <w:t>.</w:t>
      </w:r>
    </w:p>
    <w:p w:rsidR="00A94F92" w:rsidRDefault="00A94F92" w:rsidP="000E0862">
      <w:pPr>
        <w:pStyle w:val="Pleading2L3"/>
        <w:numPr>
          <w:ilvl w:val="0"/>
          <w:numId w:val="0"/>
        </w:numPr>
        <w:spacing w:line="360" w:lineRule="auto"/>
        <w:ind w:left="1440" w:right="1440" w:hanging="1440"/>
        <w:contextualSpacing/>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COSSs</w:t>
      </w:r>
      <w:r w:rsidRPr="00CB744C">
        <w:rPr>
          <w:sz w:val="26"/>
          <w:szCs w:val="26"/>
        </w:rPr>
        <w:t xml:space="preserve"> follow three basic steps:</w:t>
      </w:r>
    </w:p>
    <w:p w:rsidR="00A94F92" w:rsidRPr="00CB744C" w:rsidRDefault="00A94F92"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sidRPr="00CB744C">
        <w:rPr>
          <w:sz w:val="26"/>
          <w:szCs w:val="26"/>
        </w:rPr>
        <w:t>1.</w:t>
      </w:r>
      <w:r w:rsidRPr="00CB744C">
        <w:rPr>
          <w:sz w:val="26"/>
          <w:szCs w:val="26"/>
        </w:rPr>
        <w:tab/>
        <w:t xml:space="preserve">Costs are functionalized </w:t>
      </w:r>
      <w:r>
        <w:rPr>
          <w:sz w:val="26"/>
          <w:szCs w:val="26"/>
        </w:rPr>
        <w:t>into generation, transmission or</w:t>
      </w:r>
      <w:r w:rsidRPr="00CB744C">
        <w:rPr>
          <w:sz w:val="26"/>
          <w:szCs w:val="26"/>
        </w:rPr>
        <w:t xml:space="preserve"> distribution.  </w:t>
      </w:r>
      <w:r>
        <w:rPr>
          <w:sz w:val="26"/>
          <w:szCs w:val="26"/>
        </w:rPr>
        <w:t xml:space="preserve">PPL </w:t>
      </w:r>
      <w:r w:rsidRPr="00CB744C">
        <w:rPr>
          <w:sz w:val="26"/>
          <w:szCs w:val="26"/>
        </w:rPr>
        <w:t>explains that generation no longer plays a role, and that distribution costs are sub-functionalized between the primary system (three</w:t>
      </w:r>
      <w:r w:rsidR="00840AC2">
        <w:rPr>
          <w:sz w:val="26"/>
          <w:szCs w:val="26"/>
        </w:rPr>
        <w:t>-</w:t>
      </w:r>
      <w:r w:rsidRPr="00CB744C">
        <w:rPr>
          <w:sz w:val="26"/>
          <w:szCs w:val="26"/>
        </w:rPr>
        <w:t>phase system that operates at 12 or 23 kV) and secondary (single</w:t>
      </w:r>
      <w:r w:rsidR="00840AC2">
        <w:rPr>
          <w:sz w:val="26"/>
          <w:szCs w:val="26"/>
        </w:rPr>
        <w:t>-</w:t>
      </w:r>
      <w:r w:rsidRPr="00CB744C">
        <w:rPr>
          <w:sz w:val="26"/>
          <w:szCs w:val="26"/>
        </w:rPr>
        <w:t xml:space="preserve">phase facilities that operate at or below 12 kV).  PPL </w:t>
      </w:r>
      <w:r>
        <w:rPr>
          <w:sz w:val="26"/>
          <w:szCs w:val="26"/>
        </w:rPr>
        <w:t>M.B.</w:t>
      </w:r>
      <w:r w:rsidRPr="00CB744C">
        <w:rPr>
          <w:sz w:val="26"/>
          <w:szCs w:val="26"/>
        </w:rPr>
        <w:t xml:space="preserve"> at 17</w:t>
      </w:r>
      <w:r>
        <w:rPr>
          <w:sz w:val="26"/>
          <w:szCs w:val="26"/>
        </w:rPr>
        <w:t>; R.D. at 38</w:t>
      </w:r>
      <w:r w:rsidR="00840AC2">
        <w:rPr>
          <w:sz w:val="26"/>
          <w:szCs w:val="26"/>
        </w:rPr>
        <w:t>.</w:t>
      </w:r>
    </w:p>
    <w:p w:rsidR="00A94F92" w:rsidRPr="00CB744C" w:rsidRDefault="00A94F92" w:rsidP="000E0862">
      <w:pPr>
        <w:pStyle w:val="Pleading2L3"/>
        <w:numPr>
          <w:ilvl w:val="0"/>
          <w:numId w:val="0"/>
        </w:numPr>
        <w:spacing w:line="360" w:lineRule="auto"/>
        <w:rPr>
          <w:sz w:val="26"/>
          <w:szCs w:val="26"/>
        </w:rPr>
      </w:pPr>
    </w:p>
    <w:p w:rsidR="00A94F92" w:rsidRPr="00B307D1" w:rsidRDefault="00A94F92" w:rsidP="000E0862">
      <w:pPr>
        <w:pStyle w:val="Pleading2L3"/>
        <w:numPr>
          <w:ilvl w:val="0"/>
          <w:numId w:val="0"/>
        </w:numPr>
        <w:spacing w:line="360" w:lineRule="auto"/>
        <w:ind w:firstLine="1440"/>
        <w:rPr>
          <w:i/>
          <w:sz w:val="26"/>
          <w:szCs w:val="26"/>
        </w:rPr>
      </w:pPr>
      <w:r w:rsidRPr="00CB744C">
        <w:rPr>
          <w:sz w:val="26"/>
          <w:szCs w:val="26"/>
        </w:rPr>
        <w:lastRenderedPageBreak/>
        <w:t>2.</w:t>
      </w:r>
      <w:r w:rsidRPr="00CB744C">
        <w:rPr>
          <w:sz w:val="26"/>
          <w:szCs w:val="26"/>
        </w:rPr>
        <w:tab/>
        <w:t>Costs are classified as demand, customer or energy-related.</w:t>
      </w:r>
      <w:r>
        <w:rPr>
          <w:sz w:val="26"/>
          <w:szCs w:val="26"/>
        </w:rPr>
        <w:t xml:space="preserve">  </w:t>
      </w:r>
      <w:r>
        <w:rPr>
          <w:i/>
          <w:sz w:val="26"/>
          <w:szCs w:val="26"/>
        </w:rPr>
        <w:t>Id.</w:t>
      </w:r>
    </w:p>
    <w:p w:rsidR="00A94F92" w:rsidRDefault="00A94F92" w:rsidP="000E0862">
      <w:pPr>
        <w:pStyle w:val="Pleading2L3"/>
        <w:numPr>
          <w:ilvl w:val="0"/>
          <w:numId w:val="0"/>
        </w:numPr>
        <w:spacing w:line="360" w:lineRule="auto"/>
        <w:rPr>
          <w:sz w:val="26"/>
          <w:szCs w:val="26"/>
        </w:rPr>
      </w:pPr>
    </w:p>
    <w:p w:rsidR="00A94F92" w:rsidRDefault="00A94F92" w:rsidP="000E0862">
      <w:pPr>
        <w:pStyle w:val="Pleading2L3"/>
        <w:numPr>
          <w:ilvl w:val="0"/>
          <w:numId w:val="0"/>
        </w:numPr>
        <w:spacing w:line="360" w:lineRule="auto"/>
        <w:ind w:firstLine="1440"/>
        <w:rPr>
          <w:sz w:val="26"/>
          <w:szCs w:val="26"/>
        </w:rPr>
      </w:pPr>
      <w:r w:rsidRPr="00CB744C">
        <w:rPr>
          <w:sz w:val="26"/>
          <w:szCs w:val="26"/>
        </w:rPr>
        <w:t>3.</w:t>
      </w:r>
      <w:r w:rsidRPr="00CB744C">
        <w:rPr>
          <w:sz w:val="26"/>
          <w:szCs w:val="26"/>
        </w:rPr>
        <w:tab/>
        <w:t xml:space="preserve">Costs are allocated among the rate classes.  At this point, classified costs are either assigned to the specific rate classes or are distributed among rate classes using an allocation factor consistent with the underlying cost classification.  </w:t>
      </w:r>
      <w:r>
        <w:rPr>
          <w:sz w:val="26"/>
          <w:szCs w:val="26"/>
        </w:rPr>
        <w:t>PPL M.B. at 19; R.D. at 40.</w:t>
      </w:r>
    </w:p>
    <w:p w:rsidR="00A94F92" w:rsidRDefault="00A94F92" w:rsidP="000E0862">
      <w:pPr>
        <w:pStyle w:val="Pleading2L3"/>
        <w:numPr>
          <w:ilvl w:val="0"/>
          <w:numId w:val="0"/>
        </w:numPr>
        <w:spacing w:line="360" w:lineRule="auto"/>
        <w:ind w:firstLine="1440"/>
        <w:rPr>
          <w:sz w:val="26"/>
          <w:szCs w:val="26"/>
        </w:rPr>
      </w:pPr>
    </w:p>
    <w:p w:rsidR="00A94F92" w:rsidRDefault="00281C43" w:rsidP="000E0862">
      <w:pPr>
        <w:pStyle w:val="Pleading2L3"/>
        <w:keepNext/>
        <w:numPr>
          <w:ilvl w:val="0"/>
          <w:numId w:val="0"/>
        </w:numPr>
        <w:spacing w:line="360" w:lineRule="auto"/>
        <w:rPr>
          <w:b/>
          <w:sz w:val="26"/>
          <w:szCs w:val="26"/>
        </w:rPr>
      </w:pPr>
      <w:r>
        <w:rPr>
          <w:b/>
          <w:sz w:val="26"/>
          <w:szCs w:val="26"/>
        </w:rPr>
        <w:tab/>
      </w:r>
      <w:r>
        <w:rPr>
          <w:b/>
          <w:sz w:val="26"/>
          <w:szCs w:val="26"/>
        </w:rPr>
        <w:tab/>
      </w:r>
      <w:r w:rsidR="00FE5939">
        <w:rPr>
          <w:b/>
          <w:sz w:val="26"/>
          <w:szCs w:val="26"/>
        </w:rPr>
        <w:tab/>
      </w:r>
      <w:r w:rsidR="00B123AA">
        <w:rPr>
          <w:b/>
          <w:sz w:val="26"/>
          <w:szCs w:val="26"/>
        </w:rPr>
        <w:t>i</w:t>
      </w:r>
      <w:r w:rsidR="001A5C43">
        <w:rPr>
          <w:b/>
          <w:sz w:val="26"/>
          <w:szCs w:val="26"/>
        </w:rPr>
        <w:t>.</w:t>
      </w:r>
      <w:r w:rsidR="001A5C43">
        <w:rPr>
          <w:b/>
          <w:sz w:val="26"/>
          <w:szCs w:val="26"/>
        </w:rPr>
        <w:tab/>
        <w:t>Position</w:t>
      </w:r>
      <w:r>
        <w:rPr>
          <w:b/>
          <w:sz w:val="26"/>
          <w:szCs w:val="26"/>
        </w:rPr>
        <w:t>s</w:t>
      </w:r>
      <w:r w:rsidR="001A5C43">
        <w:rPr>
          <w:b/>
          <w:sz w:val="26"/>
          <w:szCs w:val="26"/>
        </w:rPr>
        <w:t xml:space="preserve"> of the Parties</w:t>
      </w:r>
    </w:p>
    <w:p w:rsidR="00A94F92" w:rsidRPr="009E12BD" w:rsidRDefault="00A94F92" w:rsidP="000E0862">
      <w:pPr>
        <w:pStyle w:val="Pleading2L3"/>
        <w:keepNext/>
        <w:numPr>
          <w:ilvl w:val="0"/>
          <w:numId w:val="0"/>
        </w:numPr>
        <w:spacing w:line="360" w:lineRule="auto"/>
        <w:rPr>
          <w:sz w:val="26"/>
          <w:szCs w:val="26"/>
        </w:rPr>
      </w:pPr>
    </w:p>
    <w:p w:rsidR="00A94F92" w:rsidRDefault="00A94F92" w:rsidP="000E0862">
      <w:pPr>
        <w:pStyle w:val="Pleading2L3"/>
        <w:numPr>
          <w:ilvl w:val="0"/>
          <w:numId w:val="0"/>
        </w:numPr>
        <w:spacing w:line="360" w:lineRule="auto"/>
        <w:rPr>
          <w:sz w:val="26"/>
          <w:szCs w:val="26"/>
        </w:rPr>
      </w:pPr>
      <w:r>
        <w:rPr>
          <w:b/>
          <w:sz w:val="26"/>
          <w:szCs w:val="26"/>
        </w:rPr>
        <w:tab/>
      </w:r>
      <w:r>
        <w:rPr>
          <w:b/>
          <w:sz w:val="26"/>
          <w:szCs w:val="26"/>
        </w:rPr>
        <w:tab/>
      </w:r>
      <w:r>
        <w:rPr>
          <w:sz w:val="26"/>
          <w:szCs w:val="26"/>
        </w:rPr>
        <w:t xml:space="preserve">PPL prefers adoption of its COSS JMK-2A.  This COSS is based upon the COSS approved by the Commission in PPL’s two </w:t>
      </w:r>
      <w:r w:rsidR="009E6F77">
        <w:rPr>
          <w:sz w:val="26"/>
          <w:szCs w:val="26"/>
        </w:rPr>
        <w:t>prior</w:t>
      </w:r>
      <w:r>
        <w:rPr>
          <w:sz w:val="26"/>
          <w:szCs w:val="26"/>
        </w:rPr>
        <w:t xml:space="preserve"> base rate proceedings with refinements based upon other Parties’ contentions that certain aspec</w:t>
      </w:r>
      <w:r w:rsidR="001A5C43">
        <w:rPr>
          <w:sz w:val="26"/>
          <w:szCs w:val="26"/>
        </w:rPr>
        <w:t>ts of those COSSs were flawed.</w:t>
      </w:r>
    </w:p>
    <w:p w:rsidR="001A5C43" w:rsidRDefault="001A5C43"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PPL</w:t>
      </w:r>
      <w:r w:rsidRPr="00CB744C">
        <w:rPr>
          <w:sz w:val="26"/>
          <w:szCs w:val="26"/>
        </w:rPr>
        <w:t xml:space="preserve"> </w:t>
      </w:r>
      <w:r>
        <w:rPr>
          <w:sz w:val="26"/>
          <w:szCs w:val="26"/>
        </w:rPr>
        <w:t>claims that its</w:t>
      </w:r>
      <w:r w:rsidRPr="00CB744C">
        <w:rPr>
          <w:sz w:val="26"/>
          <w:szCs w:val="26"/>
        </w:rPr>
        <w:t xml:space="preserve"> </w:t>
      </w:r>
      <w:r>
        <w:rPr>
          <w:sz w:val="26"/>
          <w:szCs w:val="26"/>
        </w:rPr>
        <w:t>COSS</w:t>
      </w:r>
      <w:r w:rsidRPr="00CB744C">
        <w:rPr>
          <w:sz w:val="26"/>
          <w:szCs w:val="26"/>
        </w:rPr>
        <w:t xml:space="preserve"> JMK-2A</w:t>
      </w:r>
      <w:r>
        <w:rPr>
          <w:sz w:val="26"/>
          <w:szCs w:val="26"/>
        </w:rPr>
        <w:t xml:space="preserve"> is an appropriate transition from treating the entire primary voltage system as demand-related to treating it as partly customer and partly demand-related.  PPL M.B. at 19.  PPL also </w:t>
      </w:r>
      <w:r w:rsidRPr="00CB744C">
        <w:rPr>
          <w:sz w:val="26"/>
          <w:szCs w:val="26"/>
        </w:rPr>
        <w:t xml:space="preserve">characterizes </w:t>
      </w:r>
      <w:r>
        <w:rPr>
          <w:sz w:val="26"/>
          <w:szCs w:val="26"/>
        </w:rPr>
        <w:t xml:space="preserve">JMK-2A </w:t>
      </w:r>
      <w:r w:rsidRPr="00CB744C">
        <w:rPr>
          <w:sz w:val="26"/>
          <w:szCs w:val="26"/>
        </w:rPr>
        <w:t xml:space="preserve">as more precise than its historical approach. </w:t>
      </w:r>
      <w:r>
        <w:rPr>
          <w:sz w:val="26"/>
          <w:szCs w:val="26"/>
        </w:rPr>
        <w:t xml:space="preserve"> </w:t>
      </w:r>
      <w:r w:rsidRPr="00CB744C">
        <w:rPr>
          <w:sz w:val="26"/>
          <w:szCs w:val="26"/>
        </w:rPr>
        <w:t xml:space="preserve">PPL </w:t>
      </w:r>
      <w:r>
        <w:rPr>
          <w:sz w:val="26"/>
          <w:szCs w:val="26"/>
        </w:rPr>
        <w:t>M.B.</w:t>
      </w:r>
      <w:r w:rsidRPr="00CB744C">
        <w:rPr>
          <w:sz w:val="26"/>
          <w:szCs w:val="26"/>
        </w:rPr>
        <w:t xml:space="preserve"> at 20</w:t>
      </w:r>
      <w:r w:rsidRPr="00CB744C">
        <w:rPr>
          <w:rStyle w:val="FootnoteReference"/>
          <w:sz w:val="26"/>
          <w:szCs w:val="26"/>
          <w:vertAlign w:val="superscript"/>
        </w:rPr>
        <w:footnoteReference w:id="6"/>
      </w:r>
      <w:r>
        <w:rPr>
          <w:sz w:val="26"/>
          <w:szCs w:val="26"/>
        </w:rPr>
        <w:t xml:space="preserve">; R.D. at 40.  PPL explained that a rigorous engineering analysis of minimum size overhead (10 kVa (kilivolt ampere)) and underground (25 kVa) transformers which are the smallest size transformers being installed on its system was undertaken subsequent to its last base rate proceeding to address the criticisms of other parties.  PPL M.B. at 18.  The analysis performed was based upon the Capitalized Cost Method and identified the total cost of the transformers, the cost of no load losses and the cost of load losses.  This analysis identified the ‘no load’ portion of these transformers which would be classified as customer-related.  PPL St. 7; PPL M.B. at 18, 19.  </w:t>
      </w:r>
    </w:p>
    <w:p w:rsidR="00A94F92" w:rsidRPr="00CB744C" w:rsidRDefault="00A94F92" w:rsidP="000E0862">
      <w:pPr>
        <w:pStyle w:val="Pleading2L3"/>
        <w:numPr>
          <w:ilvl w:val="0"/>
          <w:numId w:val="0"/>
        </w:numPr>
        <w:spacing w:line="360" w:lineRule="auto"/>
        <w:ind w:firstLine="1440"/>
        <w:rPr>
          <w:sz w:val="26"/>
          <w:szCs w:val="26"/>
        </w:rPr>
      </w:pPr>
      <w:r>
        <w:rPr>
          <w:sz w:val="26"/>
          <w:szCs w:val="26"/>
        </w:rPr>
        <w:lastRenderedPageBreak/>
        <w:t>PPL stated</w:t>
      </w:r>
      <w:r w:rsidRPr="00CB744C">
        <w:rPr>
          <w:sz w:val="26"/>
          <w:szCs w:val="26"/>
        </w:rPr>
        <w:t xml:space="preserve"> that distribution system costs are categorized as either demand</w:t>
      </w:r>
      <w:r>
        <w:rPr>
          <w:sz w:val="26"/>
          <w:szCs w:val="26"/>
        </w:rPr>
        <w:t>-</w:t>
      </w:r>
      <w:r w:rsidRPr="00CB744C">
        <w:rPr>
          <w:sz w:val="26"/>
          <w:szCs w:val="26"/>
        </w:rPr>
        <w:t xml:space="preserve"> or customer</w:t>
      </w:r>
      <w:r>
        <w:rPr>
          <w:sz w:val="26"/>
          <w:szCs w:val="26"/>
        </w:rPr>
        <w:t>-</w:t>
      </w:r>
      <w:r w:rsidRPr="00CB744C">
        <w:rPr>
          <w:sz w:val="26"/>
          <w:szCs w:val="26"/>
        </w:rPr>
        <w:t>related – but not energy</w:t>
      </w:r>
      <w:r>
        <w:rPr>
          <w:sz w:val="26"/>
          <w:szCs w:val="26"/>
        </w:rPr>
        <w:t>-</w:t>
      </w:r>
      <w:r w:rsidRPr="00CB744C">
        <w:rPr>
          <w:sz w:val="26"/>
          <w:szCs w:val="26"/>
        </w:rPr>
        <w:t xml:space="preserve">related.  </w:t>
      </w:r>
    </w:p>
    <w:p w:rsidR="00A94F92" w:rsidRPr="00CB744C" w:rsidRDefault="00A94F92" w:rsidP="000E0862">
      <w:pPr>
        <w:pStyle w:val="Pleading2L3"/>
        <w:numPr>
          <w:ilvl w:val="0"/>
          <w:numId w:val="0"/>
        </w:numPr>
        <w:spacing w:line="240" w:lineRule="auto"/>
        <w:ind w:left="1440" w:right="1440"/>
        <w:contextualSpacing/>
        <w:rPr>
          <w:sz w:val="26"/>
          <w:szCs w:val="26"/>
        </w:rPr>
      </w:pPr>
    </w:p>
    <w:p w:rsidR="00A94F92" w:rsidRDefault="0091640C" w:rsidP="000E0862">
      <w:pPr>
        <w:pStyle w:val="Pleading2L3"/>
        <w:numPr>
          <w:ilvl w:val="0"/>
          <w:numId w:val="0"/>
        </w:numPr>
        <w:spacing w:line="240" w:lineRule="auto"/>
        <w:ind w:left="1440" w:right="1440"/>
        <w:contextualSpacing/>
        <w:rPr>
          <w:sz w:val="26"/>
          <w:szCs w:val="26"/>
        </w:rPr>
      </w:pPr>
      <w:r>
        <w:rPr>
          <w:sz w:val="26"/>
          <w:szCs w:val="26"/>
        </w:rPr>
        <w:tab/>
      </w:r>
      <w:r w:rsidR="00A94F92" w:rsidRPr="00CB744C">
        <w:rPr>
          <w:sz w:val="26"/>
          <w:szCs w:val="26"/>
        </w:rPr>
        <w:t xml:space="preserve">A portion of distribution plant costs is incurred to meet peak demand because each component of the distribution system must be sized to meet the peak demand placed on it.  Similarly, a portion of distribution plant costs is incurred in proportion to the number of customers served, </w:t>
      </w:r>
      <w:r w:rsidR="00A94F92" w:rsidRPr="00CB744C">
        <w:rPr>
          <w:i/>
          <w:sz w:val="26"/>
          <w:szCs w:val="26"/>
        </w:rPr>
        <w:t>i.e.,</w:t>
      </w:r>
      <w:r w:rsidR="00A94F92" w:rsidRPr="00CB744C">
        <w:rPr>
          <w:sz w:val="26"/>
          <w:szCs w:val="26"/>
        </w:rPr>
        <w:t xml:space="preserve"> it varies with the number of customers served. Such costs, which include for example billing costs, meters and services, are classified as customer related.  OSBA St. 1, pp. 5</w:t>
      </w:r>
      <w:r w:rsidR="00A94F92" w:rsidRPr="00CB744C">
        <w:rPr>
          <w:sz w:val="26"/>
          <w:szCs w:val="26"/>
        </w:rPr>
        <w:noBreakHyphen/>
        <w:t>6.</w:t>
      </w:r>
    </w:p>
    <w:p w:rsidR="00A94F92" w:rsidRDefault="00A94F92" w:rsidP="000E0862">
      <w:pPr>
        <w:pStyle w:val="Pleading2L3"/>
        <w:numPr>
          <w:ilvl w:val="0"/>
          <w:numId w:val="0"/>
        </w:numPr>
        <w:spacing w:line="240" w:lineRule="auto"/>
        <w:ind w:left="1440" w:right="1440"/>
        <w:contextualSpacing/>
        <w:rPr>
          <w:sz w:val="26"/>
          <w:szCs w:val="26"/>
        </w:rPr>
      </w:pPr>
    </w:p>
    <w:p w:rsidR="00A94F92" w:rsidRDefault="00A94F92" w:rsidP="000E0862">
      <w:pPr>
        <w:pStyle w:val="Pleading2L3"/>
        <w:numPr>
          <w:ilvl w:val="0"/>
          <w:numId w:val="0"/>
        </w:numPr>
        <w:spacing w:line="360" w:lineRule="auto"/>
        <w:ind w:left="1440" w:right="1440" w:hanging="1440"/>
        <w:contextualSpacing/>
        <w:rPr>
          <w:sz w:val="26"/>
          <w:szCs w:val="26"/>
        </w:rPr>
      </w:pPr>
      <w:r w:rsidRPr="00CB744C">
        <w:rPr>
          <w:sz w:val="26"/>
          <w:szCs w:val="26"/>
        </w:rPr>
        <w:t xml:space="preserve">PPL </w:t>
      </w:r>
      <w:r>
        <w:rPr>
          <w:sz w:val="26"/>
          <w:szCs w:val="26"/>
        </w:rPr>
        <w:t>M.B.</w:t>
      </w:r>
      <w:r w:rsidRPr="00CB744C">
        <w:rPr>
          <w:sz w:val="26"/>
          <w:szCs w:val="26"/>
        </w:rPr>
        <w:t xml:space="preserve"> at 17</w:t>
      </w:r>
      <w:r>
        <w:rPr>
          <w:sz w:val="26"/>
          <w:szCs w:val="26"/>
        </w:rPr>
        <w:t>; R.D. at 37</w:t>
      </w:r>
      <w:r w:rsidRPr="00CB744C">
        <w:rPr>
          <w:sz w:val="26"/>
          <w:szCs w:val="26"/>
        </w:rPr>
        <w:t>.</w:t>
      </w:r>
    </w:p>
    <w:p w:rsidR="00A94F92" w:rsidRPr="00CB744C" w:rsidRDefault="00A94F92" w:rsidP="000E0862">
      <w:pPr>
        <w:pStyle w:val="Pleading2L3"/>
        <w:numPr>
          <w:ilvl w:val="0"/>
          <w:numId w:val="0"/>
        </w:numPr>
        <w:spacing w:line="360" w:lineRule="auto"/>
        <w:ind w:left="1440" w:right="1440" w:hanging="1440"/>
        <w:contextualSpacing/>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PPL further explained</w:t>
      </w:r>
      <w:r w:rsidRPr="00CB744C">
        <w:rPr>
          <w:sz w:val="26"/>
          <w:szCs w:val="26"/>
        </w:rPr>
        <w:t xml:space="preserve"> that it classified certain plant as 100 percent customer-related (meters), but that most plant is classified as partly customer</w:t>
      </w:r>
      <w:r>
        <w:rPr>
          <w:sz w:val="26"/>
          <w:szCs w:val="26"/>
        </w:rPr>
        <w:t>-</w:t>
      </w:r>
      <w:r w:rsidRPr="00CB744C">
        <w:rPr>
          <w:sz w:val="26"/>
          <w:szCs w:val="26"/>
        </w:rPr>
        <w:t>related and partly demand</w:t>
      </w:r>
      <w:r>
        <w:rPr>
          <w:sz w:val="26"/>
          <w:szCs w:val="26"/>
        </w:rPr>
        <w:t>-</w:t>
      </w:r>
      <w:r w:rsidRPr="00CB744C">
        <w:rPr>
          <w:sz w:val="26"/>
          <w:szCs w:val="26"/>
        </w:rPr>
        <w:t xml:space="preserve">related.  Quantities were apportioned using the “minimum size system” methodology, consistent with past practice and the National Association of Regulatory Utility Commissioners (NARUC) </w:t>
      </w:r>
      <w:r w:rsidR="008B400A">
        <w:rPr>
          <w:sz w:val="26"/>
          <w:szCs w:val="26"/>
        </w:rPr>
        <w:t>M</w:t>
      </w:r>
      <w:r w:rsidRPr="00CB744C">
        <w:rPr>
          <w:sz w:val="26"/>
          <w:szCs w:val="26"/>
        </w:rPr>
        <w:t xml:space="preserve">anual, </w:t>
      </w:r>
      <w:r w:rsidRPr="00CB744C">
        <w:rPr>
          <w:i/>
          <w:sz w:val="26"/>
          <w:szCs w:val="26"/>
        </w:rPr>
        <w:t xml:space="preserve">Electric Utility Cost Allocation Manual </w:t>
      </w:r>
      <w:r w:rsidRPr="00CB744C">
        <w:rPr>
          <w:sz w:val="26"/>
          <w:szCs w:val="26"/>
        </w:rPr>
        <w:t>(January 1992) (NARUC Manual)</w:t>
      </w:r>
      <w:r>
        <w:rPr>
          <w:sz w:val="26"/>
          <w:szCs w:val="26"/>
        </w:rPr>
        <w:t>,</w:t>
      </w:r>
      <w:r w:rsidRPr="00CB744C">
        <w:rPr>
          <w:sz w:val="26"/>
          <w:szCs w:val="26"/>
        </w:rPr>
        <w:t xml:space="preserve"> which recognizes </w:t>
      </w:r>
      <w:r>
        <w:rPr>
          <w:sz w:val="26"/>
          <w:szCs w:val="26"/>
        </w:rPr>
        <w:t>the minimum size system approach and the zero-intercept method.</w:t>
      </w:r>
    </w:p>
    <w:p w:rsidR="00A94F92" w:rsidRPr="00CB744C" w:rsidRDefault="00A94F92" w:rsidP="000E0862">
      <w:pPr>
        <w:pStyle w:val="Pleading2L3"/>
        <w:numPr>
          <w:ilvl w:val="0"/>
          <w:numId w:val="0"/>
        </w:numPr>
        <w:spacing w:line="360" w:lineRule="auto"/>
        <w:ind w:left="1440" w:right="1440"/>
        <w:contextualSpacing/>
        <w:rPr>
          <w:sz w:val="26"/>
          <w:szCs w:val="26"/>
        </w:rPr>
      </w:pPr>
    </w:p>
    <w:p w:rsidR="00A94F92" w:rsidRPr="00CB744C" w:rsidRDefault="0091640C" w:rsidP="000E0862">
      <w:pPr>
        <w:pStyle w:val="Pleading2L3"/>
        <w:numPr>
          <w:ilvl w:val="0"/>
          <w:numId w:val="0"/>
        </w:numPr>
        <w:spacing w:line="240" w:lineRule="auto"/>
        <w:ind w:left="1440" w:right="1440"/>
        <w:contextualSpacing/>
        <w:rPr>
          <w:sz w:val="26"/>
          <w:szCs w:val="26"/>
        </w:rPr>
      </w:pPr>
      <w:r>
        <w:rPr>
          <w:sz w:val="26"/>
          <w:szCs w:val="26"/>
        </w:rPr>
        <w:tab/>
      </w:r>
      <w:r w:rsidR="00A94F92" w:rsidRPr="00CB744C">
        <w:rPr>
          <w:sz w:val="26"/>
          <w:szCs w:val="26"/>
        </w:rPr>
        <w:t xml:space="preserve">Classifying distribution plant with the minimum-size method assumes that a minimum size distribution system can be built to serve the minimum loading requirements of the customer.  The minimum-size method involves determining the minimum size pole, conductor, cable, transformer, and service that is currently installed by the utility.  Normally, the average book cost for each piece of equipment determines the price of all installed units.  Once determined for each primary plant account, the minimum size distribution system is classified as customer-related costs.  The demand-related costs for each account are the difference between the total investment in the account and customer-related costs.  </w:t>
      </w:r>
    </w:p>
    <w:p w:rsidR="00A94F92" w:rsidRPr="00CB744C" w:rsidRDefault="00A94F92" w:rsidP="000E0862">
      <w:pPr>
        <w:pStyle w:val="Pleading2L3"/>
        <w:numPr>
          <w:ilvl w:val="0"/>
          <w:numId w:val="0"/>
        </w:numPr>
        <w:spacing w:line="240" w:lineRule="auto"/>
        <w:ind w:left="1440" w:right="1260"/>
        <w:contextualSpacing/>
        <w:rPr>
          <w:sz w:val="26"/>
          <w:szCs w:val="26"/>
        </w:rPr>
      </w:pPr>
    </w:p>
    <w:p w:rsidR="00A94F92" w:rsidRDefault="00A94F92" w:rsidP="000E0862">
      <w:pPr>
        <w:pStyle w:val="Pleading2L3"/>
        <w:numPr>
          <w:ilvl w:val="0"/>
          <w:numId w:val="0"/>
        </w:numPr>
        <w:spacing w:line="360" w:lineRule="auto"/>
        <w:ind w:right="1260"/>
        <w:contextualSpacing/>
        <w:rPr>
          <w:sz w:val="26"/>
          <w:szCs w:val="26"/>
        </w:rPr>
      </w:pPr>
      <w:r>
        <w:rPr>
          <w:sz w:val="26"/>
          <w:szCs w:val="26"/>
        </w:rPr>
        <w:t>PPLICA Ex.</w:t>
      </w:r>
      <w:r w:rsidRPr="00CB744C">
        <w:rPr>
          <w:sz w:val="26"/>
          <w:szCs w:val="26"/>
        </w:rPr>
        <w:t xml:space="preserve"> RAB 1-R</w:t>
      </w:r>
      <w:r>
        <w:rPr>
          <w:sz w:val="26"/>
          <w:szCs w:val="26"/>
        </w:rPr>
        <w:t xml:space="preserve"> (NARUC Manual);</w:t>
      </w:r>
      <w:r w:rsidRPr="00CB744C">
        <w:rPr>
          <w:sz w:val="26"/>
          <w:szCs w:val="26"/>
        </w:rPr>
        <w:t xml:space="preserve"> PPL </w:t>
      </w:r>
      <w:r>
        <w:rPr>
          <w:sz w:val="26"/>
          <w:szCs w:val="26"/>
        </w:rPr>
        <w:t>M.B.</w:t>
      </w:r>
      <w:r w:rsidRPr="00CB744C">
        <w:rPr>
          <w:sz w:val="26"/>
          <w:szCs w:val="26"/>
        </w:rPr>
        <w:t xml:space="preserve"> at 18</w:t>
      </w:r>
      <w:r>
        <w:rPr>
          <w:sz w:val="26"/>
          <w:szCs w:val="26"/>
        </w:rPr>
        <w:t>; R.D. at 39, 40.</w:t>
      </w:r>
    </w:p>
    <w:p w:rsidR="00A94F92" w:rsidRPr="00CB744C" w:rsidRDefault="00A94F92" w:rsidP="000E0862">
      <w:pPr>
        <w:pStyle w:val="Pleading2L3"/>
        <w:numPr>
          <w:ilvl w:val="0"/>
          <w:numId w:val="0"/>
        </w:numPr>
        <w:spacing w:line="360" w:lineRule="auto"/>
        <w:ind w:firstLine="1440"/>
        <w:rPr>
          <w:sz w:val="26"/>
          <w:szCs w:val="26"/>
        </w:rPr>
      </w:pPr>
      <w:r>
        <w:rPr>
          <w:sz w:val="26"/>
          <w:szCs w:val="26"/>
        </w:rPr>
        <w:lastRenderedPageBreak/>
        <w:t>PPL followed the minimum size</w:t>
      </w:r>
      <w:r w:rsidRPr="00CB744C">
        <w:rPr>
          <w:sz w:val="26"/>
          <w:szCs w:val="26"/>
        </w:rPr>
        <w:t xml:space="preserve"> methodology with two “refinements” added in response to criticisms</w:t>
      </w:r>
      <w:r>
        <w:rPr>
          <w:sz w:val="26"/>
          <w:szCs w:val="26"/>
        </w:rPr>
        <w:t xml:space="preserve"> of its COSS methodology employed</w:t>
      </w:r>
      <w:r w:rsidRPr="00CB744C">
        <w:rPr>
          <w:sz w:val="26"/>
          <w:szCs w:val="26"/>
        </w:rPr>
        <w:t xml:space="preserve"> in prior cases.  First, </w:t>
      </w:r>
      <w:r>
        <w:rPr>
          <w:sz w:val="26"/>
          <w:szCs w:val="26"/>
        </w:rPr>
        <w:t>PPL</w:t>
      </w:r>
      <w:r w:rsidRPr="00CB744C">
        <w:rPr>
          <w:sz w:val="26"/>
          <w:szCs w:val="26"/>
        </w:rPr>
        <w:t xml:space="preserve"> identified the “no load” portion of overhead and underground transformers in order to classify the “no load” portion as custo</w:t>
      </w:r>
      <w:r>
        <w:rPr>
          <w:sz w:val="26"/>
          <w:szCs w:val="26"/>
        </w:rPr>
        <w:t xml:space="preserve">mer-related.  PPL Stmt. 7 at 23, </w:t>
      </w:r>
      <w:r w:rsidRPr="00CB744C">
        <w:rPr>
          <w:sz w:val="26"/>
          <w:szCs w:val="26"/>
        </w:rPr>
        <w:t>24</w:t>
      </w:r>
      <w:r>
        <w:rPr>
          <w:sz w:val="26"/>
          <w:szCs w:val="26"/>
        </w:rPr>
        <w:t>; R.D. at 40</w:t>
      </w:r>
      <w:r w:rsidRPr="00CB744C">
        <w:rPr>
          <w:sz w:val="26"/>
          <w:szCs w:val="26"/>
        </w:rPr>
        <w:t xml:space="preserve">.  Second, </w:t>
      </w:r>
      <w:r>
        <w:rPr>
          <w:sz w:val="26"/>
          <w:szCs w:val="26"/>
        </w:rPr>
        <w:t>PPL</w:t>
      </w:r>
      <w:r w:rsidRPr="00CB744C">
        <w:rPr>
          <w:sz w:val="26"/>
          <w:szCs w:val="26"/>
        </w:rPr>
        <w:t xml:space="preserve"> applied the minimum system study to both the primary and secondary distribution systems and developed specific customer and demand components for each sub-system instead of assuming that the primary distribution system was all demand related.  </w:t>
      </w:r>
      <w:r>
        <w:rPr>
          <w:sz w:val="26"/>
          <w:szCs w:val="26"/>
        </w:rPr>
        <w:t>R.D. at 40.</w:t>
      </w:r>
    </w:p>
    <w:p w:rsidR="00A94F92" w:rsidRPr="009E12BD" w:rsidRDefault="00A94F92"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The OSBA stated</w:t>
      </w:r>
      <w:r w:rsidRPr="00CB744C">
        <w:rPr>
          <w:sz w:val="26"/>
          <w:szCs w:val="26"/>
        </w:rPr>
        <w:t xml:space="preserve"> that “there is no material difference between PPL and the OSBA with respect to the COSSs upon which the ALJ and the Commission should rely for revenue allocation and rate design purposes.”  OSBA </w:t>
      </w:r>
      <w:r>
        <w:rPr>
          <w:sz w:val="26"/>
          <w:szCs w:val="26"/>
        </w:rPr>
        <w:t>M.B.</w:t>
      </w:r>
      <w:r w:rsidRPr="00CB744C">
        <w:rPr>
          <w:sz w:val="26"/>
          <w:szCs w:val="26"/>
        </w:rPr>
        <w:t xml:space="preserve"> at 6</w:t>
      </w:r>
      <w:r>
        <w:rPr>
          <w:sz w:val="26"/>
          <w:szCs w:val="26"/>
        </w:rPr>
        <w:t>; R.D. at 41</w:t>
      </w:r>
      <w:r w:rsidRPr="00CB744C">
        <w:rPr>
          <w:sz w:val="26"/>
          <w:szCs w:val="26"/>
        </w:rPr>
        <w:t xml:space="preserve">.  Consequently, it is only </w:t>
      </w:r>
      <w:r>
        <w:rPr>
          <w:sz w:val="26"/>
          <w:szCs w:val="26"/>
        </w:rPr>
        <w:t xml:space="preserve">the </w:t>
      </w:r>
      <w:r w:rsidRPr="00CB744C">
        <w:rPr>
          <w:sz w:val="26"/>
          <w:szCs w:val="26"/>
        </w:rPr>
        <w:t>OC</w:t>
      </w:r>
      <w:r>
        <w:rPr>
          <w:sz w:val="26"/>
          <w:szCs w:val="26"/>
        </w:rPr>
        <w:t xml:space="preserve">A which disagrees with the PPL </w:t>
      </w:r>
      <w:r w:rsidRPr="00CB744C">
        <w:rPr>
          <w:sz w:val="26"/>
          <w:szCs w:val="26"/>
        </w:rPr>
        <w:t>COSS.</w:t>
      </w:r>
      <w:r>
        <w:rPr>
          <w:sz w:val="26"/>
          <w:szCs w:val="26"/>
        </w:rPr>
        <w:t xml:space="preserve">  R.D. at 41.</w:t>
      </w:r>
    </w:p>
    <w:p w:rsidR="00A94F92" w:rsidRDefault="00A94F92" w:rsidP="000E0862">
      <w:pPr>
        <w:pStyle w:val="Pleading2L3"/>
        <w:numPr>
          <w:ilvl w:val="0"/>
          <w:numId w:val="0"/>
        </w:numPr>
        <w:spacing w:line="360" w:lineRule="auto"/>
        <w:ind w:firstLine="1440"/>
        <w:rPr>
          <w:sz w:val="26"/>
          <w:szCs w:val="26"/>
        </w:rPr>
      </w:pPr>
    </w:p>
    <w:p w:rsidR="00A94F92" w:rsidRDefault="00A94F92" w:rsidP="000E0862">
      <w:pPr>
        <w:pStyle w:val="Pleading2L3"/>
        <w:numPr>
          <w:ilvl w:val="0"/>
          <w:numId w:val="0"/>
        </w:numPr>
        <w:spacing w:line="360" w:lineRule="auto"/>
        <w:ind w:firstLine="1440"/>
        <w:rPr>
          <w:sz w:val="26"/>
          <w:szCs w:val="26"/>
        </w:rPr>
      </w:pPr>
      <w:r>
        <w:rPr>
          <w:sz w:val="26"/>
          <w:szCs w:val="26"/>
        </w:rPr>
        <w:t>The OCA argued</w:t>
      </w:r>
      <w:r w:rsidRPr="00CB744C">
        <w:rPr>
          <w:sz w:val="26"/>
          <w:szCs w:val="26"/>
        </w:rPr>
        <w:t xml:space="preserve"> that PPL’s classification of the joint costs of its primary and secondary distribution plant partially on the basis of number of customers and partially on the basis of demand is contrary to PPL’s 2004 and 2007 rate case methodology which allocated all such costs on a demand basis</w:t>
      </w:r>
      <w:r w:rsidR="00E35A75">
        <w:rPr>
          <w:sz w:val="26"/>
          <w:szCs w:val="26"/>
        </w:rPr>
        <w:t>,</w:t>
      </w:r>
      <w:r w:rsidRPr="00CB744C">
        <w:rPr>
          <w:sz w:val="26"/>
          <w:szCs w:val="26"/>
        </w:rPr>
        <w:t xml:space="preserve"> is “seriously flawed” and must be rejected.  OCA </w:t>
      </w:r>
      <w:r>
        <w:rPr>
          <w:sz w:val="26"/>
          <w:szCs w:val="26"/>
        </w:rPr>
        <w:t xml:space="preserve">M.B. at 21, </w:t>
      </w:r>
      <w:r w:rsidRPr="00CB744C">
        <w:rPr>
          <w:sz w:val="26"/>
          <w:szCs w:val="26"/>
        </w:rPr>
        <w:t>22</w:t>
      </w:r>
      <w:r>
        <w:rPr>
          <w:sz w:val="26"/>
          <w:szCs w:val="26"/>
        </w:rPr>
        <w:t>; R.D. at 41</w:t>
      </w:r>
      <w:r w:rsidRPr="00CB744C">
        <w:rPr>
          <w:sz w:val="26"/>
          <w:szCs w:val="26"/>
        </w:rPr>
        <w:t xml:space="preserve">.  </w:t>
      </w:r>
      <w:r>
        <w:rPr>
          <w:sz w:val="26"/>
          <w:szCs w:val="26"/>
        </w:rPr>
        <w:t>The OCA questioned</w:t>
      </w:r>
      <w:r w:rsidRPr="00CB744C">
        <w:rPr>
          <w:sz w:val="26"/>
          <w:szCs w:val="26"/>
        </w:rPr>
        <w:t xml:space="preserve"> the allocation of some joint costs based on customer counts and other joint costs based on the demands placed by customers on the distribution system.  The </w:t>
      </w:r>
      <w:r>
        <w:rPr>
          <w:sz w:val="26"/>
          <w:szCs w:val="26"/>
        </w:rPr>
        <w:t xml:space="preserve">OCA contends that the </w:t>
      </w:r>
      <w:r w:rsidRPr="00CB744C">
        <w:rPr>
          <w:sz w:val="26"/>
          <w:szCs w:val="26"/>
        </w:rPr>
        <w:t>results can vary greatly:</w:t>
      </w:r>
    </w:p>
    <w:p w:rsidR="00A94F92" w:rsidRPr="00CB744C" w:rsidRDefault="00A94F92" w:rsidP="000E0862">
      <w:pPr>
        <w:pStyle w:val="Pleading2L3"/>
        <w:numPr>
          <w:ilvl w:val="0"/>
          <w:numId w:val="0"/>
        </w:numPr>
        <w:spacing w:line="360" w:lineRule="auto"/>
        <w:ind w:firstLine="1440"/>
        <w:rPr>
          <w:sz w:val="26"/>
          <w:szCs w:val="26"/>
        </w:rPr>
      </w:pPr>
    </w:p>
    <w:p w:rsidR="00A94F92" w:rsidRPr="00CB744C" w:rsidRDefault="0091640C" w:rsidP="000E0862">
      <w:pPr>
        <w:pStyle w:val="Pleading2L3"/>
        <w:numPr>
          <w:ilvl w:val="0"/>
          <w:numId w:val="0"/>
        </w:numPr>
        <w:spacing w:line="240" w:lineRule="auto"/>
        <w:ind w:left="1440" w:right="1440"/>
        <w:contextualSpacing/>
        <w:rPr>
          <w:sz w:val="26"/>
          <w:szCs w:val="26"/>
        </w:rPr>
      </w:pPr>
      <w:r>
        <w:rPr>
          <w:sz w:val="26"/>
          <w:szCs w:val="26"/>
        </w:rPr>
        <w:tab/>
      </w:r>
      <w:r w:rsidR="00A94F92" w:rsidRPr="00CB744C">
        <w:rPr>
          <w:sz w:val="26"/>
          <w:szCs w:val="26"/>
        </w:rPr>
        <w:t>Using the PPL 2004/2007 Method, where Primary distribution plant is classified as 100% demand-related, the residential return at current rates was 5.23%.  OCA St. 3-S at</w:t>
      </w:r>
      <w:r w:rsidR="0013353A">
        <w:rPr>
          <w:sz w:val="26"/>
          <w:szCs w:val="26"/>
        </w:rPr>
        <w:t> </w:t>
      </w:r>
      <w:r w:rsidR="00A94F92" w:rsidRPr="00CB744C">
        <w:rPr>
          <w:sz w:val="26"/>
          <w:szCs w:val="26"/>
        </w:rPr>
        <w:t>7.  Using the PPL 2010 Method, where Primary distribu</w:t>
      </w:r>
      <w:r w:rsidR="0013353A">
        <w:rPr>
          <w:sz w:val="26"/>
          <w:szCs w:val="26"/>
        </w:rPr>
        <w:t>-</w:t>
      </w:r>
      <w:r w:rsidR="00A94F92" w:rsidRPr="00CB744C">
        <w:rPr>
          <w:sz w:val="26"/>
          <w:szCs w:val="26"/>
        </w:rPr>
        <w:t xml:space="preserve">tion is classified substantially as customer related and only partially as demand-related, the residential return was 3.12%. </w:t>
      </w:r>
    </w:p>
    <w:p w:rsidR="00A94F92" w:rsidRPr="00CB744C" w:rsidRDefault="00A94F92" w:rsidP="000E0862">
      <w:pPr>
        <w:pStyle w:val="Pleading2L3"/>
        <w:numPr>
          <w:ilvl w:val="0"/>
          <w:numId w:val="0"/>
        </w:numPr>
        <w:spacing w:line="240" w:lineRule="auto"/>
        <w:ind w:left="1440" w:right="1440"/>
        <w:contextualSpacing/>
        <w:rPr>
          <w:sz w:val="26"/>
          <w:szCs w:val="26"/>
        </w:rPr>
      </w:pPr>
    </w:p>
    <w:p w:rsidR="00A94F92" w:rsidRPr="00CB744C" w:rsidRDefault="00A94F92" w:rsidP="000E0862">
      <w:pPr>
        <w:pStyle w:val="Pleading2L3"/>
        <w:numPr>
          <w:ilvl w:val="0"/>
          <w:numId w:val="0"/>
        </w:numPr>
        <w:spacing w:line="360" w:lineRule="auto"/>
        <w:ind w:left="1440" w:right="1440" w:hanging="1440"/>
        <w:contextualSpacing/>
        <w:rPr>
          <w:sz w:val="26"/>
          <w:szCs w:val="26"/>
        </w:rPr>
      </w:pPr>
      <w:r w:rsidRPr="00CB744C">
        <w:rPr>
          <w:sz w:val="26"/>
          <w:szCs w:val="26"/>
        </w:rPr>
        <w:t xml:space="preserve">OCA </w:t>
      </w:r>
      <w:r>
        <w:rPr>
          <w:sz w:val="26"/>
          <w:szCs w:val="26"/>
        </w:rPr>
        <w:t>M.B.</w:t>
      </w:r>
      <w:r w:rsidRPr="00CB744C">
        <w:rPr>
          <w:sz w:val="26"/>
          <w:szCs w:val="26"/>
        </w:rPr>
        <w:t xml:space="preserve"> at 23</w:t>
      </w:r>
      <w:r>
        <w:rPr>
          <w:sz w:val="26"/>
          <w:szCs w:val="26"/>
        </w:rPr>
        <w:t>; R.D. at 42</w:t>
      </w:r>
      <w:r w:rsidRPr="00CB744C">
        <w:rPr>
          <w:sz w:val="26"/>
          <w:szCs w:val="26"/>
        </w:rPr>
        <w:t>.</w:t>
      </w:r>
    </w:p>
    <w:p w:rsidR="00A94F92" w:rsidRPr="00CB744C" w:rsidRDefault="00A94F92" w:rsidP="000E0862">
      <w:pPr>
        <w:pStyle w:val="Pleading2L3"/>
        <w:numPr>
          <w:ilvl w:val="0"/>
          <w:numId w:val="0"/>
        </w:numPr>
        <w:spacing w:line="360" w:lineRule="auto"/>
        <w:ind w:firstLine="1440"/>
        <w:rPr>
          <w:sz w:val="26"/>
          <w:szCs w:val="26"/>
        </w:rPr>
      </w:pPr>
      <w:r>
        <w:rPr>
          <w:sz w:val="26"/>
          <w:szCs w:val="26"/>
        </w:rPr>
        <w:lastRenderedPageBreak/>
        <w:t>The OCA advocated</w:t>
      </w:r>
      <w:r w:rsidRPr="00CB744C">
        <w:rPr>
          <w:sz w:val="26"/>
          <w:szCs w:val="26"/>
        </w:rPr>
        <w:t xml:space="preserve"> an analysis of PPL’s service territory based on customer mix and density:</w:t>
      </w:r>
    </w:p>
    <w:p w:rsidR="00A94F92" w:rsidRPr="00CB744C" w:rsidRDefault="00A94F92" w:rsidP="000E0862">
      <w:pPr>
        <w:pStyle w:val="Pleading2L3"/>
        <w:numPr>
          <w:ilvl w:val="0"/>
          <w:numId w:val="0"/>
        </w:numPr>
        <w:spacing w:line="240" w:lineRule="auto"/>
        <w:ind w:firstLine="1440"/>
        <w:rPr>
          <w:sz w:val="26"/>
          <w:szCs w:val="26"/>
        </w:rPr>
      </w:pPr>
    </w:p>
    <w:p w:rsidR="00A94F92" w:rsidRPr="00CB744C" w:rsidRDefault="00A94F92" w:rsidP="000E0862">
      <w:pPr>
        <w:pStyle w:val="Pleading2L3"/>
        <w:numPr>
          <w:ilvl w:val="0"/>
          <w:numId w:val="0"/>
        </w:numPr>
        <w:spacing w:line="240" w:lineRule="auto"/>
        <w:ind w:left="1440" w:right="1440" w:firstLine="720"/>
        <w:contextualSpacing/>
        <w:rPr>
          <w:sz w:val="26"/>
          <w:szCs w:val="26"/>
        </w:rPr>
      </w:pPr>
      <w:r w:rsidRPr="00CB744C">
        <w:rPr>
          <w:sz w:val="26"/>
          <w:szCs w:val="26"/>
        </w:rPr>
        <w:t>Even though investment is made in distribution plant and equipment to meet the energy needs of its customers at required power levels, there may be considerable differences in both customer densities and the mix of customers throughout a utility’s service area.  As a hypothetical, suppose a utility serves both an urban area and a rural area.  In this situation, many customers’ electrical needs are served with relatively few miles of conductors, few poles, etc. in the urban area, while many more miles of conductors, more poles, etc. are required to serve the requirements of relatively few customers in the rural area.  If the distribution of customers (customer mix) is relatively similar in both the rural and urban areas, there is no need to consider customer counts (number of customers) within the allocation process, because all classes use the utility’s joint distribution facilities proportionately across the service area.  However, if the customer mix is such that Commercial and Industrial customers are predominately clustered in the urban area, while the rural portion of the service territory consists almost entirely of Residential customers, it may be unreasonable to allocate the total Company’s investment based on usage or demand; i.e., a large investment in many miles of line is required to serve predominately Residential customers in the rural area while the Commercial and Industrial electrical needs are met with much fewer miles of lines in the urban area.  Under this circumstance, an allocation of costs based on a weighting of customers and demand is usually considered equitable and appropriate.  OCA St. 3 at 6.</w:t>
      </w:r>
    </w:p>
    <w:p w:rsidR="00A94F92" w:rsidRPr="00CB744C" w:rsidRDefault="00A94F92" w:rsidP="000E0862">
      <w:pPr>
        <w:pStyle w:val="Pleading2L3"/>
        <w:numPr>
          <w:ilvl w:val="0"/>
          <w:numId w:val="0"/>
        </w:numPr>
        <w:spacing w:line="240" w:lineRule="auto"/>
        <w:ind w:left="1440" w:right="1440"/>
        <w:contextualSpacing/>
        <w:rPr>
          <w:sz w:val="26"/>
          <w:szCs w:val="26"/>
        </w:rPr>
      </w:pPr>
    </w:p>
    <w:p w:rsidR="00A94F92" w:rsidRPr="00CB744C" w:rsidRDefault="00A94F92" w:rsidP="000E0862">
      <w:pPr>
        <w:pStyle w:val="Pleading2L3"/>
        <w:numPr>
          <w:ilvl w:val="0"/>
          <w:numId w:val="0"/>
        </w:numPr>
        <w:spacing w:line="360" w:lineRule="auto"/>
        <w:ind w:left="1440" w:right="1440" w:hanging="1440"/>
        <w:contextualSpacing/>
        <w:rPr>
          <w:sz w:val="26"/>
          <w:szCs w:val="26"/>
        </w:rPr>
      </w:pPr>
      <w:r w:rsidRPr="00CB744C">
        <w:rPr>
          <w:sz w:val="26"/>
          <w:szCs w:val="26"/>
        </w:rPr>
        <w:t>OCA M</w:t>
      </w:r>
      <w:r>
        <w:rPr>
          <w:sz w:val="26"/>
          <w:szCs w:val="26"/>
        </w:rPr>
        <w:t xml:space="preserve">.B. at 23, </w:t>
      </w:r>
      <w:r w:rsidRPr="00CB744C">
        <w:rPr>
          <w:sz w:val="26"/>
          <w:szCs w:val="26"/>
        </w:rPr>
        <w:t>24</w:t>
      </w:r>
      <w:r>
        <w:rPr>
          <w:sz w:val="26"/>
          <w:szCs w:val="26"/>
        </w:rPr>
        <w:t>; R.D. at 42, 43</w:t>
      </w:r>
      <w:r w:rsidRPr="00CB744C">
        <w:rPr>
          <w:sz w:val="26"/>
          <w:szCs w:val="26"/>
        </w:rPr>
        <w:t>.</w:t>
      </w:r>
    </w:p>
    <w:p w:rsidR="00A94F92" w:rsidRPr="00CB744C" w:rsidRDefault="00A94F92" w:rsidP="000E0862">
      <w:pPr>
        <w:pStyle w:val="Pleading2L3"/>
        <w:numPr>
          <w:ilvl w:val="0"/>
          <w:numId w:val="0"/>
        </w:numPr>
        <w:spacing w:line="360" w:lineRule="auto"/>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 xml:space="preserve">The </w:t>
      </w:r>
      <w:r w:rsidRPr="00CB744C">
        <w:rPr>
          <w:sz w:val="26"/>
          <w:szCs w:val="26"/>
        </w:rPr>
        <w:t xml:space="preserve">OCA conducted a </w:t>
      </w:r>
      <w:r>
        <w:rPr>
          <w:sz w:val="26"/>
          <w:szCs w:val="26"/>
        </w:rPr>
        <w:t xml:space="preserve">further analysis by performing a </w:t>
      </w:r>
      <w:r w:rsidRPr="00CB744C">
        <w:rPr>
          <w:sz w:val="26"/>
          <w:szCs w:val="26"/>
        </w:rPr>
        <w:t xml:space="preserve">postal zip-code evaluation to determine distribution of customers across rural, suburban and urban areas.  </w:t>
      </w:r>
      <w:r>
        <w:rPr>
          <w:sz w:val="26"/>
          <w:szCs w:val="26"/>
        </w:rPr>
        <w:t>The evaluation</w:t>
      </w:r>
      <w:r w:rsidRPr="00CB744C">
        <w:rPr>
          <w:sz w:val="26"/>
          <w:szCs w:val="26"/>
        </w:rPr>
        <w:t xml:space="preserve"> found that PPL</w:t>
      </w:r>
      <w:r>
        <w:rPr>
          <w:sz w:val="26"/>
          <w:szCs w:val="26"/>
        </w:rPr>
        <w:t>’s</w:t>
      </w:r>
      <w:r w:rsidRPr="00CB744C">
        <w:rPr>
          <w:sz w:val="26"/>
          <w:szCs w:val="26"/>
        </w:rPr>
        <w:t xml:space="preserve"> customers were dispersed in a reasonably proportional manner throughout its service territory, and concluded that </w:t>
      </w:r>
      <w:r>
        <w:rPr>
          <w:sz w:val="26"/>
          <w:szCs w:val="26"/>
        </w:rPr>
        <w:t>PPL</w:t>
      </w:r>
      <w:r w:rsidRPr="00CB744C">
        <w:rPr>
          <w:sz w:val="26"/>
          <w:szCs w:val="26"/>
        </w:rPr>
        <w:t xml:space="preserve">’s distribution plant and expenses are properly assigned to classes based only on utilization and any consideration </w:t>
      </w:r>
      <w:r w:rsidRPr="00CB744C">
        <w:rPr>
          <w:sz w:val="26"/>
          <w:szCs w:val="26"/>
        </w:rPr>
        <w:lastRenderedPageBreak/>
        <w:t xml:space="preserve">of customer counts is improper for the allocation </w:t>
      </w:r>
      <w:r w:rsidR="00E35A75">
        <w:rPr>
          <w:sz w:val="26"/>
          <w:szCs w:val="26"/>
        </w:rPr>
        <w:t xml:space="preserve">of </w:t>
      </w:r>
      <w:r w:rsidRPr="00CB744C">
        <w:rPr>
          <w:sz w:val="26"/>
          <w:szCs w:val="26"/>
        </w:rPr>
        <w:t>distribution plant.</w:t>
      </w:r>
      <w:r>
        <w:rPr>
          <w:sz w:val="26"/>
          <w:szCs w:val="26"/>
        </w:rPr>
        <w:t xml:space="preserve">  OCA M.B. at 25; R.D. at 43.</w:t>
      </w:r>
      <w:r w:rsidRPr="00CB744C">
        <w:rPr>
          <w:sz w:val="26"/>
          <w:szCs w:val="26"/>
        </w:rPr>
        <w:t xml:space="preserve">  </w:t>
      </w:r>
      <w:r w:rsidRPr="007E1E51">
        <w:rPr>
          <w:sz w:val="26"/>
          <w:szCs w:val="26"/>
        </w:rPr>
        <w:t xml:space="preserve">Accordingly, the OCA recommends that PPL classify its distribution plant in the same fashion as in prior base rate cases, </w:t>
      </w:r>
      <w:r w:rsidR="00837B24">
        <w:rPr>
          <w:i/>
          <w:sz w:val="26"/>
          <w:szCs w:val="26"/>
        </w:rPr>
        <w:t>i.e.,</w:t>
      </w:r>
      <w:r w:rsidR="00837B24">
        <w:rPr>
          <w:sz w:val="26"/>
          <w:szCs w:val="26"/>
        </w:rPr>
        <w:t xml:space="preserve"> as </w:t>
      </w:r>
      <w:r w:rsidRPr="007E1E51">
        <w:rPr>
          <w:sz w:val="26"/>
          <w:szCs w:val="26"/>
        </w:rPr>
        <w:t>100% demand-related</w:t>
      </w:r>
      <w:r w:rsidRPr="00CB744C">
        <w:rPr>
          <w:sz w:val="26"/>
          <w:szCs w:val="26"/>
        </w:rPr>
        <w:t xml:space="preserve">.  OCA </w:t>
      </w:r>
      <w:r>
        <w:rPr>
          <w:sz w:val="26"/>
          <w:szCs w:val="26"/>
        </w:rPr>
        <w:t>M.B.</w:t>
      </w:r>
      <w:r w:rsidRPr="00CB744C">
        <w:rPr>
          <w:sz w:val="26"/>
          <w:szCs w:val="26"/>
        </w:rPr>
        <w:t xml:space="preserve"> a</w:t>
      </w:r>
      <w:r>
        <w:rPr>
          <w:sz w:val="26"/>
          <w:szCs w:val="26"/>
        </w:rPr>
        <w:t>t 25</w:t>
      </w:r>
      <w:r w:rsidR="00837B24">
        <w:rPr>
          <w:sz w:val="26"/>
          <w:szCs w:val="26"/>
        </w:rPr>
        <w:t>-</w:t>
      </w:r>
      <w:r>
        <w:rPr>
          <w:sz w:val="26"/>
          <w:szCs w:val="26"/>
        </w:rPr>
        <w:t xml:space="preserve">26, citing OCA St. 3 at 11, </w:t>
      </w:r>
      <w:r w:rsidRPr="00CB744C">
        <w:rPr>
          <w:sz w:val="26"/>
          <w:szCs w:val="26"/>
        </w:rPr>
        <w:t>12</w:t>
      </w:r>
      <w:r>
        <w:rPr>
          <w:sz w:val="26"/>
          <w:szCs w:val="26"/>
        </w:rPr>
        <w:t>; R.D. at 43</w:t>
      </w:r>
      <w:r w:rsidRPr="00CB744C">
        <w:rPr>
          <w:sz w:val="26"/>
          <w:szCs w:val="26"/>
        </w:rPr>
        <w:t>.</w:t>
      </w:r>
    </w:p>
    <w:p w:rsidR="00A94F92" w:rsidRPr="00CB744C" w:rsidRDefault="00A94F92" w:rsidP="000E0862">
      <w:pPr>
        <w:pStyle w:val="Pleading2L3"/>
        <w:numPr>
          <w:ilvl w:val="0"/>
          <w:numId w:val="0"/>
        </w:numPr>
        <w:spacing w:line="360" w:lineRule="auto"/>
        <w:ind w:firstLine="1440"/>
        <w:rPr>
          <w:sz w:val="26"/>
          <w:szCs w:val="26"/>
        </w:rPr>
      </w:pPr>
    </w:p>
    <w:p w:rsidR="00A94F92" w:rsidRPr="00CB744C" w:rsidRDefault="00A94F92" w:rsidP="000E0862">
      <w:pPr>
        <w:pStyle w:val="Pleading2L3"/>
        <w:numPr>
          <w:ilvl w:val="0"/>
          <w:numId w:val="0"/>
        </w:numPr>
        <w:spacing w:line="360" w:lineRule="auto"/>
        <w:ind w:firstLine="1440"/>
        <w:rPr>
          <w:sz w:val="26"/>
          <w:szCs w:val="26"/>
        </w:rPr>
      </w:pPr>
      <w:r w:rsidRPr="00CB744C">
        <w:rPr>
          <w:sz w:val="26"/>
          <w:szCs w:val="26"/>
        </w:rPr>
        <w:t xml:space="preserve">In addition, </w:t>
      </w:r>
      <w:r>
        <w:rPr>
          <w:sz w:val="26"/>
          <w:szCs w:val="26"/>
        </w:rPr>
        <w:t>the OCA attacked</w:t>
      </w:r>
      <w:r w:rsidRPr="00CB744C">
        <w:rPr>
          <w:sz w:val="26"/>
          <w:szCs w:val="26"/>
        </w:rPr>
        <w:t xml:space="preserve"> </w:t>
      </w:r>
      <w:r>
        <w:rPr>
          <w:sz w:val="26"/>
          <w:szCs w:val="26"/>
        </w:rPr>
        <w:t>PPL’s use of a</w:t>
      </w:r>
      <w:r w:rsidRPr="00CB744C">
        <w:rPr>
          <w:sz w:val="26"/>
          <w:szCs w:val="26"/>
        </w:rPr>
        <w:t xml:space="preserve"> minimum system study as based on a misconception, </w:t>
      </w:r>
      <w:r w:rsidRPr="0082165F">
        <w:rPr>
          <w:i/>
          <w:sz w:val="26"/>
          <w:szCs w:val="26"/>
        </w:rPr>
        <w:t>i.e.,</w:t>
      </w:r>
      <w:r w:rsidRPr="00CB744C">
        <w:rPr>
          <w:sz w:val="26"/>
          <w:szCs w:val="26"/>
        </w:rPr>
        <w:t xml:space="preserve"> that the smallest size installed equipment makes up the distribution network to connect customers and that all larger sizes of equipment serve peak demands.</w:t>
      </w:r>
      <w:r>
        <w:rPr>
          <w:sz w:val="26"/>
          <w:szCs w:val="26"/>
        </w:rPr>
        <w:t xml:space="preserve">  OCA St. No. 3 at 12; OCA M.B. at 27 – 30; R.D. at 43.</w:t>
      </w:r>
      <w:r w:rsidRPr="00CB744C">
        <w:rPr>
          <w:sz w:val="26"/>
          <w:szCs w:val="26"/>
        </w:rPr>
        <w:t xml:space="preserve">  </w:t>
      </w:r>
      <w:r>
        <w:rPr>
          <w:sz w:val="26"/>
          <w:szCs w:val="26"/>
        </w:rPr>
        <w:t>The OCA contended that t</w:t>
      </w:r>
      <w:r w:rsidRPr="00CB744C">
        <w:rPr>
          <w:sz w:val="26"/>
          <w:szCs w:val="26"/>
        </w:rPr>
        <w:t xml:space="preserve">his method overstates the customer percentage because even the smallest </w:t>
      </w:r>
      <w:r>
        <w:rPr>
          <w:sz w:val="26"/>
          <w:szCs w:val="26"/>
        </w:rPr>
        <w:t xml:space="preserve">size </w:t>
      </w:r>
      <w:r w:rsidRPr="00CB744C">
        <w:rPr>
          <w:sz w:val="26"/>
          <w:szCs w:val="26"/>
        </w:rPr>
        <w:t xml:space="preserve">installed </w:t>
      </w:r>
      <w:r>
        <w:rPr>
          <w:sz w:val="26"/>
          <w:szCs w:val="26"/>
        </w:rPr>
        <w:t>equipment</w:t>
      </w:r>
      <w:r w:rsidRPr="00CB744C">
        <w:rPr>
          <w:sz w:val="26"/>
          <w:szCs w:val="26"/>
        </w:rPr>
        <w:t xml:space="preserve"> is used to meet the required level of peak demand</w:t>
      </w:r>
      <w:r w:rsidR="00837B24">
        <w:rPr>
          <w:sz w:val="26"/>
          <w:szCs w:val="26"/>
        </w:rPr>
        <w:t>.</w:t>
      </w:r>
      <w:r w:rsidRPr="00CB744C">
        <w:rPr>
          <w:sz w:val="26"/>
          <w:szCs w:val="26"/>
        </w:rPr>
        <w:t xml:space="preserve">  OCA St.</w:t>
      </w:r>
      <w:r>
        <w:rPr>
          <w:sz w:val="26"/>
          <w:szCs w:val="26"/>
        </w:rPr>
        <w:t xml:space="preserve"> 3 at</w:t>
      </w:r>
      <w:r w:rsidR="001A5C43">
        <w:rPr>
          <w:sz w:val="26"/>
          <w:szCs w:val="26"/>
        </w:rPr>
        <w:t> </w:t>
      </w:r>
      <w:r>
        <w:rPr>
          <w:sz w:val="26"/>
          <w:szCs w:val="26"/>
        </w:rPr>
        <w:t xml:space="preserve">13; </w:t>
      </w:r>
      <w:r w:rsidRPr="00CB744C">
        <w:rPr>
          <w:sz w:val="26"/>
          <w:szCs w:val="26"/>
        </w:rPr>
        <w:t>OCA M</w:t>
      </w:r>
      <w:r>
        <w:rPr>
          <w:sz w:val="26"/>
          <w:szCs w:val="26"/>
        </w:rPr>
        <w:t>.B.</w:t>
      </w:r>
      <w:r w:rsidRPr="00CB744C">
        <w:rPr>
          <w:sz w:val="26"/>
          <w:szCs w:val="26"/>
        </w:rPr>
        <w:t xml:space="preserve"> at 28</w:t>
      </w:r>
      <w:r>
        <w:rPr>
          <w:sz w:val="26"/>
          <w:szCs w:val="26"/>
        </w:rPr>
        <w:t>; R.D. at 43, 44</w:t>
      </w:r>
      <w:r w:rsidRPr="00CB744C">
        <w:rPr>
          <w:sz w:val="26"/>
          <w:szCs w:val="26"/>
        </w:rPr>
        <w:t>.</w:t>
      </w:r>
    </w:p>
    <w:p w:rsidR="00A94F92" w:rsidRPr="00CB744C" w:rsidRDefault="00A94F92" w:rsidP="000E0862">
      <w:pPr>
        <w:pStyle w:val="Pleading2L3"/>
        <w:numPr>
          <w:ilvl w:val="0"/>
          <w:numId w:val="0"/>
        </w:numPr>
        <w:spacing w:line="360" w:lineRule="auto"/>
        <w:ind w:firstLine="1440"/>
        <w:rPr>
          <w:sz w:val="26"/>
          <w:szCs w:val="26"/>
        </w:rPr>
      </w:pPr>
    </w:p>
    <w:p w:rsidR="00A94F92" w:rsidRPr="00CB744C" w:rsidRDefault="00A94F92" w:rsidP="000E0862">
      <w:pPr>
        <w:pStyle w:val="Pleading2L3"/>
        <w:numPr>
          <w:ilvl w:val="0"/>
          <w:numId w:val="0"/>
        </w:numPr>
        <w:spacing w:line="360" w:lineRule="auto"/>
        <w:ind w:firstLine="1440"/>
        <w:rPr>
          <w:sz w:val="26"/>
          <w:szCs w:val="26"/>
        </w:rPr>
      </w:pPr>
      <w:r>
        <w:rPr>
          <w:sz w:val="26"/>
          <w:szCs w:val="26"/>
        </w:rPr>
        <w:t>The OCA stated</w:t>
      </w:r>
      <w:r w:rsidRPr="00CB744C">
        <w:rPr>
          <w:sz w:val="26"/>
          <w:szCs w:val="26"/>
        </w:rPr>
        <w:t xml:space="preserve"> that </w:t>
      </w:r>
      <w:r>
        <w:rPr>
          <w:sz w:val="26"/>
          <w:szCs w:val="26"/>
        </w:rPr>
        <w:t>PPL</w:t>
      </w:r>
      <w:r w:rsidRPr="00CB744C">
        <w:rPr>
          <w:sz w:val="26"/>
          <w:szCs w:val="26"/>
        </w:rPr>
        <w:t xml:space="preserve">’s </w:t>
      </w:r>
      <w:r>
        <w:rPr>
          <w:sz w:val="26"/>
          <w:szCs w:val="26"/>
        </w:rPr>
        <w:t xml:space="preserve">44% </w:t>
      </w:r>
      <w:r w:rsidRPr="00CB744C">
        <w:rPr>
          <w:sz w:val="26"/>
          <w:szCs w:val="26"/>
        </w:rPr>
        <w:t>allocation of substation equipment based on number of customers is an error, because substations are used to reduce the bulk transmission high voltage current down to a lower voltage used within the distribution system.</w:t>
      </w:r>
      <w:r>
        <w:rPr>
          <w:sz w:val="26"/>
          <w:szCs w:val="26"/>
        </w:rPr>
        <w:t xml:space="preserve">  OCA St. 3 at 17, 18; R.D. at 44.</w:t>
      </w:r>
      <w:r w:rsidRPr="00CB744C">
        <w:rPr>
          <w:sz w:val="26"/>
          <w:szCs w:val="26"/>
        </w:rPr>
        <w:t xml:space="preserve">  </w:t>
      </w:r>
      <w:r>
        <w:rPr>
          <w:sz w:val="26"/>
          <w:szCs w:val="26"/>
        </w:rPr>
        <w:t xml:space="preserve">The </w:t>
      </w:r>
      <w:r w:rsidRPr="00CB744C">
        <w:rPr>
          <w:sz w:val="26"/>
          <w:szCs w:val="26"/>
        </w:rPr>
        <w:t xml:space="preserve">OCA </w:t>
      </w:r>
      <w:r>
        <w:rPr>
          <w:sz w:val="26"/>
          <w:szCs w:val="26"/>
        </w:rPr>
        <w:t>further</w:t>
      </w:r>
      <w:r w:rsidRPr="00CB744C">
        <w:rPr>
          <w:sz w:val="26"/>
          <w:szCs w:val="26"/>
        </w:rPr>
        <w:t xml:space="preserve"> stated that these facilities are universally deemed 100% demand-related in the industry.  OCA M</w:t>
      </w:r>
      <w:r>
        <w:rPr>
          <w:sz w:val="26"/>
          <w:szCs w:val="26"/>
        </w:rPr>
        <w:t>.B. at 29</w:t>
      </w:r>
      <w:r w:rsidR="00837B24">
        <w:rPr>
          <w:sz w:val="26"/>
          <w:szCs w:val="26"/>
        </w:rPr>
        <w:t>-</w:t>
      </w:r>
      <w:r w:rsidRPr="00CB744C">
        <w:rPr>
          <w:sz w:val="26"/>
          <w:szCs w:val="26"/>
        </w:rPr>
        <w:t xml:space="preserve">30.  </w:t>
      </w:r>
      <w:r w:rsidRPr="00CB744C">
        <w:rPr>
          <w:i/>
          <w:sz w:val="26"/>
          <w:szCs w:val="26"/>
        </w:rPr>
        <w:t xml:space="preserve">See </w:t>
      </w:r>
      <w:r w:rsidR="001A5C43">
        <w:rPr>
          <w:sz w:val="26"/>
          <w:szCs w:val="26"/>
        </w:rPr>
        <w:t>NARUC Manual at 90.</w:t>
      </w:r>
    </w:p>
    <w:p w:rsidR="00A94F92" w:rsidRPr="00CB744C" w:rsidRDefault="00A94F92" w:rsidP="000E0862">
      <w:pPr>
        <w:pStyle w:val="Pleading2L3"/>
        <w:numPr>
          <w:ilvl w:val="0"/>
          <w:numId w:val="0"/>
        </w:numPr>
        <w:spacing w:line="360" w:lineRule="auto"/>
        <w:ind w:firstLine="1440"/>
        <w:rPr>
          <w:sz w:val="26"/>
          <w:szCs w:val="26"/>
        </w:rPr>
      </w:pPr>
    </w:p>
    <w:p w:rsidR="0047264D" w:rsidRPr="00CB744C" w:rsidRDefault="00A94F92" w:rsidP="0047264D">
      <w:pPr>
        <w:pStyle w:val="Pleading2L3"/>
        <w:numPr>
          <w:ilvl w:val="0"/>
          <w:numId w:val="0"/>
        </w:numPr>
        <w:spacing w:line="360" w:lineRule="auto"/>
        <w:ind w:firstLine="1440"/>
        <w:rPr>
          <w:sz w:val="26"/>
          <w:szCs w:val="26"/>
        </w:rPr>
      </w:pPr>
      <w:r w:rsidRPr="00CB744C">
        <w:rPr>
          <w:sz w:val="26"/>
          <w:szCs w:val="26"/>
        </w:rPr>
        <w:t xml:space="preserve">Accordingly, </w:t>
      </w:r>
      <w:r>
        <w:rPr>
          <w:sz w:val="26"/>
          <w:szCs w:val="26"/>
        </w:rPr>
        <w:t>the OCA advocated</w:t>
      </w:r>
      <w:r w:rsidRPr="00CB744C">
        <w:rPr>
          <w:sz w:val="26"/>
          <w:szCs w:val="26"/>
        </w:rPr>
        <w:t xml:space="preserve"> the use of its first COSS, which </w:t>
      </w:r>
      <w:r>
        <w:rPr>
          <w:sz w:val="26"/>
          <w:szCs w:val="26"/>
        </w:rPr>
        <w:t xml:space="preserve">it believes, </w:t>
      </w:r>
      <w:r w:rsidRPr="00CB744C">
        <w:rPr>
          <w:sz w:val="26"/>
          <w:szCs w:val="26"/>
        </w:rPr>
        <w:t>better reflects cost causation of the customer classes and should be used as a primary guide in setting rates.  OCA M</w:t>
      </w:r>
      <w:r>
        <w:rPr>
          <w:sz w:val="26"/>
          <w:szCs w:val="26"/>
        </w:rPr>
        <w:t>.B.</w:t>
      </w:r>
      <w:r w:rsidRPr="00CB744C">
        <w:rPr>
          <w:sz w:val="26"/>
          <w:szCs w:val="26"/>
        </w:rPr>
        <w:t xml:space="preserve"> at 30</w:t>
      </w:r>
      <w:r>
        <w:rPr>
          <w:sz w:val="26"/>
          <w:szCs w:val="26"/>
        </w:rPr>
        <w:t xml:space="preserve">; R.D. at 44.  The OCA </w:t>
      </w:r>
      <w:r w:rsidRPr="00CB744C">
        <w:rPr>
          <w:sz w:val="26"/>
          <w:szCs w:val="26"/>
        </w:rPr>
        <w:t xml:space="preserve">COSS classified distribution plant other than “services and meters’ on the basis of 100% demand, and </w:t>
      </w:r>
      <w:r w:rsidR="0047264D" w:rsidRPr="00CB744C">
        <w:rPr>
          <w:sz w:val="26"/>
          <w:szCs w:val="26"/>
        </w:rPr>
        <w:t xml:space="preserve">allocated the primary and secondary distribution plant based on each class’s non-coincident peak (NCP) demand.  The second </w:t>
      </w:r>
      <w:r w:rsidR="0047264D">
        <w:rPr>
          <w:sz w:val="26"/>
          <w:szCs w:val="26"/>
        </w:rPr>
        <w:t xml:space="preserve">OCA COSS </w:t>
      </w:r>
      <w:r w:rsidR="0047264D" w:rsidRPr="00CB744C">
        <w:rPr>
          <w:sz w:val="26"/>
          <w:szCs w:val="26"/>
        </w:rPr>
        <w:t xml:space="preserve">was a “peak and average” study.  OCA </w:t>
      </w:r>
      <w:r w:rsidR="0047264D">
        <w:rPr>
          <w:sz w:val="26"/>
          <w:szCs w:val="26"/>
        </w:rPr>
        <w:t>M.B. at 30-</w:t>
      </w:r>
      <w:r w:rsidR="0047264D" w:rsidRPr="00CB744C">
        <w:rPr>
          <w:sz w:val="26"/>
          <w:szCs w:val="26"/>
        </w:rPr>
        <w:t>31</w:t>
      </w:r>
      <w:r w:rsidR="0047264D">
        <w:rPr>
          <w:sz w:val="26"/>
          <w:szCs w:val="26"/>
        </w:rPr>
        <w:t>; R.D. at 44</w:t>
      </w:r>
      <w:r w:rsidR="0047264D" w:rsidRPr="00CB744C">
        <w:rPr>
          <w:sz w:val="26"/>
          <w:szCs w:val="26"/>
        </w:rPr>
        <w:t>.</w:t>
      </w:r>
    </w:p>
    <w:p w:rsidR="0047264D" w:rsidRPr="00CB744C" w:rsidRDefault="0047264D" w:rsidP="0047264D">
      <w:pPr>
        <w:pStyle w:val="Pleading2L3"/>
        <w:numPr>
          <w:ilvl w:val="0"/>
          <w:numId w:val="0"/>
        </w:numPr>
        <w:spacing w:line="240" w:lineRule="auto"/>
        <w:rPr>
          <w:sz w:val="26"/>
          <w:szCs w:val="26"/>
        </w:rPr>
      </w:pPr>
    </w:p>
    <w:p w:rsidR="0047264D" w:rsidRPr="003717CC" w:rsidRDefault="0047264D" w:rsidP="0047264D">
      <w:pPr>
        <w:pStyle w:val="Pleading2L3"/>
        <w:numPr>
          <w:ilvl w:val="0"/>
          <w:numId w:val="0"/>
        </w:numPr>
        <w:spacing w:line="360" w:lineRule="auto"/>
        <w:contextualSpacing/>
        <w:rPr>
          <w:sz w:val="26"/>
          <w:szCs w:val="26"/>
        </w:rPr>
      </w:pPr>
      <w:r>
        <w:rPr>
          <w:sz w:val="26"/>
          <w:szCs w:val="26"/>
        </w:rPr>
        <w:lastRenderedPageBreak/>
        <w:tab/>
      </w:r>
      <w:r>
        <w:rPr>
          <w:sz w:val="26"/>
          <w:szCs w:val="26"/>
        </w:rPr>
        <w:tab/>
      </w:r>
      <w:r w:rsidRPr="003717CC">
        <w:rPr>
          <w:sz w:val="26"/>
          <w:szCs w:val="26"/>
        </w:rPr>
        <w:t>PPLICA’s position is that the NARUC Manual and the record here fully support classifying PPL’s primary distribution system as partially customer-related and partially demand-related.  The OCA’s 100% demand allocation of all primary distribution costs should be rejected.  PPLICA R.B. at 8</w:t>
      </w:r>
      <w:r w:rsidRPr="003717CC">
        <w:rPr>
          <w:b/>
          <w:sz w:val="26"/>
          <w:szCs w:val="26"/>
        </w:rPr>
        <w:t xml:space="preserve">, </w:t>
      </w:r>
      <w:r w:rsidRPr="003717CC">
        <w:rPr>
          <w:sz w:val="26"/>
          <w:szCs w:val="26"/>
        </w:rPr>
        <w:t>9; R.D. at 40</w:t>
      </w:r>
      <w:r w:rsidRPr="003717CC">
        <w:rPr>
          <w:b/>
          <w:sz w:val="26"/>
          <w:szCs w:val="26"/>
        </w:rPr>
        <w:t xml:space="preserve"> - </w:t>
      </w:r>
      <w:r w:rsidRPr="003717CC">
        <w:rPr>
          <w:sz w:val="26"/>
          <w:szCs w:val="26"/>
        </w:rPr>
        <w:t>42.</w:t>
      </w:r>
    </w:p>
    <w:p w:rsidR="0047264D" w:rsidRPr="003717CC" w:rsidRDefault="0047264D" w:rsidP="0047264D">
      <w:pPr>
        <w:pStyle w:val="Pleading2L3"/>
        <w:numPr>
          <w:ilvl w:val="0"/>
          <w:numId w:val="0"/>
        </w:numPr>
        <w:spacing w:line="360" w:lineRule="auto"/>
        <w:rPr>
          <w:sz w:val="26"/>
          <w:szCs w:val="26"/>
        </w:rPr>
      </w:pPr>
    </w:p>
    <w:p w:rsidR="0047264D" w:rsidRPr="00CB744C" w:rsidRDefault="0047264D" w:rsidP="0047264D">
      <w:pPr>
        <w:pStyle w:val="Pleading2L3"/>
        <w:numPr>
          <w:ilvl w:val="0"/>
          <w:numId w:val="0"/>
        </w:numPr>
        <w:spacing w:line="360" w:lineRule="auto"/>
        <w:ind w:firstLine="1440"/>
        <w:rPr>
          <w:sz w:val="26"/>
          <w:szCs w:val="26"/>
        </w:rPr>
      </w:pPr>
      <w:r w:rsidRPr="00CB744C">
        <w:rPr>
          <w:sz w:val="26"/>
          <w:szCs w:val="26"/>
        </w:rPr>
        <w:t>PPLICA asks the Commission to reject the OCA</w:t>
      </w:r>
      <w:r>
        <w:rPr>
          <w:sz w:val="26"/>
          <w:szCs w:val="26"/>
        </w:rPr>
        <w:t>’s</w:t>
      </w:r>
      <w:r w:rsidRPr="00CB744C">
        <w:rPr>
          <w:sz w:val="26"/>
          <w:szCs w:val="26"/>
        </w:rPr>
        <w:t xml:space="preserve"> arguments.  </w:t>
      </w:r>
      <w:r>
        <w:rPr>
          <w:sz w:val="26"/>
          <w:szCs w:val="26"/>
        </w:rPr>
        <w:t>PPLICA believes that the OCA’s</w:t>
      </w:r>
      <w:r w:rsidRPr="00CB744C">
        <w:rPr>
          <w:sz w:val="26"/>
          <w:szCs w:val="26"/>
        </w:rPr>
        <w:t xml:space="preserve"> first</w:t>
      </w:r>
      <w:r>
        <w:rPr>
          <w:sz w:val="26"/>
          <w:szCs w:val="26"/>
        </w:rPr>
        <w:t xml:space="preserve"> argument</w:t>
      </w:r>
      <w:r w:rsidRPr="00CB744C">
        <w:rPr>
          <w:sz w:val="26"/>
          <w:szCs w:val="26"/>
        </w:rPr>
        <w:t>, that joint-use distribution plant costs should not have a customer component, has not been adopted by the Commission in any prior PPL rate case, and is not consistent with the NARUC Manual.</w:t>
      </w:r>
      <w:r>
        <w:rPr>
          <w:sz w:val="26"/>
          <w:szCs w:val="26"/>
        </w:rPr>
        <w:t xml:space="preserve">  PPLICA R.B. at 5.</w:t>
      </w:r>
      <w:r w:rsidRPr="00CB744C">
        <w:rPr>
          <w:sz w:val="26"/>
          <w:szCs w:val="26"/>
        </w:rPr>
        <w:t xml:space="preserve">  As previously indicated, distribution plant is a fixed investment in facilities which does not vary with the consumption of energy and which is closest to the point of use.</w:t>
      </w:r>
      <w:r>
        <w:rPr>
          <w:sz w:val="26"/>
          <w:szCs w:val="26"/>
        </w:rPr>
        <w:t xml:space="preserve">  </w:t>
      </w:r>
      <w:r>
        <w:rPr>
          <w:i/>
          <w:sz w:val="26"/>
          <w:szCs w:val="26"/>
        </w:rPr>
        <w:t>Id.</w:t>
      </w:r>
      <w:r w:rsidRPr="00CB744C">
        <w:rPr>
          <w:sz w:val="26"/>
          <w:szCs w:val="26"/>
        </w:rPr>
        <w:t xml:space="preserve">  Therefore, </w:t>
      </w:r>
      <w:r>
        <w:rPr>
          <w:sz w:val="26"/>
          <w:szCs w:val="26"/>
        </w:rPr>
        <w:t xml:space="preserve">PPLICA avers that </w:t>
      </w:r>
      <w:r w:rsidRPr="00CB744C">
        <w:rPr>
          <w:sz w:val="26"/>
          <w:szCs w:val="26"/>
        </w:rPr>
        <w:t xml:space="preserve">distribution plant is </w:t>
      </w:r>
      <w:r>
        <w:rPr>
          <w:sz w:val="26"/>
          <w:szCs w:val="26"/>
        </w:rPr>
        <w:t xml:space="preserve">properly </w:t>
      </w:r>
      <w:r w:rsidRPr="00CB744C">
        <w:rPr>
          <w:sz w:val="26"/>
          <w:szCs w:val="26"/>
        </w:rPr>
        <w:t xml:space="preserve">classified as </w:t>
      </w:r>
      <w:r>
        <w:rPr>
          <w:sz w:val="26"/>
          <w:szCs w:val="26"/>
        </w:rPr>
        <w:t xml:space="preserve">both a </w:t>
      </w:r>
      <w:r w:rsidRPr="00CB744C">
        <w:rPr>
          <w:sz w:val="26"/>
          <w:szCs w:val="26"/>
        </w:rPr>
        <w:t>demand and customer-re</w:t>
      </w:r>
      <w:r>
        <w:rPr>
          <w:sz w:val="26"/>
          <w:szCs w:val="26"/>
        </w:rPr>
        <w:t xml:space="preserve">lated cost.  </w:t>
      </w:r>
      <w:r>
        <w:rPr>
          <w:i/>
          <w:sz w:val="26"/>
          <w:szCs w:val="26"/>
        </w:rPr>
        <w:t>Id.</w:t>
      </w:r>
      <w:r w:rsidRPr="00CB744C">
        <w:rPr>
          <w:sz w:val="26"/>
          <w:szCs w:val="26"/>
        </w:rPr>
        <w:t xml:space="preserve">, citing PPL </w:t>
      </w:r>
      <w:r>
        <w:rPr>
          <w:sz w:val="26"/>
          <w:szCs w:val="26"/>
        </w:rPr>
        <w:t>M.</w:t>
      </w:r>
      <w:r w:rsidRPr="00CB744C">
        <w:rPr>
          <w:sz w:val="26"/>
          <w:szCs w:val="26"/>
        </w:rPr>
        <w:t>B</w:t>
      </w:r>
      <w:r>
        <w:rPr>
          <w:sz w:val="26"/>
          <w:szCs w:val="26"/>
        </w:rPr>
        <w:t>.</w:t>
      </w:r>
      <w:r w:rsidRPr="00CB744C">
        <w:rPr>
          <w:sz w:val="26"/>
          <w:szCs w:val="26"/>
        </w:rPr>
        <w:t xml:space="preserve"> at 22</w:t>
      </w:r>
      <w:r>
        <w:rPr>
          <w:sz w:val="26"/>
          <w:szCs w:val="26"/>
        </w:rPr>
        <w:t>; R.D. at 45</w:t>
      </w:r>
      <w:r w:rsidRPr="00CB744C">
        <w:rPr>
          <w:sz w:val="26"/>
          <w:szCs w:val="26"/>
        </w:rPr>
        <w:t xml:space="preserve">.  </w:t>
      </w:r>
    </w:p>
    <w:p w:rsidR="0047264D" w:rsidRDefault="0047264D" w:rsidP="0047264D">
      <w:pPr>
        <w:pStyle w:val="Pleading2L3"/>
        <w:numPr>
          <w:ilvl w:val="0"/>
          <w:numId w:val="0"/>
        </w:numPr>
        <w:spacing w:line="360" w:lineRule="auto"/>
        <w:ind w:firstLine="1440"/>
        <w:contextualSpacing/>
        <w:rPr>
          <w:sz w:val="26"/>
          <w:szCs w:val="26"/>
        </w:rPr>
      </w:pPr>
    </w:p>
    <w:p w:rsidR="0047264D" w:rsidRPr="00CB744C" w:rsidRDefault="0047264D" w:rsidP="0047264D">
      <w:pPr>
        <w:pStyle w:val="Pleading2L3"/>
        <w:numPr>
          <w:ilvl w:val="0"/>
          <w:numId w:val="0"/>
        </w:numPr>
        <w:spacing w:line="360" w:lineRule="auto"/>
        <w:ind w:firstLine="1440"/>
        <w:rPr>
          <w:sz w:val="26"/>
          <w:szCs w:val="26"/>
        </w:rPr>
      </w:pPr>
      <w:r>
        <w:rPr>
          <w:sz w:val="26"/>
          <w:szCs w:val="26"/>
        </w:rPr>
        <w:t xml:space="preserve">The </w:t>
      </w:r>
      <w:r w:rsidRPr="00CB744C">
        <w:rPr>
          <w:sz w:val="26"/>
          <w:szCs w:val="26"/>
        </w:rPr>
        <w:t>OSBA</w:t>
      </w:r>
      <w:r>
        <w:rPr>
          <w:sz w:val="26"/>
          <w:szCs w:val="26"/>
        </w:rPr>
        <w:t>,</w:t>
      </w:r>
      <w:r w:rsidRPr="00CB744C">
        <w:rPr>
          <w:sz w:val="26"/>
          <w:szCs w:val="26"/>
        </w:rPr>
        <w:t xml:space="preserve"> PPL, and PPLI</w:t>
      </w:r>
      <w:r>
        <w:rPr>
          <w:sz w:val="26"/>
          <w:szCs w:val="26"/>
        </w:rPr>
        <w:t>CA all find fault with the OCA COSS, with t</w:t>
      </w:r>
      <w:r w:rsidRPr="00CB744C">
        <w:rPr>
          <w:sz w:val="26"/>
          <w:szCs w:val="26"/>
        </w:rPr>
        <w:t xml:space="preserve">he fundamental disagreement characterized by OSBA as </w:t>
      </w:r>
      <w:r>
        <w:rPr>
          <w:sz w:val="26"/>
          <w:szCs w:val="26"/>
        </w:rPr>
        <w:t xml:space="preserve">being that </w:t>
      </w:r>
      <w:r w:rsidRPr="00CB744C">
        <w:rPr>
          <w:sz w:val="26"/>
          <w:szCs w:val="26"/>
        </w:rPr>
        <w:t>OCA does not believe that any distribution plan</w:t>
      </w:r>
      <w:r>
        <w:rPr>
          <w:sz w:val="26"/>
          <w:szCs w:val="26"/>
        </w:rPr>
        <w:t>t</w:t>
      </w:r>
      <w:r w:rsidRPr="00CB744C">
        <w:rPr>
          <w:sz w:val="26"/>
          <w:szCs w:val="26"/>
        </w:rPr>
        <w:t xml:space="preserve"> costs should be allocated based upon th</w:t>
      </w:r>
      <w:r>
        <w:rPr>
          <w:sz w:val="26"/>
          <w:szCs w:val="26"/>
        </w:rPr>
        <w:t>e number of customers.  OCA St. 1 at 14; OSBA St</w:t>
      </w:r>
      <w:r w:rsidRPr="00CB744C">
        <w:rPr>
          <w:sz w:val="26"/>
          <w:szCs w:val="26"/>
        </w:rPr>
        <w:t xml:space="preserve">. 2 at 2; OSBA </w:t>
      </w:r>
      <w:r>
        <w:rPr>
          <w:sz w:val="26"/>
          <w:szCs w:val="26"/>
        </w:rPr>
        <w:t>M.B.</w:t>
      </w:r>
      <w:r w:rsidRPr="00CB744C">
        <w:rPr>
          <w:sz w:val="26"/>
          <w:szCs w:val="26"/>
        </w:rPr>
        <w:t xml:space="preserve"> at 7</w:t>
      </w:r>
      <w:r>
        <w:rPr>
          <w:sz w:val="26"/>
          <w:szCs w:val="26"/>
        </w:rPr>
        <w:t>; R.D. at 44</w:t>
      </w:r>
      <w:r w:rsidRPr="00CB744C">
        <w:rPr>
          <w:sz w:val="26"/>
          <w:szCs w:val="26"/>
        </w:rPr>
        <w:t xml:space="preserve">.  </w:t>
      </w:r>
    </w:p>
    <w:p w:rsidR="0047264D" w:rsidRPr="00CB744C" w:rsidRDefault="0047264D" w:rsidP="0047264D">
      <w:pPr>
        <w:pStyle w:val="Pleading2L3"/>
        <w:numPr>
          <w:ilvl w:val="0"/>
          <w:numId w:val="0"/>
        </w:numPr>
        <w:spacing w:line="360" w:lineRule="auto"/>
        <w:rPr>
          <w:sz w:val="26"/>
          <w:szCs w:val="26"/>
        </w:rPr>
      </w:pPr>
    </w:p>
    <w:p w:rsidR="0047264D" w:rsidRPr="00CB744C" w:rsidRDefault="0047264D" w:rsidP="0047264D">
      <w:pPr>
        <w:pStyle w:val="Pleading2L3"/>
        <w:numPr>
          <w:ilvl w:val="0"/>
          <w:numId w:val="0"/>
        </w:numPr>
        <w:spacing w:line="240" w:lineRule="auto"/>
        <w:ind w:firstLine="1440"/>
        <w:rPr>
          <w:sz w:val="26"/>
          <w:szCs w:val="26"/>
        </w:rPr>
      </w:pPr>
      <w:r>
        <w:rPr>
          <w:sz w:val="26"/>
          <w:szCs w:val="26"/>
        </w:rPr>
        <w:t xml:space="preserve">The OSBA further criticizes the </w:t>
      </w:r>
      <w:r w:rsidRPr="00CB744C">
        <w:rPr>
          <w:sz w:val="26"/>
          <w:szCs w:val="26"/>
        </w:rPr>
        <w:t>OCA</w:t>
      </w:r>
      <w:r>
        <w:rPr>
          <w:sz w:val="26"/>
          <w:szCs w:val="26"/>
        </w:rPr>
        <w:t>’s</w:t>
      </w:r>
      <w:r w:rsidRPr="00CB744C">
        <w:rPr>
          <w:sz w:val="26"/>
          <w:szCs w:val="26"/>
        </w:rPr>
        <w:t xml:space="preserve"> approach:</w:t>
      </w:r>
    </w:p>
    <w:p w:rsidR="0047264D" w:rsidRPr="00CB744C" w:rsidRDefault="0047264D" w:rsidP="0047264D">
      <w:pPr>
        <w:pStyle w:val="Pleading2L3"/>
        <w:numPr>
          <w:ilvl w:val="0"/>
          <w:numId w:val="0"/>
        </w:numPr>
        <w:spacing w:line="240" w:lineRule="auto"/>
        <w:ind w:firstLine="1440"/>
        <w:rPr>
          <w:sz w:val="26"/>
          <w:szCs w:val="26"/>
        </w:rPr>
      </w:pPr>
    </w:p>
    <w:p w:rsidR="0047264D" w:rsidRPr="00CB744C" w:rsidRDefault="0047264D" w:rsidP="0047264D">
      <w:pPr>
        <w:pStyle w:val="Pleading2L3"/>
        <w:numPr>
          <w:ilvl w:val="0"/>
          <w:numId w:val="0"/>
        </w:numPr>
        <w:spacing w:line="240" w:lineRule="auto"/>
        <w:ind w:left="1440" w:right="1440"/>
        <w:contextualSpacing/>
        <w:rPr>
          <w:sz w:val="26"/>
          <w:szCs w:val="26"/>
        </w:rPr>
      </w:pPr>
      <w:r>
        <w:rPr>
          <w:sz w:val="26"/>
          <w:szCs w:val="26"/>
        </w:rPr>
        <w:tab/>
      </w:r>
      <w:r w:rsidRPr="00CB744C">
        <w:rPr>
          <w:sz w:val="26"/>
          <w:szCs w:val="26"/>
        </w:rPr>
        <w:t xml:space="preserve">The implication of the OCA’s argument is that the cost of service study that should act as the “polestar” for setting rates in this proceeding is the COSS used by PPL in its previous two base rates cases (JMK 2-B) rather than the one proposed by the Company in this case (JMK 2-A).  However, the OCA did not advocate what its rhetoric implies.  Instead, the OCA relied on a COSS prepared by its witness, Glenn A. Watkins.  The COSS developed by Mr. Watkins included a series of “modifications” to PPL’s COSS and resulted in what the OCA claims is a COSS that is “more closely aligned with the Cost of Service study utilized by the Company in its 2004 and 2007 base rate proceedings and provided by the Company </w:t>
      </w:r>
      <w:r w:rsidRPr="00CB744C">
        <w:rPr>
          <w:sz w:val="26"/>
          <w:szCs w:val="26"/>
        </w:rPr>
        <w:lastRenderedPageBreak/>
        <w:t xml:space="preserve">in its rebuttal testimony [in this proceeding].”  OCA Main Brief, at 16.  Essentially, the OCA has concluded that it is acceptable to move the goal line if moving the goal line benefits residential customers.  </w:t>
      </w:r>
    </w:p>
    <w:p w:rsidR="0047264D" w:rsidRPr="00CB744C" w:rsidRDefault="0047264D" w:rsidP="0047264D">
      <w:pPr>
        <w:pStyle w:val="Pleading2L3"/>
        <w:numPr>
          <w:ilvl w:val="0"/>
          <w:numId w:val="0"/>
        </w:numPr>
        <w:spacing w:line="240" w:lineRule="auto"/>
        <w:ind w:left="1440" w:right="1440"/>
        <w:contextualSpacing/>
        <w:rPr>
          <w:sz w:val="26"/>
          <w:szCs w:val="26"/>
        </w:rPr>
      </w:pPr>
    </w:p>
    <w:p w:rsidR="0047264D" w:rsidRPr="00CB744C" w:rsidRDefault="0047264D" w:rsidP="0047264D">
      <w:pPr>
        <w:pStyle w:val="Pleading2L3"/>
        <w:numPr>
          <w:ilvl w:val="0"/>
          <w:numId w:val="0"/>
        </w:numPr>
        <w:spacing w:line="360" w:lineRule="auto"/>
        <w:ind w:left="1440" w:right="1440" w:hanging="1440"/>
        <w:contextualSpacing/>
        <w:rPr>
          <w:sz w:val="26"/>
          <w:szCs w:val="26"/>
        </w:rPr>
      </w:pPr>
      <w:r w:rsidRPr="00CB744C">
        <w:rPr>
          <w:sz w:val="26"/>
          <w:szCs w:val="26"/>
        </w:rPr>
        <w:t xml:space="preserve">OSBA </w:t>
      </w:r>
      <w:r>
        <w:rPr>
          <w:sz w:val="26"/>
          <w:szCs w:val="26"/>
        </w:rPr>
        <w:t>M.B.</w:t>
      </w:r>
      <w:r w:rsidRPr="00CB744C">
        <w:rPr>
          <w:sz w:val="26"/>
          <w:szCs w:val="26"/>
        </w:rPr>
        <w:t xml:space="preserve"> at 4-5.</w:t>
      </w:r>
    </w:p>
    <w:p w:rsidR="0047264D" w:rsidRPr="00CB744C" w:rsidRDefault="0047264D" w:rsidP="0047264D">
      <w:pPr>
        <w:pStyle w:val="Pleading2L3"/>
        <w:numPr>
          <w:ilvl w:val="0"/>
          <w:numId w:val="0"/>
        </w:numPr>
        <w:spacing w:line="360" w:lineRule="auto"/>
        <w:rPr>
          <w:sz w:val="26"/>
          <w:szCs w:val="26"/>
        </w:rPr>
      </w:pPr>
    </w:p>
    <w:p w:rsidR="0047264D" w:rsidRPr="00CB744C" w:rsidRDefault="0047264D" w:rsidP="0047264D">
      <w:pPr>
        <w:pStyle w:val="Pleading2L3"/>
        <w:numPr>
          <w:ilvl w:val="0"/>
          <w:numId w:val="0"/>
        </w:numPr>
        <w:spacing w:line="360" w:lineRule="auto"/>
        <w:ind w:firstLine="1440"/>
        <w:rPr>
          <w:sz w:val="26"/>
          <w:szCs w:val="26"/>
        </w:rPr>
      </w:pPr>
      <w:r>
        <w:rPr>
          <w:sz w:val="26"/>
          <w:szCs w:val="26"/>
        </w:rPr>
        <w:t>PPL, PPLICA and the OSBA</w:t>
      </w:r>
      <w:r w:rsidRPr="00CB744C">
        <w:rPr>
          <w:sz w:val="26"/>
          <w:szCs w:val="26"/>
        </w:rPr>
        <w:t xml:space="preserve"> agree that the fundamental difference between JMK</w:t>
      </w:r>
      <w:r>
        <w:rPr>
          <w:sz w:val="26"/>
          <w:szCs w:val="26"/>
        </w:rPr>
        <w:t>-</w:t>
      </w:r>
      <w:r w:rsidRPr="00CB744C">
        <w:rPr>
          <w:sz w:val="26"/>
          <w:szCs w:val="26"/>
        </w:rPr>
        <w:t>2A and JMK</w:t>
      </w:r>
      <w:r>
        <w:rPr>
          <w:sz w:val="26"/>
          <w:szCs w:val="26"/>
        </w:rPr>
        <w:t>-</w:t>
      </w:r>
      <w:r w:rsidRPr="00CB744C">
        <w:rPr>
          <w:sz w:val="26"/>
          <w:szCs w:val="26"/>
        </w:rPr>
        <w:t>2B is that</w:t>
      </w:r>
      <w:r>
        <w:rPr>
          <w:sz w:val="26"/>
          <w:szCs w:val="26"/>
        </w:rPr>
        <w:t>,</w:t>
      </w:r>
      <w:r w:rsidRPr="00CB744C">
        <w:rPr>
          <w:sz w:val="26"/>
          <w:szCs w:val="26"/>
        </w:rPr>
        <w:t xml:space="preserve"> in the 2004 and 2007 base rate proceeding, </w:t>
      </w:r>
      <w:r>
        <w:rPr>
          <w:sz w:val="26"/>
          <w:szCs w:val="26"/>
        </w:rPr>
        <w:t>PPL</w:t>
      </w:r>
      <w:r w:rsidRPr="00CB744C">
        <w:rPr>
          <w:sz w:val="26"/>
          <w:szCs w:val="26"/>
        </w:rPr>
        <w:t xml:space="preserve"> allocated 100% of the primary distribution plant on a demand basis.  In this case, </w:t>
      </w:r>
      <w:r>
        <w:rPr>
          <w:sz w:val="26"/>
          <w:szCs w:val="26"/>
        </w:rPr>
        <w:t>PPL</w:t>
      </w:r>
      <w:r w:rsidRPr="00CB744C">
        <w:rPr>
          <w:sz w:val="26"/>
          <w:szCs w:val="26"/>
        </w:rPr>
        <w:t xml:space="preserve"> has classified a majority of its primary distribution plant on a customer-count basis.  OCA M</w:t>
      </w:r>
      <w:r>
        <w:rPr>
          <w:sz w:val="26"/>
          <w:szCs w:val="26"/>
        </w:rPr>
        <w:t>.B.</w:t>
      </w:r>
      <w:r w:rsidRPr="00CB744C">
        <w:rPr>
          <w:sz w:val="26"/>
          <w:szCs w:val="26"/>
        </w:rPr>
        <w:t>at 38; OSBA R</w:t>
      </w:r>
      <w:r>
        <w:rPr>
          <w:sz w:val="26"/>
          <w:szCs w:val="26"/>
        </w:rPr>
        <w:t>.B.</w:t>
      </w:r>
      <w:r w:rsidRPr="00CB744C">
        <w:rPr>
          <w:sz w:val="26"/>
          <w:szCs w:val="26"/>
        </w:rPr>
        <w:t xml:space="preserve"> at 6</w:t>
      </w:r>
      <w:r>
        <w:rPr>
          <w:sz w:val="26"/>
          <w:szCs w:val="26"/>
        </w:rPr>
        <w:t>; R.D. at 45</w:t>
      </w:r>
      <w:r w:rsidRPr="00CB744C">
        <w:rPr>
          <w:sz w:val="26"/>
          <w:szCs w:val="26"/>
        </w:rPr>
        <w:t xml:space="preserve">.  </w:t>
      </w:r>
      <w:r>
        <w:rPr>
          <w:sz w:val="26"/>
          <w:szCs w:val="26"/>
        </w:rPr>
        <w:t>The OSBA illustrated</w:t>
      </w:r>
      <w:r w:rsidRPr="00CB744C">
        <w:rPr>
          <w:sz w:val="26"/>
          <w:szCs w:val="26"/>
        </w:rPr>
        <w:t xml:space="preserve"> the different results between the OCA</w:t>
      </w:r>
      <w:r>
        <w:rPr>
          <w:sz w:val="26"/>
          <w:szCs w:val="26"/>
        </w:rPr>
        <w:t>’s COSS</w:t>
      </w:r>
      <w:r w:rsidRPr="00CB744C">
        <w:rPr>
          <w:sz w:val="26"/>
          <w:szCs w:val="26"/>
        </w:rPr>
        <w:t xml:space="preserve"> and PPL</w:t>
      </w:r>
      <w:r>
        <w:rPr>
          <w:sz w:val="26"/>
          <w:szCs w:val="26"/>
        </w:rPr>
        <w:t>’s</w:t>
      </w:r>
      <w:r w:rsidRPr="00CB744C">
        <w:rPr>
          <w:sz w:val="26"/>
          <w:szCs w:val="26"/>
        </w:rPr>
        <w:t xml:space="preserve"> </w:t>
      </w:r>
      <w:r>
        <w:rPr>
          <w:sz w:val="26"/>
          <w:szCs w:val="26"/>
        </w:rPr>
        <w:t>JMK-2B in its Reply Brief</w:t>
      </w:r>
      <w:r w:rsidRPr="00CB744C">
        <w:rPr>
          <w:sz w:val="26"/>
          <w:szCs w:val="26"/>
        </w:rPr>
        <w:t>.</w:t>
      </w:r>
      <w:r>
        <w:rPr>
          <w:sz w:val="26"/>
          <w:szCs w:val="26"/>
        </w:rPr>
        <w:t xml:space="preserve">  </w:t>
      </w:r>
      <w:r>
        <w:rPr>
          <w:i/>
          <w:sz w:val="26"/>
          <w:szCs w:val="26"/>
        </w:rPr>
        <w:t>See</w:t>
      </w:r>
      <w:r>
        <w:rPr>
          <w:sz w:val="26"/>
          <w:szCs w:val="26"/>
        </w:rPr>
        <w:t xml:space="preserve"> OSBA R.B. at 8.  The </w:t>
      </w:r>
      <w:r w:rsidRPr="00CB744C">
        <w:rPr>
          <w:sz w:val="26"/>
          <w:szCs w:val="26"/>
        </w:rPr>
        <w:t>OSBA opposes the OCA</w:t>
      </w:r>
      <w:r>
        <w:rPr>
          <w:sz w:val="26"/>
          <w:szCs w:val="26"/>
        </w:rPr>
        <w:t>’s</w:t>
      </w:r>
      <w:r w:rsidRPr="00CB744C">
        <w:rPr>
          <w:sz w:val="26"/>
          <w:szCs w:val="26"/>
        </w:rPr>
        <w:t xml:space="preserve"> COSS, advocates PPL</w:t>
      </w:r>
      <w:r>
        <w:rPr>
          <w:sz w:val="26"/>
          <w:szCs w:val="26"/>
        </w:rPr>
        <w:t>’s</w:t>
      </w:r>
      <w:r w:rsidRPr="00CB744C">
        <w:rPr>
          <w:sz w:val="26"/>
          <w:szCs w:val="26"/>
        </w:rPr>
        <w:t xml:space="preserve"> modified traditional COSS, JMK-2A, but would accept PPL</w:t>
      </w:r>
      <w:r>
        <w:rPr>
          <w:sz w:val="26"/>
          <w:szCs w:val="26"/>
        </w:rPr>
        <w:t>’s traditional COSS, JMK-2B.  OSBA R.B. at 5; R.D. at 45.</w:t>
      </w:r>
      <w:r w:rsidRPr="00CB744C">
        <w:rPr>
          <w:sz w:val="26"/>
          <w:szCs w:val="26"/>
        </w:rPr>
        <w:t xml:space="preserve"> </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b/>
          <w:sz w:val="26"/>
          <w:szCs w:val="26"/>
        </w:rPr>
      </w:pPr>
      <w:r>
        <w:rPr>
          <w:b/>
          <w:sz w:val="26"/>
          <w:szCs w:val="26"/>
        </w:rPr>
        <w:tab/>
      </w:r>
      <w:r>
        <w:rPr>
          <w:b/>
          <w:sz w:val="26"/>
          <w:szCs w:val="26"/>
        </w:rPr>
        <w:tab/>
      </w:r>
      <w:r>
        <w:rPr>
          <w:b/>
          <w:sz w:val="26"/>
          <w:szCs w:val="26"/>
        </w:rPr>
        <w:tab/>
        <w:t>ii.</w:t>
      </w:r>
      <w:r>
        <w:rPr>
          <w:b/>
          <w:sz w:val="26"/>
          <w:szCs w:val="26"/>
        </w:rPr>
        <w:tab/>
        <w:t>The ALJ’s Recommendation</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ind w:firstLine="1440"/>
        <w:rPr>
          <w:sz w:val="26"/>
          <w:szCs w:val="26"/>
        </w:rPr>
      </w:pPr>
      <w:r>
        <w:rPr>
          <w:sz w:val="26"/>
          <w:szCs w:val="26"/>
        </w:rPr>
        <w:t>The ALJ found PPL</w:t>
      </w:r>
      <w:r w:rsidRPr="00CB744C">
        <w:rPr>
          <w:sz w:val="26"/>
          <w:szCs w:val="26"/>
        </w:rPr>
        <w:t xml:space="preserve">’s approach </w:t>
      </w:r>
      <w:r>
        <w:rPr>
          <w:sz w:val="26"/>
          <w:szCs w:val="26"/>
        </w:rPr>
        <w:t>to be</w:t>
      </w:r>
      <w:r w:rsidRPr="00CB744C">
        <w:rPr>
          <w:sz w:val="26"/>
          <w:szCs w:val="26"/>
        </w:rPr>
        <w:t xml:space="preserve"> consistent with the</w:t>
      </w:r>
      <w:r>
        <w:rPr>
          <w:sz w:val="26"/>
          <w:szCs w:val="26"/>
        </w:rPr>
        <w:t xml:space="preserve"> NARUC Manual</w:t>
      </w:r>
      <w:r w:rsidRPr="00CB744C">
        <w:rPr>
          <w:sz w:val="26"/>
          <w:szCs w:val="26"/>
        </w:rPr>
        <w:t>, a portion of which is attached to PPLICA Statement 2-R as Exhibit RAB 1-R:</w:t>
      </w:r>
    </w:p>
    <w:p w:rsidR="0047264D" w:rsidRPr="00CB744C" w:rsidRDefault="0047264D" w:rsidP="0047264D">
      <w:pPr>
        <w:pStyle w:val="Pleading2L3"/>
        <w:numPr>
          <w:ilvl w:val="0"/>
          <w:numId w:val="0"/>
        </w:numPr>
        <w:spacing w:line="360" w:lineRule="auto"/>
        <w:ind w:firstLine="1440"/>
        <w:rPr>
          <w:sz w:val="26"/>
          <w:szCs w:val="26"/>
        </w:rPr>
      </w:pPr>
    </w:p>
    <w:p w:rsidR="0047264D" w:rsidRPr="00CB744C" w:rsidRDefault="0047264D" w:rsidP="0047264D">
      <w:pPr>
        <w:pStyle w:val="Pleading2L3"/>
        <w:numPr>
          <w:ilvl w:val="0"/>
          <w:numId w:val="0"/>
        </w:numPr>
        <w:spacing w:line="360" w:lineRule="auto"/>
        <w:ind w:firstLine="1440"/>
        <w:rPr>
          <w:sz w:val="26"/>
          <w:szCs w:val="26"/>
        </w:rPr>
      </w:pPr>
      <w:r>
        <w:rPr>
          <w:sz w:val="26"/>
          <w:szCs w:val="26"/>
        </w:rPr>
        <w:t>The NARUC Manual states in part:</w:t>
      </w:r>
    </w:p>
    <w:p w:rsidR="0047264D" w:rsidRDefault="0047264D" w:rsidP="0047264D">
      <w:pPr>
        <w:pStyle w:val="Pleading2L3"/>
        <w:numPr>
          <w:ilvl w:val="0"/>
          <w:numId w:val="0"/>
        </w:numPr>
        <w:spacing w:line="240" w:lineRule="auto"/>
        <w:ind w:left="1440" w:right="1440"/>
        <w:contextualSpacing/>
        <w:rPr>
          <w:sz w:val="26"/>
          <w:szCs w:val="26"/>
        </w:rPr>
      </w:pPr>
      <w:r>
        <w:rPr>
          <w:sz w:val="26"/>
          <w:szCs w:val="26"/>
        </w:rPr>
        <w:tab/>
      </w:r>
      <w:r w:rsidRPr="00CB744C">
        <w:rPr>
          <w:sz w:val="26"/>
          <w:szCs w:val="26"/>
        </w:rPr>
        <w:t>When the utility installs distribution plant to provide service to a customer and to meet the individual customer’s peak demand requirements, the utility must classify distribution plant data separately into demand- and customer-related costs.</w:t>
      </w:r>
    </w:p>
    <w:p w:rsidR="0047264D" w:rsidRPr="00CB744C" w:rsidRDefault="0047264D" w:rsidP="0047264D">
      <w:pPr>
        <w:pStyle w:val="Pleading2L3"/>
        <w:numPr>
          <w:ilvl w:val="0"/>
          <w:numId w:val="0"/>
        </w:numPr>
        <w:spacing w:line="240" w:lineRule="auto"/>
        <w:ind w:left="1440" w:right="1440"/>
        <w:contextualSpacing/>
        <w:rPr>
          <w:sz w:val="26"/>
          <w:szCs w:val="26"/>
        </w:rPr>
      </w:pPr>
    </w:p>
    <w:p w:rsidR="0047264D" w:rsidRPr="00CB744C" w:rsidRDefault="0047264D" w:rsidP="0047264D">
      <w:pPr>
        <w:pStyle w:val="Pleading2L3"/>
        <w:numPr>
          <w:ilvl w:val="0"/>
          <w:numId w:val="0"/>
        </w:numPr>
        <w:spacing w:line="240" w:lineRule="auto"/>
        <w:ind w:left="1440" w:right="1440"/>
        <w:contextualSpacing/>
        <w:rPr>
          <w:sz w:val="26"/>
          <w:szCs w:val="26"/>
        </w:rPr>
      </w:pPr>
      <w:r>
        <w:rPr>
          <w:sz w:val="26"/>
          <w:szCs w:val="26"/>
        </w:rPr>
        <w:tab/>
      </w:r>
      <w:r w:rsidRPr="00CB744C">
        <w:rPr>
          <w:sz w:val="26"/>
          <w:szCs w:val="26"/>
        </w:rPr>
        <w:t>Classifying distribution plant as a demand cost assigns investment of that plant to a customer or group of customers based upon its contribution to some total peak load.  The reason is that costs are incurred to serve area load, rather than a specific number of customers.</w:t>
      </w:r>
    </w:p>
    <w:p w:rsidR="0047264D" w:rsidRPr="00CB744C" w:rsidRDefault="0047264D" w:rsidP="0047264D">
      <w:pPr>
        <w:pStyle w:val="Pleading2L3"/>
        <w:numPr>
          <w:ilvl w:val="0"/>
          <w:numId w:val="0"/>
        </w:numPr>
        <w:spacing w:line="240" w:lineRule="auto"/>
        <w:ind w:left="1440" w:right="1440"/>
        <w:contextualSpacing/>
        <w:rPr>
          <w:sz w:val="26"/>
          <w:szCs w:val="26"/>
        </w:rPr>
      </w:pPr>
    </w:p>
    <w:p w:rsidR="0047264D" w:rsidRPr="00CB744C" w:rsidRDefault="0047264D" w:rsidP="0047264D">
      <w:pPr>
        <w:pStyle w:val="Pleading2L3"/>
        <w:numPr>
          <w:ilvl w:val="0"/>
          <w:numId w:val="0"/>
        </w:numPr>
        <w:spacing w:line="360" w:lineRule="auto"/>
        <w:ind w:left="1440" w:right="1440" w:hanging="1440"/>
        <w:contextualSpacing/>
        <w:rPr>
          <w:sz w:val="26"/>
          <w:szCs w:val="26"/>
        </w:rPr>
      </w:pPr>
      <w:r w:rsidRPr="00CB744C">
        <w:rPr>
          <w:sz w:val="26"/>
          <w:szCs w:val="26"/>
        </w:rPr>
        <w:t>NARUC Manual at 90; PPLICA Ex. RAB-1-R</w:t>
      </w:r>
      <w:r>
        <w:rPr>
          <w:sz w:val="26"/>
          <w:szCs w:val="26"/>
        </w:rPr>
        <w:t>; R.D. at 39</w:t>
      </w:r>
      <w:r w:rsidRPr="00CB744C">
        <w:rPr>
          <w:sz w:val="26"/>
          <w:szCs w:val="26"/>
        </w:rPr>
        <w:t>.</w:t>
      </w:r>
    </w:p>
    <w:p w:rsidR="0047264D" w:rsidRPr="00B02B1D" w:rsidRDefault="0047264D" w:rsidP="0047264D">
      <w:pPr>
        <w:pStyle w:val="Pleading2L3"/>
        <w:numPr>
          <w:ilvl w:val="0"/>
          <w:numId w:val="0"/>
        </w:numPr>
        <w:spacing w:line="360" w:lineRule="auto"/>
        <w:rPr>
          <w:sz w:val="26"/>
          <w:szCs w:val="26"/>
        </w:rPr>
      </w:pPr>
    </w:p>
    <w:p w:rsidR="0047264D" w:rsidRPr="00CB744C" w:rsidRDefault="0047264D" w:rsidP="0047264D">
      <w:pPr>
        <w:pStyle w:val="Pleading2L3"/>
        <w:numPr>
          <w:ilvl w:val="0"/>
          <w:numId w:val="0"/>
        </w:numPr>
        <w:spacing w:line="360" w:lineRule="auto"/>
        <w:ind w:firstLine="1440"/>
        <w:rPr>
          <w:sz w:val="26"/>
          <w:szCs w:val="26"/>
        </w:rPr>
      </w:pPr>
      <w:r>
        <w:rPr>
          <w:sz w:val="26"/>
          <w:szCs w:val="26"/>
        </w:rPr>
        <w:t xml:space="preserve">The ALJ agreed with the </w:t>
      </w:r>
      <w:r w:rsidRPr="00CB744C">
        <w:rPr>
          <w:sz w:val="26"/>
          <w:szCs w:val="26"/>
        </w:rPr>
        <w:t xml:space="preserve">OCA’s </w:t>
      </w:r>
      <w:r>
        <w:rPr>
          <w:sz w:val="26"/>
          <w:szCs w:val="26"/>
        </w:rPr>
        <w:t xml:space="preserve">observation that </w:t>
      </w:r>
      <w:r w:rsidRPr="00CB744C">
        <w:rPr>
          <w:sz w:val="26"/>
          <w:szCs w:val="26"/>
        </w:rPr>
        <w:t>bringing rate schedules close</w:t>
      </w:r>
      <w:r>
        <w:rPr>
          <w:sz w:val="26"/>
          <w:szCs w:val="26"/>
        </w:rPr>
        <w:t>r</w:t>
      </w:r>
      <w:r w:rsidRPr="00CB744C">
        <w:rPr>
          <w:sz w:val="26"/>
          <w:szCs w:val="26"/>
        </w:rPr>
        <w:t xml:space="preserve"> to their cost of service over a three</w:t>
      </w:r>
      <w:r>
        <w:rPr>
          <w:sz w:val="26"/>
          <w:szCs w:val="26"/>
        </w:rPr>
        <w:t>-</w:t>
      </w:r>
      <w:r w:rsidRPr="00CB744C">
        <w:rPr>
          <w:sz w:val="26"/>
          <w:szCs w:val="26"/>
        </w:rPr>
        <w:t>case period requires that there be some consistency among the three methods of evaluation.</w:t>
      </w:r>
      <w:r>
        <w:rPr>
          <w:sz w:val="26"/>
          <w:szCs w:val="26"/>
        </w:rPr>
        <w:t xml:space="preserve">  R.D. at 46.</w:t>
      </w:r>
      <w:r w:rsidRPr="00CB744C">
        <w:rPr>
          <w:sz w:val="26"/>
          <w:szCs w:val="26"/>
        </w:rPr>
        <w:t xml:space="preserve">  </w:t>
      </w:r>
      <w:r>
        <w:rPr>
          <w:sz w:val="26"/>
          <w:szCs w:val="26"/>
        </w:rPr>
        <w:t xml:space="preserve">The ALJ also found that </w:t>
      </w:r>
      <w:r w:rsidRPr="00CB744C">
        <w:rPr>
          <w:sz w:val="26"/>
          <w:szCs w:val="26"/>
        </w:rPr>
        <w:t xml:space="preserve">there is no requirement that the </w:t>
      </w:r>
      <w:r>
        <w:rPr>
          <w:sz w:val="26"/>
          <w:szCs w:val="26"/>
        </w:rPr>
        <w:t>COSS</w:t>
      </w:r>
      <w:r w:rsidRPr="00CB744C">
        <w:rPr>
          <w:sz w:val="26"/>
          <w:szCs w:val="26"/>
        </w:rPr>
        <w:t xml:space="preserve"> used in this proceeding be identical to th</w:t>
      </w:r>
      <w:r>
        <w:rPr>
          <w:sz w:val="26"/>
          <w:szCs w:val="26"/>
        </w:rPr>
        <w:t>ose used in the past</w:t>
      </w:r>
      <w:r w:rsidRPr="00CB744C">
        <w:rPr>
          <w:sz w:val="26"/>
          <w:szCs w:val="26"/>
        </w:rPr>
        <w:t>, and if there is an opportunity to make it more accurate, then that opportunity should be taken.</w:t>
      </w:r>
      <w:r>
        <w:rPr>
          <w:sz w:val="26"/>
          <w:szCs w:val="26"/>
        </w:rPr>
        <w:t xml:space="preserve">  </w:t>
      </w:r>
      <w:r>
        <w:rPr>
          <w:i/>
          <w:sz w:val="26"/>
          <w:szCs w:val="26"/>
        </w:rPr>
        <w:t>Id.</w:t>
      </w:r>
      <w:r w:rsidRPr="00CB744C">
        <w:rPr>
          <w:sz w:val="26"/>
          <w:szCs w:val="26"/>
        </w:rPr>
        <w:t xml:space="preserve">  </w:t>
      </w:r>
      <w:r>
        <w:rPr>
          <w:sz w:val="26"/>
          <w:szCs w:val="26"/>
        </w:rPr>
        <w:t xml:space="preserve">The ALJ concluded that PPL’s COSS JMK-2A is </w:t>
      </w:r>
      <w:r w:rsidRPr="00CB744C">
        <w:rPr>
          <w:sz w:val="26"/>
          <w:szCs w:val="26"/>
        </w:rPr>
        <w:t xml:space="preserve">the </w:t>
      </w:r>
      <w:r>
        <w:rPr>
          <w:sz w:val="26"/>
          <w:szCs w:val="26"/>
        </w:rPr>
        <w:t xml:space="preserve">most accurate, conforms most closely to the NARUC Manual and, therefore, </w:t>
      </w:r>
      <w:r w:rsidRPr="00CB744C">
        <w:rPr>
          <w:sz w:val="26"/>
          <w:szCs w:val="26"/>
        </w:rPr>
        <w:t xml:space="preserve">should be </w:t>
      </w:r>
      <w:r>
        <w:rPr>
          <w:sz w:val="26"/>
          <w:szCs w:val="26"/>
        </w:rPr>
        <w:t xml:space="preserve">adopted by the Commission.  </w:t>
      </w:r>
      <w:r>
        <w:rPr>
          <w:i/>
          <w:sz w:val="26"/>
          <w:szCs w:val="26"/>
        </w:rPr>
        <w:t>Id.</w:t>
      </w:r>
      <w:r w:rsidRPr="00CB744C">
        <w:rPr>
          <w:sz w:val="26"/>
          <w:szCs w:val="26"/>
        </w:rPr>
        <w:t xml:space="preserve"> </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b/>
          <w:sz w:val="26"/>
          <w:szCs w:val="26"/>
        </w:rPr>
        <w:tab/>
      </w:r>
      <w:r>
        <w:rPr>
          <w:b/>
          <w:sz w:val="26"/>
          <w:szCs w:val="26"/>
        </w:rPr>
        <w:tab/>
      </w:r>
      <w:r>
        <w:rPr>
          <w:b/>
          <w:sz w:val="26"/>
          <w:szCs w:val="26"/>
        </w:rPr>
        <w:tab/>
        <w:t>iii.</w:t>
      </w:r>
      <w:r>
        <w:rPr>
          <w:b/>
          <w:sz w:val="26"/>
          <w:szCs w:val="26"/>
        </w:rPr>
        <w:tab/>
        <w:t>Exceptions</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 xml:space="preserve">The OCA excepts to the ALJ’s recommendation that PPL’s COSS JMK-2A be relied upon by the Commission to allocate the authorized revenue increase.  OCA Exc. at 8.  The OCA avers that: (1) PPL’s contention that both primary and secondary distribution plant have a customer component is unsupported and inconsistent with the design and operation of PPL’s system and thus does not follow principles of cost causation; (2) PPL’s minimum system study is significantly flawed and, thus, overstates the customer component; and (3) PPL’s JMK-2A is substantially different from the COSSs relied upon in PPL’s 2004 and 2007 base rate proceedings.  OCA Exc. at 9-10.  </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The OCA also takes exception to the ALJ’s reliance on the NARUC Manual to support adoption of PPL’s JMK-2A COSS.  OCA Exc. at 13.  The OCA asserts that while the NARUC Manual provides a guide for generic use, it does not, nor could it, recognize the impact of its recommendations in every instance for every utility service territory.  OCA Exc. at 13.</w:t>
      </w:r>
    </w:p>
    <w:p w:rsidR="0047264D" w:rsidRDefault="0047264D" w:rsidP="0047264D">
      <w:pPr>
        <w:pStyle w:val="Pleading2L3"/>
        <w:numPr>
          <w:ilvl w:val="0"/>
          <w:numId w:val="0"/>
        </w:numPr>
        <w:spacing w:line="360" w:lineRule="auto"/>
        <w:rPr>
          <w:sz w:val="26"/>
          <w:szCs w:val="26"/>
        </w:rPr>
      </w:pPr>
    </w:p>
    <w:p w:rsidR="0047264D" w:rsidRPr="00E85FCB" w:rsidRDefault="0047264D" w:rsidP="0047264D">
      <w:pPr>
        <w:pStyle w:val="Pleading2L3"/>
        <w:numPr>
          <w:ilvl w:val="0"/>
          <w:numId w:val="0"/>
        </w:numPr>
        <w:spacing w:line="360" w:lineRule="auto"/>
        <w:rPr>
          <w:sz w:val="26"/>
          <w:szCs w:val="26"/>
        </w:rPr>
      </w:pPr>
      <w:r>
        <w:rPr>
          <w:sz w:val="26"/>
          <w:szCs w:val="26"/>
        </w:rPr>
        <w:lastRenderedPageBreak/>
        <w:tab/>
      </w:r>
      <w:r>
        <w:rPr>
          <w:sz w:val="26"/>
          <w:szCs w:val="26"/>
        </w:rPr>
        <w:tab/>
        <w:t xml:space="preserve">In reply, the OSBA clarifies that the 2004 and 2007 COSSs adopted by the Commission allocated secondary distribution plant as both demand and customer-related.  OSBA R. Exc. at 4.  In this proceeding, the OCA asserted that PPL’s partial classification of both primary and secondary distribution plant on a customer-basis is seriously flawed in several respects.  OSBA R. Exc. at 5; OCA Exc. at 9.  The OSBA believes that the OCA is rejecting the fundamental principle which PPL has historically relied upon with Commission approval, </w:t>
      </w:r>
      <w:r>
        <w:rPr>
          <w:i/>
          <w:sz w:val="26"/>
          <w:szCs w:val="26"/>
        </w:rPr>
        <w:t xml:space="preserve">i.e., </w:t>
      </w:r>
      <w:r>
        <w:rPr>
          <w:sz w:val="26"/>
          <w:szCs w:val="26"/>
        </w:rPr>
        <w:t>that secondary distribution plant costs should be classified as both demand and customer-related.  OSBA R. Exc. at 5.</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 xml:space="preserve">Regarding the ALJ’s reliance upon the NARUC Manual, the OSBA counters the OCA’s exception by stating the NARUC Manual provides guidance and a reasonable time-tested foundation for the design of a COSS.  OSBA R. Exc. at 7.  The OSBA also states that the OCA’s disagreement with the NARUC Manual’s methodology does not lessen the value of the guidance provided by the Manual.  OSBA R. Exc. at 7.  </w:t>
      </w:r>
    </w:p>
    <w:p w:rsidR="0047264D" w:rsidRDefault="0047264D" w:rsidP="0047264D">
      <w:pPr>
        <w:pStyle w:val="Pleading2L3"/>
        <w:numPr>
          <w:ilvl w:val="0"/>
          <w:numId w:val="0"/>
        </w:numPr>
        <w:spacing w:line="360" w:lineRule="auto"/>
        <w:rPr>
          <w:sz w:val="26"/>
          <w:szCs w:val="26"/>
        </w:rPr>
      </w:pPr>
      <w:r>
        <w:rPr>
          <w:sz w:val="26"/>
          <w:szCs w:val="26"/>
        </w:rPr>
        <w:t xml:space="preserve"> </w:t>
      </w: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 xml:space="preserve">PPL, in its reply to the COSS issue, states that the OCA’s COSS was properly rejected by the ALJ because it does not follow principles of cost causation, it disregards accepted, standard industry practices as delineated in the NARUC Manual, and disregards prior Commission decisions in PPL’s base rate cases as well as those of other electric distribution companies.  PPL R. Exc. at 6.  PPL further states that the OCA’s contention that the distribution system has no customer component (other than meters and services) is unprecedented.  PPL R. Exc. at 4.  By failing to classify any portion of the distribution system as customer-related (other than meters and services), the OCA has disregarded the indisputable fact that investment in distribution plant is made not only to meet peak demands of customers, but also to connect customers to the transmission system.  </w:t>
      </w:r>
      <w:r>
        <w:rPr>
          <w:i/>
          <w:sz w:val="26"/>
          <w:szCs w:val="26"/>
        </w:rPr>
        <w:t>Id.</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PPL also describes as baseless the OCA’s contention that the minimum system study employed classifies too much of the distribution system as customer-</w:t>
      </w:r>
      <w:r>
        <w:rPr>
          <w:sz w:val="26"/>
          <w:szCs w:val="26"/>
        </w:rPr>
        <w:lastRenderedPageBreak/>
        <w:t xml:space="preserve">related.  </w:t>
      </w:r>
      <w:r>
        <w:rPr>
          <w:i/>
          <w:sz w:val="26"/>
          <w:szCs w:val="26"/>
        </w:rPr>
        <w:t>Id.</w:t>
      </w:r>
      <w:r>
        <w:rPr>
          <w:sz w:val="26"/>
          <w:szCs w:val="26"/>
        </w:rPr>
        <w:t xml:space="preserve">  PPL opines that the OCA apparently does not subscribe to the economic reality that it is more costly to connect customers to the system when they are further apart, as is the case regarding PPL’s service territory.  </w:t>
      </w:r>
      <w:r>
        <w:rPr>
          <w:i/>
          <w:sz w:val="26"/>
          <w:szCs w:val="26"/>
        </w:rPr>
        <w:t>Id.</w:t>
      </w:r>
      <w:r>
        <w:rPr>
          <w:sz w:val="26"/>
          <w:szCs w:val="26"/>
        </w:rPr>
        <w:t xml:space="preserve"> </w:t>
      </w:r>
    </w:p>
    <w:p w:rsidR="0047264D" w:rsidRDefault="0047264D" w:rsidP="0047264D">
      <w:pPr>
        <w:pStyle w:val="Pleading2L3"/>
        <w:numPr>
          <w:ilvl w:val="0"/>
          <w:numId w:val="0"/>
        </w:numPr>
        <w:spacing w:line="360" w:lineRule="auto"/>
        <w:rPr>
          <w:sz w:val="26"/>
          <w:szCs w:val="26"/>
        </w:rPr>
      </w:pPr>
    </w:p>
    <w:p w:rsidR="0047264D" w:rsidRPr="003717CC" w:rsidRDefault="0047264D" w:rsidP="0047264D">
      <w:pPr>
        <w:pStyle w:val="Pleading2L3"/>
        <w:numPr>
          <w:ilvl w:val="0"/>
          <w:numId w:val="0"/>
        </w:numPr>
        <w:spacing w:line="360" w:lineRule="auto"/>
        <w:ind w:firstLine="1440"/>
        <w:rPr>
          <w:sz w:val="26"/>
          <w:szCs w:val="26"/>
        </w:rPr>
      </w:pPr>
      <w:r w:rsidRPr="003717CC">
        <w:rPr>
          <w:sz w:val="26"/>
          <w:szCs w:val="26"/>
        </w:rPr>
        <w:t xml:space="preserve">PPLICA’s reply to the OCA’s exception states that PPL’s allocation of the primary voltage system on a demand and customer basis was not included in PPL’s two prior base rate proceedings because the data simply was not available.  PPLICA R.Exc. at 3.  Also, PPLICA states that even though PPL’s two prior base rate proceedings did not follow the generally accepted cost allocations outlined in the NARUC Manual, maintenance of the status quo is not justified here.  </w:t>
      </w:r>
      <w:r w:rsidRPr="003717CC">
        <w:rPr>
          <w:i/>
          <w:sz w:val="26"/>
          <w:szCs w:val="26"/>
        </w:rPr>
        <w:t>Id</w:t>
      </w:r>
      <w:r w:rsidRPr="003717CC">
        <w:rPr>
          <w:sz w:val="26"/>
          <w:szCs w:val="26"/>
        </w:rPr>
        <w:t>.  The status quo is exactly what the OCA is recommending here with its recommended adoption of PPL’s prior allocation methodology.  PPLICA R.Exc. at 5-6.</w:t>
      </w:r>
    </w:p>
    <w:p w:rsidR="0047264D" w:rsidRDefault="0047264D" w:rsidP="0047264D">
      <w:pPr>
        <w:pStyle w:val="Pleading2L3"/>
        <w:numPr>
          <w:ilvl w:val="0"/>
          <w:numId w:val="0"/>
        </w:numPr>
        <w:spacing w:line="360" w:lineRule="auto"/>
        <w:rPr>
          <w:sz w:val="26"/>
          <w:szCs w:val="26"/>
        </w:rPr>
      </w:pPr>
    </w:p>
    <w:p w:rsidR="0047264D" w:rsidRPr="008B391B" w:rsidRDefault="0047264D" w:rsidP="0047264D">
      <w:pPr>
        <w:pStyle w:val="Pleading2L3"/>
        <w:numPr>
          <w:ilvl w:val="0"/>
          <w:numId w:val="0"/>
        </w:numPr>
        <w:spacing w:line="360" w:lineRule="auto"/>
        <w:rPr>
          <w:sz w:val="26"/>
          <w:szCs w:val="26"/>
        </w:rPr>
      </w:pPr>
      <w:r>
        <w:rPr>
          <w:sz w:val="26"/>
          <w:szCs w:val="26"/>
        </w:rPr>
        <w:tab/>
      </w:r>
      <w:r>
        <w:rPr>
          <w:sz w:val="26"/>
          <w:szCs w:val="26"/>
        </w:rPr>
        <w:tab/>
        <w:t xml:space="preserve">PPLICA agrees with PPL and supports PPL’s use of the minimum size methodology in this proceeding because PPLICA avers it is consistent with the accepted methods discussed in the NARUC Manual.  PPLICA R. Exc. at 6.  Additionally, PPLICA believes that PPL has adequately demonstrated the reasonableness of its minimum system study.  </w:t>
      </w:r>
      <w:r>
        <w:rPr>
          <w:i/>
          <w:sz w:val="26"/>
          <w:szCs w:val="26"/>
        </w:rPr>
        <w:t xml:space="preserve">Id. </w:t>
      </w:r>
      <w:r>
        <w:rPr>
          <w:sz w:val="26"/>
          <w:szCs w:val="26"/>
        </w:rPr>
        <w:t xml:space="preserve"> PPLICA asserts that the OCA’s COSS should be rejected because it is not consistent with the NARUC Manual standards because it fails to assign distribution costs on demand and customer components.  PPLICA R. Exc. at 7.  </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b/>
          <w:sz w:val="26"/>
          <w:szCs w:val="26"/>
        </w:rPr>
        <w:tab/>
      </w:r>
      <w:r>
        <w:rPr>
          <w:b/>
          <w:sz w:val="26"/>
          <w:szCs w:val="26"/>
        </w:rPr>
        <w:tab/>
      </w:r>
      <w:r>
        <w:rPr>
          <w:b/>
          <w:sz w:val="26"/>
          <w:szCs w:val="26"/>
        </w:rPr>
        <w:tab/>
        <w:t>iv.</w:t>
      </w:r>
      <w:r>
        <w:rPr>
          <w:b/>
          <w:sz w:val="26"/>
          <w:szCs w:val="26"/>
        </w:rPr>
        <w:tab/>
        <w:t>Disposition</w:t>
      </w:r>
    </w:p>
    <w:p w:rsidR="0047264D"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rPr>
          <w:sz w:val="26"/>
          <w:szCs w:val="26"/>
        </w:rPr>
      </w:pPr>
      <w:r>
        <w:rPr>
          <w:sz w:val="26"/>
          <w:szCs w:val="26"/>
        </w:rPr>
        <w:tab/>
      </w:r>
      <w:r>
        <w:rPr>
          <w:sz w:val="26"/>
          <w:szCs w:val="26"/>
        </w:rPr>
        <w:tab/>
        <w:t xml:space="preserve">We agree with the ALJ that PPL’s COSS JMK-2A should be adopted.  COSS JMK-2A reflects refinements that enhance the accuracy of the COSS approved in prior PPL base rate cases.  COSS JMK-2A is supported by all active Parties, except the OCA, in this proceeding.  PPL’s COSS JMK-2A represents PPL’s response to accommodate the concerns of other parties from its 2004 and 2007 base rate cases regarding its COSS.  We have reviewed the OCA’s position and Exceptions on this issue </w:t>
      </w:r>
      <w:r>
        <w:rPr>
          <w:sz w:val="26"/>
          <w:szCs w:val="26"/>
        </w:rPr>
        <w:lastRenderedPageBreak/>
        <w:t>and find them to be contrary to prior Commission action in PPL’s 2004 and 2007 base rate proceedings and inconsistent with recommended COSS principles as outlined in the NARUC Manual.  We conclude that that PPL has carried it burden of proof on this issue and we shall adopt the ALJ’s recommendation that PPL’s COSS JMK-2A is reasonable.  Accordingly, the Exceptions of the OCA are denied.</w:t>
      </w:r>
    </w:p>
    <w:p w:rsidR="0047264D" w:rsidRDefault="0047264D" w:rsidP="0047264D">
      <w:pPr>
        <w:jc w:val="both"/>
        <w:rPr>
          <w:sz w:val="26"/>
          <w:szCs w:val="26"/>
        </w:rPr>
      </w:pPr>
    </w:p>
    <w:p w:rsidR="0047264D" w:rsidRPr="00EF6747" w:rsidRDefault="0047264D" w:rsidP="0047264D">
      <w:pPr>
        <w:pStyle w:val="Pleading2L3"/>
        <w:keepNext/>
        <w:keepLines/>
        <w:numPr>
          <w:ilvl w:val="0"/>
          <w:numId w:val="0"/>
        </w:numPr>
        <w:tabs>
          <w:tab w:val="left" w:pos="2160"/>
        </w:tabs>
        <w:spacing w:line="240" w:lineRule="auto"/>
        <w:ind w:left="2160" w:hanging="720"/>
        <w:contextualSpacing/>
        <w:rPr>
          <w:b/>
          <w:sz w:val="26"/>
          <w:szCs w:val="26"/>
        </w:rPr>
      </w:pPr>
      <w:r>
        <w:rPr>
          <w:b/>
          <w:sz w:val="26"/>
          <w:szCs w:val="26"/>
        </w:rPr>
        <w:t>b</w:t>
      </w:r>
      <w:r w:rsidRPr="007C4965">
        <w:rPr>
          <w:b/>
          <w:sz w:val="26"/>
          <w:szCs w:val="26"/>
        </w:rPr>
        <w:t>.</w:t>
      </w:r>
      <w:r w:rsidRPr="007C4965">
        <w:rPr>
          <w:b/>
          <w:sz w:val="26"/>
          <w:szCs w:val="26"/>
        </w:rPr>
        <w:tab/>
      </w:r>
      <w:r w:rsidRPr="00EF6747">
        <w:rPr>
          <w:b/>
          <w:sz w:val="26"/>
          <w:szCs w:val="26"/>
        </w:rPr>
        <w:t xml:space="preserve">Revenue Allocation </w:t>
      </w:r>
      <w:r>
        <w:rPr>
          <w:b/>
          <w:sz w:val="26"/>
          <w:szCs w:val="26"/>
        </w:rPr>
        <w:t>Pursuant to Applicable Cost of Service Study</w:t>
      </w:r>
    </w:p>
    <w:p w:rsidR="0047264D" w:rsidRDefault="0047264D" w:rsidP="0047264D">
      <w:pPr>
        <w:pStyle w:val="Pleading2L3"/>
        <w:keepNext/>
        <w:keepLines/>
        <w:numPr>
          <w:ilvl w:val="0"/>
          <w:numId w:val="0"/>
        </w:numPr>
        <w:tabs>
          <w:tab w:val="left" w:pos="2160"/>
        </w:tabs>
        <w:spacing w:line="360" w:lineRule="auto"/>
        <w:ind w:firstLine="1440"/>
        <w:contextualSpacing/>
        <w:rPr>
          <w:sz w:val="26"/>
          <w:szCs w:val="26"/>
        </w:rPr>
      </w:pPr>
    </w:p>
    <w:p w:rsidR="0047264D" w:rsidRDefault="0047264D" w:rsidP="0047264D">
      <w:pPr>
        <w:pStyle w:val="Pleading2L3"/>
        <w:keepNext/>
        <w:keepLines/>
        <w:numPr>
          <w:ilvl w:val="0"/>
          <w:numId w:val="0"/>
        </w:numPr>
        <w:tabs>
          <w:tab w:val="left" w:pos="2160"/>
        </w:tabs>
        <w:spacing w:line="360" w:lineRule="auto"/>
        <w:ind w:firstLine="1440"/>
        <w:contextualSpacing/>
        <w:rPr>
          <w:b/>
          <w:sz w:val="26"/>
          <w:szCs w:val="26"/>
        </w:rPr>
      </w:pPr>
      <w:r>
        <w:rPr>
          <w:b/>
          <w:sz w:val="26"/>
          <w:szCs w:val="26"/>
        </w:rPr>
        <w:tab/>
        <w:t>i</w:t>
      </w:r>
      <w:r w:rsidRPr="007C4965">
        <w:rPr>
          <w:b/>
          <w:sz w:val="26"/>
          <w:szCs w:val="26"/>
        </w:rPr>
        <w:t>.</w:t>
      </w:r>
      <w:r w:rsidRPr="007C4965">
        <w:rPr>
          <w:b/>
          <w:sz w:val="26"/>
          <w:szCs w:val="26"/>
        </w:rPr>
        <w:tab/>
        <w:t>Positions of the Parties</w:t>
      </w:r>
    </w:p>
    <w:p w:rsidR="0047264D" w:rsidRDefault="0047264D" w:rsidP="0047264D">
      <w:pPr>
        <w:pStyle w:val="Pleading2L3"/>
        <w:keepNext/>
        <w:keepLines/>
        <w:numPr>
          <w:ilvl w:val="0"/>
          <w:numId w:val="0"/>
        </w:numPr>
        <w:tabs>
          <w:tab w:val="left" w:pos="2160"/>
        </w:tabs>
        <w:spacing w:line="360" w:lineRule="auto"/>
        <w:ind w:firstLine="1440"/>
        <w:contextualSpacing/>
        <w:rPr>
          <w:b/>
          <w:sz w:val="26"/>
          <w:szCs w:val="26"/>
        </w:rPr>
      </w:pPr>
    </w:p>
    <w:p w:rsidR="0047264D" w:rsidRPr="00CB744C" w:rsidRDefault="0047264D" w:rsidP="0047264D">
      <w:pPr>
        <w:pStyle w:val="Pleading2L3"/>
        <w:numPr>
          <w:ilvl w:val="0"/>
          <w:numId w:val="0"/>
        </w:numPr>
        <w:spacing w:line="360" w:lineRule="auto"/>
        <w:ind w:firstLine="1440"/>
        <w:contextualSpacing/>
        <w:rPr>
          <w:sz w:val="26"/>
          <w:szCs w:val="26"/>
        </w:rPr>
      </w:pPr>
      <w:r w:rsidRPr="00CB744C">
        <w:rPr>
          <w:sz w:val="26"/>
          <w:szCs w:val="26"/>
        </w:rPr>
        <w:t xml:space="preserve">In the settlement of </w:t>
      </w:r>
      <w:r>
        <w:rPr>
          <w:sz w:val="26"/>
          <w:szCs w:val="26"/>
        </w:rPr>
        <w:t>PPL’s</w:t>
      </w:r>
      <w:r w:rsidRPr="00CB744C">
        <w:rPr>
          <w:sz w:val="26"/>
          <w:szCs w:val="26"/>
        </w:rPr>
        <w:t xml:space="preserve"> remand</w:t>
      </w:r>
      <w:r>
        <w:rPr>
          <w:sz w:val="26"/>
          <w:szCs w:val="26"/>
        </w:rPr>
        <w:t>ed</w:t>
      </w:r>
      <w:r w:rsidRPr="00CB744C">
        <w:rPr>
          <w:sz w:val="26"/>
          <w:szCs w:val="26"/>
        </w:rPr>
        <w:t xml:space="preserve"> 2004</w:t>
      </w:r>
      <w:r>
        <w:rPr>
          <w:sz w:val="26"/>
          <w:szCs w:val="26"/>
        </w:rPr>
        <w:t xml:space="preserve"> base</w:t>
      </w:r>
      <w:r w:rsidRPr="00CB744C">
        <w:rPr>
          <w:sz w:val="26"/>
          <w:szCs w:val="26"/>
        </w:rPr>
        <w:t xml:space="preserve"> rate case, </w:t>
      </w:r>
      <w:r>
        <w:rPr>
          <w:sz w:val="26"/>
          <w:szCs w:val="26"/>
        </w:rPr>
        <w:t>PPL</w:t>
      </w:r>
      <w:r w:rsidRPr="00CB744C">
        <w:rPr>
          <w:sz w:val="26"/>
          <w:szCs w:val="26"/>
        </w:rPr>
        <w:t xml:space="preserve"> agreed to move its distribution rates for all major rate classes to </w:t>
      </w:r>
      <w:r>
        <w:rPr>
          <w:sz w:val="26"/>
          <w:szCs w:val="26"/>
        </w:rPr>
        <w:t>“</w:t>
      </w:r>
      <w:r w:rsidRPr="00CB744C">
        <w:rPr>
          <w:sz w:val="26"/>
          <w:szCs w:val="26"/>
        </w:rPr>
        <w:t>at or near</w:t>
      </w:r>
      <w:r>
        <w:rPr>
          <w:sz w:val="26"/>
          <w:szCs w:val="26"/>
        </w:rPr>
        <w:t>”</w:t>
      </w:r>
      <w:r w:rsidRPr="00CB744C">
        <w:rPr>
          <w:sz w:val="26"/>
          <w:szCs w:val="26"/>
        </w:rPr>
        <w:t xml:space="preserve"> full cost of service in three rate cases, the 2004, 2007 and the present case being the third.  </w:t>
      </w:r>
      <w:r>
        <w:rPr>
          <w:sz w:val="26"/>
          <w:szCs w:val="26"/>
        </w:rPr>
        <w:t>R.D. at 49.</w:t>
      </w:r>
    </w:p>
    <w:p w:rsidR="0047264D" w:rsidRPr="00CB744C" w:rsidRDefault="0047264D" w:rsidP="0047264D">
      <w:pPr>
        <w:pStyle w:val="Pleading2L3"/>
        <w:numPr>
          <w:ilvl w:val="0"/>
          <w:numId w:val="0"/>
        </w:numPr>
        <w:spacing w:line="360" w:lineRule="auto"/>
        <w:rPr>
          <w:sz w:val="26"/>
          <w:szCs w:val="26"/>
        </w:rPr>
      </w:pPr>
    </w:p>
    <w:p w:rsidR="0047264D" w:rsidRPr="00506B52" w:rsidRDefault="0047264D" w:rsidP="0047264D">
      <w:pPr>
        <w:pStyle w:val="Pleading2L3"/>
        <w:numPr>
          <w:ilvl w:val="0"/>
          <w:numId w:val="0"/>
        </w:numPr>
        <w:spacing w:line="360" w:lineRule="auto"/>
        <w:ind w:firstLine="1440"/>
        <w:rPr>
          <w:sz w:val="26"/>
          <w:szCs w:val="26"/>
        </w:rPr>
      </w:pPr>
      <w:r>
        <w:rPr>
          <w:sz w:val="26"/>
          <w:szCs w:val="26"/>
        </w:rPr>
        <w:t>PPL</w:t>
      </w:r>
      <w:r w:rsidRPr="00CB744C">
        <w:rPr>
          <w:sz w:val="26"/>
          <w:szCs w:val="26"/>
        </w:rPr>
        <w:t xml:space="preserve"> sta</w:t>
      </w:r>
      <w:r>
        <w:rPr>
          <w:sz w:val="26"/>
          <w:szCs w:val="26"/>
        </w:rPr>
        <w:t>ted</w:t>
      </w:r>
      <w:r w:rsidRPr="00CB744C">
        <w:rPr>
          <w:sz w:val="26"/>
          <w:szCs w:val="26"/>
        </w:rPr>
        <w:t xml:space="preserve"> that</w:t>
      </w:r>
      <w:r>
        <w:rPr>
          <w:sz w:val="26"/>
          <w:szCs w:val="26"/>
        </w:rPr>
        <w:t xml:space="preserve"> in</w:t>
      </w:r>
      <w:r w:rsidRPr="00CB744C">
        <w:rPr>
          <w:sz w:val="26"/>
          <w:szCs w:val="26"/>
        </w:rPr>
        <w:t xml:space="preserve"> </w:t>
      </w:r>
      <w:r>
        <w:rPr>
          <w:sz w:val="26"/>
          <w:szCs w:val="26"/>
        </w:rPr>
        <w:t xml:space="preserve">preparing the instant base rate case the </w:t>
      </w:r>
      <w:r w:rsidRPr="00CB744C">
        <w:rPr>
          <w:sz w:val="26"/>
          <w:szCs w:val="26"/>
        </w:rPr>
        <w:t>first revenue allocation</w:t>
      </w:r>
      <w:r>
        <w:rPr>
          <w:sz w:val="26"/>
          <w:szCs w:val="26"/>
        </w:rPr>
        <w:t xml:space="preserve"> </w:t>
      </w:r>
      <w:r w:rsidRPr="00CB744C">
        <w:rPr>
          <w:sz w:val="26"/>
          <w:szCs w:val="26"/>
        </w:rPr>
        <w:t>was developed to strictly follow the cost of service and move all rate classes to the proposed system average rate of return.</w:t>
      </w:r>
      <w:r>
        <w:rPr>
          <w:sz w:val="26"/>
          <w:szCs w:val="26"/>
        </w:rPr>
        <w:t xml:space="preserve">  PPL M.B. at 35, 36; PPL Stmt. 6 at 19; R.D. at 49.</w:t>
      </w:r>
      <w:r w:rsidRPr="00CB744C">
        <w:rPr>
          <w:sz w:val="26"/>
          <w:szCs w:val="26"/>
        </w:rPr>
        <w:t xml:space="preserve">  PPL did not present this, however, as the increase to the residential rate classes would have been far in excess of the total increase requested in this case, and the other classes would have received substantial rate decreases.</w:t>
      </w:r>
      <w:r>
        <w:rPr>
          <w:sz w:val="26"/>
          <w:szCs w:val="26"/>
        </w:rPr>
        <w:t xml:space="preserve">  </w:t>
      </w:r>
      <w:r>
        <w:rPr>
          <w:i/>
          <w:sz w:val="26"/>
          <w:szCs w:val="26"/>
        </w:rPr>
        <w:t>Id.</w:t>
      </w:r>
      <w:r w:rsidRPr="00CB744C">
        <w:rPr>
          <w:sz w:val="26"/>
          <w:szCs w:val="26"/>
        </w:rPr>
        <w:t xml:space="preserve">  Rate Schedule RTS, for example, would have received an increase of about 200 percent.  </w:t>
      </w:r>
      <w:r>
        <w:rPr>
          <w:i/>
          <w:sz w:val="26"/>
          <w:szCs w:val="26"/>
        </w:rPr>
        <w:t>Id.</w:t>
      </w:r>
    </w:p>
    <w:p w:rsidR="0047264D" w:rsidRPr="00CB744C" w:rsidRDefault="0047264D" w:rsidP="0047264D">
      <w:pPr>
        <w:pStyle w:val="Pleading2L3"/>
        <w:numPr>
          <w:ilvl w:val="0"/>
          <w:numId w:val="0"/>
        </w:numPr>
        <w:spacing w:line="360" w:lineRule="auto"/>
        <w:rPr>
          <w:sz w:val="26"/>
          <w:szCs w:val="26"/>
        </w:rPr>
      </w:pPr>
    </w:p>
    <w:p w:rsidR="0047264D" w:rsidRDefault="0047264D" w:rsidP="0047264D">
      <w:pPr>
        <w:pStyle w:val="Pleading2L3"/>
        <w:numPr>
          <w:ilvl w:val="0"/>
          <w:numId w:val="0"/>
        </w:numPr>
        <w:spacing w:line="360" w:lineRule="auto"/>
        <w:ind w:firstLine="1440"/>
        <w:rPr>
          <w:i/>
          <w:sz w:val="26"/>
          <w:szCs w:val="26"/>
        </w:rPr>
      </w:pPr>
      <w:r>
        <w:rPr>
          <w:sz w:val="26"/>
          <w:szCs w:val="26"/>
        </w:rPr>
        <w:t>Accordingly, PPL proposed a revenue allocation</w:t>
      </w:r>
      <w:r w:rsidRPr="00CB744C">
        <w:rPr>
          <w:sz w:val="26"/>
          <w:szCs w:val="26"/>
        </w:rPr>
        <w:t xml:space="preserve"> </w:t>
      </w:r>
      <w:r>
        <w:rPr>
          <w:sz w:val="26"/>
          <w:szCs w:val="26"/>
        </w:rPr>
        <w:t xml:space="preserve">that </w:t>
      </w:r>
      <w:r w:rsidRPr="00CB744C">
        <w:rPr>
          <w:sz w:val="26"/>
          <w:szCs w:val="26"/>
        </w:rPr>
        <w:t>seeks to avoid unreasonable increases in any customer class and</w:t>
      </w:r>
      <w:r>
        <w:rPr>
          <w:sz w:val="26"/>
          <w:szCs w:val="26"/>
        </w:rPr>
        <w:t>,</w:t>
      </w:r>
      <w:r w:rsidRPr="00CB744C">
        <w:rPr>
          <w:sz w:val="26"/>
          <w:szCs w:val="26"/>
        </w:rPr>
        <w:t xml:space="preserve"> therefore, allocates the entire proposed rate increase to residential customers and no increase or decrease to any</w:t>
      </w:r>
      <w:r>
        <w:rPr>
          <w:sz w:val="26"/>
          <w:szCs w:val="26"/>
        </w:rPr>
        <w:t xml:space="preserve"> other</w:t>
      </w:r>
      <w:r w:rsidRPr="00CB744C">
        <w:rPr>
          <w:sz w:val="26"/>
          <w:szCs w:val="26"/>
        </w:rPr>
        <w:t xml:space="preserve"> customer class.</w:t>
      </w:r>
      <w:r>
        <w:rPr>
          <w:sz w:val="26"/>
          <w:szCs w:val="26"/>
        </w:rPr>
        <w:t xml:space="preserve"> </w:t>
      </w:r>
      <w:r w:rsidRPr="00CB744C">
        <w:rPr>
          <w:sz w:val="26"/>
          <w:szCs w:val="26"/>
        </w:rPr>
        <w:t xml:space="preserve"> PPL </w:t>
      </w:r>
      <w:r>
        <w:rPr>
          <w:sz w:val="26"/>
          <w:szCs w:val="26"/>
        </w:rPr>
        <w:t>M.B.</w:t>
      </w:r>
      <w:r w:rsidRPr="00CB744C">
        <w:rPr>
          <w:sz w:val="26"/>
          <w:szCs w:val="26"/>
        </w:rPr>
        <w:t xml:space="preserve"> at 36, citing PPL Stmt. 6 at 19-20</w:t>
      </w:r>
      <w:r>
        <w:rPr>
          <w:sz w:val="26"/>
          <w:szCs w:val="26"/>
        </w:rPr>
        <w:t>; R.D. at 49</w:t>
      </w:r>
      <w:r w:rsidRPr="00CB744C">
        <w:rPr>
          <w:sz w:val="26"/>
          <w:szCs w:val="26"/>
        </w:rPr>
        <w:t xml:space="preserve">. </w:t>
      </w:r>
      <w:r>
        <w:rPr>
          <w:sz w:val="26"/>
          <w:szCs w:val="26"/>
        </w:rPr>
        <w:t xml:space="preserve"> </w:t>
      </w:r>
      <w:r w:rsidRPr="00CB744C">
        <w:rPr>
          <w:sz w:val="26"/>
          <w:szCs w:val="26"/>
        </w:rPr>
        <w:t xml:space="preserve">The Rate RTS proposal moved the schedule from its present negative 54 percent of the system average to approximately zero, an increase of about 60% for that schedule.  </w:t>
      </w:r>
      <w:r>
        <w:rPr>
          <w:i/>
          <w:sz w:val="26"/>
          <w:szCs w:val="26"/>
        </w:rPr>
        <w:t>Id.</w:t>
      </w:r>
    </w:p>
    <w:p w:rsidR="0047264D" w:rsidRPr="00DD2402" w:rsidRDefault="0047264D" w:rsidP="0047264D">
      <w:pPr>
        <w:pStyle w:val="Pleading2L3"/>
        <w:numPr>
          <w:ilvl w:val="0"/>
          <w:numId w:val="0"/>
        </w:numPr>
        <w:spacing w:line="360" w:lineRule="auto"/>
        <w:ind w:firstLine="1440"/>
        <w:rPr>
          <w:sz w:val="26"/>
          <w:szCs w:val="26"/>
        </w:rPr>
      </w:pPr>
    </w:p>
    <w:p w:rsidR="0047264D" w:rsidRDefault="0047264D" w:rsidP="0047264D">
      <w:pPr>
        <w:pStyle w:val="Pleading2L3"/>
        <w:numPr>
          <w:ilvl w:val="0"/>
          <w:numId w:val="0"/>
        </w:numPr>
        <w:spacing w:line="360" w:lineRule="auto"/>
        <w:ind w:firstLine="1440"/>
        <w:contextualSpacing/>
        <w:rPr>
          <w:sz w:val="26"/>
          <w:szCs w:val="26"/>
        </w:rPr>
      </w:pPr>
      <w:r>
        <w:rPr>
          <w:sz w:val="26"/>
          <w:szCs w:val="26"/>
        </w:rPr>
        <w:t>PPL recommended</w:t>
      </w:r>
      <w:r w:rsidRPr="00CB744C">
        <w:rPr>
          <w:sz w:val="26"/>
          <w:szCs w:val="26"/>
        </w:rPr>
        <w:t xml:space="preserve"> two ways to apply the settlem</w:t>
      </w:r>
      <w:r>
        <w:rPr>
          <w:sz w:val="26"/>
          <w:szCs w:val="26"/>
        </w:rPr>
        <w:t xml:space="preserve">ent amount, depending on which </w:t>
      </w:r>
      <w:r w:rsidRPr="00CB744C">
        <w:rPr>
          <w:sz w:val="26"/>
          <w:szCs w:val="26"/>
        </w:rPr>
        <w:t>COSS is used</w:t>
      </w:r>
      <w:r>
        <w:rPr>
          <w:sz w:val="26"/>
          <w:szCs w:val="26"/>
        </w:rPr>
        <w:t xml:space="preserve">.  </w:t>
      </w:r>
      <w:r w:rsidRPr="00CB744C">
        <w:rPr>
          <w:sz w:val="26"/>
          <w:szCs w:val="26"/>
        </w:rPr>
        <w:t xml:space="preserve">If the Commission </w:t>
      </w:r>
      <w:r>
        <w:rPr>
          <w:sz w:val="26"/>
          <w:szCs w:val="26"/>
        </w:rPr>
        <w:t xml:space="preserve">decides to </w:t>
      </w:r>
      <w:r w:rsidRPr="00CB744C">
        <w:rPr>
          <w:sz w:val="26"/>
          <w:szCs w:val="26"/>
        </w:rPr>
        <w:t xml:space="preserve">rely on PPL </w:t>
      </w:r>
      <w:r>
        <w:rPr>
          <w:sz w:val="26"/>
          <w:szCs w:val="26"/>
        </w:rPr>
        <w:t>COSS</w:t>
      </w:r>
      <w:r w:rsidRPr="00CB744C">
        <w:rPr>
          <w:sz w:val="26"/>
          <w:szCs w:val="26"/>
        </w:rPr>
        <w:t xml:space="preserve"> JMK-2A, </w:t>
      </w:r>
      <w:r>
        <w:rPr>
          <w:sz w:val="26"/>
          <w:szCs w:val="26"/>
        </w:rPr>
        <w:t xml:space="preserve">PPL proposed that </w:t>
      </w:r>
      <w:r w:rsidRPr="00CB744C">
        <w:rPr>
          <w:sz w:val="26"/>
          <w:szCs w:val="26"/>
        </w:rPr>
        <w:t xml:space="preserve">the rate increase allocated to residential customers should simply </w:t>
      </w:r>
      <w:r>
        <w:rPr>
          <w:sz w:val="26"/>
          <w:szCs w:val="26"/>
        </w:rPr>
        <w:t xml:space="preserve">be </w:t>
      </w:r>
      <w:r w:rsidRPr="00CB744C">
        <w:rPr>
          <w:sz w:val="26"/>
          <w:szCs w:val="26"/>
        </w:rPr>
        <w:t>reduce</w:t>
      </w:r>
      <w:r>
        <w:rPr>
          <w:sz w:val="26"/>
          <w:szCs w:val="26"/>
        </w:rPr>
        <w:t>d</w:t>
      </w:r>
      <w:r w:rsidRPr="00CB744C">
        <w:rPr>
          <w:sz w:val="26"/>
          <w:szCs w:val="26"/>
        </w:rPr>
        <w:t xml:space="preserve"> from $114.675 million under originally proposed rates to $77.5 million.  PPL </w:t>
      </w:r>
      <w:r>
        <w:rPr>
          <w:sz w:val="26"/>
          <w:szCs w:val="26"/>
        </w:rPr>
        <w:t>M.B. at</w:t>
      </w:r>
      <w:r w:rsidRPr="00CB744C">
        <w:rPr>
          <w:sz w:val="26"/>
          <w:szCs w:val="26"/>
        </w:rPr>
        <w:t xml:space="preserve"> 42</w:t>
      </w:r>
      <w:r>
        <w:rPr>
          <w:sz w:val="26"/>
          <w:szCs w:val="26"/>
        </w:rPr>
        <w:t>; R.D. at 54.  U</w:t>
      </w:r>
      <w:r w:rsidRPr="00CB744C">
        <w:rPr>
          <w:sz w:val="26"/>
          <w:szCs w:val="26"/>
        </w:rPr>
        <w:t>nder PPL’s proposed allocation of the originally-proposed rate increase all rate classes w</w:t>
      </w:r>
      <w:r>
        <w:rPr>
          <w:sz w:val="26"/>
          <w:szCs w:val="26"/>
        </w:rPr>
        <w:t>ould</w:t>
      </w:r>
      <w:r w:rsidRPr="00CB744C">
        <w:rPr>
          <w:sz w:val="26"/>
          <w:szCs w:val="26"/>
        </w:rPr>
        <w:t xml:space="preserve"> move substantially toward the system average rate of return</w:t>
      </w:r>
      <w:r>
        <w:rPr>
          <w:sz w:val="26"/>
          <w:szCs w:val="26"/>
        </w:rPr>
        <w:t xml:space="preserve">, </w:t>
      </w:r>
      <w:r w:rsidRPr="00CB744C">
        <w:rPr>
          <w:sz w:val="26"/>
          <w:szCs w:val="26"/>
        </w:rPr>
        <w:t xml:space="preserve">the same result will occur under the scale-back of the proposed rate increase.  PPL St. 8-RJ, </w:t>
      </w:r>
      <w:r>
        <w:rPr>
          <w:sz w:val="26"/>
          <w:szCs w:val="26"/>
        </w:rPr>
        <w:t xml:space="preserve">at 9, </w:t>
      </w:r>
      <w:r w:rsidRPr="00CB744C">
        <w:rPr>
          <w:sz w:val="26"/>
          <w:szCs w:val="26"/>
        </w:rPr>
        <w:t>10</w:t>
      </w:r>
      <w:r>
        <w:rPr>
          <w:sz w:val="26"/>
          <w:szCs w:val="26"/>
        </w:rPr>
        <w:t>; R.D. at 54</w:t>
      </w:r>
      <w:r w:rsidRPr="00CB744C">
        <w:rPr>
          <w:sz w:val="26"/>
          <w:szCs w:val="26"/>
        </w:rPr>
        <w:t>.</w:t>
      </w:r>
    </w:p>
    <w:p w:rsidR="0047264D" w:rsidRPr="00CB744C" w:rsidRDefault="0047264D" w:rsidP="0047264D">
      <w:pPr>
        <w:pStyle w:val="BodyText2"/>
        <w:spacing w:after="0" w:line="360" w:lineRule="auto"/>
        <w:contextualSpacing/>
        <w:rPr>
          <w:sz w:val="26"/>
          <w:szCs w:val="26"/>
        </w:rPr>
      </w:pPr>
    </w:p>
    <w:p w:rsidR="0047264D" w:rsidRDefault="0047264D" w:rsidP="0047264D">
      <w:pPr>
        <w:pStyle w:val="BodyText2"/>
        <w:spacing w:after="0" w:line="360" w:lineRule="auto"/>
        <w:contextualSpacing/>
        <w:rPr>
          <w:sz w:val="26"/>
          <w:szCs w:val="26"/>
        </w:rPr>
      </w:pPr>
      <w:r>
        <w:rPr>
          <w:sz w:val="26"/>
          <w:szCs w:val="26"/>
        </w:rPr>
        <w:tab/>
      </w:r>
      <w:r>
        <w:rPr>
          <w:sz w:val="26"/>
          <w:szCs w:val="26"/>
        </w:rPr>
        <w:tab/>
      </w:r>
      <w:r w:rsidRPr="00CB744C">
        <w:rPr>
          <w:sz w:val="26"/>
          <w:szCs w:val="26"/>
        </w:rPr>
        <w:t>If, on the other hand, the Commission decide</w:t>
      </w:r>
      <w:r>
        <w:rPr>
          <w:sz w:val="26"/>
          <w:szCs w:val="26"/>
        </w:rPr>
        <w:t>s</w:t>
      </w:r>
      <w:r w:rsidRPr="00CB744C">
        <w:rPr>
          <w:sz w:val="26"/>
          <w:szCs w:val="26"/>
        </w:rPr>
        <w:t xml:space="preserve"> to rely on PPL</w:t>
      </w:r>
      <w:r>
        <w:rPr>
          <w:sz w:val="26"/>
          <w:szCs w:val="26"/>
        </w:rPr>
        <w:t>’s COSS</w:t>
      </w:r>
      <w:r w:rsidRPr="00CB744C">
        <w:rPr>
          <w:sz w:val="26"/>
          <w:szCs w:val="26"/>
        </w:rPr>
        <w:t xml:space="preserve"> JMK-2B, which follows exactly the less accurate cost of service methodology used by PPL in </w:t>
      </w:r>
      <w:r>
        <w:rPr>
          <w:sz w:val="26"/>
          <w:szCs w:val="26"/>
        </w:rPr>
        <w:t>its 2004 and 2007 base</w:t>
      </w:r>
      <w:r w:rsidRPr="00CB744C">
        <w:rPr>
          <w:sz w:val="26"/>
          <w:szCs w:val="26"/>
        </w:rPr>
        <w:t xml:space="preserve"> rate cases, then </w:t>
      </w:r>
      <w:r>
        <w:rPr>
          <w:sz w:val="26"/>
          <w:szCs w:val="26"/>
        </w:rPr>
        <w:t xml:space="preserve">PPL asserted that </w:t>
      </w:r>
      <w:r w:rsidRPr="00CB744C">
        <w:rPr>
          <w:sz w:val="26"/>
          <w:szCs w:val="26"/>
        </w:rPr>
        <w:t>a different allocation would be reasonable.</w:t>
      </w:r>
      <w:r>
        <w:rPr>
          <w:sz w:val="26"/>
          <w:szCs w:val="26"/>
        </w:rPr>
        <w:t xml:space="preserve">  R.D. at 54.</w:t>
      </w:r>
      <w:r w:rsidRPr="00CB744C">
        <w:rPr>
          <w:sz w:val="26"/>
          <w:szCs w:val="26"/>
        </w:rPr>
        <w:t xml:space="preserve">  </w:t>
      </w:r>
      <w:r>
        <w:rPr>
          <w:sz w:val="26"/>
          <w:szCs w:val="26"/>
        </w:rPr>
        <w:t>PPL explained that t</w:t>
      </w:r>
      <w:r w:rsidRPr="00CB744C">
        <w:rPr>
          <w:sz w:val="26"/>
          <w:szCs w:val="26"/>
        </w:rPr>
        <w:t>he starting point of an appr</w:t>
      </w:r>
      <w:r>
        <w:rPr>
          <w:sz w:val="26"/>
          <w:szCs w:val="26"/>
        </w:rPr>
        <w:t xml:space="preserve">opriate scale-back based on PPL’s COSS </w:t>
      </w:r>
      <w:r w:rsidRPr="00CB744C">
        <w:rPr>
          <w:sz w:val="26"/>
          <w:szCs w:val="26"/>
        </w:rPr>
        <w:t xml:space="preserve">JMK-2B would begin with the OSBA’s proposed allocation of the initial rate increase.  </w:t>
      </w:r>
      <w:r w:rsidRPr="00B267ED">
        <w:rPr>
          <w:i/>
          <w:sz w:val="26"/>
          <w:szCs w:val="26"/>
        </w:rPr>
        <w:t>See</w:t>
      </w:r>
      <w:r>
        <w:rPr>
          <w:sz w:val="26"/>
          <w:szCs w:val="26"/>
        </w:rPr>
        <w:t xml:space="preserve"> PPL M.B. at 38 and </w:t>
      </w:r>
      <w:r w:rsidRPr="00CB744C">
        <w:rPr>
          <w:sz w:val="26"/>
          <w:szCs w:val="26"/>
        </w:rPr>
        <w:t>OSBA St. 1</w:t>
      </w:r>
      <w:r>
        <w:rPr>
          <w:sz w:val="26"/>
          <w:szCs w:val="26"/>
        </w:rPr>
        <w:t xml:space="preserve"> at</w:t>
      </w:r>
      <w:r w:rsidRPr="00CB744C">
        <w:rPr>
          <w:sz w:val="26"/>
          <w:szCs w:val="26"/>
        </w:rPr>
        <w:t xml:space="preserve"> 27</w:t>
      </w:r>
      <w:r>
        <w:rPr>
          <w:sz w:val="26"/>
          <w:szCs w:val="26"/>
        </w:rPr>
        <w:t>; R.D. at 54</w:t>
      </w:r>
      <w:r w:rsidRPr="00CB744C">
        <w:rPr>
          <w:sz w:val="26"/>
          <w:szCs w:val="26"/>
        </w:rPr>
        <w:t xml:space="preserve">.  </w:t>
      </w:r>
      <w:r>
        <w:rPr>
          <w:sz w:val="26"/>
          <w:szCs w:val="26"/>
        </w:rPr>
        <w:t>The</w:t>
      </w:r>
      <w:r w:rsidRPr="00CB744C">
        <w:rPr>
          <w:sz w:val="26"/>
          <w:szCs w:val="26"/>
        </w:rPr>
        <w:t xml:space="preserve"> OSBA’s proposed allocation</w:t>
      </w:r>
      <w:r>
        <w:rPr>
          <w:sz w:val="26"/>
          <w:szCs w:val="26"/>
        </w:rPr>
        <w:t xml:space="preserve"> would then be scaled back</w:t>
      </w:r>
      <w:r w:rsidRPr="00CB744C">
        <w:rPr>
          <w:sz w:val="26"/>
          <w:szCs w:val="26"/>
        </w:rPr>
        <w:t xml:space="preserve"> by multiplying each amount by the scale-back fraction (</w:t>
      </w:r>
      <w:r w:rsidRPr="006819BA">
        <w:rPr>
          <w:i/>
          <w:sz w:val="26"/>
          <w:szCs w:val="26"/>
        </w:rPr>
        <w:t>i.e.</w:t>
      </w:r>
      <w:r>
        <w:rPr>
          <w:sz w:val="26"/>
          <w:szCs w:val="26"/>
        </w:rPr>
        <w:t xml:space="preserve">, </w:t>
      </w:r>
      <w:r w:rsidRPr="00CB744C">
        <w:rPr>
          <w:sz w:val="26"/>
          <w:szCs w:val="26"/>
        </w:rPr>
        <w:t>$77.5 million ÷ $114.675 million</w:t>
      </w:r>
      <w:r>
        <w:rPr>
          <w:sz w:val="26"/>
          <w:szCs w:val="26"/>
        </w:rPr>
        <w:t xml:space="preserve"> = .675823</w:t>
      </w:r>
      <w:r w:rsidRPr="00CB744C">
        <w:rPr>
          <w:sz w:val="26"/>
          <w:szCs w:val="26"/>
        </w:rPr>
        <w:t xml:space="preserve">).  </w:t>
      </w:r>
      <w:r>
        <w:rPr>
          <w:sz w:val="26"/>
          <w:szCs w:val="26"/>
        </w:rPr>
        <w:t>Further, t</w:t>
      </w:r>
      <w:r w:rsidRPr="00CB744C">
        <w:rPr>
          <w:sz w:val="26"/>
          <w:szCs w:val="26"/>
        </w:rPr>
        <w:t xml:space="preserve">he allocation to the RS and RTS rate classes would then have to be adjusted to reflect the Partial Settlement under which the increase to the RTS rate class is limited to 150% of the increase to the residential rate class with any shortfall reallocated to Rate Schedule RS.  </w:t>
      </w:r>
      <w:r>
        <w:rPr>
          <w:sz w:val="26"/>
          <w:szCs w:val="26"/>
        </w:rPr>
        <w:t>PPL R.B. at 16 – 18; R.D. at 54, 55.</w:t>
      </w:r>
    </w:p>
    <w:p w:rsidR="0047264D" w:rsidRPr="00CB744C" w:rsidRDefault="0047264D" w:rsidP="0047264D">
      <w:pPr>
        <w:pStyle w:val="BodyText2"/>
        <w:spacing w:after="0" w:line="360" w:lineRule="auto"/>
        <w:contextualSpacing/>
        <w:rPr>
          <w:sz w:val="26"/>
          <w:szCs w:val="26"/>
        </w:rPr>
      </w:pPr>
    </w:p>
    <w:p w:rsidR="0047264D" w:rsidRPr="00CB744C" w:rsidRDefault="0047264D" w:rsidP="0047264D">
      <w:pPr>
        <w:pStyle w:val="BodyText2"/>
        <w:spacing w:after="0" w:line="360" w:lineRule="auto"/>
        <w:contextualSpacing/>
        <w:rPr>
          <w:sz w:val="26"/>
          <w:szCs w:val="26"/>
        </w:rPr>
      </w:pPr>
      <w:r>
        <w:rPr>
          <w:sz w:val="26"/>
          <w:szCs w:val="26"/>
        </w:rPr>
        <w:tab/>
      </w:r>
      <w:r>
        <w:rPr>
          <w:sz w:val="26"/>
          <w:szCs w:val="26"/>
        </w:rPr>
        <w:tab/>
      </w:r>
      <w:r w:rsidRPr="00CB744C">
        <w:rPr>
          <w:sz w:val="26"/>
          <w:szCs w:val="26"/>
        </w:rPr>
        <w:t>A</w:t>
      </w:r>
      <w:r>
        <w:rPr>
          <w:sz w:val="26"/>
          <w:szCs w:val="26"/>
        </w:rPr>
        <w:t>ccording to PPL</w:t>
      </w:r>
      <w:r w:rsidRPr="00CB744C">
        <w:rPr>
          <w:sz w:val="26"/>
          <w:szCs w:val="26"/>
        </w:rPr>
        <w:t xml:space="preserve">, </w:t>
      </w:r>
      <w:r>
        <w:rPr>
          <w:sz w:val="26"/>
          <w:szCs w:val="26"/>
        </w:rPr>
        <w:t>while the</w:t>
      </w:r>
      <w:r w:rsidRPr="00CB744C">
        <w:rPr>
          <w:sz w:val="26"/>
          <w:szCs w:val="26"/>
        </w:rPr>
        <w:t xml:space="preserve"> OSBA’s initial allocation of revenue requirement to LP-5 and LP-6 rate classes was $1.2 million</w:t>
      </w:r>
      <w:r>
        <w:rPr>
          <w:sz w:val="26"/>
          <w:szCs w:val="26"/>
        </w:rPr>
        <w:t>, t</w:t>
      </w:r>
      <w:r w:rsidRPr="00CB744C">
        <w:rPr>
          <w:sz w:val="26"/>
          <w:szCs w:val="26"/>
        </w:rPr>
        <w:t>he scaled back amount would be $811,000</w:t>
      </w:r>
      <w:r w:rsidRPr="00200710">
        <w:rPr>
          <w:rStyle w:val="FootnoteReference"/>
          <w:rFonts w:ascii="Times New (W1)" w:hAnsi="Times New (W1)"/>
          <w:sz w:val="28"/>
          <w:vertAlign w:val="superscript"/>
        </w:rPr>
        <w:footnoteReference w:id="7"/>
      </w:r>
      <w:r w:rsidRPr="00CB744C">
        <w:rPr>
          <w:sz w:val="26"/>
          <w:szCs w:val="26"/>
        </w:rPr>
        <w:t>.  Even this amount, however, would produce a</w:t>
      </w:r>
      <w:r>
        <w:rPr>
          <w:sz w:val="26"/>
          <w:szCs w:val="26"/>
        </w:rPr>
        <w:t xml:space="preserve">n approximate 56 </w:t>
      </w:r>
      <w:r>
        <w:rPr>
          <w:sz w:val="26"/>
          <w:szCs w:val="26"/>
        </w:rPr>
        <w:lastRenderedPageBreak/>
        <w:t>percent increase</w:t>
      </w:r>
      <w:r w:rsidRPr="00CB744C">
        <w:rPr>
          <w:sz w:val="26"/>
          <w:szCs w:val="26"/>
        </w:rPr>
        <w:t xml:space="preserve"> </w:t>
      </w:r>
      <w:r>
        <w:rPr>
          <w:sz w:val="26"/>
          <w:szCs w:val="26"/>
        </w:rPr>
        <w:t xml:space="preserve">for </w:t>
      </w:r>
      <w:r w:rsidRPr="00CB744C">
        <w:rPr>
          <w:sz w:val="26"/>
          <w:szCs w:val="26"/>
        </w:rPr>
        <w:t xml:space="preserve">Rate Schedule LP-5 and LP-6 customers.  PPL </w:t>
      </w:r>
      <w:r>
        <w:rPr>
          <w:sz w:val="26"/>
          <w:szCs w:val="26"/>
        </w:rPr>
        <w:t xml:space="preserve">COSS JMK-2B; </w:t>
      </w:r>
      <w:r w:rsidRPr="00CB744C">
        <w:rPr>
          <w:sz w:val="26"/>
          <w:szCs w:val="26"/>
        </w:rPr>
        <w:t xml:space="preserve">PPL </w:t>
      </w:r>
      <w:r>
        <w:rPr>
          <w:sz w:val="26"/>
          <w:szCs w:val="26"/>
        </w:rPr>
        <w:t>R.B.</w:t>
      </w:r>
      <w:r w:rsidRPr="00CB744C">
        <w:rPr>
          <w:sz w:val="26"/>
          <w:szCs w:val="26"/>
        </w:rPr>
        <w:t xml:space="preserve"> at 16-18</w:t>
      </w:r>
      <w:r>
        <w:rPr>
          <w:sz w:val="26"/>
          <w:szCs w:val="26"/>
        </w:rPr>
        <w:t>; R.D. at 55</w:t>
      </w:r>
      <w:r w:rsidRPr="00CB744C">
        <w:rPr>
          <w:sz w:val="26"/>
          <w:szCs w:val="26"/>
        </w:rPr>
        <w:t>.</w:t>
      </w:r>
    </w:p>
    <w:p w:rsidR="0047264D" w:rsidRDefault="0047264D" w:rsidP="0047264D">
      <w:pPr>
        <w:pStyle w:val="Pleading2L3"/>
        <w:numPr>
          <w:ilvl w:val="0"/>
          <w:numId w:val="0"/>
        </w:numPr>
        <w:spacing w:line="360" w:lineRule="auto"/>
        <w:ind w:firstLine="1440"/>
        <w:rPr>
          <w:sz w:val="26"/>
          <w:szCs w:val="26"/>
        </w:rPr>
      </w:pPr>
    </w:p>
    <w:p w:rsidR="0047264D" w:rsidRPr="00CB744C"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PPL explained that</w:t>
      </w:r>
      <w:r w:rsidRPr="00CB744C">
        <w:rPr>
          <w:sz w:val="26"/>
          <w:szCs w:val="26"/>
        </w:rPr>
        <w:t xml:space="preserve"> the OCA</w:t>
      </w:r>
      <w:r>
        <w:rPr>
          <w:sz w:val="26"/>
          <w:szCs w:val="26"/>
        </w:rPr>
        <w:t>’s</w:t>
      </w:r>
      <w:r w:rsidRPr="00CB744C">
        <w:rPr>
          <w:sz w:val="26"/>
          <w:szCs w:val="26"/>
        </w:rPr>
        <w:t xml:space="preserve"> allocation</w:t>
      </w:r>
      <w:r>
        <w:rPr>
          <w:sz w:val="26"/>
          <w:szCs w:val="26"/>
        </w:rPr>
        <w:t xml:space="preserve"> methodology</w:t>
      </w:r>
      <w:r w:rsidRPr="00CB744C">
        <w:rPr>
          <w:sz w:val="26"/>
          <w:szCs w:val="26"/>
        </w:rPr>
        <w:t xml:space="preserve"> is </w:t>
      </w:r>
      <w:r>
        <w:rPr>
          <w:sz w:val="26"/>
          <w:szCs w:val="26"/>
        </w:rPr>
        <w:t xml:space="preserve">strongly influenced by its own </w:t>
      </w:r>
      <w:r w:rsidRPr="00CB744C">
        <w:rPr>
          <w:sz w:val="26"/>
          <w:szCs w:val="26"/>
        </w:rPr>
        <w:t>COSS</w:t>
      </w:r>
      <w:r>
        <w:rPr>
          <w:sz w:val="26"/>
          <w:szCs w:val="26"/>
        </w:rPr>
        <w:t>s</w:t>
      </w:r>
      <w:r w:rsidRPr="00CB744C">
        <w:rPr>
          <w:sz w:val="26"/>
          <w:szCs w:val="26"/>
        </w:rPr>
        <w:t>, both of which are opposed by the other</w:t>
      </w:r>
      <w:r>
        <w:rPr>
          <w:sz w:val="26"/>
          <w:szCs w:val="26"/>
        </w:rPr>
        <w:t xml:space="preserve"> Parties in this proceeding</w:t>
      </w:r>
      <w:r w:rsidRPr="00CB744C">
        <w:rPr>
          <w:sz w:val="26"/>
          <w:szCs w:val="26"/>
        </w:rPr>
        <w:t>.</w:t>
      </w:r>
      <w:r w:rsidRPr="00CB744C">
        <w:rPr>
          <w:rStyle w:val="FootnoteReference"/>
          <w:sz w:val="26"/>
          <w:szCs w:val="26"/>
          <w:vertAlign w:val="superscript"/>
        </w:rPr>
        <w:footnoteReference w:id="8"/>
      </w:r>
      <w:r w:rsidRPr="00CB744C">
        <w:rPr>
          <w:sz w:val="26"/>
          <w:szCs w:val="26"/>
          <w:vertAlign w:val="superscript"/>
        </w:rPr>
        <w:t xml:space="preserve">  </w:t>
      </w:r>
    </w:p>
    <w:p w:rsidR="0047264D" w:rsidRDefault="0047264D" w:rsidP="0047264D">
      <w:pPr>
        <w:pStyle w:val="Pleading2L3"/>
        <w:numPr>
          <w:ilvl w:val="0"/>
          <w:numId w:val="0"/>
        </w:numPr>
        <w:spacing w:line="360" w:lineRule="auto"/>
        <w:ind w:firstLine="1440"/>
        <w:rPr>
          <w:sz w:val="26"/>
          <w:szCs w:val="26"/>
        </w:rPr>
      </w:pPr>
    </w:p>
    <w:p w:rsidR="0047264D" w:rsidRPr="001840FF" w:rsidRDefault="0047264D" w:rsidP="0047264D">
      <w:pPr>
        <w:pStyle w:val="Pleading2L3"/>
        <w:numPr>
          <w:ilvl w:val="0"/>
          <w:numId w:val="0"/>
        </w:numPr>
        <w:spacing w:line="360" w:lineRule="auto"/>
        <w:ind w:firstLine="1440"/>
        <w:rPr>
          <w:sz w:val="26"/>
          <w:szCs w:val="26"/>
        </w:rPr>
      </w:pPr>
      <w:r w:rsidRPr="005073FB">
        <w:rPr>
          <w:sz w:val="26"/>
          <w:szCs w:val="26"/>
        </w:rPr>
        <w:t xml:space="preserve">PPL responded to the OSBA proposal by pointing out that simple fairness would dictate that if the residential customers are to receive the entire or almost the entire increase, they should be the primary beneficiary of any scale back.  PPL M.B. at 39.  In addition, the </w:t>
      </w:r>
      <w:r>
        <w:rPr>
          <w:sz w:val="26"/>
          <w:szCs w:val="26"/>
        </w:rPr>
        <w:t>First Dollar Relief (</w:t>
      </w:r>
      <w:r w:rsidRPr="005073FB">
        <w:rPr>
          <w:sz w:val="26"/>
          <w:szCs w:val="26"/>
        </w:rPr>
        <w:t>FDR</w:t>
      </w:r>
      <w:r>
        <w:rPr>
          <w:sz w:val="26"/>
          <w:szCs w:val="26"/>
        </w:rPr>
        <w:t>)</w:t>
      </w:r>
      <w:r w:rsidRPr="005073FB">
        <w:rPr>
          <w:sz w:val="26"/>
          <w:szCs w:val="26"/>
        </w:rPr>
        <w:t xml:space="preserve"> approach is unprecedented.  </w:t>
      </w:r>
      <w:r w:rsidRPr="005073FB">
        <w:rPr>
          <w:i/>
          <w:sz w:val="26"/>
          <w:szCs w:val="26"/>
        </w:rPr>
        <w:t>Id.</w:t>
      </w:r>
      <w:r w:rsidRPr="005073FB">
        <w:rPr>
          <w:sz w:val="26"/>
          <w:szCs w:val="26"/>
        </w:rPr>
        <w:t xml:space="preserve">  PPL asserted that the cases cited by the OSBA in suppo</w:t>
      </w:r>
      <w:r>
        <w:rPr>
          <w:sz w:val="26"/>
          <w:szCs w:val="26"/>
        </w:rPr>
        <w:t>rt of its approach, were reductions to allocated class</w:t>
      </w:r>
      <w:r w:rsidRPr="005073FB">
        <w:rPr>
          <w:sz w:val="26"/>
          <w:szCs w:val="26"/>
        </w:rPr>
        <w:t xml:space="preserve"> increases, not decreases of existing rates.  </w:t>
      </w:r>
      <w:r w:rsidRPr="005073FB">
        <w:rPr>
          <w:i/>
          <w:sz w:val="26"/>
          <w:szCs w:val="26"/>
        </w:rPr>
        <w:t>Id.</w:t>
      </w:r>
      <w:r>
        <w:rPr>
          <w:i/>
          <w:sz w:val="26"/>
          <w:szCs w:val="26"/>
        </w:rPr>
        <w:t xml:space="preserve"> </w:t>
      </w:r>
    </w:p>
    <w:p w:rsidR="0047264D" w:rsidRDefault="0047264D" w:rsidP="0047264D">
      <w:pPr>
        <w:pStyle w:val="Pleading2L3"/>
        <w:numPr>
          <w:ilvl w:val="0"/>
          <w:numId w:val="0"/>
        </w:numPr>
        <w:spacing w:line="360" w:lineRule="auto"/>
        <w:ind w:firstLine="1440"/>
        <w:rPr>
          <w:sz w:val="26"/>
          <w:szCs w:val="26"/>
        </w:rPr>
      </w:pPr>
    </w:p>
    <w:p w:rsidR="0047264D" w:rsidRDefault="0047264D" w:rsidP="0047264D">
      <w:pPr>
        <w:pStyle w:val="Pleading2L3"/>
        <w:numPr>
          <w:ilvl w:val="0"/>
          <w:numId w:val="0"/>
        </w:numPr>
        <w:spacing w:line="360" w:lineRule="auto"/>
        <w:ind w:firstLine="1440"/>
        <w:rPr>
          <w:sz w:val="26"/>
          <w:szCs w:val="26"/>
        </w:rPr>
      </w:pPr>
      <w:r>
        <w:rPr>
          <w:sz w:val="26"/>
          <w:szCs w:val="26"/>
        </w:rPr>
        <w:t>PPLICA supported</w:t>
      </w:r>
      <w:r w:rsidRPr="00CB744C">
        <w:rPr>
          <w:sz w:val="26"/>
          <w:szCs w:val="26"/>
        </w:rPr>
        <w:t xml:space="preserve"> </w:t>
      </w:r>
      <w:r>
        <w:rPr>
          <w:sz w:val="26"/>
          <w:szCs w:val="26"/>
        </w:rPr>
        <w:t>PPL’s</w:t>
      </w:r>
      <w:r w:rsidRPr="00CB744C">
        <w:rPr>
          <w:sz w:val="26"/>
          <w:szCs w:val="26"/>
        </w:rPr>
        <w:t xml:space="preserve"> </w:t>
      </w:r>
      <w:r>
        <w:rPr>
          <w:sz w:val="26"/>
          <w:szCs w:val="26"/>
        </w:rPr>
        <w:t>preferred COSS JMK-2A,</w:t>
      </w:r>
      <w:r w:rsidRPr="00CB744C">
        <w:rPr>
          <w:sz w:val="26"/>
          <w:szCs w:val="26"/>
        </w:rPr>
        <w:t xml:space="preserve"> as consistent with its previous distribution cases, and one which continues to move all classes “at or near” the full cost of providing service while also moving all classes toward the system average rate of return.  PPLICA M</w:t>
      </w:r>
      <w:r>
        <w:rPr>
          <w:sz w:val="26"/>
          <w:szCs w:val="26"/>
        </w:rPr>
        <w:t>.B.</w:t>
      </w:r>
      <w:r w:rsidRPr="00CB744C">
        <w:rPr>
          <w:sz w:val="26"/>
          <w:szCs w:val="26"/>
        </w:rPr>
        <w:t xml:space="preserve"> at 11; PPLICA R</w:t>
      </w:r>
      <w:r>
        <w:rPr>
          <w:sz w:val="26"/>
          <w:szCs w:val="26"/>
        </w:rPr>
        <w:t>.B.</w:t>
      </w:r>
      <w:r w:rsidRPr="00CB744C">
        <w:rPr>
          <w:sz w:val="26"/>
          <w:szCs w:val="26"/>
        </w:rPr>
        <w:t xml:space="preserve"> at 8</w:t>
      </w:r>
      <w:r>
        <w:rPr>
          <w:sz w:val="26"/>
          <w:szCs w:val="26"/>
        </w:rPr>
        <w:t>; R.D. at 50</w:t>
      </w:r>
      <w:r w:rsidRPr="00CB744C">
        <w:rPr>
          <w:sz w:val="26"/>
          <w:szCs w:val="26"/>
        </w:rPr>
        <w:t>.</w:t>
      </w:r>
      <w:r>
        <w:rPr>
          <w:sz w:val="26"/>
          <w:szCs w:val="26"/>
        </w:rPr>
        <w:t xml:space="preserve">  </w:t>
      </w:r>
      <w:r w:rsidRPr="00CB744C">
        <w:rPr>
          <w:sz w:val="26"/>
          <w:szCs w:val="26"/>
        </w:rPr>
        <w:t xml:space="preserve">As a result, PPLICA agrees with </w:t>
      </w:r>
      <w:r>
        <w:rPr>
          <w:sz w:val="26"/>
          <w:szCs w:val="26"/>
        </w:rPr>
        <w:t>PPL</w:t>
      </w:r>
      <w:r w:rsidRPr="00CB744C">
        <w:rPr>
          <w:sz w:val="26"/>
          <w:szCs w:val="26"/>
        </w:rPr>
        <w:t xml:space="preserve"> that allocating the distribution increase to residential customers is reasonable and should be accepted by the Commission.  </w:t>
      </w:r>
      <w:r>
        <w:rPr>
          <w:i/>
          <w:sz w:val="26"/>
          <w:szCs w:val="26"/>
        </w:rPr>
        <w:t>Id.</w:t>
      </w:r>
      <w:r>
        <w:rPr>
          <w:sz w:val="26"/>
          <w:szCs w:val="26"/>
        </w:rPr>
        <w:t xml:space="preserve">  Further, </w:t>
      </w:r>
      <w:r w:rsidRPr="00CB744C">
        <w:rPr>
          <w:sz w:val="26"/>
          <w:szCs w:val="26"/>
        </w:rPr>
        <w:t>PPLICA states</w:t>
      </w:r>
      <w:r>
        <w:rPr>
          <w:sz w:val="26"/>
          <w:szCs w:val="26"/>
        </w:rPr>
        <w:t xml:space="preserve"> that n</w:t>
      </w:r>
      <w:r w:rsidRPr="00CB744C">
        <w:rPr>
          <w:sz w:val="26"/>
          <w:szCs w:val="26"/>
        </w:rPr>
        <w:t>otably, while allocating the entire increase to the residential class does little to alleviate the substantial current over-collection expe</w:t>
      </w:r>
      <w:r>
        <w:rPr>
          <w:sz w:val="26"/>
          <w:szCs w:val="26"/>
        </w:rPr>
        <w:t>rienced by Rate Schedule LP-4,</w:t>
      </w:r>
      <w:r w:rsidRPr="00CB744C">
        <w:rPr>
          <w:sz w:val="26"/>
          <w:szCs w:val="26"/>
        </w:rPr>
        <w:t xml:space="preserve"> </w:t>
      </w:r>
      <w:r>
        <w:rPr>
          <w:sz w:val="26"/>
          <w:szCs w:val="26"/>
        </w:rPr>
        <w:t>PPL</w:t>
      </w:r>
      <w:r w:rsidRPr="00CB744C">
        <w:rPr>
          <w:sz w:val="26"/>
          <w:szCs w:val="26"/>
        </w:rPr>
        <w:t xml:space="preserve">’s </w:t>
      </w:r>
      <w:r w:rsidRPr="00CB744C">
        <w:rPr>
          <w:sz w:val="26"/>
          <w:szCs w:val="26"/>
        </w:rPr>
        <w:lastRenderedPageBreak/>
        <w:t xml:space="preserve">proposal is the only one presented that would not further burden Rate Schedule LP-4 customers.  PPLICA </w:t>
      </w:r>
      <w:r>
        <w:rPr>
          <w:sz w:val="26"/>
          <w:szCs w:val="26"/>
        </w:rPr>
        <w:t>M.B.</w:t>
      </w:r>
      <w:r w:rsidRPr="00CB744C">
        <w:rPr>
          <w:sz w:val="26"/>
          <w:szCs w:val="26"/>
        </w:rPr>
        <w:t xml:space="preserve"> at 11, citing PPLICA Stmt. 2 at 4</w:t>
      </w:r>
      <w:r>
        <w:rPr>
          <w:sz w:val="26"/>
          <w:szCs w:val="26"/>
        </w:rPr>
        <w:t>; R.D. at 50</w:t>
      </w:r>
      <w:r w:rsidRPr="00CB744C">
        <w:rPr>
          <w:sz w:val="26"/>
          <w:szCs w:val="26"/>
        </w:rPr>
        <w:t>.</w:t>
      </w:r>
    </w:p>
    <w:p w:rsidR="0047264D" w:rsidRPr="003717CC" w:rsidRDefault="0047264D" w:rsidP="0047264D">
      <w:pPr>
        <w:pStyle w:val="Pleading2L3"/>
        <w:numPr>
          <w:ilvl w:val="0"/>
          <w:numId w:val="0"/>
        </w:numPr>
        <w:spacing w:line="360" w:lineRule="auto"/>
        <w:ind w:firstLine="1440"/>
        <w:rPr>
          <w:sz w:val="26"/>
          <w:szCs w:val="26"/>
        </w:rPr>
      </w:pPr>
    </w:p>
    <w:p w:rsidR="0047264D" w:rsidRPr="003717CC" w:rsidRDefault="0047264D" w:rsidP="0047264D">
      <w:pPr>
        <w:pStyle w:val="Pleading2L3"/>
        <w:numPr>
          <w:ilvl w:val="0"/>
          <w:numId w:val="0"/>
        </w:numPr>
        <w:spacing w:line="360" w:lineRule="auto"/>
        <w:ind w:firstLine="1440"/>
        <w:rPr>
          <w:sz w:val="26"/>
          <w:szCs w:val="26"/>
        </w:rPr>
      </w:pPr>
      <w:r w:rsidRPr="003717CC">
        <w:rPr>
          <w:sz w:val="26"/>
          <w:szCs w:val="26"/>
        </w:rPr>
        <w:t>In supporting PPL’s approach over the others presented, PPLICA explains:</w:t>
      </w:r>
    </w:p>
    <w:p w:rsidR="0047264D" w:rsidRPr="003717CC" w:rsidRDefault="0047264D" w:rsidP="0047264D">
      <w:pPr>
        <w:pStyle w:val="Pleading2L3"/>
        <w:numPr>
          <w:ilvl w:val="0"/>
          <w:numId w:val="0"/>
        </w:numPr>
        <w:spacing w:line="240" w:lineRule="auto"/>
        <w:ind w:firstLine="1440"/>
        <w:rPr>
          <w:sz w:val="26"/>
          <w:szCs w:val="26"/>
        </w:rPr>
      </w:pPr>
    </w:p>
    <w:p w:rsidR="0047264D" w:rsidRPr="003717CC" w:rsidRDefault="0047264D" w:rsidP="0047264D">
      <w:pPr>
        <w:pStyle w:val="Pleading2L3"/>
        <w:numPr>
          <w:ilvl w:val="0"/>
          <w:numId w:val="0"/>
        </w:numPr>
        <w:spacing w:line="240" w:lineRule="auto"/>
        <w:ind w:left="1440" w:right="1440"/>
        <w:contextualSpacing/>
        <w:rPr>
          <w:sz w:val="26"/>
          <w:szCs w:val="26"/>
        </w:rPr>
      </w:pPr>
      <w:r w:rsidRPr="003717CC">
        <w:rPr>
          <w:sz w:val="26"/>
          <w:szCs w:val="26"/>
        </w:rPr>
        <w:tab/>
        <w:t xml:space="preserve">Notably, while allocating the entire increase to the residential class does little to alleviate the substantial current </w:t>
      </w:r>
      <w:proofErr w:type="spellStart"/>
      <w:r w:rsidRPr="003717CC">
        <w:rPr>
          <w:sz w:val="26"/>
          <w:szCs w:val="26"/>
        </w:rPr>
        <w:t>overcollection</w:t>
      </w:r>
      <w:proofErr w:type="spellEnd"/>
      <w:r w:rsidRPr="003717CC">
        <w:rPr>
          <w:sz w:val="26"/>
          <w:szCs w:val="26"/>
        </w:rPr>
        <w:t xml:space="preserve"> experienced by Rate Schedule LP-4, the Company’s proposal is the only one presented that would not further burden Rate Schedule LP-4 customers.  As indicated by the Company’s COSS, LP-4 customers are already paying excessive rates. . . . </w:t>
      </w:r>
    </w:p>
    <w:p w:rsidR="0047264D" w:rsidRPr="003717CC" w:rsidRDefault="0047264D" w:rsidP="0047264D">
      <w:pPr>
        <w:pStyle w:val="Pleading2L3"/>
        <w:numPr>
          <w:ilvl w:val="0"/>
          <w:numId w:val="0"/>
        </w:numPr>
        <w:spacing w:line="240" w:lineRule="auto"/>
        <w:ind w:left="1440" w:right="1440" w:firstLine="720"/>
        <w:contextualSpacing/>
        <w:rPr>
          <w:sz w:val="26"/>
          <w:szCs w:val="26"/>
        </w:rPr>
      </w:pPr>
    </w:p>
    <w:p w:rsidR="0047264D" w:rsidRPr="003717CC" w:rsidRDefault="0047264D" w:rsidP="0047264D">
      <w:pPr>
        <w:pStyle w:val="Pleading2L3"/>
        <w:numPr>
          <w:ilvl w:val="0"/>
          <w:numId w:val="0"/>
        </w:numPr>
        <w:spacing w:line="240" w:lineRule="auto"/>
        <w:ind w:left="1440" w:right="1440"/>
        <w:contextualSpacing/>
        <w:rPr>
          <w:sz w:val="26"/>
          <w:szCs w:val="26"/>
        </w:rPr>
      </w:pPr>
      <w:r w:rsidRPr="003717CC">
        <w:rPr>
          <w:sz w:val="26"/>
          <w:szCs w:val="26"/>
        </w:rPr>
        <w:tab/>
        <w:t xml:space="preserve">The Company has presented a revenue allocation methodology that, in line with its previous distribution cases, continues to move all classes “at or near” the full cost of providing service while also moving all classes towards the system average rate of return.  As a result, the allocation of the distribution increase only to residential customers is reasonable and should be accepted by the Commission.  </w:t>
      </w:r>
    </w:p>
    <w:p w:rsidR="0047264D" w:rsidRPr="003717CC" w:rsidRDefault="0047264D" w:rsidP="0047264D">
      <w:pPr>
        <w:pStyle w:val="Pleading2L3"/>
        <w:numPr>
          <w:ilvl w:val="0"/>
          <w:numId w:val="0"/>
        </w:numPr>
        <w:spacing w:line="240" w:lineRule="auto"/>
        <w:ind w:left="1440" w:right="1440"/>
        <w:contextualSpacing/>
        <w:rPr>
          <w:sz w:val="26"/>
          <w:szCs w:val="26"/>
        </w:rPr>
      </w:pPr>
    </w:p>
    <w:p w:rsidR="0047264D" w:rsidRPr="003717CC" w:rsidRDefault="0047264D" w:rsidP="0047264D">
      <w:pPr>
        <w:pStyle w:val="Pleading2L3"/>
        <w:numPr>
          <w:ilvl w:val="0"/>
          <w:numId w:val="0"/>
        </w:numPr>
        <w:spacing w:line="360" w:lineRule="auto"/>
        <w:ind w:firstLine="1440"/>
        <w:rPr>
          <w:sz w:val="26"/>
          <w:szCs w:val="26"/>
        </w:rPr>
      </w:pPr>
      <w:r w:rsidRPr="003717CC">
        <w:rPr>
          <w:sz w:val="26"/>
          <w:szCs w:val="26"/>
        </w:rPr>
        <w:t>PPLICA M.B. at 11, 12;</w:t>
      </w:r>
      <w:r w:rsidRPr="003717CC">
        <w:rPr>
          <w:i/>
          <w:sz w:val="26"/>
          <w:szCs w:val="26"/>
        </w:rPr>
        <w:t xml:space="preserve"> </w:t>
      </w:r>
      <w:r w:rsidRPr="003717CC">
        <w:rPr>
          <w:sz w:val="26"/>
          <w:szCs w:val="26"/>
        </w:rPr>
        <w:t>PPLICA R.B. at 8; R.D. at 41.</w:t>
      </w:r>
    </w:p>
    <w:p w:rsidR="0047264D" w:rsidRPr="003717CC" w:rsidRDefault="0047264D" w:rsidP="0047264D">
      <w:pPr>
        <w:pStyle w:val="Pleading2L3"/>
        <w:numPr>
          <w:ilvl w:val="0"/>
          <w:numId w:val="0"/>
        </w:numPr>
        <w:spacing w:line="360" w:lineRule="auto"/>
        <w:ind w:firstLine="1440"/>
        <w:rPr>
          <w:sz w:val="26"/>
          <w:szCs w:val="26"/>
        </w:rPr>
      </w:pPr>
    </w:p>
    <w:p w:rsidR="0047264D" w:rsidRPr="003717CC" w:rsidRDefault="0047264D" w:rsidP="0047264D">
      <w:pPr>
        <w:pStyle w:val="Pleading2L3"/>
        <w:numPr>
          <w:ilvl w:val="0"/>
          <w:numId w:val="0"/>
        </w:numPr>
        <w:spacing w:line="360" w:lineRule="auto"/>
        <w:ind w:firstLine="1440"/>
        <w:contextualSpacing/>
        <w:rPr>
          <w:sz w:val="26"/>
          <w:szCs w:val="26"/>
        </w:rPr>
      </w:pPr>
      <w:r w:rsidRPr="003717CC">
        <w:rPr>
          <w:sz w:val="26"/>
          <w:szCs w:val="26"/>
        </w:rPr>
        <w:t>Accordingly, PPLICA recommends approval of PPL’s revenue allocation methodology and rejection of the OCA’s, which PPLICA characterizes as unjust and unreasonable under Section 1301 of the Code, 66 Pa. C.S. § 1301.  PPLICA R.B. at 8; R.D. at 45.  Specifically, PPLICA objects to the proposal to allocate $4.755 million to Rate Schedule LP-4, as well as the proposal to allocate $196,000 to Rate Schedules LP-5 and LP-6 (large industrial schedules).  PPLICA R.B. at 8; R.D. at 45.  PPLICA argues:</w:t>
      </w:r>
    </w:p>
    <w:p w:rsidR="0047264D" w:rsidRPr="003717CC" w:rsidRDefault="0047264D" w:rsidP="0047264D">
      <w:pPr>
        <w:pStyle w:val="Pleading2L3"/>
        <w:numPr>
          <w:ilvl w:val="0"/>
          <w:numId w:val="0"/>
        </w:numPr>
        <w:spacing w:line="360" w:lineRule="auto"/>
        <w:ind w:left="1440" w:right="1440"/>
        <w:rPr>
          <w:sz w:val="26"/>
          <w:szCs w:val="26"/>
        </w:rPr>
      </w:pPr>
    </w:p>
    <w:p w:rsidR="0047264D" w:rsidRPr="003717CC" w:rsidRDefault="0047264D" w:rsidP="0047264D">
      <w:pPr>
        <w:pStyle w:val="Pleading2L3"/>
        <w:numPr>
          <w:ilvl w:val="0"/>
          <w:numId w:val="0"/>
        </w:numPr>
        <w:spacing w:line="240" w:lineRule="auto"/>
        <w:ind w:left="1440" w:right="1440"/>
        <w:rPr>
          <w:sz w:val="26"/>
          <w:szCs w:val="26"/>
        </w:rPr>
      </w:pPr>
      <w:r w:rsidRPr="003717CC">
        <w:rPr>
          <w:sz w:val="26"/>
          <w:szCs w:val="26"/>
        </w:rPr>
        <w:tab/>
        <w:t>Although PPL’s COSS shows that these rate schedules are earning a return that is below the system average return, the 17.37% increase that the OCA proposes for these customers is higher than any other class under the OCA’s proposal.  Any rate increase assigned to Rate Schedules LP-5 and LP-6 must comport with gradualism.</w:t>
      </w:r>
    </w:p>
    <w:p w:rsidR="0047264D" w:rsidRPr="003717CC" w:rsidRDefault="0047264D" w:rsidP="0047264D">
      <w:pPr>
        <w:pStyle w:val="Pleading2L3"/>
        <w:numPr>
          <w:ilvl w:val="0"/>
          <w:numId w:val="0"/>
        </w:numPr>
        <w:spacing w:line="240" w:lineRule="auto"/>
        <w:ind w:left="1440" w:right="1440"/>
        <w:rPr>
          <w:sz w:val="26"/>
          <w:szCs w:val="26"/>
        </w:rPr>
      </w:pPr>
    </w:p>
    <w:p w:rsidR="0047264D" w:rsidRPr="003717CC" w:rsidRDefault="0047264D" w:rsidP="0047264D">
      <w:pPr>
        <w:pStyle w:val="Pleading2L3"/>
        <w:numPr>
          <w:ilvl w:val="0"/>
          <w:numId w:val="0"/>
        </w:numPr>
        <w:spacing w:line="360" w:lineRule="auto"/>
        <w:ind w:left="1440" w:right="1440" w:hanging="1440"/>
        <w:rPr>
          <w:sz w:val="26"/>
          <w:szCs w:val="26"/>
        </w:rPr>
      </w:pPr>
      <w:r w:rsidRPr="003717CC">
        <w:rPr>
          <w:sz w:val="26"/>
          <w:szCs w:val="26"/>
        </w:rPr>
        <w:t>PPLICA R.B. at 9; R.D. at 45, 46.</w:t>
      </w:r>
    </w:p>
    <w:p w:rsidR="0047264D" w:rsidRPr="003717CC" w:rsidRDefault="0047264D" w:rsidP="0047264D">
      <w:pPr>
        <w:pStyle w:val="Pleading2L3"/>
        <w:numPr>
          <w:ilvl w:val="0"/>
          <w:numId w:val="0"/>
        </w:numPr>
        <w:spacing w:line="360" w:lineRule="auto"/>
        <w:rPr>
          <w:sz w:val="26"/>
          <w:szCs w:val="26"/>
        </w:rPr>
      </w:pPr>
    </w:p>
    <w:p w:rsidR="0047264D" w:rsidRPr="003717CC" w:rsidRDefault="0047264D" w:rsidP="0047264D">
      <w:pPr>
        <w:pStyle w:val="Pleading2L3"/>
        <w:numPr>
          <w:ilvl w:val="0"/>
          <w:numId w:val="0"/>
        </w:numPr>
        <w:spacing w:line="360" w:lineRule="auto"/>
        <w:ind w:firstLine="1440"/>
        <w:rPr>
          <w:sz w:val="26"/>
          <w:szCs w:val="26"/>
        </w:rPr>
      </w:pPr>
      <w:r w:rsidRPr="003717CC">
        <w:rPr>
          <w:sz w:val="26"/>
          <w:szCs w:val="26"/>
        </w:rPr>
        <w:t>PPLICA recommends that the Commission use a specific COSS, and not an average of the current and prior studies per OSBA’s suggestion.  PPLICA asks the Commission to reject the OSBA recommendations for the large industrials’ schedules:</w:t>
      </w:r>
    </w:p>
    <w:p w:rsidR="0047264D" w:rsidRPr="003717CC" w:rsidRDefault="0047264D" w:rsidP="0047264D">
      <w:pPr>
        <w:pStyle w:val="Pleading2L3"/>
        <w:numPr>
          <w:ilvl w:val="0"/>
          <w:numId w:val="0"/>
        </w:numPr>
        <w:spacing w:line="360" w:lineRule="auto"/>
        <w:ind w:left="1440" w:right="1440"/>
        <w:rPr>
          <w:sz w:val="26"/>
          <w:szCs w:val="26"/>
        </w:rPr>
      </w:pPr>
    </w:p>
    <w:p w:rsidR="0047264D" w:rsidRPr="003717CC" w:rsidRDefault="0047264D" w:rsidP="0047264D">
      <w:pPr>
        <w:pStyle w:val="Pleading2L3"/>
        <w:numPr>
          <w:ilvl w:val="0"/>
          <w:numId w:val="0"/>
        </w:numPr>
        <w:spacing w:line="240" w:lineRule="auto"/>
        <w:ind w:left="1440" w:right="1440"/>
        <w:rPr>
          <w:sz w:val="26"/>
          <w:szCs w:val="26"/>
        </w:rPr>
      </w:pPr>
      <w:r w:rsidRPr="003717CC">
        <w:rPr>
          <w:sz w:val="26"/>
          <w:szCs w:val="26"/>
        </w:rPr>
        <w:tab/>
        <w:t xml:space="preserve">In addition, the OSBA’s proposed increase for Rate Schedules LP-5 and LP-6 is clearly inappropriate and excessive.  The OSBA’s proposed allocation of the $77.5 million settlement revenue requirement allocates $1.211 million to Rate Schedules LP-5 and LP-6.  </w:t>
      </w:r>
      <w:r w:rsidRPr="003717CC">
        <w:rPr>
          <w:i/>
          <w:sz w:val="26"/>
          <w:szCs w:val="26"/>
        </w:rPr>
        <w:t xml:space="preserve">See </w:t>
      </w:r>
      <w:r w:rsidRPr="003717CC">
        <w:rPr>
          <w:sz w:val="26"/>
          <w:szCs w:val="26"/>
        </w:rPr>
        <w:t xml:space="preserve">OSBA M.B. at 21.  This represents a 107% increase for the Rate Schedule LP-5 and LP-6 customers.  This is clearly unjust, unreasonable and excessive.  No other class is being subjected to such an excessive increase.  Although OSBA claims that this is appropriate because the overall distribution rates paid by these customers are low when viewed on a cents per kWh basis, this does not change the reality that proper ratemaking principles should be followed.  These customers did not get immediate reductions to cost-based rates in prior cases when the COSS showed that the classes were providing excessive returns.  </w:t>
      </w:r>
      <w:r w:rsidRPr="003717CC">
        <w:rPr>
          <w:i/>
          <w:sz w:val="26"/>
          <w:szCs w:val="26"/>
        </w:rPr>
        <w:t>See</w:t>
      </w:r>
      <w:r w:rsidRPr="003717CC">
        <w:rPr>
          <w:sz w:val="26"/>
          <w:szCs w:val="26"/>
        </w:rPr>
        <w:t xml:space="preserve"> PPLICA St. No. 2-R at 9.  These customers should be entitled to the benefits of gradualism in this proceeding.  </w:t>
      </w:r>
    </w:p>
    <w:p w:rsidR="0047264D" w:rsidRPr="003717CC" w:rsidRDefault="0047264D" w:rsidP="0047264D">
      <w:pPr>
        <w:pStyle w:val="Pleading2L3"/>
        <w:numPr>
          <w:ilvl w:val="0"/>
          <w:numId w:val="0"/>
        </w:numPr>
        <w:spacing w:line="240" w:lineRule="auto"/>
        <w:ind w:left="1440" w:right="1440"/>
        <w:rPr>
          <w:sz w:val="26"/>
          <w:szCs w:val="26"/>
        </w:rPr>
      </w:pPr>
    </w:p>
    <w:p w:rsidR="0047264D" w:rsidRPr="003717CC" w:rsidRDefault="0047264D" w:rsidP="0047264D">
      <w:pPr>
        <w:pStyle w:val="Pleading2L3"/>
        <w:numPr>
          <w:ilvl w:val="0"/>
          <w:numId w:val="0"/>
        </w:numPr>
        <w:spacing w:line="360" w:lineRule="auto"/>
        <w:ind w:left="1440" w:right="1440" w:hanging="1440"/>
        <w:rPr>
          <w:sz w:val="26"/>
          <w:szCs w:val="26"/>
        </w:rPr>
      </w:pPr>
      <w:r w:rsidRPr="003717CC">
        <w:rPr>
          <w:sz w:val="26"/>
          <w:szCs w:val="26"/>
        </w:rPr>
        <w:t>PPLICA R.B. at 10; R.D. at 46.</w:t>
      </w:r>
    </w:p>
    <w:p w:rsidR="0047264D" w:rsidRPr="0049444E" w:rsidRDefault="0047264D" w:rsidP="0047264D">
      <w:pPr>
        <w:pStyle w:val="Pleading2L3"/>
        <w:numPr>
          <w:ilvl w:val="0"/>
          <w:numId w:val="0"/>
        </w:numPr>
        <w:spacing w:line="360" w:lineRule="auto"/>
        <w:ind w:firstLine="1440"/>
        <w:rPr>
          <w:sz w:val="26"/>
          <w:szCs w:val="26"/>
        </w:rPr>
      </w:pPr>
    </w:p>
    <w:p w:rsidR="0047264D" w:rsidRPr="007008F4" w:rsidRDefault="0047264D" w:rsidP="0047264D">
      <w:pPr>
        <w:pStyle w:val="Pleading2L3"/>
        <w:numPr>
          <w:ilvl w:val="0"/>
          <w:numId w:val="0"/>
        </w:numPr>
        <w:spacing w:line="360" w:lineRule="auto"/>
        <w:ind w:firstLine="1440"/>
        <w:contextualSpacing/>
        <w:rPr>
          <w:sz w:val="26"/>
          <w:szCs w:val="26"/>
        </w:rPr>
      </w:pPr>
      <w:r>
        <w:rPr>
          <w:sz w:val="26"/>
          <w:szCs w:val="26"/>
        </w:rPr>
        <w:t>PPLICA advocated rejecting</w:t>
      </w:r>
      <w:r w:rsidRPr="00CB744C">
        <w:rPr>
          <w:sz w:val="26"/>
          <w:szCs w:val="26"/>
        </w:rPr>
        <w:t xml:space="preserve"> the OSBA recommendation that averages the two </w:t>
      </w:r>
      <w:r>
        <w:rPr>
          <w:sz w:val="26"/>
          <w:szCs w:val="26"/>
        </w:rPr>
        <w:t xml:space="preserve">PPL </w:t>
      </w:r>
      <w:r w:rsidRPr="00CB744C">
        <w:rPr>
          <w:sz w:val="26"/>
          <w:szCs w:val="26"/>
        </w:rPr>
        <w:t>COSS</w:t>
      </w:r>
      <w:r>
        <w:rPr>
          <w:sz w:val="26"/>
          <w:szCs w:val="26"/>
        </w:rPr>
        <w:t>s</w:t>
      </w:r>
      <w:r w:rsidRPr="00CB744C">
        <w:rPr>
          <w:sz w:val="26"/>
          <w:szCs w:val="26"/>
        </w:rPr>
        <w:t xml:space="preserve"> in order to establish a consistent method for determining which classes are paying rates above and below the system average return.  PPLICA </w:t>
      </w:r>
      <w:r>
        <w:rPr>
          <w:sz w:val="26"/>
          <w:szCs w:val="26"/>
        </w:rPr>
        <w:t>R.B.</w:t>
      </w:r>
      <w:r w:rsidRPr="00CB744C">
        <w:rPr>
          <w:sz w:val="26"/>
          <w:szCs w:val="26"/>
        </w:rPr>
        <w:t xml:space="preserve"> at 10</w:t>
      </w:r>
      <w:r>
        <w:rPr>
          <w:sz w:val="26"/>
          <w:szCs w:val="26"/>
        </w:rPr>
        <w:t>; R.D.</w:t>
      </w:r>
      <w:r w:rsidR="00157141">
        <w:rPr>
          <w:sz w:val="26"/>
          <w:szCs w:val="26"/>
        </w:rPr>
        <w:t> </w:t>
      </w:r>
      <w:r>
        <w:rPr>
          <w:sz w:val="26"/>
          <w:szCs w:val="26"/>
        </w:rPr>
        <w:t>at 53.  PPLICA also proposed that p</w:t>
      </w:r>
      <w:r w:rsidRPr="00CB744C">
        <w:rPr>
          <w:sz w:val="26"/>
          <w:szCs w:val="26"/>
        </w:rPr>
        <w:t xml:space="preserve">roper ratemaking principles (gradualism) should be followed.  </w:t>
      </w:r>
      <w:r>
        <w:rPr>
          <w:i/>
          <w:sz w:val="26"/>
          <w:szCs w:val="26"/>
        </w:rPr>
        <w:t>Id.</w:t>
      </w:r>
    </w:p>
    <w:p w:rsidR="0047264D" w:rsidRPr="00CB744C" w:rsidRDefault="0047264D" w:rsidP="0047264D">
      <w:pPr>
        <w:pStyle w:val="Pleading2L3"/>
        <w:numPr>
          <w:ilvl w:val="0"/>
          <w:numId w:val="0"/>
        </w:numPr>
        <w:spacing w:line="360" w:lineRule="auto"/>
        <w:ind w:left="1440" w:right="1440"/>
        <w:contextualSpacing/>
        <w:rPr>
          <w:sz w:val="26"/>
          <w:szCs w:val="26"/>
        </w:rPr>
      </w:pPr>
    </w:p>
    <w:p w:rsidR="0047264D" w:rsidRPr="00CB744C" w:rsidRDefault="0047264D" w:rsidP="0047264D">
      <w:pPr>
        <w:pStyle w:val="Pleading2L3"/>
        <w:numPr>
          <w:ilvl w:val="0"/>
          <w:numId w:val="0"/>
        </w:numPr>
        <w:spacing w:line="360" w:lineRule="auto"/>
        <w:contextualSpacing/>
        <w:rPr>
          <w:sz w:val="26"/>
          <w:szCs w:val="26"/>
        </w:rPr>
      </w:pPr>
      <w:r>
        <w:rPr>
          <w:sz w:val="26"/>
          <w:szCs w:val="26"/>
        </w:rPr>
        <w:lastRenderedPageBreak/>
        <w:tab/>
      </w:r>
      <w:r>
        <w:rPr>
          <w:sz w:val="26"/>
          <w:szCs w:val="26"/>
        </w:rPr>
        <w:tab/>
        <w:t>The</w:t>
      </w:r>
      <w:r w:rsidRPr="00CB744C">
        <w:rPr>
          <w:sz w:val="26"/>
          <w:szCs w:val="26"/>
        </w:rPr>
        <w:t xml:space="preserve"> OSBA configured the rates of return under both JMK-2A and JMK-2B, and then averaged the class rates of return, which </w:t>
      </w:r>
      <w:r>
        <w:rPr>
          <w:sz w:val="26"/>
          <w:szCs w:val="26"/>
        </w:rPr>
        <w:t>it</w:t>
      </w:r>
      <w:r w:rsidRPr="00CB744C">
        <w:rPr>
          <w:sz w:val="26"/>
          <w:szCs w:val="26"/>
        </w:rPr>
        <w:t xml:space="preserve"> believes will create a fair result.  </w:t>
      </w:r>
      <w:r w:rsidRPr="00E24EE5">
        <w:rPr>
          <w:sz w:val="26"/>
          <w:szCs w:val="26"/>
        </w:rPr>
        <w:t xml:space="preserve">OSBA </w:t>
      </w:r>
      <w:r>
        <w:rPr>
          <w:sz w:val="26"/>
          <w:szCs w:val="26"/>
        </w:rPr>
        <w:t>M.B.</w:t>
      </w:r>
      <w:r w:rsidRPr="00E24EE5">
        <w:rPr>
          <w:sz w:val="26"/>
          <w:szCs w:val="26"/>
        </w:rPr>
        <w:t xml:space="preserve"> at 12, citing OSBA Stmt. 3 at 2</w:t>
      </w:r>
      <w:r>
        <w:rPr>
          <w:sz w:val="26"/>
          <w:szCs w:val="26"/>
        </w:rPr>
        <w:t>; R.D. at 51</w:t>
      </w:r>
      <w:r w:rsidRPr="00E24EE5">
        <w:rPr>
          <w:sz w:val="26"/>
          <w:szCs w:val="26"/>
        </w:rPr>
        <w:t>.</w:t>
      </w:r>
      <w:r>
        <w:rPr>
          <w:sz w:val="26"/>
          <w:szCs w:val="26"/>
        </w:rPr>
        <w:t xml:space="preserve">  The OSBA </w:t>
      </w:r>
      <w:r w:rsidRPr="00CB744C">
        <w:rPr>
          <w:sz w:val="26"/>
          <w:szCs w:val="26"/>
        </w:rPr>
        <w:t>reason</w:t>
      </w:r>
      <w:r>
        <w:rPr>
          <w:sz w:val="26"/>
          <w:szCs w:val="26"/>
        </w:rPr>
        <w:t>ed</w:t>
      </w:r>
      <w:r w:rsidRPr="00CB744C">
        <w:rPr>
          <w:sz w:val="26"/>
          <w:szCs w:val="26"/>
        </w:rPr>
        <w:t xml:space="preserve"> that JMK</w:t>
      </w:r>
      <w:r w:rsidR="00157141">
        <w:rPr>
          <w:sz w:val="26"/>
          <w:szCs w:val="26"/>
        </w:rPr>
        <w:noBreakHyphen/>
      </w:r>
      <w:r w:rsidRPr="00CB744C">
        <w:rPr>
          <w:sz w:val="26"/>
          <w:szCs w:val="26"/>
        </w:rPr>
        <w:t xml:space="preserve">2A is most consistent with the dictates of the NARUC </w:t>
      </w:r>
      <w:r>
        <w:rPr>
          <w:sz w:val="26"/>
          <w:szCs w:val="26"/>
        </w:rPr>
        <w:t>M</w:t>
      </w:r>
      <w:r w:rsidRPr="00CB744C">
        <w:rPr>
          <w:sz w:val="26"/>
          <w:szCs w:val="26"/>
        </w:rPr>
        <w:t>anual, and that the primary distribution system</w:t>
      </w:r>
      <w:r>
        <w:rPr>
          <w:sz w:val="26"/>
          <w:szCs w:val="26"/>
        </w:rPr>
        <w:t xml:space="preserve"> </w:t>
      </w:r>
      <w:r w:rsidRPr="00CB744C">
        <w:rPr>
          <w:sz w:val="26"/>
          <w:szCs w:val="26"/>
        </w:rPr>
        <w:t>costs contain both a customer and a demand component.</w:t>
      </w:r>
      <w:r>
        <w:rPr>
          <w:sz w:val="26"/>
          <w:szCs w:val="26"/>
        </w:rPr>
        <w:t xml:space="preserve">  </w:t>
      </w:r>
      <w:r>
        <w:rPr>
          <w:i/>
          <w:sz w:val="26"/>
          <w:szCs w:val="26"/>
        </w:rPr>
        <w:t>Id.</w:t>
      </w:r>
      <w:r w:rsidRPr="00CB744C">
        <w:rPr>
          <w:sz w:val="26"/>
          <w:szCs w:val="26"/>
        </w:rPr>
        <w:t xml:space="preserve">  However, </w:t>
      </w:r>
      <w:r>
        <w:rPr>
          <w:sz w:val="26"/>
          <w:szCs w:val="26"/>
        </w:rPr>
        <w:t>the OSBA</w:t>
      </w:r>
      <w:r w:rsidRPr="00CB744C">
        <w:rPr>
          <w:sz w:val="26"/>
          <w:szCs w:val="26"/>
        </w:rPr>
        <w:t xml:space="preserve"> </w:t>
      </w:r>
      <w:r>
        <w:rPr>
          <w:sz w:val="26"/>
          <w:szCs w:val="26"/>
        </w:rPr>
        <w:t>averred that</w:t>
      </w:r>
      <w:r w:rsidRPr="00CB744C">
        <w:rPr>
          <w:sz w:val="26"/>
          <w:szCs w:val="26"/>
        </w:rPr>
        <w:t xml:space="preserve"> </w:t>
      </w:r>
      <w:r>
        <w:rPr>
          <w:sz w:val="26"/>
          <w:szCs w:val="26"/>
        </w:rPr>
        <w:t>JMK-2A</w:t>
      </w:r>
      <w:r w:rsidRPr="00CB744C">
        <w:rPr>
          <w:sz w:val="26"/>
          <w:szCs w:val="26"/>
        </w:rPr>
        <w:t xml:space="preserve"> will overstate the customer-re</w:t>
      </w:r>
      <w:r>
        <w:rPr>
          <w:sz w:val="26"/>
          <w:szCs w:val="26"/>
        </w:rPr>
        <w:t>lated component of distribution</w:t>
      </w:r>
      <w:r w:rsidRPr="00CB744C">
        <w:rPr>
          <w:sz w:val="26"/>
          <w:szCs w:val="26"/>
        </w:rPr>
        <w:t xml:space="preserve"> costs due to the load carrying capability of the minimum system and</w:t>
      </w:r>
      <w:r>
        <w:rPr>
          <w:sz w:val="26"/>
          <w:szCs w:val="26"/>
        </w:rPr>
        <w:t>,</w:t>
      </w:r>
      <w:r w:rsidRPr="00CB744C">
        <w:rPr>
          <w:sz w:val="26"/>
          <w:szCs w:val="26"/>
        </w:rPr>
        <w:t xml:space="preserve"> therefore, </w:t>
      </w:r>
      <w:r>
        <w:rPr>
          <w:sz w:val="26"/>
          <w:szCs w:val="26"/>
        </w:rPr>
        <w:t>the OSBA has relied</w:t>
      </w:r>
      <w:r w:rsidRPr="00CB744C">
        <w:rPr>
          <w:sz w:val="26"/>
          <w:szCs w:val="26"/>
        </w:rPr>
        <w:t xml:space="preserve"> </w:t>
      </w:r>
      <w:r>
        <w:rPr>
          <w:sz w:val="26"/>
          <w:szCs w:val="26"/>
        </w:rPr>
        <w:t>upo</w:t>
      </w:r>
      <w:r w:rsidRPr="00CB744C">
        <w:rPr>
          <w:sz w:val="26"/>
          <w:szCs w:val="26"/>
        </w:rPr>
        <w:t xml:space="preserve">n </w:t>
      </w:r>
      <w:r>
        <w:rPr>
          <w:sz w:val="26"/>
          <w:szCs w:val="26"/>
        </w:rPr>
        <w:t>an average of JMK-2A and</w:t>
      </w:r>
      <w:r w:rsidRPr="00CB744C">
        <w:rPr>
          <w:sz w:val="26"/>
          <w:szCs w:val="26"/>
        </w:rPr>
        <w:t xml:space="preserve"> JMK-2B.</w:t>
      </w:r>
      <w:r>
        <w:rPr>
          <w:sz w:val="26"/>
          <w:szCs w:val="26"/>
        </w:rPr>
        <w:t xml:space="preserve">  </w:t>
      </w:r>
      <w:r>
        <w:rPr>
          <w:i/>
          <w:sz w:val="26"/>
          <w:szCs w:val="26"/>
        </w:rPr>
        <w:t>Id.</w:t>
      </w:r>
    </w:p>
    <w:p w:rsidR="0047264D" w:rsidRPr="00CB744C" w:rsidRDefault="0047264D" w:rsidP="0047264D">
      <w:pPr>
        <w:pStyle w:val="Pleading2L3"/>
        <w:numPr>
          <w:ilvl w:val="0"/>
          <w:numId w:val="0"/>
        </w:numPr>
        <w:spacing w:line="240" w:lineRule="auto"/>
        <w:ind w:left="1440" w:right="1440" w:firstLine="720"/>
        <w:contextualSpacing/>
        <w:rPr>
          <w:sz w:val="26"/>
          <w:szCs w:val="26"/>
        </w:rPr>
      </w:pPr>
    </w:p>
    <w:p w:rsidR="0047264D" w:rsidRDefault="0047264D" w:rsidP="0047264D">
      <w:pPr>
        <w:pStyle w:val="Pleading2L3"/>
        <w:numPr>
          <w:ilvl w:val="0"/>
          <w:numId w:val="0"/>
        </w:numPr>
        <w:spacing w:line="360" w:lineRule="auto"/>
        <w:ind w:firstLine="1440"/>
        <w:contextualSpacing/>
        <w:rPr>
          <w:sz w:val="26"/>
          <w:szCs w:val="26"/>
        </w:rPr>
      </w:pPr>
      <w:r>
        <w:rPr>
          <w:sz w:val="26"/>
          <w:szCs w:val="26"/>
        </w:rPr>
        <w:t>The OSBA recommended</w:t>
      </w:r>
      <w:r w:rsidRPr="00CB744C">
        <w:rPr>
          <w:sz w:val="26"/>
          <w:szCs w:val="26"/>
        </w:rPr>
        <w:t xml:space="preserve"> that the reduced</w:t>
      </w:r>
      <w:r>
        <w:rPr>
          <w:sz w:val="26"/>
          <w:szCs w:val="26"/>
        </w:rPr>
        <w:t xml:space="preserve"> increase</w:t>
      </w:r>
      <w:r w:rsidRPr="00CB744C">
        <w:rPr>
          <w:sz w:val="26"/>
          <w:szCs w:val="26"/>
        </w:rPr>
        <w:t xml:space="preserve"> amount</w:t>
      </w:r>
      <w:r>
        <w:rPr>
          <w:sz w:val="26"/>
          <w:szCs w:val="26"/>
        </w:rPr>
        <w:t xml:space="preserve"> of $37,175,000</w:t>
      </w:r>
      <w:r w:rsidRPr="00AD088A">
        <w:rPr>
          <w:rStyle w:val="FootnoteReference"/>
          <w:vertAlign w:val="superscript"/>
        </w:rPr>
        <w:footnoteReference w:id="9"/>
      </w:r>
      <w:r w:rsidRPr="00CB744C">
        <w:rPr>
          <w:sz w:val="26"/>
          <w:szCs w:val="26"/>
        </w:rPr>
        <w:t xml:space="preserve"> be allocated by providing </w:t>
      </w:r>
      <w:r>
        <w:rPr>
          <w:sz w:val="26"/>
          <w:szCs w:val="26"/>
        </w:rPr>
        <w:t>FDR</w:t>
      </w:r>
      <w:r w:rsidRPr="00CB744C">
        <w:rPr>
          <w:sz w:val="26"/>
          <w:szCs w:val="26"/>
        </w:rPr>
        <w:t xml:space="preserve"> to GS-1, GS-3 and LPEP rate classes.</w:t>
      </w:r>
      <w:r>
        <w:rPr>
          <w:sz w:val="26"/>
          <w:szCs w:val="26"/>
        </w:rPr>
        <w:t xml:space="preserve">  </w:t>
      </w:r>
      <w:r w:rsidRPr="004A4AB5">
        <w:rPr>
          <w:sz w:val="26"/>
          <w:szCs w:val="26"/>
        </w:rPr>
        <w:t xml:space="preserve">OSBA </w:t>
      </w:r>
      <w:r>
        <w:rPr>
          <w:sz w:val="26"/>
          <w:szCs w:val="26"/>
        </w:rPr>
        <w:t>M.B.</w:t>
      </w:r>
      <w:r w:rsidRPr="004A4AB5">
        <w:rPr>
          <w:sz w:val="26"/>
          <w:szCs w:val="26"/>
        </w:rPr>
        <w:t xml:space="preserve"> at 20, citing OSBA Stmt. 3 at 31</w:t>
      </w:r>
      <w:r>
        <w:rPr>
          <w:sz w:val="26"/>
          <w:szCs w:val="26"/>
        </w:rPr>
        <w:t>; R.D. at 52</w:t>
      </w:r>
      <w:r w:rsidRPr="004A4AB5">
        <w:rPr>
          <w:sz w:val="26"/>
          <w:szCs w:val="26"/>
        </w:rPr>
        <w:t>.</w:t>
      </w:r>
    </w:p>
    <w:p w:rsidR="0047264D" w:rsidRPr="004A4AB5" w:rsidRDefault="0047264D" w:rsidP="0047264D">
      <w:pPr>
        <w:pStyle w:val="Pleading2L3"/>
        <w:numPr>
          <w:ilvl w:val="0"/>
          <w:numId w:val="0"/>
        </w:numPr>
        <w:spacing w:line="360" w:lineRule="auto"/>
        <w:ind w:firstLine="1440"/>
        <w:contextualSpacing/>
        <w:rPr>
          <w:sz w:val="26"/>
          <w:szCs w:val="26"/>
        </w:rPr>
      </w:pPr>
    </w:p>
    <w:p w:rsidR="0047264D" w:rsidRPr="00CB744C" w:rsidRDefault="0047264D" w:rsidP="0047264D">
      <w:pPr>
        <w:pStyle w:val="Pleading2L3"/>
        <w:numPr>
          <w:ilvl w:val="0"/>
          <w:numId w:val="0"/>
        </w:numPr>
        <w:spacing w:line="360" w:lineRule="auto"/>
        <w:ind w:firstLine="1440"/>
        <w:contextualSpacing/>
        <w:rPr>
          <w:sz w:val="26"/>
          <w:szCs w:val="26"/>
        </w:rPr>
      </w:pPr>
      <w:r>
        <w:rPr>
          <w:sz w:val="26"/>
          <w:szCs w:val="26"/>
        </w:rPr>
        <w:t xml:space="preserve">The </w:t>
      </w:r>
      <w:r w:rsidRPr="00CB744C">
        <w:rPr>
          <w:sz w:val="26"/>
          <w:szCs w:val="26"/>
        </w:rPr>
        <w:t xml:space="preserve">OSBA </w:t>
      </w:r>
      <w:r>
        <w:rPr>
          <w:sz w:val="26"/>
          <w:szCs w:val="26"/>
        </w:rPr>
        <w:t>further recommended</w:t>
      </w:r>
      <w:r w:rsidRPr="00CB744C">
        <w:rPr>
          <w:sz w:val="26"/>
          <w:szCs w:val="26"/>
        </w:rPr>
        <w:t xml:space="preserve"> that the first $18.135 million of the </w:t>
      </w:r>
      <w:r>
        <w:rPr>
          <w:sz w:val="26"/>
          <w:szCs w:val="26"/>
        </w:rPr>
        <w:t xml:space="preserve">$37.175 million </w:t>
      </w:r>
      <w:r w:rsidRPr="00CB744C">
        <w:rPr>
          <w:sz w:val="26"/>
          <w:szCs w:val="26"/>
        </w:rPr>
        <w:t>difference between the filed proposal and the settlement be applied to those rate classes whose rate of return is above the system average before addressing the remaining amount.</w:t>
      </w:r>
      <w:r>
        <w:rPr>
          <w:sz w:val="26"/>
          <w:szCs w:val="26"/>
        </w:rPr>
        <w:t xml:space="preserve">  </w:t>
      </w:r>
      <w:r>
        <w:rPr>
          <w:i/>
          <w:sz w:val="26"/>
          <w:szCs w:val="26"/>
        </w:rPr>
        <w:t>Id.</w:t>
      </w:r>
      <w:r w:rsidRPr="00CB744C">
        <w:rPr>
          <w:sz w:val="26"/>
          <w:szCs w:val="26"/>
        </w:rPr>
        <w:t xml:space="preserve">  This would result in rate </w:t>
      </w:r>
      <w:r w:rsidRPr="00CB744C">
        <w:rPr>
          <w:i/>
          <w:sz w:val="26"/>
          <w:szCs w:val="26"/>
        </w:rPr>
        <w:t xml:space="preserve">decreases </w:t>
      </w:r>
      <w:r w:rsidRPr="00CB744C">
        <w:rPr>
          <w:sz w:val="26"/>
          <w:szCs w:val="26"/>
        </w:rPr>
        <w:t xml:space="preserve">for five rate classes, which </w:t>
      </w:r>
      <w:r>
        <w:rPr>
          <w:sz w:val="26"/>
          <w:szCs w:val="26"/>
        </w:rPr>
        <w:t xml:space="preserve">the </w:t>
      </w:r>
      <w:r w:rsidRPr="00CB744C">
        <w:rPr>
          <w:sz w:val="26"/>
          <w:szCs w:val="26"/>
        </w:rPr>
        <w:t xml:space="preserve">OSBA submits is appropriate in </w:t>
      </w:r>
      <w:r>
        <w:rPr>
          <w:sz w:val="26"/>
          <w:szCs w:val="26"/>
        </w:rPr>
        <w:t>PPL</w:t>
      </w:r>
      <w:r w:rsidRPr="00CB744C">
        <w:rPr>
          <w:sz w:val="26"/>
          <w:szCs w:val="26"/>
        </w:rPr>
        <w:t>’s quest to move all rate classes toward the system average rate of return and cost-based rates.  OSBA M</w:t>
      </w:r>
      <w:r>
        <w:rPr>
          <w:sz w:val="26"/>
          <w:szCs w:val="26"/>
        </w:rPr>
        <w:t>.B.</w:t>
      </w:r>
      <w:r w:rsidRPr="00CB744C">
        <w:rPr>
          <w:sz w:val="26"/>
          <w:szCs w:val="26"/>
        </w:rPr>
        <w:t xml:space="preserve"> at 21</w:t>
      </w:r>
      <w:r>
        <w:rPr>
          <w:sz w:val="26"/>
          <w:szCs w:val="26"/>
        </w:rPr>
        <w:t xml:space="preserve">; R.D. at 52 </w:t>
      </w:r>
      <w:r w:rsidRPr="00CB744C">
        <w:rPr>
          <w:sz w:val="26"/>
          <w:szCs w:val="26"/>
        </w:rPr>
        <w:t>.</w:t>
      </w:r>
    </w:p>
    <w:p w:rsidR="0047264D" w:rsidRPr="00CB744C" w:rsidRDefault="0047264D" w:rsidP="0047264D">
      <w:pPr>
        <w:pStyle w:val="Pleading2L3"/>
        <w:numPr>
          <w:ilvl w:val="0"/>
          <w:numId w:val="0"/>
        </w:numPr>
        <w:spacing w:line="360" w:lineRule="auto"/>
        <w:contextualSpacing/>
        <w:rPr>
          <w:sz w:val="26"/>
          <w:szCs w:val="26"/>
        </w:rPr>
      </w:pPr>
    </w:p>
    <w:p w:rsidR="0047264D" w:rsidRPr="007B018D" w:rsidRDefault="0047264D" w:rsidP="0047264D">
      <w:pPr>
        <w:pStyle w:val="Pleading2L3"/>
        <w:numPr>
          <w:ilvl w:val="0"/>
          <w:numId w:val="0"/>
        </w:numPr>
        <w:spacing w:line="360" w:lineRule="auto"/>
        <w:ind w:firstLine="1440"/>
        <w:contextualSpacing/>
        <w:rPr>
          <w:sz w:val="26"/>
          <w:szCs w:val="26"/>
        </w:rPr>
      </w:pPr>
      <w:r>
        <w:rPr>
          <w:sz w:val="26"/>
          <w:szCs w:val="26"/>
        </w:rPr>
        <w:t xml:space="preserve">The </w:t>
      </w:r>
      <w:r w:rsidRPr="00CB744C">
        <w:rPr>
          <w:sz w:val="26"/>
          <w:szCs w:val="26"/>
        </w:rPr>
        <w:t>OSBA</w:t>
      </w:r>
      <w:r>
        <w:rPr>
          <w:sz w:val="26"/>
          <w:szCs w:val="26"/>
        </w:rPr>
        <w:t xml:space="preserve"> was concerned</w:t>
      </w:r>
      <w:r w:rsidRPr="00CB744C">
        <w:rPr>
          <w:sz w:val="26"/>
          <w:szCs w:val="26"/>
        </w:rPr>
        <w:t xml:space="preserve"> that no change in the rates of the GS-1 class would actually increase the excess return above the system average from 3.3 to 4.3 percentage points, which represents a substantial in</w:t>
      </w:r>
      <w:r>
        <w:rPr>
          <w:sz w:val="26"/>
          <w:szCs w:val="26"/>
        </w:rPr>
        <w:t>crease in the cross subsidy.  OSBA M.B. at 22; R.D. at 53.  The OSBA</w:t>
      </w:r>
      <w:r w:rsidRPr="00CB744C">
        <w:rPr>
          <w:sz w:val="26"/>
          <w:szCs w:val="26"/>
        </w:rPr>
        <w:t xml:space="preserve"> </w:t>
      </w:r>
      <w:r>
        <w:rPr>
          <w:sz w:val="26"/>
          <w:szCs w:val="26"/>
        </w:rPr>
        <w:t>further argued</w:t>
      </w:r>
      <w:r w:rsidRPr="00CB744C">
        <w:rPr>
          <w:sz w:val="26"/>
          <w:szCs w:val="26"/>
        </w:rPr>
        <w:t xml:space="preserve"> that while </w:t>
      </w:r>
      <w:r>
        <w:rPr>
          <w:sz w:val="26"/>
          <w:szCs w:val="26"/>
        </w:rPr>
        <w:t>PPL</w:t>
      </w:r>
      <w:r w:rsidRPr="00CB744C">
        <w:rPr>
          <w:sz w:val="26"/>
          <w:szCs w:val="26"/>
        </w:rPr>
        <w:t>’s original proposal for a zero rate increase for the GS-1 class may have been reasonable at the full proposed revenue requirement, it does not follow that it will reasonable at the settlement amount.</w:t>
      </w:r>
      <w:r>
        <w:rPr>
          <w:sz w:val="26"/>
          <w:szCs w:val="26"/>
        </w:rPr>
        <w:t>  </w:t>
      </w:r>
      <w:r>
        <w:rPr>
          <w:i/>
          <w:sz w:val="26"/>
          <w:szCs w:val="26"/>
        </w:rPr>
        <w:t>Id.</w:t>
      </w:r>
    </w:p>
    <w:p w:rsidR="0047264D" w:rsidRPr="00CB744C" w:rsidRDefault="0047264D" w:rsidP="0047264D">
      <w:pPr>
        <w:pStyle w:val="Pleading2L3"/>
        <w:numPr>
          <w:ilvl w:val="0"/>
          <w:numId w:val="0"/>
        </w:numPr>
        <w:spacing w:line="360" w:lineRule="auto"/>
        <w:ind w:firstLine="1440"/>
        <w:contextualSpacing/>
        <w:rPr>
          <w:sz w:val="26"/>
          <w:szCs w:val="26"/>
        </w:rPr>
      </w:pPr>
    </w:p>
    <w:p w:rsidR="0047264D" w:rsidRPr="00702B9F" w:rsidRDefault="0047264D" w:rsidP="0047264D">
      <w:pPr>
        <w:pStyle w:val="Pleading2L3"/>
        <w:numPr>
          <w:ilvl w:val="0"/>
          <w:numId w:val="0"/>
        </w:numPr>
        <w:spacing w:line="360" w:lineRule="auto"/>
        <w:ind w:firstLine="1440"/>
        <w:contextualSpacing/>
        <w:rPr>
          <w:sz w:val="26"/>
          <w:szCs w:val="26"/>
        </w:rPr>
      </w:pPr>
      <w:r w:rsidRPr="00CB744C">
        <w:rPr>
          <w:sz w:val="26"/>
          <w:szCs w:val="26"/>
        </w:rPr>
        <w:t xml:space="preserve">To further support its claims, </w:t>
      </w:r>
      <w:r>
        <w:rPr>
          <w:sz w:val="26"/>
          <w:szCs w:val="26"/>
        </w:rPr>
        <w:t xml:space="preserve">the </w:t>
      </w:r>
      <w:r w:rsidRPr="00CB744C">
        <w:rPr>
          <w:sz w:val="26"/>
          <w:szCs w:val="26"/>
        </w:rPr>
        <w:t xml:space="preserve">OSBA </w:t>
      </w:r>
      <w:r>
        <w:rPr>
          <w:sz w:val="26"/>
          <w:szCs w:val="26"/>
        </w:rPr>
        <w:t>asserted</w:t>
      </w:r>
      <w:r w:rsidRPr="00CB744C">
        <w:rPr>
          <w:sz w:val="26"/>
          <w:szCs w:val="26"/>
        </w:rPr>
        <w:t xml:space="preserve"> that </w:t>
      </w:r>
      <w:r>
        <w:rPr>
          <w:sz w:val="26"/>
          <w:szCs w:val="26"/>
        </w:rPr>
        <w:t>PPL</w:t>
      </w:r>
      <w:r w:rsidRPr="00CB744C">
        <w:rPr>
          <w:sz w:val="26"/>
          <w:szCs w:val="26"/>
        </w:rPr>
        <w:t>’s commitment to move rate classes closer to the system average rate of return means that its original propos</w:t>
      </w:r>
      <w:r>
        <w:rPr>
          <w:sz w:val="26"/>
          <w:szCs w:val="26"/>
        </w:rPr>
        <w:t>ed increase</w:t>
      </w:r>
      <w:r w:rsidRPr="00CB744C">
        <w:rPr>
          <w:sz w:val="26"/>
          <w:szCs w:val="26"/>
        </w:rPr>
        <w:t xml:space="preserve"> for the residential classes was fair and reasonable.  OSBA </w:t>
      </w:r>
      <w:r>
        <w:rPr>
          <w:sz w:val="26"/>
          <w:szCs w:val="26"/>
        </w:rPr>
        <w:t>R.B.</w:t>
      </w:r>
      <w:r w:rsidRPr="00CB744C">
        <w:rPr>
          <w:sz w:val="26"/>
          <w:szCs w:val="26"/>
        </w:rPr>
        <w:t xml:space="preserve"> at 15</w:t>
      </w:r>
      <w:r>
        <w:rPr>
          <w:sz w:val="26"/>
          <w:szCs w:val="26"/>
        </w:rPr>
        <w:t>; R.D. at 53</w:t>
      </w:r>
      <w:r w:rsidRPr="00CB744C">
        <w:rPr>
          <w:sz w:val="26"/>
          <w:szCs w:val="26"/>
        </w:rPr>
        <w:t>.</w:t>
      </w:r>
      <w:r>
        <w:rPr>
          <w:sz w:val="26"/>
          <w:szCs w:val="26"/>
        </w:rPr>
        <w:t xml:space="preserve">  </w:t>
      </w:r>
      <w:r w:rsidRPr="00CB744C">
        <w:rPr>
          <w:sz w:val="26"/>
          <w:szCs w:val="26"/>
        </w:rPr>
        <w:t xml:space="preserve">Therefore, </w:t>
      </w:r>
      <w:r>
        <w:rPr>
          <w:sz w:val="26"/>
          <w:szCs w:val="26"/>
        </w:rPr>
        <w:t xml:space="preserve">according to the OSBA, </w:t>
      </w:r>
      <w:r w:rsidRPr="00CB744C">
        <w:rPr>
          <w:sz w:val="26"/>
          <w:szCs w:val="26"/>
        </w:rPr>
        <w:t>th</w:t>
      </w:r>
      <w:r>
        <w:rPr>
          <w:sz w:val="26"/>
          <w:szCs w:val="26"/>
        </w:rPr>
        <w:t>e original increase requested</w:t>
      </w:r>
      <w:r w:rsidRPr="00CB744C">
        <w:rPr>
          <w:sz w:val="26"/>
          <w:szCs w:val="26"/>
        </w:rPr>
        <w:t xml:space="preserve"> can still be assigned to the residential classes and the FDR can be applied to the three other rate schedules</w:t>
      </w:r>
      <w:r>
        <w:rPr>
          <w:sz w:val="26"/>
          <w:szCs w:val="26"/>
        </w:rPr>
        <w:t xml:space="preserve"> providing a cumulative revenue decrease, from PPL’s original request of $114.675 million, of approximately $37.175 million</w:t>
      </w:r>
      <w:r w:rsidRPr="00CB744C">
        <w:rPr>
          <w:sz w:val="26"/>
          <w:szCs w:val="26"/>
        </w:rPr>
        <w:t xml:space="preserve">.  </w:t>
      </w:r>
      <w:r>
        <w:rPr>
          <w:i/>
          <w:sz w:val="26"/>
          <w:szCs w:val="26"/>
        </w:rPr>
        <w:t>Id.</w:t>
      </w:r>
    </w:p>
    <w:p w:rsidR="0047264D" w:rsidRPr="00CB744C" w:rsidRDefault="0047264D" w:rsidP="0047264D">
      <w:pPr>
        <w:pStyle w:val="Pleading2L3"/>
        <w:numPr>
          <w:ilvl w:val="0"/>
          <w:numId w:val="0"/>
        </w:numPr>
        <w:spacing w:line="360" w:lineRule="auto"/>
        <w:contextualSpacing/>
        <w:rPr>
          <w:sz w:val="26"/>
          <w:szCs w:val="26"/>
        </w:rPr>
      </w:pPr>
    </w:p>
    <w:p w:rsidR="0047264D" w:rsidRPr="00CB744C" w:rsidRDefault="0047264D" w:rsidP="0047264D">
      <w:pPr>
        <w:pStyle w:val="Pleading2L3"/>
        <w:numPr>
          <w:ilvl w:val="0"/>
          <w:numId w:val="0"/>
        </w:numPr>
        <w:spacing w:line="360" w:lineRule="auto"/>
        <w:ind w:firstLine="1440"/>
        <w:contextualSpacing/>
        <w:rPr>
          <w:sz w:val="26"/>
          <w:szCs w:val="26"/>
        </w:rPr>
      </w:pPr>
      <w:r>
        <w:rPr>
          <w:sz w:val="26"/>
          <w:szCs w:val="26"/>
        </w:rPr>
        <w:t xml:space="preserve">The OCA retorts that its </w:t>
      </w:r>
      <w:r w:rsidRPr="00CB744C">
        <w:rPr>
          <w:sz w:val="26"/>
          <w:szCs w:val="26"/>
        </w:rPr>
        <w:t>approach would move classes closer to the syst</w:t>
      </w:r>
      <w:r>
        <w:rPr>
          <w:sz w:val="26"/>
          <w:szCs w:val="26"/>
        </w:rPr>
        <w:t xml:space="preserve">em average return based on its own </w:t>
      </w:r>
      <w:r w:rsidRPr="00CB744C">
        <w:rPr>
          <w:sz w:val="26"/>
          <w:szCs w:val="26"/>
        </w:rPr>
        <w:t xml:space="preserve">COSS, gradualism, and avoidance of rate shock, consistent with </w:t>
      </w:r>
      <w:r w:rsidRPr="00CB744C">
        <w:rPr>
          <w:i/>
          <w:sz w:val="26"/>
          <w:szCs w:val="26"/>
        </w:rPr>
        <w:t>Lloyd</w:t>
      </w:r>
      <w:r w:rsidRPr="00CB744C">
        <w:rPr>
          <w:sz w:val="26"/>
          <w:szCs w:val="26"/>
        </w:rPr>
        <w:t xml:space="preserve">.  </w:t>
      </w:r>
      <w:r>
        <w:rPr>
          <w:sz w:val="26"/>
          <w:szCs w:val="26"/>
        </w:rPr>
        <w:t xml:space="preserve">OCA R.B. at 21, </w:t>
      </w:r>
      <w:r w:rsidRPr="00CB744C">
        <w:rPr>
          <w:sz w:val="26"/>
          <w:szCs w:val="26"/>
        </w:rPr>
        <w:t>22.</w:t>
      </w:r>
      <w:r>
        <w:rPr>
          <w:sz w:val="26"/>
          <w:szCs w:val="26"/>
        </w:rPr>
        <w:t xml:space="preserve">  The </w:t>
      </w:r>
      <w:r w:rsidRPr="00CB744C">
        <w:rPr>
          <w:sz w:val="26"/>
          <w:szCs w:val="26"/>
        </w:rPr>
        <w:t>OCA s</w:t>
      </w:r>
      <w:r>
        <w:rPr>
          <w:sz w:val="26"/>
          <w:szCs w:val="26"/>
        </w:rPr>
        <w:t>tated</w:t>
      </w:r>
      <w:r w:rsidRPr="00CB744C">
        <w:rPr>
          <w:sz w:val="26"/>
          <w:szCs w:val="26"/>
        </w:rPr>
        <w:t xml:space="preserve"> that </w:t>
      </w:r>
      <w:r>
        <w:rPr>
          <w:sz w:val="26"/>
          <w:szCs w:val="26"/>
        </w:rPr>
        <w:t>PPL’s</w:t>
      </w:r>
      <w:r w:rsidRPr="00CB744C">
        <w:rPr>
          <w:sz w:val="26"/>
          <w:szCs w:val="26"/>
        </w:rPr>
        <w:t xml:space="preserve"> 2004 and 2007 </w:t>
      </w:r>
      <w:r>
        <w:rPr>
          <w:sz w:val="26"/>
          <w:szCs w:val="26"/>
        </w:rPr>
        <w:t xml:space="preserve">base rate </w:t>
      </w:r>
      <w:r w:rsidRPr="00CB744C">
        <w:rPr>
          <w:sz w:val="26"/>
          <w:szCs w:val="26"/>
        </w:rPr>
        <w:t>cases were guided by PPL</w:t>
      </w:r>
      <w:r>
        <w:rPr>
          <w:sz w:val="26"/>
          <w:szCs w:val="26"/>
        </w:rPr>
        <w:t>’s</w:t>
      </w:r>
      <w:r w:rsidRPr="00CB744C">
        <w:rPr>
          <w:sz w:val="26"/>
          <w:szCs w:val="26"/>
        </w:rPr>
        <w:t xml:space="preserve"> COSS which is JMK-2B</w:t>
      </w:r>
      <w:r>
        <w:rPr>
          <w:sz w:val="26"/>
          <w:szCs w:val="26"/>
        </w:rPr>
        <w:t xml:space="preserve"> and should be utilized</w:t>
      </w:r>
      <w:r w:rsidRPr="00CB744C">
        <w:rPr>
          <w:sz w:val="26"/>
          <w:szCs w:val="26"/>
        </w:rPr>
        <w:t xml:space="preserve"> here, not </w:t>
      </w:r>
      <w:r>
        <w:rPr>
          <w:sz w:val="26"/>
          <w:szCs w:val="26"/>
        </w:rPr>
        <w:t>PPL’s</w:t>
      </w:r>
      <w:r w:rsidRPr="00CB744C">
        <w:rPr>
          <w:sz w:val="26"/>
          <w:szCs w:val="26"/>
        </w:rPr>
        <w:t xml:space="preserve"> recommended JMK-2A.</w:t>
      </w:r>
      <w:r>
        <w:rPr>
          <w:sz w:val="26"/>
          <w:szCs w:val="26"/>
        </w:rPr>
        <w:t xml:space="preserve">  </w:t>
      </w:r>
      <w:r>
        <w:rPr>
          <w:i/>
          <w:sz w:val="26"/>
          <w:szCs w:val="26"/>
        </w:rPr>
        <w:t>Id.</w:t>
      </w:r>
    </w:p>
    <w:p w:rsidR="0047264D" w:rsidRDefault="0047264D" w:rsidP="0047264D">
      <w:pPr>
        <w:pStyle w:val="Pleading2L3"/>
        <w:numPr>
          <w:ilvl w:val="0"/>
          <w:numId w:val="0"/>
        </w:numPr>
        <w:spacing w:line="360" w:lineRule="auto"/>
        <w:ind w:firstLine="1440"/>
        <w:contextualSpacing/>
        <w:rPr>
          <w:sz w:val="26"/>
          <w:szCs w:val="26"/>
        </w:rPr>
      </w:pPr>
    </w:p>
    <w:p w:rsidR="0047264D" w:rsidRPr="00CB744C" w:rsidRDefault="0047264D" w:rsidP="0047264D">
      <w:pPr>
        <w:pStyle w:val="Pleading2L3"/>
        <w:numPr>
          <w:ilvl w:val="0"/>
          <w:numId w:val="0"/>
        </w:numPr>
        <w:spacing w:line="360" w:lineRule="auto"/>
        <w:ind w:firstLine="1440"/>
        <w:contextualSpacing/>
        <w:rPr>
          <w:sz w:val="26"/>
          <w:szCs w:val="26"/>
        </w:rPr>
      </w:pPr>
      <w:r w:rsidRPr="00CB744C">
        <w:rPr>
          <w:sz w:val="26"/>
          <w:szCs w:val="26"/>
        </w:rPr>
        <w:t>The OCA</w:t>
      </w:r>
      <w:r>
        <w:rPr>
          <w:sz w:val="26"/>
          <w:szCs w:val="26"/>
        </w:rPr>
        <w:t>’s</w:t>
      </w:r>
      <w:r w:rsidRPr="00CB744C">
        <w:rPr>
          <w:sz w:val="26"/>
          <w:szCs w:val="26"/>
        </w:rPr>
        <w:t xml:space="preserve"> recommendation is to proportionately scale back </w:t>
      </w:r>
      <w:r>
        <w:rPr>
          <w:sz w:val="26"/>
          <w:szCs w:val="26"/>
        </w:rPr>
        <w:t>its</w:t>
      </w:r>
      <w:r w:rsidRPr="00CB744C">
        <w:rPr>
          <w:sz w:val="26"/>
          <w:szCs w:val="26"/>
        </w:rPr>
        <w:t xml:space="preserve"> allocation</w:t>
      </w:r>
      <w:r>
        <w:rPr>
          <w:sz w:val="26"/>
          <w:szCs w:val="26"/>
        </w:rPr>
        <w:t xml:space="preserve"> of the original increase amount</w:t>
      </w:r>
      <w:r w:rsidRPr="00CB744C">
        <w:rPr>
          <w:sz w:val="26"/>
          <w:szCs w:val="26"/>
        </w:rPr>
        <w:t xml:space="preserve"> should the Commission approve the reduced revenue requirement in the Joint Petition for Settlement.  OCA </w:t>
      </w:r>
      <w:r>
        <w:rPr>
          <w:sz w:val="26"/>
          <w:szCs w:val="26"/>
        </w:rPr>
        <w:t>M.B.</w:t>
      </w:r>
      <w:r w:rsidRPr="00CB744C">
        <w:rPr>
          <w:sz w:val="26"/>
          <w:szCs w:val="26"/>
        </w:rPr>
        <w:t xml:space="preserve"> at 44</w:t>
      </w:r>
      <w:r>
        <w:rPr>
          <w:sz w:val="26"/>
          <w:szCs w:val="26"/>
        </w:rPr>
        <w:t>; OCA R.B. at 23; R.D. at 57</w:t>
      </w:r>
      <w:r w:rsidRPr="00CB744C">
        <w:rPr>
          <w:sz w:val="26"/>
          <w:szCs w:val="26"/>
        </w:rPr>
        <w:t>.</w:t>
      </w:r>
    </w:p>
    <w:p w:rsidR="0047264D" w:rsidRPr="00CB744C" w:rsidRDefault="0047264D" w:rsidP="0047264D">
      <w:pPr>
        <w:pStyle w:val="Pleading2L3"/>
        <w:numPr>
          <w:ilvl w:val="0"/>
          <w:numId w:val="0"/>
        </w:numPr>
        <w:spacing w:line="240" w:lineRule="auto"/>
        <w:contextualSpacing/>
        <w:rPr>
          <w:sz w:val="26"/>
          <w:szCs w:val="26"/>
        </w:rPr>
      </w:pPr>
    </w:p>
    <w:p w:rsidR="0047264D" w:rsidRPr="005073FB"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r>
      <w:r w:rsidRPr="005073FB">
        <w:rPr>
          <w:sz w:val="26"/>
          <w:szCs w:val="26"/>
        </w:rPr>
        <w:t>The OCA aver</w:t>
      </w:r>
      <w:r>
        <w:rPr>
          <w:sz w:val="26"/>
          <w:szCs w:val="26"/>
        </w:rPr>
        <w:t>red</w:t>
      </w:r>
      <w:r w:rsidRPr="005073FB">
        <w:rPr>
          <w:sz w:val="26"/>
          <w:szCs w:val="26"/>
        </w:rPr>
        <w:t xml:space="preserve"> that under an FDR methodology, the result of the OSBA’s proposal is that residential customers would pay </w:t>
      </w:r>
      <w:r w:rsidRPr="005073FB">
        <w:rPr>
          <w:i/>
          <w:sz w:val="26"/>
          <w:szCs w:val="26"/>
        </w:rPr>
        <w:t>more than 100%</w:t>
      </w:r>
      <w:r w:rsidRPr="005073FB">
        <w:rPr>
          <w:sz w:val="26"/>
          <w:szCs w:val="26"/>
        </w:rPr>
        <w:t xml:space="preserve"> of the Company’s total increase.  OCA R.B. at 24; R.D. at 54.  Accordingly, the OCA submit</w:t>
      </w:r>
      <w:r>
        <w:rPr>
          <w:sz w:val="26"/>
          <w:szCs w:val="26"/>
        </w:rPr>
        <w:t>ted</w:t>
      </w:r>
      <w:r w:rsidRPr="005073FB">
        <w:rPr>
          <w:sz w:val="26"/>
          <w:szCs w:val="26"/>
        </w:rPr>
        <w:t xml:space="preserve"> that such a result is unreasonable and should not be accepted by the Commission. </w:t>
      </w:r>
      <w:r w:rsidRPr="005073FB">
        <w:rPr>
          <w:i/>
          <w:sz w:val="26"/>
          <w:szCs w:val="26"/>
        </w:rPr>
        <w:t>Id.</w:t>
      </w:r>
    </w:p>
    <w:p w:rsidR="0047264D" w:rsidRPr="007C4965" w:rsidRDefault="0047264D" w:rsidP="0047264D">
      <w:pPr>
        <w:pStyle w:val="Pleading2L3"/>
        <w:numPr>
          <w:ilvl w:val="0"/>
          <w:numId w:val="0"/>
        </w:numPr>
        <w:tabs>
          <w:tab w:val="left" w:pos="2160"/>
        </w:tabs>
        <w:spacing w:line="360" w:lineRule="auto"/>
        <w:ind w:firstLine="1440"/>
        <w:contextualSpacing/>
        <w:rPr>
          <w:b/>
          <w:sz w:val="26"/>
          <w:szCs w:val="26"/>
        </w:rPr>
      </w:pPr>
    </w:p>
    <w:p w:rsidR="0047264D" w:rsidRDefault="0047264D" w:rsidP="0047264D">
      <w:pPr>
        <w:pStyle w:val="Pleading2L3"/>
        <w:numPr>
          <w:ilvl w:val="0"/>
          <w:numId w:val="0"/>
        </w:numPr>
        <w:tabs>
          <w:tab w:val="left" w:pos="2160"/>
        </w:tabs>
        <w:spacing w:line="360" w:lineRule="auto"/>
        <w:ind w:firstLine="1440"/>
        <w:contextualSpacing/>
        <w:rPr>
          <w:b/>
          <w:sz w:val="26"/>
          <w:szCs w:val="26"/>
        </w:rPr>
      </w:pPr>
      <w:r>
        <w:rPr>
          <w:b/>
          <w:sz w:val="26"/>
          <w:szCs w:val="26"/>
        </w:rPr>
        <w:tab/>
        <w:t>ii</w:t>
      </w:r>
      <w:r w:rsidRPr="007C4965">
        <w:rPr>
          <w:b/>
          <w:sz w:val="26"/>
          <w:szCs w:val="26"/>
        </w:rPr>
        <w:t>.</w:t>
      </w:r>
      <w:r w:rsidRPr="007C4965">
        <w:rPr>
          <w:b/>
          <w:sz w:val="26"/>
          <w:szCs w:val="26"/>
        </w:rPr>
        <w:tab/>
      </w:r>
      <w:r>
        <w:rPr>
          <w:b/>
          <w:sz w:val="26"/>
          <w:szCs w:val="26"/>
        </w:rPr>
        <w:t>The ALJ’s Recommendation</w:t>
      </w:r>
    </w:p>
    <w:p w:rsidR="0047264D" w:rsidRDefault="0047264D" w:rsidP="0047264D">
      <w:pPr>
        <w:pStyle w:val="Pleading2L3"/>
        <w:numPr>
          <w:ilvl w:val="0"/>
          <w:numId w:val="0"/>
        </w:numPr>
        <w:tabs>
          <w:tab w:val="left" w:pos="2160"/>
        </w:tabs>
        <w:spacing w:line="360" w:lineRule="auto"/>
        <w:ind w:firstLine="1440"/>
        <w:contextualSpacing/>
        <w:rPr>
          <w:b/>
          <w:sz w:val="26"/>
          <w:szCs w:val="26"/>
        </w:rPr>
      </w:pPr>
    </w:p>
    <w:p w:rsidR="0047264D" w:rsidRDefault="0047264D" w:rsidP="0047264D">
      <w:pPr>
        <w:pStyle w:val="Pleading2L3"/>
        <w:numPr>
          <w:ilvl w:val="0"/>
          <w:numId w:val="0"/>
        </w:numPr>
        <w:spacing w:line="360" w:lineRule="auto"/>
        <w:ind w:firstLine="1440"/>
        <w:contextualSpacing/>
        <w:rPr>
          <w:sz w:val="26"/>
          <w:szCs w:val="26"/>
        </w:rPr>
      </w:pPr>
      <w:r>
        <w:rPr>
          <w:sz w:val="26"/>
          <w:szCs w:val="26"/>
        </w:rPr>
        <w:t>The ALJ rejected the</w:t>
      </w:r>
      <w:r w:rsidRPr="00CB744C">
        <w:rPr>
          <w:sz w:val="26"/>
          <w:szCs w:val="26"/>
        </w:rPr>
        <w:t xml:space="preserve"> OSBA’s reasoning that assumes </w:t>
      </w:r>
      <w:r>
        <w:rPr>
          <w:sz w:val="26"/>
          <w:szCs w:val="26"/>
        </w:rPr>
        <w:t xml:space="preserve">PPL </w:t>
      </w:r>
      <w:r w:rsidRPr="00CB744C">
        <w:rPr>
          <w:sz w:val="26"/>
          <w:szCs w:val="26"/>
        </w:rPr>
        <w:t>was entitled to the full amoun</w:t>
      </w:r>
      <w:r>
        <w:rPr>
          <w:sz w:val="26"/>
          <w:szCs w:val="26"/>
        </w:rPr>
        <w:t xml:space="preserve">t it originally sought and that </w:t>
      </w:r>
      <w:r w:rsidRPr="00CB744C">
        <w:rPr>
          <w:sz w:val="26"/>
          <w:szCs w:val="26"/>
        </w:rPr>
        <w:t>the amount of the reduction</w:t>
      </w:r>
      <w:r>
        <w:rPr>
          <w:sz w:val="26"/>
          <w:szCs w:val="26"/>
        </w:rPr>
        <w:t xml:space="preserve"> pursuant to the </w:t>
      </w:r>
      <w:r>
        <w:rPr>
          <w:sz w:val="26"/>
          <w:szCs w:val="26"/>
        </w:rPr>
        <w:lastRenderedPageBreak/>
        <w:t>Settlement,</w:t>
      </w:r>
      <w:r w:rsidRPr="00CB744C">
        <w:rPr>
          <w:sz w:val="26"/>
          <w:szCs w:val="26"/>
        </w:rPr>
        <w:t xml:space="preserve"> </w:t>
      </w:r>
      <w:r>
        <w:rPr>
          <w:sz w:val="26"/>
          <w:szCs w:val="26"/>
        </w:rPr>
        <w:t xml:space="preserve">therefore, would be </w:t>
      </w:r>
      <w:r w:rsidRPr="00CB744C">
        <w:rPr>
          <w:sz w:val="26"/>
          <w:szCs w:val="26"/>
        </w:rPr>
        <w:t>available for application to existing rates.</w:t>
      </w:r>
      <w:r>
        <w:rPr>
          <w:sz w:val="26"/>
          <w:szCs w:val="26"/>
        </w:rPr>
        <w:t xml:space="preserve">  R.D. at 55.</w:t>
      </w:r>
      <w:r w:rsidRPr="00CB744C">
        <w:rPr>
          <w:sz w:val="26"/>
          <w:szCs w:val="26"/>
        </w:rPr>
        <w:t xml:space="preserve">  Because the Commission has not approved the initial request, neither it nor the reduction amount has any value in determining the allocation of the approved revenue requirement.</w:t>
      </w:r>
      <w:r>
        <w:rPr>
          <w:sz w:val="26"/>
          <w:szCs w:val="26"/>
        </w:rPr>
        <w:t xml:space="preserve">  R.D. at 55.</w:t>
      </w:r>
      <w:r w:rsidRPr="00CB744C">
        <w:rPr>
          <w:sz w:val="26"/>
          <w:szCs w:val="26"/>
        </w:rPr>
        <w:t xml:space="preserve"> </w:t>
      </w:r>
      <w:r>
        <w:rPr>
          <w:sz w:val="26"/>
          <w:szCs w:val="26"/>
        </w:rPr>
        <w:t xml:space="preserve">The ALJ supported the </w:t>
      </w:r>
      <w:r w:rsidRPr="00CB744C">
        <w:rPr>
          <w:sz w:val="26"/>
          <w:szCs w:val="26"/>
        </w:rPr>
        <w:t>OCA</w:t>
      </w:r>
      <w:r>
        <w:rPr>
          <w:sz w:val="26"/>
          <w:szCs w:val="26"/>
        </w:rPr>
        <w:t>’s rationale that</w:t>
      </w:r>
      <w:r w:rsidRPr="00CB744C">
        <w:rPr>
          <w:sz w:val="26"/>
          <w:szCs w:val="26"/>
        </w:rPr>
        <w:t xml:space="preserve">, “a reduced amount of a rate increase does not provide a source of “funding” as OSBA assumes.”  OCA </w:t>
      </w:r>
      <w:r>
        <w:rPr>
          <w:sz w:val="26"/>
          <w:szCs w:val="26"/>
        </w:rPr>
        <w:t>R.B</w:t>
      </w:r>
      <w:r w:rsidRPr="00CB744C">
        <w:rPr>
          <w:sz w:val="26"/>
          <w:szCs w:val="26"/>
        </w:rPr>
        <w:t xml:space="preserve"> at 25</w:t>
      </w:r>
      <w:r>
        <w:rPr>
          <w:sz w:val="26"/>
          <w:szCs w:val="26"/>
        </w:rPr>
        <w:t>; R.D. at 55</w:t>
      </w:r>
      <w:r w:rsidRPr="00CB744C">
        <w:rPr>
          <w:sz w:val="26"/>
          <w:szCs w:val="26"/>
        </w:rPr>
        <w:t>.  Rather,</w:t>
      </w:r>
      <w:r>
        <w:rPr>
          <w:sz w:val="26"/>
          <w:szCs w:val="26"/>
        </w:rPr>
        <w:t xml:space="preserve"> according to the ALJ the $37.175 million difference between PPL’s initial increase request and the Settlement amount,</w:t>
      </w:r>
      <w:r w:rsidRPr="00CB744C">
        <w:rPr>
          <w:sz w:val="26"/>
          <w:szCs w:val="26"/>
        </w:rPr>
        <w:t xml:space="preserve"> is simply nonexistent.  Therefore, using it to </w:t>
      </w:r>
      <w:r w:rsidRPr="00CB744C">
        <w:rPr>
          <w:i/>
          <w:sz w:val="26"/>
          <w:szCs w:val="26"/>
        </w:rPr>
        <w:t>reduce</w:t>
      </w:r>
      <w:r w:rsidRPr="00CB744C">
        <w:rPr>
          <w:sz w:val="26"/>
          <w:szCs w:val="26"/>
        </w:rPr>
        <w:t xml:space="preserve"> existing rates</w:t>
      </w:r>
      <w:r>
        <w:rPr>
          <w:sz w:val="26"/>
          <w:szCs w:val="26"/>
        </w:rPr>
        <w:t xml:space="preserve"> </w:t>
      </w:r>
      <w:r w:rsidRPr="00CB744C">
        <w:rPr>
          <w:sz w:val="26"/>
          <w:szCs w:val="26"/>
        </w:rPr>
        <w:t xml:space="preserve">is inconsistent with traditional ratemaking principles.  </w:t>
      </w:r>
      <w:r>
        <w:rPr>
          <w:sz w:val="26"/>
          <w:szCs w:val="26"/>
        </w:rPr>
        <w:t>R.D. at 55.</w:t>
      </w:r>
    </w:p>
    <w:p w:rsidR="0047264D" w:rsidRDefault="0047264D" w:rsidP="0047264D">
      <w:pPr>
        <w:pStyle w:val="Pleading2L3"/>
        <w:numPr>
          <w:ilvl w:val="0"/>
          <w:numId w:val="0"/>
        </w:numPr>
        <w:spacing w:line="360" w:lineRule="auto"/>
        <w:ind w:firstLine="1440"/>
        <w:contextualSpacing/>
        <w:rPr>
          <w:sz w:val="26"/>
          <w:szCs w:val="26"/>
        </w:rPr>
      </w:pPr>
    </w:p>
    <w:p w:rsidR="0047264D" w:rsidRPr="00CB744C" w:rsidRDefault="0047264D" w:rsidP="0047264D">
      <w:pPr>
        <w:pStyle w:val="Pleading2L3"/>
        <w:numPr>
          <w:ilvl w:val="0"/>
          <w:numId w:val="0"/>
        </w:numPr>
        <w:spacing w:line="360" w:lineRule="auto"/>
        <w:ind w:firstLine="1440"/>
        <w:contextualSpacing/>
        <w:rPr>
          <w:sz w:val="26"/>
          <w:szCs w:val="26"/>
        </w:rPr>
      </w:pPr>
      <w:r>
        <w:rPr>
          <w:sz w:val="26"/>
          <w:szCs w:val="26"/>
        </w:rPr>
        <w:t>The ALJ also did not support the OSBA’s FDR methodology because she found the approach to be unprecedented and unsupported by the cases cited by the OSBA.  R.D. at 54.  The ALJ found the cases cited by the OSBA represented a reduction in class revenue increases, not decreases to an existing class’ rates.  R.D. at 54.  Accordingly, t</w:t>
      </w:r>
      <w:r w:rsidRPr="00CB744C">
        <w:rPr>
          <w:sz w:val="26"/>
          <w:szCs w:val="26"/>
        </w:rPr>
        <w:t xml:space="preserve">he </w:t>
      </w:r>
      <w:r>
        <w:rPr>
          <w:sz w:val="26"/>
          <w:szCs w:val="26"/>
        </w:rPr>
        <w:t xml:space="preserve">ALJ recommended that the </w:t>
      </w:r>
      <w:r w:rsidRPr="00CB744C">
        <w:rPr>
          <w:sz w:val="26"/>
          <w:szCs w:val="26"/>
        </w:rPr>
        <w:t xml:space="preserve">OSBA’s </w:t>
      </w:r>
      <w:r>
        <w:rPr>
          <w:sz w:val="26"/>
          <w:szCs w:val="26"/>
        </w:rPr>
        <w:t>First Dollar Reduction</w:t>
      </w:r>
      <w:r w:rsidRPr="00CB744C">
        <w:rPr>
          <w:sz w:val="26"/>
          <w:szCs w:val="26"/>
        </w:rPr>
        <w:t xml:space="preserve"> proposal </w:t>
      </w:r>
      <w:r>
        <w:rPr>
          <w:sz w:val="26"/>
          <w:szCs w:val="26"/>
        </w:rPr>
        <w:t>be</w:t>
      </w:r>
      <w:r w:rsidRPr="00CB744C">
        <w:rPr>
          <w:sz w:val="26"/>
          <w:szCs w:val="26"/>
        </w:rPr>
        <w:t xml:space="preserve"> rejected.</w:t>
      </w:r>
    </w:p>
    <w:p w:rsidR="0047264D" w:rsidRPr="00CB744C" w:rsidRDefault="0047264D" w:rsidP="0047264D">
      <w:pPr>
        <w:pStyle w:val="Pleading2L3"/>
        <w:numPr>
          <w:ilvl w:val="0"/>
          <w:numId w:val="0"/>
        </w:numPr>
        <w:spacing w:line="360" w:lineRule="auto"/>
        <w:contextualSpacing/>
        <w:rPr>
          <w:sz w:val="26"/>
          <w:szCs w:val="26"/>
        </w:rPr>
      </w:pPr>
    </w:p>
    <w:p w:rsidR="0047264D" w:rsidRPr="0036445D" w:rsidRDefault="0047264D" w:rsidP="0047264D">
      <w:pPr>
        <w:pStyle w:val="Pleading2L3"/>
        <w:numPr>
          <w:ilvl w:val="0"/>
          <w:numId w:val="0"/>
        </w:numPr>
        <w:spacing w:line="360" w:lineRule="auto"/>
        <w:contextualSpacing/>
        <w:rPr>
          <w:b/>
          <w:sz w:val="26"/>
          <w:szCs w:val="26"/>
        </w:rPr>
      </w:pPr>
      <w:r w:rsidRPr="00CB744C">
        <w:rPr>
          <w:sz w:val="26"/>
          <w:szCs w:val="26"/>
        </w:rPr>
        <w:tab/>
      </w:r>
      <w:r w:rsidRPr="00CB744C">
        <w:rPr>
          <w:sz w:val="26"/>
          <w:szCs w:val="26"/>
        </w:rPr>
        <w:tab/>
        <w:t xml:space="preserve">The </w:t>
      </w:r>
      <w:r>
        <w:rPr>
          <w:sz w:val="26"/>
          <w:szCs w:val="26"/>
        </w:rPr>
        <w:t>ALJ found PPL</w:t>
      </w:r>
      <w:r w:rsidRPr="00CB744C">
        <w:rPr>
          <w:sz w:val="26"/>
          <w:szCs w:val="26"/>
        </w:rPr>
        <w:t xml:space="preserve">’s </w:t>
      </w:r>
      <w:r>
        <w:rPr>
          <w:sz w:val="26"/>
          <w:szCs w:val="26"/>
        </w:rPr>
        <w:t>COSS</w:t>
      </w:r>
      <w:r w:rsidRPr="00CB744C">
        <w:rPr>
          <w:sz w:val="26"/>
          <w:szCs w:val="26"/>
        </w:rPr>
        <w:t xml:space="preserve"> JMK-2A </w:t>
      </w:r>
      <w:r>
        <w:rPr>
          <w:sz w:val="26"/>
          <w:szCs w:val="26"/>
        </w:rPr>
        <w:t>to be</w:t>
      </w:r>
      <w:r w:rsidRPr="00CB744C">
        <w:rPr>
          <w:sz w:val="26"/>
          <w:szCs w:val="26"/>
        </w:rPr>
        <w:t xml:space="preserve"> persuasive</w:t>
      </w:r>
      <w:r>
        <w:rPr>
          <w:sz w:val="26"/>
          <w:szCs w:val="26"/>
        </w:rPr>
        <w:t xml:space="preserve"> and reiterated that </w:t>
      </w:r>
      <w:r w:rsidRPr="00CB744C">
        <w:rPr>
          <w:sz w:val="26"/>
          <w:szCs w:val="26"/>
        </w:rPr>
        <w:t>there is no monetary value to the “scale-back</w:t>
      </w:r>
      <w:r>
        <w:rPr>
          <w:sz w:val="26"/>
          <w:szCs w:val="26"/>
        </w:rPr>
        <w:t>,</w:t>
      </w:r>
      <w:r w:rsidRPr="00CB744C">
        <w:rPr>
          <w:sz w:val="26"/>
          <w:szCs w:val="26"/>
        </w:rPr>
        <w:t>” s</w:t>
      </w:r>
      <w:r>
        <w:rPr>
          <w:sz w:val="26"/>
          <w:szCs w:val="26"/>
        </w:rPr>
        <w:t>ince the higher amount had never</w:t>
      </w:r>
      <w:r w:rsidRPr="00CB744C">
        <w:rPr>
          <w:sz w:val="26"/>
          <w:szCs w:val="26"/>
        </w:rPr>
        <w:t xml:space="preserve"> been implemented.  Therefore, </w:t>
      </w:r>
      <w:r>
        <w:rPr>
          <w:sz w:val="26"/>
          <w:szCs w:val="26"/>
        </w:rPr>
        <w:t xml:space="preserve">according to the ALJ </w:t>
      </w:r>
      <w:r w:rsidRPr="00CB744C">
        <w:rPr>
          <w:sz w:val="26"/>
          <w:szCs w:val="26"/>
        </w:rPr>
        <w:t xml:space="preserve">there is no reason to allocate </w:t>
      </w:r>
      <w:r>
        <w:rPr>
          <w:sz w:val="26"/>
          <w:szCs w:val="26"/>
        </w:rPr>
        <w:t xml:space="preserve">the difference between the original revenue increase request and the Settlement </w:t>
      </w:r>
      <w:r w:rsidRPr="00CB744C">
        <w:rPr>
          <w:sz w:val="26"/>
          <w:szCs w:val="26"/>
        </w:rPr>
        <w:t>revenue</w:t>
      </w:r>
      <w:r>
        <w:rPr>
          <w:sz w:val="26"/>
          <w:szCs w:val="26"/>
        </w:rPr>
        <w:t xml:space="preserve"> as</w:t>
      </w:r>
      <w:r w:rsidRPr="00CB744C">
        <w:rPr>
          <w:sz w:val="26"/>
          <w:szCs w:val="26"/>
        </w:rPr>
        <w:t xml:space="preserve"> </w:t>
      </w:r>
      <w:r w:rsidRPr="00CB744C">
        <w:rPr>
          <w:i/>
          <w:sz w:val="26"/>
          <w:szCs w:val="26"/>
        </w:rPr>
        <w:t>reductions</w:t>
      </w:r>
      <w:r w:rsidRPr="00CB744C">
        <w:rPr>
          <w:sz w:val="26"/>
          <w:szCs w:val="26"/>
        </w:rPr>
        <w:t xml:space="preserve"> </w:t>
      </w:r>
      <w:r>
        <w:rPr>
          <w:sz w:val="26"/>
          <w:szCs w:val="26"/>
        </w:rPr>
        <w:t>to current rates</w:t>
      </w:r>
      <w:r w:rsidRPr="00CB744C">
        <w:rPr>
          <w:sz w:val="26"/>
          <w:szCs w:val="26"/>
        </w:rPr>
        <w:t>.</w:t>
      </w:r>
      <w:r>
        <w:rPr>
          <w:sz w:val="26"/>
          <w:szCs w:val="26"/>
        </w:rPr>
        <w:t xml:space="preserve">  R.D. at 58.</w:t>
      </w:r>
      <w:r w:rsidRPr="00CB744C">
        <w:rPr>
          <w:sz w:val="26"/>
          <w:szCs w:val="26"/>
        </w:rPr>
        <w:t xml:space="preserve">  </w:t>
      </w:r>
      <w:r w:rsidRPr="0036445D">
        <w:rPr>
          <w:sz w:val="26"/>
          <w:szCs w:val="26"/>
        </w:rPr>
        <w:t xml:space="preserve">Rather, the </w:t>
      </w:r>
      <w:r>
        <w:rPr>
          <w:sz w:val="26"/>
          <w:szCs w:val="26"/>
        </w:rPr>
        <w:t xml:space="preserve">ALJ recommended that the Settlement </w:t>
      </w:r>
      <w:r w:rsidRPr="0036445D">
        <w:rPr>
          <w:sz w:val="26"/>
          <w:szCs w:val="26"/>
        </w:rPr>
        <w:t xml:space="preserve">revenue </w:t>
      </w:r>
      <w:r>
        <w:rPr>
          <w:sz w:val="26"/>
          <w:szCs w:val="26"/>
        </w:rPr>
        <w:t>allowance</w:t>
      </w:r>
      <w:r w:rsidRPr="0036445D">
        <w:rPr>
          <w:sz w:val="26"/>
          <w:szCs w:val="26"/>
        </w:rPr>
        <w:t xml:space="preserve"> amount of $77.5 million should be allocated to the rate classes proportional to </w:t>
      </w:r>
      <w:r>
        <w:rPr>
          <w:sz w:val="26"/>
          <w:szCs w:val="26"/>
        </w:rPr>
        <w:t>PPL</w:t>
      </w:r>
      <w:r w:rsidRPr="0036445D">
        <w:rPr>
          <w:sz w:val="26"/>
          <w:szCs w:val="26"/>
        </w:rPr>
        <w:t>’s originally requested amount in order to bring their rates more closely in line with the costs incurred by the Company to serve them.</w:t>
      </w:r>
      <w:r>
        <w:rPr>
          <w:sz w:val="26"/>
          <w:szCs w:val="26"/>
        </w:rPr>
        <w:t xml:space="preserve">  </w:t>
      </w:r>
      <w:r>
        <w:rPr>
          <w:i/>
          <w:sz w:val="26"/>
          <w:szCs w:val="26"/>
        </w:rPr>
        <w:t>Id.</w:t>
      </w:r>
    </w:p>
    <w:p w:rsidR="006160FF" w:rsidRDefault="006160FF">
      <w:pPr>
        <w:spacing w:after="200" w:line="276" w:lineRule="auto"/>
        <w:jc w:val="left"/>
        <w:rPr>
          <w:rFonts w:eastAsia="Times New Roman"/>
          <w:b/>
          <w:sz w:val="26"/>
          <w:szCs w:val="26"/>
        </w:rPr>
      </w:pPr>
      <w:r>
        <w:rPr>
          <w:b/>
          <w:sz w:val="26"/>
          <w:szCs w:val="26"/>
        </w:rPr>
        <w:br w:type="page"/>
      </w:r>
    </w:p>
    <w:p w:rsidR="0047264D" w:rsidRDefault="0047264D" w:rsidP="0047264D">
      <w:pPr>
        <w:pStyle w:val="Pleading2L3"/>
        <w:numPr>
          <w:ilvl w:val="0"/>
          <w:numId w:val="0"/>
        </w:numPr>
        <w:tabs>
          <w:tab w:val="left" w:pos="2160"/>
        </w:tabs>
        <w:spacing w:line="360" w:lineRule="auto"/>
        <w:ind w:firstLine="1440"/>
        <w:contextualSpacing/>
        <w:rPr>
          <w:b/>
          <w:sz w:val="26"/>
          <w:szCs w:val="26"/>
        </w:rPr>
      </w:pPr>
      <w:r>
        <w:rPr>
          <w:b/>
          <w:sz w:val="26"/>
          <w:szCs w:val="26"/>
        </w:rPr>
        <w:lastRenderedPageBreak/>
        <w:tab/>
        <w:t>iii</w:t>
      </w:r>
      <w:r w:rsidRPr="007C4965">
        <w:rPr>
          <w:b/>
          <w:sz w:val="26"/>
          <w:szCs w:val="26"/>
        </w:rPr>
        <w:t>.</w:t>
      </w:r>
      <w:r w:rsidRPr="007C4965">
        <w:rPr>
          <w:b/>
          <w:sz w:val="26"/>
          <w:szCs w:val="26"/>
        </w:rPr>
        <w:tab/>
        <w:t>Exceptions</w:t>
      </w:r>
    </w:p>
    <w:p w:rsidR="0047264D" w:rsidRDefault="0047264D" w:rsidP="0047264D">
      <w:pPr>
        <w:pStyle w:val="Pleading2L3"/>
        <w:numPr>
          <w:ilvl w:val="0"/>
          <w:numId w:val="0"/>
        </w:numPr>
        <w:tabs>
          <w:tab w:val="left" w:pos="2160"/>
        </w:tabs>
        <w:spacing w:line="360" w:lineRule="auto"/>
        <w:ind w:firstLine="1440"/>
        <w:contextualSpacing/>
        <w:rPr>
          <w:b/>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 xml:space="preserve">The OCA and the OSBA filed Exceptions to the ALJ’s recommendation that adopted PPL’s COSS JMK-2A.  In its Exceptions the OCA avers: (1) that PPL’s underlying customer component assumption is unsupported and inconsistent with the design and operation of PPL’s jurisdictional distribution system; (2) that PPL’s minimum system study is significantly flawed and overstates the allocated customer component; and (3) that PPL’s COSS JMK-2A deviates substantially from the COSSs relied upon in PPL’s 2004 and 2007 base rate proceedings.  OCA Exc. at 9, 10.  Thus, the OCA believes the ALJ’s recommendation is in error.  OCA Exc. at 10.  </w:t>
      </w:r>
    </w:p>
    <w:p w:rsidR="0047264D" w:rsidRDefault="0047264D" w:rsidP="0047264D">
      <w:pPr>
        <w:pStyle w:val="Pleading2L3"/>
        <w:numPr>
          <w:ilvl w:val="0"/>
          <w:numId w:val="0"/>
        </w:numPr>
        <w:spacing w:line="360" w:lineRule="auto"/>
        <w:contextualSpacing/>
        <w:rPr>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 xml:space="preserve">In its Exceptions the OSBA asserts that the ALJ erred by rejecting the FDR methodology in this proceeding to reduce the current rates of overpaying commercial customer classes as being inconsistent with ratemaking principles.  OSBA Exc. at 8.  The OSBA contends that the ALJ did not acknowledge the mandate of </w:t>
      </w:r>
      <w:r>
        <w:rPr>
          <w:i/>
          <w:sz w:val="26"/>
          <w:szCs w:val="26"/>
        </w:rPr>
        <w:t>Lloyd</w:t>
      </w:r>
      <w:r>
        <w:rPr>
          <w:sz w:val="26"/>
          <w:szCs w:val="26"/>
        </w:rPr>
        <w:t xml:space="preserve"> that “gradualism cannot be allowed to trump all other valid ratemaking concerns.”  OSBA Exc. at 8; R.D. at 47, 48; </w:t>
      </w:r>
      <w:r>
        <w:rPr>
          <w:i/>
          <w:sz w:val="26"/>
          <w:szCs w:val="26"/>
        </w:rPr>
        <w:t>Lloyd</w:t>
      </w:r>
      <w:r>
        <w:rPr>
          <w:sz w:val="26"/>
          <w:szCs w:val="26"/>
        </w:rPr>
        <w:t xml:space="preserve">, 916 A.2d at 1020.  Additionally, the OSBA states that the FDR methodology would address </w:t>
      </w:r>
      <w:r>
        <w:rPr>
          <w:i/>
          <w:sz w:val="26"/>
          <w:szCs w:val="26"/>
        </w:rPr>
        <w:t>Lloyd’s</w:t>
      </w:r>
      <w:r>
        <w:rPr>
          <w:sz w:val="26"/>
          <w:szCs w:val="26"/>
        </w:rPr>
        <w:t xml:space="preserve"> mandate that movement toward the cost of service not take an extended period of time.  </w:t>
      </w:r>
      <w:r>
        <w:rPr>
          <w:i/>
          <w:sz w:val="26"/>
          <w:szCs w:val="26"/>
        </w:rPr>
        <w:t>Lloyd</w:t>
      </w:r>
      <w:r>
        <w:rPr>
          <w:sz w:val="26"/>
          <w:szCs w:val="26"/>
        </w:rPr>
        <w:t xml:space="preserve">, 916 A.2d at 1020; OSBA Exc. at 8.  Additionally, by rejecting the FDR methodology in this proceeding the OSBA commented that the ALJ is attempting to establish a </w:t>
      </w:r>
      <w:r>
        <w:rPr>
          <w:i/>
          <w:sz w:val="26"/>
          <w:szCs w:val="26"/>
        </w:rPr>
        <w:t>per se</w:t>
      </w:r>
      <w:r>
        <w:rPr>
          <w:sz w:val="26"/>
          <w:szCs w:val="26"/>
        </w:rPr>
        <w:t xml:space="preserve"> rule which would strip the Commission of employing the FDR methodology as a tool to move rates more into line with cost of service especially when a zero increase would be insufficient movement toward meeting the </w:t>
      </w:r>
      <w:r>
        <w:rPr>
          <w:i/>
          <w:sz w:val="26"/>
          <w:szCs w:val="26"/>
        </w:rPr>
        <w:t>Lloyd</w:t>
      </w:r>
      <w:r>
        <w:rPr>
          <w:sz w:val="26"/>
          <w:szCs w:val="26"/>
        </w:rPr>
        <w:t xml:space="preserve"> requirement.  OSBA Exc. at 12.  The OSBA submits that the lack of rationale provided by the ALJ to support such a </w:t>
      </w:r>
      <w:r>
        <w:rPr>
          <w:i/>
          <w:sz w:val="26"/>
          <w:szCs w:val="26"/>
        </w:rPr>
        <w:t>per se</w:t>
      </w:r>
      <w:r>
        <w:rPr>
          <w:sz w:val="26"/>
          <w:szCs w:val="26"/>
        </w:rPr>
        <w:t xml:space="preserve"> rule, is adequate justification for it to be rejected by the Commission.  OSBA Exc. at 10. </w:t>
      </w:r>
    </w:p>
    <w:p w:rsidR="0047264D" w:rsidRDefault="0047264D" w:rsidP="0047264D">
      <w:pPr>
        <w:pStyle w:val="Pleading2L3"/>
        <w:numPr>
          <w:ilvl w:val="0"/>
          <w:numId w:val="0"/>
        </w:numPr>
        <w:spacing w:line="360" w:lineRule="auto"/>
        <w:contextualSpacing/>
        <w:rPr>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 xml:space="preserve">Further, the OSBA contends the ALJ erred by not providing rate relief for the GS-1, GS-3 and LPEP customer classes.  OSBA Exc. at 11 – 20.  The OSBA notes </w:t>
      </w:r>
      <w:r>
        <w:rPr>
          <w:sz w:val="26"/>
          <w:szCs w:val="26"/>
        </w:rPr>
        <w:lastRenderedPageBreak/>
        <w:t xml:space="preserve">that as PPL’s revenue requirement is reduced, the GS-1 class revenues will move even farther away from allocated costs unless they are also reduced.  OSBA Exc. at 12.  Accordingly, the OSBA favors its FDR methodology.  OSBA Exc. at 13.  </w:t>
      </w:r>
    </w:p>
    <w:p w:rsidR="0047264D" w:rsidRDefault="0047264D" w:rsidP="0047264D">
      <w:pPr>
        <w:pStyle w:val="Pleading2L3"/>
        <w:numPr>
          <w:ilvl w:val="0"/>
          <w:numId w:val="0"/>
        </w:numPr>
        <w:spacing w:line="360" w:lineRule="auto"/>
        <w:contextualSpacing/>
        <w:rPr>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In reply, the OCA argues that the OSBA’s FDR methodology was properly rejected by the ALJ and that the ALJ accurately captured the fatal flaw existing with that methodology in that it is impossible to award relief to any customer class from a non-existent rate decrease.  OCA R.Exc. at 2; R.D. at 55, 58.  The OCA also submits that the OSBA’s recommendation on this issue produces unreasonable allocation results that should be rejected by the Commission.  OCA R. Exc. at 11.  Lastly, the OCA submits that the OSBA’s alternative FDR, which would impose an $83.6 million increase to the residential class, suffers from the same underlying flaws that were rejected by the ALJ with regard to the OSBA’s initial FDR recommendation.  OCA R.Exc. at 11, 12.  Accordingly, the OCA submits that the OSBA’s revenue allocation proposal(s) were properly rejected by the ALJ, and also should be rejected by the Commission, because: they unreasonably allocate excessive revenue requirement to the residential class; there is no value to the reduction from a proposed revenue increase to a settlement increase; and the OSBA’s proposed FDR method cannot be applied in this situation because it is inconsistent with traditional ratemaking principles.  Therefore, OCA submits that the OSBA’s Exceptions on these issues should be denied.  OCA R.Exc at 14.</w:t>
      </w:r>
    </w:p>
    <w:p w:rsidR="0047264D" w:rsidRDefault="0047264D" w:rsidP="0047264D">
      <w:pPr>
        <w:pStyle w:val="Pleading2L3"/>
        <w:numPr>
          <w:ilvl w:val="0"/>
          <w:numId w:val="0"/>
        </w:numPr>
        <w:spacing w:line="360" w:lineRule="auto"/>
        <w:contextualSpacing/>
        <w:rPr>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 xml:space="preserve">The OSBA argues that the OCA’s Exception relies heavily on the OCA’s disagreement with the ALJ’s sole reliance on the NARUC Manual for determining the appropriate cost allocation methodology in this proceeding.  OSBA R.Exc. at 8.  Further the OSBA asserts that PPL, PPLICA and the OSBA presented evidence that the NARUC Manual methodology is consistent with cost causation and, therefore, is appropriate for use in this proceeding.  OSBA R.Exc. at 8.  Accordingly, the OSBA supports the ALJ’s reliance upon the NARUC Manual but rejects the OCA’s contention that this was the </w:t>
      </w:r>
      <w:r>
        <w:rPr>
          <w:sz w:val="26"/>
          <w:szCs w:val="26"/>
        </w:rPr>
        <w:lastRenderedPageBreak/>
        <w:t>ALJ’s sole point of rationale for determining the appropriate cost allocation methodology in this proceeding.  OSBA R.Exc. at 8.</w:t>
      </w:r>
    </w:p>
    <w:p w:rsidR="0047264D" w:rsidRDefault="0047264D" w:rsidP="0047264D">
      <w:pPr>
        <w:pStyle w:val="Pleading2L3"/>
        <w:numPr>
          <w:ilvl w:val="0"/>
          <w:numId w:val="0"/>
        </w:numPr>
        <w:spacing w:line="360" w:lineRule="auto"/>
        <w:contextualSpacing/>
        <w:rPr>
          <w:sz w:val="26"/>
          <w:szCs w:val="26"/>
        </w:rPr>
      </w:pP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 xml:space="preserve">Further, the OSBA asserts that when judged by JMK-2B, the OCA’s revenue allocation would make an already overpaying customer class overpay even more.  OSBA R.Exc. at 15.  The OSBA states that the Commonwealth Court rejected this notion in </w:t>
      </w:r>
      <w:r>
        <w:rPr>
          <w:i/>
          <w:sz w:val="26"/>
          <w:szCs w:val="26"/>
        </w:rPr>
        <w:t>Lloyd</w:t>
      </w:r>
      <w:r>
        <w:rPr>
          <w:sz w:val="26"/>
          <w:szCs w:val="26"/>
        </w:rPr>
        <w:t>.  The OSBA requests that the Commission deny the OCA’s Exception and uphold the ALJ’s rejection of the OCA’s proposed revenue allocation.  OSBA R.Exc. at 15.</w:t>
      </w:r>
    </w:p>
    <w:p w:rsidR="0047264D" w:rsidRDefault="0047264D" w:rsidP="0047264D">
      <w:pPr>
        <w:pStyle w:val="Pleading2L3"/>
        <w:numPr>
          <w:ilvl w:val="0"/>
          <w:numId w:val="0"/>
        </w:numPr>
        <w:spacing w:line="360" w:lineRule="auto"/>
        <w:contextualSpacing/>
        <w:rPr>
          <w:sz w:val="26"/>
          <w:szCs w:val="26"/>
        </w:rPr>
      </w:pPr>
      <w:r>
        <w:rPr>
          <w:sz w:val="26"/>
          <w:szCs w:val="26"/>
        </w:rPr>
        <w:tab/>
      </w:r>
      <w:r>
        <w:rPr>
          <w:sz w:val="26"/>
          <w:szCs w:val="26"/>
        </w:rPr>
        <w:tab/>
        <w:t>Regarding the OSBA’s FDR proposals, PPLICA asserts that while it does not necessarily oppose the FDR methodology, it must be applied on a non-discriminatory basis; however, the OSBA’s proposals do not present a non-discriminatory allocation.  PPLICA R.Exc. at 8.</w:t>
      </w:r>
    </w:p>
    <w:p w:rsidR="0047264D" w:rsidRDefault="0047264D" w:rsidP="0047264D">
      <w:pPr>
        <w:pStyle w:val="Pleading2L3"/>
        <w:numPr>
          <w:ilvl w:val="0"/>
          <w:numId w:val="0"/>
        </w:numPr>
        <w:spacing w:line="360" w:lineRule="auto"/>
        <w:contextualSpacing/>
        <w:rPr>
          <w:sz w:val="26"/>
          <w:szCs w:val="26"/>
        </w:rPr>
      </w:pPr>
    </w:p>
    <w:p w:rsidR="007C4965" w:rsidRDefault="009006B1" w:rsidP="000E0862">
      <w:pPr>
        <w:pStyle w:val="Pleading2L3"/>
        <w:numPr>
          <w:ilvl w:val="0"/>
          <w:numId w:val="0"/>
        </w:numPr>
        <w:tabs>
          <w:tab w:val="left" w:pos="2160"/>
        </w:tabs>
        <w:spacing w:line="360" w:lineRule="auto"/>
        <w:ind w:firstLine="1440"/>
        <w:contextualSpacing/>
        <w:rPr>
          <w:sz w:val="26"/>
          <w:szCs w:val="26"/>
        </w:rPr>
      </w:pPr>
      <w:r>
        <w:rPr>
          <w:b/>
          <w:sz w:val="26"/>
          <w:szCs w:val="26"/>
        </w:rPr>
        <w:tab/>
      </w:r>
      <w:r w:rsidR="00FC093D">
        <w:rPr>
          <w:b/>
          <w:sz w:val="26"/>
          <w:szCs w:val="26"/>
        </w:rPr>
        <w:t>iv</w:t>
      </w:r>
      <w:r w:rsidR="007C4965" w:rsidRPr="007C4965">
        <w:rPr>
          <w:b/>
          <w:sz w:val="26"/>
          <w:szCs w:val="26"/>
        </w:rPr>
        <w:t>.</w:t>
      </w:r>
      <w:r w:rsidR="007C4965" w:rsidRPr="007C4965">
        <w:rPr>
          <w:b/>
          <w:sz w:val="26"/>
          <w:szCs w:val="26"/>
        </w:rPr>
        <w:tab/>
        <w:t>Disposition</w:t>
      </w:r>
    </w:p>
    <w:p w:rsidR="007C4965" w:rsidRDefault="007C4965" w:rsidP="000E0862">
      <w:pPr>
        <w:pStyle w:val="Pleading2L3"/>
        <w:numPr>
          <w:ilvl w:val="0"/>
          <w:numId w:val="0"/>
        </w:numPr>
        <w:tabs>
          <w:tab w:val="left" w:pos="2160"/>
        </w:tabs>
        <w:spacing w:line="360" w:lineRule="auto"/>
        <w:ind w:firstLine="1440"/>
        <w:contextualSpacing/>
        <w:rPr>
          <w:sz w:val="26"/>
          <w:szCs w:val="26"/>
        </w:rPr>
      </w:pPr>
    </w:p>
    <w:p w:rsidR="008B4DB4" w:rsidRPr="006D1DE1" w:rsidRDefault="008B4DB4" w:rsidP="000E0862">
      <w:pPr>
        <w:pStyle w:val="Pleading2L3"/>
        <w:numPr>
          <w:ilvl w:val="0"/>
          <w:numId w:val="0"/>
        </w:numPr>
        <w:spacing w:line="360" w:lineRule="auto"/>
        <w:contextualSpacing/>
        <w:rPr>
          <w:sz w:val="26"/>
          <w:szCs w:val="26"/>
        </w:rPr>
      </w:pPr>
      <w:r>
        <w:rPr>
          <w:sz w:val="26"/>
          <w:szCs w:val="26"/>
        </w:rPr>
        <w:tab/>
      </w:r>
      <w:r>
        <w:rPr>
          <w:sz w:val="26"/>
          <w:szCs w:val="26"/>
        </w:rPr>
        <w:tab/>
        <w:t xml:space="preserve">Based upon our review of the record evidence on the </w:t>
      </w:r>
      <w:r w:rsidR="00F81426">
        <w:rPr>
          <w:sz w:val="26"/>
          <w:szCs w:val="26"/>
        </w:rPr>
        <w:t xml:space="preserve">revenue allocation </w:t>
      </w:r>
      <w:r>
        <w:rPr>
          <w:sz w:val="26"/>
          <w:szCs w:val="26"/>
        </w:rPr>
        <w:t>issue, we find the recommendation of PPL to be persuasive</w:t>
      </w:r>
      <w:r w:rsidR="00F81426">
        <w:rPr>
          <w:sz w:val="26"/>
          <w:szCs w:val="26"/>
        </w:rPr>
        <w:t>.</w:t>
      </w:r>
      <w:r>
        <w:rPr>
          <w:sz w:val="26"/>
          <w:szCs w:val="26"/>
        </w:rPr>
        <w:t xml:space="preserve"> </w:t>
      </w:r>
      <w:r w:rsidR="00F81426">
        <w:rPr>
          <w:sz w:val="26"/>
          <w:szCs w:val="26"/>
        </w:rPr>
        <w:t xml:space="preserve"> PPL M.B. </w:t>
      </w:r>
      <w:r w:rsidR="00E15042">
        <w:rPr>
          <w:sz w:val="26"/>
          <w:szCs w:val="26"/>
        </w:rPr>
        <w:t>at 36, R.D. at 49.</w:t>
      </w:r>
      <w:r>
        <w:rPr>
          <w:sz w:val="26"/>
          <w:szCs w:val="26"/>
        </w:rPr>
        <w:t xml:space="preserve">  The OCA’s exceptions to the ALJ’s recommendation, we believe are without merit and are denied.  We find that the OCA’s position does not represent an accurate allocation methodology because it does not properly allocate to the residential class all costs incurred to serve it.  Regarding the OSBA’s FDR proposal, we find it to be misplaced here.  While we shall adopt the OSBA’s recommendation regarding the creation of a </w:t>
      </w:r>
      <w:r>
        <w:rPr>
          <w:i/>
          <w:sz w:val="26"/>
          <w:szCs w:val="26"/>
        </w:rPr>
        <w:t>per se</w:t>
      </w:r>
      <w:r>
        <w:rPr>
          <w:sz w:val="26"/>
          <w:szCs w:val="26"/>
        </w:rPr>
        <w:t xml:space="preserve"> rule prohibiting use of the FDR methodology, we shall deny its use here.  We agree with the ALJ’s rationale that there is nothing to allocate to other rate classes when an entire rate increase is being imposed upon a singular rate class.  If all rate classes were allocated a rate increase under proposed rates, and the final increased revenue allowance was less </w:t>
      </w:r>
      <w:r w:rsidR="00240E02">
        <w:rPr>
          <w:sz w:val="26"/>
          <w:szCs w:val="26"/>
        </w:rPr>
        <w:t>than</w:t>
      </w:r>
      <w:r>
        <w:rPr>
          <w:sz w:val="26"/>
          <w:szCs w:val="26"/>
        </w:rPr>
        <w:t xml:space="preserve"> originally requested, than a FDR methodology may be appropriate.  However, to ask one class to shoulder more of an increase than the final total increase in </w:t>
      </w:r>
      <w:r>
        <w:rPr>
          <w:sz w:val="26"/>
          <w:szCs w:val="26"/>
        </w:rPr>
        <w:lastRenderedPageBreak/>
        <w:t xml:space="preserve">revenue would constitute unjust and unreasonable rates.  Accordingly, we shall deny the </w:t>
      </w:r>
      <w:r w:rsidR="00E15042">
        <w:rPr>
          <w:sz w:val="26"/>
          <w:szCs w:val="26"/>
        </w:rPr>
        <w:t>Exceptions of the OCA and, grant, in part, and deny, in part, the Exceptions of</w:t>
      </w:r>
      <w:r>
        <w:rPr>
          <w:sz w:val="26"/>
          <w:szCs w:val="26"/>
        </w:rPr>
        <w:t xml:space="preserve"> the OSBA on this issue.</w:t>
      </w:r>
    </w:p>
    <w:p w:rsidR="008B4DB4" w:rsidRDefault="008B4DB4" w:rsidP="000E0862">
      <w:pPr>
        <w:pStyle w:val="Pleading2L3"/>
        <w:numPr>
          <w:ilvl w:val="0"/>
          <w:numId w:val="0"/>
        </w:numPr>
        <w:tabs>
          <w:tab w:val="left" w:pos="2160"/>
        </w:tabs>
        <w:spacing w:line="360" w:lineRule="auto"/>
        <w:ind w:firstLine="1440"/>
        <w:contextualSpacing/>
        <w:rPr>
          <w:sz w:val="26"/>
          <w:szCs w:val="26"/>
        </w:rPr>
      </w:pPr>
    </w:p>
    <w:p w:rsidR="007C4965" w:rsidRPr="00301793" w:rsidRDefault="004C3E65" w:rsidP="00E25C62">
      <w:pPr>
        <w:pStyle w:val="Pleading2L3"/>
        <w:keepNext/>
        <w:numPr>
          <w:ilvl w:val="0"/>
          <w:numId w:val="0"/>
        </w:numPr>
        <w:tabs>
          <w:tab w:val="left" w:pos="2160"/>
        </w:tabs>
        <w:spacing w:line="240" w:lineRule="auto"/>
        <w:ind w:left="2160" w:hanging="720"/>
        <w:contextualSpacing/>
        <w:rPr>
          <w:b/>
          <w:sz w:val="26"/>
          <w:szCs w:val="26"/>
        </w:rPr>
      </w:pPr>
      <w:r w:rsidRPr="00301793">
        <w:rPr>
          <w:b/>
          <w:sz w:val="26"/>
          <w:szCs w:val="26"/>
        </w:rPr>
        <w:t>c</w:t>
      </w:r>
      <w:r w:rsidR="00250F1D" w:rsidRPr="00301793">
        <w:rPr>
          <w:b/>
          <w:sz w:val="26"/>
          <w:szCs w:val="26"/>
        </w:rPr>
        <w:t>.</w:t>
      </w:r>
      <w:r w:rsidR="00250F1D" w:rsidRPr="00301793">
        <w:rPr>
          <w:b/>
          <w:sz w:val="26"/>
          <w:szCs w:val="26"/>
        </w:rPr>
        <w:tab/>
      </w:r>
      <w:r w:rsidR="00301793" w:rsidRPr="00301793">
        <w:rPr>
          <w:b/>
          <w:sz w:val="26"/>
          <w:szCs w:val="26"/>
        </w:rPr>
        <w:t>Net Metering</w:t>
      </w:r>
      <w:r w:rsidR="000C622B">
        <w:rPr>
          <w:b/>
          <w:sz w:val="26"/>
          <w:szCs w:val="26"/>
        </w:rPr>
        <w:t>/</w:t>
      </w:r>
      <w:r w:rsidR="00301793" w:rsidRPr="00301793">
        <w:rPr>
          <w:b/>
          <w:sz w:val="26"/>
          <w:szCs w:val="26"/>
        </w:rPr>
        <w:t>Compensation</w:t>
      </w:r>
    </w:p>
    <w:p w:rsidR="007C4965" w:rsidRDefault="007C4965" w:rsidP="00E25C62">
      <w:pPr>
        <w:pStyle w:val="Pleading2L3"/>
        <w:keepNext/>
        <w:numPr>
          <w:ilvl w:val="0"/>
          <w:numId w:val="0"/>
        </w:numPr>
        <w:tabs>
          <w:tab w:val="left" w:pos="2160"/>
        </w:tabs>
        <w:spacing w:line="360" w:lineRule="auto"/>
        <w:ind w:firstLine="1440"/>
        <w:contextualSpacing/>
        <w:rPr>
          <w:sz w:val="26"/>
          <w:szCs w:val="26"/>
        </w:rPr>
      </w:pPr>
    </w:p>
    <w:p w:rsidR="007C4965" w:rsidRPr="007C4965" w:rsidRDefault="009006B1" w:rsidP="00E25C62">
      <w:pPr>
        <w:pStyle w:val="Pleading2L3"/>
        <w:keepNext/>
        <w:numPr>
          <w:ilvl w:val="0"/>
          <w:numId w:val="0"/>
        </w:numPr>
        <w:tabs>
          <w:tab w:val="left" w:pos="2160"/>
        </w:tabs>
        <w:spacing w:line="360" w:lineRule="auto"/>
        <w:ind w:firstLine="1440"/>
        <w:contextualSpacing/>
        <w:rPr>
          <w:b/>
          <w:sz w:val="26"/>
          <w:szCs w:val="26"/>
        </w:rPr>
      </w:pPr>
      <w:r>
        <w:rPr>
          <w:b/>
          <w:sz w:val="26"/>
          <w:szCs w:val="26"/>
        </w:rPr>
        <w:tab/>
      </w:r>
      <w:r w:rsidR="001075A5">
        <w:rPr>
          <w:b/>
          <w:sz w:val="26"/>
          <w:szCs w:val="26"/>
        </w:rPr>
        <w:t>i</w:t>
      </w:r>
      <w:r w:rsidR="007C4965" w:rsidRPr="007C4965">
        <w:rPr>
          <w:b/>
          <w:sz w:val="26"/>
          <w:szCs w:val="26"/>
        </w:rPr>
        <w:t>.</w:t>
      </w:r>
      <w:r w:rsidR="007C4965" w:rsidRPr="007C4965">
        <w:rPr>
          <w:b/>
          <w:sz w:val="26"/>
          <w:szCs w:val="26"/>
        </w:rPr>
        <w:tab/>
        <w:t>Positions of the Parties</w:t>
      </w:r>
    </w:p>
    <w:p w:rsidR="00B46DDB" w:rsidRDefault="00B46DDB" w:rsidP="000E0862">
      <w:pPr>
        <w:pStyle w:val="Pleading2L3"/>
        <w:numPr>
          <w:ilvl w:val="0"/>
          <w:numId w:val="0"/>
        </w:numPr>
        <w:spacing w:line="360" w:lineRule="auto"/>
        <w:rPr>
          <w:sz w:val="26"/>
          <w:szCs w:val="26"/>
        </w:rPr>
      </w:pPr>
    </w:p>
    <w:p w:rsidR="00301793" w:rsidRPr="00CB744C" w:rsidRDefault="00301793" w:rsidP="000E0862">
      <w:pPr>
        <w:pStyle w:val="Pleading2L3"/>
        <w:numPr>
          <w:ilvl w:val="0"/>
          <w:numId w:val="0"/>
        </w:numPr>
        <w:spacing w:line="360" w:lineRule="auto"/>
        <w:rPr>
          <w:sz w:val="26"/>
          <w:szCs w:val="26"/>
        </w:rPr>
      </w:pPr>
      <w:r>
        <w:rPr>
          <w:sz w:val="26"/>
          <w:szCs w:val="26"/>
        </w:rPr>
        <w:tab/>
      </w:r>
      <w:r>
        <w:rPr>
          <w:sz w:val="26"/>
          <w:szCs w:val="26"/>
        </w:rPr>
        <w:tab/>
      </w:r>
      <w:r w:rsidRPr="00CB744C">
        <w:rPr>
          <w:sz w:val="26"/>
          <w:szCs w:val="26"/>
        </w:rPr>
        <w:t xml:space="preserve">PPL </w:t>
      </w:r>
      <w:r>
        <w:rPr>
          <w:sz w:val="26"/>
          <w:szCs w:val="26"/>
        </w:rPr>
        <w:t>ha</w:t>
      </w:r>
      <w:r w:rsidRPr="00CB744C">
        <w:rPr>
          <w:sz w:val="26"/>
          <w:szCs w:val="26"/>
        </w:rPr>
        <w:t>s propos</w:t>
      </w:r>
      <w:r>
        <w:rPr>
          <w:sz w:val="26"/>
          <w:szCs w:val="26"/>
        </w:rPr>
        <w:t>ed</w:t>
      </w:r>
      <w:r w:rsidRPr="00CB744C">
        <w:rPr>
          <w:sz w:val="26"/>
          <w:szCs w:val="26"/>
        </w:rPr>
        <w:t xml:space="preserve"> several changes to its Net Metering for Renewable Customer-Generators Rider, with the stated intent to coordinate with the Alternative Energy Portfolio Standards Act, Act of November 30, 2004, P.L. 1672, as amended, 73</w:t>
      </w:r>
      <w:r w:rsidR="00B46DDB">
        <w:rPr>
          <w:sz w:val="26"/>
          <w:szCs w:val="26"/>
        </w:rPr>
        <w:t> </w:t>
      </w:r>
      <w:r w:rsidRPr="00CB744C">
        <w:rPr>
          <w:sz w:val="26"/>
          <w:szCs w:val="26"/>
        </w:rPr>
        <w:t>P.S. §§ 1648.1-1648.8 (AEPS Act), and the Commission’s regulations implementing the AEPS Act, 52 Pa. Code §§ 75.61-75.70.  The changes are:</w:t>
      </w:r>
    </w:p>
    <w:p w:rsidR="00301793" w:rsidRPr="00CB744C" w:rsidRDefault="00301793" w:rsidP="000E0862">
      <w:pPr>
        <w:pStyle w:val="Pleading2L3"/>
        <w:numPr>
          <w:ilvl w:val="0"/>
          <w:numId w:val="0"/>
        </w:numPr>
        <w:spacing w:line="240" w:lineRule="auto"/>
        <w:rPr>
          <w:sz w:val="26"/>
          <w:szCs w:val="26"/>
        </w:rPr>
      </w:pPr>
    </w:p>
    <w:p w:rsidR="00301793" w:rsidRPr="00CB744C" w:rsidRDefault="00301793" w:rsidP="000E0862">
      <w:pPr>
        <w:pStyle w:val="Pleading2L3"/>
        <w:numPr>
          <w:ilvl w:val="0"/>
          <w:numId w:val="0"/>
        </w:numPr>
        <w:spacing w:line="240" w:lineRule="auto"/>
        <w:ind w:left="1440" w:right="1440"/>
        <w:rPr>
          <w:sz w:val="26"/>
          <w:szCs w:val="26"/>
        </w:rPr>
      </w:pPr>
      <w:r w:rsidRPr="00CB744C">
        <w:rPr>
          <w:sz w:val="26"/>
          <w:szCs w:val="26"/>
        </w:rPr>
        <w:t>1.</w:t>
      </w:r>
      <w:r w:rsidRPr="00CB744C">
        <w:rPr>
          <w:sz w:val="26"/>
          <w:szCs w:val="26"/>
        </w:rPr>
        <w:tab/>
        <w:t>Revision of the billing provision to provide for annual payments for excess generation at PPL Electric’s Price to Compare; and</w:t>
      </w:r>
    </w:p>
    <w:p w:rsidR="00301793" w:rsidRPr="00CB744C" w:rsidRDefault="00301793" w:rsidP="000E0862">
      <w:pPr>
        <w:pStyle w:val="Pleading2L3"/>
        <w:numPr>
          <w:ilvl w:val="0"/>
          <w:numId w:val="0"/>
        </w:numPr>
        <w:spacing w:line="240" w:lineRule="auto"/>
        <w:ind w:left="1440" w:right="1440"/>
        <w:rPr>
          <w:sz w:val="26"/>
          <w:szCs w:val="26"/>
        </w:rPr>
      </w:pPr>
    </w:p>
    <w:p w:rsidR="00301793" w:rsidRDefault="00301793" w:rsidP="000E0862">
      <w:pPr>
        <w:pStyle w:val="Pleading2L3"/>
        <w:numPr>
          <w:ilvl w:val="0"/>
          <w:numId w:val="0"/>
        </w:numPr>
        <w:spacing w:line="240" w:lineRule="auto"/>
        <w:ind w:left="1440" w:right="1440"/>
        <w:rPr>
          <w:sz w:val="26"/>
          <w:szCs w:val="26"/>
        </w:rPr>
      </w:pPr>
      <w:r w:rsidRPr="00CB744C">
        <w:rPr>
          <w:sz w:val="26"/>
          <w:szCs w:val="26"/>
        </w:rPr>
        <w:t>2.</w:t>
      </w:r>
      <w:r w:rsidRPr="00CB744C">
        <w:rPr>
          <w:sz w:val="26"/>
          <w:szCs w:val="26"/>
        </w:rPr>
        <w:tab/>
        <w:t xml:space="preserve">Conditions under which shopping customers can qualify and participate in the net metering program.  </w:t>
      </w:r>
    </w:p>
    <w:p w:rsidR="00B46DDB" w:rsidRPr="00CB744C" w:rsidRDefault="00B46DDB" w:rsidP="000E0862">
      <w:pPr>
        <w:pStyle w:val="Pleading2L3"/>
        <w:numPr>
          <w:ilvl w:val="0"/>
          <w:numId w:val="0"/>
        </w:numPr>
        <w:spacing w:line="240" w:lineRule="auto"/>
        <w:ind w:left="1440" w:right="1440"/>
        <w:rPr>
          <w:sz w:val="26"/>
          <w:szCs w:val="26"/>
        </w:rPr>
      </w:pPr>
    </w:p>
    <w:p w:rsidR="00301793" w:rsidRPr="00CB744C" w:rsidRDefault="00301793" w:rsidP="00B46DDB">
      <w:pPr>
        <w:pStyle w:val="Pleading2L3"/>
        <w:numPr>
          <w:ilvl w:val="0"/>
          <w:numId w:val="0"/>
        </w:numPr>
        <w:spacing w:line="240" w:lineRule="auto"/>
        <w:rPr>
          <w:sz w:val="26"/>
          <w:szCs w:val="26"/>
        </w:rPr>
      </w:pPr>
      <w:r w:rsidRPr="00CB744C">
        <w:rPr>
          <w:sz w:val="26"/>
          <w:szCs w:val="26"/>
        </w:rPr>
        <w:t xml:space="preserve">PPL Electric </w:t>
      </w:r>
      <w:r w:rsidR="002A5BDA">
        <w:rPr>
          <w:sz w:val="26"/>
          <w:szCs w:val="26"/>
        </w:rPr>
        <w:t xml:space="preserve">M.B. </w:t>
      </w:r>
      <w:r w:rsidRPr="00CB744C">
        <w:rPr>
          <w:sz w:val="26"/>
          <w:szCs w:val="26"/>
        </w:rPr>
        <w:t>at 64 (citations omitted) and PPL R</w:t>
      </w:r>
      <w:r w:rsidR="002A5BDA">
        <w:rPr>
          <w:sz w:val="26"/>
          <w:szCs w:val="26"/>
        </w:rPr>
        <w:t>.B.</w:t>
      </w:r>
      <w:r w:rsidRPr="00CB744C">
        <w:rPr>
          <w:sz w:val="26"/>
          <w:szCs w:val="26"/>
        </w:rPr>
        <w:t xml:space="preserve"> at 23.</w:t>
      </w:r>
    </w:p>
    <w:p w:rsidR="00301793" w:rsidRPr="00CB744C" w:rsidRDefault="00301793" w:rsidP="000E0862">
      <w:pPr>
        <w:pStyle w:val="Pleading2L3"/>
        <w:numPr>
          <w:ilvl w:val="0"/>
          <w:numId w:val="0"/>
        </w:numPr>
        <w:spacing w:line="360" w:lineRule="auto"/>
        <w:rPr>
          <w:sz w:val="26"/>
          <w:szCs w:val="26"/>
        </w:rPr>
      </w:pPr>
    </w:p>
    <w:p w:rsidR="00301793" w:rsidRPr="00CB744C" w:rsidRDefault="00301793" w:rsidP="000E0862">
      <w:pPr>
        <w:pStyle w:val="Pleading2L3"/>
        <w:numPr>
          <w:ilvl w:val="0"/>
          <w:numId w:val="0"/>
        </w:numPr>
        <w:spacing w:line="360" w:lineRule="auto"/>
        <w:rPr>
          <w:sz w:val="26"/>
          <w:szCs w:val="26"/>
        </w:rPr>
      </w:pPr>
      <w:r w:rsidRPr="00CB744C">
        <w:rPr>
          <w:sz w:val="26"/>
          <w:szCs w:val="26"/>
        </w:rPr>
        <w:tab/>
      </w:r>
      <w:r w:rsidRPr="00CB744C">
        <w:rPr>
          <w:sz w:val="26"/>
          <w:szCs w:val="26"/>
        </w:rPr>
        <w:tab/>
        <w:t>PPL states:</w:t>
      </w:r>
    </w:p>
    <w:p w:rsidR="00301793" w:rsidRPr="00CB744C" w:rsidRDefault="00301793" w:rsidP="000E0862">
      <w:pPr>
        <w:pStyle w:val="Pleading2L3"/>
        <w:numPr>
          <w:ilvl w:val="0"/>
          <w:numId w:val="0"/>
        </w:numPr>
        <w:spacing w:line="240" w:lineRule="auto"/>
        <w:rPr>
          <w:sz w:val="26"/>
          <w:szCs w:val="26"/>
        </w:rPr>
      </w:pPr>
    </w:p>
    <w:p w:rsidR="00301793" w:rsidRPr="00CB744C" w:rsidRDefault="00301793" w:rsidP="000E0862">
      <w:pPr>
        <w:pStyle w:val="Pleading2L3"/>
        <w:numPr>
          <w:ilvl w:val="0"/>
          <w:numId w:val="0"/>
        </w:numPr>
        <w:spacing w:line="240" w:lineRule="auto"/>
        <w:ind w:left="1440" w:right="1440"/>
        <w:contextualSpacing/>
        <w:rPr>
          <w:sz w:val="26"/>
          <w:szCs w:val="26"/>
        </w:rPr>
      </w:pPr>
      <w:r w:rsidRPr="00CB744C">
        <w:rPr>
          <w:sz w:val="26"/>
          <w:szCs w:val="26"/>
        </w:rPr>
        <w:t xml:space="preserve">Under the Net Metering Rider, the kilowatt-hours generated by the customer is automatically credited against the kilowatt-hours of usage by the two-way net metering equipment which nets customer usage and customer generation.  The customer is given full retail value for the kilowatt-hours generated for distribution (if kilowatt-hour charges exist in the rate schedule), Act 129 charges, transmission, energy &amp; capacity, and competitive transition charge.  Pursuant to PPL Electric’s currently effective and approved tariff, customers are responsible for the customer charge, the minimum bill, and any demand that may have been registered on the meter, even </w:t>
      </w:r>
      <w:r w:rsidRPr="00CB744C">
        <w:rPr>
          <w:sz w:val="26"/>
          <w:szCs w:val="26"/>
        </w:rPr>
        <w:lastRenderedPageBreak/>
        <w:t>if customer generation was equal to or exceeded customer usage.  PPL Electric St. 8-0RJ, p. 8; PPL Electric Ex. OGK-1, 0. 19L.3.  As explained in the rebuttal testimony of Mr. Kasper, over 90% of the charges on the average customer’s bill are comprised of kWh charges.  PPL Electric St. 8-R, p. 9.  Therefore, PPL Electric is crediting over 90 percent of the distribution charges for residential customers.</w:t>
      </w:r>
    </w:p>
    <w:p w:rsidR="00B46DDB" w:rsidRDefault="00B46DDB" w:rsidP="000E0862">
      <w:pPr>
        <w:pStyle w:val="Pleading2L3"/>
        <w:numPr>
          <w:ilvl w:val="0"/>
          <w:numId w:val="0"/>
        </w:numPr>
        <w:spacing w:line="240" w:lineRule="auto"/>
        <w:ind w:left="1440" w:right="1440"/>
        <w:contextualSpacing/>
        <w:rPr>
          <w:sz w:val="26"/>
          <w:szCs w:val="26"/>
        </w:rPr>
      </w:pPr>
    </w:p>
    <w:p w:rsidR="00301793" w:rsidRPr="00CB744C" w:rsidRDefault="00301793" w:rsidP="000E0862">
      <w:pPr>
        <w:pStyle w:val="Pleading2L3"/>
        <w:numPr>
          <w:ilvl w:val="0"/>
          <w:numId w:val="0"/>
        </w:numPr>
        <w:spacing w:line="240" w:lineRule="auto"/>
        <w:ind w:left="1440" w:right="1440"/>
        <w:contextualSpacing/>
        <w:rPr>
          <w:sz w:val="26"/>
          <w:szCs w:val="26"/>
        </w:rPr>
      </w:pPr>
      <w:r w:rsidRPr="00CB744C">
        <w:rPr>
          <w:sz w:val="26"/>
          <w:szCs w:val="26"/>
        </w:rPr>
        <w:t>These requirements have not changed in the proposed tariff.  This is a reasonable and appropriate result.  Net Metering customers continue to be connected to the Company’s distribution system and continue to use that system both as a consumer of electricity and as a generator of electricity.  The customer charge is designed to recover costs associated with connecting a customer to the system regardless of the customer usage (either as buyer or as a seller).  The demand charge is designed to recover the costs associated with the maximum demand a customer places on the system (again either as a buyer or as a seller).  There is therefore no rational basis for eliminating the customer charge or demand charge as part of the Net Metering Rider.  PPL Electric St. 8-RJ, p. 8.  As explained above, clearly it is inconsistent with the Commission’s regulations on this point, and is unnecessary given over 90% of charges are energy based.</w:t>
      </w:r>
    </w:p>
    <w:p w:rsidR="00301793" w:rsidRPr="00CB744C" w:rsidRDefault="00301793" w:rsidP="000E0862">
      <w:pPr>
        <w:pStyle w:val="Pleading2L3"/>
        <w:numPr>
          <w:ilvl w:val="0"/>
          <w:numId w:val="0"/>
        </w:numPr>
        <w:spacing w:line="240" w:lineRule="auto"/>
        <w:ind w:left="1440" w:right="1440" w:hanging="1350"/>
        <w:contextualSpacing/>
        <w:rPr>
          <w:sz w:val="26"/>
          <w:szCs w:val="26"/>
        </w:rPr>
      </w:pPr>
    </w:p>
    <w:p w:rsidR="00301793" w:rsidRPr="00CB744C" w:rsidRDefault="00301793" w:rsidP="000E0862">
      <w:pPr>
        <w:pStyle w:val="Pleading2L3"/>
        <w:numPr>
          <w:ilvl w:val="0"/>
          <w:numId w:val="0"/>
        </w:numPr>
        <w:spacing w:line="360" w:lineRule="auto"/>
        <w:ind w:left="1440" w:right="1440" w:hanging="1350"/>
        <w:contextualSpacing/>
        <w:rPr>
          <w:sz w:val="26"/>
          <w:szCs w:val="26"/>
        </w:rPr>
      </w:pPr>
      <w:r w:rsidRPr="00CB744C">
        <w:rPr>
          <w:sz w:val="26"/>
          <w:szCs w:val="26"/>
        </w:rPr>
        <w:t xml:space="preserve">PPL </w:t>
      </w:r>
      <w:r>
        <w:rPr>
          <w:sz w:val="26"/>
          <w:szCs w:val="26"/>
        </w:rPr>
        <w:t>M.B.</w:t>
      </w:r>
      <w:r w:rsidRPr="00CB744C">
        <w:rPr>
          <w:sz w:val="26"/>
          <w:szCs w:val="26"/>
        </w:rPr>
        <w:t xml:space="preserve"> at 65-66</w:t>
      </w:r>
      <w:r>
        <w:rPr>
          <w:sz w:val="26"/>
          <w:szCs w:val="26"/>
        </w:rPr>
        <w:t>; R.D. at 63</w:t>
      </w:r>
      <w:r w:rsidRPr="00CB744C">
        <w:rPr>
          <w:sz w:val="26"/>
          <w:szCs w:val="26"/>
        </w:rPr>
        <w:t>.</w:t>
      </w:r>
    </w:p>
    <w:p w:rsidR="00301793" w:rsidRPr="00CB744C" w:rsidRDefault="00301793" w:rsidP="000E0862">
      <w:pPr>
        <w:pStyle w:val="Pleading2L3"/>
        <w:numPr>
          <w:ilvl w:val="0"/>
          <w:numId w:val="0"/>
        </w:numPr>
        <w:spacing w:line="240" w:lineRule="auto"/>
        <w:rPr>
          <w:sz w:val="26"/>
          <w:szCs w:val="26"/>
        </w:rPr>
      </w:pPr>
    </w:p>
    <w:p w:rsidR="00301793" w:rsidRPr="00CB744C" w:rsidRDefault="00301793" w:rsidP="000E0862">
      <w:pPr>
        <w:pStyle w:val="Pleading2L3"/>
        <w:numPr>
          <w:ilvl w:val="0"/>
          <w:numId w:val="0"/>
        </w:numPr>
        <w:spacing w:line="240" w:lineRule="auto"/>
        <w:rPr>
          <w:sz w:val="26"/>
          <w:szCs w:val="26"/>
        </w:rPr>
      </w:pPr>
      <w:r w:rsidRPr="00CB744C">
        <w:rPr>
          <w:sz w:val="26"/>
          <w:szCs w:val="26"/>
        </w:rPr>
        <w:tab/>
      </w:r>
      <w:r w:rsidRPr="00CB744C">
        <w:rPr>
          <w:sz w:val="26"/>
          <w:szCs w:val="26"/>
        </w:rPr>
        <w:tab/>
        <w:t xml:space="preserve">The Commission’s </w:t>
      </w:r>
      <w:r w:rsidRPr="00B46DDB">
        <w:rPr>
          <w:i/>
          <w:sz w:val="26"/>
          <w:szCs w:val="26"/>
        </w:rPr>
        <w:t>Final Omitted Rulemaking Order</w:t>
      </w:r>
      <w:r w:rsidRPr="00CB744C">
        <w:rPr>
          <w:sz w:val="26"/>
          <w:szCs w:val="26"/>
        </w:rPr>
        <w:t xml:space="preserve"> agrees:</w:t>
      </w:r>
    </w:p>
    <w:p w:rsidR="00301793" w:rsidRPr="00CB744C" w:rsidRDefault="00301793" w:rsidP="000E0862">
      <w:pPr>
        <w:pStyle w:val="Pleading2L3"/>
        <w:numPr>
          <w:ilvl w:val="0"/>
          <w:numId w:val="0"/>
        </w:numPr>
        <w:spacing w:line="240" w:lineRule="auto"/>
        <w:rPr>
          <w:sz w:val="26"/>
          <w:szCs w:val="26"/>
        </w:rPr>
      </w:pPr>
    </w:p>
    <w:p w:rsidR="00301793" w:rsidRDefault="00301793" w:rsidP="000E0862">
      <w:pPr>
        <w:pStyle w:val="Pleading2L3"/>
        <w:numPr>
          <w:ilvl w:val="0"/>
          <w:numId w:val="0"/>
        </w:numPr>
        <w:spacing w:line="240" w:lineRule="auto"/>
        <w:ind w:left="1440" w:right="1440"/>
        <w:contextualSpacing/>
        <w:rPr>
          <w:sz w:val="26"/>
          <w:szCs w:val="26"/>
        </w:rPr>
      </w:pPr>
      <w:r w:rsidRPr="00CB744C">
        <w:rPr>
          <w:sz w:val="26"/>
          <w:szCs w:val="26"/>
        </w:rPr>
        <w:tab/>
        <w:t>However, the Commission does agree with IECPA that as customer-generators will continue to use an EDC’s distribution systems, it would be unreasonable to allow them to use those systems free of charge by shifting the costs for their use of those systems onto other customers.  Thus, this Commission believes that it would be unreasonable and not in the public interest to include distribution and transition charges within the compensation provided to customer-generators for any remaining excess generation credits at the end of the compliance year.</w:t>
      </w:r>
    </w:p>
    <w:p w:rsidR="00B46DDB" w:rsidRPr="00CB744C" w:rsidRDefault="00B46DDB" w:rsidP="000E0862">
      <w:pPr>
        <w:pStyle w:val="Pleading2L3"/>
        <w:numPr>
          <w:ilvl w:val="0"/>
          <w:numId w:val="0"/>
        </w:numPr>
        <w:spacing w:line="240" w:lineRule="auto"/>
        <w:ind w:left="1440" w:right="1440"/>
        <w:contextualSpacing/>
        <w:rPr>
          <w:sz w:val="26"/>
          <w:szCs w:val="26"/>
        </w:rPr>
      </w:pPr>
    </w:p>
    <w:p w:rsidR="00301793" w:rsidRDefault="00301793" w:rsidP="000E0862">
      <w:pPr>
        <w:pStyle w:val="Pleading2L3"/>
        <w:numPr>
          <w:ilvl w:val="0"/>
          <w:numId w:val="0"/>
        </w:numPr>
        <w:spacing w:line="240" w:lineRule="auto"/>
        <w:ind w:left="1440" w:right="1440"/>
        <w:contextualSpacing/>
        <w:rPr>
          <w:sz w:val="26"/>
          <w:szCs w:val="26"/>
        </w:rPr>
      </w:pPr>
      <w:r w:rsidRPr="00CB744C">
        <w:rPr>
          <w:sz w:val="26"/>
          <w:szCs w:val="26"/>
        </w:rPr>
        <w:lastRenderedPageBreak/>
        <w:t xml:space="preserve">Final Omitted Rulemaking Order in </w:t>
      </w:r>
      <w:r w:rsidRPr="00CB744C">
        <w:rPr>
          <w:i/>
          <w:sz w:val="26"/>
          <w:szCs w:val="26"/>
        </w:rPr>
        <w:t xml:space="preserve">Implementation of Act 35 of 2007; Net Metering and Interconnection, </w:t>
      </w:r>
      <w:r w:rsidRPr="00CB744C">
        <w:rPr>
          <w:sz w:val="26"/>
          <w:szCs w:val="26"/>
        </w:rPr>
        <w:t>L-00050174 (entered July 2, 2008) at 20.</w:t>
      </w:r>
    </w:p>
    <w:p w:rsidR="002A5BDA" w:rsidRPr="00CB744C" w:rsidRDefault="002A5BDA" w:rsidP="000E0862">
      <w:pPr>
        <w:pStyle w:val="Pleading2L3"/>
        <w:numPr>
          <w:ilvl w:val="0"/>
          <w:numId w:val="0"/>
        </w:numPr>
        <w:spacing w:line="240" w:lineRule="auto"/>
        <w:ind w:left="1440" w:right="1440"/>
        <w:contextualSpacing/>
        <w:rPr>
          <w:sz w:val="26"/>
          <w:szCs w:val="26"/>
        </w:rPr>
      </w:pPr>
    </w:p>
    <w:p w:rsidR="00301793" w:rsidRDefault="00301793" w:rsidP="000E0862">
      <w:pPr>
        <w:pStyle w:val="Pleading2L3"/>
        <w:numPr>
          <w:ilvl w:val="0"/>
          <w:numId w:val="0"/>
        </w:numPr>
        <w:spacing w:line="360" w:lineRule="auto"/>
        <w:rPr>
          <w:sz w:val="26"/>
          <w:szCs w:val="26"/>
        </w:rPr>
      </w:pPr>
      <w:r>
        <w:rPr>
          <w:sz w:val="26"/>
          <w:szCs w:val="26"/>
        </w:rPr>
        <w:t>R.D. at 63, 64.</w:t>
      </w:r>
    </w:p>
    <w:p w:rsidR="00301793" w:rsidRPr="00CB744C" w:rsidRDefault="00301793" w:rsidP="000E0862">
      <w:pPr>
        <w:pStyle w:val="Pleading2L3"/>
        <w:numPr>
          <w:ilvl w:val="0"/>
          <w:numId w:val="0"/>
        </w:numPr>
        <w:spacing w:line="360" w:lineRule="auto"/>
        <w:rPr>
          <w:sz w:val="26"/>
          <w:szCs w:val="26"/>
        </w:rPr>
      </w:pPr>
    </w:p>
    <w:p w:rsidR="00301793" w:rsidRPr="00CB744C" w:rsidRDefault="00301793" w:rsidP="000E0862">
      <w:pPr>
        <w:pStyle w:val="Pleading2L3"/>
        <w:numPr>
          <w:ilvl w:val="0"/>
          <w:numId w:val="0"/>
        </w:numPr>
        <w:spacing w:line="360" w:lineRule="auto"/>
        <w:rPr>
          <w:bCs/>
          <w:sz w:val="26"/>
          <w:szCs w:val="26"/>
        </w:rPr>
      </w:pPr>
      <w:r w:rsidRPr="00CB744C">
        <w:rPr>
          <w:sz w:val="26"/>
          <w:szCs w:val="26"/>
        </w:rPr>
        <w:tab/>
      </w:r>
      <w:r w:rsidRPr="00CB744C">
        <w:rPr>
          <w:sz w:val="26"/>
          <w:szCs w:val="26"/>
        </w:rPr>
        <w:tab/>
      </w:r>
      <w:r w:rsidRPr="00CB744C">
        <w:rPr>
          <w:bCs/>
          <w:sz w:val="26"/>
          <w:szCs w:val="26"/>
        </w:rPr>
        <w:t xml:space="preserve">The </w:t>
      </w:r>
      <w:r w:rsidR="00F7637A">
        <w:rPr>
          <w:bCs/>
          <w:sz w:val="26"/>
          <w:szCs w:val="26"/>
        </w:rPr>
        <w:t>R</w:t>
      </w:r>
      <w:r w:rsidRPr="00CB744C">
        <w:rPr>
          <w:bCs/>
          <w:sz w:val="26"/>
          <w:szCs w:val="26"/>
        </w:rPr>
        <w:t>egulation itself states that the credit will include distribution charges until the customer-generator generates more power than he or she uses.  The credit for surplus generated power is not required to include distribution charges:</w:t>
      </w:r>
    </w:p>
    <w:p w:rsidR="00301793" w:rsidRPr="00CB744C" w:rsidRDefault="00301793" w:rsidP="000E0862">
      <w:pPr>
        <w:pStyle w:val="Pleading2L3"/>
        <w:numPr>
          <w:ilvl w:val="0"/>
          <w:numId w:val="0"/>
        </w:numPr>
        <w:spacing w:line="360" w:lineRule="auto"/>
        <w:rPr>
          <w:bCs/>
          <w:sz w:val="26"/>
          <w:szCs w:val="26"/>
        </w:rPr>
      </w:pPr>
    </w:p>
    <w:p w:rsidR="00301793" w:rsidRPr="00CB744C" w:rsidRDefault="00301793" w:rsidP="000E0862">
      <w:pPr>
        <w:spacing w:line="240" w:lineRule="auto"/>
        <w:ind w:left="1440" w:right="1440"/>
        <w:contextualSpacing/>
        <w:jc w:val="left"/>
        <w:outlineLvl w:val="3"/>
        <w:rPr>
          <w:rFonts w:eastAsia="Times New Roman"/>
          <w:b/>
          <w:bCs/>
          <w:sz w:val="26"/>
          <w:szCs w:val="26"/>
        </w:rPr>
      </w:pPr>
      <w:r w:rsidRPr="00CB744C">
        <w:rPr>
          <w:rFonts w:eastAsia="Times New Roman"/>
          <w:b/>
          <w:bCs/>
          <w:sz w:val="26"/>
          <w:szCs w:val="26"/>
        </w:rPr>
        <w:t>§ 75.13. General provisions.</w:t>
      </w:r>
    </w:p>
    <w:p w:rsidR="00301793" w:rsidRPr="00CB744C" w:rsidRDefault="00301793" w:rsidP="000E0862">
      <w:pPr>
        <w:spacing w:line="240" w:lineRule="auto"/>
        <w:ind w:left="1440" w:right="1440"/>
        <w:contextualSpacing/>
        <w:jc w:val="left"/>
        <w:outlineLvl w:val="3"/>
        <w:rPr>
          <w:rFonts w:eastAsia="Times New Roman"/>
          <w:b/>
          <w:bCs/>
          <w:sz w:val="26"/>
          <w:szCs w:val="26"/>
        </w:rPr>
      </w:pPr>
    </w:p>
    <w:p w:rsidR="00301793" w:rsidRPr="00CB744C" w:rsidRDefault="00301793" w:rsidP="000E0862">
      <w:pPr>
        <w:spacing w:line="240" w:lineRule="auto"/>
        <w:ind w:left="1440" w:right="1440"/>
        <w:contextualSpacing/>
        <w:rPr>
          <w:rFonts w:eastAsia="Times New Roman"/>
          <w:sz w:val="26"/>
          <w:szCs w:val="26"/>
        </w:rPr>
      </w:pPr>
      <w:r w:rsidRPr="00CB744C">
        <w:rPr>
          <w:rFonts w:eastAsia="Times New Roman"/>
          <w:sz w:val="26"/>
          <w:szCs w:val="26"/>
        </w:rPr>
        <w:t>* * *</w:t>
      </w:r>
    </w:p>
    <w:p w:rsidR="00301793" w:rsidRDefault="00301793" w:rsidP="000E0862">
      <w:pPr>
        <w:spacing w:line="240" w:lineRule="auto"/>
        <w:ind w:left="1440" w:right="1440"/>
        <w:contextualSpacing/>
        <w:jc w:val="left"/>
        <w:rPr>
          <w:rFonts w:eastAsia="Times New Roman"/>
          <w:sz w:val="26"/>
          <w:szCs w:val="26"/>
        </w:rPr>
      </w:pPr>
      <w:r w:rsidRPr="00CB744C">
        <w:rPr>
          <w:rFonts w:eastAsia="Times New Roman"/>
          <w:sz w:val="26"/>
          <w:szCs w:val="26"/>
        </w:rPr>
        <w:t xml:space="preserve"> (c)  The EDC shall credit a customer-generator at the full retail rate, which shall include generation, transmission and distribution charges, for each kilowatt-hour produced by a Tier I or Tier II resource installed on the customer-generator’s side of the electric revenue meter, up to the total amount of electricity used by that customer during the billing period. If a customer generator supplies more electricity to the electric distribution system than the EDC delivers to the customer-generator in a given billing period, the excess kilowatt hours shall be carried forward and credited against the customer-generator’s usage in subsequent billing periods at the full retail rate. Any excess kilowatt hours shall continue to accumulate until the end of the year. For customer-generators involved in virtual meter aggregation programs, a credit shall be applied first to the meter through which the generating facility supplies electricity to the distribution system, then through the remaining meters for the customer-generator’s account equally at each meter’s designated rate. </w:t>
      </w:r>
    </w:p>
    <w:p w:rsidR="00F7637A" w:rsidRPr="00CB744C" w:rsidRDefault="00F7637A" w:rsidP="000E0862">
      <w:pPr>
        <w:spacing w:line="240" w:lineRule="auto"/>
        <w:ind w:left="1440" w:right="1440"/>
        <w:contextualSpacing/>
        <w:jc w:val="left"/>
        <w:rPr>
          <w:rFonts w:eastAsia="Times New Roman"/>
          <w:sz w:val="26"/>
          <w:szCs w:val="26"/>
        </w:rPr>
      </w:pPr>
    </w:p>
    <w:p w:rsidR="00301793" w:rsidRPr="00CB744C" w:rsidRDefault="00301793" w:rsidP="000E0862">
      <w:pPr>
        <w:spacing w:before="100" w:beforeAutospacing="1" w:after="100" w:afterAutospacing="1" w:line="240" w:lineRule="auto"/>
        <w:ind w:left="1440" w:right="1440"/>
        <w:contextualSpacing/>
        <w:jc w:val="left"/>
        <w:rPr>
          <w:rFonts w:eastAsia="Times New Roman"/>
          <w:sz w:val="26"/>
          <w:szCs w:val="26"/>
        </w:rPr>
      </w:pPr>
      <w:r w:rsidRPr="00CB744C">
        <w:rPr>
          <w:rFonts w:eastAsia="Times New Roman"/>
          <w:sz w:val="26"/>
          <w:szCs w:val="26"/>
        </w:rPr>
        <w:t xml:space="preserve"> (d)  At the end of each year, the EDC shall compensate the customer-generator for any excess kilowatt-hours generated by the customer-generator over the amount of kilowatt hours delivered by the EDC during the same year at the EDC’s price to compare. </w:t>
      </w:r>
    </w:p>
    <w:p w:rsidR="00F7637A" w:rsidRDefault="00F7637A" w:rsidP="000E0862">
      <w:pPr>
        <w:spacing w:before="100" w:beforeAutospacing="1" w:after="100" w:afterAutospacing="1" w:line="240" w:lineRule="auto"/>
        <w:ind w:left="1440" w:right="1440"/>
        <w:contextualSpacing/>
        <w:jc w:val="left"/>
        <w:rPr>
          <w:rFonts w:eastAsia="Times New Roman"/>
          <w:sz w:val="26"/>
          <w:szCs w:val="26"/>
        </w:rPr>
      </w:pPr>
    </w:p>
    <w:p w:rsidR="00301793" w:rsidRPr="00CB744C" w:rsidRDefault="00301793" w:rsidP="000E0862">
      <w:pPr>
        <w:spacing w:before="100" w:beforeAutospacing="1" w:after="100" w:afterAutospacing="1" w:line="240" w:lineRule="auto"/>
        <w:ind w:left="1440" w:right="1440"/>
        <w:contextualSpacing/>
        <w:jc w:val="left"/>
        <w:rPr>
          <w:rFonts w:eastAsia="Times New Roman"/>
          <w:sz w:val="26"/>
          <w:szCs w:val="26"/>
        </w:rPr>
      </w:pPr>
      <w:r w:rsidRPr="00CB744C">
        <w:rPr>
          <w:rFonts w:eastAsia="Times New Roman"/>
          <w:sz w:val="26"/>
          <w:szCs w:val="26"/>
        </w:rPr>
        <w:t xml:space="preserve"> (e)  The credit or compensation terms for excess electricity produced by customer-generators who are customers of EGSs </w:t>
      </w:r>
      <w:r w:rsidRPr="00CB744C">
        <w:rPr>
          <w:rFonts w:eastAsia="Times New Roman"/>
          <w:sz w:val="26"/>
          <w:szCs w:val="26"/>
        </w:rPr>
        <w:lastRenderedPageBreak/>
        <w:t>shall be stated in the service agreement between the customer-generator and the EGS.</w:t>
      </w:r>
    </w:p>
    <w:p w:rsidR="00301793" w:rsidRPr="00CB744C" w:rsidRDefault="00301793" w:rsidP="000E0862">
      <w:pPr>
        <w:spacing w:before="100" w:beforeAutospacing="1" w:after="100" w:afterAutospacing="1" w:line="240" w:lineRule="auto"/>
        <w:ind w:left="1440" w:right="1440"/>
        <w:contextualSpacing/>
        <w:jc w:val="left"/>
        <w:rPr>
          <w:rFonts w:eastAsia="Times New Roman"/>
          <w:sz w:val="26"/>
          <w:szCs w:val="26"/>
        </w:rPr>
      </w:pPr>
    </w:p>
    <w:p w:rsidR="00301793" w:rsidRPr="00CB744C" w:rsidRDefault="00301793" w:rsidP="000E0862">
      <w:pPr>
        <w:spacing w:before="100" w:beforeAutospacing="1" w:after="100" w:afterAutospacing="1" w:line="240" w:lineRule="auto"/>
        <w:ind w:left="1440" w:right="1440" w:hanging="1440"/>
        <w:contextualSpacing/>
        <w:jc w:val="left"/>
        <w:rPr>
          <w:rFonts w:eastAsia="Times New Roman"/>
          <w:sz w:val="26"/>
          <w:szCs w:val="26"/>
        </w:rPr>
      </w:pPr>
      <w:r w:rsidRPr="00CB744C">
        <w:rPr>
          <w:rFonts w:eastAsia="Times New Roman"/>
          <w:sz w:val="26"/>
          <w:szCs w:val="26"/>
        </w:rPr>
        <w:t>52 Pa. Code §73.13(c), (d) and (e).</w:t>
      </w:r>
    </w:p>
    <w:p w:rsidR="00301793" w:rsidRDefault="00F7637A" w:rsidP="000E0862">
      <w:pPr>
        <w:pStyle w:val="Pleading2L3"/>
        <w:numPr>
          <w:ilvl w:val="0"/>
          <w:numId w:val="0"/>
        </w:numPr>
        <w:spacing w:line="360" w:lineRule="auto"/>
        <w:rPr>
          <w:sz w:val="26"/>
          <w:szCs w:val="26"/>
        </w:rPr>
      </w:pPr>
      <w:r>
        <w:rPr>
          <w:sz w:val="26"/>
          <w:szCs w:val="26"/>
        </w:rPr>
        <w:tab/>
      </w:r>
      <w:r>
        <w:rPr>
          <w:sz w:val="26"/>
          <w:szCs w:val="26"/>
        </w:rPr>
        <w:tab/>
      </w:r>
      <w:r w:rsidR="00DD3783">
        <w:rPr>
          <w:sz w:val="26"/>
          <w:szCs w:val="26"/>
        </w:rPr>
        <w:t>SEF</w:t>
      </w:r>
      <w:r w:rsidR="00301793" w:rsidRPr="00CB744C">
        <w:rPr>
          <w:sz w:val="26"/>
          <w:szCs w:val="26"/>
        </w:rPr>
        <w:t xml:space="preserve"> argue</w:t>
      </w:r>
      <w:r w:rsidR="00301793">
        <w:rPr>
          <w:sz w:val="26"/>
          <w:szCs w:val="26"/>
        </w:rPr>
        <w:t>d</w:t>
      </w:r>
      <w:r w:rsidR="00301793" w:rsidRPr="00CB744C">
        <w:rPr>
          <w:sz w:val="26"/>
          <w:szCs w:val="26"/>
        </w:rPr>
        <w:t xml:space="preserve"> that PPL’s proposal is inconsistent with the Commission’s Final Omitted Rulemaking Order in </w:t>
      </w:r>
      <w:r w:rsidR="00301793" w:rsidRPr="00CB744C">
        <w:rPr>
          <w:i/>
          <w:sz w:val="26"/>
          <w:szCs w:val="26"/>
        </w:rPr>
        <w:t xml:space="preserve">Implementation of Act 35 of 2007; Net Metering and Interconnection, </w:t>
      </w:r>
      <w:r w:rsidR="00301793" w:rsidRPr="00CB744C">
        <w:rPr>
          <w:sz w:val="26"/>
          <w:szCs w:val="26"/>
        </w:rPr>
        <w:t>L-000501</w:t>
      </w:r>
      <w:r w:rsidR="00301793">
        <w:rPr>
          <w:sz w:val="26"/>
          <w:szCs w:val="26"/>
        </w:rPr>
        <w:t xml:space="preserve">74 (entered July 2, 2008).  </w:t>
      </w:r>
      <w:r w:rsidR="002A5BDA">
        <w:rPr>
          <w:sz w:val="26"/>
          <w:szCs w:val="26"/>
        </w:rPr>
        <w:t>SEF</w:t>
      </w:r>
      <w:r w:rsidR="00301793">
        <w:rPr>
          <w:sz w:val="26"/>
          <w:szCs w:val="26"/>
        </w:rPr>
        <w:t xml:space="preserve">’s position is </w:t>
      </w:r>
      <w:r w:rsidR="00301793" w:rsidRPr="00CB744C">
        <w:rPr>
          <w:sz w:val="26"/>
          <w:szCs w:val="26"/>
        </w:rPr>
        <w:t>that the PPL price to compare is not the correct measure of compensation for excess generation annually because it does not credit customer and demand charges that these customers incur.</w:t>
      </w:r>
      <w:r w:rsidR="00301793">
        <w:rPr>
          <w:sz w:val="26"/>
          <w:szCs w:val="26"/>
        </w:rPr>
        <w:t xml:space="preserve">  SEF M.B. at 10; PPL Ex. 1-OGK, at 19; R.D. at 62.</w:t>
      </w:r>
    </w:p>
    <w:p w:rsidR="00301793" w:rsidRPr="00CB744C" w:rsidRDefault="00301793" w:rsidP="000E0862">
      <w:pPr>
        <w:pStyle w:val="Pleading2L3"/>
        <w:numPr>
          <w:ilvl w:val="0"/>
          <w:numId w:val="0"/>
        </w:numPr>
        <w:spacing w:line="360" w:lineRule="auto"/>
        <w:rPr>
          <w:sz w:val="26"/>
          <w:szCs w:val="26"/>
        </w:rPr>
      </w:pPr>
    </w:p>
    <w:p w:rsidR="00301793" w:rsidRDefault="00301793" w:rsidP="00F7637A">
      <w:pPr>
        <w:pStyle w:val="Pleading2L3"/>
        <w:numPr>
          <w:ilvl w:val="0"/>
          <w:numId w:val="0"/>
        </w:numPr>
        <w:spacing w:line="360" w:lineRule="auto"/>
        <w:rPr>
          <w:sz w:val="26"/>
          <w:szCs w:val="26"/>
        </w:rPr>
      </w:pPr>
      <w:r w:rsidRPr="00CB744C">
        <w:rPr>
          <w:sz w:val="26"/>
          <w:szCs w:val="26"/>
        </w:rPr>
        <w:tab/>
      </w:r>
      <w:r w:rsidRPr="00CB744C">
        <w:rPr>
          <w:sz w:val="26"/>
          <w:szCs w:val="26"/>
        </w:rPr>
        <w:tab/>
      </w:r>
      <w:r w:rsidR="00DD3783">
        <w:rPr>
          <w:sz w:val="26"/>
          <w:szCs w:val="26"/>
        </w:rPr>
        <w:t>SEF</w:t>
      </w:r>
      <w:r w:rsidRPr="00CB744C">
        <w:rPr>
          <w:sz w:val="26"/>
          <w:szCs w:val="26"/>
        </w:rPr>
        <w:t>’s objection is to PPL’s use of t</w:t>
      </w:r>
      <w:r>
        <w:rPr>
          <w:sz w:val="26"/>
          <w:szCs w:val="26"/>
        </w:rPr>
        <w:t>he term “PPL’s Price to Compare</w:t>
      </w:r>
      <w:r w:rsidRPr="00CB744C">
        <w:rPr>
          <w:sz w:val="26"/>
          <w:szCs w:val="26"/>
        </w:rPr>
        <w:t>” defined in the Commission’s regulations regarding default service as:</w:t>
      </w:r>
    </w:p>
    <w:p w:rsidR="00301793" w:rsidRPr="00CB744C" w:rsidRDefault="00301793" w:rsidP="000E0862">
      <w:pPr>
        <w:pStyle w:val="Pleading2L3"/>
        <w:numPr>
          <w:ilvl w:val="0"/>
          <w:numId w:val="0"/>
        </w:numPr>
        <w:spacing w:line="240" w:lineRule="auto"/>
        <w:rPr>
          <w:sz w:val="26"/>
          <w:szCs w:val="26"/>
        </w:rPr>
      </w:pPr>
    </w:p>
    <w:p w:rsidR="00301793" w:rsidRDefault="00301793" w:rsidP="000E0862">
      <w:pPr>
        <w:spacing w:before="100" w:beforeAutospacing="1" w:after="100" w:afterAutospacing="1" w:line="240" w:lineRule="auto"/>
        <w:ind w:left="1440" w:right="1440"/>
        <w:contextualSpacing/>
        <w:jc w:val="left"/>
        <w:rPr>
          <w:sz w:val="26"/>
          <w:szCs w:val="26"/>
        </w:rPr>
      </w:pPr>
      <w:r w:rsidRPr="00CB744C">
        <w:rPr>
          <w:i/>
          <w:iCs/>
          <w:sz w:val="26"/>
          <w:szCs w:val="26"/>
        </w:rPr>
        <w:t>PTC—Price-to-compare</w:t>
      </w:r>
      <w:r w:rsidRPr="00CB744C">
        <w:rPr>
          <w:sz w:val="26"/>
          <w:szCs w:val="26"/>
        </w:rPr>
        <w:t>—A line item that appears on a retail customer’s monthly bill for default service. The PTC is equal to the sum of all unbundled generation and transmission related charges to a default service customer for that month of service.</w:t>
      </w:r>
    </w:p>
    <w:p w:rsidR="00301793" w:rsidRPr="00CB744C" w:rsidRDefault="00301793" w:rsidP="000E0862">
      <w:pPr>
        <w:spacing w:line="240" w:lineRule="auto"/>
        <w:ind w:left="1440" w:right="1440"/>
        <w:contextualSpacing/>
        <w:jc w:val="left"/>
        <w:rPr>
          <w:sz w:val="26"/>
          <w:szCs w:val="26"/>
        </w:rPr>
      </w:pPr>
    </w:p>
    <w:p w:rsidR="00301793" w:rsidRPr="00CB744C" w:rsidRDefault="00F7637A" w:rsidP="000E0862">
      <w:pPr>
        <w:pStyle w:val="Pleading2L3"/>
        <w:numPr>
          <w:ilvl w:val="0"/>
          <w:numId w:val="0"/>
        </w:numPr>
        <w:spacing w:line="360" w:lineRule="auto"/>
        <w:rPr>
          <w:sz w:val="26"/>
          <w:szCs w:val="26"/>
        </w:rPr>
      </w:pPr>
      <w:r>
        <w:rPr>
          <w:sz w:val="26"/>
          <w:szCs w:val="26"/>
        </w:rPr>
        <w:t>52 Pa. Code § 54.182.</w:t>
      </w:r>
    </w:p>
    <w:p w:rsidR="00301793" w:rsidRDefault="00301793" w:rsidP="000E0862">
      <w:pPr>
        <w:pStyle w:val="Pleading2L3"/>
        <w:numPr>
          <w:ilvl w:val="0"/>
          <w:numId w:val="0"/>
        </w:numPr>
        <w:spacing w:line="360" w:lineRule="auto"/>
        <w:rPr>
          <w:sz w:val="26"/>
          <w:szCs w:val="26"/>
        </w:rPr>
      </w:pPr>
    </w:p>
    <w:p w:rsidR="007C4965" w:rsidRDefault="009006B1"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1075A5">
        <w:rPr>
          <w:b/>
          <w:sz w:val="26"/>
          <w:szCs w:val="26"/>
        </w:rPr>
        <w:t>ii</w:t>
      </w:r>
      <w:r w:rsidR="007C4965" w:rsidRPr="007C4965">
        <w:rPr>
          <w:b/>
          <w:sz w:val="26"/>
          <w:szCs w:val="26"/>
        </w:rPr>
        <w:t>.</w:t>
      </w:r>
      <w:r w:rsidR="007C4965" w:rsidRPr="007C4965">
        <w:rPr>
          <w:b/>
          <w:sz w:val="26"/>
          <w:szCs w:val="26"/>
        </w:rPr>
        <w:tab/>
      </w:r>
      <w:r w:rsidR="002324ED">
        <w:rPr>
          <w:b/>
          <w:sz w:val="26"/>
          <w:szCs w:val="26"/>
        </w:rPr>
        <w:t>The ALJ’s Recommendation</w:t>
      </w:r>
    </w:p>
    <w:p w:rsidR="00F7637A" w:rsidRDefault="00F7637A" w:rsidP="000E0862">
      <w:pPr>
        <w:pStyle w:val="Pleading2L3"/>
        <w:numPr>
          <w:ilvl w:val="0"/>
          <w:numId w:val="0"/>
        </w:numPr>
        <w:tabs>
          <w:tab w:val="left" w:pos="2160"/>
        </w:tabs>
        <w:spacing w:line="360" w:lineRule="auto"/>
        <w:ind w:firstLine="1440"/>
        <w:contextualSpacing/>
        <w:rPr>
          <w:b/>
          <w:sz w:val="26"/>
          <w:szCs w:val="26"/>
        </w:rPr>
      </w:pPr>
    </w:p>
    <w:p w:rsidR="00BD5FC2" w:rsidRPr="00CB744C" w:rsidRDefault="00BD5FC2" w:rsidP="000E0862">
      <w:pPr>
        <w:pStyle w:val="Pleading2L3"/>
        <w:numPr>
          <w:ilvl w:val="0"/>
          <w:numId w:val="0"/>
        </w:numPr>
        <w:spacing w:line="360" w:lineRule="auto"/>
        <w:rPr>
          <w:sz w:val="26"/>
          <w:szCs w:val="26"/>
        </w:rPr>
      </w:pPr>
      <w:r>
        <w:rPr>
          <w:sz w:val="26"/>
          <w:szCs w:val="26"/>
        </w:rPr>
        <w:tab/>
      </w:r>
      <w:r>
        <w:rPr>
          <w:sz w:val="26"/>
          <w:szCs w:val="26"/>
        </w:rPr>
        <w:tab/>
        <w:t>The ALJ found that d</w:t>
      </w:r>
      <w:r w:rsidRPr="00CB744C">
        <w:rPr>
          <w:sz w:val="26"/>
          <w:szCs w:val="26"/>
        </w:rPr>
        <w:t>istribution charges are not included in the definition</w:t>
      </w:r>
      <w:r>
        <w:rPr>
          <w:sz w:val="26"/>
          <w:szCs w:val="26"/>
        </w:rPr>
        <w:t xml:space="preserve"> of Price to Compare</w:t>
      </w:r>
      <w:r w:rsidRPr="00CB744C">
        <w:rPr>
          <w:sz w:val="26"/>
          <w:szCs w:val="26"/>
        </w:rPr>
        <w:t xml:space="preserve">.  The Commission’s </w:t>
      </w:r>
      <w:r w:rsidRPr="00F7637A">
        <w:rPr>
          <w:i/>
          <w:sz w:val="26"/>
          <w:szCs w:val="26"/>
        </w:rPr>
        <w:t>Final Omitted Rulemaking Order</w:t>
      </w:r>
      <w:r w:rsidRPr="00CB744C">
        <w:rPr>
          <w:sz w:val="26"/>
          <w:szCs w:val="26"/>
        </w:rPr>
        <w:t xml:space="preserve"> states:</w:t>
      </w:r>
    </w:p>
    <w:p w:rsidR="00BD5FC2" w:rsidRPr="00CB744C" w:rsidRDefault="00BD5FC2" w:rsidP="000E0862">
      <w:pPr>
        <w:pStyle w:val="Pleading2L3"/>
        <w:numPr>
          <w:ilvl w:val="0"/>
          <w:numId w:val="0"/>
        </w:numPr>
        <w:spacing w:line="240" w:lineRule="auto"/>
        <w:ind w:left="1440" w:right="1440"/>
        <w:contextualSpacing/>
        <w:rPr>
          <w:sz w:val="26"/>
          <w:szCs w:val="26"/>
        </w:rPr>
      </w:pPr>
    </w:p>
    <w:p w:rsidR="00BD5FC2" w:rsidRDefault="00392410" w:rsidP="000E0862">
      <w:pPr>
        <w:pStyle w:val="Pleading2L3"/>
        <w:numPr>
          <w:ilvl w:val="0"/>
          <w:numId w:val="0"/>
        </w:numPr>
        <w:spacing w:line="240" w:lineRule="auto"/>
        <w:ind w:left="1440" w:right="1440"/>
        <w:contextualSpacing/>
        <w:rPr>
          <w:sz w:val="26"/>
          <w:szCs w:val="26"/>
        </w:rPr>
      </w:pPr>
      <w:r>
        <w:rPr>
          <w:sz w:val="26"/>
          <w:szCs w:val="26"/>
        </w:rPr>
        <w:tab/>
      </w:r>
      <w:r w:rsidR="00BD5FC2" w:rsidRPr="00CB744C">
        <w:rPr>
          <w:sz w:val="26"/>
          <w:szCs w:val="26"/>
        </w:rPr>
        <w:t xml:space="preserve">To summarize, the Commission is amending 52 Pa. Code § 75.13(d) such that, for any unused kilowatt-hours accumulated at the end of the annualized period, compensation to the customer-generator shall equal the price-to-compare rate, as defined in 52 Pa. Code § 54.182, which includes the retail generation and transmission components of </w:t>
      </w:r>
      <w:r w:rsidR="00BD5FC2" w:rsidRPr="00CB744C">
        <w:rPr>
          <w:sz w:val="26"/>
          <w:szCs w:val="26"/>
        </w:rPr>
        <w:lastRenderedPageBreak/>
        <w:t>the retail rate, and which consumers also utilize when choosing whether or not to obtain supply service from an EGS.  Since the EDC’s retail generation and transmission rates may fluctuate during a year, such compensation shall be calculated by using the weighted average generation and transmission rates, with the weighting based on the rates in effect when the monthly excess generation actually was delivered by the customer-generator to the EDC.  If the transmission or generation rate designs incorporate time of use rates, the weighted average rates should reflect the rates in effect during the time that the customer-generator delivered it generation to the EDC.</w:t>
      </w:r>
    </w:p>
    <w:p w:rsidR="00F7637A" w:rsidRPr="00CB744C" w:rsidRDefault="00F7637A" w:rsidP="000E0862">
      <w:pPr>
        <w:pStyle w:val="Pleading2L3"/>
        <w:numPr>
          <w:ilvl w:val="0"/>
          <w:numId w:val="0"/>
        </w:numPr>
        <w:spacing w:line="240" w:lineRule="auto"/>
        <w:ind w:left="1440" w:right="1440"/>
        <w:contextualSpacing/>
        <w:rPr>
          <w:sz w:val="26"/>
          <w:szCs w:val="26"/>
        </w:rPr>
      </w:pPr>
    </w:p>
    <w:p w:rsidR="00BD5FC2" w:rsidRPr="00CB744C" w:rsidRDefault="00BD5FC2" w:rsidP="00F7637A">
      <w:pPr>
        <w:pStyle w:val="Pleading2L3"/>
        <w:numPr>
          <w:ilvl w:val="0"/>
          <w:numId w:val="0"/>
        </w:numPr>
        <w:spacing w:line="240" w:lineRule="auto"/>
        <w:contextualSpacing/>
        <w:rPr>
          <w:sz w:val="26"/>
          <w:szCs w:val="26"/>
        </w:rPr>
      </w:pPr>
      <w:r w:rsidRPr="00CB744C">
        <w:rPr>
          <w:sz w:val="26"/>
          <w:szCs w:val="26"/>
        </w:rPr>
        <w:t xml:space="preserve">Final Omitted Rulemaking Order in </w:t>
      </w:r>
      <w:r w:rsidRPr="00CB744C">
        <w:rPr>
          <w:i/>
          <w:sz w:val="26"/>
          <w:szCs w:val="26"/>
        </w:rPr>
        <w:t xml:space="preserve">Implementation of Act 35 of 2007; Net Metering and Interconnection, </w:t>
      </w:r>
      <w:r w:rsidRPr="00CB744C">
        <w:rPr>
          <w:sz w:val="26"/>
          <w:szCs w:val="26"/>
        </w:rPr>
        <w:t>L-00050174 (e</w:t>
      </w:r>
      <w:r w:rsidR="00F7637A">
        <w:rPr>
          <w:sz w:val="26"/>
          <w:szCs w:val="26"/>
        </w:rPr>
        <w:t xml:space="preserve">ntered July 2, 2008) at 20-21. </w:t>
      </w:r>
    </w:p>
    <w:p w:rsidR="00BD5FC2" w:rsidRPr="00CB744C" w:rsidRDefault="00BD5FC2" w:rsidP="000E0862">
      <w:pPr>
        <w:pStyle w:val="Pleading2L3"/>
        <w:numPr>
          <w:ilvl w:val="0"/>
          <w:numId w:val="0"/>
        </w:numPr>
        <w:spacing w:line="360" w:lineRule="auto"/>
        <w:rPr>
          <w:sz w:val="26"/>
          <w:szCs w:val="26"/>
        </w:rPr>
      </w:pPr>
    </w:p>
    <w:p w:rsidR="00BD5FC2" w:rsidRDefault="00BD5FC2" w:rsidP="000E0862">
      <w:pPr>
        <w:pStyle w:val="Pleading2L3"/>
        <w:numPr>
          <w:ilvl w:val="0"/>
          <w:numId w:val="0"/>
        </w:numPr>
        <w:spacing w:line="360" w:lineRule="auto"/>
        <w:rPr>
          <w:sz w:val="26"/>
          <w:szCs w:val="26"/>
        </w:rPr>
      </w:pPr>
      <w:r w:rsidRPr="00CB744C">
        <w:rPr>
          <w:sz w:val="26"/>
          <w:szCs w:val="26"/>
        </w:rPr>
        <w:tab/>
      </w:r>
      <w:r w:rsidRPr="00CB744C">
        <w:rPr>
          <w:sz w:val="26"/>
          <w:szCs w:val="26"/>
        </w:rPr>
        <w:tab/>
      </w:r>
      <w:r w:rsidR="009608D7">
        <w:rPr>
          <w:sz w:val="26"/>
          <w:szCs w:val="26"/>
        </w:rPr>
        <w:t>T</w:t>
      </w:r>
      <w:r>
        <w:rPr>
          <w:sz w:val="26"/>
          <w:szCs w:val="26"/>
        </w:rPr>
        <w:t>he ALJ</w:t>
      </w:r>
      <w:r w:rsidR="009608D7">
        <w:rPr>
          <w:sz w:val="26"/>
          <w:szCs w:val="26"/>
        </w:rPr>
        <w:t xml:space="preserve"> found</w:t>
      </w:r>
      <w:r>
        <w:rPr>
          <w:sz w:val="26"/>
          <w:szCs w:val="26"/>
        </w:rPr>
        <w:t xml:space="preserve"> that t</w:t>
      </w:r>
      <w:r w:rsidRPr="00CB744C">
        <w:rPr>
          <w:sz w:val="26"/>
          <w:szCs w:val="26"/>
        </w:rPr>
        <w:t xml:space="preserve">he </w:t>
      </w:r>
      <w:r>
        <w:rPr>
          <w:sz w:val="26"/>
          <w:szCs w:val="26"/>
        </w:rPr>
        <w:t xml:space="preserve">Commission’s </w:t>
      </w:r>
      <w:r w:rsidR="001075A5">
        <w:rPr>
          <w:sz w:val="26"/>
          <w:szCs w:val="26"/>
        </w:rPr>
        <w:t>R</w:t>
      </w:r>
      <w:r w:rsidRPr="00CB744C">
        <w:rPr>
          <w:sz w:val="26"/>
          <w:szCs w:val="26"/>
        </w:rPr>
        <w:t>egulation</w:t>
      </w:r>
      <w:r>
        <w:rPr>
          <w:sz w:val="26"/>
          <w:szCs w:val="26"/>
        </w:rPr>
        <w:t xml:space="preserve"> at 54.182,</w:t>
      </w:r>
      <w:r w:rsidRPr="00CB744C">
        <w:rPr>
          <w:sz w:val="26"/>
          <w:szCs w:val="26"/>
        </w:rPr>
        <w:t xml:space="preserve"> and </w:t>
      </w:r>
      <w:r>
        <w:rPr>
          <w:sz w:val="26"/>
          <w:szCs w:val="26"/>
        </w:rPr>
        <w:t xml:space="preserve">the </w:t>
      </w:r>
      <w:r w:rsidRPr="00CB744C">
        <w:rPr>
          <w:sz w:val="26"/>
          <w:szCs w:val="26"/>
        </w:rPr>
        <w:t>Commission</w:t>
      </w:r>
      <w:r>
        <w:rPr>
          <w:sz w:val="26"/>
          <w:szCs w:val="26"/>
        </w:rPr>
        <w:t>’s</w:t>
      </w:r>
      <w:r w:rsidRPr="00CB744C">
        <w:rPr>
          <w:sz w:val="26"/>
          <w:szCs w:val="26"/>
        </w:rPr>
        <w:t xml:space="preserve"> intent as reflected in </w:t>
      </w:r>
      <w:r w:rsidR="009608D7">
        <w:rPr>
          <w:sz w:val="26"/>
          <w:szCs w:val="26"/>
        </w:rPr>
        <w:t>the above-referenced</w:t>
      </w:r>
      <w:r w:rsidRPr="00CB744C">
        <w:rPr>
          <w:sz w:val="26"/>
          <w:szCs w:val="26"/>
        </w:rPr>
        <w:t xml:space="preserve"> implementation order that distribution charges are to be included in the credit to customer-generators </w:t>
      </w:r>
      <w:r w:rsidRPr="00686BE8">
        <w:rPr>
          <w:sz w:val="26"/>
          <w:szCs w:val="26"/>
          <w:u w:val="single"/>
        </w:rPr>
        <w:t>until those customer-generators generate more power than they consume</w:t>
      </w:r>
      <w:r w:rsidRPr="00CB744C">
        <w:rPr>
          <w:i/>
          <w:sz w:val="26"/>
          <w:szCs w:val="26"/>
        </w:rPr>
        <w:t>.</w:t>
      </w:r>
      <w:r>
        <w:rPr>
          <w:sz w:val="26"/>
          <w:szCs w:val="26"/>
        </w:rPr>
        <w:t xml:space="preserve"> (emphasis added).</w:t>
      </w:r>
      <w:r w:rsidRPr="00CB744C">
        <w:rPr>
          <w:sz w:val="26"/>
          <w:szCs w:val="26"/>
        </w:rPr>
        <w:t xml:space="preserve">  At that point, the amount credited need not include distribution charges.</w:t>
      </w:r>
      <w:r>
        <w:rPr>
          <w:sz w:val="26"/>
          <w:szCs w:val="26"/>
        </w:rPr>
        <w:t xml:space="preserve">  Accordingly, the ALJ </w:t>
      </w:r>
      <w:r w:rsidR="001075A5">
        <w:rPr>
          <w:sz w:val="26"/>
          <w:szCs w:val="26"/>
        </w:rPr>
        <w:t xml:space="preserve">concluded </w:t>
      </w:r>
      <w:r>
        <w:rPr>
          <w:sz w:val="26"/>
          <w:szCs w:val="26"/>
        </w:rPr>
        <w:t xml:space="preserve">that </w:t>
      </w:r>
      <w:r w:rsidRPr="00CB744C">
        <w:rPr>
          <w:sz w:val="26"/>
          <w:szCs w:val="26"/>
        </w:rPr>
        <w:t>PPL’s proposed change is consistent with applicable law and should be approved.</w:t>
      </w:r>
      <w:r>
        <w:rPr>
          <w:sz w:val="26"/>
          <w:szCs w:val="26"/>
        </w:rPr>
        <w:t xml:space="preserve">  R.D.</w:t>
      </w:r>
      <w:r w:rsidR="001075A5">
        <w:rPr>
          <w:sz w:val="26"/>
          <w:szCs w:val="26"/>
        </w:rPr>
        <w:t> </w:t>
      </w:r>
      <w:r>
        <w:rPr>
          <w:sz w:val="26"/>
          <w:szCs w:val="26"/>
        </w:rPr>
        <w:t>at 65.</w:t>
      </w:r>
    </w:p>
    <w:p w:rsidR="00301793" w:rsidRPr="007C4965" w:rsidRDefault="00301793" w:rsidP="000E0862">
      <w:pPr>
        <w:pStyle w:val="Pleading2L3"/>
        <w:numPr>
          <w:ilvl w:val="0"/>
          <w:numId w:val="0"/>
        </w:numPr>
        <w:tabs>
          <w:tab w:val="left" w:pos="2160"/>
        </w:tabs>
        <w:spacing w:line="360" w:lineRule="auto"/>
        <w:ind w:firstLine="1440"/>
        <w:contextualSpacing/>
        <w:rPr>
          <w:b/>
          <w:sz w:val="26"/>
          <w:szCs w:val="26"/>
        </w:rPr>
      </w:pPr>
    </w:p>
    <w:p w:rsidR="007C4965" w:rsidRDefault="009006B1"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1075A5">
        <w:rPr>
          <w:b/>
          <w:sz w:val="26"/>
          <w:szCs w:val="26"/>
        </w:rPr>
        <w:t>iii</w:t>
      </w:r>
      <w:r w:rsidR="007C4965" w:rsidRPr="007C4965">
        <w:rPr>
          <w:b/>
          <w:sz w:val="26"/>
          <w:szCs w:val="26"/>
        </w:rPr>
        <w:t>.</w:t>
      </w:r>
      <w:r w:rsidR="007C4965" w:rsidRPr="007C4965">
        <w:rPr>
          <w:b/>
          <w:sz w:val="26"/>
          <w:szCs w:val="26"/>
        </w:rPr>
        <w:tab/>
        <w:t>Exceptions</w:t>
      </w:r>
    </w:p>
    <w:p w:rsidR="00BD5FC2" w:rsidRDefault="00BD5FC2" w:rsidP="000E0862">
      <w:pPr>
        <w:pStyle w:val="Pleading2L3"/>
        <w:numPr>
          <w:ilvl w:val="0"/>
          <w:numId w:val="0"/>
        </w:numPr>
        <w:tabs>
          <w:tab w:val="left" w:pos="2160"/>
        </w:tabs>
        <w:spacing w:line="360" w:lineRule="auto"/>
        <w:ind w:firstLine="1440"/>
        <w:contextualSpacing/>
        <w:rPr>
          <w:b/>
          <w:sz w:val="26"/>
          <w:szCs w:val="26"/>
        </w:rPr>
      </w:pPr>
    </w:p>
    <w:p w:rsidR="00BD5FC2" w:rsidRDefault="00BD5FC2" w:rsidP="000E0862">
      <w:pPr>
        <w:pStyle w:val="Pleading2L3"/>
        <w:numPr>
          <w:ilvl w:val="0"/>
          <w:numId w:val="0"/>
        </w:numPr>
        <w:spacing w:line="360" w:lineRule="auto"/>
        <w:rPr>
          <w:sz w:val="26"/>
          <w:szCs w:val="26"/>
        </w:rPr>
      </w:pPr>
      <w:r>
        <w:rPr>
          <w:sz w:val="26"/>
          <w:szCs w:val="26"/>
        </w:rPr>
        <w:tab/>
      </w:r>
      <w:r>
        <w:rPr>
          <w:sz w:val="26"/>
          <w:szCs w:val="26"/>
        </w:rPr>
        <w:tab/>
      </w:r>
      <w:r w:rsidR="00DD3783">
        <w:rPr>
          <w:sz w:val="26"/>
          <w:szCs w:val="26"/>
        </w:rPr>
        <w:t>SEF</w:t>
      </w:r>
      <w:r>
        <w:rPr>
          <w:sz w:val="26"/>
          <w:szCs w:val="26"/>
        </w:rPr>
        <w:t xml:space="preserve"> excepts to the ALJ’s recommendation on this issue regarding PPL’s compensation for monthly kWh generation in excess of kWh use.  SEF Exc. at 5.  </w:t>
      </w:r>
      <w:r w:rsidR="00DD3783">
        <w:rPr>
          <w:sz w:val="26"/>
          <w:szCs w:val="26"/>
        </w:rPr>
        <w:t>SEF</w:t>
      </w:r>
      <w:r>
        <w:rPr>
          <w:sz w:val="26"/>
          <w:szCs w:val="26"/>
        </w:rPr>
        <w:t xml:space="preserve"> states that the ALJ erred by not requiring PPL to credit customer-generators for both generation and distribution charges and that the credit for distribution charges should apply to all distribution charges, including customer and demand charges.  SEF St. 1-S, at 15; SEF Exc. at 7.  In reply, PPL states that under its current Commission-approved tariff, customers receive full credit against all energy (per kWh charges), but are responsible for the customer and demand charges.  PPL has not proposed any changes to </w:t>
      </w:r>
      <w:r>
        <w:rPr>
          <w:sz w:val="26"/>
          <w:szCs w:val="26"/>
        </w:rPr>
        <w:lastRenderedPageBreak/>
        <w:t>its present tariff.  PPL R.Exc. at 17.  PPL also states in its reply that to exclude responsibility for customer and demand charges would not be in the public interest because it would in essence permit those customer-generators to use PPL’s distribution system for free, with the avoided costs being paid by other customers.  PPL R.Exc. at 19.</w:t>
      </w:r>
    </w:p>
    <w:p w:rsidR="00BD5FC2" w:rsidRDefault="00BD5FC2" w:rsidP="000E0862">
      <w:pPr>
        <w:pStyle w:val="Pleading2L3"/>
        <w:numPr>
          <w:ilvl w:val="0"/>
          <w:numId w:val="0"/>
        </w:numPr>
        <w:spacing w:line="360" w:lineRule="auto"/>
        <w:rPr>
          <w:sz w:val="26"/>
          <w:szCs w:val="26"/>
        </w:rPr>
      </w:pPr>
    </w:p>
    <w:p w:rsidR="00BD5FC2" w:rsidRDefault="00BD5FC2" w:rsidP="000E0862">
      <w:pPr>
        <w:pStyle w:val="Pleading2L3"/>
        <w:numPr>
          <w:ilvl w:val="0"/>
          <w:numId w:val="0"/>
        </w:numPr>
        <w:spacing w:line="360" w:lineRule="auto"/>
        <w:rPr>
          <w:sz w:val="26"/>
          <w:szCs w:val="26"/>
        </w:rPr>
      </w:pPr>
      <w:r>
        <w:rPr>
          <w:sz w:val="26"/>
          <w:szCs w:val="26"/>
        </w:rPr>
        <w:tab/>
      </w:r>
      <w:r>
        <w:rPr>
          <w:sz w:val="26"/>
          <w:szCs w:val="26"/>
        </w:rPr>
        <w:tab/>
      </w:r>
      <w:r w:rsidR="00DD3783">
        <w:rPr>
          <w:sz w:val="26"/>
          <w:szCs w:val="26"/>
        </w:rPr>
        <w:t>SEF</w:t>
      </w:r>
      <w:r>
        <w:rPr>
          <w:sz w:val="26"/>
          <w:szCs w:val="26"/>
        </w:rPr>
        <w:t xml:space="preserve"> further avers that both PPL and the ALJ f</w:t>
      </w:r>
      <w:r w:rsidR="009608D7">
        <w:rPr>
          <w:sz w:val="26"/>
          <w:szCs w:val="26"/>
        </w:rPr>
        <w:t>a</w:t>
      </w:r>
      <w:r>
        <w:rPr>
          <w:sz w:val="26"/>
          <w:szCs w:val="26"/>
        </w:rPr>
        <w:t xml:space="preserve">iled to acknowledge the full impact of the language of 52 Pa. Code Section </w:t>
      </w:r>
      <w:r w:rsidR="009608D7">
        <w:rPr>
          <w:sz w:val="26"/>
          <w:szCs w:val="26"/>
        </w:rPr>
        <w:t>75.</w:t>
      </w:r>
      <w:r>
        <w:rPr>
          <w:sz w:val="26"/>
          <w:szCs w:val="26"/>
        </w:rPr>
        <w:t xml:space="preserve">13 (c) as it applies to the monthly billing credit.  SEF Exc. at 9.  </w:t>
      </w:r>
      <w:r w:rsidR="00DD3783">
        <w:rPr>
          <w:sz w:val="26"/>
          <w:szCs w:val="26"/>
        </w:rPr>
        <w:t>SEF</w:t>
      </w:r>
      <w:r>
        <w:rPr>
          <w:sz w:val="26"/>
          <w:szCs w:val="26"/>
        </w:rPr>
        <w:t xml:space="preserve"> believes that the monthly credit should be at the full retail rate, which includes generation, transmission and distribution charges.  </w:t>
      </w:r>
      <w:r>
        <w:rPr>
          <w:i/>
          <w:sz w:val="26"/>
          <w:szCs w:val="26"/>
        </w:rPr>
        <w:t>Id.</w:t>
      </w:r>
      <w:r>
        <w:rPr>
          <w:sz w:val="26"/>
          <w:szCs w:val="26"/>
        </w:rPr>
        <w:t xml:space="preserve">  In reply, PPL asserts that </w:t>
      </w:r>
      <w:r w:rsidR="002A5BDA">
        <w:rPr>
          <w:sz w:val="26"/>
          <w:szCs w:val="26"/>
        </w:rPr>
        <w:t>SEF</w:t>
      </w:r>
      <w:r>
        <w:rPr>
          <w:sz w:val="26"/>
          <w:szCs w:val="26"/>
        </w:rPr>
        <w:t xml:space="preserve"> has simply ignored the plain language of Section 75.13, the result of which is contrary to well-established rules of construction and</w:t>
      </w:r>
      <w:r w:rsidR="009608D7">
        <w:rPr>
          <w:sz w:val="26"/>
          <w:szCs w:val="26"/>
        </w:rPr>
        <w:t>,</w:t>
      </w:r>
      <w:r>
        <w:rPr>
          <w:sz w:val="26"/>
          <w:szCs w:val="26"/>
        </w:rPr>
        <w:t xml:space="preserve"> therefore, </w:t>
      </w:r>
      <w:r w:rsidR="009608D7">
        <w:rPr>
          <w:sz w:val="26"/>
          <w:szCs w:val="26"/>
        </w:rPr>
        <w:t xml:space="preserve">SEF’s Exception </w:t>
      </w:r>
      <w:r>
        <w:rPr>
          <w:sz w:val="26"/>
          <w:szCs w:val="26"/>
        </w:rPr>
        <w:t>should be rejected.  PPL R.Exc. at 18.</w:t>
      </w:r>
    </w:p>
    <w:p w:rsidR="00BD5FC2" w:rsidRDefault="00BD5FC2" w:rsidP="000E0862">
      <w:pPr>
        <w:pStyle w:val="Pleading2L3"/>
        <w:numPr>
          <w:ilvl w:val="0"/>
          <w:numId w:val="0"/>
        </w:numPr>
        <w:spacing w:line="360" w:lineRule="auto"/>
        <w:rPr>
          <w:sz w:val="26"/>
          <w:szCs w:val="26"/>
        </w:rPr>
      </w:pPr>
    </w:p>
    <w:p w:rsidR="00BD5FC2" w:rsidRDefault="00BD5FC2" w:rsidP="000E0862">
      <w:pPr>
        <w:pStyle w:val="Pleading2L3"/>
        <w:numPr>
          <w:ilvl w:val="0"/>
          <w:numId w:val="0"/>
        </w:numPr>
        <w:spacing w:line="360" w:lineRule="auto"/>
        <w:rPr>
          <w:sz w:val="26"/>
          <w:szCs w:val="26"/>
        </w:rPr>
      </w:pPr>
      <w:r>
        <w:rPr>
          <w:sz w:val="26"/>
          <w:szCs w:val="26"/>
        </w:rPr>
        <w:tab/>
      </w:r>
      <w:r>
        <w:rPr>
          <w:sz w:val="26"/>
          <w:szCs w:val="26"/>
        </w:rPr>
        <w:tab/>
        <w:t xml:space="preserve">Additionally, </w:t>
      </w:r>
      <w:r w:rsidR="002A5BDA">
        <w:rPr>
          <w:sz w:val="26"/>
          <w:szCs w:val="26"/>
        </w:rPr>
        <w:t>SEF</w:t>
      </w:r>
      <w:r>
        <w:rPr>
          <w:sz w:val="26"/>
          <w:szCs w:val="26"/>
        </w:rPr>
        <w:t xml:space="preserve"> </w:t>
      </w:r>
      <w:r w:rsidR="009608D7">
        <w:rPr>
          <w:sz w:val="26"/>
          <w:szCs w:val="26"/>
        </w:rPr>
        <w:t>submits</w:t>
      </w:r>
      <w:r>
        <w:rPr>
          <w:sz w:val="26"/>
          <w:szCs w:val="26"/>
        </w:rPr>
        <w:t xml:space="preserve"> the ALJ erred</w:t>
      </w:r>
      <w:r w:rsidR="00E92C5E">
        <w:rPr>
          <w:sz w:val="26"/>
          <w:szCs w:val="26"/>
        </w:rPr>
        <w:t xml:space="preserve"> in</w:t>
      </w:r>
      <w:r>
        <w:rPr>
          <w:sz w:val="26"/>
          <w:szCs w:val="26"/>
        </w:rPr>
        <w:t xml:space="preserve"> implying that the distribution charges are to be included in the credit to customer-generators only until those customers generate more power than they consume.  SEF Exc. at 13.</w:t>
      </w:r>
    </w:p>
    <w:p w:rsidR="00BD5FC2" w:rsidRPr="007C4965" w:rsidRDefault="00BD5FC2" w:rsidP="000E0862">
      <w:pPr>
        <w:pStyle w:val="Pleading2L3"/>
        <w:numPr>
          <w:ilvl w:val="0"/>
          <w:numId w:val="0"/>
        </w:numPr>
        <w:tabs>
          <w:tab w:val="left" w:pos="2160"/>
        </w:tabs>
        <w:spacing w:line="360" w:lineRule="auto"/>
        <w:ind w:firstLine="1440"/>
        <w:contextualSpacing/>
        <w:rPr>
          <w:b/>
          <w:sz w:val="26"/>
          <w:szCs w:val="26"/>
        </w:rPr>
      </w:pPr>
    </w:p>
    <w:p w:rsidR="007C4965" w:rsidRDefault="009006B1" w:rsidP="000E0862">
      <w:pPr>
        <w:pStyle w:val="Pleading2L3"/>
        <w:numPr>
          <w:ilvl w:val="0"/>
          <w:numId w:val="0"/>
        </w:numPr>
        <w:tabs>
          <w:tab w:val="left" w:pos="2160"/>
        </w:tabs>
        <w:spacing w:line="360" w:lineRule="auto"/>
        <w:ind w:firstLine="1440"/>
        <w:contextualSpacing/>
        <w:rPr>
          <w:sz w:val="26"/>
          <w:szCs w:val="26"/>
        </w:rPr>
      </w:pPr>
      <w:r>
        <w:rPr>
          <w:b/>
          <w:sz w:val="26"/>
          <w:szCs w:val="26"/>
        </w:rPr>
        <w:tab/>
      </w:r>
      <w:r w:rsidR="007C4965" w:rsidRPr="007C4965">
        <w:rPr>
          <w:b/>
          <w:sz w:val="26"/>
          <w:szCs w:val="26"/>
        </w:rPr>
        <w:t>d.</w:t>
      </w:r>
      <w:r w:rsidR="007C4965" w:rsidRPr="007C4965">
        <w:rPr>
          <w:b/>
          <w:sz w:val="26"/>
          <w:szCs w:val="26"/>
        </w:rPr>
        <w:tab/>
        <w:t>Disposition</w:t>
      </w:r>
    </w:p>
    <w:p w:rsidR="009006B1" w:rsidRDefault="009006B1" w:rsidP="000E0862">
      <w:pPr>
        <w:pStyle w:val="Pleading2L3"/>
        <w:numPr>
          <w:ilvl w:val="0"/>
          <w:numId w:val="0"/>
        </w:numPr>
        <w:tabs>
          <w:tab w:val="num" w:pos="0"/>
          <w:tab w:val="left" w:pos="2160"/>
        </w:tabs>
        <w:spacing w:line="360" w:lineRule="auto"/>
        <w:ind w:left="2160" w:hanging="720"/>
        <w:contextualSpacing/>
        <w:rPr>
          <w:sz w:val="26"/>
          <w:szCs w:val="26"/>
        </w:rPr>
      </w:pPr>
    </w:p>
    <w:p w:rsidR="00BD5FC2" w:rsidRDefault="00BD5FC2" w:rsidP="000E0862">
      <w:pPr>
        <w:pStyle w:val="Pleading2L3"/>
        <w:numPr>
          <w:ilvl w:val="0"/>
          <w:numId w:val="0"/>
        </w:numPr>
        <w:spacing w:line="360" w:lineRule="auto"/>
        <w:rPr>
          <w:sz w:val="26"/>
          <w:szCs w:val="26"/>
        </w:rPr>
      </w:pPr>
      <w:r>
        <w:rPr>
          <w:sz w:val="26"/>
          <w:szCs w:val="26"/>
        </w:rPr>
        <w:tab/>
      </w:r>
      <w:r>
        <w:rPr>
          <w:sz w:val="26"/>
          <w:szCs w:val="26"/>
        </w:rPr>
        <w:tab/>
        <w:t xml:space="preserve">Based upon our review of the record </w:t>
      </w:r>
      <w:r w:rsidR="00E92C5E">
        <w:rPr>
          <w:sz w:val="26"/>
          <w:szCs w:val="26"/>
        </w:rPr>
        <w:t>evidence</w:t>
      </w:r>
      <w:r w:rsidR="009608D7">
        <w:rPr>
          <w:sz w:val="26"/>
          <w:szCs w:val="26"/>
        </w:rPr>
        <w:t>,</w:t>
      </w:r>
      <w:r w:rsidR="00E92C5E">
        <w:rPr>
          <w:sz w:val="26"/>
          <w:szCs w:val="26"/>
        </w:rPr>
        <w:t xml:space="preserve"> as well as the Commission’s R</w:t>
      </w:r>
      <w:r>
        <w:rPr>
          <w:sz w:val="26"/>
          <w:szCs w:val="26"/>
        </w:rPr>
        <w:t>egulations and the rel</w:t>
      </w:r>
      <w:r w:rsidR="009608D7">
        <w:rPr>
          <w:sz w:val="26"/>
          <w:szCs w:val="26"/>
        </w:rPr>
        <w:t>evant</w:t>
      </w:r>
      <w:r>
        <w:rPr>
          <w:sz w:val="26"/>
          <w:szCs w:val="26"/>
        </w:rPr>
        <w:t xml:space="preserve"> statu</w:t>
      </w:r>
      <w:r w:rsidR="00E92C5E">
        <w:rPr>
          <w:sz w:val="26"/>
          <w:szCs w:val="26"/>
        </w:rPr>
        <w:t>t</w:t>
      </w:r>
      <w:r>
        <w:rPr>
          <w:sz w:val="26"/>
          <w:szCs w:val="26"/>
        </w:rPr>
        <w:t xml:space="preserve">e, we </w:t>
      </w:r>
      <w:r w:rsidR="00BC3801">
        <w:rPr>
          <w:sz w:val="26"/>
          <w:szCs w:val="26"/>
        </w:rPr>
        <w:t>conclude</w:t>
      </w:r>
      <w:r w:rsidR="00E92C5E">
        <w:rPr>
          <w:sz w:val="26"/>
          <w:szCs w:val="26"/>
        </w:rPr>
        <w:t xml:space="preserve"> </w:t>
      </w:r>
      <w:r>
        <w:rPr>
          <w:sz w:val="26"/>
          <w:szCs w:val="26"/>
        </w:rPr>
        <w:t xml:space="preserve">that </w:t>
      </w:r>
      <w:r w:rsidR="002A5BDA">
        <w:rPr>
          <w:sz w:val="26"/>
          <w:szCs w:val="26"/>
        </w:rPr>
        <w:t>SEF</w:t>
      </w:r>
      <w:r w:rsidR="00E92C5E">
        <w:rPr>
          <w:sz w:val="26"/>
          <w:szCs w:val="26"/>
        </w:rPr>
        <w:t>’s E</w:t>
      </w:r>
      <w:r>
        <w:rPr>
          <w:sz w:val="26"/>
          <w:szCs w:val="26"/>
        </w:rPr>
        <w:t xml:space="preserve">xceptions </w:t>
      </w:r>
      <w:r w:rsidR="00E92C5E">
        <w:rPr>
          <w:sz w:val="26"/>
          <w:szCs w:val="26"/>
        </w:rPr>
        <w:t xml:space="preserve">on this issue </w:t>
      </w:r>
      <w:r>
        <w:rPr>
          <w:sz w:val="26"/>
          <w:szCs w:val="26"/>
        </w:rPr>
        <w:t xml:space="preserve">are without merit.  The </w:t>
      </w:r>
      <w:r w:rsidR="00E92C5E">
        <w:rPr>
          <w:sz w:val="26"/>
          <w:szCs w:val="26"/>
        </w:rPr>
        <w:t>R</w:t>
      </w:r>
      <w:r>
        <w:rPr>
          <w:sz w:val="26"/>
          <w:szCs w:val="26"/>
        </w:rPr>
        <w:t xml:space="preserve">egulations clearly state that customer-generators are responsible for all monthly customer charge and demand charge billing components.  This responsibility simply cannot be relinquished when a customer-generator’s net metering results in energy provided into PPL’s distribution system on any given month.  PPL’s system remains in place to serve the customer-generator’s demand when needed and PPL continues to incur costs recovered through the customer charge whether or not the customer-generator’s net metering results in excess supply.  Additionally, Section 75.13(i) provides that the rates of both customer-generators and non-generators alike </w:t>
      </w:r>
      <w:r>
        <w:rPr>
          <w:sz w:val="26"/>
          <w:szCs w:val="26"/>
        </w:rPr>
        <w:lastRenderedPageBreak/>
        <w:t>shall be nondiscriminatory, identical with respect to rate structure, retail rate components and any monthly charges. 52. Pa. Code § 7</w:t>
      </w:r>
      <w:r w:rsidR="00BC3801">
        <w:rPr>
          <w:sz w:val="26"/>
          <w:szCs w:val="26"/>
        </w:rPr>
        <w:t>5.13</w:t>
      </w:r>
      <w:r>
        <w:rPr>
          <w:sz w:val="26"/>
          <w:szCs w:val="26"/>
        </w:rPr>
        <w:t xml:space="preserve">(i).  </w:t>
      </w:r>
      <w:r w:rsidR="0016028F">
        <w:rPr>
          <w:sz w:val="26"/>
          <w:szCs w:val="26"/>
        </w:rPr>
        <w:t xml:space="preserve">Relieving </w:t>
      </w:r>
      <w:r>
        <w:rPr>
          <w:sz w:val="26"/>
          <w:szCs w:val="26"/>
        </w:rPr>
        <w:t xml:space="preserve">any customer-generator of its responsibility to pay customer charges or demand related charges would create an unjust and unreasonable burden on all other ratepayers.  Accordingly, we shall adopt the </w:t>
      </w:r>
      <w:r w:rsidR="0016028F">
        <w:rPr>
          <w:sz w:val="26"/>
          <w:szCs w:val="26"/>
        </w:rPr>
        <w:t xml:space="preserve">ALJ’s </w:t>
      </w:r>
      <w:r>
        <w:rPr>
          <w:sz w:val="26"/>
          <w:szCs w:val="26"/>
        </w:rPr>
        <w:t xml:space="preserve">recommendation and deny the Exceptions of </w:t>
      </w:r>
      <w:r w:rsidR="002A5BDA">
        <w:rPr>
          <w:sz w:val="26"/>
          <w:szCs w:val="26"/>
        </w:rPr>
        <w:t>SEF</w:t>
      </w:r>
      <w:r>
        <w:rPr>
          <w:sz w:val="26"/>
          <w:szCs w:val="26"/>
        </w:rPr>
        <w:t xml:space="preserve"> regarding this issue.</w:t>
      </w:r>
    </w:p>
    <w:p w:rsidR="00BD5FC2" w:rsidRDefault="00BD5FC2" w:rsidP="000E0862">
      <w:pPr>
        <w:pStyle w:val="Pleading2L3"/>
        <w:numPr>
          <w:ilvl w:val="0"/>
          <w:numId w:val="0"/>
        </w:numPr>
        <w:tabs>
          <w:tab w:val="num" w:pos="0"/>
          <w:tab w:val="left" w:pos="2160"/>
        </w:tabs>
        <w:spacing w:line="360" w:lineRule="auto"/>
        <w:ind w:left="2160" w:hanging="720"/>
        <w:contextualSpacing/>
        <w:rPr>
          <w:sz w:val="26"/>
          <w:szCs w:val="26"/>
        </w:rPr>
      </w:pPr>
    </w:p>
    <w:p w:rsidR="00BD5FC2" w:rsidRPr="00642885" w:rsidRDefault="002E3703" w:rsidP="000E0862">
      <w:pPr>
        <w:pStyle w:val="Pleading2L3"/>
        <w:numPr>
          <w:ilvl w:val="0"/>
          <w:numId w:val="0"/>
        </w:numPr>
        <w:tabs>
          <w:tab w:val="num" w:pos="0"/>
          <w:tab w:val="left" w:pos="2160"/>
        </w:tabs>
        <w:spacing w:line="360" w:lineRule="auto"/>
        <w:ind w:left="2160" w:hanging="720"/>
        <w:contextualSpacing/>
        <w:rPr>
          <w:b/>
          <w:sz w:val="26"/>
          <w:szCs w:val="26"/>
        </w:rPr>
      </w:pPr>
      <w:r w:rsidRPr="00642885">
        <w:rPr>
          <w:b/>
          <w:sz w:val="26"/>
          <w:szCs w:val="26"/>
        </w:rPr>
        <w:t>d.</w:t>
      </w:r>
      <w:r w:rsidRPr="00642885">
        <w:rPr>
          <w:b/>
          <w:sz w:val="26"/>
          <w:szCs w:val="26"/>
        </w:rPr>
        <w:tab/>
        <w:t>Net Metering/Plain Language</w:t>
      </w:r>
    </w:p>
    <w:p w:rsidR="002E3703" w:rsidRDefault="002E3703" w:rsidP="000E0862">
      <w:pPr>
        <w:pStyle w:val="Pleading2L3"/>
        <w:numPr>
          <w:ilvl w:val="0"/>
          <w:numId w:val="0"/>
        </w:numPr>
        <w:tabs>
          <w:tab w:val="num" w:pos="0"/>
          <w:tab w:val="left" w:pos="2160"/>
        </w:tabs>
        <w:spacing w:line="360" w:lineRule="auto"/>
        <w:ind w:left="2160" w:hanging="720"/>
        <w:contextualSpacing/>
        <w:rPr>
          <w:sz w:val="26"/>
          <w:szCs w:val="26"/>
        </w:rPr>
      </w:pPr>
    </w:p>
    <w:p w:rsidR="002E3703" w:rsidRDefault="002E3703" w:rsidP="002E3703">
      <w:pPr>
        <w:pStyle w:val="Pleading2L3"/>
        <w:numPr>
          <w:ilvl w:val="0"/>
          <w:numId w:val="0"/>
        </w:numPr>
        <w:tabs>
          <w:tab w:val="left" w:pos="2160"/>
        </w:tabs>
        <w:spacing w:line="360" w:lineRule="auto"/>
        <w:ind w:firstLine="1440"/>
        <w:contextualSpacing/>
        <w:rPr>
          <w:b/>
          <w:sz w:val="26"/>
          <w:szCs w:val="26"/>
        </w:rPr>
      </w:pPr>
      <w:r>
        <w:rPr>
          <w:b/>
          <w:sz w:val="26"/>
          <w:szCs w:val="26"/>
        </w:rPr>
        <w:tab/>
        <w:t>i</w:t>
      </w:r>
      <w:r w:rsidRPr="007C4965">
        <w:rPr>
          <w:b/>
          <w:sz w:val="26"/>
          <w:szCs w:val="26"/>
        </w:rPr>
        <w:t>.</w:t>
      </w:r>
      <w:r w:rsidRPr="007C4965">
        <w:rPr>
          <w:b/>
          <w:sz w:val="26"/>
          <w:szCs w:val="26"/>
        </w:rPr>
        <w:tab/>
        <w:t>Positions of the Parties</w:t>
      </w:r>
    </w:p>
    <w:p w:rsidR="00F55B70" w:rsidRDefault="00F55B70" w:rsidP="00951FE3">
      <w:pPr>
        <w:pStyle w:val="Pleading2L3"/>
        <w:numPr>
          <w:ilvl w:val="0"/>
          <w:numId w:val="0"/>
        </w:numPr>
        <w:spacing w:line="360" w:lineRule="auto"/>
        <w:rPr>
          <w:sz w:val="26"/>
          <w:szCs w:val="26"/>
        </w:rPr>
      </w:pPr>
    </w:p>
    <w:p w:rsidR="00951FE3" w:rsidRDefault="00951FE3" w:rsidP="00951FE3">
      <w:pPr>
        <w:pStyle w:val="Pleading2L3"/>
        <w:numPr>
          <w:ilvl w:val="0"/>
          <w:numId w:val="0"/>
        </w:numPr>
        <w:spacing w:line="360" w:lineRule="auto"/>
        <w:rPr>
          <w:sz w:val="26"/>
          <w:szCs w:val="26"/>
        </w:rPr>
      </w:pPr>
      <w:r w:rsidRPr="00CB744C">
        <w:rPr>
          <w:sz w:val="26"/>
          <w:szCs w:val="26"/>
        </w:rPr>
        <w:tab/>
      </w:r>
      <w:r w:rsidRPr="00CB744C">
        <w:rPr>
          <w:sz w:val="26"/>
          <w:szCs w:val="26"/>
        </w:rPr>
        <w:tab/>
      </w:r>
      <w:r w:rsidR="00DD3783">
        <w:rPr>
          <w:sz w:val="26"/>
          <w:szCs w:val="26"/>
        </w:rPr>
        <w:t>SEF</w:t>
      </w:r>
      <w:r w:rsidRPr="00CB744C">
        <w:rPr>
          <w:sz w:val="26"/>
          <w:szCs w:val="26"/>
        </w:rPr>
        <w:t xml:space="preserve"> seeks to substitute the terms “within 15 days of May 31 of each year,” for “PJM” or “PJM Planning period”</w:t>
      </w:r>
      <w:r w:rsidR="00DD3783">
        <w:rPr>
          <w:sz w:val="26"/>
          <w:szCs w:val="26"/>
        </w:rPr>
        <w:t xml:space="preserve"> in PPL’s Net Metering tariff language</w:t>
      </w:r>
      <w:r w:rsidRPr="00CB744C">
        <w:rPr>
          <w:sz w:val="26"/>
          <w:szCs w:val="26"/>
        </w:rPr>
        <w:t xml:space="preserve">  SEF </w:t>
      </w:r>
      <w:r>
        <w:rPr>
          <w:sz w:val="26"/>
          <w:szCs w:val="26"/>
        </w:rPr>
        <w:t>M.B.</w:t>
      </w:r>
      <w:r w:rsidRPr="00CB744C">
        <w:rPr>
          <w:sz w:val="26"/>
          <w:szCs w:val="26"/>
        </w:rPr>
        <w:t xml:space="preserve"> at 12.  PPL</w:t>
      </w:r>
      <w:r>
        <w:rPr>
          <w:sz w:val="26"/>
          <w:szCs w:val="26"/>
        </w:rPr>
        <w:t>, on the other hand,</w:t>
      </w:r>
      <w:r w:rsidRPr="00CB744C">
        <w:rPr>
          <w:sz w:val="26"/>
          <w:szCs w:val="26"/>
        </w:rPr>
        <w:t xml:space="preserve"> contends that this</w:t>
      </w:r>
      <w:r>
        <w:rPr>
          <w:sz w:val="26"/>
          <w:szCs w:val="26"/>
        </w:rPr>
        <w:t xml:space="preserve"> substitution of terms</w:t>
      </w:r>
      <w:r w:rsidRPr="00CB744C">
        <w:rPr>
          <w:sz w:val="26"/>
          <w:szCs w:val="26"/>
        </w:rPr>
        <w:t xml:space="preserve"> is unnecessary</w:t>
      </w:r>
      <w:r w:rsidR="00BE3464">
        <w:rPr>
          <w:sz w:val="26"/>
          <w:szCs w:val="26"/>
        </w:rPr>
        <w:t>.  PPL M</w:t>
      </w:r>
      <w:r w:rsidR="00DD3783">
        <w:rPr>
          <w:sz w:val="26"/>
          <w:szCs w:val="26"/>
        </w:rPr>
        <w:t>.</w:t>
      </w:r>
      <w:r w:rsidR="00BE3464">
        <w:rPr>
          <w:sz w:val="26"/>
          <w:szCs w:val="26"/>
        </w:rPr>
        <w:t>B. at 66.</w:t>
      </w:r>
    </w:p>
    <w:p w:rsidR="00951FE3" w:rsidRPr="005B610A" w:rsidRDefault="00951FE3" w:rsidP="00951FE3">
      <w:pPr>
        <w:pStyle w:val="Pleading2L3"/>
        <w:numPr>
          <w:ilvl w:val="0"/>
          <w:numId w:val="0"/>
        </w:numPr>
        <w:spacing w:line="240" w:lineRule="auto"/>
        <w:rPr>
          <w:sz w:val="26"/>
          <w:szCs w:val="26"/>
        </w:rPr>
      </w:pPr>
    </w:p>
    <w:p w:rsidR="00951FE3" w:rsidRPr="00CB744C" w:rsidRDefault="00951FE3" w:rsidP="00951FE3">
      <w:pPr>
        <w:pStyle w:val="Pleading2L3"/>
        <w:numPr>
          <w:ilvl w:val="0"/>
          <w:numId w:val="0"/>
        </w:numPr>
        <w:spacing w:line="360" w:lineRule="auto"/>
        <w:rPr>
          <w:sz w:val="26"/>
          <w:szCs w:val="26"/>
        </w:rPr>
      </w:pPr>
      <w:r>
        <w:rPr>
          <w:sz w:val="26"/>
          <w:szCs w:val="26"/>
        </w:rPr>
        <w:tab/>
      </w:r>
      <w:r>
        <w:rPr>
          <w:sz w:val="26"/>
          <w:szCs w:val="26"/>
        </w:rPr>
        <w:tab/>
        <w:t xml:space="preserve">PPL </w:t>
      </w:r>
      <w:r w:rsidRPr="00CB744C">
        <w:rPr>
          <w:sz w:val="26"/>
          <w:szCs w:val="26"/>
        </w:rPr>
        <w:t xml:space="preserve">supports its terminology </w:t>
      </w:r>
      <w:r w:rsidR="00BE3464">
        <w:rPr>
          <w:sz w:val="26"/>
          <w:szCs w:val="26"/>
        </w:rPr>
        <w:t xml:space="preserve">based on the Commission’s </w:t>
      </w:r>
      <w:r w:rsidR="005B610A">
        <w:rPr>
          <w:sz w:val="26"/>
          <w:szCs w:val="26"/>
        </w:rPr>
        <w:t>R</w:t>
      </w:r>
      <w:r w:rsidR="00BE3464">
        <w:rPr>
          <w:sz w:val="26"/>
          <w:szCs w:val="26"/>
        </w:rPr>
        <w:t xml:space="preserve">egulation: </w:t>
      </w:r>
    </w:p>
    <w:p w:rsidR="00951FE3" w:rsidRDefault="00951FE3" w:rsidP="00951FE3">
      <w:pPr>
        <w:pStyle w:val="Pleading2L3"/>
        <w:numPr>
          <w:ilvl w:val="0"/>
          <w:numId w:val="0"/>
        </w:numPr>
        <w:spacing w:line="240" w:lineRule="auto"/>
        <w:rPr>
          <w:sz w:val="26"/>
          <w:szCs w:val="26"/>
        </w:rPr>
      </w:pPr>
    </w:p>
    <w:p w:rsidR="00951FE3" w:rsidRPr="00CB744C" w:rsidRDefault="00951FE3" w:rsidP="00951FE3">
      <w:pPr>
        <w:pStyle w:val="Pleading2L3"/>
        <w:numPr>
          <w:ilvl w:val="0"/>
          <w:numId w:val="0"/>
        </w:numPr>
        <w:spacing w:line="240" w:lineRule="auto"/>
        <w:ind w:left="1440" w:right="1440"/>
        <w:contextualSpacing/>
        <w:rPr>
          <w:sz w:val="26"/>
          <w:szCs w:val="26"/>
        </w:rPr>
      </w:pPr>
      <w:r w:rsidRPr="00CB744C">
        <w:rPr>
          <w:i/>
          <w:iCs/>
          <w:sz w:val="26"/>
          <w:szCs w:val="26"/>
        </w:rPr>
        <w:t>Year and yearly</w:t>
      </w:r>
      <w:r w:rsidRPr="00CB744C">
        <w:rPr>
          <w:sz w:val="26"/>
          <w:szCs w:val="26"/>
        </w:rPr>
        <w:t>—Planning year as determined by the PJM Interconnection, LLC regional transmission organization.</w:t>
      </w:r>
    </w:p>
    <w:p w:rsidR="00951FE3" w:rsidRPr="00CB744C" w:rsidRDefault="00951FE3" w:rsidP="00951FE3">
      <w:pPr>
        <w:spacing w:before="100" w:beforeAutospacing="1" w:after="100" w:afterAutospacing="1" w:line="240" w:lineRule="auto"/>
        <w:ind w:left="1440" w:right="1440" w:hanging="1440"/>
        <w:contextualSpacing/>
        <w:jc w:val="left"/>
        <w:rPr>
          <w:sz w:val="26"/>
          <w:szCs w:val="26"/>
        </w:rPr>
      </w:pPr>
      <w:r w:rsidRPr="00CB744C">
        <w:rPr>
          <w:sz w:val="26"/>
          <w:szCs w:val="26"/>
        </w:rPr>
        <w:t>52 P</w:t>
      </w:r>
      <w:r w:rsidR="005B610A">
        <w:rPr>
          <w:sz w:val="26"/>
          <w:szCs w:val="26"/>
        </w:rPr>
        <w:t>a. Code § 75.12 (definitions).</w:t>
      </w:r>
    </w:p>
    <w:p w:rsidR="00951FE3" w:rsidRPr="00CB744C" w:rsidRDefault="00951FE3" w:rsidP="00F55B70">
      <w:pPr>
        <w:pStyle w:val="Pleading2L3"/>
        <w:numPr>
          <w:ilvl w:val="0"/>
          <w:numId w:val="0"/>
        </w:numPr>
        <w:spacing w:line="360" w:lineRule="auto"/>
        <w:rPr>
          <w:sz w:val="26"/>
          <w:szCs w:val="26"/>
        </w:rPr>
      </w:pPr>
      <w:r>
        <w:rPr>
          <w:sz w:val="26"/>
          <w:szCs w:val="26"/>
        </w:rPr>
        <w:tab/>
      </w:r>
      <w:r>
        <w:rPr>
          <w:sz w:val="26"/>
          <w:szCs w:val="26"/>
        </w:rPr>
        <w:tab/>
        <w:t xml:space="preserve">The Commission’s </w:t>
      </w:r>
      <w:r w:rsidRPr="005B610A">
        <w:rPr>
          <w:i/>
          <w:sz w:val="26"/>
          <w:szCs w:val="26"/>
        </w:rPr>
        <w:t>Final Omitted Rulemaking Order</w:t>
      </w:r>
      <w:r w:rsidRPr="00CB744C">
        <w:rPr>
          <w:sz w:val="26"/>
          <w:szCs w:val="26"/>
        </w:rPr>
        <w:t xml:space="preserve"> in </w:t>
      </w:r>
      <w:r w:rsidRPr="00CB744C">
        <w:rPr>
          <w:i/>
          <w:sz w:val="26"/>
          <w:szCs w:val="26"/>
        </w:rPr>
        <w:t xml:space="preserve">Implementation of Act 35 of 2007; Net Metering and Interconnection, </w:t>
      </w:r>
      <w:r w:rsidRPr="00CB744C">
        <w:rPr>
          <w:sz w:val="26"/>
          <w:szCs w:val="26"/>
        </w:rPr>
        <w:t>L-00050174 (entered July 2, 2008) at</w:t>
      </w:r>
      <w:r w:rsidR="005B610A">
        <w:rPr>
          <w:sz w:val="26"/>
          <w:szCs w:val="26"/>
        </w:rPr>
        <w:t> 1</w:t>
      </w:r>
      <w:r w:rsidRPr="00CB744C">
        <w:rPr>
          <w:sz w:val="26"/>
          <w:szCs w:val="26"/>
        </w:rPr>
        <w:t>2</w:t>
      </w:r>
      <w:r>
        <w:rPr>
          <w:sz w:val="26"/>
          <w:szCs w:val="26"/>
        </w:rPr>
        <w:t>,</w:t>
      </w:r>
      <w:r w:rsidRPr="00CB744C">
        <w:rPr>
          <w:sz w:val="26"/>
          <w:szCs w:val="26"/>
        </w:rPr>
        <w:t xml:space="preserve"> states:</w:t>
      </w:r>
    </w:p>
    <w:p w:rsidR="00951FE3" w:rsidRPr="00CB744C" w:rsidRDefault="00951FE3" w:rsidP="00951FE3">
      <w:pPr>
        <w:pStyle w:val="Pleading2L3"/>
        <w:numPr>
          <w:ilvl w:val="0"/>
          <w:numId w:val="0"/>
        </w:numPr>
        <w:spacing w:line="360" w:lineRule="auto"/>
        <w:rPr>
          <w:sz w:val="26"/>
          <w:szCs w:val="26"/>
        </w:rPr>
      </w:pPr>
    </w:p>
    <w:p w:rsidR="00951FE3" w:rsidRPr="00CB744C" w:rsidRDefault="00392410" w:rsidP="00951FE3">
      <w:pPr>
        <w:pStyle w:val="Pleading2L3"/>
        <w:numPr>
          <w:ilvl w:val="0"/>
          <w:numId w:val="0"/>
        </w:numPr>
        <w:spacing w:line="240" w:lineRule="auto"/>
        <w:ind w:left="1440" w:right="1440"/>
        <w:rPr>
          <w:sz w:val="26"/>
          <w:szCs w:val="26"/>
        </w:rPr>
      </w:pPr>
      <w:r>
        <w:rPr>
          <w:sz w:val="26"/>
          <w:szCs w:val="26"/>
        </w:rPr>
        <w:tab/>
      </w:r>
      <w:r w:rsidR="00951FE3" w:rsidRPr="00CB744C">
        <w:rPr>
          <w:sz w:val="26"/>
          <w:szCs w:val="26"/>
        </w:rPr>
        <w:t xml:space="preserve">The Commission agrees with EAP, OSBA and PECO that since these regulations are intended to implement portions of the AEPS Act, as amended, any reference to an annual period should conform to the AEPS compliance reporting period of June 1 through May 31, which is the PJM planning year.  This Commission believes that keeping any references to annual periods consistent throughout these </w:t>
      </w:r>
      <w:r w:rsidR="00951FE3" w:rsidRPr="00CB744C">
        <w:rPr>
          <w:sz w:val="26"/>
          <w:szCs w:val="26"/>
        </w:rPr>
        <w:lastRenderedPageBreak/>
        <w:t>regulations will eliminate confusion and provide the greatest administrative ease for all involved.</w:t>
      </w:r>
    </w:p>
    <w:p w:rsidR="00951FE3" w:rsidRPr="00CB744C" w:rsidRDefault="00951FE3" w:rsidP="00951FE3">
      <w:pPr>
        <w:pStyle w:val="Pleading2L3"/>
        <w:numPr>
          <w:ilvl w:val="0"/>
          <w:numId w:val="0"/>
        </w:numPr>
        <w:spacing w:line="240" w:lineRule="auto"/>
        <w:ind w:left="1440" w:right="1440"/>
        <w:contextualSpacing/>
        <w:rPr>
          <w:sz w:val="26"/>
          <w:szCs w:val="26"/>
        </w:rPr>
      </w:pPr>
    </w:p>
    <w:p w:rsidR="00951FE3" w:rsidRDefault="00951FE3" w:rsidP="00951FE3">
      <w:pPr>
        <w:pStyle w:val="Pleading2L3"/>
        <w:numPr>
          <w:ilvl w:val="0"/>
          <w:numId w:val="0"/>
        </w:numPr>
        <w:spacing w:line="360" w:lineRule="auto"/>
        <w:rPr>
          <w:sz w:val="26"/>
          <w:szCs w:val="26"/>
        </w:rPr>
      </w:pPr>
      <w:r>
        <w:rPr>
          <w:sz w:val="26"/>
          <w:szCs w:val="26"/>
        </w:rPr>
        <w:tab/>
      </w:r>
      <w:r>
        <w:rPr>
          <w:sz w:val="26"/>
          <w:szCs w:val="26"/>
        </w:rPr>
        <w:tab/>
        <w:t xml:space="preserve">Further, in its </w:t>
      </w:r>
      <w:r w:rsidR="00352012">
        <w:rPr>
          <w:sz w:val="26"/>
          <w:szCs w:val="26"/>
        </w:rPr>
        <w:t>M</w:t>
      </w:r>
      <w:r>
        <w:rPr>
          <w:sz w:val="26"/>
          <w:szCs w:val="26"/>
        </w:rPr>
        <w:t xml:space="preserve">ain </w:t>
      </w:r>
      <w:r w:rsidR="00352012">
        <w:rPr>
          <w:sz w:val="26"/>
          <w:szCs w:val="26"/>
        </w:rPr>
        <w:t>B</w:t>
      </w:r>
      <w:r>
        <w:rPr>
          <w:sz w:val="26"/>
          <w:szCs w:val="26"/>
        </w:rPr>
        <w:t xml:space="preserve">rief, PPL clarifies that the term “within 15 days of May 31 of each year” is not included in the Commission’s </w:t>
      </w:r>
      <w:r w:rsidR="00352012">
        <w:rPr>
          <w:sz w:val="26"/>
          <w:szCs w:val="26"/>
        </w:rPr>
        <w:t>R</w:t>
      </w:r>
      <w:r>
        <w:rPr>
          <w:sz w:val="26"/>
          <w:szCs w:val="26"/>
        </w:rPr>
        <w:t>egulations.  PPL Stmt. 8-R, at 20; PPL M.B. at 66.  However, the term “PJM Planning Period” is included in the Commission’s regulations at 52 Pa. Code § 75.12.  PPL M.B. at 66.  Additionally, the term “PJM planning period ending May 31 of each year” is included in the Billing Provisions Section 1 of PPL’s proposed Net Metering Rider.  PPL Ex. OGK-1, at 19; PPL M.B. at 66.</w:t>
      </w:r>
    </w:p>
    <w:p w:rsidR="00951FE3" w:rsidRPr="007C4965" w:rsidRDefault="00951FE3" w:rsidP="002E3703">
      <w:pPr>
        <w:pStyle w:val="Pleading2L3"/>
        <w:numPr>
          <w:ilvl w:val="0"/>
          <w:numId w:val="0"/>
        </w:numPr>
        <w:tabs>
          <w:tab w:val="left" w:pos="2160"/>
        </w:tabs>
        <w:spacing w:line="360" w:lineRule="auto"/>
        <w:ind w:firstLine="1440"/>
        <w:contextualSpacing/>
        <w:rPr>
          <w:b/>
          <w:sz w:val="26"/>
          <w:szCs w:val="26"/>
        </w:rPr>
      </w:pPr>
    </w:p>
    <w:p w:rsidR="002E3703" w:rsidRDefault="002E3703" w:rsidP="002E3703">
      <w:pPr>
        <w:pStyle w:val="Pleading2L3"/>
        <w:numPr>
          <w:ilvl w:val="0"/>
          <w:numId w:val="0"/>
        </w:numPr>
        <w:tabs>
          <w:tab w:val="left" w:pos="2160"/>
        </w:tabs>
        <w:spacing w:line="360" w:lineRule="auto"/>
        <w:ind w:firstLine="1440"/>
        <w:contextualSpacing/>
        <w:rPr>
          <w:b/>
          <w:sz w:val="26"/>
          <w:szCs w:val="26"/>
        </w:rPr>
      </w:pPr>
      <w:r>
        <w:rPr>
          <w:b/>
          <w:sz w:val="26"/>
          <w:szCs w:val="26"/>
        </w:rPr>
        <w:tab/>
        <w:t>ii</w:t>
      </w:r>
      <w:r w:rsidRPr="007C4965">
        <w:rPr>
          <w:b/>
          <w:sz w:val="26"/>
          <w:szCs w:val="26"/>
        </w:rPr>
        <w:t>.</w:t>
      </w:r>
      <w:r w:rsidRPr="007C4965">
        <w:rPr>
          <w:b/>
          <w:sz w:val="26"/>
          <w:szCs w:val="26"/>
        </w:rPr>
        <w:tab/>
      </w:r>
      <w:r w:rsidR="002324ED">
        <w:rPr>
          <w:b/>
          <w:sz w:val="26"/>
          <w:szCs w:val="26"/>
        </w:rPr>
        <w:t>The ALJ’s Recommendation</w:t>
      </w:r>
    </w:p>
    <w:p w:rsidR="00951FE3" w:rsidRDefault="00951FE3" w:rsidP="002E3703">
      <w:pPr>
        <w:pStyle w:val="Pleading2L3"/>
        <w:numPr>
          <w:ilvl w:val="0"/>
          <w:numId w:val="0"/>
        </w:numPr>
        <w:tabs>
          <w:tab w:val="left" w:pos="2160"/>
        </w:tabs>
        <w:spacing w:line="360" w:lineRule="auto"/>
        <w:ind w:firstLine="1440"/>
        <w:contextualSpacing/>
        <w:rPr>
          <w:b/>
          <w:sz w:val="26"/>
          <w:szCs w:val="26"/>
        </w:rPr>
      </w:pPr>
    </w:p>
    <w:p w:rsidR="00951FE3" w:rsidRDefault="00951FE3" w:rsidP="00951FE3">
      <w:pPr>
        <w:pStyle w:val="Pleading2L3"/>
        <w:numPr>
          <w:ilvl w:val="0"/>
          <w:numId w:val="0"/>
        </w:numPr>
        <w:spacing w:line="360" w:lineRule="auto"/>
        <w:rPr>
          <w:sz w:val="26"/>
          <w:szCs w:val="26"/>
        </w:rPr>
      </w:pPr>
      <w:r w:rsidRPr="00CB744C">
        <w:rPr>
          <w:sz w:val="26"/>
          <w:szCs w:val="26"/>
        </w:rPr>
        <w:tab/>
      </w:r>
      <w:r w:rsidRPr="00CB744C">
        <w:rPr>
          <w:sz w:val="26"/>
          <w:szCs w:val="26"/>
        </w:rPr>
        <w:tab/>
      </w:r>
      <w:r>
        <w:rPr>
          <w:sz w:val="26"/>
          <w:szCs w:val="26"/>
        </w:rPr>
        <w:t>The ALJ determined that f</w:t>
      </w:r>
      <w:r w:rsidRPr="00CB744C">
        <w:rPr>
          <w:sz w:val="26"/>
          <w:szCs w:val="26"/>
        </w:rPr>
        <w:t>or consistency, using common terminology is preferred, and that is what PPL</w:t>
      </w:r>
      <w:r>
        <w:rPr>
          <w:sz w:val="26"/>
          <w:szCs w:val="26"/>
        </w:rPr>
        <w:t xml:space="preserve"> has</w:t>
      </w:r>
      <w:r w:rsidRPr="00CB744C">
        <w:rPr>
          <w:sz w:val="26"/>
          <w:szCs w:val="26"/>
        </w:rPr>
        <w:t xml:space="preserve"> propose</w:t>
      </w:r>
      <w:r>
        <w:rPr>
          <w:sz w:val="26"/>
          <w:szCs w:val="26"/>
        </w:rPr>
        <w:t>d</w:t>
      </w:r>
      <w:r w:rsidRPr="00CB744C">
        <w:rPr>
          <w:sz w:val="26"/>
          <w:szCs w:val="26"/>
        </w:rPr>
        <w:t>.</w:t>
      </w:r>
      <w:r>
        <w:rPr>
          <w:sz w:val="26"/>
          <w:szCs w:val="26"/>
        </w:rPr>
        <w:t xml:space="preserve">  R.D. at 66. </w:t>
      </w:r>
      <w:r w:rsidRPr="00CB744C">
        <w:rPr>
          <w:sz w:val="26"/>
          <w:szCs w:val="26"/>
        </w:rPr>
        <w:t xml:space="preserve"> Consequently,</w:t>
      </w:r>
      <w:r>
        <w:rPr>
          <w:sz w:val="26"/>
          <w:szCs w:val="26"/>
        </w:rPr>
        <w:t xml:space="preserve"> according to the ALJ</w:t>
      </w:r>
      <w:r w:rsidRPr="00CB744C">
        <w:rPr>
          <w:sz w:val="26"/>
          <w:szCs w:val="26"/>
        </w:rPr>
        <w:t xml:space="preserve"> there is no overriding reason </w:t>
      </w:r>
      <w:r w:rsidR="00352012">
        <w:rPr>
          <w:sz w:val="26"/>
          <w:szCs w:val="26"/>
        </w:rPr>
        <w:t xml:space="preserve">to </w:t>
      </w:r>
      <w:r>
        <w:rPr>
          <w:sz w:val="26"/>
          <w:szCs w:val="26"/>
        </w:rPr>
        <w:t xml:space="preserve">adopt </w:t>
      </w:r>
      <w:r w:rsidR="002A5BDA">
        <w:rPr>
          <w:sz w:val="26"/>
          <w:szCs w:val="26"/>
        </w:rPr>
        <w:t>SEF</w:t>
      </w:r>
      <w:r>
        <w:rPr>
          <w:sz w:val="26"/>
          <w:szCs w:val="26"/>
        </w:rPr>
        <w:t xml:space="preserve">’s </w:t>
      </w:r>
      <w:r w:rsidR="00352012">
        <w:rPr>
          <w:sz w:val="26"/>
          <w:szCs w:val="26"/>
        </w:rPr>
        <w:t>language</w:t>
      </w:r>
      <w:r w:rsidRPr="00CB744C">
        <w:rPr>
          <w:sz w:val="26"/>
          <w:szCs w:val="26"/>
        </w:rPr>
        <w:t>.</w:t>
      </w:r>
    </w:p>
    <w:p w:rsidR="00951FE3" w:rsidRPr="007C4965" w:rsidRDefault="00951FE3" w:rsidP="002E3703">
      <w:pPr>
        <w:pStyle w:val="Pleading2L3"/>
        <w:numPr>
          <w:ilvl w:val="0"/>
          <w:numId w:val="0"/>
        </w:numPr>
        <w:tabs>
          <w:tab w:val="left" w:pos="2160"/>
        </w:tabs>
        <w:spacing w:line="360" w:lineRule="auto"/>
        <w:ind w:firstLine="1440"/>
        <w:contextualSpacing/>
        <w:rPr>
          <w:b/>
          <w:sz w:val="26"/>
          <w:szCs w:val="26"/>
        </w:rPr>
      </w:pPr>
    </w:p>
    <w:p w:rsidR="002E3703" w:rsidRDefault="002E3703" w:rsidP="002E3703">
      <w:pPr>
        <w:pStyle w:val="Pleading2L3"/>
        <w:numPr>
          <w:ilvl w:val="0"/>
          <w:numId w:val="0"/>
        </w:numPr>
        <w:tabs>
          <w:tab w:val="left" w:pos="2160"/>
        </w:tabs>
        <w:spacing w:line="360" w:lineRule="auto"/>
        <w:ind w:firstLine="1440"/>
        <w:contextualSpacing/>
        <w:rPr>
          <w:b/>
          <w:sz w:val="26"/>
          <w:szCs w:val="26"/>
        </w:rPr>
      </w:pPr>
      <w:r>
        <w:rPr>
          <w:b/>
          <w:sz w:val="26"/>
          <w:szCs w:val="26"/>
        </w:rPr>
        <w:tab/>
        <w:t>iii</w:t>
      </w:r>
      <w:r w:rsidRPr="007C4965">
        <w:rPr>
          <w:b/>
          <w:sz w:val="26"/>
          <w:szCs w:val="26"/>
        </w:rPr>
        <w:t>.</w:t>
      </w:r>
      <w:r w:rsidRPr="007C4965">
        <w:rPr>
          <w:b/>
          <w:sz w:val="26"/>
          <w:szCs w:val="26"/>
        </w:rPr>
        <w:tab/>
        <w:t>Exceptions</w:t>
      </w:r>
    </w:p>
    <w:p w:rsidR="00951FE3" w:rsidRDefault="00951FE3" w:rsidP="002E3703">
      <w:pPr>
        <w:pStyle w:val="Pleading2L3"/>
        <w:numPr>
          <w:ilvl w:val="0"/>
          <w:numId w:val="0"/>
        </w:numPr>
        <w:tabs>
          <w:tab w:val="left" w:pos="2160"/>
        </w:tabs>
        <w:spacing w:line="360" w:lineRule="auto"/>
        <w:ind w:firstLine="1440"/>
        <w:contextualSpacing/>
        <w:rPr>
          <w:b/>
          <w:sz w:val="26"/>
          <w:szCs w:val="26"/>
        </w:rPr>
      </w:pPr>
    </w:p>
    <w:p w:rsidR="00951FE3" w:rsidRPr="006E598F" w:rsidRDefault="00951FE3" w:rsidP="00951FE3">
      <w:pPr>
        <w:pStyle w:val="Pleading2L3"/>
        <w:numPr>
          <w:ilvl w:val="0"/>
          <w:numId w:val="0"/>
        </w:numPr>
        <w:spacing w:line="360" w:lineRule="auto"/>
        <w:rPr>
          <w:sz w:val="26"/>
          <w:szCs w:val="26"/>
        </w:rPr>
      </w:pPr>
      <w:r>
        <w:rPr>
          <w:sz w:val="26"/>
          <w:szCs w:val="26"/>
        </w:rPr>
        <w:tab/>
      </w:r>
      <w:r>
        <w:rPr>
          <w:sz w:val="26"/>
          <w:szCs w:val="26"/>
        </w:rPr>
        <w:tab/>
      </w:r>
      <w:r w:rsidR="00352012">
        <w:rPr>
          <w:sz w:val="26"/>
          <w:szCs w:val="26"/>
        </w:rPr>
        <w:t>In its E</w:t>
      </w:r>
      <w:r>
        <w:rPr>
          <w:sz w:val="26"/>
          <w:szCs w:val="26"/>
        </w:rPr>
        <w:t>xceptions</w:t>
      </w:r>
      <w:r w:rsidR="00352012">
        <w:rPr>
          <w:sz w:val="26"/>
          <w:szCs w:val="26"/>
        </w:rPr>
        <w:t>,</w:t>
      </w:r>
      <w:r>
        <w:rPr>
          <w:sz w:val="26"/>
          <w:szCs w:val="26"/>
        </w:rPr>
        <w:t xml:space="preserve"> </w:t>
      </w:r>
      <w:r w:rsidR="002A5BDA">
        <w:rPr>
          <w:sz w:val="26"/>
          <w:szCs w:val="26"/>
        </w:rPr>
        <w:t>SEF</w:t>
      </w:r>
      <w:r>
        <w:rPr>
          <w:sz w:val="26"/>
          <w:szCs w:val="26"/>
        </w:rPr>
        <w:t xml:space="preserve"> asserts that the ALJ’s recommendation to adopt PPL’s language and reject</w:t>
      </w:r>
      <w:r w:rsidR="00352012">
        <w:rPr>
          <w:sz w:val="26"/>
          <w:szCs w:val="26"/>
        </w:rPr>
        <w:t xml:space="preserve"> </w:t>
      </w:r>
      <w:r w:rsidR="002A5BDA">
        <w:rPr>
          <w:sz w:val="26"/>
          <w:szCs w:val="26"/>
        </w:rPr>
        <w:t>SEF</w:t>
      </w:r>
      <w:r>
        <w:rPr>
          <w:sz w:val="26"/>
          <w:szCs w:val="26"/>
        </w:rPr>
        <w:t xml:space="preserve">’s proposal is in error.  SEF Exc. at 15. </w:t>
      </w:r>
      <w:r w:rsidR="00DD3783">
        <w:rPr>
          <w:sz w:val="26"/>
          <w:szCs w:val="26"/>
        </w:rPr>
        <w:t>SEF</w:t>
      </w:r>
      <w:r>
        <w:rPr>
          <w:sz w:val="26"/>
          <w:szCs w:val="26"/>
        </w:rPr>
        <w:t xml:space="preserve"> asserts that consistency alone is not sufficient reasoning to support the continuation of a flawed process.  </w:t>
      </w:r>
      <w:r>
        <w:rPr>
          <w:i/>
          <w:sz w:val="26"/>
          <w:szCs w:val="26"/>
        </w:rPr>
        <w:t>Id</w:t>
      </w:r>
      <w:r>
        <w:rPr>
          <w:sz w:val="26"/>
          <w:szCs w:val="26"/>
        </w:rPr>
        <w:t xml:space="preserve">.  </w:t>
      </w:r>
      <w:r w:rsidR="00DD3783">
        <w:rPr>
          <w:sz w:val="26"/>
          <w:szCs w:val="26"/>
        </w:rPr>
        <w:t>SEF</w:t>
      </w:r>
      <w:r>
        <w:rPr>
          <w:sz w:val="26"/>
          <w:szCs w:val="26"/>
        </w:rPr>
        <w:t xml:space="preserve"> also</w:t>
      </w:r>
      <w:r w:rsidR="00352012">
        <w:rPr>
          <w:sz w:val="26"/>
          <w:szCs w:val="26"/>
        </w:rPr>
        <w:t xml:space="preserve"> asserts that the Commission’s R</w:t>
      </w:r>
      <w:r>
        <w:rPr>
          <w:sz w:val="26"/>
          <w:szCs w:val="26"/>
        </w:rPr>
        <w:t xml:space="preserve">egulations do not prohibit a utility from providing additional accurate, clarifying information </w:t>
      </w:r>
      <w:r w:rsidR="00DD3783">
        <w:rPr>
          <w:sz w:val="26"/>
          <w:szCs w:val="26"/>
        </w:rPr>
        <w:t>in</w:t>
      </w:r>
      <w:r>
        <w:rPr>
          <w:sz w:val="26"/>
          <w:szCs w:val="26"/>
        </w:rPr>
        <w:t xml:space="preserve"> its tariff.  </w:t>
      </w:r>
      <w:r>
        <w:rPr>
          <w:i/>
          <w:sz w:val="26"/>
          <w:szCs w:val="26"/>
        </w:rPr>
        <w:t>Id</w:t>
      </w:r>
      <w:r>
        <w:rPr>
          <w:sz w:val="26"/>
          <w:szCs w:val="26"/>
        </w:rPr>
        <w:t xml:space="preserve">.  </w:t>
      </w:r>
      <w:r w:rsidR="00DD3783">
        <w:rPr>
          <w:sz w:val="26"/>
          <w:szCs w:val="26"/>
        </w:rPr>
        <w:t>SEF</w:t>
      </w:r>
      <w:r>
        <w:rPr>
          <w:sz w:val="26"/>
          <w:szCs w:val="26"/>
        </w:rPr>
        <w:t xml:space="preserve"> also states that at least one customer has expressed confusion concerning the interpretation of PPL’s net metering tariff.  SEF Exc. at 15</w:t>
      </w:r>
      <w:r w:rsidR="00DD3783">
        <w:rPr>
          <w:sz w:val="26"/>
          <w:szCs w:val="26"/>
        </w:rPr>
        <w:t>-</w:t>
      </w:r>
      <w:r>
        <w:rPr>
          <w:sz w:val="26"/>
          <w:szCs w:val="26"/>
        </w:rPr>
        <w:t>16.</w:t>
      </w:r>
    </w:p>
    <w:p w:rsidR="00951FE3" w:rsidRPr="007C4965" w:rsidRDefault="00951FE3" w:rsidP="002E3703">
      <w:pPr>
        <w:pStyle w:val="Pleading2L3"/>
        <w:numPr>
          <w:ilvl w:val="0"/>
          <w:numId w:val="0"/>
        </w:numPr>
        <w:tabs>
          <w:tab w:val="left" w:pos="2160"/>
        </w:tabs>
        <w:spacing w:line="360" w:lineRule="auto"/>
        <w:ind w:firstLine="1440"/>
        <w:contextualSpacing/>
        <w:rPr>
          <w:b/>
          <w:sz w:val="26"/>
          <w:szCs w:val="26"/>
        </w:rPr>
      </w:pPr>
    </w:p>
    <w:p w:rsidR="002E3703" w:rsidRDefault="002E3703" w:rsidP="00F85E77">
      <w:pPr>
        <w:pStyle w:val="Pleading2L3"/>
        <w:keepNext/>
        <w:numPr>
          <w:ilvl w:val="0"/>
          <w:numId w:val="0"/>
        </w:numPr>
        <w:tabs>
          <w:tab w:val="num" w:pos="0"/>
          <w:tab w:val="left" w:pos="2160"/>
        </w:tabs>
        <w:spacing w:line="360" w:lineRule="auto"/>
        <w:ind w:firstLine="1440"/>
        <w:contextualSpacing/>
        <w:rPr>
          <w:sz w:val="26"/>
          <w:szCs w:val="26"/>
        </w:rPr>
      </w:pPr>
      <w:r>
        <w:rPr>
          <w:b/>
          <w:sz w:val="26"/>
          <w:szCs w:val="26"/>
        </w:rPr>
        <w:lastRenderedPageBreak/>
        <w:tab/>
        <w:t>iv</w:t>
      </w:r>
      <w:r w:rsidRPr="007C4965">
        <w:rPr>
          <w:b/>
          <w:sz w:val="26"/>
          <w:szCs w:val="26"/>
        </w:rPr>
        <w:t>.</w:t>
      </w:r>
      <w:r w:rsidRPr="007C4965">
        <w:rPr>
          <w:b/>
          <w:sz w:val="26"/>
          <w:szCs w:val="26"/>
        </w:rPr>
        <w:tab/>
        <w:t>Disposition</w:t>
      </w:r>
    </w:p>
    <w:p w:rsidR="002E3703" w:rsidRDefault="002E3703" w:rsidP="00F85E77">
      <w:pPr>
        <w:pStyle w:val="Pleading2L3"/>
        <w:keepNext/>
        <w:numPr>
          <w:ilvl w:val="0"/>
          <w:numId w:val="0"/>
        </w:numPr>
        <w:tabs>
          <w:tab w:val="num" w:pos="0"/>
          <w:tab w:val="left" w:pos="2160"/>
        </w:tabs>
        <w:spacing w:line="360" w:lineRule="auto"/>
        <w:ind w:left="2160" w:hanging="720"/>
        <w:contextualSpacing/>
        <w:rPr>
          <w:sz w:val="26"/>
          <w:szCs w:val="26"/>
        </w:rPr>
      </w:pPr>
    </w:p>
    <w:p w:rsidR="00F85E77" w:rsidRPr="00807E6A" w:rsidRDefault="00F85E77" w:rsidP="00F85E77">
      <w:pPr>
        <w:pStyle w:val="Pleading2L3"/>
        <w:numPr>
          <w:ilvl w:val="0"/>
          <w:numId w:val="0"/>
        </w:numPr>
        <w:spacing w:line="360" w:lineRule="auto"/>
        <w:rPr>
          <w:sz w:val="26"/>
          <w:szCs w:val="26"/>
        </w:rPr>
      </w:pPr>
      <w:r>
        <w:rPr>
          <w:sz w:val="26"/>
          <w:szCs w:val="26"/>
        </w:rPr>
        <w:tab/>
      </w:r>
      <w:r>
        <w:rPr>
          <w:sz w:val="26"/>
          <w:szCs w:val="26"/>
        </w:rPr>
        <w:tab/>
      </w:r>
      <w:r w:rsidR="00352012">
        <w:rPr>
          <w:sz w:val="26"/>
          <w:szCs w:val="26"/>
        </w:rPr>
        <w:t xml:space="preserve">We agree with </w:t>
      </w:r>
      <w:r w:rsidR="002A5BDA">
        <w:rPr>
          <w:sz w:val="26"/>
          <w:szCs w:val="26"/>
        </w:rPr>
        <w:t>SEF</w:t>
      </w:r>
      <w:r w:rsidR="00352012">
        <w:rPr>
          <w:sz w:val="26"/>
          <w:szCs w:val="26"/>
        </w:rPr>
        <w:t xml:space="preserve"> that our R</w:t>
      </w:r>
      <w:r>
        <w:rPr>
          <w:sz w:val="26"/>
          <w:szCs w:val="26"/>
        </w:rPr>
        <w:t xml:space="preserve">egulations do not prohibit a utility from providing additional accurate, clarifying information </w:t>
      </w:r>
      <w:r w:rsidR="00DD3783">
        <w:rPr>
          <w:sz w:val="26"/>
          <w:szCs w:val="26"/>
        </w:rPr>
        <w:t>in</w:t>
      </w:r>
      <w:r>
        <w:rPr>
          <w:sz w:val="26"/>
          <w:szCs w:val="26"/>
        </w:rPr>
        <w:t xml:space="preserve"> its tariff.  </w:t>
      </w:r>
      <w:r w:rsidR="00FE43A5">
        <w:rPr>
          <w:sz w:val="26"/>
          <w:szCs w:val="26"/>
        </w:rPr>
        <w:t>However, w</w:t>
      </w:r>
      <w:r>
        <w:rPr>
          <w:sz w:val="26"/>
          <w:szCs w:val="26"/>
        </w:rPr>
        <w:t xml:space="preserve">e do not </w:t>
      </w:r>
      <w:r w:rsidR="00FE43A5">
        <w:rPr>
          <w:sz w:val="26"/>
          <w:szCs w:val="26"/>
        </w:rPr>
        <w:t xml:space="preserve">agree with </w:t>
      </w:r>
      <w:r w:rsidR="002A5BDA">
        <w:rPr>
          <w:sz w:val="26"/>
          <w:szCs w:val="26"/>
        </w:rPr>
        <w:t>SEF</w:t>
      </w:r>
      <w:r w:rsidR="00FE43A5">
        <w:rPr>
          <w:sz w:val="26"/>
          <w:szCs w:val="26"/>
        </w:rPr>
        <w:t xml:space="preserve"> that </w:t>
      </w:r>
      <w:r>
        <w:rPr>
          <w:sz w:val="26"/>
          <w:szCs w:val="26"/>
        </w:rPr>
        <w:t>PPL’s net metering tariff needs clarification</w:t>
      </w:r>
      <w:r w:rsidR="00FE43A5">
        <w:rPr>
          <w:sz w:val="26"/>
          <w:szCs w:val="26"/>
        </w:rPr>
        <w:t>.</w:t>
      </w:r>
      <w:r>
        <w:rPr>
          <w:sz w:val="26"/>
          <w:szCs w:val="26"/>
        </w:rPr>
        <w:t xml:space="preserve">  PPL’s Net Metering Billing Provisions contain the language </w:t>
      </w:r>
      <w:r w:rsidR="00FE43A5">
        <w:rPr>
          <w:sz w:val="26"/>
          <w:szCs w:val="26"/>
        </w:rPr>
        <w:t xml:space="preserve">that is being </w:t>
      </w:r>
      <w:r>
        <w:rPr>
          <w:sz w:val="26"/>
          <w:szCs w:val="26"/>
        </w:rPr>
        <w:t xml:space="preserve">requested by </w:t>
      </w:r>
      <w:r w:rsidR="002A5BDA">
        <w:rPr>
          <w:sz w:val="26"/>
          <w:szCs w:val="26"/>
        </w:rPr>
        <w:t>SEF</w:t>
      </w:r>
      <w:r>
        <w:rPr>
          <w:sz w:val="26"/>
          <w:szCs w:val="26"/>
        </w:rPr>
        <w:t xml:space="preserve">.  Therefore, based upon our review of the record evidence regarding this issue, we agree with and shall adopt the </w:t>
      </w:r>
      <w:r w:rsidR="00FE43A5">
        <w:rPr>
          <w:sz w:val="26"/>
          <w:szCs w:val="26"/>
        </w:rPr>
        <w:t xml:space="preserve">ALJ’s </w:t>
      </w:r>
      <w:r>
        <w:rPr>
          <w:sz w:val="26"/>
          <w:szCs w:val="26"/>
        </w:rPr>
        <w:t>recommendation</w:t>
      </w:r>
      <w:r w:rsidR="00FE43A5">
        <w:rPr>
          <w:sz w:val="26"/>
          <w:szCs w:val="26"/>
        </w:rPr>
        <w:t xml:space="preserve">.  Accordingly, the </w:t>
      </w:r>
      <w:r>
        <w:rPr>
          <w:sz w:val="26"/>
          <w:szCs w:val="26"/>
        </w:rPr>
        <w:t>Exception</w:t>
      </w:r>
      <w:r w:rsidR="00FE43A5">
        <w:rPr>
          <w:sz w:val="26"/>
          <w:szCs w:val="26"/>
        </w:rPr>
        <w:t xml:space="preserve">s of </w:t>
      </w:r>
      <w:r w:rsidR="002A5BDA">
        <w:rPr>
          <w:sz w:val="26"/>
          <w:szCs w:val="26"/>
        </w:rPr>
        <w:t>SEF</w:t>
      </w:r>
      <w:r w:rsidR="00FE43A5">
        <w:rPr>
          <w:sz w:val="26"/>
          <w:szCs w:val="26"/>
        </w:rPr>
        <w:t xml:space="preserve"> on this issue are denied.</w:t>
      </w:r>
    </w:p>
    <w:p w:rsidR="00951FE3" w:rsidRDefault="00951FE3" w:rsidP="000E0862">
      <w:pPr>
        <w:pStyle w:val="Pleading2L3"/>
        <w:numPr>
          <w:ilvl w:val="0"/>
          <w:numId w:val="0"/>
        </w:numPr>
        <w:tabs>
          <w:tab w:val="num" w:pos="0"/>
          <w:tab w:val="left" w:pos="2160"/>
        </w:tabs>
        <w:spacing w:line="360" w:lineRule="auto"/>
        <w:ind w:left="2160" w:hanging="720"/>
        <w:contextualSpacing/>
        <w:rPr>
          <w:sz w:val="26"/>
          <w:szCs w:val="26"/>
        </w:rPr>
      </w:pPr>
    </w:p>
    <w:p w:rsidR="007C4965" w:rsidRPr="00642885" w:rsidRDefault="00642885" w:rsidP="000E0862">
      <w:pPr>
        <w:pStyle w:val="Pleading2L3"/>
        <w:numPr>
          <w:ilvl w:val="0"/>
          <w:numId w:val="0"/>
        </w:numPr>
        <w:tabs>
          <w:tab w:val="num" w:pos="0"/>
          <w:tab w:val="left" w:pos="2160"/>
        </w:tabs>
        <w:spacing w:line="240" w:lineRule="auto"/>
        <w:ind w:left="2160" w:hanging="720"/>
        <w:contextualSpacing/>
        <w:rPr>
          <w:b/>
          <w:sz w:val="26"/>
          <w:szCs w:val="26"/>
        </w:rPr>
      </w:pPr>
      <w:r w:rsidRPr="00642885">
        <w:rPr>
          <w:b/>
          <w:sz w:val="26"/>
          <w:szCs w:val="26"/>
        </w:rPr>
        <w:t>e</w:t>
      </w:r>
      <w:r w:rsidR="007C4965" w:rsidRPr="00642885">
        <w:rPr>
          <w:b/>
          <w:sz w:val="26"/>
          <w:szCs w:val="26"/>
        </w:rPr>
        <w:t>.</w:t>
      </w:r>
      <w:r w:rsidR="007C4965" w:rsidRPr="00642885">
        <w:rPr>
          <w:b/>
          <w:sz w:val="26"/>
          <w:szCs w:val="26"/>
        </w:rPr>
        <w:tab/>
      </w:r>
      <w:r w:rsidRPr="00642885">
        <w:rPr>
          <w:b/>
          <w:sz w:val="26"/>
          <w:szCs w:val="26"/>
        </w:rPr>
        <w:t xml:space="preserve">Funding Levels for WRAP and HELP Programs </w:t>
      </w:r>
    </w:p>
    <w:p w:rsidR="007C4965" w:rsidRDefault="007C4965" w:rsidP="000E0862">
      <w:pPr>
        <w:pStyle w:val="Pleading2L3"/>
        <w:numPr>
          <w:ilvl w:val="0"/>
          <w:numId w:val="0"/>
        </w:numPr>
        <w:tabs>
          <w:tab w:val="num" w:pos="0"/>
          <w:tab w:val="left" w:pos="2160"/>
        </w:tabs>
        <w:spacing w:line="360" w:lineRule="auto"/>
        <w:ind w:firstLine="1440"/>
        <w:contextualSpacing/>
        <w:rPr>
          <w:sz w:val="26"/>
          <w:szCs w:val="26"/>
        </w:rPr>
      </w:pPr>
    </w:p>
    <w:p w:rsidR="00250F1D" w:rsidRDefault="00250F1D"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2E3703">
        <w:rPr>
          <w:b/>
          <w:sz w:val="26"/>
          <w:szCs w:val="26"/>
        </w:rPr>
        <w:t>i</w:t>
      </w:r>
      <w:r w:rsidRPr="007C4965">
        <w:rPr>
          <w:b/>
          <w:sz w:val="26"/>
          <w:szCs w:val="26"/>
        </w:rPr>
        <w:t>.</w:t>
      </w:r>
      <w:r w:rsidRPr="007C4965">
        <w:rPr>
          <w:b/>
          <w:sz w:val="26"/>
          <w:szCs w:val="26"/>
        </w:rPr>
        <w:tab/>
        <w:t>Positions of the Parties</w:t>
      </w:r>
    </w:p>
    <w:p w:rsidR="00136177" w:rsidRDefault="00136177" w:rsidP="000E0862">
      <w:pPr>
        <w:pStyle w:val="Pleading2L3"/>
        <w:numPr>
          <w:ilvl w:val="0"/>
          <w:numId w:val="0"/>
        </w:numPr>
        <w:tabs>
          <w:tab w:val="left" w:pos="2160"/>
        </w:tabs>
        <w:spacing w:line="360" w:lineRule="auto"/>
        <w:ind w:firstLine="1440"/>
        <w:contextualSpacing/>
        <w:rPr>
          <w:b/>
          <w:sz w:val="26"/>
          <w:szCs w:val="26"/>
        </w:rPr>
      </w:pPr>
    </w:p>
    <w:p w:rsidR="00136177" w:rsidRDefault="00136177" w:rsidP="00136177">
      <w:pPr>
        <w:pStyle w:val="Pleading2L3"/>
        <w:numPr>
          <w:ilvl w:val="0"/>
          <w:numId w:val="0"/>
        </w:numPr>
        <w:tabs>
          <w:tab w:val="num" w:pos="0"/>
        </w:tabs>
        <w:spacing w:line="360" w:lineRule="auto"/>
        <w:ind w:firstLine="1440"/>
        <w:contextualSpacing/>
        <w:rPr>
          <w:sz w:val="26"/>
          <w:szCs w:val="26"/>
        </w:rPr>
      </w:pPr>
      <w:r w:rsidRPr="00CB744C">
        <w:rPr>
          <w:sz w:val="26"/>
          <w:szCs w:val="26"/>
        </w:rPr>
        <w:t xml:space="preserve">PPL </w:t>
      </w:r>
      <w:r>
        <w:rPr>
          <w:sz w:val="26"/>
          <w:szCs w:val="26"/>
        </w:rPr>
        <w:t>proposed</w:t>
      </w:r>
      <w:r w:rsidRPr="00CB744C">
        <w:rPr>
          <w:sz w:val="26"/>
          <w:szCs w:val="26"/>
        </w:rPr>
        <w:t xml:space="preserve"> to maintain the current level of $8 million annually through 2013 for WRAP, which is its Low Income Usage Reduction program mandated by Commission</w:t>
      </w:r>
      <w:r w:rsidR="00893BF2">
        <w:rPr>
          <w:sz w:val="26"/>
          <w:szCs w:val="26"/>
        </w:rPr>
        <w:t>’s R</w:t>
      </w:r>
      <w:r w:rsidRPr="00CB744C">
        <w:rPr>
          <w:sz w:val="26"/>
          <w:szCs w:val="26"/>
        </w:rPr>
        <w:t xml:space="preserve">egulations at 52 Pa. Code Chapter 58. </w:t>
      </w:r>
      <w:r w:rsidR="00893BF2">
        <w:rPr>
          <w:sz w:val="26"/>
          <w:szCs w:val="26"/>
        </w:rPr>
        <w:t xml:space="preserve"> </w:t>
      </w:r>
      <w:r w:rsidRPr="00CB744C">
        <w:rPr>
          <w:sz w:val="26"/>
          <w:szCs w:val="26"/>
        </w:rPr>
        <w:t xml:space="preserve">PPL Stmt. 9 at 12; PPL </w:t>
      </w:r>
      <w:r>
        <w:rPr>
          <w:sz w:val="26"/>
          <w:szCs w:val="26"/>
        </w:rPr>
        <w:t xml:space="preserve">M.B. at 97; R.D. at 66. </w:t>
      </w:r>
      <w:r w:rsidRPr="00CB744C">
        <w:rPr>
          <w:sz w:val="26"/>
          <w:szCs w:val="26"/>
        </w:rPr>
        <w:t xml:space="preserve"> </w:t>
      </w:r>
      <w:r>
        <w:rPr>
          <w:sz w:val="26"/>
          <w:szCs w:val="26"/>
        </w:rPr>
        <w:t xml:space="preserve">PPL believes that CEO’s recommended increase in WRAP funding is inappropriate for several reasons.  PPL M.B. at 98.  PPL avers that CEO has arbitrarily chosen a dollar amount without considering how it could be recovered by PPL.  </w:t>
      </w:r>
      <w:r>
        <w:rPr>
          <w:i/>
          <w:sz w:val="26"/>
          <w:szCs w:val="26"/>
        </w:rPr>
        <w:t>Id.</w:t>
      </w:r>
      <w:r>
        <w:rPr>
          <w:sz w:val="26"/>
          <w:szCs w:val="26"/>
        </w:rPr>
        <w:t xml:space="preserve">  PPL also contends that CEO has not met its burden of proof on this issue.  </w:t>
      </w:r>
      <w:r>
        <w:rPr>
          <w:i/>
          <w:sz w:val="26"/>
          <w:szCs w:val="26"/>
        </w:rPr>
        <w:t>Id.</w:t>
      </w:r>
    </w:p>
    <w:p w:rsidR="00136177" w:rsidRDefault="00136177" w:rsidP="00136177">
      <w:pPr>
        <w:pStyle w:val="Pleading2L3"/>
        <w:numPr>
          <w:ilvl w:val="0"/>
          <w:numId w:val="0"/>
        </w:numPr>
        <w:tabs>
          <w:tab w:val="num" w:pos="0"/>
        </w:tabs>
        <w:spacing w:line="360" w:lineRule="auto"/>
        <w:ind w:firstLine="1440"/>
        <w:contextualSpacing/>
        <w:rPr>
          <w:sz w:val="26"/>
          <w:szCs w:val="26"/>
        </w:rPr>
      </w:pPr>
    </w:p>
    <w:p w:rsidR="00136177" w:rsidRPr="00241148" w:rsidRDefault="00136177" w:rsidP="00136177">
      <w:pPr>
        <w:pStyle w:val="Pleading2L3"/>
        <w:numPr>
          <w:ilvl w:val="0"/>
          <w:numId w:val="0"/>
        </w:numPr>
        <w:tabs>
          <w:tab w:val="num" w:pos="0"/>
        </w:tabs>
        <w:spacing w:line="360" w:lineRule="auto"/>
        <w:ind w:firstLine="1440"/>
        <w:contextualSpacing/>
        <w:rPr>
          <w:sz w:val="26"/>
          <w:szCs w:val="26"/>
        </w:rPr>
      </w:pPr>
      <w:r>
        <w:rPr>
          <w:sz w:val="26"/>
          <w:szCs w:val="26"/>
        </w:rPr>
        <w:t xml:space="preserve">Over the next four years, PPL will expend an additional $29 million for low-income weatherization above the traditional WRAP expenditures.  </w:t>
      </w:r>
      <w:r>
        <w:rPr>
          <w:i/>
          <w:sz w:val="26"/>
          <w:szCs w:val="26"/>
        </w:rPr>
        <w:t>Id.</w:t>
      </w:r>
      <w:r>
        <w:rPr>
          <w:sz w:val="26"/>
          <w:szCs w:val="26"/>
        </w:rPr>
        <w:t xml:space="preserve">  PPL also stated that the Pennsylvania Department of </w:t>
      </w:r>
      <w:r w:rsidR="00CC5187">
        <w:rPr>
          <w:sz w:val="26"/>
          <w:szCs w:val="26"/>
        </w:rPr>
        <w:t>C</w:t>
      </w:r>
      <w:r>
        <w:rPr>
          <w:sz w:val="26"/>
          <w:szCs w:val="26"/>
        </w:rPr>
        <w:t xml:space="preserve">ommunity and Economic Development has received about $252 million under the American Recovery and Reinvestment Act (ARRA), to be spent over the next three years for low-income weatherization projects. </w:t>
      </w:r>
      <w:r>
        <w:rPr>
          <w:i/>
          <w:sz w:val="26"/>
          <w:szCs w:val="26"/>
        </w:rPr>
        <w:t>Id.</w:t>
      </w:r>
      <w:r>
        <w:rPr>
          <w:sz w:val="26"/>
          <w:szCs w:val="26"/>
        </w:rPr>
        <w:t xml:space="preserve">  </w:t>
      </w:r>
    </w:p>
    <w:p w:rsidR="00136177" w:rsidRDefault="00136177" w:rsidP="00136177">
      <w:pPr>
        <w:pStyle w:val="Pleading2L3"/>
        <w:numPr>
          <w:ilvl w:val="0"/>
          <w:numId w:val="0"/>
        </w:numPr>
        <w:tabs>
          <w:tab w:val="num" w:pos="0"/>
        </w:tabs>
        <w:spacing w:line="360" w:lineRule="auto"/>
        <w:contextualSpacing/>
        <w:rPr>
          <w:sz w:val="26"/>
          <w:szCs w:val="26"/>
        </w:rPr>
      </w:pPr>
    </w:p>
    <w:p w:rsidR="00136177" w:rsidRDefault="00136177" w:rsidP="00136177">
      <w:pPr>
        <w:pStyle w:val="Pleading2L3"/>
        <w:numPr>
          <w:ilvl w:val="0"/>
          <w:numId w:val="0"/>
        </w:numPr>
        <w:tabs>
          <w:tab w:val="num" w:pos="0"/>
        </w:tabs>
        <w:spacing w:line="360" w:lineRule="auto"/>
        <w:contextualSpacing/>
        <w:rPr>
          <w:sz w:val="26"/>
          <w:szCs w:val="26"/>
        </w:rPr>
      </w:pPr>
      <w:r>
        <w:rPr>
          <w:sz w:val="26"/>
          <w:szCs w:val="26"/>
        </w:rPr>
        <w:lastRenderedPageBreak/>
        <w:tab/>
      </w:r>
      <w:r>
        <w:rPr>
          <w:sz w:val="26"/>
          <w:szCs w:val="26"/>
        </w:rPr>
        <w:tab/>
        <w:t>Regarding PPL’s HELP program, PPL explains that funding for this initiative comes from donations</w:t>
      </w:r>
      <w:r w:rsidR="00CC5187">
        <w:rPr>
          <w:sz w:val="26"/>
          <w:szCs w:val="26"/>
        </w:rPr>
        <w:t xml:space="preserve"> </w:t>
      </w:r>
      <w:r>
        <w:rPr>
          <w:sz w:val="26"/>
          <w:szCs w:val="26"/>
        </w:rPr>
        <w:t>and</w:t>
      </w:r>
      <w:r w:rsidR="00CC5187">
        <w:rPr>
          <w:sz w:val="26"/>
          <w:szCs w:val="26"/>
        </w:rPr>
        <w:t>,</w:t>
      </w:r>
      <w:r>
        <w:rPr>
          <w:sz w:val="26"/>
          <w:szCs w:val="26"/>
        </w:rPr>
        <w:t xml:space="preserve"> thus</w:t>
      </w:r>
      <w:r w:rsidR="00CC5187">
        <w:rPr>
          <w:sz w:val="26"/>
          <w:szCs w:val="26"/>
        </w:rPr>
        <w:t>,</w:t>
      </w:r>
      <w:r>
        <w:rPr>
          <w:sz w:val="26"/>
          <w:szCs w:val="26"/>
        </w:rPr>
        <w:t xml:space="preserve"> is beyond the Commission’s jurisdiction.  Accordingly, CEO’s recommendation for PPL to provide additional funding is misplaced.  PPL M.B. at 99.</w:t>
      </w:r>
    </w:p>
    <w:p w:rsidR="00136177" w:rsidRDefault="00136177" w:rsidP="00136177">
      <w:pPr>
        <w:pStyle w:val="Pleading2L3"/>
        <w:numPr>
          <w:ilvl w:val="0"/>
          <w:numId w:val="0"/>
        </w:numPr>
        <w:tabs>
          <w:tab w:val="num" w:pos="0"/>
        </w:tabs>
        <w:spacing w:line="360" w:lineRule="auto"/>
        <w:contextualSpacing/>
        <w:rPr>
          <w:sz w:val="26"/>
          <w:szCs w:val="26"/>
        </w:rPr>
      </w:pPr>
    </w:p>
    <w:p w:rsidR="00136177" w:rsidRPr="00CB744C" w:rsidRDefault="00136177" w:rsidP="00136177">
      <w:pPr>
        <w:pStyle w:val="Pleading2L3"/>
        <w:numPr>
          <w:ilvl w:val="0"/>
          <w:numId w:val="0"/>
        </w:numPr>
        <w:tabs>
          <w:tab w:val="num" w:pos="0"/>
        </w:tabs>
        <w:spacing w:line="360" w:lineRule="auto"/>
        <w:contextualSpacing/>
        <w:rPr>
          <w:sz w:val="26"/>
          <w:szCs w:val="26"/>
        </w:rPr>
      </w:pPr>
      <w:r w:rsidRPr="00CB744C">
        <w:rPr>
          <w:sz w:val="26"/>
          <w:szCs w:val="26"/>
        </w:rPr>
        <w:tab/>
      </w:r>
      <w:r w:rsidRPr="00CB744C">
        <w:rPr>
          <w:sz w:val="26"/>
          <w:szCs w:val="26"/>
        </w:rPr>
        <w:tab/>
        <w:t>CEO asks that the annual f</w:t>
      </w:r>
      <w:r w:rsidR="00D94704">
        <w:rPr>
          <w:sz w:val="26"/>
          <w:szCs w:val="26"/>
        </w:rPr>
        <w:t>u</w:t>
      </w:r>
      <w:r w:rsidRPr="00CB744C">
        <w:rPr>
          <w:sz w:val="26"/>
          <w:szCs w:val="26"/>
        </w:rPr>
        <w:t xml:space="preserve">nding for WRAP be increased to $9.5 million or commensurate with the percentage distribution increase on the residential class in this proceeding, and that annual funding for Operation Help be set at a minimum of $1.6 million or commensurate with the percentage distribution increase on the residential class in this proceeding.  CEO </w:t>
      </w:r>
      <w:r>
        <w:rPr>
          <w:sz w:val="26"/>
          <w:szCs w:val="26"/>
        </w:rPr>
        <w:t>M.</w:t>
      </w:r>
      <w:r w:rsidRPr="00CB744C">
        <w:rPr>
          <w:sz w:val="26"/>
          <w:szCs w:val="26"/>
        </w:rPr>
        <w:t>B</w:t>
      </w:r>
      <w:r>
        <w:rPr>
          <w:sz w:val="26"/>
          <w:szCs w:val="26"/>
        </w:rPr>
        <w:t>.</w:t>
      </w:r>
      <w:r w:rsidRPr="00CB744C">
        <w:rPr>
          <w:sz w:val="26"/>
          <w:szCs w:val="26"/>
        </w:rPr>
        <w:t xml:space="preserve"> at 7</w:t>
      </w:r>
      <w:r>
        <w:rPr>
          <w:sz w:val="26"/>
          <w:szCs w:val="26"/>
        </w:rPr>
        <w:t>; R.D. at 67</w:t>
      </w:r>
      <w:r w:rsidRPr="00CB744C">
        <w:rPr>
          <w:sz w:val="26"/>
          <w:szCs w:val="26"/>
        </w:rPr>
        <w:t xml:space="preserve">.  </w:t>
      </w:r>
    </w:p>
    <w:p w:rsidR="00136177" w:rsidRPr="00CB744C" w:rsidRDefault="00136177" w:rsidP="00136177">
      <w:pPr>
        <w:pStyle w:val="Pleading2L3"/>
        <w:numPr>
          <w:ilvl w:val="0"/>
          <w:numId w:val="0"/>
        </w:numPr>
        <w:tabs>
          <w:tab w:val="num" w:pos="0"/>
        </w:tabs>
        <w:spacing w:line="360" w:lineRule="auto"/>
        <w:contextualSpacing/>
        <w:rPr>
          <w:sz w:val="26"/>
          <w:szCs w:val="26"/>
        </w:rPr>
      </w:pPr>
    </w:p>
    <w:p w:rsidR="00136177" w:rsidRPr="00CB744C" w:rsidRDefault="00136177" w:rsidP="00136177">
      <w:pPr>
        <w:pStyle w:val="Pleading2L3"/>
        <w:numPr>
          <w:ilvl w:val="0"/>
          <w:numId w:val="0"/>
        </w:numPr>
        <w:tabs>
          <w:tab w:val="num" w:pos="0"/>
        </w:tabs>
        <w:spacing w:line="360" w:lineRule="auto"/>
        <w:contextualSpacing/>
        <w:rPr>
          <w:sz w:val="26"/>
          <w:szCs w:val="26"/>
        </w:rPr>
      </w:pPr>
      <w:r w:rsidRPr="00CB744C">
        <w:rPr>
          <w:sz w:val="26"/>
          <w:szCs w:val="26"/>
        </w:rPr>
        <w:tab/>
      </w:r>
      <w:r w:rsidRPr="00CB744C">
        <w:rPr>
          <w:sz w:val="26"/>
          <w:szCs w:val="26"/>
        </w:rPr>
        <w:tab/>
        <w:t>CEO opines that often the only defense a poor person has to rising utility costs is conservation, and WRAP increases a person’s ability to conserve.  CEO Stmt. 1</w:t>
      </w:r>
      <w:r w:rsidR="00CC5187">
        <w:rPr>
          <w:sz w:val="26"/>
          <w:szCs w:val="26"/>
        </w:rPr>
        <w:t> </w:t>
      </w:r>
      <w:r w:rsidRPr="00CB744C">
        <w:rPr>
          <w:sz w:val="26"/>
          <w:szCs w:val="26"/>
        </w:rPr>
        <w:t>at 6.  CEO reasons that because of PPL</w:t>
      </w:r>
      <w:r w:rsidR="00BA35F8">
        <w:rPr>
          <w:sz w:val="26"/>
          <w:szCs w:val="26"/>
        </w:rPr>
        <w:t>’s rate</w:t>
      </w:r>
      <w:r w:rsidRPr="00CB744C">
        <w:rPr>
          <w:sz w:val="26"/>
          <w:szCs w:val="26"/>
        </w:rPr>
        <w:t xml:space="preserve"> increase on the residential class and the move towards higher fixed charges, more help </w:t>
      </w:r>
      <w:r w:rsidR="00BA35F8">
        <w:rPr>
          <w:sz w:val="26"/>
          <w:szCs w:val="26"/>
        </w:rPr>
        <w:t>must</w:t>
      </w:r>
      <w:r w:rsidRPr="00CB744C">
        <w:rPr>
          <w:sz w:val="26"/>
          <w:szCs w:val="26"/>
        </w:rPr>
        <w:t xml:space="preserve"> be given to the low-income residential customer.  Energy conservation measures are an essential part of helping low income consumers deal with rising energy costs.  CEO Stmt. 1 at 7</w:t>
      </w:r>
      <w:r>
        <w:rPr>
          <w:sz w:val="26"/>
          <w:szCs w:val="26"/>
        </w:rPr>
        <w:t>; R.D. at 67</w:t>
      </w:r>
      <w:r w:rsidRPr="00CB744C">
        <w:rPr>
          <w:sz w:val="26"/>
          <w:szCs w:val="26"/>
        </w:rPr>
        <w:t>.</w:t>
      </w:r>
    </w:p>
    <w:p w:rsidR="00136177" w:rsidRPr="007C4965" w:rsidRDefault="00136177" w:rsidP="000E0862">
      <w:pPr>
        <w:pStyle w:val="Pleading2L3"/>
        <w:numPr>
          <w:ilvl w:val="0"/>
          <w:numId w:val="0"/>
        </w:numPr>
        <w:tabs>
          <w:tab w:val="left" w:pos="2160"/>
        </w:tabs>
        <w:spacing w:line="360" w:lineRule="auto"/>
        <w:ind w:firstLine="1440"/>
        <w:contextualSpacing/>
        <w:rPr>
          <w:b/>
          <w:sz w:val="26"/>
          <w:szCs w:val="26"/>
        </w:rPr>
      </w:pPr>
    </w:p>
    <w:p w:rsidR="00250F1D" w:rsidRDefault="00250F1D"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2E3703">
        <w:rPr>
          <w:b/>
          <w:sz w:val="26"/>
          <w:szCs w:val="26"/>
        </w:rPr>
        <w:t>ii</w:t>
      </w:r>
      <w:r w:rsidRPr="007C4965">
        <w:rPr>
          <w:b/>
          <w:sz w:val="26"/>
          <w:szCs w:val="26"/>
        </w:rPr>
        <w:t>.</w:t>
      </w:r>
      <w:r w:rsidRPr="007C4965">
        <w:rPr>
          <w:b/>
          <w:sz w:val="26"/>
          <w:szCs w:val="26"/>
        </w:rPr>
        <w:tab/>
      </w:r>
      <w:r w:rsidR="002324ED">
        <w:rPr>
          <w:b/>
          <w:sz w:val="26"/>
          <w:szCs w:val="26"/>
        </w:rPr>
        <w:t>The ALJ’s Recommendation</w:t>
      </w:r>
    </w:p>
    <w:p w:rsidR="00136177" w:rsidRDefault="00136177" w:rsidP="000E0862">
      <w:pPr>
        <w:pStyle w:val="Pleading2L3"/>
        <w:numPr>
          <w:ilvl w:val="0"/>
          <w:numId w:val="0"/>
        </w:numPr>
        <w:tabs>
          <w:tab w:val="left" w:pos="2160"/>
        </w:tabs>
        <w:spacing w:line="360" w:lineRule="auto"/>
        <w:ind w:firstLine="1440"/>
        <w:contextualSpacing/>
        <w:rPr>
          <w:b/>
          <w:sz w:val="26"/>
          <w:szCs w:val="26"/>
        </w:rPr>
      </w:pPr>
    </w:p>
    <w:p w:rsidR="00136177" w:rsidRPr="00394AD2" w:rsidRDefault="00136177" w:rsidP="00136177">
      <w:pPr>
        <w:pStyle w:val="Pleading2L3"/>
        <w:numPr>
          <w:ilvl w:val="0"/>
          <w:numId w:val="0"/>
        </w:numPr>
        <w:tabs>
          <w:tab w:val="num" w:pos="0"/>
        </w:tabs>
        <w:spacing w:line="360" w:lineRule="auto"/>
        <w:rPr>
          <w:sz w:val="26"/>
          <w:szCs w:val="26"/>
        </w:rPr>
      </w:pPr>
      <w:r>
        <w:rPr>
          <w:sz w:val="26"/>
          <w:szCs w:val="26"/>
        </w:rPr>
        <w:tab/>
      </w:r>
      <w:r>
        <w:rPr>
          <w:sz w:val="26"/>
          <w:szCs w:val="26"/>
        </w:rPr>
        <w:tab/>
      </w:r>
      <w:r w:rsidRPr="00CB744C">
        <w:rPr>
          <w:sz w:val="26"/>
          <w:szCs w:val="26"/>
        </w:rPr>
        <w:t>While no</w:t>
      </w:r>
      <w:r w:rsidR="00CC5187">
        <w:rPr>
          <w:sz w:val="26"/>
          <w:szCs w:val="26"/>
        </w:rPr>
        <w:t xml:space="preserve">ne of the Parties </w:t>
      </w:r>
      <w:r w:rsidRPr="00CB744C">
        <w:rPr>
          <w:sz w:val="26"/>
          <w:szCs w:val="26"/>
        </w:rPr>
        <w:t xml:space="preserve">question the importance of low income programs or the truth of the statements made, </w:t>
      </w:r>
      <w:r w:rsidR="00CC5187">
        <w:rPr>
          <w:sz w:val="26"/>
          <w:szCs w:val="26"/>
        </w:rPr>
        <w:t xml:space="preserve">the ALJ concluded that </w:t>
      </w:r>
      <w:r w:rsidRPr="00CB744C">
        <w:rPr>
          <w:sz w:val="26"/>
          <w:szCs w:val="26"/>
        </w:rPr>
        <w:t xml:space="preserve">there is no evidence to support the CEO recommendation.  As PPL points out, CEO’s request is not supported by evidence, which it must provide when proposing an adjustment which would result in an additional expense for the utility.  </w:t>
      </w:r>
      <w:r w:rsidRPr="00CB744C">
        <w:rPr>
          <w:i/>
          <w:sz w:val="26"/>
          <w:szCs w:val="26"/>
        </w:rPr>
        <w:t xml:space="preserve">Pa. Publ. Util. Comm’n v. Metropolitan Edison Company, </w:t>
      </w:r>
      <w:r w:rsidRPr="00CB744C">
        <w:rPr>
          <w:sz w:val="26"/>
          <w:szCs w:val="26"/>
        </w:rPr>
        <w:t xml:space="preserve">Docket No. R-00061366, 2007 Pa. PUC LEXIS 5 (January 11, 2007); PPL Electric </w:t>
      </w:r>
      <w:r w:rsidR="00BA35F8">
        <w:rPr>
          <w:sz w:val="26"/>
          <w:szCs w:val="26"/>
        </w:rPr>
        <w:t xml:space="preserve">M.B. </w:t>
      </w:r>
      <w:r w:rsidRPr="00CB744C">
        <w:rPr>
          <w:sz w:val="26"/>
          <w:szCs w:val="26"/>
        </w:rPr>
        <w:t xml:space="preserve">at 98.  </w:t>
      </w:r>
      <w:r w:rsidR="00D94704">
        <w:rPr>
          <w:sz w:val="26"/>
          <w:szCs w:val="26"/>
        </w:rPr>
        <w:t>The ALJ ruled that t</w:t>
      </w:r>
      <w:r w:rsidRPr="00CB744C">
        <w:rPr>
          <w:sz w:val="26"/>
          <w:szCs w:val="26"/>
        </w:rPr>
        <w:t xml:space="preserve">he burden of proving that this expense is justified is CEO’s, and </w:t>
      </w:r>
      <w:r w:rsidR="00D94704">
        <w:rPr>
          <w:sz w:val="26"/>
          <w:szCs w:val="26"/>
        </w:rPr>
        <w:t xml:space="preserve">that CEO failed to meet </w:t>
      </w:r>
      <w:r w:rsidRPr="00CB744C">
        <w:rPr>
          <w:sz w:val="26"/>
          <w:szCs w:val="26"/>
        </w:rPr>
        <w:t>this burden</w:t>
      </w:r>
      <w:r w:rsidR="00D94704">
        <w:rPr>
          <w:sz w:val="26"/>
          <w:szCs w:val="26"/>
        </w:rPr>
        <w:t>.</w:t>
      </w:r>
      <w:r>
        <w:rPr>
          <w:sz w:val="26"/>
          <w:szCs w:val="26"/>
        </w:rPr>
        <w:t xml:space="preserve">  R.D. at</w:t>
      </w:r>
      <w:r w:rsidR="001075A5">
        <w:rPr>
          <w:sz w:val="26"/>
          <w:szCs w:val="26"/>
        </w:rPr>
        <w:t> </w:t>
      </w:r>
      <w:r>
        <w:rPr>
          <w:sz w:val="26"/>
          <w:szCs w:val="26"/>
        </w:rPr>
        <w:t>67.</w:t>
      </w:r>
    </w:p>
    <w:p w:rsidR="00136177" w:rsidRPr="00394AD2" w:rsidRDefault="00136177" w:rsidP="00136177">
      <w:pPr>
        <w:jc w:val="left"/>
        <w:rPr>
          <w:sz w:val="26"/>
          <w:szCs w:val="26"/>
        </w:rPr>
      </w:pPr>
    </w:p>
    <w:p w:rsidR="00136177" w:rsidRDefault="00136177" w:rsidP="00136177">
      <w:pPr>
        <w:jc w:val="left"/>
        <w:rPr>
          <w:sz w:val="26"/>
          <w:szCs w:val="26"/>
        </w:rPr>
      </w:pPr>
      <w:r w:rsidRPr="00394AD2">
        <w:rPr>
          <w:sz w:val="26"/>
          <w:szCs w:val="26"/>
        </w:rPr>
        <w:lastRenderedPageBreak/>
        <w:tab/>
      </w:r>
      <w:r w:rsidRPr="00394AD2">
        <w:rPr>
          <w:sz w:val="26"/>
          <w:szCs w:val="26"/>
        </w:rPr>
        <w:tab/>
        <w:t xml:space="preserve">Based upon the other available funding for PPL’s WRAP program and the non-jurisdictional nature of PPL’s HELP program, </w:t>
      </w:r>
      <w:r>
        <w:rPr>
          <w:sz w:val="26"/>
          <w:szCs w:val="26"/>
        </w:rPr>
        <w:t xml:space="preserve">the ALJ recommended that each of CEO’s </w:t>
      </w:r>
      <w:r w:rsidR="00BA35F8">
        <w:rPr>
          <w:sz w:val="26"/>
          <w:szCs w:val="26"/>
        </w:rPr>
        <w:t>proposals</w:t>
      </w:r>
      <w:r>
        <w:rPr>
          <w:sz w:val="26"/>
          <w:szCs w:val="26"/>
        </w:rPr>
        <w:t xml:space="preserve"> be denied.</w:t>
      </w:r>
    </w:p>
    <w:p w:rsidR="00136177" w:rsidRDefault="00136177" w:rsidP="000E0862">
      <w:pPr>
        <w:pStyle w:val="Pleading2L3"/>
        <w:numPr>
          <w:ilvl w:val="0"/>
          <w:numId w:val="0"/>
        </w:numPr>
        <w:tabs>
          <w:tab w:val="left" w:pos="2160"/>
        </w:tabs>
        <w:spacing w:line="360" w:lineRule="auto"/>
        <w:ind w:firstLine="1440"/>
        <w:contextualSpacing/>
        <w:rPr>
          <w:b/>
          <w:sz w:val="26"/>
          <w:szCs w:val="26"/>
        </w:rPr>
      </w:pPr>
    </w:p>
    <w:p w:rsidR="00250F1D" w:rsidRDefault="00250F1D" w:rsidP="00F55B70">
      <w:pPr>
        <w:pStyle w:val="Pleading2L3"/>
        <w:keepNext/>
        <w:numPr>
          <w:ilvl w:val="0"/>
          <w:numId w:val="0"/>
        </w:numPr>
        <w:tabs>
          <w:tab w:val="left" w:pos="2160"/>
        </w:tabs>
        <w:spacing w:line="360" w:lineRule="auto"/>
        <w:ind w:firstLine="1440"/>
        <w:contextualSpacing/>
        <w:rPr>
          <w:b/>
          <w:sz w:val="26"/>
          <w:szCs w:val="26"/>
        </w:rPr>
      </w:pPr>
      <w:r>
        <w:rPr>
          <w:b/>
          <w:sz w:val="26"/>
          <w:szCs w:val="26"/>
        </w:rPr>
        <w:tab/>
      </w:r>
      <w:r w:rsidR="002E3703">
        <w:rPr>
          <w:b/>
          <w:sz w:val="26"/>
          <w:szCs w:val="26"/>
        </w:rPr>
        <w:t>iii</w:t>
      </w:r>
      <w:r w:rsidRPr="007C4965">
        <w:rPr>
          <w:b/>
          <w:sz w:val="26"/>
          <w:szCs w:val="26"/>
        </w:rPr>
        <w:t>.</w:t>
      </w:r>
      <w:r w:rsidRPr="007C4965">
        <w:rPr>
          <w:b/>
          <w:sz w:val="26"/>
          <w:szCs w:val="26"/>
        </w:rPr>
        <w:tab/>
        <w:t>Exceptions</w:t>
      </w:r>
    </w:p>
    <w:p w:rsidR="00136177" w:rsidRDefault="00136177" w:rsidP="00F55B70">
      <w:pPr>
        <w:pStyle w:val="Pleading2L3"/>
        <w:keepNext/>
        <w:numPr>
          <w:ilvl w:val="0"/>
          <w:numId w:val="0"/>
        </w:numPr>
        <w:tabs>
          <w:tab w:val="left" w:pos="2160"/>
        </w:tabs>
        <w:spacing w:line="360" w:lineRule="auto"/>
        <w:ind w:firstLine="1440"/>
        <w:contextualSpacing/>
        <w:rPr>
          <w:b/>
          <w:sz w:val="26"/>
          <w:szCs w:val="26"/>
        </w:rPr>
      </w:pPr>
    </w:p>
    <w:p w:rsidR="00136177" w:rsidRDefault="00136177" w:rsidP="00136177">
      <w:pPr>
        <w:jc w:val="left"/>
        <w:rPr>
          <w:sz w:val="26"/>
          <w:szCs w:val="26"/>
        </w:rPr>
      </w:pPr>
      <w:r>
        <w:rPr>
          <w:sz w:val="26"/>
          <w:szCs w:val="26"/>
        </w:rPr>
        <w:tab/>
      </w:r>
      <w:r>
        <w:rPr>
          <w:sz w:val="26"/>
          <w:szCs w:val="26"/>
        </w:rPr>
        <w:tab/>
        <w:t xml:space="preserve">In its </w:t>
      </w:r>
      <w:r w:rsidR="00D94704">
        <w:rPr>
          <w:sz w:val="26"/>
          <w:szCs w:val="26"/>
        </w:rPr>
        <w:t>E</w:t>
      </w:r>
      <w:r>
        <w:rPr>
          <w:sz w:val="26"/>
          <w:szCs w:val="26"/>
        </w:rPr>
        <w:t>xceptions, CEO states that the ALJ abused her discretion and committed an error of law by finding that CEO did not meet its burden of proof.  In support of this contention</w:t>
      </w:r>
      <w:r w:rsidR="00BA35F8">
        <w:rPr>
          <w:sz w:val="26"/>
          <w:szCs w:val="26"/>
        </w:rPr>
        <w:t>,</w:t>
      </w:r>
      <w:r>
        <w:rPr>
          <w:sz w:val="26"/>
          <w:szCs w:val="26"/>
        </w:rPr>
        <w:t xml:space="preserve"> CEO restated its reasons and reasoning to adopt its </w:t>
      </w:r>
      <w:r w:rsidR="00D94704">
        <w:rPr>
          <w:sz w:val="26"/>
          <w:szCs w:val="26"/>
        </w:rPr>
        <w:t>recommendations.</w:t>
      </w:r>
    </w:p>
    <w:p w:rsidR="00136177" w:rsidRDefault="00136177" w:rsidP="00136177">
      <w:pPr>
        <w:jc w:val="left"/>
        <w:rPr>
          <w:sz w:val="26"/>
          <w:szCs w:val="26"/>
        </w:rPr>
      </w:pPr>
    </w:p>
    <w:p w:rsidR="00136177" w:rsidRDefault="00136177" w:rsidP="00136177">
      <w:pPr>
        <w:jc w:val="left"/>
        <w:rPr>
          <w:sz w:val="26"/>
          <w:szCs w:val="26"/>
        </w:rPr>
      </w:pPr>
      <w:r>
        <w:rPr>
          <w:sz w:val="26"/>
          <w:szCs w:val="26"/>
        </w:rPr>
        <w:tab/>
      </w:r>
      <w:r>
        <w:rPr>
          <w:sz w:val="26"/>
          <w:szCs w:val="26"/>
        </w:rPr>
        <w:tab/>
        <w:t>In reply, PPL states that it agrees with the ALJ</w:t>
      </w:r>
      <w:r w:rsidR="003D46AB">
        <w:rPr>
          <w:sz w:val="26"/>
          <w:szCs w:val="26"/>
        </w:rPr>
        <w:t xml:space="preserve">’s </w:t>
      </w:r>
      <w:r w:rsidR="00D94704">
        <w:rPr>
          <w:sz w:val="26"/>
          <w:szCs w:val="26"/>
        </w:rPr>
        <w:t xml:space="preserve">denial of CEO’s </w:t>
      </w:r>
      <w:r w:rsidR="003D46AB">
        <w:rPr>
          <w:sz w:val="26"/>
          <w:szCs w:val="26"/>
        </w:rPr>
        <w:t>request.</w:t>
      </w:r>
      <w:r>
        <w:rPr>
          <w:sz w:val="26"/>
          <w:szCs w:val="26"/>
        </w:rPr>
        <w:t xml:space="preserve">  PPL R.Exc. at 24, 25.</w:t>
      </w:r>
    </w:p>
    <w:p w:rsidR="00136177" w:rsidRDefault="00136177" w:rsidP="00136177">
      <w:pPr>
        <w:jc w:val="left"/>
        <w:rPr>
          <w:sz w:val="26"/>
          <w:szCs w:val="26"/>
        </w:rPr>
      </w:pPr>
    </w:p>
    <w:p w:rsidR="00250F1D" w:rsidRDefault="00250F1D" w:rsidP="00F55B70">
      <w:pPr>
        <w:pStyle w:val="Pleading2L3"/>
        <w:keepNext/>
        <w:numPr>
          <w:ilvl w:val="0"/>
          <w:numId w:val="0"/>
        </w:numPr>
        <w:tabs>
          <w:tab w:val="num" w:pos="0"/>
          <w:tab w:val="left" w:pos="2160"/>
        </w:tabs>
        <w:spacing w:line="360" w:lineRule="auto"/>
        <w:ind w:firstLine="1440"/>
        <w:contextualSpacing/>
        <w:rPr>
          <w:sz w:val="26"/>
          <w:szCs w:val="26"/>
        </w:rPr>
      </w:pPr>
      <w:r>
        <w:rPr>
          <w:b/>
          <w:sz w:val="26"/>
          <w:szCs w:val="26"/>
        </w:rPr>
        <w:tab/>
      </w:r>
      <w:r w:rsidR="002E3703">
        <w:rPr>
          <w:b/>
          <w:sz w:val="26"/>
          <w:szCs w:val="26"/>
        </w:rPr>
        <w:t>iv</w:t>
      </w:r>
      <w:r w:rsidRPr="007C4965">
        <w:rPr>
          <w:b/>
          <w:sz w:val="26"/>
          <w:szCs w:val="26"/>
        </w:rPr>
        <w:t>.</w:t>
      </w:r>
      <w:r w:rsidRPr="007C4965">
        <w:rPr>
          <w:b/>
          <w:sz w:val="26"/>
          <w:szCs w:val="26"/>
        </w:rPr>
        <w:tab/>
        <w:t>Disposition</w:t>
      </w:r>
    </w:p>
    <w:p w:rsidR="00250F1D" w:rsidRDefault="00250F1D" w:rsidP="00F55B70">
      <w:pPr>
        <w:pStyle w:val="Pleading2L3"/>
        <w:keepNext/>
        <w:numPr>
          <w:ilvl w:val="0"/>
          <w:numId w:val="0"/>
        </w:numPr>
        <w:tabs>
          <w:tab w:val="num" w:pos="0"/>
          <w:tab w:val="left" w:pos="2160"/>
        </w:tabs>
        <w:spacing w:line="360" w:lineRule="auto"/>
        <w:ind w:firstLine="1440"/>
        <w:contextualSpacing/>
        <w:rPr>
          <w:sz w:val="26"/>
          <w:szCs w:val="26"/>
        </w:rPr>
      </w:pPr>
    </w:p>
    <w:p w:rsidR="00136177" w:rsidRPr="003A0149" w:rsidRDefault="00136177" w:rsidP="00136177">
      <w:pPr>
        <w:jc w:val="left"/>
        <w:rPr>
          <w:sz w:val="26"/>
          <w:szCs w:val="26"/>
        </w:rPr>
      </w:pPr>
      <w:r>
        <w:rPr>
          <w:sz w:val="26"/>
          <w:szCs w:val="26"/>
        </w:rPr>
        <w:tab/>
      </w:r>
      <w:r>
        <w:rPr>
          <w:sz w:val="26"/>
          <w:szCs w:val="26"/>
        </w:rPr>
        <w:tab/>
        <w:t xml:space="preserve">Based upon our review of the record evidence we agree with the ALJ’s finding that CEO did not meet its burden of proof.  Additionally, we recognize the availability of other sources of funding for low-income weatherization and </w:t>
      </w:r>
      <w:r w:rsidR="00BA35F8">
        <w:rPr>
          <w:sz w:val="26"/>
          <w:szCs w:val="26"/>
        </w:rPr>
        <w:t xml:space="preserve">we </w:t>
      </w:r>
      <w:r>
        <w:rPr>
          <w:sz w:val="26"/>
          <w:szCs w:val="26"/>
        </w:rPr>
        <w:t xml:space="preserve">do not believe it is necessary for PPL to increase its funding for WRAP at this time.  </w:t>
      </w:r>
      <w:r w:rsidR="00BA35F8">
        <w:rPr>
          <w:sz w:val="26"/>
          <w:szCs w:val="26"/>
        </w:rPr>
        <w:t xml:space="preserve">Furthermore, PPL’s HELP program is beyond our jurisdiction.  </w:t>
      </w:r>
      <w:r>
        <w:rPr>
          <w:sz w:val="26"/>
          <w:szCs w:val="26"/>
        </w:rPr>
        <w:t xml:space="preserve">Accordingly, we shall deny the </w:t>
      </w:r>
      <w:r w:rsidR="003D46AB">
        <w:rPr>
          <w:sz w:val="26"/>
          <w:szCs w:val="26"/>
        </w:rPr>
        <w:t>E</w:t>
      </w:r>
      <w:r>
        <w:rPr>
          <w:sz w:val="26"/>
          <w:szCs w:val="26"/>
        </w:rPr>
        <w:t>xceptions of CEO on this issue.</w:t>
      </w:r>
    </w:p>
    <w:p w:rsidR="00B821A6" w:rsidRDefault="00B821A6" w:rsidP="000E0862">
      <w:pPr>
        <w:pStyle w:val="Pleading2L3"/>
        <w:numPr>
          <w:ilvl w:val="0"/>
          <w:numId w:val="0"/>
        </w:numPr>
        <w:tabs>
          <w:tab w:val="num" w:pos="0"/>
          <w:tab w:val="left" w:pos="2160"/>
        </w:tabs>
        <w:spacing w:line="240" w:lineRule="auto"/>
        <w:ind w:left="2160" w:hanging="720"/>
        <w:contextualSpacing/>
        <w:rPr>
          <w:b/>
          <w:sz w:val="26"/>
          <w:szCs w:val="26"/>
        </w:rPr>
      </w:pPr>
    </w:p>
    <w:p w:rsidR="00B821A6" w:rsidRDefault="00933D0E" w:rsidP="000E0862">
      <w:pPr>
        <w:pStyle w:val="Pleading2L3"/>
        <w:numPr>
          <w:ilvl w:val="0"/>
          <w:numId w:val="0"/>
        </w:numPr>
        <w:tabs>
          <w:tab w:val="num" w:pos="0"/>
          <w:tab w:val="left" w:pos="2160"/>
        </w:tabs>
        <w:spacing w:line="240" w:lineRule="auto"/>
        <w:ind w:left="2160" w:hanging="720"/>
        <w:contextualSpacing/>
        <w:rPr>
          <w:b/>
          <w:sz w:val="26"/>
          <w:szCs w:val="26"/>
        </w:rPr>
      </w:pPr>
      <w:r>
        <w:rPr>
          <w:b/>
          <w:sz w:val="26"/>
          <w:szCs w:val="26"/>
        </w:rPr>
        <w:t>f</w:t>
      </w:r>
      <w:r w:rsidR="007C4965" w:rsidRPr="009006B1">
        <w:rPr>
          <w:b/>
          <w:sz w:val="26"/>
          <w:szCs w:val="26"/>
        </w:rPr>
        <w:t>.</w:t>
      </w:r>
      <w:r w:rsidR="007C4965" w:rsidRPr="009006B1">
        <w:rPr>
          <w:b/>
          <w:sz w:val="26"/>
          <w:szCs w:val="26"/>
        </w:rPr>
        <w:tab/>
      </w:r>
      <w:r w:rsidR="00136177">
        <w:rPr>
          <w:b/>
          <w:sz w:val="26"/>
          <w:szCs w:val="26"/>
        </w:rPr>
        <w:t xml:space="preserve">Purchase of Receivables </w:t>
      </w:r>
      <w:r w:rsidR="00B821A6">
        <w:rPr>
          <w:b/>
          <w:sz w:val="26"/>
          <w:szCs w:val="26"/>
        </w:rPr>
        <w:t>Issues</w:t>
      </w:r>
    </w:p>
    <w:p w:rsidR="007C4965" w:rsidRDefault="007C4965" w:rsidP="000E0862">
      <w:pPr>
        <w:jc w:val="both"/>
        <w:rPr>
          <w:sz w:val="26"/>
          <w:szCs w:val="26"/>
        </w:rPr>
      </w:pPr>
    </w:p>
    <w:p w:rsidR="00250F1D" w:rsidRDefault="00250F1D"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933D0E">
        <w:rPr>
          <w:b/>
          <w:sz w:val="26"/>
          <w:szCs w:val="26"/>
        </w:rPr>
        <w:t>i</w:t>
      </w:r>
      <w:r w:rsidRPr="007C4965">
        <w:rPr>
          <w:b/>
          <w:sz w:val="26"/>
          <w:szCs w:val="26"/>
        </w:rPr>
        <w:t>.</w:t>
      </w:r>
      <w:r w:rsidRPr="007C4965">
        <w:rPr>
          <w:b/>
          <w:sz w:val="26"/>
          <w:szCs w:val="26"/>
        </w:rPr>
        <w:tab/>
        <w:t>Positions of the Parties</w:t>
      </w:r>
    </w:p>
    <w:p w:rsidR="00705CE7" w:rsidRDefault="00705CE7" w:rsidP="000E0862">
      <w:pPr>
        <w:pStyle w:val="Pleading2L3"/>
        <w:numPr>
          <w:ilvl w:val="0"/>
          <w:numId w:val="0"/>
        </w:numPr>
        <w:tabs>
          <w:tab w:val="left" w:pos="2160"/>
        </w:tabs>
        <w:spacing w:line="360" w:lineRule="auto"/>
        <w:ind w:firstLine="1440"/>
        <w:contextualSpacing/>
        <w:rPr>
          <w:b/>
          <w:sz w:val="26"/>
          <w:szCs w:val="26"/>
        </w:rPr>
      </w:pPr>
    </w:p>
    <w:p w:rsidR="00705CE7" w:rsidRDefault="00705CE7" w:rsidP="00705CE7">
      <w:pPr>
        <w:pStyle w:val="Pleading2L3"/>
        <w:numPr>
          <w:ilvl w:val="0"/>
          <w:numId w:val="0"/>
        </w:numPr>
        <w:tabs>
          <w:tab w:val="num" w:pos="0"/>
        </w:tabs>
        <w:spacing w:line="360" w:lineRule="auto"/>
        <w:rPr>
          <w:sz w:val="26"/>
          <w:szCs w:val="26"/>
        </w:rPr>
      </w:pPr>
      <w:r w:rsidRPr="00CB744C">
        <w:rPr>
          <w:sz w:val="26"/>
          <w:szCs w:val="26"/>
        </w:rPr>
        <w:tab/>
      </w:r>
      <w:r w:rsidRPr="00CB744C">
        <w:rPr>
          <w:sz w:val="26"/>
          <w:szCs w:val="26"/>
        </w:rPr>
        <w:tab/>
        <w:t xml:space="preserve">PPL is proposing that the purchase of receivables (“POR”) program approved by the Commission for the period January 1, 2010 through December 31, 2010 </w:t>
      </w:r>
      <w:r w:rsidRPr="00CB744C">
        <w:rPr>
          <w:sz w:val="26"/>
          <w:szCs w:val="26"/>
        </w:rPr>
        <w:lastRenderedPageBreak/>
        <w:t xml:space="preserve">be extended to operate beyond December 31, 2010.  </w:t>
      </w:r>
      <w:r>
        <w:rPr>
          <w:sz w:val="26"/>
          <w:szCs w:val="26"/>
        </w:rPr>
        <w:t>PPL</w:t>
      </w:r>
      <w:r w:rsidRPr="00CB744C">
        <w:rPr>
          <w:sz w:val="26"/>
          <w:szCs w:val="26"/>
        </w:rPr>
        <w:t xml:space="preserve"> St. 6,</w:t>
      </w:r>
      <w:r w:rsidR="008A5125">
        <w:rPr>
          <w:sz w:val="26"/>
          <w:szCs w:val="26"/>
        </w:rPr>
        <w:t xml:space="preserve"> at</w:t>
      </w:r>
      <w:r w:rsidRPr="00CB744C">
        <w:rPr>
          <w:sz w:val="26"/>
          <w:szCs w:val="26"/>
        </w:rPr>
        <w:t xml:space="preserve"> 6-7.  </w:t>
      </w:r>
      <w:r>
        <w:rPr>
          <w:sz w:val="26"/>
          <w:szCs w:val="26"/>
        </w:rPr>
        <w:t>PPL</w:t>
      </w:r>
      <w:r w:rsidRPr="00CB744C">
        <w:rPr>
          <w:sz w:val="26"/>
          <w:szCs w:val="26"/>
        </w:rPr>
        <w:t xml:space="preserve"> </w:t>
      </w:r>
      <w:r w:rsidR="00BA35F8">
        <w:rPr>
          <w:sz w:val="26"/>
          <w:szCs w:val="26"/>
        </w:rPr>
        <w:t>submits that its current</w:t>
      </w:r>
      <w:r w:rsidRPr="00CB744C">
        <w:rPr>
          <w:sz w:val="26"/>
          <w:szCs w:val="26"/>
        </w:rPr>
        <w:t xml:space="preserve"> POR program is well understood by the EGSs and is able to meet most of their needs, as well as the needs of their customers.  </w:t>
      </w:r>
      <w:r>
        <w:rPr>
          <w:sz w:val="26"/>
          <w:szCs w:val="26"/>
        </w:rPr>
        <w:t>PPL</w:t>
      </w:r>
      <w:r w:rsidRPr="00CB744C">
        <w:rPr>
          <w:sz w:val="26"/>
          <w:szCs w:val="26"/>
        </w:rPr>
        <w:t xml:space="preserve"> St. 6, </w:t>
      </w:r>
      <w:r w:rsidR="008A5125">
        <w:rPr>
          <w:sz w:val="26"/>
          <w:szCs w:val="26"/>
        </w:rPr>
        <w:t>at</w:t>
      </w:r>
      <w:r w:rsidRPr="00CB744C">
        <w:rPr>
          <w:sz w:val="26"/>
          <w:szCs w:val="26"/>
        </w:rPr>
        <w:t xml:space="preserve"> 14; </w:t>
      </w:r>
      <w:r>
        <w:rPr>
          <w:sz w:val="26"/>
          <w:szCs w:val="26"/>
        </w:rPr>
        <w:t>PPL</w:t>
      </w:r>
      <w:r w:rsidRPr="00CB744C">
        <w:rPr>
          <w:sz w:val="26"/>
          <w:szCs w:val="26"/>
        </w:rPr>
        <w:t xml:space="preserve"> St. 6-R, </w:t>
      </w:r>
      <w:r w:rsidR="008A5125">
        <w:rPr>
          <w:sz w:val="26"/>
          <w:szCs w:val="26"/>
        </w:rPr>
        <w:t>at</w:t>
      </w:r>
      <w:r w:rsidRPr="00CB744C">
        <w:rPr>
          <w:sz w:val="26"/>
          <w:szCs w:val="26"/>
        </w:rPr>
        <w:t xml:space="preserve"> 5.  </w:t>
      </w:r>
      <w:r>
        <w:rPr>
          <w:sz w:val="26"/>
          <w:szCs w:val="26"/>
        </w:rPr>
        <w:t xml:space="preserve">PPL stresses that its current POR program was only recently placed into effect and that the Commission should consider this fact in ruling on RESA’s suggested modifications.  PPL proposes one minor change to the POR – an update to the </w:t>
      </w:r>
      <w:r w:rsidR="00EA0687">
        <w:rPr>
          <w:sz w:val="26"/>
          <w:szCs w:val="26"/>
        </w:rPr>
        <w:t>uncollectible accounts expense factor for residential customers.</w:t>
      </w:r>
      <w:r>
        <w:rPr>
          <w:sz w:val="26"/>
          <w:szCs w:val="26"/>
        </w:rPr>
        <w:t xml:space="preserve">  PPL St. No. 7 at 32-35.  </w:t>
      </w:r>
    </w:p>
    <w:p w:rsidR="00705CE7" w:rsidRDefault="00705CE7" w:rsidP="00705CE7">
      <w:pPr>
        <w:pStyle w:val="Pleading2L3"/>
        <w:numPr>
          <w:ilvl w:val="0"/>
          <w:numId w:val="0"/>
        </w:numPr>
        <w:tabs>
          <w:tab w:val="num" w:pos="0"/>
        </w:tabs>
        <w:spacing w:line="360" w:lineRule="auto"/>
        <w:rPr>
          <w:sz w:val="26"/>
          <w:szCs w:val="26"/>
        </w:rPr>
      </w:pPr>
    </w:p>
    <w:p w:rsidR="00705CE7" w:rsidRPr="00CB744C" w:rsidRDefault="00705CE7" w:rsidP="00705CE7">
      <w:pPr>
        <w:pStyle w:val="Pleading2L3"/>
        <w:numPr>
          <w:ilvl w:val="0"/>
          <w:numId w:val="0"/>
        </w:numPr>
        <w:tabs>
          <w:tab w:val="num" w:pos="0"/>
        </w:tabs>
        <w:spacing w:line="360" w:lineRule="auto"/>
        <w:rPr>
          <w:sz w:val="26"/>
          <w:szCs w:val="26"/>
        </w:rPr>
      </w:pPr>
      <w:r>
        <w:rPr>
          <w:sz w:val="26"/>
          <w:szCs w:val="26"/>
        </w:rPr>
        <w:tab/>
      </w:r>
      <w:r w:rsidR="007F0319">
        <w:rPr>
          <w:sz w:val="26"/>
          <w:szCs w:val="26"/>
        </w:rPr>
        <w:tab/>
      </w:r>
      <w:r>
        <w:rPr>
          <w:sz w:val="26"/>
          <w:szCs w:val="26"/>
        </w:rPr>
        <w:t xml:space="preserve">In stark contrast, RESA proposes a substantial re-work of PPL’s POR program structure and </w:t>
      </w:r>
      <w:r w:rsidR="00EA0687">
        <w:rPr>
          <w:sz w:val="26"/>
          <w:szCs w:val="26"/>
        </w:rPr>
        <w:t xml:space="preserve">RESA opposes </w:t>
      </w:r>
      <w:r>
        <w:rPr>
          <w:sz w:val="26"/>
          <w:szCs w:val="26"/>
        </w:rPr>
        <w:t>the increase to PPL’s generation related uncollectibles accounts expense factor for residential customers from 1.32% to 1.805% .  RESA St. No. 1-SR at</w:t>
      </w:r>
      <w:r w:rsidR="007F0319">
        <w:rPr>
          <w:sz w:val="26"/>
          <w:szCs w:val="26"/>
        </w:rPr>
        <w:t> </w:t>
      </w:r>
      <w:r>
        <w:rPr>
          <w:sz w:val="26"/>
          <w:szCs w:val="26"/>
        </w:rPr>
        <w:t xml:space="preserve">8.  RESA insists that PPL has not carried its burden to prove that the current POR program is reasonable or that the increased discount factor is justified.  In summary, RESA claims that continuation of PPL’s current POR is inconsistent with advancing the goals of electric competition.  </w:t>
      </w:r>
    </w:p>
    <w:p w:rsidR="00705CE7" w:rsidRPr="007C4965" w:rsidRDefault="00705CE7" w:rsidP="000E0862">
      <w:pPr>
        <w:pStyle w:val="Pleading2L3"/>
        <w:numPr>
          <w:ilvl w:val="0"/>
          <w:numId w:val="0"/>
        </w:numPr>
        <w:tabs>
          <w:tab w:val="left" w:pos="2160"/>
        </w:tabs>
        <w:spacing w:line="360" w:lineRule="auto"/>
        <w:ind w:firstLine="1440"/>
        <w:contextualSpacing/>
        <w:rPr>
          <w:b/>
          <w:sz w:val="26"/>
          <w:szCs w:val="26"/>
        </w:rPr>
      </w:pPr>
    </w:p>
    <w:p w:rsidR="00250F1D" w:rsidRPr="007C4965" w:rsidRDefault="00250F1D"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933D0E">
        <w:rPr>
          <w:b/>
          <w:sz w:val="26"/>
          <w:szCs w:val="26"/>
        </w:rPr>
        <w:t>ii</w:t>
      </w:r>
      <w:r w:rsidRPr="007C4965">
        <w:rPr>
          <w:b/>
          <w:sz w:val="26"/>
          <w:szCs w:val="26"/>
        </w:rPr>
        <w:t>.</w:t>
      </w:r>
      <w:r w:rsidRPr="007C4965">
        <w:rPr>
          <w:b/>
          <w:sz w:val="26"/>
          <w:szCs w:val="26"/>
        </w:rPr>
        <w:tab/>
      </w:r>
      <w:r w:rsidR="002324ED">
        <w:rPr>
          <w:b/>
          <w:sz w:val="26"/>
          <w:szCs w:val="26"/>
        </w:rPr>
        <w:t>The ALJ’s Recommendation</w:t>
      </w:r>
    </w:p>
    <w:p w:rsidR="00705CE7" w:rsidRDefault="00705CE7" w:rsidP="000E0862">
      <w:pPr>
        <w:pStyle w:val="Pleading2L3"/>
        <w:numPr>
          <w:ilvl w:val="0"/>
          <w:numId w:val="0"/>
        </w:numPr>
        <w:tabs>
          <w:tab w:val="left" w:pos="2160"/>
        </w:tabs>
        <w:spacing w:line="360" w:lineRule="auto"/>
        <w:ind w:firstLine="1440"/>
        <w:contextualSpacing/>
        <w:rPr>
          <w:b/>
          <w:sz w:val="26"/>
          <w:szCs w:val="26"/>
        </w:rPr>
      </w:pPr>
    </w:p>
    <w:p w:rsidR="007F0319" w:rsidRPr="00CB744C" w:rsidRDefault="007F0319" w:rsidP="007F0319">
      <w:pPr>
        <w:pStyle w:val="Pleading2L3"/>
        <w:numPr>
          <w:ilvl w:val="0"/>
          <w:numId w:val="0"/>
        </w:numPr>
        <w:tabs>
          <w:tab w:val="num" w:pos="0"/>
        </w:tabs>
        <w:spacing w:line="360" w:lineRule="auto"/>
        <w:rPr>
          <w:sz w:val="26"/>
          <w:szCs w:val="26"/>
        </w:rPr>
      </w:pPr>
      <w:r>
        <w:rPr>
          <w:sz w:val="26"/>
          <w:szCs w:val="26"/>
        </w:rPr>
        <w:tab/>
      </w:r>
      <w:r>
        <w:rPr>
          <w:sz w:val="26"/>
          <w:szCs w:val="26"/>
        </w:rPr>
        <w:tab/>
        <w:t xml:space="preserve">ALJ Colwell noted that the parties disagreed regarding the </w:t>
      </w:r>
      <w:r w:rsidRPr="00CB744C">
        <w:rPr>
          <w:sz w:val="26"/>
          <w:szCs w:val="26"/>
        </w:rPr>
        <w:t>Commission</w:t>
      </w:r>
      <w:r>
        <w:rPr>
          <w:sz w:val="26"/>
          <w:szCs w:val="26"/>
        </w:rPr>
        <w:t>’s</w:t>
      </w:r>
      <w:r w:rsidRPr="00CB744C">
        <w:rPr>
          <w:sz w:val="26"/>
          <w:szCs w:val="26"/>
        </w:rPr>
        <w:t xml:space="preserve"> jurisdiction in the matter of </w:t>
      </w:r>
      <w:r>
        <w:rPr>
          <w:sz w:val="26"/>
          <w:szCs w:val="26"/>
        </w:rPr>
        <w:t xml:space="preserve">POR </w:t>
      </w:r>
      <w:r w:rsidRPr="00CB744C">
        <w:rPr>
          <w:sz w:val="26"/>
          <w:szCs w:val="26"/>
        </w:rPr>
        <w:t xml:space="preserve">programs </w:t>
      </w:r>
      <w:r>
        <w:rPr>
          <w:sz w:val="26"/>
          <w:szCs w:val="26"/>
        </w:rPr>
        <w:t xml:space="preserve">with </w:t>
      </w:r>
      <w:r w:rsidRPr="00CB744C">
        <w:rPr>
          <w:sz w:val="26"/>
          <w:szCs w:val="26"/>
        </w:rPr>
        <w:t>PPL aver</w:t>
      </w:r>
      <w:r>
        <w:rPr>
          <w:sz w:val="26"/>
          <w:szCs w:val="26"/>
        </w:rPr>
        <w:t>ring</w:t>
      </w:r>
      <w:r w:rsidRPr="00CB744C">
        <w:rPr>
          <w:sz w:val="26"/>
          <w:szCs w:val="26"/>
        </w:rPr>
        <w:t xml:space="preserve"> that its POR program is voluntary and that the Commission lacks jurisdiction to require its filing.  </w:t>
      </w:r>
      <w:r>
        <w:rPr>
          <w:sz w:val="26"/>
          <w:szCs w:val="26"/>
        </w:rPr>
        <w:t xml:space="preserve">She acknowledged </w:t>
      </w:r>
      <w:r w:rsidRPr="00CB744C">
        <w:rPr>
          <w:sz w:val="26"/>
          <w:szCs w:val="26"/>
        </w:rPr>
        <w:t>PPL</w:t>
      </w:r>
      <w:r>
        <w:rPr>
          <w:sz w:val="26"/>
          <w:szCs w:val="26"/>
        </w:rPr>
        <w:t xml:space="preserve">’s </w:t>
      </w:r>
      <w:r w:rsidRPr="00CB744C">
        <w:rPr>
          <w:sz w:val="26"/>
          <w:szCs w:val="26"/>
        </w:rPr>
        <w:t>cit</w:t>
      </w:r>
      <w:r>
        <w:rPr>
          <w:sz w:val="26"/>
          <w:szCs w:val="26"/>
        </w:rPr>
        <w:t>ation to</w:t>
      </w:r>
      <w:r w:rsidRPr="00CB744C">
        <w:rPr>
          <w:sz w:val="26"/>
          <w:szCs w:val="26"/>
        </w:rPr>
        <w:t xml:space="preserve"> the Commission</w:t>
      </w:r>
      <w:r>
        <w:rPr>
          <w:sz w:val="26"/>
          <w:szCs w:val="26"/>
        </w:rPr>
        <w:t xml:space="preserve">’s own statements conceding the nature of its statutory authority </w:t>
      </w:r>
      <w:r w:rsidRPr="00CB744C">
        <w:rPr>
          <w:sz w:val="26"/>
          <w:szCs w:val="26"/>
        </w:rPr>
        <w:t>in its Order approving the current POR program:</w:t>
      </w:r>
    </w:p>
    <w:p w:rsidR="007F0319" w:rsidRPr="00CB744C" w:rsidRDefault="007F0319" w:rsidP="007F0319">
      <w:pPr>
        <w:pStyle w:val="Pleading2L3"/>
        <w:numPr>
          <w:ilvl w:val="0"/>
          <w:numId w:val="0"/>
        </w:numPr>
        <w:tabs>
          <w:tab w:val="num" w:pos="0"/>
        </w:tabs>
        <w:spacing w:line="240" w:lineRule="auto"/>
        <w:rPr>
          <w:sz w:val="26"/>
          <w:szCs w:val="26"/>
        </w:rPr>
      </w:pPr>
    </w:p>
    <w:p w:rsidR="007F0319" w:rsidRDefault="00392410" w:rsidP="007F0319">
      <w:pPr>
        <w:pStyle w:val="IndentSingle"/>
        <w:spacing w:after="0"/>
        <w:contextualSpacing/>
        <w:jc w:val="left"/>
        <w:rPr>
          <w:sz w:val="26"/>
          <w:szCs w:val="26"/>
        </w:rPr>
      </w:pPr>
      <w:r>
        <w:rPr>
          <w:sz w:val="26"/>
          <w:szCs w:val="26"/>
        </w:rPr>
        <w:tab/>
      </w:r>
      <w:r w:rsidR="007F0319" w:rsidRPr="00CB744C">
        <w:rPr>
          <w:sz w:val="26"/>
          <w:szCs w:val="26"/>
        </w:rPr>
        <w:t xml:space="preserve">Specifically, PPL contends that it voluntarily filed its POR Program with the Commission in response to the Retail Markets Order, and does not believe that the Commission has the authority to require it to purchase an EGS’ receivables.  </w:t>
      </w:r>
      <w:r w:rsidR="007F0319" w:rsidRPr="00CB744C">
        <w:rPr>
          <w:sz w:val="26"/>
          <w:szCs w:val="26"/>
          <w:u w:val="single"/>
        </w:rPr>
        <w:t>We agree</w:t>
      </w:r>
      <w:r w:rsidR="007F0319" w:rsidRPr="00CB744C">
        <w:rPr>
          <w:sz w:val="26"/>
          <w:szCs w:val="26"/>
        </w:rPr>
        <w:t xml:space="preserve">.  In </w:t>
      </w:r>
      <w:r w:rsidR="007F0319" w:rsidRPr="00CB744C">
        <w:rPr>
          <w:i/>
          <w:sz w:val="26"/>
          <w:szCs w:val="26"/>
        </w:rPr>
        <w:t>PECO Energy Co. v. Pa. PUC</w:t>
      </w:r>
      <w:r w:rsidR="007F0319" w:rsidRPr="00CB744C">
        <w:rPr>
          <w:sz w:val="26"/>
          <w:szCs w:val="26"/>
        </w:rPr>
        <w:t>, 568 Pa. 39, 791 A.2d 1155 (2002), the Supreme Court of Pennsylvania stated as follows:</w:t>
      </w:r>
    </w:p>
    <w:p w:rsidR="007F0319" w:rsidRPr="007F0319" w:rsidRDefault="007F0319" w:rsidP="007F0319">
      <w:pPr>
        <w:pStyle w:val="BodyText"/>
        <w:spacing w:line="240" w:lineRule="auto"/>
      </w:pPr>
    </w:p>
    <w:p w:rsidR="007F0319" w:rsidRPr="00CB744C" w:rsidRDefault="00392410" w:rsidP="007F0319">
      <w:pPr>
        <w:pStyle w:val="IndentDouble"/>
        <w:spacing w:after="0"/>
        <w:ind w:left="1440" w:right="1440"/>
        <w:contextualSpacing/>
        <w:rPr>
          <w:sz w:val="26"/>
          <w:szCs w:val="26"/>
        </w:rPr>
      </w:pPr>
      <w:r>
        <w:rPr>
          <w:sz w:val="26"/>
          <w:szCs w:val="26"/>
        </w:rPr>
        <w:tab/>
      </w:r>
      <w:r w:rsidR="007F0319" w:rsidRPr="00CB744C">
        <w:rPr>
          <w:sz w:val="26"/>
          <w:szCs w:val="26"/>
        </w:rPr>
        <w:t>The power of the Commission is statutory, arising either from words contained in the enabling statutes or by a strong and necessary implication from those words, and the legislative grant of power in any particular case must be clear.</w:t>
      </w:r>
    </w:p>
    <w:p w:rsidR="007F0319" w:rsidRDefault="007F0319" w:rsidP="007F0319">
      <w:pPr>
        <w:pStyle w:val="IndentSingle"/>
        <w:spacing w:after="0"/>
        <w:contextualSpacing/>
        <w:jc w:val="left"/>
        <w:rPr>
          <w:sz w:val="26"/>
          <w:szCs w:val="26"/>
        </w:rPr>
      </w:pPr>
      <w:r w:rsidRPr="00CB744C">
        <w:rPr>
          <w:sz w:val="26"/>
          <w:szCs w:val="26"/>
        </w:rPr>
        <w:t>No provision of the Code either expressly or by “strong and necessary implication” provides the Commission with the authority to require EDCs to purchase accounts receivable from EGSs.</w:t>
      </w:r>
    </w:p>
    <w:p w:rsidR="007F0319" w:rsidRPr="007F0319" w:rsidRDefault="007F0319" w:rsidP="007F0319">
      <w:pPr>
        <w:pStyle w:val="BodyText"/>
        <w:spacing w:line="240" w:lineRule="auto"/>
      </w:pPr>
    </w:p>
    <w:p w:rsidR="007F0319" w:rsidRPr="00CB744C" w:rsidRDefault="007F0319" w:rsidP="007F0319">
      <w:pPr>
        <w:pStyle w:val="BodyText2"/>
        <w:spacing w:after="0" w:line="240" w:lineRule="auto"/>
        <w:ind w:left="1440" w:right="1440"/>
        <w:contextualSpacing/>
        <w:rPr>
          <w:sz w:val="26"/>
          <w:szCs w:val="26"/>
        </w:rPr>
      </w:pPr>
      <w:r>
        <w:rPr>
          <w:i/>
          <w:sz w:val="26"/>
          <w:szCs w:val="26"/>
        </w:rPr>
        <w:t>PPL</w:t>
      </w:r>
      <w:r w:rsidRPr="00CB744C">
        <w:rPr>
          <w:i/>
          <w:sz w:val="26"/>
          <w:szCs w:val="26"/>
        </w:rPr>
        <w:t xml:space="preserve"> POR Petition, </w:t>
      </w:r>
      <w:r w:rsidRPr="00CB744C">
        <w:rPr>
          <w:sz w:val="26"/>
          <w:szCs w:val="26"/>
        </w:rPr>
        <w:t xml:space="preserve">at *12 (emphasis added).  </w:t>
      </w:r>
      <w:r w:rsidRPr="00CB744C">
        <w:rPr>
          <w:i/>
          <w:sz w:val="26"/>
          <w:szCs w:val="26"/>
        </w:rPr>
        <w:t xml:space="preserve">See also </w:t>
      </w:r>
      <w:r w:rsidRPr="00CB744C">
        <w:rPr>
          <w:sz w:val="26"/>
          <w:szCs w:val="26"/>
        </w:rPr>
        <w:t>OTS Main Brief at 12-13.</w:t>
      </w:r>
    </w:p>
    <w:p w:rsidR="007F0319" w:rsidRPr="00CB744C" w:rsidRDefault="007F0319" w:rsidP="007F0319">
      <w:pPr>
        <w:pStyle w:val="BodyText2"/>
        <w:spacing w:after="0" w:line="360" w:lineRule="auto"/>
        <w:ind w:left="1440" w:right="1440"/>
        <w:contextualSpacing/>
        <w:rPr>
          <w:sz w:val="26"/>
          <w:szCs w:val="26"/>
        </w:rPr>
      </w:pPr>
    </w:p>
    <w:p w:rsidR="007F0319" w:rsidRPr="00CB744C" w:rsidRDefault="007F0319" w:rsidP="007F0319">
      <w:pPr>
        <w:pStyle w:val="Pleading2L3"/>
        <w:numPr>
          <w:ilvl w:val="0"/>
          <w:numId w:val="0"/>
        </w:numPr>
        <w:tabs>
          <w:tab w:val="num" w:pos="0"/>
        </w:tabs>
        <w:spacing w:line="360" w:lineRule="auto"/>
        <w:rPr>
          <w:sz w:val="26"/>
          <w:szCs w:val="26"/>
        </w:rPr>
      </w:pPr>
      <w:r w:rsidRPr="00CB744C">
        <w:rPr>
          <w:sz w:val="26"/>
          <w:szCs w:val="26"/>
        </w:rPr>
        <w:tab/>
      </w:r>
      <w:r w:rsidRPr="00CB744C">
        <w:rPr>
          <w:sz w:val="26"/>
          <w:szCs w:val="26"/>
        </w:rPr>
        <w:tab/>
        <w:t xml:space="preserve">The </w:t>
      </w:r>
      <w:r w:rsidR="00F16FD5">
        <w:rPr>
          <w:sz w:val="26"/>
          <w:szCs w:val="26"/>
        </w:rPr>
        <w:t xml:space="preserve">ALJ noted that in its POR Orders regarding </w:t>
      </w:r>
      <w:r w:rsidRPr="00CB744C">
        <w:rPr>
          <w:sz w:val="26"/>
          <w:szCs w:val="26"/>
        </w:rPr>
        <w:t>the gas industry</w:t>
      </w:r>
      <w:r w:rsidR="005C17B4">
        <w:rPr>
          <w:sz w:val="26"/>
          <w:szCs w:val="26"/>
        </w:rPr>
        <w:t xml:space="preserve">, the Commission recognized </w:t>
      </w:r>
      <w:r w:rsidRPr="00CB744C">
        <w:rPr>
          <w:sz w:val="26"/>
          <w:szCs w:val="26"/>
        </w:rPr>
        <w:t xml:space="preserve">POR programs as voluntary and nowhere did the Commission </w:t>
      </w:r>
      <w:r w:rsidRPr="00CB744C">
        <w:rPr>
          <w:i/>
          <w:sz w:val="26"/>
          <w:szCs w:val="26"/>
        </w:rPr>
        <w:t>order</w:t>
      </w:r>
      <w:r w:rsidRPr="00CB744C">
        <w:rPr>
          <w:sz w:val="26"/>
          <w:szCs w:val="26"/>
        </w:rPr>
        <w:t xml:space="preserve"> the gas utilities to establish and file the programs.</w:t>
      </w:r>
    </w:p>
    <w:p w:rsidR="007F0319" w:rsidRPr="00CB744C" w:rsidRDefault="007F0319" w:rsidP="007F0319">
      <w:pPr>
        <w:pStyle w:val="Pleading2L3"/>
        <w:numPr>
          <w:ilvl w:val="0"/>
          <w:numId w:val="0"/>
        </w:numPr>
        <w:tabs>
          <w:tab w:val="num" w:pos="0"/>
        </w:tabs>
        <w:spacing w:line="360" w:lineRule="auto"/>
        <w:rPr>
          <w:sz w:val="26"/>
          <w:szCs w:val="26"/>
        </w:rPr>
      </w:pPr>
    </w:p>
    <w:p w:rsidR="007F0319" w:rsidRPr="00CB744C" w:rsidRDefault="007F0319" w:rsidP="007F0319">
      <w:pPr>
        <w:pStyle w:val="Pleading2L3"/>
        <w:numPr>
          <w:ilvl w:val="0"/>
          <w:numId w:val="0"/>
        </w:numPr>
        <w:tabs>
          <w:tab w:val="num" w:pos="0"/>
        </w:tabs>
        <w:spacing w:line="360" w:lineRule="auto"/>
        <w:rPr>
          <w:sz w:val="26"/>
          <w:szCs w:val="26"/>
        </w:rPr>
      </w:pPr>
      <w:r w:rsidRPr="00CB744C">
        <w:rPr>
          <w:sz w:val="26"/>
          <w:szCs w:val="26"/>
        </w:rPr>
        <w:tab/>
      </w:r>
      <w:r w:rsidRPr="00CB744C">
        <w:rPr>
          <w:sz w:val="26"/>
          <w:szCs w:val="26"/>
        </w:rPr>
        <w:tab/>
        <w:t xml:space="preserve">This language was applied to the electric industry in </w:t>
      </w:r>
      <w:r>
        <w:rPr>
          <w:i/>
          <w:sz w:val="26"/>
          <w:szCs w:val="26"/>
        </w:rPr>
        <w:t>PPL</w:t>
      </w:r>
      <w:r w:rsidRPr="00CB744C">
        <w:rPr>
          <w:i/>
          <w:sz w:val="26"/>
          <w:szCs w:val="26"/>
        </w:rPr>
        <w:t xml:space="preserve"> Utilities Corporation Retail Markets, </w:t>
      </w:r>
      <w:r w:rsidRPr="00CB744C">
        <w:rPr>
          <w:sz w:val="26"/>
          <w:szCs w:val="26"/>
        </w:rPr>
        <w:t>Docket No. M-2009-2104271 (Order entered August 11, 2009):</w:t>
      </w:r>
    </w:p>
    <w:p w:rsidR="007F0319" w:rsidRPr="00CB744C" w:rsidRDefault="007F0319" w:rsidP="007F0319">
      <w:pPr>
        <w:pStyle w:val="Pleading2L3"/>
        <w:numPr>
          <w:ilvl w:val="0"/>
          <w:numId w:val="0"/>
        </w:numPr>
        <w:tabs>
          <w:tab w:val="num" w:pos="0"/>
        </w:tabs>
        <w:spacing w:line="360" w:lineRule="auto"/>
        <w:rPr>
          <w:sz w:val="26"/>
          <w:szCs w:val="26"/>
        </w:rPr>
      </w:pPr>
    </w:p>
    <w:p w:rsidR="007F0319" w:rsidRDefault="007F0319" w:rsidP="007F0319">
      <w:pPr>
        <w:pStyle w:val="Pleading2L3"/>
        <w:numPr>
          <w:ilvl w:val="0"/>
          <w:numId w:val="0"/>
        </w:numPr>
        <w:tabs>
          <w:tab w:val="num" w:pos="0"/>
        </w:tabs>
        <w:spacing w:line="240" w:lineRule="auto"/>
        <w:ind w:left="1440" w:right="1440"/>
        <w:jc w:val="both"/>
        <w:rPr>
          <w:b/>
          <w:sz w:val="26"/>
          <w:szCs w:val="26"/>
        </w:rPr>
      </w:pPr>
      <w:r w:rsidRPr="00CB744C">
        <w:rPr>
          <w:b/>
          <w:sz w:val="26"/>
          <w:szCs w:val="26"/>
        </w:rPr>
        <w:t>Resolution (of POR issue)</w:t>
      </w:r>
    </w:p>
    <w:p w:rsidR="0002073B" w:rsidRPr="00CB744C" w:rsidRDefault="0002073B" w:rsidP="007F0319">
      <w:pPr>
        <w:pStyle w:val="Pleading2L3"/>
        <w:numPr>
          <w:ilvl w:val="0"/>
          <w:numId w:val="0"/>
        </w:numPr>
        <w:tabs>
          <w:tab w:val="num" w:pos="0"/>
        </w:tabs>
        <w:spacing w:line="240" w:lineRule="auto"/>
        <w:ind w:left="1440" w:right="1440"/>
        <w:jc w:val="both"/>
        <w:rPr>
          <w:b/>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sz w:val="26"/>
          <w:szCs w:val="26"/>
        </w:rPr>
        <w:tab/>
        <w:t>The Public Utility Code gives us the requisite authority regarding POR plans under our general authority (</w:t>
      </w:r>
      <w:r w:rsidRPr="00CB744C">
        <w:rPr>
          <w:i/>
          <w:sz w:val="26"/>
          <w:szCs w:val="26"/>
        </w:rPr>
        <w:t>see</w:t>
      </w:r>
      <w:r w:rsidRPr="00CB744C">
        <w:rPr>
          <w:sz w:val="26"/>
          <w:szCs w:val="26"/>
        </w:rPr>
        <w:t xml:space="preserve">, Title 66 Pa. C.S., Chapters 5 and 13) as well as the Competition Act to regulate the terms and conditions of these plans.  In particular, based on several years’ experience during the transition period, it is the Commission’s judgment that a viable POR program is an essential element to the creation of a competitive market for generation in Pennsylvania, as envisioned by the Competition Act.  66 Pa. C.S.§ 3802(2).  Moreover, we are convinced that establishment of a properly structured POR program </w:t>
      </w:r>
      <w:r w:rsidRPr="00CB744C">
        <w:rPr>
          <w:i/>
          <w:sz w:val="26"/>
          <w:szCs w:val="26"/>
        </w:rPr>
        <w:t xml:space="preserve">by the end of the transition </w:t>
      </w:r>
      <w:r w:rsidRPr="00CB744C">
        <w:rPr>
          <w:sz w:val="26"/>
          <w:szCs w:val="26"/>
        </w:rPr>
        <w:t xml:space="preserve">period is necessary to faithfully carry out the provisions of Chapter 28.  66 Pa. C.S. § 510(a).  And that absent a viable POR program in place to coincide with the expiration of rate caps and substantial increase in default service rates, consumers in </w:t>
      </w:r>
      <w:r w:rsidRPr="00CB744C">
        <w:rPr>
          <w:sz w:val="26"/>
          <w:szCs w:val="26"/>
        </w:rPr>
        <w:lastRenderedPageBreak/>
        <w:t>PPL’s service territory will not likely have the competitive market and customer choice that the legislation intended when the rate caps expire on December 31, 2009.</w:t>
      </w:r>
    </w:p>
    <w:p w:rsidR="007F0319" w:rsidRPr="00CB744C" w:rsidRDefault="007F0319" w:rsidP="007F0319">
      <w:pPr>
        <w:pStyle w:val="Pleading2L3"/>
        <w:numPr>
          <w:ilvl w:val="0"/>
          <w:numId w:val="0"/>
        </w:numPr>
        <w:tabs>
          <w:tab w:val="num" w:pos="0"/>
        </w:tabs>
        <w:spacing w:line="240" w:lineRule="auto"/>
        <w:ind w:left="1440" w:right="1440"/>
        <w:jc w:val="both"/>
        <w:rPr>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sz w:val="26"/>
          <w:szCs w:val="26"/>
        </w:rPr>
        <w:tab/>
        <w:t>In addition, so long as PPL’s rates remain bundled, the EGS is placed at a disadvantage vis-à-vis the EDC so long as the EDC does not, or cannot, terminate service to a non-paying EGS customer on the same basis as it terminates service to its own non-paying default service customer.  The Competition Act requires that we:</w:t>
      </w:r>
    </w:p>
    <w:p w:rsidR="007F0319" w:rsidRDefault="007F0319" w:rsidP="007F0319">
      <w:pPr>
        <w:pStyle w:val="Pleading2L3"/>
        <w:numPr>
          <w:ilvl w:val="0"/>
          <w:numId w:val="0"/>
        </w:numPr>
        <w:tabs>
          <w:tab w:val="num" w:pos="0"/>
        </w:tabs>
        <w:spacing w:line="240" w:lineRule="auto"/>
        <w:ind w:left="2160" w:right="1440"/>
        <w:jc w:val="both"/>
        <w:rPr>
          <w:sz w:val="26"/>
          <w:szCs w:val="26"/>
        </w:rPr>
      </w:pPr>
    </w:p>
    <w:p w:rsidR="007F0319" w:rsidRPr="00CB744C" w:rsidRDefault="007F0319" w:rsidP="0002073B">
      <w:pPr>
        <w:pStyle w:val="Pleading2L3"/>
        <w:numPr>
          <w:ilvl w:val="0"/>
          <w:numId w:val="0"/>
        </w:numPr>
        <w:tabs>
          <w:tab w:val="num" w:pos="0"/>
        </w:tabs>
        <w:spacing w:line="240" w:lineRule="auto"/>
        <w:ind w:left="2160" w:right="1440"/>
        <w:rPr>
          <w:sz w:val="26"/>
          <w:szCs w:val="26"/>
        </w:rPr>
      </w:pPr>
      <w:r w:rsidRPr="00CB744C">
        <w:rPr>
          <w:sz w:val="26"/>
          <w:szCs w:val="26"/>
        </w:rPr>
        <w:t>shall require that a public utility that owns or operates jurisdictional transmission and distribution facilities shall provide transmission and distribution service to all retail electric customers in their service territory and to electric cooperative corporations and electric generation suppliers, affiliated or nonaffiliated, on rates, terms of access and conditions that are comparable to the utility’s own use of its system.</w:t>
      </w:r>
    </w:p>
    <w:p w:rsidR="007F0319" w:rsidRPr="00CB744C" w:rsidRDefault="007F0319" w:rsidP="007F0319">
      <w:pPr>
        <w:pStyle w:val="Pleading2L3"/>
        <w:numPr>
          <w:ilvl w:val="0"/>
          <w:numId w:val="0"/>
        </w:numPr>
        <w:tabs>
          <w:tab w:val="num" w:pos="0"/>
        </w:tabs>
        <w:spacing w:line="240" w:lineRule="auto"/>
        <w:ind w:left="1440" w:right="1440"/>
        <w:jc w:val="both"/>
        <w:rPr>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sz w:val="26"/>
          <w:szCs w:val="26"/>
        </w:rPr>
        <w:t>66 Pa C.S. § 3804(6).  Thus, we have the authority and, moreover, the obligation to correct disparities, eliminate cross-subsidies and other anomalies in this, or any other program, operated by an electric utility.  In the Commission’s judgment, a POR program is an essential tool to reduce barriers to entry by EGS firms and to create the fully functional retail market for generation envisioned by the General Assembly in Chapter 28.</w:t>
      </w:r>
    </w:p>
    <w:p w:rsidR="007F0319" w:rsidRDefault="007F0319" w:rsidP="007F0319">
      <w:pPr>
        <w:pStyle w:val="Pleading2L3"/>
        <w:numPr>
          <w:ilvl w:val="0"/>
          <w:numId w:val="0"/>
        </w:numPr>
        <w:tabs>
          <w:tab w:val="num" w:pos="0"/>
        </w:tabs>
        <w:spacing w:line="240" w:lineRule="auto"/>
        <w:ind w:left="1440" w:right="1440"/>
        <w:jc w:val="both"/>
        <w:rPr>
          <w:sz w:val="26"/>
          <w:szCs w:val="26"/>
        </w:rPr>
      </w:pPr>
    </w:p>
    <w:p w:rsidR="005C17B4" w:rsidRDefault="005C17B4" w:rsidP="005C17B4">
      <w:pPr>
        <w:pStyle w:val="Pleading2L3"/>
        <w:numPr>
          <w:ilvl w:val="0"/>
          <w:numId w:val="0"/>
        </w:numPr>
        <w:tabs>
          <w:tab w:val="num" w:pos="0"/>
        </w:tabs>
        <w:spacing w:line="240" w:lineRule="auto"/>
        <w:ind w:left="1440" w:right="1440"/>
        <w:jc w:val="center"/>
        <w:rPr>
          <w:sz w:val="26"/>
          <w:szCs w:val="26"/>
        </w:rPr>
      </w:pPr>
      <w:r>
        <w:rPr>
          <w:sz w:val="26"/>
          <w:szCs w:val="26"/>
        </w:rPr>
        <w:t>* * *</w:t>
      </w:r>
    </w:p>
    <w:p w:rsidR="005C17B4" w:rsidRPr="00CB744C" w:rsidRDefault="005C17B4" w:rsidP="007F0319">
      <w:pPr>
        <w:pStyle w:val="Pleading2L3"/>
        <w:numPr>
          <w:ilvl w:val="0"/>
          <w:numId w:val="0"/>
        </w:numPr>
        <w:tabs>
          <w:tab w:val="num" w:pos="0"/>
        </w:tabs>
        <w:spacing w:line="240" w:lineRule="auto"/>
        <w:ind w:left="1440" w:right="1440"/>
        <w:jc w:val="both"/>
        <w:rPr>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sz w:val="26"/>
          <w:szCs w:val="26"/>
        </w:rPr>
        <w:t xml:space="preserve">We see no difference in the administration of a POR plan for natural gas with that of one for electricity.  While the energy products are different, the process of payment and collection of bills is materially the same.  There is no reason why our determination regarding the Electric Competition Act should not be consistent with our determination with respect to the Natural Gas Competition Act in this regard. </w:t>
      </w:r>
    </w:p>
    <w:p w:rsidR="007F0319" w:rsidRPr="00CB744C" w:rsidRDefault="007F0319" w:rsidP="007F0319">
      <w:pPr>
        <w:pStyle w:val="Pleading2L3"/>
        <w:numPr>
          <w:ilvl w:val="0"/>
          <w:numId w:val="0"/>
        </w:numPr>
        <w:tabs>
          <w:tab w:val="num" w:pos="0"/>
        </w:tabs>
        <w:spacing w:line="240" w:lineRule="auto"/>
        <w:ind w:left="1440" w:right="1440"/>
        <w:jc w:val="both"/>
        <w:rPr>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sz w:val="26"/>
          <w:szCs w:val="26"/>
        </w:rPr>
        <w:tab/>
        <w:t xml:space="preserve">PPL is already operating a POR program.  We are not directing it to undertake something completely new.  Here we are only calling for modifications which, we believe, will eliminate unfair subsidies and improve the climate for </w:t>
      </w:r>
      <w:r w:rsidRPr="00CB744C">
        <w:rPr>
          <w:sz w:val="26"/>
          <w:szCs w:val="26"/>
        </w:rPr>
        <w:lastRenderedPageBreak/>
        <w:t xml:space="preserve">competition.  Our modifications will remain in place until it is supplanted by the program created through the DSP settlement is implemented.  We anticipate that the program to be subsequently negotiated and filed will adhere to the principles set forth herein and in the Tentative Order.  </w:t>
      </w:r>
      <w:r w:rsidRPr="00CB744C">
        <w:rPr>
          <w:b/>
          <w:sz w:val="26"/>
          <w:szCs w:val="26"/>
        </w:rPr>
        <w:t xml:space="preserve">Just as default customers should not subsidize those customers who shop, shopping customers should not be required to subsidize the electric service of default customers who remain with the Company. </w:t>
      </w:r>
      <w:r w:rsidR="005C17B4">
        <w:rPr>
          <w:b/>
          <w:sz w:val="26"/>
          <w:szCs w:val="26"/>
        </w:rPr>
        <w:t xml:space="preserve"> </w:t>
      </w:r>
      <w:r w:rsidRPr="00CB744C">
        <w:rPr>
          <w:b/>
          <w:sz w:val="26"/>
          <w:szCs w:val="26"/>
        </w:rPr>
        <w:t>(</w:t>
      </w:r>
      <w:r w:rsidRPr="00CB744C">
        <w:rPr>
          <w:sz w:val="26"/>
          <w:szCs w:val="26"/>
        </w:rPr>
        <w:t>emphasis added)</w:t>
      </w:r>
    </w:p>
    <w:p w:rsidR="007F0319" w:rsidRPr="00CB744C" w:rsidRDefault="007F0319" w:rsidP="007F0319">
      <w:pPr>
        <w:pStyle w:val="Pleading2L3"/>
        <w:numPr>
          <w:ilvl w:val="0"/>
          <w:numId w:val="0"/>
        </w:numPr>
        <w:tabs>
          <w:tab w:val="num" w:pos="0"/>
        </w:tabs>
        <w:spacing w:line="240" w:lineRule="auto"/>
        <w:ind w:left="1440" w:right="1440"/>
        <w:jc w:val="both"/>
        <w:rPr>
          <w:b/>
          <w:sz w:val="26"/>
          <w:szCs w:val="26"/>
        </w:rPr>
      </w:pPr>
    </w:p>
    <w:p w:rsidR="007F0319" w:rsidRPr="00CB744C" w:rsidRDefault="007F0319" w:rsidP="0002073B">
      <w:pPr>
        <w:pStyle w:val="Pleading2L3"/>
        <w:numPr>
          <w:ilvl w:val="0"/>
          <w:numId w:val="0"/>
        </w:numPr>
        <w:tabs>
          <w:tab w:val="num" w:pos="0"/>
        </w:tabs>
        <w:spacing w:line="240" w:lineRule="auto"/>
        <w:ind w:left="1440" w:right="1440"/>
        <w:rPr>
          <w:sz w:val="26"/>
          <w:szCs w:val="26"/>
        </w:rPr>
      </w:pPr>
      <w:r w:rsidRPr="00CB744C">
        <w:rPr>
          <w:b/>
          <w:sz w:val="26"/>
          <w:szCs w:val="26"/>
        </w:rPr>
        <w:tab/>
        <w:t>. . .</w:t>
      </w:r>
      <w:r w:rsidRPr="00CB744C">
        <w:rPr>
          <w:sz w:val="26"/>
          <w:szCs w:val="26"/>
        </w:rPr>
        <w:t xml:space="preserve"> . Under the current POR plan, shopping customers must bear the risk of non-payment through the rates charged by their EGS </w:t>
      </w:r>
      <w:r w:rsidRPr="00CB744C">
        <w:rPr>
          <w:b/>
          <w:sz w:val="26"/>
          <w:szCs w:val="26"/>
        </w:rPr>
        <w:t xml:space="preserve">and </w:t>
      </w:r>
      <w:r w:rsidRPr="00CB744C">
        <w:rPr>
          <w:sz w:val="26"/>
          <w:szCs w:val="26"/>
        </w:rPr>
        <w:t xml:space="preserve">the risk of non-payment by DSP customers through PPL’s base distribution rates.  </w:t>
      </w:r>
      <w:r w:rsidRPr="00CB744C">
        <w:rPr>
          <w:sz w:val="26"/>
          <w:szCs w:val="26"/>
          <w:u w:val="single"/>
        </w:rPr>
        <w:t>We would prefer to see this disparity eliminated through a base rate proceeding, but understand that the filing of such an application is voluntary</w:t>
      </w:r>
      <w:r w:rsidRPr="00CB744C">
        <w:rPr>
          <w:sz w:val="26"/>
          <w:szCs w:val="26"/>
        </w:rPr>
        <w:t xml:space="preserve">.  Should PPL choose not to make such a filing, it should eliminate cross subsidies via its POR program regardless of which direction they flow.  Thus, any discount in the purchase of receives (sic) should, as much as possible, reflect only the Company’s actual expenses.  This should not be a mechanism for the company to make money.  Therefore, the request for clarification of RESA is granted and the discount rate reflect only actual incremental costs incurred by PPL. </w:t>
      </w:r>
      <w:r>
        <w:rPr>
          <w:i/>
          <w:sz w:val="26"/>
          <w:szCs w:val="26"/>
        </w:rPr>
        <w:t>PPL</w:t>
      </w:r>
      <w:r w:rsidRPr="00CB744C">
        <w:rPr>
          <w:i/>
          <w:sz w:val="26"/>
          <w:szCs w:val="26"/>
        </w:rPr>
        <w:t xml:space="preserve"> Utilities Corporation Retail Markets, </w:t>
      </w:r>
      <w:r w:rsidRPr="00CB744C">
        <w:rPr>
          <w:sz w:val="26"/>
          <w:szCs w:val="26"/>
        </w:rPr>
        <w:t>Docket No. M-2009-2104271 (Order entered August 11, 2009) at 27-29. (emphasis added).</w:t>
      </w:r>
    </w:p>
    <w:p w:rsidR="007F0319" w:rsidRPr="00CB744C" w:rsidRDefault="007F0319" w:rsidP="007F0319">
      <w:pPr>
        <w:pStyle w:val="Pleading2L3"/>
        <w:numPr>
          <w:ilvl w:val="0"/>
          <w:numId w:val="0"/>
        </w:numPr>
        <w:tabs>
          <w:tab w:val="num" w:pos="0"/>
        </w:tabs>
        <w:spacing w:line="360" w:lineRule="auto"/>
        <w:ind w:left="1440" w:right="1440"/>
        <w:rPr>
          <w:sz w:val="26"/>
          <w:szCs w:val="26"/>
        </w:rPr>
      </w:pPr>
    </w:p>
    <w:p w:rsidR="007F0319" w:rsidRPr="00CB744C" w:rsidRDefault="007F0319" w:rsidP="007F0319">
      <w:pPr>
        <w:pStyle w:val="Pleading2L3"/>
        <w:numPr>
          <w:ilvl w:val="0"/>
          <w:numId w:val="0"/>
        </w:numPr>
        <w:tabs>
          <w:tab w:val="num" w:pos="0"/>
        </w:tabs>
        <w:spacing w:line="360" w:lineRule="auto"/>
        <w:rPr>
          <w:sz w:val="26"/>
          <w:szCs w:val="26"/>
        </w:rPr>
      </w:pPr>
      <w:r w:rsidRPr="00CB744C">
        <w:rPr>
          <w:sz w:val="26"/>
          <w:szCs w:val="26"/>
        </w:rPr>
        <w:tab/>
      </w:r>
      <w:r w:rsidRPr="00CB744C">
        <w:rPr>
          <w:sz w:val="26"/>
          <w:szCs w:val="26"/>
        </w:rPr>
        <w:tab/>
      </w:r>
      <w:r>
        <w:rPr>
          <w:sz w:val="26"/>
          <w:szCs w:val="26"/>
        </w:rPr>
        <w:t>The ALJ observed that, f</w:t>
      </w:r>
      <w:r w:rsidRPr="00CB744C">
        <w:rPr>
          <w:sz w:val="26"/>
          <w:szCs w:val="26"/>
        </w:rPr>
        <w:t>rom this language we learn two things:  (1)</w:t>
      </w:r>
      <w:r w:rsidR="00A74173">
        <w:rPr>
          <w:sz w:val="26"/>
          <w:szCs w:val="26"/>
        </w:rPr>
        <w:t> </w:t>
      </w:r>
      <w:r w:rsidRPr="00CB744C">
        <w:rPr>
          <w:sz w:val="26"/>
          <w:szCs w:val="26"/>
        </w:rPr>
        <w:t>the Commission understands that the implementation of a POR program is voluntary but that the terms of that program can be approved or disapproved by the Commission; and (2)</w:t>
      </w:r>
      <w:r w:rsidR="00A74173">
        <w:rPr>
          <w:sz w:val="26"/>
          <w:szCs w:val="26"/>
        </w:rPr>
        <w:t> </w:t>
      </w:r>
      <w:r w:rsidRPr="00CB744C">
        <w:rPr>
          <w:sz w:val="26"/>
          <w:szCs w:val="26"/>
        </w:rPr>
        <w:t>default customers should not subsidize those customers who shop, and shopping customers should not be required to subsidize the electric service of default customers who remain with the Company</w:t>
      </w:r>
      <w:r w:rsidR="00A74173">
        <w:rPr>
          <w:sz w:val="26"/>
          <w:szCs w:val="26"/>
        </w:rPr>
        <w:t>.</w:t>
      </w:r>
    </w:p>
    <w:p w:rsidR="007F0319" w:rsidRPr="00CB744C" w:rsidRDefault="007F0319" w:rsidP="007F0319">
      <w:pPr>
        <w:pStyle w:val="Pleading2L3"/>
        <w:numPr>
          <w:ilvl w:val="0"/>
          <w:numId w:val="0"/>
        </w:numPr>
        <w:tabs>
          <w:tab w:val="num" w:pos="0"/>
        </w:tabs>
        <w:spacing w:line="360" w:lineRule="auto"/>
        <w:rPr>
          <w:sz w:val="26"/>
          <w:szCs w:val="26"/>
        </w:rPr>
      </w:pPr>
    </w:p>
    <w:p w:rsidR="007F0319" w:rsidRDefault="007F0319" w:rsidP="007F0319">
      <w:pPr>
        <w:pStyle w:val="Pleading2L3"/>
        <w:numPr>
          <w:ilvl w:val="0"/>
          <w:numId w:val="0"/>
        </w:numPr>
        <w:tabs>
          <w:tab w:val="num" w:pos="0"/>
        </w:tabs>
        <w:spacing w:line="360" w:lineRule="auto"/>
        <w:rPr>
          <w:sz w:val="26"/>
          <w:szCs w:val="26"/>
        </w:rPr>
      </w:pPr>
      <w:r w:rsidRPr="00CB744C">
        <w:rPr>
          <w:sz w:val="26"/>
          <w:szCs w:val="26"/>
        </w:rPr>
        <w:tab/>
      </w:r>
      <w:r w:rsidRPr="00CB744C">
        <w:rPr>
          <w:sz w:val="26"/>
          <w:szCs w:val="26"/>
        </w:rPr>
        <w:tab/>
      </w:r>
      <w:r>
        <w:rPr>
          <w:sz w:val="26"/>
          <w:szCs w:val="26"/>
        </w:rPr>
        <w:t>ALJ also noted that, o</w:t>
      </w:r>
      <w:r w:rsidRPr="00CB744C">
        <w:rPr>
          <w:sz w:val="26"/>
          <w:szCs w:val="26"/>
        </w:rPr>
        <w:t>n August 10, 2010, the Commission entered its Advance Notice of Final Rulemaking Order in</w:t>
      </w:r>
      <w:r w:rsidRPr="00CB744C">
        <w:rPr>
          <w:i/>
          <w:sz w:val="26"/>
          <w:szCs w:val="26"/>
        </w:rPr>
        <w:t xml:space="preserve"> Natural Gas Distribution Companies and Promotion of Competitive Retail Markets </w:t>
      </w:r>
      <w:r w:rsidRPr="00CB744C">
        <w:rPr>
          <w:sz w:val="26"/>
          <w:szCs w:val="26"/>
        </w:rPr>
        <w:t>proceeding</w:t>
      </w:r>
      <w:r>
        <w:rPr>
          <w:sz w:val="26"/>
          <w:szCs w:val="26"/>
        </w:rPr>
        <w:t xml:space="preserve"> (</w:t>
      </w:r>
      <w:r w:rsidRPr="0070764A">
        <w:rPr>
          <w:i/>
          <w:sz w:val="26"/>
          <w:szCs w:val="26"/>
        </w:rPr>
        <w:t>Gas Choice Order</w:t>
      </w:r>
      <w:r>
        <w:rPr>
          <w:sz w:val="26"/>
          <w:szCs w:val="26"/>
        </w:rPr>
        <w:t>)</w:t>
      </w:r>
      <w:r w:rsidRPr="00CB744C">
        <w:rPr>
          <w:sz w:val="26"/>
          <w:szCs w:val="26"/>
        </w:rPr>
        <w:t>, D</w:t>
      </w:r>
      <w:r>
        <w:rPr>
          <w:sz w:val="26"/>
          <w:szCs w:val="26"/>
        </w:rPr>
        <w:t xml:space="preserve">ocket No. </w:t>
      </w:r>
      <w:r>
        <w:rPr>
          <w:sz w:val="26"/>
          <w:szCs w:val="26"/>
        </w:rPr>
        <w:lastRenderedPageBreak/>
        <w:t>L</w:t>
      </w:r>
      <w:r w:rsidR="00A74173">
        <w:rPr>
          <w:sz w:val="26"/>
          <w:szCs w:val="26"/>
        </w:rPr>
        <w:noBreakHyphen/>
      </w:r>
      <w:r>
        <w:rPr>
          <w:sz w:val="26"/>
          <w:szCs w:val="26"/>
        </w:rPr>
        <w:t xml:space="preserve">2008-2069114, which, when final, will </w:t>
      </w:r>
      <w:r w:rsidRPr="00CB744C">
        <w:rPr>
          <w:sz w:val="26"/>
          <w:szCs w:val="26"/>
        </w:rPr>
        <w:t xml:space="preserve">resolve a number of issues in the gas industry, including preferred terms of POR programs.  </w:t>
      </w:r>
      <w:r>
        <w:rPr>
          <w:sz w:val="26"/>
          <w:szCs w:val="26"/>
        </w:rPr>
        <w:t>In that Order, t</w:t>
      </w:r>
      <w:r w:rsidRPr="00CB744C">
        <w:rPr>
          <w:sz w:val="26"/>
          <w:szCs w:val="26"/>
        </w:rPr>
        <w:t xml:space="preserve">he Commission declared its intent to require an NGS to use consolidated billing in order to qualify for participation in a POR program unless the NGDC’s system cannot accommodate it, or if the NGS wants to offer products that are bundled with non-basic services.  </w:t>
      </w:r>
      <w:r w:rsidRPr="0070764A">
        <w:rPr>
          <w:i/>
          <w:sz w:val="26"/>
          <w:szCs w:val="26"/>
        </w:rPr>
        <w:t>Gas Choice Order</w:t>
      </w:r>
      <w:r>
        <w:rPr>
          <w:sz w:val="26"/>
          <w:szCs w:val="26"/>
        </w:rPr>
        <w:t xml:space="preserve"> a</w:t>
      </w:r>
      <w:r w:rsidRPr="00CB744C">
        <w:rPr>
          <w:sz w:val="26"/>
          <w:szCs w:val="26"/>
        </w:rPr>
        <w:t>t 24-25; §</w:t>
      </w:r>
      <w:r w:rsidR="00E240DE">
        <w:rPr>
          <w:sz w:val="26"/>
          <w:szCs w:val="26"/>
        </w:rPr>
        <w:t> 62.224(2).</w:t>
      </w:r>
    </w:p>
    <w:p w:rsidR="007F0319" w:rsidRDefault="007F0319" w:rsidP="007F0319">
      <w:pPr>
        <w:pStyle w:val="Pleading2L3"/>
        <w:numPr>
          <w:ilvl w:val="0"/>
          <w:numId w:val="0"/>
        </w:numPr>
        <w:tabs>
          <w:tab w:val="num" w:pos="0"/>
        </w:tabs>
        <w:spacing w:line="360" w:lineRule="auto"/>
        <w:rPr>
          <w:sz w:val="26"/>
          <w:szCs w:val="26"/>
        </w:rPr>
      </w:pPr>
    </w:p>
    <w:p w:rsidR="007F0319" w:rsidRPr="00CB744C" w:rsidRDefault="007F0319" w:rsidP="007F0319">
      <w:pPr>
        <w:pStyle w:val="Pleading2L3"/>
        <w:numPr>
          <w:ilvl w:val="0"/>
          <w:numId w:val="0"/>
        </w:numPr>
        <w:tabs>
          <w:tab w:val="num" w:pos="0"/>
        </w:tabs>
        <w:spacing w:line="360" w:lineRule="auto"/>
        <w:rPr>
          <w:spacing w:val="-3"/>
          <w:sz w:val="26"/>
          <w:szCs w:val="26"/>
        </w:rPr>
      </w:pPr>
      <w:r w:rsidRPr="00CB744C">
        <w:rPr>
          <w:sz w:val="26"/>
          <w:szCs w:val="26"/>
        </w:rPr>
        <w:tab/>
      </w:r>
      <w:r w:rsidRPr="00CB744C">
        <w:rPr>
          <w:sz w:val="26"/>
          <w:szCs w:val="26"/>
        </w:rPr>
        <w:tab/>
      </w:r>
      <w:r>
        <w:rPr>
          <w:sz w:val="26"/>
          <w:szCs w:val="26"/>
        </w:rPr>
        <w:t xml:space="preserve">The ALJ concluded that </w:t>
      </w:r>
      <w:r w:rsidRPr="00CB744C">
        <w:rPr>
          <w:sz w:val="26"/>
          <w:szCs w:val="26"/>
        </w:rPr>
        <w:t>the burden of proving entitlement to its proposed rates rests on the utility</w:t>
      </w:r>
      <w:r>
        <w:rPr>
          <w:sz w:val="26"/>
          <w:szCs w:val="26"/>
        </w:rPr>
        <w:t>, but that t</w:t>
      </w:r>
      <w:r w:rsidRPr="00CB744C">
        <w:rPr>
          <w:sz w:val="26"/>
          <w:szCs w:val="26"/>
        </w:rPr>
        <w:t>he burden of persuasion shifts to other parties (</w:t>
      </w:r>
      <w:r>
        <w:rPr>
          <w:sz w:val="26"/>
          <w:szCs w:val="26"/>
        </w:rPr>
        <w:t xml:space="preserve">here, </w:t>
      </w:r>
      <w:r w:rsidRPr="00CB744C">
        <w:rPr>
          <w:sz w:val="26"/>
          <w:szCs w:val="26"/>
        </w:rPr>
        <w:t xml:space="preserve">RESA) to prove that there are factors which weigh against the Company’s prima facie case.  </w:t>
      </w:r>
      <w:r>
        <w:rPr>
          <w:sz w:val="26"/>
          <w:szCs w:val="26"/>
        </w:rPr>
        <w:t xml:space="preserve">She noted that Complainants </w:t>
      </w:r>
      <w:r w:rsidRPr="00CB744C">
        <w:rPr>
          <w:spacing w:val="-3"/>
          <w:sz w:val="26"/>
          <w:szCs w:val="26"/>
        </w:rPr>
        <w:t>ha</w:t>
      </w:r>
      <w:r>
        <w:rPr>
          <w:spacing w:val="-3"/>
          <w:sz w:val="26"/>
          <w:szCs w:val="26"/>
        </w:rPr>
        <w:t>ve</w:t>
      </w:r>
      <w:r w:rsidRPr="00CB744C">
        <w:rPr>
          <w:spacing w:val="-3"/>
          <w:sz w:val="26"/>
          <w:szCs w:val="26"/>
        </w:rPr>
        <w:t xml:space="preserve"> the burden of showing that the utility is responsible or accountable for the problem described in the Complaint in order to prevail.  </w:t>
      </w:r>
      <w:r w:rsidRPr="00CB744C">
        <w:rPr>
          <w:i/>
          <w:spacing w:val="-3"/>
          <w:sz w:val="26"/>
          <w:szCs w:val="26"/>
        </w:rPr>
        <w:t>Patterson v. Bell Telephone Company of Pennsylvania</w:t>
      </w:r>
      <w:r w:rsidRPr="00CB744C">
        <w:rPr>
          <w:spacing w:val="-3"/>
          <w:sz w:val="26"/>
          <w:szCs w:val="26"/>
        </w:rPr>
        <w:t xml:space="preserve">, 72 Pa. PUC 196 (1990); </w:t>
      </w:r>
      <w:r w:rsidRPr="00CB744C">
        <w:rPr>
          <w:i/>
          <w:spacing w:val="-3"/>
          <w:sz w:val="26"/>
          <w:szCs w:val="26"/>
        </w:rPr>
        <w:t>Feinstein v. Philadelphia Suburban Water Company</w:t>
      </w:r>
      <w:r w:rsidRPr="00CB744C">
        <w:rPr>
          <w:spacing w:val="-3"/>
          <w:sz w:val="26"/>
          <w:szCs w:val="26"/>
        </w:rPr>
        <w:t xml:space="preserve">, 50 Pa. PUC 300 (1976).  This must be shown by a preponderance of the evidence.  </w:t>
      </w:r>
      <w:r w:rsidRPr="00CB744C">
        <w:rPr>
          <w:i/>
          <w:spacing w:val="-3"/>
          <w:sz w:val="26"/>
          <w:szCs w:val="26"/>
        </w:rPr>
        <w:t>Samuel J. Lansberry, Inc. v. PA Public Utility Comm’n</w:t>
      </w:r>
      <w:r w:rsidRPr="00CB744C">
        <w:rPr>
          <w:spacing w:val="-3"/>
          <w:sz w:val="26"/>
          <w:szCs w:val="26"/>
        </w:rPr>
        <w:t xml:space="preserve">, 578 A.2d 600 (Pa. Cmwlth.1990), </w:t>
      </w:r>
      <w:r w:rsidRPr="00CB744C">
        <w:rPr>
          <w:i/>
          <w:spacing w:val="-3"/>
          <w:sz w:val="26"/>
          <w:szCs w:val="26"/>
        </w:rPr>
        <w:t>alloc. den.</w:t>
      </w:r>
      <w:r w:rsidRPr="00CB744C">
        <w:rPr>
          <w:spacing w:val="-3"/>
          <w:sz w:val="26"/>
          <w:szCs w:val="26"/>
        </w:rPr>
        <w:t xml:space="preserve">, 529 A.2d 654, 602 A.2d 863 (1992).  That is, by presenting evidence more convincing, by even the smallest amount, than that presented by the other party.  </w:t>
      </w:r>
      <w:r w:rsidRPr="00CB744C">
        <w:rPr>
          <w:i/>
          <w:spacing w:val="-3"/>
          <w:sz w:val="26"/>
          <w:szCs w:val="26"/>
        </w:rPr>
        <w:t>Se-Ling Hosiery v. Margulies</w:t>
      </w:r>
      <w:r w:rsidRPr="00CB744C">
        <w:rPr>
          <w:spacing w:val="-3"/>
          <w:sz w:val="26"/>
          <w:szCs w:val="26"/>
        </w:rPr>
        <w:t xml:space="preserve">, 364 Pa. 45, 70 A.2d 854 (1950).  </w:t>
      </w:r>
    </w:p>
    <w:p w:rsidR="007F0319" w:rsidRPr="00CB744C" w:rsidRDefault="007F0319" w:rsidP="007F0319">
      <w:pPr>
        <w:ind w:firstLine="1440"/>
        <w:jc w:val="left"/>
        <w:rPr>
          <w:spacing w:val="-3"/>
          <w:sz w:val="26"/>
          <w:szCs w:val="26"/>
        </w:rPr>
      </w:pPr>
    </w:p>
    <w:p w:rsidR="007F0319" w:rsidRPr="00CB744C" w:rsidRDefault="007F0319" w:rsidP="007F0319">
      <w:pPr>
        <w:ind w:firstLine="1440"/>
        <w:jc w:val="left"/>
        <w:rPr>
          <w:spacing w:val="-3"/>
          <w:sz w:val="26"/>
          <w:szCs w:val="26"/>
        </w:rPr>
      </w:pPr>
      <w:r>
        <w:rPr>
          <w:spacing w:val="-3"/>
          <w:sz w:val="26"/>
          <w:szCs w:val="26"/>
        </w:rPr>
        <w:t xml:space="preserve">The ALJ also determined that </w:t>
      </w:r>
      <w:r w:rsidRPr="00CB744C">
        <w:rPr>
          <w:spacing w:val="-3"/>
          <w:sz w:val="26"/>
          <w:szCs w:val="26"/>
        </w:rPr>
        <w:t xml:space="preserve">any finding of fact necessary to support the Commission’s adjudication must be based upon substantial evidence.  </w:t>
      </w:r>
      <w:r w:rsidRPr="00CB744C">
        <w:rPr>
          <w:i/>
          <w:spacing w:val="-3"/>
          <w:sz w:val="26"/>
          <w:szCs w:val="26"/>
        </w:rPr>
        <w:t>Mill v. Comm’w., PA Public Utility Comm’n</w:t>
      </w:r>
      <w:r w:rsidRPr="00CB744C">
        <w:rPr>
          <w:spacing w:val="-3"/>
          <w:sz w:val="26"/>
          <w:szCs w:val="26"/>
        </w:rPr>
        <w:t xml:space="preserve">, 447 A.2d 1100 (Pa. Cmwlth.1982); </w:t>
      </w:r>
      <w:r w:rsidRPr="00CB744C">
        <w:rPr>
          <w:i/>
          <w:spacing w:val="-3"/>
          <w:sz w:val="26"/>
          <w:szCs w:val="26"/>
        </w:rPr>
        <w:t>Edan Transportation Corp. v. PA Public Utility Comm’n,</w:t>
      </w:r>
      <w:r w:rsidRPr="00CB744C">
        <w:rPr>
          <w:spacing w:val="-3"/>
          <w:sz w:val="26"/>
          <w:szCs w:val="26"/>
        </w:rPr>
        <w:t xml:space="preserve"> 623 A.2d 6 (Pa. Cmwlth.1993), 2 Pa.</w:t>
      </w:r>
      <w:r w:rsidR="007B1C4F">
        <w:rPr>
          <w:spacing w:val="-3"/>
          <w:sz w:val="26"/>
          <w:szCs w:val="26"/>
        </w:rPr>
        <w:t xml:space="preserve"> </w:t>
      </w:r>
      <w:r w:rsidRPr="00CB744C">
        <w:rPr>
          <w:spacing w:val="-3"/>
          <w:sz w:val="26"/>
          <w:szCs w:val="26"/>
        </w:rPr>
        <w:t xml:space="preserve">C.S. §704.  More is required than a mere trace of evidence or a suspicion of the existence of a fact sought to be established.  </w:t>
      </w:r>
      <w:r w:rsidRPr="00CB744C">
        <w:rPr>
          <w:i/>
          <w:spacing w:val="-3"/>
          <w:sz w:val="26"/>
          <w:szCs w:val="26"/>
        </w:rPr>
        <w:t>Norfolk and Western Ry. v. PA Public Utility Comm’n</w:t>
      </w:r>
      <w:r w:rsidRPr="00CB744C">
        <w:rPr>
          <w:spacing w:val="-3"/>
          <w:sz w:val="26"/>
          <w:szCs w:val="26"/>
        </w:rPr>
        <w:t xml:space="preserve">, 489 Pa. 109, 413 A.2d 1037 (1980); </w:t>
      </w:r>
      <w:r w:rsidRPr="00CB744C">
        <w:rPr>
          <w:i/>
          <w:spacing w:val="-3"/>
          <w:sz w:val="26"/>
          <w:szCs w:val="26"/>
        </w:rPr>
        <w:t>Erie Resistor Corp. v. Unemployment Compensation Bd. of Review</w:t>
      </w:r>
      <w:r w:rsidRPr="00CB744C">
        <w:rPr>
          <w:spacing w:val="-3"/>
          <w:sz w:val="26"/>
          <w:szCs w:val="26"/>
        </w:rPr>
        <w:t xml:space="preserve">, 166 A.2d 96 (Pa. Super.1960); </w:t>
      </w:r>
      <w:r w:rsidRPr="00CB744C">
        <w:rPr>
          <w:i/>
          <w:spacing w:val="-3"/>
          <w:sz w:val="26"/>
          <w:szCs w:val="26"/>
        </w:rPr>
        <w:t>Murphy v. Commonwealth, Dep’t. of Public Welfare, White Haven Center</w:t>
      </w:r>
      <w:r w:rsidRPr="00CB744C">
        <w:rPr>
          <w:spacing w:val="-3"/>
          <w:sz w:val="26"/>
          <w:szCs w:val="26"/>
        </w:rPr>
        <w:t>, 480 A.2d 382 (Pa. Cmwlth.1984).</w:t>
      </w:r>
    </w:p>
    <w:p w:rsidR="007F0319" w:rsidRPr="00CB744C" w:rsidRDefault="007F0319" w:rsidP="007F0319">
      <w:pPr>
        <w:ind w:firstLine="1440"/>
        <w:jc w:val="left"/>
        <w:rPr>
          <w:spacing w:val="-3"/>
          <w:sz w:val="26"/>
          <w:szCs w:val="26"/>
        </w:rPr>
      </w:pPr>
    </w:p>
    <w:p w:rsidR="007F0319" w:rsidRDefault="007F0319" w:rsidP="007F0319">
      <w:pPr>
        <w:pStyle w:val="Pleading2L3"/>
        <w:numPr>
          <w:ilvl w:val="0"/>
          <w:numId w:val="0"/>
        </w:numPr>
        <w:tabs>
          <w:tab w:val="num" w:pos="0"/>
        </w:tabs>
        <w:spacing w:line="360" w:lineRule="auto"/>
        <w:rPr>
          <w:sz w:val="26"/>
          <w:szCs w:val="26"/>
        </w:rPr>
      </w:pPr>
      <w:r w:rsidRPr="00CB744C">
        <w:rPr>
          <w:sz w:val="26"/>
          <w:szCs w:val="26"/>
        </w:rPr>
        <w:lastRenderedPageBreak/>
        <w:tab/>
      </w:r>
      <w:r w:rsidRPr="00CB744C">
        <w:rPr>
          <w:sz w:val="26"/>
          <w:szCs w:val="26"/>
        </w:rPr>
        <w:tab/>
        <w:t xml:space="preserve">Therefore, the </w:t>
      </w:r>
      <w:r w:rsidR="005A1048">
        <w:rPr>
          <w:sz w:val="26"/>
          <w:szCs w:val="26"/>
        </w:rPr>
        <w:t xml:space="preserve">ALJ concluded that the </w:t>
      </w:r>
      <w:r w:rsidRPr="00CB744C">
        <w:rPr>
          <w:sz w:val="26"/>
          <w:szCs w:val="26"/>
        </w:rPr>
        <w:t xml:space="preserve">Company has the burden of proving entitlement to its own proposal.  The burden of proving that </w:t>
      </w:r>
      <w:r w:rsidR="005A1048">
        <w:rPr>
          <w:sz w:val="26"/>
          <w:szCs w:val="26"/>
        </w:rPr>
        <w:t xml:space="preserve">additional </w:t>
      </w:r>
      <w:r w:rsidRPr="00CB744C">
        <w:rPr>
          <w:sz w:val="26"/>
          <w:szCs w:val="26"/>
        </w:rPr>
        <w:t xml:space="preserve">changes should be made to the </w:t>
      </w:r>
      <w:r w:rsidR="005A1048">
        <w:rPr>
          <w:sz w:val="26"/>
          <w:szCs w:val="26"/>
        </w:rPr>
        <w:t xml:space="preserve">current </w:t>
      </w:r>
      <w:r w:rsidRPr="00CB744C">
        <w:rPr>
          <w:sz w:val="26"/>
          <w:szCs w:val="26"/>
        </w:rPr>
        <w:t xml:space="preserve">POR program rests </w:t>
      </w:r>
      <w:r w:rsidR="005A1048">
        <w:rPr>
          <w:sz w:val="26"/>
          <w:szCs w:val="26"/>
        </w:rPr>
        <w:t>with</w:t>
      </w:r>
      <w:r w:rsidRPr="00CB744C">
        <w:rPr>
          <w:sz w:val="26"/>
          <w:szCs w:val="26"/>
        </w:rPr>
        <w:t xml:space="preserve"> RESA.</w:t>
      </w:r>
    </w:p>
    <w:p w:rsidR="00FE23D1" w:rsidRPr="00CB744C" w:rsidRDefault="00FE23D1" w:rsidP="007F0319">
      <w:pPr>
        <w:pStyle w:val="Pleading2L3"/>
        <w:numPr>
          <w:ilvl w:val="0"/>
          <w:numId w:val="0"/>
        </w:numPr>
        <w:tabs>
          <w:tab w:val="num" w:pos="0"/>
        </w:tabs>
        <w:spacing w:line="360" w:lineRule="auto"/>
        <w:rPr>
          <w:sz w:val="26"/>
          <w:szCs w:val="26"/>
        </w:rPr>
      </w:pPr>
    </w:p>
    <w:p w:rsidR="00DF6803" w:rsidRDefault="00DF6803" w:rsidP="00DF6803">
      <w:pPr>
        <w:pStyle w:val="Pleading2L3"/>
        <w:numPr>
          <w:ilvl w:val="0"/>
          <w:numId w:val="0"/>
        </w:numPr>
        <w:tabs>
          <w:tab w:val="left" w:pos="2160"/>
        </w:tabs>
        <w:spacing w:line="240" w:lineRule="auto"/>
        <w:ind w:left="3600" w:hanging="720"/>
        <w:contextualSpacing/>
        <w:rPr>
          <w:b/>
          <w:sz w:val="26"/>
          <w:szCs w:val="26"/>
        </w:rPr>
      </w:pPr>
      <w:r>
        <w:rPr>
          <w:b/>
          <w:sz w:val="26"/>
          <w:szCs w:val="26"/>
        </w:rPr>
        <w:t>(a)</w:t>
      </w:r>
      <w:r>
        <w:rPr>
          <w:b/>
          <w:sz w:val="26"/>
          <w:szCs w:val="26"/>
        </w:rPr>
        <w:tab/>
        <w:t>PPL</w:t>
      </w:r>
      <w:r w:rsidRPr="00CB744C">
        <w:rPr>
          <w:b/>
          <w:sz w:val="26"/>
          <w:szCs w:val="26"/>
        </w:rPr>
        <w:t xml:space="preserve">’s </w:t>
      </w:r>
      <w:r>
        <w:rPr>
          <w:b/>
          <w:sz w:val="26"/>
          <w:szCs w:val="26"/>
        </w:rPr>
        <w:t xml:space="preserve">2010 </w:t>
      </w:r>
      <w:r w:rsidRPr="00CB744C">
        <w:rPr>
          <w:b/>
          <w:sz w:val="26"/>
          <w:szCs w:val="26"/>
        </w:rPr>
        <w:t>POR Program</w:t>
      </w:r>
      <w:r>
        <w:rPr>
          <w:b/>
          <w:sz w:val="26"/>
          <w:szCs w:val="26"/>
        </w:rPr>
        <w:t xml:space="preserve">; Proposed Change to Uncollectible Accounts Expense Factor; and Burden of Proof/Persuasion </w:t>
      </w:r>
    </w:p>
    <w:p w:rsidR="00705CE7" w:rsidRDefault="00705CE7" w:rsidP="000E0862">
      <w:pPr>
        <w:pStyle w:val="Pleading2L3"/>
        <w:numPr>
          <w:ilvl w:val="0"/>
          <w:numId w:val="0"/>
        </w:numPr>
        <w:tabs>
          <w:tab w:val="left" w:pos="2160"/>
        </w:tabs>
        <w:spacing w:line="360" w:lineRule="auto"/>
        <w:ind w:firstLine="1440"/>
        <w:contextualSpacing/>
        <w:rPr>
          <w:b/>
          <w:sz w:val="26"/>
          <w:szCs w:val="26"/>
        </w:rPr>
      </w:pPr>
    </w:p>
    <w:p w:rsidR="00DF6803" w:rsidRPr="00523CAC" w:rsidRDefault="00DF6803" w:rsidP="00DF6803">
      <w:pPr>
        <w:pStyle w:val="BodyText2"/>
        <w:spacing w:after="0" w:line="360" w:lineRule="auto"/>
        <w:ind w:firstLine="720"/>
        <w:jc w:val="both"/>
        <w:rPr>
          <w:sz w:val="26"/>
          <w:szCs w:val="26"/>
        </w:rPr>
      </w:pPr>
      <w:r>
        <w:rPr>
          <w:sz w:val="26"/>
          <w:szCs w:val="26"/>
        </w:rPr>
        <w:tab/>
        <w:t>The ALJ accepted PPL’s description of the historical context of its POR program and the theoretical basis for such a program.  She quoted PPL’s Main Brief at length:</w:t>
      </w:r>
    </w:p>
    <w:p w:rsidR="00DF6803" w:rsidRDefault="00DF6803" w:rsidP="00DF6803">
      <w:pPr>
        <w:pStyle w:val="BodyText2"/>
        <w:spacing w:after="0" w:line="240" w:lineRule="auto"/>
        <w:ind w:left="1440" w:right="1440"/>
        <w:rPr>
          <w:sz w:val="26"/>
          <w:szCs w:val="26"/>
        </w:rPr>
      </w:pPr>
      <w:r w:rsidRPr="00CB744C">
        <w:rPr>
          <w:sz w:val="26"/>
          <w:szCs w:val="26"/>
        </w:rPr>
        <w:tab/>
        <w:t xml:space="preserve">The purchase and sale of accounts receivable is a financial instrument employed by commercial entities to avoid credit and collection activities and to take advantage of the time-value of money.  In its most basic sense, accounts receivable are moneys owed for specific services rendered.  Tr. 442.  In the absence of a POR program, the entity rendering the service is responsible for the costs and efforts associated with the billing and collection of the amounts owed by its customer and bears the risk that the customer will not timely remit payment and/or not pay the outstanding amount in full.  Under a POR program, the entity rendering the service sells its accounts receivable to a third party and receives immediate payment for the receivables less an agreed upon discount to reflect collection risk and the time value of money.  Tr. 443.  A POR program therefore allows the seller of the receivable to receive payment sooner and avoid the costs and risks associated with collecting any delinquent amounts owed by the customer.  Tr. 443.  </w:t>
      </w:r>
    </w:p>
    <w:p w:rsidR="00DF6803" w:rsidRDefault="00DF6803" w:rsidP="00DF6803">
      <w:pPr>
        <w:pStyle w:val="BodyText2"/>
        <w:spacing w:after="0" w:line="240" w:lineRule="auto"/>
        <w:ind w:left="1440" w:right="1440"/>
        <w:jc w:val="both"/>
        <w:rPr>
          <w:sz w:val="26"/>
          <w:szCs w:val="26"/>
        </w:rPr>
      </w:pPr>
    </w:p>
    <w:p w:rsidR="00DF6803" w:rsidRPr="00CB744C" w:rsidRDefault="00DF6803" w:rsidP="00DF6803">
      <w:pPr>
        <w:pStyle w:val="BodyText2"/>
        <w:spacing w:after="0" w:line="240" w:lineRule="auto"/>
        <w:ind w:left="1440" w:right="1440"/>
        <w:rPr>
          <w:sz w:val="26"/>
          <w:szCs w:val="26"/>
        </w:rPr>
      </w:pPr>
      <w:r>
        <w:rPr>
          <w:sz w:val="26"/>
          <w:szCs w:val="26"/>
        </w:rPr>
        <w:t>PPL</w:t>
      </w:r>
      <w:r w:rsidRPr="00CB744C">
        <w:rPr>
          <w:sz w:val="26"/>
          <w:szCs w:val="26"/>
        </w:rPr>
        <w:t xml:space="preserve"> </w:t>
      </w:r>
      <w:r>
        <w:rPr>
          <w:sz w:val="26"/>
          <w:szCs w:val="26"/>
        </w:rPr>
        <w:t>M.</w:t>
      </w:r>
      <w:r w:rsidRPr="00CB744C">
        <w:rPr>
          <w:sz w:val="26"/>
          <w:szCs w:val="26"/>
        </w:rPr>
        <w:t>B</w:t>
      </w:r>
      <w:r>
        <w:rPr>
          <w:sz w:val="26"/>
          <w:szCs w:val="26"/>
        </w:rPr>
        <w:t>.</w:t>
      </w:r>
      <w:r w:rsidRPr="00CB744C">
        <w:rPr>
          <w:sz w:val="26"/>
          <w:szCs w:val="26"/>
        </w:rPr>
        <w:t xml:space="preserve"> at 78.</w:t>
      </w:r>
    </w:p>
    <w:p w:rsidR="00DF6803" w:rsidRPr="00CB744C" w:rsidRDefault="00DF6803" w:rsidP="00DF6803">
      <w:pPr>
        <w:pStyle w:val="BodyText2"/>
        <w:spacing w:after="0" w:line="240" w:lineRule="auto"/>
        <w:jc w:val="center"/>
        <w:rPr>
          <w:sz w:val="26"/>
          <w:szCs w:val="26"/>
        </w:rPr>
      </w:pPr>
      <w:r w:rsidRPr="00CB744C">
        <w:rPr>
          <w:sz w:val="26"/>
          <w:szCs w:val="26"/>
        </w:rPr>
        <w:t>* * *</w:t>
      </w:r>
    </w:p>
    <w:p w:rsidR="00DF6803" w:rsidRPr="00CB744C" w:rsidRDefault="00DF6803" w:rsidP="00DF6803">
      <w:pPr>
        <w:pStyle w:val="BodyText2"/>
        <w:spacing w:after="0" w:line="240" w:lineRule="auto"/>
        <w:jc w:val="both"/>
        <w:rPr>
          <w:sz w:val="26"/>
          <w:szCs w:val="26"/>
        </w:rPr>
      </w:pPr>
    </w:p>
    <w:p w:rsidR="00E240DE" w:rsidRDefault="00DF6803" w:rsidP="00DF6803">
      <w:pPr>
        <w:pStyle w:val="BodyText2"/>
        <w:spacing w:after="0" w:line="240" w:lineRule="auto"/>
        <w:ind w:left="1440" w:right="1440"/>
        <w:rPr>
          <w:sz w:val="26"/>
          <w:szCs w:val="26"/>
        </w:rPr>
      </w:pPr>
      <w:r w:rsidRPr="00CB744C">
        <w:rPr>
          <w:sz w:val="26"/>
          <w:szCs w:val="26"/>
        </w:rPr>
        <w:t xml:space="preserve">In 2009, as part of the settlement of the Company’s Default Service Plan for the Period January 1, 2011 through May 31, 2013, </w:t>
      </w:r>
      <w:r>
        <w:rPr>
          <w:sz w:val="26"/>
          <w:szCs w:val="26"/>
        </w:rPr>
        <w:t>PPL</w:t>
      </w:r>
      <w:r w:rsidRPr="00CB744C">
        <w:rPr>
          <w:sz w:val="26"/>
          <w:szCs w:val="26"/>
        </w:rPr>
        <w:t xml:space="preserve"> agreed to file a revised POR plan as either part of its next distribution rate case or a stand-alone POR plan to </w:t>
      </w:r>
    </w:p>
    <w:p w:rsidR="00E240DE" w:rsidRDefault="00E240DE">
      <w:pPr>
        <w:spacing w:after="200" w:line="276" w:lineRule="auto"/>
        <w:jc w:val="left"/>
        <w:rPr>
          <w:rFonts w:eastAsia="Times New Roman"/>
          <w:sz w:val="26"/>
          <w:szCs w:val="26"/>
        </w:rPr>
      </w:pPr>
      <w:r>
        <w:rPr>
          <w:sz w:val="26"/>
          <w:szCs w:val="26"/>
        </w:rPr>
        <w:br w:type="page"/>
      </w:r>
    </w:p>
    <w:p w:rsidR="00DF6803" w:rsidRPr="00CB744C" w:rsidRDefault="00DF6803" w:rsidP="00DF6803">
      <w:pPr>
        <w:pStyle w:val="BodyText2"/>
        <w:spacing w:after="0" w:line="240" w:lineRule="auto"/>
        <w:ind w:left="1440" w:right="1440"/>
        <w:rPr>
          <w:sz w:val="26"/>
          <w:szCs w:val="26"/>
        </w:rPr>
      </w:pPr>
      <w:r w:rsidRPr="00CB744C">
        <w:rPr>
          <w:sz w:val="26"/>
          <w:szCs w:val="26"/>
        </w:rPr>
        <w:lastRenderedPageBreak/>
        <w:t>become effective on January 1, 2011.</w:t>
      </w:r>
      <w:r w:rsidRPr="00CB744C">
        <w:rPr>
          <w:rStyle w:val="FootnoteReference"/>
          <w:sz w:val="26"/>
          <w:szCs w:val="26"/>
          <w:vertAlign w:val="superscript"/>
        </w:rPr>
        <w:footnoteReference w:id="10"/>
      </w:r>
      <w:r w:rsidRPr="00CB744C">
        <w:rPr>
          <w:sz w:val="26"/>
          <w:szCs w:val="26"/>
        </w:rPr>
        <w:t xml:space="preserve">  </w:t>
      </w:r>
      <w:r w:rsidRPr="00CB744C">
        <w:rPr>
          <w:color w:val="000000"/>
          <w:sz w:val="26"/>
          <w:szCs w:val="26"/>
        </w:rPr>
        <w:t xml:space="preserve">Thereafter, the Commission issued an order on August 11, 2009, directing </w:t>
      </w:r>
      <w:r>
        <w:rPr>
          <w:color w:val="000000"/>
          <w:sz w:val="26"/>
          <w:szCs w:val="26"/>
        </w:rPr>
        <w:t>PPL</w:t>
      </w:r>
      <w:r w:rsidRPr="00CB744C">
        <w:rPr>
          <w:color w:val="000000"/>
          <w:sz w:val="26"/>
          <w:szCs w:val="26"/>
        </w:rPr>
        <w:t xml:space="preserve"> to file a POR program to be effective on January 1, 2010.</w:t>
      </w:r>
      <w:r w:rsidRPr="00CB744C">
        <w:rPr>
          <w:rStyle w:val="FootnoteReference"/>
          <w:color w:val="000000"/>
          <w:sz w:val="26"/>
          <w:szCs w:val="26"/>
          <w:vertAlign w:val="superscript"/>
        </w:rPr>
        <w:footnoteReference w:id="11"/>
      </w:r>
      <w:r w:rsidRPr="00CB744C">
        <w:rPr>
          <w:color w:val="000000"/>
          <w:sz w:val="26"/>
          <w:szCs w:val="26"/>
        </w:rPr>
        <w:t xml:space="preserve">  </w:t>
      </w:r>
      <w:r w:rsidRPr="00CB744C">
        <w:rPr>
          <w:sz w:val="26"/>
          <w:szCs w:val="26"/>
        </w:rPr>
        <w:t xml:space="preserve">Pursuant thereto, </w:t>
      </w:r>
      <w:r>
        <w:rPr>
          <w:sz w:val="26"/>
          <w:szCs w:val="26"/>
        </w:rPr>
        <w:t>PPL</w:t>
      </w:r>
      <w:r w:rsidRPr="00CB744C">
        <w:rPr>
          <w:sz w:val="26"/>
          <w:szCs w:val="26"/>
        </w:rPr>
        <w:t xml:space="preserve"> filed a voluntary POR program, together with a Merchant Function Charge (“MFC”), which was approved by the Commission for the period January 1, 2010 through December 31, 2010.  </w:t>
      </w:r>
      <w:r w:rsidRPr="00CB744C">
        <w:rPr>
          <w:i/>
          <w:sz w:val="26"/>
          <w:szCs w:val="26"/>
        </w:rPr>
        <w:t>Petition of PPL Utilities Corporation Requesting Approval of a Voluntary Purchase of Accounts Receivables Program and Merchant Function Charge</w:t>
      </w:r>
      <w:r w:rsidRPr="00CB744C">
        <w:rPr>
          <w:sz w:val="26"/>
          <w:szCs w:val="26"/>
        </w:rPr>
        <w:t>, Docket No. P-2009-2129502, 279 PUR4th 539, 2009 Pa. PUC LEXIS 266 at *9 (November</w:t>
      </w:r>
      <w:r w:rsidR="00F6719C">
        <w:rPr>
          <w:sz w:val="26"/>
          <w:szCs w:val="26"/>
        </w:rPr>
        <w:t> </w:t>
      </w:r>
      <w:r w:rsidRPr="00CB744C">
        <w:rPr>
          <w:sz w:val="26"/>
          <w:szCs w:val="26"/>
        </w:rPr>
        <w:t>19, 2009) (</w:t>
      </w:r>
      <w:r>
        <w:rPr>
          <w:i/>
          <w:sz w:val="26"/>
          <w:szCs w:val="26"/>
        </w:rPr>
        <w:t>PPL</w:t>
      </w:r>
      <w:r w:rsidRPr="00CB744C">
        <w:rPr>
          <w:i/>
          <w:sz w:val="26"/>
          <w:szCs w:val="26"/>
        </w:rPr>
        <w:t xml:space="preserve"> POR Program”</w:t>
      </w:r>
      <w:r w:rsidRPr="00CB744C">
        <w:rPr>
          <w:sz w:val="26"/>
          <w:szCs w:val="26"/>
        </w:rPr>
        <w:t xml:space="preserve">).  The current POR program was the result of a partial settlement and the Commission’s resolution of two issues reserved for litigation.  In approving the current POR program, the Commission specifically held that POR programs are voluntary and the Commission is without authority to require electric distribution companies (“EDCs”) to offer POR programs.  </w:t>
      </w:r>
      <w:r w:rsidRPr="00CB744C">
        <w:rPr>
          <w:i/>
          <w:sz w:val="26"/>
          <w:szCs w:val="26"/>
        </w:rPr>
        <w:t>Id</w:t>
      </w:r>
      <w:r w:rsidRPr="00CB744C">
        <w:rPr>
          <w:sz w:val="26"/>
          <w:szCs w:val="26"/>
        </w:rPr>
        <w:t>. at *12-13.</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t xml:space="preserve">In this proceeding, </w:t>
      </w:r>
      <w:r>
        <w:rPr>
          <w:sz w:val="26"/>
          <w:szCs w:val="26"/>
        </w:rPr>
        <w:t>PPL</w:t>
      </w:r>
      <w:r w:rsidRPr="00CB744C">
        <w:rPr>
          <w:sz w:val="26"/>
          <w:szCs w:val="26"/>
        </w:rPr>
        <w:t xml:space="preserve"> is proposing to extend its voluntary Commission-approved POR program beyond its expiration date of December 31, 2010.  </w:t>
      </w:r>
      <w:r>
        <w:rPr>
          <w:sz w:val="26"/>
          <w:szCs w:val="26"/>
        </w:rPr>
        <w:t>PPL</w:t>
      </w:r>
      <w:r w:rsidRPr="00CB744C">
        <w:rPr>
          <w:sz w:val="26"/>
          <w:szCs w:val="26"/>
        </w:rPr>
        <w:t xml:space="preserve">’s POR program applies to residential and small commercial and industrial customers (“c&amp;i”); it does not apply to large c&amp;i customers.  </w:t>
      </w:r>
      <w:r>
        <w:rPr>
          <w:sz w:val="26"/>
          <w:szCs w:val="26"/>
        </w:rPr>
        <w:t>PPL</w:t>
      </w:r>
      <w:r w:rsidRPr="00CB744C">
        <w:rPr>
          <w:sz w:val="26"/>
          <w:szCs w:val="26"/>
        </w:rPr>
        <w:t xml:space="preserve"> St. 6, p. 8.  The accounts receivable purchased by </w:t>
      </w:r>
      <w:r>
        <w:rPr>
          <w:sz w:val="26"/>
          <w:szCs w:val="26"/>
        </w:rPr>
        <w:t>PPL</w:t>
      </w:r>
      <w:r w:rsidRPr="00CB744C">
        <w:rPr>
          <w:sz w:val="26"/>
          <w:szCs w:val="26"/>
        </w:rPr>
        <w:t xml:space="preserve"> are the moneys owed by shopping customers to the EGS for generation services.  </w:t>
      </w:r>
      <w:r>
        <w:rPr>
          <w:sz w:val="26"/>
          <w:szCs w:val="26"/>
        </w:rPr>
        <w:t>PPL</w:t>
      </w:r>
      <w:r w:rsidRPr="00CB744C">
        <w:rPr>
          <w:sz w:val="26"/>
          <w:szCs w:val="26"/>
        </w:rPr>
        <w:t xml:space="preserve"> purchases these accounts receivable at a discount from the standard supply charges to offset the risks and expenses associated with accounts that may ultimately be uncollectible.  </w:t>
      </w:r>
      <w:r>
        <w:rPr>
          <w:sz w:val="26"/>
          <w:szCs w:val="26"/>
        </w:rPr>
        <w:t>PPL</w:t>
      </w:r>
      <w:r w:rsidRPr="00CB744C">
        <w:rPr>
          <w:sz w:val="26"/>
          <w:szCs w:val="26"/>
        </w:rPr>
        <w:t xml:space="preserve"> St. 6-R, p. 4.</w:t>
      </w:r>
    </w:p>
    <w:p w:rsidR="00DF6803" w:rsidRDefault="00DF6803" w:rsidP="00DF6803">
      <w:pPr>
        <w:pStyle w:val="BodyText2"/>
        <w:spacing w:after="0" w:line="240" w:lineRule="auto"/>
        <w:ind w:left="1440" w:right="1440"/>
        <w:jc w:val="both"/>
        <w:rPr>
          <w:sz w:val="26"/>
          <w:szCs w:val="26"/>
        </w:rPr>
      </w:pPr>
    </w:p>
    <w:p w:rsidR="00DF6803" w:rsidRPr="00CB744C" w:rsidRDefault="00DF6803" w:rsidP="00DF6803">
      <w:pPr>
        <w:pStyle w:val="BodyText2"/>
        <w:spacing w:after="0" w:line="240" w:lineRule="auto"/>
        <w:ind w:left="1440" w:right="1440"/>
        <w:rPr>
          <w:sz w:val="26"/>
          <w:szCs w:val="26"/>
        </w:rPr>
      </w:pPr>
      <w:r w:rsidRPr="00CB744C">
        <w:rPr>
          <w:sz w:val="26"/>
          <w:szCs w:val="26"/>
        </w:rPr>
        <w:tab/>
        <w:t>The discount rate is composed of two components:  (1)</w:t>
      </w:r>
      <w:r w:rsidR="00E240DE">
        <w:rPr>
          <w:sz w:val="26"/>
          <w:szCs w:val="26"/>
        </w:rPr>
        <w:t> </w:t>
      </w:r>
      <w:r w:rsidRPr="00CB744C">
        <w:rPr>
          <w:sz w:val="26"/>
          <w:szCs w:val="26"/>
        </w:rPr>
        <w:t xml:space="preserve">an uncollectible accounts expense percentage factor; and (2) a POR development, implementation, and administration percentage factor.  </w:t>
      </w:r>
      <w:r>
        <w:rPr>
          <w:sz w:val="26"/>
          <w:szCs w:val="26"/>
        </w:rPr>
        <w:t>PPL</w:t>
      </w:r>
      <w:r w:rsidRPr="00CB744C">
        <w:rPr>
          <w:sz w:val="26"/>
          <w:szCs w:val="26"/>
        </w:rPr>
        <w:t xml:space="preserve"> St. 6, p. 8.  The uncollectible accounts expense percentage factor primarily is based on an </w:t>
      </w:r>
      <w:r w:rsidRPr="00CB744C">
        <w:rPr>
          <w:sz w:val="26"/>
          <w:szCs w:val="26"/>
        </w:rPr>
        <w:lastRenderedPageBreak/>
        <w:t xml:space="preserve">average of the Company’s actual bad debt write-offs for the most recent five calendar years.  </w:t>
      </w:r>
      <w:r>
        <w:rPr>
          <w:sz w:val="26"/>
          <w:szCs w:val="26"/>
        </w:rPr>
        <w:t>PPL</w:t>
      </w:r>
      <w:r w:rsidRPr="00CB744C">
        <w:rPr>
          <w:sz w:val="26"/>
          <w:szCs w:val="26"/>
        </w:rPr>
        <w:t xml:space="preserve"> St. 7, p. 33; </w:t>
      </w:r>
      <w:r>
        <w:rPr>
          <w:sz w:val="26"/>
          <w:szCs w:val="26"/>
        </w:rPr>
        <w:t>PPL</w:t>
      </w:r>
      <w:r w:rsidRPr="00CB744C">
        <w:rPr>
          <w:sz w:val="26"/>
          <w:szCs w:val="26"/>
        </w:rPr>
        <w:t xml:space="preserve"> Ex. JKM-7.  The POR administrative percentage factor is based on:  (a) </w:t>
      </w:r>
      <w:r>
        <w:rPr>
          <w:sz w:val="26"/>
          <w:szCs w:val="26"/>
        </w:rPr>
        <w:t>PPL</w:t>
      </w:r>
      <w:r w:rsidRPr="00CB744C">
        <w:rPr>
          <w:sz w:val="26"/>
          <w:szCs w:val="26"/>
        </w:rPr>
        <w:t xml:space="preserve">’s POR administrative costs; (b) shopping levels; (c) POR program participation levels; and (d) average competitive supply rates.  </w:t>
      </w:r>
      <w:r>
        <w:rPr>
          <w:sz w:val="26"/>
          <w:szCs w:val="26"/>
        </w:rPr>
        <w:t>PPL</w:t>
      </w:r>
      <w:r w:rsidRPr="00CB744C">
        <w:rPr>
          <w:sz w:val="26"/>
          <w:szCs w:val="26"/>
        </w:rPr>
        <w:t xml:space="preserve"> St. 7, p. 33.</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t xml:space="preserve">Given the different energy requirements, collection mechanisms available, and uncollectible accounts expense percentages, the discount rates for the residential and small c&amp;i customers are different.  </w:t>
      </w:r>
      <w:r>
        <w:rPr>
          <w:sz w:val="26"/>
          <w:szCs w:val="26"/>
        </w:rPr>
        <w:t>PPL</w:t>
      </w:r>
      <w:r w:rsidRPr="00CB744C">
        <w:rPr>
          <w:sz w:val="26"/>
          <w:szCs w:val="26"/>
        </w:rPr>
        <w:t xml:space="preserve"> St. 6, p. 8.  The proposed discount rate for the residential customers is 1.855%, which reflects an uncollectible accounts expense percentage factor of 1.805% and an administrative cost factor of 0.05%.  The proposed discount rate for the small c&amp;i customers is 0.06%, which reflects an uncollectible accounts expense percentage factor of 0.01% and an administrative cost factor of 0.05%.  </w:t>
      </w:r>
      <w:r>
        <w:rPr>
          <w:sz w:val="26"/>
          <w:szCs w:val="26"/>
        </w:rPr>
        <w:t>PPL</w:t>
      </w:r>
      <w:r w:rsidRPr="00CB744C">
        <w:rPr>
          <w:sz w:val="26"/>
          <w:szCs w:val="26"/>
        </w:rPr>
        <w:t xml:space="preserve"> St. 7, p. 32.  Because the Company has very limited experience regarding the operation of its current POR program, which only began January 1, 2010, </w:t>
      </w:r>
      <w:r>
        <w:rPr>
          <w:sz w:val="26"/>
          <w:szCs w:val="26"/>
        </w:rPr>
        <w:t>PPL</w:t>
      </w:r>
      <w:r w:rsidRPr="00CB744C">
        <w:rPr>
          <w:sz w:val="26"/>
          <w:szCs w:val="26"/>
        </w:rPr>
        <w:t xml:space="preserve"> is proposing to continue using its current POR administrative percentage factor of 0.05% to recover its POR administrative costs until such time as it obtains more actual experience with the implementation of the program.  </w:t>
      </w:r>
      <w:r>
        <w:rPr>
          <w:sz w:val="26"/>
          <w:szCs w:val="26"/>
        </w:rPr>
        <w:t>PPL</w:t>
      </w:r>
      <w:r w:rsidRPr="00CB744C">
        <w:rPr>
          <w:sz w:val="26"/>
          <w:szCs w:val="26"/>
        </w:rPr>
        <w:t xml:space="preserve"> St. 7, pp. 33-34.</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t xml:space="preserve">In conjunction with its POR program, </w:t>
      </w:r>
      <w:r>
        <w:rPr>
          <w:sz w:val="26"/>
          <w:szCs w:val="26"/>
        </w:rPr>
        <w:t>PPL</w:t>
      </w:r>
      <w:r w:rsidRPr="00CB744C">
        <w:rPr>
          <w:sz w:val="26"/>
          <w:szCs w:val="26"/>
        </w:rPr>
        <w:t xml:space="preserve"> also implemented a Merchant Function Charge (“MFC”), which unbundles from its distribution base rates the uncollectible accounts expense associated with generation supply.  As a result, the uncollectible accounts expense related to distribution service is recovered from all ratepayers through distribution charges.  In turn, the uncollectible accounts expense related to generation service is separated from </w:t>
      </w:r>
      <w:r>
        <w:rPr>
          <w:sz w:val="26"/>
          <w:szCs w:val="26"/>
        </w:rPr>
        <w:t>PPL</w:t>
      </w:r>
      <w:r w:rsidRPr="00CB744C">
        <w:rPr>
          <w:sz w:val="26"/>
          <w:szCs w:val="26"/>
        </w:rPr>
        <w:t xml:space="preserve">’s distribution rates and recovered as follows:  (1) by the Company from default service customers through the MFC; or (2) by individual EGSs from shopping customers taking competitive supply as a component of their generation price.  </w:t>
      </w:r>
      <w:r>
        <w:rPr>
          <w:sz w:val="26"/>
          <w:szCs w:val="26"/>
        </w:rPr>
        <w:t>PPL</w:t>
      </w:r>
      <w:r w:rsidRPr="00CB744C">
        <w:rPr>
          <w:sz w:val="26"/>
          <w:szCs w:val="26"/>
        </w:rPr>
        <w:t xml:space="preserve"> St. 6-R, p. 2.  Thus, residential and small c&amp;i customers who contract for generation supply with an EGS do not pay the MFC.  However, the MFC is added to the Price to Compare so that EGSs are able to reflect generation </w:t>
      </w:r>
      <w:r w:rsidRPr="00CB744C">
        <w:rPr>
          <w:sz w:val="26"/>
          <w:szCs w:val="26"/>
        </w:rPr>
        <w:lastRenderedPageBreak/>
        <w:t>uncollectible costs in their competitive supply offers.</w:t>
      </w:r>
      <w:r w:rsidRPr="00CB744C">
        <w:rPr>
          <w:rStyle w:val="FootnoteReference"/>
          <w:sz w:val="26"/>
          <w:szCs w:val="26"/>
          <w:vertAlign w:val="superscript"/>
        </w:rPr>
        <w:footnoteReference w:id="12"/>
      </w:r>
      <w:r w:rsidRPr="00CB744C">
        <w:rPr>
          <w:sz w:val="26"/>
          <w:szCs w:val="26"/>
        </w:rPr>
        <w:t xml:space="preserve">  </w:t>
      </w:r>
      <w:r>
        <w:rPr>
          <w:sz w:val="26"/>
          <w:szCs w:val="26"/>
        </w:rPr>
        <w:t>PPL</w:t>
      </w:r>
      <w:r w:rsidRPr="00CB744C">
        <w:rPr>
          <w:sz w:val="26"/>
          <w:szCs w:val="26"/>
        </w:rPr>
        <w:t xml:space="preserve"> St. 7, p. 30.</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Pr>
          <w:sz w:val="26"/>
          <w:szCs w:val="26"/>
        </w:rPr>
        <w:t>PPL</w:t>
      </w:r>
      <w:r w:rsidRPr="00CB744C">
        <w:rPr>
          <w:sz w:val="26"/>
          <w:szCs w:val="26"/>
        </w:rPr>
        <w:t xml:space="preserve">’s POR program is entirely voluntary, </w:t>
      </w:r>
      <w:r w:rsidRPr="00CB744C">
        <w:rPr>
          <w:i/>
          <w:sz w:val="26"/>
          <w:szCs w:val="26"/>
        </w:rPr>
        <w:t>i.e.</w:t>
      </w:r>
      <w:r w:rsidRPr="00CB744C">
        <w:rPr>
          <w:sz w:val="26"/>
          <w:szCs w:val="26"/>
        </w:rPr>
        <w:t xml:space="preserve">, EGSs can elect to participate or not participate in the program.  </w:t>
      </w:r>
      <w:r>
        <w:rPr>
          <w:sz w:val="26"/>
          <w:szCs w:val="26"/>
        </w:rPr>
        <w:t>PPL</w:t>
      </w:r>
      <w:r w:rsidRPr="00CB744C">
        <w:rPr>
          <w:sz w:val="26"/>
          <w:szCs w:val="26"/>
        </w:rPr>
        <w:t xml:space="preserve"> St. 7, p. 30.  Under the residential customers program, an EGS must sell all of its accounts receivable for that rate class and use </w:t>
      </w:r>
      <w:r>
        <w:rPr>
          <w:sz w:val="26"/>
          <w:szCs w:val="26"/>
        </w:rPr>
        <w:t>PPL</w:t>
      </w:r>
      <w:r w:rsidRPr="00CB744C">
        <w:rPr>
          <w:sz w:val="26"/>
          <w:szCs w:val="26"/>
        </w:rPr>
        <w:t xml:space="preserve">’s consolidated billing to participate in the POR program.  </w:t>
      </w:r>
      <w:r>
        <w:rPr>
          <w:sz w:val="26"/>
          <w:szCs w:val="26"/>
        </w:rPr>
        <w:t>PPL</w:t>
      </w:r>
      <w:r w:rsidRPr="00CB744C">
        <w:rPr>
          <w:sz w:val="26"/>
          <w:szCs w:val="26"/>
        </w:rPr>
        <w:t xml:space="preserve"> St. 6-R, p. 12.  For the small C&amp;I customers, an EGS may elect to participate in the POR program for some or all of its small C&amp;I customers, but must use EDC consolidated billing for those customers in the POR program.  </w:t>
      </w:r>
      <w:r>
        <w:rPr>
          <w:sz w:val="26"/>
          <w:szCs w:val="26"/>
        </w:rPr>
        <w:t>PPL</w:t>
      </w:r>
      <w:r w:rsidRPr="00CB744C">
        <w:rPr>
          <w:sz w:val="26"/>
          <w:szCs w:val="26"/>
        </w:rPr>
        <w:t xml:space="preserve"> St. 6-R, p. 12.</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t xml:space="preserve">Under the current and proposed POR program, the EGS calculates customer charges for its generation service and transmits those charges to </w:t>
      </w:r>
      <w:r>
        <w:rPr>
          <w:sz w:val="26"/>
          <w:szCs w:val="26"/>
        </w:rPr>
        <w:t>PPL</w:t>
      </w:r>
      <w:r w:rsidRPr="00CB744C">
        <w:rPr>
          <w:sz w:val="26"/>
          <w:szCs w:val="26"/>
        </w:rPr>
        <w:t>.</w:t>
      </w:r>
      <w:r w:rsidRPr="00CB744C">
        <w:rPr>
          <w:rStyle w:val="FootnoteReference"/>
          <w:sz w:val="26"/>
          <w:szCs w:val="26"/>
          <w:vertAlign w:val="superscript"/>
        </w:rPr>
        <w:footnoteReference w:id="13"/>
      </w:r>
      <w:r w:rsidRPr="00CB744C">
        <w:rPr>
          <w:sz w:val="26"/>
          <w:szCs w:val="26"/>
        </w:rPr>
        <w:t xml:space="preserve">  </w:t>
      </w:r>
      <w:r>
        <w:rPr>
          <w:sz w:val="26"/>
          <w:szCs w:val="26"/>
        </w:rPr>
        <w:t>PPL</w:t>
      </w:r>
      <w:r w:rsidRPr="00CB744C">
        <w:rPr>
          <w:sz w:val="26"/>
          <w:szCs w:val="26"/>
        </w:rPr>
        <w:t xml:space="preserve"> includes the generation charge on behalf of the EGS on the consolidated bill that the Company prepares and sends to the customer.  Importantly, when </w:t>
      </w:r>
      <w:r>
        <w:rPr>
          <w:sz w:val="26"/>
          <w:szCs w:val="26"/>
        </w:rPr>
        <w:t>PPL</w:t>
      </w:r>
      <w:r w:rsidRPr="00CB744C">
        <w:rPr>
          <w:sz w:val="26"/>
          <w:szCs w:val="26"/>
        </w:rPr>
        <w:t xml:space="preserve"> renders a bill with EGS charges, the Company takes on the obligation to remit the total amount of generation charges, less the appropriate discount, to the EGS within 25 days for residential customers and 20 days for small C&amp;I customers, regardless of whether the customer has actually paid the Company.  </w:t>
      </w:r>
      <w:r>
        <w:rPr>
          <w:sz w:val="26"/>
          <w:szCs w:val="26"/>
        </w:rPr>
        <w:t>PPL</w:t>
      </w:r>
      <w:r w:rsidRPr="00CB744C">
        <w:rPr>
          <w:sz w:val="26"/>
          <w:szCs w:val="26"/>
        </w:rPr>
        <w:t xml:space="preserve"> St. 6, p. 11.</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t xml:space="preserve">When the Company purchases the EGSs’ receivables, it obtains the right to pursue collection activities against the customer, including termination, to recover unpaid amounts for generation service owed by the customer.  However, </w:t>
      </w:r>
      <w:r>
        <w:rPr>
          <w:sz w:val="26"/>
          <w:szCs w:val="26"/>
        </w:rPr>
        <w:t>PPL</w:t>
      </w:r>
      <w:r w:rsidRPr="00CB744C">
        <w:rPr>
          <w:sz w:val="26"/>
          <w:szCs w:val="26"/>
        </w:rPr>
        <w:t xml:space="preserve"> has no recourse to seek recovery of any unpaid amounts from the EGS.  </w:t>
      </w:r>
      <w:r>
        <w:rPr>
          <w:sz w:val="26"/>
          <w:szCs w:val="26"/>
        </w:rPr>
        <w:t>PPL</w:t>
      </w:r>
      <w:r w:rsidRPr="00CB744C">
        <w:rPr>
          <w:sz w:val="26"/>
          <w:szCs w:val="26"/>
        </w:rPr>
        <w:t xml:space="preserve"> St. 6-R, pp. 6-7.</w:t>
      </w:r>
    </w:p>
    <w:p w:rsidR="00DF6803" w:rsidRDefault="00DF6803" w:rsidP="00DF6803">
      <w:pPr>
        <w:pStyle w:val="BodyText2"/>
        <w:spacing w:after="0" w:line="240" w:lineRule="auto"/>
        <w:ind w:left="1440" w:right="1440"/>
        <w:jc w:val="both"/>
        <w:rPr>
          <w:sz w:val="26"/>
          <w:szCs w:val="26"/>
        </w:rPr>
      </w:pPr>
      <w:r w:rsidRPr="00CB744C">
        <w:rPr>
          <w:sz w:val="26"/>
          <w:szCs w:val="26"/>
        </w:rPr>
        <w:tab/>
      </w:r>
    </w:p>
    <w:p w:rsidR="00DF6803" w:rsidRPr="00CB744C" w:rsidRDefault="00DF6803" w:rsidP="00DF6803">
      <w:pPr>
        <w:pStyle w:val="BodyText2"/>
        <w:spacing w:after="0" w:line="240" w:lineRule="auto"/>
        <w:ind w:left="1440" w:right="1440" w:firstLine="720"/>
        <w:rPr>
          <w:sz w:val="26"/>
          <w:szCs w:val="26"/>
        </w:rPr>
      </w:pPr>
      <w:r w:rsidRPr="00CB744C">
        <w:rPr>
          <w:sz w:val="26"/>
          <w:szCs w:val="26"/>
        </w:rPr>
        <w:lastRenderedPageBreak/>
        <w:t xml:space="preserve">To implement the current POR program, it was necessary for </w:t>
      </w:r>
      <w:r>
        <w:rPr>
          <w:sz w:val="26"/>
          <w:szCs w:val="26"/>
        </w:rPr>
        <w:t>PPL</w:t>
      </w:r>
      <w:r w:rsidRPr="00CB744C">
        <w:rPr>
          <w:sz w:val="26"/>
          <w:szCs w:val="26"/>
        </w:rPr>
        <w:t xml:space="preserve"> to make a significant number of programming and business changes.  The implementation of the current POR program required very significant effort in terms of the amount of resources invested, the short time frame, the criticality of the systems modified, and the timing of the work.  </w:t>
      </w:r>
      <w:r>
        <w:rPr>
          <w:sz w:val="26"/>
          <w:szCs w:val="26"/>
        </w:rPr>
        <w:t>PPL</w:t>
      </w:r>
      <w:r w:rsidRPr="00CB744C">
        <w:rPr>
          <w:sz w:val="26"/>
          <w:szCs w:val="26"/>
        </w:rPr>
        <w:t xml:space="preserve"> St. 6, pp. 12-13.  Importantly, the current POR program has only been in effect since January 1, 2010, and </w:t>
      </w:r>
      <w:r>
        <w:rPr>
          <w:sz w:val="26"/>
          <w:szCs w:val="26"/>
        </w:rPr>
        <w:t>PPL</w:t>
      </w:r>
      <w:r w:rsidRPr="00CB744C">
        <w:rPr>
          <w:sz w:val="26"/>
          <w:szCs w:val="26"/>
        </w:rPr>
        <w:t xml:space="preserve"> is still in the process of fully implementing the program.</w:t>
      </w:r>
    </w:p>
    <w:p w:rsidR="00DF6803" w:rsidRDefault="00DF6803" w:rsidP="00DF6803">
      <w:pPr>
        <w:pStyle w:val="BodyText2"/>
        <w:spacing w:after="0" w:line="240" w:lineRule="auto"/>
        <w:ind w:left="1440" w:right="1440"/>
        <w:jc w:val="both"/>
        <w:rPr>
          <w:sz w:val="26"/>
          <w:szCs w:val="26"/>
        </w:rPr>
      </w:pPr>
    </w:p>
    <w:p w:rsidR="00DF6803" w:rsidRPr="00CB744C" w:rsidRDefault="00DF6803" w:rsidP="00DF6803">
      <w:pPr>
        <w:pStyle w:val="BodyText2"/>
        <w:spacing w:after="0" w:line="240" w:lineRule="auto"/>
        <w:ind w:left="1440" w:right="1440"/>
        <w:jc w:val="both"/>
        <w:rPr>
          <w:sz w:val="26"/>
          <w:szCs w:val="26"/>
        </w:rPr>
      </w:pPr>
      <w:r w:rsidRPr="00CB744C">
        <w:rPr>
          <w:sz w:val="26"/>
          <w:szCs w:val="26"/>
        </w:rPr>
        <w:t xml:space="preserve">PPL </w:t>
      </w:r>
      <w:r>
        <w:rPr>
          <w:sz w:val="26"/>
          <w:szCs w:val="26"/>
        </w:rPr>
        <w:t>M.</w:t>
      </w:r>
      <w:r w:rsidRPr="00CB744C">
        <w:rPr>
          <w:sz w:val="26"/>
          <w:szCs w:val="26"/>
        </w:rPr>
        <w:t>B</w:t>
      </w:r>
      <w:r>
        <w:rPr>
          <w:sz w:val="26"/>
          <w:szCs w:val="26"/>
        </w:rPr>
        <w:t>.</w:t>
      </w:r>
      <w:r w:rsidRPr="00CB744C">
        <w:rPr>
          <w:sz w:val="26"/>
          <w:szCs w:val="26"/>
        </w:rPr>
        <w:t xml:space="preserve"> at 78-82.</w:t>
      </w:r>
    </w:p>
    <w:p w:rsidR="00DF6803" w:rsidRPr="00CB744C" w:rsidRDefault="00DF6803" w:rsidP="00DF6803">
      <w:pPr>
        <w:pStyle w:val="BodyText2"/>
        <w:spacing w:after="0" w:line="240" w:lineRule="auto"/>
        <w:ind w:left="1440" w:right="1440"/>
        <w:rPr>
          <w:sz w:val="26"/>
          <w:szCs w:val="26"/>
        </w:rPr>
      </w:pPr>
    </w:p>
    <w:p w:rsidR="00DF6803" w:rsidRPr="00CB744C" w:rsidRDefault="00DF6803" w:rsidP="00DF6803">
      <w:pPr>
        <w:pStyle w:val="BodyText2"/>
        <w:spacing w:after="0" w:line="240" w:lineRule="auto"/>
        <w:ind w:left="1440" w:right="1440"/>
        <w:rPr>
          <w:sz w:val="26"/>
          <w:szCs w:val="26"/>
        </w:rPr>
      </w:pPr>
    </w:p>
    <w:p w:rsidR="00DF6803"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 xml:space="preserve">The ALJ also summarized </w:t>
      </w:r>
      <w:r w:rsidRPr="00CB744C">
        <w:rPr>
          <w:sz w:val="26"/>
          <w:szCs w:val="26"/>
        </w:rPr>
        <w:t>RESA</w:t>
      </w:r>
      <w:r>
        <w:rPr>
          <w:sz w:val="26"/>
          <w:szCs w:val="26"/>
        </w:rPr>
        <w:t xml:space="preserve">’s position that: </w:t>
      </w:r>
      <w:r w:rsidRPr="00CB744C">
        <w:rPr>
          <w:sz w:val="26"/>
          <w:szCs w:val="26"/>
        </w:rPr>
        <w:t xml:space="preserve"> “a properly structured POR program enables competitors to efficiently and reasonably reach customers and is a critical component to establishing robust retail competition.  The discounted price PPL will pay to purchase the accounts receivable of the EGS as well as which customer classes will be eligible to participate in the POR program are the two key issues in dispute here.”  RESA M</w:t>
      </w:r>
      <w:r>
        <w:rPr>
          <w:sz w:val="26"/>
          <w:szCs w:val="26"/>
        </w:rPr>
        <w:t>.B.</w:t>
      </w:r>
      <w:bookmarkStart w:id="1" w:name="_Toc271015684"/>
      <w:bookmarkStart w:id="2" w:name="_Toc271031926"/>
      <w:bookmarkStart w:id="3" w:name="_Toc271032727"/>
      <w:bookmarkStart w:id="4" w:name="_Toc271034674"/>
      <w:bookmarkStart w:id="5" w:name="_Toc271100750"/>
      <w:bookmarkStart w:id="6" w:name="_Toc271103080"/>
      <w:bookmarkStart w:id="7" w:name="_Toc271103299"/>
      <w:bookmarkStart w:id="8" w:name="_Toc271107367"/>
      <w:bookmarkStart w:id="9" w:name="_Toc271107702"/>
      <w:bookmarkStart w:id="10" w:name="_Toc271110824"/>
      <w:bookmarkStart w:id="11" w:name="_Toc271114899"/>
      <w:bookmarkStart w:id="12" w:name="_Toc271120683"/>
      <w:bookmarkStart w:id="13" w:name="_Toc271121538"/>
      <w:bookmarkStart w:id="14" w:name="_Toc271121584"/>
      <w:bookmarkStart w:id="15" w:name="_Toc271126825"/>
      <w:bookmarkStart w:id="16" w:name="_Toc271130413"/>
      <w:bookmarkStart w:id="17" w:name="_Toc271134827"/>
      <w:bookmarkStart w:id="18" w:name="_Toc271136390"/>
      <w:bookmarkStart w:id="19" w:name="_Toc271186133"/>
      <w:bookmarkStart w:id="20" w:name="_Toc271190848"/>
      <w:bookmarkStart w:id="21" w:name="_Toc271191669"/>
      <w:bookmarkStart w:id="22" w:name="_Toc271194751"/>
      <w:r w:rsidR="00FE23D1">
        <w:rPr>
          <w:sz w:val="26"/>
          <w:szCs w:val="26"/>
        </w:rPr>
        <w:t xml:space="preserve"> at 1.</w:t>
      </w:r>
    </w:p>
    <w:p w:rsidR="00DF6803" w:rsidRPr="00CB744C" w:rsidRDefault="00DF6803" w:rsidP="00DF6803">
      <w:pPr>
        <w:pStyle w:val="BodyText2"/>
        <w:spacing w:after="0" w:line="360" w:lineRule="auto"/>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The ALJ found persuasive PPL’s</w:t>
      </w:r>
      <w:r w:rsidRPr="00CB744C">
        <w:rPr>
          <w:sz w:val="26"/>
          <w:szCs w:val="26"/>
        </w:rPr>
        <w:t xml:space="preserve"> cit</w:t>
      </w:r>
      <w:r>
        <w:rPr>
          <w:sz w:val="26"/>
          <w:szCs w:val="26"/>
        </w:rPr>
        <w:t>ation</w:t>
      </w:r>
      <w:r w:rsidRPr="00CB744C">
        <w:rPr>
          <w:sz w:val="26"/>
          <w:szCs w:val="26"/>
        </w:rPr>
        <w:t xml:space="preserve"> </w:t>
      </w:r>
      <w:r>
        <w:rPr>
          <w:sz w:val="26"/>
          <w:szCs w:val="26"/>
        </w:rPr>
        <w:t>to evidentiary support for its POR proposal</w:t>
      </w:r>
      <w:r w:rsidRPr="00CB744C">
        <w:rPr>
          <w:sz w:val="26"/>
          <w:szCs w:val="26"/>
        </w:rPr>
        <w:t>:</w:t>
      </w:r>
    </w:p>
    <w:p w:rsidR="00DF6803" w:rsidRPr="00CB744C" w:rsidRDefault="00DF6803" w:rsidP="00DF6803">
      <w:pPr>
        <w:pStyle w:val="BodyText2"/>
        <w:spacing w:after="0" w:line="240" w:lineRule="auto"/>
        <w:jc w:val="both"/>
        <w:rPr>
          <w:sz w:val="26"/>
          <w:szCs w:val="26"/>
        </w:rPr>
      </w:pPr>
    </w:p>
    <w:p w:rsidR="00DF6803" w:rsidRDefault="00DF6803" w:rsidP="00DF6803">
      <w:pPr>
        <w:pStyle w:val="BodyText2"/>
        <w:spacing w:line="240" w:lineRule="auto"/>
        <w:ind w:left="1440" w:right="1440"/>
        <w:contextualSpacing/>
        <w:rPr>
          <w:sz w:val="26"/>
          <w:szCs w:val="26"/>
        </w:rPr>
      </w:pPr>
      <w:r w:rsidRPr="00CB744C">
        <w:rPr>
          <w:sz w:val="26"/>
          <w:szCs w:val="26"/>
        </w:rPr>
        <w:t>Q:</w:t>
      </w:r>
      <w:r w:rsidRPr="00CB744C">
        <w:rPr>
          <w:sz w:val="26"/>
          <w:szCs w:val="26"/>
        </w:rPr>
        <w:tab/>
        <w:t>How is the POR administrative factor percentage developed?</w:t>
      </w:r>
    </w:p>
    <w:p w:rsidR="00392410" w:rsidRPr="00CB744C" w:rsidRDefault="00392410" w:rsidP="00DF6803">
      <w:pPr>
        <w:pStyle w:val="BodyText2"/>
        <w:spacing w:line="240" w:lineRule="auto"/>
        <w:ind w:left="1440" w:right="1440"/>
        <w:contextualSpacing/>
        <w:rPr>
          <w:sz w:val="26"/>
          <w:szCs w:val="26"/>
        </w:rPr>
      </w:pPr>
    </w:p>
    <w:p w:rsidR="00DF6803" w:rsidRDefault="00DF6803" w:rsidP="00DF6803">
      <w:pPr>
        <w:pStyle w:val="BodyText2"/>
        <w:spacing w:line="240" w:lineRule="auto"/>
        <w:ind w:left="1440" w:right="1440"/>
        <w:contextualSpacing/>
        <w:rPr>
          <w:sz w:val="26"/>
          <w:szCs w:val="26"/>
        </w:rPr>
      </w:pPr>
      <w:r w:rsidRPr="00CB744C">
        <w:rPr>
          <w:sz w:val="26"/>
          <w:szCs w:val="26"/>
        </w:rPr>
        <w:t>A:</w:t>
      </w:r>
      <w:r w:rsidRPr="00CB744C">
        <w:rPr>
          <w:sz w:val="26"/>
          <w:szCs w:val="26"/>
        </w:rPr>
        <w:tab/>
        <w:t xml:space="preserve">Under its current POR Program, the Company recovers its POR administrative costs as a percentage of EGSs’ supply charges to shopping customers.  Therefore, in order to develop a POR administrative percentage factor, the Company must estimate:  (1) its POR administrative costs, (2) shopping levels, (3) POR Program participation levels, and (4) average competitive supply rates.  However, because the Company has very limited experience regarding the operation of its current POR Program, which began on January 1, 2010, </w:t>
      </w:r>
      <w:r>
        <w:rPr>
          <w:sz w:val="26"/>
          <w:szCs w:val="26"/>
        </w:rPr>
        <w:t>PPL</w:t>
      </w:r>
      <w:r w:rsidRPr="00CB744C">
        <w:rPr>
          <w:sz w:val="26"/>
          <w:szCs w:val="26"/>
        </w:rPr>
        <w:t xml:space="preserve"> is proposing to continue using its current POR administrative percentage factor of 0.05% to recover its POR </w:t>
      </w:r>
      <w:r w:rsidRPr="00CB744C">
        <w:rPr>
          <w:sz w:val="26"/>
          <w:szCs w:val="26"/>
        </w:rPr>
        <w:lastRenderedPageBreak/>
        <w:t>administrative costs, until such time as it obtains more actual experience with the implementation of its POR Program.</w:t>
      </w:r>
    </w:p>
    <w:p w:rsidR="00DF6803" w:rsidRDefault="00DF6803" w:rsidP="00DF6803">
      <w:pPr>
        <w:pStyle w:val="BodyText2"/>
        <w:spacing w:after="0" w:line="240" w:lineRule="auto"/>
        <w:ind w:right="1440"/>
        <w:contextualSpacing/>
        <w:rPr>
          <w:sz w:val="26"/>
          <w:szCs w:val="26"/>
        </w:rPr>
      </w:pPr>
    </w:p>
    <w:p w:rsidR="00DF6803" w:rsidRPr="00CB744C" w:rsidRDefault="00DF6803" w:rsidP="00DF6803">
      <w:pPr>
        <w:pStyle w:val="BodyText2"/>
        <w:spacing w:after="0" w:line="240" w:lineRule="auto"/>
        <w:ind w:left="720" w:right="1440" w:firstLine="720"/>
        <w:contextualSpacing/>
        <w:rPr>
          <w:sz w:val="26"/>
          <w:szCs w:val="26"/>
        </w:rPr>
      </w:pPr>
      <w:r>
        <w:rPr>
          <w:sz w:val="26"/>
          <w:szCs w:val="26"/>
        </w:rPr>
        <w:t>PPL</w:t>
      </w:r>
      <w:r w:rsidRPr="00CB744C">
        <w:rPr>
          <w:sz w:val="26"/>
          <w:szCs w:val="26"/>
        </w:rPr>
        <w:t xml:space="preserve"> Stmt. 7 at 33-34 (</w:t>
      </w:r>
      <w:r w:rsidR="00FE23D1">
        <w:rPr>
          <w:sz w:val="26"/>
          <w:szCs w:val="26"/>
        </w:rPr>
        <w:t>D</w:t>
      </w:r>
      <w:r>
        <w:rPr>
          <w:sz w:val="26"/>
          <w:szCs w:val="26"/>
        </w:rPr>
        <w:t xml:space="preserve">irect </w:t>
      </w:r>
      <w:r w:rsidR="00FE23D1">
        <w:rPr>
          <w:sz w:val="26"/>
          <w:szCs w:val="26"/>
        </w:rPr>
        <w:t>T</w:t>
      </w:r>
      <w:r w:rsidRPr="00CB744C">
        <w:rPr>
          <w:sz w:val="26"/>
          <w:szCs w:val="26"/>
        </w:rPr>
        <w:t xml:space="preserve">estimony of Joseph M. Kleha). </w:t>
      </w:r>
    </w:p>
    <w:p w:rsidR="00DF6803" w:rsidRPr="00CB744C" w:rsidRDefault="00DF6803" w:rsidP="00DF6803">
      <w:pPr>
        <w:pStyle w:val="BodyText2"/>
        <w:spacing w:after="0" w:line="240" w:lineRule="auto"/>
        <w:rPr>
          <w:sz w:val="26"/>
          <w:szCs w:val="26"/>
        </w:rPr>
      </w:pPr>
    </w:p>
    <w:p w:rsidR="00DF6803" w:rsidRPr="00CB744C" w:rsidRDefault="00DF6803" w:rsidP="00DF6803">
      <w:pPr>
        <w:pStyle w:val="BodyText2"/>
        <w:spacing w:after="0" w:line="240" w:lineRule="auto"/>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The ALJ also found record support for PPL’s</w:t>
      </w:r>
      <w:r w:rsidRPr="00CB744C">
        <w:rPr>
          <w:sz w:val="26"/>
          <w:szCs w:val="26"/>
        </w:rPr>
        <w:t xml:space="preserve"> budgeted uncollectible accounts expense </w:t>
      </w:r>
      <w:r>
        <w:rPr>
          <w:sz w:val="26"/>
          <w:szCs w:val="26"/>
        </w:rPr>
        <w:t xml:space="preserve">being </w:t>
      </w:r>
      <w:r w:rsidRPr="00CB744C">
        <w:rPr>
          <w:sz w:val="26"/>
          <w:szCs w:val="26"/>
        </w:rPr>
        <w:t xml:space="preserve">based on an average of the actual bad debt write-offs for the most recent five calendar years.  </w:t>
      </w:r>
      <w:r>
        <w:rPr>
          <w:sz w:val="26"/>
          <w:szCs w:val="26"/>
        </w:rPr>
        <w:t>PPL</w:t>
      </w:r>
      <w:r w:rsidRPr="00CB744C">
        <w:rPr>
          <w:sz w:val="26"/>
          <w:szCs w:val="26"/>
        </w:rPr>
        <w:t xml:space="preserve"> Stmt. 7 at 33; Exhibit JMK-7.  </w:t>
      </w:r>
      <w:r>
        <w:rPr>
          <w:sz w:val="26"/>
          <w:szCs w:val="26"/>
        </w:rPr>
        <w:t xml:space="preserve"> The ALJ noted that </w:t>
      </w:r>
      <w:r w:rsidRPr="00CB744C">
        <w:rPr>
          <w:sz w:val="26"/>
          <w:szCs w:val="26"/>
        </w:rPr>
        <w:t xml:space="preserve">RESA’s Reply Brief cites its own Main Brief as authority for its contention that PPL has not identified the amount of uncollectible accounts expense generated by shopping customers and, therefore, </w:t>
      </w:r>
      <w:r w:rsidR="00FE23D1">
        <w:rPr>
          <w:sz w:val="26"/>
          <w:szCs w:val="26"/>
        </w:rPr>
        <w:t xml:space="preserve">RESA </w:t>
      </w:r>
      <w:r w:rsidRPr="00CB744C">
        <w:rPr>
          <w:sz w:val="26"/>
          <w:szCs w:val="26"/>
        </w:rPr>
        <w:t>has not proven that its class-average uncollectible accounts expense is a direct assignment of the true costs.  RESA R</w:t>
      </w:r>
      <w:r>
        <w:rPr>
          <w:sz w:val="26"/>
          <w:szCs w:val="26"/>
        </w:rPr>
        <w:t xml:space="preserve">.B. </w:t>
      </w:r>
      <w:r w:rsidRPr="00CB744C">
        <w:rPr>
          <w:sz w:val="26"/>
          <w:szCs w:val="26"/>
        </w:rPr>
        <w:t>at 4.  RESA continues:</w:t>
      </w:r>
    </w:p>
    <w:p w:rsidR="00DF6803" w:rsidRPr="00CB744C" w:rsidRDefault="00DF6803" w:rsidP="00DF6803">
      <w:pPr>
        <w:pStyle w:val="BodyText2"/>
        <w:spacing w:after="0" w:line="360" w:lineRule="auto"/>
        <w:rPr>
          <w:sz w:val="26"/>
          <w:szCs w:val="26"/>
        </w:rPr>
      </w:pPr>
    </w:p>
    <w:p w:rsidR="00DF6803" w:rsidRDefault="00DF6803" w:rsidP="00DF6803">
      <w:pPr>
        <w:pStyle w:val="BodyText2"/>
        <w:spacing w:after="0" w:line="240" w:lineRule="auto"/>
        <w:ind w:left="1440" w:right="1440"/>
        <w:contextualSpacing/>
        <w:rPr>
          <w:sz w:val="26"/>
          <w:szCs w:val="26"/>
        </w:rPr>
      </w:pPr>
      <w:r w:rsidRPr="00CB744C">
        <w:rPr>
          <w:sz w:val="26"/>
          <w:szCs w:val="26"/>
        </w:rPr>
        <w:t>Moreover and despite PPL’s statement that “EGSs should bear the collection risk for their own customers,” all customers benefit from the availability of competitive offers and all customers benefit from the ability of the EDC to use its vast collections and staff to minimize the risk of uncollectible accounts expense which benefits all customers.  In consideration of all these factors, a full socialization of this cost – as RESA supports here – for residential customers is a just and reasonable way to handle this cost for the benefit of all consumers.</w:t>
      </w:r>
    </w:p>
    <w:p w:rsidR="00DF6803" w:rsidRDefault="00DF6803" w:rsidP="00DF6803">
      <w:pPr>
        <w:pStyle w:val="BodyText2"/>
        <w:spacing w:after="0" w:line="240" w:lineRule="auto"/>
        <w:ind w:left="1440" w:right="1440"/>
        <w:contextualSpacing/>
        <w:jc w:val="both"/>
        <w:rPr>
          <w:sz w:val="26"/>
          <w:szCs w:val="26"/>
        </w:rPr>
      </w:pPr>
    </w:p>
    <w:p w:rsidR="00DF6803" w:rsidRPr="00CB744C" w:rsidRDefault="00DF6803" w:rsidP="00DF6803">
      <w:pPr>
        <w:pStyle w:val="BodyText2"/>
        <w:spacing w:after="0" w:line="240" w:lineRule="auto"/>
        <w:ind w:left="1440" w:right="1440"/>
        <w:contextualSpacing/>
        <w:rPr>
          <w:sz w:val="26"/>
          <w:szCs w:val="26"/>
        </w:rPr>
      </w:pPr>
      <w:r w:rsidRPr="00CB744C">
        <w:rPr>
          <w:sz w:val="26"/>
          <w:szCs w:val="26"/>
        </w:rPr>
        <w:t>RESA R</w:t>
      </w:r>
      <w:r>
        <w:rPr>
          <w:sz w:val="26"/>
          <w:szCs w:val="26"/>
        </w:rPr>
        <w:t>.</w:t>
      </w:r>
      <w:r w:rsidRPr="00CB744C">
        <w:rPr>
          <w:sz w:val="26"/>
          <w:szCs w:val="26"/>
        </w:rPr>
        <w:t>B</w:t>
      </w:r>
      <w:r>
        <w:rPr>
          <w:sz w:val="26"/>
          <w:szCs w:val="26"/>
        </w:rPr>
        <w:t>.</w:t>
      </w:r>
      <w:r w:rsidRPr="00CB744C">
        <w:rPr>
          <w:sz w:val="26"/>
          <w:szCs w:val="26"/>
        </w:rPr>
        <w:t xml:space="preserve"> at 4-5.  </w:t>
      </w:r>
    </w:p>
    <w:p w:rsidR="00DF6803" w:rsidRPr="00CB744C" w:rsidRDefault="00DF6803" w:rsidP="00DF6803">
      <w:pPr>
        <w:pStyle w:val="BodyText2"/>
        <w:spacing w:line="240" w:lineRule="auto"/>
        <w:ind w:left="1440" w:right="1440"/>
        <w:contextualSpacing/>
        <w:rPr>
          <w:sz w:val="26"/>
          <w:szCs w:val="26"/>
        </w:rPr>
      </w:pPr>
    </w:p>
    <w:p w:rsidR="00DF6803" w:rsidRPr="00CB744C" w:rsidRDefault="00DF6803" w:rsidP="00DF6803">
      <w:pPr>
        <w:pStyle w:val="BodyText2"/>
        <w:spacing w:line="240" w:lineRule="auto"/>
        <w:ind w:left="1440" w:right="1440"/>
        <w:contextualSpacing/>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The ALJ determined that, c</w:t>
      </w:r>
      <w:r w:rsidRPr="00CB744C">
        <w:rPr>
          <w:sz w:val="26"/>
          <w:szCs w:val="26"/>
        </w:rPr>
        <w:t xml:space="preserve">ontrary to RESA’s claim that uncollectible expenses for shopping customers should be borne by all PPL customers, public policy supports an approach which limits the rates charged to customers to costs incurred by serving similarly situated customers.  Therefore, costs caused by shopping customers should be borne by shopping customers, and costs incurred by non-shopping customers </w:t>
      </w:r>
      <w:r w:rsidRPr="00CB744C">
        <w:rPr>
          <w:sz w:val="26"/>
          <w:szCs w:val="26"/>
        </w:rPr>
        <w:lastRenderedPageBreak/>
        <w:t xml:space="preserve">should be borne by non-shopping customers.  </w:t>
      </w:r>
      <w:r>
        <w:rPr>
          <w:sz w:val="26"/>
          <w:szCs w:val="26"/>
        </w:rPr>
        <w:t>She noted that t</w:t>
      </w:r>
      <w:r w:rsidRPr="00CB744C">
        <w:rPr>
          <w:sz w:val="26"/>
          <w:szCs w:val="26"/>
        </w:rPr>
        <w:t xml:space="preserve">he Commission’s stated view on this subject is consistent with </w:t>
      </w:r>
      <w:r>
        <w:rPr>
          <w:sz w:val="26"/>
          <w:szCs w:val="26"/>
        </w:rPr>
        <w:t>PPL</w:t>
      </w:r>
      <w:r w:rsidRPr="00CB744C">
        <w:rPr>
          <w:sz w:val="26"/>
          <w:szCs w:val="26"/>
        </w:rPr>
        <w:t>’s:</w:t>
      </w:r>
    </w:p>
    <w:p w:rsidR="00DF6803" w:rsidRPr="00CB744C" w:rsidRDefault="00DF6803" w:rsidP="00DF6803">
      <w:pPr>
        <w:pStyle w:val="BodyText2"/>
        <w:spacing w:after="0" w:line="240" w:lineRule="auto"/>
        <w:rPr>
          <w:sz w:val="26"/>
          <w:szCs w:val="26"/>
        </w:rPr>
      </w:pPr>
    </w:p>
    <w:p w:rsidR="00DF6803" w:rsidRPr="00CB744C" w:rsidRDefault="00DF6803" w:rsidP="00DF6803">
      <w:pPr>
        <w:pStyle w:val="BodyText2"/>
        <w:spacing w:after="0" w:line="240" w:lineRule="auto"/>
        <w:ind w:left="1440" w:right="1440"/>
        <w:rPr>
          <w:b/>
          <w:sz w:val="26"/>
          <w:szCs w:val="26"/>
        </w:rPr>
      </w:pPr>
      <w:r w:rsidRPr="00CB744C">
        <w:rPr>
          <w:sz w:val="26"/>
          <w:szCs w:val="26"/>
        </w:rPr>
        <w:t>Just as default customers should not subsidize those customers who shop, shopping customers should not be required to subsidize the electric service of default customers who remain with the Company.</w:t>
      </w:r>
      <w:r w:rsidRPr="00CB744C">
        <w:rPr>
          <w:b/>
          <w:sz w:val="26"/>
          <w:szCs w:val="26"/>
        </w:rPr>
        <w:t xml:space="preserve">  </w:t>
      </w:r>
    </w:p>
    <w:p w:rsidR="00DF6803" w:rsidRPr="00CB744C" w:rsidRDefault="00DF6803" w:rsidP="00DF6803">
      <w:pPr>
        <w:pStyle w:val="BodyText2"/>
        <w:spacing w:after="0" w:line="240" w:lineRule="auto"/>
        <w:ind w:left="1440" w:right="1440"/>
        <w:rPr>
          <w:i/>
          <w:sz w:val="26"/>
          <w:szCs w:val="26"/>
        </w:rPr>
      </w:pPr>
    </w:p>
    <w:p w:rsidR="00DF6803" w:rsidRPr="00CB744C" w:rsidRDefault="00DF6803" w:rsidP="00E4475D">
      <w:pPr>
        <w:pStyle w:val="BodyText2"/>
        <w:spacing w:after="0" w:line="360" w:lineRule="auto"/>
        <w:rPr>
          <w:sz w:val="26"/>
          <w:szCs w:val="26"/>
        </w:rPr>
      </w:pPr>
      <w:r>
        <w:rPr>
          <w:i/>
          <w:sz w:val="26"/>
          <w:szCs w:val="26"/>
        </w:rPr>
        <w:t>PPL</w:t>
      </w:r>
      <w:r w:rsidRPr="00CB744C">
        <w:rPr>
          <w:i/>
          <w:sz w:val="26"/>
          <w:szCs w:val="26"/>
        </w:rPr>
        <w:t xml:space="preserve"> Utilities Corporation Retail Markets, </w:t>
      </w:r>
      <w:r w:rsidRPr="00CB744C">
        <w:rPr>
          <w:sz w:val="26"/>
          <w:szCs w:val="26"/>
        </w:rPr>
        <w:t>Docket No. M</w:t>
      </w:r>
      <w:r w:rsidRPr="00CB744C">
        <w:rPr>
          <w:sz w:val="26"/>
          <w:szCs w:val="26"/>
        </w:rPr>
        <w:noBreakHyphen/>
        <w:t>2009-2104271 (Order entered August 11, 2009) at 27-29.</w:t>
      </w:r>
    </w:p>
    <w:p w:rsidR="00DF6803" w:rsidRPr="00CB744C" w:rsidRDefault="00DF6803" w:rsidP="00DF6803">
      <w:pPr>
        <w:pStyle w:val="BodyText2"/>
        <w:spacing w:after="0" w:line="360" w:lineRule="auto"/>
        <w:rPr>
          <w:sz w:val="26"/>
          <w:szCs w:val="26"/>
        </w:rPr>
      </w:pPr>
    </w:p>
    <w:p w:rsidR="00DF6803" w:rsidRPr="00CB744C" w:rsidRDefault="00DF6803" w:rsidP="00DF6803">
      <w:pPr>
        <w:pStyle w:val="BodyText2"/>
        <w:spacing w:after="0" w:line="360" w:lineRule="auto"/>
        <w:rPr>
          <w:sz w:val="26"/>
          <w:szCs w:val="26"/>
        </w:rPr>
      </w:pPr>
      <w:r>
        <w:rPr>
          <w:sz w:val="26"/>
          <w:szCs w:val="26"/>
        </w:rPr>
        <w:tab/>
      </w:r>
      <w:r>
        <w:rPr>
          <w:sz w:val="26"/>
          <w:szCs w:val="26"/>
        </w:rPr>
        <w:tab/>
        <w:t>S</w:t>
      </w:r>
      <w:r w:rsidRPr="00CB744C">
        <w:rPr>
          <w:sz w:val="26"/>
          <w:szCs w:val="26"/>
        </w:rPr>
        <w:t xml:space="preserve">he </w:t>
      </w:r>
      <w:r>
        <w:rPr>
          <w:sz w:val="26"/>
          <w:szCs w:val="26"/>
        </w:rPr>
        <w:t>concluded that PPL</w:t>
      </w:r>
      <w:r w:rsidRPr="00CB744C">
        <w:rPr>
          <w:sz w:val="26"/>
          <w:szCs w:val="26"/>
        </w:rPr>
        <w:t xml:space="preserve"> set forth a rational approach towards determining the appropriate charges, as evidenced by the fact that the Commission has already approved the </w:t>
      </w:r>
      <w:r w:rsidR="00FE23D1">
        <w:rPr>
          <w:sz w:val="26"/>
          <w:szCs w:val="26"/>
        </w:rPr>
        <w:t xml:space="preserve">POR </w:t>
      </w:r>
      <w:r w:rsidRPr="00CB744C">
        <w:rPr>
          <w:sz w:val="26"/>
          <w:szCs w:val="26"/>
        </w:rPr>
        <w:t>program</w:t>
      </w:r>
      <w:r w:rsidR="0034056F">
        <w:rPr>
          <w:sz w:val="26"/>
          <w:szCs w:val="26"/>
        </w:rPr>
        <w:t>.</w:t>
      </w:r>
      <w:r w:rsidRPr="00CB744C">
        <w:rPr>
          <w:sz w:val="26"/>
          <w:szCs w:val="26"/>
        </w:rPr>
        <w:t xml:space="preserve"> </w:t>
      </w:r>
      <w:r w:rsidR="0034056F">
        <w:rPr>
          <w:sz w:val="26"/>
          <w:szCs w:val="26"/>
        </w:rPr>
        <w:t xml:space="preserve"> T</w:t>
      </w:r>
      <w:r w:rsidRPr="00CB744C">
        <w:rPr>
          <w:sz w:val="26"/>
          <w:szCs w:val="26"/>
        </w:rPr>
        <w:t>he newness of the program prevents actual costs from being used</w:t>
      </w:r>
      <w:r>
        <w:rPr>
          <w:sz w:val="26"/>
          <w:szCs w:val="26"/>
        </w:rPr>
        <w:t xml:space="preserve">, thereby necessitating </w:t>
      </w:r>
      <w:r w:rsidRPr="00CB744C">
        <w:rPr>
          <w:sz w:val="26"/>
          <w:szCs w:val="26"/>
        </w:rPr>
        <w:t xml:space="preserve">the use of historic data is reasonable in light of the fact that the POR is still in its first year of operation.  </w:t>
      </w:r>
      <w:r>
        <w:rPr>
          <w:sz w:val="26"/>
          <w:szCs w:val="26"/>
        </w:rPr>
        <w:t>PPL</w:t>
      </w:r>
      <w:r w:rsidRPr="00CB744C">
        <w:rPr>
          <w:sz w:val="26"/>
          <w:szCs w:val="26"/>
        </w:rPr>
        <w:t xml:space="preserve"> R</w:t>
      </w:r>
      <w:r w:rsidR="0034056F">
        <w:rPr>
          <w:sz w:val="26"/>
          <w:szCs w:val="26"/>
        </w:rPr>
        <w:t>.B.</w:t>
      </w:r>
      <w:r w:rsidRPr="00CB744C">
        <w:rPr>
          <w:sz w:val="26"/>
          <w:szCs w:val="26"/>
        </w:rPr>
        <w:t xml:space="preserve"> at 31.  Th</w:t>
      </w:r>
      <w:r>
        <w:rPr>
          <w:sz w:val="26"/>
          <w:szCs w:val="26"/>
        </w:rPr>
        <w:t>e</w:t>
      </w:r>
      <w:r w:rsidRPr="00CB744C">
        <w:rPr>
          <w:sz w:val="26"/>
          <w:szCs w:val="26"/>
        </w:rPr>
        <w:t xml:space="preserve"> </w:t>
      </w:r>
      <w:r>
        <w:rPr>
          <w:sz w:val="26"/>
          <w:szCs w:val="26"/>
        </w:rPr>
        <w:t xml:space="preserve">ALJ thus concluded that there was </w:t>
      </w:r>
      <w:r w:rsidRPr="00CB744C">
        <w:rPr>
          <w:sz w:val="26"/>
          <w:szCs w:val="26"/>
        </w:rPr>
        <w:t xml:space="preserve">sufficient evidence to support continuing </w:t>
      </w:r>
      <w:r>
        <w:rPr>
          <w:sz w:val="26"/>
          <w:szCs w:val="26"/>
        </w:rPr>
        <w:t xml:space="preserve">PPL’s current POR </w:t>
      </w:r>
      <w:r w:rsidRPr="00CB744C">
        <w:rPr>
          <w:sz w:val="26"/>
          <w:szCs w:val="26"/>
        </w:rPr>
        <w:t>program under the terms explained by the Company.</w:t>
      </w:r>
    </w:p>
    <w:p w:rsidR="00DF6803" w:rsidRPr="00CB744C" w:rsidRDefault="00DF6803" w:rsidP="00DF6803">
      <w:pPr>
        <w:pStyle w:val="BodyText2"/>
        <w:spacing w:after="0" w:line="360" w:lineRule="auto"/>
        <w:rPr>
          <w:sz w:val="26"/>
          <w:szCs w:val="26"/>
        </w:rPr>
      </w:pPr>
    </w:p>
    <w:p w:rsidR="00DF6803"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 xml:space="preserve">The ALJ described </w:t>
      </w:r>
      <w:r w:rsidRPr="00CB744C">
        <w:rPr>
          <w:sz w:val="26"/>
          <w:szCs w:val="26"/>
        </w:rPr>
        <w:t>RESA</w:t>
      </w:r>
      <w:r>
        <w:rPr>
          <w:sz w:val="26"/>
          <w:szCs w:val="26"/>
        </w:rPr>
        <w:t xml:space="preserve">’s </w:t>
      </w:r>
      <w:r w:rsidRPr="00CB744C">
        <w:rPr>
          <w:sz w:val="26"/>
          <w:szCs w:val="26"/>
        </w:rPr>
        <w:t>recommendations for modifications of the Company’s POR</w:t>
      </w:r>
      <w:r>
        <w:rPr>
          <w:sz w:val="26"/>
          <w:szCs w:val="26"/>
        </w:rPr>
        <w:t xml:space="preserve"> as follows</w:t>
      </w:r>
      <w:r w:rsidRPr="00CB744C">
        <w:rPr>
          <w:sz w:val="26"/>
          <w:szCs w:val="26"/>
        </w:rPr>
        <w:t>:</w:t>
      </w:r>
    </w:p>
    <w:p w:rsidR="00A72E92" w:rsidRPr="00CB744C" w:rsidRDefault="00A72E92" w:rsidP="00DF6803">
      <w:pPr>
        <w:pStyle w:val="BodyText2"/>
        <w:spacing w:after="0" w:line="360" w:lineRule="auto"/>
        <w:rPr>
          <w:sz w:val="26"/>
          <w:szCs w:val="26"/>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DF6803" w:rsidRDefault="00DF6803" w:rsidP="00A72E92">
      <w:pPr>
        <w:pStyle w:val="BodyText2"/>
        <w:tabs>
          <w:tab w:val="left" w:pos="2160"/>
        </w:tabs>
        <w:spacing w:after="0" w:line="240" w:lineRule="auto"/>
        <w:ind w:left="1440" w:hanging="720"/>
        <w:rPr>
          <w:sz w:val="26"/>
          <w:szCs w:val="26"/>
        </w:rPr>
      </w:pPr>
      <w:r w:rsidRPr="00CB744C">
        <w:rPr>
          <w:sz w:val="26"/>
          <w:szCs w:val="26"/>
        </w:rPr>
        <w:t>(a)</w:t>
      </w:r>
      <w:r w:rsidR="00A72E92">
        <w:rPr>
          <w:sz w:val="26"/>
          <w:szCs w:val="26"/>
        </w:rPr>
        <w:tab/>
      </w:r>
      <w:r w:rsidRPr="00CB744C">
        <w:rPr>
          <w:sz w:val="26"/>
          <w:szCs w:val="26"/>
        </w:rPr>
        <w:t xml:space="preserve">elimination of the uncollectible accounts expense percentage factor from the discount rate and recover the costs associated with all generation-related uncollectible accounts expense through the application of a non-bypassable MFC to both shopping and non-shopping customers; </w:t>
      </w:r>
    </w:p>
    <w:p w:rsidR="00A72E92" w:rsidRPr="00CB744C" w:rsidRDefault="00A72E92" w:rsidP="00A72E92">
      <w:pPr>
        <w:pStyle w:val="BodyText2"/>
        <w:tabs>
          <w:tab w:val="left" w:pos="2160"/>
        </w:tabs>
        <w:spacing w:after="0" w:line="240" w:lineRule="auto"/>
        <w:ind w:left="1440" w:hanging="720"/>
        <w:rPr>
          <w:sz w:val="26"/>
          <w:szCs w:val="26"/>
        </w:rPr>
      </w:pPr>
    </w:p>
    <w:p w:rsidR="00DF6803" w:rsidRPr="00CB744C" w:rsidRDefault="00DF6803" w:rsidP="00A72E92">
      <w:pPr>
        <w:pStyle w:val="BodyText2"/>
        <w:tabs>
          <w:tab w:val="left" w:pos="2160"/>
        </w:tabs>
        <w:spacing w:after="0" w:line="240" w:lineRule="auto"/>
        <w:ind w:left="1440" w:hanging="720"/>
        <w:rPr>
          <w:sz w:val="26"/>
          <w:szCs w:val="26"/>
        </w:rPr>
      </w:pPr>
      <w:r w:rsidRPr="00CB744C">
        <w:rPr>
          <w:sz w:val="26"/>
          <w:szCs w:val="26"/>
        </w:rPr>
        <w:t>(b)</w:t>
      </w:r>
      <w:r w:rsidR="00A72E92">
        <w:rPr>
          <w:sz w:val="26"/>
          <w:szCs w:val="26"/>
        </w:rPr>
        <w:tab/>
      </w:r>
      <w:r w:rsidRPr="00CB744C">
        <w:rPr>
          <w:sz w:val="26"/>
          <w:szCs w:val="26"/>
        </w:rPr>
        <w:t>elimination of the “all-in/all-out” requirement for residential customers;</w:t>
      </w:r>
    </w:p>
    <w:p w:rsidR="00A72E92" w:rsidRDefault="00A72E92" w:rsidP="00A72E92">
      <w:pPr>
        <w:pStyle w:val="BodyText2"/>
        <w:tabs>
          <w:tab w:val="left" w:pos="2160"/>
        </w:tabs>
        <w:spacing w:after="0" w:line="240" w:lineRule="auto"/>
        <w:ind w:left="1440" w:hanging="720"/>
        <w:rPr>
          <w:sz w:val="26"/>
          <w:szCs w:val="26"/>
        </w:rPr>
      </w:pPr>
    </w:p>
    <w:p w:rsidR="00DF6803" w:rsidRPr="00CB744C" w:rsidRDefault="00A72E92" w:rsidP="00A72E92">
      <w:pPr>
        <w:pStyle w:val="BodyText2"/>
        <w:tabs>
          <w:tab w:val="left" w:pos="2160"/>
        </w:tabs>
        <w:spacing w:after="0" w:line="240" w:lineRule="auto"/>
        <w:ind w:left="1440" w:hanging="720"/>
        <w:rPr>
          <w:sz w:val="26"/>
          <w:szCs w:val="26"/>
        </w:rPr>
      </w:pPr>
      <w:r>
        <w:rPr>
          <w:sz w:val="26"/>
          <w:szCs w:val="26"/>
        </w:rPr>
        <w:t>(c)</w:t>
      </w:r>
      <w:r>
        <w:rPr>
          <w:sz w:val="26"/>
          <w:szCs w:val="26"/>
        </w:rPr>
        <w:tab/>
      </w:r>
      <w:r w:rsidR="00DF6803" w:rsidRPr="00CB744C">
        <w:rPr>
          <w:sz w:val="26"/>
          <w:szCs w:val="26"/>
        </w:rPr>
        <w:t xml:space="preserve">elimination of the current tracking mechanism to monitor individual EGS uncollectible percentages for small C&amp;I customers; and </w:t>
      </w:r>
    </w:p>
    <w:p w:rsidR="00A72E92" w:rsidRDefault="00A72E92" w:rsidP="00A72E92">
      <w:pPr>
        <w:pStyle w:val="BodyText2"/>
        <w:tabs>
          <w:tab w:val="left" w:pos="2160"/>
        </w:tabs>
        <w:spacing w:after="0" w:line="240" w:lineRule="auto"/>
        <w:ind w:left="1440" w:hanging="720"/>
        <w:rPr>
          <w:sz w:val="26"/>
          <w:szCs w:val="26"/>
        </w:rPr>
      </w:pPr>
    </w:p>
    <w:p w:rsidR="00DF6803" w:rsidRPr="00CB744C" w:rsidRDefault="00DF6803" w:rsidP="00A72E92">
      <w:pPr>
        <w:pStyle w:val="BodyText2"/>
        <w:tabs>
          <w:tab w:val="left" w:pos="2160"/>
        </w:tabs>
        <w:spacing w:after="0" w:line="240" w:lineRule="auto"/>
        <w:ind w:left="1440" w:hanging="720"/>
        <w:rPr>
          <w:sz w:val="26"/>
          <w:szCs w:val="26"/>
        </w:rPr>
      </w:pPr>
      <w:r w:rsidRPr="00CB744C">
        <w:rPr>
          <w:sz w:val="26"/>
          <w:szCs w:val="26"/>
        </w:rPr>
        <w:t>(d)</w:t>
      </w:r>
      <w:r w:rsidR="00A72E92">
        <w:rPr>
          <w:sz w:val="26"/>
          <w:szCs w:val="26"/>
        </w:rPr>
        <w:tab/>
      </w:r>
      <w:r w:rsidRPr="00CB744C">
        <w:rPr>
          <w:sz w:val="26"/>
          <w:szCs w:val="26"/>
        </w:rPr>
        <w:t xml:space="preserve">expansion of the POR program to apply to large C&amp;I customers. </w:t>
      </w:r>
    </w:p>
    <w:p w:rsidR="00DF6803" w:rsidRPr="00CB744C" w:rsidRDefault="00DF6803" w:rsidP="00DF6803">
      <w:pPr>
        <w:pStyle w:val="BodyText2"/>
        <w:spacing w:after="0" w:line="360" w:lineRule="auto"/>
        <w:ind w:left="720"/>
        <w:rPr>
          <w:sz w:val="26"/>
          <w:szCs w:val="26"/>
        </w:rPr>
      </w:pPr>
      <w:r w:rsidRPr="00CB744C">
        <w:rPr>
          <w:sz w:val="26"/>
          <w:szCs w:val="26"/>
        </w:rPr>
        <w:t xml:space="preserve"> </w:t>
      </w:r>
    </w:p>
    <w:p w:rsidR="00DF6803" w:rsidRPr="00CB744C" w:rsidRDefault="00DF6803" w:rsidP="00A72E92">
      <w:pPr>
        <w:pStyle w:val="BodyText2"/>
        <w:spacing w:after="0" w:line="360" w:lineRule="auto"/>
        <w:rPr>
          <w:sz w:val="26"/>
          <w:szCs w:val="26"/>
        </w:rPr>
      </w:pPr>
      <w:r w:rsidRPr="00CB744C">
        <w:rPr>
          <w:sz w:val="26"/>
          <w:szCs w:val="26"/>
        </w:rPr>
        <w:lastRenderedPageBreak/>
        <w:tab/>
      </w:r>
      <w:r w:rsidRPr="00CB744C">
        <w:rPr>
          <w:sz w:val="26"/>
          <w:szCs w:val="26"/>
        </w:rPr>
        <w:tab/>
      </w:r>
      <w:r>
        <w:rPr>
          <w:sz w:val="26"/>
          <w:szCs w:val="26"/>
        </w:rPr>
        <w:t xml:space="preserve">Because </w:t>
      </w:r>
      <w:r w:rsidRPr="00CB744C">
        <w:rPr>
          <w:sz w:val="26"/>
          <w:szCs w:val="26"/>
        </w:rPr>
        <w:t xml:space="preserve">RESA </w:t>
      </w:r>
      <w:r>
        <w:rPr>
          <w:sz w:val="26"/>
          <w:szCs w:val="26"/>
        </w:rPr>
        <w:t>was</w:t>
      </w:r>
      <w:r w:rsidRPr="00CB744C">
        <w:rPr>
          <w:sz w:val="26"/>
          <w:szCs w:val="26"/>
        </w:rPr>
        <w:t xml:space="preserve"> introducing these proposals, </w:t>
      </w:r>
      <w:r>
        <w:rPr>
          <w:sz w:val="26"/>
          <w:szCs w:val="26"/>
        </w:rPr>
        <w:t xml:space="preserve">the ALJ concluded that </w:t>
      </w:r>
      <w:r w:rsidRPr="00CB744C">
        <w:rPr>
          <w:sz w:val="26"/>
          <w:szCs w:val="26"/>
        </w:rPr>
        <w:t>RESA b</w:t>
      </w:r>
      <w:r>
        <w:rPr>
          <w:sz w:val="26"/>
          <w:szCs w:val="26"/>
        </w:rPr>
        <w:t>o</w:t>
      </w:r>
      <w:r w:rsidRPr="00CB744C">
        <w:rPr>
          <w:sz w:val="26"/>
          <w:szCs w:val="26"/>
        </w:rPr>
        <w:t>r</w:t>
      </w:r>
      <w:r>
        <w:rPr>
          <w:sz w:val="26"/>
          <w:szCs w:val="26"/>
        </w:rPr>
        <w:t>e</w:t>
      </w:r>
      <w:r w:rsidRPr="00CB744C">
        <w:rPr>
          <w:sz w:val="26"/>
          <w:szCs w:val="26"/>
        </w:rPr>
        <w:t xml:space="preserve"> the burden of proving by substantial evidence that they should be adopted.</w:t>
      </w:r>
    </w:p>
    <w:p w:rsidR="00DF6803" w:rsidRPr="00CB744C" w:rsidRDefault="00DF6803" w:rsidP="00DF6803">
      <w:pPr>
        <w:pStyle w:val="BodyText2"/>
        <w:spacing w:after="0" w:line="360" w:lineRule="auto"/>
        <w:rPr>
          <w:sz w:val="26"/>
          <w:szCs w:val="26"/>
        </w:rPr>
      </w:pPr>
    </w:p>
    <w:p w:rsidR="00DF6803" w:rsidRPr="00CB744C" w:rsidRDefault="00DF6803" w:rsidP="00A72E92">
      <w:pPr>
        <w:pStyle w:val="BodyText2"/>
        <w:keepNext/>
        <w:keepLines/>
        <w:spacing w:after="0" w:line="240" w:lineRule="auto"/>
        <w:ind w:left="3600" w:hanging="720"/>
        <w:rPr>
          <w:b/>
          <w:sz w:val="26"/>
          <w:szCs w:val="26"/>
        </w:rPr>
      </w:pPr>
      <w:r w:rsidRPr="00CB744C">
        <w:rPr>
          <w:b/>
          <w:sz w:val="26"/>
          <w:szCs w:val="26"/>
        </w:rPr>
        <w:t>(</w:t>
      </w:r>
      <w:r>
        <w:rPr>
          <w:b/>
          <w:sz w:val="26"/>
          <w:szCs w:val="26"/>
        </w:rPr>
        <w:t>b</w:t>
      </w:r>
      <w:r w:rsidR="00A72E92">
        <w:rPr>
          <w:b/>
          <w:sz w:val="26"/>
          <w:szCs w:val="26"/>
        </w:rPr>
        <w:t>)</w:t>
      </w:r>
      <w:r w:rsidR="00A72E92">
        <w:rPr>
          <w:b/>
          <w:sz w:val="26"/>
          <w:szCs w:val="26"/>
        </w:rPr>
        <w:tab/>
      </w:r>
      <w:r w:rsidRPr="00CB744C">
        <w:rPr>
          <w:b/>
          <w:sz w:val="26"/>
          <w:szCs w:val="26"/>
        </w:rPr>
        <w:t>E</w:t>
      </w:r>
      <w:r w:rsidR="009D36C9">
        <w:rPr>
          <w:b/>
          <w:sz w:val="26"/>
          <w:szCs w:val="26"/>
        </w:rPr>
        <w:t>limination of U</w:t>
      </w:r>
      <w:r w:rsidRPr="00CB744C">
        <w:rPr>
          <w:b/>
          <w:sz w:val="26"/>
          <w:szCs w:val="26"/>
        </w:rPr>
        <w:t xml:space="preserve">ncollectible </w:t>
      </w:r>
      <w:r w:rsidR="009D36C9">
        <w:rPr>
          <w:b/>
          <w:sz w:val="26"/>
          <w:szCs w:val="26"/>
        </w:rPr>
        <w:t>A</w:t>
      </w:r>
      <w:r w:rsidRPr="00CB744C">
        <w:rPr>
          <w:b/>
          <w:sz w:val="26"/>
          <w:szCs w:val="26"/>
        </w:rPr>
        <w:t xml:space="preserve">ccounts </w:t>
      </w:r>
      <w:r w:rsidR="009D36C9">
        <w:rPr>
          <w:b/>
          <w:sz w:val="26"/>
          <w:szCs w:val="26"/>
        </w:rPr>
        <w:t>E</w:t>
      </w:r>
      <w:r w:rsidRPr="00CB744C">
        <w:rPr>
          <w:b/>
          <w:sz w:val="26"/>
          <w:szCs w:val="26"/>
        </w:rPr>
        <w:t xml:space="preserve">xpense </w:t>
      </w:r>
      <w:r w:rsidR="009D36C9">
        <w:rPr>
          <w:b/>
          <w:sz w:val="26"/>
          <w:szCs w:val="26"/>
        </w:rPr>
        <w:t>P</w:t>
      </w:r>
      <w:r w:rsidRPr="00CB744C">
        <w:rPr>
          <w:b/>
          <w:sz w:val="26"/>
          <w:szCs w:val="26"/>
        </w:rPr>
        <w:t xml:space="preserve">ercentage </w:t>
      </w:r>
      <w:r w:rsidR="009D36C9">
        <w:rPr>
          <w:b/>
          <w:sz w:val="26"/>
          <w:szCs w:val="26"/>
        </w:rPr>
        <w:t>Factor and I</w:t>
      </w:r>
      <w:r w:rsidRPr="00CB744C">
        <w:rPr>
          <w:b/>
          <w:sz w:val="26"/>
          <w:szCs w:val="26"/>
        </w:rPr>
        <w:t xml:space="preserve">mplementation of a </w:t>
      </w:r>
      <w:r w:rsidR="009D36C9">
        <w:rPr>
          <w:b/>
          <w:sz w:val="26"/>
          <w:szCs w:val="26"/>
        </w:rPr>
        <w:t>N</w:t>
      </w:r>
      <w:r w:rsidRPr="00CB744C">
        <w:rPr>
          <w:b/>
          <w:sz w:val="26"/>
          <w:szCs w:val="26"/>
        </w:rPr>
        <w:t xml:space="preserve">on-bypassable MFC to </w:t>
      </w:r>
      <w:r w:rsidR="009D36C9">
        <w:rPr>
          <w:b/>
          <w:sz w:val="26"/>
          <w:szCs w:val="26"/>
        </w:rPr>
        <w:t>B</w:t>
      </w:r>
      <w:r w:rsidRPr="00CB744C">
        <w:rPr>
          <w:b/>
          <w:sz w:val="26"/>
          <w:szCs w:val="26"/>
        </w:rPr>
        <w:t xml:space="preserve">oth </w:t>
      </w:r>
      <w:r w:rsidR="009D36C9">
        <w:rPr>
          <w:b/>
          <w:sz w:val="26"/>
          <w:szCs w:val="26"/>
        </w:rPr>
        <w:t>S</w:t>
      </w:r>
      <w:r w:rsidRPr="00CB744C">
        <w:rPr>
          <w:b/>
          <w:sz w:val="26"/>
          <w:szCs w:val="26"/>
        </w:rPr>
        <w:t xml:space="preserve">hopping and </w:t>
      </w:r>
      <w:r w:rsidR="009D36C9">
        <w:rPr>
          <w:b/>
          <w:sz w:val="26"/>
          <w:szCs w:val="26"/>
        </w:rPr>
        <w:t>N</w:t>
      </w:r>
      <w:r w:rsidRPr="00CB744C">
        <w:rPr>
          <w:b/>
          <w:sz w:val="26"/>
          <w:szCs w:val="26"/>
        </w:rPr>
        <w:t>on-</w:t>
      </w:r>
      <w:r w:rsidR="009D36C9">
        <w:rPr>
          <w:b/>
          <w:sz w:val="26"/>
          <w:szCs w:val="26"/>
        </w:rPr>
        <w:t>S</w:t>
      </w:r>
      <w:r w:rsidRPr="00CB744C">
        <w:rPr>
          <w:b/>
          <w:sz w:val="26"/>
          <w:szCs w:val="26"/>
        </w:rPr>
        <w:t xml:space="preserve">hopping </w:t>
      </w:r>
      <w:r w:rsidR="009D36C9">
        <w:rPr>
          <w:b/>
          <w:sz w:val="26"/>
          <w:szCs w:val="26"/>
        </w:rPr>
        <w:t>C</w:t>
      </w:r>
      <w:r w:rsidRPr="00CB744C">
        <w:rPr>
          <w:b/>
          <w:sz w:val="26"/>
          <w:szCs w:val="26"/>
        </w:rPr>
        <w:t>ustomers.</w:t>
      </w:r>
    </w:p>
    <w:p w:rsidR="00DF6803" w:rsidRPr="00CB744C" w:rsidRDefault="00DF6803" w:rsidP="00A72E92">
      <w:pPr>
        <w:pStyle w:val="BodyText2"/>
        <w:keepNext/>
        <w:keepLines/>
        <w:spacing w:after="0" w:line="360" w:lineRule="auto"/>
        <w:rPr>
          <w:b/>
          <w:sz w:val="26"/>
          <w:szCs w:val="26"/>
        </w:rPr>
      </w:pPr>
    </w:p>
    <w:p w:rsidR="00DF6803" w:rsidRPr="00CB744C" w:rsidRDefault="00DF6803" w:rsidP="00DF6803">
      <w:pPr>
        <w:pStyle w:val="BodyText2"/>
        <w:spacing w:after="0" w:line="360" w:lineRule="auto"/>
        <w:rPr>
          <w:sz w:val="26"/>
          <w:szCs w:val="26"/>
        </w:rPr>
      </w:pPr>
      <w:r w:rsidRPr="00CB744C">
        <w:rPr>
          <w:b/>
          <w:sz w:val="26"/>
          <w:szCs w:val="26"/>
        </w:rPr>
        <w:tab/>
      </w:r>
      <w:r w:rsidRPr="00CB744C">
        <w:rPr>
          <w:b/>
          <w:sz w:val="26"/>
          <w:szCs w:val="26"/>
        </w:rPr>
        <w:tab/>
      </w:r>
      <w:r w:rsidRPr="00CB744C">
        <w:rPr>
          <w:sz w:val="26"/>
          <w:szCs w:val="26"/>
        </w:rPr>
        <w:t xml:space="preserve">The </w:t>
      </w:r>
      <w:r>
        <w:rPr>
          <w:sz w:val="26"/>
          <w:szCs w:val="26"/>
        </w:rPr>
        <w:t xml:space="preserve">ALJ observed that the </w:t>
      </w:r>
      <w:r w:rsidRPr="00CB744C">
        <w:rPr>
          <w:sz w:val="26"/>
          <w:szCs w:val="26"/>
        </w:rPr>
        <w:t xml:space="preserve">essential question here is whether non-shopping customers should bear a portion of the uncollectibles of the shopping customers.  </w:t>
      </w:r>
      <w:r>
        <w:rPr>
          <w:sz w:val="26"/>
          <w:szCs w:val="26"/>
        </w:rPr>
        <w:t xml:space="preserve">She explained that </w:t>
      </w:r>
      <w:r w:rsidRPr="00CB744C">
        <w:rPr>
          <w:sz w:val="26"/>
          <w:szCs w:val="26"/>
        </w:rPr>
        <w:t>RESA must prove that its alternative recommendation is appropriate</w:t>
      </w:r>
      <w:r>
        <w:rPr>
          <w:sz w:val="26"/>
          <w:szCs w:val="26"/>
        </w:rPr>
        <w:t>.  The</w:t>
      </w:r>
      <w:r w:rsidRPr="00CB744C">
        <w:rPr>
          <w:sz w:val="26"/>
          <w:szCs w:val="26"/>
        </w:rPr>
        <w:t xml:space="preserve"> Company disagree</w:t>
      </w:r>
      <w:r>
        <w:rPr>
          <w:sz w:val="26"/>
          <w:szCs w:val="26"/>
        </w:rPr>
        <w:t>d</w:t>
      </w:r>
      <w:r w:rsidRPr="00CB744C">
        <w:rPr>
          <w:sz w:val="26"/>
          <w:szCs w:val="26"/>
        </w:rPr>
        <w:t xml:space="preserve"> with RESA’s proposal:</w:t>
      </w:r>
    </w:p>
    <w:p w:rsidR="00DF6803" w:rsidRPr="00CB744C" w:rsidRDefault="00DF6803" w:rsidP="00DF6803">
      <w:pPr>
        <w:pStyle w:val="BodyText2"/>
        <w:spacing w:after="0" w:line="360" w:lineRule="auto"/>
        <w:rPr>
          <w:sz w:val="26"/>
          <w:szCs w:val="26"/>
        </w:rPr>
      </w:pPr>
    </w:p>
    <w:p w:rsidR="00DF6803" w:rsidRDefault="00DF6803" w:rsidP="00A72E92">
      <w:pPr>
        <w:pStyle w:val="BodyText2"/>
        <w:spacing w:after="0" w:line="240" w:lineRule="auto"/>
        <w:ind w:left="1440" w:right="1440"/>
        <w:contextualSpacing/>
        <w:rPr>
          <w:sz w:val="26"/>
          <w:szCs w:val="26"/>
        </w:rPr>
      </w:pPr>
      <w:r w:rsidRPr="00CB744C">
        <w:rPr>
          <w:sz w:val="26"/>
          <w:szCs w:val="26"/>
        </w:rPr>
        <w:t xml:space="preserve">. . .  </w:t>
      </w:r>
      <w:r>
        <w:rPr>
          <w:sz w:val="26"/>
          <w:szCs w:val="26"/>
        </w:rPr>
        <w:t>PPL</w:t>
      </w:r>
      <w:r w:rsidRPr="00CB744C">
        <w:rPr>
          <w:sz w:val="26"/>
          <w:szCs w:val="26"/>
        </w:rPr>
        <w:t xml:space="preserve">, with express Commission approval, has unbundled the generation supply-related uncollectible accounts expense from its distribution base rates and recovers this expense through the MFC.  </w:t>
      </w:r>
      <w:r>
        <w:rPr>
          <w:sz w:val="26"/>
          <w:szCs w:val="26"/>
        </w:rPr>
        <w:t>PPL</w:t>
      </w:r>
      <w:r w:rsidRPr="00CB744C">
        <w:rPr>
          <w:sz w:val="26"/>
          <w:szCs w:val="26"/>
        </w:rPr>
        <w:t xml:space="preserve"> St. 6-R, p. 4.  The MFC is paid by all POLR customers, and </w:t>
      </w:r>
      <w:r>
        <w:rPr>
          <w:sz w:val="26"/>
          <w:szCs w:val="26"/>
        </w:rPr>
        <w:t>PPL</w:t>
      </w:r>
      <w:r w:rsidRPr="00CB744C">
        <w:rPr>
          <w:sz w:val="26"/>
          <w:szCs w:val="26"/>
        </w:rPr>
        <w:t xml:space="preserve"> includes the MFC in its Price to Compare.  </w:t>
      </w:r>
      <w:r>
        <w:rPr>
          <w:sz w:val="26"/>
          <w:szCs w:val="26"/>
        </w:rPr>
        <w:t>PPL</w:t>
      </w:r>
      <w:r w:rsidRPr="00CB744C">
        <w:rPr>
          <w:sz w:val="26"/>
          <w:szCs w:val="26"/>
        </w:rPr>
        <w:t xml:space="preserve"> St. 7, p. 35.  The MFC, however, is a bypassable charge, </w:t>
      </w:r>
      <w:r w:rsidRPr="00CB744C">
        <w:rPr>
          <w:i/>
          <w:sz w:val="26"/>
          <w:szCs w:val="26"/>
        </w:rPr>
        <w:t>i.e.</w:t>
      </w:r>
      <w:r w:rsidRPr="00CB744C">
        <w:rPr>
          <w:sz w:val="26"/>
          <w:szCs w:val="26"/>
        </w:rPr>
        <w:t xml:space="preserve">, shopping customers do not pay the MFC.   This construct provides EGSs with two options for dealing with the risk of collection.  One option is to not participate in the POR program and reflect the risk of uncollectibles in the price they charge shopping customers.  The second option is to sell the account receivable to </w:t>
      </w:r>
      <w:r>
        <w:rPr>
          <w:sz w:val="26"/>
          <w:szCs w:val="26"/>
        </w:rPr>
        <w:t>PPL</w:t>
      </w:r>
      <w:r w:rsidRPr="00CB744C">
        <w:rPr>
          <w:sz w:val="26"/>
          <w:szCs w:val="26"/>
        </w:rPr>
        <w:t xml:space="preserve"> at a discount and have the Company assume the costs of collection and the risk of non-collection.  Accordingly, under the voluntary POR program, EGSs are provided with the competitive advantage of determining the extent of the generation-related uncollectible accounts expense that they are willing to bear.  </w:t>
      </w:r>
    </w:p>
    <w:p w:rsidR="00DF6803" w:rsidRPr="00CB744C" w:rsidRDefault="00DF6803" w:rsidP="00DF6803">
      <w:pPr>
        <w:pStyle w:val="BodyText2"/>
        <w:spacing w:after="0" w:line="240" w:lineRule="auto"/>
        <w:ind w:left="1440" w:right="1440"/>
        <w:contextualSpacing/>
        <w:jc w:val="both"/>
        <w:rPr>
          <w:sz w:val="26"/>
          <w:szCs w:val="26"/>
        </w:rPr>
      </w:pPr>
    </w:p>
    <w:p w:rsidR="00DF6803" w:rsidRDefault="00DF6803" w:rsidP="00A72E92">
      <w:pPr>
        <w:pStyle w:val="BodyText2"/>
        <w:spacing w:after="0" w:line="240" w:lineRule="auto"/>
        <w:ind w:left="1440" w:right="1440"/>
        <w:contextualSpacing/>
        <w:rPr>
          <w:sz w:val="26"/>
          <w:szCs w:val="26"/>
        </w:rPr>
      </w:pPr>
      <w:r w:rsidRPr="00CB744C">
        <w:rPr>
          <w:sz w:val="26"/>
          <w:szCs w:val="26"/>
        </w:rPr>
        <w:tab/>
        <w:t xml:space="preserve">RESA in essence now seeks a third option.  RESA proposes to eliminate the uncollectible accounts expense from the discount percentage factor, thereby increasing the amount that </w:t>
      </w:r>
      <w:r>
        <w:rPr>
          <w:sz w:val="26"/>
          <w:szCs w:val="26"/>
        </w:rPr>
        <w:t>PPL</w:t>
      </w:r>
      <w:r w:rsidRPr="00CB744C">
        <w:rPr>
          <w:sz w:val="26"/>
          <w:szCs w:val="26"/>
        </w:rPr>
        <w:t xml:space="preserve"> pays EGSs for their accounts receivable, eliminating all EGS collection risk, and shifting the risk of non-payment for competitive supply to all customers through a non-</w:t>
      </w:r>
      <w:r w:rsidRPr="00CB744C">
        <w:rPr>
          <w:sz w:val="26"/>
          <w:szCs w:val="26"/>
        </w:rPr>
        <w:lastRenderedPageBreak/>
        <w:t xml:space="preserve">bypassable MFC, which would be paid by all distribution customers whether or not they shop for their energy supply.  RESA St. 1, p. 11.  Stated otherwise, RESA’s proposal attempts to shift the risk of non-payment for competitive supply from EGSs, and their shopping customers, to all customers.  </w:t>
      </w:r>
      <w:r>
        <w:rPr>
          <w:sz w:val="26"/>
          <w:szCs w:val="26"/>
        </w:rPr>
        <w:t>PPL</w:t>
      </w:r>
      <w:r w:rsidRPr="00CB744C">
        <w:rPr>
          <w:sz w:val="26"/>
          <w:szCs w:val="26"/>
        </w:rPr>
        <w:t xml:space="preserve">, in contrast, believes that EGSs should bear the collection risk for their own customers, either by including it in the charges to those customers or by selling their receivables to </w:t>
      </w:r>
      <w:r>
        <w:rPr>
          <w:sz w:val="26"/>
          <w:szCs w:val="26"/>
        </w:rPr>
        <w:t>PPL</w:t>
      </w:r>
      <w:r w:rsidRPr="00CB744C">
        <w:rPr>
          <w:sz w:val="26"/>
          <w:szCs w:val="26"/>
        </w:rPr>
        <w:t xml:space="preserve"> at a discount.  In no event, however, should this risk and cost be borne by non-shopping POLR customers.  </w:t>
      </w:r>
      <w:r>
        <w:rPr>
          <w:sz w:val="26"/>
          <w:szCs w:val="26"/>
        </w:rPr>
        <w:t>PPL</w:t>
      </w:r>
      <w:r w:rsidRPr="00CB744C">
        <w:rPr>
          <w:sz w:val="26"/>
          <w:szCs w:val="26"/>
        </w:rPr>
        <w:t xml:space="preserve"> St. 6-R, pp. 10-11.  </w:t>
      </w:r>
    </w:p>
    <w:p w:rsidR="00DF6803" w:rsidRDefault="00DF6803" w:rsidP="00DF6803">
      <w:pPr>
        <w:pStyle w:val="BodyText2"/>
        <w:spacing w:after="0" w:line="240" w:lineRule="auto"/>
        <w:ind w:left="1440" w:right="1440"/>
        <w:contextualSpacing/>
        <w:jc w:val="both"/>
        <w:rPr>
          <w:sz w:val="26"/>
          <w:szCs w:val="26"/>
        </w:rPr>
      </w:pPr>
    </w:p>
    <w:p w:rsidR="00DF6803" w:rsidRPr="00CB744C" w:rsidRDefault="00DF6803" w:rsidP="00DF6803">
      <w:pPr>
        <w:pStyle w:val="BodyText2"/>
        <w:spacing w:after="0" w:line="240" w:lineRule="auto"/>
        <w:ind w:right="1440"/>
        <w:contextualSpacing/>
        <w:rPr>
          <w:sz w:val="26"/>
          <w:szCs w:val="26"/>
        </w:rPr>
      </w:pPr>
      <w:r>
        <w:rPr>
          <w:sz w:val="26"/>
          <w:szCs w:val="26"/>
        </w:rPr>
        <w:t>PPL</w:t>
      </w:r>
      <w:r w:rsidRPr="00CB744C">
        <w:rPr>
          <w:sz w:val="26"/>
          <w:szCs w:val="26"/>
        </w:rPr>
        <w:t xml:space="preserve"> </w:t>
      </w:r>
      <w:r>
        <w:rPr>
          <w:sz w:val="26"/>
          <w:szCs w:val="26"/>
        </w:rPr>
        <w:t>M.B.</w:t>
      </w:r>
      <w:r w:rsidRPr="00CB744C">
        <w:rPr>
          <w:sz w:val="26"/>
          <w:szCs w:val="26"/>
        </w:rPr>
        <w:t xml:space="preserve"> at 82-83.</w:t>
      </w:r>
    </w:p>
    <w:p w:rsidR="00DF6803" w:rsidRPr="00CB744C" w:rsidRDefault="00DF6803" w:rsidP="00DF6803">
      <w:pPr>
        <w:pStyle w:val="BodyText2"/>
        <w:spacing w:after="0" w:line="360" w:lineRule="auto"/>
        <w:ind w:left="1440" w:right="1440"/>
        <w:contextualSpacing/>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PPL</w:t>
      </w:r>
      <w:r w:rsidRPr="00CB744C">
        <w:rPr>
          <w:sz w:val="26"/>
          <w:szCs w:val="26"/>
        </w:rPr>
        <w:t xml:space="preserve"> point</w:t>
      </w:r>
      <w:r>
        <w:rPr>
          <w:sz w:val="26"/>
          <w:szCs w:val="26"/>
        </w:rPr>
        <w:t>ed</w:t>
      </w:r>
      <w:r w:rsidRPr="00CB744C">
        <w:rPr>
          <w:sz w:val="26"/>
          <w:szCs w:val="26"/>
        </w:rPr>
        <w:t xml:space="preserve"> out that both OTS and OSBA agree that the collection risk for shopping customers should remain with the EGSs and, therefore, recommend that the Commission reject RESA’s proposal for a non-bypassable MFC.  OTS witness Wilson testified: </w:t>
      </w:r>
    </w:p>
    <w:p w:rsidR="00DF6803" w:rsidRPr="00CB744C" w:rsidRDefault="00DF6803" w:rsidP="00DF6803">
      <w:pPr>
        <w:pStyle w:val="BodyText2"/>
        <w:spacing w:after="0" w:line="240" w:lineRule="auto"/>
        <w:rPr>
          <w:sz w:val="26"/>
          <w:szCs w:val="26"/>
        </w:rPr>
      </w:pPr>
    </w:p>
    <w:p w:rsidR="00DF6803" w:rsidRDefault="00DF6803" w:rsidP="00A72E92">
      <w:pPr>
        <w:pStyle w:val="IndentSingle"/>
        <w:spacing w:after="0"/>
        <w:jc w:val="left"/>
        <w:rPr>
          <w:sz w:val="26"/>
          <w:szCs w:val="26"/>
        </w:rPr>
      </w:pPr>
      <w:r w:rsidRPr="00CB744C">
        <w:rPr>
          <w:sz w:val="26"/>
          <w:szCs w:val="26"/>
        </w:rPr>
        <w:t>I disagree with Mr. Hudson’s proposal to eliminate the uncollectible accounts expense percentage factor from the discount rate and recover the costs associated with all generation-related uncollectible accounts expense through the non-bypassable assessment of the Merchant Function Charge on all distribution customers.</w:t>
      </w:r>
    </w:p>
    <w:p w:rsidR="00A72E92" w:rsidRPr="00A72E92" w:rsidRDefault="00A72E92" w:rsidP="00A72E92">
      <w:pPr>
        <w:pStyle w:val="BodyText"/>
        <w:spacing w:line="240" w:lineRule="auto"/>
        <w:ind w:leftChars="1440" w:left="3456" w:rightChars="1440" w:right="3456"/>
      </w:pPr>
    </w:p>
    <w:p w:rsidR="00DF6803" w:rsidRDefault="00DF6803" w:rsidP="00A72E92">
      <w:pPr>
        <w:pStyle w:val="IndentSingle"/>
        <w:spacing w:after="0"/>
        <w:ind w:leftChars="1440" w:left="3456" w:rightChars="1440" w:right="3456"/>
        <w:jc w:val="center"/>
        <w:rPr>
          <w:sz w:val="26"/>
          <w:szCs w:val="26"/>
        </w:rPr>
      </w:pPr>
      <w:r w:rsidRPr="00CB744C">
        <w:rPr>
          <w:sz w:val="26"/>
          <w:szCs w:val="26"/>
        </w:rPr>
        <w:t>***</w:t>
      </w:r>
    </w:p>
    <w:p w:rsidR="00A72E92" w:rsidRPr="00A72E92" w:rsidRDefault="00A72E92" w:rsidP="00A72E92">
      <w:pPr>
        <w:pStyle w:val="BodyText"/>
        <w:spacing w:line="240" w:lineRule="auto"/>
        <w:ind w:leftChars="1440" w:left="3456" w:rightChars="1440" w:right="3456"/>
      </w:pPr>
    </w:p>
    <w:p w:rsidR="00DF6803" w:rsidRPr="00CB744C" w:rsidRDefault="00DF6803" w:rsidP="00A72E92">
      <w:pPr>
        <w:pStyle w:val="IndentSingle"/>
        <w:spacing w:after="0"/>
        <w:jc w:val="left"/>
        <w:rPr>
          <w:sz w:val="26"/>
          <w:szCs w:val="26"/>
        </w:rPr>
      </w:pPr>
      <w:r w:rsidRPr="00CB744C">
        <w:rPr>
          <w:sz w:val="26"/>
          <w:szCs w:val="26"/>
        </w:rPr>
        <w:t xml:space="preserve">A collection risk from sales is a typical cost of conducting business.  The EGSs take on collection risks when they sell electricity to a wholesaler, retailer, or the end user.  When an EGS enters the retail market and participates in a public utility’s POR program, their collection risk should remain part of their profit-oriented business.  In a POR program, the public utility is able to inform an EGS in advance what the collection risk is based on the historic experience with their customer base.  (This is known as the utility’s uncollectible or bad debt expense ratio).  The collection risk associated with electricity commodity sales (the business being conducted) should remain with the entity that is recognizing the </w:t>
      </w:r>
      <w:r w:rsidRPr="00CB744C">
        <w:rPr>
          <w:sz w:val="26"/>
          <w:szCs w:val="26"/>
        </w:rPr>
        <w:lastRenderedPageBreak/>
        <w:t>commodity sales revenue.  In other words, the collection risk associated with the residential and small commercial and industrial customers ele</w:t>
      </w:r>
      <w:r w:rsidR="001141E6">
        <w:rPr>
          <w:sz w:val="26"/>
          <w:szCs w:val="26"/>
        </w:rPr>
        <w:t>cting to purchase electricity f</w:t>
      </w:r>
      <w:r w:rsidRPr="00CB744C">
        <w:rPr>
          <w:sz w:val="26"/>
          <w:szCs w:val="26"/>
        </w:rPr>
        <w:t>r</w:t>
      </w:r>
      <w:r w:rsidR="001141E6">
        <w:rPr>
          <w:sz w:val="26"/>
          <w:szCs w:val="26"/>
        </w:rPr>
        <w:t>o</w:t>
      </w:r>
      <w:r w:rsidRPr="00CB744C">
        <w:rPr>
          <w:sz w:val="26"/>
          <w:szCs w:val="26"/>
        </w:rPr>
        <w:t>m an EGS, rather than the public utility, should remain with the EGS.  Therefore, the bad debt rate should remain a component of a POR discount to appropriately move the business risk to the business carrying on the sales.</w:t>
      </w:r>
    </w:p>
    <w:p w:rsidR="00DF6803" w:rsidRPr="00CB744C" w:rsidRDefault="00DF6803" w:rsidP="00DF6803">
      <w:pPr>
        <w:pStyle w:val="BodyText2"/>
        <w:spacing w:after="0" w:line="240" w:lineRule="auto"/>
        <w:ind w:left="1440" w:right="1440"/>
        <w:jc w:val="both"/>
        <w:rPr>
          <w:sz w:val="26"/>
          <w:szCs w:val="26"/>
        </w:rPr>
      </w:pPr>
    </w:p>
    <w:p w:rsidR="00DF6803" w:rsidRDefault="00DF6803" w:rsidP="00DF6803">
      <w:pPr>
        <w:pStyle w:val="BodyText2"/>
        <w:spacing w:after="0" w:line="240" w:lineRule="auto"/>
        <w:ind w:left="1440" w:right="1440"/>
        <w:rPr>
          <w:sz w:val="26"/>
          <w:szCs w:val="26"/>
        </w:rPr>
      </w:pPr>
      <w:r w:rsidRPr="00CB744C">
        <w:rPr>
          <w:sz w:val="26"/>
          <w:szCs w:val="26"/>
        </w:rPr>
        <w:t>OTS St. 2-R, pp. 9-10.</w:t>
      </w:r>
    </w:p>
    <w:p w:rsidR="00DF6803" w:rsidRDefault="00DF6803" w:rsidP="00DF6803">
      <w:pPr>
        <w:pStyle w:val="BodyText2"/>
        <w:spacing w:after="0" w:line="240" w:lineRule="auto"/>
        <w:ind w:left="1440" w:right="1440"/>
        <w:rPr>
          <w:sz w:val="26"/>
          <w:szCs w:val="26"/>
        </w:rPr>
      </w:pPr>
    </w:p>
    <w:p w:rsidR="00DF6803" w:rsidRDefault="00DF6803" w:rsidP="00BE533B">
      <w:pPr>
        <w:pStyle w:val="BodyText2"/>
        <w:spacing w:after="0" w:line="240" w:lineRule="auto"/>
        <w:ind w:left="1440" w:right="1440"/>
        <w:rPr>
          <w:sz w:val="26"/>
          <w:szCs w:val="26"/>
        </w:rPr>
      </w:pPr>
      <w:r w:rsidRPr="00CB744C">
        <w:rPr>
          <w:sz w:val="26"/>
          <w:szCs w:val="26"/>
        </w:rPr>
        <w:t>Similarly, Mr. Knecht, on behalf of OSBA, opposed RESA’s proposal, stating as follows:</w:t>
      </w:r>
    </w:p>
    <w:p w:rsidR="00DF6803" w:rsidRPr="00CB744C" w:rsidRDefault="00DF6803" w:rsidP="00DF6803">
      <w:pPr>
        <w:pStyle w:val="BodyText2"/>
        <w:spacing w:after="0" w:line="240" w:lineRule="auto"/>
        <w:ind w:left="1440" w:right="1440"/>
        <w:jc w:val="both"/>
        <w:rPr>
          <w:sz w:val="26"/>
          <w:szCs w:val="26"/>
        </w:rPr>
      </w:pPr>
    </w:p>
    <w:p w:rsidR="00DF6803" w:rsidRPr="00CB744C" w:rsidRDefault="00DF6803" w:rsidP="00BE533B">
      <w:pPr>
        <w:pStyle w:val="IndentSingle"/>
        <w:spacing w:after="0"/>
        <w:ind w:firstLine="720"/>
        <w:jc w:val="left"/>
        <w:rPr>
          <w:sz w:val="26"/>
          <w:szCs w:val="26"/>
        </w:rPr>
      </w:pPr>
      <w:r w:rsidRPr="00CB744C">
        <w:rPr>
          <w:sz w:val="26"/>
          <w:szCs w:val="26"/>
        </w:rPr>
        <w:t>My disagreement with Mr. Hudson is based on the fact that the EGSs who service customers outside the POR program are responsible for collecting the bills from those customers and are therefore responsible for uncollectibles costs related to those customers.</w:t>
      </w:r>
    </w:p>
    <w:p w:rsidR="00DF6803" w:rsidRPr="00CB744C" w:rsidRDefault="00DF6803" w:rsidP="00DF6803">
      <w:pPr>
        <w:pStyle w:val="BodyText"/>
        <w:spacing w:line="240" w:lineRule="auto"/>
        <w:jc w:val="both"/>
        <w:rPr>
          <w:sz w:val="26"/>
          <w:szCs w:val="26"/>
        </w:rPr>
      </w:pPr>
    </w:p>
    <w:p w:rsidR="00DF6803" w:rsidRDefault="00DF6803" w:rsidP="00BE533B">
      <w:pPr>
        <w:pStyle w:val="IndentSingle"/>
        <w:spacing w:after="0"/>
        <w:jc w:val="left"/>
        <w:rPr>
          <w:sz w:val="26"/>
          <w:szCs w:val="26"/>
        </w:rPr>
      </w:pPr>
      <w:r w:rsidRPr="00CB744C">
        <w:rPr>
          <w:sz w:val="26"/>
          <w:szCs w:val="26"/>
        </w:rPr>
        <w:t>By requiring customers outside the POR program to pay the MFC, Mr. Hudson’s proposal will put the EGSs who wish to provide service outside the POR program at a competitive disadvantage.  Customers who are outside the POR program will pay the non-bypassable MFC, and will implicitly absorb their own EGS’s uncollectibles costs in the rates paid to the EGS.</w:t>
      </w:r>
    </w:p>
    <w:p w:rsidR="00BE533B" w:rsidRPr="00BE533B" w:rsidRDefault="00BE533B" w:rsidP="00BE533B">
      <w:pPr>
        <w:pStyle w:val="BodyText"/>
        <w:spacing w:line="240" w:lineRule="auto"/>
      </w:pPr>
    </w:p>
    <w:p w:rsidR="00DF6803" w:rsidRDefault="00DF6803" w:rsidP="00BE533B">
      <w:pPr>
        <w:pStyle w:val="IndentSingle"/>
        <w:spacing w:after="0"/>
        <w:jc w:val="center"/>
        <w:rPr>
          <w:sz w:val="26"/>
          <w:szCs w:val="26"/>
        </w:rPr>
      </w:pPr>
      <w:r w:rsidRPr="00CB744C">
        <w:rPr>
          <w:sz w:val="26"/>
          <w:szCs w:val="26"/>
        </w:rPr>
        <w:t>***</w:t>
      </w:r>
    </w:p>
    <w:p w:rsidR="00BE533B" w:rsidRPr="00BE533B" w:rsidRDefault="00BE533B" w:rsidP="00BE533B">
      <w:pPr>
        <w:pStyle w:val="BodyText"/>
        <w:spacing w:line="240" w:lineRule="auto"/>
      </w:pPr>
    </w:p>
    <w:p w:rsidR="00DF6803" w:rsidRDefault="00DF6803" w:rsidP="00BE533B">
      <w:pPr>
        <w:pStyle w:val="IndentSingle"/>
        <w:spacing w:after="0"/>
        <w:jc w:val="left"/>
        <w:rPr>
          <w:sz w:val="26"/>
          <w:szCs w:val="26"/>
        </w:rPr>
      </w:pPr>
      <w:r w:rsidRPr="00CB744C">
        <w:rPr>
          <w:sz w:val="26"/>
          <w:szCs w:val="26"/>
        </w:rPr>
        <w:t>In reality, EGSs incorporate the risk of incurring uncollectibles into their pricing margins, and those margins are passed on to their customers.  Therefore, competition cannot shield the shopping customers who are outside the POR program from double-paying for generation-related uncollectible costs.</w:t>
      </w:r>
    </w:p>
    <w:p w:rsidR="00BE533B" w:rsidRPr="00BE533B" w:rsidRDefault="00BE533B" w:rsidP="00BE533B">
      <w:pPr>
        <w:pStyle w:val="BodyText"/>
        <w:spacing w:line="240" w:lineRule="auto"/>
      </w:pPr>
    </w:p>
    <w:p w:rsidR="00DF6803" w:rsidRDefault="00DF6803" w:rsidP="00BE533B">
      <w:pPr>
        <w:pStyle w:val="IndentSingle"/>
        <w:spacing w:after="0"/>
        <w:jc w:val="center"/>
        <w:rPr>
          <w:sz w:val="26"/>
          <w:szCs w:val="26"/>
        </w:rPr>
      </w:pPr>
      <w:r w:rsidRPr="00CB744C">
        <w:rPr>
          <w:sz w:val="26"/>
          <w:szCs w:val="26"/>
        </w:rPr>
        <w:t>***</w:t>
      </w:r>
    </w:p>
    <w:p w:rsidR="00BE533B" w:rsidRPr="00BE533B" w:rsidRDefault="00BE533B" w:rsidP="00BE533B">
      <w:pPr>
        <w:pStyle w:val="BodyText"/>
        <w:spacing w:line="240" w:lineRule="auto"/>
      </w:pPr>
    </w:p>
    <w:p w:rsidR="00DF6803" w:rsidRDefault="00DF6803" w:rsidP="00BE533B">
      <w:pPr>
        <w:pStyle w:val="IndentSingle"/>
        <w:spacing w:after="0"/>
        <w:rPr>
          <w:sz w:val="26"/>
          <w:szCs w:val="26"/>
        </w:rPr>
      </w:pPr>
      <w:r w:rsidRPr="00CB744C">
        <w:rPr>
          <w:sz w:val="26"/>
          <w:szCs w:val="26"/>
        </w:rPr>
        <w:t xml:space="preserve">In </w:t>
      </w:r>
      <w:r>
        <w:rPr>
          <w:sz w:val="26"/>
          <w:szCs w:val="26"/>
        </w:rPr>
        <w:t>PPL</w:t>
      </w:r>
      <w:r w:rsidRPr="00CB744C">
        <w:rPr>
          <w:sz w:val="26"/>
          <w:szCs w:val="26"/>
        </w:rPr>
        <w:t xml:space="preserve">’s proposal, non-shopping customers pay for uncollectibles through the </w:t>
      </w:r>
      <w:r>
        <w:rPr>
          <w:sz w:val="26"/>
          <w:szCs w:val="26"/>
        </w:rPr>
        <w:t>PPL</w:t>
      </w:r>
      <w:r w:rsidRPr="00CB744C">
        <w:rPr>
          <w:sz w:val="26"/>
          <w:szCs w:val="26"/>
        </w:rPr>
        <w:t xml:space="preserve"> MFC, which applies only to non-shopping customers. </w:t>
      </w:r>
      <w:r w:rsidR="004B2A68">
        <w:rPr>
          <w:sz w:val="26"/>
          <w:szCs w:val="26"/>
        </w:rPr>
        <w:t xml:space="preserve"> Shopping customers in the PO</w:t>
      </w:r>
      <w:r w:rsidRPr="00CB744C">
        <w:rPr>
          <w:sz w:val="26"/>
          <w:szCs w:val="26"/>
        </w:rPr>
        <w:t xml:space="preserve">R </w:t>
      </w:r>
      <w:r w:rsidRPr="00CB744C">
        <w:rPr>
          <w:sz w:val="26"/>
          <w:szCs w:val="26"/>
        </w:rPr>
        <w:lastRenderedPageBreak/>
        <w:t xml:space="preserve">program implicitly pay for the uncollectibles cost in the discount applied by </w:t>
      </w:r>
      <w:r>
        <w:rPr>
          <w:sz w:val="26"/>
          <w:szCs w:val="26"/>
        </w:rPr>
        <w:t>PPL</w:t>
      </w:r>
      <w:r w:rsidRPr="00CB744C">
        <w:rPr>
          <w:sz w:val="26"/>
          <w:szCs w:val="26"/>
        </w:rPr>
        <w:t xml:space="preserve"> to its purchase price for receivables.  Shopping customers outside the POR program implicitly pay for the uncollectible costs in the rates charge by their EGS.</w:t>
      </w:r>
    </w:p>
    <w:p w:rsidR="00DF6803" w:rsidRPr="00A6541D" w:rsidRDefault="00DF6803" w:rsidP="00DF6803">
      <w:pPr>
        <w:pStyle w:val="BodyText"/>
      </w:pPr>
    </w:p>
    <w:p w:rsidR="00DF6803" w:rsidRPr="00CB744C" w:rsidRDefault="00DF6803" w:rsidP="00DF6803">
      <w:pPr>
        <w:pStyle w:val="BodyText2"/>
        <w:spacing w:after="0"/>
        <w:rPr>
          <w:sz w:val="26"/>
          <w:szCs w:val="26"/>
        </w:rPr>
      </w:pPr>
      <w:r w:rsidRPr="00CB744C">
        <w:rPr>
          <w:sz w:val="26"/>
          <w:szCs w:val="26"/>
        </w:rPr>
        <w:tab/>
      </w:r>
      <w:r w:rsidRPr="00CB744C">
        <w:rPr>
          <w:sz w:val="26"/>
          <w:szCs w:val="26"/>
        </w:rPr>
        <w:tab/>
        <w:t xml:space="preserve">OSBA St. 2, pp. 22-23; </w:t>
      </w:r>
      <w:r>
        <w:rPr>
          <w:sz w:val="26"/>
          <w:szCs w:val="26"/>
        </w:rPr>
        <w:t>PPL</w:t>
      </w:r>
      <w:r w:rsidRPr="00CB744C">
        <w:rPr>
          <w:sz w:val="26"/>
          <w:szCs w:val="26"/>
        </w:rPr>
        <w:t xml:space="preserve"> Initial Brief at 86-87.</w:t>
      </w:r>
    </w:p>
    <w:p w:rsidR="00DF6803" w:rsidRDefault="00DF6803" w:rsidP="00BE533B">
      <w:pPr>
        <w:pStyle w:val="BodyText2"/>
        <w:spacing w:after="0" w:line="240" w:lineRule="auto"/>
        <w:ind w:left="1440" w:right="1440"/>
        <w:contextualSpacing/>
        <w:rPr>
          <w:sz w:val="26"/>
          <w:szCs w:val="26"/>
        </w:rPr>
      </w:pPr>
      <w:r w:rsidRPr="00CB744C">
        <w:rPr>
          <w:sz w:val="26"/>
          <w:szCs w:val="26"/>
        </w:rPr>
        <w:tab/>
        <w:t>RESA further contends that the current POR program is inconsistent with the requirements of the settlement in the default service proceeding wherein the parties agreed to establish a POR program.  RESA St. 1, p. 8.  However, RESA disregards the language of the Commission’s order in the default service proceeding, which provides, in pertinent part, as follows:</w:t>
      </w:r>
    </w:p>
    <w:p w:rsidR="00BE533B" w:rsidRPr="00CB744C" w:rsidRDefault="00BE533B" w:rsidP="00BE533B">
      <w:pPr>
        <w:pStyle w:val="BodyText2"/>
        <w:spacing w:after="0" w:line="240" w:lineRule="auto"/>
        <w:ind w:left="1440" w:right="1440"/>
        <w:contextualSpacing/>
        <w:rPr>
          <w:sz w:val="26"/>
          <w:szCs w:val="26"/>
        </w:rPr>
      </w:pPr>
    </w:p>
    <w:p w:rsidR="00DF6803" w:rsidRPr="00CB744C" w:rsidRDefault="00DF6803" w:rsidP="00BE533B">
      <w:pPr>
        <w:pStyle w:val="IndentSingle"/>
        <w:spacing w:after="0"/>
        <w:ind w:left="2160" w:right="2160"/>
        <w:jc w:val="left"/>
        <w:rPr>
          <w:sz w:val="26"/>
          <w:szCs w:val="26"/>
        </w:rPr>
      </w:pPr>
      <w:r w:rsidRPr="00CB744C">
        <w:rPr>
          <w:sz w:val="26"/>
          <w:szCs w:val="26"/>
        </w:rPr>
        <w:t>[D]</w:t>
      </w:r>
      <w:proofErr w:type="spellStart"/>
      <w:r w:rsidRPr="00CB744C">
        <w:rPr>
          <w:sz w:val="26"/>
          <w:szCs w:val="26"/>
        </w:rPr>
        <w:t>iscounts</w:t>
      </w:r>
      <w:proofErr w:type="spellEnd"/>
      <w:r w:rsidRPr="00CB744C">
        <w:rPr>
          <w:sz w:val="26"/>
          <w:szCs w:val="26"/>
        </w:rPr>
        <w:t xml:space="preserve"> to POR payments to suppliers to reflect incremental uncollectible expenses not included in distribution rates, which may include the unbundled uncollectible accounts percentage; provided, however, that customers will not be responsible for any reconciliation of the discount against actual results.</w:t>
      </w:r>
    </w:p>
    <w:p w:rsidR="00DF6803" w:rsidRPr="00CB744C" w:rsidRDefault="00DF6803" w:rsidP="00DF6803">
      <w:pPr>
        <w:pStyle w:val="BodyText2"/>
        <w:spacing w:after="0" w:line="240" w:lineRule="auto"/>
        <w:ind w:left="1440" w:right="1440"/>
        <w:contextualSpacing/>
        <w:jc w:val="both"/>
        <w:rPr>
          <w:i/>
          <w:sz w:val="26"/>
          <w:szCs w:val="26"/>
        </w:rPr>
      </w:pPr>
    </w:p>
    <w:p w:rsidR="00DF6803" w:rsidRPr="00CB744C" w:rsidRDefault="00DF6803" w:rsidP="00BE533B">
      <w:pPr>
        <w:pStyle w:val="BodyText2"/>
        <w:spacing w:after="0" w:line="240" w:lineRule="auto"/>
        <w:ind w:left="1440" w:right="1440"/>
        <w:contextualSpacing/>
        <w:rPr>
          <w:sz w:val="26"/>
          <w:szCs w:val="26"/>
        </w:rPr>
      </w:pPr>
      <w:r w:rsidRPr="00CB744C">
        <w:rPr>
          <w:i/>
          <w:sz w:val="26"/>
          <w:szCs w:val="26"/>
        </w:rPr>
        <w:t xml:space="preserve">Petition of </w:t>
      </w:r>
      <w:r>
        <w:rPr>
          <w:i/>
          <w:sz w:val="26"/>
          <w:szCs w:val="26"/>
        </w:rPr>
        <w:t>PPL</w:t>
      </w:r>
      <w:r w:rsidRPr="00CB744C">
        <w:rPr>
          <w:i/>
          <w:sz w:val="26"/>
          <w:szCs w:val="26"/>
        </w:rPr>
        <w:t xml:space="preserve"> Utilities Corporation for Approval of a Default Service Program and Procurement Plan for the Period January 1, 2011 Through May 31, 2013</w:t>
      </w:r>
      <w:r w:rsidRPr="00CB744C">
        <w:rPr>
          <w:sz w:val="26"/>
          <w:szCs w:val="26"/>
        </w:rPr>
        <w:t xml:space="preserve">, Docket No. P-2008-2060309 (June 30, 2009).  The Commission’s order clearly provides that the discount “may include the unbundled uncollectible accounts percentage.”  Consistent therewith, the discount applied in </w:t>
      </w:r>
      <w:r>
        <w:rPr>
          <w:sz w:val="26"/>
          <w:szCs w:val="26"/>
        </w:rPr>
        <w:t>PPL</w:t>
      </w:r>
      <w:r w:rsidRPr="00CB744C">
        <w:rPr>
          <w:sz w:val="26"/>
          <w:szCs w:val="26"/>
        </w:rPr>
        <w:t xml:space="preserve">’s POR program does reflect the full, unbundled generation-related uncollectible accounts percentage, as well as a component to recover administrative costs.  </w:t>
      </w:r>
      <w:r>
        <w:rPr>
          <w:sz w:val="26"/>
          <w:szCs w:val="26"/>
        </w:rPr>
        <w:t>PPL</w:t>
      </w:r>
      <w:r w:rsidRPr="00CB744C">
        <w:rPr>
          <w:sz w:val="26"/>
          <w:szCs w:val="26"/>
        </w:rPr>
        <w:t xml:space="preserve"> St. 6-R, p. 8.</w:t>
      </w:r>
    </w:p>
    <w:p w:rsidR="00DF6803" w:rsidRPr="00CB744C" w:rsidRDefault="00DF6803" w:rsidP="00DF6803">
      <w:pPr>
        <w:pStyle w:val="BodyText2"/>
        <w:spacing w:after="0" w:line="240" w:lineRule="auto"/>
        <w:ind w:left="1440" w:right="1440" w:hanging="1440"/>
        <w:contextualSpacing/>
        <w:jc w:val="both"/>
        <w:rPr>
          <w:sz w:val="26"/>
          <w:szCs w:val="26"/>
        </w:rPr>
      </w:pPr>
    </w:p>
    <w:p w:rsidR="00DF6803" w:rsidRPr="00CB744C" w:rsidRDefault="00DF6803" w:rsidP="00DF6803">
      <w:pPr>
        <w:pStyle w:val="BodyText2"/>
        <w:spacing w:after="0" w:line="240" w:lineRule="auto"/>
        <w:ind w:left="1440" w:right="1440" w:hanging="1440"/>
        <w:contextualSpacing/>
        <w:rPr>
          <w:sz w:val="26"/>
          <w:szCs w:val="26"/>
        </w:rPr>
      </w:pPr>
      <w:r>
        <w:rPr>
          <w:sz w:val="26"/>
          <w:szCs w:val="26"/>
        </w:rPr>
        <w:t>PPL</w:t>
      </w:r>
      <w:r w:rsidRPr="00CB744C">
        <w:rPr>
          <w:sz w:val="26"/>
          <w:szCs w:val="26"/>
        </w:rPr>
        <w:t xml:space="preserve"> </w:t>
      </w:r>
      <w:r>
        <w:rPr>
          <w:sz w:val="26"/>
          <w:szCs w:val="26"/>
        </w:rPr>
        <w:t>M.</w:t>
      </w:r>
      <w:r w:rsidRPr="00CB744C">
        <w:rPr>
          <w:sz w:val="26"/>
          <w:szCs w:val="26"/>
        </w:rPr>
        <w:t>B</w:t>
      </w:r>
      <w:r w:rsidR="0034056F">
        <w:rPr>
          <w:sz w:val="26"/>
          <w:szCs w:val="26"/>
        </w:rPr>
        <w:t>.</w:t>
      </w:r>
      <w:r w:rsidRPr="00CB744C">
        <w:rPr>
          <w:sz w:val="26"/>
          <w:szCs w:val="26"/>
        </w:rPr>
        <w:t xml:space="preserve"> at 85-90 (in pertinent part). </w:t>
      </w:r>
    </w:p>
    <w:p w:rsidR="00DF6803" w:rsidRPr="00CB744C" w:rsidRDefault="00DF6803" w:rsidP="00DF6803">
      <w:pPr>
        <w:pStyle w:val="BodyText2"/>
        <w:spacing w:after="0" w:line="360" w:lineRule="auto"/>
        <w:ind w:left="1440" w:right="1440"/>
        <w:contextualSpacing/>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t>To counter the RESA claim that the current POR program is inconsistent with recent actions by the Commission regarding POR programs in the service territories of other electric distribution companies (“EDCs”), RESA St. 1, p. 12, the Company respond</w:t>
      </w:r>
      <w:r>
        <w:rPr>
          <w:sz w:val="26"/>
          <w:szCs w:val="26"/>
        </w:rPr>
        <w:t>ed</w:t>
      </w:r>
      <w:r w:rsidRPr="00CB744C">
        <w:rPr>
          <w:sz w:val="26"/>
          <w:szCs w:val="26"/>
        </w:rPr>
        <w:t>:</w:t>
      </w:r>
    </w:p>
    <w:p w:rsidR="00DF6803" w:rsidRPr="00CB744C" w:rsidRDefault="00DF6803" w:rsidP="00DF6803">
      <w:pPr>
        <w:pStyle w:val="BodyText2"/>
        <w:spacing w:after="0" w:line="360" w:lineRule="auto"/>
        <w:rPr>
          <w:sz w:val="26"/>
          <w:szCs w:val="26"/>
        </w:rPr>
      </w:pPr>
    </w:p>
    <w:p w:rsidR="00DF6803" w:rsidRPr="00CB744C" w:rsidRDefault="00DF6803" w:rsidP="00BE533B">
      <w:pPr>
        <w:pStyle w:val="BodyText2"/>
        <w:spacing w:after="0" w:line="240" w:lineRule="auto"/>
        <w:ind w:left="1440" w:right="1440"/>
        <w:contextualSpacing/>
        <w:rPr>
          <w:sz w:val="26"/>
          <w:szCs w:val="26"/>
        </w:rPr>
      </w:pPr>
      <w:r w:rsidRPr="00CB744C">
        <w:rPr>
          <w:sz w:val="26"/>
          <w:szCs w:val="26"/>
        </w:rPr>
        <w:t xml:space="preserve">However, the POR programs of other EDCs do not establish a statewide standard.  </w:t>
      </w:r>
      <w:r>
        <w:rPr>
          <w:sz w:val="26"/>
          <w:szCs w:val="26"/>
        </w:rPr>
        <w:t>PPL</w:t>
      </w:r>
      <w:r w:rsidRPr="00CB744C">
        <w:rPr>
          <w:sz w:val="26"/>
          <w:szCs w:val="26"/>
        </w:rPr>
        <w:t xml:space="preserve"> St. 6-R, p. 8.  Rather, each POR program adopted by an EDC reflects the unique circumstances of the individual EDC, including the ability of its customer information and billing systems to accommodate specific program structures.  </w:t>
      </w:r>
      <w:r>
        <w:rPr>
          <w:sz w:val="26"/>
          <w:szCs w:val="26"/>
        </w:rPr>
        <w:t>PPL</w:t>
      </w:r>
      <w:r w:rsidRPr="00CB744C">
        <w:rPr>
          <w:sz w:val="26"/>
          <w:szCs w:val="26"/>
        </w:rPr>
        <w:t xml:space="preserve"> St. 6-R, p. 9.  Indeed, RESA relies on the POR program adopted by PECO; however, RESA disregards that, unlike </w:t>
      </w:r>
      <w:r>
        <w:rPr>
          <w:sz w:val="26"/>
          <w:szCs w:val="26"/>
        </w:rPr>
        <w:t>PPL</w:t>
      </w:r>
      <w:r w:rsidRPr="00CB744C">
        <w:rPr>
          <w:sz w:val="26"/>
          <w:szCs w:val="26"/>
        </w:rPr>
        <w:t xml:space="preserve">, PECO has not unbundled its uncollectible accounts expense.  Further, the Company believes that its POR program is consistent with the POR program administered by Duquesne Light.  </w:t>
      </w:r>
      <w:r w:rsidRPr="00CB744C">
        <w:rPr>
          <w:i/>
          <w:sz w:val="26"/>
          <w:szCs w:val="26"/>
        </w:rPr>
        <w:t>See Pa. P.U.C. v. Duquesne Light Company</w:t>
      </w:r>
      <w:r w:rsidRPr="00CB744C">
        <w:rPr>
          <w:sz w:val="26"/>
          <w:szCs w:val="26"/>
        </w:rPr>
        <w:t xml:space="preserve">, Docket No. R-00061346 (December 1, 2006).  Importantly, because POR programs are voluntary as explained above, the fact that another EDC’s POR program has conditions that are different from those proposed by </w:t>
      </w:r>
      <w:r>
        <w:rPr>
          <w:sz w:val="26"/>
          <w:szCs w:val="26"/>
        </w:rPr>
        <w:t>PPL</w:t>
      </w:r>
      <w:r w:rsidRPr="00CB744C">
        <w:rPr>
          <w:sz w:val="26"/>
          <w:szCs w:val="26"/>
        </w:rPr>
        <w:t xml:space="preserve"> has no bearing on </w:t>
      </w:r>
      <w:r>
        <w:rPr>
          <w:sz w:val="26"/>
          <w:szCs w:val="26"/>
        </w:rPr>
        <w:t>PPL</w:t>
      </w:r>
      <w:r w:rsidRPr="00CB744C">
        <w:rPr>
          <w:sz w:val="26"/>
          <w:szCs w:val="26"/>
        </w:rPr>
        <w:t xml:space="preserve">’s voluntarily offered POR program.  </w:t>
      </w:r>
      <w:r>
        <w:rPr>
          <w:sz w:val="26"/>
          <w:szCs w:val="26"/>
        </w:rPr>
        <w:t>PPL</w:t>
      </w:r>
      <w:r w:rsidRPr="00CB744C">
        <w:rPr>
          <w:sz w:val="26"/>
          <w:szCs w:val="26"/>
        </w:rPr>
        <w:t xml:space="preserve"> St. 6-R, pp. 9-10.</w:t>
      </w:r>
    </w:p>
    <w:p w:rsidR="00DF6803" w:rsidRPr="00CB744C" w:rsidRDefault="00DF6803" w:rsidP="00DF6803">
      <w:pPr>
        <w:pStyle w:val="BodyText2"/>
        <w:spacing w:after="0" w:line="240" w:lineRule="auto"/>
        <w:ind w:left="1440" w:right="1440"/>
        <w:contextualSpacing/>
        <w:jc w:val="both"/>
        <w:rPr>
          <w:sz w:val="26"/>
          <w:szCs w:val="26"/>
        </w:rPr>
      </w:pPr>
    </w:p>
    <w:p w:rsidR="00DF6803" w:rsidRPr="00CB744C" w:rsidRDefault="00DF6803" w:rsidP="00BE533B">
      <w:pPr>
        <w:pStyle w:val="BodyText2"/>
        <w:spacing w:after="0" w:line="240" w:lineRule="auto"/>
        <w:ind w:left="1440" w:right="1440"/>
        <w:contextualSpacing/>
        <w:rPr>
          <w:sz w:val="26"/>
          <w:szCs w:val="26"/>
        </w:rPr>
      </w:pPr>
      <w:r w:rsidRPr="00CB744C">
        <w:rPr>
          <w:sz w:val="26"/>
          <w:szCs w:val="26"/>
        </w:rPr>
        <w:tab/>
        <w:t xml:space="preserve">Finally, if RESA’s proposal were adopted and the uncollectible accounts expense was recovered through a non-bypassable charge to all customers, the discount factor would be eliminated from the POR program, at which point there would be no reason for a POR program.  The whole purpose of a POR program is to sell accounts receivables to a third party to take advantage of the time value of money and to receive immediate payment for the receivables less an agreed upon discount to reflect collection risk.  Tr. 442-43.  If the discount to reflect the collection risk is removed, there simply would be no point in purchasing the accounts receivable.  Accordingly, RESA’s proposal should be rejected.  </w:t>
      </w:r>
    </w:p>
    <w:p w:rsidR="00DF6803" w:rsidRPr="00CB744C" w:rsidRDefault="00DF6803" w:rsidP="00DF6803">
      <w:pPr>
        <w:pStyle w:val="BodyText2"/>
        <w:spacing w:line="240" w:lineRule="auto"/>
        <w:ind w:left="1440" w:right="1440"/>
        <w:contextualSpacing/>
        <w:rPr>
          <w:sz w:val="26"/>
          <w:szCs w:val="26"/>
        </w:rPr>
      </w:pPr>
    </w:p>
    <w:p w:rsidR="00DF6803" w:rsidRPr="00CB744C" w:rsidRDefault="00DF6803" w:rsidP="00DF6803">
      <w:pPr>
        <w:pStyle w:val="BodyText2"/>
        <w:spacing w:after="0" w:line="360" w:lineRule="auto"/>
        <w:ind w:left="1440" w:right="1440" w:hanging="1440"/>
        <w:contextualSpacing/>
        <w:rPr>
          <w:sz w:val="26"/>
          <w:szCs w:val="26"/>
        </w:rPr>
      </w:pPr>
      <w:r>
        <w:rPr>
          <w:sz w:val="26"/>
          <w:szCs w:val="26"/>
        </w:rPr>
        <w:t>PPL</w:t>
      </w:r>
      <w:r w:rsidRPr="00CB744C">
        <w:rPr>
          <w:sz w:val="26"/>
          <w:szCs w:val="26"/>
        </w:rPr>
        <w:t xml:space="preserve"> </w:t>
      </w:r>
      <w:r>
        <w:rPr>
          <w:sz w:val="26"/>
          <w:szCs w:val="26"/>
        </w:rPr>
        <w:t>M.</w:t>
      </w:r>
      <w:r w:rsidRPr="00CB744C">
        <w:rPr>
          <w:sz w:val="26"/>
          <w:szCs w:val="26"/>
        </w:rPr>
        <w:t>B</w:t>
      </w:r>
      <w:r>
        <w:rPr>
          <w:sz w:val="26"/>
          <w:szCs w:val="26"/>
        </w:rPr>
        <w:t>.</w:t>
      </w:r>
      <w:r w:rsidRPr="00CB744C">
        <w:rPr>
          <w:sz w:val="26"/>
          <w:szCs w:val="26"/>
        </w:rPr>
        <w:t xml:space="preserve"> at 90-91.</w:t>
      </w:r>
    </w:p>
    <w:p w:rsidR="00DF6803" w:rsidRPr="00CB744C" w:rsidRDefault="00DF6803" w:rsidP="00DF6803">
      <w:pPr>
        <w:pStyle w:val="BodyText2"/>
        <w:spacing w:line="360" w:lineRule="auto"/>
        <w:ind w:left="1440" w:right="1440"/>
        <w:contextualSpacing/>
        <w:rPr>
          <w:sz w:val="26"/>
          <w:szCs w:val="26"/>
        </w:rPr>
      </w:pPr>
    </w:p>
    <w:p w:rsidR="007B75F9" w:rsidRDefault="007B75F9">
      <w:pPr>
        <w:spacing w:after="200" w:line="276" w:lineRule="auto"/>
        <w:jc w:val="left"/>
        <w:rPr>
          <w:rFonts w:eastAsia="Times New Roman"/>
          <w:sz w:val="26"/>
          <w:szCs w:val="26"/>
        </w:rPr>
      </w:pPr>
      <w:r>
        <w:rPr>
          <w:sz w:val="26"/>
          <w:szCs w:val="26"/>
        </w:rPr>
        <w:br w:type="page"/>
      </w:r>
    </w:p>
    <w:p w:rsidR="00DF6803" w:rsidRPr="00CB744C" w:rsidRDefault="00DF6803" w:rsidP="00DF6803">
      <w:pPr>
        <w:pStyle w:val="BodyText2"/>
        <w:spacing w:line="360" w:lineRule="auto"/>
        <w:contextualSpacing/>
        <w:rPr>
          <w:sz w:val="26"/>
          <w:szCs w:val="26"/>
        </w:rPr>
      </w:pPr>
      <w:r w:rsidRPr="00CB744C">
        <w:rPr>
          <w:sz w:val="26"/>
          <w:szCs w:val="26"/>
        </w:rPr>
        <w:lastRenderedPageBreak/>
        <w:tab/>
      </w:r>
      <w:r w:rsidRPr="00CB744C">
        <w:rPr>
          <w:sz w:val="26"/>
          <w:szCs w:val="26"/>
        </w:rPr>
        <w:tab/>
      </w:r>
      <w:r>
        <w:rPr>
          <w:sz w:val="26"/>
          <w:szCs w:val="26"/>
        </w:rPr>
        <w:t xml:space="preserve">The ALJ concluded that </w:t>
      </w:r>
      <w:r w:rsidRPr="00CB744C">
        <w:rPr>
          <w:sz w:val="26"/>
          <w:szCs w:val="26"/>
        </w:rPr>
        <w:t>RESA ha</w:t>
      </w:r>
      <w:r>
        <w:rPr>
          <w:sz w:val="26"/>
          <w:szCs w:val="26"/>
        </w:rPr>
        <w:t>d</w:t>
      </w:r>
      <w:r w:rsidRPr="00CB744C">
        <w:rPr>
          <w:sz w:val="26"/>
          <w:szCs w:val="26"/>
        </w:rPr>
        <w:t xml:space="preserve"> not sustained its burden of proving that the non-bypassable MCF is a superior method of recouping uncollectibles and</w:t>
      </w:r>
      <w:r>
        <w:rPr>
          <w:sz w:val="26"/>
          <w:szCs w:val="26"/>
        </w:rPr>
        <w:t>, thus recommended denial of</w:t>
      </w:r>
      <w:r w:rsidRPr="00CB744C">
        <w:rPr>
          <w:sz w:val="26"/>
          <w:szCs w:val="26"/>
        </w:rPr>
        <w:t xml:space="preserve"> its proposed modification </w:t>
      </w:r>
      <w:r>
        <w:rPr>
          <w:sz w:val="26"/>
          <w:szCs w:val="26"/>
        </w:rPr>
        <w:t>to the current POR program</w:t>
      </w:r>
      <w:r w:rsidRPr="00CB744C">
        <w:rPr>
          <w:sz w:val="26"/>
          <w:szCs w:val="26"/>
        </w:rPr>
        <w:t>.</w:t>
      </w:r>
      <w:r w:rsidR="0034056F" w:rsidRPr="00CB744C">
        <w:rPr>
          <w:rStyle w:val="FootnoteReference"/>
          <w:sz w:val="26"/>
          <w:szCs w:val="26"/>
          <w:vertAlign w:val="superscript"/>
        </w:rPr>
        <w:footnoteReference w:id="14"/>
      </w:r>
    </w:p>
    <w:p w:rsidR="00DF6803" w:rsidRDefault="00DF6803" w:rsidP="00DF6803">
      <w:pPr>
        <w:pStyle w:val="BodyText2"/>
        <w:spacing w:line="240" w:lineRule="auto"/>
        <w:ind w:right="1440"/>
        <w:contextualSpacing/>
        <w:rPr>
          <w:sz w:val="26"/>
          <w:szCs w:val="26"/>
        </w:rPr>
      </w:pPr>
    </w:p>
    <w:p w:rsidR="00DF6803" w:rsidRPr="00BE533B" w:rsidRDefault="00DF6803" w:rsidP="00BE533B">
      <w:pPr>
        <w:pStyle w:val="Heading4"/>
        <w:numPr>
          <w:ilvl w:val="3"/>
          <w:numId w:val="0"/>
        </w:numPr>
        <w:tabs>
          <w:tab w:val="num" w:pos="0"/>
        </w:tabs>
        <w:spacing w:before="0"/>
        <w:ind w:left="3600" w:hanging="720"/>
        <w:jc w:val="left"/>
        <w:rPr>
          <w:rFonts w:ascii="Times New Roman" w:hAnsi="Times New Roman"/>
          <w:i w:val="0"/>
          <w:color w:val="auto"/>
          <w:sz w:val="26"/>
          <w:szCs w:val="26"/>
        </w:rPr>
      </w:pPr>
      <w:r w:rsidRPr="00BE533B">
        <w:rPr>
          <w:rFonts w:ascii="Times New Roman" w:hAnsi="Times New Roman"/>
          <w:i w:val="0"/>
          <w:color w:val="auto"/>
          <w:sz w:val="26"/>
          <w:szCs w:val="26"/>
        </w:rPr>
        <w:t>(c)</w:t>
      </w:r>
      <w:r w:rsidR="002634B1">
        <w:rPr>
          <w:rFonts w:ascii="Times New Roman" w:hAnsi="Times New Roman"/>
          <w:i w:val="0"/>
          <w:color w:val="auto"/>
          <w:sz w:val="26"/>
          <w:szCs w:val="26"/>
        </w:rPr>
        <w:tab/>
      </w:r>
      <w:r w:rsidRPr="00BE533B">
        <w:rPr>
          <w:rFonts w:ascii="Times New Roman" w:hAnsi="Times New Roman"/>
          <w:i w:val="0"/>
          <w:color w:val="auto"/>
          <w:sz w:val="26"/>
          <w:szCs w:val="26"/>
        </w:rPr>
        <w:t>All-</w:t>
      </w:r>
      <w:r w:rsidR="009D36C9">
        <w:rPr>
          <w:rFonts w:ascii="Times New Roman" w:hAnsi="Times New Roman"/>
          <w:i w:val="0"/>
          <w:color w:val="auto"/>
          <w:sz w:val="26"/>
          <w:szCs w:val="26"/>
        </w:rPr>
        <w:t>I</w:t>
      </w:r>
      <w:r w:rsidRPr="00BE533B">
        <w:rPr>
          <w:rFonts w:ascii="Times New Roman" w:hAnsi="Times New Roman"/>
          <w:i w:val="0"/>
          <w:color w:val="auto"/>
          <w:sz w:val="26"/>
          <w:szCs w:val="26"/>
        </w:rPr>
        <w:t>n/All-</w:t>
      </w:r>
      <w:r w:rsidR="009D36C9">
        <w:rPr>
          <w:rFonts w:ascii="Times New Roman" w:hAnsi="Times New Roman"/>
          <w:i w:val="0"/>
          <w:color w:val="auto"/>
          <w:sz w:val="26"/>
          <w:szCs w:val="26"/>
        </w:rPr>
        <w:t>O</w:t>
      </w:r>
      <w:r w:rsidRPr="00BE533B">
        <w:rPr>
          <w:rFonts w:ascii="Times New Roman" w:hAnsi="Times New Roman"/>
          <w:i w:val="0"/>
          <w:color w:val="auto"/>
          <w:sz w:val="26"/>
          <w:szCs w:val="26"/>
        </w:rPr>
        <w:t xml:space="preserve">ut </w:t>
      </w:r>
      <w:r w:rsidR="009D36C9">
        <w:rPr>
          <w:rFonts w:ascii="Times New Roman" w:hAnsi="Times New Roman"/>
          <w:i w:val="0"/>
          <w:color w:val="auto"/>
          <w:sz w:val="26"/>
          <w:szCs w:val="26"/>
        </w:rPr>
        <w:t>P</w:t>
      </w:r>
      <w:r w:rsidRPr="00BE533B">
        <w:rPr>
          <w:rFonts w:ascii="Times New Roman" w:hAnsi="Times New Roman"/>
          <w:i w:val="0"/>
          <w:color w:val="auto"/>
          <w:sz w:val="26"/>
          <w:szCs w:val="26"/>
        </w:rPr>
        <w:t>rovision</w:t>
      </w:r>
    </w:p>
    <w:p w:rsidR="00DF6803" w:rsidRPr="00BE533B" w:rsidRDefault="00DF6803" w:rsidP="00DF6803">
      <w:pPr>
        <w:pStyle w:val="Heading4"/>
        <w:numPr>
          <w:ilvl w:val="3"/>
          <w:numId w:val="0"/>
        </w:numPr>
        <w:tabs>
          <w:tab w:val="num" w:pos="0"/>
        </w:tabs>
        <w:spacing w:before="0"/>
        <w:ind w:left="2880" w:hanging="2880"/>
        <w:rPr>
          <w:rFonts w:ascii="Times New Roman" w:hAnsi="Times New Roman"/>
          <w:i w:val="0"/>
          <w:color w:val="auto"/>
          <w:sz w:val="26"/>
          <w:szCs w:val="26"/>
        </w:rPr>
      </w:pPr>
    </w:p>
    <w:p w:rsidR="00DF6803" w:rsidRDefault="00DF6803" w:rsidP="00810C35">
      <w:pPr>
        <w:pStyle w:val="Heading4"/>
        <w:numPr>
          <w:ilvl w:val="3"/>
          <w:numId w:val="0"/>
        </w:numPr>
        <w:tabs>
          <w:tab w:val="num" w:pos="0"/>
        </w:tabs>
        <w:spacing w:before="0"/>
        <w:jc w:val="left"/>
        <w:rPr>
          <w:rFonts w:ascii="Times New Roman" w:hAnsi="Times New Roman"/>
          <w:b w:val="0"/>
          <w:i w:val="0"/>
          <w:color w:val="auto"/>
          <w:sz w:val="26"/>
          <w:szCs w:val="26"/>
        </w:rPr>
      </w:pPr>
      <w:r w:rsidRPr="00BE533B">
        <w:rPr>
          <w:rFonts w:ascii="Times New Roman" w:hAnsi="Times New Roman"/>
          <w:i w:val="0"/>
          <w:color w:val="auto"/>
          <w:sz w:val="26"/>
          <w:szCs w:val="26"/>
        </w:rPr>
        <w:tab/>
      </w:r>
      <w:r w:rsidRPr="00BE533B">
        <w:rPr>
          <w:rFonts w:ascii="Times New Roman" w:hAnsi="Times New Roman"/>
          <w:i w:val="0"/>
          <w:color w:val="auto"/>
          <w:sz w:val="26"/>
          <w:szCs w:val="26"/>
        </w:rPr>
        <w:tab/>
      </w:r>
      <w:r w:rsidRPr="00BE533B">
        <w:rPr>
          <w:rFonts w:ascii="Times New Roman" w:hAnsi="Times New Roman"/>
          <w:b w:val="0"/>
          <w:i w:val="0"/>
          <w:color w:val="auto"/>
          <w:sz w:val="26"/>
          <w:szCs w:val="26"/>
        </w:rPr>
        <w:t>The ALJ explained</w:t>
      </w:r>
      <w:r w:rsidRPr="00BE533B">
        <w:rPr>
          <w:rFonts w:ascii="Times New Roman" w:hAnsi="Times New Roman"/>
          <w:i w:val="0"/>
          <w:color w:val="auto"/>
          <w:sz w:val="26"/>
          <w:szCs w:val="26"/>
        </w:rPr>
        <w:t xml:space="preserve"> </w:t>
      </w:r>
      <w:r w:rsidRPr="00BE533B">
        <w:rPr>
          <w:rFonts w:ascii="Times New Roman" w:hAnsi="Times New Roman"/>
          <w:b w:val="0"/>
          <w:i w:val="0"/>
          <w:color w:val="auto"/>
          <w:sz w:val="26"/>
          <w:szCs w:val="26"/>
        </w:rPr>
        <w:t>that PPL proposed to maintain its POR program for residential customers as either handling all customers for the EGS, or none:</w:t>
      </w:r>
    </w:p>
    <w:p w:rsidR="00810C35" w:rsidRPr="00810C35" w:rsidRDefault="00810C35" w:rsidP="00810C35"/>
    <w:p w:rsidR="00DF6803" w:rsidRPr="00CB744C" w:rsidRDefault="00DF6803" w:rsidP="00C76D0C">
      <w:pPr>
        <w:pStyle w:val="BodyText2"/>
        <w:spacing w:after="0" w:line="240" w:lineRule="auto"/>
        <w:ind w:left="1440" w:right="1440"/>
        <w:rPr>
          <w:sz w:val="26"/>
          <w:szCs w:val="26"/>
        </w:rPr>
      </w:pPr>
      <w:r>
        <w:rPr>
          <w:sz w:val="26"/>
          <w:szCs w:val="26"/>
        </w:rPr>
        <w:t>PPL</w:t>
      </w:r>
      <w:r w:rsidRPr="00CB744C">
        <w:rPr>
          <w:sz w:val="26"/>
          <w:szCs w:val="26"/>
        </w:rPr>
        <w:t xml:space="preserve">’s POR program is entirely voluntary, </w:t>
      </w:r>
      <w:r w:rsidRPr="00CB744C">
        <w:rPr>
          <w:i/>
          <w:sz w:val="26"/>
          <w:szCs w:val="26"/>
        </w:rPr>
        <w:t>i.e.</w:t>
      </w:r>
      <w:r w:rsidRPr="00CB744C">
        <w:rPr>
          <w:sz w:val="26"/>
          <w:szCs w:val="26"/>
        </w:rPr>
        <w:t xml:space="preserve">, EGSs can elect to participate or not participate in the program.  </w:t>
      </w:r>
      <w:r>
        <w:rPr>
          <w:sz w:val="26"/>
          <w:szCs w:val="26"/>
        </w:rPr>
        <w:t>PPL</w:t>
      </w:r>
      <w:r w:rsidRPr="00CB744C">
        <w:rPr>
          <w:sz w:val="26"/>
          <w:szCs w:val="26"/>
        </w:rPr>
        <w:t xml:space="preserve"> St. 7, p. 30.  Under the residential customers program, an EGS must sell all of its accounts receivable for that rate class and use </w:t>
      </w:r>
      <w:r>
        <w:rPr>
          <w:sz w:val="26"/>
          <w:szCs w:val="26"/>
        </w:rPr>
        <w:t>PPL</w:t>
      </w:r>
      <w:r w:rsidRPr="00CB744C">
        <w:rPr>
          <w:sz w:val="26"/>
          <w:szCs w:val="26"/>
        </w:rPr>
        <w:t xml:space="preserve">’s consolidated billing to participate in the POR program.  </w:t>
      </w:r>
      <w:r>
        <w:rPr>
          <w:sz w:val="26"/>
          <w:szCs w:val="26"/>
        </w:rPr>
        <w:t>PPL</w:t>
      </w:r>
      <w:r w:rsidRPr="00CB744C">
        <w:rPr>
          <w:sz w:val="26"/>
          <w:szCs w:val="26"/>
        </w:rPr>
        <w:t xml:space="preserve"> St. 6-R, p. 12.  For the small C&amp;I customers, an EGS may elect to participate in the POR program for some or all of its small C&amp;I customers, but must use EDC consolidated billing for those customers in the POR program.  </w:t>
      </w:r>
      <w:r>
        <w:rPr>
          <w:sz w:val="26"/>
          <w:szCs w:val="26"/>
        </w:rPr>
        <w:t>PPL</w:t>
      </w:r>
      <w:r w:rsidRPr="00CB744C">
        <w:rPr>
          <w:sz w:val="26"/>
          <w:szCs w:val="26"/>
        </w:rPr>
        <w:t xml:space="preserve"> St. 6-R, p. 12.</w:t>
      </w:r>
    </w:p>
    <w:p w:rsidR="00DF6803" w:rsidRPr="00CB744C" w:rsidRDefault="00DF6803" w:rsidP="00DF6803">
      <w:pPr>
        <w:pStyle w:val="Heading4"/>
        <w:numPr>
          <w:ilvl w:val="3"/>
          <w:numId w:val="0"/>
        </w:numPr>
        <w:tabs>
          <w:tab w:val="num" w:pos="0"/>
        </w:tabs>
        <w:spacing w:before="0"/>
        <w:ind w:left="2880" w:hanging="2880"/>
        <w:rPr>
          <w:sz w:val="26"/>
          <w:szCs w:val="26"/>
        </w:rPr>
      </w:pPr>
    </w:p>
    <w:p w:rsidR="00DF6803" w:rsidRDefault="00DF6803" w:rsidP="00DF6803">
      <w:pPr>
        <w:pStyle w:val="BodyText2"/>
        <w:spacing w:after="0" w:line="360" w:lineRule="auto"/>
        <w:rPr>
          <w:sz w:val="26"/>
          <w:szCs w:val="26"/>
        </w:rPr>
      </w:pPr>
      <w:r w:rsidRPr="00CB744C">
        <w:rPr>
          <w:sz w:val="26"/>
          <w:szCs w:val="26"/>
        </w:rPr>
        <w:tab/>
      </w:r>
      <w:r w:rsidRPr="00CB744C">
        <w:rPr>
          <w:sz w:val="26"/>
          <w:szCs w:val="26"/>
        </w:rPr>
        <w:tab/>
        <w:t>RESA argue</w:t>
      </w:r>
      <w:r>
        <w:rPr>
          <w:sz w:val="26"/>
          <w:szCs w:val="26"/>
        </w:rPr>
        <w:t>d</w:t>
      </w:r>
      <w:r w:rsidRPr="00CB744C">
        <w:rPr>
          <w:sz w:val="26"/>
          <w:szCs w:val="26"/>
        </w:rPr>
        <w:t xml:space="preserve"> that this restriction prevents an EGS from serving residential customers on a simple, fixed-price rate with the convenience of a single EDC consolidated bill while, at the same time, providing another set of residential customers a more complex, customized product via dual billing.  RESA St. 1, p. 14.  From </w:t>
      </w:r>
      <w:r>
        <w:rPr>
          <w:sz w:val="26"/>
          <w:szCs w:val="26"/>
        </w:rPr>
        <w:t>PPL’s</w:t>
      </w:r>
      <w:r w:rsidRPr="00CB744C">
        <w:rPr>
          <w:sz w:val="26"/>
          <w:szCs w:val="26"/>
        </w:rPr>
        <w:t xml:space="preserve"> point of view, this </w:t>
      </w:r>
      <w:r>
        <w:rPr>
          <w:sz w:val="26"/>
          <w:szCs w:val="26"/>
        </w:rPr>
        <w:t xml:space="preserve">program parameter </w:t>
      </w:r>
      <w:r w:rsidRPr="00CB744C">
        <w:rPr>
          <w:sz w:val="26"/>
          <w:szCs w:val="26"/>
        </w:rPr>
        <w:t xml:space="preserve">ensures that an EGS serving residential customers is unable to place certain residential accounts on POR/consolidated billing while billing other residential accounts through dual billing without POR.  </w:t>
      </w:r>
    </w:p>
    <w:p w:rsidR="00DF6803" w:rsidRDefault="00DF6803" w:rsidP="00DF6803">
      <w:pPr>
        <w:pStyle w:val="BodyText2"/>
        <w:spacing w:after="0" w:line="360" w:lineRule="auto"/>
        <w:rPr>
          <w:sz w:val="26"/>
          <w:szCs w:val="26"/>
        </w:rPr>
      </w:pPr>
    </w:p>
    <w:p w:rsidR="00DF6803" w:rsidRDefault="00C76D0C" w:rsidP="00DF6803">
      <w:pPr>
        <w:pStyle w:val="BodyText2"/>
        <w:spacing w:after="0" w:line="360" w:lineRule="auto"/>
        <w:ind w:firstLine="720"/>
        <w:rPr>
          <w:sz w:val="26"/>
          <w:szCs w:val="26"/>
        </w:rPr>
      </w:pPr>
      <w:r>
        <w:rPr>
          <w:sz w:val="26"/>
          <w:szCs w:val="26"/>
        </w:rPr>
        <w:tab/>
      </w:r>
      <w:r w:rsidR="00DF6803" w:rsidRPr="00CB744C">
        <w:rPr>
          <w:sz w:val="26"/>
          <w:szCs w:val="26"/>
        </w:rPr>
        <w:t>RESA concede</w:t>
      </w:r>
      <w:r w:rsidR="00DF6803">
        <w:rPr>
          <w:sz w:val="26"/>
          <w:szCs w:val="26"/>
        </w:rPr>
        <w:t>d</w:t>
      </w:r>
      <w:r w:rsidR="00DF6803" w:rsidRPr="00CB744C">
        <w:rPr>
          <w:sz w:val="26"/>
          <w:szCs w:val="26"/>
        </w:rPr>
        <w:t xml:space="preserve"> that there is a risk that the Company could under recover its generation uncollectible accounts expense if EGSs were permitted to selectively enroll poor paying customers.  RESA St. 1, p. 10.  The Company </w:t>
      </w:r>
      <w:r w:rsidR="00DF6803">
        <w:rPr>
          <w:sz w:val="26"/>
          <w:szCs w:val="26"/>
        </w:rPr>
        <w:t xml:space="preserve">noted </w:t>
      </w:r>
      <w:r w:rsidR="00DF6803" w:rsidRPr="00CB744C">
        <w:rPr>
          <w:sz w:val="26"/>
          <w:szCs w:val="26"/>
        </w:rPr>
        <w:t xml:space="preserve">that this risk is greater for residential customers as compared to other classes </w:t>
      </w:r>
      <w:r w:rsidR="002D42E3">
        <w:rPr>
          <w:sz w:val="26"/>
          <w:szCs w:val="26"/>
        </w:rPr>
        <w:t>because t</w:t>
      </w:r>
      <w:r w:rsidR="00DF6803" w:rsidRPr="00CB744C">
        <w:rPr>
          <w:sz w:val="26"/>
          <w:szCs w:val="26"/>
        </w:rPr>
        <w:t>he residential class includes low-income customers; the uncollectible accounts expense is much higher for the residential class; the</w:t>
      </w:r>
      <w:r w:rsidR="002D42E3">
        <w:rPr>
          <w:sz w:val="26"/>
          <w:szCs w:val="26"/>
        </w:rPr>
        <w:t>re are</w:t>
      </w:r>
      <w:r w:rsidR="00DF6803" w:rsidRPr="00CB744C">
        <w:rPr>
          <w:sz w:val="26"/>
          <w:szCs w:val="26"/>
        </w:rPr>
        <w:t xml:space="preserve"> limitations on the ability to terminate service under Chapter 56, including the moratorium on winter shutoffs; and the Company’s ability to pursue collections is subject to Chapter 56.  </w:t>
      </w:r>
      <w:r w:rsidR="00DF6803">
        <w:rPr>
          <w:sz w:val="26"/>
          <w:szCs w:val="26"/>
        </w:rPr>
        <w:t>PPL</w:t>
      </w:r>
      <w:r w:rsidR="00DF6803" w:rsidRPr="00CB744C">
        <w:rPr>
          <w:sz w:val="26"/>
          <w:szCs w:val="26"/>
        </w:rPr>
        <w:t xml:space="preserve"> St. 6-R, p. 13.  </w:t>
      </w:r>
    </w:p>
    <w:p w:rsidR="002D42E3" w:rsidRDefault="002D42E3" w:rsidP="00DF6803">
      <w:pPr>
        <w:pStyle w:val="BodyText2"/>
        <w:spacing w:after="0" w:line="360" w:lineRule="auto"/>
        <w:ind w:firstLine="720"/>
        <w:rPr>
          <w:sz w:val="26"/>
          <w:szCs w:val="26"/>
        </w:rPr>
      </w:pPr>
    </w:p>
    <w:p w:rsidR="002D42E3" w:rsidRPr="00CB744C" w:rsidRDefault="002D42E3" w:rsidP="00DF6803">
      <w:pPr>
        <w:pStyle w:val="BodyText2"/>
        <w:spacing w:after="0" w:line="360" w:lineRule="auto"/>
        <w:ind w:firstLine="720"/>
        <w:rPr>
          <w:sz w:val="26"/>
          <w:szCs w:val="26"/>
        </w:rPr>
      </w:pPr>
      <w:r>
        <w:rPr>
          <w:sz w:val="26"/>
          <w:szCs w:val="26"/>
        </w:rPr>
        <w:tab/>
        <w:t>PPL responded:</w:t>
      </w:r>
    </w:p>
    <w:p w:rsidR="00DF6803" w:rsidRPr="00CB744C" w:rsidRDefault="00DF6803" w:rsidP="00DF6803">
      <w:pPr>
        <w:pStyle w:val="BodyText2"/>
        <w:spacing w:after="0" w:line="360" w:lineRule="auto"/>
        <w:ind w:firstLine="1440"/>
        <w:rPr>
          <w:sz w:val="26"/>
          <w:szCs w:val="26"/>
        </w:rPr>
      </w:pPr>
    </w:p>
    <w:p w:rsidR="00DF6803" w:rsidRDefault="00DF6803" w:rsidP="00C76D0C">
      <w:pPr>
        <w:pStyle w:val="BodyText2"/>
        <w:spacing w:after="0" w:line="240" w:lineRule="auto"/>
        <w:ind w:left="1440" w:right="1440"/>
        <w:contextualSpacing/>
        <w:rPr>
          <w:sz w:val="26"/>
          <w:szCs w:val="26"/>
        </w:rPr>
      </w:pPr>
      <w:r w:rsidRPr="00CB744C">
        <w:rPr>
          <w:sz w:val="26"/>
          <w:szCs w:val="26"/>
        </w:rPr>
        <w:t xml:space="preserve">In the absence of the “all-in/all-out” requirement, an EGS could potentially maintain the billing and collection responsibilities for low risk, good-paying residential customers, while shifting the risk of residential customers with poor credit or payment histories to </w:t>
      </w:r>
      <w:r>
        <w:rPr>
          <w:sz w:val="26"/>
          <w:szCs w:val="26"/>
        </w:rPr>
        <w:t>PPL</w:t>
      </w:r>
      <w:r w:rsidRPr="00CB744C">
        <w:rPr>
          <w:sz w:val="26"/>
          <w:szCs w:val="26"/>
        </w:rPr>
        <w:t xml:space="preserve"> through use of its consolidated billing.  As a result, the Company’s actual uncollectible accounts expense would likely be higher than the average for all residential customers, and it might be significantly higher due to the moratorium on residential winter terminations under chapter 56.  The “all in/all out” requirement was a protection, under the Company’s current POR program, as an appropriate mechanism to address this concern.  </w:t>
      </w:r>
      <w:r>
        <w:rPr>
          <w:sz w:val="26"/>
          <w:szCs w:val="26"/>
        </w:rPr>
        <w:t>PPL</w:t>
      </w:r>
      <w:r w:rsidRPr="00CB744C">
        <w:rPr>
          <w:sz w:val="26"/>
          <w:szCs w:val="26"/>
        </w:rPr>
        <w:t xml:space="preserve"> St. 6-R, p. 13.  RESA has failed to introduce evidence of any conditions that have changed since the settlement that established the current POR that would alter the risk acknowledged by RESA.</w:t>
      </w:r>
    </w:p>
    <w:p w:rsidR="00DF6803" w:rsidRPr="00CB744C" w:rsidRDefault="00DF6803" w:rsidP="00DF6803">
      <w:pPr>
        <w:pStyle w:val="BodyText2"/>
        <w:spacing w:after="0" w:line="240" w:lineRule="auto"/>
        <w:ind w:left="1440" w:right="1440"/>
        <w:contextualSpacing/>
        <w:jc w:val="both"/>
        <w:rPr>
          <w:sz w:val="26"/>
          <w:szCs w:val="26"/>
        </w:rPr>
      </w:pPr>
    </w:p>
    <w:p w:rsidR="00DF6803" w:rsidRPr="00CB744C" w:rsidRDefault="00DF6803" w:rsidP="00C76D0C">
      <w:pPr>
        <w:pStyle w:val="BodyText2"/>
        <w:spacing w:after="0" w:line="240" w:lineRule="auto"/>
        <w:ind w:left="1440" w:right="1440"/>
        <w:contextualSpacing/>
        <w:rPr>
          <w:sz w:val="26"/>
          <w:szCs w:val="26"/>
        </w:rPr>
      </w:pPr>
      <w:r w:rsidRPr="00CB744C">
        <w:rPr>
          <w:sz w:val="26"/>
          <w:szCs w:val="26"/>
        </w:rPr>
        <w:t xml:space="preserve">Further, as explained above, the large number of residential customers currently taking competitive supply within the </w:t>
      </w:r>
      <w:r>
        <w:rPr>
          <w:sz w:val="26"/>
          <w:szCs w:val="26"/>
        </w:rPr>
        <w:t>PPL</w:t>
      </w:r>
      <w:r w:rsidRPr="00CB744C">
        <w:rPr>
          <w:sz w:val="26"/>
          <w:szCs w:val="26"/>
        </w:rPr>
        <w:t xml:space="preserve"> service territory and the large number of EGSs serving residential customers does not suggest that the “all-in/all-out” requirement has been any impediment to EGS participation in the development of a robust competitive market.  </w:t>
      </w:r>
      <w:r>
        <w:rPr>
          <w:sz w:val="26"/>
          <w:szCs w:val="26"/>
        </w:rPr>
        <w:t>PPL</w:t>
      </w:r>
      <w:r w:rsidRPr="00CB744C">
        <w:rPr>
          <w:sz w:val="26"/>
          <w:szCs w:val="26"/>
        </w:rPr>
        <w:t xml:space="preserve"> St. 6-R, pp. 5-6, 13.</w:t>
      </w:r>
    </w:p>
    <w:p w:rsidR="00DF6803" w:rsidRPr="00CB744C" w:rsidRDefault="00DF6803" w:rsidP="00DF6803">
      <w:pPr>
        <w:pStyle w:val="BodyText2"/>
        <w:spacing w:after="0" w:line="240" w:lineRule="auto"/>
        <w:ind w:left="1440" w:right="1440"/>
        <w:contextualSpacing/>
        <w:jc w:val="both"/>
        <w:rPr>
          <w:sz w:val="26"/>
          <w:szCs w:val="26"/>
        </w:rPr>
      </w:pPr>
    </w:p>
    <w:p w:rsidR="00DF6803" w:rsidRPr="00CB744C" w:rsidRDefault="00DF6803" w:rsidP="00DF6803">
      <w:pPr>
        <w:pStyle w:val="BodyText2"/>
        <w:spacing w:after="0" w:line="360" w:lineRule="auto"/>
        <w:ind w:left="1440" w:right="1440" w:hanging="1440"/>
        <w:contextualSpacing/>
        <w:rPr>
          <w:sz w:val="26"/>
          <w:szCs w:val="26"/>
        </w:rPr>
      </w:pPr>
      <w:r>
        <w:rPr>
          <w:sz w:val="26"/>
          <w:szCs w:val="26"/>
        </w:rPr>
        <w:lastRenderedPageBreak/>
        <w:t>PPL</w:t>
      </w:r>
      <w:r w:rsidRPr="00CB744C">
        <w:rPr>
          <w:sz w:val="26"/>
          <w:szCs w:val="26"/>
        </w:rPr>
        <w:t xml:space="preserve"> </w:t>
      </w:r>
      <w:r>
        <w:rPr>
          <w:sz w:val="26"/>
          <w:szCs w:val="26"/>
        </w:rPr>
        <w:t>M.B.</w:t>
      </w:r>
      <w:r w:rsidRPr="00CB744C">
        <w:rPr>
          <w:sz w:val="26"/>
          <w:szCs w:val="26"/>
        </w:rPr>
        <w:t xml:space="preserve"> at 91-93.</w:t>
      </w:r>
    </w:p>
    <w:p w:rsidR="00DF6803" w:rsidRPr="00CB744C" w:rsidRDefault="00DF6803" w:rsidP="00DF6803">
      <w:pPr>
        <w:pStyle w:val="BodyText2"/>
        <w:spacing w:after="0" w:line="360" w:lineRule="auto"/>
        <w:ind w:left="1440" w:right="1440" w:hanging="1440"/>
        <w:contextualSpacing/>
        <w:rPr>
          <w:sz w:val="26"/>
          <w:szCs w:val="26"/>
        </w:rPr>
      </w:pPr>
    </w:p>
    <w:p w:rsidR="00DF6803" w:rsidRPr="00CB744C" w:rsidRDefault="00DF6803" w:rsidP="00C76D0C">
      <w:pPr>
        <w:pStyle w:val="BodyText2"/>
        <w:spacing w:after="0" w:line="360" w:lineRule="auto"/>
        <w:contextualSpacing/>
        <w:rPr>
          <w:sz w:val="26"/>
          <w:szCs w:val="26"/>
        </w:rPr>
      </w:pPr>
      <w:r w:rsidRPr="00CB744C">
        <w:rPr>
          <w:sz w:val="26"/>
          <w:szCs w:val="26"/>
        </w:rPr>
        <w:tab/>
      </w:r>
      <w:r w:rsidRPr="00CB744C">
        <w:rPr>
          <w:sz w:val="26"/>
          <w:szCs w:val="26"/>
        </w:rPr>
        <w:tab/>
        <w:t xml:space="preserve">The </w:t>
      </w:r>
      <w:r>
        <w:rPr>
          <w:sz w:val="26"/>
          <w:szCs w:val="26"/>
        </w:rPr>
        <w:t xml:space="preserve">ALJ observed that the </w:t>
      </w:r>
      <w:r w:rsidRPr="00CB744C">
        <w:rPr>
          <w:sz w:val="26"/>
          <w:szCs w:val="26"/>
        </w:rPr>
        <w:t xml:space="preserve">Commission </w:t>
      </w:r>
      <w:r>
        <w:rPr>
          <w:sz w:val="26"/>
          <w:szCs w:val="26"/>
        </w:rPr>
        <w:t xml:space="preserve">had preliminarily </w:t>
      </w:r>
      <w:r w:rsidRPr="00CB744C">
        <w:rPr>
          <w:sz w:val="26"/>
          <w:szCs w:val="26"/>
        </w:rPr>
        <w:t>stated its preference in its Advance Notice of Final Rulemaking Order in</w:t>
      </w:r>
      <w:r w:rsidRPr="00CB744C">
        <w:rPr>
          <w:i/>
          <w:sz w:val="26"/>
          <w:szCs w:val="26"/>
        </w:rPr>
        <w:t xml:space="preserve"> Natural Gas Distribution Companies and Promotion of Competitive Retail Markets </w:t>
      </w:r>
      <w:r w:rsidRPr="00CB744C">
        <w:rPr>
          <w:sz w:val="26"/>
          <w:szCs w:val="26"/>
        </w:rPr>
        <w:t xml:space="preserve">proceeding, Docket No. L-2008-2069114 (Order entered August 10, 2010), </w:t>
      </w:r>
      <w:r>
        <w:rPr>
          <w:sz w:val="26"/>
          <w:szCs w:val="26"/>
        </w:rPr>
        <w:t xml:space="preserve">with regard to POR programs for natural gas utilities. </w:t>
      </w:r>
      <w:r w:rsidRPr="00CB744C">
        <w:rPr>
          <w:sz w:val="26"/>
          <w:szCs w:val="26"/>
        </w:rPr>
        <w:t xml:space="preserve"> The Commission has declared its intent to require an NGS to use consolidated billing – for all customers -- in order to qualify for participation in a POR program with two specific exceptions:  (1) if the NGDC’s system cannot accommodate it; or (2)  if the NGS wants to offer products that are bundled with non-basic services.  At 24-25; proposed §62.224(2).  </w:t>
      </w:r>
      <w:r>
        <w:rPr>
          <w:sz w:val="26"/>
          <w:szCs w:val="26"/>
        </w:rPr>
        <w:t>On this basis, the ALJ determined that PPL</w:t>
      </w:r>
      <w:r w:rsidRPr="00CB744C">
        <w:rPr>
          <w:sz w:val="26"/>
          <w:szCs w:val="26"/>
        </w:rPr>
        <w:t xml:space="preserve">’s proposal to use its “all in/all out” provision </w:t>
      </w:r>
      <w:r>
        <w:rPr>
          <w:sz w:val="26"/>
          <w:szCs w:val="26"/>
        </w:rPr>
        <w:t>was</w:t>
      </w:r>
      <w:r w:rsidRPr="00CB744C">
        <w:rPr>
          <w:sz w:val="26"/>
          <w:szCs w:val="26"/>
        </w:rPr>
        <w:t xml:space="preserve"> consistent with the Commission’s </w:t>
      </w:r>
      <w:r w:rsidR="00291B46">
        <w:rPr>
          <w:sz w:val="26"/>
          <w:szCs w:val="26"/>
        </w:rPr>
        <w:t>proposed R</w:t>
      </w:r>
      <w:r w:rsidRPr="00CB744C">
        <w:rPr>
          <w:sz w:val="26"/>
          <w:szCs w:val="26"/>
        </w:rPr>
        <w:t>egulations in the gas industry</w:t>
      </w:r>
      <w:r>
        <w:rPr>
          <w:sz w:val="26"/>
          <w:szCs w:val="26"/>
        </w:rPr>
        <w:t xml:space="preserve">.  Therefore, she recommended that </w:t>
      </w:r>
      <w:r w:rsidRPr="00CB744C">
        <w:rPr>
          <w:sz w:val="26"/>
          <w:szCs w:val="26"/>
        </w:rPr>
        <w:t xml:space="preserve">RESA’s proposed modification </w:t>
      </w:r>
      <w:r>
        <w:rPr>
          <w:sz w:val="26"/>
          <w:szCs w:val="26"/>
        </w:rPr>
        <w:t>regarding the all-in/all-out provision not be</w:t>
      </w:r>
      <w:r w:rsidRPr="00CB744C">
        <w:rPr>
          <w:sz w:val="26"/>
          <w:szCs w:val="26"/>
        </w:rPr>
        <w:t xml:space="preserve"> adopted.</w:t>
      </w:r>
    </w:p>
    <w:p w:rsidR="00DF6803" w:rsidRPr="00CB744C" w:rsidRDefault="00DF6803" w:rsidP="00DF6803">
      <w:pPr>
        <w:pStyle w:val="BodyText2"/>
        <w:spacing w:after="0" w:line="360" w:lineRule="auto"/>
        <w:contextualSpacing/>
        <w:rPr>
          <w:sz w:val="26"/>
          <w:szCs w:val="26"/>
        </w:rPr>
      </w:pPr>
    </w:p>
    <w:p w:rsidR="00DF6803" w:rsidRPr="00CB744C" w:rsidRDefault="00DF6803" w:rsidP="00F1551A">
      <w:pPr>
        <w:pStyle w:val="BodyText2"/>
        <w:spacing w:after="0" w:line="240" w:lineRule="auto"/>
        <w:ind w:left="3600" w:hanging="720"/>
        <w:rPr>
          <w:b/>
          <w:sz w:val="26"/>
          <w:szCs w:val="26"/>
        </w:rPr>
      </w:pPr>
      <w:r w:rsidRPr="00CB744C">
        <w:rPr>
          <w:b/>
          <w:sz w:val="26"/>
          <w:szCs w:val="26"/>
        </w:rPr>
        <w:t>(</w:t>
      </w:r>
      <w:r>
        <w:rPr>
          <w:b/>
          <w:sz w:val="26"/>
          <w:szCs w:val="26"/>
        </w:rPr>
        <w:t>d</w:t>
      </w:r>
      <w:r w:rsidR="00F1551A">
        <w:rPr>
          <w:b/>
          <w:sz w:val="26"/>
          <w:szCs w:val="26"/>
        </w:rPr>
        <w:t>)</w:t>
      </w:r>
      <w:r w:rsidR="00F1551A">
        <w:rPr>
          <w:b/>
          <w:sz w:val="26"/>
          <w:szCs w:val="26"/>
        </w:rPr>
        <w:tab/>
      </w:r>
      <w:r w:rsidRPr="00CB744C">
        <w:rPr>
          <w:b/>
          <w:sz w:val="26"/>
          <w:szCs w:val="26"/>
        </w:rPr>
        <w:t xml:space="preserve">Whether the </w:t>
      </w:r>
      <w:r w:rsidR="000F5C20">
        <w:rPr>
          <w:b/>
          <w:sz w:val="26"/>
          <w:szCs w:val="26"/>
        </w:rPr>
        <w:t>C</w:t>
      </w:r>
      <w:r w:rsidRPr="00CB744C">
        <w:rPr>
          <w:b/>
          <w:sz w:val="26"/>
          <w:szCs w:val="26"/>
        </w:rPr>
        <w:t xml:space="preserve">urrent </w:t>
      </w:r>
      <w:r w:rsidR="000F5C20">
        <w:rPr>
          <w:b/>
          <w:sz w:val="26"/>
          <w:szCs w:val="26"/>
        </w:rPr>
        <w:t>T</w:t>
      </w:r>
      <w:r w:rsidRPr="00CB744C">
        <w:rPr>
          <w:b/>
          <w:sz w:val="26"/>
          <w:szCs w:val="26"/>
        </w:rPr>
        <w:t xml:space="preserve">racking </w:t>
      </w:r>
      <w:r w:rsidR="000F5C20">
        <w:rPr>
          <w:b/>
          <w:sz w:val="26"/>
          <w:szCs w:val="26"/>
        </w:rPr>
        <w:t>M</w:t>
      </w:r>
      <w:r w:rsidRPr="00CB744C">
        <w:rPr>
          <w:b/>
          <w:sz w:val="26"/>
          <w:szCs w:val="26"/>
        </w:rPr>
        <w:t xml:space="preserve">echanism for the </w:t>
      </w:r>
      <w:r w:rsidR="000F5C20">
        <w:rPr>
          <w:b/>
          <w:sz w:val="26"/>
          <w:szCs w:val="26"/>
        </w:rPr>
        <w:t>S</w:t>
      </w:r>
      <w:r w:rsidRPr="00CB744C">
        <w:rPr>
          <w:b/>
          <w:sz w:val="26"/>
          <w:szCs w:val="26"/>
        </w:rPr>
        <w:t xml:space="preserve">mall </w:t>
      </w:r>
      <w:r w:rsidR="00F1551A">
        <w:rPr>
          <w:b/>
          <w:sz w:val="26"/>
          <w:szCs w:val="26"/>
        </w:rPr>
        <w:t>C&amp;I</w:t>
      </w:r>
      <w:r w:rsidRPr="00CB744C">
        <w:rPr>
          <w:b/>
          <w:sz w:val="26"/>
          <w:szCs w:val="26"/>
        </w:rPr>
        <w:t xml:space="preserve"> </w:t>
      </w:r>
      <w:r w:rsidR="000F5C20">
        <w:rPr>
          <w:b/>
          <w:sz w:val="26"/>
          <w:szCs w:val="26"/>
        </w:rPr>
        <w:t>C</w:t>
      </w:r>
      <w:r w:rsidRPr="00CB744C">
        <w:rPr>
          <w:b/>
          <w:sz w:val="26"/>
          <w:szCs w:val="26"/>
        </w:rPr>
        <w:t xml:space="preserve">ustomer POR </w:t>
      </w:r>
      <w:r w:rsidR="000F5C20">
        <w:rPr>
          <w:b/>
          <w:sz w:val="26"/>
          <w:szCs w:val="26"/>
        </w:rPr>
        <w:t>Program S</w:t>
      </w:r>
      <w:r w:rsidRPr="00CB744C">
        <w:rPr>
          <w:b/>
          <w:sz w:val="26"/>
          <w:szCs w:val="26"/>
        </w:rPr>
        <w:t xml:space="preserve">hould be </w:t>
      </w:r>
      <w:r w:rsidR="000F5C20">
        <w:rPr>
          <w:b/>
          <w:sz w:val="26"/>
          <w:szCs w:val="26"/>
        </w:rPr>
        <w:t>E</w:t>
      </w:r>
      <w:r w:rsidRPr="00CB744C">
        <w:rPr>
          <w:b/>
          <w:sz w:val="26"/>
          <w:szCs w:val="26"/>
        </w:rPr>
        <w:t>liminated</w:t>
      </w:r>
      <w:r>
        <w:rPr>
          <w:b/>
          <w:sz w:val="26"/>
          <w:szCs w:val="26"/>
        </w:rPr>
        <w:t>.</w:t>
      </w:r>
    </w:p>
    <w:p w:rsidR="00DF6803" w:rsidRPr="00CB744C" w:rsidRDefault="00DF6803" w:rsidP="00DF6803">
      <w:pPr>
        <w:pStyle w:val="BodyText2"/>
        <w:spacing w:after="0" w:line="360" w:lineRule="auto"/>
        <w:rPr>
          <w:b/>
          <w:sz w:val="26"/>
          <w:szCs w:val="26"/>
        </w:rPr>
      </w:pPr>
    </w:p>
    <w:p w:rsidR="00DF6803" w:rsidRDefault="00291B46" w:rsidP="00DF6803">
      <w:pPr>
        <w:pStyle w:val="BodyText2"/>
        <w:spacing w:after="0" w:line="360" w:lineRule="auto"/>
        <w:rPr>
          <w:sz w:val="26"/>
          <w:szCs w:val="26"/>
        </w:rPr>
      </w:pPr>
      <w:r>
        <w:rPr>
          <w:sz w:val="26"/>
          <w:szCs w:val="26"/>
        </w:rPr>
        <w:tab/>
      </w:r>
      <w:r>
        <w:rPr>
          <w:sz w:val="26"/>
          <w:szCs w:val="26"/>
        </w:rPr>
        <w:tab/>
      </w:r>
      <w:r w:rsidR="00DF6803" w:rsidRPr="00CB744C">
        <w:rPr>
          <w:sz w:val="26"/>
          <w:szCs w:val="26"/>
        </w:rPr>
        <w:t>RESA recommend</w:t>
      </w:r>
      <w:r w:rsidR="00DF6803">
        <w:rPr>
          <w:sz w:val="26"/>
          <w:szCs w:val="26"/>
        </w:rPr>
        <w:t>ed</w:t>
      </w:r>
      <w:r w:rsidR="00DF6803" w:rsidRPr="00CB744C">
        <w:rPr>
          <w:sz w:val="26"/>
          <w:szCs w:val="26"/>
        </w:rPr>
        <w:t xml:space="preserve"> that the Company should eliminate the current tracking mechanism to monitor individual EGS uncollectible percentages for small </w:t>
      </w:r>
      <w:r w:rsidR="00F1551A">
        <w:rPr>
          <w:sz w:val="26"/>
          <w:szCs w:val="26"/>
        </w:rPr>
        <w:t>C&amp;I</w:t>
      </w:r>
      <w:r w:rsidR="00DF6803" w:rsidRPr="00CB744C">
        <w:rPr>
          <w:sz w:val="26"/>
          <w:szCs w:val="26"/>
        </w:rPr>
        <w:t xml:space="preserve"> customers.  RESA contend</w:t>
      </w:r>
      <w:r w:rsidR="00DF6803">
        <w:rPr>
          <w:sz w:val="26"/>
          <w:szCs w:val="26"/>
        </w:rPr>
        <w:t>ed</w:t>
      </w:r>
      <w:r w:rsidR="00DF6803" w:rsidRPr="00CB744C">
        <w:rPr>
          <w:sz w:val="26"/>
          <w:szCs w:val="26"/>
        </w:rPr>
        <w:t xml:space="preserve"> that the tracking of EGS uncollectible accounts expense under the POR program is complicated and can impede development of the competitive market.  RESA St. 1, p. 9.  RESA assert</w:t>
      </w:r>
      <w:r>
        <w:rPr>
          <w:sz w:val="26"/>
          <w:szCs w:val="26"/>
        </w:rPr>
        <w:t>ed</w:t>
      </w:r>
      <w:r w:rsidR="00DF6803" w:rsidRPr="00CB744C">
        <w:rPr>
          <w:sz w:val="26"/>
          <w:szCs w:val="26"/>
        </w:rPr>
        <w:t xml:space="preserve"> that the need for such a mechanism </w:t>
      </w:r>
      <w:r>
        <w:rPr>
          <w:sz w:val="26"/>
          <w:szCs w:val="26"/>
        </w:rPr>
        <w:t>would be</w:t>
      </w:r>
      <w:r w:rsidR="00DF6803" w:rsidRPr="00CB744C">
        <w:rPr>
          <w:sz w:val="26"/>
          <w:szCs w:val="26"/>
        </w:rPr>
        <w:t xml:space="preserve"> obviated if RESA’s proposal to recover uncollectible accounts expense through a nonbypassable mechanism is adopted</w:t>
      </w:r>
      <w:r>
        <w:rPr>
          <w:sz w:val="26"/>
          <w:szCs w:val="26"/>
        </w:rPr>
        <w:t>.</w:t>
      </w:r>
      <w:r w:rsidR="00DF6803" w:rsidRPr="00CB744C">
        <w:rPr>
          <w:sz w:val="26"/>
          <w:szCs w:val="26"/>
        </w:rPr>
        <w:t xml:space="preserve">  RESA M</w:t>
      </w:r>
      <w:r w:rsidR="00DF6803">
        <w:rPr>
          <w:sz w:val="26"/>
          <w:szCs w:val="26"/>
        </w:rPr>
        <w:t>.B.</w:t>
      </w:r>
      <w:r>
        <w:rPr>
          <w:sz w:val="26"/>
          <w:szCs w:val="26"/>
        </w:rPr>
        <w:t xml:space="preserve"> at 17.</w:t>
      </w:r>
    </w:p>
    <w:p w:rsidR="00DF6803" w:rsidRPr="00CB744C" w:rsidRDefault="00DF6803" w:rsidP="00DF6803">
      <w:pPr>
        <w:pStyle w:val="BodyText2"/>
        <w:spacing w:after="0" w:line="360" w:lineRule="auto"/>
        <w:rPr>
          <w:sz w:val="26"/>
          <w:szCs w:val="26"/>
        </w:rPr>
      </w:pPr>
    </w:p>
    <w:p w:rsidR="00DF6803" w:rsidRPr="00CB744C" w:rsidRDefault="00291B46" w:rsidP="00DF6803">
      <w:pPr>
        <w:pStyle w:val="BodyText2"/>
        <w:spacing w:after="0" w:line="360" w:lineRule="auto"/>
        <w:ind w:firstLine="720"/>
        <w:rPr>
          <w:sz w:val="26"/>
          <w:szCs w:val="26"/>
        </w:rPr>
      </w:pPr>
      <w:r>
        <w:rPr>
          <w:sz w:val="26"/>
          <w:szCs w:val="26"/>
        </w:rPr>
        <w:tab/>
      </w:r>
      <w:r w:rsidR="00DF6803">
        <w:rPr>
          <w:sz w:val="26"/>
          <w:szCs w:val="26"/>
        </w:rPr>
        <w:t xml:space="preserve">The ALJ noted that she had recommended </w:t>
      </w:r>
      <w:r w:rsidR="00C60083">
        <w:rPr>
          <w:sz w:val="26"/>
          <w:szCs w:val="26"/>
        </w:rPr>
        <w:t xml:space="preserve">the </w:t>
      </w:r>
      <w:r w:rsidR="00DF6803">
        <w:rPr>
          <w:sz w:val="26"/>
          <w:szCs w:val="26"/>
        </w:rPr>
        <w:t xml:space="preserve">rejection of </w:t>
      </w:r>
      <w:r w:rsidR="00C60083">
        <w:rPr>
          <w:sz w:val="26"/>
          <w:szCs w:val="26"/>
        </w:rPr>
        <w:t xml:space="preserve">RESA’s </w:t>
      </w:r>
      <w:r w:rsidR="00DF6803">
        <w:rPr>
          <w:sz w:val="26"/>
          <w:szCs w:val="26"/>
        </w:rPr>
        <w:t xml:space="preserve">nonbypassable </w:t>
      </w:r>
      <w:r w:rsidR="00DF6803" w:rsidRPr="00CB744C">
        <w:rPr>
          <w:sz w:val="26"/>
          <w:szCs w:val="26"/>
        </w:rPr>
        <w:t xml:space="preserve">mechanism and </w:t>
      </w:r>
      <w:r w:rsidR="00DF6803">
        <w:rPr>
          <w:sz w:val="26"/>
          <w:szCs w:val="26"/>
        </w:rPr>
        <w:t xml:space="preserve">it was incumbent upon </w:t>
      </w:r>
      <w:r w:rsidR="00DF6803" w:rsidRPr="00CB744C">
        <w:rPr>
          <w:sz w:val="26"/>
          <w:szCs w:val="26"/>
        </w:rPr>
        <w:t xml:space="preserve">RESA </w:t>
      </w:r>
      <w:r w:rsidR="00DF6803">
        <w:rPr>
          <w:sz w:val="26"/>
          <w:szCs w:val="26"/>
        </w:rPr>
        <w:t>to</w:t>
      </w:r>
      <w:r w:rsidR="00DF6803" w:rsidRPr="00CB744C">
        <w:rPr>
          <w:sz w:val="26"/>
          <w:szCs w:val="26"/>
        </w:rPr>
        <w:t xml:space="preserve"> provide substantial </w:t>
      </w:r>
      <w:r w:rsidR="00DF6803" w:rsidRPr="00CB744C">
        <w:rPr>
          <w:sz w:val="26"/>
          <w:szCs w:val="26"/>
        </w:rPr>
        <w:lastRenderedPageBreak/>
        <w:t xml:space="preserve">evidence to support a Commission directive ordering the Company to cease </w:t>
      </w:r>
      <w:r w:rsidR="00F1551A">
        <w:rPr>
          <w:sz w:val="26"/>
          <w:szCs w:val="26"/>
        </w:rPr>
        <w:t>C&amp;I</w:t>
      </w:r>
      <w:r w:rsidR="00DF6803">
        <w:rPr>
          <w:sz w:val="26"/>
          <w:szCs w:val="26"/>
        </w:rPr>
        <w:t xml:space="preserve"> tracking</w:t>
      </w:r>
      <w:r w:rsidR="00DF6803" w:rsidRPr="00CB744C">
        <w:rPr>
          <w:sz w:val="26"/>
          <w:szCs w:val="26"/>
        </w:rPr>
        <w:t>.</w:t>
      </w:r>
    </w:p>
    <w:p w:rsidR="00DF6803" w:rsidRPr="00CB744C" w:rsidRDefault="00DF6803" w:rsidP="00DF6803">
      <w:pPr>
        <w:pStyle w:val="BodyText2"/>
        <w:spacing w:after="0" w:line="360" w:lineRule="auto"/>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PPL</w:t>
      </w:r>
      <w:r w:rsidRPr="00CB744C">
        <w:rPr>
          <w:sz w:val="26"/>
          <w:szCs w:val="26"/>
        </w:rPr>
        <w:t xml:space="preserve"> object</w:t>
      </w:r>
      <w:r>
        <w:rPr>
          <w:sz w:val="26"/>
          <w:szCs w:val="26"/>
        </w:rPr>
        <w:t>ed to RESA’s</w:t>
      </w:r>
      <w:r w:rsidRPr="00CB744C">
        <w:rPr>
          <w:sz w:val="26"/>
          <w:szCs w:val="26"/>
        </w:rPr>
        <w:t xml:space="preserve"> proposal</w:t>
      </w:r>
      <w:r>
        <w:rPr>
          <w:sz w:val="26"/>
          <w:szCs w:val="26"/>
        </w:rPr>
        <w:t xml:space="preserve"> as follows</w:t>
      </w:r>
      <w:r w:rsidRPr="00CB744C">
        <w:rPr>
          <w:sz w:val="26"/>
          <w:szCs w:val="26"/>
        </w:rPr>
        <w:t>:</w:t>
      </w:r>
    </w:p>
    <w:p w:rsidR="00DF6803" w:rsidRPr="00CB744C" w:rsidRDefault="00DF6803" w:rsidP="00DF6803">
      <w:pPr>
        <w:pStyle w:val="BodyText2"/>
        <w:spacing w:after="0" w:line="240" w:lineRule="auto"/>
        <w:rPr>
          <w:sz w:val="26"/>
          <w:szCs w:val="26"/>
        </w:rPr>
      </w:pPr>
    </w:p>
    <w:p w:rsidR="00DF6803" w:rsidRDefault="00DF6803" w:rsidP="0091640C">
      <w:pPr>
        <w:pStyle w:val="BodyText2"/>
        <w:spacing w:after="0" w:line="240" w:lineRule="auto"/>
        <w:ind w:left="1440" w:right="1440"/>
        <w:contextualSpacing/>
        <w:rPr>
          <w:sz w:val="26"/>
          <w:szCs w:val="26"/>
        </w:rPr>
      </w:pPr>
      <w:r w:rsidRPr="00CB744C">
        <w:rPr>
          <w:sz w:val="26"/>
          <w:szCs w:val="26"/>
        </w:rPr>
        <w:tab/>
        <w:t xml:space="preserve">The small C&amp;I class program differs from residential rate classes in that an EGS may selectively enroll small c&amp;i customers in the POR program through consolidated billing, while serving other customers through dual billing.  </w:t>
      </w:r>
      <w:r>
        <w:rPr>
          <w:sz w:val="26"/>
          <w:szCs w:val="26"/>
        </w:rPr>
        <w:t>PPL</w:t>
      </w:r>
      <w:r w:rsidRPr="00CB744C">
        <w:rPr>
          <w:sz w:val="26"/>
          <w:szCs w:val="26"/>
        </w:rPr>
        <w:t xml:space="preserve"> St. 6-R, p. 12; RESA St. 1, p. 16.  As a result, an EGS can maintain the billing and collection responsibilities for low risk, good-paying small c&amp;i customers, while shifting the risk of small c&amp;i customers with poor credit or payment histories to </w:t>
      </w:r>
      <w:r>
        <w:rPr>
          <w:sz w:val="26"/>
          <w:szCs w:val="26"/>
        </w:rPr>
        <w:t>PPL</w:t>
      </w:r>
      <w:r w:rsidRPr="00CB744C">
        <w:rPr>
          <w:sz w:val="26"/>
          <w:szCs w:val="26"/>
        </w:rPr>
        <w:t xml:space="preserve"> through use of its consolidated billing.  To discourage such “cherry-picking” activities, the parties to the settlement of the Company’s default service provider case mutually agreed to a tracking mechanism to monitor individual EGS uncollectible accounts expense for small c&amp;i customers when the EGS does not enroll all accounts in the POR program.  RESA St. 1, p. 16.</w:t>
      </w:r>
    </w:p>
    <w:p w:rsidR="00DF6803" w:rsidRPr="00CB744C" w:rsidRDefault="00DF6803" w:rsidP="0091640C">
      <w:pPr>
        <w:pStyle w:val="BodyText2"/>
        <w:spacing w:after="0" w:line="240" w:lineRule="auto"/>
        <w:ind w:left="1440" w:right="1440"/>
        <w:contextualSpacing/>
        <w:rPr>
          <w:sz w:val="26"/>
          <w:szCs w:val="26"/>
        </w:rPr>
      </w:pPr>
    </w:p>
    <w:p w:rsidR="00DF6803" w:rsidRPr="00CB744C" w:rsidRDefault="00DF6803" w:rsidP="0091640C">
      <w:pPr>
        <w:pStyle w:val="BodyText2"/>
        <w:spacing w:after="0" w:line="240" w:lineRule="auto"/>
        <w:ind w:left="1440" w:right="1440"/>
        <w:contextualSpacing/>
        <w:rPr>
          <w:sz w:val="26"/>
          <w:szCs w:val="26"/>
        </w:rPr>
      </w:pPr>
      <w:r w:rsidRPr="00CB744C">
        <w:rPr>
          <w:sz w:val="26"/>
          <w:szCs w:val="26"/>
        </w:rPr>
        <w:tab/>
      </w:r>
      <w:r>
        <w:rPr>
          <w:sz w:val="26"/>
          <w:szCs w:val="26"/>
        </w:rPr>
        <w:t>PPL</w:t>
      </w:r>
      <w:r w:rsidRPr="00CB744C">
        <w:rPr>
          <w:sz w:val="26"/>
          <w:szCs w:val="26"/>
        </w:rPr>
        <w:t xml:space="preserve"> currently is capturing the data necessary to report on EGS uncollectibles by individual EGS.  </w:t>
      </w:r>
      <w:r>
        <w:rPr>
          <w:sz w:val="26"/>
          <w:szCs w:val="26"/>
        </w:rPr>
        <w:t>PPL</w:t>
      </w:r>
      <w:r w:rsidRPr="00CB744C">
        <w:rPr>
          <w:sz w:val="26"/>
          <w:szCs w:val="26"/>
        </w:rPr>
        <w:t xml:space="preserve"> St. 6-R, pp. 16-18.  Although </w:t>
      </w:r>
      <w:r>
        <w:rPr>
          <w:sz w:val="26"/>
          <w:szCs w:val="26"/>
        </w:rPr>
        <w:t>PPL</w:t>
      </w:r>
      <w:r w:rsidRPr="00CB744C">
        <w:rPr>
          <w:sz w:val="26"/>
          <w:szCs w:val="26"/>
        </w:rPr>
        <w:t xml:space="preserve"> has not yet produced a report on EGS uncollectibles due to limited data and implementation issues, </w:t>
      </w:r>
      <w:r>
        <w:rPr>
          <w:sz w:val="26"/>
          <w:szCs w:val="26"/>
        </w:rPr>
        <w:t>PPL</w:t>
      </w:r>
      <w:r w:rsidRPr="00CB744C">
        <w:rPr>
          <w:sz w:val="26"/>
          <w:szCs w:val="26"/>
        </w:rPr>
        <w:t xml:space="preserve"> St. 6-R, pp. 16-18, the large number of small C&amp;I customers currently taking competitive supply within the </w:t>
      </w:r>
      <w:r>
        <w:rPr>
          <w:sz w:val="26"/>
          <w:szCs w:val="26"/>
        </w:rPr>
        <w:t>PPL</w:t>
      </w:r>
      <w:r w:rsidRPr="00CB744C">
        <w:rPr>
          <w:sz w:val="26"/>
          <w:szCs w:val="26"/>
        </w:rPr>
        <w:t xml:space="preserve"> service territory and the large number of EGSs serving small c&amp;i customers does not suggest that there are significant impediments to EGS participation.  </w:t>
      </w:r>
      <w:r>
        <w:rPr>
          <w:sz w:val="26"/>
          <w:szCs w:val="26"/>
        </w:rPr>
        <w:t>PPL</w:t>
      </w:r>
      <w:r w:rsidRPr="00CB744C">
        <w:rPr>
          <w:sz w:val="26"/>
          <w:szCs w:val="26"/>
        </w:rPr>
        <w:t xml:space="preserve"> St. 6-R, pp. 5-6, 14.</w:t>
      </w:r>
    </w:p>
    <w:p w:rsidR="00DF6803" w:rsidRDefault="00DF6803" w:rsidP="0091640C">
      <w:pPr>
        <w:pStyle w:val="BodyText2"/>
        <w:spacing w:after="0" w:line="240" w:lineRule="auto"/>
        <w:ind w:left="1440" w:right="1440"/>
        <w:contextualSpacing/>
        <w:rPr>
          <w:sz w:val="26"/>
          <w:szCs w:val="26"/>
        </w:rPr>
      </w:pPr>
      <w:r w:rsidRPr="00CB744C">
        <w:rPr>
          <w:sz w:val="26"/>
          <w:szCs w:val="26"/>
        </w:rPr>
        <w:tab/>
      </w:r>
    </w:p>
    <w:p w:rsidR="00C60083" w:rsidRDefault="00DF6803" w:rsidP="0091640C">
      <w:pPr>
        <w:pStyle w:val="BodyText2"/>
        <w:spacing w:after="0" w:line="240" w:lineRule="auto"/>
        <w:ind w:left="1440" w:right="1440"/>
        <w:contextualSpacing/>
        <w:rPr>
          <w:sz w:val="26"/>
          <w:szCs w:val="26"/>
        </w:rPr>
      </w:pPr>
      <w:r w:rsidRPr="00CB744C">
        <w:rPr>
          <w:sz w:val="26"/>
          <w:szCs w:val="26"/>
        </w:rPr>
        <w:t xml:space="preserve">Further, </w:t>
      </w:r>
      <w:r>
        <w:rPr>
          <w:sz w:val="26"/>
          <w:szCs w:val="26"/>
        </w:rPr>
        <w:t>PPL</w:t>
      </w:r>
      <w:r w:rsidRPr="00CB744C">
        <w:rPr>
          <w:sz w:val="26"/>
          <w:szCs w:val="26"/>
        </w:rPr>
        <w:t xml:space="preserve"> notes that the obligation to track is a burden on the Company, not EGSs.  The tracking requires no action by EGSs and does not alter the normal flow of enrollments, the processing of billing information, the rendering of bills, or the processing of remittances to EGSs.  </w:t>
      </w:r>
      <w:r>
        <w:rPr>
          <w:sz w:val="26"/>
          <w:szCs w:val="26"/>
        </w:rPr>
        <w:t>PPL</w:t>
      </w:r>
      <w:r w:rsidRPr="00CB744C">
        <w:rPr>
          <w:sz w:val="26"/>
          <w:szCs w:val="26"/>
        </w:rPr>
        <w:t xml:space="preserve"> St. 6-R, p. 14.  Further, it is important to note that the Company is proposing to decrease the uncollectible accounts percentage factor for small C&amp;I customers (as well as the MFC for that class) from 0.12% to 0.010%.  </w:t>
      </w:r>
      <w:r>
        <w:rPr>
          <w:sz w:val="26"/>
          <w:szCs w:val="26"/>
        </w:rPr>
        <w:t>PPL</w:t>
      </w:r>
      <w:r w:rsidRPr="00CB744C">
        <w:rPr>
          <w:sz w:val="26"/>
          <w:szCs w:val="26"/>
        </w:rPr>
        <w:t xml:space="preserve"> St. 7-R, p. 32; </w:t>
      </w:r>
      <w:r>
        <w:rPr>
          <w:sz w:val="26"/>
          <w:szCs w:val="26"/>
        </w:rPr>
        <w:t>PPL</w:t>
      </w:r>
      <w:r w:rsidRPr="00CB744C">
        <w:rPr>
          <w:sz w:val="26"/>
          <w:szCs w:val="26"/>
        </w:rPr>
        <w:t xml:space="preserve"> Ex. JMK-7.  </w:t>
      </w:r>
    </w:p>
    <w:p w:rsidR="00C60083" w:rsidRDefault="00C60083">
      <w:pPr>
        <w:spacing w:after="200" w:line="276" w:lineRule="auto"/>
        <w:jc w:val="left"/>
        <w:rPr>
          <w:rFonts w:eastAsia="Times New Roman"/>
          <w:sz w:val="26"/>
          <w:szCs w:val="26"/>
        </w:rPr>
      </w:pPr>
      <w:r>
        <w:rPr>
          <w:sz w:val="26"/>
          <w:szCs w:val="26"/>
        </w:rPr>
        <w:br w:type="page"/>
      </w:r>
    </w:p>
    <w:p w:rsidR="00DF6803" w:rsidRPr="00CB744C" w:rsidRDefault="00DF6803" w:rsidP="0091640C">
      <w:pPr>
        <w:pStyle w:val="BodyText2"/>
        <w:spacing w:after="0" w:line="240" w:lineRule="auto"/>
        <w:ind w:left="1440" w:right="1440"/>
        <w:contextualSpacing/>
        <w:rPr>
          <w:sz w:val="26"/>
          <w:szCs w:val="26"/>
        </w:rPr>
      </w:pPr>
      <w:r w:rsidRPr="00CB744C">
        <w:rPr>
          <w:sz w:val="26"/>
          <w:szCs w:val="26"/>
        </w:rPr>
        <w:lastRenderedPageBreak/>
        <w:t xml:space="preserve">Thus, it is difficult to see how EGSs serving this class are harmed either by the existence of the tracking provision or by </w:t>
      </w:r>
      <w:r>
        <w:rPr>
          <w:sz w:val="26"/>
          <w:szCs w:val="26"/>
        </w:rPr>
        <w:t>PPL</w:t>
      </w:r>
      <w:r w:rsidRPr="00CB744C">
        <w:rPr>
          <w:sz w:val="26"/>
          <w:szCs w:val="26"/>
        </w:rPr>
        <w:t xml:space="preserve">’s decision to delay reporting on the results of the tracking.  </w:t>
      </w:r>
      <w:r>
        <w:rPr>
          <w:sz w:val="26"/>
          <w:szCs w:val="26"/>
        </w:rPr>
        <w:t>PPL</w:t>
      </w:r>
      <w:r w:rsidRPr="00CB744C">
        <w:rPr>
          <w:sz w:val="26"/>
          <w:szCs w:val="26"/>
        </w:rPr>
        <w:t xml:space="preserve"> St. 6-R, pp. 17-18.</w:t>
      </w:r>
    </w:p>
    <w:p w:rsidR="00DF6803" w:rsidRPr="00CB744C" w:rsidRDefault="00DF6803" w:rsidP="0091640C">
      <w:pPr>
        <w:pStyle w:val="BodyText2"/>
        <w:spacing w:after="0" w:line="240" w:lineRule="auto"/>
        <w:ind w:left="1440" w:right="1440" w:hanging="1440"/>
        <w:contextualSpacing/>
        <w:rPr>
          <w:sz w:val="26"/>
          <w:szCs w:val="26"/>
        </w:rPr>
      </w:pPr>
    </w:p>
    <w:p w:rsidR="00DF6803" w:rsidRPr="00CB744C" w:rsidRDefault="00DF6803" w:rsidP="0091640C">
      <w:pPr>
        <w:pStyle w:val="BodyText2"/>
        <w:spacing w:after="0" w:line="240" w:lineRule="auto"/>
        <w:ind w:left="1440" w:right="1440" w:hanging="1440"/>
        <w:contextualSpacing/>
        <w:rPr>
          <w:sz w:val="26"/>
          <w:szCs w:val="26"/>
        </w:rPr>
      </w:pPr>
      <w:r>
        <w:rPr>
          <w:sz w:val="26"/>
          <w:szCs w:val="26"/>
        </w:rPr>
        <w:t>PPL</w:t>
      </w:r>
      <w:r w:rsidRPr="00CB744C">
        <w:rPr>
          <w:sz w:val="26"/>
          <w:szCs w:val="26"/>
        </w:rPr>
        <w:t xml:space="preserve"> </w:t>
      </w:r>
      <w:r>
        <w:rPr>
          <w:sz w:val="26"/>
          <w:szCs w:val="26"/>
        </w:rPr>
        <w:t>M.B.</w:t>
      </w:r>
      <w:r w:rsidRPr="00CB744C">
        <w:rPr>
          <w:sz w:val="26"/>
          <w:szCs w:val="26"/>
        </w:rPr>
        <w:t xml:space="preserve"> at 93-94.</w:t>
      </w:r>
    </w:p>
    <w:p w:rsidR="00DF6803" w:rsidRPr="00CB744C" w:rsidRDefault="00DF6803" w:rsidP="00DF6803">
      <w:pPr>
        <w:pStyle w:val="BodyText2"/>
        <w:spacing w:after="0"/>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The ALJ stated that i</w:t>
      </w:r>
      <w:r w:rsidRPr="00CB744C">
        <w:rPr>
          <w:sz w:val="26"/>
          <w:szCs w:val="26"/>
        </w:rPr>
        <w:t>t is difficult to see how gathering information regarding the effectiveness and use of the POR program can be anything but positive</w:t>
      </w:r>
      <w:r>
        <w:rPr>
          <w:sz w:val="26"/>
          <w:szCs w:val="26"/>
        </w:rPr>
        <w:t xml:space="preserve">.  She recommended that </w:t>
      </w:r>
      <w:r w:rsidRPr="00CB744C">
        <w:rPr>
          <w:sz w:val="26"/>
          <w:szCs w:val="26"/>
        </w:rPr>
        <w:t xml:space="preserve">RESA’s proposal to direct </w:t>
      </w:r>
      <w:r>
        <w:rPr>
          <w:sz w:val="26"/>
          <w:szCs w:val="26"/>
        </w:rPr>
        <w:t>PPL</w:t>
      </w:r>
      <w:r w:rsidRPr="00CB744C">
        <w:rPr>
          <w:sz w:val="26"/>
          <w:szCs w:val="26"/>
        </w:rPr>
        <w:t xml:space="preserve"> to cease its monitoring </w:t>
      </w:r>
      <w:r>
        <w:rPr>
          <w:sz w:val="26"/>
          <w:szCs w:val="26"/>
        </w:rPr>
        <w:t>be</w:t>
      </w:r>
      <w:r w:rsidRPr="00CB744C">
        <w:rPr>
          <w:sz w:val="26"/>
          <w:szCs w:val="26"/>
        </w:rPr>
        <w:t xml:space="preserve"> denied.</w:t>
      </w:r>
    </w:p>
    <w:p w:rsidR="00DF6803" w:rsidRPr="00CB744C" w:rsidRDefault="00DF6803" w:rsidP="00DF6803">
      <w:pPr>
        <w:pStyle w:val="BodyText2"/>
        <w:spacing w:after="0" w:line="360" w:lineRule="auto"/>
        <w:rPr>
          <w:sz w:val="26"/>
          <w:szCs w:val="26"/>
        </w:rPr>
      </w:pPr>
    </w:p>
    <w:p w:rsidR="00DF6803" w:rsidRPr="00CB744C" w:rsidRDefault="00DF6803" w:rsidP="0091640C">
      <w:pPr>
        <w:pStyle w:val="BodyText2"/>
        <w:spacing w:after="0" w:line="240" w:lineRule="auto"/>
        <w:ind w:left="3600" w:hanging="720"/>
        <w:rPr>
          <w:b/>
          <w:sz w:val="26"/>
          <w:szCs w:val="26"/>
        </w:rPr>
      </w:pPr>
      <w:r w:rsidRPr="00CB744C">
        <w:rPr>
          <w:b/>
          <w:sz w:val="26"/>
          <w:szCs w:val="26"/>
        </w:rPr>
        <w:t>(</w:t>
      </w:r>
      <w:r>
        <w:rPr>
          <w:b/>
          <w:sz w:val="26"/>
          <w:szCs w:val="26"/>
        </w:rPr>
        <w:t>e</w:t>
      </w:r>
      <w:r w:rsidR="0091640C">
        <w:rPr>
          <w:b/>
          <w:sz w:val="26"/>
          <w:szCs w:val="26"/>
        </w:rPr>
        <w:t>)</w:t>
      </w:r>
      <w:r w:rsidR="0091640C">
        <w:rPr>
          <w:b/>
          <w:sz w:val="26"/>
          <w:szCs w:val="26"/>
        </w:rPr>
        <w:tab/>
      </w:r>
      <w:r w:rsidRPr="00CB744C">
        <w:rPr>
          <w:b/>
          <w:sz w:val="26"/>
          <w:szCs w:val="26"/>
        </w:rPr>
        <w:t xml:space="preserve">Whether the POR Program </w:t>
      </w:r>
      <w:r w:rsidR="00F240A8">
        <w:rPr>
          <w:b/>
          <w:sz w:val="26"/>
          <w:szCs w:val="26"/>
        </w:rPr>
        <w:t>S</w:t>
      </w:r>
      <w:r w:rsidRPr="00CB744C">
        <w:rPr>
          <w:b/>
          <w:sz w:val="26"/>
          <w:szCs w:val="26"/>
        </w:rPr>
        <w:t xml:space="preserve">hould </w:t>
      </w:r>
      <w:r w:rsidR="00F240A8">
        <w:rPr>
          <w:b/>
          <w:sz w:val="26"/>
          <w:szCs w:val="26"/>
        </w:rPr>
        <w:t>B</w:t>
      </w:r>
      <w:r w:rsidRPr="00CB744C">
        <w:rPr>
          <w:b/>
          <w:sz w:val="26"/>
          <w:szCs w:val="26"/>
        </w:rPr>
        <w:t xml:space="preserve">e </w:t>
      </w:r>
      <w:r w:rsidR="00F240A8">
        <w:rPr>
          <w:b/>
          <w:sz w:val="26"/>
          <w:szCs w:val="26"/>
        </w:rPr>
        <w:t>E</w:t>
      </w:r>
      <w:r w:rsidRPr="00CB744C">
        <w:rPr>
          <w:b/>
          <w:sz w:val="26"/>
          <w:szCs w:val="26"/>
        </w:rPr>
        <w:t xml:space="preserve">xpanded to </w:t>
      </w:r>
      <w:r w:rsidR="00F240A8">
        <w:rPr>
          <w:b/>
          <w:sz w:val="26"/>
          <w:szCs w:val="26"/>
        </w:rPr>
        <w:t>I</w:t>
      </w:r>
      <w:r w:rsidRPr="00CB744C">
        <w:rPr>
          <w:b/>
          <w:sz w:val="26"/>
          <w:szCs w:val="26"/>
        </w:rPr>
        <w:t xml:space="preserve">nclude </w:t>
      </w:r>
      <w:r w:rsidR="00F240A8">
        <w:rPr>
          <w:b/>
          <w:sz w:val="26"/>
          <w:szCs w:val="26"/>
        </w:rPr>
        <w:t>L</w:t>
      </w:r>
      <w:r w:rsidRPr="00CB744C">
        <w:rPr>
          <w:b/>
          <w:sz w:val="26"/>
          <w:szCs w:val="26"/>
        </w:rPr>
        <w:t xml:space="preserve">arge </w:t>
      </w:r>
      <w:r w:rsidR="00F1551A">
        <w:rPr>
          <w:b/>
          <w:sz w:val="26"/>
          <w:szCs w:val="26"/>
        </w:rPr>
        <w:t>C&amp;I</w:t>
      </w:r>
      <w:r w:rsidR="00F240A8">
        <w:rPr>
          <w:b/>
          <w:sz w:val="26"/>
          <w:szCs w:val="26"/>
        </w:rPr>
        <w:t xml:space="preserve"> C</w:t>
      </w:r>
      <w:r w:rsidRPr="00CB744C">
        <w:rPr>
          <w:b/>
          <w:sz w:val="26"/>
          <w:szCs w:val="26"/>
        </w:rPr>
        <w:t>ustomers</w:t>
      </w:r>
      <w:r>
        <w:rPr>
          <w:b/>
          <w:sz w:val="26"/>
          <w:szCs w:val="26"/>
        </w:rPr>
        <w:t>.</w:t>
      </w:r>
    </w:p>
    <w:p w:rsidR="00DF6803" w:rsidRPr="00CB744C" w:rsidRDefault="00DF6803" w:rsidP="00DF6803">
      <w:pPr>
        <w:pStyle w:val="BodyText2"/>
        <w:spacing w:after="0" w:line="360" w:lineRule="auto"/>
        <w:rPr>
          <w:b/>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r>
      <w:r>
        <w:rPr>
          <w:sz w:val="26"/>
          <w:szCs w:val="26"/>
        </w:rPr>
        <w:t xml:space="preserve">The ALJ next evaluated </w:t>
      </w:r>
      <w:r w:rsidRPr="00CB744C">
        <w:rPr>
          <w:sz w:val="26"/>
          <w:szCs w:val="26"/>
        </w:rPr>
        <w:t>RESA</w:t>
      </w:r>
      <w:r>
        <w:rPr>
          <w:sz w:val="26"/>
          <w:szCs w:val="26"/>
        </w:rPr>
        <w:t>’s</w:t>
      </w:r>
      <w:r w:rsidRPr="00CB744C">
        <w:rPr>
          <w:sz w:val="26"/>
          <w:szCs w:val="26"/>
        </w:rPr>
        <w:t xml:space="preserve"> recommend</w:t>
      </w:r>
      <w:r>
        <w:rPr>
          <w:sz w:val="26"/>
          <w:szCs w:val="26"/>
        </w:rPr>
        <w:t xml:space="preserve">ation </w:t>
      </w:r>
      <w:r w:rsidRPr="00CB744C">
        <w:rPr>
          <w:sz w:val="26"/>
          <w:szCs w:val="26"/>
        </w:rPr>
        <w:t xml:space="preserve">that the Company should expand the current POR program to apply to large </w:t>
      </w:r>
      <w:r w:rsidR="00F1551A">
        <w:rPr>
          <w:sz w:val="26"/>
          <w:szCs w:val="26"/>
        </w:rPr>
        <w:t>C&amp;I</w:t>
      </w:r>
      <w:r w:rsidRPr="00CB744C">
        <w:rPr>
          <w:sz w:val="26"/>
          <w:szCs w:val="26"/>
        </w:rPr>
        <w:t xml:space="preserve"> customers.  RESA </w:t>
      </w:r>
      <w:r>
        <w:rPr>
          <w:sz w:val="26"/>
          <w:szCs w:val="26"/>
        </w:rPr>
        <w:t xml:space="preserve">reasoned </w:t>
      </w:r>
      <w:r w:rsidRPr="00CB744C">
        <w:rPr>
          <w:sz w:val="26"/>
          <w:szCs w:val="26"/>
        </w:rPr>
        <w:t xml:space="preserve">that by “not offering POR to large </w:t>
      </w:r>
      <w:r w:rsidR="00F1551A">
        <w:rPr>
          <w:sz w:val="26"/>
          <w:szCs w:val="26"/>
        </w:rPr>
        <w:t>C&amp;I</w:t>
      </w:r>
      <w:r w:rsidRPr="00CB744C">
        <w:rPr>
          <w:sz w:val="26"/>
          <w:szCs w:val="26"/>
        </w:rPr>
        <w:t xml:space="preserve"> customers, PPL’s default service for this customer class is at a competitive advantage as compared to EGS offers because EGS offers for this class must reflect the cost of expected uncollectible accounts expense whereas PPL’s default service does not reflect any generation related uncollectible account expense.”  RESA St. 1, p. 19.  </w:t>
      </w:r>
    </w:p>
    <w:p w:rsidR="00DF6803" w:rsidRPr="00CB744C" w:rsidRDefault="00DF6803" w:rsidP="00DF6803">
      <w:pPr>
        <w:pStyle w:val="BodyText2"/>
        <w:spacing w:after="0" w:line="360" w:lineRule="auto"/>
        <w:rPr>
          <w:sz w:val="26"/>
          <w:szCs w:val="26"/>
        </w:rPr>
      </w:pPr>
    </w:p>
    <w:p w:rsidR="00DF6803" w:rsidRPr="00CB744C" w:rsidRDefault="00DF6803" w:rsidP="00DF6803">
      <w:pPr>
        <w:pStyle w:val="BodyText2"/>
        <w:spacing w:after="0" w:line="360" w:lineRule="auto"/>
        <w:rPr>
          <w:sz w:val="26"/>
          <w:szCs w:val="26"/>
        </w:rPr>
      </w:pPr>
      <w:r w:rsidRPr="00CB744C">
        <w:rPr>
          <w:sz w:val="26"/>
          <w:szCs w:val="26"/>
        </w:rPr>
        <w:tab/>
      </w:r>
      <w:r w:rsidRPr="00CB744C">
        <w:rPr>
          <w:sz w:val="26"/>
          <w:szCs w:val="26"/>
        </w:rPr>
        <w:tab/>
        <w:t>PPLICA assert</w:t>
      </w:r>
      <w:r>
        <w:rPr>
          <w:sz w:val="26"/>
          <w:szCs w:val="26"/>
        </w:rPr>
        <w:t>ed</w:t>
      </w:r>
      <w:r w:rsidRPr="00CB744C">
        <w:rPr>
          <w:sz w:val="26"/>
          <w:szCs w:val="26"/>
        </w:rPr>
        <w:t xml:space="preserve"> that it does not oppose expansion of </w:t>
      </w:r>
      <w:r>
        <w:rPr>
          <w:sz w:val="26"/>
          <w:szCs w:val="26"/>
        </w:rPr>
        <w:t>PPL</w:t>
      </w:r>
      <w:r w:rsidRPr="00CB744C">
        <w:rPr>
          <w:sz w:val="26"/>
          <w:szCs w:val="26"/>
        </w:rPr>
        <w:t xml:space="preserve">’s POR program to large </w:t>
      </w:r>
      <w:r w:rsidR="00F1551A">
        <w:rPr>
          <w:sz w:val="26"/>
          <w:szCs w:val="26"/>
        </w:rPr>
        <w:t>C&amp;I</w:t>
      </w:r>
      <w:r w:rsidRPr="00CB744C">
        <w:rPr>
          <w:sz w:val="26"/>
          <w:szCs w:val="26"/>
        </w:rPr>
        <w:t xml:space="preserve"> customers wi</w:t>
      </w:r>
      <w:r w:rsidR="002C3351">
        <w:rPr>
          <w:sz w:val="26"/>
          <w:szCs w:val="26"/>
        </w:rPr>
        <w:t>th the following reservations:</w:t>
      </w:r>
    </w:p>
    <w:p w:rsidR="00DF6803" w:rsidRPr="00CB744C" w:rsidRDefault="00DF6803" w:rsidP="00DF6803">
      <w:pPr>
        <w:pStyle w:val="BodyText2"/>
        <w:spacing w:after="0" w:line="240" w:lineRule="auto"/>
        <w:ind w:left="1440" w:right="1440"/>
        <w:contextualSpacing/>
        <w:rPr>
          <w:sz w:val="26"/>
          <w:szCs w:val="26"/>
        </w:rPr>
      </w:pPr>
    </w:p>
    <w:p w:rsidR="00DF6803" w:rsidRDefault="00DF6803" w:rsidP="0091640C">
      <w:pPr>
        <w:pStyle w:val="BodyText2"/>
        <w:spacing w:after="0" w:line="240" w:lineRule="auto"/>
        <w:ind w:left="1440" w:right="1440"/>
        <w:contextualSpacing/>
        <w:rPr>
          <w:sz w:val="26"/>
          <w:szCs w:val="26"/>
        </w:rPr>
      </w:pPr>
      <w:r w:rsidRPr="00CB744C">
        <w:rPr>
          <w:sz w:val="26"/>
          <w:szCs w:val="26"/>
        </w:rPr>
        <w:t xml:space="preserve">. . . PPLICA’s agreement to this concept is expressly contingent on Large C&amp;I customers not being required to pay the implementation costs and ongoing administration costs of the POR program.  As PPL’s testimony notes, EGSs have been able to attract Large C&amp;I customers in the territory as of January 1, 2010, without this type of POR program for the class.  </w:t>
      </w:r>
      <w:r w:rsidRPr="00CB744C">
        <w:rPr>
          <w:sz w:val="26"/>
          <w:szCs w:val="26"/>
          <w:u w:val="single"/>
        </w:rPr>
        <w:t>See</w:t>
      </w:r>
      <w:r w:rsidRPr="00CB744C">
        <w:rPr>
          <w:sz w:val="26"/>
          <w:szCs w:val="26"/>
        </w:rPr>
        <w:t xml:space="preserve"> </w:t>
      </w:r>
      <w:r>
        <w:rPr>
          <w:sz w:val="26"/>
          <w:szCs w:val="26"/>
        </w:rPr>
        <w:t>PPL</w:t>
      </w:r>
      <w:r w:rsidRPr="00CB744C">
        <w:rPr>
          <w:sz w:val="26"/>
          <w:szCs w:val="26"/>
        </w:rPr>
        <w:t xml:space="preserve"> Utilities Corporation Statement No. 6-R, Rebuttal Testimony of Douglas A. Krall at 20.  If Large C&amp;I customers, rather than EGSs were expected to pay for the </w:t>
      </w:r>
      <w:r w:rsidRPr="00CB744C">
        <w:rPr>
          <w:sz w:val="26"/>
          <w:szCs w:val="26"/>
        </w:rPr>
        <w:lastRenderedPageBreak/>
        <w:t>implementation of the revised POR program, PPLICA would respectfully question whether that additional cost for the Large C&amp;I customers is reasonable, necessary and appropriate given the large number of customers that are already purchasing supply from EGSs.</w:t>
      </w:r>
    </w:p>
    <w:p w:rsidR="00DF6803" w:rsidRDefault="00DF6803" w:rsidP="00DF6803">
      <w:pPr>
        <w:pStyle w:val="BodyText2"/>
        <w:spacing w:after="0" w:line="240" w:lineRule="auto"/>
        <w:ind w:right="1440"/>
        <w:contextualSpacing/>
        <w:rPr>
          <w:sz w:val="26"/>
          <w:szCs w:val="26"/>
        </w:rPr>
      </w:pPr>
    </w:p>
    <w:p w:rsidR="00DF6803" w:rsidRDefault="00DF6803" w:rsidP="00DF6803">
      <w:pPr>
        <w:pStyle w:val="BodyText2"/>
        <w:spacing w:after="0" w:line="240" w:lineRule="auto"/>
        <w:ind w:left="720" w:right="1440" w:firstLine="720"/>
        <w:contextualSpacing/>
        <w:rPr>
          <w:sz w:val="26"/>
          <w:szCs w:val="26"/>
        </w:rPr>
      </w:pPr>
      <w:r w:rsidRPr="00CB744C">
        <w:rPr>
          <w:sz w:val="26"/>
          <w:szCs w:val="26"/>
        </w:rPr>
        <w:t>PPLICA M</w:t>
      </w:r>
      <w:r>
        <w:rPr>
          <w:sz w:val="26"/>
          <w:szCs w:val="26"/>
        </w:rPr>
        <w:t>.</w:t>
      </w:r>
      <w:r w:rsidRPr="00CB744C">
        <w:rPr>
          <w:sz w:val="26"/>
          <w:szCs w:val="26"/>
        </w:rPr>
        <w:t>B</w:t>
      </w:r>
      <w:r>
        <w:rPr>
          <w:sz w:val="26"/>
          <w:szCs w:val="26"/>
        </w:rPr>
        <w:t>.</w:t>
      </w:r>
      <w:r w:rsidRPr="00CB744C">
        <w:rPr>
          <w:sz w:val="26"/>
          <w:szCs w:val="26"/>
        </w:rPr>
        <w:t xml:space="preserve"> at 7-8.</w:t>
      </w:r>
    </w:p>
    <w:p w:rsidR="00DF6803" w:rsidRDefault="00DF6803" w:rsidP="00DF6803">
      <w:pPr>
        <w:pStyle w:val="BodyText2"/>
        <w:spacing w:after="0" w:line="240" w:lineRule="auto"/>
        <w:ind w:right="1440" w:firstLine="720"/>
        <w:contextualSpacing/>
        <w:rPr>
          <w:sz w:val="26"/>
          <w:szCs w:val="26"/>
        </w:rPr>
      </w:pPr>
      <w:r>
        <w:rPr>
          <w:sz w:val="26"/>
          <w:szCs w:val="26"/>
        </w:rPr>
        <w:tab/>
      </w:r>
    </w:p>
    <w:p w:rsidR="00DF6803" w:rsidRDefault="00DF6803" w:rsidP="00DF6803">
      <w:pPr>
        <w:pStyle w:val="BodyText2"/>
        <w:spacing w:after="0" w:line="240" w:lineRule="auto"/>
        <w:ind w:right="1440" w:firstLine="720"/>
        <w:contextualSpacing/>
        <w:rPr>
          <w:sz w:val="26"/>
          <w:szCs w:val="26"/>
        </w:rPr>
      </w:pPr>
      <w:r>
        <w:rPr>
          <w:sz w:val="26"/>
          <w:szCs w:val="26"/>
        </w:rPr>
        <w:tab/>
        <w:t xml:space="preserve">PPL was not in agreement: </w:t>
      </w:r>
    </w:p>
    <w:p w:rsidR="00DF6803" w:rsidRPr="00CB744C" w:rsidRDefault="00DF6803" w:rsidP="00DF6803">
      <w:pPr>
        <w:pStyle w:val="BodyText2"/>
        <w:spacing w:after="0" w:line="240" w:lineRule="auto"/>
        <w:ind w:left="1440" w:right="1440"/>
        <w:contextualSpacing/>
        <w:rPr>
          <w:sz w:val="26"/>
          <w:szCs w:val="26"/>
        </w:rPr>
      </w:pPr>
    </w:p>
    <w:p w:rsidR="00DF6803" w:rsidRPr="00CB744C" w:rsidRDefault="00DF6803" w:rsidP="002C3351">
      <w:pPr>
        <w:pStyle w:val="BodyText2"/>
        <w:spacing w:after="0" w:line="240" w:lineRule="auto"/>
        <w:ind w:left="1440" w:right="1440"/>
        <w:contextualSpacing/>
        <w:rPr>
          <w:sz w:val="26"/>
          <w:szCs w:val="26"/>
        </w:rPr>
      </w:pPr>
      <w:r w:rsidRPr="00CB744C">
        <w:rPr>
          <w:sz w:val="26"/>
          <w:szCs w:val="26"/>
        </w:rPr>
        <w:tab/>
        <w:t xml:space="preserve">The present program for large C&amp;I customers is not part of the current POR program for the residential and small C&amp;I customers.  </w:t>
      </w:r>
      <w:r>
        <w:rPr>
          <w:sz w:val="26"/>
          <w:szCs w:val="26"/>
        </w:rPr>
        <w:t>PPL</w:t>
      </w:r>
      <w:r w:rsidRPr="00CB744C">
        <w:rPr>
          <w:sz w:val="26"/>
          <w:szCs w:val="26"/>
        </w:rPr>
        <w:t xml:space="preserve"> St. 6-R, p. 19.  Under </w:t>
      </w:r>
      <w:r>
        <w:rPr>
          <w:sz w:val="26"/>
          <w:szCs w:val="26"/>
        </w:rPr>
        <w:t>PPL</w:t>
      </w:r>
      <w:r w:rsidRPr="00CB744C">
        <w:rPr>
          <w:sz w:val="26"/>
          <w:szCs w:val="26"/>
        </w:rPr>
        <w:t xml:space="preserve">’s large C&amp;I POR program, the Company pays the EGS in full, without a discount, for a period of three months.  After the three month-period, if the customer has a 60-day arrearage, the Company initiates a change to move the customer from consolidated billing to dual billing, meaning that the EGS then will become responsible for the billing of its own charges.  Once dual billing is selected, there is no receivable being transferred from the EGS to the Company.  Similar to residential and small C&amp;I customers, the Company has no recourse to seek from the EGS recovery of any amounts not paid by the large C&amp;I customers.  </w:t>
      </w:r>
      <w:r>
        <w:rPr>
          <w:sz w:val="26"/>
          <w:szCs w:val="26"/>
        </w:rPr>
        <w:t>PPL</w:t>
      </w:r>
      <w:r w:rsidRPr="00CB744C">
        <w:rPr>
          <w:sz w:val="26"/>
          <w:szCs w:val="26"/>
        </w:rPr>
        <w:t xml:space="preserve"> St. 6-R, pp. 7, 19.</w:t>
      </w:r>
    </w:p>
    <w:p w:rsidR="00DF6803" w:rsidRPr="00CB744C" w:rsidRDefault="00DF6803" w:rsidP="00DF6803">
      <w:pPr>
        <w:pStyle w:val="BodyText2"/>
        <w:spacing w:after="0" w:line="240" w:lineRule="auto"/>
        <w:ind w:left="1440" w:right="1440"/>
        <w:contextualSpacing/>
        <w:jc w:val="both"/>
        <w:rPr>
          <w:sz w:val="26"/>
          <w:szCs w:val="26"/>
        </w:rPr>
      </w:pPr>
    </w:p>
    <w:p w:rsidR="00DF6803" w:rsidRPr="00CB744C" w:rsidRDefault="00DF6803" w:rsidP="00522140">
      <w:pPr>
        <w:pStyle w:val="BodyText2"/>
        <w:spacing w:after="0" w:line="240" w:lineRule="auto"/>
        <w:ind w:left="1440" w:right="1440"/>
        <w:rPr>
          <w:sz w:val="26"/>
          <w:szCs w:val="26"/>
        </w:rPr>
      </w:pPr>
      <w:r w:rsidRPr="00CB744C">
        <w:rPr>
          <w:sz w:val="26"/>
          <w:szCs w:val="26"/>
        </w:rPr>
        <w:tab/>
        <w:t xml:space="preserve">RESA’s contention that EGSs are at a competitive disadvantage because they must reflect the uncollectible accounts expense in their offers to large C&amp;I customers is overstated.  The uncollectible accounts expense percentage factor for the large C&amp;I customers is only 0.010%.  </w:t>
      </w:r>
      <w:r>
        <w:rPr>
          <w:sz w:val="26"/>
          <w:szCs w:val="26"/>
        </w:rPr>
        <w:t>PPL</w:t>
      </w:r>
      <w:r w:rsidRPr="00CB744C">
        <w:rPr>
          <w:sz w:val="26"/>
          <w:szCs w:val="26"/>
        </w:rPr>
        <w:t xml:space="preserve"> St. 7-R, p. 32; </w:t>
      </w:r>
      <w:r>
        <w:rPr>
          <w:sz w:val="26"/>
          <w:szCs w:val="26"/>
        </w:rPr>
        <w:t>PPL</w:t>
      </w:r>
      <w:r w:rsidRPr="00CB744C">
        <w:rPr>
          <w:sz w:val="26"/>
          <w:szCs w:val="26"/>
        </w:rPr>
        <w:t xml:space="preserve"> Ex. JMK-7.  Consequently, any competitive disadvantage that may exist after the first three months is not significant.  </w:t>
      </w:r>
      <w:r>
        <w:rPr>
          <w:sz w:val="26"/>
          <w:szCs w:val="26"/>
        </w:rPr>
        <w:t>PPL</w:t>
      </w:r>
      <w:r w:rsidRPr="00CB744C">
        <w:rPr>
          <w:sz w:val="26"/>
          <w:szCs w:val="26"/>
        </w:rPr>
        <w:t xml:space="preserve"> St. 6-R, p. 19.</w:t>
      </w:r>
    </w:p>
    <w:p w:rsidR="00DF6803" w:rsidRPr="00CB744C" w:rsidRDefault="00DF6803" w:rsidP="00DF6803">
      <w:pPr>
        <w:pStyle w:val="BodyText2"/>
        <w:spacing w:after="0" w:line="240" w:lineRule="auto"/>
        <w:ind w:left="1440" w:right="1440"/>
        <w:jc w:val="both"/>
        <w:rPr>
          <w:sz w:val="26"/>
          <w:szCs w:val="26"/>
        </w:rPr>
      </w:pPr>
    </w:p>
    <w:p w:rsidR="00DF6803" w:rsidRPr="00CB744C" w:rsidRDefault="00DF6803" w:rsidP="00522140">
      <w:pPr>
        <w:pStyle w:val="BodyText2"/>
        <w:spacing w:after="0" w:line="240" w:lineRule="auto"/>
        <w:ind w:left="1440" w:right="1440"/>
        <w:contextualSpacing/>
        <w:rPr>
          <w:sz w:val="26"/>
          <w:szCs w:val="26"/>
        </w:rPr>
      </w:pPr>
      <w:r w:rsidRPr="00CB744C">
        <w:rPr>
          <w:sz w:val="26"/>
          <w:szCs w:val="26"/>
        </w:rPr>
        <w:tab/>
        <w:t xml:space="preserve">RESA’s proposal to expand the POR program to large C&amp;I customers would create a significant risk for the Company, as well as other customers, in the event that a large C&amp;I customer declares bankruptcy because the low uncollectible accounts expense percentage factor for the large C&amp;I customers does not reflect the risk of bankruptcy.  </w:t>
      </w:r>
      <w:r w:rsidRPr="00CB744C">
        <w:rPr>
          <w:i/>
          <w:sz w:val="26"/>
          <w:szCs w:val="26"/>
        </w:rPr>
        <w:t>See</w:t>
      </w:r>
      <w:r w:rsidRPr="00CB744C">
        <w:rPr>
          <w:sz w:val="26"/>
          <w:szCs w:val="26"/>
        </w:rPr>
        <w:t xml:space="preserve"> RESA St. 1-SR, p. 19 (acknowledging that if large C&amp;I customer’s generation-related charges are uncollectible, the amount would be substantial).  In order to adequately offset </w:t>
      </w:r>
      <w:r w:rsidRPr="00CB744C">
        <w:rPr>
          <w:sz w:val="26"/>
          <w:szCs w:val="26"/>
        </w:rPr>
        <w:lastRenderedPageBreak/>
        <w:t xml:space="preserve">such risk, </w:t>
      </w:r>
      <w:r>
        <w:rPr>
          <w:sz w:val="26"/>
          <w:szCs w:val="26"/>
        </w:rPr>
        <w:t>PPL</w:t>
      </w:r>
      <w:r w:rsidRPr="00CB744C">
        <w:rPr>
          <w:sz w:val="26"/>
          <w:szCs w:val="26"/>
        </w:rPr>
        <w:t xml:space="preserve"> would either have to substantially upwardly adjust the uncollectible accounts percentage or require a substantial deposit to reflect this bankruptcy risk.  </w:t>
      </w:r>
    </w:p>
    <w:p w:rsidR="00DF6803" w:rsidRPr="00CB744C" w:rsidRDefault="00DF6803" w:rsidP="00DF6803">
      <w:pPr>
        <w:pStyle w:val="BodyText2"/>
        <w:spacing w:after="0" w:line="240" w:lineRule="auto"/>
        <w:ind w:left="1440" w:right="1440"/>
        <w:contextualSpacing/>
        <w:jc w:val="both"/>
        <w:rPr>
          <w:sz w:val="26"/>
          <w:szCs w:val="26"/>
        </w:rPr>
      </w:pPr>
      <w:r w:rsidRPr="00CB744C">
        <w:rPr>
          <w:sz w:val="26"/>
          <w:szCs w:val="26"/>
        </w:rPr>
        <w:tab/>
      </w:r>
    </w:p>
    <w:p w:rsidR="00DF6803" w:rsidRPr="00CB744C" w:rsidRDefault="00DF6803" w:rsidP="00522140">
      <w:pPr>
        <w:pStyle w:val="BodyText2"/>
        <w:spacing w:after="0" w:line="240" w:lineRule="auto"/>
        <w:ind w:left="1440" w:right="1440" w:firstLine="720"/>
        <w:contextualSpacing/>
        <w:rPr>
          <w:sz w:val="26"/>
          <w:szCs w:val="26"/>
        </w:rPr>
      </w:pPr>
      <w:r w:rsidRPr="00CB744C">
        <w:rPr>
          <w:sz w:val="26"/>
          <w:szCs w:val="26"/>
        </w:rPr>
        <w:t xml:space="preserve">The risk faced by </w:t>
      </w:r>
      <w:r>
        <w:rPr>
          <w:sz w:val="26"/>
          <w:szCs w:val="26"/>
        </w:rPr>
        <w:t>PPL</w:t>
      </w:r>
      <w:r w:rsidRPr="00CB744C">
        <w:rPr>
          <w:sz w:val="26"/>
          <w:szCs w:val="26"/>
        </w:rPr>
        <w:t xml:space="preserve"> and its customers in the event a large C&amp;I customer declares bankruptcy is exacerbated because, under the current tariff, it is not clear that the Company may obtain deposits for costs associated with generation service.  Under Rule 10.C of </w:t>
      </w:r>
      <w:r>
        <w:rPr>
          <w:sz w:val="26"/>
          <w:szCs w:val="26"/>
        </w:rPr>
        <w:t>PPL</w:t>
      </w:r>
      <w:r w:rsidRPr="00CB744C">
        <w:rPr>
          <w:sz w:val="26"/>
          <w:szCs w:val="26"/>
        </w:rPr>
        <w:t xml:space="preserve">’s tariff, the Company can obtain a deposit or guarantee of payment only for service provided by the Company.  </w:t>
      </w:r>
      <w:r>
        <w:rPr>
          <w:sz w:val="26"/>
          <w:szCs w:val="26"/>
        </w:rPr>
        <w:t>PPL</w:t>
      </w:r>
      <w:r w:rsidRPr="00CB744C">
        <w:rPr>
          <w:sz w:val="26"/>
          <w:szCs w:val="26"/>
        </w:rPr>
        <w:t xml:space="preserve"> Ex. OGK-1, p.</w:t>
      </w:r>
      <w:r w:rsidR="00522140">
        <w:rPr>
          <w:sz w:val="26"/>
          <w:szCs w:val="26"/>
        </w:rPr>
        <w:t> </w:t>
      </w:r>
      <w:r w:rsidRPr="00CB744C">
        <w:rPr>
          <w:sz w:val="26"/>
          <w:szCs w:val="26"/>
        </w:rPr>
        <w:t xml:space="preserve">14A.  Although it could be argued that once </w:t>
      </w:r>
      <w:r>
        <w:rPr>
          <w:sz w:val="26"/>
          <w:szCs w:val="26"/>
        </w:rPr>
        <w:t>PPL</w:t>
      </w:r>
      <w:r w:rsidRPr="00CB744C">
        <w:rPr>
          <w:sz w:val="26"/>
          <w:szCs w:val="26"/>
        </w:rPr>
        <w:t xml:space="preserve"> purchases the account receivable for generation service it is included as a service provided by the Company, it is not clear whether shopping customer’s generation service can be included in the deposit or guarantee of payment.  Thus, to avoid the significant risk created by the bankruptcy of a large C&amp;I customer, </w:t>
      </w:r>
      <w:r>
        <w:rPr>
          <w:sz w:val="26"/>
          <w:szCs w:val="26"/>
        </w:rPr>
        <w:t>PPL</w:t>
      </w:r>
      <w:r w:rsidRPr="00CB744C">
        <w:rPr>
          <w:sz w:val="26"/>
          <w:szCs w:val="26"/>
        </w:rPr>
        <w:t xml:space="preserve">’s tariff would need to be amended to clearly grant </w:t>
      </w:r>
      <w:r>
        <w:rPr>
          <w:sz w:val="26"/>
          <w:szCs w:val="26"/>
        </w:rPr>
        <w:t>PPL</w:t>
      </w:r>
      <w:r w:rsidRPr="00CB744C">
        <w:rPr>
          <w:sz w:val="26"/>
          <w:szCs w:val="26"/>
        </w:rPr>
        <w:t xml:space="preserve"> the ability to obtain a deposit for generation service when a large C&amp;I customer is enrolled in the POR program.</w:t>
      </w:r>
    </w:p>
    <w:p w:rsidR="00DF6803" w:rsidRPr="00CB744C" w:rsidRDefault="00DF6803" w:rsidP="00DF6803">
      <w:pPr>
        <w:pStyle w:val="BodyText2"/>
        <w:spacing w:after="0" w:line="240" w:lineRule="auto"/>
        <w:ind w:left="1440" w:right="1440" w:firstLine="720"/>
        <w:contextualSpacing/>
        <w:jc w:val="both"/>
        <w:rPr>
          <w:sz w:val="26"/>
          <w:szCs w:val="26"/>
        </w:rPr>
      </w:pPr>
    </w:p>
    <w:p w:rsidR="00DF6803" w:rsidRPr="00CB744C" w:rsidRDefault="00DF6803" w:rsidP="00522140">
      <w:pPr>
        <w:pStyle w:val="BodyText2"/>
        <w:spacing w:after="0" w:line="240" w:lineRule="auto"/>
        <w:ind w:left="1440" w:right="1440"/>
        <w:contextualSpacing/>
        <w:rPr>
          <w:sz w:val="26"/>
          <w:szCs w:val="26"/>
        </w:rPr>
      </w:pPr>
      <w:r w:rsidRPr="00CB744C">
        <w:rPr>
          <w:sz w:val="26"/>
          <w:szCs w:val="26"/>
        </w:rPr>
        <w:tab/>
        <w:t xml:space="preserve">Further, a significant number of the shopping customers in this class receive a separate bill from their EGS and, therefore, would not be affected by a POR program.  Indeed, currently, two thirds of the large C&amp;I customers who are taking competitive supply are being billed separately by their EGS.  Many of these customers are enrolled in complex, customized products.  </w:t>
      </w:r>
      <w:r>
        <w:rPr>
          <w:sz w:val="26"/>
          <w:szCs w:val="26"/>
        </w:rPr>
        <w:t>PPL</w:t>
      </w:r>
      <w:r w:rsidRPr="00CB744C">
        <w:rPr>
          <w:sz w:val="26"/>
          <w:szCs w:val="26"/>
        </w:rPr>
        <w:t xml:space="preserve"> St. 6-R, pp. 19-20.  As conceded by RESA, the EDC consolidated billing format is simply not compatible for such complex, customized products offered by EGSs.  RESA St. 1, p. 14.  Changing the structure of the large C&amp;I POR program would involve significant programming and put efforts to install other functionality intended to encourage a competitive market at risk of not being completed in a timely manner.  </w:t>
      </w:r>
      <w:r>
        <w:rPr>
          <w:sz w:val="26"/>
          <w:szCs w:val="26"/>
        </w:rPr>
        <w:t>PPL</w:t>
      </w:r>
      <w:r w:rsidRPr="00CB744C">
        <w:rPr>
          <w:sz w:val="26"/>
          <w:szCs w:val="26"/>
        </w:rPr>
        <w:t xml:space="preserve"> St. 6-R, p. 20.</w:t>
      </w:r>
    </w:p>
    <w:p w:rsidR="00DF6803" w:rsidRPr="00CB744C" w:rsidRDefault="00DF6803" w:rsidP="00DF6803">
      <w:pPr>
        <w:pStyle w:val="BodyText2"/>
        <w:spacing w:after="0" w:line="240" w:lineRule="auto"/>
        <w:ind w:left="1440" w:right="1440"/>
        <w:contextualSpacing/>
        <w:jc w:val="both"/>
        <w:rPr>
          <w:sz w:val="26"/>
          <w:szCs w:val="26"/>
        </w:rPr>
      </w:pPr>
    </w:p>
    <w:p w:rsidR="00DF6803" w:rsidRPr="00CB744C" w:rsidRDefault="00DF6803" w:rsidP="00522140">
      <w:pPr>
        <w:pStyle w:val="BodyText2"/>
        <w:spacing w:after="0" w:line="240" w:lineRule="auto"/>
        <w:ind w:left="1440" w:right="1440"/>
        <w:contextualSpacing/>
        <w:rPr>
          <w:sz w:val="26"/>
          <w:szCs w:val="26"/>
        </w:rPr>
      </w:pPr>
      <w:r w:rsidRPr="00CB744C">
        <w:rPr>
          <w:sz w:val="26"/>
          <w:szCs w:val="26"/>
        </w:rPr>
        <w:tab/>
        <w:t xml:space="preserve">Finally, </w:t>
      </w:r>
      <w:r>
        <w:rPr>
          <w:sz w:val="26"/>
          <w:szCs w:val="26"/>
        </w:rPr>
        <w:t>PPL</w:t>
      </w:r>
      <w:r w:rsidRPr="00CB744C">
        <w:rPr>
          <w:sz w:val="26"/>
          <w:szCs w:val="26"/>
        </w:rPr>
        <w:t xml:space="preserve"> notes that the large C&amp;I POR program currently in place appears not to have been a significant impediment to the development of the competitive market.  As of July 3, 2010, 993 large C&amp;I customers (or 78.7% of the total number of large C&amp;I customers) were either taking service from an EGS or were signed up to begin supply pending the issuance of their next bill.  Further, information </w:t>
      </w:r>
      <w:r w:rsidRPr="00CB744C">
        <w:rPr>
          <w:sz w:val="26"/>
          <w:szCs w:val="26"/>
        </w:rPr>
        <w:lastRenderedPageBreak/>
        <w:t xml:space="preserve">used to develop the Company’s most recent quarterly report on shopping filed with the Commission indicates that 24 different EGSs were actively supplying large C&amp;I customers.  </w:t>
      </w:r>
      <w:r>
        <w:rPr>
          <w:sz w:val="26"/>
          <w:szCs w:val="26"/>
        </w:rPr>
        <w:t>PPL</w:t>
      </w:r>
      <w:r w:rsidRPr="00CB744C">
        <w:rPr>
          <w:sz w:val="26"/>
          <w:szCs w:val="26"/>
        </w:rPr>
        <w:t xml:space="preserve"> St. 6-R, p. 20.</w:t>
      </w:r>
    </w:p>
    <w:p w:rsidR="00DF6803" w:rsidRPr="00CB744C" w:rsidRDefault="00DF6803" w:rsidP="00DF6803">
      <w:pPr>
        <w:pStyle w:val="Pleading2L3"/>
        <w:numPr>
          <w:ilvl w:val="0"/>
          <w:numId w:val="0"/>
        </w:numPr>
        <w:tabs>
          <w:tab w:val="num" w:pos="0"/>
        </w:tabs>
        <w:spacing w:line="240" w:lineRule="auto"/>
        <w:rPr>
          <w:sz w:val="26"/>
          <w:szCs w:val="26"/>
        </w:rPr>
      </w:pPr>
    </w:p>
    <w:p w:rsidR="00DF6803" w:rsidRPr="00CB744C" w:rsidRDefault="00DF6803" w:rsidP="00DF6803">
      <w:pPr>
        <w:pStyle w:val="Pleading2L3"/>
        <w:numPr>
          <w:ilvl w:val="0"/>
          <w:numId w:val="0"/>
        </w:numPr>
        <w:tabs>
          <w:tab w:val="num" w:pos="0"/>
        </w:tabs>
        <w:spacing w:line="360" w:lineRule="auto"/>
        <w:rPr>
          <w:sz w:val="26"/>
          <w:szCs w:val="26"/>
        </w:rPr>
      </w:pPr>
      <w:r>
        <w:rPr>
          <w:sz w:val="26"/>
          <w:szCs w:val="26"/>
        </w:rPr>
        <w:t>PPL</w:t>
      </w:r>
      <w:r w:rsidRPr="00CB744C">
        <w:rPr>
          <w:sz w:val="26"/>
          <w:szCs w:val="26"/>
        </w:rPr>
        <w:t xml:space="preserve"> </w:t>
      </w:r>
      <w:r>
        <w:rPr>
          <w:sz w:val="26"/>
          <w:szCs w:val="26"/>
        </w:rPr>
        <w:t>M.B.</w:t>
      </w:r>
      <w:r w:rsidRPr="00CB744C">
        <w:rPr>
          <w:sz w:val="26"/>
          <w:szCs w:val="26"/>
        </w:rPr>
        <w:t xml:space="preserve"> at 96-97.</w:t>
      </w:r>
    </w:p>
    <w:p w:rsidR="00DF6803" w:rsidRDefault="00DF6803" w:rsidP="00DF6803">
      <w:pPr>
        <w:pStyle w:val="Pleading2L3"/>
        <w:numPr>
          <w:ilvl w:val="0"/>
          <w:numId w:val="0"/>
        </w:numPr>
        <w:tabs>
          <w:tab w:val="num" w:pos="0"/>
        </w:tabs>
        <w:spacing w:line="360" w:lineRule="auto"/>
        <w:rPr>
          <w:sz w:val="26"/>
          <w:szCs w:val="26"/>
        </w:rPr>
      </w:pPr>
    </w:p>
    <w:p w:rsidR="00DF6803" w:rsidRDefault="00DF6803" w:rsidP="00DF6803">
      <w:pPr>
        <w:pStyle w:val="Pleading2L3"/>
        <w:numPr>
          <w:ilvl w:val="0"/>
          <w:numId w:val="0"/>
        </w:numPr>
        <w:tabs>
          <w:tab w:val="num" w:pos="0"/>
        </w:tabs>
        <w:spacing w:line="360" w:lineRule="auto"/>
        <w:rPr>
          <w:sz w:val="26"/>
          <w:szCs w:val="26"/>
        </w:rPr>
      </w:pPr>
      <w:r>
        <w:rPr>
          <w:sz w:val="26"/>
          <w:szCs w:val="26"/>
        </w:rPr>
        <w:tab/>
      </w:r>
      <w:r>
        <w:rPr>
          <w:sz w:val="26"/>
          <w:szCs w:val="26"/>
        </w:rPr>
        <w:tab/>
        <w:t xml:space="preserve">The ALJ emphasized that </w:t>
      </w:r>
      <w:r w:rsidRPr="00CB744C">
        <w:rPr>
          <w:sz w:val="26"/>
          <w:szCs w:val="26"/>
        </w:rPr>
        <w:t>the request for this modification c</w:t>
      </w:r>
      <w:r>
        <w:rPr>
          <w:sz w:val="26"/>
          <w:szCs w:val="26"/>
        </w:rPr>
        <w:t>ame</w:t>
      </w:r>
      <w:r w:rsidRPr="00CB744C">
        <w:rPr>
          <w:sz w:val="26"/>
          <w:szCs w:val="26"/>
        </w:rPr>
        <w:t xml:space="preserve"> from RESA and not from PPLICA, which merely stated </w:t>
      </w:r>
      <w:r>
        <w:rPr>
          <w:sz w:val="26"/>
          <w:szCs w:val="26"/>
        </w:rPr>
        <w:t xml:space="preserve">the </w:t>
      </w:r>
      <w:r w:rsidRPr="00CB744C">
        <w:rPr>
          <w:sz w:val="26"/>
          <w:szCs w:val="26"/>
        </w:rPr>
        <w:t xml:space="preserve">non-opposition </w:t>
      </w:r>
      <w:r>
        <w:rPr>
          <w:sz w:val="26"/>
          <w:szCs w:val="26"/>
        </w:rPr>
        <w:t>of large industrial customers as</w:t>
      </w:r>
      <w:r w:rsidRPr="00CB744C">
        <w:rPr>
          <w:sz w:val="26"/>
          <w:szCs w:val="26"/>
        </w:rPr>
        <w:t xml:space="preserve"> long as </w:t>
      </w:r>
      <w:r>
        <w:rPr>
          <w:sz w:val="26"/>
          <w:szCs w:val="26"/>
        </w:rPr>
        <w:t xml:space="preserve">the change </w:t>
      </w:r>
      <w:r w:rsidRPr="00CB744C">
        <w:rPr>
          <w:sz w:val="26"/>
          <w:szCs w:val="26"/>
        </w:rPr>
        <w:t>does not cost them anything.</w:t>
      </w:r>
      <w:r w:rsidRPr="00CB744C">
        <w:rPr>
          <w:rStyle w:val="FootnoteReference"/>
          <w:sz w:val="26"/>
          <w:szCs w:val="26"/>
          <w:vertAlign w:val="superscript"/>
        </w:rPr>
        <w:footnoteReference w:id="15"/>
      </w:r>
      <w:r w:rsidRPr="00CB744C">
        <w:rPr>
          <w:sz w:val="26"/>
          <w:szCs w:val="26"/>
        </w:rPr>
        <w:t xml:space="preserve">  </w:t>
      </w:r>
      <w:r>
        <w:rPr>
          <w:sz w:val="26"/>
          <w:szCs w:val="26"/>
        </w:rPr>
        <w:t>S</w:t>
      </w:r>
      <w:r w:rsidRPr="00CB744C">
        <w:rPr>
          <w:sz w:val="26"/>
          <w:szCs w:val="26"/>
        </w:rPr>
        <w:t xml:space="preserve">he </w:t>
      </w:r>
      <w:r>
        <w:rPr>
          <w:sz w:val="26"/>
          <w:szCs w:val="26"/>
        </w:rPr>
        <w:t xml:space="preserve">noted that </w:t>
      </w:r>
      <w:r w:rsidRPr="00CB744C">
        <w:rPr>
          <w:sz w:val="26"/>
          <w:szCs w:val="26"/>
        </w:rPr>
        <w:t xml:space="preserve">large industrials are not unhappy with </w:t>
      </w:r>
      <w:r>
        <w:rPr>
          <w:sz w:val="26"/>
          <w:szCs w:val="26"/>
        </w:rPr>
        <w:t>PPL</w:t>
      </w:r>
      <w:r w:rsidRPr="00CB744C">
        <w:rPr>
          <w:sz w:val="26"/>
          <w:szCs w:val="26"/>
        </w:rPr>
        <w:t xml:space="preserve">’s present method of billing them, whether or not they are shopping customers.  </w:t>
      </w:r>
      <w:r>
        <w:rPr>
          <w:sz w:val="26"/>
          <w:szCs w:val="26"/>
        </w:rPr>
        <w:t xml:space="preserve">She concluded that </w:t>
      </w:r>
      <w:r w:rsidRPr="00CB744C">
        <w:rPr>
          <w:sz w:val="26"/>
          <w:szCs w:val="26"/>
        </w:rPr>
        <w:t xml:space="preserve">RESA </w:t>
      </w:r>
      <w:r w:rsidR="00BF0804">
        <w:rPr>
          <w:sz w:val="26"/>
          <w:szCs w:val="26"/>
        </w:rPr>
        <w:t>did not meet its burden of proof and recommended denial for RESA’s proposed POR expansion.</w:t>
      </w:r>
    </w:p>
    <w:p w:rsidR="00DF6803" w:rsidRDefault="00DF6803" w:rsidP="000E0862">
      <w:pPr>
        <w:pStyle w:val="Pleading2L3"/>
        <w:numPr>
          <w:ilvl w:val="0"/>
          <w:numId w:val="0"/>
        </w:numPr>
        <w:tabs>
          <w:tab w:val="left" w:pos="2160"/>
        </w:tabs>
        <w:spacing w:line="360" w:lineRule="auto"/>
        <w:ind w:firstLine="1440"/>
        <w:contextualSpacing/>
        <w:rPr>
          <w:b/>
          <w:sz w:val="26"/>
          <w:szCs w:val="26"/>
        </w:rPr>
      </w:pPr>
    </w:p>
    <w:p w:rsidR="00250F1D" w:rsidRDefault="00250F1D" w:rsidP="000E0862">
      <w:pPr>
        <w:pStyle w:val="Pleading2L3"/>
        <w:numPr>
          <w:ilvl w:val="0"/>
          <w:numId w:val="0"/>
        </w:numPr>
        <w:tabs>
          <w:tab w:val="left" w:pos="2160"/>
        </w:tabs>
        <w:spacing w:line="360" w:lineRule="auto"/>
        <w:ind w:firstLine="1440"/>
        <w:contextualSpacing/>
        <w:rPr>
          <w:b/>
          <w:sz w:val="26"/>
          <w:szCs w:val="26"/>
        </w:rPr>
      </w:pPr>
      <w:r>
        <w:rPr>
          <w:b/>
          <w:sz w:val="26"/>
          <w:szCs w:val="26"/>
        </w:rPr>
        <w:tab/>
      </w:r>
      <w:r w:rsidR="00933D0E">
        <w:rPr>
          <w:b/>
          <w:sz w:val="26"/>
          <w:szCs w:val="26"/>
        </w:rPr>
        <w:t>iii</w:t>
      </w:r>
      <w:r w:rsidRPr="007C4965">
        <w:rPr>
          <w:b/>
          <w:sz w:val="26"/>
          <w:szCs w:val="26"/>
        </w:rPr>
        <w:t>.</w:t>
      </w:r>
      <w:r w:rsidRPr="007C4965">
        <w:rPr>
          <w:b/>
          <w:sz w:val="26"/>
          <w:szCs w:val="26"/>
        </w:rPr>
        <w:tab/>
        <w:t>Exceptions</w:t>
      </w:r>
    </w:p>
    <w:p w:rsidR="00B75E4E" w:rsidRPr="007C4965" w:rsidRDefault="00B75E4E" w:rsidP="000E0862">
      <w:pPr>
        <w:pStyle w:val="Pleading2L3"/>
        <w:numPr>
          <w:ilvl w:val="0"/>
          <w:numId w:val="0"/>
        </w:numPr>
        <w:tabs>
          <w:tab w:val="left" w:pos="2160"/>
        </w:tabs>
        <w:spacing w:line="360" w:lineRule="auto"/>
        <w:ind w:firstLine="1440"/>
        <w:contextualSpacing/>
        <w:rPr>
          <w:b/>
          <w:sz w:val="26"/>
          <w:szCs w:val="26"/>
        </w:rPr>
      </w:pPr>
    </w:p>
    <w:p w:rsidR="00392410" w:rsidRPr="00B75E4E" w:rsidRDefault="00B75E4E" w:rsidP="00392410">
      <w:pPr>
        <w:ind w:firstLine="720"/>
        <w:jc w:val="left"/>
        <w:rPr>
          <w:rFonts w:ascii="Times New (W1)" w:hAnsi="Times New (W1)"/>
          <w:sz w:val="26"/>
        </w:rPr>
      </w:pPr>
      <w:r>
        <w:rPr>
          <w:rFonts w:ascii="Times New (W1)" w:hAnsi="Times New (W1)"/>
          <w:sz w:val="26"/>
        </w:rPr>
        <w:tab/>
      </w:r>
      <w:r w:rsidR="00392410" w:rsidRPr="00B75E4E">
        <w:rPr>
          <w:rFonts w:ascii="Times New (W1)" w:hAnsi="Times New (W1)"/>
          <w:sz w:val="26"/>
        </w:rPr>
        <w:t xml:space="preserve">RESA was the only party to file Exceptions on the POR issues, therein claiming that all of the ALJ’s recommendations are baseless.  PPL and OTS filed </w:t>
      </w:r>
      <w:r w:rsidR="00BA3A82">
        <w:rPr>
          <w:rFonts w:ascii="Times New (W1)" w:hAnsi="Times New (W1)"/>
          <w:sz w:val="26"/>
        </w:rPr>
        <w:t>Reply Exceptions</w:t>
      </w:r>
      <w:r w:rsidR="00392410" w:rsidRPr="00B75E4E">
        <w:rPr>
          <w:rFonts w:ascii="Times New (W1)" w:hAnsi="Times New (W1)"/>
          <w:sz w:val="26"/>
        </w:rPr>
        <w:t xml:space="preserve">, both arguing that the existing, fledging POR program should be left intact, save the minor adjustment to the uncollectible accounts expense factor, which has been demonstrated to be reasonable.  Notably, PPLICA did not file Exceptions or </w:t>
      </w:r>
      <w:r w:rsidR="00BA3A82">
        <w:rPr>
          <w:rFonts w:ascii="Times New (W1)" w:hAnsi="Times New (W1)"/>
          <w:sz w:val="26"/>
        </w:rPr>
        <w:t>Reply Exceptions</w:t>
      </w:r>
      <w:r w:rsidR="00392410" w:rsidRPr="00B75E4E">
        <w:rPr>
          <w:rFonts w:ascii="Times New (W1)" w:hAnsi="Times New (W1)"/>
          <w:sz w:val="26"/>
        </w:rPr>
        <w:t xml:space="preserve"> on RESA’s proposed expansion of PPL’s POR to large </w:t>
      </w:r>
      <w:r w:rsidR="00AF3AC6">
        <w:rPr>
          <w:rFonts w:ascii="Times New (W1)" w:hAnsi="Times New (W1)"/>
          <w:sz w:val="26"/>
        </w:rPr>
        <w:t>C&amp;I</w:t>
      </w:r>
      <w:r w:rsidR="00392410" w:rsidRPr="00B75E4E">
        <w:rPr>
          <w:rFonts w:ascii="Times New (W1)" w:hAnsi="Times New (W1)"/>
          <w:sz w:val="26"/>
        </w:rPr>
        <w:t xml:space="preserve"> customers.</w:t>
      </w:r>
    </w:p>
    <w:p w:rsidR="00392410" w:rsidRPr="00B75E4E" w:rsidRDefault="00392410" w:rsidP="00392410">
      <w:pPr>
        <w:pStyle w:val="BodyText2"/>
        <w:spacing w:line="240" w:lineRule="auto"/>
        <w:ind w:left="720" w:right="1440" w:firstLine="720"/>
        <w:contextualSpacing/>
        <w:rPr>
          <w:rFonts w:ascii="Times New (W1)" w:hAnsi="Times New (W1)"/>
          <w:b/>
          <w:sz w:val="26"/>
          <w:szCs w:val="26"/>
        </w:rPr>
      </w:pPr>
    </w:p>
    <w:p w:rsidR="00392410" w:rsidRPr="00B75E4E" w:rsidRDefault="009B0C5E" w:rsidP="009B0C5E">
      <w:pPr>
        <w:spacing w:line="240" w:lineRule="auto"/>
        <w:ind w:left="3600" w:hanging="720"/>
        <w:jc w:val="left"/>
        <w:rPr>
          <w:rFonts w:ascii="Times New (W1)" w:hAnsi="Times New (W1)"/>
          <w:b/>
          <w:sz w:val="26"/>
        </w:rPr>
      </w:pPr>
      <w:r w:rsidRPr="009B0C5E">
        <w:rPr>
          <w:rFonts w:ascii="Times New (W1)" w:hAnsi="Times New (W1)"/>
          <w:b/>
          <w:sz w:val="26"/>
        </w:rPr>
        <w:t>(a)</w:t>
      </w:r>
      <w:r w:rsidRPr="009B0C5E">
        <w:rPr>
          <w:rFonts w:ascii="Times New (W1)" w:hAnsi="Times New (W1)"/>
          <w:b/>
          <w:sz w:val="26"/>
        </w:rPr>
        <w:tab/>
      </w:r>
      <w:r w:rsidR="00392410" w:rsidRPr="009B0C5E">
        <w:rPr>
          <w:rFonts w:ascii="Times New (W1)" w:hAnsi="Times New (W1)"/>
          <w:b/>
          <w:sz w:val="26"/>
        </w:rPr>
        <w:t>PPL’s</w:t>
      </w:r>
      <w:r w:rsidR="00392410" w:rsidRPr="00B75E4E">
        <w:rPr>
          <w:rFonts w:ascii="Times New (W1)" w:hAnsi="Times New (W1)"/>
          <w:b/>
          <w:sz w:val="26"/>
        </w:rPr>
        <w:t xml:space="preserve"> </w:t>
      </w:r>
      <w:r>
        <w:rPr>
          <w:rFonts w:ascii="Times New (W1)" w:hAnsi="Times New (W1)"/>
          <w:b/>
          <w:sz w:val="26"/>
        </w:rPr>
        <w:t>R</w:t>
      </w:r>
      <w:r w:rsidR="00392410" w:rsidRPr="00B75E4E">
        <w:rPr>
          <w:rFonts w:ascii="Times New (W1)" w:hAnsi="Times New (W1)"/>
          <w:b/>
          <w:sz w:val="26"/>
        </w:rPr>
        <w:t xml:space="preserve">eliance on </w:t>
      </w:r>
      <w:r>
        <w:rPr>
          <w:rFonts w:ascii="Times New (W1)" w:hAnsi="Times New (W1)"/>
          <w:b/>
          <w:sz w:val="26"/>
        </w:rPr>
        <w:t>H</w:t>
      </w:r>
      <w:r w:rsidR="00392410" w:rsidRPr="00B75E4E">
        <w:rPr>
          <w:rFonts w:ascii="Times New (W1)" w:hAnsi="Times New (W1)"/>
          <w:b/>
          <w:sz w:val="26"/>
        </w:rPr>
        <w:t xml:space="preserve">istorical </w:t>
      </w:r>
      <w:r>
        <w:rPr>
          <w:rFonts w:ascii="Times New (W1)" w:hAnsi="Times New (W1)"/>
          <w:b/>
          <w:sz w:val="26"/>
        </w:rPr>
        <w:t>D</w:t>
      </w:r>
      <w:r w:rsidR="00392410" w:rsidRPr="00B75E4E">
        <w:rPr>
          <w:rFonts w:ascii="Times New (W1)" w:hAnsi="Times New (W1)"/>
          <w:b/>
          <w:sz w:val="26"/>
        </w:rPr>
        <w:t xml:space="preserve">ata for </w:t>
      </w:r>
      <w:r>
        <w:rPr>
          <w:rFonts w:ascii="Times New (W1)" w:hAnsi="Times New (W1)"/>
          <w:b/>
          <w:sz w:val="26"/>
        </w:rPr>
        <w:t>E</w:t>
      </w:r>
      <w:r w:rsidR="00392410" w:rsidRPr="00B75E4E">
        <w:rPr>
          <w:rFonts w:ascii="Times New (W1)" w:hAnsi="Times New (W1)"/>
          <w:b/>
          <w:sz w:val="26"/>
        </w:rPr>
        <w:t xml:space="preserve">xpense </w:t>
      </w:r>
      <w:r>
        <w:rPr>
          <w:rFonts w:ascii="Times New (W1)" w:hAnsi="Times New (W1)"/>
          <w:b/>
          <w:sz w:val="26"/>
        </w:rPr>
        <w:t>C</w:t>
      </w:r>
      <w:r w:rsidR="00392410" w:rsidRPr="00B75E4E">
        <w:rPr>
          <w:rFonts w:ascii="Times New (W1)" w:hAnsi="Times New (W1)"/>
          <w:b/>
          <w:sz w:val="26"/>
        </w:rPr>
        <w:t>alculation</w:t>
      </w:r>
      <w:r w:rsidR="00BF0804">
        <w:rPr>
          <w:rFonts w:ascii="Times New (W1)" w:hAnsi="Times New (W1)"/>
          <w:b/>
          <w:sz w:val="26"/>
        </w:rPr>
        <w:t xml:space="preserve"> (RESA Exceptions at 6-14).</w:t>
      </w:r>
    </w:p>
    <w:p w:rsidR="00392410" w:rsidRPr="00B75E4E" w:rsidRDefault="00392410" w:rsidP="00392410">
      <w:pPr>
        <w:ind w:firstLine="720"/>
        <w:jc w:val="left"/>
        <w:rPr>
          <w:rFonts w:ascii="Times New (W1)" w:hAnsi="Times New (W1)"/>
          <w:b/>
          <w:sz w:val="26"/>
        </w:rPr>
      </w:pPr>
    </w:p>
    <w:p w:rsidR="00392410" w:rsidRPr="00B75E4E" w:rsidRDefault="00B75E4E" w:rsidP="00B75E4E">
      <w:pPr>
        <w:ind w:firstLine="720"/>
        <w:jc w:val="left"/>
        <w:rPr>
          <w:rFonts w:ascii="Times New (W1)" w:hAnsi="Times New (W1)"/>
          <w:sz w:val="26"/>
        </w:rPr>
      </w:pPr>
      <w:r>
        <w:rPr>
          <w:rFonts w:ascii="Times New (W1)" w:hAnsi="Times New (W1)"/>
          <w:sz w:val="26"/>
        </w:rPr>
        <w:tab/>
      </w:r>
      <w:r w:rsidR="00392410" w:rsidRPr="00B75E4E">
        <w:rPr>
          <w:rFonts w:ascii="Times New (W1)" w:hAnsi="Times New (W1)"/>
          <w:sz w:val="26"/>
        </w:rPr>
        <w:t>RESA argues that PPL’s failure to rely on actual costs in calculating its uncollectible accounts expense factor is unjustified</w:t>
      </w:r>
      <w:r w:rsidR="00BF0804">
        <w:rPr>
          <w:rFonts w:ascii="Times New (W1)" w:hAnsi="Times New (W1)"/>
          <w:sz w:val="26"/>
        </w:rPr>
        <w:t xml:space="preserve"> and the ALJ erred in accepting it</w:t>
      </w:r>
      <w:r w:rsidR="00392410" w:rsidRPr="00B75E4E">
        <w:rPr>
          <w:rFonts w:ascii="Times New (W1)" w:hAnsi="Times New (W1)"/>
          <w:sz w:val="26"/>
        </w:rPr>
        <w:t xml:space="preserve">.  PPL’s calculation of the generation-related uncollectible accounts expense factor is not </w:t>
      </w:r>
      <w:r w:rsidR="00392410" w:rsidRPr="00B75E4E">
        <w:rPr>
          <w:rFonts w:ascii="Times New (W1)" w:hAnsi="Times New (W1)"/>
          <w:sz w:val="26"/>
        </w:rPr>
        <w:lastRenderedPageBreak/>
        <w:t>based on actual data, but, rather, it is calculated using the average historical bad debt write-offs for the most recent five calendar years and includes an allowance factoring in an expectation of more generation-related uncollectibles due to the projected increase in the default service generation rates resulting from the expiration of PPL’s rate caps.</w:t>
      </w:r>
      <w:r w:rsidR="00392410" w:rsidRPr="009B0C5E">
        <w:rPr>
          <w:rStyle w:val="FootnoteReference"/>
          <w:rFonts w:ascii="Times New (W1)" w:hAnsi="Times New (W1)"/>
          <w:sz w:val="26"/>
          <w:vertAlign w:val="superscript"/>
        </w:rPr>
        <w:footnoteReference w:id="16"/>
      </w:r>
      <w:r w:rsidR="00392410" w:rsidRPr="00B75E4E">
        <w:rPr>
          <w:rFonts w:ascii="Times New (W1)" w:hAnsi="Times New (W1)"/>
          <w:sz w:val="26"/>
        </w:rPr>
        <w:t xml:space="preserve">  </w:t>
      </w:r>
      <w:r w:rsidR="00BF0804">
        <w:rPr>
          <w:rFonts w:ascii="Times New (W1)" w:hAnsi="Times New (W1)"/>
          <w:sz w:val="26"/>
        </w:rPr>
        <w:t xml:space="preserve">RESA states that </w:t>
      </w:r>
      <w:r w:rsidR="00392410" w:rsidRPr="00B75E4E">
        <w:rPr>
          <w:rFonts w:ascii="Times New (W1)" w:hAnsi="Times New (W1)"/>
          <w:sz w:val="26"/>
        </w:rPr>
        <w:t>PPL uses the same formula to calculate all generation-related uncollectible accounts expense attributable to residential customers regardless of whether they are default service customers (i.e. “non-shopping customers”) or EGS customers (</w:t>
      </w:r>
      <w:r w:rsidR="00392410" w:rsidRPr="00BF0804">
        <w:rPr>
          <w:rFonts w:ascii="Times New (W1)" w:hAnsi="Times New (W1)"/>
          <w:i/>
          <w:sz w:val="26"/>
        </w:rPr>
        <w:t>i.e.</w:t>
      </w:r>
      <w:r w:rsidR="00BF0804">
        <w:rPr>
          <w:rFonts w:ascii="Times New (W1)" w:hAnsi="Times New (W1)"/>
          <w:i/>
          <w:sz w:val="26"/>
        </w:rPr>
        <w:t>,</w:t>
      </w:r>
      <w:r w:rsidR="00392410" w:rsidRPr="00B75E4E">
        <w:rPr>
          <w:rFonts w:ascii="Times New (W1)" w:hAnsi="Times New (W1)"/>
          <w:sz w:val="26"/>
        </w:rPr>
        <w:t xml:space="preserve"> “shopping customers”).  The only difference between the shopping and non-shopping customers is </w:t>
      </w:r>
      <w:r w:rsidR="00392410" w:rsidRPr="00B75E4E">
        <w:rPr>
          <w:rFonts w:ascii="Times New (W1)" w:hAnsi="Times New (W1)"/>
          <w:sz w:val="26"/>
          <w:u w:val="single"/>
        </w:rPr>
        <w:t>how</w:t>
      </w:r>
      <w:r w:rsidR="00392410" w:rsidRPr="00B75E4E">
        <w:rPr>
          <w:rFonts w:ascii="Times New (W1)" w:hAnsi="Times New (W1)"/>
          <w:sz w:val="26"/>
        </w:rPr>
        <w:t xml:space="preserve"> the customer pays the uncollectible accounts expense factor.  Non-shopping customers pay it directly through the bypassable MFC and shopping customers pay it indirectly through the discount at which PPL purchases their EGSs’ accounts receivables.</w:t>
      </w:r>
      <w:r w:rsidR="00392410" w:rsidRPr="009B0C5E">
        <w:rPr>
          <w:rStyle w:val="FootnoteReference"/>
          <w:rFonts w:ascii="Times New (W1)" w:hAnsi="Times New (W1)"/>
          <w:sz w:val="26"/>
          <w:vertAlign w:val="superscript"/>
        </w:rPr>
        <w:footnoteReference w:id="17"/>
      </w:r>
      <w:r w:rsidR="00392410" w:rsidRPr="00B75E4E">
        <w:rPr>
          <w:rFonts w:ascii="Times New (W1)" w:hAnsi="Times New (W1)"/>
          <w:sz w:val="26"/>
        </w:rPr>
        <w:t xml:space="preserve">  RESA claims that the record does not support this conclusion and, therefore, it must be rejected.</w:t>
      </w:r>
    </w:p>
    <w:p w:rsidR="00392410" w:rsidRPr="00B75E4E" w:rsidRDefault="00392410" w:rsidP="00392410">
      <w:pPr>
        <w:spacing w:line="480" w:lineRule="auto"/>
        <w:ind w:firstLine="720"/>
        <w:jc w:val="left"/>
        <w:rPr>
          <w:rFonts w:ascii="Times New (W1)" w:hAnsi="Times New (W1)"/>
          <w:sz w:val="26"/>
        </w:rPr>
      </w:pPr>
    </w:p>
    <w:p w:rsidR="00392410" w:rsidRPr="00B75E4E" w:rsidRDefault="009B0C5E" w:rsidP="00B75E4E">
      <w:pPr>
        <w:pStyle w:val="BodyText2"/>
        <w:spacing w:line="360" w:lineRule="auto"/>
        <w:ind w:firstLine="720"/>
        <w:contextualSpacing/>
        <w:rPr>
          <w:rFonts w:ascii="Times New (W1)" w:hAnsi="Times New (W1)"/>
          <w:sz w:val="26"/>
        </w:rPr>
      </w:pPr>
      <w:r>
        <w:rPr>
          <w:rFonts w:ascii="Times New (W1)" w:hAnsi="Times New (W1)"/>
          <w:sz w:val="26"/>
        </w:rPr>
        <w:tab/>
      </w:r>
      <w:r w:rsidR="00392410" w:rsidRPr="00B75E4E">
        <w:rPr>
          <w:rFonts w:ascii="Times New (W1)" w:hAnsi="Times New (W1)"/>
          <w:sz w:val="26"/>
        </w:rPr>
        <w:t>RESA claims that, while recognizing that PPL has the burden of proof regarding its proposed increase to the generation-related uncollectible accounts expense factor paid by all residential customers, the ALJ erred in concluding that this burden was satisfied because the “newness” of the POR program somehow “prevented” PPL from calculating the actual uncollectible accounts expense costs associated with shopping customers.</w:t>
      </w:r>
      <w:r w:rsidR="00392410" w:rsidRPr="009B0C5E">
        <w:rPr>
          <w:rStyle w:val="FootnoteReference"/>
          <w:rFonts w:ascii="Times New (W1)" w:hAnsi="Times New (W1)"/>
          <w:sz w:val="26"/>
          <w:vertAlign w:val="superscript"/>
        </w:rPr>
        <w:footnoteReference w:id="18"/>
      </w:r>
      <w:r w:rsidR="00392410" w:rsidRPr="009B0C5E">
        <w:rPr>
          <w:rFonts w:ascii="Times New (W1)" w:hAnsi="Times New (W1)"/>
          <w:sz w:val="26"/>
          <w:vertAlign w:val="superscript"/>
        </w:rPr>
        <w:t xml:space="preserve"> </w:t>
      </w:r>
      <w:r w:rsidR="00392410" w:rsidRPr="00B75E4E">
        <w:rPr>
          <w:rFonts w:ascii="Times New (W1)" w:hAnsi="Times New (W1)"/>
          <w:sz w:val="26"/>
        </w:rPr>
        <w:t xml:space="preserve"> </w:t>
      </w:r>
      <w:r w:rsidR="0075493B">
        <w:rPr>
          <w:rFonts w:ascii="Times New (W1)" w:hAnsi="Times New (W1)"/>
          <w:sz w:val="26"/>
        </w:rPr>
        <w:t xml:space="preserve"> </w:t>
      </w:r>
      <w:r w:rsidR="00392410" w:rsidRPr="00B75E4E">
        <w:rPr>
          <w:rFonts w:ascii="Times New (W1)" w:hAnsi="Times New (W1)"/>
          <w:sz w:val="26"/>
        </w:rPr>
        <w:t>RESA submits that there is nothing that prevented PPL from calculating the actual cost of uncollectible accounts expense generated by shopping customers th</w:t>
      </w:r>
      <w:r w:rsidR="00F82182">
        <w:rPr>
          <w:rFonts w:ascii="Times New (W1)" w:hAnsi="Times New (W1)"/>
          <w:sz w:val="26"/>
        </w:rPr>
        <w:t>r</w:t>
      </w:r>
      <w:r w:rsidR="00392410" w:rsidRPr="00B75E4E">
        <w:rPr>
          <w:rFonts w:ascii="Times New (W1)" w:hAnsi="Times New (W1)"/>
          <w:sz w:val="26"/>
        </w:rPr>
        <w:t xml:space="preserve">ough the current POR program for residential and small business customers which has been in </w:t>
      </w:r>
      <w:r w:rsidR="00392410" w:rsidRPr="00B75E4E">
        <w:rPr>
          <w:rFonts w:ascii="Times New (W1)" w:hAnsi="Times New (W1)"/>
          <w:sz w:val="26"/>
        </w:rPr>
        <w:lastRenderedPageBreak/>
        <w:t>effect since January 1, 2010.  In fact, PPL acknowledged on the record that it is capable of gathering actual data related to the uncollectible accounts expense of shopping customers and that developing such a report is “not a major undertaking.”</w:t>
      </w:r>
      <w:r w:rsidR="00392410" w:rsidRPr="009B0C5E">
        <w:rPr>
          <w:rStyle w:val="FootnoteReference"/>
          <w:rFonts w:ascii="Times New (W1)" w:hAnsi="Times New (W1)"/>
          <w:sz w:val="26"/>
          <w:vertAlign w:val="superscript"/>
        </w:rPr>
        <w:footnoteReference w:id="19"/>
      </w:r>
      <w:r w:rsidR="00392410" w:rsidRPr="00B75E4E">
        <w:rPr>
          <w:rFonts w:ascii="Times New (W1)" w:hAnsi="Times New (W1)"/>
          <w:sz w:val="26"/>
        </w:rPr>
        <w:t xml:space="preserve">  PPL, however, stated that it chose to “delay producing reports on individual uncollectibles” essentially because it was focused on correcting deficiencies associated with the 2010 POR program, implementing new functionalities and complying with the Commission’s directives regarding retail market enhancements.</w:t>
      </w:r>
      <w:r w:rsidR="00392410" w:rsidRPr="00EA3344">
        <w:rPr>
          <w:rStyle w:val="FootnoteReference"/>
          <w:rFonts w:ascii="Times New (W1)" w:hAnsi="Times New (W1)"/>
          <w:sz w:val="26"/>
          <w:vertAlign w:val="superscript"/>
        </w:rPr>
        <w:footnoteReference w:id="20"/>
      </w:r>
      <w:r w:rsidR="00392410" w:rsidRPr="00EA3344">
        <w:rPr>
          <w:rFonts w:ascii="Times New (W1)" w:hAnsi="Times New (W1)"/>
          <w:sz w:val="26"/>
          <w:vertAlign w:val="superscript"/>
        </w:rPr>
        <w:t xml:space="preserve"> </w:t>
      </w:r>
      <w:r w:rsidR="00392410" w:rsidRPr="00B75E4E">
        <w:rPr>
          <w:rFonts w:ascii="Times New (W1)" w:hAnsi="Times New (W1)"/>
          <w:sz w:val="26"/>
        </w:rPr>
        <w:t xml:space="preserve"> </w:t>
      </w:r>
    </w:p>
    <w:p w:rsidR="00392410" w:rsidRPr="00B75E4E" w:rsidRDefault="00392410" w:rsidP="00B75E4E">
      <w:pPr>
        <w:pStyle w:val="BodyText2"/>
        <w:spacing w:line="360" w:lineRule="auto"/>
        <w:ind w:firstLine="720"/>
        <w:contextualSpacing/>
        <w:rPr>
          <w:rFonts w:ascii="Times New (W1)" w:hAnsi="Times New (W1)"/>
          <w:sz w:val="26"/>
        </w:rPr>
      </w:pPr>
    </w:p>
    <w:p w:rsidR="00392410" w:rsidRPr="00B75E4E" w:rsidRDefault="00EA3344" w:rsidP="00B75E4E">
      <w:pPr>
        <w:ind w:firstLine="720"/>
        <w:jc w:val="left"/>
        <w:rPr>
          <w:rFonts w:ascii="Times New (W1)" w:hAnsi="Times New (W1)"/>
          <w:sz w:val="26"/>
        </w:rPr>
      </w:pPr>
      <w:r>
        <w:rPr>
          <w:rFonts w:ascii="Times New (W1)" w:hAnsi="Times New (W1)"/>
          <w:sz w:val="26"/>
        </w:rPr>
        <w:tab/>
      </w:r>
      <w:r w:rsidR="00392410" w:rsidRPr="00B75E4E">
        <w:rPr>
          <w:rFonts w:ascii="Times New (W1)" w:hAnsi="Times New (W1)"/>
          <w:sz w:val="26"/>
        </w:rPr>
        <w:t xml:space="preserve">RESA next </w:t>
      </w:r>
      <w:r w:rsidR="0035491D">
        <w:rPr>
          <w:rFonts w:ascii="Times New (W1)" w:hAnsi="Times New (W1)"/>
          <w:sz w:val="26"/>
        </w:rPr>
        <w:t>asserts</w:t>
      </w:r>
      <w:r w:rsidR="00392410" w:rsidRPr="00B75E4E">
        <w:rPr>
          <w:rFonts w:ascii="Times New (W1)" w:hAnsi="Times New (W1)"/>
          <w:sz w:val="26"/>
        </w:rPr>
        <w:t xml:space="preserve"> that, even though the ALJ concluded that there should be no cross-subsidy of this expense between shopping and non-shopping customers, the adoption of PPL’s proposal</w:t>
      </w:r>
      <w:r w:rsidR="00536E53">
        <w:rPr>
          <w:rFonts w:ascii="Times New (W1)" w:hAnsi="Times New (W1)"/>
          <w:sz w:val="26"/>
        </w:rPr>
        <w:t xml:space="preserve"> </w:t>
      </w:r>
      <w:r w:rsidR="00392410" w:rsidRPr="00B75E4E">
        <w:rPr>
          <w:rFonts w:ascii="Times New (W1)" w:hAnsi="Times New (W1)"/>
          <w:sz w:val="26"/>
        </w:rPr>
        <w:t xml:space="preserve">does not lead to this result.  Instead, RESA claims it would lead inexorably to the result the ALJ is trying to avoid.  Without actual data, there is no way to know whether the costs of uncollectible accounts expense created by shopping customers equals the cost of uncollectible accounts expense created by non-shopping customers (even though all are being required to pay the same amount).  In fact, </w:t>
      </w:r>
      <w:r w:rsidR="00133E17">
        <w:rPr>
          <w:rFonts w:ascii="Times New (W1)" w:hAnsi="Times New (W1)"/>
          <w:sz w:val="26"/>
        </w:rPr>
        <w:t xml:space="preserve">RESA claims that </w:t>
      </w:r>
      <w:r w:rsidR="00392410" w:rsidRPr="00B75E4E">
        <w:rPr>
          <w:rFonts w:ascii="Times New (W1)" w:hAnsi="Times New (W1)"/>
          <w:sz w:val="26"/>
        </w:rPr>
        <w:t>the allowance built into the uncollectible accounts expense factor for an expectation of more generation-related uncollectibles due to the projected increase in the default service generation rates resulting from the expiration of PPL’s rate caps fails to take into consideration the loss of generation-related revenue from customers who leave PPL’s system and receive generation services from EGSs.  It also fails to account for the fact that customers receiving generation services from EGSs are generally paying something less than the default service rate which means that, to the extent these customers are generating any uncollectible accounts expense, the level of this uncollectible accounts expense for these EGS customers is less.</w:t>
      </w:r>
      <w:r w:rsidR="00392410" w:rsidRPr="00EA3344">
        <w:rPr>
          <w:rStyle w:val="FootnoteReference"/>
          <w:rFonts w:ascii="Times New (W1)" w:hAnsi="Times New (W1)"/>
          <w:sz w:val="26"/>
          <w:vertAlign w:val="superscript"/>
        </w:rPr>
        <w:footnoteReference w:id="21"/>
      </w:r>
      <w:r w:rsidR="00392410" w:rsidRPr="00EA3344">
        <w:rPr>
          <w:rFonts w:ascii="Times New (W1)" w:hAnsi="Times New (W1)"/>
          <w:sz w:val="26"/>
          <w:vertAlign w:val="superscript"/>
        </w:rPr>
        <w:t xml:space="preserve"> </w:t>
      </w:r>
    </w:p>
    <w:p w:rsidR="00392410" w:rsidRPr="00B75E4E" w:rsidRDefault="00392410" w:rsidP="00B75E4E">
      <w:pPr>
        <w:ind w:firstLine="720"/>
        <w:jc w:val="left"/>
        <w:rPr>
          <w:rFonts w:ascii="Times New (W1)" w:hAnsi="Times New (W1)"/>
          <w:sz w:val="26"/>
        </w:rPr>
      </w:pPr>
    </w:p>
    <w:p w:rsidR="00392410" w:rsidRPr="00B75E4E" w:rsidRDefault="00F95CBD" w:rsidP="00B75E4E">
      <w:pPr>
        <w:ind w:firstLine="720"/>
        <w:jc w:val="left"/>
        <w:rPr>
          <w:rFonts w:ascii="Times New (W1)" w:hAnsi="Times New (W1)"/>
          <w:sz w:val="26"/>
        </w:rPr>
      </w:pPr>
      <w:r>
        <w:rPr>
          <w:rFonts w:ascii="Times New (W1)" w:hAnsi="Times New (W1)"/>
          <w:sz w:val="26"/>
        </w:rPr>
        <w:lastRenderedPageBreak/>
        <w:tab/>
      </w:r>
      <w:r w:rsidR="00392410" w:rsidRPr="00B75E4E">
        <w:rPr>
          <w:rFonts w:ascii="Times New (W1)" w:hAnsi="Times New (W1)"/>
          <w:sz w:val="26"/>
        </w:rPr>
        <w:t xml:space="preserve">In sum, </w:t>
      </w:r>
      <w:r>
        <w:rPr>
          <w:rFonts w:ascii="Times New (W1)" w:hAnsi="Times New (W1)"/>
          <w:sz w:val="26"/>
        </w:rPr>
        <w:t xml:space="preserve">RESA notes that </w:t>
      </w:r>
      <w:r w:rsidR="00392410" w:rsidRPr="00B75E4E">
        <w:rPr>
          <w:rFonts w:ascii="Times New (W1)" w:hAnsi="Times New (W1)"/>
          <w:sz w:val="26"/>
        </w:rPr>
        <w:t xml:space="preserve">the ALJ’s apparent belief that using PPL’s questionably calculated estimated uncollectible accounts expense factor provides some type of guarantee that the shopping customers are only paying their costs of this expense is not supported by the record and, indeed, is contradicted by the record.  </w:t>
      </w:r>
      <w:r>
        <w:rPr>
          <w:rFonts w:ascii="Times New (W1)" w:hAnsi="Times New (W1)"/>
          <w:sz w:val="26"/>
        </w:rPr>
        <w:t xml:space="preserve">RESA claims that </w:t>
      </w:r>
      <w:r w:rsidR="00392410" w:rsidRPr="00B75E4E">
        <w:rPr>
          <w:rFonts w:ascii="Times New (W1)" w:hAnsi="Times New (W1)"/>
          <w:sz w:val="26"/>
        </w:rPr>
        <w:t>PPL did not produce any evidence to support that the amount of uncollectible accounts expense allocated to shopping customers accurately reflects the c</w:t>
      </w:r>
      <w:r>
        <w:rPr>
          <w:rFonts w:ascii="Times New (W1)" w:hAnsi="Times New (W1)"/>
          <w:sz w:val="26"/>
        </w:rPr>
        <w:t>ost caused by these customers.</w:t>
      </w:r>
    </w:p>
    <w:p w:rsidR="00392410" w:rsidRPr="00B75E4E" w:rsidRDefault="00392410" w:rsidP="00B75E4E">
      <w:pPr>
        <w:ind w:firstLine="720"/>
        <w:jc w:val="left"/>
        <w:rPr>
          <w:rFonts w:ascii="Times New (W1)" w:hAnsi="Times New (W1)"/>
          <w:sz w:val="26"/>
        </w:rPr>
      </w:pPr>
    </w:p>
    <w:p w:rsidR="00392410" w:rsidRPr="00B75E4E" w:rsidRDefault="00EA3344" w:rsidP="00B75E4E">
      <w:pPr>
        <w:pStyle w:val="WBBodyText1"/>
        <w:spacing w:line="360" w:lineRule="auto"/>
        <w:rPr>
          <w:rFonts w:ascii="Times New (W1)" w:hAnsi="Times New (W1)"/>
          <w:sz w:val="26"/>
        </w:rPr>
      </w:pPr>
      <w:r>
        <w:rPr>
          <w:rFonts w:ascii="Times New (W1)" w:hAnsi="Times New (W1)"/>
          <w:sz w:val="26"/>
        </w:rPr>
        <w:tab/>
      </w:r>
      <w:r w:rsidR="00392410" w:rsidRPr="00B75E4E">
        <w:rPr>
          <w:rFonts w:ascii="Times New (W1)" w:hAnsi="Times New (W1)"/>
          <w:sz w:val="26"/>
        </w:rPr>
        <w:t>RESA also claims that PPL fails to properly credit those customers for other revenue PPL receives which reduces its net uncollectible expense.  According to RESA, that failure means that, despite the ALJ’s expressed intent to prevent it from occurring, all customers are overpaying the cost of uncollectible accounts expense.</w:t>
      </w:r>
      <w:r w:rsidR="00392410" w:rsidRPr="00F95CBD">
        <w:rPr>
          <w:rStyle w:val="FootnoteReference"/>
          <w:rFonts w:ascii="Times New (W1)" w:hAnsi="Times New (W1)"/>
          <w:sz w:val="26"/>
          <w:vertAlign w:val="superscript"/>
        </w:rPr>
        <w:footnoteReference w:id="22"/>
      </w:r>
      <w:r w:rsidR="00392410" w:rsidRPr="00B75E4E">
        <w:rPr>
          <w:rFonts w:ascii="Times New (W1)" w:hAnsi="Times New (W1)"/>
          <w:sz w:val="26"/>
        </w:rPr>
        <w:t xml:space="preserve">  RESA thus concludes that PPL failed to meet its burden of proof to justify increasing the uncollectible accounts expense factor and the ALJ erred in failing to reject PPL’s proposed rate increase on the basis of this other revenue.</w:t>
      </w:r>
    </w:p>
    <w:p w:rsidR="00392410" w:rsidRPr="00B75E4E" w:rsidRDefault="00392410" w:rsidP="00B75E4E">
      <w:pPr>
        <w:pStyle w:val="WBBodyText1"/>
        <w:spacing w:line="360" w:lineRule="auto"/>
        <w:rPr>
          <w:rFonts w:ascii="Times New (W1)" w:hAnsi="Times New (W1)"/>
          <w:sz w:val="26"/>
        </w:rPr>
      </w:pPr>
    </w:p>
    <w:p w:rsidR="00392410" w:rsidRDefault="00EA3344" w:rsidP="00B75E4E">
      <w:pPr>
        <w:pStyle w:val="WBBodyText2"/>
        <w:spacing w:line="360" w:lineRule="auto"/>
        <w:rPr>
          <w:rFonts w:ascii="Times New (W1)" w:hAnsi="Times New (W1)"/>
          <w:sz w:val="26"/>
        </w:rPr>
      </w:pPr>
      <w:r>
        <w:rPr>
          <w:rFonts w:ascii="Times New (W1)" w:hAnsi="Times New (W1)"/>
          <w:sz w:val="26"/>
        </w:rPr>
        <w:tab/>
      </w:r>
      <w:r w:rsidR="00392410" w:rsidRPr="00B75E4E">
        <w:rPr>
          <w:rFonts w:ascii="Times New (W1)" w:hAnsi="Times New (W1)"/>
          <w:sz w:val="26"/>
        </w:rPr>
        <w:t>RESA emphasizes that PPL’s current 2010 POR program was approved on November 19, 2009 when the Commission adopted a partial settlement addressing most of the program elements and the resolution of two outstanding issues that were litigated.</w:t>
      </w:r>
      <w:r w:rsidR="00392410" w:rsidRPr="009B0C5E">
        <w:rPr>
          <w:rStyle w:val="FootnoteReference"/>
          <w:rFonts w:ascii="Times New (W1)" w:hAnsi="Times New (W1)"/>
          <w:sz w:val="26"/>
          <w:vertAlign w:val="superscript"/>
        </w:rPr>
        <w:footnoteReference w:id="23"/>
      </w:r>
      <w:r w:rsidR="00392410" w:rsidRPr="00B75E4E">
        <w:rPr>
          <w:rFonts w:ascii="Times New (W1)" w:hAnsi="Times New (W1)"/>
          <w:sz w:val="26"/>
        </w:rPr>
        <w:t xml:space="preserve">  RESA strenuously emphasizes that in approving the POR program for 2010, the Commission made clear</w:t>
      </w:r>
      <w:r w:rsidR="00851C11">
        <w:rPr>
          <w:rFonts w:ascii="Times New (W1)" w:hAnsi="Times New (W1)"/>
          <w:sz w:val="26"/>
        </w:rPr>
        <w:t xml:space="preserve"> </w:t>
      </w:r>
      <w:r w:rsidR="00392410" w:rsidRPr="00B75E4E">
        <w:rPr>
          <w:rFonts w:ascii="Times New (W1)" w:hAnsi="Times New (W1)"/>
          <w:sz w:val="26"/>
        </w:rPr>
        <w:t xml:space="preserve">that the POR program structure it approved was expressly and clearly limited to calendar year 2010 only: </w:t>
      </w:r>
    </w:p>
    <w:p w:rsidR="00EA3344" w:rsidRPr="00B75E4E" w:rsidRDefault="00EA3344" w:rsidP="00B75E4E">
      <w:pPr>
        <w:pStyle w:val="WBBodyText2"/>
        <w:spacing w:line="360" w:lineRule="auto"/>
        <w:rPr>
          <w:rFonts w:ascii="Times New (W1)" w:hAnsi="Times New (W1)"/>
          <w:sz w:val="26"/>
        </w:rPr>
      </w:pPr>
    </w:p>
    <w:p w:rsidR="00392410" w:rsidRDefault="00392410" w:rsidP="00EA3344">
      <w:pPr>
        <w:pStyle w:val="Quote"/>
        <w:spacing w:line="240" w:lineRule="auto"/>
        <w:ind w:left="1440" w:right="1440"/>
        <w:jc w:val="left"/>
        <w:rPr>
          <w:rFonts w:ascii="Times New (W1)" w:hAnsi="Times New (W1)"/>
          <w:sz w:val="26"/>
        </w:rPr>
      </w:pPr>
      <w:r w:rsidRPr="00B75E4E">
        <w:rPr>
          <w:rFonts w:ascii="Times New (W1)" w:hAnsi="Times New (W1)"/>
          <w:sz w:val="26"/>
        </w:rPr>
        <w:lastRenderedPageBreak/>
        <w:t>5.</w:t>
      </w:r>
      <w:r w:rsidRPr="00B75E4E">
        <w:rPr>
          <w:rFonts w:ascii="Times New (W1)" w:hAnsi="Times New (W1)"/>
          <w:sz w:val="26"/>
        </w:rPr>
        <w:tab/>
        <w:t xml:space="preserve">That this Opinion and Order is dispositive of PPL Electric Utilities Corporation’s Purchase of Receivables Program and Merchant Function Charge </w:t>
      </w:r>
      <w:r w:rsidRPr="00B75E4E">
        <w:rPr>
          <w:rFonts w:ascii="Times New (W1)" w:hAnsi="Times New (W1)"/>
          <w:b/>
          <w:sz w:val="26"/>
        </w:rPr>
        <w:t>for 2010 only</w:t>
      </w:r>
      <w:r w:rsidRPr="00B75E4E">
        <w:rPr>
          <w:rFonts w:ascii="Times New (W1)" w:hAnsi="Times New (W1)"/>
          <w:sz w:val="26"/>
        </w:rPr>
        <w:t xml:space="preserve">, and </w:t>
      </w:r>
      <w:r w:rsidRPr="00B75E4E">
        <w:rPr>
          <w:rFonts w:ascii="Times New (W1)" w:hAnsi="Times New (W1)"/>
          <w:b/>
          <w:sz w:val="26"/>
        </w:rPr>
        <w:t>it shall have no precedential effect</w:t>
      </w:r>
      <w:r w:rsidRPr="00B75E4E">
        <w:rPr>
          <w:rFonts w:ascii="Times New (W1)" w:hAnsi="Times New (W1)"/>
          <w:sz w:val="26"/>
        </w:rPr>
        <w:t xml:space="preserve"> in the context of the Commission’s collaborative to be held in 2010 to develop a permanent Purchase of Receivables Program.</w:t>
      </w:r>
      <w:r w:rsidRPr="009B0C5E">
        <w:rPr>
          <w:rStyle w:val="FootnoteReference"/>
          <w:rFonts w:ascii="Times New (W1)" w:hAnsi="Times New (W1)"/>
          <w:sz w:val="26"/>
          <w:vertAlign w:val="superscript"/>
        </w:rPr>
        <w:footnoteReference w:id="24"/>
      </w:r>
    </w:p>
    <w:p w:rsidR="00EA3344" w:rsidRPr="00EA3344" w:rsidRDefault="00EA3344" w:rsidP="00EA3344"/>
    <w:p w:rsidR="00392410" w:rsidRDefault="00392410" w:rsidP="00EA3344">
      <w:pPr>
        <w:pStyle w:val="WBBodyText1"/>
        <w:spacing w:line="360" w:lineRule="auto"/>
        <w:ind w:firstLine="0"/>
        <w:rPr>
          <w:rFonts w:ascii="Times New (W1)" w:hAnsi="Times New (W1)"/>
          <w:sz w:val="26"/>
        </w:rPr>
      </w:pPr>
      <w:r w:rsidRPr="00B75E4E">
        <w:rPr>
          <w:rFonts w:ascii="Times New (W1)" w:hAnsi="Times New (W1)"/>
          <w:sz w:val="26"/>
        </w:rPr>
        <w:t>While RESA agreed to accept PPL’s proposed program structure (with a few modifications) for 2010, it made clear that its acceptance represented a “compromise” in exchange for having a POR program implemented in time for PPL’s January 2010 market opening</w:t>
      </w:r>
      <w:r w:rsidR="00A11D7E">
        <w:rPr>
          <w:rFonts w:ascii="Times New (W1)" w:hAnsi="Times New (W1)"/>
          <w:sz w:val="26"/>
        </w:rPr>
        <w:t>.</w:t>
      </w:r>
    </w:p>
    <w:p w:rsidR="00ED10CE" w:rsidRPr="00B75E4E" w:rsidRDefault="00ED10CE" w:rsidP="00EA3344">
      <w:pPr>
        <w:pStyle w:val="WBBodyText1"/>
        <w:spacing w:line="360" w:lineRule="auto"/>
        <w:ind w:firstLine="0"/>
        <w:rPr>
          <w:rFonts w:ascii="Times New (W1)" w:hAnsi="Times New (W1)"/>
          <w:sz w:val="26"/>
        </w:rPr>
      </w:pPr>
    </w:p>
    <w:p w:rsidR="00392410" w:rsidRPr="00B75E4E" w:rsidRDefault="00EA3344" w:rsidP="00ED10CE">
      <w:pPr>
        <w:pStyle w:val="DeanneNormal"/>
        <w:spacing w:line="360" w:lineRule="auto"/>
        <w:rPr>
          <w:rFonts w:ascii="Times New (W1)" w:hAnsi="Times New (W1)"/>
          <w:sz w:val="26"/>
        </w:rPr>
      </w:pPr>
      <w:r>
        <w:rPr>
          <w:rFonts w:ascii="Times New (W1)" w:hAnsi="Times New (W1)"/>
          <w:sz w:val="26"/>
        </w:rPr>
        <w:tab/>
      </w:r>
      <w:r w:rsidR="00392410" w:rsidRPr="00B75E4E">
        <w:rPr>
          <w:rFonts w:ascii="Times New (W1)" w:hAnsi="Times New (W1)"/>
          <w:sz w:val="26"/>
        </w:rPr>
        <w:t xml:space="preserve">RESA basically argues that the ALJ reliance on the approval of the program as “substantial evidence” to support PPL’s proposals here is misplaced given that parties were free to raise POR issues in this case.  RESA claims that such a result clearly contravenes the expressed intent of the parties and the Commission and, in fact, </w:t>
      </w:r>
      <w:r w:rsidR="00392410" w:rsidRPr="00B75E4E">
        <w:rPr>
          <w:rFonts w:ascii="Times New (W1)" w:hAnsi="Times New (W1)"/>
          <w:sz w:val="26"/>
          <w:u w:val="single"/>
        </w:rPr>
        <w:t>does not address the key issue here</w:t>
      </w:r>
      <w:r w:rsidR="00392410" w:rsidRPr="00B75E4E">
        <w:rPr>
          <w:rFonts w:ascii="Times New (W1)" w:hAnsi="Times New (W1)"/>
          <w:sz w:val="26"/>
        </w:rPr>
        <w:t xml:space="preserve"> – “whether PPL has proved its proposal to increase the generation-related uncollectible accounts expense factor for residential customers is just and reasonable.”  RESA advocated rejection of PPL’s proposed discount factor increase on this basis.  </w:t>
      </w:r>
    </w:p>
    <w:p w:rsidR="00392410" w:rsidRPr="00B75E4E" w:rsidRDefault="00392410" w:rsidP="00392410">
      <w:pPr>
        <w:pStyle w:val="BodyText2"/>
        <w:ind w:firstLine="720"/>
        <w:contextualSpacing/>
        <w:rPr>
          <w:rFonts w:ascii="Times New (W1)" w:hAnsi="Times New (W1)"/>
          <w:sz w:val="26"/>
        </w:rPr>
      </w:pPr>
    </w:p>
    <w:p w:rsidR="00392410" w:rsidRPr="00B75E4E" w:rsidRDefault="00A11D7E" w:rsidP="00ED10CE">
      <w:pPr>
        <w:pStyle w:val="BodyText2"/>
        <w:spacing w:line="360" w:lineRule="auto"/>
        <w:ind w:firstLine="720"/>
        <w:contextualSpacing/>
        <w:rPr>
          <w:rFonts w:ascii="Times New (W1)" w:hAnsi="Times New (W1)"/>
          <w:sz w:val="26"/>
        </w:rPr>
      </w:pPr>
      <w:r>
        <w:rPr>
          <w:rFonts w:ascii="Times New (W1)" w:hAnsi="Times New (W1)"/>
          <w:sz w:val="26"/>
        </w:rPr>
        <w:tab/>
      </w:r>
      <w:r w:rsidR="00392410" w:rsidRPr="00B75E4E">
        <w:rPr>
          <w:rFonts w:ascii="Times New (W1)" w:hAnsi="Times New (W1)"/>
          <w:sz w:val="26"/>
        </w:rPr>
        <w:t xml:space="preserve">PPL and </w:t>
      </w:r>
      <w:r>
        <w:rPr>
          <w:rFonts w:ascii="Times New (W1)" w:hAnsi="Times New (W1)"/>
          <w:sz w:val="26"/>
        </w:rPr>
        <w:t xml:space="preserve">the </w:t>
      </w:r>
      <w:r w:rsidR="00392410" w:rsidRPr="00B75E4E">
        <w:rPr>
          <w:rFonts w:ascii="Times New (W1)" w:hAnsi="Times New (W1)"/>
          <w:sz w:val="26"/>
        </w:rPr>
        <w:t>OTS reply that PPL supplied substantial evidence to support continuation of its newly-minted POR program, as adjusted.  Both emphasize that the POR program was just approved by the Commission last year pursuant to an extensively</w:t>
      </w:r>
      <w:r>
        <w:rPr>
          <w:rFonts w:ascii="Times New (W1)" w:hAnsi="Times New (W1)"/>
          <w:sz w:val="26"/>
        </w:rPr>
        <w:t>-n</w:t>
      </w:r>
      <w:r w:rsidR="00392410" w:rsidRPr="00B75E4E">
        <w:rPr>
          <w:rFonts w:ascii="Times New (W1)" w:hAnsi="Times New (W1)"/>
          <w:sz w:val="26"/>
        </w:rPr>
        <w:t>egotiated settlement and that the program should be given some time to operate before declaring it t</w:t>
      </w:r>
      <w:r w:rsidR="00ED10CE">
        <w:rPr>
          <w:rFonts w:ascii="Times New (W1)" w:hAnsi="Times New (W1)"/>
          <w:sz w:val="26"/>
        </w:rPr>
        <w:t>he abject failure RESA posits.</w:t>
      </w:r>
    </w:p>
    <w:p w:rsidR="00392410" w:rsidRPr="00B75E4E" w:rsidRDefault="00392410" w:rsidP="00ED10CE">
      <w:pPr>
        <w:pStyle w:val="BodyText2"/>
        <w:spacing w:line="360" w:lineRule="auto"/>
        <w:ind w:firstLine="720"/>
        <w:contextualSpacing/>
        <w:rPr>
          <w:rFonts w:ascii="Times New (W1)" w:hAnsi="Times New (W1)"/>
          <w:sz w:val="26"/>
        </w:rPr>
      </w:pPr>
    </w:p>
    <w:p w:rsidR="00392410" w:rsidRPr="00B75E4E" w:rsidRDefault="00ED10CE" w:rsidP="00ED10CE">
      <w:pPr>
        <w:pStyle w:val="BodyText2"/>
        <w:spacing w:line="360" w:lineRule="auto"/>
        <w:ind w:firstLine="720"/>
        <w:contextualSpacing/>
        <w:rPr>
          <w:rFonts w:ascii="Times New (W1)" w:hAnsi="Times New (W1)"/>
          <w:sz w:val="26"/>
        </w:rPr>
      </w:pPr>
      <w:r>
        <w:rPr>
          <w:rFonts w:ascii="Times New (W1)" w:hAnsi="Times New (W1)"/>
          <w:sz w:val="26"/>
        </w:rPr>
        <w:lastRenderedPageBreak/>
        <w:tab/>
      </w:r>
      <w:r w:rsidR="00392410" w:rsidRPr="00B75E4E">
        <w:rPr>
          <w:rFonts w:ascii="Times New (W1)" w:hAnsi="Times New (W1)"/>
          <w:sz w:val="26"/>
        </w:rPr>
        <w:t>In addition, PPL and OTS agree that the direct testimony of PPL witness Krall constitutes substantial evidence upon which to continue the current POR with the slight increase to the discount rate.  PPL R</w:t>
      </w:r>
      <w:r w:rsidR="00A11D7E">
        <w:rPr>
          <w:rFonts w:ascii="Times New (W1)" w:hAnsi="Times New (W1)"/>
          <w:sz w:val="26"/>
        </w:rPr>
        <w:t xml:space="preserve">.Exc. </w:t>
      </w:r>
      <w:r>
        <w:rPr>
          <w:rFonts w:ascii="Times New (W1)" w:hAnsi="Times New (W1)"/>
          <w:sz w:val="26"/>
        </w:rPr>
        <w:t>at 20-22; OTS R</w:t>
      </w:r>
      <w:r w:rsidR="00A11D7E">
        <w:rPr>
          <w:rFonts w:ascii="Times New (W1)" w:hAnsi="Times New (W1)"/>
          <w:sz w:val="26"/>
        </w:rPr>
        <w:t xml:space="preserve">.E. </w:t>
      </w:r>
      <w:r>
        <w:rPr>
          <w:rFonts w:ascii="Times New (W1)" w:hAnsi="Times New (W1)"/>
          <w:sz w:val="26"/>
        </w:rPr>
        <w:t xml:space="preserve">at 4-6.  </w:t>
      </w:r>
      <w:r w:rsidR="00392410" w:rsidRPr="00B75E4E">
        <w:rPr>
          <w:rFonts w:ascii="Times New (W1)" w:hAnsi="Times New (W1)"/>
          <w:sz w:val="26"/>
        </w:rPr>
        <w:t>As for PPL’s failure to use actual data, PPL reiterates that its POR program as currently structured commenced operation just three short months prior to the initiation of this proceeding and that there is insufficient data at this time to determine separate uncollectible accounts for shopping and non-shopping customers.  PPL R</w:t>
      </w:r>
      <w:r w:rsidR="00A11D7E">
        <w:rPr>
          <w:rFonts w:ascii="Times New (W1)" w:hAnsi="Times New (W1)"/>
          <w:sz w:val="26"/>
        </w:rPr>
        <w:t>.Exc.</w:t>
      </w:r>
      <w:r w:rsidR="00392410" w:rsidRPr="00B75E4E">
        <w:rPr>
          <w:rFonts w:ascii="Times New (W1)" w:hAnsi="Times New (W1)"/>
          <w:sz w:val="26"/>
        </w:rPr>
        <w:t xml:space="preserve"> at 20.  PPL also refuted RESA’s claim that PPL’s allegedly fail to properly account for revenue received from late payments.  PPL notes that late payments have no relationship to uncollectible accounts expense, as late payments are not included in net write-offs used t</w:t>
      </w:r>
      <w:r w:rsidR="00A11D7E">
        <w:rPr>
          <w:rFonts w:ascii="Times New (W1)" w:hAnsi="Times New (W1)"/>
          <w:sz w:val="26"/>
        </w:rPr>
        <w:t>o</w:t>
      </w:r>
      <w:r w:rsidR="00392410" w:rsidRPr="00B75E4E">
        <w:rPr>
          <w:rFonts w:ascii="Times New (W1)" w:hAnsi="Times New (W1)"/>
          <w:sz w:val="26"/>
        </w:rPr>
        <w:t xml:space="preserve"> determine the uncollectible account</w:t>
      </w:r>
      <w:r w:rsidR="007C2B3C">
        <w:rPr>
          <w:rFonts w:ascii="Times New (W1)" w:hAnsi="Times New (W1)"/>
          <w:sz w:val="26"/>
        </w:rPr>
        <w:t xml:space="preserve">s expense. </w:t>
      </w:r>
      <w:r w:rsidR="00392410" w:rsidRPr="00B75E4E">
        <w:rPr>
          <w:rFonts w:ascii="Times New (W1)" w:hAnsi="Times New (W1)"/>
          <w:sz w:val="26"/>
        </w:rPr>
        <w:t xml:space="preserve"> PPL R</w:t>
      </w:r>
      <w:r w:rsidR="00A11D7E">
        <w:rPr>
          <w:rFonts w:ascii="Times New (W1)" w:hAnsi="Times New (W1)"/>
          <w:sz w:val="26"/>
        </w:rPr>
        <w:t xml:space="preserve">.Exc. </w:t>
      </w:r>
      <w:r w:rsidR="00392410" w:rsidRPr="00B75E4E">
        <w:rPr>
          <w:rFonts w:ascii="Times New (W1)" w:hAnsi="Times New (W1)"/>
          <w:sz w:val="26"/>
        </w:rPr>
        <w:t>at 21; PPL R.B. at 33-34.</w:t>
      </w:r>
    </w:p>
    <w:p w:rsidR="00B75E4E" w:rsidRPr="00B75E4E" w:rsidRDefault="00B75E4E" w:rsidP="00392410">
      <w:pPr>
        <w:pStyle w:val="BodyText2"/>
        <w:ind w:firstLine="720"/>
        <w:contextualSpacing/>
        <w:rPr>
          <w:rFonts w:ascii="Times New (W1)" w:hAnsi="Times New (W1)"/>
          <w:sz w:val="26"/>
        </w:rPr>
      </w:pPr>
    </w:p>
    <w:p w:rsidR="00392410" w:rsidRDefault="00AD4CF7" w:rsidP="00AD4CF7">
      <w:pPr>
        <w:keepNext/>
        <w:keepLines/>
        <w:spacing w:line="240" w:lineRule="auto"/>
        <w:ind w:left="3600" w:hanging="720"/>
        <w:jc w:val="left"/>
        <w:rPr>
          <w:b/>
        </w:rPr>
      </w:pPr>
      <w:r>
        <w:rPr>
          <w:rFonts w:ascii="Times New (W1)" w:hAnsi="Times New (W1)"/>
          <w:b/>
          <w:sz w:val="26"/>
        </w:rPr>
        <w:t>(b)</w:t>
      </w:r>
      <w:r>
        <w:rPr>
          <w:rFonts w:ascii="Times New (W1)" w:hAnsi="Times New (W1)"/>
          <w:b/>
          <w:sz w:val="26"/>
        </w:rPr>
        <w:tab/>
      </w:r>
      <w:r w:rsidR="00392410" w:rsidRPr="00B75E4E">
        <w:rPr>
          <w:rFonts w:ascii="Times New (W1)" w:hAnsi="Times New (W1)"/>
          <w:b/>
          <w:sz w:val="26"/>
        </w:rPr>
        <w:t>RESA’s Alternative – The</w:t>
      </w:r>
      <w:r w:rsidR="00392410" w:rsidRPr="00B75E4E">
        <w:rPr>
          <w:rFonts w:ascii="Times New (W1)" w:hAnsi="Times New (W1)"/>
          <w:sz w:val="26"/>
        </w:rPr>
        <w:t xml:space="preserve"> </w:t>
      </w:r>
      <w:r w:rsidR="00392410" w:rsidRPr="00B75E4E">
        <w:rPr>
          <w:rFonts w:ascii="Times New (W1)" w:hAnsi="Times New (W1)"/>
          <w:b/>
          <w:sz w:val="26"/>
        </w:rPr>
        <w:t>Nonbypassable Charge Issue (RESA Exceptions at 14-17)</w:t>
      </w:r>
    </w:p>
    <w:p w:rsidR="00392410" w:rsidRDefault="00392410" w:rsidP="00AD4CF7">
      <w:pPr>
        <w:pStyle w:val="BodyText2"/>
        <w:keepNext/>
        <w:keepLines/>
        <w:ind w:firstLine="720"/>
        <w:contextualSpacing/>
        <w:rPr>
          <w:b/>
        </w:rPr>
      </w:pPr>
    </w:p>
    <w:p w:rsidR="00392410" w:rsidRPr="00B75E4E" w:rsidRDefault="00B75E4E" w:rsidP="00B75E4E">
      <w:pPr>
        <w:pStyle w:val="WBBodyText1"/>
        <w:spacing w:line="360" w:lineRule="auto"/>
        <w:rPr>
          <w:rFonts w:ascii="Times New (W1)" w:hAnsi="Times New (W1)"/>
          <w:sz w:val="26"/>
        </w:rPr>
      </w:pPr>
      <w:r>
        <w:rPr>
          <w:rFonts w:ascii="Times New (W1)" w:hAnsi="Times New (W1)"/>
          <w:sz w:val="26"/>
        </w:rPr>
        <w:tab/>
      </w:r>
      <w:r w:rsidR="00392410" w:rsidRPr="00B75E4E">
        <w:rPr>
          <w:rFonts w:ascii="Times New (W1)" w:hAnsi="Times New (W1)"/>
          <w:sz w:val="26"/>
        </w:rPr>
        <w:t>RESA had proposed that uncollectible accounts expense be recovered through a nonbypassable charge assessed on all distribution customers to recover the costs of all generation-related uncollectible accounts expense.</w:t>
      </w:r>
      <w:r w:rsidR="00392410" w:rsidRPr="00876CA9">
        <w:rPr>
          <w:rStyle w:val="FootnoteReference"/>
          <w:rFonts w:ascii="Times New (W1)" w:hAnsi="Times New (W1)"/>
          <w:sz w:val="26"/>
          <w:vertAlign w:val="superscript"/>
        </w:rPr>
        <w:footnoteReference w:id="25"/>
      </w:r>
      <w:r w:rsidR="00392410" w:rsidRPr="00B75E4E">
        <w:rPr>
          <w:rFonts w:ascii="Times New (W1)" w:hAnsi="Times New (W1)"/>
          <w:sz w:val="26"/>
        </w:rPr>
        <w:t xml:space="preserve">  RESA claim</w:t>
      </w:r>
      <w:r w:rsidR="007C2B3C">
        <w:rPr>
          <w:rFonts w:ascii="Times New (W1)" w:hAnsi="Times New (W1)"/>
          <w:sz w:val="26"/>
        </w:rPr>
        <w:t>s</w:t>
      </w:r>
      <w:r w:rsidR="00392410" w:rsidRPr="00B75E4E">
        <w:rPr>
          <w:rFonts w:ascii="Times New (W1)" w:hAnsi="Times New (W1)"/>
          <w:sz w:val="26"/>
        </w:rPr>
        <w:t xml:space="preserve"> that the ALJ relied upon a false premise in rejecting RESA’s alternative.  That alleged false premise was that the nonbypassable charge would somehow require shopping customers to pay the uncollectible accounts expense for non-shopping customers – a cross-subsidy.</w:t>
      </w:r>
      <w:r w:rsidR="00392410" w:rsidRPr="00AD4CF7">
        <w:rPr>
          <w:rStyle w:val="FootnoteReference"/>
          <w:rFonts w:ascii="Times New (W1)" w:hAnsi="Times New (W1)"/>
          <w:sz w:val="26"/>
          <w:vertAlign w:val="superscript"/>
        </w:rPr>
        <w:footnoteReference w:id="26"/>
      </w:r>
      <w:r w:rsidR="00392410" w:rsidRPr="00B75E4E">
        <w:rPr>
          <w:rFonts w:ascii="Times New (W1)" w:hAnsi="Times New (W1)"/>
          <w:sz w:val="26"/>
        </w:rPr>
        <w:t xml:space="preserve">  RESA assert</w:t>
      </w:r>
      <w:r w:rsidR="000B31D5">
        <w:rPr>
          <w:rFonts w:ascii="Times New (W1)" w:hAnsi="Times New (W1)"/>
          <w:sz w:val="26"/>
        </w:rPr>
        <w:t>s</w:t>
      </w:r>
      <w:r w:rsidR="00392410" w:rsidRPr="00B75E4E">
        <w:rPr>
          <w:rFonts w:ascii="Times New (W1)" w:hAnsi="Times New (W1)"/>
          <w:sz w:val="26"/>
        </w:rPr>
        <w:t xml:space="preserve"> that, the method of collecting generation-related uncollectible accounts expense makes no difference from the customer’s perspective and in light of PPL’s failure to justify its change to the uncollectibles accounts </w:t>
      </w:r>
      <w:r w:rsidR="007B1C4F" w:rsidRPr="00B75E4E">
        <w:rPr>
          <w:rFonts w:ascii="Times New (W1)" w:hAnsi="Times New (W1)"/>
          <w:sz w:val="26"/>
        </w:rPr>
        <w:t>expense</w:t>
      </w:r>
      <w:r w:rsidR="00392410" w:rsidRPr="00B75E4E">
        <w:rPr>
          <w:rFonts w:ascii="Times New (W1)" w:hAnsi="Times New (W1)"/>
          <w:sz w:val="26"/>
        </w:rPr>
        <w:t>, RESA’s alternate approach should have been adopted.  RESA also claim</w:t>
      </w:r>
      <w:r w:rsidR="000B31D5">
        <w:rPr>
          <w:rFonts w:ascii="Times New (W1)" w:hAnsi="Times New (W1)"/>
          <w:sz w:val="26"/>
        </w:rPr>
        <w:t>s</w:t>
      </w:r>
      <w:r w:rsidR="00392410" w:rsidRPr="00B75E4E">
        <w:rPr>
          <w:rFonts w:ascii="Times New (W1)" w:hAnsi="Times New (W1)"/>
          <w:sz w:val="26"/>
        </w:rPr>
        <w:t xml:space="preserve"> that, despite her extensive discussion of the concept, the ALJ erroneously assigned the burden of proof on </w:t>
      </w:r>
      <w:r w:rsidR="00392410" w:rsidRPr="00B75E4E">
        <w:rPr>
          <w:rFonts w:ascii="Times New (W1)" w:hAnsi="Times New (W1)"/>
          <w:sz w:val="26"/>
        </w:rPr>
        <w:lastRenderedPageBreak/>
        <w:t>this issue to RESA.  RESA advocat</w:t>
      </w:r>
      <w:r w:rsidR="000B31D5">
        <w:rPr>
          <w:rFonts w:ascii="Times New (W1)" w:hAnsi="Times New (W1)"/>
          <w:sz w:val="26"/>
        </w:rPr>
        <w:t>es</w:t>
      </w:r>
      <w:r w:rsidR="00392410" w:rsidRPr="00B75E4E">
        <w:rPr>
          <w:rFonts w:ascii="Times New (W1)" w:hAnsi="Times New (W1)"/>
          <w:sz w:val="26"/>
        </w:rPr>
        <w:t xml:space="preserve"> rejection of the ALJ’s recommendations on this score.</w:t>
      </w:r>
    </w:p>
    <w:p w:rsidR="00392410" w:rsidRPr="00B75E4E" w:rsidRDefault="00392410" w:rsidP="00B75E4E">
      <w:pPr>
        <w:pStyle w:val="WBBodyText1"/>
        <w:spacing w:line="360" w:lineRule="auto"/>
        <w:rPr>
          <w:rFonts w:ascii="Times New (W1)" w:hAnsi="Times New (W1)"/>
          <w:sz w:val="26"/>
        </w:rPr>
      </w:pPr>
    </w:p>
    <w:p w:rsidR="00392410" w:rsidRDefault="00B75E4E" w:rsidP="00B75E4E">
      <w:pPr>
        <w:pStyle w:val="WBBodyText1"/>
        <w:spacing w:line="360" w:lineRule="auto"/>
        <w:rPr>
          <w:rFonts w:ascii="Times New (W1)" w:hAnsi="Times New (W1)"/>
          <w:sz w:val="26"/>
        </w:rPr>
      </w:pPr>
      <w:r>
        <w:rPr>
          <w:rFonts w:ascii="Times New (W1)" w:hAnsi="Times New (W1)"/>
          <w:sz w:val="26"/>
        </w:rPr>
        <w:tab/>
      </w:r>
      <w:r w:rsidR="00392410" w:rsidRPr="00B75E4E">
        <w:rPr>
          <w:rFonts w:ascii="Times New (W1)" w:hAnsi="Times New (W1)"/>
          <w:sz w:val="26"/>
        </w:rPr>
        <w:t xml:space="preserve">In their </w:t>
      </w:r>
      <w:r w:rsidR="00BA3A82">
        <w:rPr>
          <w:rFonts w:ascii="Times New (W1)" w:hAnsi="Times New (W1)"/>
          <w:sz w:val="26"/>
        </w:rPr>
        <w:t>Reply Exceptions</w:t>
      </w:r>
      <w:r w:rsidR="00392410" w:rsidRPr="00B75E4E">
        <w:rPr>
          <w:rFonts w:ascii="Times New (W1)" w:hAnsi="Times New (W1)"/>
          <w:sz w:val="26"/>
        </w:rPr>
        <w:t xml:space="preserve">, PPL and OTS argue </w:t>
      </w:r>
      <w:r w:rsidR="000B31D5">
        <w:rPr>
          <w:rFonts w:ascii="Times New (W1)" w:hAnsi="Times New (W1)"/>
          <w:sz w:val="26"/>
        </w:rPr>
        <w:t>that</w:t>
      </w:r>
      <w:r w:rsidR="00392410" w:rsidRPr="00B75E4E">
        <w:rPr>
          <w:rFonts w:ascii="Times New (W1)" w:hAnsi="Times New (W1)"/>
          <w:sz w:val="26"/>
        </w:rPr>
        <w:t xml:space="preserve"> PPL’s evidentiary basis </w:t>
      </w:r>
      <w:r w:rsidR="000B31D5">
        <w:rPr>
          <w:rFonts w:ascii="Times New (W1)" w:hAnsi="Times New (W1)"/>
          <w:sz w:val="26"/>
        </w:rPr>
        <w:t xml:space="preserve">is sound </w:t>
      </w:r>
      <w:r w:rsidR="00392410" w:rsidRPr="00B75E4E">
        <w:rPr>
          <w:rFonts w:ascii="Times New (W1)" w:hAnsi="Times New (W1)"/>
          <w:sz w:val="26"/>
        </w:rPr>
        <w:t xml:space="preserve">for the continuation of its POR program as slightly modified.  Thus, RESA’s alternative proposal was not </w:t>
      </w:r>
      <w:r w:rsidR="000B31D5">
        <w:rPr>
          <w:rFonts w:ascii="Times New (W1)" w:hAnsi="Times New (W1)"/>
          <w:sz w:val="26"/>
        </w:rPr>
        <w:t xml:space="preserve">supported by </w:t>
      </w:r>
      <w:r w:rsidR="00392410" w:rsidRPr="00B75E4E">
        <w:rPr>
          <w:rFonts w:ascii="Times New (W1)" w:hAnsi="Times New (W1)"/>
          <w:sz w:val="26"/>
        </w:rPr>
        <w:t>sufficient evidence to overcome PPL’s proof of the reasonableness of its proposal.  PPL R</w:t>
      </w:r>
      <w:r w:rsidR="000B31D5">
        <w:rPr>
          <w:rFonts w:ascii="Times New (W1)" w:hAnsi="Times New (W1)"/>
          <w:sz w:val="26"/>
        </w:rPr>
        <w:t xml:space="preserve">.Exc. at </w:t>
      </w:r>
      <w:r w:rsidR="00392410" w:rsidRPr="00B75E4E">
        <w:rPr>
          <w:rFonts w:ascii="Times New (W1)" w:hAnsi="Times New (W1)"/>
          <w:sz w:val="26"/>
        </w:rPr>
        <w:t>22-23; OTS R</w:t>
      </w:r>
      <w:r w:rsidR="00105BFE">
        <w:rPr>
          <w:rFonts w:ascii="Times New (W1)" w:hAnsi="Times New (W1)"/>
          <w:sz w:val="26"/>
        </w:rPr>
        <w:t>.Exc. at</w:t>
      </w:r>
      <w:r w:rsidR="00392410" w:rsidRPr="00B75E4E">
        <w:rPr>
          <w:rFonts w:ascii="Times New (W1)" w:hAnsi="Times New (W1)"/>
          <w:sz w:val="26"/>
        </w:rPr>
        <w:t xml:space="preserve"> 6-7.  PPL also argues that, through its nonbypassable charge proposal, RESA seeks to shift EGS’ collection risk to PPL and its customers regardless of whether they shop.  PPL suggests that, if RESA</w:t>
      </w:r>
      <w:r w:rsidR="00105BFE">
        <w:rPr>
          <w:rFonts w:ascii="Times New (W1)" w:hAnsi="Times New (W1)"/>
          <w:sz w:val="26"/>
        </w:rPr>
        <w:t>’</w:t>
      </w:r>
      <w:r w:rsidR="00392410" w:rsidRPr="00B75E4E">
        <w:rPr>
          <w:rFonts w:ascii="Times New (W1)" w:hAnsi="Times New (W1)"/>
          <w:sz w:val="26"/>
        </w:rPr>
        <w:t>s proposal is adopted, the discount factor would be eliminated from the POR program, at which point there would be no reason for the POR program.  PPL R</w:t>
      </w:r>
      <w:r w:rsidR="00105BFE">
        <w:rPr>
          <w:rFonts w:ascii="Times New (W1)" w:hAnsi="Times New (W1)"/>
          <w:sz w:val="26"/>
        </w:rPr>
        <w:t xml:space="preserve">.Exc. </w:t>
      </w:r>
      <w:r w:rsidR="00392410" w:rsidRPr="00B75E4E">
        <w:rPr>
          <w:rFonts w:ascii="Times New (W1)" w:hAnsi="Times New (W1)"/>
          <w:sz w:val="26"/>
        </w:rPr>
        <w:t>at 22-23.  PPL also notes that POR programs vary among EDCs due to different system characteristics and capabilities and that RESA’s proposal is inconsistent with Commission policy regarding unbundling generation-related costs form distribution rates, as well as directly contrary to RESA’s position in PPL’s most recent Default Service Plan proceeding.  PPL R</w:t>
      </w:r>
      <w:r w:rsidR="00105BFE">
        <w:rPr>
          <w:rFonts w:ascii="Times New (W1)" w:hAnsi="Times New (W1)"/>
          <w:sz w:val="26"/>
        </w:rPr>
        <w:t>.Exc.</w:t>
      </w:r>
      <w:r w:rsidR="00392410" w:rsidRPr="00B75E4E">
        <w:rPr>
          <w:rFonts w:ascii="Times New (W1)" w:hAnsi="Times New (W1)"/>
          <w:sz w:val="26"/>
        </w:rPr>
        <w:t xml:space="preserve"> at 23; PPL M.B. at 88-90.  In addition, both PPL and OTS argue that, while the ALJ acknowledged that the burden of persuasion shifts during a proceeding, at no point did she foist the burden of proof upon RESA.  PPL R</w:t>
      </w:r>
      <w:r w:rsidR="00105BFE">
        <w:rPr>
          <w:rFonts w:ascii="Times New (W1)" w:hAnsi="Times New (W1)"/>
          <w:sz w:val="26"/>
        </w:rPr>
        <w:t xml:space="preserve">.Exc. </w:t>
      </w:r>
      <w:r w:rsidR="00392410" w:rsidRPr="00B75E4E">
        <w:rPr>
          <w:rFonts w:ascii="Times New (W1)" w:hAnsi="Times New (W1)"/>
          <w:sz w:val="26"/>
        </w:rPr>
        <w:t>at 21-23; OTS R</w:t>
      </w:r>
      <w:r w:rsidR="00105BFE">
        <w:rPr>
          <w:rFonts w:ascii="Times New (W1)" w:hAnsi="Times New (W1)"/>
          <w:sz w:val="26"/>
        </w:rPr>
        <w:t>.Exc.</w:t>
      </w:r>
      <w:r w:rsidR="00392410" w:rsidRPr="00B75E4E">
        <w:rPr>
          <w:rFonts w:ascii="Times New (W1)" w:hAnsi="Times New (W1)"/>
          <w:sz w:val="26"/>
        </w:rPr>
        <w:t xml:space="preserve"> at 6-7.</w:t>
      </w:r>
    </w:p>
    <w:p w:rsidR="00B75E4E" w:rsidRDefault="00B75E4E" w:rsidP="00B75E4E">
      <w:pPr>
        <w:pStyle w:val="WBBodyText1"/>
        <w:spacing w:line="360" w:lineRule="auto"/>
      </w:pPr>
    </w:p>
    <w:p w:rsidR="00392410" w:rsidRPr="00AD4CF7" w:rsidRDefault="00AD4CF7" w:rsidP="00AD4CF7">
      <w:pPr>
        <w:keepNext/>
        <w:spacing w:line="240" w:lineRule="auto"/>
        <w:ind w:left="3600" w:hanging="720"/>
        <w:jc w:val="left"/>
        <w:rPr>
          <w:rFonts w:ascii="Times New (W1)" w:hAnsi="Times New (W1)"/>
          <w:b/>
          <w:sz w:val="26"/>
        </w:rPr>
      </w:pPr>
      <w:r w:rsidRPr="00AD4CF7">
        <w:rPr>
          <w:rFonts w:ascii="Times New (W1)" w:hAnsi="Times New (W1)"/>
          <w:b/>
          <w:sz w:val="26"/>
        </w:rPr>
        <w:t>(c)</w:t>
      </w:r>
      <w:r w:rsidRPr="00AD4CF7">
        <w:rPr>
          <w:rFonts w:ascii="Times New (W1)" w:hAnsi="Times New (W1)"/>
          <w:b/>
          <w:sz w:val="26"/>
        </w:rPr>
        <w:tab/>
      </w:r>
      <w:r w:rsidR="00392410" w:rsidRPr="00AD4CF7">
        <w:rPr>
          <w:rFonts w:ascii="Times New (W1)" w:hAnsi="Times New (W1)"/>
          <w:b/>
          <w:sz w:val="26"/>
        </w:rPr>
        <w:t>All-</w:t>
      </w:r>
      <w:r w:rsidR="00611CB6">
        <w:rPr>
          <w:rFonts w:ascii="Times New (W1)" w:hAnsi="Times New (W1)"/>
          <w:b/>
          <w:sz w:val="26"/>
        </w:rPr>
        <w:t>I</w:t>
      </w:r>
      <w:r w:rsidR="00392410" w:rsidRPr="00AD4CF7">
        <w:rPr>
          <w:rFonts w:ascii="Times New (W1)" w:hAnsi="Times New (W1)"/>
          <w:b/>
          <w:sz w:val="26"/>
        </w:rPr>
        <w:t>n/</w:t>
      </w:r>
      <w:r w:rsidR="00611CB6">
        <w:rPr>
          <w:rFonts w:ascii="Times New (W1)" w:hAnsi="Times New (W1)"/>
          <w:b/>
          <w:sz w:val="26"/>
        </w:rPr>
        <w:t>A</w:t>
      </w:r>
      <w:r w:rsidR="00392410" w:rsidRPr="00AD4CF7">
        <w:rPr>
          <w:rFonts w:ascii="Times New (W1)" w:hAnsi="Times New (W1)"/>
          <w:b/>
          <w:sz w:val="26"/>
        </w:rPr>
        <w:t>ll-</w:t>
      </w:r>
      <w:r w:rsidR="00611CB6">
        <w:rPr>
          <w:rFonts w:ascii="Times New (W1)" w:hAnsi="Times New (W1)"/>
          <w:b/>
          <w:sz w:val="26"/>
        </w:rPr>
        <w:t>O</w:t>
      </w:r>
      <w:r w:rsidR="00392410" w:rsidRPr="00AD4CF7">
        <w:rPr>
          <w:rFonts w:ascii="Times New (W1)" w:hAnsi="Times New (W1)"/>
          <w:b/>
          <w:sz w:val="26"/>
        </w:rPr>
        <w:t>ut Require</w:t>
      </w:r>
      <w:r w:rsidR="00611CB6">
        <w:rPr>
          <w:rFonts w:ascii="Times New (W1)" w:hAnsi="Times New (W1)"/>
          <w:b/>
          <w:sz w:val="26"/>
        </w:rPr>
        <w:t xml:space="preserve">ment for Residential Customers </w:t>
      </w:r>
      <w:r w:rsidR="00392410" w:rsidRPr="00AD4CF7">
        <w:rPr>
          <w:rFonts w:ascii="Times New (W1)" w:hAnsi="Times New (W1)"/>
          <w:b/>
          <w:sz w:val="26"/>
        </w:rPr>
        <w:t>(RESA Exceptions at 18-20)</w:t>
      </w:r>
    </w:p>
    <w:p w:rsidR="00392410" w:rsidRDefault="00392410" w:rsidP="00AD4CF7">
      <w:pPr>
        <w:pStyle w:val="WBBodyText1"/>
        <w:keepNext/>
      </w:pPr>
    </w:p>
    <w:p w:rsidR="00392410" w:rsidRPr="00BE24F0" w:rsidRDefault="00392410" w:rsidP="00BE24F0">
      <w:pPr>
        <w:pStyle w:val="BodyText2"/>
        <w:spacing w:line="360" w:lineRule="auto"/>
        <w:ind w:firstLine="720"/>
        <w:rPr>
          <w:rFonts w:ascii="Times New (W1)" w:hAnsi="Times New (W1)"/>
          <w:sz w:val="26"/>
        </w:rPr>
      </w:pPr>
      <w:r w:rsidRPr="00BE24F0">
        <w:rPr>
          <w:rFonts w:ascii="Times New (W1)" w:hAnsi="Times New (W1)"/>
          <w:sz w:val="26"/>
        </w:rPr>
        <w:tab/>
        <w:t>RESA excepts to the ALJ’s recommendation that PPL’s inclusion of the “all-in, all-out” restriction for residential customers whereby an EGS is required to place all of its residential accounts in the POR program or none at all</w:t>
      </w:r>
      <w:r w:rsidR="007F6E48">
        <w:rPr>
          <w:rFonts w:ascii="Times New (W1)" w:hAnsi="Times New (W1)"/>
          <w:sz w:val="26"/>
        </w:rPr>
        <w:t xml:space="preserve"> be retained</w:t>
      </w:r>
      <w:r w:rsidRPr="00BE24F0">
        <w:rPr>
          <w:rFonts w:ascii="Times New (W1)" w:hAnsi="Times New (W1)"/>
          <w:sz w:val="26"/>
        </w:rPr>
        <w:t>.</w:t>
      </w:r>
      <w:r w:rsidRPr="00AD4CF7">
        <w:rPr>
          <w:rStyle w:val="FootnoteReference"/>
          <w:rFonts w:ascii="Times New (W1)" w:hAnsi="Times New (W1)"/>
          <w:sz w:val="26"/>
          <w:vertAlign w:val="superscript"/>
        </w:rPr>
        <w:footnoteReference w:id="27"/>
      </w:r>
      <w:r w:rsidRPr="00BE24F0">
        <w:rPr>
          <w:rFonts w:ascii="Times New (W1)" w:hAnsi="Times New (W1)"/>
          <w:sz w:val="26"/>
        </w:rPr>
        <w:t xml:space="preserve">  RESA notes that, under this restriction, EGSs are prevented from serving some residential customers through the POR program while serving other residential customers outside </w:t>
      </w:r>
      <w:r w:rsidRPr="00BE24F0">
        <w:rPr>
          <w:rFonts w:ascii="Times New (W1)" w:hAnsi="Times New (W1)"/>
          <w:sz w:val="26"/>
        </w:rPr>
        <w:lastRenderedPageBreak/>
        <w:t>the POR program through dual billing.</w:t>
      </w:r>
      <w:r w:rsidRPr="00AD4CF7">
        <w:rPr>
          <w:rStyle w:val="FootnoteReference"/>
          <w:rFonts w:ascii="Times New (W1)" w:hAnsi="Times New (W1)"/>
          <w:sz w:val="26"/>
          <w:vertAlign w:val="superscript"/>
        </w:rPr>
        <w:footnoteReference w:id="28"/>
      </w:r>
      <w:r w:rsidRPr="00BE24F0">
        <w:rPr>
          <w:rFonts w:ascii="Times New (W1)" w:hAnsi="Times New (W1)"/>
          <w:sz w:val="26"/>
        </w:rPr>
        <w:t xml:space="preserve">  RESA claims that the presence of this restriction impedes the development of a fully competitive retail market because it constrains the flexibility of EGSs to serve more residential customers.</w:t>
      </w:r>
      <w:r w:rsidRPr="00AD4CF7">
        <w:rPr>
          <w:rStyle w:val="FootnoteReference"/>
          <w:rFonts w:ascii="Times New (W1)" w:hAnsi="Times New (W1)"/>
          <w:sz w:val="26"/>
          <w:vertAlign w:val="superscript"/>
        </w:rPr>
        <w:footnoteReference w:id="29"/>
      </w:r>
      <w:r w:rsidRPr="00BE24F0">
        <w:rPr>
          <w:rFonts w:ascii="Times New (W1)" w:hAnsi="Times New (W1)"/>
          <w:sz w:val="26"/>
        </w:rPr>
        <w:t xml:space="preserve">  Further, RESA claims that PPL requires this restriction </w:t>
      </w:r>
      <w:r w:rsidRPr="00BE24F0">
        <w:rPr>
          <w:rFonts w:ascii="Times New (W1)" w:hAnsi="Times New (W1)"/>
          <w:sz w:val="26"/>
          <w:u w:val="single"/>
        </w:rPr>
        <w:t>only</w:t>
      </w:r>
      <w:r w:rsidRPr="00BE24F0">
        <w:rPr>
          <w:rFonts w:ascii="Times New (W1)" w:hAnsi="Times New (W1)"/>
          <w:sz w:val="26"/>
        </w:rPr>
        <w:t xml:space="preserve"> because of the way it proposes to recover the generation-related uncollectible accounts expense.  </w:t>
      </w:r>
    </w:p>
    <w:p w:rsidR="00392410" w:rsidRPr="00BE24F0" w:rsidRDefault="00392410" w:rsidP="00BE24F0">
      <w:pPr>
        <w:pStyle w:val="BodyText2"/>
        <w:spacing w:line="360" w:lineRule="auto"/>
        <w:ind w:firstLine="720"/>
        <w:rPr>
          <w:rFonts w:ascii="Times New (W1)" w:hAnsi="Times New (W1)"/>
          <w:sz w:val="26"/>
        </w:rPr>
      </w:pPr>
    </w:p>
    <w:p w:rsidR="00392410" w:rsidRDefault="00B75E4E" w:rsidP="00B75E4E">
      <w:pPr>
        <w:pStyle w:val="BodyText2"/>
        <w:spacing w:line="360" w:lineRule="auto"/>
        <w:ind w:firstLine="720"/>
        <w:rPr>
          <w:rFonts w:ascii="Times New (W1)" w:hAnsi="Times New (W1)"/>
          <w:sz w:val="26"/>
        </w:rPr>
      </w:pPr>
      <w:r>
        <w:rPr>
          <w:rFonts w:ascii="Times New (W1)" w:hAnsi="Times New (W1)"/>
          <w:sz w:val="26"/>
        </w:rPr>
        <w:tab/>
      </w:r>
      <w:r w:rsidR="00392410" w:rsidRPr="00BE24F0">
        <w:rPr>
          <w:rFonts w:ascii="Times New (W1)" w:hAnsi="Times New (W1)"/>
          <w:sz w:val="26"/>
        </w:rPr>
        <w:t>RESA claims that, in rejecting removal of this restriction, the ALJ relied on the Commission’s Advance Notice of Final Rulemaking Order regarding POR programs for natural gas distribution companies.</w:t>
      </w:r>
      <w:r w:rsidR="00392410" w:rsidRPr="00AD4CF7">
        <w:rPr>
          <w:rStyle w:val="FootnoteReference"/>
          <w:rFonts w:ascii="Times New (W1)" w:hAnsi="Times New (W1)"/>
          <w:sz w:val="26"/>
          <w:vertAlign w:val="superscript"/>
        </w:rPr>
        <w:footnoteReference w:id="30"/>
      </w:r>
      <w:r w:rsidR="00392410" w:rsidRPr="00BE24F0">
        <w:rPr>
          <w:rFonts w:ascii="Times New (W1)" w:hAnsi="Times New (W1)"/>
          <w:sz w:val="26"/>
        </w:rPr>
        <w:t xml:space="preserve">  More specifically, the ALJ stated that the Commission “declared its intent to require an NGS to use consolidated billing – for all customers – in order to qualify for participation in a POR program” and determined that PPL’s proposal to utilize its restriction “is consistent with the Commission’s regulations in the gas industry.”</w:t>
      </w:r>
      <w:r w:rsidR="00392410" w:rsidRPr="00B75E4E">
        <w:rPr>
          <w:rStyle w:val="FootnoteReference"/>
          <w:rFonts w:ascii="Times New (W1)" w:hAnsi="Times New (W1)"/>
          <w:sz w:val="26"/>
          <w:vertAlign w:val="superscript"/>
        </w:rPr>
        <w:footnoteReference w:id="31"/>
      </w:r>
      <w:r w:rsidR="00392410" w:rsidRPr="00BE24F0">
        <w:rPr>
          <w:rFonts w:ascii="Times New (W1)" w:hAnsi="Times New (W1)"/>
          <w:sz w:val="26"/>
        </w:rPr>
        <w:t xml:space="preserve">  </w:t>
      </w:r>
    </w:p>
    <w:p w:rsidR="00B75E4E" w:rsidRPr="00BE24F0" w:rsidRDefault="00B75E4E" w:rsidP="00B75E4E">
      <w:pPr>
        <w:pStyle w:val="BodyText2"/>
        <w:spacing w:line="360" w:lineRule="auto"/>
        <w:ind w:firstLine="720"/>
        <w:rPr>
          <w:rFonts w:ascii="Times New (W1)" w:hAnsi="Times New (W1)"/>
          <w:sz w:val="26"/>
        </w:rPr>
      </w:pPr>
    </w:p>
    <w:p w:rsidR="00392410" w:rsidRDefault="00B75E4E" w:rsidP="00BE24F0">
      <w:pPr>
        <w:pStyle w:val="BodyText2"/>
        <w:spacing w:line="360" w:lineRule="auto"/>
        <w:ind w:firstLine="720"/>
        <w:rPr>
          <w:rFonts w:ascii="Times New (W1)" w:hAnsi="Times New (W1)"/>
          <w:sz w:val="26"/>
        </w:rPr>
      </w:pPr>
      <w:r>
        <w:rPr>
          <w:rFonts w:ascii="Times New (W1)" w:hAnsi="Times New (W1)"/>
          <w:sz w:val="26"/>
        </w:rPr>
        <w:tab/>
      </w:r>
      <w:r w:rsidR="00392410" w:rsidRPr="00BE24F0">
        <w:rPr>
          <w:rFonts w:ascii="Times New (W1)" w:hAnsi="Times New (W1)"/>
          <w:sz w:val="26"/>
        </w:rPr>
        <w:t>RESA challenges the ALJ’s statements by noting that</w:t>
      </w:r>
      <w:r w:rsidR="00AD4CF7">
        <w:rPr>
          <w:rFonts w:ascii="Times New (W1)" w:hAnsi="Times New (W1)"/>
          <w:sz w:val="26"/>
        </w:rPr>
        <w:t>:</w:t>
      </w:r>
      <w:r w:rsidR="00392410" w:rsidRPr="00BE24F0">
        <w:rPr>
          <w:rFonts w:ascii="Times New (W1)" w:hAnsi="Times New (W1)"/>
          <w:sz w:val="26"/>
        </w:rPr>
        <w:t xml:space="preserve"> (1) there are no regulations addressing this issue for the electric industry and none of POR programs currently in existence today in the electric industry have a similar “all-in, all-out” restriction</w:t>
      </w:r>
      <w:r w:rsidR="00AD4CF7">
        <w:rPr>
          <w:rFonts w:ascii="Times New (W1)" w:hAnsi="Times New (W1)"/>
          <w:sz w:val="26"/>
        </w:rPr>
        <w:t>,</w:t>
      </w:r>
      <w:r w:rsidR="00392410" w:rsidRPr="00BE24F0">
        <w:rPr>
          <w:rFonts w:ascii="Times New (W1)" w:hAnsi="Times New (W1)"/>
          <w:sz w:val="26"/>
        </w:rPr>
        <w:t xml:space="preserve"> and (2) the proposed regulations for the gas industry cited by the ALJ have not been finalized by the Commission, as comments to the Commission’s Advance Notice of rulemaking are still pending and even these proposed regulations permit two exceptions to the general “all-in, all-out” rule which are not present in the PPL proposal.  RESA thus concludes that the ALJ’s reliance on proposed regulations addressing POR </w:t>
      </w:r>
      <w:r w:rsidR="00392410" w:rsidRPr="00BE24F0">
        <w:rPr>
          <w:rFonts w:ascii="Times New (W1)" w:hAnsi="Times New (W1)"/>
          <w:sz w:val="26"/>
        </w:rPr>
        <w:lastRenderedPageBreak/>
        <w:t>programs for the gas industry without any consideration of the way other EDCs handle this issue was misplaced and should be rejected.  RESA claims that there is no need for th</w:t>
      </w:r>
      <w:r w:rsidR="00710B4F">
        <w:rPr>
          <w:rFonts w:ascii="Times New (W1)" w:hAnsi="Times New (W1)"/>
          <w:sz w:val="26"/>
        </w:rPr>
        <w:t>e all-in/all-out</w:t>
      </w:r>
      <w:r w:rsidR="00392410" w:rsidRPr="00BE24F0">
        <w:rPr>
          <w:rFonts w:ascii="Times New (W1)" w:hAnsi="Times New (W1)"/>
          <w:sz w:val="26"/>
        </w:rPr>
        <w:t xml:space="preserve"> restriction and imposing it just deprives customers of the opportunity to be served by a greater variety of EGSs offering a greater variety of products.  </w:t>
      </w:r>
    </w:p>
    <w:p w:rsidR="00B75E4E" w:rsidRPr="00BE24F0" w:rsidRDefault="00B75E4E" w:rsidP="00BE24F0">
      <w:pPr>
        <w:pStyle w:val="BodyText2"/>
        <w:spacing w:line="360" w:lineRule="auto"/>
        <w:ind w:firstLine="720"/>
        <w:rPr>
          <w:rFonts w:ascii="Times New (W1)" w:hAnsi="Times New (W1)"/>
          <w:sz w:val="26"/>
        </w:rPr>
      </w:pPr>
    </w:p>
    <w:p w:rsidR="00392410" w:rsidRPr="00891696" w:rsidRDefault="00392410" w:rsidP="00BE24F0">
      <w:pPr>
        <w:pStyle w:val="BodyText2"/>
        <w:spacing w:line="360" w:lineRule="auto"/>
        <w:ind w:firstLine="720"/>
        <w:rPr>
          <w:i/>
        </w:rPr>
      </w:pPr>
      <w:r w:rsidRPr="00BE24F0">
        <w:rPr>
          <w:rFonts w:ascii="Times New (W1)" w:hAnsi="Times New (W1)"/>
          <w:sz w:val="26"/>
        </w:rPr>
        <w:tab/>
        <w:t xml:space="preserve">In reply, PPL and OTS both point out that the all-in/all-out </w:t>
      </w:r>
      <w:r w:rsidR="00710B4F">
        <w:rPr>
          <w:rFonts w:ascii="Times New (W1)" w:hAnsi="Times New (W1)"/>
          <w:sz w:val="26"/>
        </w:rPr>
        <w:t xml:space="preserve">provision </w:t>
      </w:r>
      <w:r w:rsidRPr="00BE24F0">
        <w:rPr>
          <w:rFonts w:ascii="Times New (W1)" w:hAnsi="Times New (W1)"/>
          <w:sz w:val="26"/>
        </w:rPr>
        <w:t xml:space="preserve">is </w:t>
      </w:r>
      <w:r w:rsidR="00710B4F">
        <w:rPr>
          <w:rFonts w:ascii="Times New (W1)" w:hAnsi="Times New (W1)"/>
          <w:sz w:val="26"/>
        </w:rPr>
        <w:t>based in sound reasoning.</w:t>
      </w:r>
      <w:r w:rsidRPr="00BE24F0">
        <w:rPr>
          <w:rFonts w:ascii="Times New (W1)" w:hAnsi="Times New (W1)"/>
          <w:sz w:val="26"/>
        </w:rPr>
        <w:t xml:space="preserve">  It was employed to prevent an EGS from “cherry-picking” its accounts and making PPL responsible for high risk, residential customers.  OTS R</w:t>
      </w:r>
      <w:r w:rsidR="00710B4F">
        <w:rPr>
          <w:rFonts w:ascii="Times New (W1)" w:hAnsi="Times New (W1)"/>
          <w:sz w:val="26"/>
        </w:rPr>
        <w:t>.Exc. at</w:t>
      </w:r>
      <w:r w:rsidRPr="00BE24F0">
        <w:rPr>
          <w:rFonts w:ascii="Times New (W1)" w:hAnsi="Times New (W1)"/>
          <w:sz w:val="26"/>
        </w:rPr>
        <w:t xml:space="preserve"> 8; PPL R</w:t>
      </w:r>
      <w:r w:rsidR="00710B4F">
        <w:rPr>
          <w:rFonts w:ascii="Times New (W1)" w:hAnsi="Times New (W1)"/>
          <w:sz w:val="26"/>
        </w:rPr>
        <w:t xml:space="preserve">.Exc. </w:t>
      </w:r>
      <w:r w:rsidRPr="00BE24F0">
        <w:rPr>
          <w:rFonts w:ascii="Times New (W1)" w:hAnsi="Times New (W1)"/>
          <w:sz w:val="26"/>
        </w:rPr>
        <w:t>at 23.  PPL notes RESA’s concession in its testimony that PPL could under recover its uncollectibles expense if EGSs were permitted to selectively enroll poor-paying customers.  RESA St. 1 at 10; PPL R</w:t>
      </w:r>
      <w:r w:rsidR="00710B4F">
        <w:rPr>
          <w:rFonts w:ascii="Times New (W1)" w:hAnsi="Times New (W1)"/>
          <w:sz w:val="26"/>
        </w:rPr>
        <w:t>.Exc. at</w:t>
      </w:r>
      <w:r w:rsidRPr="00BE24F0">
        <w:rPr>
          <w:rFonts w:ascii="Times New (W1)" w:hAnsi="Times New (W1)"/>
          <w:sz w:val="26"/>
        </w:rPr>
        <w:t xml:space="preserve"> 23.  PPL notes that this risk is even greater for residential customers as compared to other customer classes.  PPL R</w:t>
      </w:r>
      <w:r w:rsidR="00710B4F">
        <w:rPr>
          <w:rFonts w:ascii="Times New (W1)" w:hAnsi="Times New (W1)"/>
          <w:sz w:val="26"/>
        </w:rPr>
        <w:t xml:space="preserve">.Exc. at </w:t>
      </w:r>
      <w:r w:rsidRPr="00BE24F0">
        <w:rPr>
          <w:rFonts w:ascii="Times New (W1)" w:hAnsi="Times New (W1)"/>
          <w:sz w:val="26"/>
        </w:rPr>
        <w:t>23; PPL M.B. at 92-93.  Finally, OTS and PPL both emphasize the record evidence of thriving competition on PPL’s system; evidence that the all-in/all-out provision is no significant impediment to the development of a competitive market.  P</w:t>
      </w:r>
      <w:r w:rsidR="00334435">
        <w:rPr>
          <w:rFonts w:ascii="Times New (W1)" w:hAnsi="Times New (W1)"/>
          <w:sz w:val="26"/>
        </w:rPr>
        <w:t>P</w:t>
      </w:r>
      <w:r w:rsidRPr="00BE24F0">
        <w:rPr>
          <w:rFonts w:ascii="Times New (W1)" w:hAnsi="Times New (W1)"/>
          <w:sz w:val="26"/>
        </w:rPr>
        <w:t>L</w:t>
      </w:r>
      <w:r w:rsidR="00334435">
        <w:rPr>
          <w:rFonts w:ascii="Times New (W1)" w:hAnsi="Times New (W1)"/>
          <w:sz w:val="26"/>
        </w:rPr>
        <w:t> </w:t>
      </w:r>
      <w:r w:rsidRPr="00BE24F0">
        <w:rPr>
          <w:rFonts w:ascii="Times New (W1)" w:hAnsi="Times New (W1)"/>
          <w:sz w:val="26"/>
        </w:rPr>
        <w:t>R</w:t>
      </w:r>
      <w:r w:rsidR="00334435">
        <w:rPr>
          <w:rFonts w:ascii="Times New (W1)" w:hAnsi="Times New (W1)"/>
          <w:sz w:val="26"/>
        </w:rPr>
        <w:t>.Exc.</w:t>
      </w:r>
      <w:r w:rsidRPr="00BE24F0">
        <w:rPr>
          <w:rFonts w:ascii="Times New (W1)" w:hAnsi="Times New (W1)"/>
          <w:sz w:val="26"/>
        </w:rPr>
        <w:t xml:space="preserve"> at 23; OTS R</w:t>
      </w:r>
      <w:r w:rsidR="00710B4F">
        <w:rPr>
          <w:rFonts w:ascii="Times New (W1)" w:hAnsi="Times New (W1)"/>
          <w:sz w:val="26"/>
        </w:rPr>
        <w:t>.Exc.</w:t>
      </w:r>
      <w:r w:rsidRPr="00BE24F0">
        <w:rPr>
          <w:rFonts w:ascii="Times New (W1)" w:hAnsi="Times New (W1)"/>
          <w:sz w:val="26"/>
        </w:rPr>
        <w:t xml:space="preserve"> at 9; PPL St. No. 6-R at 5-6.</w:t>
      </w:r>
    </w:p>
    <w:p w:rsidR="00392410" w:rsidRDefault="00392410" w:rsidP="00392410">
      <w:pPr>
        <w:pStyle w:val="WBBodyText1"/>
        <w:spacing w:line="240" w:lineRule="auto"/>
        <w:rPr>
          <w:b/>
        </w:rPr>
      </w:pPr>
    </w:p>
    <w:p w:rsidR="00392410" w:rsidRPr="00BE24F0" w:rsidRDefault="00AD4CF7" w:rsidP="009E437C">
      <w:pPr>
        <w:pStyle w:val="WBBodyText1"/>
        <w:keepNext/>
        <w:spacing w:line="240" w:lineRule="auto"/>
        <w:ind w:left="3600" w:hanging="720"/>
        <w:rPr>
          <w:rFonts w:ascii="Times New (W1)" w:hAnsi="Times New (W1)"/>
          <w:b/>
          <w:sz w:val="26"/>
        </w:rPr>
      </w:pPr>
      <w:r>
        <w:rPr>
          <w:rFonts w:ascii="Times New (W1)" w:hAnsi="Times New (W1)"/>
          <w:b/>
          <w:sz w:val="26"/>
        </w:rPr>
        <w:t>(d)</w:t>
      </w:r>
      <w:r>
        <w:rPr>
          <w:rFonts w:ascii="Times New (W1)" w:hAnsi="Times New (W1)"/>
          <w:b/>
          <w:sz w:val="26"/>
        </w:rPr>
        <w:tab/>
      </w:r>
      <w:r w:rsidR="00392410" w:rsidRPr="00BE24F0">
        <w:rPr>
          <w:rFonts w:ascii="Times New (W1)" w:hAnsi="Times New (W1)"/>
          <w:b/>
          <w:sz w:val="26"/>
        </w:rPr>
        <w:t>RESA’s Proposed Elimination of Small C&amp;I Tracker (RESA Exceptions at 20-21)</w:t>
      </w:r>
    </w:p>
    <w:p w:rsidR="00392410" w:rsidRPr="00BE24F0" w:rsidRDefault="00392410" w:rsidP="009E437C">
      <w:pPr>
        <w:pStyle w:val="WBBodyText1"/>
        <w:keepNext/>
        <w:spacing w:line="360" w:lineRule="auto"/>
        <w:rPr>
          <w:rFonts w:ascii="Times New (W1)" w:hAnsi="Times New (W1)"/>
          <w:sz w:val="26"/>
        </w:rPr>
      </w:pPr>
    </w:p>
    <w:p w:rsidR="00392410" w:rsidRDefault="00BE24F0" w:rsidP="00BE24F0">
      <w:pPr>
        <w:pStyle w:val="WBBodyText1"/>
        <w:spacing w:line="360" w:lineRule="auto"/>
        <w:rPr>
          <w:rFonts w:ascii="Times New (W1)" w:hAnsi="Times New (W1)"/>
          <w:sz w:val="26"/>
        </w:rPr>
      </w:pPr>
      <w:r w:rsidRPr="00BE24F0">
        <w:rPr>
          <w:rFonts w:ascii="Times New (W1)" w:hAnsi="Times New (W1)"/>
          <w:sz w:val="26"/>
        </w:rPr>
        <w:tab/>
      </w:r>
      <w:r w:rsidR="00392410" w:rsidRPr="00BE24F0">
        <w:rPr>
          <w:rFonts w:ascii="Times New (W1)" w:hAnsi="Times New (W1)"/>
          <w:sz w:val="26"/>
        </w:rPr>
        <w:t>PPL’s POR program includes a tracking mechanism whereby PPL monitors the uncollectible account expense associated with small commercial customers and reserves the ability to charge an EGS-specific discount rate if the EGS’s individual, realized uncollectible account expense exceeds a pre-set threshold level.</w:t>
      </w:r>
      <w:r w:rsidR="00392410" w:rsidRPr="00334435">
        <w:rPr>
          <w:rStyle w:val="FootnoteReference"/>
          <w:rFonts w:ascii="Times New (W1)" w:hAnsi="Times New (W1)"/>
          <w:sz w:val="26"/>
          <w:vertAlign w:val="superscript"/>
        </w:rPr>
        <w:footnoteReference w:id="32"/>
      </w:r>
      <w:r w:rsidR="00392410" w:rsidRPr="00BE24F0">
        <w:rPr>
          <w:rFonts w:ascii="Times New (W1)" w:hAnsi="Times New (W1)"/>
          <w:sz w:val="26"/>
        </w:rPr>
        <w:t xml:space="preserve">  In rejecting RESA’s opposition to this mechanism, the ALJ stated</w:t>
      </w:r>
      <w:r w:rsidRPr="00BE24F0">
        <w:rPr>
          <w:rFonts w:ascii="Times New (W1)" w:hAnsi="Times New (W1)"/>
          <w:sz w:val="26"/>
        </w:rPr>
        <w:t>, “</w:t>
      </w:r>
      <w:r w:rsidR="006F0D12">
        <w:rPr>
          <w:rFonts w:ascii="Times New (W1)" w:hAnsi="Times New (W1)"/>
          <w:sz w:val="26"/>
        </w:rPr>
        <w:t>[i]</w:t>
      </w:r>
      <w:r w:rsidR="00392410" w:rsidRPr="00BE24F0">
        <w:rPr>
          <w:rFonts w:ascii="Times New (W1)" w:hAnsi="Times New (W1)"/>
          <w:sz w:val="26"/>
        </w:rPr>
        <w:t xml:space="preserve">t is difficult to see how the gathering of information regarding the effectiveness and use of the POR program can be </w:t>
      </w:r>
      <w:r w:rsidR="00392410" w:rsidRPr="00BE24F0">
        <w:rPr>
          <w:rFonts w:ascii="Times New (W1)" w:hAnsi="Times New (W1)"/>
          <w:sz w:val="26"/>
        </w:rPr>
        <w:lastRenderedPageBreak/>
        <w:t>anything but positive, and RESA’s proposal to direct PPL Electric to cease its monitoring is denied.</w:t>
      </w:r>
      <w:r w:rsidRPr="00BE24F0">
        <w:rPr>
          <w:rFonts w:ascii="Times New (W1)" w:hAnsi="Times New (W1)"/>
          <w:sz w:val="26"/>
        </w:rPr>
        <w:t>”</w:t>
      </w:r>
      <w:r w:rsidR="00392410" w:rsidRPr="00BE24F0">
        <w:rPr>
          <w:rStyle w:val="FootnoteReference"/>
          <w:rFonts w:ascii="Times New (W1)" w:hAnsi="Times New (W1)"/>
          <w:sz w:val="26"/>
          <w:vertAlign w:val="superscript"/>
        </w:rPr>
        <w:footnoteReference w:id="33"/>
      </w:r>
    </w:p>
    <w:p w:rsidR="00BE24F0" w:rsidRPr="00BE24F0" w:rsidRDefault="00BE24F0" w:rsidP="00BE24F0">
      <w:pPr>
        <w:pStyle w:val="WBBodyText1"/>
        <w:spacing w:line="360" w:lineRule="auto"/>
        <w:rPr>
          <w:rFonts w:ascii="Times New (W1)" w:hAnsi="Times New (W1)"/>
          <w:sz w:val="26"/>
        </w:rPr>
      </w:pPr>
    </w:p>
    <w:p w:rsidR="00392410" w:rsidRPr="00BE24F0" w:rsidRDefault="00BE24F0" w:rsidP="00BE24F0">
      <w:pPr>
        <w:pStyle w:val="WBBodyText1"/>
        <w:spacing w:line="360" w:lineRule="auto"/>
        <w:rPr>
          <w:rFonts w:ascii="Times New (W1)" w:hAnsi="Times New (W1)"/>
          <w:sz w:val="26"/>
        </w:rPr>
      </w:pPr>
      <w:r>
        <w:rPr>
          <w:rFonts w:ascii="Times New (W1)" w:hAnsi="Times New (W1)"/>
          <w:sz w:val="26"/>
        </w:rPr>
        <w:tab/>
      </w:r>
      <w:r w:rsidR="00392410" w:rsidRPr="00BE24F0">
        <w:rPr>
          <w:rFonts w:ascii="Times New (W1)" w:hAnsi="Times New (W1)"/>
          <w:sz w:val="26"/>
        </w:rPr>
        <w:t xml:space="preserve">RESA argues that, in reaching this conclusion, “the ALJ failed to recognize the consequences of the is that EGSs that PPL believes may be engaging in </w:t>
      </w:r>
      <w:r w:rsidR="006F0D12">
        <w:rPr>
          <w:rFonts w:ascii="Times New (W1)" w:hAnsi="Times New (W1)"/>
          <w:sz w:val="26"/>
        </w:rPr>
        <w:t>‘</w:t>
      </w:r>
      <w:r w:rsidR="00392410" w:rsidRPr="00BE24F0">
        <w:rPr>
          <w:rFonts w:ascii="Times New (W1)" w:hAnsi="Times New (W1)"/>
          <w:sz w:val="26"/>
        </w:rPr>
        <w:t>bad behavior</w:t>
      </w:r>
      <w:r w:rsidR="006F0D12">
        <w:rPr>
          <w:rFonts w:ascii="Times New (W1)" w:hAnsi="Times New (W1)"/>
          <w:sz w:val="26"/>
        </w:rPr>
        <w:t>’</w:t>
      </w:r>
      <w:r w:rsidR="00392410" w:rsidRPr="00BE24F0">
        <w:rPr>
          <w:rFonts w:ascii="Times New (W1)" w:hAnsi="Times New (W1)"/>
          <w:sz w:val="26"/>
        </w:rPr>
        <w:t xml:space="preserve"> would be financially penalized because PPL would pay them less (</w:t>
      </w:r>
      <w:r w:rsidR="00392410" w:rsidRPr="006F0D12">
        <w:rPr>
          <w:rFonts w:ascii="Times New (W1)" w:hAnsi="Times New (W1)"/>
          <w:i/>
          <w:sz w:val="26"/>
        </w:rPr>
        <w:t>i.e.</w:t>
      </w:r>
      <w:r w:rsidR="006F0D12">
        <w:rPr>
          <w:rFonts w:ascii="Times New (W1)" w:hAnsi="Times New (W1)"/>
          <w:sz w:val="26"/>
        </w:rPr>
        <w:t>,</w:t>
      </w:r>
      <w:r w:rsidR="00392410" w:rsidRPr="00BE24F0">
        <w:rPr>
          <w:rFonts w:ascii="Times New (W1)" w:hAnsi="Times New (W1)"/>
          <w:sz w:val="26"/>
        </w:rPr>
        <w:t xml:space="preserve"> a higher discount rate) for purchasing their receivables.”  RESA Exc</w:t>
      </w:r>
      <w:r w:rsidR="006F0D12">
        <w:rPr>
          <w:rFonts w:ascii="Times New (W1)" w:hAnsi="Times New (W1)"/>
          <w:sz w:val="26"/>
        </w:rPr>
        <w:t>.</w:t>
      </w:r>
      <w:r w:rsidR="00392410" w:rsidRPr="00BE24F0">
        <w:rPr>
          <w:rFonts w:ascii="Times New (W1)" w:hAnsi="Times New (W1)"/>
          <w:sz w:val="26"/>
        </w:rPr>
        <w:t xml:space="preserve"> at 20.</w:t>
      </w:r>
    </w:p>
    <w:p w:rsidR="00392410" w:rsidRPr="00BE24F0" w:rsidRDefault="00392410" w:rsidP="00BE24F0">
      <w:pPr>
        <w:pStyle w:val="WBBodyText1"/>
        <w:spacing w:line="360" w:lineRule="auto"/>
        <w:rPr>
          <w:rFonts w:ascii="Times New (W1)" w:hAnsi="Times New (W1)"/>
          <w:sz w:val="26"/>
        </w:rPr>
      </w:pPr>
      <w:r w:rsidRPr="00BE24F0">
        <w:rPr>
          <w:rFonts w:ascii="Times New (W1)" w:hAnsi="Times New (W1)"/>
          <w:sz w:val="26"/>
        </w:rPr>
        <w:t xml:space="preserve"> </w:t>
      </w:r>
    </w:p>
    <w:p w:rsidR="00392410" w:rsidRDefault="00BE24F0" w:rsidP="00BE24F0">
      <w:pPr>
        <w:pStyle w:val="BodyText2"/>
        <w:spacing w:line="360" w:lineRule="auto"/>
        <w:ind w:firstLine="720"/>
        <w:contextualSpacing/>
      </w:pPr>
      <w:r>
        <w:rPr>
          <w:rFonts w:ascii="Times New (W1)" w:hAnsi="Times New (W1)"/>
          <w:sz w:val="26"/>
        </w:rPr>
        <w:tab/>
      </w:r>
      <w:r w:rsidR="00392410" w:rsidRPr="00BE24F0">
        <w:rPr>
          <w:rFonts w:ascii="Times New (W1)" w:hAnsi="Times New (W1)"/>
          <w:sz w:val="26"/>
        </w:rPr>
        <w:t xml:space="preserve">PPL replies that an EGS may selectively enroll small C&amp;I customers in the POR program through consolidated billing, while serving others through dual billing.  </w:t>
      </w:r>
      <w:r w:rsidR="007B1C4F" w:rsidRPr="00BE24F0">
        <w:rPr>
          <w:rFonts w:ascii="Times New (W1)" w:hAnsi="Times New (W1)"/>
          <w:sz w:val="26"/>
        </w:rPr>
        <w:t>According</w:t>
      </w:r>
      <w:r w:rsidR="00392410" w:rsidRPr="00BE24F0">
        <w:rPr>
          <w:rFonts w:ascii="Times New (W1)" w:hAnsi="Times New (W1)"/>
          <w:sz w:val="26"/>
        </w:rPr>
        <w:t xml:space="preserve"> to PPL, the uncollectibles tracker for small C&amp;I customers was </w:t>
      </w:r>
      <w:r w:rsidR="006F0D12">
        <w:rPr>
          <w:rFonts w:ascii="Times New (W1)" w:hAnsi="Times New (W1)"/>
          <w:sz w:val="26"/>
        </w:rPr>
        <w:t xml:space="preserve">employed to </w:t>
      </w:r>
      <w:r w:rsidR="00392410" w:rsidRPr="00BE24F0">
        <w:rPr>
          <w:rFonts w:ascii="Times New (W1)" w:hAnsi="Times New (W1)"/>
          <w:sz w:val="26"/>
        </w:rPr>
        <w:t>avoid “cherry-picking” and, if EGSs do not engage in “cherry-picking” small C&amp;I customers, they have little to worry about.  PPL R</w:t>
      </w:r>
      <w:r w:rsidR="006F0D12">
        <w:rPr>
          <w:rFonts w:ascii="Times New (W1)" w:hAnsi="Times New (W1)"/>
          <w:sz w:val="26"/>
        </w:rPr>
        <w:t>.Exc.</w:t>
      </w:r>
      <w:r w:rsidR="00392410" w:rsidRPr="00BE24F0">
        <w:rPr>
          <w:rFonts w:ascii="Times New (W1)" w:hAnsi="Times New (W1)"/>
          <w:sz w:val="26"/>
        </w:rPr>
        <w:t xml:space="preserve"> at 24; PPL M.B. at 93-94; PPL R.B. at 38.</w:t>
      </w:r>
      <w:r w:rsidR="00392410">
        <w:t xml:space="preserve">  </w:t>
      </w:r>
    </w:p>
    <w:p w:rsidR="00392410" w:rsidRDefault="00392410" w:rsidP="00392410">
      <w:pPr>
        <w:pStyle w:val="BodyText2"/>
        <w:ind w:firstLine="720"/>
        <w:contextualSpacing/>
      </w:pPr>
    </w:p>
    <w:p w:rsidR="00392410" w:rsidRPr="00695581" w:rsidRDefault="00AD4CF7" w:rsidP="009E437C">
      <w:pPr>
        <w:pStyle w:val="BodyText2"/>
        <w:keepNext/>
        <w:spacing w:line="240" w:lineRule="auto"/>
        <w:ind w:left="3600" w:hanging="720"/>
        <w:contextualSpacing/>
        <w:rPr>
          <w:b/>
        </w:rPr>
      </w:pPr>
      <w:r>
        <w:rPr>
          <w:b/>
        </w:rPr>
        <w:t>(e)</w:t>
      </w:r>
      <w:r>
        <w:rPr>
          <w:b/>
        </w:rPr>
        <w:tab/>
      </w:r>
      <w:r w:rsidR="00392410">
        <w:rPr>
          <w:b/>
        </w:rPr>
        <w:t>RESA’s Proposal to Expand POR to Large C&amp;I Customers (RESA Exceptions at 21-24)</w:t>
      </w:r>
    </w:p>
    <w:p w:rsidR="00392410" w:rsidRDefault="00392410" w:rsidP="009E437C">
      <w:pPr>
        <w:pStyle w:val="BodyText2"/>
        <w:keepNext/>
        <w:spacing w:line="360" w:lineRule="auto"/>
        <w:ind w:firstLine="720"/>
        <w:contextualSpacing/>
      </w:pPr>
    </w:p>
    <w:p w:rsidR="00392410" w:rsidRPr="003B0D48" w:rsidRDefault="00BE24F0" w:rsidP="003B0D48">
      <w:pPr>
        <w:ind w:firstLine="720"/>
        <w:jc w:val="left"/>
        <w:rPr>
          <w:rFonts w:ascii="Times New (W1)" w:hAnsi="Times New (W1)"/>
          <w:sz w:val="26"/>
        </w:rPr>
      </w:pPr>
      <w:r>
        <w:rPr>
          <w:rFonts w:ascii="Times New (W1)" w:hAnsi="Times New (W1)"/>
          <w:sz w:val="26"/>
        </w:rPr>
        <w:tab/>
      </w:r>
      <w:r w:rsidR="00392410" w:rsidRPr="003B0D48">
        <w:rPr>
          <w:rFonts w:ascii="Times New (W1)" w:hAnsi="Times New (W1)"/>
          <w:sz w:val="26"/>
        </w:rPr>
        <w:t xml:space="preserve">RESA begins by conceding that, currently, PPL operates a self-described </w:t>
      </w:r>
      <w:r w:rsidR="00392410" w:rsidRPr="003B0D48">
        <w:rPr>
          <w:rFonts w:ascii="Times New (W1)" w:hAnsi="Times New (W1)"/>
          <w:i/>
          <w:sz w:val="26"/>
        </w:rPr>
        <w:t>de</w:t>
      </w:r>
      <w:r w:rsidR="00982D18">
        <w:rPr>
          <w:rFonts w:ascii="Times New (W1)" w:hAnsi="Times New (W1)"/>
          <w:i/>
          <w:sz w:val="26"/>
        </w:rPr>
        <w:t> </w:t>
      </w:r>
      <w:r w:rsidR="00392410" w:rsidRPr="003B0D48">
        <w:rPr>
          <w:rFonts w:ascii="Times New (W1)" w:hAnsi="Times New (W1)"/>
          <w:i/>
          <w:sz w:val="26"/>
        </w:rPr>
        <w:t xml:space="preserve">facto </w:t>
      </w:r>
      <w:r w:rsidR="00392410" w:rsidRPr="003B0D48">
        <w:rPr>
          <w:rFonts w:ascii="Times New (W1)" w:hAnsi="Times New (W1)"/>
          <w:sz w:val="26"/>
        </w:rPr>
        <w:t>POR program implemented and unchanged since 1998 for large C&amp;I customers.  This POR program is not structured in the same manner as the POR program for residential and small C&amp;I customers.  First, PPL purchases the EGS’s accounts receivable at no discount.  Instead of isolating the generation-related uncollectible accounts expense for large C&amp;I customers as PPL does for residential and small C&amp;I customers, it continues to be recovered through distribution rates.</w:t>
      </w:r>
      <w:r w:rsidR="00392410" w:rsidRPr="006A1441">
        <w:rPr>
          <w:rStyle w:val="FootnoteReference"/>
          <w:rFonts w:ascii="Times New (W1)" w:hAnsi="Times New (W1)"/>
          <w:sz w:val="26"/>
          <w:vertAlign w:val="superscript"/>
        </w:rPr>
        <w:footnoteReference w:id="34"/>
      </w:r>
      <w:r w:rsidR="00392410" w:rsidRPr="003B0D48">
        <w:rPr>
          <w:rFonts w:ascii="Times New (W1)" w:hAnsi="Times New (W1)"/>
          <w:sz w:val="26"/>
        </w:rPr>
        <w:t xml:space="preserve">  Second, if the large C&amp;I POR customer is in arrears for </w:t>
      </w:r>
      <w:r w:rsidR="006A1441">
        <w:rPr>
          <w:rFonts w:ascii="Times New (W1)" w:hAnsi="Times New (W1)"/>
          <w:sz w:val="26"/>
        </w:rPr>
        <w:t>ninety</w:t>
      </w:r>
      <w:r w:rsidR="00392410" w:rsidRPr="003B0D48">
        <w:rPr>
          <w:rFonts w:ascii="Times New (W1)" w:hAnsi="Times New (W1)"/>
          <w:sz w:val="26"/>
        </w:rPr>
        <w:t xml:space="preserve"> days or three billing cycles, whichever is shorter, the EGS is then required to bill its own charges.  At that point, the EGS may </w:t>
      </w:r>
      <w:r w:rsidR="00392410" w:rsidRPr="003B0D48">
        <w:rPr>
          <w:rFonts w:ascii="Times New (W1)" w:hAnsi="Times New (W1)"/>
          <w:sz w:val="26"/>
        </w:rPr>
        <w:lastRenderedPageBreak/>
        <w:t>either terminate its generation service to the customer (by returning the customer to default service because the EGS has no ability to physically disconnect service) or begin issuing its own bills to the customer.</w:t>
      </w:r>
      <w:r w:rsidR="00392410" w:rsidRPr="00AD4CF7">
        <w:rPr>
          <w:rStyle w:val="FootnoteReference"/>
          <w:rFonts w:ascii="Times New (W1)" w:hAnsi="Times New (W1)"/>
          <w:sz w:val="26"/>
          <w:vertAlign w:val="superscript"/>
        </w:rPr>
        <w:footnoteReference w:id="35"/>
      </w:r>
    </w:p>
    <w:p w:rsidR="00392410" w:rsidRPr="003B0D48" w:rsidRDefault="00392410" w:rsidP="003B0D48">
      <w:pPr>
        <w:ind w:firstLine="720"/>
        <w:jc w:val="left"/>
        <w:rPr>
          <w:rFonts w:ascii="Times New (W1)" w:hAnsi="Times New (W1)"/>
          <w:sz w:val="26"/>
        </w:rPr>
      </w:pPr>
    </w:p>
    <w:p w:rsidR="00392410" w:rsidRPr="003B0D48" w:rsidRDefault="00BE24F0" w:rsidP="003B0D48">
      <w:pPr>
        <w:ind w:firstLine="720"/>
        <w:jc w:val="left"/>
        <w:rPr>
          <w:rFonts w:ascii="Times New (W1)" w:hAnsi="Times New (W1)"/>
          <w:sz w:val="26"/>
        </w:rPr>
      </w:pPr>
      <w:r>
        <w:rPr>
          <w:rFonts w:ascii="Times New (W1)" w:hAnsi="Times New (W1)"/>
          <w:sz w:val="26"/>
        </w:rPr>
        <w:tab/>
      </w:r>
      <w:r w:rsidR="00392410" w:rsidRPr="003B0D48">
        <w:rPr>
          <w:rFonts w:ascii="Times New (W1)" w:hAnsi="Times New (W1)"/>
          <w:sz w:val="26"/>
        </w:rPr>
        <w:t>RESA next states that, while it would prefer a POR program for all classes that handles the recovery of uncollectible accounts expense through a nonbypassable surcharge on all customers, upon consideration of all the testimony presented in this proceeding and in consideration of the current early stage of retail market development in PPL’s service territory, RESA is willing to accept continuation of the current uncollectible expense cost recovery mechanism for the small C&amp;I customers (as proposed by PPL) along with expansion of this POR program structure to the large C&amp;I customers.</w:t>
      </w:r>
      <w:r w:rsidR="00392410" w:rsidRPr="00AD4CF7">
        <w:rPr>
          <w:rStyle w:val="FootnoteReference"/>
          <w:rFonts w:ascii="Times New (W1)" w:hAnsi="Times New (W1)"/>
          <w:sz w:val="26"/>
          <w:vertAlign w:val="superscript"/>
        </w:rPr>
        <w:footnoteReference w:id="36"/>
      </w:r>
    </w:p>
    <w:p w:rsidR="00392410" w:rsidRPr="003B0D48" w:rsidRDefault="00392410" w:rsidP="003B0D48">
      <w:pPr>
        <w:ind w:firstLine="720"/>
        <w:jc w:val="left"/>
        <w:rPr>
          <w:rFonts w:ascii="Times New (W1)" w:hAnsi="Times New (W1)"/>
          <w:sz w:val="26"/>
        </w:rPr>
      </w:pPr>
    </w:p>
    <w:p w:rsidR="00392410" w:rsidRDefault="00BE24F0" w:rsidP="003B0D48">
      <w:pPr>
        <w:ind w:firstLine="720"/>
        <w:jc w:val="left"/>
        <w:rPr>
          <w:rFonts w:ascii="Times New (W1)" w:hAnsi="Times New (W1)"/>
          <w:sz w:val="26"/>
        </w:rPr>
      </w:pPr>
      <w:r>
        <w:rPr>
          <w:rFonts w:ascii="Times New (W1)" w:hAnsi="Times New (W1)"/>
          <w:sz w:val="26"/>
        </w:rPr>
        <w:tab/>
      </w:r>
      <w:r w:rsidR="00392410" w:rsidRPr="003B0D48">
        <w:rPr>
          <w:rFonts w:ascii="Times New (W1)" w:hAnsi="Times New (W1)"/>
          <w:sz w:val="26"/>
        </w:rPr>
        <w:t>RESA notes that implementation of PPL’s proposal for the small C&amp;I class contemplates application of a higher discount rate when an individual EGS’s uncollectible accounts expense exceeds a threshold which would be particularly problematic if implemented for the large C&amp;I class.  This is because the large C&amp;I class is comprised of fewer, but larger customers.  Accordingly, it is more likely that a single EGS may only be serving a handful of large customers.  If a single large C&amp;I customer goes bankrupt or otherwise becomes delinquent, it is more likely that the threshold uncollectible account expense level set by the tracking mechanism would be met triggering a higher discount rate for the individual EGS even though the class average uncollectible cost is not increased.</w:t>
      </w:r>
      <w:r w:rsidR="00392410" w:rsidRPr="00AD4CF7">
        <w:rPr>
          <w:rStyle w:val="FootnoteReference"/>
          <w:rFonts w:ascii="Times New (W1)" w:hAnsi="Times New (W1)"/>
          <w:sz w:val="26"/>
          <w:vertAlign w:val="superscript"/>
        </w:rPr>
        <w:footnoteReference w:id="37"/>
      </w:r>
      <w:r w:rsidR="00392410" w:rsidRPr="003B0D48">
        <w:rPr>
          <w:rFonts w:ascii="Times New (W1)" w:hAnsi="Times New (W1)"/>
          <w:sz w:val="26"/>
        </w:rPr>
        <w:t xml:space="preserve">  Further, if the POR program is expanded to the large C&amp;I class, the incremental costs of implementation and ongoing administration of the large C&amp;I POR program would be paid by EGSs that take advantage of the option through an appropriate administrative adder to the discount rate not to exceed .05% </w:t>
      </w:r>
      <w:r w:rsidR="00392410" w:rsidRPr="003B0D48">
        <w:rPr>
          <w:rFonts w:ascii="Times New (W1)" w:hAnsi="Times New (W1)"/>
          <w:sz w:val="26"/>
        </w:rPr>
        <w:lastRenderedPageBreak/>
        <w:t xml:space="preserve">consistent with the administrative adder contained in PPL’s proposed discount rate for the small C&amp;I POR customers.  RESA claims that expanding the POR program to large C&amp;I customers, even under RESA’s second choice structure, would be a significant improvement over the current POR construct unchanged since 1998 and will provide these customers with the benefit of having an additional competitive option that could be structured in a variety of ways that are not currently possible. </w:t>
      </w:r>
    </w:p>
    <w:p w:rsidR="00AD4CF7" w:rsidRPr="003B0D48" w:rsidRDefault="00AD4CF7" w:rsidP="003B0D48">
      <w:pPr>
        <w:ind w:firstLine="720"/>
        <w:jc w:val="left"/>
        <w:rPr>
          <w:rFonts w:ascii="Times New (W1)" w:hAnsi="Times New (W1)"/>
          <w:sz w:val="26"/>
        </w:rPr>
      </w:pPr>
    </w:p>
    <w:p w:rsidR="00392410" w:rsidRPr="003B0D48" w:rsidRDefault="00BE24F0" w:rsidP="003B0D48">
      <w:pPr>
        <w:pStyle w:val="WBBodyText1"/>
        <w:spacing w:line="360" w:lineRule="auto"/>
        <w:rPr>
          <w:rFonts w:ascii="Times New (W1)" w:hAnsi="Times New (W1)"/>
          <w:sz w:val="26"/>
        </w:rPr>
      </w:pPr>
      <w:r>
        <w:rPr>
          <w:rFonts w:ascii="Times New (W1)" w:hAnsi="Times New (W1)"/>
          <w:sz w:val="26"/>
        </w:rPr>
        <w:tab/>
      </w:r>
      <w:r w:rsidR="00392410" w:rsidRPr="003B0D48">
        <w:rPr>
          <w:rFonts w:ascii="Times New (W1)" w:hAnsi="Times New (W1)"/>
          <w:sz w:val="26"/>
        </w:rPr>
        <w:t>RESA discounts the ALJ’s statement that “the large industrials are not unhappy with PPL Electric’s present method of billing them”</w:t>
      </w:r>
      <w:r w:rsidR="00392410" w:rsidRPr="00AD4CF7">
        <w:rPr>
          <w:rStyle w:val="FootnoteReference"/>
          <w:rFonts w:ascii="Times New (W1)" w:hAnsi="Times New (W1)"/>
          <w:sz w:val="26"/>
          <w:vertAlign w:val="superscript"/>
        </w:rPr>
        <w:footnoteReference w:id="38"/>
      </w:r>
      <w:r w:rsidR="00392410" w:rsidRPr="003B0D48">
        <w:rPr>
          <w:rFonts w:ascii="Times New (W1)" w:hAnsi="Times New (W1)"/>
          <w:sz w:val="26"/>
        </w:rPr>
        <w:t xml:space="preserve"> by claiming that</w:t>
      </w:r>
      <w:r w:rsidR="00AD4CF7">
        <w:rPr>
          <w:rFonts w:ascii="Times New (W1)" w:hAnsi="Times New (W1)"/>
          <w:sz w:val="26"/>
        </w:rPr>
        <w:t>:</w:t>
      </w:r>
    </w:p>
    <w:p w:rsidR="00392410" w:rsidRPr="003B0D48" w:rsidRDefault="00392410" w:rsidP="003B0D48">
      <w:pPr>
        <w:pStyle w:val="WBBodyText1"/>
        <w:spacing w:line="360" w:lineRule="auto"/>
        <w:ind w:left="2160" w:right="2160"/>
        <w:jc w:val="both"/>
        <w:rPr>
          <w:rFonts w:ascii="Times New (W1)" w:hAnsi="Times New (W1)"/>
          <w:sz w:val="26"/>
        </w:rPr>
      </w:pPr>
    </w:p>
    <w:p w:rsidR="00392410" w:rsidRPr="003B0D48" w:rsidRDefault="00392410" w:rsidP="00AD4CF7">
      <w:pPr>
        <w:pStyle w:val="WBBodyText1"/>
        <w:spacing w:line="240" w:lineRule="auto"/>
        <w:ind w:left="1440" w:right="1440"/>
        <w:jc w:val="both"/>
        <w:rPr>
          <w:rFonts w:ascii="Times New (W1)" w:hAnsi="Times New (W1)"/>
          <w:sz w:val="26"/>
        </w:rPr>
      </w:pPr>
      <w:r w:rsidRPr="003B0D48">
        <w:rPr>
          <w:rFonts w:ascii="Times New (W1)" w:hAnsi="Times New (W1)"/>
          <w:sz w:val="26"/>
        </w:rPr>
        <w:t>[w]</w:t>
      </w:r>
      <w:proofErr w:type="spellStart"/>
      <w:r w:rsidRPr="003B0D48">
        <w:rPr>
          <w:rFonts w:ascii="Times New (W1)" w:hAnsi="Times New (W1)"/>
          <w:sz w:val="26"/>
        </w:rPr>
        <w:t>hile</w:t>
      </w:r>
      <w:proofErr w:type="spellEnd"/>
      <w:r w:rsidRPr="003B0D48">
        <w:rPr>
          <w:rFonts w:ascii="Times New (W1)" w:hAnsi="Times New (W1)"/>
          <w:sz w:val="26"/>
        </w:rPr>
        <w:t xml:space="preserve"> this is certainly not a ringing endorsement of PPL’s current program, the record makes clear that the large industrials also would not be ‘unhappy’ with the adoption of RESA’s compromise recommendation to expand the POR program proposed by PPL for the small commercial customers to the large commercial customers.  So, at best the large industrials’ feelings are a wash.</w:t>
      </w:r>
    </w:p>
    <w:p w:rsidR="00392410" w:rsidRPr="003B0D48" w:rsidRDefault="00392410" w:rsidP="00392410">
      <w:pPr>
        <w:pStyle w:val="WBBodyText1"/>
        <w:rPr>
          <w:rFonts w:ascii="Times New (W1)" w:hAnsi="Times New (W1)"/>
          <w:sz w:val="26"/>
        </w:rPr>
      </w:pPr>
    </w:p>
    <w:p w:rsidR="00392410" w:rsidRPr="003B0D48" w:rsidRDefault="003B0D48" w:rsidP="003B0D48">
      <w:pPr>
        <w:pStyle w:val="WBBodyText1"/>
        <w:spacing w:line="360" w:lineRule="auto"/>
        <w:rPr>
          <w:rFonts w:ascii="Times New (W1)" w:hAnsi="Times New (W1)"/>
          <w:sz w:val="26"/>
        </w:rPr>
      </w:pPr>
      <w:r w:rsidRPr="003B0D48">
        <w:rPr>
          <w:rFonts w:ascii="Times New (W1)" w:hAnsi="Times New (W1)"/>
          <w:sz w:val="26"/>
        </w:rPr>
        <w:tab/>
      </w:r>
      <w:r w:rsidR="00392410" w:rsidRPr="003B0D48">
        <w:rPr>
          <w:rFonts w:ascii="Times New (W1)" w:hAnsi="Times New (W1)"/>
          <w:sz w:val="26"/>
        </w:rPr>
        <w:t>RESA concludes that the ALJ erred in failing to recognize the additional competitive benefits that would result from expanding the POR program to the large commercial customers.  RESA cites the expressed public policy of the Commonwealth of Pennsylvania is in favor of retail competition and claims that this should be the deciding factor in this situation when, as here, there is supporting evidence.  It is also significant that PECO’s existing POR program and the one proposed for Allegheny Power are open to customers of all classes, consistent with RESA’s recommendation here.  RESA requests that the Commission reject the ALJ’s recommended resolution of this issue.</w:t>
      </w:r>
    </w:p>
    <w:p w:rsidR="003B0D48" w:rsidRPr="003B0D48" w:rsidRDefault="003B0D48" w:rsidP="003B0D48">
      <w:pPr>
        <w:pStyle w:val="WBBodyText1"/>
        <w:spacing w:line="360" w:lineRule="auto"/>
        <w:rPr>
          <w:rFonts w:ascii="Times New (W1)" w:hAnsi="Times New (W1)"/>
          <w:sz w:val="26"/>
        </w:rPr>
      </w:pPr>
    </w:p>
    <w:p w:rsidR="00392410" w:rsidRPr="003B0D48" w:rsidRDefault="003B0D48" w:rsidP="003B0D48">
      <w:pPr>
        <w:pStyle w:val="WBBodyText1"/>
        <w:spacing w:line="360" w:lineRule="auto"/>
        <w:rPr>
          <w:rFonts w:ascii="Times New (W1)" w:hAnsi="Times New (W1)"/>
          <w:sz w:val="26"/>
        </w:rPr>
      </w:pPr>
      <w:r>
        <w:rPr>
          <w:rFonts w:ascii="Times New (W1)" w:hAnsi="Times New (W1)"/>
          <w:sz w:val="26"/>
        </w:rPr>
        <w:tab/>
      </w:r>
      <w:r w:rsidR="00392410" w:rsidRPr="003B0D48">
        <w:rPr>
          <w:rFonts w:ascii="Times New (W1)" w:hAnsi="Times New (W1)"/>
          <w:sz w:val="26"/>
        </w:rPr>
        <w:t xml:space="preserve">PPL’s </w:t>
      </w:r>
      <w:r w:rsidR="00A523EA">
        <w:rPr>
          <w:rFonts w:ascii="Times New (W1)" w:hAnsi="Times New (W1)"/>
          <w:sz w:val="26"/>
        </w:rPr>
        <w:t>Reply Exceptions</w:t>
      </w:r>
      <w:r w:rsidR="00392410" w:rsidRPr="003B0D48">
        <w:rPr>
          <w:rFonts w:ascii="Times New (W1)" w:hAnsi="Times New (W1)"/>
          <w:sz w:val="26"/>
        </w:rPr>
        <w:t xml:space="preserve"> note the separate large C&amp;I POR program in place on its system and the distinct design of same.  PPL R</w:t>
      </w:r>
      <w:r w:rsidR="004311D1">
        <w:rPr>
          <w:rFonts w:ascii="Times New (W1)" w:hAnsi="Times New (W1)"/>
          <w:sz w:val="26"/>
        </w:rPr>
        <w:t>.Exc.</w:t>
      </w:r>
      <w:r w:rsidR="00392410" w:rsidRPr="003B0D48">
        <w:rPr>
          <w:rFonts w:ascii="Times New (W1)" w:hAnsi="Times New (W1)"/>
          <w:sz w:val="26"/>
        </w:rPr>
        <w:t xml:space="preserve"> at 24; PPL M.B. at 95.  PPL </w:t>
      </w:r>
      <w:r w:rsidR="00392410" w:rsidRPr="003B0D48">
        <w:rPr>
          <w:rFonts w:ascii="Times New (W1)" w:hAnsi="Times New (W1)"/>
          <w:sz w:val="26"/>
        </w:rPr>
        <w:lastRenderedPageBreak/>
        <w:t>observes that 78.7% of large C&amp;I customers were taking service f</w:t>
      </w:r>
      <w:r w:rsidR="004311D1">
        <w:rPr>
          <w:rFonts w:ascii="Times New (W1)" w:hAnsi="Times New (W1)"/>
          <w:sz w:val="26"/>
        </w:rPr>
        <w:t>r</w:t>
      </w:r>
      <w:r w:rsidR="00392410" w:rsidRPr="003B0D48">
        <w:rPr>
          <w:rFonts w:ascii="Times New (W1)" w:hAnsi="Times New (W1)"/>
          <w:sz w:val="26"/>
        </w:rPr>
        <w:t>om an EGS and RESA disregards that many of these customers are enrolled in complex, customized products that, as conceded by RESA, are not compatible with the EDC billing format under the POR program.  PPL R</w:t>
      </w:r>
      <w:r w:rsidR="004311D1">
        <w:rPr>
          <w:rFonts w:ascii="Times New (W1)" w:hAnsi="Times New (W1)"/>
          <w:sz w:val="26"/>
        </w:rPr>
        <w:t>.Exc.</w:t>
      </w:r>
      <w:r w:rsidR="00392410" w:rsidRPr="003B0D48">
        <w:rPr>
          <w:rFonts w:ascii="Times New (W1)" w:hAnsi="Times New (W1)"/>
          <w:sz w:val="26"/>
        </w:rPr>
        <w:t xml:space="preserve"> at 24; RESA St. 1 at 14; RESA M.B. at 16.  Finally, PPL points out that RESA expansion proposal would create significant risk for PPL, as well as other customers, if a large C&amp;I customer were to declare bankruptcy.  PPL </w:t>
      </w:r>
      <w:r w:rsidR="00AD4CF7">
        <w:rPr>
          <w:rFonts w:ascii="Times New (W1)" w:hAnsi="Times New (W1)"/>
          <w:sz w:val="26"/>
        </w:rPr>
        <w:t>R</w:t>
      </w:r>
      <w:r w:rsidR="004311D1">
        <w:rPr>
          <w:rFonts w:ascii="Times New (W1)" w:hAnsi="Times New (W1)"/>
          <w:sz w:val="26"/>
        </w:rPr>
        <w:t>.Exc.</w:t>
      </w:r>
      <w:r w:rsidR="00AD4CF7">
        <w:rPr>
          <w:rFonts w:ascii="Times New (W1)" w:hAnsi="Times New (W1)"/>
          <w:sz w:val="26"/>
        </w:rPr>
        <w:t xml:space="preserve"> at 24; PPL M.B. at 96.</w:t>
      </w:r>
    </w:p>
    <w:p w:rsidR="00705CE7" w:rsidRPr="003B0D48" w:rsidRDefault="00705CE7" w:rsidP="000E0862">
      <w:pPr>
        <w:pStyle w:val="Pleading2L3"/>
        <w:numPr>
          <w:ilvl w:val="0"/>
          <w:numId w:val="0"/>
        </w:numPr>
        <w:tabs>
          <w:tab w:val="left" w:pos="2160"/>
        </w:tabs>
        <w:spacing w:line="360" w:lineRule="auto"/>
        <w:ind w:firstLine="1440"/>
        <w:contextualSpacing/>
        <w:rPr>
          <w:rFonts w:ascii="Times New (W1)" w:hAnsi="Times New (W1)"/>
          <w:b/>
          <w:sz w:val="26"/>
          <w:szCs w:val="26"/>
        </w:rPr>
      </w:pPr>
    </w:p>
    <w:p w:rsidR="005C505B" w:rsidRDefault="00250F1D" w:rsidP="005C505B">
      <w:pPr>
        <w:pStyle w:val="Pleading2L3"/>
        <w:numPr>
          <w:ilvl w:val="0"/>
          <w:numId w:val="0"/>
        </w:numPr>
        <w:tabs>
          <w:tab w:val="left" w:pos="2160"/>
        </w:tabs>
        <w:spacing w:line="360" w:lineRule="auto"/>
        <w:ind w:firstLine="1440"/>
        <w:contextualSpacing/>
        <w:rPr>
          <w:b/>
          <w:sz w:val="26"/>
          <w:szCs w:val="26"/>
        </w:rPr>
      </w:pPr>
      <w:r>
        <w:rPr>
          <w:b/>
          <w:sz w:val="26"/>
          <w:szCs w:val="26"/>
        </w:rPr>
        <w:tab/>
      </w:r>
      <w:r w:rsidR="005C505B">
        <w:rPr>
          <w:b/>
          <w:sz w:val="26"/>
          <w:szCs w:val="26"/>
        </w:rPr>
        <w:t>iv</w:t>
      </w:r>
      <w:r w:rsidR="005C505B" w:rsidRPr="007C4965">
        <w:rPr>
          <w:b/>
          <w:sz w:val="26"/>
          <w:szCs w:val="26"/>
        </w:rPr>
        <w:t>.</w:t>
      </w:r>
      <w:r w:rsidR="005C505B" w:rsidRPr="007C4965">
        <w:rPr>
          <w:b/>
          <w:sz w:val="26"/>
          <w:szCs w:val="26"/>
        </w:rPr>
        <w:tab/>
        <w:t>Disposition</w:t>
      </w:r>
    </w:p>
    <w:p w:rsidR="005C505B" w:rsidRDefault="005C505B" w:rsidP="005C505B">
      <w:pPr>
        <w:pStyle w:val="Pleading2L3"/>
        <w:numPr>
          <w:ilvl w:val="0"/>
          <w:numId w:val="0"/>
        </w:numPr>
        <w:tabs>
          <w:tab w:val="left" w:pos="2160"/>
        </w:tabs>
        <w:spacing w:line="360" w:lineRule="auto"/>
        <w:ind w:firstLine="1440"/>
        <w:contextualSpacing/>
        <w:rPr>
          <w:b/>
          <w:sz w:val="26"/>
          <w:szCs w:val="26"/>
        </w:rPr>
      </w:pPr>
    </w:p>
    <w:p w:rsidR="005C505B" w:rsidRDefault="005C505B" w:rsidP="005C505B">
      <w:pPr>
        <w:jc w:val="left"/>
        <w:rPr>
          <w:color w:val="1F497D"/>
        </w:rPr>
      </w:pPr>
      <w:r w:rsidRPr="00CB744C">
        <w:rPr>
          <w:sz w:val="26"/>
          <w:szCs w:val="26"/>
        </w:rPr>
        <w:tab/>
      </w:r>
      <w:r w:rsidRPr="00CB744C">
        <w:rPr>
          <w:sz w:val="26"/>
          <w:szCs w:val="26"/>
        </w:rPr>
        <w:tab/>
      </w:r>
      <w:r>
        <w:rPr>
          <w:sz w:val="26"/>
          <w:szCs w:val="26"/>
        </w:rPr>
        <w:t xml:space="preserve">We hold that PPL </w:t>
      </w:r>
      <w:r w:rsidRPr="00CB744C">
        <w:rPr>
          <w:sz w:val="26"/>
          <w:szCs w:val="26"/>
        </w:rPr>
        <w:t xml:space="preserve">has presented sufficient evidence to support </w:t>
      </w:r>
      <w:r>
        <w:rPr>
          <w:sz w:val="26"/>
          <w:szCs w:val="26"/>
        </w:rPr>
        <w:t xml:space="preserve">the vast majority of </w:t>
      </w:r>
      <w:r w:rsidRPr="00CB744C">
        <w:rPr>
          <w:sz w:val="26"/>
          <w:szCs w:val="26"/>
        </w:rPr>
        <w:t xml:space="preserve">its </w:t>
      </w:r>
      <w:r>
        <w:rPr>
          <w:sz w:val="26"/>
          <w:szCs w:val="26"/>
        </w:rPr>
        <w:t xml:space="preserve">POR </w:t>
      </w:r>
      <w:r w:rsidRPr="00CB744C">
        <w:rPr>
          <w:sz w:val="26"/>
          <w:szCs w:val="26"/>
        </w:rPr>
        <w:t>proposal</w:t>
      </w:r>
      <w:r>
        <w:rPr>
          <w:sz w:val="26"/>
          <w:szCs w:val="26"/>
        </w:rPr>
        <w:t xml:space="preserve">. </w:t>
      </w:r>
      <w:r w:rsidRPr="00CB744C">
        <w:rPr>
          <w:sz w:val="26"/>
          <w:szCs w:val="26"/>
        </w:rPr>
        <w:t xml:space="preserve"> </w:t>
      </w:r>
      <w:r>
        <w:rPr>
          <w:sz w:val="26"/>
          <w:szCs w:val="26"/>
        </w:rPr>
        <w:t>However, we find RESA’s argument with regard to the all-in/all-out POR program provision constituting a barrier to competitive markets persuasive.  Therefore, we shall grant RESA’s Exceptions in part on this limited issue and direct PPL to adjust its POR program tariff language to allow EGSs that are participating in its POR program under PPL’s consolidated billing service to bill customers separately if: (1) the Electric Distribution Company’s billing system cannot accommodate it; or (2) an Electric Generation Supplier’s customer purchases products that are bundled with non-basic services.</w:t>
      </w:r>
    </w:p>
    <w:p w:rsidR="005C505B" w:rsidRPr="00616D77" w:rsidRDefault="005C505B" w:rsidP="005C505B">
      <w:pPr>
        <w:pStyle w:val="Pleading2L3"/>
        <w:numPr>
          <w:ilvl w:val="0"/>
          <w:numId w:val="0"/>
        </w:numPr>
        <w:tabs>
          <w:tab w:val="num" w:pos="0"/>
        </w:tabs>
        <w:spacing w:line="360" w:lineRule="auto"/>
        <w:contextualSpacing/>
        <w:rPr>
          <w:sz w:val="26"/>
          <w:szCs w:val="26"/>
        </w:rPr>
      </w:pPr>
    </w:p>
    <w:p w:rsidR="005C505B" w:rsidRPr="00CB744C" w:rsidRDefault="005C505B" w:rsidP="005C505B">
      <w:pPr>
        <w:pStyle w:val="Pleading2L3"/>
        <w:numPr>
          <w:ilvl w:val="0"/>
          <w:numId w:val="0"/>
        </w:numPr>
        <w:tabs>
          <w:tab w:val="num" w:pos="0"/>
        </w:tabs>
        <w:spacing w:line="360" w:lineRule="auto"/>
        <w:contextualSpacing/>
        <w:rPr>
          <w:sz w:val="26"/>
          <w:szCs w:val="26"/>
        </w:rPr>
      </w:pPr>
      <w:r>
        <w:rPr>
          <w:sz w:val="26"/>
          <w:szCs w:val="26"/>
        </w:rPr>
        <w:tab/>
      </w:r>
      <w:r>
        <w:rPr>
          <w:sz w:val="26"/>
          <w:szCs w:val="26"/>
        </w:rPr>
        <w:tab/>
      </w:r>
      <w:r w:rsidRPr="00CB744C">
        <w:rPr>
          <w:sz w:val="26"/>
          <w:szCs w:val="26"/>
        </w:rPr>
        <w:t xml:space="preserve">The current POR program has only been in effect since January 1, 2010, and </w:t>
      </w:r>
      <w:r>
        <w:rPr>
          <w:sz w:val="26"/>
          <w:szCs w:val="26"/>
        </w:rPr>
        <w:t>PPL</w:t>
      </w:r>
      <w:r w:rsidRPr="00CB744C">
        <w:rPr>
          <w:sz w:val="26"/>
          <w:szCs w:val="26"/>
        </w:rPr>
        <w:t xml:space="preserve"> is still in the process of fully implementing the program.  It is fair to allow additional time for full implementation of the current POR program and subsequent evaluation of its effectiveness before directing </w:t>
      </w:r>
      <w:r>
        <w:rPr>
          <w:sz w:val="26"/>
          <w:szCs w:val="26"/>
        </w:rPr>
        <w:t>major</w:t>
      </w:r>
      <w:r w:rsidRPr="00CB744C">
        <w:rPr>
          <w:sz w:val="26"/>
          <w:szCs w:val="26"/>
        </w:rPr>
        <w:t xml:space="preserve"> changes.  As OTS states:</w:t>
      </w:r>
    </w:p>
    <w:p w:rsidR="005C505B" w:rsidRPr="00CB744C" w:rsidRDefault="005C505B" w:rsidP="005C505B">
      <w:pPr>
        <w:pStyle w:val="Pleading2L3"/>
        <w:numPr>
          <w:ilvl w:val="0"/>
          <w:numId w:val="0"/>
        </w:numPr>
        <w:tabs>
          <w:tab w:val="num" w:pos="0"/>
        </w:tabs>
        <w:spacing w:line="240" w:lineRule="auto"/>
        <w:ind w:left="1440" w:right="1440"/>
        <w:contextualSpacing/>
        <w:rPr>
          <w:sz w:val="26"/>
          <w:szCs w:val="26"/>
        </w:rPr>
      </w:pPr>
    </w:p>
    <w:p w:rsidR="005C505B" w:rsidRDefault="005C505B" w:rsidP="005C505B">
      <w:pPr>
        <w:pStyle w:val="Pleading2L3"/>
        <w:numPr>
          <w:ilvl w:val="0"/>
          <w:numId w:val="0"/>
        </w:numPr>
        <w:tabs>
          <w:tab w:val="num" w:pos="0"/>
        </w:tabs>
        <w:spacing w:line="240" w:lineRule="auto"/>
        <w:ind w:left="1440" w:right="1440" w:firstLine="720"/>
        <w:contextualSpacing/>
        <w:rPr>
          <w:sz w:val="26"/>
          <w:szCs w:val="26"/>
        </w:rPr>
      </w:pPr>
      <w:r w:rsidRPr="00CB744C">
        <w:rPr>
          <w:sz w:val="26"/>
          <w:szCs w:val="26"/>
        </w:rPr>
        <w:t xml:space="preserve">. . . PPL’s POR program has been operating since the Company was restructured more than 10 years ago.  Last year, the Commission initiated a number of changes in that program which PPL, with the active participation of its customers and EGSs, implemented.  That plan should be afforded an opportunity to operate without major changes </w:t>
      </w:r>
      <w:r w:rsidRPr="00CB744C">
        <w:rPr>
          <w:sz w:val="26"/>
          <w:szCs w:val="26"/>
        </w:rPr>
        <w:lastRenderedPageBreak/>
        <w:t>impose by PPL, the EGSs operating on its system or its customers.  The plan has only been operating with those changes for a period of less than a year since the cap on generation expired.  The Company, the EGSs and, most of all, consumers would benefit from a period of plan stability.</w:t>
      </w:r>
    </w:p>
    <w:p w:rsidR="005C505B" w:rsidRPr="00CB744C" w:rsidRDefault="005C505B" w:rsidP="005C505B">
      <w:pPr>
        <w:pStyle w:val="Pleading2L3"/>
        <w:numPr>
          <w:ilvl w:val="0"/>
          <w:numId w:val="0"/>
        </w:numPr>
        <w:tabs>
          <w:tab w:val="num" w:pos="0"/>
        </w:tabs>
        <w:spacing w:line="240" w:lineRule="auto"/>
        <w:ind w:left="1440" w:right="1440" w:firstLine="720"/>
        <w:contextualSpacing/>
        <w:rPr>
          <w:sz w:val="26"/>
          <w:szCs w:val="26"/>
        </w:rPr>
      </w:pPr>
    </w:p>
    <w:p w:rsidR="005C505B" w:rsidRPr="00CB744C" w:rsidRDefault="005C505B" w:rsidP="005C505B">
      <w:pPr>
        <w:pStyle w:val="Pleading2L3"/>
        <w:numPr>
          <w:ilvl w:val="0"/>
          <w:numId w:val="0"/>
        </w:numPr>
        <w:tabs>
          <w:tab w:val="num" w:pos="0"/>
        </w:tabs>
        <w:spacing w:line="240" w:lineRule="auto"/>
        <w:ind w:left="1440" w:right="1440"/>
        <w:contextualSpacing/>
        <w:rPr>
          <w:sz w:val="26"/>
          <w:szCs w:val="26"/>
        </w:rPr>
      </w:pPr>
      <w:r w:rsidRPr="00CB744C">
        <w:rPr>
          <w:sz w:val="26"/>
          <w:szCs w:val="26"/>
        </w:rPr>
        <w:tab/>
        <w:t>The only change which would make sense, and the only change which PPL has requested is updating of the discount rates so that these rates accurately reflect current conditions.  This is consistent with traditional ratemaking principles and should be approved by the Commission.</w:t>
      </w:r>
    </w:p>
    <w:p w:rsidR="005C505B" w:rsidRPr="00CB744C" w:rsidRDefault="005C505B" w:rsidP="005C505B">
      <w:pPr>
        <w:pStyle w:val="Pleading2L3"/>
        <w:numPr>
          <w:ilvl w:val="0"/>
          <w:numId w:val="0"/>
        </w:numPr>
        <w:tabs>
          <w:tab w:val="num" w:pos="0"/>
        </w:tabs>
        <w:spacing w:line="240" w:lineRule="auto"/>
        <w:ind w:left="1440" w:right="1440" w:hanging="1440"/>
        <w:contextualSpacing/>
        <w:rPr>
          <w:sz w:val="26"/>
          <w:szCs w:val="26"/>
        </w:rPr>
      </w:pPr>
    </w:p>
    <w:p w:rsidR="005C505B" w:rsidRPr="00CB744C" w:rsidRDefault="005C505B" w:rsidP="005C505B">
      <w:pPr>
        <w:pStyle w:val="Pleading2L3"/>
        <w:numPr>
          <w:ilvl w:val="0"/>
          <w:numId w:val="0"/>
        </w:numPr>
        <w:tabs>
          <w:tab w:val="num" w:pos="0"/>
        </w:tabs>
        <w:spacing w:line="360" w:lineRule="auto"/>
        <w:ind w:left="1440" w:right="1440" w:hanging="1440"/>
        <w:contextualSpacing/>
        <w:rPr>
          <w:sz w:val="26"/>
          <w:szCs w:val="26"/>
        </w:rPr>
      </w:pPr>
      <w:r w:rsidRPr="00CB744C">
        <w:rPr>
          <w:sz w:val="26"/>
          <w:szCs w:val="26"/>
        </w:rPr>
        <w:t>OTS M</w:t>
      </w:r>
      <w:r>
        <w:rPr>
          <w:sz w:val="26"/>
          <w:szCs w:val="26"/>
        </w:rPr>
        <w:t>.</w:t>
      </w:r>
      <w:r w:rsidRPr="00CB744C">
        <w:rPr>
          <w:sz w:val="26"/>
          <w:szCs w:val="26"/>
        </w:rPr>
        <w:t>B</w:t>
      </w:r>
      <w:r>
        <w:rPr>
          <w:sz w:val="26"/>
          <w:szCs w:val="26"/>
        </w:rPr>
        <w:t>.</w:t>
      </w:r>
      <w:r w:rsidRPr="00CB744C">
        <w:rPr>
          <w:sz w:val="26"/>
          <w:szCs w:val="26"/>
        </w:rPr>
        <w:t xml:space="preserve"> at 12.</w:t>
      </w:r>
    </w:p>
    <w:p w:rsidR="00392410" w:rsidRPr="00CB744C" w:rsidRDefault="00392410" w:rsidP="007E7F52">
      <w:pPr>
        <w:pStyle w:val="Pleading2L3"/>
        <w:numPr>
          <w:ilvl w:val="0"/>
          <w:numId w:val="0"/>
        </w:numPr>
        <w:tabs>
          <w:tab w:val="left" w:pos="2160"/>
        </w:tabs>
        <w:spacing w:line="360" w:lineRule="auto"/>
        <w:ind w:firstLine="1440"/>
        <w:contextualSpacing/>
        <w:rPr>
          <w:sz w:val="26"/>
          <w:szCs w:val="26"/>
        </w:rPr>
      </w:pPr>
    </w:p>
    <w:p w:rsidR="005C505B" w:rsidRDefault="005C505B" w:rsidP="005C505B">
      <w:pPr>
        <w:pStyle w:val="Pleading2L3"/>
        <w:numPr>
          <w:ilvl w:val="0"/>
          <w:numId w:val="0"/>
        </w:numPr>
        <w:tabs>
          <w:tab w:val="num" w:pos="0"/>
        </w:tabs>
        <w:spacing w:line="360" w:lineRule="auto"/>
        <w:rPr>
          <w:sz w:val="26"/>
          <w:szCs w:val="26"/>
        </w:rPr>
      </w:pPr>
      <w:r>
        <w:rPr>
          <w:sz w:val="26"/>
          <w:szCs w:val="26"/>
        </w:rPr>
        <w:tab/>
      </w:r>
      <w:r>
        <w:rPr>
          <w:sz w:val="26"/>
          <w:szCs w:val="26"/>
        </w:rPr>
        <w:tab/>
        <w:t>We agree with the ALJ that the newness of the PPL POR program prevents actual costs from being used in calculating the uncollectible accounts expense factor.  PPL’s use of historic data for this purpose was reasonable.  With regard to RESA’s related alternative proposal that PPL eliminate the uncollectible accounts expense factor and replace it with a non-bypassable MFC to both shopping and non-shopping customers, we agree that collection risk for shopping customers should remain with the EGSs.  In addition, as the OSBA points out, RESA’s approach would require a non-residential customer on EGS dual billing to pay for collection risk twice for supply – once in the EGS’s charges which incorporate customer payment risk, and once in the non-bypassable EDC charge.  OSBA St. 2 at 22, 23.  On balance, RESA has not presented a superior method of recouping uncollectibles and its suggested MFC program modification will be denied.</w:t>
      </w:r>
    </w:p>
    <w:p w:rsidR="005C505B" w:rsidRDefault="005C505B" w:rsidP="005C505B">
      <w:pPr>
        <w:pStyle w:val="Pleading2L3"/>
        <w:numPr>
          <w:ilvl w:val="0"/>
          <w:numId w:val="0"/>
        </w:numPr>
        <w:tabs>
          <w:tab w:val="num" w:pos="0"/>
        </w:tabs>
        <w:spacing w:line="360" w:lineRule="auto"/>
        <w:rPr>
          <w:sz w:val="26"/>
          <w:szCs w:val="26"/>
        </w:rPr>
      </w:pPr>
    </w:p>
    <w:p w:rsidR="005C505B" w:rsidRDefault="005C505B" w:rsidP="005C505B">
      <w:pPr>
        <w:autoSpaceDE w:val="0"/>
        <w:autoSpaceDN w:val="0"/>
        <w:adjustRightInd w:val="0"/>
        <w:jc w:val="left"/>
        <w:rPr>
          <w:sz w:val="26"/>
          <w:szCs w:val="26"/>
        </w:rPr>
      </w:pPr>
      <w:r>
        <w:rPr>
          <w:sz w:val="26"/>
          <w:szCs w:val="26"/>
        </w:rPr>
        <w:tab/>
      </w:r>
      <w:r>
        <w:rPr>
          <w:sz w:val="26"/>
          <w:szCs w:val="26"/>
        </w:rPr>
        <w:tab/>
        <w:t>While PPL and the OTS presented strong arguments in support of retention of the “all-in/all-out” POR program parameter without change, we determine that RESA has convincingly demonstrated that the all-in/all-out provision as currently crafted could represent a significant impediment to competitive markets.</w:t>
      </w:r>
      <w:r w:rsidRPr="00A6099D">
        <w:rPr>
          <w:sz w:val="26"/>
          <w:szCs w:val="26"/>
        </w:rPr>
        <w:t xml:space="preserve">  </w:t>
      </w:r>
      <w:r w:rsidRPr="00972B4A">
        <w:rPr>
          <w:sz w:val="26"/>
          <w:szCs w:val="26"/>
        </w:rPr>
        <w:t xml:space="preserve">The ALJ’s reference to robust competition does not address the need to remove barriers to the introduction of innovative supply products to customers in PPL’s service territory.  </w:t>
      </w:r>
    </w:p>
    <w:p w:rsidR="005C505B" w:rsidRDefault="005C505B" w:rsidP="005C505B">
      <w:pPr>
        <w:autoSpaceDE w:val="0"/>
        <w:autoSpaceDN w:val="0"/>
        <w:adjustRightInd w:val="0"/>
        <w:jc w:val="left"/>
        <w:rPr>
          <w:sz w:val="26"/>
          <w:szCs w:val="26"/>
        </w:rPr>
      </w:pPr>
    </w:p>
    <w:p w:rsidR="005C505B" w:rsidRPr="00140C28" w:rsidRDefault="005C505B" w:rsidP="005C505B">
      <w:pPr>
        <w:pStyle w:val="Pleading2L3"/>
        <w:numPr>
          <w:ilvl w:val="0"/>
          <w:numId w:val="0"/>
        </w:numPr>
        <w:tabs>
          <w:tab w:val="num" w:pos="0"/>
        </w:tabs>
        <w:spacing w:line="360" w:lineRule="auto"/>
        <w:contextualSpacing/>
        <w:rPr>
          <w:sz w:val="26"/>
          <w:szCs w:val="26"/>
        </w:rPr>
      </w:pPr>
      <w:r>
        <w:rPr>
          <w:sz w:val="26"/>
          <w:szCs w:val="26"/>
        </w:rPr>
        <w:tab/>
      </w:r>
      <w:r>
        <w:rPr>
          <w:sz w:val="26"/>
          <w:szCs w:val="26"/>
        </w:rPr>
        <w:tab/>
        <w:t xml:space="preserve">We find RESA to have the better argument with regard to the strict all-in/all-out POR program provision </w:t>
      </w:r>
      <w:r w:rsidRPr="00972B4A">
        <w:rPr>
          <w:sz w:val="26"/>
          <w:szCs w:val="26"/>
        </w:rPr>
        <w:t>for two reasons.  First, one of the objectives of retail choice and competition is to improve the types of service choices available to consumers.  The</w:t>
      </w:r>
      <w:r>
        <w:rPr>
          <w:sz w:val="26"/>
          <w:szCs w:val="26"/>
        </w:rPr>
        <w:t xml:space="preserve"> afore-mentioned</w:t>
      </w:r>
      <w:r w:rsidRPr="00972B4A">
        <w:rPr>
          <w:sz w:val="26"/>
          <w:szCs w:val="26"/>
        </w:rPr>
        <w:t xml:space="preserve"> exceptions </w:t>
      </w:r>
      <w:r>
        <w:rPr>
          <w:sz w:val="26"/>
          <w:szCs w:val="26"/>
        </w:rPr>
        <w:t xml:space="preserve">to consolidated billing </w:t>
      </w:r>
      <w:r w:rsidRPr="00972B4A">
        <w:rPr>
          <w:sz w:val="26"/>
          <w:szCs w:val="26"/>
        </w:rPr>
        <w:t>further that objective.  Second, it is important to protect all consumers from gaming of tariff rules.  For that reason, EGSs should only be granted an exception to the “</w:t>
      </w:r>
      <w:r>
        <w:rPr>
          <w:sz w:val="26"/>
          <w:szCs w:val="26"/>
        </w:rPr>
        <w:t>a</w:t>
      </w:r>
      <w:r w:rsidRPr="00972B4A">
        <w:rPr>
          <w:sz w:val="26"/>
          <w:szCs w:val="26"/>
        </w:rPr>
        <w:t>ll-</w:t>
      </w:r>
      <w:r>
        <w:rPr>
          <w:sz w:val="26"/>
          <w:szCs w:val="26"/>
        </w:rPr>
        <w:t>i</w:t>
      </w:r>
      <w:r w:rsidRPr="00972B4A">
        <w:rPr>
          <w:sz w:val="26"/>
          <w:szCs w:val="26"/>
        </w:rPr>
        <w:t>n/</w:t>
      </w:r>
      <w:r>
        <w:rPr>
          <w:sz w:val="26"/>
          <w:szCs w:val="26"/>
        </w:rPr>
        <w:t>a</w:t>
      </w:r>
      <w:r w:rsidRPr="00972B4A">
        <w:rPr>
          <w:sz w:val="26"/>
          <w:szCs w:val="26"/>
        </w:rPr>
        <w:t>ll-</w:t>
      </w:r>
      <w:r>
        <w:rPr>
          <w:sz w:val="26"/>
          <w:szCs w:val="26"/>
        </w:rPr>
        <w:t>o</w:t>
      </w:r>
      <w:r w:rsidRPr="00972B4A">
        <w:rPr>
          <w:sz w:val="26"/>
          <w:szCs w:val="26"/>
        </w:rPr>
        <w:t xml:space="preserve">ut” requirement under these specific limited circumstances.  </w:t>
      </w:r>
      <w:r>
        <w:rPr>
          <w:sz w:val="26"/>
          <w:szCs w:val="26"/>
        </w:rPr>
        <w:t xml:space="preserve">Consistent with this reasoning, </w:t>
      </w:r>
      <w:r w:rsidRPr="00972B4A">
        <w:rPr>
          <w:sz w:val="26"/>
          <w:szCs w:val="26"/>
        </w:rPr>
        <w:t xml:space="preserve">the Recommended Decision </w:t>
      </w:r>
      <w:r w:rsidRPr="00140C28">
        <w:rPr>
          <w:sz w:val="26"/>
          <w:szCs w:val="26"/>
        </w:rPr>
        <w:t>is</w:t>
      </w:r>
      <w:r w:rsidRPr="00972B4A">
        <w:rPr>
          <w:sz w:val="26"/>
          <w:szCs w:val="26"/>
        </w:rPr>
        <w:t xml:space="preserve"> modified to include the </w:t>
      </w:r>
      <w:r>
        <w:rPr>
          <w:sz w:val="26"/>
          <w:szCs w:val="26"/>
        </w:rPr>
        <w:t>referenced ex</w:t>
      </w:r>
      <w:r w:rsidRPr="00972B4A">
        <w:rPr>
          <w:sz w:val="26"/>
          <w:szCs w:val="26"/>
        </w:rPr>
        <w:t>ceptions</w:t>
      </w:r>
      <w:r>
        <w:rPr>
          <w:sz w:val="26"/>
          <w:szCs w:val="26"/>
        </w:rPr>
        <w:t>.</w:t>
      </w:r>
      <w:r w:rsidRPr="00972B4A">
        <w:rPr>
          <w:sz w:val="26"/>
          <w:szCs w:val="26"/>
        </w:rPr>
        <w:t xml:space="preserve"> </w:t>
      </w:r>
    </w:p>
    <w:p w:rsidR="005C505B" w:rsidRDefault="005C505B" w:rsidP="005C505B">
      <w:pPr>
        <w:pStyle w:val="Pleading2L3"/>
        <w:numPr>
          <w:ilvl w:val="0"/>
          <w:numId w:val="0"/>
        </w:numPr>
        <w:tabs>
          <w:tab w:val="num" w:pos="0"/>
        </w:tabs>
        <w:spacing w:line="360" w:lineRule="auto"/>
        <w:rPr>
          <w:sz w:val="26"/>
          <w:szCs w:val="26"/>
        </w:rPr>
      </w:pPr>
    </w:p>
    <w:p w:rsidR="005C505B" w:rsidRDefault="005C505B" w:rsidP="005C505B">
      <w:pPr>
        <w:pStyle w:val="Pleading2L3"/>
        <w:numPr>
          <w:ilvl w:val="0"/>
          <w:numId w:val="0"/>
        </w:numPr>
        <w:tabs>
          <w:tab w:val="num" w:pos="0"/>
        </w:tabs>
        <w:spacing w:line="360" w:lineRule="auto"/>
        <w:rPr>
          <w:sz w:val="26"/>
          <w:szCs w:val="26"/>
        </w:rPr>
      </w:pPr>
      <w:r>
        <w:rPr>
          <w:sz w:val="26"/>
          <w:szCs w:val="26"/>
        </w:rPr>
        <w:tab/>
      </w:r>
      <w:r>
        <w:rPr>
          <w:sz w:val="26"/>
          <w:szCs w:val="26"/>
        </w:rPr>
        <w:tab/>
      </w:r>
      <w:r w:rsidRPr="00972B4A">
        <w:rPr>
          <w:sz w:val="26"/>
          <w:szCs w:val="26"/>
        </w:rPr>
        <w:t xml:space="preserve">Furthermore, PPL has not presented any evidence of gaming the billing system.  If and when PPL can present evidence of “gaming” by EGSs on its system, PPL may petition this Commission for modification of these exceptions.  </w:t>
      </w:r>
      <w:r>
        <w:rPr>
          <w:sz w:val="26"/>
          <w:szCs w:val="26"/>
        </w:rPr>
        <w:t>We caution EGSs that gaming will not be tolerated by this Commission.  RESA’s proposed modification to the all-in/all-out provision to allow for certain enumerated exceptions is therefore granted.</w:t>
      </w:r>
    </w:p>
    <w:p w:rsidR="005C505B" w:rsidRDefault="005C505B" w:rsidP="005C505B">
      <w:pPr>
        <w:pStyle w:val="Pleading2L3"/>
        <w:numPr>
          <w:ilvl w:val="0"/>
          <w:numId w:val="0"/>
        </w:numPr>
        <w:tabs>
          <w:tab w:val="num" w:pos="0"/>
        </w:tabs>
        <w:spacing w:line="360" w:lineRule="auto"/>
        <w:rPr>
          <w:sz w:val="26"/>
          <w:szCs w:val="26"/>
        </w:rPr>
      </w:pPr>
    </w:p>
    <w:p w:rsidR="005C505B" w:rsidRDefault="005C505B" w:rsidP="005C505B">
      <w:pPr>
        <w:pStyle w:val="Pleading2L3"/>
        <w:numPr>
          <w:ilvl w:val="0"/>
          <w:numId w:val="0"/>
        </w:numPr>
        <w:tabs>
          <w:tab w:val="num" w:pos="0"/>
        </w:tabs>
        <w:spacing w:line="360" w:lineRule="auto"/>
        <w:rPr>
          <w:sz w:val="26"/>
          <w:szCs w:val="26"/>
        </w:rPr>
      </w:pPr>
      <w:r>
        <w:rPr>
          <w:sz w:val="26"/>
          <w:szCs w:val="26"/>
        </w:rPr>
        <w:tab/>
      </w:r>
      <w:r>
        <w:rPr>
          <w:sz w:val="26"/>
          <w:szCs w:val="26"/>
        </w:rPr>
        <w:tab/>
        <w:t xml:space="preserve">As for RESA’s Exceptions with regard to PPL’s tracking mechanism for the small C&amp;I customers, we agree that no convincing evidence supporting its removal from PPL’s POR program has been presented.  We find no error on the part of the ALJ in concluding that gathering information regarding uncollectibles is a positive thing.  And we find no convincing proof that competitive markets will be impeded if the tracking mechanism is retained.  RESA’s Exceptions are denied.  </w:t>
      </w:r>
    </w:p>
    <w:p w:rsidR="005C505B" w:rsidRDefault="005C505B" w:rsidP="005C505B">
      <w:pPr>
        <w:pStyle w:val="Pleading2L3"/>
        <w:numPr>
          <w:ilvl w:val="0"/>
          <w:numId w:val="0"/>
        </w:numPr>
        <w:tabs>
          <w:tab w:val="num" w:pos="0"/>
        </w:tabs>
        <w:spacing w:line="360" w:lineRule="auto"/>
        <w:rPr>
          <w:sz w:val="26"/>
          <w:szCs w:val="26"/>
        </w:rPr>
      </w:pPr>
    </w:p>
    <w:p w:rsidR="005C505B" w:rsidRDefault="005C505B" w:rsidP="005C505B">
      <w:pPr>
        <w:pStyle w:val="Pleading2L3"/>
        <w:numPr>
          <w:ilvl w:val="0"/>
          <w:numId w:val="0"/>
        </w:numPr>
        <w:tabs>
          <w:tab w:val="num" w:pos="0"/>
        </w:tabs>
        <w:spacing w:line="360" w:lineRule="auto"/>
        <w:rPr>
          <w:sz w:val="26"/>
          <w:szCs w:val="26"/>
        </w:rPr>
      </w:pPr>
      <w:r>
        <w:rPr>
          <w:sz w:val="26"/>
          <w:szCs w:val="26"/>
        </w:rPr>
        <w:tab/>
      </w:r>
      <w:r>
        <w:rPr>
          <w:sz w:val="26"/>
          <w:szCs w:val="26"/>
        </w:rPr>
        <w:tab/>
        <w:t xml:space="preserve">Finally, we reject RESA’s request to expand PPL’s POR program to large C&amp;I customers.  PPL has established on the record that it has a separately designed POR program for large C&amp;I customers and that the adoption of RESA’s proposed modification would place undue risk on PPL and its other customers.   RESA’s Exceptions are denied.  </w:t>
      </w:r>
    </w:p>
    <w:p w:rsidR="005C505B" w:rsidRPr="00283AEC" w:rsidRDefault="005C505B" w:rsidP="005C505B">
      <w:pPr>
        <w:pStyle w:val="Pleading2L3"/>
        <w:numPr>
          <w:ilvl w:val="0"/>
          <w:numId w:val="0"/>
        </w:numPr>
        <w:tabs>
          <w:tab w:val="num" w:pos="0"/>
        </w:tabs>
        <w:spacing w:line="360" w:lineRule="auto"/>
        <w:rPr>
          <w:rFonts w:ascii="Times New (W1)" w:hAnsi="Times New (W1)"/>
          <w:sz w:val="26"/>
          <w:szCs w:val="26"/>
        </w:rPr>
      </w:pPr>
    </w:p>
    <w:p w:rsidR="005C505B" w:rsidRPr="00283AEC" w:rsidRDefault="005C505B" w:rsidP="005C505B">
      <w:pPr>
        <w:pStyle w:val="BodyText2"/>
        <w:spacing w:line="360" w:lineRule="auto"/>
        <w:contextualSpacing/>
        <w:rPr>
          <w:rFonts w:ascii="Times New (W1)" w:hAnsi="Times New (W1)"/>
          <w:sz w:val="26"/>
          <w:szCs w:val="26"/>
        </w:rPr>
      </w:pPr>
      <w:r>
        <w:rPr>
          <w:rFonts w:ascii="Times New (W1)" w:hAnsi="Times New (W1)"/>
          <w:sz w:val="26"/>
        </w:rPr>
        <w:lastRenderedPageBreak/>
        <w:tab/>
      </w:r>
      <w:r>
        <w:rPr>
          <w:rFonts w:ascii="Times New (W1)" w:hAnsi="Times New (W1)"/>
          <w:sz w:val="26"/>
        </w:rPr>
        <w:tab/>
      </w:r>
      <w:r w:rsidRPr="00283AEC">
        <w:rPr>
          <w:rFonts w:ascii="Times New (W1)" w:hAnsi="Times New (W1)"/>
          <w:sz w:val="26"/>
        </w:rPr>
        <w:t xml:space="preserve">In summary, we </w:t>
      </w:r>
      <w:r>
        <w:rPr>
          <w:rFonts w:ascii="Times New (W1)" w:hAnsi="Times New (W1)"/>
          <w:sz w:val="26"/>
        </w:rPr>
        <w:t>hold</w:t>
      </w:r>
      <w:r w:rsidRPr="00283AEC">
        <w:rPr>
          <w:rFonts w:ascii="Times New (W1)" w:hAnsi="Times New (W1)"/>
          <w:sz w:val="26"/>
        </w:rPr>
        <w:t xml:space="preserve"> that PPL’s POR program should continue, with the slight adjustment </w:t>
      </w:r>
      <w:r>
        <w:rPr>
          <w:rFonts w:ascii="Times New (W1)" w:hAnsi="Times New (W1)"/>
          <w:sz w:val="26"/>
        </w:rPr>
        <w:t xml:space="preserve">to the uncollectible accounts expense factor </w:t>
      </w:r>
      <w:r w:rsidRPr="00283AEC">
        <w:rPr>
          <w:rFonts w:ascii="Times New (W1)" w:hAnsi="Times New (W1)"/>
          <w:sz w:val="26"/>
        </w:rPr>
        <w:t>proposed by PPL</w:t>
      </w:r>
      <w:r>
        <w:rPr>
          <w:rFonts w:ascii="Times New (W1)" w:hAnsi="Times New (W1)"/>
          <w:sz w:val="26"/>
        </w:rPr>
        <w:t xml:space="preserve"> and RESA’s suggested modification of the all-in/all-out provision to include certain exceptions, as detailed in this Order</w:t>
      </w:r>
      <w:r w:rsidRPr="00283AEC">
        <w:rPr>
          <w:rFonts w:ascii="Times New (W1)" w:hAnsi="Times New (W1)"/>
          <w:sz w:val="26"/>
        </w:rPr>
        <w:t>.  For these reasons, PPL’s proposal to continue its POR program, as</w:t>
      </w:r>
      <w:r w:rsidRPr="00283AEC">
        <w:rPr>
          <w:rFonts w:ascii="Times New (W1)" w:hAnsi="Times New (W1)"/>
          <w:sz w:val="26"/>
          <w:szCs w:val="26"/>
        </w:rPr>
        <w:t xml:space="preserve"> modified in its base rate filing, is approved and </w:t>
      </w:r>
      <w:r w:rsidRPr="00283AEC">
        <w:rPr>
          <w:rFonts w:ascii="Times New (W1)" w:hAnsi="Times New (W1)"/>
          <w:sz w:val="26"/>
        </w:rPr>
        <w:t xml:space="preserve">RESA’s exceptions with regard thereto are </w:t>
      </w:r>
      <w:r>
        <w:rPr>
          <w:rFonts w:ascii="Times New (W1)" w:hAnsi="Times New (W1)"/>
          <w:sz w:val="26"/>
        </w:rPr>
        <w:t xml:space="preserve">granted in part and </w:t>
      </w:r>
      <w:r w:rsidRPr="00283AEC">
        <w:rPr>
          <w:rFonts w:ascii="Times New (W1)" w:hAnsi="Times New (W1)"/>
          <w:sz w:val="26"/>
        </w:rPr>
        <w:t>denied</w:t>
      </w:r>
      <w:r>
        <w:rPr>
          <w:rFonts w:ascii="Times New (W1)" w:hAnsi="Times New (W1)"/>
          <w:sz w:val="26"/>
        </w:rPr>
        <w:t xml:space="preserve"> in part.</w:t>
      </w:r>
    </w:p>
    <w:p w:rsidR="00392410" w:rsidRDefault="00392410" w:rsidP="00392410">
      <w:pPr>
        <w:pStyle w:val="Pleading2L3"/>
        <w:numPr>
          <w:ilvl w:val="0"/>
          <w:numId w:val="0"/>
        </w:numPr>
        <w:tabs>
          <w:tab w:val="num" w:pos="0"/>
        </w:tabs>
        <w:spacing w:line="360" w:lineRule="auto"/>
        <w:rPr>
          <w:sz w:val="26"/>
          <w:szCs w:val="26"/>
        </w:rPr>
      </w:pPr>
    </w:p>
    <w:p w:rsidR="007C4965" w:rsidRDefault="00392410" w:rsidP="005C505B">
      <w:pPr>
        <w:pStyle w:val="Pleading2L3"/>
        <w:numPr>
          <w:ilvl w:val="0"/>
          <w:numId w:val="0"/>
        </w:numPr>
        <w:tabs>
          <w:tab w:val="num" w:pos="0"/>
        </w:tabs>
        <w:spacing w:line="360" w:lineRule="auto"/>
        <w:rPr>
          <w:sz w:val="26"/>
          <w:szCs w:val="26"/>
        </w:rPr>
      </w:pPr>
      <w:r>
        <w:rPr>
          <w:sz w:val="26"/>
          <w:szCs w:val="26"/>
        </w:rPr>
        <w:tab/>
      </w:r>
      <w:r>
        <w:rPr>
          <w:sz w:val="26"/>
          <w:szCs w:val="26"/>
        </w:rPr>
        <w:tab/>
      </w:r>
    </w:p>
    <w:p w:rsidR="00E703AC" w:rsidRPr="00CB744C" w:rsidRDefault="00933D0E" w:rsidP="00F55B70">
      <w:pPr>
        <w:pStyle w:val="Pleading2L3"/>
        <w:keepNext/>
        <w:numPr>
          <w:ilvl w:val="0"/>
          <w:numId w:val="0"/>
        </w:numPr>
        <w:spacing w:line="240" w:lineRule="auto"/>
        <w:ind w:left="2160" w:hanging="720"/>
        <w:rPr>
          <w:b/>
          <w:sz w:val="26"/>
          <w:szCs w:val="26"/>
        </w:rPr>
      </w:pPr>
      <w:r>
        <w:rPr>
          <w:b/>
          <w:sz w:val="26"/>
          <w:szCs w:val="26"/>
        </w:rPr>
        <w:t>g</w:t>
      </w:r>
      <w:r w:rsidR="00E703AC">
        <w:rPr>
          <w:b/>
          <w:sz w:val="26"/>
          <w:szCs w:val="26"/>
        </w:rPr>
        <w:t>.</w:t>
      </w:r>
      <w:r w:rsidR="00E703AC">
        <w:rPr>
          <w:b/>
          <w:sz w:val="26"/>
          <w:szCs w:val="26"/>
        </w:rPr>
        <w:tab/>
      </w:r>
      <w:r w:rsidR="00E703AC" w:rsidRPr="00CB744C">
        <w:rPr>
          <w:b/>
          <w:sz w:val="26"/>
          <w:szCs w:val="26"/>
        </w:rPr>
        <w:t xml:space="preserve">PPLICA’s </w:t>
      </w:r>
      <w:r w:rsidR="00250F1D">
        <w:rPr>
          <w:b/>
          <w:sz w:val="26"/>
          <w:szCs w:val="26"/>
        </w:rPr>
        <w:t>R</w:t>
      </w:r>
      <w:r w:rsidR="00E703AC" w:rsidRPr="00CB744C">
        <w:rPr>
          <w:b/>
          <w:sz w:val="26"/>
          <w:szCs w:val="26"/>
        </w:rPr>
        <w:t xml:space="preserve">ate </w:t>
      </w:r>
      <w:r w:rsidR="00250F1D">
        <w:rPr>
          <w:b/>
          <w:sz w:val="26"/>
          <w:szCs w:val="26"/>
        </w:rPr>
        <w:t>D</w:t>
      </w:r>
      <w:r w:rsidR="00E703AC" w:rsidRPr="00CB744C">
        <w:rPr>
          <w:b/>
          <w:sz w:val="26"/>
          <w:szCs w:val="26"/>
        </w:rPr>
        <w:t xml:space="preserve">esign </w:t>
      </w:r>
      <w:r w:rsidR="00250F1D">
        <w:rPr>
          <w:b/>
          <w:sz w:val="26"/>
          <w:szCs w:val="26"/>
        </w:rPr>
        <w:t>P</w:t>
      </w:r>
      <w:r w:rsidR="00E703AC" w:rsidRPr="00CB744C">
        <w:rPr>
          <w:b/>
          <w:sz w:val="26"/>
          <w:szCs w:val="26"/>
        </w:rPr>
        <w:t xml:space="preserve">roposal to </w:t>
      </w:r>
      <w:r w:rsidR="00250F1D">
        <w:rPr>
          <w:b/>
          <w:sz w:val="26"/>
          <w:szCs w:val="26"/>
        </w:rPr>
        <w:t>C</w:t>
      </w:r>
      <w:r w:rsidR="00E703AC">
        <w:rPr>
          <w:b/>
          <w:sz w:val="26"/>
          <w:szCs w:val="26"/>
        </w:rPr>
        <w:t xml:space="preserve">reate Special Industrial </w:t>
      </w:r>
      <w:r w:rsidR="00E703AC" w:rsidRPr="00CB744C">
        <w:rPr>
          <w:b/>
          <w:sz w:val="26"/>
          <w:szCs w:val="26"/>
        </w:rPr>
        <w:t>Rate Schedule LP-4</w:t>
      </w:r>
      <w:r w:rsidR="007C4965">
        <w:rPr>
          <w:b/>
          <w:sz w:val="26"/>
          <w:szCs w:val="26"/>
        </w:rPr>
        <w:t xml:space="preserve"> SI</w:t>
      </w:r>
    </w:p>
    <w:p w:rsidR="00E703AC" w:rsidRDefault="00E703AC" w:rsidP="00F55B70">
      <w:pPr>
        <w:pStyle w:val="Pleading2L3"/>
        <w:keepNext/>
        <w:numPr>
          <w:ilvl w:val="0"/>
          <w:numId w:val="0"/>
        </w:numPr>
        <w:tabs>
          <w:tab w:val="num" w:pos="0"/>
        </w:tabs>
        <w:spacing w:line="360" w:lineRule="auto"/>
        <w:rPr>
          <w:b/>
          <w:sz w:val="26"/>
          <w:szCs w:val="26"/>
        </w:rPr>
      </w:pPr>
    </w:p>
    <w:p w:rsidR="00E703AC" w:rsidRDefault="00E703AC" w:rsidP="00F55B70">
      <w:pPr>
        <w:pStyle w:val="Pleading2L3"/>
        <w:keepNext/>
        <w:numPr>
          <w:ilvl w:val="0"/>
          <w:numId w:val="0"/>
        </w:numPr>
        <w:tabs>
          <w:tab w:val="num" w:pos="0"/>
        </w:tabs>
        <w:spacing w:line="360" w:lineRule="auto"/>
        <w:rPr>
          <w:b/>
          <w:sz w:val="26"/>
          <w:szCs w:val="26"/>
        </w:rPr>
      </w:pPr>
      <w:r>
        <w:rPr>
          <w:b/>
          <w:sz w:val="26"/>
          <w:szCs w:val="26"/>
        </w:rPr>
        <w:tab/>
      </w:r>
      <w:r>
        <w:rPr>
          <w:b/>
          <w:sz w:val="26"/>
          <w:szCs w:val="26"/>
        </w:rPr>
        <w:tab/>
      </w:r>
      <w:r>
        <w:rPr>
          <w:b/>
          <w:sz w:val="26"/>
          <w:szCs w:val="26"/>
        </w:rPr>
        <w:tab/>
      </w:r>
      <w:r w:rsidR="00FC093D">
        <w:rPr>
          <w:b/>
          <w:sz w:val="26"/>
          <w:szCs w:val="26"/>
        </w:rPr>
        <w:t>i</w:t>
      </w:r>
      <w:r>
        <w:rPr>
          <w:b/>
          <w:sz w:val="26"/>
          <w:szCs w:val="26"/>
        </w:rPr>
        <w:t>.</w:t>
      </w:r>
      <w:r>
        <w:rPr>
          <w:b/>
          <w:sz w:val="26"/>
          <w:szCs w:val="26"/>
        </w:rPr>
        <w:tab/>
        <w:t>Positions of the Parties</w:t>
      </w:r>
    </w:p>
    <w:p w:rsidR="00E703AC" w:rsidRPr="005C4C23" w:rsidRDefault="00E703AC" w:rsidP="00F55B70">
      <w:pPr>
        <w:pStyle w:val="Pleading2L3"/>
        <w:keepNext/>
        <w:numPr>
          <w:ilvl w:val="0"/>
          <w:numId w:val="0"/>
        </w:numPr>
        <w:tabs>
          <w:tab w:val="num" w:pos="0"/>
        </w:tabs>
        <w:spacing w:line="360" w:lineRule="auto"/>
        <w:rPr>
          <w:b/>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Donsco is a large industrial customer currently served under Rate Schedule LP-4.  On Donsco’s behalf,  PPLICA advocates the creation of a negotiated contract-based tariff schedule (Special Industrial Rate Schedule LP-4 SI) pursuant to Section 2806(h) of the Public Utility Code, 66 Pa. C.S. § 2806(h).  Donsco’s goal is to negotiate a rate for distribution service from PPL that is more commensurate with the rates charged to other foundries in</w:t>
      </w:r>
      <w:r w:rsidR="00EA7CE0">
        <w:rPr>
          <w:spacing w:val="-3"/>
          <w:sz w:val="26"/>
          <w:szCs w:val="26"/>
        </w:rPr>
        <w:t xml:space="preserve"> </w:t>
      </w:r>
      <w:r w:rsidRPr="005C4C23">
        <w:rPr>
          <w:spacing w:val="-3"/>
          <w:sz w:val="26"/>
          <w:szCs w:val="26"/>
        </w:rPr>
        <w:t>PPL</w:t>
      </w:r>
      <w:r w:rsidR="00EA7CE0">
        <w:rPr>
          <w:spacing w:val="-3"/>
          <w:sz w:val="26"/>
          <w:szCs w:val="26"/>
        </w:rPr>
        <w:t>’s</w:t>
      </w:r>
      <w:r w:rsidRPr="005C4C23">
        <w:rPr>
          <w:spacing w:val="-3"/>
          <w:sz w:val="26"/>
          <w:szCs w:val="26"/>
        </w:rPr>
        <w:t xml:space="preserve"> territory that are served on Rate Schedules LP-5 or LP-6 and the previous distribution rates that Donsco had been paying under PPL’s Time-of-Day option.  PPLICA M.B. at 12; PPLICA Exception 1.</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In support of the establishment of a negotiated rate schedule, PPLICA presented the testimony of Christopher Buck, plant manager for the Wrightsville foundry owned by Donsco.</w:t>
      </w:r>
      <w:r w:rsidRPr="00E703AC">
        <w:rPr>
          <w:rStyle w:val="FootnoteReference"/>
          <w:spacing w:val="-3"/>
          <w:sz w:val="26"/>
          <w:szCs w:val="26"/>
          <w:vertAlign w:val="superscript"/>
        </w:rPr>
        <w:footnoteReference w:id="39"/>
      </w:r>
      <w:r w:rsidRPr="005C4C23">
        <w:rPr>
          <w:spacing w:val="-3"/>
          <w:sz w:val="26"/>
          <w:szCs w:val="26"/>
        </w:rPr>
        <w:t xml:space="preserve">  He testified that, at the Wrightsville facility, Donsco uses </w:t>
      </w:r>
      <w:r w:rsidRPr="005C4C23">
        <w:rPr>
          <w:spacing w:val="-3"/>
          <w:sz w:val="26"/>
          <w:szCs w:val="26"/>
        </w:rPr>
        <w:lastRenderedPageBreak/>
        <w:t>approximately 27 million kWh of electricity annually, operating only a “third shift,” resulting in usage peak between 8:00 p</w:t>
      </w:r>
      <w:r w:rsidR="001949D2">
        <w:rPr>
          <w:spacing w:val="-3"/>
          <w:sz w:val="26"/>
          <w:szCs w:val="26"/>
        </w:rPr>
        <w:t>.</w:t>
      </w:r>
      <w:r w:rsidRPr="005C4C23">
        <w:rPr>
          <w:spacing w:val="-3"/>
          <w:sz w:val="26"/>
          <w:szCs w:val="26"/>
        </w:rPr>
        <w:t>m</w:t>
      </w:r>
      <w:r w:rsidR="001949D2">
        <w:rPr>
          <w:spacing w:val="-3"/>
          <w:sz w:val="26"/>
          <w:szCs w:val="26"/>
        </w:rPr>
        <w:t>.</w:t>
      </w:r>
      <w:r w:rsidRPr="005C4C23">
        <w:rPr>
          <w:spacing w:val="-3"/>
          <w:sz w:val="26"/>
          <w:szCs w:val="26"/>
        </w:rPr>
        <w:t xml:space="preserve"> and 6:00 a</w:t>
      </w:r>
      <w:r w:rsidR="001949D2">
        <w:rPr>
          <w:spacing w:val="-3"/>
          <w:sz w:val="26"/>
          <w:szCs w:val="26"/>
        </w:rPr>
        <w:t>.</w:t>
      </w:r>
      <w:r w:rsidRPr="005C4C23">
        <w:rPr>
          <w:spacing w:val="-3"/>
          <w:sz w:val="26"/>
          <w:szCs w:val="26"/>
        </w:rPr>
        <w:t>m.  Until January 1, 2010, Donsco participated in</w:t>
      </w:r>
      <w:r w:rsidR="001949D2">
        <w:rPr>
          <w:spacing w:val="-3"/>
          <w:sz w:val="26"/>
          <w:szCs w:val="26"/>
        </w:rPr>
        <w:t>:</w:t>
      </w:r>
      <w:r w:rsidRPr="005C4C23">
        <w:rPr>
          <w:spacing w:val="-3"/>
          <w:sz w:val="26"/>
          <w:szCs w:val="26"/>
        </w:rPr>
        <w:t xml:space="preserve"> (1) PPL’s Time-of-Day billing program for Rate Schedule LP-4, which provided </w:t>
      </w:r>
      <w:r w:rsidR="00EA7CE0">
        <w:rPr>
          <w:spacing w:val="-3"/>
          <w:sz w:val="26"/>
          <w:szCs w:val="26"/>
        </w:rPr>
        <w:t xml:space="preserve">an </w:t>
      </w:r>
      <w:r w:rsidRPr="005C4C23">
        <w:rPr>
          <w:spacing w:val="-3"/>
          <w:sz w:val="26"/>
          <w:szCs w:val="26"/>
        </w:rPr>
        <w:t>incentive to ensure that the peak occurred outside of the time that the PJM Interconnection, LLC (PJM) system tends to peak; and (2) the Economic Development Initiative (EDI) program.  PPLICA St. No. 1 at 2-3.</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At its Mount Joy facility, Donsco uses approximately 20 million kWh of electricity annually operating two shifts, meaning that the furnaces operate around </w:t>
      </w:r>
      <w:r w:rsidR="001949D2">
        <w:rPr>
          <w:spacing w:val="-3"/>
          <w:sz w:val="26"/>
          <w:szCs w:val="26"/>
        </w:rPr>
        <w:t>twenty</w:t>
      </w:r>
      <w:r w:rsidRPr="005C4C23">
        <w:rPr>
          <w:spacing w:val="-3"/>
          <w:sz w:val="26"/>
          <w:szCs w:val="26"/>
        </w:rPr>
        <w:t xml:space="preserve"> hours per day.  Usage peak is approximately 5 MW.  Mount Joy participated in PPL’s Price Response Service (PRS) option prior to January 1, 2010.  PPLICA St. No. 1 at 3.</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Mr. Buck’s unrebutted testimony notes Donsco’s significant efforts to comply with environmental requirements and control costs – especially its electric costs.  In this regard, Mr. Buck testified that the original Wrightsville facility, built in 1906 to produce iron for hardware locks, pulleys and hinges, used a homemade cupola furnace with steam to melt</w:t>
      </w:r>
      <w:r w:rsidR="00813785">
        <w:rPr>
          <w:spacing w:val="-3"/>
          <w:sz w:val="26"/>
          <w:szCs w:val="26"/>
        </w:rPr>
        <w:t xml:space="preserve"> iron</w:t>
      </w:r>
      <w:r w:rsidRPr="005C4C23">
        <w:rPr>
          <w:spacing w:val="-3"/>
          <w:sz w:val="26"/>
          <w:szCs w:val="26"/>
        </w:rPr>
        <w:t>.  In 1971, Donsco began a five-year process to build a new foundry, including a holding furnace, a new cupola and a scrubber system.  In 2000, pursuant to pressure from DEP, the cupola was removed and the process converted to electric melting operations.  PPLICA St. No. 1 at 3-4.  In addition, PPL’s Time-of-Day (TOD) option motivated Donsco to ensure that its peaks occurred during the PJM off-peak period, and in Wrightsville, Donsco moved its entire operation to third shift to permit this.  The action resulted in the loss of employees who could not make the transition to night shift.  PPLICA St. No. 1 at 6.  Exhibit CAB-1 shows monthly usage, distribution charges, billing demand and peak demand for Wrightsville for the prior 27 months.  Exhibit CAB-2 shows what those costs would have been at the tariff rate.  PPLICA St. No. 1 at 6.</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Mr. Buck testified that Donsco has been hit hard with the distribution rate changes on PPL’s system.  Donsco’s Wrightsville facility’s distribution rates increased from </w:t>
      </w:r>
      <w:r w:rsidRPr="005C4C23">
        <w:rPr>
          <w:spacing w:val="-3"/>
          <w:sz w:val="26"/>
          <w:szCs w:val="26"/>
        </w:rPr>
        <w:lastRenderedPageBreak/>
        <w:t>approximately $2,500 per month prior to January 1, 2010 to $20,000 to $35,000 per month.  PPLICA St. No. 1 at 7.</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Donsco attempted to convince PPL to serve it on Rate Schedule LP-5,</w:t>
      </w:r>
      <w:r w:rsidRPr="005C4C23">
        <w:rPr>
          <w:rStyle w:val="FootnoteReference"/>
          <w:spacing w:val="-3"/>
          <w:sz w:val="26"/>
          <w:szCs w:val="26"/>
          <w:vertAlign w:val="superscript"/>
        </w:rPr>
        <w:footnoteReference w:id="40"/>
      </w:r>
      <w:r w:rsidRPr="005C4C23">
        <w:rPr>
          <w:spacing w:val="-3"/>
          <w:sz w:val="26"/>
          <w:szCs w:val="26"/>
        </w:rPr>
        <w:t xml:space="preserve"> which would reduce its distribution costs significantly.  Testimony shows that alternatives were explored when the Wrightsville facility was converted to electric melting but the options presented were either not cost effective or were environmentally prohibitive.  PPLICA St. No.1 at 9-11.  Donsco acknowledges that PPL extended two 12,470 volt lines across the river from the North Columbia 69/12 KV substation which are dedicated to the Donsco facility.  Donsco also admits that while it guaranteed a total payment of $914,000 for distribution service during the five-year period following this extension, due to renegotiation, it paid approximately $548,000 towards the extension, which was short of the full amount.  PPLICA St. No. 1 at 9-10.</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Donsco submitted that it is a unique customer for the following reasons:  </w:t>
      </w:r>
      <w:r>
        <w:rPr>
          <w:spacing w:val="-3"/>
          <w:sz w:val="26"/>
          <w:szCs w:val="26"/>
        </w:rPr>
        <w:t xml:space="preserve">(1) </w:t>
      </w:r>
      <w:r w:rsidRPr="005C4C23">
        <w:rPr>
          <w:spacing w:val="-3"/>
          <w:sz w:val="26"/>
          <w:szCs w:val="26"/>
        </w:rPr>
        <w:t xml:space="preserve">it is much larger than the average LP-4 or LP-5 customer and its demands are 5 MW and 16 MW in a class where the average monthly demand is approximately 1 MW;  </w:t>
      </w:r>
      <w:r>
        <w:rPr>
          <w:spacing w:val="-3"/>
          <w:sz w:val="26"/>
          <w:szCs w:val="26"/>
        </w:rPr>
        <w:t xml:space="preserve">(2) </w:t>
      </w:r>
      <w:r w:rsidRPr="005C4C23">
        <w:rPr>
          <w:spacing w:val="-3"/>
          <w:sz w:val="26"/>
          <w:szCs w:val="26"/>
        </w:rPr>
        <w:t xml:space="preserve">the Wrightsville facility is in close proximity to a 69 kV facility (within 2 miles); </w:t>
      </w:r>
      <w:r>
        <w:rPr>
          <w:spacing w:val="-3"/>
          <w:sz w:val="26"/>
          <w:szCs w:val="26"/>
        </w:rPr>
        <w:t xml:space="preserve">(3) </w:t>
      </w:r>
      <w:r w:rsidRPr="005C4C23">
        <w:rPr>
          <w:spacing w:val="-3"/>
          <w:sz w:val="26"/>
          <w:szCs w:val="26"/>
        </w:rPr>
        <w:t xml:space="preserve">it can document environmental, economic or other impediments to converting to PPL’s Rate Schedule LP-5 or LP-6 69 kV service (the Susquehanna River); </w:t>
      </w:r>
      <w:r>
        <w:rPr>
          <w:spacing w:val="-3"/>
          <w:sz w:val="26"/>
          <w:szCs w:val="26"/>
        </w:rPr>
        <w:t xml:space="preserve">(4) </w:t>
      </w:r>
      <w:r w:rsidRPr="005C4C23">
        <w:rPr>
          <w:spacing w:val="-3"/>
          <w:sz w:val="26"/>
          <w:szCs w:val="26"/>
        </w:rPr>
        <w:t xml:space="preserve">the reduced distribution costs associated with establishing a </w:t>
      </w:r>
      <w:r>
        <w:rPr>
          <w:spacing w:val="-3"/>
          <w:sz w:val="26"/>
          <w:szCs w:val="26"/>
        </w:rPr>
        <w:t>Special</w:t>
      </w:r>
      <w:r w:rsidRPr="005C4C23">
        <w:rPr>
          <w:spacing w:val="-3"/>
          <w:sz w:val="26"/>
          <w:szCs w:val="26"/>
        </w:rPr>
        <w:t xml:space="preserve"> Industrial LP-4 rate will assist in the retention of </w:t>
      </w:r>
      <w:r w:rsidRPr="005C4C23">
        <w:rPr>
          <w:spacing w:val="-3"/>
          <w:sz w:val="26"/>
          <w:szCs w:val="26"/>
        </w:rPr>
        <w:lastRenderedPageBreak/>
        <w:t xml:space="preserve">jobs and possibly the creation of new jobs; and, finally, </w:t>
      </w:r>
      <w:r>
        <w:rPr>
          <w:spacing w:val="-3"/>
          <w:sz w:val="26"/>
          <w:szCs w:val="26"/>
        </w:rPr>
        <w:t xml:space="preserve">(5) </w:t>
      </w:r>
      <w:r w:rsidRPr="005C4C23">
        <w:rPr>
          <w:spacing w:val="-3"/>
          <w:sz w:val="26"/>
          <w:szCs w:val="26"/>
        </w:rPr>
        <w:t xml:space="preserve">its Wrightsville facility provided a guarantee for the construction of the dedicated facilities that would be used to serve the account.  PPLICA St. No. 1 at 12-14.  </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PPLICA’s second witness, Richard A. Baudino, was a consultant who noted that the PPL Electric Economic Development Rider, Intangible Transition Charge, Remand Riders 1 and 2, Interruptible Service by Agreement, and Competitive Rate Rider were all removed from Tariff 20</w:t>
      </w:r>
      <w:r w:rsidR="00EA7CE0">
        <w:rPr>
          <w:spacing w:val="-3"/>
          <w:sz w:val="26"/>
          <w:szCs w:val="26"/>
        </w:rPr>
        <w:t>1</w:t>
      </w:r>
      <w:r w:rsidRPr="005C4C23">
        <w:rPr>
          <w:spacing w:val="-3"/>
          <w:sz w:val="26"/>
          <w:szCs w:val="26"/>
        </w:rPr>
        <w:t xml:space="preserve">, in addition to the expiration of the Time-of-Day demand measurement for commercial and industrial customers on January 1, 2010.  The impact on Donsco was to increase its monthly distribution charges from $4,956 to $23,121, an increase of 366%.  PPLICA  St. No. 2 at 2-3.  </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PPLICA recommended that the Co</w:t>
      </w:r>
      <w:r>
        <w:rPr>
          <w:spacing w:val="-3"/>
          <w:sz w:val="26"/>
          <w:szCs w:val="26"/>
        </w:rPr>
        <w:t>m</w:t>
      </w:r>
      <w:r w:rsidRPr="005C4C23">
        <w:rPr>
          <w:spacing w:val="-3"/>
          <w:sz w:val="26"/>
          <w:szCs w:val="26"/>
        </w:rPr>
        <w:t xml:space="preserve">mission order PPL to create a new LP-4 Special Industrial </w:t>
      </w:r>
      <w:r>
        <w:rPr>
          <w:spacing w:val="-3"/>
          <w:sz w:val="26"/>
          <w:szCs w:val="26"/>
        </w:rPr>
        <w:t>R</w:t>
      </w:r>
      <w:r w:rsidRPr="005C4C23">
        <w:rPr>
          <w:spacing w:val="-3"/>
          <w:sz w:val="26"/>
          <w:szCs w:val="26"/>
        </w:rPr>
        <w:t xml:space="preserve">ate </w:t>
      </w:r>
      <w:r>
        <w:rPr>
          <w:spacing w:val="-3"/>
          <w:sz w:val="26"/>
          <w:szCs w:val="26"/>
        </w:rPr>
        <w:t>S</w:t>
      </w:r>
      <w:r w:rsidRPr="005C4C23">
        <w:rPr>
          <w:spacing w:val="-3"/>
          <w:sz w:val="26"/>
          <w:szCs w:val="26"/>
        </w:rPr>
        <w:t xml:space="preserve">chedule (LP-4 SI), which would be part of the existing LP-4 tariff.  This </w:t>
      </w:r>
      <w:r>
        <w:rPr>
          <w:spacing w:val="-3"/>
          <w:sz w:val="26"/>
          <w:szCs w:val="26"/>
        </w:rPr>
        <w:t>s</w:t>
      </w:r>
      <w:r w:rsidRPr="005C4C23">
        <w:rPr>
          <w:spacing w:val="-3"/>
          <w:sz w:val="26"/>
          <w:szCs w:val="26"/>
        </w:rPr>
        <w:t xml:space="preserve">pecial rate schedule would be open to large general service customers whose maximum billing demands are 4 MW or greater, who are specially situated on PPL’s system and who could otherwise qualify for the LP-5 rate.  PPLICA St. No. 2 at 6.  </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PPLICA argued that the Commission is authorized to approve a negotiated contract-based tariff pursuant to Section 2806(h) of the Code.  Section 2806(h) provides:</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spacing w:line="240" w:lineRule="auto"/>
        <w:ind w:left="1440" w:right="1440"/>
        <w:contextualSpacing/>
        <w:jc w:val="left"/>
        <w:rPr>
          <w:spacing w:val="-3"/>
          <w:sz w:val="26"/>
          <w:szCs w:val="26"/>
        </w:rPr>
      </w:pPr>
      <w:r w:rsidRPr="005C4C23">
        <w:rPr>
          <w:b/>
          <w:spacing w:val="-3"/>
          <w:sz w:val="26"/>
          <w:szCs w:val="26"/>
        </w:rPr>
        <w:t>(h) Flexible pricing.—</w:t>
      </w:r>
      <w:r w:rsidRPr="005C4C23">
        <w:rPr>
          <w:spacing w:val="-3"/>
          <w:sz w:val="26"/>
          <w:szCs w:val="26"/>
        </w:rPr>
        <w:t>In addition to the implicit authority of the commission under section 502 (relating to general powers), the commission has the authority to approve flexible pricing and flexible rates, including negotiated, contract-based tariffs designed to meet the specific needs of a utility customer and to address competitive alternatives.</w:t>
      </w:r>
    </w:p>
    <w:p w:rsidR="00E703AC" w:rsidRPr="005C4C23" w:rsidRDefault="00E703AC" w:rsidP="000E0862">
      <w:pPr>
        <w:tabs>
          <w:tab w:val="left" w:pos="-720"/>
        </w:tabs>
        <w:suppressAutoHyphens/>
        <w:spacing w:line="240" w:lineRule="auto"/>
        <w:ind w:left="1440" w:right="1440" w:hanging="1440"/>
        <w:contextualSpacing/>
        <w:jc w:val="left"/>
        <w:rPr>
          <w:spacing w:val="-3"/>
          <w:sz w:val="26"/>
          <w:szCs w:val="26"/>
        </w:rPr>
      </w:pPr>
    </w:p>
    <w:p w:rsidR="00E703AC" w:rsidRPr="005C4C23" w:rsidRDefault="00E703AC" w:rsidP="000E0862">
      <w:pPr>
        <w:tabs>
          <w:tab w:val="left" w:pos="-720"/>
        </w:tabs>
        <w:suppressAutoHyphens/>
        <w:spacing w:line="240" w:lineRule="auto"/>
        <w:ind w:left="1440" w:right="1440" w:hanging="1440"/>
        <w:contextualSpacing/>
        <w:jc w:val="left"/>
        <w:rPr>
          <w:spacing w:val="-3"/>
          <w:sz w:val="26"/>
          <w:szCs w:val="26"/>
        </w:rPr>
      </w:pPr>
      <w:r w:rsidRPr="005C4C23">
        <w:rPr>
          <w:spacing w:val="-3"/>
          <w:sz w:val="26"/>
          <w:szCs w:val="26"/>
        </w:rPr>
        <w:t>66 Pa. C.S. § 2806(h).</w:t>
      </w:r>
    </w:p>
    <w:p w:rsidR="00E703AC" w:rsidRPr="005C4C23" w:rsidRDefault="00E703AC" w:rsidP="000E0862">
      <w:pPr>
        <w:tabs>
          <w:tab w:val="left" w:pos="-720"/>
        </w:tabs>
        <w:suppressAutoHyphens/>
        <w:jc w:val="left"/>
        <w:rPr>
          <w:spacing w:val="-3"/>
          <w:sz w:val="26"/>
          <w:szCs w:val="26"/>
        </w:rPr>
      </w:pPr>
    </w:p>
    <w:p w:rsidR="00E703AC" w:rsidRPr="005C4C23" w:rsidRDefault="00E703AC" w:rsidP="000E0862">
      <w:pPr>
        <w:tabs>
          <w:tab w:val="left" w:pos="-720"/>
        </w:tabs>
        <w:suppressAutoHyphens/>
        <w:jc w:val="left"/>
        <w:rPr>
          <w:spacing w:val="-3"/>
          <w:sz w:val="26"/>
          <w:szCs w:val="26"/>
        </w:rPr>
      </w:pPr>
      <w:r w:rsidRPr="005C4C23">
        <w:rPr>
          <w:spacing w:val="-3"/>
          <w:sz w:val="26"/>
          <w:szCs w:val="26"/>
        </w:rPr>
        <w:lastRenderedPageBreak/>
        <w:tab/>
      </w:r>
      <w:r w:rsidRPr="005C4C23">
        <w:rPr>
          <w:spacing w:val="-3"/>
          <w:sz w:val="26"/>
          <w:szCs w:val="26"/>
        </w:rPr>
        <w:tab/>
        <w:t xml:space="preserve">It is undisputed that, under the LP-4 rates, the majority of the distribution costs are allocated through demand charges, which places a higher portion of the rate burden on higher demand customers, including Donsco.  Under the proposed rates, Donsco’s two accounts would pay approximately 2% of the LP-4 revenue requirement although they are 0.2% of the customers in the class.  PPLICA St. No. 1 at 13.  </w:t>
      </w:r>
    </w:p>
    <w:p w:rsidR="00E703AC" w:rsidRPr="005C4C23" w:rsidRDefault="00E703AC" w:rsidP="000E0862">
      <w:pPr>
        <w:tabs>
          <w:tab w:val="left" w:pos="-720"/>
        </w:tabs>
        <w:suppressAutoHyphens/>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PPL opposed PPLICA’s Donsco proposal.  The Company pointed out that PPLICA was not opposing the rate proposed in this case but was, instead, seeking relief from the expiration of the Time-of-Day option and other gen</w:t>
      </w:r>
      <w:r w:rsidR="000C3BD3">
        <w:rPr>
          <w:spacing w:val="-3"/>
          <w:sz w:val="26"/>
          <w:szCs w:val="26"/>
        </w:rPr>
        <w:t xml:space="preserve">eration-related discounts which </w:t>
      </w:r>
      <w:r w:rsidRPr="005C4C23">
        <w:rPr>
          <w:spacing w:val="-3"/>
          <w:sz w:val="26"/>
          <w:szCs w:val="26"/>
        </w:rPr>
        <w:t xml:space="preserve">expired December 31, 2009, along with the generation rate caps.  The expiration became effective pursuant to PPL’s restructuring proceeding, </w:t>
      </w:r>
      <w:r w:rsidRPr="005C4C23">
        <w:rPr>
          <w:i/>
          <w:spacing w:val="-3"/>
          <w:sz w:val="26"/>
          <w:szCs w:val="26"/>
        </w:rPr>
        <w:t xml:space="preserve">Application of Pennsylvania Power &amp; Light Company for approval of Restructuring Plan under Section 2806 of the Public Utility Code, </w:t>
      </w:r>
      <w:r w:rsidRPr="005C4C23">
        <w:rPr>
          <w:spacing w:val="-3"/>
          <w:sz w:val="26"/>
          <w:szCs w:val="26"/>
        </w:rPr>
        <w:t>Docket No. R-0093954 (August 27, 1998).   The Company explained:</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pStyle w:val="BodyText2"/>
        <w:spacing w:after="0" w:line="240" w:lineRule="auto"/>
        <w:ind w:left="1440" w:right="1440"/>
        <w:contextualSpacing/>
        <w:rPr>
          <w:sz w:val="26"/>
          <w:szCs w:val="26"/>
        </w:rPr>
      </w:pPr>
      <w:r w:rsidRPr="005C4C23">
        <w:rPr>
          <w:sz w:val="26"/>
          <w:szCs w:val="26"/>
        </w:rPr>
        <w:t>These tariff provisions, although they were contained in PPL Electric’s distribution rates, clearly pertained to generation.  The TOD option recognized that generation costs are lower during off-peak hours, and the EDI rider was intended to promote economic development which would make greater use of generation assets.  PPL Electric Ex. OGK-1A, pp. 19, 27A.  These rates were legacy rates that made sense when PPL Electric was a vertically integrated electric public utility that owned and operated substantial generation facilities.  Pursuant to PPL Electric’s Commission-approved tariff, these generation related discounts in distribution rates expired on December 31, 2009.  Since restructuring of the electric industry and since PPL Electric divested its generation facilities, it no longer makes sense for PPL Electric, an electric distribution company, to make rates offerings related to generation costs.  PPL Electric  8-R, p. 7.  Any savings related to costs of generation now should be attained through prices offered by electric generation suppliers.</w:t>
      </w:r>
    </w:p>
    <w:p w:rsidR="00E703AC" w:rsidRPr="005C4C23" w:rsidRDefault="00E703AC" w:rsidP="000E0862">
      <w:pPr>
        <w:pStyle w:val="BodyText2"/>
        <w:spacing w:after="0" w:line="240" w:lineRule="auto"/>
        <w:ind w:left="1440" w:right="1440"/>
        <w:contextualSpacing/>
        <w:rPr>
          <w:sz w:val="26"/>
          <w:szCs w:val="26"/>
        </w:rPr>
      </w:pPr>
    </w:p>
    <w:p w:rsidR="00E703AC" w:rsidRPr="005C4C23" w:rsidRDefault="00E703AC" w:rsidP="000E0862">
      <w:pPr>
        <w:pStyle w:val="BodyText2"/>
        <w:spacing w:after="0" w:line="240" w:lineRule="auto"/>
        <w:ind w:left="1440" w:right="1440"/>
        <w:contextualSpacing/>
        <w:rPr>
          <w:sz w:val="26"/>
          <w:szCs w:val="26"/>
        </w:rPr>
      </w:pPr>
      <w:r w:rsidRPr="005C4C23">
        <w:rPr>
          <w:sz w:val="26"/>
          <w:szCs w:val="26"/>
        </w:rPr>
        <w:t xml:space="preserve">Indeed, this logic underlies the unbundling of electric rates into separate distribution, transmission and generation components under Section 2804(3) of the Electricity </w:t>
      </w:r>
      <w:r w:rsidRPr="005C4C23">
        <w:rPr>
          <w:sz w:val="26"/>
          <w:szCs w:val="26"/>
        </w:rPr>
        <w:lastRenderedPageBreak/>
        <w:t xml:space="preserve">Generation Customer Choice and Competition Act, 66 </w:t>
      </w:r>
      <w:r w:rsidR="00D628DA" w:rsidRPr="005C4C23">
        <w:rPr>
          <w:sz w:val="26"/>
          <w:szCs w:val="26"/>
        </w:rPr>
        <w:t>Pa.</w:t>
      </w:r>
      <w:r w:rsidR="00D628DA">
        <w:rPr>
          <w:sz w:val="26"/>
          <w:szCs w:val="26"/>
        </w:rPr>
        <w:t xml:space="preserve"> </w:t>
      </w:r>
      <w:r w:rsidR="00D628DA" w:rsidRPr="005C4C23">
        <w:rPr>
          <w:sz w:val="26"/>
          <w:szCs w:val="26"/>
        </w:rPr>
        <w:t>C.S</w:t>
      </w:r>
      <w:r w:rsidRPr="005C4C23">
        <w:rPr>
          <w:sz w:val="26"/>
          <w:szCs w:val="26"/>
        </w:rPr>
        <w:t xml:space="preserve">. § 2804(3).  The essence of unbundling is that charges for generation services, charges for distribution services and charges for transmission services should each stand on their own and not subsidize each other.  For these reasons, discounts in PPL Electric’s distribution rates related to generation costs pursuant to PPL Electric’s Commission-approved tariff, expired with the generation rate caps on December 31, 2009. </w:t>
      </w:r>
    </w:p>
    <w:p w:rsidR="00E703AC" w:rsidRPr="005C4C23" w:rsidRDefault="00E703AC" w:rsidP="000E0862">
      <w:pPr>
        <w:pStyle w:val="BodyText2"/>
        <w:spacing w:after="0" w:line="240" w:lineRule="auto"/>
        <w:ind w:left="1440" w:right="1440"/>
        <w:contextualSpacing/>
        <w:rPr>
          <w:sz w:val="26"/>
          <w:szCs w:val="26"/>
        </w:rPr>
      </w:pPr>
    </w:p>
    <w:p w:rsidR="00E703AC" w:rsidRPr="005C4C23" w:rsidRDefault="00E703AC" w:rsidP="000E0862">
      <w:pPr>
        <w:tabs>
          <w:tab w:val="left" w:pos="-720"/>
        </w:tabs>
        <w:suppressAutoHyphens/>
        <w:jc w:val="left"/>
        <w:rPr>
          <w:spacing w:val="-3"/>
          <w:sz w:val="26"/>
          <w:szCs w:val="26"/>
        </w:rPr>
      </w:pPr>
      <w:r w:rsidRPr="005C4C23">
        <w:rPr>
          <w:spacing w:val="-3"/>
          <w:sz w:val="26"/>
          <w:szCs w:val="26"/>
        </w:rPr>
        <w:t>PPL</w:t>
      </w:r>
      <w:r w:rsidR="008A1C91">
        <w:rPr>
          <w:spacing w:val="-3"/>
          <w:sz w:val="26"/>
          <w:szCs w:val="26"/>
        </w:rPr>
        <w:t xml:space="preserve"> </w:t>
      </w:r>
      <w:r>
        <w:rPr>
          <w:spacing w:val="-3"/>
          <w:sz w:val="26"/>
          <w:szCs w:val="26"/>
        </w:rPr>
        <w:t>M</w:t>
      </w:r>
      <w:r w:rsidRPr="005C4C23">
        <w:rPr>
          <w:spacing w:val="-3"/>
          <w:sz w:val="26"/>
          <w:szCs w:val="26"/>
        </w:rPr>
        <w:t>.B. at 45.</w:t>
      </w:r>
    </w:p>
    <w:p w:rsidR="00E703AC" w:rsidRPr="005C4C23" w:rsidRDefault="00E703AC" w:rsidP="000E0862">
      <w:pPr>
        <w:tabs>
          <w:tab w:val="left" w:pos="-720"/>
        </w:tabs>
        <w:suppressAutoHyphens/>
        <w:spacing w:line="276" w:lineRule="auto"/>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The Company </w:t>
      </w:r>
      <w:r w:rsidR="00D628DA" w:rsidRPr="005C4C23">
        <w:rPr>
          <w:spacing w:val="-3"/>
          <w:sz w:val="26"/>
          <w:szCs w:val="26"/>
        </w:rPr>
        <w:t>disputed</w:t>
      </w:r>
      <w:r w:rsidRPr="005C4C23">
        <w:rPr>
          <w:spacing w:val="-3"/>
          <w:sz w:val="26"/>
          <w:szCs w:val="26"/>
        </w:rPr>
        <w:t xml:space="preserve"> Donsco’s claim of unique circumstances.  PPL pointed out that it serves approximately </w:t>
      </w:r>
      <w:r>
        <w:rPr>
          <w:spacing w:val="-3"/>
          <w:sz w:val="26"/>
          <w:szCs w:val="26"/>
        </w:rPr>
        <w:t>twenty</w:t>
      </w:r>
      <w:r w:rsidRPr="005C4C23">
        <w:rPr>
          <w:spacing w:val="-3"/>
          <w:sz w:val="26"/>
          <w:szCs w:val="26"/>
        </w:rPr>
        <w:t xml:space="preserve"> customers under Rate Schedule LP-4 with demands of 4 MW or greater.  In addition, PPL noted that Donsco’s claim that conversion to 69 kV service is not economically or environmentally feasible would apply to other larger LP-4 customers.  Further, PPL stressed that it is not unusual for LP-4 customers to be within 2 miles of 69 kV facilities and line extension agreements do not necessarily pay for the cost of the facilities.  PPL</w:t>
      </w:r>
      <w:r w:rsidR="008A1C91">
        <w:rPr>
          <w:spacing w:val="-3"/>
          <w:sz w:val="26"/>
          <w:szCs w:val="26"/>
        </w:rPr>
        <w:t xml:space="preserve"> </w:t>
      </w:r>
      <w:r>
        <w:rPr>
          <w:spacing w:val="-3"/>
          <w:sz w:val="26"/>
          <w:szCs w:val="26"/>
        </w:rPr>
        <w:t>M</w:t>
      </w:r>
      <w:r w:rsidR="008A1C91">
        <w:rPr>
          <w:spacing w:val="-3"/>
          <w:sz w:val="26"/>
          <w:szCs w:val="26"/>
        </w:rPr>
        <w:t>. B. at 54-55.</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PPL argued that PPLICA had not provided cost justification for the rate, nor the level of costs that should be recovered through a special rate for Donsco.  PPL thus concluded that there is no basis for determining the revenue stream from a discounted Donsco rate in order to then develop the LP-4 rate for other customers.  PPL</w:t>
      </w:r>
      <w:r w:rsidR="008A1C91">
        <w:rPr>
          <w:spacing w:val="-3"/>
          <w:sz w:val="26"/>
          <w:szCs w:val="26"/>
        </w:rPr>
        <w:t xml:space="preserve"> </w:t>
      </w:r>
      <w:r>
        <w:rPr>
          <w:spacing w:val="-3"/>
          <w:sz w:val="26"/>
          <w:szCs w:val="26"/>
        </w:rPr>
        <w:t>M</w:t>
      </w:r>
      <w:r w:rsidR="008A1C91">
        <w:rPr>
          <w:spacing w:val="-3"/>
          <w:sz w:val="26"/>
          <w:szCs w:val="26"/>
        </w:rPr>
        <w:t>.B. at 55-56.</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PPL emphasized that, under case law precedent, it is clear that the argument that a customer is unique and therefore deserving of a special rate is not persuasive and has been rejected repeatedly in the past.  </w:t>
      </w:r>
    </w:p>
    <w:p w:rsidR="00E703AC" w:rsidRPr="005C4C23" w:rsidRDefault="00E703AC" w:rsidP="000E0862">
      <w:pPr>
        <w:tabs>
          <w:tab w:val="left" w:pos="-720"/>
        </w:tabs>
        <w:suppressAutoHyphens/>
        <w:spacing w:line="240" w:lineRule="auto"/>
        <w:ind w:firstLine="1440"/>
        <w:jc w:val="left"/>
        <w:rPr>
          <w:spacing w:val="-3"/>
          <w:sz w:val="26"/>
          <w:szCs w:val="26"/>
        </w:rPr>
      </w:pPr>
    </w:p>
    <w:p w:rsidR="00E703AC" w:rsidRPr="005C4C23" w:rsidRDefault="00E703AC" w:rsidP="000E0862">
      <w:pPr>
        <w:keepNext/>
        <w:tabs>
          <w:tab w:val="left" w:pos="-720"/>
        </w:tabs>
        <w:suppressAutoHyphens/>
        <w:jc w:val="left"/>
        <w:rPr>
          <w:b/>
          <w:spacing w:val="-3"/>
          <w:sz w:val="26"/>
          <w:szCs w:val="26"/>
        </w:rPr>
      </w:pPr>
      <w:r>
        <w:rPr>
          <w:b/>
          <w:spacing w:val="-3"/>
          <w:sz w:val="26"/>
          <w:szCs w:val="26"/>
        </w:rPr>
        <w:tab/>
      </w:r>
      <w:r>
        <w:rPr>
          <w:b/>
          <w:spacing w:val="-3"/>
          <w:sz w:val="26"/>
          <w:szCs w:val="26"/>
        </w:rPr>
        <w:tab/>
      </w:r>
      <w:r>
        <w:rPr>
          <w:b/>
          <w:spacing w:val="-3"/>
          <w:sz w:val="26"/>
          <w:szCs w:val="26"/>
        </w:rPr>
        <w:tab/>
      </w:r>
      <w:r w:rsidR="00FC093D">
        <w:rPr>
          <w:b/>
          <w:spacing w:val="-3"/>
          <w:sz w:val="26"/>
          <w:szCs w:val="26"/>
        </w:rPr>
        <w:t>ii</w:t>
      </w:r>
      <w:r>
        <w:rPr>
          <w:b/>
          <w:spacing w:val="-3"/>
          <w:sz w:val="26"/>
          <w:szCs w:val="26"/>
        </w:rPr>
        <w:t>.</w:t>
      </w:r>
      <w:r>
        <w:rPr>
          <w:b/>
          <w:spacing w:val="-3"/>
          <w:sz w:val="26"/>
          <w:szCs w:val="26"/>
        </w:rPr>
        <w:tab/>
      </w:r>
      <w:r w:rsidR="002324ED">
        <w:rPr>
          <w:b/>
          <w:spacing w:val="-3"/>
          <w:sz w:val="26"/>
          <w:szCs w:val="26"/>
        </w:rPr>
        <w:t>The ALJ’s Recommendation</w:t>
      </w:r>
    </w:p>
    <w:p w:rsidR="00E703AC" w:rsidRPr="005C4C23" w:rsidRDefault="00E703AC" w:rsidP="000E0862">
      <w:pPr>
        <w:keepNext/>
        <w:tabs>
          <w:tab w:val="left" w:pos="-720"/>
        </w:tabs>
        <w:suppressAutoHyphens/>
        <w:jc w:val="left"/>
        <w:rPr>
          <w:b/>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It was not lost on ALJ Colwell that, as Donsco testified, it has been hit quite hard by the expiration of the rate schedules which provided discounts as well as by its:</w:t>
      </w:r>
    </w:p>
    <w:p w:rsidR="00E703AC" w:rsidRPr="005C4C23" w:rsidRDefault="00E703AC" w:rsidP="000E0862">
      <w:pPr>
        <w:tabs>
          <w:tab w:val="left" w:pos="-720"/>
        </w:tabs>
        <w:suppressAutoHyphens/>
        <w:spacing w:line="240" w:lineRule="auto"/>
        <w:ind w:firstLine="1440"/>
        <w:jc w:val="left"/>
        <w:rPr>
          <w:spacing w:val="-3"/>
          <w:sz w:val="26"/>
          <w:szCs w:val="26"/>
        </w:rPr>
      </w:pPr>
    </w:p>
    <w:p w:rsidR="00E703AC" w:rsidRPr="005C4C23" w:rsidRDefault="00E703AC" w:rsidP="000E0862">
      <w:pPr>
        <w:tabs>
          <w:tab w:val="left" w:pos="-720"/>
        </w:tabs>
        <w:suppressAutoHyphens/>
        <w:spacing w:line="240" w:lineRule="auto"/>
        <w:ind w:left="1440" w:right="1440"/>
        <w:jc w:val="left"/>
        <w:rPr>
          <w:spacing w:val="-3"/>
          <w:sz w:val="26"/>
          <w:szCs w:val="26"/>
        </w:rPr>
      </w:pPr>
      <w:r w:rsidRPr="005C4C23">
        <w:rPr>
          <w:spacing w:val="-3"/>
          <w:sz w:val="26"/>
          <w:szCs w:val="26"/>
        </w:rPr>
        <w:t>. . . “[t]</w:t>
      </w:r>
      <w:proofErr w:type="spellStart"/>
      <w:r w:rsidRPr="005C4C23">
        <w:rPr>
          <w:spacing w:val="-3"/>
          <w:sz w:val="26"/>
          <w:szCs w:val="26"/>
        </w:rPr>
        <w:t>rying</w:t>
      </w:r>
      <w:proofErr w:type="spellEnd"/>
      <w:r w:rsidRPr="005C4C23">
        <w:rPr>
          <w:spacing w:val="-3"/>
          <w:sz w:val="26"/>
          <w:szCs w:val="26"/>
        </w:rPr>
        <w:t xml:space="preserve"> to be a good corporate citizen and trying to be responsive to Pennsylvania’s policy goals.  First, we converted from a cupola to electric melting at the behest of the DEP to reduce our emissions.  Second, we agreed to a more environmentally-friendly plan for service at Wrightsville in 2000 by originally agreeing to take service as 12,470 volts, rather than 69 KV.  Third, we would like to continue supporting an environmentally economically conscious approach to this situation by not pursuing the 69 KV line over (or under) the Susquehanna River.  Finally, we spent the last ten years benefitting the electric grid and reliability by keeping the majority of our usage at Wrightsville off-peak.  When the Time-of-Day option was eliminated, this resulted in approximately a 900% increase to our distribution costs. </w:t>
      </w:r>
    </w:p>
    <w:p w:rsidR="00E703AC" w:rsidRPr="005C4C23" w:rsidRDefault="00E703AC" w:rsidP="000E0862">
      <w:pPr>
        <w:tabs>
          <w:tab w:val="left" w:pos="-720"/>
        </w:tabs>
        <w:suppressAutoHyphens/>
        <w:spacing w:line="240" w:lineRule="auto"/>
        <w:ind w:left="1440" w:right="1440" w:hanging="1440"/>
        <w:jc w:val="left"/>
        <w:rPr>
          <w:spacing w:val="-3"/>
          <w:sz w:val="26"/>
          <w:szCs w:val="26"/>
        </w:rPr>
      </w:pPr>
    </w:p>
    <w:p w:rsidR="00E703AC" w:rsidRPr="005C4C23" w:rsidRDefault="00E703AC" w:rsidP="000E0862">
      <w:pPr>
        <w:tabs>
          <w:tab w:val="left" w:pos="-720"/>
        </w:tabs>
        <w:suppressAutoHyphens/>
        <w:spacing w:line="240" w:lineRule="auto"/>
        <w:ind w:left="1440" w:right="1440" w:hanging="1440"/>
        <w:jc w:val="left"/>
        <w:rPr>
          <w:spacing w:val="-3"/>
          <w:sz w:val="26"/>
          <w:szCs w:val="26"/>
        </w:rPr>
      </w:pPr>
      <w:r w:rsidRPr="005C4C23">
        <w:rPr>
          <w:spacing w:val="-3"/>
          <w:sz w:val="26"/>
          <w:szCs w:val="26"/>
        </w:rPr>
        <w:t xml:space="preserve">PPLICA Stmt. </w:t>
      </w:r>
      <w:r w:rsidR="008A1C91">
        <w:rPr>
          <w:spacing w:val="-3"/>
          <w:sz w:val="26"/>
          <w:szCs w:val="26"/>
        </w:rPr>
        <w:t xml:space="preserve">No. </w:t>
      </w:r>
      <w:r w:rsidRPr="005C4C23">
        <w:rPr>
          <w:spacing w:val="-3"/>
          <w:sz w:val="26"/>
          <w:szCs w:val="26"/>
        </w:rPr>
        <w:t xml:space="preserve">1 at 14-15. </w:t>
      </w:r>
    </w:p>
    <w:p w:rsidR="00E703AC" w:rsidRPr="005C4C23" w:rsidRDefault="00E703AC" w:rsidP="000E0862">
      <w:pPr>
        <w:tabs>
          <w:tab w:val="left" w:pos="-720"/>
        </w:tabs>
        <w:suppressAutoHyphens/>
        <w:spacing w:line="240" w:lineRule="auto"/>
        <w:ind w:left="1440" w:right="1440" w:hanging="1440"/>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That being said, the ALJ concluded that, because PPLICA was seeking relief from existing rates with its own rate proposal, PPLICA had the burden of proving entitlement to the special rate and PPLIC</w:t>
      </w:r>
      <w:r w:rsidR="008A1C91">
        <w:rPr>
          <w:spacing w:val="-3"/>
          <w:sz w:val="26"/>
          <w:szCs w:val="26"/>
        </w:rPr>
        <w:t>A failed to carry that burden.</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The ALJ examined t</w:t>
      </w:r>
      <w:r>
        <w:rPr>
          <w:spacing w:val="-3"/>
          <w:sz w:val="26"/>
          <w:szCs w:val="26"/>
        </w:rPr>
        <w:t>he respective arguments of the P</w:t>
      </w:r>
      <w:r w:rsidRPr="005C4C23">
        <w:rPr>
          <w:spacing w:val="-3"/>
          <w:sz w:val="26"/>
          <w:szCs w:val="26"/>
        </w:rPr>
        <w:t>arties and concluded that Donsco’s special rate proposal was not tantamount to a service complaint.  She found significant th</w:t>
      </w:r>
      <w:r>
        <w:rPr>
          <w:spacing w:val="-3"/>
          <w:sz w:val="26"/>
          <w:szCs w:val="26"/>
        </w:rPr>
        <w:t>e</w:t>
      </w:r>
      <w:r w:rsidRPr="005C4C23">
        <w:rPr>
          <w:spacing w:val="-3"/>
          <w:sz w:val="26"/>
          <w:szCs w:val="26"/>
        </w:rPr>
        <w:t xml:space="preserve"> fact that both PPL and PPLICA chronicled meetings between the Company and Donsco which occurred over a period of some years in an attempt to find a better way to serve the foundry, and both admitted that the alternatives are not practical for one reason or another.  </w:t>
      </w:r>
      <w:r w:rsidRPr="005C4C23">
        <w:rPr>
          <w:i/>
          <w:spacing w:val="-3"/>
          <w:sz w:val="26"/>
          <w:szCs w:val="26"/>
        </w:rPr>
        <w:t xml:space="preserve">See </w:t>
      </w:r>
      <w:r w:rsidRPr="005C4C23">
        <w:rPr>
          <w:spacing w:val="-3"/>
          <w:sz w:val="26"/>
          <w:szCs w:val="26"/>
        </w:rPr>
        <w:t>PPL</w:t>
      </w:r>
      <w:r w:rsidR="008A1C91">
        <w:rPr>
          <w:spacing w:val="-3"/>
          <w:sz w:val="26"/>
          <w:szCs w:val="26"/>
        </w:rPr>
        <w:t xml:space="preserve"> </w:t>
      </w:r>
      <w:r>
        <w:rPr>
          <w:spacing w:val="-3"/>
          <w:sz w:val="26"/>
          <w:szCs w:val="26"/>
        </w:rPr>
        <w:t>M</w:t>
      </w:r>
      <w:r w:rsidRPr="005C4C23">
        <w:rPr>
          <w:spacing w:val="-3"/>
          <w:sz w:val="26"/>
          <w:szCs w:val="26"/>
        </w:rPr>
        <w:t>.B. a</w:t>
      </w:r>
      <w:r w:rsidR="008A1C91">
        <w:rPr>
          <w:spacing w:val="-3"/>
          <w:sz w:val="26"/>
          <w:szCs w:val="26"/>
        </w:rPr>
        <w:t>t 47-48; PPLICA M.B. at 14-19.</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In reviewing PPLICA’s assertion that Donsco was in fact questioning the adequacy of PPL’s service, the ALJ observed that:</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spacing w:line="240" w:lineRule="auto"/>
        <w:ind w:left="1872" w:right="1872"/>
        <w:contextualSpacing/>
        <w:jc w:val="left"/>
        <w:rPr>
          <w:spacing w:val="-3"/>
          <w:sz w:val="26"/>
          <w:szCs w:val="26"/>
        </w:rPr>
      </w:pPr>
      <w:r w:rsidRPr="005C4C23">
        <w:rPr>
          <w:spacing w:val="-3"/>
          <w:sz w:val="26"/>
          <w:szCs w:val="26"/>
        </w:rPr>
        <w:t xml:space="preserve">[a] review of the PPLICA complaint shows two things:  the complainant is PPLICA, not Donsco; and the subject matter is comprised of general rate case issues, not the specific complaint of a specific customer.  It is </w:t>
      </w:r>
      <w:r w:rsidRPr="005C4C23">
        <w:rPr>
          <w:spacing w:val="-3"/>
          <w:sz w:val="26"/>
          <w:szCs w:val="26"/>
        </w:rPr>
        <w:lastRenderedPageBreak/>
        <w:t xml:space="preserve">true that proof of inadequate service may be used to deny all or a portion of a utility’s request for a rate increase.  Therefore, a clear claim of inadequate service and supporting evidence could be presented for that purpose.  It was not.  Rather, PPLICA’s focus in its testimony and Main Brief was describing the </w:t>
      </w:r>
      <w:r w:rsidRPr="005C4C23">
        <w:rPr>
          <w:i/>
          <w:spacing w:val="-3"/>
          <w:sz w:val="26"/>
          <w:szCs w:val="26"/>
        </w:rPr>
        <w:t xml:space="preserve">unique circumstances </w:t>
      </w:r>
      <w:r w:rsidRPr="005C4C23">
        <w:rPr>
          <w:spacing w:val="-3"/>
          <w:sz w:val="26"/>
          <w:szCs w:val="26"/>
        </w:rPr>
        <w:t>of Donsco.  The claim that these unique circumstances and PPL Electric’s handling of them constitutes inadequate service was clearly set forth for the first time in the PPLICA Reply Brief.</w:t>
      </w:r>
    </w:p>
    <w:p w:rsidR="00E703AC" w:rsidRPr="005C4C23" w:rsidRDefault="00E703AC" w:rsidP="000E0862">
      <w:pPr>
        <w:tabs>
          <w:tab w:val="left" w:pos="-720"/>
        </w:tabs>
        <w:suppressAutoHyphens/>
        <w:spacing w:line="240" w:lineRule="auto"/>
        <w:ind w:left="1872" w:right="1872"/>
        <w:contextualSpacing/>
        <w:jc w:val="left"/>
        <w:rPr>
          <w:spacing w:val="-3"/>
          <w:sz w:val="26"/>
          <w:szCs w:val="26"/>
        </w:rPr>
      </w:pPr>
    </w:p>
    <w:p w:rsidR="00E703AC" w:rsidRDefault="00E703AC" w:rsidP="000E0862">
      <w:pPr>
        <w:tabs>
          <w:tab w:val="left" w:pos="-720"/>
        </w:tabs>
        <w:suppressAutoHyphens/>
        <w:contextualSpacing/>
        <w:jc w:val="left"/>
        <w:rPr>
          <w:spacing w:val="-3"/>
          <w:sz w:val="26"/>
          <w:szCs w:val="26"/>
        </w:rPr>
      </w:pPr>
      <w:r w:rsidRPr="005C4C23">
        <w:rPr>
          <w:spacing w:val="-3"/>
          <w:sz w:val="26"/>
          <w:szCs w:val="26"/>
        </w:rPr>
        <w:t xml:space="preserve">R.D. at 99 (footnote omitted).  She discounted PPLICA’s citation to its “gentle questioning” in testimony as sufficient to cure its failure to delineate in its complaint </w:t>
      </w:r>
      <w:r w:rsidR="008A1C91">
        <w:rPr>
          <w:spacing w:val="-3"/>
          <w:sz w:val="26"/>
          <w:szCs w:val="26"/>
        </w:rPr>
        <w:t>“</w:t>
      </w:r>
      <w:r w:rsidRPr="005C4C23">
        <w:rPr>
          <w:spacing w:val="-3"/>
          <w:sz w:val="26"/>
          <w:szCs w:val="26"/>
        </w:rPr>
        <w:t>a clear and concise statement of the act of omission being complained of</w:t>
      </w:r>
      <w:r w:rsidR="008A1C91">
        <w:rPr>
          <w:spacing w:val="-3"/>
          <w:sz w:val="26"/>
          <w:szCs w:val="26"/>
        </w:rPr>
        <w:t>”</w:t>
      </w:r>
      <w:r w:rsidRPr="005C4C23">
        <w:rPr>
          <w:spacing w:val="-3"/>
          <w:sz w:val="26"/>
          <w:szCs w:val="26"/>
        </w:rPr>
        <w:t xml:space="preserve"> and </w:t>
      </w:r>
      <w:r w:rsidR="008A1C91">
        <w:rPr>
          <w:spacing w:val="-3"/>
          <w:sz w:val="26"/>
          <w:szCs w:val="26"/>
        </w:rPr>
        <w:t>“</w:t>
      </w:r>
      <w:r w:rsidRPr="005C4C23">
        <w:rPr>
          <w:spacing w:val="-3"/>
          <w:sz w:val="26"/>
          <w:szCs w:val="26"/>
        </w:rPr>
        <w:t>a clear and concise statement of the relief sought.</w:t>
      </w:r>
      <w:r w:rsidR="008A1C91">
        <w:rPr>
          <w:spacing w:val="-3"/>
          <w:sz w:val="26"/>
          <w:szCs w:val="26"/>
        </w:rPr>
        <w:t>”</w:t>
      </w:r>
      <w:r w:rsidRPr="005C4C23">
        <w:rPr>
          <w:spacing w:val="-3"/>
          <w:sz w:val="26"/>
          <w:szCs w:val="26"/>
        </w:rPr>
        <w:t xml:space="preserve"> R.D. at 99, n. 27.  She admonished PPLICA that had it, during the course of the proceeding, wished to change the nature of its complaint, it could have availed itself of the Commission’s regulations allowing for the amendment of complaints.  </w:t>
      </w:r>
      <w:r w:rsidRPr="005C4C23">
        <w:rPr>
          <w:i/>
          <w:spacing w:val="-3"/>
          <w:sz w:val="26"/>
          <w:szCs w:val="26"/>
        </w:rPr>
        <w:t>Id.</w:t>
      </w:r>
    </w:p>
    <w:p w:rsidR="00E703AC" w:rsidRPr="005C4C23" w:rsidRDefault="00E703AC" w:rsidP="000E0862">
      <w:pPr>
        <w:tabs>
          <w:tab w:val="left" w:pos="-720"/>
        </w:tabs>
        <w:suppressAutoHyphens/>
        <w:spacing w:line="480" w:lineRule="auto"/>
        <w:contextualSpacing/>
        <w:jc w:val="left"/>
        <w:rPr>
          <w:spacing w:val="-3"/>
          <w:sz w:val="26"/>
          <w:szCs w:val="26"/>
        </w:rPr>
      </w:pPr>
    </w:p>
    <w:p w:rsidR="00B3139D"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The ALJ also acknowledged the undisputed fact that, in order for Donsco to receive service at Rate Schedule LP-4, PPL constructed two new 12 kV conductors from the North Columbia 69-12 kV substation to Donsco’s Wrightsville plant.  R.D. at 99.  Without new conductors, PPL would not have had the capacity to service Donsco’s needs and the other customers on the west side of the Susquehanna River.  R.D. at 99; PPL</w:t>
      </w:r>
      <w:r w:rsidR="008A1C91">
        <w:rPr>
          <w:spacing w:val="-3"/>
          <w:sz w:val="26"/>
          <w:szCs w:val="26"/>
        </w:rPr>
        <w:t xml:space="preserve"> </w:t>
      </w:r>
      <w:r>
        <w:rPr>
          <w:spacing w:val="-3"/>
          <w:sz w:val="26"/>
          <w:szCs w:val="26"/>
        </w:rPr>
        <w:t>M</w:t>
      </w:r>
      <w:r w:rsidRPr="005C4C23">
        <w:rPr>
          <w:spacing w:val="-3"/>
          <w:sz w:val="26"/>
          <w:szCs w:val="26"/>
        </w:rPr>
        <w:t xml:space="preserve">.B. at 48, citing PPL Stmt. 8-R at 3.  She also noted that, while Donsco was required to enter into a five-year line extension guarantee, the agreement was terminated after three years in exchange for an agreement that service to Donsco could be interrupted when necessary to continue service to other  customers in the area, and that Donsco’s payments to PPL were only for its distribution rates.  PPL expended over $1 million to construct the service facilities, PPL </w:t>
      </w:r>
      <w:r w:rsidR="00387392">
        <w:rPr>
          <w:spacing w:val="-3"/>
          <w:sz w:val="26"/>
          <w:szCs w:val="26"/>
        </w:rPr>
        <w:t>M</w:t>
      </w:r>
      <w:r w:rsidRPr="005C4C23">
        <w:rPr>
          <w:spacing w:val="-3"/>
          <w:sz w:val="26"/>
          <w:szCs w:val="26"/>
        </w:rPr>
        <w:t xml:space="preserve">.B. at 49, and Donsco’s total line extension payments were “over </w:t>
      </w:r>
    </w:p>
    <w:p w:rsidR="00B3139D" w:rsidRDefault="00B3139D">
      <w:pPr>
        <w:spacing w:after="200" w:line="276" w:lineRule="auto"/>
        <w:jc w:val="left"/>
        <w:rPr>
          <w:spacing w:val="-3"/>
          <w:sz w:val="26"/>
          <w:szCs w:val="26"/>
        </w:rPr>
      </w:pPr>
      <w:r>
        <w:rPr>
          <w:spacing w:val="-3"/>
          <w:sz w:val="26"/>
          <w:szCs w:val="26"/>
        </w:rPr>
        <w:br w:type="page"/>
      </w: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lastRenderedPageBreak/>
        <w:t>$548,000.”</w:t>
      </w:r>
      <w:r w:rsidRPr="00EE2C62">
        <w:rPr>
          <w:rStyle w:val="FootnoteReference"/>
          <w:rFonts w:ascii="Times New (W1)" w:hAnsi="Times New (W1)"/>
          <w:spacing w:val="-3"/>
          <w:sz w:val="26"/>
          <w:szCs w:val="26"/>
          <w:vertAlign w:val="superscript"/>
        </w:rPr>
        <w:footnoteReference w:id="41"/>
      </w:r>
      <w:r w:rsidRPr="005C4C23">
        <w:rPr>
          <w:spacing w:val="-3"/>
          <w:sz w:val="26"/>
          <w:szCs w:val="26"/>
        </w:rPr>
        <w:t xml:space="preserve">  PPLICA M.B. at 14.  The ALJ concluded that, even if PPLICA’s position was deemed to be a claim of inadequate service, on the basis of this record, there was no evidence to support such a finding.  </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 xml:space="preserve">The ALJ correctly summarized PPLICA’s requested relief.  She found that PPLICA was seeking a Commission order </w:t>
      </w:r>
      <w:r w:rsidRPr="005C4C23">
        <w:rPr>
          <w:i/>
          <w:spacing w:val="-3"/>
          <w:sz w:val="26"/>
          <w:szCs w:val="26"/>
        </w:rPr>
        <w:t>directing</w:t>
      </w:r>
      <w:r w:rsidRPr="005C4C23">
        <w:rPr>
          <w:spacing w:val="-3"/>
          <w:sz w:val="26"/>
          <w:szCs w:val="26"/>
        </w:rPr>
        <w:t xml:space="preserve"> PPL to establish a new rate schedule not only for Donsco, but for entities that could meet the following specific standards:  </w:t>
      </w:r>
    </w:p>
    <w:p w:rsidR="00E703AC" w:rsidRPr="005C4C23" w:rsidRDefault="00E703AC" w:rsidP="000E0862">
      <w:pPr>
        <w:tabs>
          <w:tab w:val="left" w:pos="-720"/>
        </w:tabs>
        <w:suppressAutoHyphens/>
        <w:contextualSpacing/>
        <w:jc w:val="left"/>
        <w:rPr>
          <w:spacing w:val="-3"/>
          <w:sz w:val="26"/>
          <w:szCs w:val="26"/>
        </w:rPr>
      </w:pPr>
    </w:p>
    <w:p w:rsidR="00E703AC" w:rsidRDefault="00E703AC" w:rsidP="000E0862">
      <w:pPr>
        <w:tabs>
          <w:tab w:val="left" w:pos="-720"/>
        </w:tabs>
        <w:suppressAutoHyphens/>
        <w:spacing w:line="240" w:lineRule="auto"/>
        <w:ind w:left="1987" w:hanging="547"/>
        <w:contextualSpacing/>
        <w:jc w:val="left"/>
        <w:rPr>
          <w:spacing w:val="-3"/>
          <w:sz w:val="26"/>
          <w:szCs w:val="26"/>
        </w:rPr>
      </w:pPr>
      <w:r w:rsidRPr="005C4C23">
        <w:rPr>
          <w:spacing w:val="-3"/>
          <w:sz w:val="26"/>
          <w:szCs w:val="26"/>
        </w:rPr>
        <w:t>1.</w:t>
      </w:r>
      <w:r w:rsidRPr="005C4C23">
        <w:rPr>
          <w:spacing w:val="-3"/>
          <w:sz w:val="26"/>
          <w:szCs w:val="26"/>
        </w:rPr>
        <w:tab/>
        <w:t>Customer demand must be reasonably consistent with Rate Schedule LP-5;</w:t>
      </w:r>
    </w:p>
    <w:p w:rsidR="00A87DF6" w:rsidRDefault="00A87DF6" w:rsidP="000E0862">
      <w:pPr>
        <w:tabs>
          <w:tab w:val="left" w:pos="-720"/>
        </w:tabs>
        <w:suppressAutoHyphens/>
        <w:spacing w:line="240" w:lineRule="auto"/>
        <w:ind w:left="1987" w:hanging="547"/>
        <w:contextualSpacing/>
        <w:jc w:val="left"/>
        <w:rPr>
          <w:spacing w:val="-3"/>
          <w:sz w:val="26"/>
          <w:szCs w:val="26"/>
        </w:rPr>
      </w:pPr>
    </w:p>
    <w:p w:rsidR="00E703AC" w:rsidRDefault="00E703AC" w:rsidP="000E0862">
      <w:pPr>
        <w:tabs>
          <w:tab w:val="left" w:pos="-720"/>
        </w:tabs>
        <w:suppressAutoHyphens/>
        <w:spacing w:line="240" w:lineRule="auto"/>
        <w:ind w:left="1987" w:hanging="547"/>
        <w:contextualSpacing/>
        <w:jc w:val="left"/>
        <w:rPr>
          <w:spacing w:val="-3"/>
          <w:sz w:val="26"/>
          <w:szCs w:val="26"/>
        </w:rPr>
      </w:pPr>
      <w:r w:rsidRPr="005C4C23">
        <w:rPr>
          <w:spacing w:val="-3"/>
          <w:sz w:val="26"/>
          <w:szCs w:val="26"/>
        </w:rPr>
        <w:t>2.</w:t>
      </w:r>
      <w:r w:rsidRPr="005C4C23">
        <w:rPr>
          <w:spacing w:val="-3"/>
          <w:sz w:val="26"/>
          <w:szCs w:val="26"/>
        </w:rPr>
        <w:tab/>
        <w:t>Factors such as economic development, load retention and employment could be considered;</w:t>
      </w:r>
    </w:p>
    <w:p w:rsidR="00A87DF6" w:rsidRDefault="00A87DF6" w:rsidP="000E0862">
      <w:pPr>
        <w:tabs>
          <w:tab w:val="left" w:pos="-720"/>
        </w:tabs>
        <w:suppressAutoHyphens/>
        <w:spacing w:line="240" w:lineRule="auto"/>
        <w:ind w:left="1987" w:hanging="547"/>
        <w:contextualSpacing/>
        <w:jc w:val="left"/>
        <w:rPr>
          <w:spacing w:val="-3"/>
          <w:sz w:val="26"/>
          <w:szCs w:val="26"/>
        </w:rPr>
      </w:pPr>
    </w:p>
    <w:p w:rsidR="00E703AC" w:rsidRDefault="00E703AC" w:rsidP="000E0862">
      <w:pPr>
        <w:tabs>
          <w:tab w:val="left" w:pos="-720"/>
        </w:tabs>
        <w:suppressAutoHyphens/>
        <w:spacing w:line="240" w:lineRule="auto"/>
        <w:ind w:left="1987" w:hanging="547"/>
        <w:contextualSpacing/>
        <w:jc w:val="left"/>
        <w:rPr>
          <w:spacing w:val="-3"/>
          <w:sz w:val="26"/>
          <w:szCs w:val="26"/>
        </w:rPr>
      </w:pPr>
      <w:r w:rsidRPr="005C4C23">
        <w:rPr>
          <w:spacing w:val="-3"/>
          <w:sz w:val="26"/>
          <w:szCs w:val="26"/>
        </w:rPr>
        <w:t>3.</w:t>
      </w:r>
      <w:r w:rsidRPr="005C4C23">
        <w:rPr>
          <w:spacing w:val="-3"/>
          <w:sz w:val="26"/>
          <w:szCs w:val="26"/>
        </w:rPr>
        <w:tab/>
        <w:t>The economic and/or environmental feasibility of converting the account to transmission voltage service in Rate Schedule LP-5 could be considered;</w:t>
      </w:r>
    </w:p>
    <w:p w:rsidR="00A87DF6" w:rsidRDefault="00A87DF6" w:rsidP="000E0862">
      <w:pPr>
        <w:tabs>
          <w:tab w:val="left" w:pos="-720"/>
        </w:tabs>
        <w:suppressAutoHyphens/>
        <w:spacing w:line="240" w:lineRule="auto"/>
        <w:ind w:left="1987" w:hanging="547"/>
        <w:contextualSpacing/>
        <w:jc w:val="left"/>
        <w:rPr>
          <w:spacing w:val="-3"/>
          <w:sz w:val="26"/>
          <w:szCs w:val="26"/>
        </w:rPr>
      </w:pPr>
    </w:p>
    <w:p w:rsidR="00E703AC" w:rsidRDefault="00E703AC" w:rsidP="000E0862">
      <w:pPr>
        <w:tabs>
          <w:tab w:val="left" w:pos="-720"/>
        </w:tabs>
        <w:suppressAutoHyphens/>
        <w:spacing w:line="240" w:lineRule="auto"/>
        <w:ind w:left="1987" w:hanging="547"/>
        <w:contextualSpacing/>
        <w:jc w:val="left"/>
        <w:rPr>
          <w:spacing w:val="-3"/>
          <w:sz w:val="26"/>
          <w:szCs w:val="26"/>
        </w:rPr>
      </w:pPr>
      <w:r w:rsidRPr="005C4C23">
        <w:rPr>
          <w:spacing w:val="-3"/>
          <w:sz w:val="26"/>
          <w:szCs w:val="26"/>
        </w:rPr>
        <w:t>4.</w:t>
      </w:r>
      <w:r w:rsidRPr="005C4C23">
        <w:rPr>
          <w:spacing w:val="-3"/>
          <w:sz w:val="26"/>
          <w:szCs w:val="26"/>
        </w:rPr>
        <w:tab/>
        <w:t>The proximity to 69 kV (or higher) facilities and/or the ability to specifically identify the lines and equipment used to serve the facility could be considered; and</w:t>
      </w:r>
    </w:p>
    <w:p w:rsidR="00A87DF6" w:rsidRDefault="00A87DF6" w:rsidP="000E0862">
      <w:pPr>
        <w:tabs>
          <w:tab w:val="left" w:pos="-720"/>
        </w:tabs>
        <w:suppressAutoHyphens/>
        <w:spacing w:line="240" w:lineRule="auto"/>
        <w:ind w:left="1987" w:hanging="547"/>
        <w:contextualSpacing/>
        <w:jc w:val="left"/>
        <w:rPr>
          <w:spacing w:val="-3"/>
          <w:sz w:val="26"/>
          <w:szCs w:val="26"/>
        </w:rPr>
      </w:pPr>
    </w:p>
    <w:p w:rsidR="00E703AC" w:rsidRDefault="00E703AC" w:rsidP="00387392">
      <w:pPr>
        <w:keepNext/>
        <w:tabs>
          <w:tab w:val="left" w:pos="-720"/>
        </w:tabs>
        <w:suppressAutoHyphens/>
        <w:spacing w:line="240" w:lineRule="auto"/>
        <w:ind w:left="1987" w:hanging="547"/>
        <w:contextualSpacing/>
        <w:jc w:val="left"/>
        <w:rPr>
          <w:spacing w:val="-3"/>
          <w:sz w:val="26"/>
          <w:szCs w:val="26"/>
        </w:rPr>
      </w:pPr>
      <w:r w:rsidRPr="005C4C23">
        <w:rPr>
          <w:spacing w:val="-3"/>
          <w:sz w:val="26"/>
          <w:szCs w:val="26"/>
        </w:rPr>
        <w:t>5.</w:t>
      </w:r>
      <w:r w:rsidRPr="005C4C23">
        <w:rPr>
          <w:spacing w:val="-3"/>
          <w:sz w:val="26"/>
          <w:szCs w:val="26"/>
        </w:rPr>
        <w:tab/>
        <w:t xml:space="preserve">If the customer paid a contribution in aid of construction or provided a guarantee for the line extension, they should be eligible for this negotiated rate option.  </w:t>
      </w:r>
    </w:p>
    <w:p w:rsidR="00E703AC" w:rsidRPr="005C4C23" w:rsidRDefault="00E703AC" w:rsidP="00387392">
      <w:pPr>
        <w:keepNext/>
        <w:tabs>
          <w:tab w:val="left" w:pos="-720"/>
        </w:tabs>
        <w:suppressAutoHyphens/>
        <w:spacing w:line="240" w:lineRule="auto"/>
        <w:ind w:left="1440" w:hanging="1440"/>
        <w:contextualSpacing/>
        <w:jc w:val="left"/>
        <w:rPr>
          <w:spacing w:val="-3"/>
          <w:sz w:val="26"/>
          <w:szCs w:val="26"/>
        </w:rPr>
      </w:pPr>
    </w:p>
    <w:p w:rsidR="00E703AC" w:rsidRPr="005C4C23" w:rsidRDefault="00E703AC" w:rsidP="000E0862">
      <w:pPr>
        <w:tabs>
          <w:tab w:val="left" w:pos="-720"/>
        </w:tabs>
        <w:suppressAutoHyphens/>
        <w:ind w:left="1440" w:hanging="1440"/>
        <w:contextualSpacing/>
        <w:jc w:val="left"/>
        <w:rPr>
          <w:spacing w:val="-3"/>
          <w:sz w:val="26"/>
          <w:szCs w:val="26"/>
        </w:rPr>
      </w:pPr>
      <w:r w:rsidRPr="005C4C23">
        <w:rPr>
          <w:spacing w:val="-3"/>
          <w:sz w:val="26"/>
          <w:szCs w:val="26"/>
        </w:rPr>
        <w:t>PPLICA M.B. at 22-23.</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 xml:space="preserve">The ALJ took issue with PPLICA’s failure to state support for its proposition that the Commission should </w:t>
      </w:r>
      <w:r w:rsidRPr="005C4C23">
        <w:rPr>
          <w:i/>
          <w:spacing w:val="-3"/>
          <w:sz w:val="26"/>
          <w:szCs w:val="26"/>
        </w:rPr>
        <w:t>order</w:t>
      </w:r>
      <w:r w:rsidRPr="005C4C23">
        <w:rPr>
          <w:spacing w:val="-3"/>
          <w:sz w:val="26"/>
          <w:szCs w:val="26"/>
        </w:rPr>
        <w:t xml:space="preserve"> (not </w:t>
      </w:r>
      <w:r w:rsidRPr="005C4C23">
        <w:rPr>
          <w:spacing w:val="-3"/>
          <w:sz w:val="26"/>
          <w:szCs w:val="26"/>
          <w:u w:val="single"/>
        </w:rPr>
        <w:t>approve</w:t>
      </w:r>
      <w:r w:rsidRPr="005C4C23">
        <w:rPr>
          <w:spacing w:val="-3"/>
          <w:sz w:val="26"/>
          <w:szCs w:val="26"/>
        </w:rPr>
        <w:t xml:space="preserve">, as the flexible pricing provision in Section 2806(h) of the Code states) the establishment of a new rate schedule to suit the needs of a </w:t>
      </w:r>
      <w:r w:rsidRPr="005C4C23">
        <w:rPr>
          <w:spacing w:val="-3"/>
          <w:sz w:val="26"/>
          <w:szCs w:val="26"/>
        </w:rPr>
        <w:lastRenderedPageBreak/>
        <w:t xml:space="preserve">particular customer.  She determined that, while Donsco would surely benefit from creation of a new schedule which reduces its rates, the same could be said of any customer.  </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t>The ALJ acknowledged PPL’s argument that:</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pStyle w:val="BodyText2"/>
        <w:spacing w:after="0" w:line="240" w:lineRule="auto"/>
        <w:ind w:left="1440" w:right="1440"/>
        <w:contextualSpacing/>
        <w:rPr>
          <w:sz w:val="26"/>
          <w:szCs w:val="26"/>
        </w:rPr>
      </w:pPr>
      <w:r w:rsidRPr="005C4C23">
        <w:rPr>
          <w:sz w:val="26"/>
          <w:szCs w:val="26"/>
        </w:rPr>
        <w:t>No special rate is appropriate for Donsco.  Such rate would be unfair to other customers in at least three different respects.  First, rates for other customers being served on Rate Schedule LP-4 would have to increased [sic] to offset a rate reduction for Donsco and other similarly-situated customers who could qualify for any rate beneficial to Donsco.  In fact, under Donsco’s proposal, other LP-4 customers would be required to pay higher rates even though they would not receive any additional benefits.  PPL Electric  8-R, p. 6.  Second, such a rate would not be fair to other former LP-4 customers who paid the costs, often significant,</w:t>
      </w:r>
      <w:r w:rsidRPr="005C4C23">
        <w:rPr>
          <w:rStyle w:val="FootnoteReference"/>
          <w:sz w:val="26"/>
          <w:szCs w:val="26"/>
          <w:vertAlign w:val="superscript"/>
        </w:rPr>
        <w:footnoteReference w:id="42"/>
      </w:r>
      <w:r w:rsidRPr="005C4C23">
        <w:rPr>
          <w:sz w:val="26"/>
          <w:szCs w:val="26"/>
        </w:rPr>
        <w:t xml:space="preserve"> of installing 69 kV facilities in order to be eligible for service on Rate Schedule LP-5, which has significantly lower rates because none of the costs of the 12 kV secondary distribution system are allocated to service at 69 kV or greater voltages under Rate Schedule LP</w:t>
      </w:r>
      <w:r w:rsidR="00DD1BC8">
        <w:rPr>
          <w:sz w:val="26"/>
          <w:szCs w:val="26"/>
        </w:rPr>
        <w:noBreakHyphen/>
      </w:r>
      <w:r w:rsidRPr="005C4C23">
        <w:rPr>
          <w:sz w:val="26"/>
          <w:szCs w:val="26"/>
        </w:rPr>
        <w:t xml:space="preserve">5.  PPL Electric  8-R, p. 6.  Third, even Section 2806(h), which PPLICA cites in favor of its contentions, recognizes the competitive effect of rate reductions.  A rate reduction for Donsco would be unfair to its competitors, </w:t>
      </w:r>
      <w:r w:rsidRPr="005C4C23">
        <w:rPr>
          <w:i/>
          <w:sz w:val="26"/>
          <w:szCs w:val="26"/>
        </w:rPr>
        <w:t>i.e.</w:t>
      </w:r>
      <w:r w:rsidRPr="005C4C23">
        <w:rPr>
          <w:sz w:val="26"/>
          <w:szCs w:val="26"/>
        </w:rPr>
        <w:t xml:space="preserve">, other forges, unless similar rate reductions were made available to the other forges, which would have the effect of increasing the burden to be shifted to other customers of PPL Electric under Rate Schedule LP-4, which are not forges. </w:t>
      </w:r>
    </w:p>
    <w:p w:rsidR="00E703AC" w:rsidRPr="005C4C23" w:rsidRDefault="00E703AC" w:rsidP="000E0862">
      <w:pPr>
        <w:pStyle w:val="BodyText2"/>
        <w:spacing w:after="0" w:line="240" w:lineRule="auto"/>
        <w:ind w:left="1440" w:right="1440"/>
        <w:contextualSpacing/>
        <w:rPr>
          <w:sz w:val="26"/>
          <w:szCs w:val="26"/>
        </w:rPr>
      </w:pPr>
      <w:r w:rsidRPr="005C4C23">
        <w:rPr>
          <w:sz w:val="26"/>
          <w:szCs w:val="26"/>
        </w:rPr>
        <w:t xml:space="preserve">  </w:t>
      </w: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 xml:space="preserve">R.D. at 100-01; PPL Electric </w:t>
      </w:r>
      <w:r>
        <w:rPr>
          <w:spacing w:val="-3"/>
          <w:sz w:val="26"/>
          <w:szCs w:val="26"/>
        </w:rPr>
        <w:t>M.B.</w:t>
      </w:r>
      <w:r w:rsidR="00DD1BC8">
        <w:rPr>
          <w:spacing w:val="-3"/>
          <w:sz w:val="26"/>
          <w:szCs w:val="26"/>
        </w:rPr>
        <w:t xml:space="preserve"> </w:t>
      </w:r>
      <w:r w:rsidRPr="005C4C23">
        <w:rPr>
          <w:spacing w:val="-3"/>
          <w:sz w:val="26"/>
          <w:szCs w:val="26"/>
        </w:rPr>
        <w:t>at 50.</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contextualSpacing/>
        <w:jc w:val="left"/>
        <w:rPr>
          <w:spacing w:val="-3"/>
          <w:sz w:val="26"/>
          <w:szCs w:val="26"/>
        </w:rPr>
      </w:pPr>
      <w:r w:rsidRPr="005C4C23">
        <w:rPr>
          <w:spacing w:val="-3"/>
          <w:sz w:val="26"/>
          <w:szCs w:val="26"/>
        </w:rPr>
        <w:tab/>
      </w:r>
      <w:r w:rsidRPr="005C4C23">
        <w:rPr>
          <w:spacing w:val="-3"/>
          <w:sz w:val="26"/>
          <w:szCs w:val="26"/>
        </w:rPr>
        <w:tab/>
        <w:t>The ALJ concluded that the bottom line was that:</w:t>
      </w:r>
    </w:p>
    <w:p w:rsidR="00E703AC" w:rsidRPr="005C4C23" w:rsidRDefault="00E703AC" w:rsidP="000E0862">
      <w:pPr>
        <w:tabs>
          <w:tab w:val="left" w:pos="-720"/>
        </w:tabs>
        <w:suppressAutoHyphens/>
        <w:contextualSpacing/>
        <w:jc w:val="left"/>
        <w:rPr>
          <w:spacing w:val="-3"/>
          <w:sz w:val="26"/>
          <w:szCs w:val="26"/>
        </w:rPr>
      </w:pPr>
    </w:p>
    <w:p w:rsidR="00E703AC" w:rsidRPr="005C4C23" w:rsidRDefault="00E703AC" w:rsidP="000E0862">
      <w:pPr>
        <w:tabs>
          <w:tab w:val="left" w:pos="-720"/>
        </w:tabs>
        <w:suppressAutoHyphens/>
        <w:spacing w:line="240" w:lineRule="auto"/>
        <w:ind w:left="1872" w:right="1872"/>
        <w:contextualSpacing/>
        <w:jc w:val="left"/>
        <w:rPr>
          <w:spacing w:val="-3"/>
          <w:sz w:val="26"/>
          <w:szCs w:val="26"/>
        </w:rPr>
      </w:pPr>
      <w:r w:rsidRPr="005C4C23">
        <w:rPr>
          <w:spacing w:val="-3"/>
          <w:sz w:val="26"/>
          <w:szCs w:val="26"/>
        </w:rPr>
        <w:lastRenderedPageBreak/>
        <w:t xml:space="preserve">the tariff provisions which eased Donsco’s costs prior to December 31, 2009, and have expired, were for generation-related costs.  Under Electric Competition, it is improper and illogical for the distribution company to establish </w:t>
      </w:r>
      <w:r w:rsidRPr="005C4C23">
        <w:rPr>
          <w:i/>
          <w:spacing w:val="-3"/>
          <w:sz w:val="26"/>
          <w:szCs w:val="26"/>
        </w:rPr>
        <w:t>generation</w:t>
      </w:r>
      <w:r w:rsidRPr="005C4C23">
        <w:rPr>
          <w:spacing w:val="-3"/>
          <w:sz w:val="26"/>
          <w:szCs w:val="26"/>
        </w:rPr>
        <w:t xml:space="preserve"> relief tariff schedules for </w:t>
      </w:r>
      <w:r w:rsidRPr="005C4C23">
        <w:rPr>
          <w:i/>
          <w:spacing w:val="-3"/>
          <w:sz w:val="26"/>
          <w:szCs w:val="26"/>
        </w:rPr>
        <w:t>distribution</w:t>
      </w:r>
      <w:r w:rsidRPr="005C4C23">
        <w:rPr>
          <w:spacing w:val="-3"/>
          <w:sz w:val="26"/>
          <w:szCs w:val="26"/>
        </w:rPr>
        <w:t xml:space="preserve"> customers where those “saved” costs would be incurred anyway and then redistributed to the other members of the rate class.</w:t>
      </w:r>
    </w:p>
    <w:p w:rsidR="00E703AC" w:rsidRPr="005C4C23" w:rsidRDefault="00E703AC" w:rsidP="000E0862">
      <w:pPr>
        <w:tabs>
          <w:tab w:val="left" w:pos="-720"/>
        </w:tabs>
        <w:suppressAutoHyphens/>
        <w:spacing w:line="240" w:lineRule="auto"/>
        <w:ind w:left="1872" w:right="1872"/>
        <w:contextualSpacing/>
        <w:jc w:val="left"/>
        <w:rPr>
          <w:spacing w:val="-3"/>
          <w:sz w:val="26"/>
          <w:szCs w:val="26"/>
        </w:rPr>
      </w:pPr>
    </w:p>
    <w:p w:rsidR="00E703AC" w:rsidRPr="005C4C23" w:rsidRDefault="00E703AC" w:rsidP="000E0862">
      <w:pPr>
        <w:tabs>
          <w:tab w:val="left" w:pos="-720"/>
        </w:tabs>
        <w:suppressAutoHyphens/>
        <w:spacing w:line="240" w:lineRule="auto"/>
        <w:contextualSpacing/>
        <w:jc w:val="left"/>
        <w:rPr>
          <w:spacing w:val="-3"/>
          <w:sz w:val="26"/>
          <w:szCs w:val="26"/>
        </w:rPr>
      </w:pPr>
      <w:r w:rsidRPr="005C4C23">
        <w:rPr>
          <w:spacing w:val="-3"/>
          <w:sz w:val="26"/>
          <w:szCs w:val="26"/>
        </w:rPr>
        <w:t>R.D. at 101 (footnote omitted).</w:t>
      </w:r>
    </w:p>
    <w:p w:rsidR="00E703AC" w:rsidRPr="005C4C23" w:rsidRDefault="00E703AC" w:rsidP="000E0862">
      <w:pPr>
        <w:tabs>
          <w:tab w:val="left" w:pos="-720"/>
        </w:tabs>
        <w:suppressAutoHyphens/>
        <w:spacing w:line="480" w:lineRule="auto"/>
        <w:contextualSpacing/>
        <w:jc w:val="left"/>
        <w:rPr>
          <w:spacing w:val="-3"/>
          <w:sz w:val="26"/>
          <w:szCs w:val="26"/>
        </w:rPr>
      </w:pPr>
    </w:p>
    <w:p w:rsidR="00E703AC" w:rsidRPr="005C4C23" w:rsidRDefault="00E703AC" w:rsidP="000E0862">
      <w:pPr>
        <w:tabs>
          <w:tab w:val="left" w:pos="-720"/>
        </w:tabs>
        <w:suppressAutoHyphens/>
        <w:spacing w:line="480" w:lineRule="auto"/>
        <w:contextualSpacing/>
        <w:jc w:val="left"/>
        <w:rPr>
          <w:spacing w:val="-3"/>
          <w:sz w:val="26"/>
          <w:szCs w:val="26"/>
        </w:rPr>
      </w:pPr>
      <w:r w:rsidRPr="005C4C23">
        <w:rPr>
          <w:spacing w:val="-3"/>
          <w:sz w:val="26"/>
          <w:szCs w:val="26"/>
        </w:rPr>
        <w:tab/>
        <w:t xml:space="preserve">The ALJ agreed with PPL that: </w:t>
      </w:r>
    </w:p>
    <w:p w:rsidR="00E703AC" w:rsidRPr="005C4C23" w:rsidRDefault="00E703AC" w:rsidP="000E0862">
      <w:pPr>
        <w:pStyle w:val="BodyText2"/>
        <w:spacing w:after="0" w:line="240" w:lineRule="auto"/>
        <w:ind w:left="1440" w:right="1440"/>
        <w:contextualSpacing/>
        <w:rPr>
          <w:sz w:val="26"/>
          <w:szCs w:val="26"/>
        </w:rPr>
      </w:pPr>
      <w:r w:rsidRPr="005C4C23">
        <w:rPr>
          <w:sz w:val="26"/>
          <w:szCs w:val="26"/>
        </w:rPr>
        <w:t xml:space="preserve">To the extent that a customer’s operations reduce costs to generators, such as operations that use electricity during off-peak periods, the customers should receive prices reflecting those cost reductions from the generators – the electric generation suppliers – and not from a distribution company such as PPL Electric.  For these reasons, it is no longer appropriate for such generation-related discounts to be included in PPL Electric’s distribution rates.  PPL Electric St. 8-R, p. 7.  </w:t>
      </w:r>
    </w:p>
    <w:p w:rsidR="00E703AC" w:rsidRPr="005C4C23" w:rsidRDefault="00E703AC" w:rsidP="000E0862">
      <w:pPr>
        <w:tabs>
          <w:tab w:val="left" w:pos="-720"/>
        </w:tabs>
        <w:suppressAutoHyphens/>
        <w:spacing w:line="240" w:lineRule="auto"/>
        <w:jc w:val="left"/>
        <w:rPr>
          <w:spacing w:val="-3"/>
          <w:sz w:val="26"/>
          <w:szCs w:val="26"/>
        </w:rPr>
      </w:pPr>
    </w:p>
    <w:p w:rsidR="00E703AC" w:rsidRPr="005C4C23" w:rsidRDefault="00E703AC" w:rsidP="000E0862">
      <w:pPr>
        <w:tabs>
          <w:tab w:val="left" w:pos="-720"/>
        </w:tabs>
        <w:suppressAutoHyphens/>
        <w:jc w:val="left"/>
        <w:rPr>
          <w:spacing w:val="-3"/>
          <w:sz w:val="26"/>
          <w:szCs w:val="26"/>
        </w:rPr>
      </w:pPr>
      <w:r w:rsidRPr="005C4C23">
        <w:rPr>
          <w:spacing w:val="-3"/>
          <w:sz w:val="26"/>
          <w:szCs w:val="26"/>
        </w:rPr>
        <w:t>R.D. at 101-02; PPL</w:t>
      </w:r>
      <w:r w:rsidR="00193E85">
        <w:rPr>
          <w:spacing w:val="-3"/>
          <w:sz w:val="26"/>
          <w:szCs w:val="26"/>
        </w:rPr>
        <w:t xml:space="preserve"> </w:t>
      </w:r>
      <w:r>
        <w:rPr>
          <w:spacing w:val="-3"/>
          <w:sz w:val="26"/>
          <w:szCs w:val="26"/>
        </w:rPr>
        <w:t>M</w:t>
      </w:r>
      <w:r w:rsidRPr="005C4C23">
        <w:rPr>
          <w:spacing w:val="-3"/>
          <w:sz w:val="26"/>
          <w:szCs w:val="26"/>
        </w:rPr>
        <w:t>.B. at 52.</w:t>
      </w:r>
    </w:p>
    <w:p w:rsidR="00E703AC" w:rsidRPr="005C4C23" w:rsidRDefault="00E703AC" w:rsidP="000E0862">
      <w:pPr>
        <w:tabs>
          <w:tab w:val="left" w:pos="-720"/>
        </w:tabs>
        <w:suppressAutoHyphens/>
        <w:ind w:firstLine="1440"/>
        <w:jc w:val="left"/>
        <w:rPr>
          <w:spacing w:val="-3"/>
          <w:sz w:val="26"/>
          <w:szCs w:val="26"/>
        </w:rPr>
      </w:pPr>
    </w:p>
    <w:p w:rsidR="00E703AC" w:rsidRPr="005C4C23" w:rsidRDefault="00E703AC" w:rsidP="000E0862">
      <w:pPr>
        <w:tabs>
          <w:tab w:val="left" w:pos="-720"/>
        </w:tabs>
        <w:suppressAutoHyphens/>
        <w:ind w:firstLine="1440"/>
        <w:jc w:val="left"/>
        <w:rPr>
          <w:spacing w:val="-3"/>
          <w:sz w:val="26"/>
          <w:szCs w:val="26"/>
        </w:rPr>
      </w:pPr>
      <w:r w:rsidRPr="005C4C23">
        <w:rPr>
          <w:spacing w:val="-3"/>
          <w:sz w:val="26"/>
          <w:szCs w:val="26"/>
        </w:rPr>
        <w:t xml:space="preserve">The ALJ concluded that PPLICA’s contentions were essentially a rate discrimination claim, and to prevail, the claimant (here, Donsco) would have to prove that its rates were unreasonably high and that the rates of other customers were unreasonably low.  </w:t>
      </w:r>
      <w:r w:rsidRPr="005C4C23">
        <w:rPr>
          <w:i/>
          <w:spacing w:val="-3"/>
          <w:sz w:val="26"/>
          <w:szCs w:val="26"/>
        </w:rPr>
        <w:t xml:space="preserve">Pa. Publ. Util. Comm’n v. Pennsylvania-America Water Co., </w:t>
      </w:r>
      <w:r w:rsidRPr="005C4C23">
        <w:rPr>
          <w:spacing w:val="-3"/>
          <w:sz w:val="26"/>
          <w:szCs w:val="26"/>
        </w:rPr>
        <w:t xml:space="preserve">Docket Nos. R-00943231, </w:t>
      </w:r>
      <w:r w:rsidRPr="005C4C23">
        <w:rPr>
          <w:i/>
          <w:spacing w:val="-3"/>
          <w:sz w:val="26"/>
          <w:szCs w:val="26"/>
        </w:rPr>
        <w:t>et al</w:t>
      </w:r>
      <w:r w:rsidRPr="005C4C23">
        <w:rPr>
          <w:spacing w:val="-3"/>
          <w:sz w:val="26"/>
          <w:szCs w:val="26"/>
        </w:rPr>
        <w:t xml:space="preserve">., 172 Pa. PUC 160 1996 Pa. PUC LEXIS 141 at 17 (June 6, 1996); </w:t>
      </w:r>
      <w:r w:rsidRPr="005C4C23">
        <w:rPr>
          <w:i/>
          <w:spacing w:val="-3"/>
          <w:sz w:val="26"/>
          <w:szCs w:val="26"/>
        </w:rPr>
        <w:t>see also</w:t>
      </w:r>
      <w:r w:rsidRPr="005C4C23">
        <w:rPr>
          <w:spacing w:val="-3"/>
          <w:sz w:val="26"/>
          <w:szCs w:val="26"/>
        </w:rPr>
        <w:t xml:space="preserve"> </w:t>
      </w:r>
      <w:r w:rsidRPr="005C4C23">
        <w:rPr>
          <w:i/>
          <w:spacing w:val="-3"/>
          <w:sz w:val="26"/>
          <w:szCs w:val="26"/>
        </w:rPr>
        <w:t xml:space="preserve">Building Owners and Managers Association v. Pa. P.U.C., </w:t>
      </w:r>
      <w:r w:rsidRPr="005C4C23">
        <w:rPr>
          <w:spacing w:val="-3"/>
          <w:sz w:val="26"/>
          <w:szCs w:val="26"/>
        </w:rPr>
        <w:t>470 A.2d 1092, 1096 (Pa. Cmwlth. 1984).   She concluded that PPLICA had not presented rate comparisons which support a finding of discriminatory rates.  PPL</w:t>
      </w:r>
      <w:r w:rsidR="00193E85">
        <w:rPr>
          <w:spacing w:val="-3"/>
          <w:sz w:val="26"/>
          <w:szCs w:val="26"/>
        </w:rPr>
        <w:t xml:space="preserve"> </w:t>
      </w:r>
      <w:r>
        <w:rPr>
          <w:spacing w:val="-3"/>
          <w:sz w:val="26"/>
          <w:szCs w:val="26"/>
        </w:rPr>
        <w:t>M</w:t>
      </w:r>
      <w:r w:rsidRPr="005C4C23">
        <w:rPr>
          <w:spacing w:val="-3"/>
          <w:sz w:val="26"/>
          <w:szCs w:val="26"/>
        </w:rPr>
        <w:t>.B. at 51.  The ALJ recommended that the Commission conclude that PPLICA had, therefore, not sustained its burden to proof.</w:t>
      </w:r>
    </w:p>
    <w:p w:rsidR="00E703AC" w:rsidRPr="005C4C23" w:rsidRDefault="00E703AC" w:rsidP="000E0862">
      <w:pPr>
        <w:rPr>
          <w:sz w:val="26"/>
          <w:szCs w:val="26"/>
        </w:rPr>
      </w:pPr>
    </w:p>
    <w:p w:rsidR="00B3139D" w:rsidRDefault="00B3139D">
      <w:pPr>
        <w:spacing w:after="200" w:line="276" w:lineRule="auto"/>
        <w:jc w:val="left"/>
        <w:rPr>
          <w:b/>
          <w:sz w:val="26"/>
          <w:szCs w:val="26"/>
        </w:rPr>
      </w:pPr>
      <w:r>
        <w:rPr>
          <w:b/>
          <w:sz w:val="26"/>
          <w:szCs w:val="26"/>
        </w:rPr>
        <w:br w:type="page"/>
      </w:r>
    </w:p>
    <w:p w:rsidR="00E703AC" w:rsidRPr="005C4C23" w:rsidRDefault="00171AE6" w:rsidP="000E0862">
      <w:pPr>
        <w:jc w:val="both"/>
        <w:rPr>
          <w:b/>
          <w:sz w:val="26"/>
          <w:szCs w:val="26"/>
        </w:rPr>
      </w:pPr>
      <w:r>
        <w:rPr>
          <w:b/>
          <w:sz w:val="26"/>
          <w:szCs w:val="26"/>
        </w:rPr>
        <w:lastRenderedPageBreak/>
        <w:tab/>
      </w:r>
      <w:r>
        <w:rPr>
          <w:b/>
          <w:sz w:val="26"/>
          <w:szCs w:val="26"/>
        </w:rPr>
        <w:tab/>
      </w:r>
      <w:r>
        <w:rPr>
          <w:b/>
          <w:sz w:val="26"/>
          <w:szCs w:val="26"/>
        </w:rPr>
        <w:tab/>
      </w:r>
      <w:r w:rsidR="00FC093D">
        <w:rPr>
          <w:b/>
          <w:sz w:val="26"/>
          <w:szCs w:val="26"/>
        </w:rPr>
        <w:t>iii</w:t>
      </w:r>
      <w:r>
        <w:rPr>
          <w:b/>
          <w:sz w:val="26"/>
          <w:szCs w:val="26"/>
        </w:rPr>
        <w:t>.</w:t>
      </w:r>
      <w:r>
        <w:rPr>
          <w:b/>
          <w:sz w:val="26"/>
          <w:szCs w:val="26"/>
        </w:rPr>
        <w:tab/>
      </w:r>
      <w:r w:rsidR="00E703AC" w:rsidRPr="005C4C23">
        <w:rPr>
          <w:b/>
          <w:sz w:val="26"/>
          <w:szCs w:val="26"/>
        </w:rPr>
        <w:t>Exceptions</w:t>
      </w:r>
    </w:p>
    <w:p w:rsidR="00E703AC" w:rsidRPr="005C4C23" w:rsidRDefault="00E703AC" w:rsidP="000E0862">
      <w:pPr>
        <w:jc w:val="both"/>
        <w:rPr>
          <w:b/>
          <w:sz w:val="26"/>
          <w:szCs w:val="26"/>
        </w:rPr>
      </w:pPr>
    </w:p>
    <w:p w:rsidR="00E703AC" w:rsidRPr="005C4C23" w:rsidRDefault="00E703AC" w:rsidP="000E0862">
      <w:pPr>
        <w:jc w:val="left"/>
        <w:rPr>
          <w:sz w:val="26"/>
          <w:szCs w:val="26"/>
        </w:rPr>
      </w:pPr>
      <w:r w:rsidRPr="005C4C23">
        <w:rPr>
          <w:b/>
          <w:sz w:val="26"/>
          <w:szCs w:val="26"/>
        </w:rPr>
        <w:tab/>
      </w:r>
      <w:r>
        <w:rPr>
          <w:b/>
          <w:sz w:val="26"/>
          <w:szCs w:val="26"/>
        </w:rPr>
        <w:tab/>
      </w:r>
      <w:r w:rsidRPr="005C4C23">
        <w:rPr>
          <w:sz w:val="26"/>
          <w:szCs w:val="26"/>
        </w:rPr>
        <w:t xml:space="preserve">PPLICA was the only party to file Exceptions.  PPL filed </w:t>
      </w:r>
      <w:r w:rsidR="00BA3A82">
        <w:rPr>
          <w:sz w:val="26"/>
          <w:szCs w:val="26"/>
        </w:rPr>
        <w:t>Reply Exceptions</w:t>
      </w:r>
      <w:r w:rsidRPr="005C4C23">
        <w:rPr>
          <w:sz w:val="26"/>
          <w:szCs w:val="26"/>
        </w:rPr>
        <w:t xml:space="preserve"> arguing that a case had not been made for the establishment of a Special Industrial Rate </w:t>
      </w:r>
      <w:r>
        <w:rPr>
          <w:sz w:val="26"/>
          <w:szCs w:val="26"/>
        </w:rPr>
        <w:t>Schedule</w:t>
      </w:r>
      <w:r w:rsidR="00193E85">
        <w:rPr>
          <w:sz w:val="26"/>
          <w:szCs w:val="26"/>
        </w:rPr>
        <w:t xml:space="preserve"> LP-4 SI.</w:t>
      </w:r>
    </w:p>
    <w:p w:rsidR="00E703AC" w:rsidRPr="005C4C23" w:rsidRDefault="00E703AC" w:rsidP="000E0862">
      <w:pPr>
        <w:jc w:val="both"/>
        <w:rPr>
          <w:sz w:val="26"/>
          <w:szCs w:val="26"/>
        </w:rPr>
      </w:pPr>
    </w:p>
    <w:p w:rsidR="00E703AC" w:rsidRDefault="00E703AC" w:rsidP="000E0862">
      <w:pPr>
        <w:ind w:firstLine="720"/>
        <w:jc w:val="left"/>
        <w:rPr>
          <w:sz w:val="26"/>
          <w:szCs w:val="26"/>
        </w:rPr>
      </w:pPr>
      <w:r>
        <w:rPr>
          <w:sz w:val="26"/>
          <w:szCs w:val="26"/>
        </w:rPr>
        <w:tab/>
      </w:r>
      <w:r w:rsidRPr="005C4C23">
        <w:rPr>
          <w:sz w:val="26"/>
          <w:szCs w:val="26"/>
        </w:rPr>
        <w:t xml:space="preserve">In its Exceptions, PPLICA claims that the ALJ erred in concluding that it had not met its burden to prove that Donsco has unique needs that justify the creation of a negotiated contract based tariff rate under Section 2806(h) of the Code. </w:t>
      </w:r>
      <w:r w:rsidR="006E74EC">
        <w:rPr>
          <w:sz w:val="26"/>
          <w:szCs w:val="26"/>
        </w:rPr>
        <w:t xml:space="preserve"> </w:t>
      </w:r>
      <w:r w:rsidRPr="005C4C23">
        <w:rPr>
          <w:sz w:val="26"/>
          <w:szCs w:val="26"/>
        </w:rPr>
        <w:t>PPLICA Exc</w:t>
      </w:r>
      <w:r>
        <w:rPr>
          <w:sz w:val="26"/>
          <w:szCs w:val="26"/>
        </w:rPr>
        <w:t>.</w:t>
      </w:r>
      <w:r w:rsidRPr="005C4C23">
        <w:rPr>
          <w:sz w:val="26"/>
          <w:szCs w:val="26"/>
        </w:rPr>
        <w:t xml:space="preserve"> at 1</w:t>
      </w:r>
      <w:r w:rsidR="00A87DF6">
        <w:rPr>
          <w:sz w:val="26"/>
          <w:szCs w:val="26"/>
        </w:rPr>
        <w:t xml:space="preserve">1-15, and 20-25.  </w:t>
      </w:r>
      <w:r w:rsidRPr="005C4C23">
        <w:rPr>
          <w:sz w:val="26"/>
          <w:szCs w:val="26"/>
        </w:rPr>
        <w:t>PPLICA also argues that not implementing a Rate Schedule LP-4 SI would be unfair to Donsco and other similarly</w:t>
      </w:r>
      <w:r w:rsidR="006E74EC">
        <w:rPr>
          <w:sz w:val="26"/>
          <w:szCs w:val="26"/>
        </w:rPr>
        <w:t>-</w:t>
      </w:r>
      <w:r w:rsidRPr="005C4C23">
        <w:rPr>
          <w:sz w:val="26"/>
          <w:szCs w:val="26"/>
        </w:rPr>
        <w:t>situated Rate Schedule LP-4 customers and that Donsco’s price for generation and related generation issues are outside the scope of this distribution base rate proceeding.  PPLICA Exc</w:t>
      </w:r>
      <w:r>
        <w:rPr>
          <w:sz w:val="26"/>
          <w:szCs w:val="26"/>
        </w:rPr>
        <w:t>.</w:t>
      </w:r>
      <w:r w:rsidRPr="005C4C23">
        <w:rPr>
          <w:sz w:val="26"/>
          <w:szCs w:val="26"/>
        </w:rPr>
        <w:t xml:space="preserve"> at 15-18 and 19-20.  PPLICA next asserts that Donsco’s distribution rates are unjust and unreasonable.  PPLICA Exc</w:t>
      </w:r>
      <w:r>
        <w:rPr>
          <w:sz w:val="26"/>
          <w:szCs w:val="26"/>
        </w:rPr>
        <w:t>.</w:t>
      </w:r>
      <w:r w:rsidRPr="005C4C23">
        <w:rPr>
          <w:sz w:val="26"/>
          <w:szCs w:val="26"/>
        </w:rPr>
        <w:t xml:space="preserve"> at 18-19.  Finally, PPLICA argues that the fact that it did not propose a definitive rate is not a fatal impediment to the Commission approving the implementation of Rate Schedule LP-4 SI.  PPLICA Exc</w:t>
      </w:r>
      <w:r>
        <w:rPr>
          <w:sz w:val="26"/>
          <w:szCs w:val="26"/>
        </w:rPr>
        <w:t>.</w:t>
      </w:r>
      <w:r w:rsidRPr="005C4C23">
        <w:rPr>
          <w:sz w:val="26"/>
          <w:szCs w:val="26"/>
        </w:rPr>
        <w:t xml:space="preserve"> at 26.</w:t>
      </w:r>
    </w:p>
    <w:p w:rsidR="00E703AC" w:rsidRPr="005C4C23" w:rsidRDefault="00E703AC" w:rsidP="000E0862">
      <w:pPr>
        <w:ind w:firstLine="720"/>
        <w:jc w:val="both"/>
        <w:rPr>
          <w:sz w:val="26"/>
          <w:szCs w:val="26"/>
        </w:rPr>
      </w:pPr>
    </w:p>
    <w:p w:rsidR="00E703AC" w:rsidRDefault="00E703AC" w:rsidP="000E0862">
      <w:pPr>
        <w:ind w:firstLine="720"/>
        <w:jc w:val="left"/>
        <w:rPr>
          <w:sz w:val="26"/>
          <w:szCs w:val="26"/>
        </w:rPr>
      </w:pPr>
      <w:r>
        <w:rPr>
          <w:sz w:val="26"/>
          <w:szCs w:val="26"/>
        </w:rPr>
        <w:tab/>
      </w:r>
      <w:r w:rsidRPr="005C4C23">
        <w:rPr>
          <w:sz w:val="26"/>
          <w:szCs w:val="26"/>
        </w:rPr>
        <w:t xml:space="preserve">In reply, PPL begins by noting that PPLICA (on behalf of Donsco) does not </w:t>
      </w:r>
      <w:r w:rsidR="006A09B2">
        <w:rPr>
          <w:sz w:val="26"/>
          <w:szCs w:val="26"/>
        </w:rPr>
        <w:t>take exception to</w:t>
      </w:r>
      <w:r w:rsidRPr="005C4C23">
        <w:rPr>
          <w:sz w:val="26"/>
          <w:szCs w:val="26"/>
        </w:rPr>
        <w:t xml:space="preserve"> any rate proposed by PPL in this case.  Instead, Donsco seeks relief from the expiration of (1) PPL’s T</w:t>
      </w:r>
      <w:r w:rsidR="006E74EC">
        <w:rPr>
          <w:sz w:val="26"/>
          <w:szCs w:val="26"/>
        </w:rPr>
        <w:t xml:space="preserve">ime-of-Day </w:t>
      </w:r>
      <w:r w:rsidRPr="005C4C23">
        <w:rPr>
          <w:sz w:val="26"/>
          <w:szCs w:val="26"/>
        </w:rPr>
        <w:t>option under Rate Schedule LP-4</w:t>
      </w:r>
      <w:r w:rsidR="006E74EC">
        <w:rPr>
          <w:sz w:val="26"/>
          <w:szCs w:val="26"/>
        </w:rPr>
        <w:t>,</w:t>
      </w:r>
      <w:r w:rsidRPr="005C4C23">
        <w:rPr>
          <w:sz w:val="26"/>
          <w:szCs w:val="26"/>
        </w:rPr>
        <w:t xml:space="preserve"> and (2)</w:t>
      </w:r>
      <w:r w:rsidR="006E74EC">
        <w:rPr>
          <w:sz w:val="26"/>
          <w:szCs w:val="26"/>
        </w:rPr>
        <w:t> </w:t>
      </w:r>
      <w:r w:rsidRPr="005C4C23">
        <w:rPr>
          <w:sz w:val="26"/>
          <w:szCs w:val="26"/>
        </w:rPr>
        <w:t xml:space="preserve">similar generation-related discounts in distribution rates, all of which expired on December 31, 2009, with the generation rate caps.  PPL asserts that, because Donsco is not challenging any PPL rate proposal, Donsco bears the burden of proving that it is entitled to a special rate.  </w:t>
      </w:r>
    </w:p>
    <w:p w:rsidR="00E703AC" w:rsidRDefault="00E703AC" w:rsidP="000E0862">
      <w:pPr>
        <w:ind w:firstLine="720"/>
        <w:jc w:val="left"/>
        <w:rPr>
          <w:sz w:val="26"/>
          <w:szCs w:val="26"/>
        </w:rPr>
      </w:pPr>
    </w:p>
    <w:p w:rsidR="00E703AC" w:rsidRDefault="00E703AC" w:rsidP="000E0862">
      <w:pPr>
        <w:ind w:firstLine="720"/>
        <w:jc w:val="left"/>
        <w:rPr>
          <w:sz w:val="26"/>
          <w:szCs w:val="26"/>
        </w:rPr>
      </w:pPr>
      <w:r>
        <w:rPr>
          <w:sz w:val="26"/>
          <w:szCs w:val="26"/>
        </w:rPr>
        <w:tab/>
      </w:r>
      <w:r w:rsidRPr="005C4C23">
        <w:rPr>
          <w:sz w:val="26"/>
          <w:szCs w:val="26"/>
        </w:rPr>
        <w:t xml:space="preserve">PPL points out that Donsco’s claim </w:t>
      </w:r>
      <w:r w:rsidR="006E74EC">
        <w:rPr>
          <w:sz w:val="26"/>
          <w:szCs w:val="26"/>
        </w:rPr>
        <w:t>that it is</w:t>
      </w:r>
      <w:r w:rsidRPr="005C4C23">
        <w:rPr>
          <w:sz w:val="26"/>
          <w:szCs w:val="26"/>
        </w:rPr>
        <w:t xml:space="preserve"> unique and deserving of a special rate classification is not an issue of first impression before this Commission.  </w:t>
      </w:r>
      <w:r w:rsidR="00D628DA" w:rsidRPr="005C4C23">
        <w:rPr>
          <w:sz w:val="26"/>
          <w:szCs w:val="26"/>
        </w:rPr>
        <w:t xml:space="preserve">In support thereof, PPL cites the Commonwealth Court’s </w:t>
      </w:r>
      <w:proofErr w:type="spellStart"/>
      <w:r w:rsidR="00D628DA" w:rsidRPr="005C4C23">
        <w:rPr>
          <w:sz w:val="26"/>
          <w:szCs w:val="26"/>
        </w:rPr>
        <w:t>affirmance</w:t>
      </w:r>
      <w:proofErr w:type="spellEnd"/>
      <w:r w:rsidR="00D628DA" w:rsidRPr="005C4C23">
        <w:rPr>
          <w:sz w:val="26"/>
          <w:szCs w:val="26"/>
        </w:rPr>
        <w:t xml:space="preserve"> of this Commission’s </w:t>
      </w:r>
      <w:r w:rsidR="00D628DA" w:rsidRPr="005C4C23">
        <w:rPr>
          <w:sz w:val="26"/>
          <w:szCs w:val="26"/>
        </w:rPr>
        <w:lastRenderedPageBreak/>
        <w:t>denial of special rate treatment to the Southeastern Pennsylvania Transportation Authority, United States Steel Corporation, and Parte Towne in three separate and distinct factual circumstances.</w:t>
      </w:r>
      <w:r w:rsidR="00D628DA" w:rsidRPr="006E74EC">
        <w:rPr>
          <w:rStyle w:val="FootnoteReference"/>
          <w:rFonts w:ascii="Times New (W1)" w:hAnsi="Times New (W1)"/>
          <w:sz w:val="26"/>
          <w:szCs w:val="26"/>
          <w:vertAlign w:val="superscript"/>
        </w:rPr>
        <w:footnoteReference w:id="43"/>
      </w:r>
      <w:r w:rsidR="00D628DA" w:rsidRPr="005C4C23">
        <w:rPr>
          <w:sz w:val="26"/>
          <w:szCs w:val="26"/>
        </w:rPr>
        <w:t xml:space="preserve"> </w:t>
      </w:r>
      <w:r w:rsidR="006938B9">
        <w:rPr>
          <w:sz w:val="26"/>
          <w:szCs w:val="26"/>
        </w:rPr>
        <w:t xml:space="preserve"> </w:t>
      </w:r>
      <w:r w:rsidRPr="005C4C23">
        <w:rPr>
          <w:sz w:val="26"/>
          <w:szCs w:val="26"/>
        </w:rPr>
        <w:t>PPL R</w:t>
      </w:r>
      <w:r>
        <w:rPr>
          <w:sz w:val="26"/>
          <w:szCs w:val="26"/>
        </w:rPr>
        <w:t xml:space="preserve">.Exc. </w:t>
      </w:r>
      <w:r w:rsidRPr="005C4C23">
        <w:rPr>
          <w:sz w:val="26"/>
          <w:szCs w:val="26"/>
        </w:rPr>
        <w:t>at 42-44.</w:t>
      </w:r>
      <w:r w:rsidRPr="006E74EC">
        <w:rPr>
          <w:rStyle w:val="FootnoteReference"/>
          <w:rFonts w:ascii="Times New (W1)" w:hAnsi="Times New (W1)"/>
          <w:sz w:val="26"/>
          <w:szCs w:val="26"/>
          <w:vertAlign w:val="superscript"/>
        </w:rPr>
        <w:footnoteReference w:id="44"/>
      </w:r>
    </w:p>
    <w:p w:rsidR="00E703AC" w:rsidRDefault="00E703AC" w:rsidP="000E0862">
      <w:pPr>
        <w:ind w:firstLine="720"/>
        <w:jc w:val="left"/>
        <w:rPr>
          <w:sz w:val="26"/>
          <w:szCs w:val="26"/>
        </w:rPr>
      </w:pPr>
    </w:p>
    <w:p w:rsidR="00E703AC" w:rsidRDefault="00E703AC" w:rsidP="000E0862">
      <w:pPr>
        <w:ind w:firstLine="720"/>
        <w:jc w:val="left"/>
        <w:rPr>
          <w:sz w:val="26"/>
          <w:szCs w:val="26"/>
        </w:rPr>
      </w:pPr>
      <w:r>
        <w:rPr>
          <w:sz w:val="26"/>
          <w:szCs w:val="26"/>
        </w:rPr>
        <w:tab/>
      </w:r>
      <w:r w:rsidRPr="005C4C23">
        <w:rPr>
          <w:sz w:val="26"/>
          <w:szCs w:val="26"/>
        </w:rPr>
        <w:t>PPL argues that a special rate for Donsco would be unfair to other customers in at least three respects.  First, rates for other LP-4 customers would have to increase to offset a rate reduction for Donsco and other similarly-situated customers who could qualify for any rate beneficial to Donsco.  Under Donsco’s proposal, other LP-4 customers would be required to pay higher rates but receive no additional benefits of service.  PPL R</w:t>
      </w:r>
      <w:r>
        <w:rPr>
          <w:sz w:val="26"/>
          <w:szCs w:val="26"/>
        </w:rPr>
        <w:t>.Exc.</w:t>
      </w:r>
      <w:r w:rsidR="00173CA7">
        <w:rPr>
          <w:sz w:val="26"/>
          <w:szCs w:val="26"/>
        </w:rPr>
        <w:t xml:space="preserve"> at 16</w:t>
      </w:r>
      <w:r w:rsidRPr="005C4C23">
        <w:rPr>
          <w:sz w:val="26"/>
          <w:szCs w:val="26"/>
        </w:rPr>
        <w:t>; PPL St. 8-R at 6.  Second, a special rate for Donsco and similarly-situated customers would n</w:t>
      </w:r>
      <w:r w:rsidR="00171AE6">
        <w:rPr>
          <w:sz w:val="26"/>
          <w:szCs w:val="26"/>
        </w:rPr>
        <w:t>o</w:t>
      </w:r>
      <w:r w:rsidRPr="005C4C23">
        <w:rPr>
          <w:sz w:val="26"/>
          <w:szCs w:val="26"/>
        </w:rPr>
        <w:t xml:space="preserve">t be fair to former LP-4 customers who paid the often significant costs of installing 69 kV facilities in order to be eligible for service on Rate Schedule LP-5 which has lower rates.  </w:t>
      </w:r>
      <w:r w:rsidRPr="005C4C23">
        <w:rPr>
          <w:i/>
          <w:sz w:val="26"/>
          <w:szCs w:val="26"/>
        </w:rPr>
        <w:t>Id.</w:t>
      </w:r>
      <w:r w:rsidRPr="005C4C23">
        <w:rPr>
          <w:sz w:val="26"/>
          <w:szCs w:val="26"/>
        </w:rPr>
        <w:t xml:space="preserve">  Third, even Section 2806(h) of the Code recognizes the competitive effects of rate reductions and a rate reduction for Donsco would be unfair to its competitors, unless similar rate reductions are made available to other forges, which would in turn have the effect of increasing the burden shifted to other non-forge Rate Schedule LP-4 customers. </w:t>
      </w:r>
    </w:p>
    <w:p w:rsidR="00E703AC" w:rsidRDefault="00E703AC" w:rsidP="000E0862">
      <w:pPr>
        <w:ind w:firstLine="720"/>
        <w:jc w:val="left"/>
        <w:rPr>
          <w:sz w:val="26"/>
          <w:szCs w:val="26"/>
        </w:rPr>
      </w:pPr>
    </w:p>
    <w:p w:rsidR="00E703AC" w:rsidRDefault="00E703AC" w:rsidP="000E0862">
      <w:pPr>
        <w:ind w:firstLine="720"/>
        <w:jc w:val="left"/>
        <w:rPr>
          <w:sz w:val="26"/>
          <w:szCs w:val="26"/>
        </w:rPr>
      </w:pPr>
      <w:r>
        <w:rPr>
          <w:sz w:val="26"/>
          <w:szCs w:val="26"/>
        </w:rPr>
        <w:tab/>
      </w:r>
      <w:r w:rsidRPr="005C4C23">
        <w:rPr>
          <w:sz w:val="26"/>
          <w:szCs w:val="26"/>
        </w:rPr>
        <w:t>PPL casts Donsco’s proposal as a claim that present rates are unreasonably discriminatory as to Donsco.  PPL R</w:t>
      </w:r>
      <w:r>
        <w:rPr>
          <w:sz w:val="26"/>
          <w:szCs w:val="26"/>
        </w:rPr>
        <w:t>.Exc.</w:t>
      </w:r>
      <w:r w:rsidRPr="005C4C23">
        <w:rPr>
          <w:sz w:val="26"/>
          <w:szCs w:val="26"/>
        </w:rPr>
        <w:t xml:space="preserve"> at </w:t>
      </w:r>
      <w:r w:rsidR="00173CA7">
        <w:rPr>
          <w:sz w:val="26"/>
          <w:szCs w:val="26"/>
        </w:rPr>
        <w:t>15-16</w:t>
      </w:r>
      <w:r w:rsidRPr="005C4C23">
        <w:rPr>
          <w:sz w:val="26"/>
          <w:szCs w:val="26"/>
        </w:rPr>
        <w:t xml:space="preserve">.  In order to prove rate discrimination, a customer must show that its rates are unreasonably high and the rates of other customers are unreasonably low.  PPL argues that Donsco has presented no cost basis for </w:t>
      </w:r>
      <w:r w:rsidRPr="005C4C23">
        <w:rPr>
          <w:sz w:val="26"/>
          <w:szCs w:val="26"/>
        </w:rPr>
        <w:lastRenderedPageBreak/>
        <w:t>any conclusion that existing rates are unreasonable as to it or that any other customers are paying unreasonably low rates; thus, Donsco’s requested relief should be denied.</w:t>
      </w:r>
    </w:p>
    <w:p w:rsidR="00E703AC" w:rsidRDefault="00E703AC" w:rsidP="000E0862">
      <w:pPr>
        <w:ind w:firstLine="720"/>
        <w:jc w:val="left"/>
        <w:rPr>
          <w:sz w:val="26"/>
          <w:szCs w:val="26"/>
        </w:rPr>
      </w:pPr>
    </w:p>
    <w:p w:rsidR="00E703AC" w:rsidRDefault="00E703AC" w:rsidP="000E0862">
      <w:pPr>
        <w:ind w:firstLine="720"/>
        <w:jc w:val="left"/>
        <w:rPr>
          <w:sz w:val="26"/>
          <w:szCs w:val="26"/>
        </w:rPr>
      </w:pPr>
      <w:r>
        <w:rPr>
          <w:sz w:val="26"/>
          <w:szCs w:val="26"/>
        </w:rPr>
        <w:tab/>
      </w:r>
      <w:r w:rsidRPr="005C4C23">
        <w:rPr>
          <w:sz w:val="26"/>
          <w:szCs w:val="26"/>
        </w:rPr>
        <w:t>PPL a</w:t>
      </w:r>
      <w:r w:rsidR="00171AE6">
        <w:rPr>
          <w:sz w:val="26"/>
          <w:szCs w:val="26"/>
        </w:rPr>
        <w:t>sserts</w:t>
      </w:r>
      <w:r w:rsidRPr="005C4C23">
        <w:rPr>
          <w:sz w:val="26"/>
          <w:szCs w:val="26"/>
        </w:rPr>
        <w:t xml:space="preserve"> that Donsco has not proven any unfair treatment, even though the simultaneous expiration of PPL’s TOD option, the EDI Rider and other distribution rate discounts have resulted in a significant increase in distribution charges applicable to Donsco, the unbundling of generation has worked to Donsco’s benefit.  PPL R</w:t>
      </w:r>
      <w:r>
        <w:rPr>
          <w:sz w:val="26"/>
          <w:szCs w:val="26"/>
        </w:rPr>
        <w:t>.Exc.</w:t>
      </w:r>
      <w:r w:rsidRPr="005C4C23">
        <w:rPr>
          <w:sz w:val="26"/>
          <w:szCs w:val="26"/>
        </w:rPr>
        <w:t xml:space="preserve"> at 51-53.  PPL claims that Donsco now wants to have it both ways – in essence returning to the distribution rate levels in the era of the vertically-integrated utility and at the same time having the benefits of the competitive generation market.  PPL R</w:t>
      </w:r>
      <w:r>
        <w:rPr>
          <w:sz w:val="26"/>
          <w:szCs w:val="26"/>
        </w:rPr>
        <w:t>.Exc.</w:t>
      </w:r>
      <w:r w:rsidRPr="005C4C23">
        <w:rPr>
          <w:sz w:val="26"/>
          <w:szCs w:val="26"/>
        </w:rPr>
        <w:t xml:space="preserve"> at 53-54.  PPL suggests that limiting Donsco to generation prices as a source of discounting will prevent Donsco from “double dipping” for generation savings in both regulated distribution services and competitive generation services.  PPL R</w:t>
      </w:r>
      <w:r>
        <w:rPr>
          <w:sz w:val="26"/>
          <w:szCs w:val="26"/>
        </w:rPr>
        <w:t>.Exc.</w:t>
      </w:r>
      <w:r w:rsidR="00171AE6">
        <w:rPr>
          <w:sz w:val="26"/>
          <w:szCs w:val="26"/>
        </w:rPr>
        <w:t xml:space="preserve"> at 54.</w:t>
      </w:r>
    </w:p>
    <w:p w:rsidR="00E703AC" w:rsidRDefault="00E703AC" w:rsidP="000E0862">
      <w:pPr>
        <w:ind w:firstLine="720"/>
        <w:jc w:val="left"/>
        <w:rPr>
          <w:sz w:val="26"/>
          <w:szCs w:val="26"/>
        </w:rPr>
      </w:pPr>
    </w:p>
    <w:p w:rsidR="00E703AC" w:rsidRDefault="00E703AC" w:rsidP="000E0862">
      <w:pPr>
        <w:ind w:firstLine="720"/>
        <w:jc w:val="left"/>
        <w:rPr>
          <w:sz w:val="26"/>
          <w:szCs w:val="26"/>
        </w:rPr>
      </w:pPr>
      <w:r>
        <w:rPr>
          <w:sz w:val="26"/>
          <w:szCs w:val="26"/>
        </w:rPr>
        <w:tab/>
      </w:r>
      <w:r w:rsidRPr="005C4C23">
        <w:rPr>
          <w:sz w:val="26"/>
          <w:szCs w:val="26"/>
        </w:rPr>
        <w:t>PPL responds to Donsco’s claim of uniqueness by detailing at length how Donsco is not distinguishable from other LP-4 customers.  PPL R</w:t>
      </w:r>
      <w:r>
        <w:rPr>
          <w:sz w:val="26"/>
          <w:szCs w:val="26"/>
        </w:rPr>
        <w:t>.Exc.</w:t>
      </w:r>
      <w:r w:rsidRPr="005C4C23">
        <w:rPr>
          <w:sz w:val="26"/>
          <w:szCs w:val="26"/>
        </w:rPr>
        <w:t xml:space="preserve"> at 54-55.  In sum, PPL agrees that Donsco has failed to prove that it is somehow unique or deserving of any special rate treatment.  PPL R</w:t>
      </w:r>
      <w:r>
        <w:rPr>
          <w:sz w:val="26"/>
          <w:szCs w:val="26"/>
        </w:rPr>
        <w:t>.Exc.</w:t>
      </w:r>
      <w:r w:rsidRPr="005C4C23">
        <w:rPr>
          <w:sz w:val="26"/>
          <w:szCs w:val="26"/>
        </w:rPr>
        <w:t xml:space="preserve"> a</w:t>
      </w:r>
      <w:r w:rsidR="00171AE6">
        <w:rPr>
          <w:sz w:val="26"/>
          <w:szCs w:val="26"/>
        </w:rPr>
        <w:t>t 54-56.</w:t>
      </w:r>
    </w:p>
    <w:p w:rsidR="00E703AC" w:rsidRDefault="00E703AC" w:rsidP="000E0862">
      <w:pPr>
        <w:ind w:firstLine="720"/>
        <w:jc w:val="left"/>
        <w:rPr>
          <w:sz w:val="26"/>
          <w:szCs w:val="26"/>
        </w:rPr>
      </w:pPr>
    </w:p>
    <w:p w:rsidR="00E703AC" w:rsidRDefault="00E703AC" w:rsidP="000E0862">
      <w:pPr>
        <w:jc w:val="left"/>
        <w:rPr>
          <w:b/>
          <w:spacing w:val="-3"/>
          <w:sz w:val="26"/>
          <w:szCs w:val="26"/>
        </w:rPr>
      </w:pPr>
      <w:r w:rsidRPr="005C4C23">
        <w:rPr>
          <w:sz w:val="26"/>
          <w:szCs w:val="26"/>
        </w:rPr>
        <w:tab/>
      </w:r>
      <w:r w:rsidR="00171AE6">
        <w:rPr>
          <w:sz w:val="26"/>
          <w:szCs w:val="26"/>
        </w:rPr>
        <w:tab/>
      </w:r>
      <w:r w:rsidR="00171AE6">
        <w:rPr>
          <w:sz w:val="26"/>
          <w:szCs w:val="26"/>
        </w:rPr>
        <w:tab/>
      </w:r>
      <w:r w:rsidR="00FC093D" w:rsidRPr="00396C27">
        <w:rPr>
          <w:b/>
          <w:sz w:val="26"/>
          <w:szCs w:val="26"/>
        </w:rPr>
        <w:t>iv</w:t>
      </w:r>
      <w:r w:rsidR="00171AE6" w:rsidRPr="00396C27">
        <w:rPr>
          <w:b/>
          <w:sz w:val="26"/>
          <w:szCs w:val="26"/>
        </w:rPr>
        <w:t>.</w:t>
      </w:r>
      <w:r w:rsidR="00171AE6" w:rsidRPr="00396C27">
        <w:rPr>
          <w:b/>
          <w:sz w:val="26"/>
          <w:szCs w:val="26"/>
        </w:rPr>
        <w:tab/>
      </w:r>
      <w:r w:rsidRPr="005C4C23">
        <w:rPr>
          <w:b/>
          <w:spacing w:val="-3"/>
          <w:sz w:val="26"/>
          <w:szCs w:val="26"/>
        </w:rPr>
        <w:t>Disposition</w:t>
      </w:r>
    </w:p>
    <w:p w:rsidR="00E703AC" w:rsidRDefault="00E703AC" w:rsidP="000E0862">
      <w:pPr>
        <w:jc w:val="left"/>
        <w:rPr>
          <w:b/>
          <w:sz w:val="26"/>
          <w:szCs w:val="26"/>
        </w:rPr>
      </w:pPr>
    </w:p>
    <w:p w:rsidR="00B3139D" w:rsidRDefault="00E703AC" w:rsidP="000E0862">
      <w:pPr>
        <w:ind w:firstLine="720"/>
        <w:jc w:val="left"/>
        <w:rPr>
          <w:spacing w:val="-3"/>
          <w:sz w:val="26"/>
          <w:szCs w:val="26"/>
        </w:rPr>
      </w:pPr>
      <w:r>
        <w:rPr>
          <w:spacing w:val="-3"/>
          <w:sz w:val="26"/>
          <w:szCs w:val="26"/>
        </w:rPr>
        <w:tab/>
      </w:r>
      <w:r w:rsidRPr="005C4C23">
        <w:rPr>
          <w:spacing w:val="-3"/>
          <w:sz w:val="26"/>
          <w:szCs w:val="26"/>
        </w:rPr>
        <w:t xml:space="preserve">The facts detailed by PPLICA with regard to Donsco’s situation present a seemingly “perfect storm” of bad circumstances in terms of the Donsco’s geographic </w:t>
      </w:r>
    </w:p>
    <w:p w:rsidR="00B3139D" w:rsidRDefault="00B3139D">
      <w:pPr>
        <w:spacing w:after="200" w:line="276" w:lineRule="auto"/>
        <w:jc w:val="left"/>
        <w:rPr>
          <w:spacing w:val="-3"/>
          <w:sz w:val="26"/>
          <w:szCs w:val="26"/>
        </w:rPr>
      </w:pPr>
      <w:r>
        <w:rPr>
          <w:spacing w:val="-3"/>
          <w:sz w:val="26"/>
          <w:szCs w:val="26"/>
        </w:rPr>
        <w:br w:type="page"/>
      </w:r>
    </w:p>
    <w:p w:rsidR="00E703AC" w:rsidRDefault="00E703AC" w:rsidP="00B3139D">
      <w:pPr>
        <w:jc w:val="left"/>
        <w:rPr>
          <w:spacing w:val="-3"/>
          <w:sz w:val="26"/>
          <w:szCs w:val="26"/>
        </w:rPr>
      </w:pPr>
      <w:r w:rsidRPr="005C4C23">
        <w:rPr>
          <w:spacing w:val="-3"/>
          <w:sz w:val="26"/>
          <w:szCs w:val="26"/>
        </w:rPr>
        <w:lastRenderedPageBreak/>
        <w:t>location and the electric distribution costs it incurs.</w:t>
      </w:r>
      <w:r w:rsidRPr="00171AE6">
        <w:rPr>
          <w:rStyle w:val="FootnoteReference"/>
          <w:spacing w:val="-3"/>
          <w:vertAlign w:val="superscript"/>
        </w:rPr>
        <w:footnoteReference w:id="45"/>
      </w:r>
      <w:r w:rsidRPr="005C4C23">
        <w:rPr>
          <w:spacing w:val="-3"/>
          <w:sz w:val="26"/>
          <w:szCs w:val="26"/>
        </w:rPr>
        <w:t xml:space="preserve">  These circumstances, however, would not qualify Donsco for a special rate unless and until it demonstrates that the existing distribution rates it is paying are unjust and unreasonable </w:t>
      </w:r>
      <w:r>
        <w:rPr>
          <w:spacing w:val="-3"/>
          <w:sz w:val="26"/>
          <w:szCs w:val="26"/>
        </w:rPr>
        <w:t xml:space="preserve">and those it proposes are just and reasonable </w:t>
      </w:r>
      <w:r w:rsidRPr="005C4C23">
        <w:rPr>
          <w:spacing w:val="-3"/>
          <w:sz w:val="26"/>
          <w:szCs w:val="26"/>
        </w:rPr>
        <w:t>or that PPL is providing inadequate service under Section 1501 of the Code.  We are unable to conclude on the basis of the instant record that PP</w:t>
      </w:r>
      <w:r w:rsidR="00173CA7">
        <w:rPr>
          <w:spacing w:val="-3"/>
          <w:sz w:val="26"/>
          <w:szCs w:val="26"/>
        </w:rPr>
        <w:t>L</w:t>
      </w:r>
      <w:r w:rsidRPr="005C4C23">
        <w:rPr>
          <w:spacing w:val="-3"/>
          <w:sz w:val="26"/>
          <w:szCs w:val="26"/>
        </w:rPr>
        <w:t>ICA has proven either to be true.</w:t>
      </w:r>
    </w:p>
    <w:p w:rsidR="00E703AC" w:rsidRDefault="00E703AC" w:rsidP="000E0862">
      <w:pPr>
        <w:ind w:firstLine="720"/>
        <w:jc w:val="left"/>
        <w:rPr>
          <w:spacing w:val="-3"/>
          <w:sz w:val="26"/>
          <w:szCs w:val="26"/>
        </w:rPr>
      </w:pPr>
    </w:p>
    <w:p w:rsidR="00E703AC" w:rsidRDefault="00171AE6" w:rsidP="000E0862">
      <w:pPr>
        <w:ind w:firstLine="720"/>
        <w:jc w:val="left"/>
        <w:rPr>
          <w:spacing w:val="-3"/>
          <w:sz w:val="26"/>
          <w:szCs w:val="26"/>
        </w:rPr>
      </w:pPr>
      <w:r>
        <w:rPr>
          <w:spacing w:val="-3"/>
          <w:sz w:val="26"/>
          <w:szCs w:val="26"/>
        </w:rPr>
        <w:tab/>
      </w:r>
      <w:r w:rsidR="00E703AC" w:rsidRPr="005C4C23">
        <w:rPr>
          <w:spacing w:val="-3"/>
          <w:sz w:val="26"/>
          <w:szCs w:val="26"/>
        </w:rPr>
        <w:t>We begin by noting that Section 2806 of the Code does not provide clear statutory authority to the Commission for the adjustment of Donsco’s electric distribution rates.  Careful scrutiny of Section 2806 reveals that it has little, if anything, to do with distribution rates of electric utilities and PPLICA’s reliance upon it as a basis for the Commission to order PPL to develop and establish a special distribution rate is faulty.</w:t>
      </w:r>
    </w:p>
    <w:p w:rsidR="00E703AC" w:rsidRDefault="00E703AC" w:rsidP="000E0862">
      <w:pPr>
        <w:ind w:firstLine="720"/>
        <w:jc w:val="left"/>
        <w:rPr>
          <w:spacing w:val="-3"/>
          <w:sz w:val="26"/>
          <w:szCs w:val="26"/>
        </w:rPr>
      </w:pPr>
    </w:p>
    <w:p w:rsidR="00E703AC" w:rsidRDefault="00171AE6" w:rsidP="000E0862">
      <w:pPr>
        <w:ind w:firstLine="720"/>
        <w:jc w:val="left"/>
        <w:rPr>
          <w:spacing w:val="-3"/>
          <w:sz w:val="26"/>
          <w:szCs w:val="26"/>
        </w:rPr>
      </w:pPr>
      <w:r>
        <w:rPr>
          <w:spacing w:val="-3"/>
          <w:sz w:val="26"/>
          <w:szCs w:val="26"/>
        </w:rPr>
        <w:tab/>
      </w:r>
      <w:r w:rsidR="00E703AC" w:rsidRPr="005C4C23">
        <w:rPr>
          <w:spacing w:val="-3"/>
          <w:sz w:val="26"/>
          <w:szCs w:val="26"/>
        </w:rPr>
        <w:t xml:space="preserve">Furthermore, and as the ALJ noted, Section 2806 refers to Commission “approval” of flexible pricing provisions, as opposed to the Commission “ordering” flexible pricing provisions.  Importantly, we find PPLICA’s evidence sorely lacking in terms of the specific pricing it advocates for LP-4 SI.  In addition, PPLICA built no record to demonstrate that the potential impact, however minimal, on other LP-4 customers would be justified.  And there is no basis to conclude on the present record that the impact on other LP-4 </w:t>
      </w:r>
      <w:r w:rsidR="004B76C6">
        <w:rPr>
          <w:spacing w:val="-3"/>
          <w:sz w:val="26"/>
          <w:szCs w:val="26"/>
        </w:rPr>
        <w:t xml:space="preserve">customers </w:t>
      </w:r>
      <w:r w:rsidR="00E703AC" w:rsidRPr="005C4C23">
        <w:rPr>
          <w:spacing w:val="-3"/>
          <w:sz w:val="26"/>
          <w:szCs w:val="26"/>
        </w:rPr>
        <w:t>would in fact be minimal because PPLICA did not provide any analysis of potential dollar impacts or proposed rate(s).  Instead, it provided a vague description of characteristics that would qualify an LP-4 customer for Rate Schedule LP-4</w:t>
      </w:r>
      <w:r w:rsidR="00B95697">
        <w:rPr>
          <w:spacing w:val="-3"/>
          <w:sz w:val="26"/>
          <w:szCs w:val="26"/>
        </w:rPr>
        <w:t xml:space="preserve"> SI</w:t>
      </w:r>
      <w:r w:rsidR="00E703AC" w:rsidRPr="005C4C23">
        <w:rPr>
          <w:spacing w:val="-3"/>
          <w:sz w:val="26"/>
          <w:szCs w:val="26"/>
        </w:rPr>
        <w:t>.</w:t>
      </w:r>
      <w:r w:rsidR="00E703AC">
        <w:rPr>
          <w:spacing w:val="-3"/>
          <w:sz w:val="26"/>
          <w:szCs w:val="26"/>
        </w:rPr>
        <w:t xml:space="preserve">  PPL’s </w:t>
      </w:r>
      <w:r w:rsidR="00E703AC">
        <w:rPr>
          <w:spacing w:val="-3"/>
          <w:sz w:val="26"/>
          <w:szCs w:val="26"/>
        </w:rPr>
        <w:lastRenderedPageBreak/>
        <w:t>viewpoint is that, as described, PPLICA’s proposal would be far more general in terms of it</w:t>
      </w:r>
      <w:r w:rsidR="00B95697">
        <w:rPr>
          <w:spacing w:val="-3"/>
          <w:sz w:val="26"/>
          <w:szCs w:val="26"/>
        </w:rPr>
        <w:t>s</w:t>
      </w:r>
      <w:r w:rsidR="00E703AC">
        <w:rPr>
          <w:spacing w:val="-3"/>
          <w:sz w:val="26"/>
          <w:szCs w:val="26"/>
        </w:rPr>
        <w:t xml:space="preserve"> application and potential impact.  PPL R.Exc. at 16-17.</w:t>
      </w:r>
    </w:p>
    <w:p w:rsidR="00E703AC" w:rsidRDefault="00E703AC" w:rsidP="000E0862">
      <w:pPr>
        <w:ind w:firstLine="720"/>
        <w:jc w:val="left"/>
        <w:rPr>
          <w:spacing w:val="-3"/>
          <w:sz w:val="26"/>
          <w:szCs w:val="26"/>
        </w:rPr>
      </w:pPr>
    </w:p>
    <w:p w:rsidR="00E703AC" w:rsidRDefault="00A87DF6" w:rsidP="000E0862">
      <w:pPr>
        <w:ind w:firstLine="720"/>
        <w:jc w:val="left"/>
        <w:rPr>
          <w:spacing w:val="-3"/>
          <w:sz w:val="26"/>
          <w:szCs w:val="26"/>
        </w:rPr>
      </w:pPr>
      <w:r>
        <w:rPr>
          <w:spacing w:val="-3"/>
          <w:sz w:val="26"/>
          <w:szCs w:val="26"/>
        </w:rPr>
        <w:tab/>
      </w:r>
      <w:r w:rsidR="00E703AC" w:rsidRPr="005C4C23">
        <w:rPr>
          <w:spacing w:val="-3"/>
          <w:sz w:val="26"/>
          <w:szCs w:val="26"/>
        </w:rPr>
        <w:t xml:space="preserve">It is fair to conclude that in PPLICA’s view, PPL would ostensibly be required to develop the LP-4 SI rates and PPL would conduct a subjective analysis of LP-4 customer conditions in order to determine if the particular customer would qualify for </w:t>
      </w:r>
      <w:r w:rsidR="00B95697">
        <w:rPr>
          <w:spacing w:val="-3"/>
          <w:sz w:val="26"/>
          <w:szCs w:val="26"/>
        </w:rPr>
        <w:t xml:space="preserve">Rate Schedule </w:t>
      </w:r>
      <w:r w:rsidR="00E703AC" w:rsidRPr="005C4C23">
        <w:rPr>
          <w:spacing w:val="-3"/>
          <w:sz w:val="26"/>
          <w:szCs w:val="26"/>
        </w:rPr>
        <w:t xml:space="preserve">LP-4 SI.  This could subject PPL to claims of undue </w:t>
      </w:r>
      <w:r w:rsidR="00E703AC">
        <w:rPr>
          <w:spacing w:val="-3"/>
          <w:sz w:val="26"/>
          <w:szCs w:val="26"/>
        </w:rPr>
        <w:t xml:space="preserve">rate </w:t>
      </w:r>
      <w:r w:rsidR="00E703AC" w:rsidRPr="005C4C23">
        <w:rPr>
          <w:spacing w:val="-3"/>
          <w:sz w:val="26"/>
          <w:szCs w:val="26"/>
        </w:rPr>
        <w:t xml:space="preserve">discrimination by LP-4 customers that were deemed by PPL to not qualify for special treatment.  </w:t>
      </w:r>
      <w:r w:rsidR="00E703AC">
        <w:rPr>
          <w:spacing w:val="-3"/>
          <w:sz w:val="26"/>
          <w:szCs w:val="26"/>
        </w:rPr>
        <w:t xml:space="preserve">PPL R.Exc. at 16. </w:t>
      </w:r>
      <w:r w:rsidR="00E703AC" w:rsidRPr="005C4C23">
        <w:rPr>
          <w:spacing w:val="-3"/>
          <w:sz w:val="26"/>
          <w:szCs w:val="26"/>
        </w:rPr>
        <w:t>In addition, it would likely be difficult to account for changes in customer circumstances that may render a customer no longer eligible for LP-4 S</w:t>
      </w:r>
      <w:r w:rsidR="00B95697">
        <w:rPr>
          <w:spacing w:val="-3"/>
          <w:sz w:val="26"/>
          <w:szCs w:val="26"/>
        </w:rPr>
        <w:t>I</w:t>
      </w:r>
      <w:r w:rsidR="00E703AC" w:rsidRPr="005C4C23">
        <w:rPr>
          <w:spacing w:val="-3"/>
          <w:sz w:val="26"/>
          <w:szCs w:val="26"/>
        </w:rPr>
        <w:t xml:space="preserve"> status.  In sum, as the party with the burden of proof, it was incumbent upon PPLICA to prove not only that PPL’s existing LP-4 rates were unjust and unreasonable as applied to Donsco, but that the</w:t>
      </w:r>
      <w:r w:rsidR="00B95697">
        <w:rPr>
          <w:spacing w:val="-3"/>
          <w:sz w:val="26"/>
          <w:szCs w:val="26"/>
        </w:rPr>
        <w:t xml:space="preserve"> “</w:t>
      </w:r>
      <w:r w:rsidR="00E703AC" w:rsidRPr="005C4C23">
        <w:rPr>
          <w:spacing w:val="-3"/>
          <w:sz w:val="26"/>
          <w:szCs w:val="26"/>
        </w:rPr>
        <w:t>rate</w:t>
      </w:r>
      <w:r w:rsidR="00B95697">
        <w:rPr>
          <w:spacing w:val="-3"/>
          <w:sz w:val="26"/>
          <w:szCs w:val="26"/>
        </w:rPr>
        <w:t>”</w:t>
      </w:r>
      <w:r w:rsidR="00E703AC" w:rsidRPr="005C4C23">
        <w:rPr>
          <w:spacing w:val="-3"/>
          <w:sz w:val="26"/>
          <w:szCs w:val="26"/>
        </w:rPr>
        <w:t xml:space="preserve"> proposed </w:t>
      </w:r>
      <w:r w:rsidR="003D3857">
        <w:rPr>
          <w:spacing w:val="-3"/>
          <w:sz w:val="26"/>
          <w:szCs w:val="26"/>
        </w:rPr>
        <w:t xml:space="preserve">for Donsco </w:t>
      </w:r>
      <w:r w:rsidR="00E703AC" w:rsidRPr="005C4C23">
        <w:rPr>
          <w:spacing w:val="-3"/>
          <w:sz w:val="26"/>
          <w:szCs w:val="26"/>
        </w:rPr>
        <w:t>would be just and reasonable.</w:t>
      </w:r>
      <w:r w:rsidR="00E703AC" w:rsidRPr="009C0953">
        <w:rPr>
          <w:rStyle w:val="FootnoteReference"/>
          <w:spacing w:val="-3"/>
          <w:sz w:val="26"/>
          <w:szCs w:val="26"/>
          <w:vertAlign w:val="superscript"/>
        </w:rPr>
        <w:footnoteReference w:id="46"/>
      </w:r>
      <w:r w:rsidR="00E703AC" w:rsidRPr="005C4C23">
        <w:rPr>
          <w:spacing w:val="-3"/>
          <w:sz w:val="26"/>
          <w:szCs w:val="26"/>
        </w:rPr>
        <w:t xml:space="preserve">  </w:t>
      </w:r>
      <w:r w:rsidR="00B95697">
        <w:rPr>
          <w:spacing w:val="-3"/>
          <w:sz w:val="26"/>
          <w:szCs w:val="26"/>
        </w:rPr>
        <w:t>PPLICA</w:t>
      </w:r>
      <w:r w:rsidR="00E703AC" w:rsidRPr="005C4C23">
        <w:rPr>
          <w:spacing w:val="-3"/>
          <w:sz w:val="26"/>
          <w:szCs w:val="26"/>
        </w:rPr>
        <w:t xml:space="preserve">’s case falls far short of the mark. </w:t>
      </w:r>
    </w:p>
    <w:p w:rsidR="00E703AC" w:rsidRDefault="00E703AC" w:rsidP="000E0862">
      <w:pPr>
        <w:ind w:firstLine="720"/>
        <w:jc w:val="left"/>
        <w:rPr>
          <w:spacing w:val="-3"/>
          <w:sz w:val="26"/>
          <w:szCs w:val="26"/>
        </w:rPr>
      </w:pPr>
    </w:p>
    <w:p w:rsidR="00E703AC" w:rsidRDefault="00E703AC" w:rsidP="000E0862">
      <w:pPr>
        <w:ind w:firstLine="720"/>
        <w:jc w:val="left"/>
        <w:rPr>
          <w:spacing w:val="-3"/>
          <w:sz w:val="26"/>
          <w:szCs w:val="26"/>
        </w:rPr>
      </w:pPr>
      <w:r>
        <w:rPr>
          <w:spacing w:val="-3"/>
          <w:sz w:val="26"/>
          <w:szCs w:val="26"/>
        </w:rPr>
        <w:tab/>
      </w:r>
      <w:r w:rsidRPr="005C4C23">
        <w:rPr>
          <w:spacing w:val="-3"/>
          <w:sz w:val="26"/>
          <w:szCs w:val="26"/>
        </w:rPr>
        <w:t>We also find that the ALJ correctly concluded that PPLICA has not established any service violation by PPL – in fact, it did not raise such a claim in its original complaint, and failed to amend the complaint to put PPL on notice of such a claim, as noted by the ALJ.  Even if we we</w:t>
      </w:r>
      <w:r>
        <w:rPr>
          <w:spacing w:val="-3"/>
          <w:sz w:val="26"/>
          <w:szCs w:val="26"/>
        </w:rPr>
        <w:t>re</w:t>
      </w:r>
      <w:r w:rsidRPr="005C4C23">
        <w:rPr>
          <w:spacing w:val="-3"/>
          <w:sz w:val="26"/>
          <w:szCs w:val="26"/>
        </w:rPr>
        <w:t xml:space="preserve"> to conclude that an inadequate service claim was raised, which is not the case here, the evidence of record would not support a finding of a </w:t>
      </w:r>
      <w:r>
        <w:rPr>
          <w:spacing w:val="-3"/>
          <w:sz w:val="26"/>
          <w:szCs w:val="26"/>
        </w:rPr>
        <w:t>Section</w:t>
      </w:r>
      <w:r w:rsidR="003D3857">
        <w:rPr>
          <w:spacing w:val="-3"/>
          <w:sz w:val="26"/>
          <w:szCs w:val="26"/>
        </w:rPr>
        <w:t xml:space="preserve"> </w:t>
      </w:r>
      <w:r w:rsidRPr="005C4C23">
        <w:rPr>
          <w:spacing w:val="-3"/>
          <w:sz w:val="26"/>
          <w:szCs w:val="26"/>
        </w:rPr>
        <w:t>1501 violation.</w:t>
      </w:r>
      <w:r w:rsidRPr="009C0953">
        <w:rPr>
          <w:rStyle w:val="FootnoteReference"/>
          <w:spacing w:val="-3"/>
          <w:sz w:val="26"/>
          <w:szCs w:val="26"/>
          <w:vertAlign w:val="superscript"/>
        </w:rPr>
        <w:footnoteReference w:id="47"/>
      </w:r>
      <w:r w:rsidRPr="005C4C23">
        <w:rPr>
          <w:spacing w:val="-3"/>
          <w:sz w:val="26"/>
          <w:szCs w:val="26"/>
        </w:rPr>
        <w:t xml:space="preserve">  Quite to the contrary, the record contains substantial evidence that PPL has been very responsive to Donsco’s concerns.  R.D.</w:t>
      </w:r>
      <w:r>
        <w:rPr>
          <w:spacing w:val="-3"/>
          <w:sz w:val="26"/>
          <w:szCs w:val="26"/>
        </w:rPr>
        <w:t xml:space="preserve"> at</w:t>
      </w:r>
      <w:r w:rsidRPr="005C4C23">
        <w:rPr>
          <w:spacing w:val="-3"/>
          <w:sz w:val="26"/>
          <w:szCs w:val="26"/>
        </w:rPr>
        <w:t xml:space="preserve"> 95, 99-100.  Both parties have worked hard to examine solutions that would work to reduce Donsco’s distribution charge outlays.  R.D. at 94-95, 99-100; PPL</w:t>
      </w:r>
      <w:r w:rsidR="00D628DA">
        <w:rPr>
          <w:spacing w:val="-3"/>
          <w:sz w:val="26"/>
          <w:szCs w:val="26"/>
        </w:rPr>
        <w:t xml:space="preserve"> </w:t>
      </w:r>
      <w:r>
        <w:rPr>
          <w:spacing w:val="-3"/>
          <w:sz w:val="26"/>
          <w:szCs w:val="26"/>
        </w:rPr>
        <w:t>M</w:t>
      </w:r>
      <w:r w:rsidRPr="005C4C23">
        <w:rPr>
          <w:spacing w:val="-3"/>
          <w:sz w:val="26"/>
          <w:szCs w:val="26"/>
        </w:rPr>
        <w:t>.B. at 47-48; PPLICA</w:t>
      </w:r>
      <w:r w:rsidR="003D3857">
        <w:rPr>
          <w:spacing w:val="-3"/>
          <w:sz w:val="26"/>
          <w:szCs w:val="26"/>
        </w:rPr>
        <w:t xml:space="preserve"> </w:t>
      </w:r>
      <w:r>
        <w:rPr>
          <w:spacing w:val="-3"/>
          <w:sz w:val="26"/>
          <w:szCs w:val="26"/>
        </w:rPr>
        <w:t>R</w:t>
      </w:r>
      <w:r w:rsidRPr="005C4C23">
        <w:rPr>
          <w:spacing w:val="-3"/>
          <w:sz w:val="26"/>
          <w:szCs w:val="26"/>
        </w:rPr>
        <w:t xml:space="preserve">.B. at 14-19.  The fact that </w:t>
      </w:r>
      <w:r w:rsidRPr="005C4C23">
        <w:rPr>
          <w:spacing w:val="-3"/>
          <w:sz w:val="26"/>
          <w:szCs w:val="26"/>
        </w:rPr>
        <w:lastRenderedPageBreak/>
        <w:t>no magic bullet exists to solve Donsco’s concerns is not a basis upon which to order PPL to develop and implement a special rate schedule that potentially would impact other LP-4 customers in a negative way through an increase to their rates.</w:t>
      </w:r>
      <w:r w:rsidRPr="009C0953">
        <w:rPr>
          <w:rStyle w:val="FootnoteReference"/>
          <w:spacing w:val="-3"/>
          <w:sz w:val="26"/>
          <w:szCs w:val="26"/>
          <w:vertAlign w:val="superscript"/>
        </w:rPr>
        <w:footnoteReference w:id="48"/>
      </w:r>
      <w:r w:rsidRPr="009C0953">
        <w:rPr>
          <w:spacing w:val="-3"/>
          <w:sz w:val="26"/>
          <w:szCs w:val="26"/>
          <w:vertAlign w:val="superscript"/>
        </w:rPr>
        <w:t xml:space="preserve"> </w:t>
      </w:r>
    </w:p>
    <w:p w:rsidR="00E703AC" w:rsidRDefault="00E703AC" w:rsidP="000E0862">
      <w:pPr>
        <w:ind w:firstLine="720"/>
        <w:jc w:val="left"/>
        <w:rPr>
          <w:spacing w:val="-3"/>
          <w:sz w:val="26"/>
          <w:szCs w:val="26"/>
        </w:rPr>
      </w:pPr>
    </w:p>
    <w:p w:rsidR="000908F5" w:rsidRDefault="00E703AC" w:rsidP="000908F5">
      <w:pPr>
        <w:ind w:firstLine="720"/>
        <w:jc w:val="left"/>
        <w:rPr>
          <w:spacing w:val="-3"/>
          <w:sz w:val="26"/>
          <w:szCs w:val="26"/>
        </w:rPr>
      </w:pPr>
      <w:r>
        <w:rPr>
          <w:spacing w:val="-3"/>
          <w:sz w:val="26"/>
          <w:szCs w:val="26"/>
        </w:rPr>
        <w:tab/>
      </w:r>
      <w:r w:rsidRPr="005C4C23">
        <w:rPr>
          <w:spacing w:val="-3"/>
          <w:sz w:val="26"/>
          <w:szCs w:val="26"/>
        </w:rPr>
        <w:t>While we find the factual circumstances faced by Donsco very troubling, we are bound by our statutory authority and case law regarding burden of proof, our regulations governing the conduct of proceedings, and our mandate to base our decisions in substantial evidence of record.  Applying these parameters to this issue, we find that PPLICA has not carried its burden to demonstrate that a special rate schedule governing its distribution charges and those of similarly-situated customers should be established in this case.  For all of t</w:t>
      </w:r>
      <w:r w:rsidR="009C0953">
        <w:rPr>
          <w:spacing w:val="-3"/>
          <w:sz w:val="26"/>
          <w:szCs w:val="26"/>
        </w:rPr>
        <w:t>hese reasons, we deny PPLICA’s E</w:t>
      </w:r>
      <w:r w:rsidRPr="005C4C23">
        <w:rPr>
          <w:spacing w:val="-3"/>
          <w:sz w:val="26"/>
          <w:szCs w:val="26"/>
        </w:rPr>
        <w:t>xceptions on the Donsco issue.</w:t>
      </w:r>
    </w:p>
    <w:p w:rsidR="000908F5" w:rsidRDefault="000908F5" w:rsidP="000908F5">
      <w:pPr>
        <w:ind w:firstLine="720"/>
        <w:jc w:val="left"/>
        <w:rPr>
          <w:spacing w:val="-3"/>
          <w:sz w:val="26"/>
          <w:szCs w:val="26"/>
        </w:rPr>
      </w:pPr>
    </w:p>
    <w:p w:rsidR="000908F5" w:rsidRDefault="000908F5" w:rsidP="000908F5">
      <w:pPr>
        <w:ind w:firstLine="720"/>
        <w:jc w:val="left"/>
        <w:rPr>
          <w:spacing w:val="-3"/>
          <w:sz w:val="26"/>
          <w:szCs w:val="26"/>
        </w:rPr>
      </w:pPr>
    </w:p>
    <w:p w:rsidR="00427543" w:rsidRDefault="00427543" w:rsidP="000908F5">
      <w:pPr>
        <w:rPr>
          <w:b/>
          <w:sz w:val="26"/>
          <w:szCs w:val="26"/>
        </w:rPr>
      </w:pPr>
      <w:r>
        <w:rPr>
          <w:b/>
          <w:sz w:val="26"/>
          <w:szCs w:val="26"/>
        </w:rPr>
        <w:t>III.</w:t>
      </w:r>
      <w:r>
        <w:rPr>
          <w:b/>
          <w:sz w:val="26"/>
          <w:szCs w:val="26"/>
        </w:rPr>
        <w:tab/>
        <w:t>CONCLUSION</w:t>
      </w:r>
    </w:p>
    <w:p w:rsidR="00427543" w:rsidRDefault="00427543" w:rsidP="00427543">
      <w:pPr>
        <w:pStyle w:val="ListParagraph"/>
        <w:ind w:left="1080"/>
        <w:jc w:val="both"/>
        <w:rPr>
          <w:b/>
          <w:sz w:val="26"/>
          <w:szCs w:val="26"/>
        </w:rPr>
      </w:pPr>
    </w:p>
    <w:p w:rsidR="00427543" w:rsidRDefault="00427543" w:rsidP="00427543">
      <w:pPr>
        <w:ind w:firstLine="720"/>
        <w:jc w:val="left"/>
        <w:rPr>
          <w:b/>
          <w:sz w:val="26"/>
          <w:szCs w:val="26"/>
        </w:rPr>
      </w:pPr>
      <w:r>
        <w:rPr>
          <w:sz w:val="26"/>
          <w:szCs w:val="26"/>
        </w:rPr>
        <w:tab/>
      </w:r>
      <w:r w:rsidRPr="00AA417D">
        <w:rPr>
          <w:sz w:val="26"/>
          <w:szCs w:val="26"/>
        </w:rPr>
        <w:t xml:space="preserve">We have reviewed the record as developed in this proceeding, </w:t>
      </w:r>
      <w:r>
        <w:rPr>
          <w:sz w:val="26"/>
          <w:szCs w:val="26"/>
        </w:rPr>
        <w:t xml:space="preserve">the Joint Petition for Partial Settlement, the pleadings of the Parties, the </w:t>
      </w:r>
      <w:r w:rsidRPr="00AA417D">
        <w:rPr>
          <w:sz w:val="26"/>
          <w:szCs w:val="26"/>
        </w:rPr>
        <w:t xml:space="preserve">ALJ’s </w:t>
      </w:r>
      <w:r>
        <w:rPr>
          <w:sz w:val="26"/>
          <w:szCs w:val="26"/>
        </w:rPr>
        <w:t xml:space="preserve">Recommended Decision and the Exceptions and Replies filed thereto.  Based upon our review, evaluation and analysis of the record evidence, we shall modify the ALJ’s Recommended Decision consistent with the discussion in this Opinion and Order, and grant in part, and deny in part, the Exceptions of the Parties consistent with the foregoing discussion;  </w:t>
      </w:r>
      <w:r>
        <w:rPr>
          <w:b/>
          <w:sz w:val="26"/>
          <w:szCs w:val="26"/>
        </w:rPr>
        <w:t>THEREFORE,</w:t>
      </w:r>
    </w:p>
    <w:p w:rsidR="000908F5" w:rsidRDefault="000908F5" w:rsidP="00427543">
      <w:pPr>
        <w:ind w:firstLine="720"/>
        <w:jc w:val="left"/>
        <w:rPr>
          <w:sz w:val="26"/>
          <w:szCs w:val="26"/>
        </w:rPr>
      </w:pPr>
    </w:p>
    <w:p w:rsidR="000908F5" w:rsidRDefault="000908F5" w:rsidP="000908F5">
      <w:pPr>
        <w:pStyle w:val="BodyText3"/>
        <w:tabs>
          <w:tab w:val="left" w:pos="-720"/>
        </w:tabs>
        <w:jc w:val="both"/>
        <w:rPr>
          <w:b/>
          <w:sz w:val="26"/>
          <w:szCs w:val="24"/>
        </w:rPr>
      </w:pPr>
      <w:r>
        <w:rPr>
          <w:b/>
          <w:sz w:val="26"/>
          <w:szCs w:val="24"/>
        </w:rPr>
        <w:tab/>
      </w:r>
      <w:r>
        <w:rPr>
          <w:b/>
          <w:sz w:val="26"/>
          <w:szCs w:val="24"/>
        </w:rPr>
        <w:tab/>
      </w:r>
    </w:p>
    <w:p w:rsidR="000908F5" w:rsidRDefault="000908F5" w:rsidP="000908F5">
      <w:pPr>
        <w:pStyle w:val="BodyText3"/>
        <w:tabs>
          <w:tab w:val="left" w:pos="-720"/>
        </w:tabs>
        <w:jc w:val="both"/>
        <w:rPr>
          <w:b/>
          <w:sz w:val="26"/>
          <w:szCs w:val="24"/>
        </w:rPr>
      </w:pPr>
      <w:r>
        <w:rPr>
          <w:b/>
          <w:sz w:val="26"/>
          <w:szCs w:val="24"/>
        </w:rPr>
        <w:lastRenderedPageBreak/>
        <w:tab/>
      </w:r>
      <w:r>
        <w:rPr>
          <w:b/>
          <w:sz w:val="26"/>
          <w:szCs w:val="24"/>
        </w:rPr>
        <w:tab/>
      </w:r>
      <w:r w:rsidRPr="00217166">
        <w:rPr>
          <w:b/>
          <w:sz w:val="26"/>
          <w:szCs w:val="24"/>
        </w:rPr>
        <w:t>IT IS ORDERED:</w:t>
      </w:r>
    </w:p>
    <w:p w:rsidR="000908F5" w:rsidRPr="00BD5FC2" w:rsidRDefault="000908F5" w:rsidP="000908F5">
      <w:pPr>
        <w:pStyle w:val="BodyText3"/>
        <w:tabs>
          <w:tab w:val="left" w:pos="-720"/>
        </w:tabs>
        <w:ind w:firstLine="1440"/>
        <w:rPr>
          <w:sz w:val="26"/>
          <w:szCs w:val="24"/>
        </w:rPr>
      </w:pPr>
    </w:p>
    <w:p w:rsidR="000908F5" w:rsidRDefault="000908F5" w:rsidP="000908F5">
      <w:pPr>
        <w:pStyle w:val="FootnoteText"/>
        <w:widowControl/>
        <w:spacing w:line="360" w:lineRule="auto"/>
        <w:rPr>
          <w:szCs w:val="26"/>
        </w:rPr>
      </w:pPr>
      <w:r>
        <w:rPr>
          <w:szCs w:val="26"/>
        </w:rPr>
        <w:tab/>
      </w:r>
      <w:r>
        <w:rPr>
          <w:szCs w:val="26"/>
        </w:rPr>
        <w:tab/>
        <w:t>1.</w:t>
      </w:r>
      <w:r>
        <w:rPr>
          <w:szCs w:val="26"/>
        </w:rPr>
        <w:tab/>
        <w:t>That the Exceptions of PP&amp;L Industrial Customer Alliance, the Office of Consumer Advocate, the Commission on Economic Opportunity and the Sustainable Energy Fund are denied, consistent with this Opinion and Order.</w:t>
      </w:r>
    </w:p>
    <w:p w:rsidR="000908F5" w:rsidRDefault="000908F5"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r>
        <w:rPr>
          <w:szCs w:val="26"/>
        </w:rPr>
        <w:tab/>
      </w:r>
      <w:r>
        <w:rPr>
          <w:szCs w:val="26"/>
        </w:rPr>
        <w:tab/>
        <w:t>2.</w:t>
      </w:r>
      <w:r>
        <w:rPr>
          <w:szCs w:val="26"/>
        </w:rPr>
        <w:tab/>
        <w:t>That the Exceptions of the Retail Energy Supply Association are granted in part, and denied in part, consistent with this Opinion and Order.</w:t>
      </w:r>
    </w:p>
    <w:p w:rsidR="000908F5" w:rsidRDefault="000908F5"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r>
        <w:rPr>
          <w:szCs w:val="26"/>
        </w:rPr>
        <w:tab/>
      </w:r>
      <w:r>
        <w:rPr>
          <w:szCs w:val="26"/>
        </w:rPr>
        <w:tab/>
        <w:t xml:space="preserve">3. </w:t>
      </w:r>
      <w:r>
        <w:rPr>
          <w:szCs w:val="26"/>
        </w:rPr>
        <w:tab/>
        <w:t>That the Exceptions of the Office of Small Business Advocate are granted in part, and denied in part, consistent with this Opinion and Order.</w:t>
      </w:r>
    </w:p>
    <w:p w:rsidR="000908F5" w:rsidRDefault="000908F5" w:rsidP="000908F5">
      <w:pPr>
        <w:pStyle w:val="FootnoteText"/>
        <w:widowControl/>
        <w:spacing w:line="360" w:lineRule="auto"/>
        <w:rPr>
          <w:szCs w:val="26"/>
        </w:rPr>
      </w:pPr>
    </w:p>
    <w:p w:rsidR="000908F5" w:rsidRPr="001A131F" w:rsidRDefault="000908F5" w:rsidP="000908F5">
      <w:pPr>
        <w:pStyle w:val="FootnoteText"/>
        <w:widowControl/>
        <w:spacing w:line="360" w:lineRule="auto"/>
        <w:rPr>
          <w:szCs w:val="26"/>
        </w:rPr>
      </w:pPr>
      <w:r>
        <w:rPr>
          <w:szCs w:val="26"/>
        </w:rPr>
        <w:tab/>
      </w:r>
      <w:r>
        <w:rPr>
          <w:szCs w:val="26"/>
        </w:rPr>
        <w:tab/>
        <w:t>4.</w:t>
      </w:r>
      <w:r>
        <w:rPr>
          <w:szCs w:val="26"/>
        </w:rPr>
        <w:tab/>
        <w:t>That the Recommended Decision of Administrative Law Judge Susan D. Colwell is adopted as clarified by this Opinion and Order.</w:t>
      </w:r>
    </w:p>
    <w:p w:rsidR="000908F5" w:rsidRPr="001A131F" w:rsidRDefault="000908F5" w:rsidP="000908F5">
      <w:pPr>
        <w:pStyle w:val="FootnoteText"/>
        <w:widowControl/>
        <w:spacing w:line="360" w:lineRule="auto"/>
        <w:rPr>
          <w:szCs w:val="26"/>
        </w:rPr>
      </w:pPr>
    </w:p>
    <w:p w:rsidR="000908F5" w:rsidRPr="001A131F" w:rsidRDefault="000908F5" w:rsidP="000908F5">
      <w:pPr>
        <w:pStyle w:val="FootnoteText"/>
        <w:widowControl/>
        <w:spacing w:line="360" w:lineRule="auto"/>
        <w:rPr>
          <w:szCs w:val="26"/>
        </w:rPr>
      </w:pPr>
      <w:r w:rsidRPr="001A131F">
        <w:rPr>
          <w:szCs w:val="26"/>
        </w:rPr>
        <w:tab/>
      </w:r>
      <w:r w:rsidRPr="001A131F">
        <w:rPr>
          <w:szCs w:val="26"/>
        </w:rPr>
        <w:tab/>
      </w:r>
      <w:r>
        <w:rPr>
          <w:szCs w:val="26"/>
        </w:rPr>
        <w:t>5</w:t>
      </w:r>
      <w:r w:rsidRPr="001A131F">
        <w:rPr>
          <w:szCs w:val="26"/>
        </w:rPr>
        <w:t>.</w:t>
      </w:r>
      <w:r w:rsidRPr="001A131F">
        <w:rPr>
          <w:szCs w:val="26"/>
        </w:rPr>
        <w:tab/>
        <w:t xml:space="preserve">That PPL Electric Utilities Corporation shall not place into effect the </w:t>
      </w:r>
      <w:r>
        <w:rPr>
          <w:szCs w:val="26"/>
        </w:rPr>
        <w:t xml:space="preserve">rates, </w:t>
      </w:r>
      <w:r w:rsidRPr="001A131F">
        <w:rPr>
          <w:szCs w:val="26"/>
        </w:rPr>
        <w:t>rules and regulations contained in Supplement 83 to its Tariff-Electric Pa. P.U.C. No. 201, as filed.</w:t>
      </w:r>
    </w:p>
    <w:p w:rsidR="000908F5" w:rsidRPr="001A131F" w:rsidRDefault="000908F5" w:rsidP="000908F5">
      <w:pPr>
        <w:pStyle w:val="FootnoteText"/>
        <w:widowControl/>
        <w:spacing w:line="360" w:lineRule="auto"/>
        <w:rPr>
          <w:szCs w:val="26"/>
        </w:rPr>
      </w:pPr>
    </w:p>
    <w:p w:rsidR="000908F5" w:rsidRPr="001A131F" w:rsidRDefault="000908F5" w:rsidP="000908F5">
      <w:pPr>
        <w:pStyle w:val="FootnoteText"/>
        <w:widowControl/>
        <w:spacing w:line="360" w:lineRule="auto"/>
        <w:rPr>
          <w:szCs w:val="26"/>
        </w:rPr>
      </w:pPr>
      <w:r w:rsidRPr="001A131F">
        <w:rPr>
          <w:szCs w:val="26"/>
        </w:rPr>
        <w:tab/>
      </w:r>
      <w:r w:rsidRPr="001A131F">
        <w:rPr>
          <w:szCs w:val="26"/>
        </w:rPr>
        <w:tab/>
      </w:r>
      <w:r>
        <w:rPr>
          <w:szCs w:val="26"/>
        </w:rPr>
        <w:t>6</w:t>
      </w:r>
      <w:r w:rsidRPr="001A131F">
        <w:rPr>
          <w:szCs w:val="26"/>
        </w:rPr>
        <w:t>.</w:t>
      </w:r>
      <w:r w:rsidRPr="001A131F">
        <w:rPr>
          <w:szCs w:val="26"/>
        </w:rPr>
        <w:tab/>
        <w:t>That the Joint Petition for Partial Settlement, signed by PPL Electric Utilities Corporation, Office of Trial Staff, Office of Consumer Advocate, and Richards Energy Group, is approved without modification.</w:t>
      </w:r>
    </w:p>
    <w:p w:rsidR="000908F5" w:rsidRPr="001A131F" w:rsidRDefault="000908F5" w:rsidP="000908F5">
      <w:pPr>
        <w:pStyle w:val="FootnoteText"/>
        <w:widowControl/>
        <w:spacing w:line="360" w:lineRule="auto"/>
        <w:rPr>
          <w:szCs w:val="26"/>
        </w:rPr>
      </w:pPr>
    </w:p>
    <w:p w:rsidR="000908F5" w:rsidRPr="001A131F" w:rsidRDefault="000908F5" w:rsidP="000908F5">
      <w:pPr>
        <w:pStyle w:val="FootnoteText"/>
        <w:widowControl/>
        <w:spacing w:line="360" w:lineRule="auto"/>
        <w:rPr>
          <w:szCs w:val="26"/>
        </w:rPr>
      </w:pPr>
      <w:r>
        <w:rPr>
          <w:szCs w:val="26"/>
        </w:rPr>
        <w:tab/>
      </w:r>
      <w:r>
        <w:rPr>
          <w:szCs w:val="26"/>
        </w:rPr>
        <w:tab/>
        <w:t>7</w:t>
      </w:r>
      <w:r w:rsidRPr="001A131F">
        <w:rPr>
          <w:szCs w:val="26"/>
        </w:rPr>
        <w:t>.</w:t>
      </w:r>
      <w:r w:rsidRPr="001A131F">
        <w:rPr>
          <w:szCs w:val="26"/>
        </w:rPr>
        <w:tab/>
        <w:t xml:space="preserve">That PPL Electric Utilities Corporation is authorized to file a </w:t>
      </w:r>
      <w:r>
        <w:rPr>
          <w:szCs w:val="26"/>
        </w:rPr>
        <w:t xml:space="preserve">tariff, tariff supplements and/or tariff revisions, on less than statutory notice, and pursuant to the provisions of 52 Pa. Code §§ 53.1, </w:t>
      </w:r>
      <w:r>
        <w:rPr>
          <w:i/>
          <w:szCs w:val="26"/>
        </w:rPr>
        <w:t>et seq.,</w:t>
      </w:r>
      <w:r>
        <w:rPr>
          <w:szCs w:val="26"/>
        </w:rPr>
        <w:t xml:space="preserve"> and 53.101, </w:t>
      </w:r>
      <w:r w:rsidRPr="001A131F">
        <w:rPr>
          <w:szCs w:val="26"/>
        </w:rPr>
        <w:t xml:space="preserve">designed to produce an annual distribution rate revenue increase of approximately $77.5 million, to become effective for service rendered on and after January 1, 2011.  </w:t>
      </w:r>
    </w:p>
    <w:p w:rsidR="000908F5" w:rsidRDefault="000908F5" w:rsidP="000908F5">
      <w:pPr>
        <w:pStyle w:val="FootnoteText"/>
        <w:widowControl/>
        <w:spacing w:line="360" w:lineRule="auto"/>
        <w:rPr>
          <w:szCs w:val="26"/>
        </w:rPr>
      </w:pPr>
    </w:p>
    <w:p w:rsidR="000908F5" w:rsidRPr="001A131F" w:rsidRDefault="000908F5" w:rsidP="000908F5">
      <w:pPr>
        <w:pStyle w:val="FootnoteText"/>
        <w:widowControl/>
        <w:spacing w:line="360" w:lineRule="auto"/>
        <w:rPr>
          <w:szCs w:val="26"/>
        </w:rPr>
      </w:pPr>
      <w:r w:rsidRPr="001A131F">
        <w:rPr>
          <w:szCs w:val="26"/>
        </w:rPr>
        <w:lastRenderedPageBreak/>
        <w:tab/>
      </w:r>
      <w:r w:rsidRPr="001A131F">
        <w:rPr>
          <w:szCs w:val="26"/>
        </w:rPr>
        <w:tab/>
      </w:r>
      <w:r>
        <w:rPr>
          <w:szCs w:val="26"/>
        </w:rPr>
        <w:t>8</w:t>
      </w:r>
      <w:r w:rsidRPr="001A131F">
        <w:rPr>
          <w:szCs w:val="26"/>
        </w:rPr>
        <w:t>.</w:t>
      </w:r>
      <w:r w:rsidRPr="001A131F">
        <w:rPr>
          <w:szCs w:val="26"/>
        </w:rPr>
        <w:tab/>
        <w:t>That PPL Electric Utilities Corporation shall file detailed calculations with its tariff filing</w:t>
      </w:r>
      <w:r>
        <w:rPr>
          <w:szCs w:val="26"/>
        </w:rPr>
        <w:t>,</w:t>
      </w:r>
      <w:r w:rsidRPr="001A131F">
        <w:rPr>
          <w:szCs w:val="26"/>
        </w:rPr>
        <w:t xml:space="preserve"> which </w:t>
      </w:r>
      <w:r>
        <w:rPr>
          <w:szCs w:val="26"/>
        </w:rPr>
        <w:t>shall demonstrate</w:t>
      </w:r>
      <w:r w:rsidRPr="001A131F">
        <w:rPr>
          <w:szCs w:val="26"/>
        </w:rPr>
        <w:t xml:space="preserve"> to the </w:t>
      </w:r>
      <w:r>
        <w:rPr>
          <w:szCs w:val="26"/>
        </w:rPr>
        <w:t>Commission’s</w:t>
      </w:r>
      <w:r w:rsidRPr="001A131F">
        <w:rPr>
          <w:szCs w:val="26"/>
        </w:rPr>
        <w:t xml:space="preserve"> satisfaction that the filed tariff adjustments comply with the provisions of th</w:t>
      </w:r>
      <w:r>
        <w:rPr>
          <w:szCs w:val="26"/>
        </w:rPr>
        <w:t>is</w:t>
      </w:r>
      <w:r w:rsidRPr="001A131F">
        <w:rPr>
          <w:szCs w:val="26"/>
        </w:rPr>
        <w:t xml:space="preserve"> final</w:t>
      </w:r>
      <w:r>
        <w:rPr>
          <w:szCs w:val="26"/>
        </w:rPr>
        <w:t xml:space="preserve"> Opinion</w:t>
      </w:r>
      <w:r w:rsidRPr="001A131F">
        <w:rPr>
          <w:szCs w:val="26"/>
        </w:rPr>
        <w:t xml:space="preserve"> </w:t>
      </w:r>
      <w:r>
        <w:rPr>
          <w:szCs w:val="26"/>
        </w:rPr>
        <w:t xml:space="preserve">and </w:t>
      </w:r>
      <w:r w:rsidRPr="001A131F">
        <w:rPr>
          <w:szCs w:val="26"/>
        </w:rPr>
        <w:t>Order.</w:t>
      </w:r>
    </w:p>
    <w:p w:rsidR="000908F5" w:rsidRPr="001A131F" w:rsidRDefault="000908F5"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r>
        <w:rPr>
          <w:szCs w:val="26"/>
        </w:rPr>
        <w:tab/>
      </w:r>
      <w:r>
        <w:rPr>
          <w:szCs w:val="26"/>
        </w:rPr>
        <w:tab/>
        <w:t>9</w:t>
      </w:r>
      <w:r w:rsidRPr="001A131F">
        <w:rPr>
          <w:szCs w:val="26"/>
        </w:rPr>
        <w:t>.</w:t>
      </w:r>
      <w:r w:rsidRPr="001A131F">
        <w:rPr>
          <w:szCs w:val="26"/>
        </w:rPr>
        <w:tab/>
        <w:t xml:space="preserve">That PPL Electric Utilities Corporation shall allocate the authorized increase in operating </w:t>
      </w:r>
      <w:r>
        <w:rPr>
          <w:szCs w:val="26"/>
        </w:rPr>
        <w:t xml:space="preserve">distribution </w:t>
      </w:r>
      <w:r w:rsidRPr="001A131F">
        <w:rPr>
          <w:szCs w:val="26"/>
        </w:rPr>
        <w:t>revenue to each customer class</w:t>
      </w:r>
      <w:r>
        <w:rPr>
          <w:szCs w:val="26"/>
        </w:rPr>
        <w:t>,</w:t>
      </w:r>
      <w:r w:rsidRPr="001A131F">
        <w:rPr>
          <w:szCs w:val="26"/>
        </w:rPr>
        <w:t xml:space="preserve"> and rate schedule within each</w:t>
      </w:r>
      <w:r>
        <w:rPr>
          <w:szCs w:val="26"/>
        </w:rPr>
        <w:t xml:space="preserve"> customer class, in the manner prescribed in this</w:t>
      </w:r>
      <w:r w:rsidRPr="001A131F">
        <w:rPr>
          <w:szCs w:val="26"/>
        </w:rPr>
        <w:t xml:space="preserve"> final Commission </w:t>
      </w:r>
      <w:r>
        <w:rPr>
          <w:szCs w:val="26"/>
        </w:rPr>
        <w:t xml:space="preserve">Opinion and </w:t>
      </w:r>
      <w:r w:rsidRPr="001A131F">
        <w:rPr>
          <w:szCs w:val="26"/>
        </w:rPr>
        <w:t>Order.</w:t>
      </w:r>
    </w:p>
    <w:p w:rsidR="00992BAA" w:rsidRDefault="00992BAA" w:rsidP="000908F5">
      <w:pPr>
        <w:pStyle w:val="FootnoteText"/>
        <w:widowControl/>
        <w:spacing w:line="360" w:lineRule="auto"/>
        <w:rPr>
          <w:szCs w:val="26"/>
        </w:rPr>
      </w:pPr>
    </w:p>
    <w:p w:rsidR="00992BAA" w:rsidRPr="001A131F" w:rsidRDefault="00992BAA"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p>
    <w:p w:rsidR="000908F5" w:rsidRPr="001A131F" w:rsidRDefault="000908F5" w:rsidP="00992BAA">
      <w:pPr>
        <w:pStyle w:val="FootnoteText"/>
        <w:widowControl/>
        <w:spacing w:line="360" w:lineRule="auto"/>
        <w:rPr>
          <w:szCs w:val="26"/>
        </w:rPr>
      </w:pPr>
      <w:r>
        <w:rPr>
          <w:szCs w:val="26"/>
        </w:rPr>
        <w:tab/>
      </w:r>
      <w:r>
        <w:rPr>
          <w:szCs w:val="26"/>
        </w:rPr>
        <w:tab/>
        <w:t>10.</w:t>
      </w:r>
      <w:r>
        <w:rPr>
          <w:szCs w:val="26"/>
        </w:rPr>
        <w:tab/>
      </w:r>
      <w:r w:rsidRPr="001A131F">
        <w:rPr>
          <w:szCs w:val="26"/>
        </w:rPr>
        <w:t xml:space="preserve">That PPL Electric Utilities Corporation </w:t>
      </w:r>
      <w:r>
        <w:rPr>
          <w:szCs w:val="26"/>
        </w:rPr>
        <w:t xml:space="preserve">shall </w:t>
      </w:r>
      <w:r w:rsidRPr="001A131F">
        <w:rPr>
          <w:szCs w:val="26"/>
        </w:rPr>
        <w:t xml:space="preserve">file </w:t>
      </w:r>
      <w:r>
        <w:rPr>
          <w:szCs w:val="26"/>
        </w:rPr>
        <w:t xml:space="preserve">tariff revisions, on less than statutory notice, incorporating the two POR program all-in/all-out exceptions detailed in this Opinion and Order, </w:t>
      </w:r>
      <w:r w:rsidRPr="001A131F">
        <w:rPr>
          <w:szCs w:val="26"/>
        </w:rPr>
        <w:t xml:space="preserve">to become effective for service rendered on and after January 1, 2011.  </w:t>
      </w:r>
    </w:p>
    <w:p w:rsidR="000908F5" w:rsidRPr="001A131F" w:rsidRDefault="000908F5"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r>
        <w:rPr>
          <w:szCs w:val="26"/>
        </w:rPr>
        <w:tab/>
      </w:r>
      <w:r>
        <w:rPr>
          <w:szCs w:val="26"/>
        </w:rPr>
        <w:tab/>
        <w:t>11</w:t>
      </w:r>
      <w:r w:rsidRPr="001A131F">
        <w:rPr>
          <w:szCs w:val="26"/>
        </w:rPr>
        <w:t>.</w:t>
      </w:r>
      <w:r w:rsidRPr="001A131F">
        <w:rPr>
          <w:szCs w:val="26"/>
        </w:rPr>
        <w:tab/>
      </w:r>
      <w:r>
        <w:rPr>
          <w:szCs w:val="26"/>
        </w:rPr>
        <w:t>That PPL Electric Utilities Corporation shall comply with all directives, conclusions, and recommendations contained in the body of the Administrative Law Judge’s Recommended Decision, which are not the subject of an individual directive in these ordering paragraphs, as if they were the subject of a specific ordering paragraph.</w:t>
      </w:r>
    </w:p>
    <w:p w:rsidR="000908F5" w:rsidRPr="001A131F" w:rsidRDefault="000908F5" w:rsidP="000908F5">
      <w:pPr>
        <w:pStyle w:val="FootnoteText"/>
        <w:widowControl/>
        <w:spacing w:line="360" w:lineRule="auto"/>
        <w:rPr>
          <w:szCs w:val="26"/>
        </w:rPr>
      </w:pPr>
    </w:p>
    <w:p w:rsidR="000908F5" w:rsidRPr="001A131F" w:rsidRDefault="000908F5" w:rsidP="000908F5">
      <w:pPr>
        <w:jc w:val="left"/>
        <w:rPr>
          <w:sz w:val="26"/>
          <w:szCs w:val="26"/>
        </w:rPr>
      </w:pPr>
      <w:r>
        <w:rPr>
          <w:sz w:val="26"/>
          <w:szCs w:val="26"/>
        </w:rPr>
        <w:tab/>
      </w:r>
      <w:r>
        <w:rPr>
          <w:sz w:val="26"/>
          <w:szCs w:val="26"/>
        </w:rPr>
        <w:tab/>
        <w:t>12</w:t>
      </w:r>
      <w:r w:rsidRPr="001A131F">
        <w:rPr>
          <w:sz w:val="26"/>
          <w:szCs w:val="26"/>
        </w:rPr>
        <w:t>.</w:t>
      </w:r>
      <w:r w:rsidRPr="001A131F">
        <w:rPr>
          <w:sz w:val="26"/>
          <w:szCs w:val="26"/>
        </w:rPr>
        <w:tab/>
        <w:t xml:space="preserve">That the </w:t>
      </w:r>
      <w:r>
        <w:rPr>
          <w:sz w:val="26"/>
          <w:szCs w:val="26"/>
        </w:rPr>
        <w:t>Formal C</w:t>
      </w:r>
      <w:r w:rsidRPr="001A131F">
        <w:rPr>
          <w:sz w:val="26"/>
          <w:szCs w:val="26"/>
        </w:rPr>
        <w:t>omplaints filed by the Office of Consumer Advocate</w:t>
      </w:r>
      <w:r>
        <w:rPr>
          <w:sz w:val="26"/>
          <w:szCs w:val="26"/>
        </w:rPr>
        <w:t>,</w:t>
      </w:r>
      <w:r w:rsidRPr="001A131F">
        <w:rPr>
          <w:sz w:val="26"/>
          <w:szCs w:val="26"/>
        </w:rPr>
        <w:t xml:space="preserve"> </w:t>
      </w:r>
      <w:r>
        <w:rPr>
          <w:sz w:val="26"/>
          <w:szCs w:val="26"/>
        </w:rPr>
        <w:t xml:space="preserve">the </w:t>
      </w:r>
      <w:r w:rsidRPr="001A131F">
        <w:rPr>
          <w:sz w:val="26"/>
          <w:szCs w:val="26"/>
        </w:rPr>
        <w:t>Office of Small Business Advocate and PP&amp;L Industrial Customer Alliance are sustained in part and dismissed in part consistent with this Order.</w:t>
      </w:r>
    </w:p>
    <w:p w:rsidR="000908F5" w:rsidRDefault="000908F5" w:rsidP="000908F5">
      <w:pPr>
        <w:jc w:val="left"/>
        <w:rPr>
          <w:sz w:val="26"/>
          <w:szCs w:val="26"/>
        </w:rPr>
      </w:pPr>
    </w:p>
    <w:p w:rsidR="000908F5" w:rsidRPr="001A131F" w:rsidRDefault="000908F5" w:rsidP="000908F5">
      <w:pPr>
        <w:jc w:val="left"/>
        <w:rPr>
          <w:sz w:val="26"/>
          <w:szCs w:val="26"/>
        </w:rPr>
      </w:pPr>
      <w:r>
        <w:rPr>
          <w:sz w:val="26"/>
          <w:szCs w:val="26"/>
        </w:rPr>
        <w:tab/>
      </w:r>
      <w:r>
        <w:rPr>
          <w:sz w:val="26"/>
          <w:szCs w:val="26"/>
        </w:rPr>
        <w:tab/>
        <w:t>13</w:t>
      </w:r>
      <w:r w:rsidRPr="001A131F">
        <w:rPr>
          <w:sz w:val="26"/>
          <w:szCs w:val="26"/>
        </w:rPr>
        <w:t>.</w:t>
      </w:r>
      <w:r w:rsidRPr="001A131F">
        <w:rPr>
          <w:sz w:val="26"/>
          <w:szCs w:val="26"/>
        </w:rPr>
        <w:tab/>
        <w:t xml:space="preserve">That the </w:t>
      </w:r>
      <w:r>
        <w:rPr>
          <w:sz w:val="26"/>
          <w:szCs w:val="26"/>
        </w:rPr>
        <w:t>Formal C</w:t>
      </w:r>
      <w:r w:rsidRPr="001A131F">
        <w:rPr>
          <w:sz w:val="26"/>
          <w:szCs w:val="26"/>
        </w:rPr>
        <w:t xml:space="preserve">omplaints filed by Elaine &amp; Clayton Andrews, Jr.; Ashley A. Buck; Eric J. Epstein; </w:t>
      </w:r>
      <w:r>
        <w:rPr>
          <w:sz w:val="26"/>
          <w:szCs w:val="26"/>
        </w:rPr>
        <w:t xml:space="preserve">Vincent C. Giglio, </w:t>
      </w:r>
      <w:r w:rsidRPr="001A131F">
        <w:rPr>
          <w:sz w:val="26"/>
          <w:szCs w:val="26"/>
        </w:rPr>
        <w:t xml:space="preserve">Stephen F. Goldstein; Peter Grieger; </w:t>
      </w:r>
      <w:r w:rsidRPr="001A131F">
        <w:rPr>
          <w:sz w:val="26"/>
          <w:szCs w:val="26"/>
        </w:rPr>
        <w:lastRenderedPageBreak/>
        <w:t xml:space="preserve">William P. Hart; Linda M. Johnson; Gerard Martin; Eugene R. Ruoff; George R. Snyder; Shannon Stiffler; and Whitehall Township, and any other </w:t>
      </w:r>
      <w:r>
        <w:rPr>
          <w:sz w:val="26"/>
          <w:szCs w:val="26"/>
        </w:rPr>
        <w:t>Formal Co</w:t>
      </w:r>
      <w:r w:rsidRPr="001A131F">
        <w:rPr>
          <w:sz w:val="26"/>
          <w:szCs w:val="26"/>
        </w:rPr>
        <w:t xml:space="preserve">mplaint not specifically noted but filed prior to issuance of this </w:t>
      </w:r>
      <w:r>
        <w:rPr>
          <w:sz w:val="26"/>
          <w:szCs w:val="26"/>
        </w:rPr>
        <w:t xml:space="preserve">Opinion and </w:t>
      </w:r>
      <w:r w:rsidRPr="001A131F">
        <w:rPr>
          <w:sz w:val="26"/>
          <w:szCs w:val="26"/>
        </w:rPr>
        <w:t>Order are hereby dismissed.</w:t>
      </w:r>
    </w:p>
    <w:p w:rsidR="00992BAA" w:rsidRDefault="00992BAA" w:rsidP="000908F5">
      <w:pPr>
        <w:pStyle w:val="FootnoteText"/>
        <w:widowControl/>
        <w:spacing w:line="360" w:lineRule="auto"/>
        <w:rPr>
          <w:szCs w:val="26"/>
        </w:rPr>
      </w:pPr>
    </w:p>
    <w:p w:rsidR="000908F5" w:rsidRDefault="000908F5" w:rsidP="000908F5">
      <w:pPr>
        <w:pStyle w:val="FootnoteText"/>
        <w:widowControl/>
        <w:spacing w:line="360" w:lineRule="auto"/>
        <w:rPr>
          <w:szCs w:val="26"/>
        </w:rPr>
      </w:pPr>
      <w:r>
        <w:rPr>
          <w:szCs w:val="26"/>
        </w:rPr>
        <w:tab/>
      </w:r>
      <w:r>
        <w:rPr>
          <w:szCs w:val="26"/>
        </w:rPr>
        <w:tab/>
        <w:t>14.</w:t>
      </w:r>
      <w:r>
        <w:rPr>
          <w:szCs w:val="26"/>
        </w:rPr>
        <w:tab/>
      </w:r>
      <w:r w:rsidRPr="001A131F">
        <w:rPr>
          <w:szCs w:val="26"/>
        </w:rPr>
        <w:t>That</w:t>
      </w:r>
      <w:r>
        <w:rPr>
          <w:szCs w:val="26"/>
        </w:rPr>
        <w:t>, upon Commission approval of the tariff, tariff supplements and/or tariff revisions,</w:t>
      </w:r>
      <w:r w:rsidRPr="001A131F">
        <w:rPr>
          <w:szCs w:val="26"/>
        </w:rPr>
        <w:t xml:space="preserve"> the investigation at Docket Number R-2010-2161694 shall be marked closed.</w:t>
      </w:r>
    </w:p>
    <w:p w:rsidR="000908F5" w:rsidRPr="001A131F" w:rsidRDefault="000908F5" w:rsidP="000908F5">
      <w:pPr>
        <w:jc w:val="left"/>
        <w:rPr>
          <w:sz w:val="26"/>
          <w:szCs w:val="26"/>
        </w:rPr>
      </w:pPr>
    </w:p>
    <w:p w:rsidR="000908F5" w:rsidRPr="001A131F" w:rsidRDefault="00641067" w:rsidP="000908F5">
      <w:pPr>
        <w:pStyle w:val="Pleading2L3"/>
        <w:numPr>
          <w:ilvl w:val="0"/>
          <w:numId w:val="0"/>
        </w:numPr>
        <w:spacing w:line="360" w:lineRule="auto"/>
        <w:contextualSpacing/>
        <w:rPr>
          <w:b/>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3057525</wp:posOffset>
            </wp:positionH>
            <wp:positionV relativeFrom="paragraph">
              <wp:posOffset>71755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908F5" w:rsidRPr="001A131F">
        <w:rPr>
          <w:sz w:val="26"/>
          <w:szCs w:val="26"/>
        </w:rPr>
        <w:tab/>
      </w:r>
      <w:r w:rsidR="000908F5">
        <w:rPr>
          <w:sz w:val="26"/>
          <w:szCs w:val="26"/>
        </w:rPr>
        <w:tab/>
      </w:r>
      <w:r w:rsidR="000908F5">
        <w:rPr>
          <w:sz w:val="26"/>
          <w:szCs w:val="26"/>
        </w:rPr>
        <w:tab/>
      </w:r>
      <w:r w:rsidR="000908F5">
        <w:rPr>
          <w:sz w:val="26"/>
          <w:szCs w:val="26"/>
        </w:rPr>
        <w:tab/>
      </w:r>
      <w:r w:rsidR="000908F5">
        <w:rPr>
          <w:sz w:val="26"/>
          <w:szCs w:val="26"/>
        </w:rPr>
        <w:tab/>
      </w:r>
      <w:r w:rsidR="000908F5">
        <w:rPr>
          <w:sz w:val="26"/>
          <w:szCs w:val="26"/>
        </w:rPr>
        <w:tab/>
      </w:r>
      <w:r w:rsidR="000908F5">
        <w:rPr>
          <w:sz w:val="26"/>
          <w:szCs w:val="26"/>
        </w:rPr>
        <w:tab/>
      </w:r>
      <w:r w:rsidR="000908F5" w:rsidRPr="001A131F">
        <w:rPr>
          <w:b/>
          <w:sz w:val="26"/>
          <w:szCs w:val="26"/>
        </w:rPr>
        <w:t>BY THE COMMISSION</w:t>
      </w:r>
      <w:r w:rsidR="000908F5">
        <w:rPr>
          <w:b/>
          <w:sz w:val="26"/>
          <w:szCs w:val="26"/>
        </w:rPr>
        <w:t>,</w:t>
      </w:r>
    </w:p>
    <w:p w:rsidR="000908F5" w:rsidRDefault="000908F5" w:rsidP="000908F5">
      <w:pPr>
        <w:pStyle w:val="Pleading2L3"/>
        <w:numPr>
          <w:ilvl w:val="0"/>
          <w:numId w:val="0"/>
        </w:numPr>
        <w:spacing w:line="360" w:lineRule="auto"/>
        <w:contextualSpacing/>
        <w:rPr>
          <w:b/>
          <w:sz w:val="26"/>
          <w:szCs w:val="26"/>
        </w:rPr>
      </w:pPr>
    </w:p>
    <w:p w:rsidR="000908F5" w:rsidRPr="001A131F" w:rsidRDefault="000908F5" w:rsidP="000908F5">
      <w:pPr>
        <w:pStyle w:val="Pleading2L3"/>
        <w:numPr>
          <w:ilvl w:val="0"/>
          <w:numId w:val="0"/>
        </w:numPr>
        <w:spacing w:line="360" w:lineRule="auto"/>
        <w:contextualSpacing/>
        <w:rPr>
          <w:b/>
          <w:sz w:val="26"/>
          <w:szCs w:val="26"/>
        </w:rPr>
      </w:pPr>
    </w:p>
    <w:p w:rsidR="000908F5" w:rsidRPr="001A131F" w:rsidRDefault="000908F5" w:rsidP="000908F5">
      <w:pPr>
        <w:pStyle w:val="Pleading2L3"/>
        <w:numPr>
          <w:ilvl w:val="0"/>
          <w:numId w:val="0"/>
        </w:numPr>
        <w:spacing w:line="240" w:lineRule="auto"/>
        <w:contextualSpacing/>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1A131F">
        <w:rPr>
          <w:b/>
          <w:sz w:val="26"/>
          <w:szCs w:val="26"/>
        </w:rPr>
        <w:tab/>
      </w:r>
      <w:r w:rsidRPr="001A131F">
        <w:rPr>
          <w:sz w:val="26"/>
          <w:szCs w:val="26"/>
        </w:rPr>
        <w:t>Rosemary Chiavetta</w:t>
      </w:r>
    </w:p>
    <w:p w:rsidR="000908F5" w:rsidRPr="001A131F" w:rsidRDefault="000908F5" w:rsidP="000908F5">
      <w:pPr>
        <w:pStyle w:val="Pleading2L3"/>
        <w:numPr>
          <w:ilvl w:val="0"/>
          <w:numId w:val="0"/>
        </w:numPr>
        <w:spacing w:line="240" w:lineRule="auto"/>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A131F">
        <w:rPr>
          <w:sz w:val="26"/>
          <w:szCs w:val="26"/>
        </w:rPr>
        <w:tab/>
        <w:t>Secretary</w:t>
      </w:r>
    </w:p>
    <w:p w:rsidR="000908F5" w:rsidRPr="001A131F" w:rsidRDefault="000908F5" w:rsidP="000908F5">
      <w:pPr>
        <w:pStyle w:val="Pleading2L3"/>
        <w:numPr>
          <w:ilvl w:val="0"/>
          <w:numId w:val="0"/>
        </w:numPr>
        <w:spacing w:line="240" w:lineRule="auto"/>
        <w:contextualSpacing/>
        <w:rPr>
          <w:sz w:val="26"/>
          <w:szCs w:val="26"/>
        </w:rPr>
      </w:pPr>
    </w:p>
    <w:p w:rsidR="000908F5" w:rsidRPr="001A131F" w:rsidRDefault="000908F5" w:rsidP="000908F5">
      <w:pPr>
        <w:pStyle w:val="Pleading2L3"/>
        <w:numPr>
          <w:ilvl w:val="0"/>
          <w:numId w:val="0"/>
        </w:numPr>
        <w:tabs>
          <w:tab w:val="left" w:pos="5040"/>
        </w:tabs>
        <w:spacing w:line="240" w:lineRule="auto"/>
        <w:contextualSpacing/>
        <w:rPr>
          <w:sz w:val="26"/>
          <w:szCs w:val="26"/>
        </w:rPr>
      </w:pPr>
      <w:r w:rsidRPr="001A131F">
        <w:rPr>
          <w:sz w:val="26"/>
          <w:szCs w:val="26"/>
        </w:rPr>
        <w:t>(SEAL)</w:t>
      </w:r>
    </w:p>
    <w:p w:rsidR="000908F5" w:rsidRDefault="000908F5" w:rsidP="000908F5">
      <w:pPr>
        <w:pStyle w:val="Pleading2L3"/>
        <w:numPr>
          <w:ilvl w:val="0"/>
          <w:numId w:val="0"/>
        </w:numPr>
        <w:tabs>
          <w:tab w:val="left" w:pos="5040"/>
        </w:tabs>
        <w:spacing w:line="240" w:lineRule="auto"/>
        <w:contextualSpacing/>
        <w:rPr>
          <w:sz w:val="26"/>
          <w:szCs w:val="26"/>
        </w:rPr>
      </w:pPr>
    </w:p>
    <w:p w:rsidR="000908F5" w:rsidRPr="001A131F" w:rsidRDefault="000908F5" w:rsidP="000908F5">
      <w:pPr>
        <w:pStyle w:val="Pleading2L3"/>
        <w:numPr>
          <w:ilvl w:val="0"/>
          <w:numId w:val="0"/>
        </w:numPr>
        <w:tabs>
          <w:tab w:val="left" w:pos="5040"/>
        </w:tabs>
        <w:spacing w:line="240" w:lineRule="auto"/>
        <w:contextualSpacing/>
        <w:rPr>
          <w:sz w:val="26"/>
          <w:szCs w:val="26"/>
        </w:rPr>
      </w:pPr>
      <w:r>
        <w:rPr>
          <w:sz w:val="26"/>
          <w:szCs w:val="26"/>
        </w:rPr>
        <w:t>ORDER ADOPTED: December 16</w:t>
      </w:r>
      <w:r w:rsidRPr="001A131F">
        <w:rPr>
          <w:sz w:val="26"/>
          <w:szCs w:val="26"/>
        </w:rPr>
        <w:t>, 2010</w:t>
      </w:r>
    </w:p>
    <w:p w:rsidR="000908F5" w:rsidRDefault="000908F5" w:rsidP="000908F5">
      <w:pPr>
        <w:pStyle w:val="Pleading2L3"/>
        <w:numPr>
          <w:ilvl w:val="0"/>
          <w:numId w:val="0"/>
        </w:numPr>
        <w:tabs>
          <w:tab w:val="left" w:pos="5040"/>
        </w:tabs>
        <w:spacing w:line="240" w:lineRule="auto"/>
        <w:contextualSpacing/>
        <w:rPr>
          <w:sz w:val="26"/>
          <w:szCs w:val="26"/>
        </w:rPr>
      </w:pPr>
    </w:p>
    <w:p w:rsidR="000908F5" w:rsidRPr="001A131F" w:rsidRDefault="000908F5" w:rsidP="000908F5">
      <w:pPr>
        <w:pStyle w:val="Pleading2L3"/>
        <w:numPr>
          <w:ilvl w:val="0"/>
          <w:numId w:val="0"/>
        </w:numPr>
        <w:tabs>
          <w:tab w:val="left" w:pos="5040"/>
        </w:tabs>
        <w:spacing w:line="240" w:lineRule="auto"/>
        <w:contextualSpacing/>
        <w:rPr>
          <w:sz w:val="26"/>
          <w:szCs w:val="26"/>
        </w:rPr>
      </w:pPr>
      <w:r w:rsidRPr="001A131F">
        <w:rPr>
          <w:sz w:val="26"/>
          <w:szCs w:val="26"/>
        </w:rPr>
        <w:t xml:space="preserve">ORDER ENTERED: </w:t>
      </w:r>
      <w:r w:rsidR="00641067">
        <w:rPr>
          <w:sz w:val="26"/>
          <w:szCs w:val="26"/>
        </w:rPr>
        <w:t>December 21, 2010</w:t>
      </w:r>
    </w:p>
    <w:p w:rsidR="000908F5" w:rsidRDefault="000908F5" w:rsidP="000908F5"/>
    <w:p w:rsidR="00E91D6C" w:rsidRDefault="00E91D6C">
      <w:pPr>
        <w:spacing w:after="200" w:line="276" w:lineRule="auto"/>
        <w:jc w:val="left"/>
        <w:rPr>
          <w:rFonts w:eastAsia="Times New Roman"/>
          <w:sz w:val="26"/>
        </w:rPr>
      </w:pPr>
    </w:p>
    <w:sectPr w:rsidR="00E91D6C" w:rsidSect="00063B5A">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2B3" w:rsidRDefault="009762B3" w:rsidP="002F0C51">
      <w:pPr>
        <w:spacing w:line="240" w:lineRule="auto"/>
      </w:pPr>
      <w:r>
        <w:separator/>
      </w:r>
    </w:p>
  </w:endnote>
  <w:endnote w:type="continuationSeparator" w:id="0">
    <w:p w:rsidR="009762B3" w:rsidRDefault="009762B3" w:rsidP="002F0C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15032"/>
      <w:docPartObj>
        <w:docPartGallery w:val="Page Numbers (Bottom of Page)"/>
        <w:docPartUnique/>
      </w:docPartObj>
    </w:sdtPr>
    <w:sdtContent>
      <w:p w:rsidR="00B3139D" w:rsidRDefault="00642036">
        <w:pPr>
          <w:pStyle w:val="Footer"/>
        </w:pPr>
        <w:fldSimple w:instr=" PAGE   \* MERGEFORMAT ">
          <w:r w:rsidR="006B59C4">
            <w:rPr>
              <w:noProof/>
            </w:rPr>
            <w:t>iv</w:t>
          </w:r>
        </w:fldSimple>
      </w:p>
    </w:sdtContent>
  </w:sdt>
  <w:p w:rsidR="00B3139D" w:rsidRDefault="00B31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15033"/>
      <w:docPartObj>
        <w:docPartGallery w:val="Page Numbers (Bottom of Page)"/>
        <w:docPartUnique/>
      </w:docPartObj>
    </w:sdtPr>
    <w:sdtContent>
      <w:p w:rsidR="00B3139D" w:rsidRDefault="00642036">
        <w:pPr>
          <w:pStyle w:val="Footer"/>
        </w:pPr>
        <w:fldSimple w:instr=" PAGE   \* MERGEFORMAT ">
          <w:r w:rsidR="006B59C4">
            <w:rPr>
              <w:noProof/>
            </w:rPr>
            <w:t>116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2B3" w:rsidRDefault="009762B3" w:rsidP="00F01F30">
      <w:pPr>
        <w:spacing w:line="240" w:lineRule="auto"/>
        <w:jc w:val="left"/>
      </w:pPr>
      <w:r>
        <w:separator/>
      </w:r>
    </w:p>
  </w:footnote>
  <w:footnote w:type="continuationSeparator" w:id="0">
    <w:p w:rsidR="009762B3" w:rsidRDefault="009762B3" w:rsidP="002F0C51">
      <w:pPr>
        <w:spacing w:line="240" w:lineRule="auto"/>
      </w:pPr>
      <w:r>
        <w:continuationSeparator/>
      </w:r>
    </w:p>
  </w:footnote>
  <w:footnote w:id="1">
    <w:p w:rsidR="00B3139D" w:rsidRPr="00E57091" w:rsidRDefault="00B3139D">
      <w:pPr>
        <w:pStyle w:val="FootnoteText"/>
        <w:rPr>
          <w:szCs w:val="26"/>
        </w:rPr>
      </w:pPr>
      <w:r>
        <w:tab/>
      </w:r>
      <w:r>
        <w:rPr>
          <w:rStyle w:val="FootnoteReference"/>
        </w:rPr>
        <w:footnoteRef/>
      </w:r>
      <w:r w:rsidRPr="008207FF">
        <w:rPr>
          <w:rStyle w:val="FootnoteReference"/>
        </w:rPr>
        <w:tab/>
      </w:r>
      <w:r w:rsidRPr="00E57091">
        <w:rPr>
          <w:szCs w:val="26"/>
        </w:rPr>
        <w:t xml:space="preserve">Parties </w:t>
      </w:r>
      <w:r>
        <w:rPr>
          <w:szCs w:val="26"/>
        </w:rPr>
        <w:t>entered</w:t>
      </w:r>
      <w:r w:rsidRPr="00E57091">
        <w:rPr>
          <w:szCs w:val="26"/>
        </w:rPr>
        <w:t xml:space="preserve"> their written testimony </w:t>
      </w:r>
      <w:r>
        <w:rPr>
          <w:szCs w:val="26"/>
        </w:rPr>
        <w:t xml:space="preserve">and related exhibits </w:t>
      </w:r>
      <w:r w:rsidRPr="00E57091">
        <w:rPr>
          <w:szCs w:val="26"/>
        </w:rPr>
        <w:t>into the record but did not conduct cross examination on the issues settled.</w:t>
      </w:r>
    </w:p>
  </w:footnote>
  <w:footnote w:id="2">
    <w:p w:rsidR="00B3139D" w:rsidRPr="00392088" w:rsidRDefault="00B3139D" w:rsidP="002F0C51">
      <w:pPr>
        <w:pStyle w:val="FootnoteText"/>
        <w:tabs>
          <w:tab w:val="left" w:pos="720"/>
        </w:tabs>
        <w:rPr>
          <w:szCs w:val="26"/>
        </w:rPr>
      </w:pPr>
      <w:r>
        <w:rPr>
          <w:szCs w:val="26"/>
        </w:rPr>
        <w:tab/>
      </w:r>
      <w:r w:rsidRPr="00392088">
        <w:rPr>
          <w:rStyle w:val="FootnoteReference"/>
          <w:sz w:val="26"/>
          <w:szCs w:val="26"/>
          <w:vertAlign w:val="superscript"/>
        </w:rPr>
        <w:footnoteRef/>
      </w:r>
      <w:r w:rsidRPr="00392088">
        <w:rPr>
          <w:szCs w:val="26"/>
        </w:rPr>
        <w:tab/>
        <w:t xml:space="preserve">A second </w:t>
      </w:r>
      <w:r>
        <w:rPr>
          <w:szCs w:val="26"/>
        </w:rPr>
        <w:t>C</w:t>
      </w:r>
      <w:r w:rsidRPr="00392088">
        <w:rPr>
          <w:szCs w:val="26"/>
        </w:rPr>
        <w:t xml:space="preserve">omplainant, whose </w:t>
      </w:r>
      <w:r>
        <w:rPr>
          <w:szCs w:val="26"/>
        </w:rPr>
        <w:t>C</w:t>
      </w:r>
      <w:r w:rsidRPr="00392088">
        <w:rPr>
          <w:szCs w:val="26"/>
        </w:rPr>
        <w:t>omplaint was treated as informal until the informal file was read, declined to participate in the proceeding due to failing health.</w:t>
      </w:r>
    </w:p>
  </w:footnote>
  <w:footnote w:id="3">
    <w:p w:rsidR="00B3139D" w:rsidRDefault="00B3139D">
      <w:pPr>
        <w:pStyle w:val="FootnoteText"/>
      </w:pPr>
      <w:r>
        <w:tab/>
      </w:r>
      <w:r>
        <w:rPr>
          <w:rStyle w:val="FootnoteReference"/>
        </w:rPr>
        <w:footnoteRef/>
      </w:r>
      <w:r>
        <w:tab/>
        <w:t xml:space="preserve">We note that </w:t>
      </w:r>
      <w:r w:rsidRPr="00392088">
        <w:rPr>
          <w:szCs w:val="26"/>
        </w:rPr>
        <w:t xml:space="preserve">the Commission has directed the Office of Administrative Law Judge to conduct hearings and preparation of a Recommended Decision in this matter.  </w:t>
      </w:r>
      <w:r>
        <w:rPr>
          <w:i/>
          <w:szCs w:val="26"/>
        </w:rPr>
        <w:t xml:space="preserve">See </w:t>
      </w:r>
      <w:r w:rsidRPr="00392088">
        <w:rPr>
          <w:i/>
          <w:szCs w:val="26"/>
        </w:rPr>
        <w:t>PPL Electric Utilities Corporation Universal Service and Energy Conservation Plan for 2011-2013</w:t>
      </w:r>
      <w:r w:rsidRPr="00392088">
        <w:rPr>
          <w:szCs w:val="26"/>
        </w:rPr>
        <w:t xml:space="preserve"> (Order entered September 24, 2010).</w:t>
      </w:r>
    </w:p>
  </w:footnote>
  <w:footnote w:id="4">
    <w:p w:rsidR="00B3139D" w:rsidRPr="00BC4B58" w:rsidRDefault="00B3139D" w:rsidP="00A94F92">
      <w:pPr>
        <w:pStyle w:val="FootnoteText"/>
        <w:rPr>
          <w:rFonts w:ascii="Times New (W1)" w:hAnsi="Times New (W1)"/>
          <w:b/>
        </w:rPr>
      </w:pPr>
      <w:r>
        <w:tab/>
      </w:r>
      <w:r>
        <w:rPr>
          <w:rStyle w:val="FootnoteReference"/>
        </w:rPr>
        <w:footnoteRef/>
      </w:r>
      <w:r>
        <w:tab/>
      </w:r>
      <w:r>
        <w:rPr>
          <w:i/>
        </w:rPr>
        <w:t xml:space="preserve">See </w:t>
      </w:r>
      <w:r w:rsidRPr="00CB744C">
        <w:rPr>
          <w:szCs w:val="26"/>
        </w:rPr>
        <w:t>52 Pa. Code § 53.53</w:t>
      </w:r>
      <w:r>
        <w:rPr>
          <w:szCs w:val="26"/>
        </w:rPr>
        <w:t xml:space="preserve">. </w:t>
      </w:r>
      <w:r w:rsidRPr="00CB744C">
        <w:rPr>
          <w:szCs w:val="26"/>
        </w:rPr>
        <w:t xml:space="preserve"> </w:t>
      </w:r>
      <w:r>
        <w:rPr>
          <w:i/>
          <w:szCs w:val="26"/>
        </w:rPr>
        <w:t xml:space="preserve">See </w:t>
      </w:r>
      <w:r>
        <w:rPr>
          <w:szCs w:val="26"/>
        </w:rPr>
        <w:t xml:space="preserve">PPL Exhibit C.IV.E. that states: “the utility shall provide a COSS which allocates the total cost of service to each proposed tariff rate schedule.” </w:t>
      </w:r>
    </w:p>
  </w:footnote>
  <w:footnote w:id="5">
    <w:p w:rsidR="00B3139D" w:rsidRDefault="00B3139D" w:rsidP="00611BE8">
      <w:pPr>
        <w:pStyle w:val="Pleading2L3"/>
        <w:numPr>
          <w:ilvl w:val="0"/>
          <w:numId w:val="0"/>
        </w:numPr>
        <w:spacing w:line="240" w:lineRule="auto"/>
        <w:rPr>
          <w:sz w:val="26"/>
          <w:szCs w:val="26"/>
        </w:rPr>
      </w:pPr>
      <w:r>
        <w:rPr>
          <w:sz w:val="26"/>
          <w:szCs w:val="26"/>
        </w:rPr>
        <w:tab/>
      </w:r>
      <w:r w:rsidRPr="00FE6B26">
        <w:rPr>
          <w:rStyle w:val="FootnoteReference"/>
          <w:vertAlign w:val="superscript"/>
        </w:rPr>
        <w:footnoteRef/>
      </w:r>
      <w:r>
        <w:rPr>
          <w:sz w:val="26"/>
          <w:szCs w:val="26"/>
        </w:rPr>
        <w:tab/>
      </w:r>
      <w:r w:rsidRPr="00CB744C">
        <w:rPr>
          <w:sz w:val="26"/>
          <w:szCs w:val="26"/>
        </w:rPr>
        <w:t xml:space="preserve">Note that those revenues and expenses which are recovered through specific cost recovery mechanisms under Section 1307 of the Public Utility Code, 66 Pa. C.S. § 1307, are removed from the COSS.  PPL </w:t>
      </w:r>
      <w:r>
        <w:rPr>
          <w:sz w:val="26"/>
          <w:szCs w:val="26"/>
        </w:rPr>
        <w:t>M.B.</w:t>
      </w:r>
      <w:r w:rsidRPr="00CB744C">
        <w:rPr>
          <w:sz w:val="26"/>
          <w:szCs w:val="26"/>
        </w:rPr>
        <w:t xml:space="preserve"> at 16</w:t>
      </w:r>
      <w:r>
        <w:rPr>
          <w:sz w:val="26"/>
          <w:szCs w:val="26"/>
        </w:rPr>
        <w:t>; R.D. at 37</w:t>
      </w:r>
      <w:r w:rsidRPr="00CB744C">
        <w:rPr>
          <w:sz w:val="26"/>
          <w:szCs w:val="26"/>
        </w:rPr>
        <w:t>.</w:t>
      </w:r>
    </w:p>
    <w:p w:rsidR="00B3139D" w:rsidRDefault="00B3139D" w:rsidP="00A94F92">
      <w:pPr>
        <w:pStyle w:val="FootnoteText"/>
      </w:pPr>
    </w:p>
  </w:footnote>
  <w:footnote w:id="6">
    <w:p w:rsidR="00B3139D" w:rsidRPr="008E0F8A" w:rsidRDefault="00B3139D" w:rsidP="00A94F92">
      <w:pPr>
        <w:pStyle w:val="FootnoteText"/>
        <w:tabs>
          <w:tab w:val="left" w:pos="720"/>
        </w:tabs>
        <w:rPr>
          <w:szCs w:val="26"/>
        </w:rPr>
      </w:pPr>
      <w:r>
        <w:rPr>
          <w:szCs w:val="26"/>
        </w:rPr>
        <w:tab/>
      </w:r>
      <w:r w:rsidRPr="008E0F8A">
        <w:rPr>
          <w:rStyle w:val="FootnoteReference"/>
          <w:sz w:val="26"/>
          <w:szCs w:val="26"/>
          <w:vertAlign w:val="superscript"/>
        </w:rPr>
        <w:footnoteRef/>
      </w:r>
      <w:r w:rsidRPr="008E0F8A">
        <w:rPr>
          <w:szCs w:val="26"/>
        </w:rPr>
        <w:t xml:space="preserve"> </w:t>
      </w:r>
      <w:r w:rsidRPr="008E0F8A">
        <w:rPr>
          <w:szCs w:val="26"/>
        </w:rPr>
        <w:tab/>
      </w:r>
      <w:r>
        <w:rPr>
          <w:szCs w:val="26"/>
        </w:rPr>
        <w:t>PPL</w:t>
      </w:r>
      <w:r w:rsidRPr="008E0F8A">
        <w:rPr>
          <w:szCs w:val="26"/>
        </w:rPr>
        <w:t xml:space="preserve"> notes that Exhibit JMK-2B follows the traditional approach</w:t>
      </w:r>
      <w:r>
        <w:rPr>
          <w:szCs w:val="26"/>
        </w:rPr>
        <w:t>, as used in PPL’s prior base rate cases,</w:t>
      </w:r>
      <w:r w:rsidRPr="008E0F8A">
        <w:rPr>
          <w:szCs w:val="26"/>
        </w:rPr>
        <w:t xml:space="preserve"> without “refinements,” should the Commission wish to follow the method used in prior rate cases.  PPL </w:t>
      </w:r>
      <w:r>
        <w:rPr>
          <w:szCs w:val="26"/>
        </w:rPr>
        <w:t>M.B.</w:t>
      </w:r>
      <w:r w:rsidRPr="008E0F8A">
        <w:rPr>
          <w:szCs w:val="26"/>
        </w:rPr>
        <w:t xml:space="preserve"> at 21.</w:t>
      </w:r>
    </w:p>
  </w:footnote>
  <w:footnote w:id="7">
    <w:p w:rsidR="00B3139D" w:rsidRPr="00BC3403" w:rsidRDefault="00B3139D" w:rsidP="0047264D">
      <w:pPr>
        <w:pStyle w:val="FootnoteText"/>
        <w:rPr>
          <w:szCs w:val="26"/>
        </w:rPr>
      </w:pPr>
      <w:r>
        <w:rPr>
          <w:szCs w:val="26"/>
        </w:rPr>
        <w:tab/>
      </w:r>
      <w:r w:rsidRPr="00BC3403">
        <w:rPr>
          <w:rStyle w:val="FootnoteReference"/>
          <w:szCs w:val="26"/>
        </w:rPr>
        <w:footnoteRef/>
      </w:r>
      <w:r>
        <w:rPr>
          <w:szCs w:val="26"/>
        </w:rPr>
        <w:tab/>
      </w:r>
      <w:r w:rsidRPr="00CB744C">
        <w:rPr>
          <w:szCs w:val="26"/>
        </w:rPr>
        <w:t>$</w:t>
      </w:r>
      <w:r>
        <w:rPr>
          <w:szCs w:val="26"/>
        </w:rPr>
        <w:t>77.5 million ÷ $114.675 million = 67.582% x $1.2 million = $0</w:t>
      </w:r>
      <w:r w:rsidRPr="00CB744C">
        <w:rPr>
          <w:szCs w:val="26"/>
        </w:rPr>
        <w:t>.</w:t>
      </w:r>
      <w:r>
        <w:rPr>
          <w:szCs w:val="26"/>
        </w:rPr>
        <w:t>811 million.</w:t>
      </w:r>
    </w:p>
  </w:footnote>
  <w:footnote w:id="8">
    <w:p w:rsidR="00B3139D" w:rsidRPr="00F22694" w:rsidRDefault="00B3139D" w:rsidP="0047264D">
      <w:pPr>
        <w:pStyle w:val="FootnoteText"/>
        <w:tabs>
          <w:tab w:val="left" w:pos="720"/>
        </w:tabs>
        <w:rPr>
          <w:szCs w:val="26"/>
        </w:rPr>
      </w:pPr>
      <w:r w:rsidRPr="00EF3C8D">
        <w:rPr>
          <w:color w:val="FF0000"/>
          <w:szCs w:val="26"/>
        </w:rPr>
        <w:tab/>
      </w:r>
      <w:r w:rsidRPr="00A02348">
        <w:rPr>
          <w:rStyle w:val="FootnoteReference"/>
          <w:szCs w:val="26"/>
          <w:vertAlign w:val="superscript"/>
        </w:rPr>
        <w:footnoteRef/>
      </w:r>
      <w:r w:rsidRPr="00A02348">
        <w:rPr>
          <w:szCs w:val="26"/>
        </w:rPr>
        <w:tab/>
        <w:t xml:space="preserve">“In summary, OCA’s Demand Non-coincident peak study, under which all distribution plant is classified as demand-related should be rejected because it is based on the assumption that there is no customer component of distribution plant, contrary to the NARUC </w:t>
      </w:r>
      <w:r>
        <w:rPr>
          <w:szCs w:val="26"/>
        </w:rPr>
        <w:t>M</w:t>
      </w:r>
      <w:r w:rsidRPr="00A02348">
        <w:rPr>
          <w:szCs w:val="26"/>
        </w:rPr>
        <w:t xml:space="preserve">anual, general industry practices and decisions of this Commission in prior PPL Electric rate proceedings.  </w:t>
      </w:r>
      <w:r w:rsidRPr="00F22694">
        <w:rPr>
          <w:szCs w:val="26"/>
        </w:rPr>
        <w:t xml:space="preserve">Similarly, OCA’s Peak and Average Study should be disregarded because there is no credible argument that investment in plant is made to meet average or annual customers load, i.e., the peak and average study is not based on cause causation.”  </w:t>
      </w:r>
      <w:r>
        <w:rPr>
          <w:i/>
          <w:szCs w:val="26"/>
        </w:rPr>
        <w:t xml:space="preserve">See </w:t>
      </w:r>
      <w:r w:rsidRPr="00F22694">
        <w:rPr>
          <w:szCs w:val="26"/>
        </w:rPr>
        <w:t xml:space="preserve">PPL </w:t>
      </w:r>
      <w:r>
        <w:rPr>
          <w:szCs w:val="26"/>
        </w:rPr>
        <w:t>M.B.</w:t>
      </w:r>
      <w:r w:rsidRPr="00F22694">
        <w:rPr>
          <w:szCs w:val="26"/>
        </w:rPr>
        <w:t xml:space="preserve"> at 41.</w:t>
      </w:r>
    </w:p>
  </w:footnote>
  <w:footnote w:id="9">
    <w:p w:rsidR="00B3139D" w:rsidRPr="00992A29" w:rsidRDefault="00B3139D" w:rsidP="0047264D">
      <w:pPr>
        <w:pStyle w:val="FootnoteText"/>
        <w:rPr>
          <w:szCs w:val="26"/>
        </w:rPr>
      </w:pPr>
      <w:r>
        <w:tab/>
      </w:r>
      <w:r w:rsidRPr="00992A29">
        <w:rPr>
          <w:rStyle w:val="FootnoteReference"/>
          <w:szCs w:val="26"/>
        </w:rPr>
        <w:footnoteRef/>
      </w:r>
      <w:r>
        <w:rPr>
          <w:szCs w:val="26"/>
        </w:rPr>
        <w:tab/>
        <w:t>The original increase request was $114,675,000 less the Settlement amount of $77,500,000 = $37,175,000.</w:t>
      </w:r>
    </w:p>
  </w:footnote>
  <w:footnote w:id="10">
    <w:p w:rsidR="00B3139D" w:rsidRDefault="00B3139D" w:rsidP="00E240DE">
      <w:pPr>
        <w:pStyle w:val="FootnoteText"/>
        <w:tabs>
          <w:tab w:val="left" w:pos="720"/>
        </w:tabs>
      </w:pPr>
      <w:r>
        <w:rPr>
          <w:szCs w:val="26"/>
        </w:rPr>
        <w:tab/>
      </w:r>
      <w:r w:rsidRPr="00F22694">
        <w:rPr>
          <w:rStyle w:val="FootnoteReference"/>
          <w:sz w:val="26"/>
          <w:szCs w:val="26"/>
          <w:vertAlign w:val="superscript"/>
        </w:rPr>
        <w:footnoteRef/>
      </w:r>
      <w:r w:rsidRPr="00F22694">
        <w:rPr>
          <w:szCs w:val="26"/>
        </w:rPr>
        <w:tab/>
      </w:r>
      <w:r w:rsidRPr="00F22694">
        <w:rPr>
          <w:i/>
          <w:color w:val="000000"/>
          <w:szCs w:val="26"/>
        </w:rPr>
        <w:t xml:space="preserve">Petition of </w:t>
      </w:r>
      <w:r>
        <w:rPr>
          <w:i/>
          <w:color w:val="000000"/>
          <w:szCs w:val="26"/>
        </w:rPr>
        <w:t>PPL</w:t>
      </w:r>
      <w:r w:rsidRPr="00F22694">
        <w:rPr>
          <w:i/>
          <w:color w:val="000000"/>
          <w:szCs w:val="26"/>
        </w:rPr>
        <w:t xml:space="preserve"> Utilities Corporation for Approval of a Default Service Program and Procurement Plan for the Period January 1, 2011 Through May 31, 2013</w:t>
      </w:r>
      <w:r w:rsidRPr="00F22694">
        <w:rPr>
          <w:color w:val="000000"/>
          <w:szCs w:val="26"/>
        </w:rPr>
        <w:t>, Docket No. P</w:t>
      </w:r>
      <w:r>
        <w:rPr>
          <w:color w:val="000000"/>
          <w:szCs w:val="26"/>
        </w:rPr>
        <w:t>-2008-2060309 (June 30, 2009).</w:t>
      </w:r>
    </w:p>
  </w:footnote>
  <w:footnote w:id="11">
    <w:p w:rsidR="00B3139D" w:rsidRDefault="00B3139D" w:rsidP="00DF6803">
      <w:pPr>
        <w:pStyle w:val="FootnoteText"/>
        <w:tabs>
          <w:tab w:val="left" w:pos="720"/>
        </w:tabs>
      </w:pPr>
      <w:r>
        <w:tab/>
      </w:r>
      <w:r w:rsidRPr="008A1691">
        <w:rPr>
          <w:rStyle w:val="FootnoteReference"/>
          <w:vertAlign w:val="superscript"/>
        </w:rPr>
        <w:footnoteRef/>
      </w:r>
      <w:r>
        <w:tab/>
      </w:r>
      <w:r>
        <w:rPr>
          <w:i/>
        </w:rPr>
        <w:t>PPL Utilities Corporation Retail Markets</w:t>
      </w:r>
      <w:r>
        <w:t xml:space="preserve">, Docket No. M-2009-2104271 (August 11, 2009).  </w:t>
      </w:r>
    </w:p>
  </w:footnote>
  <w:footnote w:id="12">
    <w:p w:rsidR="00B3139D" w:rsidRPr="00F22694" w:rsidRDefault="00B3139D" w:rsidP="00DF6803">
      <w:pPr>
        <w:pStyle w:val="FootnoteText"/>
        <w:tabs>
          <w:tab w:val="left" w:pos="720"/>
        </w:tabs>
        <w:spacing w:after="120"/>
        <w:rPr>
          <w:szCs w:val="26"/>
        </w:rPr>
      </w:pPr>
      <w:r>
        <w:rPr>
          <w:szCs w:val="26"/>
        </w:rPr>
        <w:tab/>
      </w:r>
      <w:r w:rsidRPr="00F22694">
        <w:rPr>
          <w:rStyle w:val="FootnoteReference"/>
          <w:sz w:val="26"/>
          <w:szCs w:val="26"/>
          <w:vertAlign w:val="superscript"/>
        </w:rPr>
        <w:footnoteRef/>
      </w:r>
      <w:r w:rsidRPr="00F22694">
        <w:rPr>
          <w:szCs w:val="26"/>
        </w:rPr>
        <w:tab/>
        <w:t xml:space="preserve">For both the residential and small </w:t>
      </w:r>
      <w:r>
        <w:rPr>
          <w:szCs w:val="26"/>
        </w:rPr>
        <w:t>C</w:t>
      </w:r>
      <w:r w:rsidRPr="00F22694">
        <w:rPr>
          <w:szCs w:val="26"/>
        </w:rPr>
        <w:t>&amp;</w:t>
      </w:r>
      <w:r>
        <w:rPr>
          <w:szCs w:val="26"/>
        </w:rPr>
        <w:t>I</w:t>
      </w:r>
      <w:r w:rsidRPr="00F22694">
        <w:rPr>
          <w:szCs w:val="26"/>
        </w:rPr>
        <w:t xml:space="preserve"> rate classes, the MFC is equal to the uncollectible accounts expense percentage included in the discount percentage under the current and proposed POR program.  </w:t>
      </w:r>
      <w:r>
        <w:rPr>
          <w:szCs w:val="26"/>
        </w:rPr>
        <w:t>PPL</w:t>
      </w:r>
      <w:r w:rsidRPr="00F22694">
        <w:rPr>
          <w:szCs w:val="26"/>
        </w:rPr>
        <w:t xml:space="preserve"> St. No. 7</w:t>
      </w:r>
      <w:r>
        <w:rPr>
          <w:szCs w:val="26"/>
        </w:rPr>
        <w:t xml:space="preserve"> at</w:t>
      </w:r>
      <w:r w:rsidRPr="00F22694">
        <w:rPr>
          <w:szCs w:val="26"/>
        </w:rPr>
        <w:t xml:space="preserve"> 35.</w:t>
      </w:r>
    </w:p>
  </w:footnote>
  <w:footnote w:id="13">
    <w:p w:rsidR="00B3139D" w:rsidRPr="009F3AC7" w:rsidRDefault="00B3139D" w:rsidP="00DF6803">
      <w:pPr>
        <w:pStyle w:val="FootnoteText"/>
        <w:tabs>
          <w:tab w:val="left" w:pos="720"/>
        </w:tabs>
        <w:spacing w:after="120"/>
        <w:rPr>
          <w:szCs w:val="26"/>
        </w:rPr>
      </w:pPr>
      <w:r>
        <w:rPr>
          <w:szCs w:val="26"/>
        </w:rPr>
        <w:tab/>
      </w:r>
      <w:r w:rsidRPr="009F3AC7">
        <w:rPr>
          <w:rStyle w:val="FootnoteReference"/>
          <w:sz w:val="26"/>
          <w:szCs w:val="26"/>
          <w:vertAlign w:val="superscript"/>
        </w:rPr>
        <w:footnoteRef/>
      </w:r>
      <w:r w:rsidRPr="009F3AC7">
        <w:rPr>
          <w:szCs w:val="26"/>
        </w:rPr>
        <w:tab/>
        <w:t xml:space="preserve">The current and proposed POR program accommodates EGS budget billing.  In the event that the EGS offers budget billing for its charges, the EGS will send the Company an amount to be included on the consolidated bill that reflects the EGS’ budget amount.  </w:t>
      </w:r>
      <w:r>
        <w:rPr>
          <w:szCs w:val="26"/>
        </w:rPr>
        <w:t>PPL</w:t>
      </w:r>
      <w:r w:rsidRPr="009F3AC7">
        <w:rPr>
          <w:szCs w:val="26"/>
        </w:rPr>
        <w:t xml:space="preserve"> St. No. 6</w:t>
      </w:r>
      <w:r>
        <w:rPr>
          <w:szCs w:val="26"/>
        </w:rPr>
        <w:t xml:space="preserve"> at</w:t>
      </w:r>
      <w:r w:rsidRPr="009F3AC7">
        <w:rPr>
          <w:szCs w:val="26"/>
        </w:rPr>
        <w:t xml:space="preserve"> 12.</w:t>
      </w:r>
    </w:p>
  </w:footnote>
  <w:footnote w:id="14">
    <w:p w:rsidR="00B3139D" w:rsidRPr="009F3AC7" w:rsidRDefault="00B3139D" w:rsidP="0034056F">
      <w:pPr>
        <w:pStyle w:val="FootnoteText"/>
        <w:tabs>
          <w:tab w:val="left" w:pos="720"/>
        </w:tabs>
        <w:rPr>
          <w:szCs w:val="26"/>
        </w:rPr>
      </w:pPr>
      <w:r>
        <w:rPr>
          <w:szCs w:val="26"/>
        </w:rPr>
        <w:tab/>
      </w:r>
      <w:r w:rsidRPr="009F3AC7">
        <w:rPr>
          <w:rStyle w:val="FootnoteReference"/>
          <w:sz w:val="26"/>
          <w:szCs w:val="26"/>
          <w:vertAlign w:val="superscript"/>
        </w:rPr>
        <w:footnoteRef/>
      </w:r>
      <w:r w:rsidRPr="009F3AC7">
        <w:rPr>
          <w:szCs w:val="26"/>
        </w:rPr>
        <w:tab/>
        <w:t>T</w:t>
      </w:r>
      <w:r>
        <w:rPr>
          <w:szCs w:val="26"/>
        </w:rPr>
        <w:t>he ALJ opined that, to</w:t>
      </w:r>
      <w:r w:rsidRPr="009F3AC7">
        <w:rPr>
          <w:szCs w:val="26"/>
        </w:rPr>
        <w:t xml:space="preserve"> the extent that there is sufficient justification for a statewide standard POR program, such standard should be developed through a rulemaking proceeding where all affected EDCs, EGSs, and customers are afforded the opportunity to participate and comment on any </w:t>
      </w:r>
      <w:r>
        <w:rPr>
          <w:szCs w:val="26"/>
        </w:rPr>
        <w:t>such</w:t>
      </w:r>
      <w:r w:rsidRPr="009F3AC7">
        <w:rPr>
          <w:szCs w:val="26"/>
        </w:rPr>
        <w:t xml:space="preserve"> program.  </w:t>
      </w:r>
      <w:r>
        <w:rPr>
          <w:szCs w:val="26"/>
        </w:rPr>
        <w:t>PPL</w:t>
      </w:r>
      <w:r w:rsidRPr="009F3AC7">
        <w:rPr>
          <w:szCs w:val="26"/>
        </w:rPr>
        <w:t xml:space="preserve"> St. No. 6-R, p. 8.  In the alternative, the Commission should convene a working group to comprehensively address all issues related to the design and administration of uniform standards for POR programs.</w:t>
      </w:r>
    </w:p>
  </w:footnote>
  <w:footnote w:id="15">
    <w:p w:rsidR="00B3139D" w:rsidRDefault="00B3139D" w:rsidP="00DF6803">
      <w:pPr>
        <w:pStyle w:val="FootnoteText"/>
        <w:tabs>
          <w:tab w:val="left" w:pos="720"/>
        </w:tabs>
      </w:pPr>
      <w:r>
        <w:rPr>
          <w:szCs w:val="26"/>
        </w:rPr>
        <w:tab/>
      </w:r>
      <w:r w:rsidRPr="009F3AC7">
        <w:rPr>
          <w:rStyle w:val="FootnoteReference"/>
          <w:sz w:val="26"/>
          <w:szCs w:val="26"/>
          <w:vertAlign w:val="superscript"/>
        </w:rPr>
        <w:footnoteRef/>
      </w:r>
      <w:r w:rsidRPr="009F3AC7">
        <w:rPr>
          <w:szCs w:val="26"/>
        </w:rPr>
        <w:tab/>
        <w:t>Although RESA claims that PPLICA “supports” its plan, RESA R</w:t>
      </w:r>
      <w:r>
        <w:rPr>
          <w:szCs w:val="26"/>
        </w:rPr>
        <w:t>.B.</w:t>
      </w:r>
      <w:r w:rsidRPr="009F3AC7">
        <w:rPr>
          <w:szCs w:val="26"/>
        </w:rPr>
        <w:t xml:space="preserve"> at 19, a review of the</w:t>
      </w:r>
      <w:r>
        <w:t xml:space="preserve"> </w:t>
      </w:r>
      <w:r w:rsidRPr="00D06CB7">
        <w:rPr>
          <w:szCs w:val="26"/>
        </w:rPr>
        <w:t>PPLICA Briefs shows that they simply do not oppose it.</w:t>
      </w:r>
    </w:p>
  </w:footnote>
  <w:footnote w:id="16">
    <w:p w:rsidR="00B3139D" w:rsidRDefault="00B3139D" w:rsidP="00392410">
      <w:pPr>
        <w:pStyle w:val="FootnoteText"/>
      </w:pPr>
      <w:r>
        <w:tab/>
      </w:r>
      <w:r>
        <w:rPr>
          <w:rStyle w:val="FootnoteReference"/>
        </w:rPr>
        <w:footnoteRef/>
      </w:r>
      <w:r>
        <w:tab/>
        <w:t>RESA M.B. at 10 citing Tr. at 372-373.</w:t>
      </w:r>
    </w:p>
  </w:footnote>
  <w:footnote w:id="17">
    <w:p w:rsidR="00B3139D" w:rsidRDefault="00B3139D" w:rsidP="00392410">
      <w:pPr>
        <w:pStyle w:val="FootnoteText"/>
      </w:pPr>
      <w:r>
        <w:tab/>
      </w:r>
      <w:r>
        <w:rPr>
          <w:rStyle w:val="FootnoteReference"/>
        </w:rPr>
        <w:footnoteRef/>
      </w:r>
      <w:r>
        <w:tab/>
        <w:t>PPL St. No. 6 at 8-9.  RESA claims that, to be more precise, the theory is “that an EGS’s pricing will take into consideration the fact that it will not receive 100% of the value of the customer’s account from PPL when PPL purchases the account receivable because of application of the discount rate.  Thus, through the price charged to customers by the EGS, the shopping customer is paying for the generation-related uncollectible accounts expense calculated by PPL.”  RESA Exc. at 6-7 n. 9.</w:t>
      </w:r>
    </w:p>
  </w:footnote>
  <w:footnote w:id="18">
    <w:p w:rsidR="00B3139D" w:rsidRDefault="00B3139D" w:rsidP="00392410">
      <w:pPr>
        <w:pStyle w:val="FootnoteText"/>
      </w:pPr>
      <w:r>
        <w:tab/>
      </w:r>
      <w:r>
        <w:rPr>
          <w:rStyle w:val="FootnoteReference"/>
        </w:rPr>
        <w:footnoteRef/>
      </w:r>
      <w:r>
        <w:tab/>
        <w:t>R.D. at 82.</w:t>
      </w:r>
    </w:p>
  </w:footnote>
  <w:footnote w:id="19">
    <w:p w:rsidR="00B3139D" w:rsidRDefault="00B3139D" w:rsidP="00392410">
      <w:pPr>
        <w:pStyle w:val="FootnoteText"/>
      </w:pPr>
      <w:r>
        <w:tab/>
      </w:r>
      <w:r>
        <w:rPr>
          <w:rStyle w:val="FootnoteReference"/>
        </w:rPr>
        <w:footnoteRef/>
      </w:r>
      <w:r>
        <w:t xml:space="preserve"> </w:t>
      </w:r>
      <w:r>
        <w:tab/>
        <w:t>PPL St. No. 6-R at 16.</w:t>
      </w:r>
    </w:p>
  </w:footnote>
  <w:footnote w:id="20">
    <w:p w:rsidR="00B3139D" w:rsidRDefault="00B3139D" w:rsidP="00392410">
      <w:pPr>
        <w:pStyle w:val="FootnoteText"/>
      </w:pPr>
      <w:r>
        <w:tab/>
      </w:r>
      <w:r>
        <w:rPr>
          <w:rStyle w:val="FootnoteReference"/>
        </w:rPr>
        <w:footnoteRef/>
      </w:r>
      <w:r>
        <w:t xml:space="preserve"> </w:t>
      </w:r>
      <w:r>
        <w:tab/>
        <w:t>PPL St. No. 6-R at 16.</w:t>
      </w:r>
    </w:p>
  </w:footnote>
  <w:footnote w:id="21">
    <w:p w:rsidR="00B3139D" w:rsidRDefault="00B3139D" w:rsidP="00392410">
      <w:pPr>
        <w:pStyle w:val="FootnoteText"/>
      </w:pPr>
      <w:r>
        <w:tab/>
      </w:r>
      <w:r>
        <w:rPr>
          <w:rStyle w:val="FootnoteReference"/>
        </w:rPr>
        <w:footnoteRef/>
      </w:r>
      <w:r>
        <w:t xml:space="preserve"> </w:t>
      </w:r>
      <w:r>
        <w:tab/>
        <w:t>RESA M.B. at 10.</w:t>
      </w:r>
    </w:p>
  </w:footnote>
  <w:footnote w:id="22">
    <w:p w:rsidR="00B3139D" w:rsidRDefault="00B3139D" w:rsidP="00851C11">
      <w:pPr>
        <w:pStyle w:val="FootnoteText"/>
      </w:pPr>
      <w:r>
        <w:tab/>
      </w:r>
      <w:r>
        <w:rPr>
          <w:rStyle w:val="FootnoteReference"/>
        </w:rPr>
        <w:footnoteRef/>
      </w:r>
      <w:r>
        <w:t xml:space="preserve"> </w:t>
      </w:r>
      <w:r>
        <w:tab/>
        <w:t>These customers would also include small C&amp;I customers but not large commercial customers because the generation-related uncollectible accounts expense for large commercial customers remains embedded in their distribution rates.  PPL St. No. 7-R at 32.</w:t>
      </w:r>
    </w:p>
  </w:footnote>
  <w:footnote w:id="23">
    <w:p w:rsidR="00B3139D" w:rsidRDefault="00B3139D" w:rsidP="00851C11">
      <w:pPr>
        <w:pStyle w:val="FootnoteText"/>
      </w:pPr>
      <w:r>
        <w:tab/>
      </w:r>
      <w:r>
        <w:rPr>
          <w:rStyle w:val="FootnoteReference"/>
        </w:rPr>
        <w:footnoteRef/>
      </w:r>
      <w:r>
        <w:t xml:space="preserve"> </w:t>
      </w:r>
      <w:r>
        <w:tab/>
      </w:r>
      <w:r>
        <w:rPr>
          <w:i/>
        </w:rPr>
        <w:t>Petition of PPL Utilities Corporation Requesting Approval of a Voluntary Purchase of Accounts Receivables Program and Merchant Function Charge</w:t>
      </w:r>
      <w:r>
        <w:t xml:space="preserve">, Docket No. M-2009-2129502, Opinion and Order entered November 19, 2009.  </w:t>
      </w:r>
    </w:p>
  </w:footnote>
  <w:footnote w:id="24">
    <w:p w:rsidR="00B3139D" w:rsidRDefault="00B3139D" w:rsidP="00392410">
      <w:pPr>
        <w:pStyle w:val="FootnoteText"/>
      </w:pPr>
      <w:r>
        <w:tab/>
      </w:r>
      <w:r>
        <w:rPr>
          <w:rStyle w:val="FootnoteReference"/>
        </w:rPr>
        <w:footnoteRef/>
      </w:r>
      <w:r>
        <w:tab/>
      </w:r>
      <w:r>
        <w:rPr>
          <w:i/>
        </w:rPr>
        <w:t>Petition of PPL Utilities Corporation Requesting Approval of a Voluntary Purchase of Accounts Receivables Program and Merchant Function Charge</w:t>
      </w:r>
      <w:r>
        <w:t>, Docket No. M-2009-2129502, Opinion and Order entered November 19, 2009 at 24.</w:t>
      </w:r>
    </w:p>
  </w:footnote>
  <w:footnote w:id="25">
    <w:p w:rsidR="00B3139D" w:rsidRDefault="00B3139D" w:rsidP="00392410">
      <w:pPr>
        <w:pStyle w:val="FootnoteText"/>
      </w:pPr>
      <w:r>
        <w:rPr>
          <w:rStyle w:val="FootnoteReference"/>
        </w:rPr>
        <w:footnoteRef/>
      </w:r>
      <w:r>
        <w:t xml:space="preserve"> </w:t>
      </w:r>
      <w:r>
        <w:tab/>
        <w:t>RESA St. No. 1 at 11.</w:t>
      </w:r>
    </w:p>
  </w:footnote>
  <w:footnote w:id="26">
    <w:p w:rsidR="00B3139D" w:rsidRDefault="00B3139D" w:rsidP="00392410">
      <w:pPr>
        <w:pStyle w:val="FootnoteText"/>
      </w:pPr>
      <w:r>
        <w:rPr>
          <w:rStyle w:val="FootnoteReference"/>
        </w:rPr>
        <w:footnoteRef/>
      </w:r>
      <w:r>
        <w:t xml:space="preserve"> </w:t>
      </w:r>
      <w:r>
        <w:tab/>
        <w:t>R.D. at 83-84.</w:t>
      </w:r>
    </w:p>
  </w:footnote>
  <w:footnote w:id="27">
    <w:p w:rsidR="00B3139D" w:rsidRDefault="00B3139D" w:rsidP="00392410">
      <w:pPr>
        <w:pStyle w:val="FootnoteText"/>
      </w:pPr>
      <w:r>
        <w:tab/>
      </w:r>
      <w:r>
        <w:rPr>
          <w:rStyle w:val="FootnoteReference"/>
        </w:rPr>
        <w:footnoteRef/>
      </w:r>
      <w:r>
        <w:t xml:space="preserve"> </w:t>
      </w:r>
      <w:r>
        <w:tab/>
        <w:t>PPL St. No. 7 at 34.</w:t>
      </w:r>
    </w:p>
  </w:footnote>
  <w:footnote w:id="28">
    <w:p w:rsidR="00B3139D" w:rsidRDefault="00B3139D" w:rsidP="00392410">
      <w:pPr>
        <w:pStyle w:val="FootnoteText"/>
      </w:pPr>
      <w:r>
        <w:tab/>
      </w:r>
      <w:r>
        <w:rPr>
          <w:rStyle w:val="FootnoteReference"/>
        </w:rPr>
        <w:footnoteRef/>
      </w:r>
      <w:r>
        <w:t xml:space="preserve"> </w:t>
      </w:r>
      <w:r>
        <w:tab/>
        <w:t>RESA St. No. 1 at 13.  No similar restriction is present for small commercial customers.</w:t>
      </w:r>
    </w:p>
  </w:footnote>
  <w:footnote w:id="29">
    <w:p w:rsidR="00B3139D" w:rsidRDefault="00B3139D" w:rsidP="00392410">
      <w:pPr>
        <w:pStyle w:val="FootnoteText"/>
      </w:pPr>
      <w:r>
        <w:tab/>
      </w:r>
      <w:r>
        <w:rPr>
          <w:rStyle w:val="FootnoteReference"/>
        </w:rPr>
        <w:footnoteRef/>
      </w:r>
      <w:r>
        <w:t xml:space="preserve"> </w:t>
      </w:r>
      <w:r>
        <w:tab/>
        <w:t>RESA St. No. 1 at 14.</w:t>
      </w:r>
    </w:p>
  </w:footnote>
  <w:footnote w:id="30">
    <w:p w:rsidR="00B3139D" w:rsidRDefault="00B3139D" w:rsidP="00392410">
      <w:pPr>
        <w:pStyle w:val="FootnoteText"/>
      </w:pPr>
      <w:r>
        <w:tab/>
      </w:r>
      <w:r>
        <w:rPr>
          <w:rStyle w:val="FootnoteReference"/>
        </w:rPr>
        <w:footnoteRef/>
      </w:r>
      <w:r>
        <w:t xml:space="preserve"> </w:t>
      </w:r>
      <w:r>
        <w:tab/>
        <w:t xml:space="preserve">R.D. at 88 citing </w:t>
      </w:r>
      <w:r>
        <w:rPr>
          <w:i/>
        </w:rPr>
        <w:t>Natural Gas Distribution Companies and Promotion of Competitive Retail Markets</w:t>
      </w:r>
      <w:r>
        <w:t>, Docket No. L-2008-2069114, Advance Notice of Final Rulemaking Order entered August 10, 2010.</w:t>
      </w:r>
    </w:p>
  </w:footnote>
  <w:footnote w:id="31">
    <w:p w:rsidR="00B3139D" w:rsidRDefault="00B3139D" w:rsidP="00392410">
      <w:pPr>
        <w:pStyle w:val="FootnoteText"/>
      </w:pPr>
      <w:r>
        <w:tab/>
      </w:r>
      <w:r>
        <w:rPr>
          <w:rStyle w:val="FootnoteReference"/>
        </w:rPr>
        <w:footnoteRef/>
      </w:r>
      <w:r>
        <w:t xml:space="preserve"> </w:t>
      </w:r>
      <w:r>
        <w:tab/>
      </w:r>
      <w:r>
        <w:rPr>
          <w:i/>
        </w:rPr>
        <w:t>Id.</w:t>
      </w:r>
    </w:p>
  </w:footnote>
  <w:footnote w:id="32">
    <w:p w:rsidR="00B3139D" w:rsidRDefault="00B3139D" w:rsidP="00392410">
      <w:pPr>
        <w:pStyle w:val="FootnoteText"/>
      </w:pPr>
      <w:r>
        <w:rPr>
          <w:rStyle w:val="FootnoteReference"/>
        </w:rPr>
        <w:footnoteRef/>
      </w:r>
      <w:r>
        <w:t xml:space="preserve"> </w:t>
      </w:r>
      <w:r>
        <w:tab/>
        <w:t>RESA M.B. at 17 citing RESA St. No. 1 at 17 and PPL St. No. 6-R at 16.</w:t>
      </w:r>
    </w:p>
  </w:footnote>
  <w:footnote w:id="33">
    <w:p w:rsidR="00B3139D" w:rsidRDefault="00B3139D" w:rsidP="00392410">
      <w:pPr>
        <w:pStyle w:val="FootnoteText"/>
      </w:pPr>
      <w:r>
        <w:tab/>
      </w:r>
      <w:r>
        <w:rPr>
          <w:rStyle w:val="FootnoteReference"/>
        </w:rPr>
        <w:footnoteRef/>
      </w:r>
      <w:r>
        <w:tab/>
        <w:t>R.D. at 90.</w:t>
      </w:r>
    </w:p>
  </w:footnote>
  <w:footnote w:id="34">
    <w:p w:rsidR="00B3139D" w:rsidRDefault="00B3139D" w:rsidP="00392410">
      <w:pPr>
        <w:pStyle w:val="FootnoteText"/>
      </w:pPr>
      <w:r>
        <w:tab/>
      </w:r>
      <w:r>
        <w:rPr>
          <w:rStyle w:val="FootnoteReference"/>
        </w:rPr>
        <w:footnoteRef/>
      </w:r>
      <w:r>
        <w:tab/>
        <w:t>PPL St. No. 7-R at 32.</w:t>
      </w:r>
    </w:p>
  </w:footnote>
  <w:footnote w:id="35">
    <w:p w:rsidR="00B3139D" w:rsidRDefault="00B3139D" w:rsidP="00392410">
      <w:pPr>
        <w:pStyle w:val="FootnoteText"/>
      </w:pPr>
      <w:r>
        <w:tab/>
      </w:r>
      <w:r>
        <w:rPr>
          <w:rStyle w:val="FootnoteReference"/>
        </w:rPr>
        <w:footnoteRef/>
      </w:r>
      <w:r>
        <w:tab/>
        <w:t>PPL St. No. 6 at 8; PPL St. No. 6-R at 19.</w:t>
      </w:r>
    </w:p>
  </w:footnote>
  <w:footnote w:id="36">
    <w:p w:rsidR="00B3139D" w:rsidRDefault="00B3139D" w:rsidP="00392410">
      <w:pPr>
        <w:pStyle w:val="FootnoteText"/>
      </w:pPr>
      <w:r>
        <w:tab/>
      </w:r>
      <w:r>
        <w:rPr>
          <w:rStyle w:val="FootnoteReference"/>
        </w:rPr>
        <w:footnoteRef/>
      </w:r>
      <w:r>
        <w:tab/>
        <w:t>RESA St. No. 1-SR at 22.</w:t>
      </w:r>
    </w:p>
  </w:footnote>
  <w:footnote w:id="37">
    <w:p w:rsidR="00B3139D" w:rsidRDefault="00B3139D" w:rsidP="00392410">
      <w:pPr>
        <w:pStyle w:val="FootnoteText"/>
      </w:pPr>
      <w:r>
        <w:tab/>
      </w:r>
      <w:r>
        <w:rPr>
          <w:rStyle w:val="FootnoteReference"/>
        </w:rPr>
        <w:footnoteRef/>
      </w:r>
      <w:r>
        <w:tab/>
        <w:t>RESA St. No. 1-SR at 19.</w:t>
      </w:r>
    </w:p>
  </w:footnote>
  <w:footnote w:id="38">
    <w:p w:rsidR="00B3139D" w:rsidRPr="003B0D48" w:rsidRDefault="00B3139D" w:rsidP="00392410">
      <w:pPr>
        <w:pStyle w:val="FootnoteText"/>
        <w:rPr>
          <w:rFonts w:ascii="Times New (W1)" w:hAnsi="Times New (W1)"/>
        </w:rPr>
      </w:pPr>
      <w:r>
        <w:rPr>
          <w:rFonts w:ascii="Times New (W1)" w:hAnsi="Times New (W1)"/>
        </w:rPr>
        <w:tab/>
      </w:r>
      <w:r w:rsidRPr="004311D1">
        <w:rPr>
          <w:rStyle w:val="FootnoteReference"/>
          <w:rFonts w:ascii="Times New (W1)" w:hAnsi="Times New (W1)"/>
          <w:sz w:val="26"/>
          <w:vertAlign w:val="superscript"/>
        </w:rPr>
        <w:footnoteRef/>
      </w:r>
      <w:r w:rsidRPr="003B0D48">
        <w:rPr>
          <w:rFonts w:ascii="Times New (W1)" w:hAnsi="Times New (W1)"/>
        </w:rPr>
        <w:tab/>
        <w:t>R</w:t>
      </w:r>
      <w:r>
        <w:rPr>
          <w:rFonts w:ascii="Times New (W1)" w:hAnsi="Times New (W1)"/>
        </w:rPr>
        <w:t>.</w:t>
      </w:r>
      <w:r w:rsidRPr="003B0D48">
        <w:rPr>
          <w:rFonts w:ascii="Times New (W1)" w:hAnsi="Times New (W1)"/>
        </w:rPr>
        <w:t>D</w:t>
      </w:r>
      <w:r>
        <w:rPr>
          <w:rFonts w:ascii="Times New (W1)" w:hAnsi="Times New (W1)"/>
        </w:rPr>
        <w:t>.</w:t>
      </w:r>
      <w:r w:rsidRPr="003B0D48">
        <w:rPr>
          <w:rFonts w:ascii="Times New (W1)" w:hAnsi="Times New (W1)"/>
        </w:rPr>
        <w:t xml:space="preserve"> at 93.</w:t>
      </w:r>
    </w:p>
  </w:footnote>
  <w:footnote w:id="39">
    <w:p w:rsidR="00B3139D" w:rsidRPr="00516362" w:rsidRDefault="00B3139D" w:rsidP="00E703AC">
      <w:pPr>
        <w:tabs>
          <w:tab w:val="left" w:pos="-720"/>
        </w:tabs>
        <w:suppressAutoHyphens/>
        <w:spacing w:line="240" w:lineRule="auto"/>
        <w:jc w:val="left"/>
        <w:rPr>
          <w:spacing w:val="-3"/>
          <w:sz w:val="26"/>
          <w:szCs w:val="26"/>
        </w:rPr>
      </w:pPr>
      <w:r>
        <w:tab/>
      </w:r>
      <w:r>
        <w:rPr>
          <w:rStyle w:val="FootnoteReference"/>
        </w:rPr>
        <w:footnoteRef/>
      </w:r>
      <w:r>
        <w:tab/>
      </w:r>
      <w:r w:rsidRPr="00516362">
        <w:rPr>
          <w:spacing w:val="-3"/>
          <w:sz w:val="26"/>
          <w:szCs w:val="26"/>
        </w:rPr>
        <w:t xml:space="preserve">Donsco operates two foundries in PPL’s service territory, one in Wrightsville and the other in Mount Joy, and both purchase distribution service from PPL </w:t>
      </w:r>
      <w:r>
        <w:rPr>
          <w:spacing w:val="-3"/>
          <w:sz w:val="26"/>
          <w:szCs w:val="26"/>
        </w:rPr>
        <w:t>under</w:t>
      </w:r>
      <w:r w:rsidRPr="00516362">
        <w:rPr>
          <w:spacing w:val="-3"/>
          <w:sz w:val="26"/>
          <w:szCs w:val="26"/>
        </w:rPr>
        <w:t xml:space="preserve"> Rate Schedule LP-4, as well as generation supply service from PPL EnergyPlus, a licensed EGS.  PPLICA St. </w:t>
      </w:r>
      <w:r>
        <w:rPr>
          <w:spacing w:val="-3"/>
          <w:sz w:val="26"/>
          <w:szCs w:val="26"/>
        </w:rPr>
        <w:t xml:space="preserve">No. </w:t>
      </w:r>
      <w:r w:rsidRPr="00516362">
        <w:rPr>
          <w:spacing w:val="-3"/>
          <w:sz w:val="26"/>
          <w:szCs w:val="26"/>
        </w:rPr>
        <w:t xml:space="preserve">1 at 2.  </w:t>
      </w:r>
    </w:p>
    <w:p w:rsidR="00B3139D" w:rsidRDefault="00B3139D" w:rsidP="00E703AC">
      <w:pPr>
        <w:pStyle w:val="FootnoteText"/>
      </w:pPr>
    </w:p>
  </w:footnote>
  <w:footnote w:id="40">
    <w:p w:rsidR="00B3139D" w:rsidRPr="009F3AC7" w:rsidRDefault="00B3139D" w:rsidP="00E703AC">
      <w:pPr>
        <w:pStyle w:val="FootnoteText"/>
        <w:tabs>
          <w:tab w:val="left" w:pos="720"/>
        </w:tabs>
        <w:rPr>
          <w:szCs w:val="26"/>
        </w:rPr>
      </w:pPr>
      <w:r>
        <w:rPr>
          <w:szCs w:val="26"/>
        </w:rPr>
        <w:tab/>
      </w:r>
      <w:r w:rsidRPr="009F3AC7">
        <w:rPr>
          <w:rStyle w:val="FootnoteReference"/>
          <w:szCs w:val="26"/>
          <w:vertAlign w:val="superscript"/>
        </w:rPr>
        <w:footnoteRef/>
      </w:r>
      <w:r w:rsidRPr="009F3AC7">
        <w:rPr>
          <w:szCs w:val="26"/>
        </w:rPr>
        <w:tab/>
        <w:t>Rate Schedule LP-4 is for large general service supplied from available lines of three-phase 12,470 volts or single phase 7,200 volts when the customer furnishes and maintains all equipment necessary to transform the energy from line voltage.  Rate Schedule LP-5 is for large general service supplied from available lines of 69,000 volts or higher, with the customer furnishing and maintaining all equipment necessary to transform the energy from the line voltage and applies to three</w:t>
      </w:r>
      <w:r>
        <w:rPr>
          <w:szCs w:val="26"/>
        </w:rPr>
        <w:t>-</w:t>
      </w:r>
      <w:r w:rsidRPr="009F3AC7">
        <w:rPr>
          <w:szCs w:val="26"/>
        </w:rPr>
        <w:t xml:space="preserve">phase 60 Hertz service. Rate Schedule LP-6 is for large general service supplied from available line of 69,000 volts or higher, with the customer furnishing and maintaining all equipment necessary to transform the energy from the line voltage.  </w:t>
      </w:r>
      <w:r w:rsidRPr="009F3AC7">
        <w:rPr>
          <w:i/>
          <w:szCs w:val="26"/>
        </w:rPr>
        <w:t xml:space="preserve">See </w:t>
      </w:r>
      <w:r w:rsidRPr="009F3AC7">
        <w:rPr>
          <w:szCs w:val="26"/>
        </w:rPr>
        <w:t xml:space="preserve"> PPL Electric Tariff No. 201, p</w:t>
      </w:r>
      <w:r>
        <w:rPr>
          <w:szCs w:val="26"/>
        </w:rPr>
        <w:t>p.</w:t>
      </w:r>
      <w:r w:rsidRPr="009F3AC7">
        <w:rPr>
          <w:szCs w:val="26"/>
        </w:rPr>
        <w:t xml:space="preserve"> 27,</w:t>
      </w:r>
      <w:r>
        <w:rPr>
          <w:szCs w:val="26"/>
        </w:rPr>
        <w:t xml:space="preserve"> </w:t>
      </w:r>
      <w:r w:rsidRPr="009F3AC7">
        <w:rPr>
          <w:szCs w:val="26"/>
        </w:rPr>
        <w:t>28 and 28B.</w:t>
      </w:r>
    </w:p>
  </w:footnote>
  <w:footnote w:id="41">
    <w:p w:rsidR="00B3139D" w:rsidRDefault="00B3139D" w:rsidP="00936860">
      <w:pPr>
        <w:pStyle w:val="FootnoteText"/>
      </w:pPr>
      <w:r>
        <w:tab/>
      </w:r>
      <w:r>
        <w:rPr>
          <w:rStyle w:val="FootnoteReference"/>
        </w:rPr>
        <w:footnoteRef/>
      </w:r>
      <w:r>
        <w:tab/>
      </w:r>
      <w:r w:rsidRPr="005C4C23">
        <w:rPr>
          <w:szCs w:val="26"/>
        </w:rPr>
        <w:t>The record reflects that the amount paid was approximately $280,000 less than Donsco had agreed to pay under the extension agreement.  Donsco requested relief from the last two years of the original agreement and that request was granted. PPL Stmt. 8-RJ at 2.</w:t>
      </w:r>
    </w:p>
  </w:footnote>
  <w:footnote w:id="42">
    <w:p w:rsidR="00B3139D" w:rsidRPr="009F3AC7" w:rsidRDefault="00B3139D" w:rsidP="009B4453">
      <w:pPr>
        <w:pStyle w:val="FootnoteText"/>
        <w:tabs>
          <w:tab w:val="left" w:pos="720"/>
        </w:tabs>
        <w:rPr>
          <w:szCs w:val="26"/>
        </w:rPr>
      </w:pPr>
      <w:r>
        <w:rPr>
          <w:szCs w:val="26"/>
          <w:vertAlign w:val="superscript"/>
        </w:rPr>
        <w:tab/>
      </w:r>
      <w:r w:rsidRPr="009F3AC7">
        <w:rPr>
          <w:rStyle w:val="FootnoteReference"/>
          <w:szCs w:val="26"/>
          <w:vertAlign w:val="superscript"/>
        </w:rPr>
        <w:footnoteRef/>
      </w:r>
      <w:r w:rsidRPr="009F3AC7">
        <w:rPr>
          <w:szCs w:val="26"/>
          <w:vertAlign w:val="superscript"/>
        </w:rPr>
        <w:tab/>
      </w:r>
      <w:r>
        <w:rPr>
          <w:szCs w:val="26"/>
        </w:rPr>
        <w:t xml:space="preserve">PPL represented (and PPLICA did not challenge the fact) that such </w:t>
      </w:r>
      <w:r w:rsidRPr="009F3AC7">
        <w:rPr>
          <w:szCs w:val="26"/>
        </w:rPr>
        <w:t>pay</w:t>
      </w:r>
      <w:r>
        <w:rPr>
          <w:szCs w:val="26"/>
        </w:rPr>
        <w:t>-</w:t>
      </w:r>
      <w:proofErr w:type="spellStart"/>
      <w:r w:rsidRPr="009F3AC7">
        <w:rPr>
          <w:szCs w:val="26"/>
        </w:rPr>
        <w:t>ments</w:t>
      </w:r>
      <w:proofErr w:type="spellEnd"/>
      <w:r w:rsidRPr="009F3AC7">
        <w:rPr>
          <w:szCs w:val="26"/>
        </w:rPr>
        <w:t xml:space="preserve"> have at times exceeded $10 million.  PPL </w:t>
      </w:r>
      <w:r>
        <w:rPr>
          <w:szCs w:val="26"/>
        </w:rPr>
        <w:t>Stmt.</w:t>
      </w:r>
      <w:r w:rsidRPr="009F3AC7">
        <w:rPr>
          <w:szCs w:val="26"/>
        </w:rPr>
        <w:t xml:space="preserve"> 8-R</w:t>
      </w:r>
      <w:r>
        <w:rPr>
          <w:szCs w:val="26"/>
        </w:rPr>
        <w:t xml:space="preserve"> at 5.</w:t>
      </w:r>
    </w:p>
    <w:p w:rsidR="00B3139D" w:rsidRPr="009F3AC7" w:rsidRDefault="00B3139D" w:rsidP="009B4453">
      <w:pPr>
        <w:pStyle w:val="FootnoteText"/>
        <w:tabs>
          <w:tab w:val="left" w:pos="720"/>
        </w:tabs>
        <w:rPr>
          <w:szCs w:val="26"/>
        </w:rPr>
      </w:pPr>
    </w:p>
  </w:footnote>
  <w:footnote w:id="43">
    <w:p w:rsidR="00B3139D" w:rsidRPr="009E1FBF" w:rsidRDefault="00B3139D" w:rsidP="006938B9">
      <w:pPr>
        <w:pStyle w:val="FootnoteText"/>
        <w:ind w:firstLine="720"/>
        <w:rPr>
          <w:i/>
        </w:rPr>
      </w:pPr>
      <w:r>
        <w:rPr>
          <w:rStyle w:val="FootnoteReference"/>
        </w:rPr>
        <w:footnoteRef/>
      </w:r>
      <w:r>
        <w:rPr>
          <w:i/>
        </w:rPr>
        <w:tab/>
      </w:r>
      <w:r w:rsidRPr="00B05368">
        <w:rPr>
          <w:i/>
          <w:szCs w:val="26"/>
        </w:rPr>
        <w:t>Southeastern Pennsylvania Transportation Authority v. Pa. P.U.C.</w:t>
      </w:r>
      <w:r w:rsidRPr="00B05368">
        <w:rPr>
          <w:szCs w:val="26"/>
        </w:rPr>
        <w:t xml:space="preserve">, 470 A.2d 1092, 1094-95 (Pa. Cmwlth. 1984); </w:t>
      </w:r>
      <w:r w:rsidRPr="00B05368">
        <w:rPr>
          <w:i/>
          <w:szCs w:val="26"/>
        </w:rPr>
        <w:t>Parte Towne v.</w:t>
      </w:r>
      <w:r>
        <w:rPr>
          <w:i/>
          <w:szCs w:val="26"/>
        </w:rPr>
        <w:t xml:space="preserve"> </w:t>
      </w:r>
      <w:r w:rsidRPr="00B05368">
        <w:rPr>
          <w:i/>
          <w:szCs w:val="26"/>
        </w:rPr>
        <w:t>Pa. P.U.C.</w:t>
      </w:r>
      <w:r w:rsidRPr="00B05368">
        <w:rPr>
          <w:szCs w:val="26"/>
        </w:rPr>
        <w:t xml:space="preserve">, 433 A.2d 610 (Pa. Cmwlth. 1981); and </w:t>
      </w:r>
      <w:r w:rsidRPr="00B05368">
        <w:rPr>
          <w:i/>
          <w:szCs w:val="26"/>
        </w:rPr>
        <w:t>United States Steel Corporation v. Pa. P.U.C.</w:t>
      </w:r>
      <w:r w:rsidRPr="00B05368">
        <w:rPr>
          <w:szCs w:val="26"/>
        </w:rPr>
        <w:t>, 390 A.2d 849 (Pa. Cmwlth. 1978).</w:t>
      </w:r>
    </w:p>
  </w:footnote>
  <w:footnote w:id="44">
    <w:p w:rsidR="00B3139D" w:rsidRPr="00145024" w:rsidRDefault="00B3139D" w:rsidP="006938B9">
      <w:pPr>
        <w:spacing w:line="240" w:lineRule="auto"/>
        <w:ind w:firstLine="720"/>
        <w:jc w:val="left"/>
        <w:rPr>
          <w:szCs w:val="26"/>
        </w:rPr>
      </w:pPr>
      <w:r>
        <w:rPr>
          <w:rStyle w:val="FootnoteReference"/>
        </w:rPr>
        <w:footnoteRef/>
      </w:r>
      <w:r>
        <w:tab/>
      </w:r>
      <w:r w:rsidRPr="00145024">
        <w:rPr>
          <w:sz w:val="26"/>
          <w:szCs w:val="26"/>
        </w:rPr>
        <w:t>PPL details at length the facts set forth above with regard to Donsco’s operations and the efforts the parties have made to address Donsco’s concerns.  PPL R</w:t>
      </w:r>
      <w:r>
        <w:rPr>
          <w:sz w:val="26"/>
          <w:szCs w:val="26"/>
        </w:rPr>
        <w:t>.Exc.</w:t>
      </w:r>
      <w:r w:rsidRPr="00145024">
        <w:rPr>
          <w:sz w:val="26"/>
          <w:szCs w:val="26"/>
        </w:rPr>
        <w:t xml:space="preserve"> at 45-50.  We will no</w:t>
      </w:r>
      <w:r>
        <w:rPr>
          <w:sz w:val="26"/>
          <w:szCs w:val="26"/>
        </w:rPr>
        <w:t>t reiterate those facts here.</w:t>
      </w:r>
    </w:p>
  </w:footnote>
  <w:footnote w:id="45">
    <w:p w:rsidR="00B3139D" w:rsidRPr="000B3ACB" w:rsidRDefault="00B3139D" w:rsidP="00E703AC">
      <w:pPr>
        <w:pStyle w:val="FootnoteText"/>
        <w:rPr>
          <w:szCs w:val="26"/>
        </w:rPr>
      </w:pPr>
      <w:r>
        <w:tab/>
      </w:r>
      <w:r>
        <w:rPr>
          <w:rStyle w:val="FootnoteReference"/>
        </w:rPr>
        <w:footnoteRef/>
      </w:r>
      <w:r>
        <w:t xml:space="preserve"> </w:t>
      </w:r>
      <w:r>
        <w:tab/>
      </w:r>
      <w:r w:rsidRPr="00383F27">
        <w:rPr>
          <w:szCs w:val="26"/>
        </w:rPr>
        <w:t xml:space="preserve">PPL disagrees with PPLICA’s claim that Donsco is experiencing significant hardship as a result of PPL’s distribution rate impacts.  This is because distribution rates comprise only about </w:t>
      </w:r>
      <w:r>
        <w:rPr>
          <w:szCs w:val="26"/>
        </w:rPr>
        <w:t xml:space="preserve">twenty percent </w:t>
      </w:r>
      <w:r w:rsidRPr="00383F27">
        <w:rPr>
          <w:szCs w:val="26"/>
        </w:rPr>
        <w:t>of Donsco’s total cost of electricity.  PPL St. 8-RJ at 7; PPL R</w:t>
      </w:r>
      <w:r>
        <w:rPr>
          <w:szCs w:val="26"/>
        </w:rPr>
        <w:t>.Exc.</w:t>
      </w:r>
      <w:r w:rsidRPr="00383F27">
        <w:rPr>
          <w:szCs w:val="26"/>
        </w:rPr>
        <w:t xml:space="preserve"> at 14.  In addition, electric restructuring provided offsetting benefits of generation unbundling and shopping for PPL customers.  </w:t>
      </w:r>
      <w:r w:rsidRPr="00383F27">
        <w:rPr>
          <w:i/>
          <w:szCs w:val="26"/>
        </w:rPr>
        <w:t>Id.</w:t>
      </w:r>
      <w:r>
        <w:rPr>
          <w:szCs w:val="26"/>
        </w:rPr>
        <w:t xml:space="preserve">  We do not base our decision on equitable considerations and, thus, do not address the specific arguments of the Parties with regard to these allegations.</w:t>
      </w:r>
    </w:p>
  </w:footnote>
  <w:footnote w:id="46">
    <w:p w:rsidR="00B3139D" w:rsidRPr="00145024" w:rsidRDefault="00B3139D" w:rsidP="00E703AC">
      <w:pPr>
        <w:pStyle w:val="FootnoteText"/>
        <w:rPr>
          <w:szCs w:val="26"/>
        </w:rPr>
      </w:pPr>
      <w:r>
        <w:tab/>
      </w:r>
      <w:r>
        <w:rPr>
          <w:rStyle w:val="FootnoteReference"/>
        </w:rPr>
        <w:footnoteRef/>
      </w:r>
      <w:r>
        <w:tab/>
      </w:r>
      <w:r w:rsidRPr="00145024">
        <w:rPr>
          <w:szCs w:val="26"/>
        </w:rPr>
        <w:t>R.D. at 102.</w:t>
      </w:r>
    </w:p>
  </w:footnote>
  <w:footnote w:id="47">
    <w:p w:rsidR="00B3139D" w:rsidRPr="00145024" w:rsidRDefault="00B3139D" w:rsidP="003D3857">
      <w:pPr>
        <w:pStyle w:val="FootnoteText"/>
        <w:rPr>
          <w:szCs w:val="26"/>
        </w:rPr>
      </w:pPr>
      <w:r>
        <w:tab/>
      </w:r>
      <w:r>
        <w:rPr>
          <w:rStyle w:val="FootnoteReference"/>
        </w:rPr>
        <w:footnoteRef/>
      </w:r>
      <w:r>
        <w:tab/>
      </w:r>
      <w:r w:rsidRPr="00145024">
        <w:rPr>
          <w:szCs w:val="26"/>
        </w:rPr>
        <w:t>Proof of inadequate service could be a basis for denial of all or a portion of a utility’s request for a rate increase.  PPLICA (on behalf of Donsco) did not present a clear claim of inadequate service and supporting evidence to demonstrate same.  The ALJ accurately observed that PPLICA’s argument that Donsco’s alleged unique circumstances and PPL’s handling of them constitute inadequate service were</w:t>
      </w:r>
      <w:r>
        <w:rPr>
          <w:szCs w:val="26"/>
        </w:rPr>
        <w:t xml:space="preserve"> </w:t>
      </w:r>
      <w:r w:rsidRPr="00145024">
        <w:rPr>
          <w:szCs w:val="26"/>
        </w:rPr>
        <w:t>not clearly set forth until the service of PPLICA’s</w:t>
      </w:r>
      <w:r>
        <w:rPr>
          <w:szCs w:val="26"/>
        </w:rPr>
        <w:t xml:space="preserve"> R.B .;</w:t>
      </w:r>
      <w:r w:rsidRPr="00145024">
        <w:rPr>
          <w:szCs w:val="26"/>
        </w:rPr>
        <w:t xml:space="preserve">  R.D. at 99. </w:t>
      </w:r>
    </w:p>
  </w:footnote>
  <w:footnote w:id="48">
    <w:p w:rsidR="00B3139D" w:rsidRPr="00145024" w:rsidRDefault="00B3139D" w:rsidP="00E703AC">
      <w:pPr>
        <w:pStyle w:val="FootnoteText"/>
        <w:rPr>
          <w:szCs w:val="26"/>
        </w:rPr>
      </w:pPr>
      <w:r>
        <w:tab/>
      </w:r>
      <w:r>
        <w:rPr>
          <w:rStyle w:val="FootnoteReference"/>
        </w:rPr>
        <w:footnoteRef/>
      </w:r>
      <w:r>
        <w:tab/>
      </w:r>
      <w:r w:rsidRPr="00145024">
        <w:rPr>
          <w:szCs w:val="26"/>
        </w:rPr>
        <w:t>We note again that PPLICA did not build an adequate record to allow for a determination of the potential rate impact on other LP-4 customers because the proffered standards for LP-4 SI qualification are so vague.  While PPL does not concede that the LP-4 SI qualifying factors put forth by PPLICA are valid, it points out that there likely would be approximately twenty additional LP customers that may qualify for the special rate if PPLICA’s proposal were adopted here.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6B2EFD4"/>
    <w:lvl w:ilvl="0">
      <w:start w:val="1"/>
      <w:numFmt w:val="bullet"/>
      <w:lvlText w:val=""/>
      <w:lvlJc w:val="left"/>
      <w:pPr>
        <w:tabs>
          <w:tab w:val="num" w:pos="720"/>
        </w:tabs>
        <w:ind w:left="720" w:hanging="360"/>
      </w:pPr>
      <w:rPr>
        <w:rFonts w:ascii="Symbol" w:hAnsi="Symbol" w:hint="default"/>
      </w:rPr>
    </w:lvl>
  </w:abstractNum>
  <w:abstractNum w:abstractNumId="1">
    <w:nsid w:val="0A1C08D7"/>
    <w:multiLevelType w:val="hybridMultilevel"/>
    <w:tmpl w:val="F18633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D6785"/>
    <w:multiLevelType w:val="hybridMultilevel"/>
    <w:tmpl w:val="140A27DA"/>
    <w:lvl w:ilvl="0" w:tplc="70BA26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240DB1"/>
    <w:multiLevelType w:val="hybridMultilevel"/>
    <w:tmpl w:val="B69064F2"/>
    <w:lvl w:ilvl="0" w:tplc="A47CCC2E">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1566CA"/>
    <w:multiLevelType w:val="hybridMultilevel"/>
    <w:tmpl w:val="98F8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7">
    <w:nsid w:val="5C3B019C"/>
    <w:multiLevelType w:val="hybridMultilevel"/>
    <w:tmpl w:val="E16CAB9A"/>
    <w:lvl w:ilvl="0" w:tplc="465C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4"/>
  </w:num>
  <w:num w:numId="5">
    <w:abstractNumId w:val="6"/>
    <w:lvlOverride w:ilvl="0">
      <w:startOverride w:val="500"/>
    </w:lvlOverride>
  </w:num>
  <w:num w:numId="6">
    <w:abstractNumId w:val="6"/>
    <w:lvlOverride w:ilvl="0">
      <w:startOverride w:val="500"/>
    </w:lvlOverride>
  </w:num>
  <w:num w:numId="7">
    <w:abstractNumId w:val="2"/>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A165ED"/>
    <w:rsid w:val="00003E5A"/>
    <w:rsid w:val="00004CA0"/>
    <w:rsid w:val="00017FCB"/>
    <w:rsid w:val="0002073B"/>
    <w:rsid w:val="0002596D"/>
    <w:rsid w:val="0003574E"/>
    <w:rsid w:val="000358D7"/>
    <w:rsid w:val="0004096A"/>
    <w:rsid w:val="00044ADE"/>
    <w:rsid w:val="00054AA9"/>
    <w:rsid w:val="00055A8E"/>
    <w:rsid w:val="00061551"/>
    <w:rsid w:val="00061FCC"/>
    <w:rsid w:val="00063B5A"/>
    <w:rsid w:val="000728E6"/>
    <w:rsid w:val="00072BA6"/>
    <w:rsid w:val="00082D12"/>
    <w:rsid w:val="000908F5"/>
    <w:rsid w:val="000927E4"/>
    <w:rsid w:val="000A04BA"/>
    <w:rsid w:val="000B053F"/>
    <w:rsid w:val="000B31D5"/>
    <w:rsid w:val="000C0716"/>
    <w:rsid w:val="000C1FE1"/>
    <w:rsid w:val="000C3BD3"/>
    <w:rsid w:val="000C45C2"/>
    <w:rsid w:val="000C622B"/>
    <w:rsid w:val="000D50FE"/>
    <w:rsid w:val="000D7A47"/>
    <w:rsid w:val="000E0862"/>
    <w:rsid w:val="000E7E33"/>
    <w:rsid w:val="000F2D06"/>
    <w:rsid w:val="000F5C20"/>
    <w:rsid w:val="000F637F"/>
    <w:rsid w:val="00105BFE"/>
    <w:rsid w:val="00105FCC"/>
    <w:rsid w:val="0010695E"/>
    <w:rsid w:val="001075A5"/>
    <w:rsid w:val="00107C48"/>
    <w:rsid w:val="00113A7B"/>
    <w:rsid w:val="001141E6"/>
    <w:rsid w:val="00123A27"/>
    <w:rsid w:val="00130112"/>
    <w:rsid w:val="0013353A"/>
    <w:rsid w:val="00133E17"/>
    <w:rsid w:val="001348E5"/>
    <w:rsid w:val="00135ADF"/>
    <w:rsid w:val="00136177"/>
    <w:rsid w:val="001450CC"/>
    <w:rsid w:val="00157141"/>
    <w:rsid w:val="001578B6"/>
    <w:rsid w:val="0016028F"/>
    <w:rsid w:val="00161F1F"/>
    <w:rsid w:val="00163166"/>
    <w:rsid w:val="00171AE6"/>
    <w:rsid w:val="00173CA7"/>
    <w:rsid w:val="00175217"/>
    <w:rsid w:val="00190DED"/>
    <w:rsid w:val="00193E85"/>
    <w:rsid w:val="001949D2"/>
    <w:rsid w:val="001A18AD"/>
    <w:rsid w:val="001A377B"/>
    <w:rsid w:val="001A5C43"/>
    <w:rsid w:val="001B4C42"/>
    <w:rsid w:val="001B5FF5"/>
    <w:rsid w:val="001B72DF"/>
    <w:rsid w:val="001C1B7B"/>
    <w:rsid w:val="001C2217"/>
    <w:rsid w:val="001C5E6B"/>
    <w:rsid w:val="001D41B6"/>
    <w:rsid w:val="001E18C8"/>
    <w:rsid w:val="001E587D"/>
    <w:rsid w:val="001E5ED9"/>
    <w:rsid w:val="001E7B0D"/>
    <w:rsid w:val="00200710"/>
    <w:rsid w:val="00204777"/>
    <w:rsid w:val="00205B4F"/>
    <w:rsid w:val="0020789A"/>
    <w:rsid w:val="00211AE4"/>
    <w:rsid w:val="002324ED"/>
    <w:rsid w:val="002324F2"/>
    <w:rsid w:val="002401E9"/>
    <w:rsid w:val="00240E02"/>
    <w:rsid w:val="00250EC4"/>
    <w:rsid w:val="00250F1D"/>
    <w:rsid w:val="002553AB"/>
    <w:rsid w:val="002634B1"/>
    <w:rsid w:val="0026739A"/>
    <w:rsid w:val="002705EF"/>
    <w:rsid w:val="00271329"/>
    <w:rsid w:val="00281C43"/>
    <w:rsid w:val="00281FDE"/>
    <w:rsid w:val="00283AEC"/>
    <w:rsid w:val="00285055"/>
    <w:rsid w:val="00291B46"/>
    <w:rsid w:val="002A5BDA"/>
    <w:rsid w:val="002B1535"/>
    <w:rsid w:val="002B32F1"/>
    <w:rsid w:val="002B52B9"/>
    <w:rsid w:val="002C1986"/>
    <w:rsid w:val="002C2C41"/>
    <w:rsid w:val="002C3351"/>
    <w:rsid w:val="002C393F"/>
    <w:rsid w:val="002D26A0"/>
    <w:rsid w:val="002D42E3"/>
    <w:rsid w:val="002D5A68"/>
    <w:rsid w:val="002E1570"/>
    <w:rsid w:val="002E3703"/>
    <w:rsid w:val="002E40F6"/>
    <w:rsid w:val="002E58EA"/>
    <w:rsid w:val="002F0C51"/>
    <w:rsid w:val="002F2D7A"/>
    <w:rsid w:val="00300CD5"/>
    <w:rsid w:val="00301793"/>
    <w:rsid w:val="00302043"/>
    <w:rsid w:val="00326718"/>
    <w:rsid w:val="00334435"/>
    <w:rsid w:val="003375ED"/>
    <w:rsid w:val="0034056F"/>
    <w:rsid w:val="00340A83"/>
    <w:rsid w:val="0034408E"/>
    <w:rsid w:val="00352012"/>
    <w:rsid w:val="0035491D"/>
    <w:rsid w:val="0035495D"/>
    <w:rsid w:val="0036131A"/>
    <w:rsid w:val="00363E08"/>
    <w:rsid w:val="00364FB8"/>
    <w:rsid w:val="00373C54"/>
    <w:rsid w:val="003753BE"/>
    <w:rsid w:val="0038250E"/>
    <w:rsid w:val="00384C6C"/>
    <w:rsid w:val="00387392"/>
    <w:rsid w:val="003901A6"/>
    <w:rsid w:val="00392410"/>
    <w:rsid w:val="00396C27"/>
    <w:rsid w:val="003A1E43"/>
    <w:rsid w:val="003A68A3"/>
    <w:rsid w:val="003A7C54"/>
    <w:rsid w:val="003B0D48"/>
    <w:rsid w:val="003B2062"/>
    <w:rsid w:val="003B4AF6"/>
    <w:rsid w:val="003D198E"/>
    <w:rsid w:val="003D1E9B"/>
    <w:rsid w:val="003D3857"/>
    <w:rsid w:val="003D46AB"/>
    <w:rsid w:val="003E411F"/>
    <w:rsid w:val="003E65A5"/>
    <w:rsid w:val="003F14E3"/>
    <w:rsid w:val="003F1D6E"/>
    <w:rsid w:val="003F60E6"/>
    <w:rsid w:val="003F6A41"/>
    <w:rsid w:val="004026AC"/>
    <w:rsid w:val="00411BED"/>
    <w:rsid w:val="00427543"/>
    <w:rsid w:val="004311D1"/>
    <w:rsid w:val="00431ECA"/>
    <w:rsid w:val="00436F46"/>
    <w:rsid w:val="00441A3A"/>
    <w:rsid w:val="0045020C"/>
    <w:rsid w:val="00450708"/>
    <w:rsid w:val="004534F5"/>
    <w:rsid w:val="00456123"/>
    <w:rsid w:val="00456E9D"/>
    <w:rsid w:val="004639BE"/>
    <w:rsid w:val="00465C13"/>
    <w:rsid w:val="004703CC"/>
    <w:rsid w:val="0047264D"/>
    <w:rsid w:val="00473A8F"/>
    <w:rsid w:val="00473F35"/>
    <w:rsid w:val="00496E4C"/>
    <w:rsid w:val="004A6BE4"/>
    <w:rsid w:val="004B2A68"/>
    <w:rsid w:val="004B76C6"/>
    <w:rsid w:val="004C3E65"/>
    <w:rsid w:val="004C6E0B"/>
    <w:rsid w:val="004D2602"/>
    <w:rsid w:val="004D46CD"/>
    <w:rsid w:val="004D5C39"/>
    <w:rsid w:val="004F3E8E"/>
    <w:rsid w:val="00513A68"/>
    <w:rsid w:val="00520AF8"/>
    <w:rsid w:val="005218D1"/>
    <w:rsid w:val="00522140"/>
    <w:rsid w:val="00522707"/>
    <w:rsid w:val="005304CF"/>
    <w:rsid w:val="00532515"/>
    <w:rsid w:val="00536E53"/>
    <w:rsid w:val="00543A53"/>
    <w:rsid w:val="00545142"/>
    <w:rsid w:val="005502A0"/>
    <w:rsid w:val="00555E61"/>
    <w:rsid w:val="0055678B"/>
    <w:rsid w:val="005607CC"/>
    <w:rsid w:val="00564F0B"/>
    <w:rsid w:val="00567CCC"/>
    <w:rsid w:val="00577DE2"/>
    <w:rsid w:val="00586161"/>
    <w:rsid w:val="00591EAE"/>
    <w:rsid w:val="005A1048"/>
    <w:rsid w:val="005A4143"/>
    <w:rsid w:val="005A50D3"/>
    <w:rsid w:val="005A5323"/>
    <w:rsid w:val="005A5B0C"/>
    <w:rsid w:val="005B610A"/>
    <w:rsid w:val="005C026A"/>
    <w:rsid w:val="005C17B4"/>
    <w:rsid w:val="005C505B"/>
    <w:rsid w:val="005D2B2A"/>
    <w:rsid w:val="005E0F28"/>
    <w:rsid w:val="005E27C6"/>
    <w:rsid w:val="005E392F"/>
    <w:rsid w:val="005E5B98"/>
    <w:rsid w:val="005F31BB"/>
    <w:rsid w:val="005F338C"/>
    <w:rsid w:val="005F59A3"/>
    <w:rsid w:val="005F59D1"/>
    <w:rsid w:val="00603E3F"/>
    <w:rsid w:val="00611828"/>
    <w:rsid w:val="0061191E"/>
    <w:rsid w:val="00611BE8"/>
    <w:rsid w:val="00611CB6"/>
    <w:rsid w:val="00612670"/>
    <w:rsid w:val="006160FF"/>
    <w:rsid w:val="0063395D"/>
    <w:rsid w:val="006356B5"/>
    <w:rsid w:val="00636765"/>
    <w:rsid w:val="00641067"/>
    <w:rsid w:val="006419DA"/>
    <w:rsid w:val="00642036"/>
    <w:rsid w:val="00642885"/>
    <w:rsid w:val="00644C4B"/>
    <w:rsid w:val="00651AA3"/>
    <w:rsid w:val="00671550"/>
    <w:rsid w:val="006819BA"/>
    <w:rsid w:val="00692BF8"/>
    <w:rsid w:val="006931A9"/>
    <w:rsid w:val="006938B9"/>
    <w:rsid w:val="006A09B2"/>
    <w:rsid w:val="006A1441"/>
    <w:rsid w:val="006B5033"/>
    <w:rsid w:val="006B59C4"/>
    <w:rsid w:val="006C0AED"/>
    <w:rsid w:val="006C0FAE"/>
    <w:rsid w:val="006C4BA3"/>
    <w:rsid w:val="006C58B1"/>
    <w:rsid w:val="006D36DA"/>
    <w:rsid w:val="006D50ED"/>
    <w:rsid w:val="006E042F"/>
    <w:rsid w:val="006E5798"/>
    <w:rsid w:val="006E5C46"/>
    <w:rsid w:val="006E74EC"/>
    <w:rsid w:val="006F0D12"/>
    <w:rsid w:val="006F21F8"/>
    <w:rsid w:val="00703056"/>
    <w:rsid w:val="00705CE7"/>
    <w:rsid w:val="00710B4F"/>
    <w:rsid w:val="0071368B"/>
    <w:rsid w:val="007159C4"/>
    <w:rsid w:val="007267EB"/>
    <w:rsid w:val="00726B8D"/>
    <w:rsid w:val="00727330"/>
    <w:rsid w:val="007351B0"/>
    <w:rsid w:val="0073706A"/>
    <w:rsid w:val="0074703D"/>
    <w:rsid w:val="00751B12"/>
    <w:rsid w:val="00753E26"/>
    <w:rsid w:val="0075493B"/>
    <w:rsid w:val="0075773C"/>
    <w:rsid w:val="00757E82"/>
    <w:rsid w:val="00763512"/>
    <w:rsid w:val="00771167"/>
    <w:rsid w:val="00773045"/>
    <w:rsid w:val="00784EF1"/>
    <w:rsid w:val="007A1208"/>
    <w:rsid w:val="007A2407"/>
    <w:rsid w:val="007A3AAD"/>
    <w:rsid w:val="007B1C4F"/>
    <w:rsid w:val="007B3114"/>
    <w:rsid w:val="007B4421"/>
    <w:rsid w:val="007B7379"/>
    <w:rsid w:val="007B75F9"/>
    <w:rsid w:val="007C1BD4"/>
    <w:rsid w:val="007C22C3"/>
    <w:rsid w:val="007C27F2"/>
    <w:rsid w:val="007C2B3C"/>
    <w:rsid w:val="007C3F14"/>
    <w:rsid w:val="007C4965"/>
    <w:rsid w:val="007D3248"/>
    <w:rsid w:val="007E4FF1"/>
    <w:rsid w:val="007E716E"/>
    <w:rsid w:val="007E7F52"/>
    <w:rsid w:val="007F0319"/>
    <w:rsid w:val="007F6E48"/>
    <w:rsid w:val="008001EA"/>
    <w:rsid w:val="0080118B"/>
    <w:rsid w:val="008040DF"/>
    <w:rsid w:val="00804969"/>
    <w:rsid w:val="00806683"/>
    <w:rsid w:val="008078DE"/>
    <w:rsid w:val="00810C35"/>
    <w:rsid w:val="00813785"/>
    <w:rsid w:val="00813FA3"/>
    <w:rsid w:val="00815348"/>
    <w:rsid w:val="00817B12"/>
    <w:rsid w:val="008207FF"/>
    <w:rsid w:val="00823141"/>
    <w:rsid w:val="0082704C"/>
    <w:rsid w:val="00835566"/>
    <w:rsid w:val="008357BF"/>
    <w:rsid w:val="00837B24"/>
    <w:rsid w:val="00840AC2"/>
    <w:rsid w:val="00851C11"/>
    <w:rsid w:val="008533A7"/>
    <w:rsid w:val="00856248"/>
    <w:rsid w:val="00857D74"/>
    <w:rsid w:val="008608D9"/>
    <w:rsid w:val="00864837"/>
    <w:rsid w:val="00866839"/>
    <w:rsid w:val="0087617B"/>
    <w:rsid w:val="00876CA9"/>
    <w:rsid w:val="008802D2"/>
    <w:rsid w:val="008817BC"/>
    <w:rsid w:val="00883EEF"/>
    <w:rsid w:val="00887347"/>
    <w:rsid w:val="00892EE1"/>
    <w:rsid w:val="00893BF2"/>
    <w:rsid w:val="00897E76"/>
    <w:rsid w:val="008A1C91"/>
    <w:rsid w:val="008A5125"/>
    <w:rsid w:val="008B12EF"/>
    <w:rsid w:val="008B400A"/>
    <w:rsid w:val="008B461C"/>
    <w:rsid w:val="008B4DB4"/>
    <w:rsid w:val="008C4423"/>
    <w:rsid w:val="008C6432"/>
    <w:rsid w:val="008D14D3"/>
    <w:rsid w:val="008D6D3C"/>
    <w:rsid w:val="008D6E70"/>
    <w:rsid w:val="008E2BBD"/>
    <w:rsid w:val="008E2F4B"/>
    <w:rsid w:val="008E6480"/>
    <w:rsid w:val="009006B1"/>
    <w:rsid w:val="0091640C"/>
    <w:rsid w:val="0092182E"/>
    <w:rsid w:val="00933D0E"/>
    <w:rsid w:val="0093469D"/>
    <w:rsid w:val="00934A91"/>
    <w:rsid w:val="00936860"/>
    <w:rsid w:val="00943C58"/>
    <w:rsid w:val="0094436C"/>
    <w:rsid w:val="00947E83"/>
    <w:rsid w:val="00951FE3"/>
    <w:rsid w:val="0095327E"/>
    <w:rsid w:val="00953EF0"/>
    <w:rsid w:val="009608D7"/>
    <w:rsid w:val="009672D2"/>
    <w:rsid w:val="009678E5"/>
    <w:rsid w:val="009762B3"/>
    <w:rsid w:val="00980915"/>
    <w:rsid w:val="00982D18"/>
    <w:rsid w:val="00990F44"/>
    <w:rsid w:val="00992BAA"/>
    <w:rsid w:val="009A2335"/>
    <w:rsid w:val="009B0C5E"/>
    <w:rsid w:val="009B3979"/>
    <w:rsid w:val="009B4453"/>
    <w:rsid w:val="009B45F4"/>
    <w:rsid w:val="009B7FF0"/>
    <w:rsid w:val="009C0953"/>
    <w:rsid w:val="009C7C1E"/>
    <w:rsid w:val="009D059F"/>
    <w:rsid w:val="009D36C9"/>
    <w:rsid w:val="009E048F"/>
    <w:rsid w:val="009E437C"/>
    <w:rsid w:val="009E5A74"/>
    <w:rsid w:val="009E6F77"/>
    <w:rsid w:val="009F10B9"/>
    <w:rsid w:val="00A00473"/>
    <w:rsid w:val="00A01D8E"/>
    <w:rsid w:val="00A01DD5"/>
    <w:rsid w:val="00A02348"/>
    <w:rsid w:val="00A11D7E"/>
    <w:rsid w:val="00A126EF"/>
    <w:rsid w:val="00A13443"/>
    <w:rsid w:val="00A149C3"/>
    <w:rsid w:val="00A14BC4"/>
    <w:rsid w:val="00A15F43"/>
    <w:rsid w:val="00A165ED"/>
    <w:rsid w:val="00A20503"/>
    <w:rsid w:val="00A2375D"/>
    <w:rsid w:val="00A279EA"/>
    <w:rsid w:val="00A3316F"/>
    <w:rsid w:val="00A33C07"/>
    <w:rsid w:val="00A518A7"/>
    <w:rsid w:val="00A523EA"/>
    <w:rsid w:val="00A65288"/>
    <w:rsid w:val="00A72E92"/>
    <w:rsid w:val="00A74173"/>
    <w:rsid w:val="00A75D1D"/>
    <w:rsid w:val="00A85005"/>
    <w:rsid w:val="00A85133"/>
    <w:rsid w:val="00A8528E"/>
    <w:rsid w:val="00A86A81"/>
    <w:rsid w:val="00A87DF6"/>
    <w:rsid w:val="00A87E3D"/>
    <w:rsid w:val="00A94F92"/>
    <w:rsid w:val="00AA417D"/>
    <w:rsid w:val="00AB4E4E"/>
    <w:rsid w:val="00AB6CE9"/>
    <w:rsid w:val="00AC6B4F"/>
    <w:rsid w:val="00AD1479"/>
    <w:rsid w:val="00AD3983"/>
    <w:rsid w:val="00AD4CF7"/>
    <w:rsid w:val="00AE3270"/>
    <w:rsid w:val="00AE6520"/>
    <w:rsid w:val="00AE6E1E"/>
    <w:rsid w:val="00AE7F6E"/>
    <w:rsid w:val="00AF3AC6"/>
    <w:rsid w:val="00B050F2"/>
    <w:rsid w:val="00B123AA"/>
    <w:rsid w:val="00B144F4"/>
    <w:rsid w:val="00B210F3"/>
    <w:rsid w:val="00B2421F"/>
    <w:rsid w:val="00B254FA"/>
    <w:rsid w:val="00B26709"/>
    <w:rsid w:val="00B27F28"/>
    <w:rsid w:val="00B3139D"/>
    <w:rsid w:val="00B42BA0"/>
    <w:rsid w:val="00B46DDB"/>
    <w:rsid w:val="00B51094"/>
    <w:rsid w:val="00B61C7A"/>
    <w:rsid w:val="00B7157C"/>
    <w:rsid w:val="00B71F0A"/>
    <w:rsid w:val="00B757CA"/>
    <w:rsid w:val="00B75E4E"/>
    <w:rsid w:val="00B80055"/>
    <w:rsid w:val="00B80EE8"/>
    <w:rsid w:val="00B812EA"/>
    <w:rsid w:val="00B821A6"/>
    <w:rsid w:val="00B95697"/>
    <w:rsid w:val="00BA04AA"/>
    <w:rsid w:val="00BA35F8"/>
    <w:rsid w:val="00BA3910"/>
    <w:rsid w:val="00BA3A82"/>
    <w:rsid w:val="00BB2790"/>
    <w:rsid w:val="00BC0679"/>
    <w:rsid w:val="00BC2806"/>
    <w:rsid w:val="00BC2C00"/>
    <w:rsid w:val="00BC3801"/>
    <w:rsid w:val="00BC3C08"/>
    <w:rsid w:val="00BC4B58"/>
    <w:rsid w:val="00BC62C5"/>
    <w:rsid w:val="00BD424A"/>
    <w:rsid w:val="00BD5497"/>
    <w:rsid w:val="00BD5AE3"/>
    <w:rsid w:val="00BD5FC2"/>
    <w:rsid w:val="00BE24F0"/>
    <w:rsid w:val="00BE3464"/>
    <w:rsid w:val="00BE533B"/>
    <w:rsid w:val="00BF0804"/>
    <w:rsid w:val="00BF0847"/>
    <w:rsid w:val="00BF3F48"/>
    <w:rsid w:val="00C0475F"/>
    <w:rsid w:val="00C069D8"/>
    <w:rsid w:val="00C22842"/>
    <w:rsid w:val="00C243BF"/>
    <w:rsid w:val="00C25C27"/>
    <w:rsid w:val="00C30AD8"/>
    <w:rsid w:val="00C3427E"/>
    <w:rsid w:val="00C42BEB"/>
    <w:rsid w:val="00C43DC9"/>
    <w:rsid w:val="00C46AE1"/>
    <w:rsid w:val="00C46EBC"/>
    <w:rsid w:val="00C55542"/>
    <w:rsid w:val="00C56AA5"/>
    <w:rsid w:val="00C60083"/>
    <w:rsid w:val="00C62F07"/>
    <w:rsid w:val="00C63AEC"/>
    <w:rsid w:val="00C70CAF"/>
    <w:rsid w:val="00C76D0C"/>
    <w:rsid w:val="00C800F1"/>
    <w:rsid w:val="00C90035"/>
    <w:rsid w:val="00C97273"/>
    <w:rsid w:val="00CA00DA"/>
    <w:rsid w:val="00CA1B63"/>
    <w:rsid w:val="00CA24EF"/>
    <w:rsid w:val="00CA497E"/>
    <w:rsid w:val="00CB2D03"/>
    <w:rsid w:val="00CB5413"/>
    <w:rsid w:val="00CC3FB3"/>
    <w:rsid w:val="00CC5187"/>
    <w:rsid w:val="00CD1398"/>
    <w:rsid w:val="00CE0DA7"/>
    <w:rsid w:val="00CE713A"/>
    <w:rsid w:val="00D04568"/>
    <w:rsid w:val="00D0526B"/>
    <w:rsid w:val="00D1653A"/>
    <w:rsid w:val="00D1660E"/>
    <w:rsid w:val="00D17A61"/>
    <w:rsid w:val="00D226E4"/>
    <w:rsid w:val="00D22DFE"/>
    <w:rsid w:val="00D2479D"/>
    <w:rsid w:val="00D26D98"/>
    <w:rsid w:val="00D31C39"/>
    <w:rsid w:val="00D405B8"/>
    <w:rsid w:val="00D410CE"/>
    <w:rsid w:val="00D530B5"/>
    <w:rsid w:val="00D628DA"/>
    <w:rsid w:val="00D70586"/>
    <w:rsid w:val="00D7164F"/>
    <w:rsid w:val="00D86DF0"/>
    <w:rsid w:val="00D94704"/>
    <w:rsid w:val="00D96A5F"/>
    <w:rsid w:val="00DA4B3E"/>
    <w:rsid w:val="00DA7839"/>
    <w:rsid w:val="00DB0F0C"/>
    <w:rsid w:val="00DB21B4"/>
    <w:rsid w:val="00DB4376"/>
    <w:rsid w:val="00DC1AF1"/>
    <w:rsid w:val="00DD1BC8"/>
    <w:rsid w:val="00DD3783"/>
    <w:rsid w:val="00DD73C8"/>
    <w:rsid w:val="00DD759F"/>
    <w:rsid w:val="00DE14C6"/>
    <w:rsid w:val="00DE2AD7"/>
    <w:rsid w:val="00DE378D"/>
    <w:rsid w:val="00DF15A0"/>
    <w:rsid w:val="00DF6803"/>
    <w:rsid w:val="00DF7081"/>
    <w:rsid w:val="00E015B6"/>
    <w:rsid w:val="00E15042"/>
    <w:rsid w:val="00E170B2"/>
    <w:rsid w:val="00E20FDD"/>
    <w:rsid w:val="00E240DE"/>
    <w:rsid w:val="00E25C62"/>
    <w:rsid w:val="00E32597"/>
    <w:rsid w:val="00E32B8B"/>
    <w:rsid w:val="00E35A75"/>
    <w:rsid w:val="00E36983"/>
    <w:rsid w:val="00E4475D"/>
    <w:rsid w:val="00E50828"/>
    <w:rsid w:val="00E57091"/>
    <w:rsid w:val="00E6333F"/>
    <w:rsid w:val="00E64E26"/>
    <w:rsid w:val="00E6666F"/>
    <w:rsid w:val="00E67F1A"/>
    <w:rsid w:val="00E703AC"/>
    <w:rsid w:val="00E7727D"/>
    <w:rsid w:val="00E83C36"/>
    <w:rsid w:val="00E91D6C"/>
    <w:rsid w:val="00E92C5E"/>
    <w:rsid w:val="00E94F63"/>
    <w:rsid w:val="00E95083"/>
    <w:rsid w:val="00EA0687"/>
    <w:rsid w:val="00EA221E"/>
    <w:rsid w:val="00EA3344"/>
    <w:rsid w:val="00EA7CE0"/>
    <w:rsid w:val="00EC1C7D"/>
    <w:rsid w:val="00EC6A33"/>
    <w:rsid w:val="00ED10CE"/>
    <w:rsid w:val="00ED2E83"/>
    <w:rsid w:val="00ED76C9"/>
    <w:rsid w:val="00EE0956"/>
    <w:rsid w:val="00EE2945"/>
    <w:rsid w:val="00EE2C62"/>
    <w:rsid w:val="00EE2CD4"/>
    <w:rsid w:val="00EE5CAF"/>
    <w:rsid w:val="00EE5F08"/>
    <w:rsid w:val="00EF1DA7"/>
    <w:rsid w:val="00EF3C8D"/>
    <w:rsid w:val="00EF6747"/>
    <w:rsid w:val="00F005F4"/>
    <w:rsid w:val="00F01489"/>
    <w:rsid w:val="00F01F30"/>
    <w:rsid w:val="00F03F1B"/>
    <w:rsid w:val="00F10E31"/>
    <w:rsid w:val="00F1227D"/>
    <w:rsid w:val="00F1551A"/>
    <w:rsid w:val="00F16FD5"/>
    <w:rsid w:val="00F178CA"/>
    <w:rsid w:val="00F240A8"/>
    <w:rsid w:val="00F34419"/>
    <w:rsid w:val="00F50D58"/>
    <w:rsid w:val="00F54B07"/>
    <w:rsid w:val="00F55B70"/>
    <w:rsid w:val="00F61A3D"/>
    <w:rsid w:val="00F6334C"/>
    <w:rsid w:val="00F6719C"/>
    <w:rsid w:val="00F753AA"/>
    <w:rsid w:val="00F7637A"/>
    <w:rsid w:val="00F81426"/>
    <w:rsid w:val="00F82182"/>
    <w:rsid w:val="00F83C1F"/>
    <w:rsid w:val="00F8569C"/>
    <w:rsid w:val="00F85E77"/>
    <w:rsid w:val="00F92EC1"/>
    <w:rsid w:val="00F95CBD"/>
    <w:rsid w:val="00FA1612"/>
    <w:rsid w:val="00FA5AA2"/>
    <w:rsid w:val="00FA5FDC"/>
    <w:rsid w:val="00FC093D"/>
    <w:rsid w:val="00FC1122"/>
    <w:rsid w:val="00FC3338"/>
    <w:rsid w:val="00FC54D8"/>
    <w:rsid w:val="00FD3F85"/>
    <w:rsid w:val="00FD462B"/>
    <w:rsid w:val="00FD5E4C"/>
    <w:rsid w:val="00FD69CA"/>
    <w:rsid w:val="00FD731C"/>
    <w:rsid w:val="00FE23D1"/>
    <w:rsid w:val="00FE43A5"/>
    <w:rsid w:val="00FE5939"/>
    <w:rsid w:val="00FE698B"/>
    <w:rsid w:val="00FE6B26"/>
    <w:rsid w:val="00FF070A"/>
    <w:rsid w:val="00FF5B12"/>
    <w:rsid w:val="00FF7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ED"/>
    <w:pPr>
      <w:spacing w:after="0" w:line="360" w:lineRule="auto"/>
      <w:jc w:val="center"/>
    </w:pPr>
    <w:rPr>
      <w:rFonts w:ascii="Times New Roman" w:eastAsia="Calibri" w:hAnsi="Times New Roman" w:cs="Times New Roman"/>
      <w:sz w:val="24"/>
      <w:szCs w:val="24"/>
    </w:rPr>
  </w:style>
  <w:style w:type="paragraph" w:styleId="Heading2">
    <w:name w:val="heading 2"/>
    <w:basedOn w:val="Normal"/>
    <w:next w:val="Normal"/>
    <w:link w:val="Heading2Char"/>
    <w:qFormat/>
    <w:rsid w:val="00611828"/>
    <w:pPr>
      <w:widowControl w:val="0"/>
      <w:spacing w:before="240" w:after="60" w:line="240" w:lineRule="auto"/>
      <w:jc w:val="left"/>
      <w:outlineLvl w:val="1"/>
    </w:pPr>
    <w:rPr>
      <w:rFonts w:eastAsia="Times New Roman"/>
      <w:b/>
      <w:bCs/>
      <w:iCs/>
      <w:sz w:val="26"/>
    </w:rPr>
  </w:style>
  <w:style w:type="paragraph" w:styleId="Heading3">
    <w:name w:val="heading 3"/>
    <w:basedOn w:val="Normal"/>
    <w:next w:val="Normal"/>
    <w:link w:val="Heading3Char"/>
    <w:uiPriority w:val="9"/>
    <w:semiHidden/>
    <w:unhideWhenUsed/>
    <w:qFormat/>
    <w:rsid w:val="008153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53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D8"/>
    <w:pPr>
      <w:ind w:left="720"/>
      <w:contextualSpacing/>
    </w:pPr>
  </w:style>
  <w:style w:type="character" w:styleId="FootnoteReference">
    <w:name w:val="footnote reference"/>
    <w:uiPriority w:val="99"/>
    <w:semiHidden/>
    <w:rsid w:val="008207FF"/>
    <w:rPr>
      <w:sz w:val="20"/>
      <w:szCs w:val="20"/>
    </w:rPr>
  </w:style>
  <w:style w:type="paragraph" w:styleId="FootnoteText">
    <w:name w:val="footnote text"/>
    <w:basedOn w:val="Normal"/>
    <w:link w:val="FootnoteTextChar"/>
    <w:uiPriority w:val="99"/>
    <w:rsid w:val="008207FF"/>
    <w:pPr>
      <w:widowControl w:val="0"/>
      <w:spacing w:line="240" w:lineRule="auto"/>
      <w:jc w:val="left"/>
    </w:pPr>
    <w:rPr>
      <w:rFonts w:eastAsia="Times New Roman"/>
      <w:snapToGrid w:val="0"/>
      <w:sz w:val="26"/>
      <w:szCs w:val="20"/>
    </w:rPr>
  </w:style>
  <w:style w:type="character" w:customStyle="1" w:styleId="FootnoteTextChar">
    <w:name w:val="Footnote Text Char"/>
    <w:basedOn w:val="DefaultParagraphFont"/>
    <w:link w:val="FootnoteText"/>
    <w:uiPriority w:val="99"/>
    <w:rsid w:val="008207FF"/>
    <w:rPr>
      <w:rFonts w:ascii="Times New Roman" w:eastAsia="Times New Roman" w:hAnsi="Times New Roman" w:cs="Times New Roman"/>
      <w:snapToGrid w:val="0"/>
      <w:sz w:val="26"/>
      <w:szCs w:val="20"/>
    </w:rPr>
  </w:style>
  <w:style w:type="paragraph" w:customStyle="1" w:styleId="Pleading2L1">
    <w:name w:val="Pleading2_L1"/>
    <w:basedOn w:val="Normal"/>
    <w:next w:val="Pleading2L9"/>
    <w:rsid w:val="006D50ED"/>
    <w:pPr>
      <w:numPr>
        <w:numId w:val="3"/>
      </w:numPr>
      <w:spacing w:after="240" w:line="240" w:lineRule="auto"/>
      <w:outlineLvl w:val="0"/>
    </w:pPr>
    <w:rPr>
      <w:rFonts w:eastAsia="Times New Roman"/>
      <w:b/>
      <w:caps/>
      <w:szCs w:val="20"/>
      <w:u w:val="single"/>
    </w:rPr>
  </w:style>
  <w:style w:type="paragraph" w:customStyle="1" w:styleId="Pleading2L2">
    <w:name w:val="Pleading2_L2"/>
    <w:basedOn w:val="Pleading2L1"/>
    <w:rsid w:val="006D50ED"/>
    <w:pPr>
      <w:numPr>
        <w:ilvl w:val="1"/>
      </w:numPr>
      <w:spacing w:after="0" w:line="480" w:lineRule="auto"/>
      <w:jc w:val="left"/>
      <w:outlineLvl w:val="1"/>
    </w:pPr>
    <w:rPr>
      <w:b w:val="0"/>
      <w:caps w:val="0"/>
      <w:u w:val="none"/>
    </w:rPr>
  </w:style>
  <w:style w:type="paragraph" w:customStyle="1" w:styleId="Pleading2L3">
    <w:name w:val="Pleading2_L3"/>
    <w:basedOn w:val="Pleading2L2"/>
    <w:rsid w:val="006D50ED"/>
    <w:pPr>
      <w:numPr>
        <w:ilvl w:val="2"/>
      </w:numPr>
      <w:outlineLvl w:val="2"/>
    </w:pPr>
  </w:style>
  <w:style w:type="paragraph" w:customStyle="1" w:styleId="Pleading2L4">
    <w:name w:val="Pleading2_L4"/>
    <w:basedOn w:val="Pleading2L3"/>
    <w:rsid w:val="006D50ED"/>
    <w:pPr>
      <w:numPr>
        <w:ilvl w:val="3"/>
      </w:numPr>
      <w:outlineLvl w:val="3"/>
    </w:pPr>
  </w:style>
  <w:style w:type="paragraph" w:customStyle="1" w:styleId="Pleading2L5">
    <w:name w:val="Pleading2_L5"/>
    <w:basedOn w:val="Pleading2L4"/>
    <w:rsid w:val="006D50ED"/>
    <w:pPr>
      <w:keepNext/>
      <w:keepLines/>
      <w:widowControl w:val="0"/>
      <w:numPr>
        <w:ilvl w:val="4"/>
      </w:numPr>
      <w:spacing w:after="240" w:line="240" w:lineRule="auto"/>
      <w:outlineLvl w:val="4"/>
    </w:pPr>
  </w:style>
  <w:style w:type="paragraph" w:customStyle="1" w:styleId="Pleading2L6">
    <w:name w:val="Pleading2_L6"/>
    <w:basedOn w:val="Pleading2L5"/>
    <w:rsid w:val="006D50ED"/>
    <w:pPr>
      <w:numPr>
        <w:ilvl w:val="5"/>
      </w:numPr>
      <w:outlineLvl w:val="5"/>
    </w:pPr>
  </w:style>
  <w:style w:type="paragraph" w:customStyle="1" w:styleId="Pleading2L7">
    <w:name w:val="Pleading2_L7"/>
    <w:basedOn w:val="Pleading2L6"/>
    <w:rsid w:val="006D50ED"/>
    <w:pPr>
      <w:numPr>
        <w:ilvl w:val="6"/>
      </w:numPr>
      <w:outlineLvl w:val="6"/>
    </w:pPr>
  </w:style>
  <w:style w:type="paragraph" w:customStyle="1" w:styleId="Pleading2L8">
    <w:name w:val="Pleading2_L8"/>
    <w:basedOn w:val="Pleading2L7"/>
    <w:rsid w:val="006D50ED"/>
    <w:pPr>
      <w:numPr>
        <w:ilvl w:val="7"/>
      </w:numPr>
      <w:outlineLvl w:val="7"/>
    </w:pPr>
  </w:style>
  <w:style w:type="paragraph" w:customStyle="1" w:styleId="Pleading2L9">
    <w:name w:val="Pleading2_L9"/>
    <w:basedOn w:val="Pleading2L8"/>
    <w:rsid w:val="006D50ED"/>
    <w:pPr>
      <w:numPr>
        <w:ilvl w:val="8"/>
      </w:numPr>
      <w:outlineLvl w:val="8"/>
    </w:pPr>
  </w:style>
  <w:style w:type="paragraph" w:styleId="BodyText">
    <w:name w:val="Body Text"/>
    <w:basedOn w:val="Normal"/>
    <w:link w:val="BodyTextChar"/>
    <w:uiPriority w:val="99"/>
    <w:unhideWhenUsed/>
    <w:rsid w:val="006D50ED"/>
    <w:pPr>
      <w:spacing w:after="120"/>
    </w:pPr>
  </w:style>
  <w:style w:type="character" w:customStyle="1" w:styleId="BodyTextChar">
    <w:name w:val="Body Text Char"/>
    <w:basedOn w:val="DefaultParagraphFont"/>
    <w:link w:val="BodyText"/>
    <w:uiPriority w:val="99"/>
    <w:rsid w:val="006D50ED"/>
    <w:rPr>
      <w:rFonts w:ascii="Times New Roman" w:eastAsia="Calibri" w:hAnsi="Times New Roman" w:cs="Times New Roman"/>
      <w:sz w:val="24"/>
      <w:szCs w:val="24"/>
    </w:rPr>
  </w:style>
  <w:style w:type="character" w:customStyle="1" w:styleId="Heading2Char">
    <w:name w:val="Heading 2 Char"/>
    <w:basedOn w:val="DefaultParagraphFont"/>
    <w:link w:val="Heading2"/>
    <w:rsid w:val="00611828"/>
    <w:rPr>
      <w:rFonts w:ascii="Times New Roman" w:eastAsia="Times New Roman" w:hAnsi="Times New Roman" w:cs="Times New Roman"/>
      <w:b/>
      <w:bCs/>
      <w:iCs/>
      <w:sz w:val="26"/>
      <w:szCs w:val="24"/>
    </w:rPr>
  </w:style>
  <w:style w:type="character" w:customStyle="1" w:styleId="Heading3Char">
    <w:name w:val="Heading 3 Char"/>
    <w:basedOn w:val="DefaultParagraphFont"/>
    <w:link w:val="Heading3"/>
    <w:uiPriority w:val="9"/>
    <w:semiHidden/>
    <w:rsid w:val="008153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15348"/>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rsid w:val="00815348"/>
    <w:rPr>
      <w:color w:val="0000FF"/>
      <w:u w:val="single"/>
    </w:rPr>
  </w:style>
  <w:style w:type="character" w:styleId="Emphasis">
    <w:name w:val="Emphasis"/>
    <w:basedOn w:val="DefaultParagraphFont"/>
    <w:qFormat/>
    <w:rsid w:val="00815348"/>
    <w:rPr>
      <w:i/>
      <w:iCs/>
    </w:rPr>
  </w:style>
  <w:style w:type="paragraph" w:styleId="BodyText2">
    <w:name w:val="Body Text 2"/>
    <w:basedOn w:val="Normal"/>
    <w:link w:val="BodyText2Char"/>
    <w:uiPriority w:val="99"/>
    <w:rsid w:val="0061191E"/>
    <w:pPr>
      <w:spacing w:after="120" w:line="480" w:lineRule="auto"/>
      <w:jc w:val="left"/>
    </w:pPr>
    <w:rPr>
      <w:rFonts w:eastAsia="Times New Roman"/>
    </w:rPr>
  </w:style>
  <w:style w:type="character" w:customStyle="1" w:styleId="BodyText2Char">
    <w:name w:val="Body Text 2 Char"/>
    <w:basedOn w:val="DefaultParagraphFont"/>
    <w:link w:val="BodyText2"/>
    <w:uiPriority w:val="99"/>
    <w:rsid w:val="0061191E"/>
    <w:rPr>
      <w:rFonts w:ascii="Times New Roman" w:eastAsia="Times New Roman" w:hAnsi="Times New Roman" w:cs="Times New Roman"/>
      <w:sz w:val="24"/>
      <w:szCs w:val="24"/>
    </w:rPr>
  </w:style>
  <w:style w:type="paragraph" w:styleId="BodyText3">
    <w:name w:val="Body Text 3"/>
    <w:basedOn w:val="Normal"/>
    <w:link w:val="BodyText3Char"/>
    <w:rsid w:val="0061191E"/>
    <w:pPr>
      <w:spacing w:after="120" w:line="240" w:lineRule="auto"/>
      <w:jc w:val="left"/>
    </w:pPr>
    <w:rPr>
      <w:rFonts w:eastAsia="Times New Roman"/>
      <w:sz w:val="16"/>
      <w:szCs w:val="16"/>
    </w:rPr>
  </w:style>
  <w:style w:type="character" w:customStyle="1" w:styleId="BodyText3Char">
    <w:name w:val="Body Text 3 Char"/>
    <w:basedOn w:val="DefaultParagraphFont"/>
    <w:link w:val="BodyText3"/>
    <w:rsid w:val="0061191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4D2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02"/>
    <w:rPr>
      <w:rFonts w:ascii="Tahoma" w:eastAsia="Calibri" w:hAnsi="Tahoma" w:cs="Tahoma"/>
      <w:sz w:val="16"/>
      <w:szCs w:val="16"/>
    </w:rPr>
  </w:style>
  <w:style w:type="character" w:customStyle="1" w:styleId="yshortcuts">
    <w:name w:val="yshortcuts"/>
    <w:basedOn w:val="DefaultParagraphFont"/>
    <w:rsid w:val="002553AB"/>
  </w:style>
  <w:style w:type="paragraph" w:styleId="Header">
    <w:name w:val="header"/>
    <w:basedOn w:val="Normal"/>
    <w:link w:val="HeaderChar"/>
    <w:uiPriority w:val="99"/>
    <w:semiHidden/>
    <w:unhideWhenUsed/>
    <w:rsid w:val="0026739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6739A"/>
    <w:rPr>
      <w:rFonts w:ascii="Times New Roman" w:eastAsia="Calibri" w:hAnsi="Times New Roman" w:cs="Times New Roman"/>
      <w:sz w:val="24"/>
      <w:szCs w:val="24"/>
    </w:rPr>
  </w:style>
  <w:style w:type="paragraph" w:styleId="Footer">
    <w:name w:val="footer"/>
    <w:basedOn w:val="Normal"/>
    <w:link w:val="FooterChar"/>
    <w:uiPriority w:val="99"/>
    <w:unhideWhenUsed/>
    <w:rsid w:val="0026739A"/>
    <w:pPr>
      <w:tabs>
        <w:tab w:val="center" w:pos="4680"/>
        <w:tab w:val="right" w:pos="9360"/>
      </w:tabs>
      <w:spacing w:line="240" w:lineRule="auto"/>
    </w:pPr>
  </w:style>
  <w:style w:type="character" w:customStyle="1" w:styleId="FooterChar">
    <w:name w:val="Footer Char"/>
    <w:basedOn w:val="DefaultParagraphFont"/>
    <w:link w:val="Footer"/>
    <w:uiPriority w:val="99"/>
    <w:rsid w:val="0026739A"/>
    <w:rPr>
      <w:rFonts w:ascii="Times New Roman" w:eastAsia="Calibri" w:hAnsi="Times New Roman" w:cs="Times New Roman"/>
      <w:sz w:val="24"/>
      <w:szCs w:val="24"/>
    </w:rPr>
  </w:style>
  <w:style w:type="paragraph" w:styleId="Quote">
    <w:name w:val="Quote"/>
    <w:basedOn w:val="Normal"/>
    <w:next w:val="Normal"/>
    <w:link w:val="QuoteChar"/>
    <w:uiPriority w:val="29"/>
    <w:qFormat/>
    <w:rsid w:val="006C58B1"/>
    <w:rPr>
      <w:i/>
      <w:iCs/>
      <w:color w:val="000000" w:themeColor="text1"/>
    </w:rPr>
  </w:style>
  <w:style w:type="character" w:customStyle="1" w:styleId="QuoteChar">
    <w:name w:val="Quote Char"/>
    <w:basedOn w:val="DefaultParagraphFont"/>
    <w:link w:val="Quote"/>
    <w:uiPriority w:val="29"/>
    <w:rsid w:val="006C58B1"/>
    <w:rPr>
      <w:rFonts w:ascii="Times New Roman" w:eastAsia="Calibri" w:hAnsi="Times New Roman" w:cs="Times New Roman"/>
      <w:i/>
      <w:iCs/>
      <w:color w:val="000000" w:themeColor="text1"/>
      <w:sz w:val="24"/>
      <w:szCs w:val="24"/>
    </w:rPr>
  </w:style>
  <w:style w:type="table" w:styleId="TableGrid">
    <w:name w:val="Table Grid"/>
    <w:basedOn w:val="TableNormal"/>
    <w:uiPriority w:val="59"/>
    <w:rsid w:val="00FF5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Single">
    <w:name w:val="Indent Single"/>
    <w:basedOn w:val="Normal"/>
    <w:next w:val="BodyText"/>
    <w:link w:val="IndentSingleChar"/>
    <w:rsid w:val="007F0319"/>
    <w:pPr>
      <w:spacing w:after="240" w:line="240" w:lineRule="auto"/>
      <w:ind w:left="1440" w:right="1440"/>
      <w:jc w:val="both"/>
    </w:pPr>
    <w:rPr>
      <w:rFonts w:eastAsia="Times New Roman"/>
    </w:rPr>
  </w:style>
  <w:style w:type="character" w:customStyle="1" w:styleId="IndentSingleChar">
    <w:name w:val="Indent Single Char"/>
    <w:basedOn w:val="DefaultParagraphFont"/>
    <w:link w:val="IndentSingle"/>
    <w:rsid w:val="007F0319"/>
    <w:rPr>
      <w:rFonts w:ascii="Times New Roman" w:eastAsia="Times New Roman" w:hAnsi="Times New Roman" w:cs="Times New Roman"/>
      <w:sz w:val="24"/>
      <w:szCs w:val="24"/>
    </w:rPr>
  </w:style>
  <w:style w:type="paragraph" w:customStyle="1" w:styleId="IndentDouble">
    <w:name w:val="Indent Double"/>
    <w:basedOn w:val="Normal"/>
    <w:next w:val="BodyText"/>
    <w:rsid w:val="007F0319"/>
    <w:pPr>
      <w:spacing w:after="240" w:line="240" w:lineRule="auto"/>
      <w:ind w:left="2160" w:right="2160"/>
      <w:jc w:val="both"/>
    </w:pPr>
    <w:rPr>
      <w:rFonts w:eastAsia="Times New Roman"/>
    </w:rPr>
  </w:style>
  <w:style w:type="paragraph" w:customStyle="1" w:styleId="WBBodyText1">
    <w:name w:val="WB Body Text 1"/>
    <w:aliases w:val="B1,Body Text 1"/>
    <w:basedOn w:val="Normal"/>
    <w:link w:val="WBBodyText1Char"/>
    <w:rsid w:val="00392410"/>
    <w:pPr>
      <w:spacing w:line="480" w:lineRule="auto"/>
      <w:ind w:firstLine="720"/>
      <w:jc w:val="left"/>
    </w:pPr>
    <w:rPr>
      <w:rFonts w:eastAsia="Times New Roman"/>
    </w:rPr>
  </w:style>
  <w:style w:type="character" w:customStyle="1" w:styleId="WBBodyText1Char">
    <w:name w:val="WB Body Text 1 Char"/>
    <w:aliases w:val="B1 Char,Body Text 1 Char"/>
    <w:link w:val="WBBodyText1"/>
    <w:locked/>
    <w:rsid w:val="00392410"/>
    <w:rPr>
      <w:rFonts w:ascii="Times New Roman" w:eastAsia="Times New Roman" w:hAnsi="Times New Roman" w:cs="Times New Roman"/>
      <w:sz w:val="24"/>
      <w:szCs w:val="24"/>
    </w:rPr>
  </w:style>
  <w:style w:type="paragraph" w:customStyle="1" w:styleId="WBBodyText2">
    <w:name w:val="WB Body Text 2"/>
    <w:aliases w:val="B2"/>
    <w:basedOn w:val="Normal"/>
    <w:rsid w:val="00392410"/>
    <w:pPr>
      <w:spacing w:line="480" w:lineRule="auto"/>
      <w:ind w:firstLine="720"/>
      <w:jc w:val="left"/>
    </w:pPr>
    <w:rPr>
      <w:rFonts w:eastAsia="Times New Roman"/>
    </w:rPr>
  </w:style>
  <w:style w:type="paragraph" w:customStyle="1" w:styleId="DeanneNormal">
    <w:name w:val="Deanne Normal"/>
    <w:basedOn w:val="WBBodyText1"/>
    <w:link w:val="DeanneNormalChar"/>
    <w:qFormat/>
    <w:rsid w:val="00392410"/>
  </w:style>
  <w:style w:type="character" w:customStyle="1" w:styleId="DeanneNormalChar">
    <w:name w:val="Deanne Normal Char"/>
    <w:basedOn w:val="WBBodyText1Char"/>
    <w:link w:val="DeanneNormal"/>
    <w:locked/>
    <w:rsid w:val="00392410"/>
  </w:style>
</w:styles>
</file>

<file path=word/webSettings.xml><?xml version="1.0" encoding="utf-8"?>
<w:webSettings xmlns:r="http://schemas.openxmlformats.org/officeDocument/2006/relationships" xmlns:w="http://schemas.openxmlformats.org/wordprocessingml/2006/main">
  <w:divs>
    <w:div w:id="378405186">
      <w:bodyDiv w:val="1"/>
      <w:marLeft w:val="0"/>
      <w:marRight w:val="0"/>
      <w:marTop w:val="0"/>
      <w:marBottom w:val="0"/>
      <w:divBdr>
        <w:top w:val="none" w:sz="0" w:space="0" w:color="auto"/>
        <w:left w:val="none" w:sz="0" w:space="0" w:color="auto"/>
        <w:bottom w:val="none" w:sz="0" w:space="0" w:color="auto"/>
        <w:right w:val="none" w:sz="0" w:space="0" w:color="auto"/>
      </w:divBdr>
      <w:divsChild>
        <w:div w:id="402608718">
          <w:marLeft w:val="0"/>
          <w:marRight w:val="0"/>
          <w:marTop w:val="0"/>
          <w:marBottom w:val="0"/>
          <w:divBdr>
            <w:top w:val="none" w:sz="0" w:space="0" w:color="auto"/>
            <w:left w:val="none" w:sz="0" w:space="0" w:color="auto"/>
            <w:bottom w:val="none" w:sz="0" w:space="0" w:color="auto"/>
            <w:right w:val="none" w:sz="0" w:space="0" w:color="auto"/>
          </w:divBdr>
          <w:divsChild>
            <w:div w:id="1458261945">
              <w:marLeft w:val="0"/>
              <w:marRight w:val="0"/>
              <w:marTop w:val="0"/>
              <w:marBottom w:val="0"/>
              <w:divBdr>
                <w:top w:val="none" w:sz="0" w:space="0" w:color="auto"/>
                <w:left w:val="none" w:sz="0" w:space="0" w:color="auto"/>
                <w:bottom w:val="none" w:sz="0" w:space="0" w:color="auto"/>
                <w:right w:val="none" w:sz="0" w:space="0" w:color="auto"/>
              </w:divBdr>
              <w:divsChild>
                <w:div w:id="1147160707">
                  <w:marLeft w:val="0"/>
                  <w:marRight w:val="0"/>
                  <w:marTop w:val="0"/>
                  <w:marBottom w:val="0"/>
                  <w:divBdr>
                    <w:top w:val="none" w:sz="0" w:space="0" w:color="auto"/>
                    <w:left w:val="none" w:sz="0" w:space="0" w:color="auto"/>
                    <w:bottom w:val="none" w:sz="0" w:space="0" w:color="auto"/>
                    <w:right w:val="none" w:sz="0" w:space="0" w:color="auto"/>
                  </w:divBdr>
                  <w:divsChild>
                    <w:div w:id="28730624">
                      <w:marLeft w:val="0"/>
                      <w:marRight w:val="0"/>
                      <w:marTop w:val="0"/>
                      <w:marBottom w:val="0"/>
                      <w:divBdr>
                        <w:top w:val="none" w:sz="0" w:space="0" w:color="auto"/>
                        <w:left w:val="none" w:sz="0" w:space="0" w:color="auto"/>
                        <w:bottom w:val="none" w:sz="0" w:space="0" w:color="auto"/>
                        <w:right w:val="none" w:sz="0" w:space="0" w:color="auto"/>
                      </w:divBdr>
                      <w:divsChild>
                        <w:div w:id="1318651194">
                          <w:marLeft w:val="0"/>
                          <w:marRight w:val="0"/>
                          <w:marTop w:val="0"/>
                          <w:marBottom w:val="0"/>
                          <w:divBdr>
                            <w:top w:val="none" w:sz="0" w:space="0" w:color="auto"/>
                            <w:left w:val="none" w:sz="0" w:space="0" w:color="auto"/>
                            <w:bottom w:val="none" w:sz="0" w:space="0" w:color="auto"/>
                            <w:right w:val="none" w:sz="0" w:space="0" w:color="auto"/>
                          </w:divBdr>
                          <w:divsChild>
                            <w:div w:id="932012741">
                              <w:marLeft w:val="0"/>
                              <w:marRight w:val="0"/>
                              <w:marTop w:val="0"/>
                              <w:marBottom w:val="0"/>
                              <w:divBdr>
                                <w:top w:val="none" w:sz="0" w:space="0" w:color="auto"/>
                                <w:left w:val="none" w:sz="0" w:space="0" w:color="auto"/>
                                <w:bottom w:val="none" w:sz="0" w:space="0" w:color="auto"/>
                                <w:right w:val="none" w:sz="0" w:space="0" w:color="auto"/>
                              </w:divBdr>
                              <w:divsChild>
                                <w:div w:id="7582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347775">
      <w:bodyDiv w:val="1"/>
      <w:marLeft w:val="0"/>
      <w:marRight w:val="0"/>
      <w:marTop w:val="0"/>
      <w:marBottom w:val="0"/>
      <w:divBdr>
        <w:top w:val="none" w:sz="0" w:space="0" w:color="auto"/>
        <w:left w:val="none" w:sz="0" w:space="0" w:color="auto"/>
        <w:bottom w:val="none" w:sz="0" w:space="0" w:color="auto"/>
        <w:right w:val="none" w:sz="0" w:space="0" w:color="auto"/>
      </w:divBdr>
    </w:div>
    <w:div w:id="172255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5CB1-3CCF-4293-BF26-DF1BE8AC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32154</Words>
  <Characters>183278</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PAPUC</cp:lastModifiedBy>
  <cp:revision>2</cp:revision>
  <cp:lastPrinted>2010-12-21T17:46:00Z</cp:lastPrinted>
  <dcterms:created xsi:type="dcterms:W3CDTF">2010-12-21T17:56:00Z</dcterms:created>
  <dcterms:modified xsi:type="dcterms:W3CDTF">2010-12-21T17:56:00Z</dcterms:modified>
</cp:coreProperties>
</file>