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8B262E" w:rsidP="008B262E">
      <w:pPr>
        <w:jc w:val="center"/>
        <w:rPr>
          <w:b/>
        </w:rPr>
      </w:pPr>
      <w:r>
        <w:rPr>
          <w:b/>
        </w:rPr>
        <w:t>BEFORE THE</w:t>
      </w:r>
    </w:p>
    <w:p w:rsidR="008B262E" w:rsidRDefault="008B262E" w:rsidP="008B262E">
      <w:pPr>
        <w:jc w:val="center"/>
      </w:pPr>
      <w:r>
        <w:rPr>
          <w:b/>
        </w:rPr>
        <w:t>PENNSYLVANIA PUBLIC UTILITY COMMISSION</w:t>
      </w:r>
    </w:p>
    <w:p w:rsidR="008B262E" w:rsidRDefault="008B262E" w:rsidP="008B262E"/>
    <w:p w:rsidR="008B262E" w:rsidRDefault="008B262E" w:rsidP="008B262E"/>
    <w:p w:rsidR="007923CC" w:rsidRDefault="007923CC" w:rsidP="008B262E"/>
    <w:p w:rsidR="008B262E" w:rsidRDefault="008B262E" w:rsidP="008B262E">
      <w:r>
        <w:t>Robert Gromo</w:t>
      </w:r>
      <w:r>
        <w:tab/>
      </w:r>
      <w:r>
        <w:tab/>
      </w:r>
      <w:r>
        <w:tab/>
      </w:r>
      <w:r>
        <w:tab/>
      </w:r>
      <w:r>
        <w:tab/>
      </w:r>
      <w:r>
        <w:tab/>
        <w:t>:</w:t>
      </w:r>
    </w:p>
    <w:p w:rsidR="008B262E" w:rsidRDefault="008B262E" w:rsidP="008B262E">
      <w:r>
        <w:tab/>
      </w:r>
      <w:r>
        <w:tab/>
      </w:r>
      <w:r>
        <w:tab/>
      </w:r>
      <w:r>
        <w:tab/>
      </w:r>
      <w:r>
        <w:tab/>
      </w:r>
      <w:r>
        <w:tab/>
      </w:r>
      <w:r>
        <w:tab/>
        <w:t>:</w:t>
      </w:r>
    </w:p>
    <w:p w:rsidR="008B262E" w:rsidRDefault="008B262E" w:rsidP="008B262E">
      <w:r>
        <w:tab/>
        <w:t>v.</w:t>
      </w:r>
      <w:r>
        <w:tab/>
      </w:r>
      <w:r>
        <w:tab/>
      </w:r>
      <w:r>
        <w:tab/>
      </w:r>
      <w:r>
        <w:tab/>
      </w:r>
      <w:r>
        <w:tab/>
      </w:r>
      <w:r>
        <w:tab/>
        <w:t>:</w:t>
      </w:r>
      <w:r>
        <w:tab/>
      </w:r>
      <w:r>
        <w:tab/>
      </w:r>
      <w:r w:rsidR="009F12AF">
        <w:t>C-2010-2164446</w:t>
      </w:r>
    </w:p>
    <w:p w:rsidR="008B262E" w:rsidRDefault="008B262E" w:rsidP="008B262E">
      <w:r>
        <w:tab/>
      </w:r>
      <w:r>
        <w:tab/>
      </w:r>
      <w:r>
        <w:tab/>
      </w:r>
      <w:r>
        <w:tab/>
      </w:r>
      <w:r>
        <w:tab/>
      </w:r>
      <w:r>
        <w:tab/>
      </w:r>
      <w:r>
        <w:tab/>
        <w:t>:</w:t>
      </w:r>
    </w:p>
    <w:p w:rsidR="009F12AF" w:rsidRDefault="009F12AF" w:rsidP="008B262E">
      <w:r>
        <w:t>Duquesne Light Company</w:t>
      </w:r>
      <w:r>
        <w:tab/>
      </w:r>
      <w:r>
        <w:tab/>
      </w:r>
      <w:r>
        <w:tab/>
      </w:r>
      <w:r>
        <w:tab/>
        <w:t>:</w:t>
      </w:r>
    </w:p>
    <w:p w:rsidR="009F12AF" w:rsidRDefault="009F12AF" w:rsidP="008B262E"/>
    <w:p w:rsidR="009F12AF" w:rsidRDefault="009F12AF" w:rsidP="008B262E"/>
    <w:p w:rsidR="007923CC" w:rsidRDefault="007923CC" w:rsidP="009F12AF">
      <w:pPr>
        <w:jc w:val="center"/>
        <w:rPr>
          <w:b/>
          <w:u w:val="single"/>
        </w:rPr>
      </w:pPr>
    </w:p>
    <w:p w:rsidR="009F12AF" w:rsidRDefault="009F12AF" w:rsidP="009F12AF">
      <w:pPr>
        <w:jc w:val="center"/>
      </w:pPr>
      <w:r>
        <w:rPr>
          <w:b/>
          <w:u w:val="single"/>
        </w:rPr>
        <w:t>INITIAL DECISION</w:t>
      </w:r>
    </w:p>
    <w:p w:rsidR="009F12AF" w:rsidRDefault="009F12AF" w:rsidP="009F12AF">
      <w:pPr>
        <w:jc w:val="center"/>
      </w:pPr>
    </w:p>
    <w:p w:rsidR="009F12AF" w:rsidRDefault="009F12AF" w:rsidP="009F12AF">
      <w:pPr>
        <w:jc w:val="center"/>
      </w:pPr>
    </w:p>
    <w:p w:rsidR="009F12AF" w:rsidRDefault="009F12AF" w:rsidP="009F12AF">
      <w:pPr>
        <w:jc w:val="center"/>
      </w:pPr>
      <w:r>
        <w:t>Before</w:t>
      </w:r>
    </w:p>
    <w:p w:rsidR="009F12AF" w:rsidRDefault="009F12AF" w:rsidP="009F12AF">
      <w:pPr>
        <w:jc w:val="center"/>
      </w:pPr>
      <w:r>
        <w:t>John H. Corbett, Jr.</w:t>
      </w:r>
    </w:p>
    <w:p w:rsidR="009F12AF" w:rsidRDefault="009F12AF" w:rsidP="009F12AF">
      <w:pPr>
        <w:jc w:val="center"/>
      </w:pPr>
      <w:r>
        <w:t>Administrative Law Judge</w:t>
      </w:r>
    </w:p>
    <w:p w:rsidR="009F12AF" w:rsidRDefault="009F12AF" w:rsidP="009F12AF">
      <w:pPr>
        <w:jc w:val="center"/>
      </w:pPr>
    </w:p>
    <w:p w:rsidR="009F12AF" w:rsidRDefault="009F12AF" w:rsidP="009F12AF">
      <w:pPr>
        <w:jc w:val="center"/>
      </w:pPr>
    </w:p>
    <w:p w:rsidR="009F12AF" w:rsidRDefault="00750C37" w:rsidP="009F12AF">
      <w:pPr>
        <w:jc w:val="center"/>
      </w:pPr>
      <w:r>
        <w:rPr>
          <w:u w:val="single"/>
        </w:rPr>
        <w:t>HISTORY OF THE PROCEEDING</w:t>
      </w:r>
    </w:p>
    <w:p w:rsidR="00750C37" w:rsidRDefault="00750C37" w:rsidP="00750C37"/>
    <w:p w:rsidR="00750C37" w:rsidRDefault="00750C37" w:rsidP="00750C37"/>
    <w:p w:rsidR="00750C37" w:rsidRDefault="00750C37" w:rsidP="00750C37">
      <w:pPr>
        <w:spacing w:line="360" w:lineRule="auto"/>
      </w:pPr>
      <w:r>
        <w:tab/>
      </w:r>
      <w:r>
        <w:tab/>
      </w:r>
      <w:r w:rsidR="00C04F3A">
        <w:t>On March 15, 2010, Robert Gromo (“Complainant”) filed a complaint with the Pennsylvania Public Utility Commission (“Commission”) disputing certain bills he received for residential electric service from Duquesne Light Company (“Respondent</w:t>
      </w:r>
      <w:r w:rsidR="003726FA">
        <w:t xml:space="preserve">” or “Duquesne Light”).  For relief, he requests an </w:t>
      </w:r>
      <w:r w:rsidR="00283D73">
        <w:t xml:space="preserve">appropriate </w:t>
      </w:r>
      <w:r w:rsidR="003726FA">
        <w:t>adjustment</w:t>
      </w:r>
      <w:r w:rsidR="00283D73">
        <w:t xml:space="preserve"> of his bills and a payment arrangement for the </w:t>
      </w:r>
      <w:r w:rsidR="00754534">
        <w:t xml:space="preserve">remaining </w:t>
      </w:r>
      <w:r w:rsidR="008B464B">
        <w:t>balance owed on this account.  Duquesne Light answered the complaint on April 1, 2010.</w:t>
      </w:r>
    </w:p>
    <w:p w:rsidR="008B464B" w:rsidRDefault="008B464B" w:rsidP="00750C37">
      <w:pPr>
        <w:spacing w:line="360" w:lineRule="auto"/>
      </w:pPr>
    </w:p>
    <w:p w:rsidR="008B464B" w:rsidRDefault="008B464B" w:rsidP="00750C37">
      <w:pPr>
        <w:spacing w:line="360" w:lineRule="auto"/>
      </w:pPr>
      <w:r>
        <w:tab/>
      </w:r>
      <w:r>
        <w:tab/>
        <w:t>I received</w:t>
      </w:r>
      <w:r w:rsidR="00D44AB6">
        <w:t xml:space="preserve"> this case assignment on August 27, 2010.  A standard Prehearing Order was issued on August 30, 2010.</w:t>
      </w:r>
    </w:p>
    <w:p w:rsidR="00D44AB6" w:rsidRDefault="00D44AB6" w:rsidP="00750C37">
      <w:pPr>
        <w:spacing w:line="360" w:lineRule="auto"/>
      </w:pPr>
    </w:p>
    <w:p w:rsidR="00D44AB6" w:rsidRDefault="00D44AB6" w:rsidP="00750C37">
      <w:pPr>
        <w:spacing w:line="360" w:lineRule="auto"/>
      </w:pPr>
      <w:r>
        <w:tab/>
      </w:r>
      <w:r>
        <w:tab/>
        <w:t>A telephonic hearing was held on October 18, 2010.</w:t>
      </w:r>
      <w:r w:rsidR="00481F7C">
        <w:rPr>
          <w:rStyle w:val="FootnoteReference"/>
        </w:rPr>
        <w:footnoteReference w:id="1"/>
      </w:r>
      <w:r w:rsidR="004D0435">
        <w:t xml:space="preserve">  Complainant appeared </w:t>
      </w:r>
      <w:r w:rsidR="004D0435" w:rsidRPr="004D0435">
        <w:rPr>
          <w:i/>
        </w:rPr>
        <w:t>pro se</w:t>
      </w:r>
      <w:r w:rsidR="004D0435">
        <w:t xml:space="preserve">.  Krysia </w:t>
      </w:r>
      <w:r w:rsidR="00187E3E">
        <w:t xml:space="preserve">Kubiak, Esq., represented Respondent, which submitted 10 exhibits for admission </w:t>
      </w:r>
      <w:r w:rsidR="00187E3E">
        <w:lastRenderedPageBreak/>
        <w:t xml:space="preserve">into the record.  The </w:t>
      </w:r>
      <w:r w:rsidR="007C3E61">
        <w:t>hearing generated 42</w:t>
      </w:r>
      <w:r w:rsidR="00187E3E">
        <w:t xml:space="preserve"> pages of notes of testimony.  Neither party filed a brief.  The record closed on November 17, 2010.</w:t>
      </w:r>
    </w:p>
    <w:p w:rsidR="00187E3E" w:rsidRDefault="00187E3E" w:rsidP="00750C37">
      <w:pPr>
        <w:spacing w:line="360" w:lineRule="auto"/>
      </w:pPr>
    </w:p>
    <w:p w:rsidR="00187E3E" w:rsidRDefault="0084521F" w:rsidP="0084521F">
      <w:pPr>
        <w:spacing w:line="360" w:lineRule="auto"/>
        <w:jc w:val="center"/>
      </w:pPr>
      <w:r>
        <w:rPr>
          <w:u w:val="single"/>
        </w:rPr>
        <w:t>FINDINGS OF FACT</w:t>
      </w:r>
    </w:p>
    <w:p w:rsidR="0084521F" w:rsidRDefault="0084521F" w:rsidP="0084521F">
      <w:pPr>
        <w:spacing w:line="360" w:lineRule="auto"/>
      </w:pPr>
    </w:p>
    <w:p w:rsidR="0084521F" w:rsidRDefault="00AF7AF1" w:rsidP="0084521F">
      <w:pPr>
        <w:pStyle w:val="ListParagraph"/>
        <w:numPr>
          <w:ilvl w:val="0"/>
          <w:numId w:val="1"/>
        </w:numPr>
        <w:spacing w:line="360" w:lineRule="auto"/>
        <w:ind w:left="0" w:firstLine="1440"/>
      </w:pPr>
      <w:r>
        <w:t>Complainant, Robert G</w:t>
      </w:r>
      <w:r w:rsidR="00BD4DB5">
        <w:t>r</w:t>
      </w:r>
      <w:r>
        <w:t xml:space="preserve">omo, resides at </w:t>
      </w:r>
      <w:r w:rsidR="00873EC6">
        <w:t>3876 Delco Road, Pittsburgh, Pennsylvania 15227 (N.T. </w:t>
      </w:r>
      <w:r w:rsidR="00AC011E">
        <w:t>11</w:t>
      </w:r>
      <w:r w:rsidR="00873EC6">
        <w:t>).</w:t>
      </w:r>
    </w:p>
    <w:p w:rsidR="00873EC6" w:rsidRDefault="00873EC6" w:rsidP="00873EC6">
      <w:pPr>
        <w:pStyle w:val="ListParagraph"/>
        <w:spacing w:line="360" w:lineRule="auto"/>
        <w:ind w:left="1440"/>
      </w:pPr>
    </w:p>
    <w:p w:rsidR="00873EC6" w:rsidRDefault="00D74A70" w:rsidP="0084521F">
      <w:pPr>
        <w:pStyle w:val="ListParagraph"/>
        <w:numPr>
          <w:ilvl w:val="0"/>
          <w:numId w:val="1"/>
        </w:numPr>
        <w:spacing w:line="360" w:lineRule="auto"/>
        <w:ind w:left="0" w:firstLine="1440"/>
      </w:pPr>
      <w:r>
        <w:t>Respondent, Duquesne Light Company, provides residential electric service to Complainant at the foregoing location (N.T. 11</w:t>
      </w:r>
      <w:r w:rsidR="00F36D22">
        <w:t>, 28</w:t>
      </w:r>
      <w:r>
        <w:t>).</w:t>
      </w:r>
    </w:p>
    <w:p w:rsidR="00D74A70" w:rsidRDefault="00D74A70" w:rsidP="00D74A70">
      <w:pPr>
        <w:pStyle w:val="ListParagraph"/>
      </w:pPr>
    </w:p>
    <w:p w:rsidR="00D74A70" w:rsidRDefault="00B52961" w:rsidP="0084521F">
      <w:pPr>
        <w:pStyle w:val="ListParagraph"/>
        <w:numPr>
          <w:ilvl w:val="0"/>
          <w:numId w:val="1"/>
        </w:numPr>
        <w:spacing w:line="360" w:lineRule="auto"/>
        <w:ind w:left="0" w:firstLine="1440"/>
      </w:pPr>
      <w:r>
        <w:t>The two-story structure located at 3876 Delco Road is half a duplex.  The first floor has a living room and kitchen.  The second floor</w:t>
      </w:r>
      <w:r w:rsidR="001967AC">
        <w:t xml:space="preserve"> has a bathroom and two bedrooms (N.T. 12).</w:t>
      </w:r>
    </w:p>
    <w:p w:rsidR="001967AC" w:rsidRDefault="001967AC" w:rsidP="001967AC">
      <w:pPr>
        <w:pStyle w:val="ListParagraph"/>
      </w:pPr>
    </w:p>
    <w:p w:rsidR="001967AC" w:rsidRDefault="00B85E16" w:rsidP="0084521F">
      <w:pPr>
        <w:pStyle w:val="ListParagraph"/>
        <w:numPr>
          <w:ilvl w:val="0"/>
          <w:numId w:val="1"/>
        </w:numPr>
        <w:spacing w:line="360" w:lineRule="auto"/>
        <w:ind w:left="0" w:firstLine="1440"/>
      </w:pPr>
      <w:r>
        <w:t>Complainant has lived at this address since 1997 (N.T. 11).</w:t>
      </w:r>
    </w:p>
    <w:p w:rsidR="00785C60" w:rsidRDefault="00785C60" w:rsidP="00785C60">
      <w:pPr>
        <w:pStyle w:val="ListParagraph"/>
      </w:pPr>
    </w:p>
    <w:p w:rsidR="00785C60" w:rsidRDefault="00785C60" w:rsidP="0084521F">
      <w:pPr>
        <w:pStyle w:val="ListParagraph"/>
        <w:numPr>
          <w:ilvl w:val="0"/>
          <w:numId w:val="1"/>
        </w:numPr>
        <w:spacing w:line="360" w:lineRule="auto"/>
        <w:ind w:left="0" w:firstLine="1440"/>
      </w:pPr>
      <w:r>
        <w:t>Complainant was named as a tenant on a written lease for the premises (N.T. 12).</w:t>
      </w:r>
    </w:p>
    <w:p w:rsidR="00B85E16" w:rsidRDefault="00B85E16" w:rsidP="00B85E16">
      <w:pPr>
        <w:pStyle w:val="ListParagraph"/>
      </w:pPr>
    </w:p>
    <w:p w:rsidR="00B85E16" w:rsidRDefault="009E1A93" w:rsidP="0084521F">
      <w:pPr>
        <w:pStyle w:val="ListParagraph"/>
        <w:numPr>
          <w:ilvl w:val="0"/>
          <w:numId w:val="1"/>
        </w:numPr>
        <w:spacing w:line="360" w:lineRule="auto"/>
        <w:ind w:left="0" w:firstLine="1440"/>
      </w:pPr>
      <w:r>
        <w:t>For much of this time, Complainant has liv</w:t>
      </w:r>
      <w:r w:rsidR="00E936C0">
        <w:t>ed</w:t>
      </w:r>
      <w:r>
        <w:t xml:space="preserve"> at this address with Rae Ann Szarmach</w:t>
      </w:r>
      <w:r w:rsidR="00E936C0">
        <w:t>, with whom he has enjoyed a “rocky</w:t>
      </w:r>
      <w:r w:rsidR="001D2805">
        <w:t>” relationship.  From time to time, Ms. Szarmach would move out of the residence (N.T. </w:t>
      </w:r>
      <w:r w:rsidR="009D4E0F">
        <w:t>11-12</w:t>
      </w:r>
      <w:r w:rsidR="00EE646B">
        <w:t>, 22-23</w:t>
      </w:r>
      <w:r w:rsidR="001D2805">
        <w:t>).</w:t>
      </w:r>
    </w:p>
    <w:p w:rsidR="009D4E0F" w:rsidRDefault="009D4E0F" w:rsidP="009D4E0F">
      <w:pPr>
        <w:pStyle w:val="ListParagraph"/>
      </w:pPr>
    </w:p>
    <w:p w:rsidR="009D4E0F" w:rsidRDefault="006E18E7" w:rsidP="0084521F">
      <w:pPr>
        <w:pStyle w:val="ListParagraph"/>
        <w:numPr>
          <w:ilvl w:val="0"/>
          <w:numId w:val="1"/>
        </w:numPr>
        <w:spacing w:line="360" w:lineRule="auto"/>
        <w:ind w:left="0" w:firstLine="1440"/>
      </w:pPr>
      <w:r>
        <w:t>From April 22, 1997 until April 4, 2007</w:t>
      </w:r>
      <w:r w:rsidR="00992AB4">
        <w:t>, the account for electric service that Duquesne Light Company provided to 3876 Delco Road was in the name of Robert Gromo.  From July 24, 2007 to July 9, 2009</w:t>
      </w:r>
      <w:r w:rsidR="000C7D52">
        <w:t xml:space="preserve"> and from</w:t>
      </w:r>
      <w:r w:rsidR="000C7D52" w:rsidRPr="000C7D52">
        <w:t xml:space="preserve"> </w:t>
      </w:r>
      <w:r w:rsidR="000C7D52">
        <w:t>July 15, 2009 to March 11, 2010</w:t>
      </w:r>
      <w:r w:rsidR="00992AB4">
        <w:t>, the account was in the name of Rae Ann Szarmach.  From</w:t>
      </w:r>
      <w:r w:rsidR="000C7D52">
        <w:t xml:space="preserve"> </w:t>
      </w:r>
      <w:r w:rsidR="00A30A71">
        <w:t>March 11, 2010 to the present</w:t>
      </w:r>
      <w:r w:rsidR="00992AB4">
        <w:t xml:space="preserve">, the account </w:t>
      </w:r>
      <w:r w:rsidR="00A30A71">
        <w:t>has been</w:t>
      </w:r>
      <w:r w:rsidR="00992AB4">
        <w:t xml:space="preserve"> in the name of</w:t>
      </w:r>
      <w:r w:rsidR="000C7D52">
        <w:t xml:space="preserve"> </w:t>
      </w:r>
      <w:r w:rsidR="00A30A71">
        <w:t>Robert Gromo (</w:t>
      </w:r>
      <w:r w:rsidR="00F36D22">
        <w:t>N.T. 28</w:t>
      </w:r>
      <w:r w:rsidR="00A96FA5">
        <w:t>-30</w:t>
      </w:r>
      <w:r w:rsidR="00F36D22">
        <w:t xml:space="preserve">; </w:t>
      </w:r>
      <w:r w:rsidR="00A30A71">
        <w:t>Respondent’s Exhs. 1-5).</w:t>
      </w:r>
    </w:p>
    <w:p w:rsidR="00F36D22" w:rsidRDefault="00F36D22" w:rsidP="00F36D22">
      <w:pPr>
        <w:pStyle w:val="ListParagraph"/>
      </w:pPr>
    </w:p>
    <w:p w:rsidR="007D69B8" w:rsidRDefault="007D69B8">
      <w:r>
        <w:br w:type="page"/>
      </w:r>
    </w:p>
    <w:p w:rsidR="00F36D22" w:rsidRDefault="00F36D22" w:rsidP="0084521F">
      <w:pPr>
        <w:pStyle w:val="ListParagraph"/>
        <w:numPr>
          <w:ilvl w:val="0"/>
          <w:numId w:val="1"/>
        </w:numPr>
        <w:spacing w:line="360" w:lineRule="auto"/>
        <w:ind w:left="0" w:firstLine="1440"/>
      </w:pPr>
      <w:r>
        <w:lastRenderedPageBreak/>
        <w:t>In each instance</w:t>
      </w:r>
      <w:r w:rsidR="00A96FA5">
        <w:t xml:space="preserve"> when the foregoing accounts were closed and a new account opened, the balance from the former account was transferred to the new account (N.T. 29-30; Respondent’s Exhs. 1-5).</w:t>
      </w:r>
    </w:p>
    <w:p w:rsidR="00A30A71" w:rsidRDefault="00A30A71" w:rsidP="00A30A71">
      <w:pPr>
        <w:pStyle w:val="ListParagraph"/>
      </w:pPr>
    </w:p>
    <w:p w:rsidR="00A30A71" w:rsidRDefault="003358E1" w:rsidP="0084521F">
      <w:pPr>
        <w:pStyle w:val="ListParagraph"/>
        <w:numPr>
          <w:ilvl w:val="0"/>
          <w:numId w:val="1"/>
        </w:numPr>
        <w:spacing w:line="360" w:lineRule="auto"/>
        <w:ind w:left="0" w:firstLine="1440"/>
      </w:pPr>
      <w:r>
        <w:t>At the present time, Complainant owes Respondent $3,188.84 on this account (N.T. </w:t>
      </w:r>
      <w:r w:rsidR="007E2D92">
        <w:t>17</w:t>
      </w:r>
      <w:r>
        <w:t>; Respondent’s Exh. 4).</w:t>
      </w:r>
    </w:p>
    <w:p w:rsidR="003358E1" w:rsidRDefault="003358E1" w:rsidP="003358E1">
      <w:pPr>
        <w:pStyle w:val="ListParagraph"/>
      </w:pPr>
    </w:p>
    <w:p w:rsidR="003358E1" w:rsidRDefault="006749D6" w:rsidP="0084521F">
      <w:pPr>
        <w:pStyle w:val="ListParagraph"/>
        <w:numPr>
          <w:ilvl w:val="0"/>
          <w:numId w:val="1"/>
        </w:numPr>
        <w:spacing w:line="360" w:lineRule="auto"/>
        <w:ind w:left="0" w:firstLine="1440"/>
      </w:pPr>
      <w:r>
        <w:t>Complainant disputes this amount, claiming that he should only have to pay half this amount because Ms. Szarmach told him that she only had to pay half the bill when the account was in her name</w:t>
      </w:r>
      <w:r w:rsidR="00A84C92">
        <w:t xml:space="preserve"> (N.T. </w:t>
      </w:r>
      <w:r w:rsidR="00CB5E5B">
        <w:t xml:space="preserve">15, </w:t>
      </w:r>
      <w:r w:rsidR="00A84C92">
        <w:t>17</w:t>
      </w:r>
      <w:r w:rsidR="005A649F">
        <w:t>, 19-20</w:t>
      </w:r>
      <w:r w:rsidR="00B75795">
        <w:t>, 26</w:t>
      </w:r>
      <w:r w:rsidR="00441623">
        <w:t>, 37</w:t>
      </w:r>
      <w:r w:rsidR="00A84C92">
        <w:t>).</w:t>
      </w:r>
    </w:p>
    <w:p w:rsidR="00A84C92" w:rsidRDefault="00A84C92" w:rsidP="00A84C92">
      <w:pPr>
        <w:pStyle w:val="ListParagraph"/>
      </w:pPr>
    </w:p>
    <w:p w:rsidR="00A84C92" w:rsidRDefault="00411F97" w:rsidP="0084521F">
      <w:pPr>
        <w:pStyle w:val="ListParagraph"/>
        <w:numPr>
          <w:ilvl w:val="0"/>
          <w:numId w:val="1"/>
        </w:numPr>
        <w:spacing w:line="360" w:lineRule="auto"/>
        <w:ind w:left="0" w:firstLine="1440"/>
      </w:pPr>
      <w:r>
        <w:t>In addition, Complainant contends he should not have to pay $750.00</w:t>
      </w:r>
      <w:r w:rsidR="00156A77">
        <w:t xml:space="preserve"> for three instances when Duquesne Light charged </w:t>
      </w:r>
      <w:r w:rsidR="00B16C31">
        <w:t xml:space="preserve">him </w:t>
      </w:r>
      <w:r w:rsidR="00156A77">
        <w:t>$250.00 as a reconnection fee, because it shut off service at the utility pole instead of pulling the meter (N.T. </w:t>
      </w:r>
      <w:r w:rsidR="00050567">
        <w:t xml:space="preserve">13, </w:t>
      </w:r>
      <w:r w:rsidR="005231B2">
        <w:t>15</w:t>
      </w:r>
      <w:r w:rsidR="00E27E35">
        <w:t>-</w:t>
      </w:r>
      <w:r w:rsidR="00156A77">
        <w:t>17</w:t>
      </w:r>
      <w:r w:rsidR="005A649F">
        <w:t>, 20</w:t>
      </w:r>
      <w:r w:rsidR="00EE646B">
        <w:t>-22</w:t>
      </w:r>
      <w:r w:rsidR="00B75795">
        <w:t>, 26</w:t>
      </w:r>
      <w:r w:rsidR="00156A77">
        <w:t>).</w:t>
      </w:r>
    </w:p>
    <w:p w:rsidR="00850FE3" w:rsidRDefault="00850FE3" w:rsidP="00850FE3">
      <w:pPr>
        <w:pStyle w:val="ListParagraph"/>
      </w:pPr>
    </w:p>
    <w:p w:rsidR="00850FE3" w:rsidRDefault="00850FE3" w:rsidP="0084521F">
      <w:pPr>
        <w:pStyle w:val="ListParagraph"/>
        <w:numPr>
          <w:ilvl w:val="0"/>
          <w:numId w:val="1"/>
        </w:numPr>
        <w:spacing w:line="360" w:lineRule="auto"/>
        <w:ind w:left="0" w:firstLine="1440"/>
      </w:pPr>
      <w:r>
        <w:t>Duquesne Light charged Complainant a $250.00 reconnection fee on October 17, 2005, November 9, 2005 and</w:t>
      </w:r>
      <w:r w:rsidR="00B2354E">
        <w:t xml:space="preserve"> June 4, 2009 (Respondent’s Exhs. 1 &amp; 2).</w:t>
      </w:r>
    </w:p>
    <w:p w:rsidR="00A44D4C" w:rsidRDefault="00A44D4C" w:rsidP="00A44D4C">
      <w:pPr>
        <w:pStyle w:val="ListParagraph"/>
      </w:pPr>
    </w:p>
    <w:p w:rsidR="00A44D4C" w:rsidRDefault="00015F42" w:rsidP="0084521F">
      <w:pPr>
        <w:pStyle w:val="ListParagraph"/>
        <w:numPr>
          <w:ilvl w:val="0"/>
          <w:numId w:val="1"/>
        </w:numPr>
        <w:spacing w:line="360" w:lineRule="auto"/>
        <w:ind w:left="0" w:firstLine="1440"/>
      </w:pPr>
      <w:r>
        <w:t xml:space="preserve">Until three years ago when it passed away, Complainant had a German Shepherd dog and the property was </w:t>
      </w:r>
      <w:r w:rsidR="00584930">
        <w:t xml:space="preserve">posted </w:t>
      </w:r>
      <w:r>
        <w:t>with a “Beware of Dog”</w:t>
      </w:r>
      <w:r w:rsidR="00584930">
        <w:t xml:space="preserve"> </w:t>
      </w:r>
      <w:r>
        <w:t xml:space="preserve">sign.  Presently, he has a </w:t>
      </w:r>
      <w:r w:rsidR="00584930">
        <w:t>Collie</w:t>
      </w:r>
      <w:r>
        <w:t>-type dog</w:t>
      </w:r>
      <w:r w:rsidR="00584930">
        <w:t xml:space="preserve"> (N.T. 12-13</w:t>
      </w:r>
      <w:r w:rsidR="00E27E35">
        <w:t>, 16</w:t>
      </w:r>
      <w:r w:rsidR="00EE646B">
        <w:t>, 21</w:t>
      </w:r>
      <w:r w:rsidR="00584930">
        <w:t>).</w:t>
      </w:r>
    </w:p>
    <w:p w:rsidR="00584930" w:rsidRDefault="00584930" w:rsidP="00584930">
      <w:pPr>
        <w:pStyle w:val="ListParagraph"/>
      </w:pPr>
    </w:p>
    <w:p w:rsidR="00584930" w:rsidRDefault="003C0D59" w:rsidP="0084521F">
      <w:pPr>
        <w:pStyle w:val="ListParagraph"/>
        <w:numPr>
          <w:ilvl w:val="0"/>
          <w:numId w:val="1"/>
        </w:numPr>
        <w:spacing w:line="360" w:lineRule="auto"/>
        <w:ind w:left="0" w:firstLine="1440"/>
      </w:pPr>
      <w:r>
        <w:t>To satisfy the arrearage owed on this account, Complainant offers to pay his bill for usage, plus $20.00 each month (N.T. 18</w:t>
      </w:r>
      <w:r w:rsidR="00B75795">
        <w:t>, 25</w:t>
      </w:r>
      <w:r>
        <w:t>).</w:t>
      </w:r>
    </w:p>
    <w:p w:rsidR="003C0D59" w:rsidRDefault="003C0D59" w:rsidP="003C0D59">
      <w:pPr>
        <w:pStyle w:val="ListParagraph"/>
      </w:pPr>
    </w:p>
    <w:p w:rsidR="003C0D59" w:rsidRDefault="00C237AD" w:rsidP="0084521F">
      <w:pPr>
        <w:pStyle w:val="ListParagraph"/>
        <w:numPr>
          <w:ilvl w:val="0"/>
          <w:numId w:val="1"/>
        </w:numPr>
        <w:spacing w:line="360" w:lineRule="auto"/>
        <w:ind w:left="0" w:firstLine="1440"/>
      </w:pPr>
      <w:r>
        <w:t xml:space="preserve">For income, Complainant receives $400.00 from his landlord for doing odd jobs, such as cleaning and painting apartments.  He </w:t>
      </w:r>
      <w:r w:rsidR="00F7675A">
        <w:t xml:space="preserve">also </w:t>
      </w:r>
      <w:r>
        <w:t>barters with his landlord to pay the rent on his apartment (N.T. 18-19</w:t>
      </w:r>
      <w:r w:rsidR="005A649F">
        <w:t>, 21</w:t>
      </w:r>
      <w:r>
        <w:t>).</w:t>
      </w:r>
    </w:p>
    <w:p w:rsidR="00C237AD" w:rsidRDefault="00C237AD" w:rsidP="00C237AD">
      <w:pPr>
        <w:pStyle w:val="ListParagraph"/>
      </w:pPr>
    </w:p>
    <w:p w:rsidR="00C237AD" w:rsidRDefault="007E100C" w:rsidP="0084521F">
      <w:pPr>
        <w:pStyle w:val="ListParagraph"/>
        <w:numPr>
          <w:ilvl w:val="0"/>
          <w:numId w:val="1"/>
        </w:numPr>
        <w:spacing w:line="360" w:lineRule="auto"/>
        <w:ind w:left="0" w:firstLine="1440"/>
      </w:pPr>
      <w:r>
        <w:t>On July 20, 2009 and August 25, 2009, Duquesne Light personnel were unable to shut off service at the meter because of the presence of a dog in Complainant’s yard (N.T. 31-32; Respondent’s Exhs. 6 &amp; 7).</w:t>
      </w:r>
    </w:p>
    <w:p w:rsidR="007E100C" w:rsidRDefault="007E100C" w:rsidP="007E100C">
      <w:pPr>
        <w:pStyle w:val="ListParagraph"/>
      </w:pPr>
    </w:p>
    <w:p w:rsidR="007E100C" w:rsidRDefault="002E6A8A" w:rsidP="0084521F">
      <w:pPr>
        <w:pStyle w:val="ListParagraph"/>
        <w:numPr>
          <w:ilvl w:val="0"/>
          <w:numId w:val="1"/>
        </w:numPr>
        <w:spacing w:line="360" w:lineRule="auto"/>
        <w:ind w:left="0" w:firstLine="1440"/>
      </w:pPr>
      <w:r>
        <w:lastRenderedPageBreak/>
        <w:t xml:space="preserve">On March 10, 2010, a Duquesne Light representative discussed with Complainant the transfer of the balance owed on this account into his name and he agreed (N.T. 32-33; Respondent’s </w:t>
      </w:r>
      <w:proofErr w:type="spellStart"/>
      <w:r>
        <w:t>Exh</w:t>
      </w:r>
      <w:proofErr w:type="spellEnd"/>
      <w:r>
        <w:t>. 8).</w:t>
      </w:r>
    </w:p>
    <w:p w:rsidR="0055687A" w:rsidRDefault="0055687A" w:rsidP="0055687A">
      <w:pPr>
        <w:pStyle w:val="ListParagraph"/>
        <w:spacing w:line="360" w:lineRule="auto"/>
        <w:ind w:left="1440"/>
      </w:pPr>
    </w:p>
    <w:p w:rsidR="002E6A8A" w:rsidRDefault="00AA54A5" w:rsidP="0084521F">
      <w:pPr>
        <w:pStyle w:val="ListParagraph"/>
        <w:numPr>
          <w:ilvl w:val="0"/>
          <w:numId w:val="1"/>
        </w:numPr>
        <w:spacing w:line="360" w:lineRule="auto"/>
        <w:ind w:left="0" w:firstLine="1440"/>
      </w:pPr>
      <w:r>
        <w:t xml:space="preserve">Complainant filed an informal complaint with the Commission’s Bureau of Consumer Services (“BCS”) at </w:t>
      </w:r>
      <w:r w:rsidR="0051586D">
        <w:t>C</w:t>
      </w:r>
      <w:r>
        <w:t>ase No. 2575511 on August 7, 2009.  The complaint was closed on January 26, 2010</w:t>
      </w:r>
      <w:r w:rsidR="00391A2A">
        <w:t xml:space="preserve"> (N.T. 33-34; Respondent’s Exhs. 9 &amp; 10).</w:t>
      </w:r>
    </w:p>
    <w:p w:rsidR="00F76468" w:rsidRDefault="00F76468" w:rsidP="00F76468">
      <w:pPr>
        <w:spacing w:line="360" w:lineRule="auto"/>
      </w:pPr>
    </w:p>
    <w:p w:rsidR="00F76468" w:rsidRDefault="00D47F1E" w:rsidP="00D47F1E">
      <w:pPr>
        <w:spacing w:line="360" w:lineRule="auto"/>
        <w:jc w:val="center"/>
      </w:pPr>
      <w:r>
        <w:rPr>
          <w:u w:val="single"/>
        </w:rPr>
        <w:t>DISCUSSION</w:t>
      </w:r>
    </w:p>
    <w:p w:rsidR="00D47F1E" w:rsidRDefault="00D47F1E" w:rsidP="00D47F1E">
      <w:pPr>
        <w:spacing w:line="360" w:lineRule="auto"/>
      </w:pPr>
    </w:p>
    <w:p w:rsidR="00D47F1E" w:rsidRDefault="00D47F1E" w:rsidP="00D47F1E">
      <w:pPr>
        <w:spacing w:line="360" w:lineRule="auto"/>
      </w:pPr>
      <w:r>
        <w:tab/>
      </w:r>
      <w:r>
        <w:tab/>
      </w:r>
      <w:r w:rsidR="00721B6F">
        <w:t>Complainant</w:t>
      </w:r>
      <w:r w:rsidR="00594182">
        <w:t xml:space="preserve"> disputes Respondent’s claim that he owes it </w:t>
      </w:r>
      <w:r w:rsidR="00BF1E34">
        <w:t>$3,188.84 on an account for residential electric service.  He insists that</w:t>
      </w:r>
      <w:r w:rsidR="00BF1E34" w:rsidRPr="00BF1E34">
        <w:t xml:space="preserve"> </w:t>
      </w:r>
      <w:r w:rsidR="00BF1E34">
        <w:t>he should only have to pay half this amount</w:t>
      </w:r>
      <w:r w:rsidR="00724CE3">
        <w:t>,</w:t>
      </w:r>
      <w:r w:rsidR="00BF1E34">
        <w:t xml:space="preserve"> because </w:t>
      </w:r>
      <w:r w:rsidR="00724CE3">
        <w:t>his former live-in girlfriend, Rae Ann</w:t>
      </w:r>
      <w:r w:rsidR="00BF1E34">
        <w:t xml:space="preserve"> Szarmach</w:t>
      </w:r>
      <w:r w:rsidR="00724CE3">
        <w:t>,</w:t>
      </w:r>
      <w:r w:rsidR="00BF1E34">
        <w:t xml:space="preserve"> told him that </w:t>
      </w:r>
      <w:r w:rsidR="00C0604E">
        <w:t xml:space="preserve">Duquesne Light only held her responsible for half the bill </w:t>
      </w:r>
      <w:r w:rsidR="00BF1E34">
        <w:t>when the account was in her name (N.T. 15, 17, 19-20, 26, 37).</w:t>
      </w:r>
      <w:r w:rsidR="00A84E45">
        <w:t xml:space="preserve">  </w:t>
      </w:r>
      <w:r w:rsidR="001D46D6">
        <w:t>This statement, while not objected to, is nevertheless classic hearsay that is uncorroborated by any other source.</w:t>
      </w:r>
      <w:r w:rsidR="0002562A">
        <w:t xml:space="preserve">  </w:t>
      </w:r>
      <w:r w:rsidR="0002562A" w:rsidRPr="0002562A">
        <w:t xml:space="preserve">Under general administrative agency law, hearsay evidence, properly objected to, is not competent evidence to support a finding; hearsay evidence, admitted without objection, will be given its natural probative effect and may support a finding, if it is corroborated by any competent evidence in the record, but a finding of fact based solely on hearsay will not stand.  </w:t>
      </w:r>
      <w:r w:rsidR="0002562A" w:rsidRPr="0002562A">
        <w:rPr>
          <w:u w:val="single"/>
        </w:rPr>
        <w:t>Walker v. Unemployment Comp. Bd.</w:t>
      </w:r>
      <w:r w:rsidR="0002562A" w:rsidRPr="0002562A">
        <w:t>, 367 A.2d 366 (Pa. Cmwlth. 1976).</w:t>
      </w:r>
      <w:r w:rsidR="004D0418">
        <w:t xml:space="preserve">  Since Complainant’s </w:t>
      </w:r>
      <w:r w:rsidR="00291691">
        <w:t xml:space="preserve">assertion is based </w:t>
      </w:r>
      <w:r w:rsidR="00B24513">
        <w:t xml:space="preserve">solely </w:t>
      </w:r>
      <w:r w:rsidR="00291691">
        <w:t>on uncorroborated hearsay,</w:t>
      </w:r>
      <w:r w:rsidR="004D0418">
        <w:t xml:space="preserve"> </w:t>
      </w:r>
      <w:r w:rsidR="00291691">
        <w:t xml:space="preserve">it has no probative value.  Moreover, </w:t>
      </w:r>
      <w:r w:rsidR="00F2395A">
        <w:t>the remaining evidence in the record refutes this claim.</w:t>
      </w:r>
    </w:p>
    <w:p w:rsidR="00F2395A" w:rsidRDefault="00F2395A" w:rsidP="00D47F1E">
      <w:pPr>
        <w:spacing w:line="360" w:lineRule="auto"/>
      </w:pPr>
    </w:p>
    <w:p w:rsidR="007D69B8" w:rsidRDefault="00F2395A" w:rsidP="00FB2702">
      <w:pPr>
        <w:spacing w:line="360" w:lineRule="auto"/>
      </w:pPr>
      <w:r>
        <w:tab/>
      </w:r>
      <w:r>
        <w:tab/>
      </w:r>
      <w:r w:rsidR="00FB2702" w:rsidRPr="00C24DC1">
        <w:t xml:space="preserve">As the party seeking to have the Commission decide </w:t>
      </w:r>
      <w:r w:rsidR="00FB2702">
        <w:t xml:space="preserve">whether </w:t>
      </w:r>
      <w:r w:rsidR="00FB2702" w:rsidRPr="00C24DC1">
        <w:t xml:space="preserve">Respondent violated provisions of the Public Utility Code, </w:t>
      </w:r>
      <w:r w:rsidR="00FB2702">
        <w:t xml:space="preserve">a Commission Order or regulation, </w:t>
      </w:r>
      <w:r w:rsidR="00FB2702" w:rsidRPr="00C24DC1">
        <w:t>Complainant bears the burden of proving tha</w:t>
      </w:r>
      <w:r w:rsidR="00FB2702">
        <w:t>t he is entitled to relief.  66 </w:t>
      </w:r>
      <w:r w:rsidR="00FB2702" w:rsidRPr="00C24DC1">
        <w:t xml:space="preserve">Pa. C.S. §332(a).  The Pennsylvania Supreme Court has held the term “burden of proof” means a duty to establish a fact by a preponderance of the evidence.  </w:t>
      </w:r>
      <w:proofErr w:type="gramStart"/>
      <w:r w:rsidR="00FB2702" w:rsidRPr="00A539BD">
        <w:rPr>
          <w:u w:val="single"/>
        </w:rPr>
        <w:t>Se-Ling Hosiery v. Mar</w:t>
      </w:r>
      <w:r w:rsidR="00FB2702">
        <w:rPr>
          <w:u w:val="single"/>
        </w:rPr>
        <w:t>g</w:t>
      </w:r>
      <w:r w:rsidR="00FB2702" w:rsidRPr="00A539BD">
        <w:rPr>
          <w:u w:val="single"/>
        </w:rPr>
        <w:t>ulies</w:t>
      </w:r>
      <w:r w:rsidR="00FB2702" w:rsidRPr="00C24DC1">
        <w:t>, 364 Pa. 45, 70 A.2d 854 (195</w:t>
      </w:r>
      <w:r w:rsidR="00417453">
        <w:t>0</w:t>
      </w:r>
      <w:r w:rsidR="00FB2702" w:rsidRPr="00C24DC1">
        <w:t xml:space="preserve">); </w:t>
      </w:r>
      <w:r w:rsidR="00FB2702" w:rsidRPr="00A539BD">
        <w:rPr>
          <w:u w:val="single"/>
        </w:rPr>
        <w:t>Feinstein v. Philadelphia Suburban Water Company</w:t>
      </w:r>
      <w:r w:rsidR="00FB2702" w:rsidRPr="00C24DC1">
        <w:t>, 50 Pa. P.U.C. 300 (1976).</w:t>
      </w:r>
      <w:proofErr w:type="gramEnd"/>
      <w:r w:rsidR="00FB2702" w:rsidRPr="00C24DC1">
        <w:t xml:space="preserve">  The term “preponderance of the evidence” means one party must present evidence which is more convincing, by even the </w:t>
      </w:r>
    </w:p>
    <w:p w:rsidR="007D69B8" w:rsidRDefault="007D69B8">
      <w:r>
        <w:br w:type="page"/>
      </w:r>
    </w:p>
    <w:p w:rsidR="00FB2702" w:rsidRDefault="00FB2702" w:rsidP="00FB2702">
      <w:pPr>
        <w:spacing w:line="360" w:lineRule="auto"/>
      </w:pPr>
      <w:proofErr w:type="gramStart"/>
      <w:r w:rsidRPr="00C24DC1">
        <w:lastRenderedPageBreak/>
        <w:t>smallest</w:t>
      </w:r>
      <w:proofErr w:type="gramEnd"/>
      <w:r w:rsidRPr="00C24DC1">
        <w:t xml:space="preserve"> amount, than the evidence presented by the other party.  </w:t>
      </w:r>
      <w:smartTag w:uri="urn:schemas-microsoft-com:office:smarttags" w:element="State">
        <w:smartTag w:uri="urn:schemas-microsoft-com:office:smarttags" w:element="place">
          <w:r w:rsidRPr="00287572">
            <w:rPr>
              <w:i/>
            </w:rPr>
            <w:t>Id</w:t>
          </w:r>
          <w:r w:rsidRPr="00C24DC1">
            <w:t>.</w:t>
          </w:r>
        </w:smartTag>
      </w:smartTag>
      <w:r w:rsidRPr="00C24DC1">
        <w:t xml:space="preserve">  Accordingly, one must review the record in this case to determine whether Complainant has satisfied h</w:t>
      </w:r>
      <w:r>
        <w:t>is</w:t>
      </w:r>
      <w:r w:rsidRPr="00C24DC1">
        <w:t xml:space="preserve">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Pr="00287572">
        <w:rPr>
          <w:u w:val="single"/>
        </w:rPr>
        <w:t>Morissey v. Pa. Dept. of Highways</w:t>
      </w:r>
      <w:r w:rsidRPr="00C24DC1">
        <w:t xml:space="preserve">, 424 Pa. 87, 225 A.2d 895 (1967); </w:t>
      </w:r>
      <w:r w:rsidRPr="00287572">
        <w:rPr>
          <w:u w:val="single"/>
        </w:rPr>
        <w:t>Burleson v. Pa. P.U.C.</w:t>
      </w:r>
      <w:r w:rsidRPr="00C24DC1">
        <w:t>, 443 A.2d 1373 (Pa. Cmwlth. 1982).</w:t>
      </w:r>
    </w:p>
    <w:p w:rsidR="00FB2702" w:rsidRDefault="00FB2702" w:rsidP="00FB2702">
      <w:pPr>
        <w:spacing w:line="360" w:lineRule="auto"/>
      </w:pPr>
    </w:p>
    <w:p w:rsidR="00FB2702" w:rsidRDefault="00FB2702" w:rsidP="00FB2702">
      <w:pPr>
        <w:spacing w:line="360" w:lineRule="auto"/>
      </w:pPr>
      <w:r>
        <w:tab/>
      </w:r>
      <w:r>
        <w:tab/>
      </w:r>
      <w:r w:rsidRPr="00C24DC1">
        <w:t xml:space="preserve">Furthermore, substantial evidence in the record must support the decision of the Commission.  </w:t>
      </w:r>
      <w:r w:rsidRPr="00F03E90">
        <w:rPr>
          <w:i/>
        </w:rPr>
        <w:t>See</w:t>
      </w:r>
      <w:r w:rsidRPr="00C24DC1">
        <w:t xml:space="preserve">, </w:t>
      </w:r>
      <w:r w:rsidRPr="00F03E90">
        <w:rPr>
          <w:i/>
        </w:rPr>
        <w:t>e.g.</w:t>
      </w:r>
      <w:r w:rsidRPr="00C24DC1">
        <w:t xml:space="preserve">, Section 704 of the Administrative Agency Law, 2 Pa. C.S. §704; </w:t>
      </w:r>
      <w:r w:rsidRPr="00F03E90">
        <w:rPr>
          <w:u w:val="single"/>
        </w:rPr>
        <w:t>Yellow Cab Company v. Pa. P.U.C.</w:t>
      </w:r>
      <w:r w:rsidRPr="00C24DC1">
        <w:t>, 524 A.2d 1069 (Pa. Cmwlth. 1987).  The term “substantial evidence” mean</w:t>
      </w:r>
      <w:r>
        <w:t>s</w:t>
      </w:r>
      <w:r w:rsidRPr="00C24DC1">
        <w:t xml:space="preserve"> such relevant evidence that a reasonable mind may accept as adequate to support a conclusion.  More is required than a mere trace of evidence or a suspicion of the existence of a fact sought to be established.  </w:t>
      </w:r>
      <w:r w:rsidRPr="00F03E90">
        <w:rPr>
          <w:u w:val="single"/>
        </w:rPr>
        <w:t>Norfolk &amp; Western Ry. Co. v. Pa. P.U.C.</w:t>
      </w:r>
      <w:r w:rsidRPr="00C24DC1">
        <w:t xml:space="preserve">, 489 Pa. 109, 413 A.2d 1037 (1980); </w:t>
      </w:r>
      <w:r w:rsidRPr="00F03E90">
        <w:rPr>
          <w:u w:val="single"/>
        </w:rPr>
        <w:t>Erie Resistor Corp. v. Unemployment Comp. Bd. of Review</w:t>
      </w:r>
      <w:r w:rsidRPr="00C24DC1">
        <w:t xml:space="preserve">, 194 Pa. Superior Ct. 278, 166 A.2d 96 (1961); </w:t>
      </w:r>
      <w:r w:rsidRPr="00F03E90">
        <w:rPr>
          <w:u w:val="single"/>
        </w:rPr>
        <w:t>Murphy v. Pa. Dept. of Public Welfare, White Haven Center</w:t>
      </w:r>
      <w:r w:rsidRPr="00C24DC1">
        <w:t xml:space="preserve">, 480 A.2d 382 (Pa. Cmwlth. 1984).  The Commission has held that a complainant, to establish a sufficient case against a utility and satisfy the burden of proof, must show the utility is responsible or accountable for the problem described in the complaint.  </w:t>
      </w:r>
      <w:r w:rsidRPr="00F03E90">
        <w:rPr>
          <w:u w:val="single"/>
        </w:rPr>
        <w:t>Feinstein</w:t>
      </w:r>
      <w:r w:rsidRPr="00C24DC1">
        <w:t xml:space="preserve">, </w:t>
      </w:r>
      <w:r w:rsidRPr="00F03E90">
        <w:rPr>
          <w:i/>
        </w:rPr>
        <w:t>supra</w:t>
      </w:r>
      <w:r w:rsidRPr="00C24DC1">
        <w:t>.</w:t>
      </w:r>
    </w:p>
    <w:p w:rsidR="00F2395A" w:rsidRDefault="00F2395A" w:rsidP="00D47F1E">
      <w:pPr>
        <w:spacing w:line="360" w:lineRule="auto"/>
      </w:pPr>
    </w:p>
    <w:p w:rsidR="00FB2702" w:rsidRDefault="00FB2702" w:rsidP="00D47F1E">
      <w:pPr>
        <w:spacing w:line="360" w:lineRule="auto"/>
      </w:pPr>
      <w:r>
        <w:tab/>
      </w:r>
      <w:r>
        <w:tab/>
      </w:r>
      <w:r w:rsidR="00DF7C33">
        <w:t xml:space="preserve">Responding to Complainant’s assertion that his former girlfriend was held responsible for only half the bill, </w:t>
      </w:r>
      <w:r w:rsidR="003E1004">
        <w:t xml:space="preserve">Duquesne Light presented account statements that show on each occasion </w:t>
      </w:r>
      <w:r w:rsidR="00D334FA">
        <w:t xml:space="preserve">since 1997, Respondent transferred the account balance from one account to the next when one account was closed and a new one opened at </w:t>
      </w:r>
      <w:r w:rsidR="00703E6F">
        <w:t xml:space="preserve">3876 Delco Road.  When </w:t>
      </w:r>
      <w:r w:rsidR="00DF0594">
        <w:t>Complainant’s account was closed on April 4, 2007, the account balance was transferred to the account of Rae Ann Szarmach</w:t>
      </w:r>
      <w:r w:rsidR="0098062F">
        <w:t>.  Likewise, when her account closed on March 11, 2010, the account balance was transferred to Complainant’s account</w:t>
      </w:r>
      <w:r w:rsidR="00A918E3">
        <w:t xml:space="preserve"> (N.T. 28-30; Respondent’s Exhs. 1-5).</w:t>
      </w:r>
    </w:p>
    <w:p w:rsidR="00A918E3" w:rsidRDefault="00A918E3" w:rsidP="00D47F1E">
      <w:pPr>
        <w:spacing w:line="360" w:lineRule="auto"/>
      </w:pPr>
    </w:p>
    <w:p w:rsidR="00A918E3" w:rsidRDefault="00A918E3" w:rsidP="00D47F1E">
      <w:pPr>
        <w:spacing w:line="360" w:lineRule="auto"/>
      </w:pPr>
      <w:r>
        <w:tab/>
      </w:r>
      <w:r>
        <w:tab/>
        <w:t xml:space="preserve">Moreover, transferring the account balances in this manner </w:t>
      </w:r>
      <w:r w:rsidR="00D302F2">
        <w:t xml:space="preserve">is </w:t>
      </w:r>
      <w:r w:rsidR="00265FF2">
        <w:t>in accord with</w:t>
      </w:r>
      <w:r w:rsidR="00C12F3F">
        <w:t xml:space="preserve">  Section 1407(d) of the </w:t>
      </w:r>
      <w:r w:rsidR="00C12F3F" w:rsidRPr="005177DF">
        <w:rPr>
          <w:i/>
        </w:rPr>
        <w:t>Responsible Utility Customer Protection Act</w:t>
      </w:r>
      <w:r w:rsidR="00E050E6">
        <w:t xml:space="preserve">, 66 Pa. C.S. §1407(d), effective December 14, 2004, </w:t>
      </w:r>
      <w:r w:rsidR="00265FF2">
        <w:t xml:space="preserve">which </w:t>
      </w:r>
      <w:r w:rsidR="00E050E6">
        <w:t>states:</w:t>
      </w:r>
    </w:p>
    <w:p w:rsidR="00E050E6" w:rsidRDefault="00E050E6" w:rsidP="00D47F1E">
      <w:pPr>
        <w:spacing w:line="360" w:lineRule="auto"/>
      </w:pPr>
    </w:p>
    <w:p w:rsidR="00E050E6" w:rsidRDefault="00914029" w:rsidP="00E050E6">
      <w:pPr>
        <w:ind w:left="1440" w:right="1440"/>
      </w:pPr>
      <w:r>
        <w:t>A public utility may also require the payment of any outstanding balance or portion of an outstanding balance if the applicant resided at the property for which service is requested during the time the outstanding balance accrued and for the time the applicant resided there.</w:t>
      </w:r>
    </w:p>
    <w:p w:rsidR="00914029" w:rsidRDefault="00914029" w:rsidP="00914029"/>
    <w:p w:rsidR="00914029" w:rsidRDefault="00914029" w:rsidP="00914029"/>
    <w:p w:rsidR="00914029" w:rsidRDefault="000372E6" w:rsidP="00914029">
      <w:pPr>
        <w:spacing w:line="360" w:lineRule="auto"/>
      </w:pPr>
      <w:r>
        <w:t>Section 1403 of the same Act, 66 Pa. C.S. §1403, defines the term</w:t>
      </w:r>
      <w:r w:rsidR="008457F9">
        <w:t xml:space="preserve"> “applicant” to mean:</w:t>
      </w:r>
    </w:p>
    <w:p w:rsidR="008457F9" w:rsidRDefault="008457F9" w:rsidP="00914029">
      <w:pPr>
        <w:spacing w:line="360" w:lineRule="auto"/>
      </w:pPr>
    </w:p>
    <w:p w:rsidR="008457F9" w:rsidRDefault="008457F9" w:rsidP="008457F9">
      <w:pPr>
        <w:ind w:left="1440" w:right="1440"/>
      </w:pPr>
      <w:r>
        <w:t>A natural person not currently receiving service who applies</w:t>
      </w:r>
      <w:r w:rsidR="00F12129">
        <w:t xml:space="preserve"> for</w:t>
      </w:r>
      <w:r>
        <w:t xml:space="preserve"> residential service provided by a public utility or </w:t>
      </w:r>
      <w:r w:rsidRPr="005C5CD5">
        <w:rPr>
          <w:u w:val="single"/>
        </w:rPr>
        <w:t>any adult occupant whose name appears on the</w:t>
      </w:r>
      <w:r>
        <w:t xml:space="preserve"> mortgage, deed or </w:t>
      </w:r>
      <w:r w:rsidRPr="005C5CD5">
        <w:rPr>
          <w:u w:val="single"/>
        </w:rPr>
        <w:t>lease</w:t>
      </w:r>
      <w:r>
        <w:t xml:space="preserve"> of the property for which the residential utility service is requested.</w:t>
      </w:r>
      <w:r w:rsidR="005C5CD5">
        <w:t xml:space="preserve">  (Emphasis added).</w:t>
      </w:r>
    </w:p>
    <w:p w:rsidR="005C5CD5" w:rsidRDefault="005C5CD5" w:rsidP="005C5CD5">
      <w:pPr>
        <w:tabs>
          <w:tab w:val="left" w:pos="0"/>
        </w:tabs>
      </w:pPr>
    </w:p>
    <w:p w:rsidR="005C5CD5" w:rsidRDefault="005C5CD5" w:rsidP="005C5CD5">
      <w:pPr>
        <w:tabs>
          <w:tab w:val="left" w:pos="0"/>
        </w:tabs>
      </w:pPr>
    </w:p>
    <w:p w:rsidR="005C5CD5" w:rsidRDefault="00265FF2" w:rsidP="005C5CD5">
      <w:pPr>
        <w:tabs>
          <w:tab w:val="left" w:pos="0"/>
        </w:tabs>
        <w:spacing w:line="360" w:lineRule="auto"/>
      </w:pPr>
      <w:r>
        <w:t>Since Complainant admits</w:t>
      </w:r>
      <w:r w:rsidR="00BF0418">
        <w:t xml:space="preserve"> he has resided at 3876 Delco Road since 1997 (N.T. 11) and his name appears on the lease</w:t>
      </w:r>
      <w:r w:rsidR="00886A2E">
        <w:t xml:space="preserve"> (N.T. 12), he is responsible for</w:t>
      </w:r>
      <w:r w:rsidR="00886A2E" w:rsidRPr="00886A2E">
        <w:t xml:space="preserve"> </w:t>
      </w:r>
      <w:r w:rsidR="00886A2E">
        <w:t xml:space="preserve">the outstanding balance </w:t>
      </w:r>
      <w:r w:rsidR="00535F47">
        <w:t xml:space="preserve">that </w:t>
      </w:r>
      <w:r w:rsidR="00886A2E">
        <w:t xml:space="preserve">accrued </w:t>
      </w:r>
      <w:r w:rsidR="00535F47">
        <w:t xml:space="preserve">during </w:t>
      </w:r>
      <w:r w:rsidR="00886A2E">
        <w:t>the time he resided there.</w:t>
      </w:r>
    </w:p>
    <w:p w:rsidR="00535F47" w:rsidRDefault="00535F47" w:rsidP="005C5CD5">
      <w:pPr>
        <w:tabs>
          <w:tab w:val="left" w:pos="0"/>
        </w:tabs>
        <w:spacing w:line="360" w:lineRule="auto"/>
      </w:pPr>
    </w:p>
    <w:p w:rsidR="00535F47" w:rsidRDefault="00535F47" w:rsidP="005C5CD5">
      <w:pPr>
        <w:tabs>
          <w:tab w:val="left" w:pos="0"/>
        </w:tabs>
        <w:spacing w:line="360" w:lineRule="auto"/>
      </w:pPr>
      <w:r>
        <w:tab/>
      </w:r>
      <w:r>
        <w:tab/>
      </w:r>
      <w:r w:rsidR="00993907">
        <w:t>Next, Complainant challenges three fees of $250.00 each that Respondent charged him</w:t>
      </w:r>
      <w:r w:rsidR="008926E5">
        <w:t xml:space="preserve"> for reconnection of service, because it shut off service at the utility pole instead of pulling the meter (N.T. 13, 15-17, 20-22, 26).  </w:t>
      </w:r>
      <w:r w:rsidR="00630B0F">
        <w:t>While Complainant was unable to furnish dates</w:t>
      </w:r>
      <w:r w:rsidR="00D1370C">
        <w:t xml:space="preserve"> for these occurrences, Duquesne Light’s records show it</w:t>
      </w:r>
      <w:r w:rsidR="00D1370C" w:rsidRPr="00D1370C">
        <w:t xml:space="preserve"> </w:t>
      </w:r>
      <w:r w:rsidR="00D1370C">
        <w:t>charged Complainant a $250.00 reconnection fee on October 17, 2005, November 9, 2005 and June 4, 2009 (Respondent’s Exhs. 1 &amp; 2).</w:t>
      </w:r>
      <w:r w:rsidR="0048666B">
        <w:t xml:space="preserve">  Since the reconnection fees of October 17, 2005 and November 9, 2005 occurred more than three years </w:t>
      </w:r>
      <w:r w:rsidR="00D07D03">
        <w:t xml:space="preserve">before Complainant filed his informal complaint with the BCS on August 7, 2009, the Commission has no authority to review them.  </w:t>
      </w:r>
      <w:r w:rsidR="00B75D63">
        <w:t>66 Pa. C.S. §33</w:t>
      </w:r>
      <w:r w:rsidR="00421720">
        <w:t>14.</w:t>
      </w:r>
      <w:r w:rsidR="009C5EED">
        <w:t xml:space="preserve">  Furthermore, Complainant admits he has had </w:t>
      </w:r>
      <w:r w:rsidR="005177DF">
        <w:t xml:space="preserve">a </w:t>
      </w:r>
      <w:r w:rsidR="009C5EED">
        <w:t xml:space="preserve">large dog roam the yard outside his house </w:t>
      </w:r>
      <w:r w:rsidR="00624BB8">
        <w:t xml:space="preserve">and he has posted a “Beware of Dog” sign (N.T. 12-13, 16, 21).  Therefore, </w:t>
      </w:r>
      <w:r w:rsidR="00DE330E">
        <w:t>Duquesne Light acted reasonably in shutting</w:t>
      </w:r>
      <w:r w:rsidR="00DE330E" w:rsidRPr="00DE330E">
        <w:t xml:space="preserve"> </w:t>
      </w:r>
      <w:r w:rsidR="00DE330E">
        <w:t xml:space="preserve">off service at the utility pole instead of pulling the meter, which incurred a charge of $250.00 </w:t>
      </w:r>
      <w:r w:rsidR="005177DF">
        <w:t>on June 4, 2009.</w:t>
      </w:r>
    </w:p>
    <w:p w:rsidR="00512E78" w:rsidRDefault="00512E78" w:rsidP="005C5CD5">
      <w:pPr>
        <w:tabs>
          <w:tab w:val="left" w:pos="0"/>
        </w:tabs>
        <w:spacing w:line="360" w:lineRule="auto"/>
      </w:pPr>
    </w:p>
    <w:p w:rsidR="007D69B8" w:rsidRDefault="00512E78" w:rsidP="00E031B5">
      <w:pPr>
        <w:pStyle w:val="BodyText"/>
        <w:jc w:val="left"/>
      </w:pPr>
      <w:r>
        <w:tab/>
      </w:r>
      <w:r>
        <w:tab/>
      </w:r>
    </w:p>
    <w:p w:rsidR="007D69B8" w:rsidRDefault="007D69B8">
      <w:pPr>
        <w:rPr>
          <w:sz w:val="26"/>
          <w:szCs w:val="20"/>
        </w:rPr>
      </w:pPr>
      <w:r>
        <w:br w:type="page"/>
      </w:r>
    </w:p>
    <w:p w:rsidR="0003765D" w:rsidRDefault="0003765D" w:rsidP="007D69B8">
      <w:pPr>
        <w:pStyle w:val="BodyText"/>
        <w:ind w:firstLine="1440"/>
        <w:jc w:val="left"/>
        <w:rPr>
          <w:sz w:val="24"/>
          <w:szCs w:val="24"/>
        </w:rPr>
      </w:pPr>
    </w:p>
    <w:p w:rsidR="00E031B5" w:rsidRDefault="00512E78" w:rsidP="007D69B8">
      <w:pPr>
        <w:pStyle w:val="BodyText"/>
        <w:ind w:firstLine="1440"/>
        <w:jc w:val="left"/>
        <w:rPr>
          <w:sz w:val="24"/>
          <w:szCs w:val="24"/>
        </w:rPr>
      </w:pPr>
      <w:r w:rsidRPr="00335273">
        <w:rPr>
          <w:sz w:val="24"/>
          <w:szCs w:val="24"/>
        </w:rPr>
        <w:t>Finally, Complainant requests a payment arrangement for the balance he owes on this account.</w:t>
      </w:r>
      <w:r w:rsidR="00E031B5" w:rsidRPr="00335273">
        <w:rPr>
          <w:sz w:val="24"/>
          <w:szCs w:val="24"/>
        </w:rPr>
        <w:t xml:space="preserve">  This proceeding is a </w:t>
      </w:r>
      <w:r w:rsidR="00E031B5" w:rsidRPr="00335273">
        <w:rPr>
          <w:i/>
          <w:sz w:val="24"/>
          <w:szCs w:val="24"/>
        </w:rPr>
        <w:t>de novo</w:t>
      </w:r>
      <w:r w:rsidR="00E031B5" w:rsidRPr="00335273">
        <w:rPr>
          <w:sz w:val="24"/>
          <w:szCs w:val="24"/>
        </w:rPr>
        <w:t xml:space="preserve"> review of the BCS’s determination of an appropriate payment plan for this account.  </w:t>
      </w:r>
      <w:r w:rsidR="00E031B5" w:rsidRPr="00335273">
        <w:rPr>
          <w:sz w:val="24"/>
          <w:szCs w:val="24"/>
          <w:u w:val="single"/>
        </w:rPr>
        <w:t>Stammel v. P.G. Energy</w:t>
      </w:r>
      <w:r w:rsidR="00E031B5" w:rsidRPr="00335273">
        <w:rPr>
          <w:sz w:val="24"/>
          <w:szCs w:val="24"/>
        </w:rPr>
        <w:t>, Docket No. C</w:t>
      </w:r>
      <w:r w:rsidR="00E031B5" w:rsidRPr="00335273">
        <w:rPr>
          <w:sz w:val="24"/>
          <w:szCs w:val="24"/>
        </w:rPr>
        <w:noBreakHyphen/>
        <w:t xml:space="preserve">20027994 (Order entered May 21, 2003); and </w:t>
      </w:r>
      <w:r w:rsidR="00E031B5" w:rsidRPr="00335273">
        <w:rPr>
          <w:sz w:val="24"/>
          <w:szCs w:val="24"/>
          <w:u w:val="single"/>
        </w:rPr>
        <w:t>Claypool v. T.W. Phillips Gas &amp; Oil Company</w:t>
      </w:r>
      <w:r w:rsidR="00E031B5" w:rsidRPr="00335273">
        <w:rPr>
          <w:sz w:val="24"/>
          <w:szCs w:val="24"/>
        </w:rPr>
        <w:t>, Docket No. Z</w:t>
      </w:r>
      <w:r w:rsidR="00E031B5" w:rsidRPr="00335273">
        <w:rPr>
          <w:sz w:val="24"/>
          <w:szCs w:val="24"/>
        </w:rPr>
        <w:noBreakHyphen/>
        <w:t xml:space="preserve">00248730 (Order entered December 22, 1995).  As such, Complainant bears the burden of proving by substantial evidence that he is entitled to the relief he seeks.  </w:t>
      </w:r>
      <w:proofErr w:type="gramStart"/>
      <w:r w:rsidR="00E031B5" w:rsidRPr="00335273">
        <w:rPr>
          <w:sz w:val="24"/>
          <w:szCs w:val="24"/>
          <w:u w:val="single"/>
        </w:rPr>
        <w:t>Stammel</w:t>
      </w:r>
      <w:r w:rsidR="00E031B5" w:rsidRPr="00335273">
        <w:rPr>
          <w:sz w:val="24"/>
          <w:szCs w:val="24"/>
        </w:rPr>
        <w:t xml:space="preserve">, </w:t>
      </w:r>
      <w:r w:rsidR="00E031B5" w:rsidRPr="00335273">
        <w:rPr>
          <w:i/>
          <w:sz w:val="24"/>
          <w:szCs w:val="24"/>
        </w:rPr>
        <w:t>supra</w:t>
      </w:r>
      <w:r w:rsidR="00E031B5" w:rsidRPr="00335273">
        <w:rPr>
          <w:sz w:val="24"/>
          <w:szCs w:val="24"/>
        </w:rPr>
        <w:t xml:space="preserve"> and 66 Pa. C.S. §332(a).</w:t>
      </w:r>
      <w:proofErr w:type="gramEnd"/>
    </w:p>
    <w:p w:rsidR="007D69B8" w:rsidRPr="00335273" w:rsidRDefault="007D69B8" w:rsidP="007D69B8">
      <w:pPr>
        <w:pStyle w:val="BodyText"/>
        <w:ind w:firstLine="1440"/>
        <w:jc w:val="left"/>
        <w:rPr>
          <w:sz w:val="24"/>
          <w:szCs w:val="24"/>
        </w:rPr>
      </w:pPr>
    </w:p>
    <w:p w:rsidR="00E031B5" w:rsidRDefault="00E031B5" w:rsidP="00E031B5">
      <w:pPr>
        <w:spacing w:line="360" w:lineRule="auto"/>
      </w:pPr>
      <w:r>
        <w:tab/>
      </w:r>
      <w:r>
        <w:tab/>
      </w:r>
      <w:r w:rsidRPr="00D65444">
        <w:t>However he manages h</w:t>
      </w:r>
      <w:r>
        <w:t>is</w:t>
      </w:r>
      <w:r w:rsidRPr="00D65444">
        <w:t xml:space="preserve"> household budget, Complainant will have to pay the Respondent for the electric service he consumes.  By law, a public utility is entitled to receive payment for the service it provides.</w:t>
      </w:r>
      <w:r>
        <w:t xml:space="preserve">  </w:t>
      </w:r>
      <w:r>
        <w:rPr>
          <w:u w:val="single"/>
        </w:rPr>
        <w:t>Scaccia v. West Penn Power Company</w:t>
      </w:r>
      <w:r>
        <w:t>, 55 </w:t>
      </w:r>
      <w:smartTag w:uri="urn:schemas-microsoft-com:office:smarttags" w:element="place">
        <w:smartTag w:uri="urn:schemas-microsoft-com:office:smarttags" w:element="State">
          <w:r>
            <w:t>Pa.</w:t>
          </w:r>
        </w:smartTag>
      </w:smartTag>
      <w:r>
        <w:t xml:space="preserve"> P.U.C. 637 (1982).  Otherwise, unpaid bills are included in the utility’s uncollectible expenses, which all of its remaining customers must pay.  </w:t>
      </w:r>
      <w:r>
        <w:rPr>
          <w:u w:val="single"/>
        </w:rPr>
        <w:t>Bolt v. Duquesne Light Company</w:t>
      </w:r>
      <w:r>
        <w:t>, Docket No. Z</w:t>
      </w:r>
      <w:r>
        <w:noBreakHyphen/>
        <w:t>8712758 (Order entered April 8, 1988).</w:t>
      </w:r>
      <w:r w:rsidRPr="00D65444">
        <w:t xml:space="preserve">  No public utility may receive a greater or lesser rate than the one set forth in its tariff on file with this Commission.  66 </w:t>
      </w:r>
      <w:smartTag w:uri="urn:schemas-microsoft-com:office:smarttags" w:element="place">
        <w:smartTag w:uri="urn:schemas-microsoft-com:office:smarttags" w:element="State">
          <w:r w:rsidRPr="00D65444">
            <w:t>Pa.</w:t>
          </w:r>
        </w:smartTag>
      </w:smartTag>
      <w:r w:rsidRPr="00D65444">
        <w:t xml:space="preserve"> C.S. §1303.  Neither may a public utility unreasonably discriminate for or against a particular customer by establishing a special rate for them.  66 </w:t>
      </w:r>
      <w:smartTag w:uri="urn:schemas-microsoft-com:office:smarttags" w:element="place">
        <w:smartTag w:uri="urn:schemas-microsoft-com:office:smarttags" w:element="State">
          <w:r w:rsidRPr="00D65444">
            <w:t>Pa.</w:t>
          </w:r>
        </w:smartTag>
      </w:smartTag>
      <w:r w:rsidRPr="00D65444">
        <w:t xml:space="preserve"> C.S. §1304.</w:t>
      </w:r>
    </w:p>
    <w:p w:rsidR="00E031B5" w:rsidRDefault="00E031B5" w:rsidP="00E031B5">
      <w:pPr>
        <w:spacing w:line="360" w:lineRule="auto"/>
      </w:pPr>
    </w:p>
    <w:p w:rsidR="00E031B5" w:rsidRDefault="00E031B5" w:rsidP="00E031B5">
      <w:pPr>
        <w:spacing w:line="360" w:lineRule="auto"/>
      </w:pPr>
      <w:r>
        <w:tab/>
      </w:r>
      <w:r>
        <w:tab/>
      </w:r>
      <w:r w:rsidR="00E042B1">
        <w:t xml:space="preserve">In addition, </w:t>
      </w:r>
      <w:r w:rsidRPr="005D0B6A">
        <w:t xml:space="preserve">the </w:t>
      </w:r>
      <w:r w:rsidRPr="003733C7">
        <w:rPr>
          <w:i/>
        </w:rPr>
        <w:t>Responsible Utility Customer Protection Ac</w:t>
      </w:r>
      <w:r w:rsidR="005A78BE">
        <w:rPr>
          <w:i/>
        </w:rPr>
        <w:t>t</w:t>
      </w:r>
      <w:r w:rsidR="005A78BE">
        <w:t xml:space="preserve">, </w:t>
      </w:r>
      <w:r w:rsidR="005A78BE" w:rsidRPr="005D0B6A">
        <w:t xml:space="preserve">66 Pa. C.S. </w:t>
      </w:r>
      <w:r w:rsidR="005A78BE">
        <w:t>§</w:t>
      </w:r>
      <w:r w:rsidR="005A78BE" w:rsidRPr="005D0B6A">
        <w:t xml:space="preserve">§1401, </w:t>
      </w:r>
      <w:r w:rsidR="005A78BE" w:rsidRPr="003733C7">
        <w:rPr>
          <w:i/>
        </w:rPr>
        <w:t>et seq</w:t>
      </w:r>
      <w:r w:rsidR="005A78BE" w:rsidRPr="005D0B6A">
        <w:t>.</w:t>
      </w:r>
      <w:r w:rsidR="005A78BE">
        <w:t>,</w:t>
      </w:r>
      <w:r w:rsidRPr="005D0B6A">
        <w:t xml:space="preserve"> which became effective on December 14, 2004,</w:t>
      </w:r>
      <w:r>
        <w:t xml:space="preserve"> directs how the Commission must establish this payment arrangement.</w:t>
      </w:r>
      <w:r w:rsidR="005A78BE">
        <w:t xml:space="preserve">  </w:t>
      </w:r>
      <w:r w:rsidRPr="00BB22D0">
        <w:t>Section 1403 of the Code</w:t>
      </w:r>
      <w:r>
        <w:t xml:space="preserve">, </w:t>
      </w:r>
      <w:r w:rsidRPr="00031E12">
        <w:t>66 Pa.</w:t>
      </w:r>
      <w:r>
        <w:t xml:space="preserve"> C.S. §</w:t>
      </w:r>
      <w:r w:rsidRPr="00031E12">
        <w:t>1403</w:t>
      </w:r>
      <w:r>
        <w:t>,</w:t>
      </w:r>
      <w:r w:rsidRPr="00BB22D0">
        <w:t xml:space="preserve"> defines “Payment Agreement” as</w:t>
      </w:r>
      <w:r>
        <w:t>:</w:t>
      </w:r>
    </w:p>
    <w:p w:rsidR="00E031B5" w:rsidRDefault="00E031B5" w:rsidP="00E031B5">
      <w:pPr>
        <w:spacing w:line="360" w:lineRule="auto"/>
      </w:pPr>
    </w:p>
    <w:p w:rsidR="00E031B5" w:rsidRDefault="00E031B5" w:rsidP="00E031B5">
      <w:pPr>
        <w:ind w:left="1440" w:right="1440"/>
      </w:pPr>
      <w:r w:rsidRPr="0010593B">
        <w:t>An agreement whereby a customer who admits liability for billed service is permitted to amortize or pay the unpaid balance of the account in one or more payments.</w:t>
      </w:r>
    </w:p>
    <w:p w:rsidR="00E031B5" w:rsidRDefault="00E031B5" w:rsidP="00E031B5"/>
    <w:p w:rsidR="0003765D" w:rsidRDefault="0003765D">
      <w:r>
        <w:br w:type="page"/>
      </w:r>
    </w:p>
    <w:p w:rsidR="00E031B5" w:rsidRDefault="00E031B5" w:rsidP="00E031B5">
      <w:pPr>
        <w:spacing w:line="360" w:lineRule="auto"/>
      </w:pPr>
      <w:r w:rsidRPr="000D141A">
        <w:lastRenderedPageBreak/>
        <w:t>Section 1405 of the Code</w:t>
      </w:r>
      <w:r>
        <w:t xml:space="preserve">, </w:t>
      </w:r>
      <w:r w:rsidRPr="00031E12">
        <w:t>66 Pa.</w:t>
      </w:r>
      <w:r>
        <w:t xml:space="preserve"> C.S. §</w:t>
      </w:r>
      <w:r w:rsidRPr="00031E12">
        <w:t>140</w:t>
      </w:r>
      <w:r>
        <w:t>5,</w:t>
      </w:r>
      <w:r w:rsidRPr="000D141A">
        <w:t xml:space="preserve"> regarding payment arrangement</w:t>
      </w:r>
      <w:r>
        <w:t>s,</w:t>
      </w:r>
      <w:r w:rsidRPr="000D141A">
        <w:t xml:space="preserve"> reads in pertinent part:</w:t>
      </w:r>
    </w:p>
    <w:p w:rsidR="00E031B5" w:rsidRDefault="00E031B5" w:rsidP="00E031B5">
      <w:pPr>
        <w:spacing w:line="360" w:lineRule="auto"/>
      </w:pPr>
    </w:p>
    <w:p w:rsidR="00E031B5" w:rsidRDefault="00E031B5" w:rsidP="00E031B5">
      <w:pPr>
        <w:ind w:left="1440" w:right="1440"/>
      </w:pPr>
      <w:r w:rsidRPr="00FE677C">
        <w:t xml:space="preserve">   (b) LENGTH OF PAYMENT AGREEMENTS</w:t>
      </w:r>
      <w:r>
        <w:t>.</w:t>
      </w:r>
      <w:r w:rsidRPr="00FE677C">
        <w:t xml:space="preserve"> </w:t>
      </w:r>
      <w:r>
        <w:t xml:space="preserve"> </w:t>
      </w:r>
      <w:r w:rsidRPr="00FE677C">
        <w:t>The length of time for a customer to resolve an unpaid balance on an account that is subject to a payment agreement that is investigated by the commission and is entered into by a public utility and a customer shall not extend beyond:</w:t>
      </w:r>
    </w:p>
    <w:p w:rsidR="0003765D" w:rsidRDefault="0003765D" w:rsidP="00E031B5">
      <w:pPr>
        <w:ind w:left="1440" w:right="1440"/>
      </w:pPr>
    </w:p>
    <w:p w:rsidR="00E031B5" w:rsidRDefault="00E031B5" w:rsidP="00E031B5">
      <w:pPr>
        <w:ind w:left="1440" w:right="1440"/>
      </w:pPr>
      <w:r w:rsidRPr="00FE677C">
        <w:t xml:space="preserve">   </w:t>
      </w:r>
      <w:r>
        <w:tab/>
      </w:r>
      <w:r w:rsidRPr="00FE677C">
        <w:t>(1) Five years for customers with a gross monthly household income level not exceeding 150% of the Federal poverty level.</w:t>
      </w:r>
      <w:r>
        <w:rPr>
          <w:rStyle w:val="FootnoteReference"/>
        </w:rPr>
        <w:footnoteReference w:id="2"/>
      </w:r>
    </w:p>
    <w:p w:rsidR="00E031B5" w:rsidRDefault="00E031B5" w:rsidP="00E031B5">
      <w:pPr>
        <w:ind w:left="1440" w:right="1440"/>
      </w:pPr>
    </w:p>
    <w:p w:rsidR="00E031B5" w:rsidRDefault="00E031B5" w:rsidP="00E031B5">
      <w:pPr>
        <w:ind w:left="1440" w:right="1440"/>
      </w:pPr>
      <w:r w:rsidRPr="004D17EF">
        <w:t xml:space="preserve">   </w:t>
      </w:r>
      <w:r>
        <w:tab/>
      </w:r>
      <w:r w:rsidRPr="004D17EF">
        <w:t>(2) Two years for customers with a gross monthly household income level exceeding 150% and not more than 250% of the Federal poverty level.</w:t>
      </w:r>
    </w:p>
    <w:p w:rsidR="00E031B5" w:rsidRDefault="00E031B5" w:rsidP="00E031B5">
      <w:pPr>
        <w:ind w:left="1440" w:right="1440"/>
      </w:pPr>
    </w:p>
    <w:p w:rsidR="00E031B5" w:rsidRDefault="00E031B5" w:rsidP="00E031B5">
      <w:pPr>
        <w:ind w:left="1440" w:right="1440"/>
      </w:pPr>
      <w:r w:rsidRPr="004D17EF">
        <w:t xml:space="preserve">   </w:t>
      </w:r>
      <w:r>
        <w:tab/>
      </w:r>
      <w:r w:rsidRPr="004D17EF">
        <w:t>(3) One year for customers with a gross monthly household income level exceeding 250% of the Federal poverty level and not more than 300% of</w:t>
      </w:r>
      <w:r>
        <w:t xml:space="preserve"> </w:t>
      </w:r>
      <w:r w:rsidRPr="004D17EF">
        <w:t>the Federal poverty level.</w:t>
      </w:r>
    </w:p>
    <w:p w:rsidR="00E031B5" w:rsidRDefault="00E031B5" w:rsidP="00E031B5">
      <w:pPr>
        <w:ind w:left="1440" w:right="1440"/>
      </w:pPr>
    </w:p>
    <w:p w:rsidR="00E031B5" w:rsidRDefault="00E031B5" w:rsidP="00E031B5">
      <w:pPr>
        <w:ind w:left="1440" w:right="1440"/>
      </w:pPr>
      <w:r w:rsidRPr="0097562D">
        <w:t xml:space="preserve">  </w:t>
      </w:r>
      <w:r>
        <w:tab/>
      </w:r>
      <w:r w:rsidRPr="0097562D">
        <w:t>(4) Six months for customers with a gross monthly household income level exceeding 300% of the Federal poverty level.</w:t>
      </w:r>
    </w:p>
    <w:p w:rsidR="00E031B5" w:rsidRPr="0097562D" w:rsidRDefault="00E031B5" w:rsidP="00E031B5"/>
    <w:p w:rsidR="00E031B5" w:rsidRDefault="00E031B5" w:rsidP="00E031B5">
      <w:pPr>
        <w:spacing w:line="360" w:lineRule="auto"/>
      </w:pPr>
    </w:p>
    <w:p w:rsidR="00512E78" w:rsidRDefault="00E031B5" w:rsidP="00E031B5">
      <w:pPr>
        <w:tabs>
          <w:tab w:val="left" w:pos="0"/>
        </w:tabs>
        <w:spacing w:line="360" w:lineRule="auto"/>
      </w:pPr>
      <w:r>
        <w:tab/>
      </w:r>
      <w:r>
        <w:tab/>
        <w:t>Complainant’s monthly gross household income is $400.00</w:t>
      </w:r>
      <w:r w:rsidR="000345A7">
        <w:t xml:space="preserve"> a month</w:t>
      </w:r>
      <w:r w:rsidR="002A7DC6">
        <w:t xml:space="preserve"> (N.T. 18-19, 21).  This amount clearly falls under 150% of the Federal poverty level</w:t>
      </w:r>
      <w:r w:rsidR="00257A5A">
        <w:t xml:space="preserve"> of $1,354.00 for a household consisting of one individual.</w:t>
      </w:r>
      <w:r w:rsidR="00A56596">
        <w:rPr>
          <w:rStyle w:val="FootnoteReference"/>
        </w:rPr>
        <w:footnoteReference w:id="3"/>
      </w:r>
      <w:r w:rsidR="00257A5A">
        <w:t xml:space="preserve">  </w:t>
      </w:r>
      <w:r w:rsidR="00257A5A" w:rsidRPr="00257A5A">
        <w:t xml:space="preserve">Therefore, Complainant pursuant to 66 </w:t>
      </w:r>
      <w:smartTag w:uri="urn:schemas-microsoft-com:office:smarttags" w:element="place">
        <w:smartTag w:uri="urn:schemas-microsoft-com:office:smarttags" w:element="State">
          <w:r w:rsidR="00257A5A" w:rsidRPr="00257A5A">
            <w:t>Pa.</w:t>
          </w:r>
        </w:smartTag>
      </w:smartTag>
      <w:r w:rsidR="00257A5A" w:rsidRPr="00257A5A">
        <w:t xml:space="preserve"> C.S. §1405(b) must pay off the arrearage on this account within </w:t>
      </w:r>
      <w:r w:rsidR="00257A5A">
        <w:t xml:space="preserve">60 </w:t>
      </w:r>
      <w:r w:rsidR="00257A5A" w:rsidRPr="00257A5A">
        <w:t>months and the following Order will so direct.</w:t>
      </w:r>
    </w:p>
    <w:p w:rsidR="00257A5A" w:rsidRDefault="00257A5A" w:rsidP="00E031B5">
      <w:pPr>
        <w:tabs>
          <w:tab w:val="left" w:pos="0"/>
        </w:tabs>
        <w:spacing w:line="360" w:lineRule="auto"/>
      </w:pPr>
    </w:p>
    <w:p w:rsidR="0003765D" w:rsidRDefault="00257A5A" w:rsidP="00E031B5">
      <w:pPr>
        <w:tabs>
          <w:tab w:val="left" w:pos="0"/>
        </w:tabs>
        <w:spacing w:line="360" w:lineRule="auto"/>
      </w:pPr>
      <w:r>
        <w:tab/>
      </w:r>
      <w:r>
        <w:tab/>
      </w:r>
    </w:p>
    <w:p w:rsidR="0003765D" w:rsidRDefault="0003765D">
      <w:r>
        <w:br w:type="page"/>
      </w:r>
    </w:p>
    <w:p w:rsidR="00257A5A" w:rsidRDefault="009E1C06" w:rsidP="0003765D">
      <w:pPr>
        <w:tabs>
          <w:tab w:val="left" w:pos="0"/>
        </w:tabs>
        <w:spacing w:line="360" w:lineRule="auto"/>
        <w:ind w:firstLine="1440"/>
      </w:pPr>
      <w:r>
        <w:lastRenderedPageBreak/>
        <w:t>For the foregoing reasons, the complaint will be granted to the extent it requests a payment plan.  In all other respects, the complaint will be denied.</w:t>
      </w:r>
    </w:p>
    <w:p w:rsidR="001A03F6" w:rsidRDefault="001A03F6" w:rsidP="00E031B5">
      <w:pPr>
        <w:tabs>
          <w:tab w:val="left" w:pos="0"/>
        </w:tabs>
        <w:spacing w:line="360" w:lineRule="auto"/>
      </w:pPr>
    </w:p>
    <w:p w:rsidR="001A03F6" w:rsidRDefault="001A03F6" w:rsidP="001A03F6">
      <w:pPr>
        <w:tabs>
          <w:tab w:val="left" w:pos="0"/>
        </w:tabs>
        <w:spacing w:line="360" w:lineRule="auto"/>
        <w:jc w:val="center"/>
      </w:pPr>
      <w:r>
        <w:rPr>
          <w:u w:val="single"/>
        </w:rPr>
        <w:t>CONCLUSIONS OF LAW</w:t>
      </w:r>
    </w:p>
    <w:p w:rsidR="001A03F6" w:rsidRDefault="001A03F6" w:rsidP="001A03F6">
      <w:pPr>
        <w:tabs>
          <w:tab w:val="left" w:pos="0"/>
        </w:tabs>
        <w:spacing w:line="360" w:lineRule="auto"/>
      </w:pPr>
    </w:p>
    <w:p w:rsidR="001A03F6" w:rsidRDefault="000A49B3" w:rsidP="001A03F6">
      <w:pPr>
        <w:pStyle w:val="ListParagraph"/>
        <w:numPr>
          <w:ilvl w:val="0"/>
          <w:numId w:val="2"/>
        </w:numPr>
        <w:tabs>
          <w:tab w:val="left" w:pos="0"/>
        </w:tabs>
        <w:spacing w:line="360" w:lineRule="auto"/>
        <w:ind w:left="0" w:firstLine="1440"/>
      </w:pPr>
      <w:r w:rsidRPr="000A49B3">
        <w:t>The Commission has jurisdiction over the subject matter and the parties to this proceeding.  66 </w:t>
      </w:r>
      <w:smartTag w:uri="urn:schemas-microsoft-com:office:smarttags" w:element="place">
        <w:smartTag w:uri="urn:schemas-microsoft-com:office:smarttags" w:element="State">
          <w:r w:rsidRPr="000A49B3">
            <w:t>Pa.</w:t>
          </w:r>
        </w:smartTag>
      </w:smartTag>
      <w:r w:rsidRPr="000A49B3">
        <w:t xml:space="preserve"> C.S. §701.</w:t>
      </w:r>
    </w:p>
    <w:p w:rsidR="000A49B3" w:rsidRDefault="000A49B3" w:rsidP="000A49B3">
      <w:pPr>
        <w:pStyle w:val="ListParagraph"/>
        <w:tabs>
          <w:tab w:val="left" w:pos="0"/>
        </w:tabs>
        <w:spacing w:line="360" w:lineRule="auto"/>
        <w:ind w:left="1440"/>
      </w:pPr>
    </w:p>
    <w:p w:rsidR="000A49B3" w:rsidRDefault="001B242D" w:rsidP="001A03F6">
      <w:pPr>
        <w:pStyle w:val="ListParagraph"/>
        <w:numPr>
          <w:ilvl w:val="0"/>
          <w:numId w:val="2"/>
        </w:numPr>
        <w:tabs>
          <w:tab w:val="left" w:pos="0"/>
        </w:tabs>
        <w:spacing w:line="360" w:lineRule="auto"/>
        <w:ind w:left="0" w:firstLine="1440"/>
      </w:pPr>
      <w:r w:rsidRPr="001B242D">
        <w:t xml:space="preserve">The Complainant </w:t>
      </w:r>
      <w:r>
        <w:t xml:space="preserve">has met his burden of proving that he is entitled to a payment </w:t>
      </w:r>
      <w:r w:rsidR="00C85C34">
        <w:t xml:space="preserve">plan </w:t>
      </w:r>
      <w:r>
        <w:t>on his account for residential electric service with Respondent.  In all other respects</w:t>
      </w:r>
      <w:r w:rsidR="00C85C34">
        <w:t xml:space="preserve">, he </w:t>
      </w:r>
      <w:r w:rsidRPr="001B242D">
        <w:t>has not met h</w:t>
      </w:r>
      <w:r w:rsidR="00C85C34">
        <w:t>is</w:t>
      </w:r>
      <w:r w:rsidRPr="001B242D">
        <w:t xml:space="preserve"> burden of proving that he is entitled to </w:t>
      </w:r>
      <w:r w:rsidR="00C85C34">
        <w:t xml:space="preserve">any other </w:t>
      </w:r>
      <w:r w:rsidRPr="001B242D">
        <w:t>relief from this Commission.  66 </w:t>
      </w:r>
      <w:smartTag w:uri="urn:schemas-microsoft-com:office:smarttags" w:element="place">
        <w:smartTag w:uri="urn:schemas-microsoft-com:office:smarttags" w:element="State">
          <w:r w:rsidRPr="001B242D">
            <w:t>Pa.</w:t>
          </w:r>
        </w:smartTag>
      </w:smartTag>
      <w:r w:rsidRPr="001B242D">
        <w:t xml:space="preserve"> C.S. §332(a).</w:t>
      </w:r>
    </w:p>
    <w:p w:rsidR="00C85C34" w:rsidRDefault="00C85C34" w:rsidP="00C85C34">
      <w:pPr>
        <w:pStyle w:val="ListParagraph"/>
      </w:pPr>
    </w:p>
    <w:p w:rsidR="00C85C34" w:rsidRDefault="00C85C34" w:rsidP="001A03F6">
      <w:pPr>
        <w:pStyle w:val="ListParagraph"/>
        <w:numPr>
          <w:ilvl w:val="0"/>
          <w:numId w:val="2"/>
        </w:numPr>
        <w:tabs>
          <w:tab w:val="left" w:pos="0"/>
        </w:tabs>
        <w:spacing w:line="360" w:lineRule="auto"/>
        <w:ind w:left="0" w:firstLine="1440"/>
      </w:pPr>
      <w:r w:rsidRPr="00C85C34">
        <w:t>The payment plan established in the following Order conforms with the applicable provisions of the Public Utility Code.  66 </w:t>
      </w:r>
      <w:smartTag w:uri="urn:schemas-microsoft-com:office:smarttags" w:element="place">
        <w:smartTag w:uri="urn:schemas-microsoft-com:office:smarttags" w:element="State">
          <w:r w:rsidRPr="00C85C34">
            <w:t>Pa.</w:t>
          </w:r>
        </w:smartTag>
      </w:smartTag>
      <w:r w:rsidRPr="00C85C34">
        <w:t xml:space="preserve"> C.S. §§1401, </w:t>
      </w:r>
      <w:r w:rsidRPr="00C85C34">
        <w:rPr>
          <w:i/>
        </w:rPr>
        <w:t>et seq</w:t>
      </w:r>
      <w:r w:rsidRPr="00C85C34">
        <w:t>.</w:t>
      </w:r>
    </w:p>
    <w:p w:rsidR="00C85C34" w:rsidRDefault="00C85C34" w:rsidP="00C85C34">
      <w:pPr>
        <w:pStyle w:val="ListParagraph"/>
      </w:pPr>
    </w:p>
    <w:p w:rsidR="00C85C34" w:rsidRDefault="00C85C34" w:rsidP="00C85C34">
      <w:pPr>
        <w:tabs>
          <w:tab w:val="left" w:pos="0"/>
        </w:tabs>
        <w:spacing w:line="360" w:lineRule="auto"/>
      </w:pPr>
    </w:p>
    <w:p w:rsidR="00037F0B" w:rsidRDefault="00037F0B" w:rsidP="00037F0B">
      <w:pPr>
        <w:tabs>
          <w:tab w:val="left" w:pos="0"/>
        </w:tabs>
        <w:spacing w:line="360" w:lineRule="auto"/>
        <w:jc w:val="center"/>
      </w:pPr>
      <w:r>
        <w:rPr>
          <w:u w:val="single"/>
        </w:rPr>
        <w:t>ORDER</w:t>
      </w:r>
    </w:p>
    <w:p w:rsidR="00037F0B" w:rsidRDefault="00037F0B" w:rsidP="00037F0B">
      <w:pPr>
        <w:tabs>
          <w:tab w:val="left" w:pos="0"/>
        </w:tabs>
        <w:spacing w:line="360" w:lineRule="auto"/>
      </w:pPr>
    </w:p>
    <w:p w:rsidR="00037F0B" w:rsidRDefault="00037F0B" w:rsidP="00037F0B">
      <w:pPr>
        <w:tabs>
          <w:tab w:val="left" w:pos="0"/>
        </w:tabs>
        <w:spacing w:line="360" w:lineRule="auto"/>
      </w:pPr>
      <w:r>
        <w:tab/>
      </w:r>
      <w:r>
        <w:tab/>
        <w:t>THEREFORE,</w:t>
      </w:r>
    </w:p>
    <w:p w:rsidR="00037F0B" w:rsidRDefault="00037F0B" w:rsidP="00037F0B">
      <w:pPr>
        <w:tabs>
          <w:tab w:val="left" w:pos="0"/>
        </w:tabs>
        <w:spacing w:line="360" w:lineRule="auto"/>
      </w:pPr>
    </w:p>
    <w:p w:rsidR="00037F0B" w:rsidRDefault="00037F0B" w:rsidP="00037F0B">
      <w:pPr>
        <w:tabs>
          <w:tab w:val="left" w:pos="0"/>
        </w:tabs>
        <w:spacing w:line="360" w:lineRule="auto"/>
      </w:pPr>
      <w:r>
        <w:tab/>
      </w:r>
      <w:r>
        <w:tab/>
        <w:t>IT IS ORDERED:</w:t>
      </w:r>
    </w:p>
    <w:p w:rsidR="00037F0B" w:rsidRDefault="00037F0B" w:rsidP="00037F0B">
      <w:pPr>
        <w:tabs>
          <w:tab w:val="left" w:pos="0"/>
        </w:tabs>
        <w:spacing w:line="360" w:lineRule="auto"/>
      </w:pPr>
    </w:p>
    <w:p w:rsidR="00037F0B" w:rsidRDefault="00247550" w:rsidP="00037F0B">
      <w:pPr>
        <w:pStyle w:val="ListParagraph"/>
        <w:numPr>
          <w:ilvl w:val="0"/>
          <w:numId w:val="3"/>
        </w:numPr>
        <w:tabs>
          <w:tab w:val="left" w:pos="0"/>
        </w:tabs>
        <w:spacing w:line="360" w:lineRule="auto"/>
        <w:ind w:left="0" w:firstLine="1440"/>
      </w:pPr>
      <w:r w:rsidRPr="00247550">
        <w:t>That the complaint of</w:t>
      </w:r>
      <w:r>
        <w:t xml:space="preserve"> Robert Gromo</w:t>
      </w:r>
      <w:r w:rsidRPr="00247550">
        <w:t xml:space="preserve"> against</w:t>
      </w:r>
      <w:r>
        <w:t xml:space="preserve"> Duquesne Light Company</w:t>
      </w:r>
      <w:r w:rsidRPr="00247550">
        <w:t>, at Docket No.</w:t>
      </w:r>
      <w:r>
        <w:t xml:space="preserve"> C-2010-2164446</w:t>
      </w:r>
      <w:r w:rsidRPr="00247550">
        <w:t xml:space="preserve">, is hereby </w:t>
      </w:r>
      <w:r>
        <w:t xml:space="preserve">granted in part and </w:t>
      </w:r>
      <w:r w:rsidRPr="00247550">
        <w:t>denied</w:t>
      </w:r>
      <w:r>
        <w:t xml:space="preserve"> in part</w:t>
      </w:r>
      <w:r w:rsidRPr="00247550">
        <w:t>.</w:t>
      </w:r>
      <w:r>
        <w:t xml:space="preserve">  To the extent </w:t>
      </w:r>
      <w:r w:rsidR="00E208AD">
        <w:t>the complaint requests a payment plan on this account, it is hereby granted.  In all other respects, the complaint is hereby denied.</w:t>
      </w:r>
    </w:p>
    <w:p w:rsidR="00E208AD" w:rsidRDefault="00E208AD" w:rsidP="00E208AD">
      <w:pPr>
        <w:pStyle w:val="ListParagraph"/>
        <w:tabs>
          <w:tab w:val="left" w:pos="0"/>
        </w:tabs>
        <w:spacing w:line="360" w:lineRule="auto"/>
        <w:ind w:left="1440"/>
      </w:pPr>
    </w:p>
    <w:p w:rsidR="0003765D" w:rsidRDefault="00D7473C" w:rsidP="00037F0B">
      <w:pPr>
        <w:pStyle w:val="ListParagraph"/>
        <w:numPr>
          <w:ilvl w:val="0"/>
          <w:numId w:val="3"/>
        </w:numPr>
        <w:tabs>
          <w:tab w:val="left" w:pos="0"/>
        </w:tabs>
        <w:spacing w:line="360" w:lineRule="auto"/>
        <w:ind w:left="0" w:firstLine="1440"/>
      </w:pPr>
      <w:r w:rsidRPr="00D7473C">
        <w:t>That Complainant shall pay Respondent on the date due for the payment of each monthly bill, the regular budget amount of the bills as they come due, plus 1/</w:t>
      </w:r>
      <w:r>
        <w:t>60</w:t>
      </w:r>
      <w:r w:rsidRPr="00D7473C">
        <w:rPr>
          <w:vertAlign w:val="superscript"/>
        </w:rPr>
        <w:t>th</w:t>
      </w:r>
      <w:r w:rsidRPr="00D7473C">
        <w:t xml:space="preserve"> of the arrearage owed on this account to be calculated as of the date the Commission enters its Order in </w:t>
      </w:r>
    </w:p>
    <w:p w:rsidR="0003765D" w:rsidRDefault="0003765D">
      <w:r>
        <w:br w:type="page"/>
      </w:r>
    </w:p>
    <w:p w:rsidR="00E208AD" w:rsidRDefault="00D7473C" w:rsidP="0003765D">
      <w:pPr>
        <w:pStyle w:val="ListParagraph"/>
        <w:tabs>
          <w:tab w:val="left" w:pos="0"/>
        </w:tabs>
        <w:spacing w:line="360" w:lineRule="auto"/>
        <w:ind w:left="0"/>
      </w:pPr>
      <w:r w:rsidRPr="00D7473C">
        <w:lastRenderedPageBreak/>
        <w:t xml:space="preserve">this case; these payments shall commence with the first monthly bill received after entry of the </w:t>
      </w:r>
      <w:proofErr w:type="gramStart"/>
      <w:r w:rsidRPr="00D7473C">
        <w:t>Commission’s Order in this case and continue thereafter</w:t>
      </w:r>
      <w:proofErr w:type="gramEnd"/>
      <w:r w:rsidRPr="00D7473C">
        <w:t xml:space="preserve"> on the due date for the payment of each regular monthly bill, until the arrearage on this account has been paid in full.</w:t>
      </w:r>
    </w:p>
    <w:p w:rsidR="00D7473C" w:rsidRDefault="00D7473C" w:rsidP="00D7473C">
      <w:pPr>
        <w:pStyle w:val="ListParagraph"/>
      </w:pPr>
    </w:p>
    <w:p w:rsidR="00D7473C" w:rsidRDefault="00D7473C" w:rsidP="00037F0B">
      <w:pPr>
        <w:pStyle w:val="ListParagraph"/>
        <w:numPr>
          <w:ilvl w:val="0"/>
          <w:numId w:val="3"/>
        </w:numPr>
        <w:tabs>
          <w:tab w:val="left" w:pos="0"/>
        </w:tabs>
        <w:spacing w:line="360" w:lineRule="auto"/>
        <w:ind w:left="0" w:firstLine="1440"/>
      </w:pPr>
      <w:r w:rsidRPr="00D7473C">
        <w:t>That, so long as Complainant adheres to the terms of this Order, Respondent shall not assess any late payment charges nor shall Respondent terminate service to Complainant, except for valid safety and/or emergency reasons.</w:t>
      </w:r>
    </w:p>
    <w:p w:rsidR="00D7473C" w:rsidRDefault="00D7473C" w:rsidP="00D7473C">
      <w:pPr>
        <w:pStyle w:val="ListParagraph"/>
      </w:pPr>
    </w:p>
    <w:p w:rsidR="00D7473C" w:rsidRDefault="001C0F1C" w:rsidP="00037F0B">
      <w:pPr>
        <w:pStyle w:val="ListParagraph"/>
        <w:numPr>
          <w:ilvl w:val="0"/>
          <w:numId w:val="3"/>
        </w:numPr>
        <w:tabs>
          <w:tab w:val="left" w:pos="0"/>
        </w:tabs>
        <w:spacing w:line="360" w:lineRule="auto"/>
        <w:ind w:left="0" w:firstLine="1440"/>
      </w:pPr>
      <w:r w:rsidRPr="001C0F1C">
        <w:t xml:space="preserve">That if Complainant fails to adhere to the terms of this Order, the Respondent is hereby authorized to terminate Complainant’s service pursuant to the provisions of the Public Utility Code, 66 Pa. C.S. §§101, </w:t>
      </w:r>
      <w:r w:rsidRPr="001C0F1C">
        <w:rPr>
          <w:i/>
        </w:rPr>
        <w:t>et seq</w:t>
      </w:r>
      <w:r w:rsidRPr="001C0F1C">
        <w:t xml:space="preserve">., and the Commission’s regulations, 52 Pa. Code §§56.1, </w:t>
      </w:r>
      <w:r w:rsidRPr="001C0F1C">
        <w:rPr>
          <w:i/>
        </w:rPr>
        <w:t>et seq</w:t>
      </w:r>
      <w:r w:rsidRPr="001C0F1C">
        <w:t>.</w:t>
      </w:r>
    </w:p>
    <w:p w:rsidR="001C0F1C" w:rsidRDefault="001C0F1C" w:rsidP="001C0F1C">
      <w:pPr>
        <w:pStyle w:val="ListParagraph"/>
      </w:pPr>
    </w:p>
    <w:p w:rsidR="001C0F1C" w:rsidRDefault="001C0F1C" w:rsidP="001C0F1C">
      <w:pPr>
        <w:tabs>
          <w:tab w:val="left" w:pos="0"/>
        </w:tabs>
        <w:spacing w:line="360" w:lineRule="auto"/>
      </w:pPr>
    </w:p>
    <w:p w:rsidR="001C0F1C" w:rsidRDefault="001C0F1C" w:rsidP="001C0F1C">
      <w:pPr>
        <w:tabs>
          <w:tab w:val="left" w:pos="0"/>
        </w:tabs>
      </w:pPr>
      <w:r>
        <w:t xml:space="preserve">Date: </w:t>
      </w:r>
      <w:r w:rsidR="004D4C25">
        <w:rPr>
          <w:u w:val="single"/>
        </w:rPr>
        <w:t>November 24</w:t>
      </w:r>
      <w:r w:rsidR="00FC0A0F">
        <w:rPr>
          <w:u w:val="single"/>
        </w:rPr>
        <w:t>, 2010</w:t>
      </w:r>
      <w:r w:rsidR="00FC0A0F">
        <w:tab/>
      </w:r>
      <w:r w:rsidR="00FC0A0F">
        <w:tab/>
      </w:r>
      <w:r w:rsidR="00FC0A0F">
        <w:tab/>
      </w:r>
      <w:r w:rsidR="00FC0A0F">
        <w:tab/>
      </w:r>
      <w:r w:rsidR="00FC0A0F">
        <w:rPr>
          <w:u w:val="single"/>
        </w:rPr>
        <w:tab/>
      </w:r>
      <w:r w:rsidR="00FC0A0F">
        <w:rPr>
          <w:u w:val="single"/>
        </w:rPr>
        <w:tab/>
      </w:r>
      <w:r w:rsidR="00FC0A0F">
        <w:rPr>
          <w:u w:val="single"/>
        </w:rPr>
        <w:tab/>
      </w:r>
      <w:r w:rsidR="00FC0A0F">
        <w:rPr>
          <w:u w:val="single"/>
        </w:rPr>
        <w:tab/>
      </w:r>
      <w:r w:rsidR="00FC0A0F">
        <w:rPr>
          <w:u w:val="single"/>
        </w:rPr>
        <w:tab/>
      </w:r>
      <w:r w:rsidR="00FC0A0F">
        <w:rPr>
          <w:u w:val="single"/>
        </w:rPr>
        <w:tab/>
      </w:r>
    </w:p>
    <w:p w:rsidR="00FC0A0F" w:rsidRDefault="00FC0A0F" w:rsidP="001C0F1C">
      <w:pPr>
        <w:tabs>
          <w:tab w:val="left" w:pos="0"/>
        </w:tabs>
      </w:pPr>
      <w:r>
        <w:tab/>
      </w:r>
      <w:r>
        <w:tab/>
      </w:r>
      <w:r>
        <w:tab/>
      </w:r>
      <w:r>
        <w:tab/>
      </w:r>
      <w:r>
        <w:tab/>
      </w:r>
      <w:r>
        <w:tab/>
      </w:r>
      <w:r>
        <w:tab/>
        <w:t>John H. Corbett, Jr.</w:t>
      </w:r>
    </w:p>
    <w:p w:rsidR="0065068D" w:rsidRPr="00FC0A0F" w:rsidRDefault="00FC0A0F" w:rsidP="00417453">
      <w:pPr>
        <w:tabs>
          <w:tab w:val="left" w:pos="0"/>
        </w:tabs>
      </w:pPr>
      <w:r>
        <w:tab/>
      </w:r>
      <w:r>
        <w:tab/>
      </w:r>
      <w:r>
        <w:tab/>
      </w:r>
      <w:r>
        <w:tab/>
      </w:r>
      <w:r>
        <w:tab/>
      </w:r>
      <w:r>
        <w:tab/>
      </w:r>
      <w:r>
        <w:tab/>
        <w:t>Administrative Law Judge</w:t>
      </w:r>
    </w:p>
    <w:sectPr w:rsidR="0065068D" w:rsidRPr="00FC0A0F" w:rsidSect="007D69B8">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A26" w:rsidRDefault="002D1A26" w:rsidP="00F10CD1">
      <w:r>
        <w:separator/>
      </w:r>
    </w:p>
  </w:endnote>
  <w:endnote w:type="continuationSeparator" w:id="0">
    <w:p w:rsidR="002D1A26" w:rsidRDefault="002D1A26" w:rsidP="00F10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22391"/>
      <w:docPartObj>
        <w:docPartGallery w:val="Page Numbers (Bottom of Page)"/>
        <w:docPartUnique/>
      </w:docPartObj>
    </w:sdtPr>
    <w:sdtEndPr>
      <w:rPr>
        <w:sz w:val="22"/>
        <w:szCs w:val="22"/>
      </w:rPr>
    </w:sdtEndPr>
    <w:sdtContent>
      <w:p w:rsidR="00E208AD" w:rsidRPr="00E851D3" w:rsidRDefault="007B5296">
        <w:pPr>
          <w:pStyle w:val="Footer"/>
          <w:jc w:val="center"/>
          <w:rPr>
            <w:sz w:val="22"/>
            <w:szCs w:val="22"/>
          </w:rPr>
        </w:pPr>
        <w:r w:rsidRPr="00417453">
          <w:rPr>
            <w:sz w:val="20"/>
            <w:szCs w:val="20"/>
          </w:rPr>
          <w:fldChar w:fldCharType="begin"/>
        </w:r>
        <w:r w:rsidR="00D92EDA" w:rsidRPr="00417453">
          <w:rPr>
            <w:sz w:val="20"/>
            <w:szCs w:val="20"/>
          </w:rPr>
          <w:instrText xml:space="preserve"> PAGE   \* MERGEFORMAT </w:instrText>
        </w:r>
        <w:r w:rsidRPr="00417453">
          <w:rPr>
            <w:sz w:val="20"/>
            <w:szCs w:val="20"/>
          </w:rPr>
          <w:fldChar w:fldCharType="separate"/>
        </w:r>
        <w:r w:rsidR="0003765D">
          <w:rPr>
            <w:noProof/>
            <w:sz w:val="20"/>
            <w:szCs w:val="20"/>
          </w:rPr>
          <w:t>10</w:t>
        </w:r>
        <w:r w:rsidRPr="00417453">
          <w:rPr>
            <w:sz w:val="20"/>
            <w:szCs w:val="20"/>
          </w:rPr>
          <w:fldChar w:fldCharType="end"/>
        </w:r>
      </w:p>
    </w:sdtContent>
  </w:sdt>
  <w:p w:rsidR="00E208AD" w:rsidRDefault="00E20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A26" w:rsidRDefault="002D1A26" w:rsidP="00F10CD1">
      <w:r>
        <w:separator/>
      </w:r>
    </w:p>
  </w:footnote>
  <w:footnote w:type="continuationSeparator" w:id="0">
    <w:p w:rsidR="002D1A26" w:rsidRDefault="002D1A26" w:rsidP="00F10CD1">
      <w:r>
        <w:continuationSeparator/>
      </w:r>
    </w:p>
  </w:footnote>
  <w:footnote w:id="1">
    <w:p w:rsidR="00E208AD" w:rsidRDefault="00E208AD" w:rsidP="00481F7C">
      <w:pPr>
        <w:pStyle w:val="FootnoteText"/>
        <w:ind w:firstLine="720"/>
      </w:pPr>
      <w:r>
        <w:rPr>
          <w:rStyle w:val="FootnoteReference"/>
        </w:rPr>
        <w:footnoteRef/>
      </w:r>
      <w:r>
        <w:t xml:space="preserve"> </w:t>
      </w:r>
      <w:r>
        <w:tab/>
        <w:t>Respondent filed a motion for sanctions for Complainant’s failure to respond to discovery requests on October 12, 2010.  This motion was satisfactorily resolved at the hearing on October 18, 2010 (N.T. 7-10, 39).</w:t>
      </w:r>
    </w:p>
  </w:footnote>
  <w:footnote w:id="2">
    <w:p w:rsidR="00E208AD" w:rsidRDefault="00E208AD" w:rsidP="000345A7">
      <w:pPr>
        <w:pStyle w:val="FootnoteText"/>
        <w:ind w:firstLine="720"/>
      </w:pPr>
      <w:r>
        <w:rPr>
          <w:rStyle w:val="FootnoteReference"/>
        </w:rPr>
        <w:footnoteRef/>
      </w:r>
      <w:r>
        <w:t xml:space="preserve"> </w:t>
      </w:r>
      <w:r>
        <w:tab/>
      </w:r>
      <w:r w:rsidRPr="0097562D">
        <w:t xml:space="preserve">In January of each year the federal government releases an official income level for poverty called the </w:t>
      </w:r>
      <w:r>
        <w:t>“</w:t>
      </w:r>
      <w:r w:rsidRPr="0097562D">
        <w:t>Federal Poverty Income Guidelines,</w:t>
      </w:r>
      <w:r>
        <w:t>”</w:t>
      </w:r>
      <w:r w:rsidRPr="0097562D">
        <w:t xml:space="preserve"> often informally referred to as the </w:t>
      </w:r>
      <w:r>
        <w:t>“Federal Poverty Level.”</w:t>
      </w:r>
      <w:r w:rsidRPr="0097562D">
        <w:t xml:space="preserve"> </w:t>
      </w:r>
      <w:r>
        <w:t xml:space="preserve"> </w:t>
      </w:r>
      <w:r w:rsidRPr="0097562D">
        <w:t>The benefit levels of many low-income assistance programs are based on these pover</w:t>
      </w:r>
      <w:r>
        <w:t>ty guidelines.  For the year 2010</w:t>
      </w:r>
      <w:r w:rsidRPr="0097562D">
        <w:t xml:space="preserve">, </w:t>
      </w:r>
      <w:r>
        <w:t xml:space="preserve">150% of </w:t>
      </w:r>
      <w:r w:rsidRPr="0097562D">
        <w:t xml:space="preserve">the </w:t>
      </w:r>
      <w:r>
        <w:t>F</w:t>
      </w:r>
      <w:r w:rsidRPr="0097562D">
        <w:t xml:space="preserve">ederal poverty level for a </w:t>
      </w:r>
      <w:r>
        <w:t xml:space="preserve">household consisting of one individual </w:t>
      </w:r>
      <w:r w:rsidRPr="0097562D">
        <w:t xml:space="preserve">is </w:t>
      </w:r>
      <w:r>
        <w:t xml:space="preserve">set </w:t>
      </w:r>
      <w:r w:rsidRPr="0097562D">
        <w:t>at $</w:t>
      </w:r>
      <w:r>
        <w:t xml:space="preserve">1,354.00 </w:t>
      </w:r>
      <w:r w:rsidRPr="0097562D">
        <w:t>gross income</w:t>
      </w:r>
      <w:r>
        <w:t xml:space="preserve"> per month</w:t>
      </w:r>
      <w:r w:rsidRPr="0097562D">
        <w:t>.</w:t>
      </w:r>
    </w:p>
    <w:p w:rsidR="00E208AD" w:rsidRPr="0097562D" w:rsidRDefault="00E208AD" w:rsidP="000345A7">
      <w:pPr>
        <w:pStyle w:val="FootnoteText"/>
        <w:ind w:firstLine="720"/>
      </w:pPr>
    </w:p>
  </w:footnote>
  <w:footnote w:id="3">
    <w:p w:rsidR="00E208AD" w:rsidRDefault="00E208AD" w:rsidP="00A56596">
      <w:pPr>
        <w:pStyle w:val="FootnoteText"/>
        <w:ind w:firstLine="720"/>
      </w:pPr>
      <w:r>
        <w:rPr>
          <w:rStyle w:val="FootnoteReference"/>
        </w:rPr>
        <w:footnoteRef/>
      </w:r>
      <w:r>
        <w:t xml:space="preserve"> </w:t>
      </w:r>
      <w:r>
        <w:tab/>
        <w:t>Duquesne Light agrees to provide Complainant with information so he can apply for its Customer Assistance Program (N.T. 36-37).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76AA"/>
    <w:multiLevelType w:val="hybridMultilevel"/>
    <w:tmpl w:val="3F2CD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35B69"/>
    <w:multiLevelType w:val="hybridMultilevel"/>
    <w:tmpl w:val="21B2F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6079F"/>
    <w:multiLevelType w:val="hybridMultilevel"/>
    <w:tmpl w:val="1748A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171416A4-9C32-48D2-8CA1-1172E45DD217}"/>
    <w:docVar w:name="dgnword-eventsink" w:val="79141704"/>
  </w:docVars>
  <w:rsids>
    <w:rsidRoot w:val="008B262E"/>
    <w:rsid w:val="00002E71"/>
    <w:rsid w:val="0000610B"/>
    <w:rsid w:val="0001444C"/>
    <w:rsid w:val="000158F5"/>
    <w:rsid w:val="00015C87"/>
    <w:rsid w:val="00015F42"/>
    <w:rsid w:val="000200B5"/>
    <w:rsid w:val="00022031"/>
    <w:rsid w:val="00022664"/>
    <w:rsid w:val="00024AA5"/>
    <w:rsid w:val="0002562A"/>
    <w:rsid w:val="00027171"/>
    <w:rsid w:val="00027E4C"/>
    <w:rsid w:val="000345A7"/>
    <w:rsid w:val="0003505B"/>
    <w:rsid w:val="00035D88"/>
    <w:rsid w:val="000372E6"/>
    <w:rsid w:val="0003765D"/>
    <w:rsid w:val="00037F0B"/>
    <w:rsid w:val="000404B5"/>
    <w:rsid w:val="00041450"/>
    <w:rsid w:val="00041943"/>
    <w:rsid w:val="00042860"/>
    <w:rsid w:val="00044944"/>
    <w:rsid w:val="0004591A"/>
    <w:rsid w:val="00047F6E"/>
    <w:rsid w:val="00050567"/>
    <w:rsid w:val="00054660"/>
    <w:rsid w:val="0005471E"/>
    <w:rsid w:val="00056339"/>
    <w:rsid w:val="00063896"/>
    <w:rsid w:val="0006554F"/>
    <w:rsid w:val="00067C8F"/>
    <w:rsid w:val="00070D98"/>
    <w:rsid w:val="000716B7"/>
    <w:rsid w:val="00073DA6"/>
    <w:rsid w:val="000767FF"/>
    <w:rsid w:val="0008135A"/>
    <w:rsid w:val="0008257A"/>
    <w:rsid w:val="00085610"/>
    <w:rsid w:val="00087CC5"/>
    <w:rsid w:val="0009005C"/>
    <w:rsid w:val="000921BC"/>
    <w:rsid w:val="00095B50"/>
    <w:rsid w:val="00096F74"/>
    <w:rsid w:val="000A0A7F"/>
    <w:rsid w:val="000A49B3"/>
    <w:rsid w:val="000A510C"/>
    <w:rsid w:val="000A7EFE"/>
    <w:rsid w:val="000B3598"/>
    <w:rsid w:val="000B53F0"/>
    <w:rsid w:val="000B629F"/>
    <w:rsid w:val="000B6D95"/>
    <w:rsid w:val="000C1A6B"/>
    <w:rsid w:val="000C269C"/>
    <w:rsid w:val="000C3E62"/>
    <w:rsid w:val="000C5510"/>
    <w:rsid w:val="000C71B2"/>
    <w:rsid w:val="000C76C7"/>
    <w:rsid w:val="000C7D52"/>
    <w:rsid w:val="000D0A51"/>
    <w:rsid w:val="000D1336"/>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746C"/>
    <w:rsid w:val="00140ED5"/>
    <w:rsid w:val="001422C9"/>
    <w:rsid w:val="0014695E"/>
    <w:rsid w:val="00147A1C"/>
    <w:rsid w:val="00150F38"/>
    <w:rsid w:val="00151828"/>
    <w:rsid w:val="00152DD8"/>
    <w:rsid w:val="001534FA"/>
    <w:rsid w:val="00153BB2"/>
    <w:rsid w:val="001551FE"/>
    <w:rsid w:val="00156A77"/>
    <w:rsid w:val="00157F7C"/>
    <w:rsid w:val="00163667"/>
    <w:rsid w:val="00171BA7"/>
    <w:rsid w:val="00175FE7"/>
    <w:rsid w:val="00177B41"/>
    <w:rsid w:val="00177C22"/>
    <w:rsid w:val="0018502A"/>
    <w:rsid w:val="00186713"/>
    <w:rsid w:val="00187E3E"/>
    <w:rsid w:val="00190B52"/>
    <w:rsid w:val="00192F81"/>
    <w:rsid w:val="00194EDA"/>
    <w:rsid w:val="001967AC"/>
    <w:rsid w:val="00197214"/>
    <w:rsid w:val="00197FE7"/>
    <w:rsid w:val="001A03F6"/>
    <w:rsid w:val="001A517C"/>
    <w:rsid w:val="001A6616"/>
    <w:rsid w:val="001B1283"/>
    <w:rsid w:val="001B242D"/>
    <w:rsid w:val="001B37F9"/>
    <w:rsid w:val="001B389A"/>
    <w:rsid w:val="001B6147"/>
    <w:rsid w:val="001B669F"/>
    <w:rsid w:val="001B6767"/>
    <w:rsid w:val="001B7B44"/>
    <w:rsid w:val="001C0F1C"/>
    <w:rsid w:val="001C16F1"/>
    <w:rsid w:val="001C1DA4"/>
    <w:rsid w:val="001D0B3C"/>
    <w:rsid w:val="001D2805"/>
    <w:rsid w:val="001D46D6"/>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0865"/>
    <w:rsid w:val="002432B5"/>
    <w:rsid w:val="00244DC3"/>
    <w:rsid w:val="00245EC6"/>
    <w:rsid w:val="00247550"/>
    <w:rsid w:val="00254AC4"/>
    <w:rsid w:val="0025505D"/>
    <w:rsid w:val="0025568C"/>
    <w:rsid w:val="0025624A"/>
    <w:rsid w:val="00256602"/>
    <w:rsid w:val="002569D2"/>
    <w:rsid w:val="00256F15"/>
    <w:rsid w:val="00257A5A"/>
    <w:rsid w:val="00264827"/>
    <w:rsid w:val="002659C1"/>
    <w:rsid w:val="00265D1C"/>
    <w:rsid w:val="00265F08"/>
    <w:rsid w:val="00265FF2"/>
    <w:rsid w:val="00266EEA"/>
    <w:rsid w:val="002705F3"/>
    <w:rsid w:val="002715D6"/>
    <w:rsid w:val="00273113"/>
    <w:rsid w:val="00273CD5"/>
    <w:rsid w:val="00274AEB"/>
    <w:rsid w:val="0028196A"/>
    <w:rsid w:val="00282E72"/>
    <w:rsid w:val="00283D73"/>
    <w:rsid w:val="00286013"/>
    <w:rsid w:val="00286E18"/>
    <w:rsid w:val="00291691"/>
    <w:rsid w:val="00292413"/>
    <w:rsid w:val="00292C52"/>
    <w:rsid w:val="0029312D"/>
    <w:rsid w:val="00297007"/>
    <w:rsid w:val="002A08AE"/>
    <w:rsid w:val="002A0C6D"/>
    <w:rsid w:val="002A5634"/>
    <w:rsid w:val="002A7DC6"/>
    <w:rsid w:val="002B080D"/>
    <w:rsid w:val="002B43C8"/>
    <w:rsid w:val="002B693E"/>
    <w:rsid w:val="002C0A83"/>
    <w:rsid w:val="002C5195"/>
    <w:rsid w:val="002C6736"/>
    <w:rsid w:val="002D15FF"/>
    <w:rsid w:val="002D1A26"/>
    <w:rsid w:val="002D3212"/>
    <w:rsid w:val="002D46AD"/>
    <w:rsid w:val="002D50E8"/>
    <w:rsid w:val="002E414F"/>
    <w:rsid w:val="002E62AE"/>
    <w:rsid w:val="002E6A8A"/>
    <w:rsid w:val="002E7B4F"/>
    <w:rsid w:val="002E7CBD"/>
    <w:rsid w:val="002F0988"/>
    <w:rsid w:val="002F0CDC"/>
    <w:rsid w:val="002F58C1"/>
    <w:rsid w:val="003009B5"/>
    <w:rsid w:val="00303C1E"/>
    <w:rsid w:val="003065A6"/>
    <w:rsid w:val="003105EB"/>
    <w:rsid w:val="00313224"/>
    <w:rsid w:val="00314634"/>
    <w:rsid w:val="0031504C"/>
    <w:rsid w:val="00316397"/>
    <w:rsid w:val="00320C3C"/>
    <w:rsid w:val="0032138D"/>
    <w:rsid w:val="0032184B"/>
    <w:rsid w:val="00322AAB"/>
    <w:rsid w:val="00323CE9"/>
    <w:rsid w:val="0032536B"/>
    <w:rsid w:val="0032582D"/>
    <w:rsid w:val="00335273"/>
    <w:rsid w:val="003358E1"/>
    <w:rsid w:val="003367D1"/>
    <w:rsid w:val="003413E4"/>
    <w:rsid w:val="00343DF7"/>
    <w:rsid w:val="00344BBD"/>
    <w:rsid w:val="00347D4D"/>
    <w:rsid w:val="00354367"/>
    <w:rsid w:val="003560A1"/>
    <w:rsid w:val="003567DC"/>
    <w:rsid w:val="0036055F"/>
    <w:rsid w:val="00363FC4"/>
    <w:rsid w:val="00364892"/>
    <w:rsid w:val="003726FA"/>
    <w:rsid w:val="00372BCE"/>
    <w:rsid w:val="00375FC7"/>
    <w:rsid w:val="00376FD2"/>
    <w:rsid w:val="00377219"/>
    <w:rsid w:val="00383E9E"/>
    <w:rsid w:val="00386EC2"/>
    <w:rsid w:val="003914A1"/>
    <w:rsid w:val="003915CD"/>
    <w:rsid w:val="00391A2A"/>
    <w:rsid w:val="003928FD"/>
    <w:rsid w:val="00393A51"/>
    <w:rsid w:val="003A4AF4"/>
    <w:rsid w:val="003A51FD"/>
    <w:rsid w:val="003A5775"/>
    <w:rsid w:val="003A645A"/>
    <w:rsid w:val="003A7731"/>
    <w:rsid w:val="003B0F7E"/>
    <w:rsid w:val="003B4B82"/>
    <w:rsid w:val="003B5554"/>
    <w:rsid w:val="003C0D59"/>
    <w:rsid w:val="003C0F08"/>
    <w:rsid w:val="003C49C9"/>
    <w:rsid w:val="003C4FBC"/>
    <w:rsid w:val="003D00C1"/>
    <w:rsid w:val="003D15D0"/>
    <w:rsid w:val="003D38F7"/>
    <w:rsid w:val="003D42D0"/>
    <w:rsid w:val="003D5AB0"/>
    <w:rsid w:val="003D6669"/>
    <w:rsid w:val="003D6830"/>
    <w:rsid w:val="003E1004"/>
    <w:rsid w:val="003E5628"/>
    <w:rsid w:val="003E5D1E"/>
    <w:rsid w:val="003F100E"/>
    <w:rsid w:val="003F347A"/>
    <w:rsid w:val="003F69AF"/>
    <w:rsid w:val="003F69C5"/>
    <w:rsid w:val="0040464B"/>
    <w:rsid w:val="00405757"/>
    <w:rsid w:val="00407E2D"/>
    <w:rsid w:val="00411F97"/>
    <w:rsid w:val="00414514"/>
    <w:rsid w:val="00414F66"/>
    <w:rsid w:val="00415484"/>
    <w:rsid w:val="00417453"/>
    <w:rsid w:val="0041758B"/>
    <w:rsid w:val="00417A48"/>
    <w:rsid w:val="00417FB9"/>
    <w:rsid w:val="00421720"/>
    <w:rsid w:val="004255AD"/>
    <w:rsid w:val="00425F5E"/>
    <w:rsid w:val="00427446"/>
    <w:rsid w:val="00427731"/>
    <w:rsid w:val="00431ED9"/>
    <w:rsid w:val="0043213F"/>
    <w:rsid w:val="004345F2"/>
    <w:rsid w:val="00441623"/>
    <w:rsid w:val="00441E8C"/>
    <w:rsid w:val="00443FC3"/>
    <w:rsid w:val="00444F84"/>
    <w:rsid w:val="00447594"/>
    <w:rsid w:val="00447DAD"/>
    <w:rsid w:val="00451BB3"/>
    <w:rsid w:val="00456B68"/>
    <w:rsid w:val="004606F8"/>
    <w:rsid w:val="004610DD"/>
    <w:rsid w:val="00465CA9"/>
    <w:rsid w:val="00466EEB"/>
    <w:rsid w:val="004763CF"/>
    <w:rsid w:val="00476406"/>
    <w:rsid w:val="004801CF"/>
    <w:rsid w:val="00481F7C"/>
    <w:rsid w:val="0048666B"/>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418"/>
    <w:rsid w:val="004D0435"/>
    <w:rsid w:val="004D0F86"/>
    <w:rsid w:val="004D17EE"/>
    <w:rsid w:val="004D1AF6"/>
    <w:rsid w:val="004D26B3"/>
    <w:rsid w:val="004D3CF4"/>
    <w:rsid w:val="004D4C25"/>
    <w:rsid w:val="004D5571"/>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10BCD"/>
    <w:rsid w:val="00512E78"/>
    <w:rsid w:val="00513A0D"/>
    <w:rsid w:val="00513E78"/>
    <w:rsid w:val="0051586D"/>
    <w:rsid w:val="005177DF"/>
    <w:rsid w:val="00520B4D"/>
    <w:rsid w:val="00522F41"/>
    <w:rsid w:val="005231B2"/>
    <w:rsid w:val="005235D3"/>
    <w:rsid w:val="00524165"/>
    <w:rsid w:val="005245B1"/>
    <w:rsid w:val="00526125"/>
    <w:rsid w:val="0052693F"/>
    <w:rsid w:val="005319D7"/>
    <w:rsid w:val="00535F47"/>
    <w:rsid w:val="00540984"/>
    <w:rsid w:val="00544B49"/>
    <w:rsid w:val="005463A9"/>
    <w:rsid w:val="00546F57"/>
    <w:rsid w:val="005474D6"/>
    <w:rsid w:val="0055234E"/>
    <w:rsid w:val="00553A47"/>
    <w:rsid w:val="0055687A"/>
    <w:rsid w:val="00562BF1"/>
    <w:rsid w:val="0056301D"/>
    <w:rsid w:val="0057174D"/>
    <w:rsid w:val="005756A2"/>
    <w:rsid w:val="005756F9"/>
    <w:rsid w:val="00575B38"/>
    <w:rsid w:val="00576844"/>
    <w:rsid w:val="005773BD"/>
    <w:rsid w:val="00580C5C"/>
    <w:rsid w:val="0058134C"/>
    <w:rsid w:val="00581E78"/>
    <w:rsid w:val="00584930"/>
    <w:rsid w:val="0058593F"/>
    <w:rsid w:val="00590615"/>
    <w:rsid w:val="00594182"/>
    <w:rsid w:val="005945F6"/>
    <w:rsid w:val="00595C07"/>
    <w:rsid w:val="005963C4"/>
    <w:rsid w:val="005A127F"/>
    <w:rsid w:val="005A560D"/>
    <w:rsid w:val="005A649F"/>
    <w:rsid w:val="005A7487"/>
    <w:rsid w:val="005A78BE"/>
    <w:rsid w:val="005B0099"/>
    <w:rsid w:val="005B04D0"/>
    <w:rsid w:val="005B4EAA"/>
    <w:rsid w:val="005B7AAB"/>
    <w:rsid w:val="005C5138"/>
    <w:rsid w:val="005C5CD5"/>
    <w:rsid w:val="005C5ED9"/>
    <w:rsid w:val="005C6FAE"/>
    <w:rsid w:val="005D141F"/>
    <w:rsid w:val="005D45C9"/>
    <w:rsid w:val="005D5EE7"/>
    <w:rsid w:val="005E3C0F"/>
    <w:rsid w:val="005E45BD"/>
    <w:rsid w:val="005E6C7E"/>
    <w:rsid w:val="005F4331"/>
    <w:rsid w:val="005F4AA1"/>
    <w:rsid w:val="0060255E"/>
    <w:rsid w:val="00603FCF"/>
    <w:rsid w:val="00605A5C"/>
    <w:rsid w:val="00611B45"/>
    <w:rsid w:val="00613DA8"/>
    <w:rsid w:val="00613FF7"/>
    <w:rsid w:val="00614058"/>
    <w:rsid w:val="00614B07"/>
    <w:rsid w:val="00614FE3"/>
    <w:rsid w:val="006168E8"/>
    <w:rsid w:val="00616EF1"/>
    <w:rsid w:val="0062040F"/>
    <w:rsid w:val="00622936"/>
    <w:rsid w:val="0062391C"/>
    <w:rsid w:val="00624BB8"/>
    <w:rsid w:val="00630B0F"/>
    <w:rsid w:val="00631809"/>
    <w:rsid w:val="00631CED"/>
    <w:rsid w:val="006352C1"/>
    <w:rsid w:val="00635E6D"/>
    <w:rsid w:val="00636172"/>
    <w:rsid w:val="0064016B"/>
    <w:rsid w:val="00645F32"/>
    <w:rsid w:val="006503D8"/>
    <w:rsid w:val="0065068D"/>
    <w:rsid w:val="00651BF9"/>
    <w:rsid w:val="0065509C"/>
    <w:rsid w:val="00655A67"/>
    <w:rsid w:val="0065674E"/>
    <w:rsid w:val="00657F07"/>
    <w:rsid w:val="00661B4E"/>
    <w:rsid w:val="00662C19"/>
    <w:rsid w:val="006646A6"/>
    <w:rsid w:val="0067080A"/>
    <w:rsid w:val="00670B1B"/>
    <w:rsid w:val="006729FF"/>
    <w:rsid w:val="006734EC"/>
    <w:rsid w:val="006749D6"/>
    <w:rsid w:val="00675F41"/>
    <w:rsid w:val="00676400"/>
    <w:rsid w:val="00677E47"/>
    <w:rsid w:val="0068098C"/>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C07"/>
    <w:rsid w:val="006D4E8D"/>
    <w:rsid w:val="006D51A2"/>
    <w:rsid w:val="006E18E7"/>
    <w:rsid w:val="006E1DF2"/>
    <w:rsid w:val="006E57E8"/>
    <w:rsid w:val="006F08AE"/>
    <w:rsid w:val="006F2ACE"/>
    <w:rsid w:val="007000FB"/>
    <w:rsid w:val="007008E0"/>
    <w:rsid w:val="00703E6F"/>
    <w:rsid w:val="00705235"/>
    <w:rsid w:val="007107AD"/>
    <w:rsid w:val="00721B6F"/>
    <w:rsid w:val="00724A27"/>
    <w:rsid w:val="00724CE3"/>
    <w:rsid w:val="007342EA"/>
    <w:rsid w:val="00735001"/>
    <w:rsid w:val="007354F0"/>
    <w:rsid w:val="00742C25"/>
    <w:rsid w:val="00743300"/>
    <w:rsid w:val="00745364"/>
    <w:rsid w:val="00747A6F"/>
    <w:rsid w:val="00750C37"/>
    <w:rsid w:val="007520AB"/>
    <w:rsid w:val="00752308"/>
    <w:rsid w:val="00752B0E"/>
    <w:rsid w:val="00754534"/>
    <w:rsid w:val="00756B4F"/>
    <w:rsid w:val="007575D6"/>
    <w:rsid w:val="00763043"/>
    <w:rsid w:val="00766C21"/>
    <w:rsid w:val="007677FC"/>
    <w:rsid w:val="0077010C"/>
    <w:rsid w:val="00770452"/>
    <w:rsid w:val="00781BAD"/>
    <w:rsid w:val="007854CF"/>
    <w:rsid w:val="00785C60"/>
    <w:rsid w:val="00787B82"/>
    <w:rsid w:val="007900D4"/>
    <w:rsid w:val="007923CC"/>
    <w:rsid w:val="00796F08"/>
    <w:rsid w:val="007A0FA3"/>
    <w:rsid w:val="007A1A4C"/>
    <w:rsid w:val="007A4181"/>
    <w:rsid w:val="007A46A0"/>
    <w:rsid w:val="007A7CF3"/>
    <w:rsid w:val="007A7EA7"/>
    <w:rsid w:val="007B21DD"/>
    <w:rsid w:val="007B430A"/>
    <w:rsid w:val="007B5296"/>
    <w:rsid w:val="007B5630"/>
    <w:rsid w:val="007C0BAC"/>
    <w:rsid w:val="007C3E61"/>
    <w:rsid w:val="007C679F"/>
    <w:rsid w:val="007D2137"/>
    <w:rsid w:val="007D6606"/>
    <w:rsid w:val="007D67D1"/>
    <w:rsid w:val="007D682B"/>
    <w:rsid w:val="007D69B8"/>
    <w:rsid w:val="007E100C"/>
    <w:rsid w:val="007E2A88"/>
    <w:rsid w:val="007E2D92"/>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63BD"/>
    <w:rsid w:val="00836A1D"/>
    <w:rsid w:val="00837349"/>
    <w:rsid w:val="008433EA"/>
    <w:rsid w:val="00844572"/>
    <w:rsid w:val="0084521F"/>
    <w:rsid w:val="008457F9"/>
    <w:rsid w:val="008461EA"/>
    <w:rsid w:val="00847619"/>
    <w:rsid w:val="00850FE3"/>
    <w:rsid w:val="008527AF"/>
    <w:rsid w:val="00853982"/>
    <w:rsid w:val="00854310"/>
    <w:rsid w:val="0085796E"/>
    <w:rsid w:val="00860CE9"/>
    <w:rsid w:val="00870493"/>
    <w:rsid w:val="008733F2"/>
    <w:rsid w:val="008739F3"/>
    <w:rsid w:val="00873EC6"/>
    <w:rsid w:val="00875888"/>
    <w:rsid w:val="00877335"/>
    <w:rsid w:val="00881A7C"/>
    <w:rsid w:val="00884320"/>
    <w:rsid w:val="00885412"/>
    <w:rsid w:val="00886A2E"/>
    <w:rsid w:val="0089092B"/>
    <w:rsid w:val="00890FD6"/>
    <w:rsid w:val="0089104A"/>
    <w:rsid w:val="00891D27"/>
    <w:rsid w:val="008926E5"/>
    <w:rsid w:val="00895B38"/>
    <w:rsid w:val="008979D0"/>
    <w:rsid w:val="008A3128"/>
    <w:rsid w:val="008A53F1"/>
    <w:rsid w:val="008B262E"/>
    <w:rsid w:val="008B464B"/>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F6929"/>
    <w:rsid w:val="00900B25"/>
    <w:rsid w:val="00904091"/>
    <w:rsid w:val="009044B7"/>
    <w:rsid w:val="00906E26"/>
    <w:rsid w:val="00912360"/>
    <w:rsid w:val="00914029"/>
    <w:rsid w:val="00914472"/>
    <w:rsid w:val="00917AE9"/>
    <w:rsid w:val="0092041D"/>
    <w:rsid w:val="00921DA9"/>
    <w:rsid w:val="00922734"/>
    <w:rsid w:val="00923457"/>
    <w:rsid w:val="009262AC"/>
    <w:rsid w:val="00936458"/>
    <w:rsid w:val="0093663B"/>
    <w:rsid w:val="0094137F"/>
    <w:rsid w:val="00941BFF"/>
    <w:rsid w:val="00941E0A"/>
    <w:rsid w:val="00942B3C"/>
    <w:rsid w:val="00945A38"/>
    <w:rsid w:val="00950A70"/>
    <w:rsid w:val="00951681"/>
    <w:rsid w:val="00951BC4"/>
    <w:rsid w:val="009529A8"/>
    <w:rsid w:val="009603C9"/>
    <w:rsid w:val="00960B87"/>
    <w:rsid w:val="00962AAD"/>
    <w:rsid w:val="009635AB"/>
    <w:rsid w:val="00964ECF"/>
    <w:rsid w:val="00971A09"/>
    <w:rsid w:val="0097213D"/>
    <w:rsid w:val="009758CE"/>
    <w:rsid w:val="00975E03"/>
    <w:rsid w:val="009803DF"/>
    <w:rsid w:val="00980566"/>
    <w:rsid w:val="0098062F"/>
    <w:rsid w:val="00982ED8"/>
    <w:rsid w:val="00984A9D"/>
    <w:rsid w:val="00986732"/>
    <w:rsid w:val="00986ECD"/>
    <w:rsid w:val="009903E3"/>
    <w:rsid w:val="0099176B"/>
    <w:rsid w:val="00992AB4"/>
    <w:rsid w:val="00993907"/>
    <w:rsid w:val="0099459B"/>
    <w:rsid w:val="009966EF"/>
    <w:rsid w:val="009972E5"/>
    <w:rsid w:val="009A016F"/>
    <w:rsid w:val="009A2737"/>
    <w:rsid w:val="009A2A70"/>
    <w:rsid w:val="009A3BBF"/>
    <w:rsid w:val="009A3D45"/>
    <w:rsid w:val="009A68DE"/>
    <w:rsid w:val="009A7D1A"/>
    <w:rsid w:val="009B3268"/>
    <w:rsid w:val="009B5FBB"/>
    <w:rsid w:val="009B64C4"/>
    <w:rsid w:val="009C38B6"/>
    <w:rsid w:val="009C5EED"/>
    <w:rsid w:val="009D0659"/>
    <w:rsid w:val="009D119A"/>
    <w:rsid w:val="009D4E0F"/>
    <w:rsid w:val="009E047A"/>
    <w:rsid w:val="009E0743"/>
    <w:rsid w:val="009E0762"/>
    <w:rsid w:val="009E0D5F"/>
    <w:rsid w:val="009E16BB"/>
    <w:rsid w:val="009E1A93"/>
    <w:rsid w:val="009E1C06"/>
    <w:rsid w:val="009E3575"/>
    <w:rsid w:val="009E3DB9"/>
    <w:rsid w:val="009E558C"/>
    <w:rsid w:val="009E6878"/>
    <w:rsid w:val="009F07ED"/>
    <w:rsid w:val="009F12AF"/>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22BE0"/>
    <w:rsid w:val="00A22FF3"/>
    <w:rsid w:val="00A2365D"/>
    <w:rsid w:val="00A24980"/>
    <w:rsid w:val="00A24C4F"/>
    <w:rsid w:val="00A2719F"/>
    <w:rsid w:val="00A308F1"/>
    <w:rsid w:val="00A30A71"/>
    <w:rsid w:val="00A312B8"/>
    <w:rsid w:val="00A32C82"/>
    <w:rsid w:val="00A33A9C"/>
    <w:rsid w:val="00A3408C"/>
    <w:rsid w:val="00A35315"/>
    <w:rsid w:val="00A442C3"/>
    <w:rsid w:val="00A44D4C"/>
    <w:rsid w:val="00A4684B"/>
    <w:rsid w:val="00A474D4"/>
    <w:rsid w:val="00A50F6C"/>
    <w:rsid w:val="00A5372D"/>
    <w:rsid w:val="00A56596"/>
    <w:rsid w:val="00A6600B"/>
    <w:rsid w:val="00A66018"/>
    <w:rsid w:val="00A66558"/>
    <w:rsid w:val="00A7014D"/>
    <w:rsid w:val="00A71047"/>
    <w:rsid w:val="00A72D1A"/>
    <w:rsid w:val="00A751B8"/>
    <w:rsid w:val="00A835FF"/>
    <w:rsid w:val="00A83846"/>
    <w:rsid w:val="00A83E30"/>
    <w:rsid w:val="00A84497"/>
    <w:rsid w:val="00A84C92"/>
    <w:rsid w:val="00A84E27"/>
    <w:rsid w:val="00A84E45"/>
    <w:rsid w:val="00A85EA9"/>
    <w:rsid w:val="00A916E8"/>
    <w:rsid w:val="00A918E3"/>
    <w:rsid w:val="00A92349"/>
    <w:rsid w:val="00A944BC"/>
    <w:rsid w:val="00A96FA5"/>
    <w:rsid w:val="00AA1CCA"/>
    <w:rsid w:val="00AA54A5"/>
    <w:rsid w:val="00AB0007"/>
    <w:rsid w:val="00AB07B5"/>
    <w:rsid w:val="00AB0B25"/>
    <w:rsid w:val="00AB6557"/>
    <w:rsid w:val="00AC011E"/>
    <w:rsid w:val="00AC0550"/>
    <w:rsid w:val="00AC3607"/>
    <w:rsid w:val="00AC54FF"/>
    <w:rsid w:val="00AC6713"/>
    <w:rsid w:val="00AC7B96"/>
    <w:rsid w:val="00AD066A"/>
    <w:rsid w:val="00AD069F"/>
    <w:rsid w:val="00AD6C0F"/>
    <w:rsid w:val="00AE3450"/>
    <w:rsid w:val="00AE5055"/>
    <w:rsid w:val="00AE699D"/>
    <w:rsid w:val="00AE738B"/>
    <w:rsid w:val="00AF0886"/>
    <w:rsid w:val="00AF1477"/>
    <w:rsid w:val="00AF33FC"/>
    <w:rsid w:val="00AF4C7A"/>
    <w:rsid w:val="00AF5D5B"/>
    <w:rsid w:val="00AF6B9A"/>
    <w:rsid w:val="00AF7AF1"/>
    <w:rsid w:val="00B00AA3"/>
    <w:rsid w:val="00B026D9"/>
    <w:rsid w:val="00B05442"/>
    <w:rsid w:val="00B072ED"/>
    <w:rsid w:val="00B10BF4"/>
    <w:rsid w:val="00B1170E"/>
    <w:rsid w:val="00B11A62"/>
    <w:rsid w:val="00B14A97"/>
    <w:rsid w:val="00B15030"/>
    <w:rsid w:val="00B150FA"/>
    <w:rsid w:val="00B16C31"/>
    <w:rsid w:val="00B20D8C"/>
    <w:rsid w:val="00B20EE3"/>
    <w:rsid w:val="00B21B7C"/>
    <w:rsid w:val="00B22AC5"/>
    <w:rsid w:val="00B2354E"/>
    <w:rsid w:val="00B24513"/>
    <w:rsid w:val="00B24C6D"/>
    <w:rsid w:val="00B273CB"/>
    <w:rsid w:val="00B323F0"/>
    <w:rsid w:val="00B34146"/>
    <w:rsid w:val="00B3465A"/>
    <w:rsid w:val="00B37E41"/>
    <w:rsid w:val="00B43E1A"/>
    <w:rsid w:val="00B47709"/>
    <w:rsid w:val="00B50794"/>
    <w:rsid w:val="00B51738"/>
    <w:rsid w:val="00B51E90"/>
    <w:rsid w:val="00B52961"/>
    <w:rsid w:val="00B57380"/>
    <w:rsid w:val="00B67C1A"/>
    <w:rsid w:val="00B7271C"/>
    <w:rsid w:val="00B75795"/>
    <w:rsid w:val="00B75D63"/>
    <w:rsid w:val="00B763C7"/>
    <w:rsid w:val="00B763FA"/>
    <w:rsid w:val="00B7726F"/>
    <w:rsid w:val="00B774A8"/>
    <w:rsid w:val="00B816DD"/>
    <w:rsid w:val="00B81A18"/>
    <w:rsid w:val="00B81D8F"/>
    <w:rsid w:val="00B82AC2"/>
    <w:rsid w:val="00B83C4A"/>
    <w:rsid w:val="00B85E16"/>
    <w:rsid w:val="00B91A4A"/>
    <w:rsid w:val="00B97B9F"/>
    <w:rsid w:val="00BA3333"/>
    <w:rsid w:val="00BA36B3"/>
    <w:rsid w:val="00BA54EB"/>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B5"/>
    <w:rsid w:val="00BD4DFB"/>
    <w:rsid w:val="00BE3510"/>
    <w:rsid w:val="00BE4CCA"/>
    <w:rsid w:val="00BE74C8"/>
    <w:rsid w:val="00BE761E"/>
    <w:rsid w:val="00BF0418"/>
    <w:rsid w:val="00BF0827"/>
    <w:rsid w:val="00BF0A35"/>
    <w:rsid w:val="00BF1E34"/>
    <w:rsid w:val="00BF2F4A"/>
    <w:rsid w:val="00BF3093"/>
    <w:rsid w:val="00BF3C89"/>
    <w:rsid w:val="00C04531"/>
    <w:rsid w:val="00C04558"/>
    <w:rsid w:val="00C04EA1"/>
    <w:rsid w:val="00C04F3A"/>
    <w:rsid w:val="00C0604E"/>
    <w:rsid w:val="00C07C80"/>
    <w:rsid w:val="00C11AAF"/>
    <w:rsid w:val="00C11EFF"/>
    <w:rsid w:val="00C124E6"/>
    <w:rsid w:val="00C12F3F"/>
    <w:rsid w:val="00C13F83"/>
    <w:rsid w:val="00C15382"/>
    <w:rsid w:val="00C15ECA"/>
    <w:rsid w:val="00C1633C"/>
    <w:rsid w:val="00C17E8D"/>
    <w:rsid w:val="00C20E93"/>
    <w:rsid w:val="00C21DF1"/>
    <w:rsid w:val="00C222F3"/>
    <w:rsid w:val="00C237AD"/>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5401"/>
    <w:rsid w:val="00C60CCE"/>
    <w:rsid w:val="00C669E5"/>
    <w:rsid w:val="00C679CE"/>
    <w:rsid w:val="00C704C9"/>
    <w:rsid w:val="00C71914"/>
    <w:rsid w:val="00C75EDC"/>
    <w:rsid w:val="00C7784C"/>
    <w:rsid w:val="00C80F04"/>
    <w:rsid w:val="00C81090"/>
    <w:rsid w:val="00C81C16"/>
    <w:rsid w:val="00C855E9"/>
    <w:rsid w:val="00C85C34"/>
    <w:rsid w:val="00C86564"/>
    <w:rsid w:val="00C90531"/>
    <w:rsid w:val="00C93740"/>
    <w:rsid w:val="00CA06B1"/>
    <w:rsid w:val="00CA6B55"/>
    <w:rsid w:val="00CB2F0A"/>
    <w:rsid w:val="00CB5E5B"/>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D02312"/>
    <w:rsid w:val="00D0622E"/>
    <w:rsid w:val="00D06CF4"/>
    <w:rsid w:val="00D07D03"/>
    <w:rsid w:val="00D1088E"/>
    <w:rsid w:val="00D12BD9"/>
    <w:rsid w:val="00D1370C"/>
    <w:rsid w:val="00D162BC"/>
    <w:rsid w:val="00D167BB"/>
    <w:rsid w:val="00D16D6E"/>
    <w:rsid w:val="00D17CC4"/>
    <w:rsid w:val="00D205BA"/>
    <w:rsid w:val="00D22216"/>
    <w:rsid w:val="00D25F59"/>
    <w:rsid w:val="00D266C2"/>
    <w:rsid w:val="00D302F2"/>
    <w:rsid w:val="00D3255C"/>
    <w:rsid w:val="00D334FA"/>
    <w:rsid w:val="00D3420E"/>
    <w:rsid w:val="00D3478E"/>
    <w:rsid w:val="00D356CF"/>
    <w:rsid w:val="00D4206A"/>
    <w:rsid w:val="00D44AB6"/>
    <w:rsid w:val="00D4620B"/>
    <w:rsid w:val="00D47F1E"/>
    <w:rsid w:val="00D50C61"/>
    <w:rsid w:val="00D5467C"/>
    <w:rsid w:val="00D55931"/>
    <w:rsid w:val="00D621DA"/>
    <w:rsid w:val="00D648E0"/>
    <w:rsid w:val="00D65AC8"/>
    <w:rsid w:val="00D7008E"/>
    <w:rsid w:val="00D722CD"/>
    <w:rsid w:val="00D72F00"/>
    <w:rsid w:val="00D7473C"/>
    <w:rsid w:val="00D74A70"/>
    <w:rsid w:val="00D753D9"/>
    <w:rsid w:val="00D7641A"/>
    <w:rsid w:val="00D807D1"/>
    <w:rsid w:val="00D8224F"/>
    <w:rsid w:val="00D857FB"/>
    <w:rsid w:val="00D85BF7"/>
    <w:rsid w:val="00D86802"/>
    <w:rsid w:val="00D90A8A"/>
    <w:rsid w:val="00D90DCC"/>
    <w:rsid w:val="00D91676"/>
    <w:rsid w:val="00D9281D"/>
    <w:rsid w:val="00D92EDA"/>
    <w:rsid w:val="00D969EB"/>
    <w:rsid w:val="00D974FF"/>
    <w:rsid w:val="00DA0270"/>
    <w:rsid w:val="00DA04D6"/>
    <w:rsid w:val="00DA06FC"/>
    <w:rsid w:val="00DA56F0"/>
    <w:rsid w:val="00DA5F0B"/>
    <w:rsid w:val="00DA7A60"/>
    <w:rsid w:val="00DB4818"/>
    <w:rsid w:val="00DB5F13"/>
    <w:rsid w:val="00DC5B32"/>
    <w:rsid w:val="00DD173D"/>
    <w:rsid w:val="00DD40C0"/>
    <w:rsid w:val="00DE2FEA"/>
    <w:rsid w:val="00DE330E"/>
    <w:rsid w:val="00DE4AC1"/>
    <w:rsid w:val="00DE4DD8"/>
    <w:rsid w:val="00DE5630"/>
    <w:rsid w:val="00DE5FF0"/>
    <w:rsid w:val="00DF0594"/>
    <w:rsid w:val="00DF0EC6"/>
    <w:rsid w:val="00DF26E7"/>
    <w:rsid w:val="00DF4B57"/>
    <w:rsid w:val="00DF54D3"/>
    <w:rsid w:val="00DF6DBF"/>
    <w:rsid w:val="00DF7C33"/>
    <w:rsid w:val="00E02E3B"/>
    <w:rsid w:val="00E031B5"/>
    <w:rsid w:val="00E042B1"/>
    <w:rsid w:val="00E049A4"/>
    <w:rsid w:val="00E04D8F"/>
    <w:rsid w:val="00E050E6"/>
    <w:rsid w:val="00E072AC"/>
    <w:rsid w:val="00E078FD"/>
    <w:rsid w:val="00E11477"/>
    <w:rsid w:val="00E11B0F"/>
    <w:rsid w:val="00E125AF"/>
    <w:rsid w:val="00E13082"/>
    <w:rsid w:val="00E1342A"/>
    <w:rsid w:val="00E14388"/>
    <w:rsid w:val="00E1687C"/>
    <w:rsid w:val="00E2017C"/>
    <w:rsid w:val="00E2076C"/>
    <w:rsid w:val="00E208AD"/>
    <w:rsid w:val="00E21788"/>
    <w:rsid w:val="00E242D3"/>
    <w:rsid w:val="00E24CA4"/>
    <w:rsid w:val="00E27A3B"/>
    <w:rsid w:val="00E27E35"/>
    <w:rsid w:val="00E322FF"/>
    <w:rsid w:val="00E32889"/>
    <w:rsid w:val="00E33AFF"/>
    <w:rsid w:val="00E36C6E"/>
    <w:rsid w:val="00E37FA1"/>
    <w:rsid w:val="00E414F8"/>
    <w:rsid w:val="00E43A15"/>
    <w:rsid w:val="00E4472A"/>
    <w:rsid w:val="00E47077"/>
    <w:rsid w:val="00E51C4C"/>
    <w:rsid w:val="00E52101"/>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51D3"/>
    <w:rsid w:val="00E861DA"/>
    <w:rsid w:val="00E86364"/>
    <w:rsid w:val="00E904E5"/>
    <w:rsid w:val="00E936C0"/>
    <w:rsid w:val="00E959E8"/>
    <w:rsid w:val="00E96A0E"/>
    <w:rsid w:val="00EA174A"/>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F45"/>
    <w:rsid w:val="00ED4012"/>
    <w:rsid w:val="00ED55A2"/>
    <w:rsid w:val="00EE010A"/>
    <w:rsid w:val="00EE646B"/>
    <w:rsid w:val="00EF0A65"/>
    <w:rsid w:val="00EF12CB"/>
    <w:rsid w:val="00EF331C"/>
    <w:rsid w:val="00EF3332"/>
    <w:rsid w:val="00EF41AC"/>
    <w:rsid w:val="00EF4F0C"/>
    <w:rsid w:val="00F0033E"/>
    <w:rsid w:val="00F02A7A"/>
    <w:rsid w:val="00F03624"/>
    <w:rsid w:val="00F06057"/>
    <w:rsid w:val="00F10CD1"/>
    <w:rsid w:val="00F12129"/>
    <w:rsid w:val="00F2169F"/>
    <w:rsid w:val="00F2395A"/>
    <w:rsid w:val="00F26B72"/>
    <w:rsid w:val="00F3014C"/>
    <w:rsid w:val="00F353CE"/>
    <w:rsid w:val="00F3651B"/>
    <w:rsid w:val="00F36D22"/>
    <w:rsid w:val="00F37163"/>
    <w:rsid w:val="00F435F1"/>
    <w:rsid w:val="00F45F9D"/>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76468"/>
    <w:rsid w:val="00F7675A"/>
    <w:rsid w:val="00F838BA"/>
    <w:rsid w:val="00F839BB"/>
    <w:rsid w:val="00F84751"/>
    <w:rsid w:val="00F85075"/>
    <w:rsid w:val="00F85AD4"/>
    <w:rsid w:val="00F90EAC"/>
    <w:rsid w:val="00F93E48"/>
    <w:rsid w:val="00F95D50"/>
    <w:rsid w:val="00F96AA9"/>
    <w:rsid w:val="00FA2073"/>
    <w:rsid w:val="00FA2A0D"/>
    <w:rsid w:val="00FA521B"/>
    <w:rsid w:val="00FA7E0A"/>
    <w:rsid w:val="00FB0B72"/>
    <w:rsid w:val="00FB0CB0"/>
    <w:rsid w:val="00FB1797"/>
    <w:rsid w:val="00FB2702"/>
    <w:rsid w:val="00FC0A0F"/>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21F"/>
    <w:pPr>
      <w:ind w:left="720"/>
      <w:contextualSpacing/>
    </w:pPr>
  </w:style>
  <w:style w:type="paragraph" w:styleId="Header">
    <w:name w:val="header"/>
    <w:basedOn w:val="Normal"/>
    <w:link w:val="HeaderChar"/>
    <w:rsid w:val="00F10CD1"/>
    <w:pPr>
      <w:tabs>
        <w:tab w:val="center" w:pos="4680"/>
        <w:tab w:val="right" w:pos="9360"/>
      </w:tabs>
    </w:pPr>
  </w:style>
  <w:style w:type="character" w:customStyle="1" w:styleId="HeaderChar">
    <w:name w:val="Header Char"/>
    <w:basedOn w:val="DefaultParagraphFont"/>
    <w:link w:val="Header"/>
    <w:rsid w:val="00F10CD1"/>
    <w:rPr>
      <w:sz w:val="24"/>
      <w:szCs w:val="24"/>
    </w:rPr>
  </w:style>
  <w:style w:type="paragraph" w:styleId="Footer">
    <w:name w:val="footer"/>
    <w:basedOn w:val="Normal"/>
    <w:link w:val="FooterChar"/>
    <w:uiPriority w:val="99"/>
    <w:rsid w:val="00F10CD1"/>
    <w:pPr>
      <w:tabs>
        <w:tab w:val="center" w:pos="4680"/>
        <w:tab w:val="right" w:pos="9360"/>
      </w:tabs>
    </w:pPr>
  </w:style>
  <w:style w:type="character" w:customStyle="1" w:styleId="FooterChar">
    <w:name w:val="Footer Char"/>
    <w:basedOn w:val="DefaultParagraphFont"/>
    <w:link w:val="Footer"/>
    <w:uiPriority w:val="99"/>
    <w:rsid w:val="00F10CD1"/>
    <w:rPr>
      <w:sz w:val="24"/>
      <w:szCs w:val="24"/>
    </w:rPr>
  </w:style>
  <w:style w:type="paragraph" w:styleId="FootnoteText">
    <w:name w:val="footnote text"/>
    <w:basedOn w:val="Normal"/>
    <w:link w:val="FootnoteTextChar"/>
    <w:rsid w:val="00481F7C"/>
    <w:rPr>
      <w:sz w:val="20"/>
      <w:szCs w:val="20"/>
    </w:rPr>
  </w:style>
  <w:style w:type="character" w:customStyle="1" w:styleId="FootnoteTextChar">
    <w:name w:val="Footnote Text Char"/>
    <w:basedOn w:val="DefaultParagraphFont"/>
    <w:link w:val="FootnoteText"/>
    <w:rsid w:val="00481F7C"/>
  </w:style>
  <w:style w:type="character" w:styleId="FootnoteReference">
    <w:name w:val="footnote reference"/>
    <w:basedOn w:val="DefaultParagraphFont"/>
    <w:rsid w:val="00481F7C"/>
    <w:rPr>
      <w:vertAlign w:val="superscript"/>
    </w:rPr>
  </w:style>
  <w:style w:type="paragraph" w:styleId="BodyText">
    <w:name w:val="Body Text"/>
    <w:basedOn w:val="Normal"/>
    <w:link w:val="BodyTextChar"/>
    <w:rsid w:val="00E031B5"/>
    <w:pPr>
      <w:spacing w:line="360" w:lineRule="auto"/>
      <w:jc w:val="both"/>
    </w:pPr>
    <w:rPr>
      <w:sz w:val="26"/>
      <w:szCs w:val="20"/>
    </w:rPr>
  </w:style>
  <w:style w:type="character" w:customStyle="1" w:styleId="BodyTextChar">
    <w:name w:val="Body Text Char"/>
    <w:basedOn w:val="DefaultParagraphFont"/>
    <w:link w:val="BodyText"/>
    <w:rsid w:val="00E031B5"/>
    <w:rPr>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7C9A-2124-4166-B8D9-9C0BD086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8</cp:revision>
  <cp:lastPrinted>2010-12-28T15:51:00Z</cp:lastPrinted>
  <dcterms:created xsi:type="dcterms:W3CDTF">2010-11-24T14:05:00Z</dcterms:created>
  <dcterms:modified xsi:type="dcterms:W3CDTF">2010-12-28T15:51:00Z</dcterms:modified>
</cp:coreProperties>
</file>