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25D" w:rsidRPr="000E5E35" w:rsidRDefault="00D5625D" w:rsidP="00D5625D">
      <w:pPr>
        <w:adjustRightInd w:val="0"/>
        <w:spacing w:line="240" w:lineRule="auto"/>
        <w:ind w:firstLine="0"/>
        <w:jc w:val="center"/>
        <w:rPr>
          <w:rFonts w:cs="Times New Roman"/>
          <w:b/>
          <w:bCs/>
          <w:szCs w:val="26"/>
        </w:rPr>
      </w:pPr>
      <w:r>
        <w:rPr>
          <w:rFonts w:cs="Times New Roman"/>
          <w:b/>
          <w:bCs/>
          <w:szCs w:val="26"/>
        </w:rPr>
        <w:t>PENNSYL</w:t>
      </w:r>
      <w:r w:rsidRPr="000E5E35">
        <w:rPr>
          <w:rFonts w:cs="Times New Roman"/>
          <w:b/>
          <w:bCs/>
          <w:szCs w:val="26"/>
        </w:rPr>
        <w:t>VANIA</w:t>
      </w:r>
    </w:p>
    <w:p w:rsidR="00D5625D" w:rsidRPr="000E5E35" w:rsidRDefault="00D5625D" w:rsidP="00D5625D">
      <w:pPr>
        <w:adjustRightInd w:val="0"/>
        <w:spacing w:line="240" w:lineRule="auto"/>
        <w:ind w:firstLine="0"/>
        <w:jc w:val="center"/>
        <w:rPr>
          <w:rFonts w:cs="Times New Roman"/>
          <w:b/>
          <w:bCs/>
          <w:szCs w:val="26"/>
        </w:rPr>
      </w:pPr>
      <w:r w:rsidRPr="000E5E35">
        <w:rPr>
          <w:rFonts w:cs="Times New Roman"/>
          <w:b/>
          <w:bCs/>
          <w:szCs w:val="26"/>
        </w:rPr>
        <w:t>PUBLIC UTILITY COMMISSION</w:t>
      </w:r>
    </w:p>
    <w:p w:rsidR="00D5625D" w:rsidRDefault="00D5625D" w:rsidP="00D5625D">
      <w:pPr>
        <w:adjustRightInd w:val="0"/>
        <w:spacing w:line="240" w:lineRule="auto"/>
        <w:ind w:firstLine="0"/>
        <w:jc w:val="center"/>
        <w:rPr>
          <w:rFonts w:cs="Times New Roman"/>
          <w:b/>
          <w:bCs/>
          <w:szCs w:val="26"/>
        </w:rPr>
      </w:pPr>
      <w:r w:rsidRPr="000E5E35">
        <w:rPr>
          <w:rFonts w:cs="Times New Roman"/>
          <w:b/>
          <w:bCs/>
          <w:szCs w:val="26"/>
        </w:rPr>
        <w:t>Harrisburg, PA 17105-3265</w:t>
      </w:r>
    </w:p>
    <w:p w:rsidR="00D5625D" w:rsidRDefault="00D5625D" w:rsidP="00D5625D">
      <w:pPr>
        <w:adjustRightInd w:val="0"/>
        <w:ind w:firstLine="0"/>
        <w:jc w:val="center"/>
        <w:rPr>
          <w:rFonts w:cs="Times New Roman"/>
          <w:b/>
          <w:bCs/>
          <w:szCs w:val="26"/>
        </w:rPr>
      </w:pPr>
    </w:p>
    <w:p w:rsidR="00D5625D" w:rsidRDefault="00D5625D" w:rsidP="00D5625D">
      <w:pPr>
        <w:adjustRightInd w:val="0"/>
        <w:ind w:firstLine="0"/>
        <w:jc w:val="center"/>
        <w:rPr>
          <w:rFonts w:cs="Times New Roman"/>
          <w:b/>
          <w:bCs/>
          <w:szCs w:val="26"/>
        </w:rPr>
      </w:pPr>
    </w:p>
    <w:p w:rsidR="00D5625D" w:rsidRPr="000E5E35" w:rsidRDefault="00D5625D" w:rsidP="00D5625D">
      <w:pPr>
        <w:adjustRightInd w:val="0"/>
        <w:spacing w:line="240" w:lineRule="auto"/>
        <w:ind w:firstLine="0"/>
        <w:jc w:val="right"/>
        <w:rPr>
          <w:rFonts w:cs="Times New Roman"/>
          <w:szCs w:val="26"/>
        </w:rPr>
      </w:pPr>
      <w:r w:rsidRPr="000E5E35">
        <w:rPr>
          <w:rFonts w:cs="Times New Roman"/>
          <w:szCs w:val="26"/>
        </w:rPr>
        <w:t xml:space="preserve">Public Meeting held </w:t>
      </w:r>
      <w:r>
        <w:rPr>
          <w:rFonts w:cs="Times New Roman"/>
          <w:szCs w:val="26"/>
        </w:rPr>
        <w:t>December 16</w:t>
      </w:r>
      <w:r w:rsidRPr="000E5E35">
        <w:rPr>
          <w:rFonts w:cs="Times New Roman"/>
          <w:szCs w:val="26"/>
        </w:rPr>
        <w:t>, 2010</w:t>
      </w:r>
    </w:p>
    <w:p w:rsidR="00D5625D" w:rsidRDefault="00D5625D" w:rsidP="00D5625D">
      <w:pPr>
        <w:adjustRightInd w:val="0"/>
        <w:spacing w:line="240" w:lineRule="auto"/>
        <w:ind w:firstLine="0"/>
        <w:rPr>
          <w:rFonts w:cs="Times New Roman"/>
          <w:szCs w:val="26"/>
        </w:rPr>
      </w:pPr>
    </w:p>
    <w:p w:rsidR="00D5625D" w:rsidRPr="000E5E35" w:rsidRDefault="00D5625D" w:rsidP="00D5625D">
      <w:pPr>
        <w:adjustRightInd w:val="0"/>
        <w:spacing w:line="240" w:lineRule="auto"/>
        <w:ind w:firstLine="0"/>
        <w:rPr>
          <w:rFonts w:cs="Times New Roman"/>
          <w:szCs w:val="26"/>
        </w:rPr>
      </w:pPr>
      <w:r w:rsidRPr="000E5E35">
        <w:rPr>
          <w:rFonts w:cs="Times New Roman"/>
          <w:szCs w:val="26"/>
        </w:rPr>
        <w:t>Commissioners Present:</w:t>
      </w:r>
    </w:p>
    <w:p w:rsidR="00D5625D" w:rsidRPr="000E5E35" w:rsidRDefault="00D5625D" w:rsidP="00D5625D">
      <w:pPr>
        <w:adjustRightInd w:val="0"/>
        <w:spacing w:line="240" w:lineRule="auto"/>
        <w:ind w:firstLine="0"/>
        <w:rPr>
          <w:rFonts w:cs="Times New Roman"/>
          <w:szCs w:val="26"/>
        </w:rPr>
      </w:pPr>
      <w:r w:rsidRPr="000E5E35">
        <w:rPr>
          <w:rFonts w:cs="Times New Roman"/>
          <w:szCs w:val="26"/>
        </w:rPr>
        <w:t>James H. Cawley, Chairman</w:t>
      </w:r>
    </w:p>
    <w:p w:rsidR="00D5625D" w:rsidRPr="000E5E35" w:rsidRDefault="00D5625D" w:rsidP="00D5625D">
      <w:pPr>
        <w:adjustRightInd w:val="0"/>
        <w:spacing w:line="240" w:lineRule="auto"/>
        <w:ind w:firstLine="0"/>
        <w:rPr>
          <w:rFonts w:cs="Times New Roman"/>
          <w:szCs w:val="26"/>
        </w:rPr>
      </w:pPr>
      <w:r>
        <w:rPr>
          <w:rFonts w:cs="Times New Roman"/>
          <w:szCs w:val="26"/>
        </w:rPr>
        <w:t>Tyrone J</w:t>
      </w:r>
      <w:r w:rsidRPr="000E5E35">
        <w:rPr>
          <w:rFonts w:cs="Times New Roman"/>
          <w:szCs w:val="26"/>
        </w:rPr>
        <w:t>. Christy, Vice Chairman</w:t>
      </w:r>
    </w:p>
    <w:p w:rsidR="00D5625D" w:rsidRPr="000E5E35" w:rsidRDefault="00D5625D" w:rsidP="00D5625D">
      <w:pPr>
        <w:adjustRightInd w:val="0"/>
        <w:spacing w:line="240" w:lineRule="auto"/>
        <w:ind w:firstLine="0"/>
        <w:rPr>
          <w:rFonts w:cs="Times New Roman"/>
          <w:szCs w:val="26"/>
        </w:rPr>
      </w:pPr>
      <w:r w:rsidRPr="000E5E35">
        <w:rPr>
          <w:rFonts w:cs="Times New Roman"/>
          <w:szCs w:val="26"/>
        </w:rPr>
        <w:t>John F. Coleman, Jr.</w:t>
      </w:r>
    </w:p>
    <w:p w:rsidR="00D5625D" w:rsidRPr="000E5E35" w:rsidRDefault="00D5625D" w:rsidP="00D5625D">
      <w:pPr>
        <w:adjustRightInd w:val="0"/>
        <w:spacing w:line="240" w:lineRule="auto"/>
        <w:ind w:firstLine="0"/>
        <w:rPr>
          <w:rFonts w:cs="Times New Roman"/>
          <w:szCs w:val="26"/>
        </w:rPr>
      </w:pPr>
      <w:r w:rsidRPr="000E5E35">
        <w:rPr>
          <w:rFonts w:cs="Times New Roman"/>
          <w:szCs w:val="26"/>
        </w:rPr>
        <w:t>Wayne E. Gardner</w:t>
      </w:r>
      <w:r w:rsidR="008B483D">
        <w:rPr>
          <w:rFonts w:cs="Times New Roman"/>
          <w:szCs w:val="26"/>
        </w:rPr>
        <w:t>, Statement</w:t>
      </w:r>
    </w:p>
    <w:p w:rsidR="00D5625D" w:rsidRDefault="00D5625D" w:rsidP="00D5625D">
      <w:pPr>
        <w:adjustRightInd w:val="0"/>
        <w:spacing w:line="240" w:lineRule="auto"/>
        <w:ind w:firstLine="0"/>
        <w:rPr>
          <w:rFonts w:cs="Times New Roman"/>
          <w:szCs w:val="26"/>
        </w:rPr>
      </w:pPr>
      <w:r w:rsidRPr="000E5E35">
        <w:rPr>
          <w:rFonts w:cs="Times New Roman"/>
          <w:szCs w:val="26"/>
        </w:rPr>
        <w:t>Robert F. Powelson</w:t>
      </w:r>
    </w:p>
    <w:p w:rsidR="00D5625D" w:rsidRPr="00446DA3" w:rsidRDefault="00D5625D" w:rsidP="00D5625D">
      <w:pPr>
        <w:suppressAutoHyphens/>
        <w:spacing w:line="240" w:lineRule="auto"/>
        <w:ind w:firstLine="0"/>
        <w:outlineLvl w:val="0"/>
        <w:rPr>
          <w:rFonts w:cs="Times New Roman"/>
          <w:b/>
          <w:bCs/>
          <w:spacing w:val="-3"/>
        </w:rPr>
      </w:pPr>
    </w:p>
    <w:p w:rsidR="00D5625D" w:rsidRDefault="00D5625D" w:rsidP="00D5625D">
      <w:pPr>
        <w:suppressAutoHyphens/>
        <w:ind w:firstLine="0"/>
        <w:outlineLvl w:val="0"/>
        <w:rPr>
          <w:rFonts w:cs="Times New Roman"/>
          <w:b/>
          <w:bCs/>
          <w:spacing w:val="-3"/>
        </w:rPr>
      </w:pPr>
    </w:p>
    <w:p w:rsidR="00D5625D" w:rsidRPr="00446DA3" w:rsidRDefault="00D5625D" w:rsidP="00D5625D">
      <w:pPr>
        <w:suppressAutoHyphens/>
        <w:ind w:firstLine="0"/>
        <w:outlineLvl w:val="0"/>
        <w:rPr>
          <w:rFonts w:cs="Times New Roman"/>
          <w:b/>
          <w:bCs/>
          <w:spacing w:val="-3"/>
        </w:rPr>
      </w:pPr>
    </w:p>
    <w:p w:rsidR="00D5625D" w:rsidRPr="00446DA3" w:rsidRDefault="00D5625D" w:rsidP="00FF4B79">
      <w:pPr>
        <w:suppressAutoHyphens/>
        <w:spacing w:after="100" w:line="240" w:lineRule="auto"/>
        <w:ind w:firstLine="0"/>
        <w:jc w:val="both"/>
        <w:rPr>
          <w:rFonts w:cs="Times New Roman"/>
          <w:spacing w:val="-3"/>
        </w:rPr>
      </w:pPr>
      <w:r w:rsidRPr="00446DA3">
        <w:rPr>
          <w:rFonts w:cs="Times New Roman"/>
          <w:spacing w:val="-3"/>
        </w:rPr>
        <w:t xml:space="preserve">Pennsylvania Public Utility Commission   </w:t>
      </w:r>
      <w:r w:rsidRPr="00446DA3">
        <w:rPr>
          <w:rFonts w:cs="Times New Roman"/>
          <w:spacing w:val="-3"/>
        </w:rPr>
        <w:tab/>
      </w:r>
      <w:r w:rsidRPr="00446DA3">
        <w:rPr>
          <w:rFonts w:cs="Times New Roman"/>
          <w:spacing w:val="-3"/>
        </w:rPr>
        <w:tab/>
      </w:r>
      <w:r w:rsidR="003D2334" w:rsidRPr="00446DA3">
        <w:rPr>
          <w:rFonts w:cs="Times New Roman"/>
          <w:spacing w:val="-3"/>
        </w:rPr>
        <w:fldChar w:fldCharType="begin"/>
      </w:r>
      <w:r w:rsidRPr="00446DA3">
        <w:rPr>
          <w:rFonts w:cs="Times New Roman"/>
          <w:spacing w:val="-3"/>
        </w:rPr>
        <w:instrText>fillin "Complainant's name" \d ""</w:instrText>
      </w:r>
      <w:r w:rsidR="003D2334" w:rsidRPr="00446DA3">
        <w:rPr>
          <w:rFonts w:cs="Times New Roman"/>
          <w:spacing w:val="-3"/>
        </w:rPr>
        <w:fldChar w:fldCharType="end"/>
      </w:r>
      <w:r>
        <w:rPr>
          <w:rFonts w:cs="Times New Roman"/>
          <w:spacing w:val="-3"/>
        </w:rPr>
        <w:tab/>
      </w:r>
      <w:r>
        <w:rPr>
          <w:rFonts w:cs="Times New Roman"/>
          <w:spacing w:val="-3"/>
        </w:rPr>
        <w:tab/>
        <w:t>R-2010-21615</w:t>
      </w:r>
      <w:r w:rsidR="00C2157D">
        <w:rPr>
          <w:rFonts w:cs="Times New Roman"/>
          <w:spacing w:val="-3"/>
        </w:rPr>
        <w:t>92</w:t>
      </w:r>
    </w:p>
    <w:p w:rsidR="00D5625D" w:rsidRDefault="00D5625D" w:rsidP="00FF4B79">
      <w:pPr>
        <w:suppressAutoHyphens/>
        <w:spacing w:after="100" w:line="240" w:lineRule="auto"/>
        <w:ind w:firstLine="0"/>
        <w:jc w:val="both"/>
        <w:rPr>
          <w:rFonts w:cs="Times New Roman"/>
          <w:spacing w:val="-3"/>
        </w:rPr>
      </w:pPr>
      <w:r>
        <w:rPr>
          <w:rFonts w:cs="Times New Roman"/>
          <w:spacing w:val="-3"/>
        </w:rPr>
        <w:t>Office of Small Business Advocate</w:t>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C-2010-2171283</w:t>
      </w:r>
    </w:p>
    <w:p w:rsidR="00D5625D" w:rsidRDefault="00D5625D" w:rsidP="00FF4B79">
      <w:pPr>
        <w:suppressAutoHyphens/>
        <w:spacing w:after="100" w:line="240" w:lineRule="auto"/>
        <w:ind w:firstLine="0"/>
        <w:jc w:val="both"/>
        <w:rPr>
          <w:rFonts w:cs="Times New Roman"/>
          <w:spacing w:val="-3"/>
        </w:rPr>
      </w:pPr>
      <w:r>
        <w:rPr>
          <w:rFonts w:cs="Times New Roman"/>
          <w:spacing w:val="-3"/>
        </w:rPr>
        <w:t>Office of Consumer Advocate</w:t>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C-2010-2172335</w:t>
      </w:r>
    </w:p>
    <w:p w:rsidR="00D5625D" w:rsidRDefault="00D5625D" w:rsidP="00FF4B79">
      <w:pPr>
        <w:suppressAutoHyphens/>
        <w:spacing w:after="100" w:line="240" w:lineRule="auto"/>
        <w:ind w:firstLine="0"/>
        <w:jc w:val="both"/>
        <w:rPr>
          <w:rFonts w:cs="Times New Roman"/>
        </w:rPr>
      </w:pPr>
      <w:r>
        <w:rPr>
          <w:rFonts w:cs="Times New Roman"/>
          <w:spacing w:val="-3"/>
        </w:rPr>
        <w:t>Philadelphia Area Industrial Energy Users Group</w:t>
      </w:r>
      <w:r>
        <w:rPr>
          <w:rFonts w:cs="Times New Roman"/>
          <w:spacing w:val="-3"/>
        </w:rPr>
        <w:tab/>
      </w:r>
      <w:r>
        <w:rPr>
          <w:rFonts w:cs="Times New Roman"/>
          <w:spacing w:val="-3"/>
        </w:rPr>
        <w:tab/>
      </w:r>
      <w:r>
        <w:rPr>
          <w:rFonts w:cs="Times New Roman"/>
          <w:spacing w:val="-3"/>
        </w:rPr>
        <w:tab/>
      </w:r>
      <w:r>
        <w:rPr>
          <w:rFonts w:cs="Times New Roman"/>
        </w:rPr>
        <w:t>C-2010-2177431</w:t>
      </w:r>
    </w:p>
    <w:p w:rsidR="00D5625D" w:rsidRDefault="00D5625D" w:rsidP="00FF4B79">
      <w:pPr>
        <w:suppressAutoHyphens/>
        <w:spacing w:line="240" w:lineRule="auto"/>
        <w:ind w:firstLine="0"/>
        <w:jc w:val="both"/>
        <w:rPr>
          <w:rFonts w:cs="Times New Roman"/>
        </w:rPr>
      </w:pPr>
      <w:r>
        <w:rPr>
          <w:rFonts w:cs="Times New Roman"/>
        </w:rPr>
        <w:t>Pennsylvania Communities Organizing for</w:t>
      </w:r>
      <w:r>
        <w:rPr>
          <w:rFonts w:cs="Times New Roman"/>
        </w:rPr>
        <w:tab/>
      </w:r>
      <w:r>
        <w:rPr>
          <w:rFonts w:cs="Times New Roman"/>
        </w:rPr>
        <w:tab/>
      </w:r>
      <w:r>
        <w:rPr>
          <w:rFonts w:cs="Times New Roman"/>
        </w:rPr>
        <w:tab/>
        <w:t>C-2010-2185444</w:t>
      </w:r>
    </w:p>
    <w:p w:rsidR="00D5625D" w:rsidRDefault="00D5625D" w:rsidP="00FF4B79">
      <w:pPr>
        <w:suppressAutoHyphens/>
        <w:spacing w:line="240" w:lineRule="auto"/>
        <w:ind w:firstLine="0"/>
        <w:jc w:val="both"/>
        <w:rPr>
          <w:rFonts w:cs="Times New Roman"/>
        </w:rPr>
      </w:pPr>
      <w:r>
        <w:rPr>
          <w:rFonts w:cs="Times New Roman"/>
        </w:rPr>
        <w:t>Chang</w:t>
      </w:r>
      <w:r w:rsidR="00FF4B79">
        <w:rPr>
          <w:rFonts w:cs="Times New Roman"/>
        </w:rPr>
        <w:t>e, Inc. d/b/a Action United</w:t>
      </w:r>
    </w:p>
    <w:p w:rsidR="00D5625D" w:rsidRDefault="00D5625D" w:rsidP="00917FF9">
      <w:pPr>
        <w:suppressAutoHyphens/>
        <w:spacing w:before="100" w:after="100" w:line="240" w:lineRule="auto"/>
        <w:ind w:firstLine="0"/>
        <w:jc w:val="both"/>
        <w:rPr>
          <w:rFonts w:cs="Times New Roman"/>
        </w:rPr>
      </w:pPr>
      <w:r>
        <w:rPr>
          <w:rFonts w:cs="Times New Roman"/>
        </w:rPr>
        <w:t>Craig Vorwald</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C-2010-2172542</w:t>
      </w:r>
    </w:p>
    <w:p w:rsidR="00D5625D" w:rsidRDefault="00D5625D" w:rsidP="00D5625D">
      <w:pPr>
        <w:suppressAutoHyphens/>
        <w:spacing w:line="240" w:lineRule="auto"/>
        <w:ind w:firstLine="0"/>
        <w:jc w:val="both"/>
        <w:rPr>
          <w:rFonts w:cs="Times New Roman"/>
        </w:rPr>
      </w:pPr>
    </w:p>
    <w:p w:rsidR="00D5625D" w:rsidRDefault="00F74D2E" w:rsidP="00D5625D">
      <w:pPr>
        <w:suppressAutoHyphens/>
        <w:spacing w:line="240" w:lineRule="auto"/>
        <w:ind w:firstLine="0"/>
        <w:jc w:val="both"/>
        <w:rPr>
          <w:rFonts w:cs="Times New Roman"/>
        </w:rPr>
      </w:pPr>
      <w:r>
        <w:rPr>
          <w:rFonts w:cs="Times New Roman"/>
        </w:rPr>
        <w:tab/>
      </w:r>
      <w:r>
        <w:rPr>
          <w:rFonts w:cs="Times New Roman"/>
        </w:rPr>
        <w:tab/>
      </w:r>
      <w:proofErr w:type="gramStart"/>
      <w:r w:rsidR="00D5625D">
        <w:rPr>
          <w:rFonts w:cs="Times New Roman"/>
        </w:rPr>
        <w:t>v</w:t>
      </w:r>
      <w:proofErr w:type="gramEnd"/>
      <w:r w:rsidR="00D5625D">
        <w:rPr>
          <w:rFonts w:cs="Times New Roman"/>
        </w:rPr>
        <w:t xml:space="preserve">. </w:t>
      </w:r>
    </w:p>
    <w:p w:rsidR="00D5625D" w:rsidRDefault="00D5625D" w:rsidP="00D5625D">
      <w:pPr>
        <w:suppressAutoHyphens/>
        <w:spacing w:line="240" w:lineRule="auto"/>
        <w:ind w:firstLine="0"/>
        <w:jc w:val="both"/>
        <w:rPr>
          <w:rFonts w:cs="Times New Roman"/>
        </w:rPr>
      </w:pPr>
    </w:p>
    <w:p w:rsidR="00D5625D" w:rsidRDefault="00D5625D" w:rsidP="00D5625D">
      <w:pPr>
        <w:suppressAutoHyphens/>
        <w:spacing w:line="240" w:lineRule="auto"/>
        <w:ind w:firstLine="0"/>
        <w:jc w:val="both"/>
        <w:rPr>
          <w:rFonts w:cs="Times New Roman"/>
        </w:rPr>
      </w:pPr>
      <w:r>
        <w:rPr>
          <w:rFonts w:cs="Times New Roman"/>
        </w:rPr>
        <w:t>PECO Energy Company – Gas Division</w:t>
      </w:r>
    </w:p>
    <w:p w:rsidR="00E819A5" w:rsidRDefault="00E819A5" w:rsidP="00D5625D">
      <w:pPr>
        <w:suppressAutoHyphens/>
        <w:spacing w:line="240" w:lineRule="auto"/>
        <w:ind w:firstLine="0"/>
        <w:jc w:val="both"/>
        <w:rPr>
          <w:rFonts w:cs="Times New Roman"/>
        </w:rPr>
      </w:pPr>
    </w:p>
    <w:p w:rsidR="00F916DE" w:rsidRDefault="00F916DE">
      <w:pPr>
        <w:autoSpaceDE/>
        <w:autoSpaceDN/>
        <w:rPr>
          <w:rFonts w:cs="Times New Roman"/>
        </w:rPr>
      </w:pPr>
      <w:r>
        <w:rPr>
          <w:rFonts w:cs="Times New Roman"/>
        </w:rPr>
        <w:br w:type="page"/>
      </w:r>
    </w:p>
    <w:p w:rsidR="00C57D55" w:rsidRDefault="00C57D55" w:rsidP="00D5625D">
      <w:pPr>
        <w:suppressAutoHyphens/>
        <w:spacing w:line="240" w:lineRule="auto"/>
        <w:ind w:firstLine="0"/>
        <w:jc w:val="both"/>
        <w:rPr>
          <w:rFonts w:cs="Times New Roman"/>
        </w:rPr>
      </w:pPr>
    </w:p>
    <w:p w:rsidR="00E819A5" w:rsidRDefault="00C57D55" w:rsidP="00C57D55">
      <w:pPr>
        <w:autoSpaceDE/>
        <w:autoSpaceDN/>
        <w:ind w:firstLine="0"/>
        <w:jc w:val="center"/>
        <w:rPr>
          <w:b/>
        </w:rPr>
      </w:pPr>
      <w:r w:rsidRPr="00C57D55">
        <w:rPr>
          <w:b/>
        </w:rPr>
        <w:t>OPINION AND ORDER</w:t>
      </w:r>
    </w:p>
    <w:p w:rsidR="00C57D55" w:rsidRDefault="00C57D55" w:rsidP="00C57D55">
      <w:pPr>
        <w:pStyle w:val="p6"/>
        <w:tabs>
          <w:tab w:val="left" w:pos="720"/>
        </w:tabs>
        <w:spacing w:line="360" w:lineRule="auto"/>
        <w:ind w:firstLine="0"/>
        <w:jc w:val="both"/>
        <w:rPr>
          <w:b/>
          <w:sz w:val="26"/>
          <w:szCs w:val="26"/>
        </w:rPr>
      </w:pPr>
    </w:p>
    <w:p w:rsidR="00C57D55" w:rsidRDefault="00C57D55" w:rsidP="00C57D55">
      <w:pPr>
        <w:pStyle w:val="p6"/>
        <w:tabs>
          <w:tab w:val="left" w:pos="720"/>
        </w:tabs>
        <w:spacing w:line="360" w:lineRule="auto"/>
        <w:ind w:firstLine="0"/>
        <w:jc w:val="both"/>
        <w:rPr>
          <w:b/>
          <w:sz w:val="26"/>
          <w:szCs w:val="26"/>
        </w:rPr>
      </w:pPr>
      <w:r w:rsidRPr="00C57D55">
        <w:rPr>
          <w:b/>
          <w:sz w:val="26"/>
          <w:szCs w:val="26"/>
        </w:rPr>
        <w:t>BY THE COMMISSION:</w:t>
      </w:r>
    </w:p>
    <w:p w:rsidR="00C57D55" w:rsidRPr="00C57D55" w:rsidRDefault="00C57D55" w:rsidP="00C57D55">
      <w:pPr>
        <w:pStyle w:val="p6"/>
        <w:tabs>
          <w:tab w:val="left" w:pos="720"/>
        </w:tabs>
        <w:spacing w:line="360" w:lineRule="auto"/>
        <w:ind w:firstLine="0"/>
        <w:jc w:val="both"/>
        <w:rPr>
          <w:b/>
          <w:sz w:val="26"/>
          <w:szCs w:val="26"/>
        </w:rPr>
      </w:pPr>
    </w:p>
    <w:p w:rsidR="002C4643" w:rsidRPr="00435915" w:rsidRDefault="002C4643" w:rsidP="002C4643">
      <w:pPr>
        <w:pStyle w:val="p6"/>
        <w:tabs>
          <w:tab w:val="left" w:pos="720"/>
        </w:tabs>
        <w:spacing w:line="360" w:lineRule="auto"/>
        <w:ind w:firstLine="1440"/>
        <w:rPr>
          <w:sz w:val="26"/>
          <w:szCs w:val="26"/>
        </w:rPr>
      </w:pPr>
      <w:proofErr w:type="gramStart"/>
      <w:r w:rsidRPr="00435915">
        <w:rPr>
          <w:sz w:val="26"/>
          <w:szCs w:val="26"/>
        </w:rPr>
        <w:t xml:space="preserve">Before the Pennsylvania Public Utility Commission (Commission) for consideration is the Recommended Decision (R.D.) of Administrative Law Judges (ALJs) Marlane R. Chestnut and Christopher P. Pell, issued October 22, </w:t>
      </w:r>
      <w:r w:rsidR="001E164D">
        <w:rPr>
          <w:sz w:val="26"/>
          <w:szCs w:val="26"/>
        </w:rPr>
        <w:t>2010</w:t>
      </w:r>
      <w:r w:rsidRPr="00435915">
        <w:rPr>
          <w:sz w:val="26"/>
          <w:szCs w:val="26"/>
        </w:rPr>
        <w:t xml:space="preserve"> in the above-captioned proceeding.</w:t>
      </w:r>
      <w:proofErr w:type="gramEnd"/>
      <w:r w:rsidRPr="00435915">
        <w:rPr>
          <w:sz w:val="26"/>
          <w:szCs w:val="26"/>
        </w:rPr>
        <w:t xml:space="preserve">  </w:t>
      </w:r>
      <w:r w:rsidR="0077312C" w:rsidRPr="00435915">
        <w:rPr>
          <w:sz w:val="26"/>
          <w:szCs w:val="26"/>
        </w:rPr>
        <w:t xml:space="preserve">The ALJs recommend that the Commission adopt a Joint Petition for Settlement </w:t>
      </w:r>
      <w:r w:rsidR="001E164D">
        <w:rPr>
          <w:sz w:val="26"/>
          <w:szCs w:val="26"/>
        </w:rPr>
        <w:t xml:space="preserve">of Rate Investigation </w:t>
      </w:r>
      <w:r w:rsidR="0077312C" w:rsidRPr="00435915">
        <w:rPr>
          <w:sz w:val="26"/>
          <w:szCs w:val="26"/>
        </w:rPr>
        <w:t xml:space="preserve">(Joint Petition or Settlement) which purports to resolve all of the outstanding issues in this proceeding.  There were no Exceptions to the Recommended Decision. </w:t>
      </w:r>
    </w:p>
    <w:p w:rsidR="0077312C" w:rsidRDefault="00A8361B" w:rsidP="0077312C">
      <w:pPr>
        <w:pStyle w:val="Heading1"/>
      </w:pPr>
      <w:r>
        <w:t>I.</w:t>
      </w:r>
      <w:r>
        <w:tab/>
      </w:r>
      <w:r w:rsidR="0077312C">
        <w:t>History of the Proceeding</w:t>
      </w:r>
    </w:p>
    <w:p w:rsidR="0077312C" w:rsidRPr="0077312C" w:rsidRDefault="0077312C" w:rsidP="0077312C">
      <w:pPr>
        <w:spacing w:line="240" w:lineRule="auto"/>
      </w:pPr>
    </w:p>
    <w:p w:rsidR="00E819A5" w:rsidRDefault="00E819A5" w:rsidP="00E819A5">
      <w:r>
        <w:t xml:space="preserve">On March 31, 2010, PECO Energy Company (PECO) filed Supplement No. 92 to Tariff </w:t>
      </w:r>
      <w:r w:rsidR="00432E08">
        <w:t xml:space="preserve">– </w:t>
      </w:r>
      <w:r>
        <w:t>Gas</w:t>
      </w:r>
      <w:r w:rsidR="00432E08">
        <w:t xml:space="preserve"> </w:t>
      </w:r>
      <w:r>
        <w:t xml:space="preserve">Pa. P.U.C. No. 2 </w:t>
      </w:r>
      <w:r w:rsidR="001E164D">
        <w:t xml:space="preserve">(Supplement No. 92) </w:t>
      </w:r>
      <w:r>
        <w:t>to become effective May</w:t>
      </w:r>
      <w:r w:rsidR="00213F74">
        <w:t> </w:t>
      </w:r>
      <w:r>
        <w:t>30, 2010.  Supplement No. 92 contained proposed changes in rates, rules and regulations calculated to produce approximately $43.8 million in additional gas distribution revenues</w:t>
      </w:r>
      <w:r w:rsidR="0013084F">
        <w:t xml:space="preserve"> anticipated for the </w:t>
      </w:r>
      <w:r w:rsidR="0008787B">
        <w:t>f</w:t>
      </w:r>
      <w:r>
        <w:t>uture test year ending December 31, 2010.  Separately, PECO filed an Entry of Appearance on behalf of Anthony E. Gay, Esq., Jack</w:t>
      </w:r>
      <w:r w:rsidR="00213F74">
        <w:t> </w:t>
      </w:r>
      <w:r>
        <w:t>R. Garfinkle, Esq., Thomas P. Gadsden, Esq., Anthony DeCusatis, Esq. and Catherine G. Vasudevan, Esq.</w:t>
      </w:r>
    </w:p>
    <w:p w:rsidR="00E819A5" w:rsidRDefault="00E819A5" w:rsidP="00E819A5">
      <w:pPr>
        <w:pStyle w:val="p6"/>
        <w:tabs>
          <w:tab w:val="left" w:pos="720"/>
        </w:tabs>
        <w:spacing w:line="360" w:lineRule="auto"/>
        <w:ind w:firstLine="0"/>
      </w:pPr>
    </w:p>
    <w:p w:rsidR="00E819A5" w:rsidRDefault="00E819A5" w:rsidP="00D13EDB">
      <w:r>
        <w:t>On April 12, 2010, the International Brotherhood of Electrical Workers Local 614, AFL-CIO (Local 614) filed a Petition to Intervene.</w:t>
      </w:r>
    </w:p>
    <w:p w:rsidR="00E819A5" w:rsidRDefault="00E819A5" w:rsidP="00D13EDB"/>
    <w:p w:rsidR="00E819A5" w:rsidRDefault="00E819A5" w:rsidP="00D13EDB">
      <w:r>
        <w:lastRenderedPageBreak/>
        <w:t xml:space="preserve">On April 20, 2010, the Office of Small Business Advocate (OSBA) filed a Public Statement, a Notice of Appearance on behalf of Lauren Lepkoski, Esq., and a </w:t>
      </w:r>
      <w:r w:rsidR="0008787B">
        <w:t>F</w:t>
      </w:r>
      <w:r>
        <w:t>ormal Complaint.  The Complaint was docketed at C-2010-2171283.</w:t>
      </w:r>
    </w:p>
    <w:p w:rsidR="00E819A5" w:rsidRDefault="00E819A5" w:rsidP="00E819A5">
      <w:pPr>
        <w:pStyle w:val="p6"/>
        <w:tabs>
          <w:tab w:val="left" w:pos="720"/>
        </w:tabs>
        <w:spacing w:line="360" w:lineRule="auto"/>
        <w:ind w:firstLine="0"/>
      </w:pPr>
    </w:p>
    <w:p w:rsidR="00E819A5" w:rsidRDefault="00E819A5" w:rsidP="00D13EDB">
      <w:r>
        <w:t>On April 22, 2010, Allison C. Kaster, Esq. and Carrie B. Wright, Esq. entered a Notice of Appearance on behalf of the Commission’s Office of Trial Staff (OTS).</w:t>
      </w:r>
    </w:p>
    <w:p w:rsidR="00E819A5" w:rsidRDefault="00E819A5" w:rsidP="00E819A5">
      <w:pPr>
        <w:pStyle w:val="p6"/>
        <w:tabs>
          <w:tab w:val="left" w:pos="720"/>
        </w:tabs>
        <w:spacing w:line="360" w:lineRule="auto"/>
        <w:ind w:firstLine="0"/>
      </w:pPr>
    </w:p>
    <w:p w:rsidR="00E819A5" w:rsidRDefault="00E819A5" w:rsidP="00E446A9">
      <w:r>
        <w:t xml:space="preserve">On April, 27, 2010, the Office of Consumer Advocate (OCA) filed a Public Statement, a Notice of Appearance on behalf of James A. Mullins, Esq., Barrett C. Sheridan, Esq. and Tanya J. McCloskey, Esq., on behalf of Irwin A. Popowsky, Esq., the Consumer Advocate, and a </w:t>
      </w:r>
      <w:r w:rsidR="0008787B">
        <w:t>F</w:t>
      </w:r>
      <w:r>
        <w:t>ormal Complaint.  The Complaint was docketed at C</w:t>
      </w:r>
      <w:r w:rsidR="00213F74">
        <w:noBreakHyphen/>
      </w:r>
      <w:r>
        <w:t>2010</w:t>
      </w:r>
      <w:r w:rsidR="00213F74">
        <w:noBreakHyphen/>
      </w:r>
      <w:r>
        <w:t>2172335.</w:t>
      </w:r>
    </w:p>
    <w:p w:rsidR="00E819A5" w:rsidRDefault="00E819A5" w:rsidP="00E819A5">
      <w:pPr>
        <w:pStyle w:val="p6"/>
        <w:tabs>
          <w:tab w:val="left" w:pos="720"/>
        </w:tabs>
        <w:spacing w:line="360" w:lineRule="auto"/>
        <w:ind w:firstLine="0"/>
      </w:pPr>
    </w:p>
    <w:p w:rsidR="00E819A5" w:rsidRDefault="00E819A5" w:rsidP="00E446A9">
      <w:r>
        <w:t xml:space="preserve">By Order entered on May 20, 2010 </w:t>
      </w:r>
      <w:r w:rsidR="00416878">
        <w:t>(</w:t>
      </w:r>
      <w:r w:rsidR="00416878" w:rsidRPr="00416878">
        <w:rPr>
          <w:i/>
        </w:rPr>
        <w:t>Suspension Order</w:t>
      </w:r>
      <w:r w:rsidR="00416878">
        <w:t xml:space="preserve">), </w:t>
      </w:r>
      <w:r>
        <w:t>the Commission instituted a formal investigation to determine the lawfulness, justness and reasonableness of existing and proposed rates, rules and regulations, and assigned the proceeding to the Office of Administrative Law Judge for resolution.  Pursuant to section 1308(d) of the Public Utility Code, 66 Pa.</w:t>
      </w:r>
      <w:r w:rsidR="00432E08">
        <w:t xml:space="preserve"> </w:t>
      </w:r>
      <w:r>
        <w:t>C.S.</w:t>
      </w:r>
      <w:r w:rsidR="00416878">
        <w:t xml:space="preserve"> § </w:t>
      </w:r>
      <w:r>
        <w:t>1308(d), Supplement No. 92 was suspended by operation of law until December 31, 2010.</w:t>
      </w:r>
    </w:p>
    <w:p w:rsidR="00E819A5" w:rsidRDefault="00E819A5" w:rsidP="00E819A5">
      <w:pPr>
        <w:pStyle w:val="p6"/>
        <w:tabs>
          <w:tab w:val="left" w:pos="720"/>
        </w:tabs>
        <w:spacing w:line="360" w:lineRule="auto"/>
        <w:ind w:firstLine="0"/>
      </w:pPr>
    </w:p>
    <w:p w:rsidR="00E819A5" w:rsidRDefault="00E819A5" w:rsidP="00E446A9">
      <w:r>
        <w:t xml:space="preserve">By Hearing Notice dated May 20, 2010, a prehearing conference was scheduled for June 9, 2010, in Harrisburg, and the matter was assigned to </w:t>
      </w:r>
      <w:r w:rsidR="00E446A9">
        <w:t>ALJ Chestnut and ALJ Pell</w:t>
      </w:r>
      <w:r>
        <w:t>.</w:t>
      </w:r>
    </w:p>
    <w:p w:rsidR="00E819A5" w:rsidRDefault="00E819A5" w:rsidP="00E819A5">
      <w:pPr>
        <w:pStyle w:val="p6"/>
        <w:tabs>
          <w:tab w:val="left" w:pos="720"/>
        </w:tabs>
        <w:spacing w:line="360" w:lineRule="auto"/>
        <w:ind w:firstLine="0"/>
      </w:pPr>
    </w:p>
    <w:p w:rsidR="00213F74" w:rsidRDefault="00213F74">
      <w:pPr>
        <w:autoSpaceDE/>
        <w:autoSpaceDN/>
      </w:pPr>
      <w:r>
        <w:br w:type="page"/>
      </w:r>
    </w:p>
    <w:p w:rsidR="00E819A5" w:rsidRDefault="00E819A5" w:rsidP="00E446A9">
      <w:r>
        <w:lastRenderedPageBreak/>
        <w:t>On May 20, 2010, the Philadelphia Area Industrial Energy Users Group</w:t>
      </w:r>
      <w:r>
        <w:rPr>
          <w:rStyle w:val="FootnoteReference"/>
        </w:rPr>
        <w:footnoteReference w:id="1"/>
      </w:r>
      <w:r>
        <w:t xml:space="preserve"> (PAIEUG) filed a </w:t>
      </w:r>
      <w:r w:rsidR="00513339">
        <w:t>F</w:t>
      </w:r>
      <w:r>
        <w:t>ormal Complaint</w:t>
      </w:r>
      <w:r w:rsidR="00513339">
        <w:t xml:space="preserve">. </w:t>
      </w:r>
      <w:r w:rsidR="00213F74">
        <w:t xml:space="preserve"> </w:t>
      </w:r>
      <w:r w:rsidR="00513339">
        <w:t xml:space="preserve">The Complaint was </w:t>
      </w:r>
      <w:proofErr w:type="gramStart"/>
      <w:r w:rsidR="00E446A9">
        <w:t>Docket</w:t>
      </w:r>
      <w:r w:rsidR="00513339">
        <w:t>ed</w:t>
      </w:r>
      <w:proofErr w:type="gramEnd"/>
      <w:r w:rsidR="00513339">
        <w:t xml:space="preserve"> at </w:t>
      </w:r>
      <w:r>
        <w:t>C-2010-2177431.</w:t>
      </w:r>
    </w:p>
    <w:p w:rsidR="00E819A5" w:rsidRDefault="00E819A5" w:rsidP="00E819A5">
      <w:pPr>
        <w:pStyle w:val="p6"/>
        <w:tabs>
          <w:tab w:val="left" w:pos="720"/>
        </w:tabs>
        <w:spacing w:line="360" w:lineRule="auto"/>
        <w:ind w:firstLine="0"/>
      </w:pPr>
    </w:p>
    <w:p w:rsidR="00E819A5" w:rsidRDefault="00E819A5" w:rsidP="00810B5C">
      <w:r>
        <w:t xml:space="preserve">On May 21, 2010, </w:t>
      </w:r>
      <w:r w:rsidR="00810B5C">
        <w:t>the ALJs</w:t>
      </w:r>
      <w:r>
        <w:t xml:space="preserve"> issued</w:t>
      </w:r>
      <w:r w:rsidR="002F017B">
        <w:t xml:space="preserve"> a Prehearing Conference Order </w:t>
      </w:r>
      <w:r>
        <w:t>directing the parties to comply with various procedural requirements in connection with the scheduled prehearing conference.</w:t>
      </w:r>
    </w:p>
    <w:p w:rsidR="00E819A5" w:rsidRDefault="00E819A5" w:rsidP="00E819A5">
      <w:pPr>
        <w:pStyle w:val="p6"/>
        <w:tabs>
          <w:tab w:val="left" w:pos="720"/>
        </w:tabs>
        <w:spacing w:line="360" w:lineRule="auto"/>
        <w:ind w:firstLine="0"/>
      </w:pPr>
    </w:p>
    <w:p w:rsidR="00E819A5" w:rsidRDefault="00E819A5" w:rsidP="00810B5C">
      <w:r>
        <w:t xml:space="preserve">In addition to a number of Rate Protests filed by individuals, </w:t>
      </w:r>
      <w:r w:rsidR="00513339">
        <w:t xml:space="preserve">two </w:t>
      </w:r>
      <w:r>
        <w:t xml:space="preserve">customers filed individual </w:t>
      </w:r>
      <w:r w:rsidR="00513339">
        <w:t xml:space="preserve">Formal </w:t>
      </w:r>
      <w:r>
        <w:t>Complaints.  The</w:t>
      </w:r>
      <w:r w:rsidR="00513339">
        <w:t xml:space="preserve"> Complainants were </w:t>
      </w:r>
      <w:r>
        <w:t xml:space="preserve">Richard Carroll </w:t>
      </w:r>
      <w:r w:rsidR="00D13EDB">
        <w:t xml:space="preserve">at Docket No. </w:t>
      </w:r>
      <w:r>
        <w:t xml:space="preserve">C-2010-2169991 and Craig Vorwald </w:t>
      </w:r>
      <w:r w:rsidR="00D13EDB">
        <w:t xml:space="preserve">at Docket No. </w:t>
      </w:r>
      <w:proofErr w:type="gramStart"/>
      <w:r>
        <w:t>C-2010-2172542.</w:t>
      </w:r>
      <w:proofErr w:type="gramEnd"/>
    </w:p>
    <w:p w:rsidR="00E819A5" w:rsidRDefault="00E819A5" w:rsidP="00E819A5">
      <w:pPr>
        <w:pStyle w:val="p6"/>
        <w:tabs>
          <w:tab w:val="left" w:pos="720"/>
        </w:tabs>
        <w:spacing w:line="360" w:lineRule="auto"/>
        <w:ind w:firstLine="0"/>
      </w:pPr>
    </w:p>
    <w:p w:rsidR="00E819A5" w:rsidRDefault="00E819A5" w:rsidP="00810B5C">
      <w:r>
        <w:t>On June 8, 2010, PECO filed a Certificate of Service of Supplemental Direct Testimony with the Secretary and served PECO Sts. 2S and 9S on the parties of record as of that date.</w:t>
      </w:r>
    </w:p>
    <w:p w:rsidR="00E819A5" w:rsidRDefault="00E819A5" w:rsidP="00E819A5">
      <w:pPr>
        <w:pStyle w:val="p6"/>
        <w:tabs>
          <w:tab w:val="left" w:pos="720"/>
        </w:tabs>
        <w:spacing w:line="360" w:lineRule="auto"/>
        <w:ind w:firstLine="0"/>
      </w:pPr>
    </w:p>
    <w:p w:rsidR="00E819A5" w:rsidRPr="00B57255" w:rsidRDefault="00E819A5" w:rsidP="00B57255">
      <w:r w:rsidRPr="00B57255">
        <w:t>The prehearing conference was held on June 9, 2010</w:t>
      </w:r>
      <w:r w:rsidR="002A57EF">
        <w:t>,</w:t>
      </w:r>
      <w:r w:rsidRPr="00B57255">
        <w:t xml:space="preserve"> </w:t>
      </w:r>
      <w:r w:rsidR="006D0121">
        <w:t xml:space="preserve">in Harrisburg. </w:t>
      </w:r>
      <w:r w:rsidRPr="00B57255">
        <w:t xml:space="preserve"> </w:t>
      </w:r>
      <w:r w:rsidR="006D0121">
        <w:t xml:space="preserve">Appearing through </w:t>
      </w:r>
      <w:r w:rsidRPr="00B57255">
        <w:t xml:space="preserve">counsel were PECO, </w:t>
      </w:r>
      <w:r w:rsidR="00810B5C" w:rsidRPr="00B57255">
        <w:t xml:space="preserve">the </w:t>
      </w:r>
      <w:r w:rsidRPr="00B57255">
        <w:t xml:space="preserve">OTS, </w:t>
      </w:r>
      <w:r w:rsidR="00810B5C" w:rsidRPr="00B57255">
        <w:t xml:space="preserve">the </w:t>
      </w:r>
      <w:r w:rsidRPr="00B57255">
        <w:t xml:space="preserve">OCA, </w:t>
      </w:r>
      <w:r w:rsidR="00810B5C" w:rsidRPr="00B57255">
        <w:t xml:space="preserve">the </w:t>
      </w:r>
      <w:r w:rsidRPr="00B57255">
        <w:t xml:space="preserve">OSBA, PAIEUG and Local 614.  All in attendance filed and served prehearing memoranda.  No individual </w:t>
      </w:r>
      <w:r w:rsidR="006D0121">
        <w:t>C</w:t>
      </w:r>
      <w:r w:rsidRPr="00B57255">
        <w:t xml:space="preserve">omplainants participated in the prehearing conference.  At the prehearing conference, the Petition to Intervene of Local 614 was granted, PECO’s Motion for a Protective Order was granted, discovery and other procedural requirements were addressed, and a litigation and briefing schedule was established.  The actions taken at the prehearing conference were memorialized in Prehearing Order </w:t>
      </w:r>
      <w:r w:rsidR="001E164D">
        <w:t xml:space="preserve">No. </w:t>
      </w:r>
      <w:r w:rsidRPr="00B57255">
        <w:t>1</w:t>
      </w:r>
      <w:r w:rsidR="00810B5C" w:rsidRPr="00B57255">
        <w:t>,</w:t>
      </w:r>
      <w:r w:rsidRPr="00B57255">
        <w:t xml:space="preserve"> dated June 15, 2010.  Additionally, on June 21, 2010, </w:t>
      </w:r>
      <w:r w:rsidR="00810B5C" w:rsidRPr="00B57255">
        <w:t>the AL</w:t>
      </w:r>
      <w:r w:rsidR="00B57255">
        <w:t>Js</w:t>
      </w:r>
      <w:r w:rsidRPr="00B57255">
        <w:t xml:space="preserve"> issued a Protective Order.</w:t>
      </w:r>
    </w:p>
    <w:p w:rsidR="00E819A5" w:rsidRDefault="00E819A5" w:rsidP="00E819A5">
      <w:pPr>
        <w:pStyle w:val="p6"/>
        <w:tabs>
          <w:tab w:val="left" w:pos="720"/>
        </w:tabs>
        <w:spacing w:line="360" w:lineRule="auto"/>
        <w:ind w:firstLine="0"/>
      </w:pPr>
    </w:p>
    <w:p w:rsidR="00E819A5" w:rsidRPr="00B57255" w:rsidRDefault="00E819A5" w:rsidP="00B57255">
      <w:pPr>
        <w:pStyle w:val="p6"/>
        <w:tabs>
          <w:tab w:val="left" w:pos="720"/>
        </w:tabs>
        <w:spacing w:line="360" w:lineRule="auto"/>
        <w:ind w:firstLine="1440"/>
        <w:rPr>
          <w:sz w:val="26"/>
          <w:szCs w:val="26"/>
        </w:rPr>
      </w:pPr>
      <w:r w:rsidRPr="00B57255">
        <w:rPr>
          <w:sz w:val="26"/>
          <w:szCs w:val="26"/>
        </w:rPr>
        <w:t>On June 30, 2010, Pennsylvania Communities Organizing for Change, Inc. d/b/</w:t>
      </w:r>
      <w:r w:rsidR="002F017B">
        <w:rPr>
          <w:sz w:val="26"/>
          <w:szCs w:val="26"/>
        </w:rPr>
        <w:t>a Action United (PCOC) filed a F</w:t>
      </w:r>
      <w:r w:rsidRPr="00B57255">
        <w:rPr>
          <w:sz w:val="26"/>
          <w:szCs w:val="26"/>
        </w:rPr>
        <w:t>ormal Complaint</w:t>
      </w:r>
      <w:r w:rsidR="002F017B">
        <w:rPr>
          <w:sz w:val="26"/>
          <w:szCs w:val="26"/>
        </w:rPr>
        <w:t xml:space="preserve">.  The Complaint was docketed at </w:t>
      </w:r>
      <w:r w:rsidRPr="00B57255">
        <w:rPr>
          <w:sz w:val="26"/>
          <w:szCs w:val="26"/>
        </w:rPr>
        <w:t>C-2010-2185444.</w:t>
      </w:r>
    </w:p>
    <w:p w:rsidR="00E819A5" w:rsidRPr="00B57255" w:rsidRDefault="00E819A5" w:rsidP="00E819A5">
      <w:pPr>
        <w:pStyle w:val="p6"/>
        <w:tabs>
          <w:tab w:val="left" w:pos="720"/>
        </w:tabs>
        <w:spacing w:line="360" w:lineRule="auto"/>
        <w:ind w:firstLine="0"/>
        <w:rPr>
          <w:sz w:val="26"/>
          <w:szCs w:val="26"/>
        </w:rPr>
      </w:pPr>
    </w:p>
    <w:p w:rsidR="00E819A5" w:rsidRDefault="00E819A5" w:rsidP="00E819A5">
      <w:pPr>
        <w:rPr>
          <w:rFonts w:cs="Times New Roman"/>
        </w:rPr>
      </w:pPr>
      <w:r>
        <w:rPr>
          <w:rFonts w:cs="Times New Roman"/>
        </w:rPr>
        <w:t xml:space="preserve">In order to allow the company’s customers the opportunity to express their concerns or opinions concerning the pending rate increase request, combined public input hearings addressing both </w:t>
      </w:r>
      <w:r w:rsidR="00377D02">
        <w:rPr>
          <w:rFonts w:cs="Times New Roman"/>
        </w:rPr>
        <w:t xml:space="preserve">the </w:t>
      </w:r>
      <w:r>
        <w:rPr>
          <w:rFonts w:cs="Times New Roman"/>
        </w:rPr>
        <w:t xml:space="preserve">proposed </w:t>
      </w:r>
      <w:r w:rsidR="00377D02">
        <w:rPr>
          <w:rFonts w:cs="Times New Roman"/>
        </w:rPr>
        <w:t xml:space="preserve">instant </w:t>
      </w:r>
      <w:r>
        <w:rPr>
          <w:rFonts w:cs="Times New Roman"/>
        </w:rPr>
        <w:t xml:space="preserve">rate increase request </w:t>
      </w:r>
      <w:r w:rsidR="002F017B">
        <w:rPr>
          <w:rFonts w:cs="Times New Roman"/>
        </w:rPr>
        <w:t xml:space="preserve">and PECO’s electric rate </w:t>
      </w:r>
      <w:r w:rsidR="002F1167">
        <w:rPr>
          <w:rFonts w:cs="Times New Roman"/>
        </w:rPr>
        <w:t xml:space="preserve">filing </w:t>
      </w:r>
      <w:r w:rsidR="002F017B">
        <w:rPr>
          <w:rFonts w:cs="Times New Roman"/>
        </w:rPr>
        <w:t xml:space="preserve">at Docket R-2010-2161575, </w:t>
      </w:r>
      <w:r w:rsidR="002F017B" w:rsidRPr="002F017B">
        <w:rPr>
          <w:rFonts w:cs="Times New Roman"/>
          <w:i/>
        </w:rPr>
        <w:t>et al</w:t>
      </w:r>
      <w:r w:rsidR="002F017B">
        <w:rPr>
          <w:rFonts w:cs="Times New Roman"/>
        </w:rPr>
        <w:t>.</w:t>
      </w:r>
      <w:r w:rsidR="004E39EE">
        <w:rPr>
          <w:rFonts w:cs="Times New Roman"/>
        </w:rPr>
        <w:t>,</w:t>
      </w:r>
      <w:r w:rsidR="002F017B">
        <w:rPr>
          <w:rFonts w:cs="Times New Roman"/>
        </w:rPr>
        <w:t xml:space="preserve"> </w:t>
      </w:r>
      <w:r>
        <w:rPr>
          <w:rFonts w:cs="Times New Roman"/>
        </w:rPr>
        <w:t>were held on June 29, 2010, at 6:00 p.m. at the Township of Worcester Community Hall and on June 30, 2010, at 6:00 p.m. at the Ridley Township Municipal Marina.</w:t>
      </w:r>
      <w:r w:rsidR="002F1167">
        <w:rPr>
          <w:rStyle w:val="FootnoteReference"/>
          <w:rFonts w:cs="Times New Roman"/>
        </w:rPr>
        <w:footnoteReference w:id="2"/>
      </w:r>
      <w:r>
        <w:rPr>
          <w:rFonts w:cs="Times New Roman"/>
        </w:rPr>
        <w:t xml:space="preserve">  Present and participating through counsel were PECO, </w:t>
      </w:r>
      <w:r w:rsidR="00377D02">
        <w:rPr>
          <w:rFonts w:cs="Times New Roman"/>
        </w:rPr>
        <w:t xml:space="preserve">the </w:t>
      </w:r>
      <w:r>
        <w:rPr>
          <w:rFonts w:cs="Times New Roman"/>
        </w:rPr>
        <w:t xml:space="preserve">OTS, and </w:t>
      </w:r>
      <w:r w:rsidR="00377D02">
        <w:rPr>
          <w:rFonts w:cs="Times New Roman"/>
        </w:rPr>
        <w:t xml:space="preserve">the </w:t>
      </w:r>
      <w:r>
        <w:rPr>
          <w:rFonts w:cs="Times New Roman"/>
        </w:rPr>
        <w:t>OCA.  In total, fifteen people testified, nine at the first session and six at the second session.</w:t>
      </w:r>
    </w:p>
    <w:p w:rsidR="00E819A5" w:rsidRDefault="00E819A5" w:rsidP="00E819A5">
      <w:pPr>
        <w:pStyle w:val="ListParagraph"/>
      </w:pPr>
    </w:p>
    <w:p w:rsidR="00E819A5" w:rsidRDefault="00406202" w:rsidP="00377D02">
      <w:r>
        <w:t>W</w:t>
      </w:r>
      <w:r w:rsidR="00E819A5">
        <w:t xml:space="preserve">ritten direct testimony and exhibits were </w:t>
      </w:r>
      <w:r w:rsidR="002A57EF">
        <w:t>submitted</w:t>
      </w:r>
      <w:r w:rsidR="00E819A5">
        <w:t xml:space="preserve"> by </w:t>
      </w:r>
      <w:r w:rsidR="00377D02">
        <w:t xml:space="preserve">the </w:t>
      </w:r>
      <w:r w:rsidR="00E819A5">
        <w:t>OTS,</w:t>
      </w:r>
      <w:r w:rsidR="00377D02">
        <w:t xml:space="preserve"> the </w:t>
      </w:r>
      <w:r w:rsidR="00E819A5">
        <w:t>OCA,</w:t>
      </w:r>
      <w:r w:rsidR="00377D02">
        <w:t xml:space="preserve"> the </w:t>
      </w:r>
      <w:r w:rsidR="00E819A5">
        <w:t xml:space="preserve">OSBA, Local 614 and PCOC on June 30, 2010.  Rebuttal testimony and exhibits were </w:t>
      </w:r>
      <w:r w:rsidR="004A7270">
        <w:t xml:space="preserve">submitted by </w:t>
      </w:r>
      <w:r w:rsidR="00377D02">
        <w:t xml:space="preserve">the </w:t>
      </w:r>
      <w:r w:rsidR="00E819A5">
        <w:t xml:space="preserve">OCA, </w:t>
      </w:r>
      <w:r w:rsidR="00377D02">
        <w:t xml:space="preserve">the </w:t>
      </w:r>
      <w:r w:rsidR="00E819A5">
        <w:t xml:space="preserve">OSBA, PAIEUG, PCOC and PECO on July 23, 2010.  Surrebuttal testimony and exhibits were </w:t>
      </w:r>
      <w:r w:rsidR="004A7270">
        <w:t>submitted by P</w:t>
      </w:r>
      <w:r w:rsidR="00E819A5">
        <w:t xml:space="preserve">ECO, </w:t>
      </w:r>
      <w:r w:rsidR="004A7270">
        <w:t xml:space="preserve">the </w:t>
      </w:r>
      <w:r w:rsidR="00E819A5">
        <w:t xml:space="preserve">OTS, </w:t>
      </w:r>
      <w:r w:rsidR="004A7270">
        <w:t xml:space="preserve">the </w:t>
      </w:r>
      <w:r w:rsidR="00E819A5">
        <w:t xml:space="preserve">OCA and </w:t>
      </w:r>
      <w:r w:rsidR="004A7270">
        <w:t xml:space="preserve">the </w:t>
      </w:r>
      <w:r w:rsidR="00E819A5">
        <w:t>OSBA on August 2, 2010.</w:t>
      </w:r>
    </w:p>
    <w:p w:rsidR="00E819A5" w:rsidRDefault="00E819A5" w:rsidP="00E819A5">
      <w:pPr>
        <w:pStyle w:val="p6"/>
        <w:tabs>
          <w:tab w:val="left" w:pos="720"/>
        </w:tabs>
        <w:spacing w:line="360" w:lineRule="auto"/>
        <w:ind w:firstLine="0"/>
      </w:pPr>
    </w:p>
    <w:p w:rsidR="00E819A5" w:rsidRDefault="00E819A5" w:rsidP="0013084F">
      <w:r>
        <w:t xml:space="preserve">On August 5, 2010, PECO, </w:t>
      </w:r>
      <w:r w:rsidR="00C07053">
        <w:t xml:space="preserve">the </w:t>
      </w:r>
      <w:r>
        <w:t xml:space="preserve">OTS, </w:t>
      </w:r>
      <w:r w:rsidR="00C07053">
        <w:t xml:space="preserve">the </w:t>
      </w:r>
      <w:r>
        <w:t xml:space="preserve">OCA, </w:t>
      </w:r>
      <w:r w:rsidR="00C07053">
        <w:t xml:space="preserve">the </w:t>
      </w:r>
      <w:r>
        <w:t xml:space="preserve">OSBA, PAIEUG, Local 614 and PCOC </w:t>
      </w:r>
      <w:r w:rsidR="00C07053">
        <w:t xml:space="preserve">(Joint Petitioners) </w:t>
      </w:r>
      <w:r>
        <w:t xml:space="preserve">informed </w:t>
      </w:r>
      <w:r w:rsidR="00C07053">
        <w:t xml:space="preserve">the ALJs </w:t>
      </w:r>
      <w:r>
        <w:t>that they had reached an agreement in principle on most of the issues involved in this proceeding</w:t>
      </w:r>
      <w:r w:rsidR="0033603C">
        <w:t>.  The Joint Petitioners subsequently notified the ALJs that all issues</w:t>
      </w:r>
      <w:r>
        <w:t xml:space="preserve"> had been resolved, </w:t>
      </w:r>
      <w:r w:rsidR="0033603C">
        <w:t xml:space="preserve">and consequently the hearings scheduled for this investigation </w:t>
      </w:r>
      <w:r>
        <w:t>we</w:t>
      </w:r>
      <w:r w:rsidR="0033603C">
        <w:t>re</w:t>
      </w:r>
      <w:r>
        <w:t xml:space="preserve"> cancelled</w:t>
      </w:r>
      <w:r w:rsidR="0033603C">
        <w:t>.</w:t>
      </w:r>
      <w:r>
        <w:t xml:space="preserve">  </w:t>
      </w:r>
    </w:p>
    <w:p w:rsidR="00E819A5" w:rsidRDefault="00E819A5" w:rsidP="00E819A5">
      <w:pPr>
        <w:rPr>
          <w:rFonts w:cs="Times New Roman"/>
        </w:rPr>
      </w:pPr>
    </w:p>
    <w:p w:rsidR="0016777D" w:rsidRDefault="00E819A5" w:rsidP="00E819A5">
      <w:pPr>
        <w:rPr>
          <w:rFonts w:cs="Times New Roman"/>
        </w:rPr>
      </w:pPr>
      <w:r>
        <w:rPr>
          <w:rFonts w:cs="Times New Roman"/>
          <w:spacing w:val="-3"/>
        </w:rPr>
        <w:lastRenderedPageBreak/>
        <w:t xml:space="preserve">On August 31, 2010, </w:t>
      </w:r>
      <w:r w:rsidR="001E164D">
        <w:rPr>
          <w:rFonts w:cs="Times New Roman"/>
          <w:spacing w:val="-3"/>
        </w:rPr>
        <w:t xml:space="preserve">the Joint Petition </w:t>
      </w:r>
      <w:r>
        <w:rPr>
          <w:rFonts w:cs="Times New Roman"/>
        </w:rPr>
        <w:t>was filed and served</w:t>
      </w:r>
      <w:r w:rsidR="0033603C">
        <w:rPr>
          <w:rFonts w:cs="Times New Roman"/>
        </w:rPr>
        <w:t xml:space="preserve"> by the Joint Petitioners.  </w:t>
      </w:r>
      <w:r>
        <w:rPr>
          <w:rFonts w:cs="Times New Roman"/>
        </w:rPr>
        <w:t>The Joint Petition</w:t>
      </w:r>
      <w:r w:rsidR="001E164D">
        <w:rPr>
          <w:rFonts w:cs="Times New Roman"/>
        </w:rPr>
        <w:t xml:space="preserve">ers </w:t>
      </w:r>
      <w:r w:rsidR="0016777D">
        <w:rPr>
          <w:rFonts w:cs="Times New Roman"/>
        </w:rPr>
        <w:t xml:space="preserve">each </w:t>
      </w:r>
      <w:r>
        <w:rPr>
          <w:rFonts w:cs="Times New Roman"/>
        </w:rPr>
        <w:t xml:space="preserve">included statements in support of the </w:t>
      </w:r>
      <w:r w:rsidR="0016777D">
        <w:rPr>
          <w:rFonts w:cs="Times New Roman"/>
        </w:rPr>
        <w:t>S</w:t>
      </w:r>
      <w:r>
        <w:rPr>
          <w:rFonts w:cs="Times New Roman"/>
        </w:rPr>
        <w:t>ettlement</w:t>
      </w:r>
      <w:r w:rsidR="0016777D">
        <w:rPr>
          <w:rFonts w:cs="Times New Roman"/>
        </w:rPr>
        <w:t xml:space="preserve">. </w:t>
      </w:r>
    </w:p>
    <w:p w:rsidR="0016777D" w:rsidRDefault="0016777D" w:rsidP="00E819A5">
      <w:pPr>
        <w:rPr>
          <w:rFonts w:cs="Times New Roman"/>
        </w:rPr>
      </w:pPr>
    </w:p>
    <w:p w:rsidR="00E819A5" w:rsidRDefault="0016777D" w:rsidP="00E819A5">
      <w:pPr>
        <w:rPr>
          <w:rFonts w:cs="Times New Roman"/>
          <w:b/>
          <w:spacing w:val="-3"/>
        </w:rPr>
      </w:pPr>
      <w:r>
        <w:rPr>
          <w:rFonts w:cs="Times New Roman"/>
        </w:rPr>
        <w:t>A</w:t>
      </w:r>
      <w:r w:rsidR="00E819A5">
        <w:rPr>
          <w:rFonts w:cs="Times New Roman"/>
          <w:spacing w:val="-3"/>
        </w:rPr>
        <w:t xml:space="preserve">lso on August 31, 2010, the </w:t>
      </w:r>
      <w:r>
        <w:rPr>
          <w:rFonts w:cs="Times New Roman"/>
          <w:spacing w:val="-3"/>
        </w:rPr>
        <w:t>Joint Petitioners</w:t>
      </w:r>
      <w:r w:rsidR="00E819A5">
        <w:rPr>
          <w:rFonts w:cs="Times New Roman"/>
          <w:spacing w:val="-3"/>
        </w:rPr>
        <w:t xml:space="preserve"> filed a Stipulation and Motion for Admission of Testimony and Exhibits.  They stipulated to the authenticity of the statements and exhibits listed in it, waived the opportunity to conduct cross-examination and requested that the statements and exhibits be admitted into the record.  On September</w:t>
      </w:r>
      <w:r w:rsidR="00917FF9">
        <w:rPr>
          <w:rFonts w:cs="Times New Roman"/>
          <w:spacing w:val="-3"/>
        </w:rPr>
        <w:t> </w:t>
      </w:r>
      <w:r w:rsidR="00E819A5">
        <w:rPr>
          <w:rFonts w:cs="Times New Roman"/>
          <w:spacing w:val="-3"/>
        </w:rPr>
        <w:t xml:space="preserve">15, 2010, </w:t>
      </w:r>
      <w:r>
        <w:rPr>
          <w:rFonts w:cs="Times New Roman"/>
          <w:spacing w:val="-3"/>
        </w:rPr>
        <w:t>the ALJs</w:t>
      </w:r>
      <w:r w:rsidR="00E819A5">
        <w:rPr>
          <w:rFonts w:cs="Times New Roman"/>
          <w:spacing w:val="-3"/>
        </w:rPr>
        <w:t xml:space="preserve"> issued an Order Granting Motion to Admit Testimony and Exhibits, which admitted the Stipulation, statements and exhibits into the record of this proceeding.</w:t>
      </w:r>
    </w:p>
    <w:p w:rsidR="00E819A5" w:rsidRDefault="00E819A5" w:rsidP="00E819A5">
      <w:pPr>
        <w:rPr>
          <w:rFonts w:cs="Times New Roman"/>
        </w:rPr>
      </w:pPr>
    </w:p>
    <w:p w:rsidR="00E819A5" w:rsidRDefault="00E819A5" w:rsidP="00E819A5">
      <w:pPr>
        <w:rPr>
          <w:rFonts w:cs="Times New Roman"/>
          <w:b/>
        </w:rPr>
      </w:pPr>
      <w:r>
        <w:rPr>
          <w:rFonts w:cs="Times New Roman"/>
        </w:rPr>
        <w:t xml:space="preserve">By letter dated September 2, 2010, </w:t>
      </w:r>
      <w:r w:rsidR="00DF7950">
        <w:rPr>
          <w:rFonts w:cs="Times New Roman"/>
        </w:rPr>
        <w:t xml:space="preserve">the ALJs </w:t>
      </w:r>
      <w:r>
        <w:rPr>
          <w:rFonts w:cs="Times New Roman"/>
        </w:rPr>
        <w:t xml:space="preserve">informed the individual complainants (each of whom had been served with the </w:t>
      </w:r>
      <w:r w:rsidR="00DF7950">
        <w:rPr>
          <w:rFonts w:cs="Times New Roman"/>
        </w:rPr>
        <w:t>Joint Petition)</w:t>
      </w:r>
      <w:r>
        <w:rPr>
          <w:rFonts w:cs="Times New Roman"/>
        </w:rPr>
        <w:t xml:space="preserve"> of the </w:t>
      </w:r>
      <w:r w:rsidR="00DF7950">
        <w:rPr>
          <w:rFonts w:cs="Times New Roman"/>
        </w:rPr>
        <w:t>S</w:t>
      </w:r>
      <w:r>
        <w:rPr>
          <w:rFonts w:cs="Times New Roman"/>
        </w:rPr>
        <w:t xml:space="preserve">ettlement and requested that they indicate if they wished to join, oppose or take no position on the proposed settlement.  </w:t>
      </w:r>
      <w:r w:rsidR="00DF7950">
        <w:rPr>
          <w:rFonts w:cs="Times New Roman"/>
        </w:rPr>
        <w:t xml:space="preserve">The ALJs also </w:t>
      </w:r>
      <w:r>
        <w:rPr>
          <w:rFonts w:cs="Times New Roman"/>
        </w:rPr>
        <w:t xml:space="preserve">enclosed a signature page that the </w:t>
      </w:r>
      <w:r w:rsidR="00DF7950">
        <w:rPr>
          <w:rFonts w:cs="Times New Roman"/>
        </w:rPr>
        <w:t>C</w:t>
      </w:r>
      <w:r>
        <w:rPr>
          <w:rFonts w:cs="Times New Roman"/>
        </w:rPr>
        <w:t xml:space="preserve">omplainants could sign and return to us if they wished to join in the </w:t>
      </w:r>
      <w:r w:rsidR="00DF7950">
        <w:rPr>
          <w:rFonts w:cs="Times New Roman"/>
        </w:rPr>
        <w:t>Joint Petition</w:t>
      </w:r>
      <w:r>
        <w:rPr>
          <w:rFonts w:cs="Times New Roman"/>
        </w:rPr>
        <w:t>.</w:t>
      </w:r>
      <w:r>
        <w:rPr>
          <w:rFonts w:cs="Times New Roman"/>
          <w:b/>
        </w:rPr>
        <w:t xml:space="preserve">  </w:t>
      </w:r>
      <w:r>
        <w:rPr>
          <w:rFonts w:cs="Times New Roman"/>
        </w:rPr>
        <w:t>No responses were received.</w:t>
      </w:r>
      <w:r>
        <w:rPr>
          <w:rFonts w:cs="Times New Roman"/>
          <w:b/>
        </w:rPr>
        <w:t xml:space="preserve"> </w:t>
      </w:r>
    </w:p>
    <w:p w:rsidR="00E819A5" w:rsidRDefault="00E819A5" w:rsidP="00E819A5">
      <w:pPr>
        <w:rPr>
          <w:rFonts w:cs="Times New Roman"/>
          <w:b/>
        </w:rPr>
      </w:pPr>
    </w:p>
    <w:p w:rsidR="00E819A5" w:rsidRDefault="00E819A5" w:rsidP="00E819A5">
      <w:pPr>
        <w:rPr>
          <w:rFonts w:cs="Times New Roman"/>
          <w:b/>
        </w:rPr>
      </w:pPr>
      <w:r>
        <w:rPr>
          <w:rFonts w:cs="Times New Roman"/>
        </w:rPr>
        <w:t xml:space="preserve">The Complaint filed by Richard Carroll at Docket </w:t>
      </w:r>
      <w:r w:rsidR="0013084F">
        <w:rPr>
          <w:rFonts w:cs="Times New Roman"/>
        </w:rPr>
        <w:t>N</w:t>
      </w:r>
      <w:r>
        <w:rPr>
          <w:rFonts w:cs="Times New Roman"/>
        </w:rPr>
        <w:t>o. C-2010-2169991 was withdrawn pursuant to a Certificate of Satisfaction filed on October 8, 2010.</w:t>
      </w:r>
      <w:r>
        <w:rPr>
          <w:rFonts w:cs="Times New Roman"/>
          <w:b/>
        </w:rPr>
        <w:t xml:space="preserve"> </w:t>
      </w:r>
    </w:p>
    <w:p w:rsidR="00E819A5" w:rsidRDefault="00E819A5" w:rsidP="00E819A5">
      <w:pPr>
        <w:rPr>
          <w:rFonts w:cs="Times New Roman"/>
          <w:b/>
        </w:rPr>
      </w:pPr>
    </w:p>
    <w:p w:rsidR="00FE7FDB" w:rsidRDefault="008C6954" w:rsidP="00E819A5">
      <w:pPr>
        <w:ind w:left="90" w:firstLine="1350"/>
        <w:rPr>
          <w:rFonts w:cs="Times New Roman"/>
        </w:rPr>
      </w:pPr>
      <w:r>
        <w:rPr>
          <w:rFonts w:cs="Times New Roman"/>
        </w:rPr>
        <w:t xml:space="preserve">By Recommended Decision issued </w:t>
      </w:r>
      <w:r w:rsidR="00792551">
        <w:rPr>
          <w:rFonts w:cs="Times New Roman"/>
        </w:rPr>
        <w:t xml:space="preserve">October 22, </w:t>
      </w:r>
      <w:r>
        <w:rPr>
          <w:rFonts w:cs="Times New Roman"/>
        </w:rPr>
        <w:t xml:space="preserve">2010, </w:t>
      </w:r>
      <w:r w:rsidR="00792551">
        <w:rPr>
          <w:rFonts w:cs="Times New Roman"/>
        </w:rPr>
        <w:t xml:space="preserve">the ALJs recommended that the Joint Petition be adopted without modification.  </w:t>
      </w:r>
      <w:r w:rsidR="00FE7FDB">
        <w:rPr>
          <w:rFonts w:cs="Times New Roman"/>
        </w:rPr>
        <w:t xml:space="preserve">No Exceptions to the </w:t>
      </w:r>
      <w:r w:rsidR="00403E16">
        <w:rPr>
          <w:rFonts w:cs="Times New Roman"/>
        </w:rPr>
        <w:t>R</w:t>
      </w:r>
      <w:r w:rsidR="00FE7FDB">
        <w:rPr>
          <w:rFonts w:cs="Times New Roman"/>
        </w:rPr>
        <w:t xml:space="preserve">ecommended Decision were filed. </w:t>
      </w:r>
    </w:p>
    <w:p w:rsidR="00FE7FDB" w:rsidRDefault="00FE7FDB" w:rsidP="00E819A5">
      <w:pPr>
        <w:ind w:left="90" w:firstLine="1350"/>
        <w:rPr>
          <w:rFonts w:cs="Times New Roman"/>
        </w:rPr>
      </w:pPr>
    </w:p>
    <w:p w:rsidR="008A1BBD" w:rsidRDefault="00FE7FDB" w:rsidP="00E819A5">
      <w:pPr>
        <w:ind w:left="90" w:firstLine="1350"/>
        <w:rPr>
          <w:rFonts w:cs="Times New Roman"/>
        </w:rPr>
      </w:pPr>
      <w:r>
        <w:rPr>
          <w:rFonts w:cs="Times New Roman"/>
        </w:rPr>
        <w:t>At our Public Meeting held December 1</w:t>
      </w:r>
      <w:r w:rsidR="00F916DE">
        <w:rPr>
          <w:rFonts w:cs="Times New Roman"/>
        </w:rPr>
        <w:t>6</w:t>
      </w:r>
      <w:r>
        <w:rPr>
          <w:rFonts w:cs="Times New Roman"/>
        </w:rPr>
        <w:t xml:space="preserve">, 2010, </w:t>
      </w:r>
      <w:r w:rsidR="00403E16">
        <w:rPr>
          <w:rFonts w:cs="Times New Roman"/>
        </w:rPr>
        <w:t xml:space="preserve">we acted to adopt both the Joint Petition, as submitted by the Joint </w:t>
      </w:r>
      <w:proofErr w:type="gramStart"/>
      <w:r w:rsidR="00403E16">
        <w:rPr>
          <w:rFonts w:cs="Times New Roman"/>
        </w:rPr>
        <w:t>Petitioners</w:t>
      </w:r>
      <w:r w:rsidR="00041B5B">
        <w:rPr>
          <w:rFonts w:cs="Times New Roman"/>
        </w:rPr>
        <w:t>,</w:t>
      </w:r>
      <w:proofErr w:type="gramEnd"/>
      <w:r w:rsidR="005F270C">
        <w:rPr>
          <w:rFonts w:cs="Times New Roman"/>
        </w:rPr>
        <w:t xml:space="preserve"> and </w:t>
      </w:r>
      <w:r w:rsidR="00555306">
        <w:rPr>
          <w:rFonts w:cs="Times New Roman"/>
        </w:rPr>
        <w:t xml:space="preserve">the </w:t>
      </w:r>
      <w:r w:rsidR="00403E16">
        <w:rPr>
          <w:rFonts w:cs="Times New Roman"/>
        </w:rPr>
        <w:t>Recommended Decision</w:t>
      </w:r>
      <w:r w:rsidR="00555306">
        <w:rPr>
          <w:rFonts w:cs="Times New Roman"/>
        </w:rPr>
        <w:t xml:space="preserve"> </w:t>
      </w:r>
      <w:r w:rsidR="00041B5B">
        <w:rPr>
          <w:rFonts w:cs="Times New Roman"/>
        </w:rPr>
        <w:t xml:space="preserve">with one modification regarding </w:t>
      </w:r>
      <w:r w:rsidR="008A1BBD">
        <w:rPr>
          <w:rFonts w:cs="Times New Roman"/>
        </w:rPr>
        <w:t xml:space="preserve">the implementation of PECO’s Gas Purchase of Receivables (POR) program, discussed </w:t>
      </w:r>
      <w:r w:rsidR="00CE665C" w:rsidRPr="00CE665C">
        <w:rPr>
          <w:rFonts w:cs="Times New Roman"/>
          <w:i/>
        </w:rPr>
        <w:t>infra</w:t>
      </w:r>
      <w:r w:rsidR="008A1BBD">
        <w:rPr>
          <w:rFonts w:cs="Times New Roman"/>
        </w:rPr>
        <w:t xml:space="preserve">.  </w:t>
      </w:r>
    </w:p>
    <w:p w:rsidR="00435915" w:rsidRDefault="00435915" w:rsidP="00E819A5">
      <w:pPr>
        <w:ind w:left="90" w:firstLine="1350"/>
        <w:rPr>
          <w:rFonts w:cs="Times New Roman"/>
        </w:rPr>
      </w:pPr>
    </w:p>
    <w:p w:rsidR="005926AE" w:rsidRDefault="00A8361B" w:rsidP="00435915">
      <w:pPr>
        <w:pStyle w:val="Heading1"/>
        <w:spacing w:before="0"/>
      </w:pPr>
      <w:r>
        <w:t>II.</w:t>
      </w:r>
      <w:r>
        <w:tab/>
      </w:r>
      <w:r w:rsidR="00F14622">
        <w:t xml:space="preserve">The Joint Petition </w:t>
      </w:r>
    </w:p>
    <w:p w:rsidR="00BF476C" w:rsidRPr="00BF476C" w:rsidRDefault="00BF476C" w:rsidP="00BF476C">
      <w:pPr>
        <w:spacing w:line="240" w:lineRule="auto"/>
      </w:pPr>
    </w:p>
    <w:p w:rsidR="0077312C" w:rsidRDefault="0077312C" w:rsidP="00DF2816">
      <w:pPr>
        <w:rPr>
          <w:rFonts w:cs="Times New Roman"/>
        </w:rPr>
      </w:pPr>
      <w:r>
        <w:t xml:space="preserve">As noted, the Joint Petition was </w:t>
      </w:r>
      <w:r w:rsidR="00DF2816">
        <w:t>signed by PECO, the OTS, the OCA, the OSBA, PAIEUG, Local 614 and PCOC.</w:t>
      </w:r>
      <w:r w:rsidR="00C923FE">
        <w:t xml:space="preserve">  Attached to the Joint Petition is: (1)</w:t>
      </w:r>
      <w:r w:rsidR="00C923FE">
        <w:rPr>
          <w:rFonts w:cs="Times New Roman"/>
        </w:rPr>
        <w:t xml:space="preserve"> the proposed tariff supplement (settlement rates) (clean and black-line versions) (Exhibit 1); (2) the proof of revenues (Exhibit 2); (3) the proposed revenue allocation (Exhibit 3)</w:t>
      </w:r>
      <w:r w:rsidR="00BF476C">
        <w:rPr>
          <w:rFonts w:cs="Times New Roman"/>
        </w:rPr>
        <w:t xml:space="preserve">; and (4) </w:t>
      </w:r>
      <w:r w:rsidR="00C923FE">
        <w:rPr>
          <w:rFonts w:cs="Times New Roman"/>
        </w:rPr>
        <w:t>the universal service terms and conditions</w:t>
      </w:r>
      <w:r w:rsidR="00F916DE">
        <w:rPr>
          <w:rFonts w:cs="Times New Roman"/>
        </w:rPr>
        <w:t xml:space="preserve"> (Exhibit </w:t>
      </w:r>
      <w:r w:rsidR="00BF476C">
        <w:rPr>
          <w:rFonts w:cs="Times New Roman"/>
        </w:rPr>
        <w:t>4)</w:t>
      </w:r>
      <w:r w:rsidR="00C923FE">
        <w:rPr>
          <w:rFonts w:cs="Times New Roman"/>
        </w:rPr>
        <w:t xml:space="preserve">.  </w:t>
      </w:r>
      <w:r w:rsidR="00BF476C">
        <w:rPr>
          <w:rFonts w:cs="Times New Roman"/>
        </w:rPr>
        <w:t xml:space="preserve">Also attached to the Joint Petition </w:t>
      </w:r>
      <w:proofErr w:type="gramStart"/>
      <w:r w:rsidR="00BF476C">
        <w:rPr>
          <w:rFonts w:cs="Times New Roman"/>
        </w:rPr>
        <w:t>are</w:t>
      </w:r>
      <w:proofErr w:type="gramEnd"/>
      <w:r w:rsidR="00BF476C">
        <w:rPr>
          <w:rFonts w:cs="Times New Roman"/>
        </w:rPr>
        <w:t xml:space="preserve"> Statements A-G containing the Statement</w:t>
      </w:r>
      <w:r w:rsidR="00F916DE">
        <w:rPr>
          <w:rFonts w:cs="Times New Roman"/>
        </w:rPr>
        <w:t>s</w:t>
      </w:r>
      <w:r w:rsidR="00BF476C">
        <w:rPr>
          <w:rFonts w:cs="Times New Roman"/>
        </w:rPr>
        <w:t xml:space="preserve"> in Support of the Joint Petitioners. </w:t>
      </w:r>
    </w:p>
    <w:p w:rsidR="00BF476C" w:rsidRDefault="00BF476C" w:rsidP="00DF2816">
      <w:pPr>
        <w:rPr>
          <w:rFonts w:cs="Times New Roman"/>
        </w:rPr>
      </w:pPr>
    </w:p>
    <w:p w:rsidR="00BF476C" w:rsidRDefault="00BF476C" w:rsidP="00DF2816">
      <w:pPr>
        <w:rPr>
          <w:rFonts w:cs="Times New Roman"/>
        </w:rPr>
      </w:pPr>
      <w:r>
        <w:rPr>
          <w:rFonts w:cs="Times New Roman"/>
        </w:rPr>
        <w:t xml:space="preserve">The principal terms and conditions of the Joint Petition were set forth </w:t>
      </w:r>
      <w:r w:rsidR="006D4418">
        <w:rPr>
          <w:rFonts w:cs="Times New Roman"/>
        </w:rPr>
        <w:t>in Section II of the Petition, Paragraph 7, as follows:</w:t>
      </w:r>
    </w:p>
    <w:p w:rsidR="006D4418" w:rsidRDefault="006D4418" w:rsidP="00DF2816">
      <w:pPr>
        <w:rPr>
          <w:rFonts w:cs="Times New Roman"/>
        </w:rPr>
      </w:pPr>
    </w:p>
    <w:p w:rsidR="006D4418" w:rsidRDefault="006D4418" w:rsidP="006D4418">
      <w:pPr>
        <w:spacing w:line="240" w:lineRule="auto"/>
        <w:ind w:left="1440" w:right="1440" w:firstLine="0"/>
        <w:rPr>
          <w:rFonts w:cs="Times New Roman"/>
          <w:b/>
        </w:rPr>
      </w:pPr>
      <w:r>
        <w:rPr>
          <w:rFonts w:cs="Times New Roman"/>
          <w:b/>
        </w:rPr>
        <w:t>A.</w:t>
      </w:r>
      <w:r>
        <w:rPr>
          <w:rFonts w:cs="Times New Roman"/>
          <w:b/>
        </w:rPr>
        <w:tab/>
        <w:t>Revenue Requirements/MGP</w:t>
      </w:r>
    </w:p>
    <w:p w:rsidR="006D4418" w:rsidRDefault="006D4418" w:rsidP="006D4418">
      <w:pPr>
        <w:spacing w:line="240" w:lineRule="auto"/>
        <w:ind w:left="1440" w:right="1440" w:firstLine="0"/>
        <w:rPr>
          <w:rFonts w:cs="Times New Roman"/>
        </w:rPr>
      </w:pPr>
    </w:p>
    <w:p w:rsidR="006D4418" w:rsidRDefault="006D4418" w:rsidP="006D4418">
      <w:pPr>
        <w:spacing w:line="240" w:lineRule="auto"/>
        <w:ind w:left="1440" w:right="1440" w:firstLine="0"/>
        <w:rPr>
          <w:rFonts w:cs="Times New Roman"/>
        </w:rPr>
      </w:pPr>
      <w:r>
        <w:rPr>
          <w:rFonts w:cs="Times New Roman"/>
        </w:rPr>
        <w:tab/>
        <w:t>(1)</w:t>
      </w:r>
      <w:r>
        <w:rPr>
          <w:rFonts w:cs="Times New Roman"/>
        </w:rPr>
        <w:tab/>
        <w:t>Upon the Commission’s approval of this Settlement, PECO will be permitted to charge, effective for service rendered on and after January 1, 2011, the Settlement Rates set forth in the Tariff Supplement attached hereto as Exhibit 1.  The Settlement Rates are designed to produce an annual distribution rate revenue increase of $19.636 million, as shown on the proof of revenues attached hereto as Exhibit 2.  The increase in annual operating revenue is in lieu of the as-filed net increase of approximately $43.8 million.</w:t>
      </w:r>
    </w:p>
    <w:p w:rsidR="006D4418" w:rsidRDefault="006D4418" w:rsidP="006D4418">
      <w:pPr>
        <w:spacing w:line="240" w:lineRule="auto"/>
        <w:ind w:left="1440" w:right="1440" w:firstLine="0"/>
        <w:rPr>
          <w:rFonts w:cs="Times New Roman"/>
        </w:rPr>
      </w:pPr>
    </w:p>
    <w:p w:rsidR="006D4418" w:rsidRDefault="006D4418" w:rsidP="006D4418">
      <w:pPr>
        <w:spacing w:line="240" w:lineRule="auto"/>
        <w:ind w:left="1440" w:right="1440" w:firstLine="0"/>
        <w:rPr>
          <w:rFonts w:cs="Times New Roman"/>
        </w:rPr>
      </w:pPr>
      <w:r>
        <w:rPr>
          <w:rFonts w:cs="Times New Roman"/>
        </w:rPr>
        <w:tab/>
        <w:t>(2)</w:t>
      </w:r>
      <w:r>
        <w:rPr>
          <w:rFonts w:cs="Times New Roman"/>
        </w:rPr>
        <w:tab/>
        <w:t xml:space="preserve">The Joint Petitioners agree that the Settlement Rates will support the expenditure, on an annual basis, of $5.982 million for the remediation of PECO’s former manufactured gas plant (“MGP”) sites based on a 6-year estimated remaining duration of PECO’s MGP remediation program.  The Joint Petitioners further agree that, in PECO’s next general gas base rate case, the Company’s MGP remediation expense allowance will be reset based on:  (1) a normalized annual level of MGP remediation costs to be incurred over the remainder of its MGP remediation program, and (2) the difference between (a) $5.982 million per year times the number of years (including partial years as a </w:t>
      </w:r>
      <w:r>
        <w:rPr>
          <w:rFonts w:cs="Times New Roman"/>
        </w:rPr>
        <w:lastRenderedPageBreak/>
        <w:t>fraction) that the Settlement Rates are in effect, and (b) the actual, prudently-incurred MGP remediation costs, net of insurance recoveries, experienced during that same period.  All parties retain their rights to address, in future general gas base rate proceedings, the reasonableness of PECO’s MGP remediation program, including the costs incurred and insurance recoveries received by PECO.</w:t>
      </w:r>
    </w:p>
    <w:p w:rsidR="006D4418" w:rsidRDefault="006D4418" w:rsidP="006D4418">
      <w:pPr>
        <w:spacing w:line="240" w:lineRule="auto"/>
        <w:ind w:left="1440" w:right="1440" w:firstLine="0"/>
        <w:rPr>
          <w:rFonts w:cs="Times New Roman"/>
        </w:rPr>
      </w:pPr>
    </w:p>
    <w:p w:rsidR="006D4418" w:rsidRDefault="006D4418" w:rsidP="006D4418">
      <w:pPr>
        <w:spacing w:line="240" w:lineRule="auto"/>
        <w:ind w:left="1440" w:right="1440" w:firstLine="0"/>
        <w:rPr>
          <w:rFonts w:cs="Times New Roman"/>
        </w:rPr>
      </w:pPr>
      <w:r>
        <w:rPr>
          <w:rFonts w:cs="Times New Roman"/>
        </w:rPr>
        <w:tab/>
        <w:t>For accounting purposes, the above $5.982 million shall be recognized as PECO’s annual amount of MGP remediation expense through the period ending with the effective date of rates established in PECO’s next general base rate proceeding.</w:t>
      </w:r>
    </w:p>
    <w:p w:rsidR="006D4418" w:rsidRDefault="006D4418" w:rsidP="006D4418">
      <w:pPr>
        <w:spacing w:line="240" w:lineRule="auto"/>
        <w:ind w:left="1440" w:right="1440" w:firstLine="0"/>
        <w:rPr>
          <w:rFonts w:cs="Times New Roman"/>
        </w:rPr>
      </w:pPr>
    </w:p>
    <w:p w:rsidR="006D4418" w:rsidRDefault="006D4418" w:rsidP="006D4418">
      <w:pPr>
        <w:spacing w:line="240" w:lineRule="auto"/>
        <w:ind w:left="1440" w:right="1440" w:firstLine="0"/>
        <w:rPr>
          <w:rFonts w:cs="Times New Roman"/>
        </w:rPr>
      </w:pPr>
      <w:r>
        <w:rPr>
          <w:rFonts w:cs="Times New Roman"/>
          <w:b/>
        </w:rPr>
        <w:t>B.</w:t>
      </w:r>
      <w:r>
        <w:rPr>
          <w:rFonts w:cs="Times New Roman"/>
          <w:b/>
        </w:rPr>
        <w:tab/>
        <w:t>Gas Smart Meter Surcharge Mechanism</w:t>
      </w:r>
    </w:p>
    <w:p w:rsidR="006D4418" w:rsidRDefault="006D4418" w:rsidP="006D4418">
      <w:pPr>
        <w:spacing w:line="240" w:lineRule="auto"/>
        <w:ind w:left="1440" w:right="1440" w:firstLine="0"/>
        <w:rPr>
          <w:rFonts w:cs="Times New Roman"/>
        </w:rPr>
      </w:pPr>
    </w:p>
    <w:p w:rsidR="006D4418" w:rsidRDefault="006D4418" w:rsidP="006D4418">
      <w:pPr>
        <w:spacing w:line="240" w:lineRule="auto"/>
        <w:ind w:left="1440" w:right="1440" w:firstLine="0"/>
        <w:rPr>
          <w:rFonts w:cs="Times New Roman"/>
        </w:rPr>
      </w:pPr>
      <w:r>
        <w:rPr>
          <w:rFonts w:cs="Times New Roman"/>
        </w:rPr>
        <w:tab/>
        <w:t>PECO will withdraw its proposed Gas Smart Meter Surcharge Mechanism.</w:t>
      </w:r>
    </w:p>
    <w:p w:rsidR="006D4418" w:rsidRDefault="006D4418" w:rsidP="006D4418">
      <w:pPr>
        <w:spacing w:line="240" w:lineRule="auto"/>
        <w:ind w:left="1440" w:right="1440" w:firstLine="0"/>
        <w:rPr>
          <w:rFonts w:cs="Times New Roman"/>
        </w:rPr>
      </w:pPr>
    </w:p>
    <w:p w:rsidR="006D4418" w:rsidRDefault="006D4418" w:rsidP="006D4418">
      <w:pPr>
        <w:spacing w:line="240" w:lineRule="auto"/>
        <w:ind w:left="1440" w:right="1440" w:firstLine="0"/>
        <w:rPr>
          <w:rFonts w:cs="Times New Roman"/>
        </w:rPr>
      </w:pPr>
      <w:r>
        <w:rPr>
          <w:rFonts w:cs="Times New Roman"/>
          <w:b/>
        </w:rPr>
        <w:t>C.</w:t>
      </w:r>
      <w:r>
        <w:rPr>
          <w:rFonts w:cs="Times New Roman"/>
          <w:b/>
        </w:rPr>
        <w:tab/>
        <w:t>Revenue Allocation and Rate Design</w:t>
      </w:r>
    </w:p>
    <w:p w:rsidR="006D4418" w:rsidRDefault="006D4418" w:rsidP="006D4418">
      <w:pPr>
        <w:spacing w:line="240" w:lineRule="auto"/>
        <w:ind w:left="1440" w:right="1440" w:firstLine="0"/>
        <w:rPr>
          <w:rFonts w:cs="Times New Roman"/>
        </w:rPr>
      </w:pPr>
    </w:p>
    <w:p w:rsidR="006D4418" w:rsidRDefault="006D4418" w:rsidP="006D4418">
      <w:pPr>
        <w:spacing w:line="240" w:lineRule="auto"/>
        <w:ind w:left="1440" w:right="1440" w:firstLine="0"/>
        <w:rPr>
          <w:rFonts w:cs="Times New Roman"/>
        </w:rPr>
      </w:pPr>
      <w:r>
        <w:rPr>
          <w:rFonts w:cs="Times New Roman"/>
        </w:rPr>
        <w:tab/>
        <w:t>The Joint Petitioners agree to the terms set forth on Exhibit 3 attached hereto.  The customer charge for Rate GR will be $11.75 per month, as opposed to the requested customer charge of $12 per month.</w:t>
      </w:r>
    </w:p>
    <w:p w:rsidR="006D4418" w:rsidRDefault="006D4418" w:rsidP="006D4418">
      <w:pPr>
        <w:spacing w:line="240" w:lineRule="auto"/>
        <w:ind w:left="1440" w:right="1440" w:firstLine="0"/>
        <w:rPr>
          <w:rFonts w:cs="Times New Roman"/>
        </w:rPr>
      </w:pPr>
    </w:p>
    <w:p w:rsidR="006D4418" w:rsidRDefault="006D4418" w:rsidP="006D4418">
      <w:pPr>
        <w:spacing w:line="240" w:lineRule="auto"/>
        <w:ind w:left="1440" w:right="1440" w:firstLine="0"/>
        <w:rPr>
          <w:rFonts w:cs="Times New Roman"/>
        </w:rPr>
      </w:pPr>
      <w:r>
        <w:rPr>
          <w:rFonts w:cs="Times New Roman"/>
          <w:b/>
        </w:rPr>
        <w:t>D.</w:t>
      </w:r>
      <w:r>
        <w:rPr>
          <w:rFonts w:cs="Times New Roman"/>
          <w:b/>
        </w:rPr>
        <w:tab/>
        <w:t>Energy Efficiency Programs</w:t>
      </w:r>
    </w:p>
    <w:p w:rsidR="006D4418" w:rsidRDefault="006D4418" w:rsidP="006D4418">
      <w:pPr>
        <w:spacing w:line="240" w:lineRule="auto"/>
        <w:ind w:left="1440" w:right="1440" w:firstLine="0"/>
        <w:rPr>
          <w:rFonts w:cs="Times New Roman"/>
        </w:rPr>
      </w:pPr>
    </w:p>
    <w:p w:rsidR="006D4418" w:rsidRDefault="006D4418" w:rsidP="006D4418">
      <w:pPr>
        <w:spacing w:line="240" w:lineRule="auto"/>
        <w:ind w:left="1440" w:right="1440" w:firstLine="0"/>
        <w:rPr>
          <w:rFonts w:cs="Times New Roman"/>
        </w:rPr>
      </w:pPr>
      <w:r>
        <w:rPr>
          <w:rFonts w:cs="Times New Roman"/>
        </w:rPr>
        <w:tab/>
        <w:t>PECO will recover the entire $2.008 million annual cost of its gas energy efficiency programs in its gas distribution base rates.  Further, the mechanism provided for in the settlement at Docket No. 2008-2028394 will be maintained, with the exception that the spending limit is increased from $1.8 million, as set forth in that settlement, to $2.008 million.</w:t>
      </w:r>
    </w:p>
    <w:p w:rsidR="006D4418" w:rsidRDefault="006D4418" w:rsidP="006D4418">
      <w:pPr>
        <w:spacing w:line="240" w:lineRule="auto"/>
        <w:ind w:left="1440" w:right="1440" w:firstLine="0"/>
        <w:rPr>
          <w:rFonts w:cs="Times New Roman"/>
        </w:rPr>
      </w:pPr>
    </w:p>
    <w:p w:rsidR="006D4418" w:rsidRDefault="006D4418" w:rsidP="006D4418">
      <w:pPr>
        <w:spacing w:line="240" w:lineRule="auto"/>
        <w:ind w:left="1440" w:right="1440" w:firstLine="0"/>
        <w:rPr>
          <w:rFonts w:cs="Times New Roman"/>
        </w:rPr>
      </w:pPr>
      <w:r>
        <w:rPr>
          <w:rFonts w:cs="Times New Roman"/>
          <w:b/>
        </w:rPr>
        <w:t>E.</w:t>
      </w:r>
      <w:r>
        <w:rPr>
          <w:rFonts w:cs="Times New Roman"/>
          <w:b/>
        </w:rPr>
        <w:tab/>
        <w:t>Universal Services</w:t>
      </w:r>
    </w:p>
    <w:p w:rsidR="006D4418" w:rsidRDefault="006D4418" w:rsidP="006D4418">
      <w:pPr>
        <w:spacing w:line="240" w:lineRule="auto"/>
        <w:ind w:left="1440" w:right="1440" w:firstLine="0"/>
        <w:rPr>
          <w:rFonts w:cs="Times New Roman"/>
        </w:rPr>
      </w:pPr>
    </w:p>
    <w:p w:rsidR="006D4418" w:rsidRDefault="006D4418" w:rsidP="006D4418">
      <w:pPr>
        <w:spacing w:line="240" w:lineRule="auto"/>
        <w:ind w:left="1440" w:right="1440" w:firstLine="0"/>
        <w:rPr>
          <w:rFonts w:cs="Times New Roman"/>
        </w:rPr>
      </w:pPr>
      <w:r>
        <w:rPr>
          <w:rFonts w:cs="Times New Roman"/>
        </w:rPr>
        <w:tab/>
        <w:t xml:space="preserve">The Joint Petitioners agree to the terms set forth in Exhibit 4 attached hereto.  PECO’s proposed changes to the Gas Universal Service Fund Charge and annual reconciliation mechanism, as set forth in its March 31, 2010 filing and Supplement No. 92 are accepted, subject to:  (a) the Energy </w:t>
      </w:r>
      <w:r>
        <w:rPr>
          <w:rFonts w:cs="Times New Roman"/>
        </w:rPr>
        <w:lastRenderedPageBreak/>
        <w:t>Efficiency cost recovery modifications set forth in Section D above, and (b) a modification to reflect changing the target for Tiers D, D1, E, and E1 of PECO’s Customer Assistance Plan (“CAP”) rates from 90% CAP population affordability to 88%.  Specifically, with respect to changing the target for Tiers D, D1, E, and E1 of CAP and as shown in Appendix A to Exhibit 4, the Base Rate Credit used to calculate the amount of Reconcilable CAP costs recovered through base rates is based on CAP discounts of $9,648,000 rather than $10,387,000 as originally proposed in RLO-1, Schedule D-5C, which results in a $0.2656 per MCF rate to be used for annual reconciliation purposes.</w:t>
      </w:r>
    </w:p>
    <w:p w:rsidR="001E164D" w:rsidRDefault="001E164D" w:rsidP="005658ED">
      <w:pPr>
        <w:keepNext/>
        <w:spacing w:line="240" w:lineRule="auto"/>
        <w:ind w:left="1440" w:right="1440" w:firstLine="0"/>
        <w:rPr>
          <w:rFonts w:cs="Times New Roman"/>
          <w:b/>
        </w:rPr>
      </w:pPr>
    </w:p>
    <w:p w:rsidR="006D4418" w:rsidRDefault="006D4418" w:rsidP="001E164D">
      <w:pPr>
        <w:spacing w:line="240" w:lineRule="auto"/>
        <w:ind w:left="1440" w:right="1440" w:firstLine="0"/>
        <w:rPr>
          <w:rFonts w:cs="Times New Roman"/>
        </w:rPr>
      </w:pPr>
      <w:r>
        <w:rPr>
          <w:rFonts w:cs="Times New Roman"/>
          <w:b/>
        </w:rPr>
        <w:t>F.</w:t>
      </w:r>
      <w:r>
        <w:rPr>
          <w:rFonts w:cs="Times New Roman"/>
          <w:b/>
        </w:rPr>
        <w:tab/>
        <w:t>Tax Accounting for Repairs</w:t>
      </w:r>
    </w:p>
    <w:p w:rsidR="006D4418" w:rsidRDefault="006D4418" w:rsidP="001E164D">
      <w:pPr>
        <w:spacing w:line="240" w:lineRule="auto"/>
        <w:ind w:left="1440" w:right="1440" w:firstLine="0"/>
        <w:rPr>
          <w:rFonts w:cs="Times New Roman"/>
        </w:rPr>
      </w:pPr>
    </w:p>
    <w:p w:rsidR="006D4418" w:rsidRDefault="006D4418" w:rsidP="001E164D">
      <w:pPr>
        <w:spacing w:line="240" w:lineRule="auto"/>
        <w:ind w:left="1440" w:right="1440" w:firstLine="0"/>
        <w:rPr>
          <w:rFonts w:cs="Times New Roman"/>
        </w:rPr>
      </w:pPr>
      <w:r>
        <w:rPr>
          <w:rFonts w:cs="Times New Roman"/>
        </w:rPr>
        <w:tab/>
        <w:t>(1)</w:t>
      </w:r>
      <w:r>
        <w:rPr>
          <w:rFonts w:cs="Times New Roman"/>
        </w:rPr>
        <w:tab/>
        <w:t>PECO may, in the future, obtain a change in its method of tax accounting for repairs.  If it does so, it anticipates that it will be required to reflect an IRC Section 481(a) “catch-up” adjustment on its tax return for the year of that change.  PECO will notify each Joint Petitioner within ten days after the IRS issues an Industry Issue Resolution (e.g., a published Revenue Procedure) and/or an Industry Directive regarding tax accounting for repairs applicable to gas distribution assets.  Within sixty days after such guidance, PECO will notify the Joint Petitioners of its decision regarding whether or not to implement the repair method change.  If PECO determines that it will not elect to make the repair method change, it will provide its reasons therefore in the notice.  Each Joint Petitioner reserves its right to challenge PECO’s decision to not elect to make the repair method change.</w:t>
      </w:r>
    </w:p>
    <w:p w:rsidR="006D4418" w:rsidRDefault="006D4418" w:rsidP="006D4418">
      <w:pPr>
        <w:spacing w:line="240" w:lineRule="auto"/>
        <w:ind w:left="1440" w:right="1440" w:firstLine="0"/>
        <w:rPr>
          <w:rFonts w:cs="Times New Roman"/>
        </w:rPr>
      </w:pPr>
    </w:p>
    <w:p w:rsidR="006D4418" w:rsidRDefault="006D4418" w:rsidP="006D4418">
      <w:pPr>
        <w:spacing w:line="240" w:lineRule="auto"/>
        <w:ind w:left="1440" w:right="1440" w:firstLine="0"/>
        <w:rPr>
          <w:rFonts w:cs="Times New Roman"/>
        </w:rPr>
      </w:pPr>
      <w:r>
        <w:rPr>
          <w:rFonts w:cs="Times New Roman"/>
        </w:rPr>
        <w:tab/>
        <w:t>(2)</w:t>
      </w:r>
      <w:r>
        <w:rPr>
          <w:rFonts w:cs="Times New Roman"/>
        </w:rPr>
        <w:tab/>
        <w:t xml:space="preserve">PECO will defer the tax benefit attributable to PECO’s catch-up adjustment and commence amortizing it for ratemaking purposes over a seven-year period upon implementation of the repairs method change (i.e., the filing of its tax return for the year of the change).  Such amortization, appropriately grossed-up for taxes, shall be provided to customers through a bill credit or other mechanism.  The bill credits will be allocated to customer classes based on net gas distribution plant as set forth in PECO’s cost of service study.  The amortization shall be without interest.  The amortization is subject to adjustment </w:t>
      </w:r>
      <w:r>
        <w:rPr>
          <w:rFonts w:cs="Times New Roman"/>
        </w:rPr>
        <w:lastRenderedPageBreak/>
        <w:t>(including reflection of any interest required to be paid to the IRS) in the event the IRS disallows a portion of the catch-up adjustment.  To the extent the catch-up adjustment causes a state Net Operating Loss (NOL), the amount to be amortized shall be reduced to reflect any tax benefits lost because of the state NOL; if and when the NOL caused by the catch-up adjustment is utilized, the amount to be amortized will be adjusted accordingly.  At the time of PECO’s next gas distribution base rate case filing, PECO will propose accounting and rate treatment to provide to customers the tax benefits of any unamortized balance that remains at that time.  Each Joint Petitioner reserves its right to challenge that proposed treatment and to propose alternatives.</w:t>
      </w:r>
    </w:p>
    <w:p w:rsidR="006D4418" w:rsidRDefault="006D4418" w:rsidP="006D4418">
      <w:pPr>
        <w:spacing w:line="240" w:lineRule="auto"/>
        <w:ind w:left="1440" w:right="1440" w:firstLine="0"/>
        <w:rPr>
          <w:rFonts w:cs="Times New Roman"/>
        </w:rPr>
      </w:pPr>
    </w:p>
    <w:p w:rsidR="006D4418" w:rsidRDefault="006D4418" w:rsidP="006D4418">
      <w:pPr>
        <w:spacing w:line="240" w:lineRule="auto"/>
        <w:ind w:left="1440" w:right="1440" w:firstLine="0"/>
        <w:rPr>
          <w:rFonts w:cs="Times New Roman"/>
        </w:rPr>
      </w:pPr>
      <w:r>
        <w:rPr>
          <w:rFonts w:cs="Times New Roman"/>
        </w:rPr>
        <w:tab/>
        <w:t>(3)</w:t>
      </w:r>
      <w:r>
        <w:rPr>
          <w:rFonts w:cs="Times New Roman"/>
        </w:rPr>
        <w:tab/>
        <w:t>The annual tax benefits produced by the new repairs accounting method will be subject to “flow through” tax accounting.  As a result, the tax benefit of the ongoing repair deductions claimed using the new method will be reflected in computing the Company’s tax expense in the year in which they are actually claimed on the Company’s tax return.  The future annual benefits attributable to the new repair accounting method will be reflected in the determination of revenue requirements in PECO’s next gas distribution base rate case filing.</w:t>
      </w:r>
    </w:p>
    <w:p w:rsidR="006D4418" w:rsidRDefault="006D4418" w:rsidP="006D4418">
      <w:pPr>
        <w:spacing w:line="240" w:lineRule="auto"/>
        <w:ind w:left="1440" w:right="1440" w:firstLine="0"/>
        <w:rPr>
          <w:rFonts w:cs="Times New Roman"/>
        </w:rPr>
      </w:pPr>
    </w:p>
    <w:p w:rsidR="006D4418" w:rsidRDefault="006D4418" w:rsidP="006D4418">
      <w:pPr>
        <w:spacing w:line="240" w:lineRule="auto"/>
        <w:ind w:left="1440" w:right="1440" w:firstLine="0"/>
        <w:rPr>
          <w:rFonts w:cs="Times New Roman"/>
        </w:rPr>
      </w:pPr>
      <w:r>
        <w:rPr>
          <w:rFonts w:cs="Times New Roman"/>
          <w:b/>
        </w:rPr>
        <w:t>G.</w:t>
      </w:r>
      <w:r>
        <w:rPr>
          <w:rFonts w:cs="Times New Roman"/>
          <w:b/>
        </w:rPr>
        <w:tab/>
        <w:t>Unbundling of Uncollectible Expense</w:t>
      </w:r>
    </w:p>
    <w:p w:rsidR="006D4418" w:rsidRDefault="006D4418" w:rsidP="006D4418">
      <w:pPr>
        <w:spacing w:line="240" w:lineRule="auto"/>
        <w:ind w:left="1440" w:right="1440" w:firstLine="0"/>
        <w:rPr>
          <w:rFonts w:cs="Times New Roman"/>
        </w:rPr>
      </w:pPr>
    </w:p>
    <w:p w:rsidR="006D4418" w:rsidRDefault="006D4418" w:rsidP="006D4418">
      <w:pPr>
        <w:spacing w:line="240" w:lineRule="auto"/>
        <w:ind w:left="1440" w:right="1440" w:firstLine="0"/>
        <w:rPr>
          <w:rFonts w:cs="Times New Roman"/>
        </w:rPr>
      </w:pPr>
      <w:r>
        <w:rPr>
          <w:rFonts w:cs="Times New Roman"/>
        </w:rPr>
        <w:tab/>
        <w:t xml:space="preserve">PECO will implement its Gas Purchase of Receivables (“POR”) program consistent with the outcome of the proceeding at Docket No. </w:t>
      </w:r>
      <w:proofErr w:type="gramStart"/>
      <w:r>
        <w:rPr>
          <w:rFonts w:cs="Times New Roman"/>
        </w:rPr>
        <w:t>P-2009-2143588 and the final outcome of the Commission’s rulemaking proceeding at L-2008-2069114.</w:t>
      </w:r>
      <w:proofErr w:type="gramEnd"/>
      <w:r>
        <w:rPr>
          <w:rFonts w:cs="Times New Roman"/>
        </w:rPr>
        <w:t xml:space="preserve">  Should the Commission determine in either of those proceedings that unbundled uncollectibles and a Merchant Function Charge (“MFC”) are required, PECO’s $4.4 million in POR uncollectibles will be unbundled, converted to a percent-of-revenue by class (GR – 1.07%; GC – 0.30%) and recovered through an MFC, and PECO will apply a corresponding discount to the receivables purchased from natural gas suppliers.</w:t>
      </w:r>
    </w:p>
    <w:p w:rsidR="006D4418" w:rsidRDefault="006D4418" w:rsidP="006D4418">
      <w:pPr>
        <w:spacing w:line="240" w:lineRule="auto"/>
        <w:ind w:left="1440" w:right="1440" w:firstLine="0"/>
        <w:rPr>
          <w:rFonts w:cs="Times New Roman"/>
        </w:rPr>
      </w:pPr>
    </w:p>
    <w:p w:rsidR="0061173B" w:rsidRDefault="0061173B">
      <w:pPr>
        <w:autoSpaceDE/>
        <w:autoSpaceDN/>
        <w:rPr>
          <w:rFonts w:cs="Times New Roman"/>
          <w:b/>
        </w:rPr>
      </w:pPr>
      <w:r>
        <w:rPr>
          <w:rFonts w:cs="Times New Roman"/>
          <w:b/>
        </w:rPr>
        <w:br w:type="page"/>
      </w:r>
    </w:p>
    <w:p w:rsidR="006D4418" w:rsidRDefault="006D4418" w:rsidP="006D4418">
      <w:pPr>
        <w:spacing w:line="240" w:lineRule="auto"/>
        <w:ind w:left="1440" w:right="1440" w:firstLine="0"/>
        <w:rPr>
          <w:rFonts w:cs="Times New Roman"/>
        </w:rPr>
      </w:pPr>
      <w:r>
        <w:rPr>
          <w:rFonts w:cs="Times New Roman"/>
          <w:b/>
        </w:rPr>
        <w:lastRenderedPageBreak/>
        <w:t>H.</w:t>
      </w:r>
      <w:r>
        <w:rPr>
          <w:rFonts w:cs="Times New Roman"/>
          <w:b/>
        </w:rPr>
        <w:tab/>
        <w:t>Non-Residential Customer Deposits</w:t>
      </w:r>
    </w:p>
    <w:p w:rsidR="006D4418" w:rsidRDefault="006D4418" w:rsidP="006D4418">
      <w:pPr>
        <w:spacing w:line="240" w:lineRule="auto"/>
        <w:ind w:left="1440" w:right="1440" w:firstLine="0"/>
        <w:rPr>
          <w:rFonts w:cs="Times New Roman"/>
        </w:rPr>
      </w:pPr>
    </w:p>
    <w:p w:rsidR="006D4418" w:rsidRDefault="006D4418" w:rsidP="006D4418">
      <w:pPr>
        <w:spacing w:line="240" w:lineRule="auto"/>
        <w:ind w:left="1440" w:right="1440" w:firstLine="0"/>
        <w:rPr>
          <w:rFonts w:cs="Times New Roman"/>
        </w:rPr>
      </w:pPr>
      <w:r>
        <w:rPr>
          <w:rFonts w:cs="Times New Roman"/>
        </w:rPr>
        <w:tab/>
        <w:t>PECO will modify its tariff concerning the return of deposits related to non-residential customer accounts.  PECO will return the deposit on a non-residential account if the account was assessed fewer than two late payments in the previous 24 months.  In addition, the first annual review of the customer’s payment status will occur 24 months after the initial deposit date.  This change will become effective in 2011 after the appropriate tracking systems are modified to reflect the change.</w:t>
      </w:r>
    </w:p>
    <w:p w:rsidR="006D4418" w:rsidRDefault="006D4418" w:rsidP="006D4418">
      <w:pPr>
        <w:spacing w:line="240" w:lineRule="auto"/>
        <w:ind w:left="1440" w:right="1440" w:firstLine="0"/>
        <w:rPr>
          <w:rFonts w:cs="Times New Roman"/>
        </w:rPr>
      </w:pPr>
    </w:p>
    <w:p w:rsidR="006D4418" w:rsidRDefault="006D4418" w:rsidP="005658ED">
      <w:pPr>
        <w:keepNext/>
        <w:spacing w:line="240" w:lineRule="auto"/>
        <w:ind w:left="1440" w:right="1440" w:firstLine="0"/>
        <w:rPr>
          <w:rFonts w:cs="Times New Roman"/>
        </w:rPr>
      </w:pPr>
      <w:r>
        <w:rPr>
          <w:rFonts w:cs="Times New Roman"/>
          <w:b/>
        </w:rPr>
        <w:t>I.</w:t>
      </w:r>
      <w:r>
        <w:rPr>
          <w:rFonts w:cs="Times New Roman"/>
          <w:b/>
        </w:rPr>
        <w:tab/>
        <w:t>Rate Case Expense</w:t>
      </w:r>
    </w:p>
    <w:p w:rsidR="006D4418" w:rsidRDefault="006D4418" w:rsidP="005658ED">
      <w:pPr>
        <w:keepNext/>
        <w:spacing w:line="240" w:lineRule="auto"/>
        <w:ind w:left="1440" w:right="1440" w:firstLine="0"/>
        <w:rPr>
          <w:rFonts w:cs="Times New Roman"/>
        </w:rPr>
      </w:pPr>
    </w:p>
    <w:p w:rsidR="006D4418" w:rsidRDefault="006D4418" w:rsidP="005658ED">
      <w:pPr>
        <w:keepNext/>
        <w:spacing w:line="240" w:lineRule="auto"/>
        <w:ind w:left="1440" w:right="1440" w:firstLine="0"/>
        <w:rPr>
          <w:rFonts w:cs="Times New Roman"/>
        </w:rPr>
      </w:pPr>
      <w:r>
        <w:rPr>
          <w:rFonts w:cs="Times New Roman"/>
        </w:rPr>
        <w:tab/>
        <w:t>Joint Petitioners agree that the rate revenues authorized by this Settlement include a provision for rate case expense that, solely for accounting purposes, is based on an expense normalization period of no less than two years from the effective date of the rates approved in this proceeding.</w:t>
      </w:r>
    </w:p>
    <w:p w:rsidR="006D4418" w:rsidRDefault="006D4418" w:rsidP="006D4418">
      <w:pPr>
        <w:spacing w:line="240" w:lineRule="auto"/>
        <w:ind w:left="1440" w:right="1440" w:firstLine="0"/>
        <w:rPr>
          <w:rFonts w:cs="Times New Roman"/>
        </w:rPr>
      </w:pPr>
    </w:p>
    <w:p w:rsidR="006D4418" w:rsidRDefault="006D4418" w:rsidP="006D4418">
      <w:pPr>
        <w:spacing w:line="240" w:lineRule="auto"/>
        <w:ind w:left="1440" w:right="1440" w:firstLine="0"/>
        <w:rPr>
          <w:rFonts w:cs="Times New Roman"/>
        </w:rPr>
      </w:pPr>
      <w:r>
        <w:rPr>
          <w:rFonts w:cs="Times New Roman"/>
          <w:b/>
        </w:rPr>
        <w:t>J.</w:t>
      </w:r>
      <w:r>
        <w:rPr>
          <w:rFonts w:cs="Times New Roman"/>
          <w:b/>
        </w:rPr>
        <w:tab/>
        <w:t>Depreciation Rates</w:t>
      </w:r>
    </w:p>
    <w:p w:rsidR="006D4418" w:rsidRDefault="006D4418" w:rsidP="006D4418">
      <w:pPr>
        <w:spacing w:line="240" w:lineRule="auto"/>
        <w:ind w:left="1440" w:right="1440" w:firstLine="0"/>
        <w:rPr>
          <w:rFonts w:cs="Times New Roman"/>
        </w:rPr>
      </w:pPr>
    </w:p>
    <w:p w:rsidR="006D4418" w:rsidRDefault="006D4418" w:rsidP="006D4418">
      <w:pPr>
        <w:spacing w:line="240" w:lineRule="auto"/>
        <w:ind w:left="1440" w:right="1440" w:firstLine="0"/>
        <w:rPr>
          <w:rFonts w:cs="Times New Roman"/>
        </w:rPr>
      </w:pPr>
      <w:r>
        <w:rPr>
          <w:rFonts w:cs="Times New Roman"/>
        </w:rPr>
        <w:tab/>
        <w:t>The Joint Petitioners acknowledge and agree that the depreciation rates proposed by PECO in its March 31, 2010 filing and as set forth in PECO Exhibit JA-1 were not challenged in this case and that the Company will use such depreciation rates to calculate the depreciation expense it records on its regulated books of account.</w:t>
      </w:r>
    </w:p>
    <w:p w:rsidR="005658ED" w:rsidRDefault="005658ED" w:rsidP="006D4418">
      <w:pPr>
        <w:spacing w:line="240" w:lineRule="auto"/>
        <w:ind w:left="1440" w:right="1440" w:firstLine="0"/>
        <w:rPr>
          <w:rFonts w:cs="Times New Roman"/>
        </w:rPr>
      </w:pPr>
    </w:p>
    <w:p w:rsidR="00F916DE" w:rsidRDefault="005658ED" w:rsidP="00F916DE">
      <w:pPr>
        <w:spacing w:line="240" w:lineRule="auto"/>
        <w:ind w:right="1440" w:firstLine="0"/>
        <w:rPr>
          <w:rFonts w:cs="Times New Roman"/>
        </w:rPr>
      </w:pPr>
      <w:r>
        <w:rPr>
          <w:rFonts w:cs="Times New Roman"/>
        </w:rPr>
        <w:t>Joint Petition at 8-12.</w:t>
      </w:r>
    </w:p>
    <w:p w:rsidR="00F916DE" w:rsidRDefault="00F916DE" w:rsidP="001F36A0">
      <w:pPr>
        <w:ind w:right="1440" w:firstLine="0"/>
        <w:rPr>
          <w:rFonts w:cs="Times New Roman"/>
        </w:rPr>
      </w:pPr>
    </w:p>
    <w:p w:rsidR="00F916DE" w:rsidRDefault="00A8361B" w:rsidP="00F916DE">
      <w:pPr>
        <w:spacing w:line="240" w:lineRule="auto"/>
        <w:ind w:right="1440" w:firstLine="0"/>
        <w:rPr>
          <w:rFonts w:cs="Times New Roman"/>
          <w:b/>
        </w:rPr>
      </w:pPr>
      <w:r>
        <w:rPr>
          <w:rFonts w:cs="Times New Roman"/>
          <w:b/>
        </w:rPr>
        <w:t>III.</w:t>
      </w:r>
      <w:r>
        <w:rPr>
          <w:rFonts w:cs="Times New Roman"/>
          <w:b/>
        </w:rPr>
        <w:tab/>
      </w:r>
      <w:r w:rsidR="005658ED" w:rsidRPr="005658ED">
        <w:rPr>
          <w:rFonts w:cs="Times New Roman"/>
          <w:b/>
        </w:rPr>
        <w:t>Discussion</w:t>
      </w:r>
    </w:p>
    <w:p w:rsidR="00F916DE" w:rsidRDefault="00F916DE" w:rsidP="00F916DE">
      <w:pPr>
        <w:spacing w:line="240" w:lineRule="auto"/>
        <w:ind w:right="1440" w:firstLine="0"/>
        <w:rPr>
          <w:rFonts w:cs="Times New Roman"/>
          <w:b/>
        </w:rPr>
      </w:pPr>
    </w:p>
    <w:p w:rsidR="00FD267F" w:rsidRDefault="00FD267F" w:rsidP="00F916DE">
      <w:r w:rsidRPr="001C137E">
        <w:t xml:space="preserve">The burden of proof to establish the justness and reasonableness of every element of the utility’s rate increase rests solely upon the public utility.  </w:t>
      </w:r>
      <w:proofErr w:type="gramStart"/>
      <w:r w:rsidRPr="001C137E">
        <w:t>66 Pa.</w:t>
      </w:r>
      <w:r w:rsidR="00DE6B21">
        <w:t xml:space="preserve"> </w:t>
      </w:r>
      <w:r w:rsidRPr="001C137E">
        <w:t>C.S.</w:t>
      </w:r>
      <w:r>
        <w:t xml:space="preserve"> </w:t>
      </w:r>
      <w:r w:rsidRPr="001C137E">
        <w:t>§ 315(a).</w:t>
      </w:r>
      <w:proofErr w:type="gramEnd"/>
      <w:r w:rsidRPr="001C137E">
        <w:t xml:space="preserve">  “It is well-established that the evidence adduced by a utility to meet this burden must be substantial.”  </w:t>
      </w:r>
      <w:r w:rsidRPr="001C137E">
        <w:rPr>
          <w:i/>
        </w:rPr>
        <w:t xml:space="preserve">Lower Frederick Twp. v. Pennsylvania Pub. </w:t>
      </w:r>
      <w:proofErr w:type="gramStart"/>
      <w:r w:rsidRPr="001C137E">
        <w:rPr>
          <w:i/>
        </w:rPr>
        <w:t>Util. Comm’n</w:t>
      </w:r>
      <w:r w:rsidRPr="001C137E">
        <w:t>, 409 A.2d 505, 507 (Pa.Cmwlth. 1980).</w:t>
      </w:r>
      <w:proofErr w:type="gramEnd"/>
      <w:r w:rsidRPr="001C137E">
        <w:t xml:space="preserve">  </w:t>
      </w:r>
    </w:p>
    <w:p w:rsidR="00F916DE" w:rsidRDefault="00F916DE" w:rsidP="00F916DE"/>
    <w:p w:rsidR="00FD267F" w:rsidRDefault="00FD267F" w:rsidP="00F916DE">
      <w:pPr>
        <w:widowControl w:val="0"/>
        <w:rPr>
          <w:szCs w:val="26"/>
        </w:rPr>
      </w:pPr>
      <w:r w:rsidRPr="000D6043">
        <w:rPr>
          <w:szCs w:val="26"/>
        </w:rPr>
        <w:lastRenderedPageBreak/>
        <w:t>Pursuant to our Regulations at 52 Pa. Code §</w:t>
      </w:r>
      <w:r>
        <w:rPr>
          <w:szCs w:val="26"/>
        </w:rPr>
        <w:t xml:space="preserve"> </w:t>
      </w:r>
      <w:r w:rsidRPr="000D6043">
        <w:rPr>
          <w:szCs w:val="26"/>
        </w:rPr>
        <w:t xml:space="preserve">5.231, it is the Commission’s policy to promote settlements.  </w:t>
      </w:r>
      <w:r>
        <w:rPr>
          <w:szCs w:val="26"/>
        </w:rPr>
        <w:t>T</w:t>
      </w:r>
      <w:r w:rsidRPr="000D6043">
        <w:rPr>
          <w:szCs w:val="26"/>
        </w:rPr>
        <w:t>he Commission must</w:t>
      </w:r>
      <w:r>
        <w:rPr>
          <w:szCs w:val="26"/>
        </w:rPr>
        <w:t>, however,</w:t>
      </w:r>
      <w:r w:rsidRPr="000D6043">
        <w:rPr>
          <w:szCs w:val="26"/>
        </w:rPr>
        <w:t xml:space="preserve"> review proposed settlements to determine whether the terms are in the public interest.</w:t>
      </w:r>
      <w:r>
        <w:rPr>
          <w:szCs w:val="26"/>
        </w:rPr>
        <w:t xml:space="preserve"> </w:t>
      </w:r>
      <w:r w:rsidRPr="000D6043">
        <w:rPr>
          <w:szCs w:val="26"/>
        </w:rPr>
        <w:t xml:space="preserve"> </w:t>
      </w:r>
      <w:proofErr w:type="gramStart"/>
      <w:r w:rsidRPr="00416218">
        <w:rPr>
          <w:i/>
          <w:szCs w:val="26"/>
        </w:rPr>
        <w:t>Pa. PUC v. Philadelphia Gas Works</w:t>
      </w:r>
      <w:r w:rsidRPr="00416218">
        <w:rPr>
          <w:szCs w:val="26"/>
        </w:rPr>
        <w:t>, M-00031768 (January 7, 2004)</w:t>
      </w:r>
      <w:r>
        <w:rPr>
          <w:szCs w:val="26"/>
        </w:rPr>
        <w:t xml:space="preserve">; </w:t>
      </w:r>
      <w:r w:rsidRPr="00416218">
        <w:rPr>
          <w:i/>
          <w:szCs w:val="26"/>
        </w:rPr>
        <w:t>Pa. PUC</w:t>
      </w:r>
      <w:r>
        <w:rPr>
          <w:i/>
          <w:szCs w:val="26"/>
        </w:rPr>
        <w:t xml:space="preserve"> </w:t>
      </w:r>
      <w:r w:rsidRPr="00416218">
        <w:rPr>
          <w:i/>
          <w:szCs w:val="26"/>
        </w:rPr>
        <w:t>v. C S Water and Sewer Assoc.</w:t>
      </w:r>
      <w:r w:rsidRPr="00416218">
        <w:rPr>
          <w:szCs w:val="26"/>
        </w:rPr>
        <w:t>, 74 Pa.</w:t>
      </w:r>
      <w:r>
        <w:rPr>
          <w:szCs w:val="26"/>
        </w:rPr>
        <w:t xml:space="preserve"> </w:t>
      </w:r>
      <w:r w:rsidRPr="00416218">
        <w:rPr>
          <w:szCs w:val="26"/>
        </w:rPr>
        <w:t>P</w:t>
      </w:r>
      <w:r>
        <w:rPr>
          <w:szCs w:val="26"/>
        </w:rPr>
        <w:t>.</w:t>
      </w:r>
      <w:r w:rsidRPr="00416218">
        <w:rPr>
          <w:szCs w:val="26"/>
        </w:rPr>
        <w:t>U</w:t>
      </w:r>
      <w:r>
        <w:rPr>
          <w:szCs w:val="26"/>
        </w:rPr>
        <w:t>.</w:t>
      </w:r>
      <w:r w:rsidRPr="00416218">
        <w:rPr>
          <w:szCs w:val="26"/>
        </w:rPr>
        <w:t>C</w:t>
      </w:r>
      <w:r>
        <w:rPr>
          <w:szCs w:val="26"/>
        </w:rPr>
        <w:t>.</w:t>
      </w:r>
      <w:r w:rsidRPr="00416218">
        <w:rPr>
          <w:szCs w:val="26"/>
        </w:rPr>
        <w:t xml:space="preserve"> 767 (1991); </w:t>
      </w:r>
      <w:r w:rsidRPr="00416218">
        <w:rPr>
          <w:i/>
          <w:szCs w:val="26"/>
        </w:rPr>
        <w:t>Pa. PUC</w:t>
      </w:r>
      <w:r>
        <w:rPr>
          <w:i/>
          <w:szCs w:val="26"/>
        </w:rPr>
        <w:t xml:space="preserve"> </w:t>
      </w:r>
      <w:r w:rsidRPr="00416218">
        <w:rPr>
          <w:i/>
          <w:szCs w:val="26"/>
        </w:rPr>
        <w:t>v. Philadelphia Electric Co.</w:t>
      </w:r>
      <w:r w:rsidRPr="00416218">
        <w:rPr>
          <w:szCs w:val="26"/>
        </w:rPr>
        <w:t>, 60 Pa.</w:t>
      </w:r>
      <w:r>
        <w:rPr>
          <w:szCs w:val="26"/>
        </w:rPr>
        <w:t xml:space="preserve"> </w:t>
      </w:r>
      <w:r w:rsidRPr="00416218">
        <w:rPr>
          <w:szCs w:val="26"/>
        </w:rPr>
        <w:t>P</w:t>
      </w:r>
      <w:r>
        <w:rPr>
          <w:szCs w:val="26"/>
        </w:rPr>
        <w:t>.</w:t>
      </w:r>
      <w:r w:rsidRPr="00416218">
        <w:rPr>
          <w:szCs w:val="26"/>
        </w:rPr>
        <w:t>U</w:t>
      </w:r>
      <w:r>
        <w:rPr>
          <w:szCs w:val="26"/>
        </w:rPr>
        <w:t>.</w:t>
      </w:r>
      <w:r w:rsidRPr="00416218">
        <w:rPr>
          <w:szCs w:val="26"/>
        </w:rPr>
        <w:t>C</w:t>
      </w:r>
      <w:r>
        <w:rPr>
          <w:szCs w:val="26"/>
        </w:rPr>
        <w:t>.</w:t>
      </w:r>
      <w:r w:rsidRPr="00416218">
        <w:rPr>
          <w:szCs w:val="26"/>
        </w:rPr>
        <w:t xml:space="preserve"> 1 (1985</w:t>
      </w:r>
      <w:r>
        <w:rPr>
          <w:szCs w:val="26"/>
        </w:rPr>
        <w:t>)</w:t>
      </w:r>
      <w:r w:rsidRPr="00416218">
        <w:rPr>
          <w:szCs w:val="26"/>
        </w:rPr>
        <w:t>.</w:t>
      </w:r>
      <w:proofErr w:type="gramEnd"/>
      <w:r>
        <w:rPr>
          <w:szCs w:val="26"/>
        </w:rPr>
        <w:t xml:space="preserve">  Accordingly, we will address the terms of the Joint Petition.</w:t>
      </w:r>
    </w:p>
    <w:p w:rsidR="00FD267F" w:rsidRDefault="00FD267F" w:rsidP="00FD267F">
      <w:pPr>
        <w:keepNext/>
        <w:rPr>
          <w:szCs w:val="26"/>
        </w:rPr>
      </w:pPr>
    </w:p>
    <w:p w:rsidR="00FD267F" w:rsidRPr="00B73DF4" w:rsidRDefault="001B7FB1" w:rsidP="00F916DE">
      <w:pPr>
        <w:pStyle w:val="Heading2"/>
        <w:rPr>
          <w:sz w:val="26"/>
          <w:szCs w:val="26"/>
        </w:rPr>
      </w:pPr>
      <w:r w:rsidRPr="00B73DF4">
        <w:rPr>
          <w:sz w:val="26"/>
          <w:szCs w:val="26"/>
        </w:rPr>
        <w:t>A.</w:t>
      </w:r>
      <w:r w:rsidRPr="00B73DF4">
        <w:rPr>
          <w:sz w:val="26"/>
          <w:szCs w:val="26"/>
        </w:rPr>
        <w:tab/>
      </w:r>
      <w:r w:rsidR="00FD267F" w:rsidRPr="00B73DF4">
        <w:rPr>
          <w:sz w:val="26"/>
          <w:szCs w:val="26"/>
        </w:rPr>
        <w:t>Revenue Requirement</w:t>
      </w:r>
    </w:p>
    <w:p w:rsidR="00FD267F" w:rsidRDefault="00FD267F" w:rsidP="00F916DE">
      <w:pPr>
        <w:keepNext/>
        <w:spacing w:line="240" w:lineRule="auto"/>
        <w:rPr>
          <w:rFonts w:cs="Times New Roman"/>
        </w:rPr>
      </w:pPr>
    </w:p>
    <w:p w:rsidR="00FD267F" w:rsidRDefault="00FD267F" w:rsidP="00F916DE">
      <w:pPr>
        <w:keepNext/>
        <w:rPr>
          <w:rFonts w:cs="Times New Roman"/>
        </w:rPr>
      </w:pPr>
      <w:r>
        <w:rPr>
          <w:rFonts w:cs="Times New Roman"/>
        </w:rPr>
        <w:t>PECO has agreed to accept a lower increase in annual revenues than it had originally requested.  The proposed Settlement permits PECO to establish overall distribution rates that produce additional annual operating revenue of $19.6 million beginning January 1, 2011, the end of the suspension period.</w:t>
      </w:r>
      <w:r w:rsidR="00A929B1">
        <w:rPr>
          <w:rFonts w:cs="Times New Roman"/>
        </w:rPr>
        <w:t xml:space="preserve">  </w:t>
      </w:r>
      <w:r>
        <w:rPr>
          <w:rFonts w:cs="Times New Roman"/>
        </w:rPr>
        <w:t>The agreed</w:t>
      </w:r>
      <w:r w:rsidR="001F36A0">
        <w:rPr>
          <w:rFonts w:cs="Times New Roman"/>
        </w:rPr>
        <w:t>-</w:t>
      </w:r>
      <w:r>
        <w:rPr>
          <w:rFonts w:cs="Times New Roman"/>
        </w:rPr>
        <w:t xml:space="preserve">upon increase </w:t>
      </w:r>
      <w:r w:rsidR="00C352A4">
        <w:rPr>
          <w:rFonts w:cs="Times New Roman"/>
        </w:rPr>
        <w:t xml:space="preserve">is in lieu of </w:t>
      </w:r>
      <w:r>
        <w:rPr>
          <w:rFonts w:cs="Times New Roman"/>
        </w:rPr>
        <w:t xml:space="preserve">PECO’s originally requested $43.8 million increase (later revised to $39.3 million).  </w:t>
      </w:r>
      <w:proofErr w:type="gramStart"/>
      <w:r w:rsidR="00A929B1">
        <w:rPr>
          <w:rFonts w:cs="Times New Roman"/>
        </w:rPr>
        <w:t>Joint Petition at 4 and Appendix B.</w:t>
      </w:r>
      <w:proofErr w:type="gramEnd"/>
      <w:r w:rsidR="00A929B1">
        <w:rPr>
          <w:rFonts w:cs="Times New Roman"/>
        </w:rPr>
        <w:t xml:space="preserve"> </w:t>
      </w:r>
    </w:p>
    <w:p w:rsidR="00A929B1" w:rsidRDefault="00A929B1" w:rsidP="00FD267F">
      <w:pPr>
        <w:rPr>
          <w:rFonts w:cs="Times New Roman"/>
        </w:rPr>
      </w:pPr>
    </w:p>
    <w:p w:rsidR="00FD267F" w:rsidRDefault="00A929B1" w:rsidP="00FD267F">
      <w:pPr>
        <w:rPr>
          <w:rFonts w:cs="Times New Roman"/>
        </w:rPr>
      </w:pPr>
      <w:r>
        <w:rPr>
          <w:rFonts w:cs="Times New Roman"/>
        </w:rPr>
        <w:t>The ALJ</w:t>
      </w:r>
      <w:r w:rsidR="0061173B">
        <w:rPr>
          <w:rFonts w:cs="Times New Roman"/>
        </w:rPr>
        <w:t>s</w:t>
      </w:r>
      <w:r>
        <w:rPr>
          <w:rFonts w:cs="Times New Roman"/>
        </w:rPr>
        <w:t xml:space="preserve"> </w:t>
      </w:r>
      <w:r w:rsidR="001868B0">
        <w:rPr>
          <w:rFonts w:cs="Times New Roman"/>
        </w:rPr>
        <w:t>indicate that t</w:t>
      </w:r>
      <w:r w:rsidR="00FD267F">
        <w:rPr>
          <w:rFonts w:cs="Times New Roman"/>
        </w:rPr>
        <w:t xml:space="preserve">he </w:t>
      </w:r>
      <w:r w:rsidR="001868B0">
        <w:rPr>
          <w:rFonts w:cs="Times New Roman"/>
        </w:rPr>
        <w:t>P</w:t>
      </w:r>
      <w:r w:rsidR="00FD267F">
        <w:rPr>
          <w:rFonts w:cs="Times New Roman"/>
        </w:rPr>
        <w:t>arties extensively analyzed PECO’s filing and determined that the proposed $19.6 million increase represents a result that would be within the range of likely outcomes in the event of full litigation of the case, and therefore will result in just, reasonable and nondiscriminatory rates as mandated by the Public Utility Code.  We agree.  This increase is a significant reduction from the amount originally requested and provides customers with levels of savings that might not otherwise have been obtainable had this proceeding been fully litigated.</w:t>
      </w:r>
    </w:p>
    <w:p w:rsidR="00FD267F" w:rsidRDefault="00FD267F" w:rsidP="00FD267F">
      <w:pPr>
        <w:rPr>
          <w:rFonts w:cs="Times New Roman"/>
        </w:rPr>
      </w:pPr>
    </w:p>
    <w:p w:rsidR="001868B0" w:rsidRDefault="00FD267F" w:rsidP="00FD267F">
      <w:pPr>
        <w:rPr>
          <w:rFonts w:cs="Times New Roman"/>
        </w:rPr>
      </w:pPr>
      <w:r>
        <w:rPr>
          <w:rFonts w:cs="Times New Roman"/>
        </w:rPr>
        <w:t xml:space="preserve">Accordingly, the amount of </w:t>
      </w:r>
      <w:r w:rsidR="001F36A0">
        <w:rPr>
          <w:rFonts w:cs="Times New Roman"/>
        </w:rPr>
        <w:t xml:space="preserve">the </w:t>
      </w:r>
      <w:r>
        <w:rPr>
          <w:rFonts w:cs="Times New Roman"/>
        </w:rPr>
        <w:t xml:space="preserve">proposed rate increase is in the public interest because ratepayers will continue to receive safe and reliable service at reasonable rates while allowing sufficient additional revenues to meet PECO’s operating expenses and provide a reasonable rate of return.   </w:t>
      </w:r>
    </w:p>
    <w:p w:rsidR="001868B0" w:rsidRDefault="001868B0" w:rsidP="00FD267F">
      <w:pPr>
        <w:rPr>
          <w:rFonts w:cs="Times New Roman"/>
        </w:rPr>
      </w:pPr>
    </w:p>
    <w:p w:rsidR="001868B0" w:rsidRPr="00B73DF4" w:rsidRDefault="001868B0" w:rsidP="00B73DF4">
      <w:pPr>
        <w:pStyle w:val="Heading2"/>
        <w:rPr>
          <w:sz w:val="26"/>
          <w:szCs w:val="26"/>
        </w:rPr>
      </w:pPr>
      <w:r w:rsidRPr="00B73DF4">
        <w:rPr>
          <w:sz w:val="26"/>
          <w:szCs w:val="26"/>
        </w:rPr>
        <w:lastRenderedPageBreak/>
        <w:t>B.</w:t>
      </w:r>
      <w:r w:rsidRPr="00B73DF4">
        <w:rPr>
          <w:sz w:val="26"/>
          <w:szCs w:val="26"/>
        </w:rPr>
        <w:tab/>
        <w:t>Unbundling of Uncollectible Expense</w:t>
      </w:r>
    </w:p>
    <w:p w:rsidR="001868B0" w:rsidRPr="00B73DF4" w:rsidRDefault="001868B0" w:rsidP="001868B0">
      <w:pPr>
        <w:spacing w:line="240" w:lineRule="auto"/>
        <w:rPr>
          <w:rFonts w:cs="Times New Roman"/>
          <w:szCs w:val="26"/>
        </w:rPr>
      </w:pPr>
    </w:p>
    <w:p w:rsidR="001868B0" w:rsidRDefault="001868B0" w:rsidP="001868B0">
      <w:pPr>
        <w:rPr>
          <w:rFonts w:cs="Times New Roman"/>
        </w:rPr>
      </w:pPr>
      <w:r>
        <w:rPr>
          <w:rFonts w:cs="Times New Roman"/>
        </w:rPr>
        <w:t xml:space="preserve">PECO agreed to implement its </w:t>
      </w:r>
      <w:r w:rsidR="001F36A0">
        <w:rPr>
          <w:rFonts w:cs="Times New Roman"/>
        </w:rPr>
        <w:t>G</w:t>
      </w:r>
      <w:r>
        <w:rPr>
          <w:rFonts w:cs="Times New Roman"/>
        </w:rPr>
        <w:t xml:space="preserve">as Purchase of Receivables (POR) program consistent with the outcome of the proceeding at </w:t>
      </w:r>
      <w:r>
        <w:rPr>
          <w:rFonts w:cs="Times New Roman"/>
          <w:i/>
        </w:rPr>
        <w:t>Petition of PECO Energy Company for Approval of its Natural Gas Supplier Purchase of Receivables Program</w:t>
      </w:r>
      <w:r>
        <w:rPr>
          <w:rFonts w:cs="Times New Roman"/>
        </w:rPr>
        <w:t xml:space="preserve">, Docket No. </w:t>
      </w:r>
      <w:proofErr w:type="gramStart"/>
      <w:r>
        <w:rPr>
          <w:rFonts w:cs="Times New Roman"/>
        </w:rPr>
        <w:t>P-2009-2143588 and the final outcome of the Commission’s rulemaking proceeding at Docket No.</w:t>
      </w:r>
      <w:proofErr w:type="gramEnd"/>
      <w:r>
        <w:rPr>
          <w:rFonts w:cs="Times New Roman"/>
        </w:rPr>
        <w:t xml:space="preserve"> </w:t>
      </w:r>
      <w:proofErr w:type="gramStart"/>
      <w:r>
        <w:rPr>
          <w:rFonts w:cs="Times New Roman"/>
        </w:rPr>
        <w:t>L-2008-2</w:t>
      </w:r>
      <w:r w:rsidR="00F50C27">
        <w:rPr>
          <w:rFonts w:cs="Times New Roman"/>
        </w:rPr>
        <w:t>069114.</w:t>
      </w:r>
      <w:proofErr w:type="gramEnd"/>
      <w:r w:rsidR="00F50C27">
        <w:rPr>
          <w:rFonts w:cs="Times New Roman"/>
        </w:rPr>
        <w:t xml:space="preserve">  The Joint Petition provides that</w:t>
      </w:r>
      <w:r w:rsidR="001F36A0">
        <w:rPr>
          <w:rFonts w:cs="Times New Roman"/>
        </w:rPr>
        <w:t>,</w:t>
      </w:r>
      <w:r w:rsidR="00F50C27">
        <w:rPr>
          <w:rFonts w:cs="Times New Roman"/>
        </w:rPr>
        <w:t xml:space="preserve"> should the Commission determine in either of those proceedings that unbundled uncollectibles and a </w:t>
      </w:r>
      <w:r w:rsidR="00182597">
        <w:rPr>
          <w:rFonts w:cs="Times New Roman"/>
        </w:rPr>
        <w:t>Merchant</w:t>
      </w:r>
      <w:r w:rsidR="00F50C27">
        <w:rPr>
          <w:rFonts w:cs="Times New Roman"/>
        </w:rPr>
        <w:t xml:space="preserve"> Function </w:t>
      </w:r>
      <w:r w:rsidR="00FE2830">
        <w:rPr>
          <w:rFonts w:cs="Times New Roman"/>
        </w:rPr>
        <w:t xml:space="preserve">Charge (MCF) are required, PECO’s $4.4 million in POR uncollectibles will be unbundled, </w:t>
      </w:r>
      <w:r>
        <w:rPr>
          <w:rFonts w:cs="Times New Roman"/>
        </w:rPr>
        <w:t>converted to a percent-by-revenue by class (GR</w:t>
      </w:r>
      <w:r w:rsidR="002F3DAA">
        <w:rPr>
          <w:rFonts w:cs="Times New Roman"/>
        </w:rPr>
        <w:t> </w:t>
      </w:r>
      <w:r w:rsidR="002F3DAA">
        <w:rPr>
          <w:rFonts w:cs="Times New Roman"/>
        </w:rPr>
        <w:noBreakHyphen/>
        <w:t> </w:t>
      </w:r>
      <w:r>
        <w:rPr>
          <w:rFonts w:cs="Times New Roman"/>
        </w:rPr>
        <w:t>1.07%, GC – 0.30%) and recovered through an MFC</w:t>
      </w:r>
      <w:r w:rsidR="00FC0D0A">
        <w:rPr>
          <w:rFonts w:cs="Times New Roman"/>
        </w:rPr>
        <w:t xml:space="preserve">. </w:t>
      </w:r>
      <w:r>
        <w:rPr>
          <w:rFonts w:cs="Times New Roman"/>
        </w:rPr>
        <w:t xml:space="preserve"> PECO will </w:t>
      </w:r>
      <w:r w:rsidR="00FC0D0A">
        <w:rPr>
          <w:rFonts w:cs="Times New Roman"/>
        </w:rPr>
        <w:t xml:space="preserve">also </w:t>
      </w:r>
      <w:r>
        <w:rPr>
          <w:rFonts w:cs="Times New Roman"/>
        </w:rPr>
        <w:t xml:space="preserve">apply a corresponding discount to the receivables purchased from natural gas suppliers.  </w:t>
      </w:r>
      <w:r w:rsidR="00BE7BDF">
        <w:rPr>
          <w:rFonts w:cs="Times New Roman"/>
        </w:rPr>
        <w:t xml:space="preserve">Joint Petition at </w:t>
      </w:r>
      <w:r w:rsidR="00C352A4">
        <w:rPr>
          <w:rFonts w:cs="Times New Roman"/>
        </w:rPr>
        <w:t>7</w:t>
      </w:r>
      <w:r w:rsidR="00BE7BDF">
        <w:rPr>
          <w:rFonts w:cs="Times New Roman"/>
        </w:rPr>
        <w:t>-</w:t>
      </w:r>
      <w:r w:rsidR="00C352A4">
        <w:rPr>
          <w:rFonts w:cs="Times New Roman"/>
        </w:rPr>
        <w:t>8</w:t>
      </w:r>
      <w:r w:rsidR="002F3DAA">
        <w:rPr>
          <w:rFonts w:cs="Times New Roman"/>
        </w:rPr>
        <w:t>.</w:t>
      </w:r>
    </w:p>
    <w:p w:rsidR="00931011" w:rsidRDefault="00931011" w:rsidP="0044268C">
      <w:pPr>
        <w:rPr>
          <w:rFonts w:cs="Times New Roman"/>
        </w:rPr>
      </w:pPr>
    </w:p>
    <w:p w:rsidR="007C79BF" w:rsidRPr="002652AE" w:rsidRDefault="00931011" w:rsidP="0044268C">
      <w:pPr>
        <w:rPr>
          <w:rFonts w:cs="Times New Roman"/>
          <w:szCs w:val="26"/>
        </w:rPr>
      </w:pPr>
      <w:r w:rsidRPr="00501F03">
        <w:rPr>
          <w:rFonts w:cs="Times New Roman"/>
          <w:szCs w:val="26"/>
        </w:rPr>
        <w:t xml:space="preserve">Pursuant to the Joint Petition for Partial Settlement in PECO’s POR filing </w:t>
      </w:r>
      <w:r w:rsidR="00BE7BDF" w:rsidRPr="00501F03">
        <w:rPr>
          <w:rFonts w:cs="Times New Roman"/>
          <w:szCs w:val="26"/>
        </w:rPr>
        <w:t xml:space="preserve">at </w:t>
      </w:r>
      <w:r w:rsidRPr="00501F03">
        <w:rPr>
          <w:rFonts w:cs="Times New Roman"/>
          <w:szCs w:val="26"/>
        </w:rPr>
        <w:t>Docket P-2009-2143588, Section 9(G)(1), PECO may terminate its POR program by providing three</w:t>
      </w:r>
      <w:r w:rsidR="002F3DAA">
        <w:rPr>
          <w:rFonts w:cs="Times New Roman"/>
          <w:szCs w:val="26"/>
        </w:rPr>
        <w:t xml:space="preserve"> </w:t>
      </w:r>
      <w:r w:rsidRPr="00501F03">
        <w:rPr>
          <w:rFonts w:cs="Times New Roman"/>
          <w:szCs w:val="26"/>
        </w:rPr>
        <w:t xml:space="preserve">months notice.  </w:t>
      </w:r>
      <w:r w:rsidR="0044268C" w:rsidRPr="0044268C">
        <w:rPr>
          <w:rFonts w:cs="Times New Roman"/>
        </w:rPr>
        <w:t xml:space="preserve">Therefore, PECO’s proposed rates, which would include default service-related uncollectible costs in its delivery rates, are appropriate only to the extent it offers a POR program that provides similar bad debt recovery and utility billing services embodied within its POR program.  </w:t>
      </w:r>
      <w:r w:rsidR="007C79BF" w:rsidRPr="00501F03">
        <w:rPr>
          <w:rFonts w:cs="Times New Roman"/>
          <w:szCs w:val="26"/>
        </w:rPr>
        <w:t xml:space="preserve">If PECO files a petition with the Commission to terminate or significantly modify its POR program, PECO must concurrently file a tariff supplement establishing how it will address cost recovery associated with uncollectible expenses or other applicable costs.  </w:t>
      </w:r>
      <w:r w:rsidR="009F7592" w:rsidRPr="00501F03">
        <w:rPr>
          <w:rFonts w:cs="Times New Roman"/>
          <w:szCs w:val="26"/>
        </w:rPr>
        <w:t>O</w:t>
      </w:r>
      <w:r w:rsidR="007C79BF" w:rsidRPr="00501F03">
        <w:rPr>
          <w:rFonts w:cs="Times New Roman"/>
          <w:szCs w:val="26"/>
        </w:rPr>
        <w:t xml:space="preserve">ur decision to adopt </w:t>
      </w:r>
      <w:r w:rsidR="009F7592" w:rsidRPr="00501F03">
        <w:rPr>
          <w:rFonts w:cs="Times New Roman"/>
          <w:szCs w:val="26"/>
        </w:rPr>
        <w:t>the terms of the Joint Petition</w:t>
      </w:r>
      <w:r w:rsidR="001F36A0">
        <w:rPr>
          <w:rFonts w:cs="Times New Roman"/>
          <w:szCs w:val="26"/>
        </w:rPr>
        <w:t xml:space="preserve">, as clarified in this Opinion and Order, </w:t>
      </w:r>
      <w:r w:rsidR="007C79BF" w:rsidRPr="00501F03">
        <w:rPr>
          <w:rFonts w:cs="Times New Roman"/>
          <w:szCs w:val="26"/>
        </w:rPr>
        <w:t>is without prejudice to any future</w:t>
      </w:r>
      <w:r w:rsidR="007C79BF" w:rsidRPr="00F75523">
        <w:rPr>
          <w:rFonts w:cs="Times New Roman"/>
          <w:szCs w:val="26"/>
        </w:rPr>
        <w:t xml:space="preserve"> Commission proceedings that may seek to establish regulations regarding the treatment of </w:t>
      </w:r>
      <w:r w:rsidR="002F3DAA">
        <w:rPr>
          <w:rFonts w:cs="Times New Roman"/>
          <w:szCs w:val="26"/>
        </w:rPr>
        <w:t>default service-related costs.</w:t>
      </w:r>
    </w:p>
    <w:p w:rsidR="00E90C6C" w:rsidRDefault="00E90C6C" w:rsidP="001868B0">
      <w:pPr>
        <w:rPr>
          <w:rFonts w:cs="Times New Roman"/>
        </w:rPr>
      </w:pPr>
    </w:p>
    <w:p w:rsidR="002F3DAA" w:rsidRDefault="002F3DAA">
      <w:pPr>
        <w:autoSpaceDE/>
        <w:autoSpaceDN/>
        <w:rPr>
          <w:rFonts w:eastAsiaTheme="majorEastAsia" w:cstheme="majorBidi"/>
          <w:b/>
          <w:szCs w:val="26"/>
        </w:rPr>
      </w:pPr>
      <w:r>
        <w:rPr>
          <w:szCs w:val="26"/>
        </w:rPr>
        <w:br w:type="page"/>
      </w:r>
    </w:p>
    <w:p w:rsidR="00E90C6C" w:rsidRDefault="00E90C6C" w:rsidP="00E90C6C">
      <w:pPr>
        <w:pStyle w:val="Heading2"/>
        <w:rPr>
          <w:sz w:val="26"/>
          <w:szCs w:val="26"/>
        </w:rPr>
      </w:pPr>
      <w:r w:rsidRPr="00E90C6C">
        <w:rPr>
          <w:sz w:val="26"/>
          <w:szCs w:val="26"/>
        </w:rPr>
        <w:lastRenderedPageBreak/>
        <w:t xml:space="preserve">C. </w:t>
      </w:r>
      <w:r>
        <w:rPr>
          <w:sz w:val="26"/>
          <w:szCs w:val="26"/>
        </w:rPr>
        <w:tab/>
      </w:r>
      <w:r w:rsidRPr="00E90C6C">
        <w:rPr>
          <w:sz w:val="26"/>
          <w:szCs w:val="26"/>
        </w:rPr>
        <w:t>Other Issues</w:t>
      </w:r>
    </w:p>
    <w:p w:rsidR="00E90C6C" w:rsidRDefault="00E90C6C" w:rsidP="00501F03">
      <w:pPr>
        <w:spacing w:line="240" w:lineRule="auto"/>
      </w:pPr>
    </w:p>
    <w:p w:rsidR="00704475" w:rsidRDefault="00E90C6C" w:rsidP="001868B0">
      <w:r>
        <w:t xml:space="preserve">In the Recommended Decision the ALJs </w:t>
      </w:r>
      <w:r w:rsidR="00800A01">
        <w:t>weigh</w:t>
      </w:r>
      <w:r>
        <w:t xml:space="preserve"> the merits of the </w:t>
      </w:r>
      <w:r w:rsidR="00122A3E">
        <w:t xml:space="preserve">proposed resolution of the </w:t>
      </w:r>
      <w:r>
        <w:t xml:space="preserve">other issues addressed in the Joint Petition.  </w:t>
      </w:r>
      <w:r w:rsidR="00F36737">
        <w:t>These issues include</w:t>
      </w:r>
      <w:r w:rsidR="00107C08">
        <w:t xml:space="preserve">, </w:t>
      </w:r>
      <w:r w:rsidR="00107C08" w:rsidRPr="00107C08">
        <w:rPr>
          <w:i/>
        </w:rPr>
        <w:t>inter alia</w:t>
      </w:r>
      <w:r w:rsidR="00F36737">
        <w:t>:</w:t>
      </w:r>
      <w:r w:rsidR="002F3DAA">
        <w:t xml:space="preserve"> </w:t>
      </w:r>
      <w:r w:rsidR="00F36737">
        <w:t xml:space="preserve">(1) the revenue allocation among the rate classes; </w:t>
      </w:r>
      <w:r w:rsidR="00C31261">
        <w:t>(2) the recovery of manufactured gas plan</w:t>
      </w:r>
      <w:r w:rsidR="00800A01">
        <w:t>t</w:t>
      </w:r>
      <w:r w:rsidR="00C31261">
        <w:t xml:space="preserve"> remediation costs; </w:t>
      </w:r>
      <w:r w:rsidR="00F36737">
        <w:t>(</w:t>
      </w:r>
      <w:r w:rsidR="00C31261">
        <w:t>3</w:t>
      </w:r>
      <w:r w:rsidR="00F36737">
        <w:t xml:space="preserve">) the </w:t>
      </w:r>
      <w:r w:rsidR="00C31261">
        <w:t xml:space="preserve">recovery and audit of energy efficiency program costs; </w:t>
      </w:r>
      <w:r w:rsidR="00214B4E">
        <w:t xml:space="preserve">(4) changes to the Gas Universal Service Fund Charge and annual reconciliation mechanism; </w:t>
      </w:r>
      <w:r w:rsidR="00D673E3">
        <w:t xml:space="preserve">(5) modifications to the Customer Assistance </w:t>
      </w:r>
      <w:r w:rsidR="00800A01">
        <w:t>P</w:t>
      </w:r>
      <w:r w:rsidR="00D673E3">
        <w:t>rogram</w:t>
      </w:r>
      <w:proofErr w:type="gramStart"/>
      <w:r w:rsidR="00D673E3">
        <w:t xml:space="preserve">;  </w:t>
      </w:r>
      <w:r w:rsidR="00E2747F">
        <w:t>and</w:t>
      </w:r>
      <w:proofErr w:type="gramEnd"/>
      <w:r w:rsidR="00E2747F">
        <w:t xml:space="preserve"> </w:t>
      </w:r>
      <w:r w:rsidR="00D673E3">
        <w:t xml:space="preserve">(6) potential changes to the tax accounting treatment </w:t>
      </w:r>
      <w:r w:rsidR="00E2747F">
        <w:t xml:space="preserve">relating to repairs to distribution assets. </w:t>
      </w:r>
      <w:r w:rsidR="003A5E5A">
        <w:t xml:space="preserve"> We concur with the ALJs</w:t>
      </w:r>
      <w:r w:rsidR="0061173B">
        <w:t>’</w:t>
      </w:r>
      <w:r w:rsidR="003A5E5A">
        <w:t xml:space="preserve"> analysis and recommendations regarding the</w:t>
      </w:r>
      <w:r w:rsidR="00800A01">
        <w:t>se</w:t>
      </w:r>
      <w:r w:rsidR="003A5E5A">
        <w:t xml:space="preserve"> issues </w:t>
      </w:r>
      <w:r w:rsidR="00800A01">
        <w:t xml:space="preserve">that were explicitly </w:t>
      </w:r>
      <w:r w:rsidR="003A5E5A">
        <w:t>addressed in the Joint Petition</w:t>
      </w:r>
      <w:r w:rsidR="00CE665C">
        <w:t>.  Accordingly, with the exception of the modifi</w:t>
      </w:r>
      <w:r w:rsidR="00704475">
        <w:t xml:space="preserve">cations regarding the unbundling of uncollectible expense, </w:t>
      </w:r>
      <w:r w:rsidR="00704475" w:rsidRPr="00704475">
        <w:rPr>
          <w:i/>
        </w:rPr>
        <w:t>supra</w:t>
      </w:r>
      <w:r w:rsidR="00704475">
        <w:t xml:space="preserve">, </w:t>
      </w:r>
      <w:r w:rsidR="00CE665C">
        <w:t xml:space="preserve">we shall </w:t>
      </w:r>
      <w:r w:rsidR="00704475">
        <w:t>adopt the ALJs</w:t>
      </w:r>
      <w:r w:rsidR="00800A01">
        <w:t>’</w:t>
      </w:r>
      <w:r w:rsidR="00704475">
        <w:t xml:space="preserve"> findings set forth on pages </w:t>
      </w:r>
      <w:r w:rsidR="00435915">
        <w:t xml:space="preserve">9-17 </w:t>
      </w:r>
      <w:r w:rsidR="00704475">
        <w:t xml:space="preserve">of the Recommended Decision. </w:t>
      </w:r>
    </w:p>
    <w:p w:rsidR="000F2F36" w:rsidRDefault="000F2F36" w:rsidP="0046588B">
      <w:pPr>
        <w:pStyle w:val="Heading2"/>
        <w:rPr>
          <w:b w:val="0"/>
          <w:sz w:val="26"/>
          <w:szCs w:val="26"/>
        </w:rPr>
      </w:pPr>
    </w:p>
    <w:p w:rsidR="0046588B" w:rsidRPr="000F2F36" w:rsidRDefault="0046588B" w:rsidP="000F2F36">
      <w:pPr>
        <w:pStyle w:val="Heading2"/>
        <w:rPr>
          <w:sz w:val="26"/>
          <w:szCs w:val="26"/>
        </w:rPr>
      </w:pPr>
      <w:r w:rsidRPr="000F2F36">
        <w:rPr>
          <w:sz w:val="26"/>
          <w:szCs w:val="26"/>
        </w:rPr>
        <w:t xml:space="preserve">D. </w:t>
      </w:r>
      <w:r w:rsidRPr="000F2F36">
        <w:rPr>
          <w:sz w:val="26"/>
          <w:szCs w:val="26"/>
        </w:rPr>
        <w:tab/>
        <w:t>Directed Questions</w:t>
      </w:r>
    </w:p>
    <w:p w:rsidR="000F2F36" w:rsidRPr="000F2F36" w:rsidRDefault="000F2F36" w:rsidP="000F2F36">
      <w:pPr>
        <w:spacing w:line="240" w:lineRule="auto"/>
      </w:pPr>
    </w:p>
    <w:p w:rsidR="000F2F36" w:rsidRDefault="000F2F36" w:rsidP="000F2F36">
      <w:r>
        <w:t>The ALJs note that i</w:t>
      </w:r>
      <w:r w:rsidRPr="001C137E">
        <w:t xml:space="preserve">n Appendix A to </w:t>
      </w:r>
      <w:r>
        <w:t xml:space="preserve">the </w:t>
      </w:r>
      <w:r w:rsidRPr="00A0743E">
        <w:rPr>
          <w:i/>
        </w:rPr>
        <w:t>Suspension Order</w:t>
      </w:r>
      <w:r w:rsidRPr="001C137E">
        <w:t xml:space="preserve">, the Commission identified seven issues to which the </w:t>
      </w:r>
      <w:r>
        <w:t>P</w:t>
      </w:r>
      <w:r w:rsidRPr="001C137E">
        <w:t xml:space="preserve">arties to the proceeding were instructed to give particular consideration.  </w:t>
      </w:r>
      <w:r>
        <w:t xml:space="preserve">It is clear on the record that PECO </w:t>
      </w:r>
      <w:r w:rsidRPr="001C137E">
        <w:t xml:space="preserve">provided the </w:t>
      </w:r>
      <w:r>
        <w:t>P</w:t>
      </w:r>
      <w:r w:rsidRPr="001C137E">
        <w:t xml:space="preserve">arties in this proceeding with comprehensive evidence addressing the areas of concern identified by the Commission in the </w:t>
      </w:r>
      <w:r w:rsidRPr="00A0743E">
        <w:rPr>
          <w:i/>
        </w:rPr>
        <w:t>Suspension Order</w:t>
      </w:r>
      <w:r w:rsidRPr="001C137E">
        <w:t>.  Th</w:t>
      </w:r>
      <w:r>
        <w:t xml:space="preserve">e ALJs state, and we agree, that the </w:t>
      </w:r>
      <w:r w:rsidRPr="001C137E">
        <w:t xml:space="preserve">evidence was carefully examined by the </w:t>
      </w:r>
      <w:r>
        <w:t>Joint Petitioners</w:t>
      </w:r>
      <w:r w:rsidRPr="001C137E">
        <w:t xml:space="preserve"> in reaching th</w:t>
      </w:r>
      <w:r>
        <w:t xml:space="preserve">e Settlement.  </w:t>
      </w:r>
      <w:proofErr w:type="gramStart"/>
      <w:r>
        <w:t>R.D. at 20.</w:t>
      </w:r>
      <w:proofErr w:type="gramEnd"/>
      <w:r>
        <w:t xml:space="preserve">  Such examination provides a favorable consideration in support of our approval of the Joint Petition.</w:t>
      </w:r>
    </w:p>
    <w:p w:rsidR="001868B0" w:rsidRDefault="001868B0" w:rsidP="001868B0">
      <w:pPr>
        <w:rPr>
          <w:rFonts w:cs="Times New Roman"/>
        </w:rPr>
      </w:pPr>
    </w:p>
    <w:p w:rsidR="00FA26DD" w:rsidRDefault="00A8361B" w:rsidP="00FA26DD">
      <w:pPr>
        <w:pStyle w:val="Heading1"/>
        <w:spacing w:before="0"/>
      </w:pPr>
      <w:r>
        <w:t>IV.</w:t>
      </w:r>
      <w:r>
        <w:tab/>
      </w:r>
      <w:r w:rsidR="00FA26DD">
        <w:t>Conclusion</w:t>
      </w:r>
    </w:p>
    <w:p w:rsidR="005658ED" w:rsidRPr="005658ED" w:rsidRDefault="005658ED" w:rsidP="005658ED">
      <w:pPr>
        <w:spacing w:line="240" w:lineRule="auto"/>
        <w:ind w:right="1440" w:firstLine="0"/>
        <w:rPr>
          <w:rFonts w:cs="Times New Roman"/>
          <w:b/>
        </w:rPr>
      </w:pPr>
    </w:p>
    <w:p w:rsidR="006D4418" w:rsidRDefault="00FA26DD" w:rsidP="00DF2816">
      <w:r>
        <w:t xml:space="preserve">Consistent with the discussion, </w:t>
      </w:r>
      <w:r w:rsidRPr="006939D6">
        <w:rPr>
          <w:i/>
        </w:rPr>
        <w:t>supra</w:t>
      </w:r>
      <w:r>
        <w:t xml:space="preserve">, and based upon our review of the record in this proceeding, the supporting statements of the Joint Petitioners, and the Recommended Decision of the ALJs, we conclude that the rates, terms and conditions </w:t>
      </w:r>
      <w:r>
        <w:lastRenderedPageBreak/>
        <w:t xml:space="preserve">contained in the Joint Petition are just, reasonable and in the public interest and are in accord with the </w:t>
      </w:r>
      <w:r w:rsidR="00800A01">
        <w:t>R</w:t>
      </w:r>
      <w:r>
        <w:t xml:space="preserve">ules and </w:t>
      </w:r>
      <w:r w:rsidR="00800A01">
        <w:t>R</w:t>
      </w:r>
      <w:r>
        <w:t xml:space="preserve">egulations of this Commission and the provisions of the Public Utility Code.  We also conclude that our approval of </w:t>
      </w:r>
      <w:r w:rsidR="0093126C">
        <w:t>PECO’s</w:t>
      </w:r>
      <w:r>
        <w:t xml:space="preserve"> POR program is conditioned upon the ongoing inclusion therein </w:t>
      </w:r>
      <w:r w:rsidR="00CD7734">
        <w:t>of bad debt recovery and utility billing services</w:t>
      </w:r>
      <w:r w:rsidR="0093126C">
        <w:t xml:space="preserve"> similar to those contained in PECO’s current POR program</w:t>
      </w:r>
      <w:r w:rsidR="00CD7734">
        <w:t xml:space="preserve">; </w:t>
      </w:r>
      <w:r w:rsidR="00CD7734" w:rsidRPr="00CD7734">
        <w:rPr>
          <w:b/>
        </w:rPr>
        <w:t>THEREFORE,</w:t>
      </w:r>
    </w:p>
    <w:p w:rsidR="00CD7734" w:rsidRDefault="00CD7734" w:rsidP="00DF2816"/>
    <w:p w:rsidR="00CD7734" w:rsidRPr="00CD7734" w:rsidRDefault="00B237D4" w:rsidP="00800A01">
      <w:pPr>
        <w:keepNext/>
        <w:ind w:firstLine="0"/>
        <w:jc w:val="both"/>
        <w:rPr>
          <w:b/>
        </w:rPr>
      </w:pPr>
      <w:r>
        <w:rPr>
          <w:b/>
        </w:rPr>
        <w:tab/>
      </w:r>
      <w:r>
        <w:rPr>
          <w:b/>
        </w:rPr>
        <w:tab/>
      </w:r>
      <w:r w:rsidR="00CD7734" w:rsidRPr="00CD7734">
        <w:rPr>
          <w:b/>
        </w:rPr>
        <w:t>IT IS ORDERED:</w:t>
      </w:r>
    </w:p>
    <w:p w:rsidR="00CD7734" w:rsidRDefault="00CD7734" w:rsidP="00800A01">
      <w:pPr>
        <w:keepNext/>
      </w:pPr>
    </w:p>
    <w:p w:rsidR="00994302" w:rsidRPr="006236F5" w:rsidRDefault="00994302" w:rsidP="00800A01">
      <w:pPr>
        <w:pStyle w:val="p6"/>
        <w:keepNext/>
        <w:widowControl/>
        <w:numPr>
          <w:ilvl w:val="0"/>
          <w:numId w:val="1"/>
        </w:numPr>
        <w:tabs>
          <w:tab w:val="clear" w:pos="1513"/>
          <w:tab w:val="clear" w:pos="2239"/>
          <w:tab w:val="left" w:pos="720"/>
        </w:tabs>
        <w:spacing w:line="360" w:lineRule="auto"/>
        <w:ind w:left="0" w:firstLine="1440"/>
        <w:rPr>
          <w:sz w:val="26"/>
          <w:szCs w:val="26"/>
        </w:rPr>
      </w:pPr>
      <w:r w:rsidRPr="006236F5">
        <w:rPr>
          <w:sz w:val="26"/>
          <w:szCs w:val="26"/>
        </w:rPr>
        <w:t>That the Recommended Decision of Administrative Law Judges Marlane R. Chestnut and Christopher P. Pell, issued October 22, 2010, is adopted without modification, except, as amended to clarify that our findings regarding PECO Energy Company</w:t>
      </w:r>
      <w:r w:rsidR="0093126C">
        <w:rPr>
          <w:sz w:val="26"/>
          <w:szCs w:val="26"/>
        </w:rPr>
        <w:t xml:space="preserve"> – Gas Division</w:t>
      </w:r>
      <w:r w:rsidRPr="006236F5">
        <w:rPr>
          <w:sz w:val="26"/>
          <w:szCs w:val="26"/>
        </w:rPr>
        <w:t xml:space="preserve">’s proposed </w:t>
      </w:r>
      <w:r w:rsidR="00E225CD">
        <w:rPr>
          <w:sz w:val="26"/>
          <w:szCs w:val="26"/>
        </w:rPr>
        <w:t>P</w:t>
      </w:r>
      <w:r w:rsidRPr="006236F5">
        <w:rPr>
          <w:sz w:val="26"/>
          <w:szCs w:val="26"/>
        </w:rPr>
        <w:t xml:space="preserve">urchase of </w:t>
      </w:r>
      <w:r w:rsidR="00E225CD">
        <w:rPr>
          <w:sz w:val="26"/>
          <w:szCs w:val="26"/>
        </w:rPr>
        <w:t>R</w:t>
      </w:r>
      <w:r w:rsidRPr="006236F5">
        <w:rPr>
          <w:sz w:val="26"/>
          <w:szCs w:val="26"/>
        </w:rPr>
        <w:t xml:space="preserve">eceivables program are conditioned upon the continuation of </w:t>
      </w:r>
      <w:r w:rsidR="00537AD6">
        <w:rPr>
          <w:sz w:val="26"/>
          <w:szCs w:val="26"/>
        </w:rPr>
        <w:t xml:space="preserve">bad debt recovery </w:t>
      </w:r>
      <w:r w:rsidRPr="006236F5">
        <w:rPr>
          <w:sz w:val="26"/>
          <w:szCs w:val="26"/>
        </w:rPr>
        <w:t>and utility billing services</w:t>
      </w:r>
      <w:r w:rsidR="0093126C">
        <w:rPr>
          <w:sz w:val="26"/>
          <w:szCs w:val="26"/>
        </w:rPr>
        <w:t xml:space="preserve"> similar to those contained in PECO Energy Company-Gas Division’s </w:t>
      </w:r>
      <w:r w:rsidR="00FB2380">
        <w:rPr>
          <w:sz w:val="26"/>
          <w:szCs w:val="26"/>
        </w:rPr>
        <w:t>current Purchase of Receivables program</w:t>
      </w:r>
      <w:r w:rsidRPr="006236F5">
        <w:rPr>
          <w:sz w:val="26"/>
          <w:szCs w:val="26"/>
        </w:rPr>
        <w:t xml:space="preserve">.  </w:t>
      </w:r>
    </w:p>
    <w:p w:rsidR="00CD7734" w:rsidRPr="006236F5" w:rsidRDefault="00CD7734" w:rsidP="00CD7734">
      <w:pPr>
        <w:pStyle w:val="p6"/>
        <w:tabs>
          <w:tab w:val="clear" w:pos="1513"/>
          <w:tab w:val="clear" w:pos="2239"/>
          <w:tab w:val="left" w:pos="720"/>
        </w:tabs>
        <w:ind w:left="1440" w:firstLine="0"/>
        <w:rPr>
          <w:sz w:val="26"/>
          <w:szCs w:val="26"/>
        </w:rPr>
      </w:pPr>
    </w:p>
    <w:p w:rsidR="00B76FA4" w:rsidRPr="006236F5" w:rsidRDefault="00B76FA4" w:rsidP="00B76FA4">
      <w:pPr>
        <w:pStyle w:val="p6"/>
        <w:numPr>
          <w:ilvl w:val="0"/>
          <w:numId w:val="1"/>
        </w:numPr>
        <w:tabs>
          <w:tab w:val="clear" w:pos="1513"/>
          <w:tab w:val="clear" w:pos="2239"/>
          <w:tab w:val="left" w:pos="720"/>
        </w:tabs>
        <w:spacing w:line="360" w:lineRule="auto"/>
        <w:ind w:left="0" w:firstLine="1440"/>
        <w:rPr>
          <w:sz w:val="26"/>
          <w:szCs w:val="26"/>
        </w:rPr>
      </w:pPr>
      <w:r w:rsidRPr="006236F5">
        <w:rPr>
          <w:sz w:val="26"/>
          <w:szCs w:val="26"/>
        </w:rPr>
        <w:t>That if PECO Energy Company</w:t>
      </w:r>
      <w:r w:rsidR="0093126C">
        <w:rPr>
          <w:sz w:val="26"/>
          <w:szCs w:val="26"/>
        </w:rPr>
        <w:t>-Gas Division</w:t>
      </w:r>
      <w:r w:rsidRPr="006236F5">
        <w:rPr>
          <w:sz w:val="26"/>
          <w:szCs w:val="26"/>
        </w:rPr>
        <w:t xml:space="preserve"> files a petition with the Commission to modify or terminate its purchase of receivable program, PECO Energy Company must concurrently file a tariff supplement establishing how it will address cost recovery associated with uncollectible expense or other applicable costs.</w:t>
      </w:r>
    </w:p>
    <w:p w:rsidR="00994302" w:rsidRPr="006236F5" w:rsidRDefault="00994302" w:rsidP="00CD7734">
      <w:pPr>
        <w:pStyle w:val="p6"/>
        <w:tabs>
          <w:tab w:val="clear" w:pos="1513"/>
          <w:tab w:val="clear" w:pos="2239"/>
          <w:tab w:val="left" w:pos="720"/>
        </w:tabs>
        <w:ind w:left="1440" w:firstLine="0"/>
        <w:rPr>
          <w:sz w:val="26"/>
          <w:szCs w:val="26"/>
        </w:rPr>
      </w:pPr>
    </w:p>
    <w:p w:rsidR="00CD7734" w:rsidRPr="00432E08" w:rsidRDefault="00CD7734" w:rsidP="00CD7734">
      <w:pPr>
        <w:pStyle w:val="p6"/>
        <w:numPr>
          <w:ilvl w:val="0"/>
          <w:numId w:val="1"/>
        </w:numPr>
        <w:tabs>
          <w:tab w:val="clear" w:pos="1513"/>
          <w:tab w:val="clear" w:pos="2239"/>
          <w:tab w:val="left" w:pos="720"/>
        </w:tabs>
        <w:spacing w:line="360" w:lineRule="auto"/>
        <w:ind w:left="0" w:firstLine="1440"/>
        <w:rPr>
          <w:sz w:val="26"/>
          <w:szCs w:val="26"/>
        </w:rPr>
      </w:pPr>
      <w:r w:rsidRPr="00432E08">
        <w:rPr>
          <w:sz w:val="26"/>
          <w:szCs w:val="26"/>
        </w:rPr>
        <w:t xml:space="preserve"> That the rates, rules and regulations contained in Supplement No. </w:t>
      </w:r>
      <w:r w:rsidR="00C05138" w:rsidRPr="00432E08">
        <w:rPr>
          <w:sz w:val="26"/>
          <w:szCs w:val="26"/>
        </w:rPr>
        <w:t>9</w:t>
      </w:r>
      <w:r w:rsidRPr="00432E08">
        <w:rPr>
          <w:sz w:val="26"/>
          <w:szCs w:val="26"/>
        </w:rPr>
        <w:t>2 to Tariff</w:t>
      </w:r>
      <w:r w:rsidR="00432E08" w:rsidRPr="00432E08">
        <w:rPr>
          <w:sz w:val="26"/>
          <w:szCs w:val="26"/>
        </w:rPr>
        <w:t xml:space="preserve"> –</w:t>
      </w:r>
      <w:r w:rsidRPr="00432E08">
        <w:rPr>
          <w:sz w:val="26"/>
          <w:szCs w:val="26"/>
        </w:rPr>
        <w:t xml:space="preserve"> </w:t>
      </w:r>
      <w:r w:rsidR="00C05138" w:rsidRPr="00432E08">
        <w:rPr>
          <w:sz w:val="26"/>
          <w:szCs w:val="26"/>
        </w:rPr>
        <w:t>Gas</w:t>
      </w:r>
      <w:r w:rsidRPr="00432E08">
        <w:rPr>
          <w:sz w:val="26"/>
          <w:szCs w:val="26"/>
        </w:rPr>
        <w:t xml:space="preserve"> Pa. P.U.C. No. </w:t>
      </w:r>
      <w:r w:rsidR="00C05138" w:rsidRPr="00432E08">
        <w:rPr>
          <w:sz w:val="26"/>
          <w:szCs w:val="26"/>
        </w:rPr>
        <w:t>2</w:t>
      </w:r>
      <w:r w:rsidRPr="00432E08">
        <w:rPr>
          <w:sz w:val="26"/>
          <w:szCs w:val="26"/>
        </w:rPr>
        <w:t xml:space="preserve"> shall not be permitted to be placed into effect.</w:t>
      </w:r>
    </w:p>
    <w:p w:rsidR="00CD7734" w:rsidRPr="006236F5" w:rsidRDefault="00CD7734" w:rsidP="00CD7734">
      <w:pPr>
        <w:pStyle w:val="p6"/>
        <w:tabs>
          <w:tab w:val="clear" w:pos="1513"/>
          <w:tab w:val="clear" w:pos="2239"/>
          <w:tab w:val="left" w:pos="720"/>
        </w:tabs>
        <w:ind w:left="1440" w:firstLine="0"/>
        <w:rPr>
          <w:sz w:val="26"/>
          <w:szCs w:val="26"/>
        </w:rPr>
      </w:pPr>
    </w:p>
    <w:p w:rsidR="00B76FA4" w:rsidRPr="006236F5" w:rsidRDefault="006236F5" w:rsidP="006236F5">
      <w:pPr>
        <w:pStyle w:val="p6"/>
        <w:keepNext/>
        <w:widowControl/>
        <w:numPr>
          <w:ilvl w:val="0"/>
          <w:numId w:val="1"/>
        </w:numPr>
        <w:tabs>
          <w:tab w:val="clear" w:pos="1513"/>
          <w:tab w:val="clear" w:pos="2239"/>
          <w:tab w:val="left" w:pos="720"/>
        </w:tabs>
        <w:spacing w:line="360" w:lineRule="auto"/>
        <w:ind w:left="0" w:firstLine="1440"/>
        <w:rPr>
          <w:sz w:val="26"/>
          <w:szCs w:val="26"/>
        </w:rPr>
      </w:pPr>
      <w:r w:rsidRPr="006236F5">
        <w:rPr>
          <w:sz w:val="26"/>
          <w:szCs w:val="26"/>
        </w:rPr>
        <w:t xml:space="preserve">That the </w:t>
      </w:r>
      <w:r w:rsidR="00B76FA4" w:rsidRPr="006236F5">
        <w:rPr>
          <w:sz w:val="26"/>
          <w:szCs w:val="26"/>
        </w:rPr>
        <w:t>rates, terms and conditions contained in the Joint Petition for Settlement of Rate Investigation at Docket No. R-2010-21615</w:t>
      </w:r>
      <w:r w:rsidR="00432E08">
        <w:rPr>
          <w:sz w:val="26"/>
          <w:szCs w:val="26"/>
        </w:rPr>
        <w:t>92</w:t>
      </w:r>
      <w:r w:rsidR="00B76FA4" w:rsidRPr="006236F5">
        <w:rPr>
          <w:sz w:val="26"/>
          <w:szCs w:val="26"/>
        </w:rPr>
        <w:t xml:space="preserve"> submitted by PECO Energy Company</w:t>
      </w:r>
      <w:r w:rsidR="00FB2380">
        <w:rPr>
          <w:sz w:val="26"/>
          <w:szCs w:val="26"/>
        </w:rPr>
        <w:t>-Gas Division</w:t>
      </w:r>
      <w:r w:rsidR="00B76FA4" w:rsidRPr="006236F5">
        <w:rPr>
          <w:sz w:val="26"/>
          <w:szCs w:val="26"/>
        </w:rPr>
        <w:t xml:space="preserve">, the Office of Trial Staff, the Office of Consumer Advocate, the Office of Small Business Advocate, the Philadelphia Area Industrial Energy Users Group, Pennsylvania Communities Organizing for Change, Inc. d/b/a </w:t>
      </w:r>
      <w:r w:rsidR="00B76FA4" w:rsidRPr="006236F5">
        <w:rPr>
          <w:sz w:val="26"/>
          <w:szCs w:val="26"/>
        </w:rPr>
        <w:lastRenderedPageBreak/>
        <w:t xml:space="preserve">Action United and the International Brotherhood of Electrical Workers, Local 614, be approved and adopted without modification. </w:t>
      </w:r>
    </w:p>
    <w:p w:rsidR="00B76FA4" w:rsidRPr="00B76FA4" w:rsidRDefault="00B76FA4" w:rsidP="00B76FA4">
      <w:pPr>
        <w:suppressAutoHyphens/>
        <w:ind w:left="1800" w:firstLine="0"/>
        <w:rPr>
          <w:spacing w:val="-3"/>
        </w:rPr>
      </w:pPr>
    </w:p>
    <w:p w:rsidR="00CD7734" w:rsidRPr="00343CB5" w:rsidRDefault="00CD7734" w:rsidP="00CD7734">
      <w:pPr>
        <w:pStyle w:val="p6"/>
        <w:numPr>
          <w:ilvl w:val="0"/>
          <w:numId w:val="1"/>
        </w:numPr>
        <w:tabs>
          <w:tab w:val="clear" w:pos="1513"/>
          <w:tab w:val="clear" w:pos="2239"/>
          <w:tab w:val="left" w:pos="720"/>
        </w:tabs>
        <w:spacing w:line="360" w:lineRule="auto"/>
        <w:ind w:left="0" w:firstLine="1440"/>
        <w:rPr>
          <w:sz w:val="26"/>
          <w:szCs w:val="26"/>
        </w:rPr>
      </w:pPr>
      <w:r w:rsidRPr="00343CB5">
        <w:rPr>
          <w:sz w:val="26"/>
          <w:szCs w:val="26"/>
        </w:rPr>
        <w:t>That upon entry of this Opinion and Order, PECO Energy Company</w:t>
      </w:r>
      <w:r w:rsidR="00FB2380">
        <w:rPr>
          <w:sz w:val="26"/>
          <w:szCs w:val="26"/>
        </w:rPr>
        <w:t>-Gas Division</w:t>
      </w:r>
      <w:r w:rsidRPr="00343CB5">
        <w:rPr>
          <w:sz w:val="26"/>
          <w:szCs w:val="26"/>
        </w:rPr>
        <w:t xml:space="preserve"> be permitted to file a tariff supplement in substantially the same form as that attached as Appendix A to the Joint Petition for Settlement of Rate Investigation to become effective for service rendered on and after January 1, 2011, which tariff supplement, </w:t>
      </w:r>
      <w:r w:rsidRPr="00343CB5">
        <w:rPr>
          <w:i/>
          <w:sz w:val="26"/>
          <w:szCs w:val="26"/>
        </w:rPr>
        <w:t>inter alia</w:t>
      </w:r>
      <w:r w:rsidRPr="00343CB5">
        <w:rPr>
          <w:sz w:val="26"/>
          <w:szCs w:val="26"/>
        </w:rPr>
        <w:t>, increases the company’s rates so as to produce an increase in annual base rate revenues of $</w:t>
      </w:r>
      <w:r w:rsidR="00C05138" w:rsidRPr="00343CB5">
        <w:rPr>
          <w:sz w:val="26"/>
          <w:szCs w:val="26"/>
        </w:rPr>
        <w:t>19.</w:t>
      </w:r>
      <w:r w:rsidR="00DE6B21">
        <w:rPr>
          <w:sz w:val="26"/>
          <w:szCs w:val="26"/>
        </w:rPr>
        <w:t>636</w:t>
      </w:r>
      <w:r w:rsidRPr="00343CB5">
        <w:rPr>
          <w:sz w:val="26"/>
          <w:szCs w:val="26"/>
        </w:rPr>
        <w:t xml:space="preserve"> million.</w:t>
      </w:r>
    </w:p>
    <w:p w:rsidR="00CD7734" w:rsidRPr="001C137E" w:rsidRDefault="00CD7734" w:rsidP="00C352A4">
      <w:pPr>
        <w:pStyle w:val="p6"/>
        <w:tabs>
          <w:tab w:val="clear" w:pos="1513"/>
          <w:tab w:val="clear" w:pos="2239"/>
          <w:tab w:val="left" w:pos="720"/>
        </w:tabs>
        <w:spacing w:line="360" w:lineRule="auto"/>
        <w:ind w:left="1440" w:firstLine="0"/>
        <w:rPr>
          <w:szCs w:val="26"/>
        </w:rPr>
      </w:pPr>
    </w:p>
    <w:p w:rsidR="00343CB5" w:rsidRPr="00343CB5" w:rsidRDefault="00343CB5" w:rsidP="00343CB5">
      <w:pPr>
        <w:pStyle w:val="p6"/>
        <w:numPr>
          <w:ilvl w:val="0"/>
          <w:numId w:val="1"/>
        </w:numPr>
        <w:tabs>
          <w:tab w:val="clear" w:pos="1513"/>
          <w:tab w:val="clear" w:pos="2239"/>
          <w:tab w:val="left" w:pos="720"/>
        </w:tabs>
        <w:spacing w:line="360" w:lineRule="auto"/>
        <w:ind w:left="0" w:firstLine="1440"/>
        <w:rPr>
          <w:sz w:val="26"/>
          <w:szCs w:val="26"/>
        </w:rPr>
      </w:pPr>
      <w:r w:rsidRPr="00343CB5">
        <w:rPr>
          <w:sz w:val="26"/>
          <w:szCs w:val="26"/>
        </w:rPr>
        <w:t xml:space="preserve">That the Complaints filed </w:t>
      </w:r>
      <w:r>
        <w:rPr>
          <w:sz w:val="26"/>
          <w:szCs w:val="26"/>
        </w:rPr>
        <w:t xml:space="preserve">by: the Office of Small Business Advocate </w:t>
      </w:r>
      <w:r w:rsidRPr="00343CB5">
        <w:rPr>
          <w:sz w:val="26"/>
          <w:szCs w:val="26"/>
        </w:rPr>
        <w:t>at Docket No</w:t>
      </w:r>
      <w:r>
        <w:rPr>
          <w:sz w:val="26"/>
          <w:szCs w:val="26"/>
        </w:rPr>
        <w:t>.</w:t>
      </w:r>
      <w:r w:rsidRPr="00343CB5">
        <w:rPr>
          <w:sz w:val="26"/>
          <w:szCs w:val="26"/>
        </w:rPr>
        <w:t xml:space="preserve"> C-2010-2171283</w:t>
      </w:r>
      <w:r>
        <w:rPr>
          <w:sz w:val="26"/>
          <w:szCs w:val="26"/>
        </w:rPr>
        <w:t xml:space="preserve">; the Office of Consumer Advocate at Docket No. </w:t>
      </w:r>
      <w:r w:rsidRPr="00343CB5">
        <w:rPr>
          <w:sz w:val="26"/>
          <w:szCs w:val="26"/>
        </w:rPr>
        <w:t>C</w:t>
      </w:r>
      <w:r w:rsidR="00DE6B21">
        <w:rPr>
          <w:sz w:val="26"/>
          <w:szCs w:val="26"/>
        </w:rPr>
        <w:noBreakHyphen/>
      </w:r>
      <w:r w:rsidRPr="00343CB5">
        <w:rPr>
          <w:sz w:val="26"/>
          <w:szCs w:val="26"/>
        </w:rPr>
        <w:t xml:space="preserve">2010-2172335, </w:t>
      </w:r>
      <w:r w:rsidR="00A56E67">
        <w:rPr>
          <w:sz w:val="26"/>
          <w:szCs w:val="26"/>
        </w:rPr>
        <w:t>Philadelphia Industrial Energy Users Group at Docket No.</w:t>
      </w:r>
      <w:r w:rsidR="00A56E67" w:rsidRPr="00A56E67">
        <w:rPr>
          <w:sz w:val="26"/>
          <w:szCs w:val="26"/>
        </w:rPr>
        <w:t xml:space="preserve"> </w:t>
      </w:r>
      <w:r w:rsidR="00A56E67" w:rsidRPr="00343CB5">
        <w:rPr>
          <w:sz w:val="26"/>
          <w:szCs w:val="26"/>
        </w:rPr>
        <w:t>C</w:t>
      </w:r>
      <w:r w:rsidR="00DE6B21">
        <w:rPr>
          <w:sz w:val="26"/>
          <w:szCs w:val="26"/>
        </w:rPr>
        <w:noBreakHyphen/>
      </w:r>
      <w:r w:rsidR="00A56E67" w:rsidRPr="00343CB5">
        <w:rPr>
          <w:sz w:val="26"/>
          <w:szCs w:val="26"/>
        </w:rPr>
        <w:t>2010</w:t>
      </w:r>
      <w:r w:rsidR="00DE6B21">
        <w:rPr>
          <w:sz w:val="26"/>
          <w:szCs w:val="26"/>
        </w:rPr>
        <w:noBreakHyphen/>
      </w:r>
      <w:r w:rsidR="00A56E67" w:rsidRPr="00343CB5">
        <w:rPr>
          <w:sz w:val="26"/>
          <w:szCs w:val="26"/>
        </w:rPr>
        <w:t>2177431</w:t>
      </w:r>
      <w:r w:rsidR="00A56E67">
        <w:rPr>
          <w:sz w:val="26"/>
          <w:szCs w:val="26"/>
        </w:rPr>
        <w:t xml:space="preserve">; Pennsylvania Communities Organizing for Change, Inc. </w:t>
      </w:r>
      <w:r w:rsidR="00A8361B">
        <w:rPr>
          <w:sz w:val="26"/>
          <w:szCs w:val="26"/>
        </w:rPr>
        <w:t>d</w:t>
      </w:r>
      <w:r w:rsidR="00A56E67">
        <w:rPr>
          <w:sz w:val="26"/>
          <w:szCs w:val="26"/>
        </w:rPr>
        <w:t xml:space="preserve">/b/a Action United at Docket No. C-2010-2185444; </w:t>
      </w:r>
      <w:r w:rsidR="006236F5">
        <w:rPr>
          <w:sz w:val="26"/>
          <w:szCs w:val="26"/>
        </w:rPr>
        <w:t xml:space="preserve">Richard Caroll at Docket No. </w:t>
      </w:r>
      <w:r w:rsidRPr="00343CB5">
        <w:rPr>
          <w:sz w:val="26"/>
          <w:szCs w:val="26"/>
        </w:rPr>
        <w:t>C-2010-2169991</w:t>
      </w:r>
      <w:r w:rsidR="006236F5">
        <w:rPr>
          <w:sz w:val="26"/>
          <w:szCs w:val="26"/>
        </w:rPr>
        <w:t xml:space="preserve">; and Craig Vorwald at Docket No. </w:t>
      </w:r>
      <w:r w:rsidRPr="00343CB5">
        <w:rPr>
          <w:sz w:val="26"/>
          <w:szCs w:val="26"/>
        </w:rPr>
        <w:t xml:space="preserve">C-2010-2172542 be terminated and marked closed; </w:t>
      </w:r>
    </w:p>
    <w:p w:rsidR="00CD7734" w:rsidRDefault="00CD7734" w:rsidP="00C352A4">
      <w:pPr>
        <w:pStyle w:val="p6"/>
        <w:tabs>
          <w:tab w:val="clear" w:pos="1513"/>
          <w:tab w:val="clear" w:pos="2239"/>
          <w:tab w:val="left" w:pos="720"/>
        </w:tabs>
        <w:spacing w:line="360" w:lineRule="auto"/>
        <w:ind w:left="1440" w:firstLine="0"/>
        <w:rPr>
          <w:szCs w:val="26"/>
        </w:rPr>
      </w:pPr>
    </w:p>
    <w:p w:rsidR="00CD7734" w:rsidRPr="006236F5" w:rsidRDefault="00CD7734" w:rsidP="00CD7734">
      <w:pPr>
        <w:pStyle w:val="p6"/>
        <w:keepNext/>
        <w:widowControl/>
        <w:numPr>
          <w:ilvl w:val="0"/>
          <w:numId w:val="1"/>
        </w:numPr>
        <w:tabs>
          <w:tab w:val="clear" w:pos="1513"/>
          <w:tab w:val="clear" w:pos="2239"/>
          <w:tab w:val="left" w:pos="720"/>
        </w:tabs>
        <w:spacing w:line="360" w:lineRule="auto"/>
        <w:ind w:left="0" w:firstLine="1440"/>
        <w:rPr>
          <w:sz w:val="26"/>
          <w:szCs w:val="26"/>
        </w:rPr>
      </w:pPr>
      <w:r w:rsidRPr="006236F5">
        <w:rPr>
          <w:spacing w:val="-3"/>
          <w:sz w:val="26"/>
          <w:szCs w:val="26"/>
        </w:rPr>
        <w:t>That upon acceptance and approval by the Commission of the tariff suppleme</w:t>
      </w:r>
      <w:r w:rsidR="00FB2380">
        <w:rPr>
          <w:spacing w:val="-3"/>
          <w:sz w:val="26"/>
          <w:szCs w:val="26"/>
        </w:rPr>
        <w:t xml:space="preserve">nt filed by PECO Energy Company-Gas Division </w:t>
      </w:r>
      <w:r w:rsidRPr="006236F5">
        <w:rPr>
          <w:spacing w:val="-3"/>
          <w:sz w:val="26"/>
          <w:szCs w:val="26"/>
        </w:rPr>
        <w:t>consistent with this Opinion and Order, this proceeding at Docket No. R-2010-2161592 shall be marked closed.</w:t>
      </w:r>
    </w:p>
    <w:p w:rsidR="00CD7734" w:rsidRPr="001C137E" w:rsidRDefault="00CD7734" w:rsidP="00CD7734">
      <w:pPr>
        <w:pStyle w:val="p6"/>
        <w:keepNext/>
        <w:widowControl/>
        <w:tabs>
          <w:tab w:val="clear" w:pos="1513"/>
          <w:tab w:val="clear" w:pos="2239"/>
          <w:tab w:val="left" w:pos="720"/>
        </w:tabs>
        <w:ind w:firstLine="0"/>
        <w:rPr>
          <w:spacing w:val="-3"/>
          <w:szCs w:val="26"/>
        </w:rPr>
      </w:pPr>
    </w:p>
    <w:p w:rsidR="00CD7734" w:rsidRPr="00E7339C" w:rsidRDefault="008B483D" w:rsidP="00CD7734">
      <w:pPr>
        <w:keepNext/>
        <w:tabs>
          <w:tab w:val="left" w:pos="5760"/>
        </w:tabs>
        <w:ind w:firstLine="5040"/>
        <w:rPr>
          <w:b/>
          <w:bCs/>
          <w:szCs w:val="26"/>
        </w:rPr>
      </w:pPr>
      <w:r>
        <w:rPr>
          <w:b/>
          <w:bCs/>
          <w:noProof/>
          <w:szCs w:val="26"/>
        </w:rPr>
        <w:drawing>
          <wp:anchor distT="0" distB="0" distL="114300" distR="114300" simplePos="0" relativeHeight="251659264" behindDoc="1" locked="0" layoutInCell="1" allowOverlap="1">
            <wp:simplePos x="0" y="0"/>
            <wp:positionH relativeFrom="column">
              <wp:posOffset>2891155</wp:posOffset>
            </wp:positionH>
            <wp:positionV relativeFrom="paragraph">
              <wp:posOffset>64770</wp:posOffset>
            </wp:positionV>
            <wp:extent cx="2197735" cy="83629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7735" cy="836295"/>
                    </a:xfrm>
                    <a:prstGeom prst="rect">
                      <a:avLst/>
                    </a:prstGeom>
                    <a:noFill/>
                    <a:ln w="9525">
                      <a:noFill/>
                      <a:miter lim="800000"/>
                      <a:headEnd/>
                      <a:tailEnd/>
                    </a:ln>
                  </pic:spPr>
                </pic:pic>
              </a:graphicData>
            </a:graphic>
          </wp:anchor>
        </w:drawing>
      </w:r>
      <w:r w:rsidR="00CD7734" w:rsidRPr="00E7339C">
        <w:rPr>
          <w:b/>
          <w:bCs/>
          <w:szCs w:val="26"/>
        </w:rPr>
        <w:t>BY THE COMMISSION</w:t>
      </w:r>
    </w:p>
    <w:p w:rsidR="00CD7734" w:rsidRDefault="00CD7734" w:rsidP="00CD7734">
      <w:pPr>
        <w:ind w:firstLine="5040"/>
        <w:rPr>
          <w:bCs/>
          <w:szCs w:val="26"/>
        </w:rPr>
      </w:pPr>
    </w:p>
    <w:p w:rsidR="00DE6B21" w:rsidRPr="00E7339C" w:rsidRDefault="00DE6B21" w:rsidP="00CD7734">
      <w:pPr>
        <w:ind w:firstLine="5040"/>
        <w:rPr>
          <w:bCs/>
          <w:szCs w:val="26"/>
        </w:rPr>
      </w:pPr>
    </w:p>
    <w:p w:rsidR="00CD7734" w:rsidRPr="00E7339C" w:rsidRDefault="00CD7734" w:rsidP="00CD7734">
      <w:pPr>
        <w:tabs>
          <w:tab w:val="left" w:pos="5760"/>
        </w:tabs>
        <w:spacing w:line="240" w:lineRule="auto"/>
        <w:ind w:firstLine="5040"/>
        <w:rPr>
          <w:bCs/>
          <w:szCs w:val="26"/>
        </w:rPr>
      </w:pPr>
      <w:r w:rsidRPr="00E7339C">
        <w:rPr>
          <w:bCs/>
          <w:szCs w:val="26"/>
        </w:rPr>
        <w:t>Rosemary Chiavetta</w:t>
      </w:r>
    </w:p>
    <w:p w:rsidR="00CD7734" w:rsidRPr="00E7339C" w:rsidRDefault="00CD7734" w:rsidP="00CD7734">
      <w:pPr>
        <w:tabs>
          <w:tab w:val="left" w:pos="5760"/>
        </w:tabs>
        <w:ind w:firstLine="5040"/>
        <w:rPr>
          <w:szCs w:val="26"/>
        </w:rPr>
      </w:pPr>
      <w:r w:rsidRPr="00E7339C">
        <w:rPr>
          <w:szCs w:val="26"/>
        </w:rPr>
        <w:t>Secretary</w:t>
      </w:r>
    </w:p>
    <w:p w:rsidR="00CD7734" w:rsidRDefault="00CD7734" w:rsidP="00CD7734">
      <w:pPr>
        <w:ind w:firstLine="0"/>
        <w:rPr>
          <w:szCs w:val="26"/>
        </w:rPr>
      </w:pPr>
    </w:p>
    <w:p w:rsidR="00CD7734" w:rsidRPr="00E7339C" w:rsidRDefault="00CD7734" w:rsidP="00CD7734">
      <w:pPr>
        <w:ind w:firstLine="0"/>
        <w:rPr>
          <w:szCs w:val="26"/>
        </w:rPr>
      </w:pPr>
      <w:r w:rsidRPr="00E7339C">
        <w:rPr>
          <w:szCs w:val="26"/>
        </w:rPr>
        <w:t>(SEAL)</w:t>
      </w:r>
    </w:p>
    <w:p w:rsidR="00CD7734" w:rsidRPr="00E7339C" w:rsidRDefault="00CD7734" w:rsidP="00CD7734">
      <w:pPr>
        <w:ind w:firstLine="0"/>
        <w:rPr>
          <w:szCs w:val="26"/>
        </w:rPr>
      </w:pPr>
      <w:r w:rsidRPr="00E7339C">
        <w:rPr>
          <w:szCs w:val="26"/>
        </w:rPr>
        <w:t xml:space="preserve">ORDER ADOPTED:  </w:t>
      </w:r>
      <w:r>
        <w:rPr>
          <w:szCs w:val="26"/>
        </w:rPr>
        <w:t>December 16,</w:t>
      </w:r>
      <w:r w:rsidRPr="00E7339C">
        <w:rPr>
          <w:szCs w:val="26"/>
        </w:rPr>
        <w:t xml:space="preserve"> 2010</w:t>
      </w:r>
    </w:p>
    <w:p w:rsidR="00CD7734" w:rsidRPr="0077312C" w:rsidRDefault="00CD7734" w:rsidP="00DE6B21">
      <w:pPr>
        <w:ind w:firstLine="0"/>
      </w:pPr>
      <w:r w:rsidRPr="00E7339C">
        <w:rPr>
          <w:szCs w:val="26"/>
        </w:rPr>
        <w:t xml:space="preserve">ORDER ENTERED:  </w:t>
      </w:r>
      <w:r w:rsidR="008B483D">
        <w:rPr>
          <w:szCs w:val="26"/>
        </w:rPr>
        <w:t>December 29, 2010</w:t>
      </w:r>
    </w:p>
    <w:sectPr w:rsidR="00CD7734" w:rsidRPr="0077312C" w:rsidSect="008F7BC4">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034" w:rsidRDefault="00DE1034" w:rsidP="00E819A5">
      <w:pPr>
        <w:spacing w:line="240" w:lineRule="auto"/>
      </w:pPr>
      <w:r>
        <w:separator/>
      </w:r>
    </w:p>
  </w:endnote>
  <w:endnote w:type="continuationSeparator" w:id="0">
    <w:p w:rsidR="00DE1034" w:rsidRDefault="00DE1034" w:rsidP="00E819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89172"/>
      <w:docPartObj>
        <w:docPartGallery w:val="Page Numbers (Bottom of Page)"/>
        <w:docPartUnique/>
      </w:docPartObj>
    </w:sdtPr>
    <w:sdtContent>
      <w:p w:rsidR="00704475" w:rsidRDefault="003D2334" w:rsidP="004A3E71">
        <w:pPr>
          <w:pStyle w:val="Footer"/>
          <w:ind w:firstLine="0"/>
          <w:jc w:val="center"/>
        </w:pPr>
        <w:fldSimple w:instr=" PAGE   \* MERGEFORMAT ">
          <w:r w:rsidR="008B483D">
            <w:rPr>
              <w:noProof/>
            </w:rPr>
            <w:t>16</w:t>
          </w:r>
        </w:fldSimple>
      </w:p>
    </w:sdtContent>
  </w:sdt>
  <w:p w:rsidR="00704475" w:rsidRDefault="007044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034" w:rsidRDefault="00DE1034" w:rsidP="00E819A5">
      <w:pPr>
        <w:spacing w:line="240" w:lineRule="auto"/>
      </w:pPr>
      <w:r>
        <w:separator/>
      </w:r>
    </w:p>
  </w:footnote>
  <w:footnote w:type="continuationSeparator" w:id="0">
    <w:p w:rsidR="00DE1034" w:rsidRDefault="00DE1034" w:rsidP="00E819A5">
      <w:pPr>
        <w:spacing w:line="240" w:lineRule="auto"/>
      </w:pPr>
      <w:r>
        <w:continuationSeparator/>
      </w:r>
    </w:p>
  </w:footnote>
  <w:footnote w:id="1">
    <w:p w:rsidR="00704475" w:rsidRPr="00810B5C" w:rsidRDefault="00704475" w:rsidP="00810B5C">
      <w:pPr>
        <w:pStyle w:val="FootnoteText"/>
        <w:ind w:firstLine="720"/>
        <w:rPr>
          <w:sz w:val="26"/>
          <w:szCs w:val="26"/>
        </w:rPr>
      </w:pPr>
      <w:r w:rsidRPr="00810B5C">
        <w:rPr>
          <w:rStyle w:val="FootnoteReference"/>
          <w:sz w:val="26"/>
          <w:szCs w:val="26"/>
        </w:rPr>
        <w:footnoteRef/>
      </w:r>
      <w:r>
        <w:tab/>
      </w:r>
      <w:r w:rsidRPr="00810B5C">
        <w:rPr>
          <w:rFonts w:ascii="Times New Roman" w:hAnsi="Times New Roman" w:cs="Times New Roman"/>
          <w:sz w:val="26"/>
          <w:szCs w:val="26"/>
        </w:rPr>
        <w:t>For the purpose of this proceeding, the members of PAIEUG, listed on Attachment A to its Complaint and updated on June 24, 2010, are Abington Health System, Air Liquide Industrial U.S. LP, Albert Einstein Healthcare Network, Inc. Aria Health System, The Boeing Company, Building Owners &amp; Managers Association of Philadelphia, GlaxoSmithKline, Jefferson Health System, Kimberly-Clark Corporation, Mainline Health System, Merck &amp; Co., Inc., Sanofi-Aventis, St. Joseph’s University, United States Steel Corporation, Ursinus College and Villanova University.</w:t>
      </w:r>
    </w:p>
  </w:footnote>
  <w:footnote w:id="2">
    <w:p w:rsidR="00704475" w:rsidRPr="002F1167" w:rsidRDefault="00704475" w:rsidP="002F1167">
      <w:pPr>
        <w:pStyle w:val="FootnoteText"/>
        <w:ind w:firstLine="720"/>
        <w:rPr>
          <w:rFonts w:ascii="Times New Roman" w:hAnsi="Times New Roman" w:cs="Times New Roman"/>
          <w:sz w:val="26"/>
          <w:szCs w:val="26"/>
        </w:rPr>
      </w:pPr>
      <w:r w:rsidRPr="002F1167">
        <w:rPr>
          <w:rStyle w:val="FootnoteReference"/>
          <w:rFonts w:ascii="Times New Roman" w:hAnsi="Times New Roman" w:cs="Times New Roman"/>
          <w:sz w:val="26"/>
          <w:szCs w:val="26"/>
        </w:rPr>
        <w:footnoteRef/>
      </w:r>
      <w:r>
        <w:rPr>
          <w:rFonts w:ascii="Times New Roman" w:hAnsi="Times New Roman" w:cs="Times New Roman"/>
          <w:sz w:val="26"/>
          <w:szCs w:val="26"/>
        </w:rPr>
        <w:tab/>
      </w:r>
      <w:r w:rsidRPr="002F1167">
        <w:rPr>
          <w:rFonts w:ascii="Times New Roman" w:hAnsi="Times New Roman" w:cs="Times New Roman"/>
          <w:sz w:val="26"/>
          <w:szCs w:val="26"/>
        </w:rPr>
        <w:t xml:space="preserve">Additional public input hearings were held for PECO’s proposed electric rate filing.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5502B"/>
    <w:multiLevelType w:val="hybridMultilevel"/>
    <w:tmpl w:val="4CE0C4F4"/>
    <w:lvl w:ilvl="0" w:tplc="0409000F">
      <w:start w:val="1"/>
      <w:numFmt w:val="decimal"/>
      <w:lvlText w:val="%1."/>
      <w:lvlJc w:val="left"/>
      <w:pPr>
        <w:ind w:left="171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D5625D"/>
    <w:rsid w:val="00000257"/>
    <w:rsid w:val="00002DA0"/>
    <w:rsid w:val="00003B33"/>
    <w:rsid w:val="00003C43"/>
    <w:rsid w:val="00004203"/>
    <w:rsid w:val="000049E8"/>
    <w:rsid w:val="00007413"/>
    <w:rsid w:val="00007AC9"/>
    <w:rsid w:val="00007BFC"/>
    <w:rsid w:val="00014DF2"/>
    <w:rsid w:val="00014DF5"/>
    <w:rsid w:val="000160E5"/>
    <w:rsid w:val="00017065"/>
    <w:rsid w:val="00017131"/>
    <w:rsid w:val="00021518"/>
    <w:rsid w:val="000248C3"/>
    <w:rsid w:val="0002581F"/>
    <w:rsid w:val="000274AE"/>
    <w:rsid w:val="0003067D"/>
    <w:rsid w:val="00030FAF"/>
    <w:rsid w:val="00033184"/>
    <w:rsid w:val="000367CC"/>
    <w:rsid w:val="00037D23"/>
    <w:rsid w:val="00041A97"/>
    <w:rsid w:val="00041B5B"/>
    <w:rsid w:val="00041C82"/>
    <w:rsid w:val="00041D7E"/>
    <w:rsid w:val="00042033"/>
    <w:rsid w:val="00042AA5"/>
    <w:rsid w:val="000502F4"/>
    <w:rsid w:val="00051111"/>
    <w:rsid w:val="0005165D"/>
    <w:rsid w:val="0005202A"/>
    <w:rsid w:val="00052C21"/>
    <w:rsid w:val="00054307"/>
    <w:rsid w:val="00054B1C"/>
    <w:rsid w:val="00054B7E"/>
    <w:rsid w:val="000550FA"/>
    <w:rsid w:val="00057ED8"/>
    <w:rsid w:val="00057FAE"/>
    <w:rsid w:val="00060197"/>
    <w:rsid w:val="00061699"/>
    <w:rsid w:val="00064695"/>
    <w:rsid w:val="00064BF4"/>
    <w:rsid w:val="00065306"/>
    <w:rsid w:val="00065842"/>
    <w:rsid w:val="00066079"/>
    <w:rsid w:val="00066548"/>
    <w:rsid w:val="00071085"/>
    <w:rsid w:val="000710FA"/>
    <w:rsid w:val="00075592"/>
    <w:rsid w:val="00077039"/>
    <w:rsid w:val="000777A2"/>
    <w:rsid w:val="0007794F"/>
    <w:rsid w:val="00077B38"/>
    <w:rsid w:val="00080C2E"/>
    <w:rsid w:val="000815E0"/>
    <w:rsid w:val="0008258A"/>
    <w:rsid w:val="0008293D"/>
    <w:rsid w:val="00082C0F"/>
    <w:rsid w:val="0008787B"/>
    <w:rsid w:val="00092DCF"/>
    <w:rsid w:val="00092EC4"/>
    <w:rsid w:val="00093EE8"/>
    <w:rsid w:val="0009450A"/>
    <w:rsid w:val="00096BBE"/>
    <w:rsid w:val="00096BF3"/>
    <w:rsid w:val="00096EB4"/>
    <w:rsid w:val="0009717B"/>
    <w:rsid w:val="00097334"/>
    <w:rsid w:val="000A0C2D"/>
    <w:rsid w:val="000A164B"/>
    <w:rsid w:val="000A2781"/>
    <w:rsid w:val="000A33CB"/>
    <w:rsid w:val="000A3ECF"/>
    <w:rsid w:val="000A4304"/>
    <w:rsid w:val="000A4DE5"/>
    <w:rsid w:val="000A5061"/>
    <w:rsid w:val="000A5D75"/>
    <w:rsid w:val="000A60B8"/>
    <w:rsid w:val="000A6B75"/>
    <w:rsid w:val="000B00E0"/>
    <w:rsid w:val="000B0309"/>
    <w:rsid w:val="000B1A7F"/>
    <w:rsid w:val="000B1D0F"/>
    <w:rsid w:val="000B1D84"/>
    <w:rsid w:val="000B1E8C"/>
    <w:rsid w:val="000B206E"/>
    <w:rsid w:val="000B21F1"/>
    <w:rsid w:val="000B40B9"/>
    <w:rsid w:val="000B4D7F"/>
    <w:rsid w:val="000C0958"/>
    <w:rsid w:val="000C188B"/>
    <w:rsid w:val="000C2117"/>
    <w:rsid w:val="000C2C62"/>
    <w:rsid w:val="000C2F53"/>
    <w:rsid w:val="000C3B20"/>
    <w:rsid w:val="000C50F5"/>
    <w:rsid w:val="000C6D8D"/>
    <w:rsid w:val="000D1F6C"/>
    <w:rsid w:val="000D3556"/>
    <w:rsid w:val="000D3D76"/>
    <w:rsid w:val="000D4DB4"/>
    <w:rsid w:val="000D57D6"/>
    <w:rsid w:val="000D58AD"/>
    <w:rsid w:val="000E0E78"/>
    <w:rsid w:val="000E1050"/>
    <w:rsid w:val="000E25CC"/>
    <w:rsid w:val="000E2A3D"/>
    <w:rsid w:val="000E2F0F"/>
    <w:rsid w:val="000E446F"/>
    <w:rsid w:val="000E4B00"/>
    <w:rsid w:val="000E4EE5"/>
    <w:rsid w:val="000E50E9"/>
    <w:rsid w:val="000E54A2"/>
    <w:rsid w:val="000E6CE9"/>
    <w:rsid w:val="000E7406"/>
    <w:rsid w:val="000F0A46"/>
    <w:rsid w:val="000F0F58"/>
    <w:rsid w:val="000F26CA"/>
    <w:rsid w:val="000F2F36"/>
    <w:rsid w:val="000F41A3"/>
    <w:rsid w:val="000F5F96"/>
    <w:rsid w:val="000F7334"/>
    <w:rsid w:val="0010012B"/>
    <w:rsid w:val="00100287"/>
    <w:rsid w:val="0010052C"/>
    <w:rsid w:val="001006FE"/>
    <w:rsid w:val="00101FF1"/>
    <w:rsid w:val="001035DC"/>
    <w:rsid w:val="001048BF"/>
    <w:rsid w:val="00105C56"/>
    <w:rsid w:val="00107C08"/>
    <w:rsid w:val="00110035"/>
    <w:rsid w:val="00110969"/>
    <w:rsid w:val="00111739"/>
    <w:rsid w:val="001131AE"/>
    <w:rsid w:val="00113A35"/>
    <w:rsid w:val="001149AD"/>
    <w:rsid w:val="00115DB5"/>
    <w:rsid w:val="00121368"/>
    <w:rsid w:val="00121F45"/>
    <w:rsid w:val="00122A3E"/>
    <w:rsid w:val="001255A9"/>
    <w:rsid w:val="00125750"/>
    <w:rsid w:val="00125B95"/>
    <w:rsid w:val="00125EED"/>
    <w:rsid w:val="001272BF"/>
    <w:rsid w:val="00130045"/>
    <w:rsid w:val="0013084F"/>
    <w:rsid w:val="001313C9"/>
    <w:rsid w:val="0013184D"/>
    <w:rsid w:val="0013295B"/>
    <w:rsid w:val="001332E8"/>
    <w:rsid w:val="00133384"/>
    <w:rsid w:val="00133E33"/>
    <w:rsid w:val="00135028"/>
    <w:rsid w:val="0013739D"/>
    <w:rsid w:val="0014187D"/>
    <w:rsid w:val="0014267E"/>
    <w:rsid w:val="0014459D"/>
    <w:rsid w:val="001445A7"/>
    <w:rsid w:val="00144E27"/>
    <w:rsid w:val="00145F94"/>
    <w:rsid w:val="00146750"/>
    <w:rsid w:val="0014781B"/>
    <w:rsid w:val="00150058"/>
    <w:rsid w:val="001505D1"/>
    <w:rsid w:val="00150756"/>
    <w:rsid w:val="001507C8"/>
    <w:rsid w:val="001508A6"/>
    <w:rsid w:val="00152BD0"/>
    <w:rsid w:val="0015317E"/>
    <w:rsid w:val="0015364D"/>
    <w:rsid w:val="001537AF"/>
    <w:rsid w:val="00153E95"/>
    <w:rsid w:val="0016020A"/>
    <w:rsid w:val="00160B73"/>
    <w:rsid w:val="00161455"/>
    <w:rsid w:val="00163822"/>
    <w:rsid w:val="001647E8"/>
    <w:rsid w:val="001648B2"/>
    <w:rsid w:val="001655CF"/>
    <w:rsid w:val="0016761D"/>
    <w:rsid w:val="00167626"/>
    <w:rsid w:val="0016777D"/>
    <w:rsid w:val="00170D76"/>
    <w:rsid w:val="0017112A"/>
    <w:rsid w:val="00172364"/>
    <w:rsid w:val="001735D8"/>
    <w:rsid w:val="0017426E"/>
    <w:rsid w:val="001774C8"/>
    <w:rsid w:val="00177F08"/>
    <w:rsid w:val="00177F8C"/>
    <w:rsid w:val="00180323"/>
    <w:rsid w:val="00180720"/>
    <w:rsid w:val="00182597"/>
    <w:rsid w:val="00182D30"/>
    <w:rsid w:val="0018316A"/>
    <w:rsid w:val="00184ED3"/>
    <w:rsid w:val="00185438"/>
    <w:rsid w:val="001868B0"/>
    <w:rsid w:val="00187BD2"/>
    <w:rsid w:val="00187C02"/>
    <w:rsid w:val="00187F73"/>
    <w:rsid w:val="00190317"/>
    <w:rsid w:val="00192593"/>
    <w:rsid w:val="00192B09"/>
    <w:rsid w:val="00192BE7"/>
    <w:rsid w:val="0019361D"/>
    <w:rsid w:val="00194670"/>
    <w:rsid w:val="00194B11"/>
    <w:rsid w:val="00194D12"/>
    <w:rsid w:val="00194DFD"/>
    <w:rsid w:val="00196DD8"/>
    <w:rsid w:val="001A0FC2"/>
    <w:rsid w:val="001A13A0"/>
    <w:rsid w:val="001A226F"/>
    <w:rsid w:val="001A2DD8"/>
    <w:rsid w:val="001A2F9C"/>
    <w:rsid w:val="001A312D"/>
    <w:rsid w:val="001A3599"/>
    <w:rsid w:val="001A384F"/>
    <w:rsid w:val="001B0130"/>
    <w:rsid w:val="001B0FCA"/>
    <w:rsid w:val="001B0FCF"/>
    <w:rsid w:val="001B153D"/>
    <w:rsid w:val="001B190A"/>
    <w:rsid w:val="001B22F2"/>
    <w:rsid w:val="001B2979"/>
    <w:rsid w:val="001B4BCE"/>
    <w:rsid w:val="001B5124"/>
    <w:rsid w:val="001B58BA"/>
    <w:rsid w:val="001B7FB1"/>
    <w:rsid w:val="001C26AB"/>
    <w:rsid w:val="001C2B22"/>
    <w:rsid w:val="001C5A5B"/>
    <w:rsid w:val="001C5BD1"/>
    <w:rsid w:val="001C77B6"/>
    <w:rsid w:val="001D0037"/>
    <w:rsid w:val="001D1AED"/>
    <w:rsid w:val="001D2F21"/>
    <w:rsid w:val="001D4A6A"/>
    <w:rsid w:val="001D7042"/>
    <w:rsid w:val="001E081A"/>
    <w:rsid w:val="001E164D"/>
    <w:rsid w:val="001E7446"/>
    <w:rsid w:val="001E7755"/>
    <w:rsid w:val="001F05CE"/>
    <w:rsid w:val="001F14A5"/>
    <w:rsid w:val="001F2665"/>
    <w:rsid w:val="001F36A0"/>
    <w:rsid w:val="001F3C03"/>
    <w:rsid w:val="001F3C0D"/>
    <w:rsid w:val="001F5CD5"/>
    <w:rsid w:val="001F6130"/>
    <w:rsid w:val="001F6CCE"/>
    <w:rsid w:val="00201772"/>
    <w:rsid w:val="00202F3E"/>
    <w:rsid w:val="002049DB"/>
    <w:rsid w:val="00207D74"/>
    <w:rsid w:val="00211111"/>
    <w:rsid w:val="002112A3"/>
    <w:rsid w:val="002134A2"/>
    <w:rsid w:val="00213F74"/>
    <w:rsid w:val="00214B4E"/>
    <w:rsid w:val="0021644D"/>
    <w:rsid w:val="00216CB4"/>
    <w:rsid w:val="0021719C"/>
    <w:rsid w:val="002179C3"/>
    <w:rsid w:val="00220A2B"/>
    <w:rsid w:val="00223527"/>
    <w:rsid w:val="00223BFC"/>
    <w:rsid w:val="00226542"/>
    <w:rsid w:val="00230C08"/>
    <w:rsid w:val="00232076"/>
    <w:rsid w:val="002336BA"/>
    <w:rsid w:val="0023639A"/>
    <w:rsid w:val="00236E76"/>
    <w:rsid w:val="00236FBF"/>
    <w:rsid w:val="002454F5"/>
    <w:rsid w:val="00245557"/>
    <w:rsid w:val="00245D29"/>
    <w:rsid w:val="00247AA6"/>
    <w:rsid w:val="00254960"/>
    <w:rsid w:val="00254F41"/>
    <w:rsid w:val="00254F83"/>
    <w:rsid w:val="002567D4"/>
    <w:rsid w:val="0026001C"/>
    <w:rsid w:val="00260F03"/>
    <w:rsid w:val="00262F59"/>
    <w:rsid w:val="00263462"/>
    <w:rsid w:val="0026484C"/>
    <w:rsid w:val="00264A7E"/>
    <w:rsid w:val="00267A50"/>
    <w:rsid w:val="00270C1A"/>
    <w:rsid w:val="00270CE0"/>
    <w:rsid w:val="002714F8"/>
    <w:rsid w:val="00271D72"/>
    <w:rsid w:val="00272C47"/>
    <w:rsid w:val="0027509D"/>
    <w:rsid w:val="00275B4E"/>
    <w:rsid w:val="002779AE"/>
    <w:rsid w:val="002826C9"/>
    <w:rsid w:val="0028362E"/>
    <w:rsid w:val="00283C80"/>
    <w:rsid w:val="00284235"/>
    <w:rsid w:val="002862C7"/>
    <w:rsid w:val="00286A61"/>
    <w:rsid w:val="00290B60"/>
    <w:rsid w:val="00291EE7"/>
    <w:rsid w:val="00293ED7"/>
    <w:rsid w:val="00294974"/>
    <w:rsid w:val="002A0D1D"/>
    <w:rsid w:val="002A1835"/>
    <w:rsid w:val="002A23AA"/>
    <w:rsid w:val="002A3FD6"/>
    <w:rsid w:val="002A57EF"/>
    <w:rsid w:val="002A615A"/>
    <w:rsid w:val="002A77A7"/>
    <w:rsid w:val="002B12BE"/>
    <w:rsid w:val="002B181E"/>
    <w:rsid w:val="002B2072"/>
    <w:rsid w:val="002B37C5"/>
    <w:rsid w:val="002B6ACA"/>
    <w:rsid w:val="002B7354"/>
    <w:rsid w:val="002C056A"/>
    <w:rsid w:val="002C0D84"/>
    <w:rsid w:val="002C1A8F"/>
    <w:rsid w:val="002C1FD6"/>
    <w:rsid w:val="002C2424"/>
    <w:rsid w:val="002C3189"/>
    <w:rsid w:val="002C3821"/>
    <w:rsid w:val="002C3D03"/>
    <w:rsid w:val="002C4643"/>
    <w:rsid w:val="002C5560"/>
    <w:rsid w:val="002C5B49"/>
    <w:rsid w:val="002C637F"/>
    <w:rsid w:val="002C6E2C"/>
    <w:rsid w:val="002C7CB4"/>
    <w:rsid w:val="002D3309"/>
    <w:rsid w:val="002D39C1"/>
    <w:rsid w:val="002D4909"/>
    <w:rsid w:val="002D5DF6"/>
    <w:rsid w:val="002E1155"/>
    <w:rsid w:val="002E3699"/>
    <w:rsid w:val="002E3AFF"/>
    <w:rsid w:val="002E6B1C"/>
    <w:rsid w:val="002E7002"/>
    <w:rsid w:val="002F017B"/>
    <w:rsid w:val="002F07FE"/>
    <w:rsid w:val="002F0AEC"/>
    <w:rsid w:val="002F1167"/>
    <w:rsid w:val="002F1623"/>
    <w:rsid w:val="002F25BD"/>
    <w:rsid w:val="002F26E2"/>
    <w:rsid w:val="002F2E00"/>
    <w:rsid w:val="002F346C"/>
    <w:rsid w:val="002F3DAA"/>
    <w:rsid w:val="002F52D7"/>
    <w:rsid w:val="003005A9"/>
    <w:rsid w:val="00301680"/>
    <w:rsid w:val="00301C83"/>
    <w:rsid w:val="0030391C"/>
    <w:rsid w:val="00304714"/>
    <w:rsid w:val="003052A4"/>
    <w:rsid w:val="003071D1"/>
    <w:rsid w:val="00307DE2"/>
    <w:rsid w:val="00310035"/>
    <w:rsid w:val="00310443"/>
    <w:rsid w:val="00310C28"/>
    <w:rsid w:val="00310C48"/>
    <w:rsid w:val="003117DF"/>
    <w:rsid w:val="00311A3C"/>
    <w:rsid w:val="00312795"/>
    <w:rsid w:val="003127E7"/>
    <w:rsid w:val="003149FC"/>
    <w:rsid w:val="00314B6F"/>
    <w:rsid w:val="00314D00"/>
    <w:rsid w:val="003172D1"/>
    <w:rsid w:val="00320D69"/>
    <w:rsid w:val="00321BFD"/>
    <w:rsid w:val="00321D52"/>
    <w:rsid w:val="003232BE"/>
    <w:rsid w:val="003232F4"/>
    <w:rsid w:val="00323AB9"/>
    <w:rsid w:val="00323BC6"/>
    <w:rsid w:val="0032475A"/>
    <w:rsid w:val="00324FE2"/>
    <w:rsid w:val="00325173"/>
    <w:rsid w:val="00325696"/>
    <w:rsid w:val="00331031"/>
    <w:rsid w:val="00331105"/>
    <w:rsid w:val="003320F1"/>
    <w:rsid w:val="00333988"/>
    <w:rsid w:val="00334A9B"/>
    <w:rsid w:val="0033603C"/>
    <w:rsid w:val="00336755"/>
    <w:rsid w:val="0033742E"/>
    <w:rsid w:val="0033768C"/>
    <w:rsid w:val="00337C47"/>
    <w:rsid w:val="003401FC"/>
    <w:rsid w:val="0034042F"/>
    <w:rsid w:val="00340C1F"/>
    <w:rsid w:val="00342C93"/>
    <w:rsid w:val="00343167"/>
    <w:rsid w:val="003435BB"/>
    <w:rsid w:val="00343CB5"/>
    <w:rsid w:val="00347235"/>
    <w:rsid w:val="00352B02"/>
    <w:rsid w:val="003538DF"/>
    <w:rsid w:val="00353A2A"/>
    <w:rsid w:val="00355AFF"/>
    <w:rsid w:val="0035644F"/>
    <w:rsid w:val="00356634"/>
    <w:rsid w:val="00360783"/>
    <w:rsid w:val="00361E18"/>
    <w:rsid w:val="00364950"/>
    <w:rsid w:val="00365DC5"/>
    <w:rsid w:val="00366639"/>
    <w:rsid w:val="00370782"/>
    <w:rsid w:val="00371412"/>
    <w:rsid w:val="00371B0D"/>
    <w:rsid w:val="00372D28"/>
    <w:rsid w:val="00373437"/>
    <w:rsid w:val="0037405D"/>
    <w:rsid w:val="00375C92"/>
    <w:rsid w:val="00376ADC"/>
    <w:rsid w:val="003774ED"/>
    <w:rsid w:val="00377585"/>
    <w:rsid w:val="00377D02"/>
    <w:rsid w:val="00377E02"/>
    <w:rsid w:val="003805A3"/>
    <w:rsid w:val="00380671"/>
    <w:rsid w:val="003820A5"/>
    <w:rsid w:val="00382F38"/>
    <w:rsid w:val="00382FF5"/>
    <w:rsid w:val="003832AC"/>
    <w:rsid w:val="0038440D"/>
    <w:rsid w:val="003859E1"/>
    <w:rsid w:val="003861AC"/>
    <w:rsid w:val="0038741D"/>
    <w:rsid w:val="00387BBB"/>
    <w:rsid w:val="00390978"/>
    <w:rsid w:val="00391A50"/>
    <w:rsid w:val="003927E6"/>
    <w:rsid w:val="00394067"/>
    <w:rsid w:val="00394D58"/>
    <w:rsid w:val="00396140"/>
    <w:rsid w:val="0039635D"/>
    <w:rsid w:val="00396B65"/>
    <w:rsid w:val="003976E1"/>
    <w:rsid w:val="003A1FB7"/>
    <w:rsid w:val="003A1FE0"/>
    <w:rsid w:val="003A32FD"/>
    <w:rsid w:val="003A46BB"/>
    <w:rsid w:val="003A5704"/>
    <w:rsid w:val="003A5E5A"/>
    <w:rsid w:val="003A75CC"/>
    <w:rsid w:val="003B065C"/>
    <w:rsid w:val="003B142B"/>
    <w:rsid w:val="003B2055"/>
    <w:rsid w:val="003B270A"/>
    <w:rsid w:val="003B6E91"/>
    <w:rsid w:val="003B7172"/>
    <w:rsid w:val="003C0BFC"/>
    <w:rsid w:val="003C3A0E"/>
    <w:rsid w:val="003C3C05"/>
    <w:rsid w:val="003C5300"/>
    <w:rsid w:val="003C691B"/>
    <w:rsid w:val="003D2334"/>
    <w:rsid w:val="003D2A72"/>
    <w:rsid w:val="003D6BDF"/>
    <w:rsid w:val="003D7BFB"/>
    <w:rsid w:val="003E03D5"/>
    <w:rsid w:val="003E2241"/>
    <w:rsid w:val="003E3A40"/>
    <w:rsid w:val="003E5EC3"/>
    <w:rsid w:val="003F1AB8"/>
    <w:rsid w:val="003F1B3C"/>
    <w:rsid w:val="003F1B97"/>
    <w:rsid w:val="003F1CC7"/>
    <w:rsid w:val="003F1DDC"/>
    <w:rsid w:val="003F3CB1"/>
    <w:rsid w:val="003F499C"/>
    <w:rsid w:val="003F6CC3"/>
    <w:rsid w:val="003F6D27"/>
    <w:rsid w:val="00401386"/>
    <w:rsid w:val="0040236C"/>
    <w:rsid w:val="00402BC9"/>
    <w:rsid w:val="004034D4"/>
    <w:rsid w:val="004035F5"/>
    <w:rsid w:val="00403E16"/>
    <w:rsid w:val="00403FF0"/>
    <w:rsid w:val="0040404B"/>
    <w:rsid w:val="00404B11"/>
    <w:rsid w:val="00406202"/>
    <w:rsid w:val="00411146"/>
    <w:rsid w:val="004111CA"/>
    <w:rsid w:val="00412987"/>
    <w:rsid w:val="004141B8"/>
    <w:rsid w:val="00415091"/>
    <w:rsid w:val="004151BC"/>
    <w:rsid w:val="00416878"/>
    <w:rsid w:val="00416B04"/>
    <w:rsid w:val="00417199"/>
    <w:rsid w:val="00417251"/>
    <w:rsid w:val="00420344"/>
    <w:rsid w:val="00420CA6"/>
    <w:rsid w:val="00420D3A"/>
    <w:rsid w:val="00421179"/>
    <w:rsid w:val="00421552"/>
    <w:rsid w:val="00422278"/>
    <w:rsid w:val="00422AC5"/>
    <w:rsid w:val="00426308"/>
    <w:rsid w:val="00427392"/>
    <w:rsid w:val="00431DC5"/>
    <w:rsid w:val="004327BC"/>
    <w:rsid w:val="00432DC1"/>
    <w:rsid w:val="00432E08"/>
    <w:rsid w:val="0043388F"/>
    <w:rsid w:val="00434ABE"/>
    <w:rsid w:val="00435407"/>
    <w:rsid w:val="00435915"/>
    <w:rsid w:val="00436EC5"/>
    <w:rsid w:val="00437A23"/>
    <w:rsid w:val="00437CFD"/>
    <w:rsid w:val="004409D9"/>
    <w:rsid w:val="00440D6C"/>
    <w:rsid w:val="00440F45"/>
    <w:rsid w:val="00441160"/>
    <w:rsid w:val="00441DF4"/>
    <w:rsid w:val="0044268C"/>
    <w:rsid w:val="00442D92"/>
    <w:rsid w:val="0044404A"/>
    <w:rsid w:val="004455F4"/>
    <w:rsid w:val="00445BE9"/>
    <w:rsid w:val="00446E8C"/>
    <w:rsid w:val="00447969"/>
    <w:rsid w:val="00447D7C"/>
    <w:rsid w:val="00450484"/>
    <w:rsid w:val="004510BE"/>
    <w:rsid w:val="00451275"/>
    <w:rsid w:val="00451763"/>
    <w:rsid w:val="00453972"/>
    <w:rsid w:val="00454098"/>
    <w:rsid w:val="0045565C"/>
    <w:rsid w:val="004614F2"/>
    <w:rsid w:val="004616B6"/>
    <w:rsid w:val="00462EED"/>
    <w:rsid w:val="00463083"/>
    <w:rsid w:val="0046311E"/>
    <w:rsid w:val="0046410E"/>
    <w:rsid w:val="004649EF"/>
    <w:rsid w:val="00465761"/>
    <w:rsid w:val="0046588B"/>
    <w:rsid w:val="0047064B"/>
    <w:rsid w:val="00470FF3"/>
    <w:rsid w:val="00471A02"/>
    <w:rsid w:val="00472CE5"/>
    <w:rsid w:val="004757CC"/>
    <w:rsid w:val="00480F9B"/>
    <w:rsid w:val="00481703"/>
    <w:rsid w:val="0048271C"/>
    <w:rsid w:val="00482D87"/>
    <w:rsid w:val="00484989"/>
    <w:rsid w:val="004877F1"/>
    <w:rsid w:val="004903DA"/>
    <w:rsid w:val="004920B6"/>
    <w:rsid w:val="0049304A"/>
    <w:rsid w:val="0049466F"/>
    <w:rsid w:val="00497278"/>
    <w:rsid w:val="004A33A7"/>
    <w:rsid w:val="004A3E71"/>
    <w:rsid w:val="004A4D56"/>
    <w:rsid w:val="004A645A"/>
    <w:rsid w:val="004A6F29"/>
    <w:rsid w:val="004A7270"/>
    <w:rsid w:val="004B11A9"/>
    <w:rsid w:val="004B2238"/>
    <w:rsid w:val="004B25B2"/>
    <w:rsid w:val="004B70D1"/>
    <w:rsid w:val="004B7A1E"/>
    <w:rsid w:val="004C2071"/>
    <w:rsid w:val="004C2E54"/>
    <w:rsid w:val="004C60E9"/>
    <w:rsid w:val="004C6646"/>
    <w:rsid w:val="004C69F4"/>
    <w:rsid w:val="004C6E21"/>
    <w:rsid w:val="004C7024"/>
    <w:rsid w:val="004D0935"/>
    <w:rsid w:val="004D0DA0"/>
    <w:rsid w:val="004D3766"/>
    <w:rsid w:val="004D419A"/>
    <w:rsid w:val="004D63A7"/>
    <w:rsid w:val="004E0480"/>
    <w:rsid w:val="004E29EE"/>
    <w:rsid w:val="004E3336"/>
    <w:rsid w:val="004E393B"/>
    <w:rsid w:val="004E39EE"/>
    <w:rsid w:val="004E4910"/>
    <w:rsid w:val="004E5844"/>
    <w:rsid w:val="004E5B6E"/>
    <w:rsid w:val="004E60F8"/>
    <w:rsid w:val="004E6625"/>
    <w:rsid w:val="004F0C3F"/>
    <w:rsid w:val="004F0DAD"/>
    <w:rsid w:val="004F0E74"/>
    <w:rsid w:val="004F119C"/>
    <w:rsid w:val="004F185E"/>
    <w:rsid w:val="004F1A40"/>
    <w:rsid w:val="004F1B00"/>
    <w:rsid w:val="004F307A"/>
    <w:rsid w:val="004F5D5A"/>
    <w:rsid w:val="004F6A46"/>
    <w:rsid w:val="004F791A"/>
    <w:rsid w:val="004F79BE"/>
    <w:rsid w:val="004F7B4A"/>
    <w:rsid w:val="0050063C"/>
    <w:rsid w:val="00500F78"/>
    <w:rsid w:val="00501F03"/>
    <w:rsid w:val="00502A12"/>
    <w:rsid w:val="00503D60"/>
    <w:rsid w:val="0050408D"/>
    <w:rsid w:val="005075F8"/>
    <w:rsid w:val="00507D2A"/>
    <w:rsid w:val="00507EB8"/>
    <w:rsid w:val="00512A98"/>
    <w:rsid w:val="00512FEF"/>
    <w:rsid w:val="005131E5"/>
    <w:rsid w:val="00513339"/>
    <w:rsid w:val="00515403"/>
    <w:rsid w:val="005158D5"/>
    <w:rsid w:val="005167BF"/>
    <w:rsid w:val="00517096"/>
    <w:rsid w:val="005172D7"/>
    <w:rsid w:val="00517622"/>
    <w:rsid w:val="00520F60"/>
    <w:rsid w:val="00522AC1"/>
    <w:rsid w:val="00523274"/>
    <w:rsid w:val="005253A8"/>
    <w:rsid w:val="00525433"/>
    <w:rsid w:val="00525B47"/>
    <w:rsid w:val="005274CF"/>
    <w:rsid w:val="00530D31"/>
    <w:rsid w:val="00530FE9"/>
    <w:rsid w:val="00531176"/>
    <w:rsid w:val="00531379"/>
    <w:rsid w:val="005319AE"/>
    <w:rsid w:val="00531AA5"/>
    <w:rsid w:val="0053321A"/>
    <w:rsid w:val="00533C8C"/>
    <w:rsid w:val="0053466A"/>
    <w:rsid w:val="005346EF"/>
    <w:rsid w:val="00536D36"/>
    <w:rsid w:val="005376FE"/>
    <w:rsid w:val="00537AD6"/>
    <w:rsid w:val="00537FFA"/>
    <w:rsid w:val="00541544"/>
    <w:rsid w:val="005430E6"/>
    <w:rsid w:val="0054375D"/>
    <w:rsid w:val="005437D2"/>
    <w:rsid w:val="00544348"/>
    <w:rsid w:val="00545D41"/>
    <w:rsid w:val="00547854"/>
    <w:rsid w:val="00547B17"/>
    <w:rsid w:val="00550074"/>
    <w:rsid w:val="005509B2"/>
    <w:rsid w:val="00550F50"/>
    <w:rsid w:val="00551631"/>
    <w:rsid w:val="005523CE"/>
    <w:rsid w:val="00553D6C"/>
    <w:rsid w:val="00553E30"/>
    <w:rsid w:val="00554CAF"/>
    <w:rsid w:val="00555306"/>
    <w:rsid w:val="00556756"/>
    <w:rsid w:val="00556AA2"/>
    <w:rsid w:val="005575B2"/>
    <w:rsid w:val="0056278E"/>
    <w:rsid w:val="00563CF7"/>
    <w:rsid w:val="0056427D"/>
    <w:rsid w:val="0056571D"/>
    <w:rsid w:val="005658ED"/>
    <w:rsid w:val="0056695D"/>
    <w:rsid w:val="00571AA7"/>
    <w:rsid w:val="00573071"/>
    <w:rsid w:val="00574FDE"/>
    <w:rsid w:val="005763E6"/>
    <w:rsid w:val="00577106"/>
    <w:rsid w:val="005771C0"/>
    <w:rsid w:val="005773EA"/>
    <w:rsid w:val="00580505"/>
    <w:rsid w:val="005805B6"/>
    <w:rsid w:val="0058090A"/>
    <w:rsid w:val="00585134"/>
    <w:rsid w:val="00585792"/>
    <w:rsid w:val="005868C4"/>
    <w:rsid w:val="00591833"/>
    <w:rsid w:val="00591C2A"/>
    <w:rsid w:val="005926AE"/>
    <w:rsid w:val="00593C83"/>
    <w:rsid w:val="00594396"/>
    <w:rsid w:val="00594703"/>
    <w:rsid w:val="00595D61"/>
    <w:rsid w:val="0059653E"/>
    <w:rsid w:val="00596A90"/>
    <w:rsid w:val="005A040E"/>
    <w:rsid w:val="005A0B47"/>
    <w:rsid w:val="005A1F3E"/>
    <w:rsid w:val="005A20EE"/>
    <w:rsid w:val="005A25CB"/>
    <w:rsid w:val="005A2724"/>
    <w:rsid w:val="005A2745"/>
    <w:rsid w:val="005A3F10"/>
    <w:rsid w:val="005A423D"/>
    <w:rsid w:val="005A4DB5"/>
    <w:rsid w:val="005A637B"/>
    <w:rsid w:val="005B054F"/>
    <w:rsid w:val="005B18F1"/>
    <w:rsid w:val="005B2DCC"/>
    <w:rsid w:val="005B388F"/>
    <w:rsid w:val="005B3BC3"/>
    <w:rsid w:val="005B3E26"/>
    <w:rsid w:val="005B3F1A"/>
    <w:rsid w:val="005B4BB3"/>
    <w:rsid w:val="005B565D"/>
    <w:rsid w:val="005B7C2C"/>
    <w:rsid w:val="005C10D0"/>
    <w:rsid w:val="005C6C6C"/>
    <w:rsid w:val="005D05FD"/>
    <w:rsid w:val="005D0A3B"/>
    <w:rsid w:val="005D0AA9"/>
    <w:rsid w:val="005D129D"/>
    <w:rsid w:val="005D1571"/>
    <w:rsid w:val="005D1BC4"/>
    <w:rsid w:val="005D22E1"/>
    <w:rsid w:val="005D3057"/>
    <w:rsid w:val="005D3CA2"/>
    <w:rsid w:val="005D6A3D"/>
    <w:rsid w:val="005D7F1D"/>
    <w:rsid w:val="005E08D7"/>
    <w:rsid w:val="005E0A3F"/>
    <w:rsid w:val="005F01A9"/>
    <w:rsid w:val="005F0BC3"/>
    <w:rsid w:val="005F270C"/>
    <w:rsid w:val="005F366C"/>
    <w:rsid w:val="005F39E6"/>
    <w:rsid w:val="005F48A4"/>
    <w:rsid w:val="005F4DD7"/>
    <w:rsid w:val="005F63D8"/>
    <w:rsid w:val="00600A0F"/>
    <w:rsid w:val="00601BEE"/>
    <w:rsid w:val="00602FC9"/>
    <w:rsid w:val="006035B3"/>
    <w:rsid w:val="00604A63"/>
    <w:rsid w:val="00605DF0"/>
    <w:rsid w:val="00607817"/>
    <w:rsid w:val="0061173B"/>
    <w:rsid w:val="00611CAD"/>
    <w:rsid w:val="00611D93"/>
    <w:rsid w:val="00612CCC"/>
    <w:rsid w:val="00612FFD"/>
    <w:rsid w:val="00613AD3"/>
    <w:rsid w:val="00614CA4"/>
    <w:rsid w:val="00616782"/>
    <w:rsid w:val="00617208"/>
    <w:rsid w:val="0061765C"/>
    <w:rsid w:val="006210B3"/>
    <w:rsid w:val="00621A9E"/>
    <w:rsid w:val="00621ABD"/>
    <w:rsid w:val="00621FF3"/>
    <w:rsid w:val="006236F5"/>
    <w:rsid w:val="00624DB2"/>
    <w:rsid w:val="006252F6"/>
    <w:rsid w:val="0062573F"/>
    <w:rsid w:val="006300EA"/>
    <w:rsid w:val="00630304"/>
    <w:rsid w:val="00630503"/>
    <w:rsid w:val="006306F9"/>
    <w:rsid w:val="00631301"/>
    <w:rsid w:val="0063283A"/>
    <w:rsid w:val="006337FA"/>
    <w:rsid w:val="00633ABA"/>
    <w:rsid w:val="00634760"/>
    <w:rsid w:val="006407E5"/>
    <w:rsid w:val="006427AE"/>
    <w:rsid w:val="006438D7"/>
    <w:rsid w:val="00646F6B"/>
    <w:rsid w:val="006477EE"/>
    <w:rsid w:val="00647B06"/>
    <w:rsid w:val="00650470"/>
    <w:rsid w:val="0065063F"/>
    <w:rsid w:val="00650916"/>
    <w:rsid w:val="00652AAA"/>
    <w:rsid w:val="00652CFB"/>
    <w:rsid w:val="00654526"/>
    <w:rsid w:val="00654BCE"/>
    <w:rsid w:val="0065537C"/>
    <w:rsid w:val="00656443"/>
    <w:rsid w:val="0066012F"/>
    <w:rsid w:val="00660A2D"/>
    <w:rsid w:val="006620F9"/>
    <w:rsid w:val="006621BB"/>
    <w:rsid w:val="006629D0"/>
    <w:rsid w:val="00664CDA"/>
    <w:rsid w:val="00665768"/>
    <w:rsid w:val="00665DF9"/>
    <w:rsid w:val="006669DD"/>
    <w:rsid w:val="006677B7"/>
    <w:rsid w:val="00670ED4"/>
    <w:rsid w:val="00670F01"/>
    <w:rsid w:val="00671FF6"/>
    <w:rsid w:val="006721BE"/>
    <w:rsid w:val="00673FAE"/>
    <w:rsid w:val="006746A5"/>
    <w:rsid w:val="00674A60"/>
    <w:rsid w:val="00674D41"/>
    <w:rsid w:val="00675138"/>
    <w:rsid w:val="006802ED"/>
    <w:rsid w:val="00685FC0"/>
    <w:rsid w:val="00687837"/>
    <w:rsid w:val="006909E0"/>
    <w:rsid w:val="00694143"/>
    <w:rsid w:val="0069432D"/>
    <w:rsid w:val="00696425"/>
    <w:rsid w:val="006A0081"/>
    <w:rsid w:val="006A0A5A"/>
    <w:rsid w:val="006A117F"/>
    <w:rsid w:val="006A4B0D"/>
    <w:rsid w:val="006A61BC"/>
    <w:rsid w:val="006A65CD"/>
    <w:rsid w:val="006A68A5"/>
    <w:rsid w:val="006A70B0"/>
    <w:rsid w:val="006B13B3"/>
    <w:rsid w:val="006B181D"/>
    <w:rsid w:val="006B1E7C"/>
    <w:rsid w:val="006B2823"/>
    <w:rsid w:val="006B71F7"/>
    <w:rsid w:val="006C02CD"/>
    <w:rsid w:val="006C0923"/>
    <w:rsid w:val="006C24AA"/>
    <w:rsid w:val="006C2E00"/>
    <w:rsid w:val="006C38A7"/>
    <w:rsid w:val="006C3EB4"/>
    <w:rsid w:val="006C428A"/>
    <w:rsid w:val="006C75AE"/>
    <w:rsid w:val="006C7794"/>
    <w:rsid w:val="006D0121"/>
    <w:rsid w:val="006D129F"/>
    <w:rsid w:val="006D1711"/>
    <w:rsid w:val="006D21E4"/>
    <w:rsid w:val="006D29C0"/>
    <w:rsid w:val="006D2A49"/>
    <w:rsid w:val="006D3587"/>
    <w:rsid w:val="006D4418"/>
    <w:rsid w:val="006D5638"/>
    <w:rsid w:val="006D6166"/>
    <w:rsid w:val="006D729E"/>
    <w:rsid w:val="006D7778"/>
    <w:rsid w:val="006D7DF0"/>
    <w:rsid w:val="006E04CB"/>
    <w:rsid w:val="006E129F"/>
    <w:rsid w:val="006E36AB"/>
    <w:rsid w:val="006E6E5A"/>
    <w:rsid w:val="006E7985"/>
    <w:rsid w:val="006F0904"/>
    <w:rsid w:val="006F3055"/>
    <w:rsid w:val="006F3AD9"/>
    <w:rsid w:val="006F4458"/>
    <w:rsid w:val="006F54EF"/>
    <w:rsid w:val="006F6CA4"/>
    <w:rsid w:val="006F70B3"/>
    <w:rsid w:val="006F772A"/>
    <w:rsid w:val="00700A2D"/>
    <w:rsid w:val="00701333"/>
    <w:rsid w:val="0070402F"/>
    <w:rsid w:val="007043B2"/>
    <w:rsid w:val="00704475"/>
    <w:rsid w:val="00705FDE"/>
    <w:rsid w:val="0070755C"/>
    <w:rsid w:val="00707C26"/>
    <w:rsid w:val="00711272"/>
    <w:rsid w:val="00712B96"/>
    <w:rsid w:val="00713C61"/>
    <w:rsid w:val="007162E3"/>
    <w:rsid w:val="00721EBC"/>
    <w:rsid w:val="00722944"/>
    <w:rsid w:val="007230A6"/>
    <w:rsid w:val="007234F6"/>
    <w:rsid w:val="007246E0"/>
    <w:rsid w:val="00725AF4"/>
    <w:rsid w:val="00733AB1"/>
    <w:rsid w:val="007348F3"/>
    <w:rsid w:val="007354B6"/>
    <w:rsid w:val="0073621E"/>
    <w:rsid w:val="00736C12"/>
    <w:rsid w:val="00736F60"/>
    <w:rsid w:val="00736FBD"/>
    <w:rsid w:val="00740503"/>
    <w:rsid w:val="0074151D"/>
    <w:rsid w:val="00741ABA"/>
    <w:rsid w:val="007427CC"/>
    <w:rsid w:val="00744608"/>
    <w:rsid w:val="00744CB9"/>
    <w:rsid w:val="0074523E"/>
    <w:rsid w:val="00745854"/>
    <w:rsid w:val="00745D4A"/>
    <w:rsid w:val="00751271"/>
    <w:rsid w:val="00751877"/>
    <w:rsid w:val="0075537D"/>
    <w:rsid w:val="00755410"/>
    <w:rsid w:val="00755AD4"/>
    <w:rsid w:val="00755CFD"/>
    <w:rsid w:val="00757027"/>
    <w:rsid w:val="00760DF1"/>
    <w:rsid w:val="00761DC6"/>
    <w:rsid w:val="00762933"/>
    <w:rsid w:val="007641AD"/>
    <w:rsid w:val="00765A77"/>
    <w:rsid w:val="00766022"/>
    <w:rsid w:val="007674F2"/>
    <w:rsid w:val="007715F5"/>
    <w:rsid w:val="007721A4"/>
    <w:rsid w:val="0077312C"/>
    <w:rsid w:val="007748CF"/>
    <w:rsid w:val="007767EB"/>
    <w:rsid w:val="00776ADF"/>
    <w:rsid w:val="00777655"/>
    <w:rsid w:val="00777EE1"/>
    <w:rsid w:val="00780716"/>
    <w:rsid w:val="007808EE"/>
    <w:rsid w:val="007813DB"/>
    <w:rsid w:val="007818D5"/>
    <w:rsid w:val="00781E44"/>
    <w:rsid w:val="00782C83"/>
    <w:rsid w:val="007844F2"/>
    <w:rsid w:val="00784682"/>
    <w:rsid w:val="0078543B"/>
    <w:rsid w:val="007856AC"/>
    <w:rsid w:val="00785F91"/>
    <w:rsid w:val="007869E3"/>
    <w:rsid w:val="00790DFF"/>
    <w:rsid w:val="007917BA"/>
    <w:rsid w:val="00791D94"/>
    <w:rsid w:val="0079214D"/>
    <w:rsid w:val="00792551"/>
    <w:rsid w:val="007934D1"/>
    <w:rsid w:val="007939F1"/>
    <w:rsid w:val="00795CE5"/>
    <w:rsid w:val="0079601A"/>
    <w:rsid w:val="00796737"/>
    <w:rsid w:val="007A0FF0"/>
    <w:rsid w:val="007A10FA"/>
    <w:rsid w:val="007A132B"/>
    <w:rsid w:val="007A13A6"/>
    <w:rsid w:val="007A1A5A"/>
    <w:rsid w:val="007A1A84"/>
    <w:rsid w:val="007A313A"/>
    <w:rsid w:val="007A3D00"/>
    <w:rsid w:val="007A42FC"/>
    <w:rsid w:val="007A4879"/>
    <w:rsid w:val="007A5404"/>
    <w:rsid w:val="007A60F0"/>
    <w:rsid w:val="007A696B"/>
    <w:rsid w:val="007B0361"/>
    <w:rsid w:val="007B4239"/>
    <w:rsid w:val="007B5468"/>
    <w:rsid w:val="007B5E64"/>
    <w:rsid w:val="007B5EF7"/>
    <w:rsid w:val="007C0FA1"/>
    <w:rsid w:val="007C1313"/>
    <w:rsid w:val="007C30D9"/>
    <w:rsid w:val="007C3857"/>
    <w:rsid w:val="007C395F"/>
    <w:rsid w:val="007C3E5F"/>
    <w:rsid w:val="007C45FF"/>
    <w:rsid w:val="007C4701"/>
    <w:rsid w:val="007C57CD"/>
    <w:rsid w:val="007C59AA"/>
    <w:rsid w:val="007C61F5"/>
    <w:rsid w:val="007C6C47"/>
    <w:rsid w:val="007C7579"/>
    <w:rsid w:val="007C79BF"/>
    <w:rsid w:val="007D0331"/>
    <w:rsid w:val="007D128D"/>
    <w:rsid w:val="007D1FD1"/>
    <w:rsid w:val="007D20A9"/>
    <w:rsid w:val="007D2359"/>
    <w:rsid w:val="007D3007"/>
    <w:rsid w:val="007D3C75"/>
    <w:rsid w:val="007D46D3"/>
    <w:rsid w:val="007D4909"/>
    <w:rsid w:val="007D4AA3"/>
    <w:rsid w:val="007D5709"/>
    <w:rsid w:val="007E1B2F"/>
    <w:rsid w:val="007E2540"/>
    <w:rsid w:val="007E3465"/>
    <w:rsid w:val="007E4171"/>
    <w:rsid w:val="007E45E0"/>
    <w:rsid w:val="007E5CBB"/>
    <w:rsid w:val="007E6433"/>
    <w:rsid w:val="007E6676"/>
    <w:rsid w:val="007F099C"/>
    <w:rsid w:val="007F31F6"/>
    <w:rsid w:val="007F650C"/>
    <w:rsid w:val="007F786B"/>
    <w:rsid w:val="007F7B6B"/>
    <w:rsid w:val="007F7DE1"/>
    <w:rsid w:val="00800A01"/>
    <w:rsid w:val="00802772"/>
    <w:rsid w:val="008032ED"/>
    <w:rsid w:val="00803391"/>
    <w:rsid w:val="008033A4"/>
    <w:rsid w:val="008042AC"/>
    <w:rsid w:val="008042E0"/>
    <w:rsid w:val="008049C0"/>
    <w:rsid w:val="00804CD4"/>
    <w:rsid w:val="00805EC4"/>
    <w:rsid w:val="00806B92"/>
    <w:rsid w:val="00807647"/>
    <w:rsid w:val="00807A89"/>
    <w:rsid w:val="00810B5C"/>
    <w:rsid w:val="00811EC8"/>
    <w:rsid w:val="008129C6"/>
    <w:rsid w:val="00816EB3"/>
    <w:rsid w:val="0081709E"/>
    <w:rsid w:val="00817E8D"/>
    <w:rsid w:val="00820174"/>
    <w:rsid w:val="00821634"/>
    <w:rsid w:val="00821769"/>
    <w:rsid w:val="008219D2"/>
    <w:rsid w:val="0082295E"/>
    <w:rsid w:val="0082404F"/>
    <w:rsid w:val="0082427E"/>
    <w:rsid w:val="00830185"/>
    <w:rsid w:val="008323D1"/>
    <w:rsid w:val="00833731"/>
    <w:rsid w:val="0083399E"/>
    <w:rsid w:val="008344F5"/>
    <w:rsid w:val="008358EF"/>
    <w:rsid w:val="00843308"/>
    <w:rsid w:val="008447D6"/>
    <w:rsid w:val="00844DCD"/>
    <w:rsid w:val="008452C8"/>
    <w:rsid w:val="008454A2"/>
    <w:rsid w:val="00846057"/>
    <w:rsid w:val="00846FB0"/>
    <w:rsid w:val="00850C6D"/>
    <w:rsid w:val="008512DE"/>
    <w:rsid w:val="00852EAD"/>
    <w:rsid w:val="00853AE9"/>
    <w:rsid w:val="00854186"/>
    <w:rsid w:val="00854281"/>
    <w:rsid w:val="00854689"/>
    <w:rsid w:val="00855BC2"/>
    <w:rsid w:val="00856801"/>
    <w:rsid w:val="008573F4"/>
    <w:rsid w:val="00857C7D"/>
    <w:rsid w:val="00861628"/>
    <w:rsid w:val="008621D3"/>
    <w:rsid w:val="00863AC5"/>
    <w:rsid w:val="00864ACA"/>
    <w:rsid w:val="00865E19"/>
    <w:rsid w:val="00867118"/>
    <w:rsid w:val="0086753C"/>
    <w:rsid w:val="0087124E"/>
    <w:rsid w:val="00871404"/>
    <w:rsid w:val="0087247F"/>
    <w:rsid w:val="0087352C"/>
    <w:rsid w:val="008753EF"/>
    <w:rsid w:val="00876978"/>
    <w:rsid w:val="00876A99"/>
    <w:rsid w:val="008825FC"/>
    <w:rsid w:val="0088270B"/>
    <w:rsid w:val="0088502D"/>
    <w:rsid w:val="008903D5"/>
    <w:rsid w:val="00890A89"/>
    <w:rsid w:val="008913C9"/>
    <w:rsid w:val="00892257"/>
    <w:rsid w:val="008947D6"/>
    <w:rsid w:val="008970AC"/>
    <w:rsid w:val="008974D7"/>
    <w:rsid w:val="008A07E4"/>
    <w:rsid w:val="008A0F2C"/>
    <w:rsid w:val="008A1BBD"/>
    <w:rsid w:val="008A4609"/>
    <w:rsid w:val="008A49A5"/>
    <w:rsid w:val="008A5386"/>
    <w:rsid w:val="008A5BA5"/>
    <w:rsid w:val="008A5DFF"/>
    <w:rsid w:val="008A5F2B"/>
    <w:rsid w:val="008B2B0D"/>
    <w:rsid w:val="008B39A4"/>
    <w:rsid w:val="008B483D"/>
    <w:rsid w:val="008B4F90"/>
    <w:rsid w:val="008B5946"/>
    <w:rsid w:val="008B71BC"/>
    <w:rsid w:val="008C01E9"/>
    <w:rsid w:val="008C1043"/>
    <w:rsid w:val="008C12AD"/>
    <w:rsid w:val="008C25FF"/>
    <w:rsid w:val="008C2880"/>
    <w:rsid w:val="008C41A9"/>
    <w:rsid w:val="008C4E49"/>
    <w:rsid w:val="008C4F6B"/>
    <w:rsid w:val="008C50E2"/>
    <w:rsid w:val="008C60EB"/>
    <w:rsid w:val="008C6954"/>
    <w:rsid w:val="008C7F66"/>
    <w:rsid w:val="008D2198"/>
    <w:rsid w:val="008D219D"/>
    <w:rsid w:val="008D3697"/>
    <w:rsid w:val="008D36EF"/>
    <w:rsid w:val="008D3EAC"/>
    <w:rsid w:val="008D4578"/>
    <w:rsid w:val="008D5328"/>
    <w:rsid w:val="008D78C2"/>
    <w:rsid w:val="008E07A7"/>
    <w:rsid w:val="008E2EA3"/>
    <w:rsid w:val="008E49CC"/>
    <w:rsid w:val="008E6A5C"/>
    <w:rsid w:val="008F2234"/>
    <w:rsid w:val="008F279C"/>
    <w:rsid w:val="008F782A"/>
    <w:rsid w:val="008F788B"/>
    <w:rsid w:val="008F7BC4"/>
    <w:rsid w:val="009000B7"/>
    <w:rsid w:val="0090055A"/>
    <w:rsid w:val="00900764"/>
    <w:rsid w:val="009015AF"/>
    <w:rsid w:val="009019CA"/>
    <w:rsid w:val="00905677"/>
    <w:rsid w:val="00905698"/>
    <w:rsid w:val="0090578E"/>
    <w:rsid w:val="00905979"/>
    <w:rsid w:val="0091010E"/>
    <w:rsid w:val="009107D0"/>
    <w:rsid w:val="0091125D"/>
    <w:rsid w:val="00911840"/>
    <w:rsid w:val="00912297"/>
    <w:rsid w:val="00912B6D"/>
    <w:rsid w:val="00912D85"/>
    <w:rsid w:val="00915275"/>
    <w:rsid w:val="00916084"/>
    <w:rsid w:val="00917FF9"/>
    <w:rsid w:val="009234E0"/>
    <w:rsid w:val="0092411E"/>
    <w:rsid w:val="00924B4E"/>
    <w:rsid w:val="0092548B"/>
    <w:rsid w:val="009268B1"/>
    <w:rsid w:val="009270AC"/>
    <w:rsid w:val="0093022C"/>
    <w:rsid w:val="00931011"/>
    <w:rsid w:val="0093102A"/>
    <w:rsid w:val="0093126C"/>
    <w:rsid w:val="00931842"/>
    <w:rsid w:val="0093545C"/>
    <w:rsid w:val="00940C3F"/>
    <w:rsid w:val="009436E5"/>
    <w:rsid w:val="00945D30"/>
    <w:rsid w:val="00947F5A"/>
    <w:rsid w:val="00950903"/>
    <w:rsid w:val="00950DE4"/>
    <w:rsid w:val="00951E52"/>
    <w:rsid w:val="00952051"/>
    <w:rsid w:val="00952CA7"/>
    <w:rsid w:val="009534A5"/>
    <w:rsid w:val="009542DE"/>
    <w:rsid w:val="009546BF"/>
    <w:rsid w:val="009550E1"/>
    <w:rsid w:val="0095517B"/>
    <w:rsid w:val="009555B9"/>
    <w:rsid w:val="00955ADE"/>
    <w:rsid w:val="00955F50"/>
    <w:rsid w:val="00956329"/>
    <w:rsid w:val="00956861"/>
    <w:rsid w:val="00956A7F"/>
    <w:rsid w:val="00957CF9"/>
    <w:rsid w:val="00960227"/>
    <w:rsid w:val="00962C47"/>
    <w:rsid w:val="009630ED"/>
    <w:rsid w:val="00963167"/>
    <w:rsid w:val="00967504"/>
    <w:rsid w:val="009675C2"/>
    <w:rsid w:val="009679E2"/>
    <w:rsid w:val="00970704"/>
    <w:rsid w:val="009717E7"/>
    <w:rsid w:val="00973685"/>
    <w:rsid w:val="00973E6B"/>
    <w:rsid w:val="00975A28"/>
    <w:rsid w:val="00976147"/>
    <w:rsid w:val="009769AE"/>
    <w:rsid w:val="00976E6C"/>
    <w:rsid w:val="0098615E"/>
    <w:rsid w:val="00986786"/>
    <w:rsid w:val="00986A58"/>
    <w:rsid w:val="00990552"/>
    <w:rsid w:val="009936E6"/>
    <w:rsid w:val="00994302"/>
    <w:rsid w:val="00996446"/>
    <w:rsid w:val="009A045A"/>
    <w:rsid w:val="009A748F"/>
    <w:rsid w:val="009B1679"/>
    <w:rsid w:val="009B250C"/>
    <w:rsid w:val="009B3D62"/>
    <w:rsid w:val="009B4415"/>
    <w:rsid w:val="009C0309"/>
    <w:rsid w:val="009C0772"/>
    <w:rsid w:val="009C0CCC"/>
    <w:rsid w:val="009C1264"/>
    <w:rsid w:val="009C1D06"/>
    <w:rsid w:val="009C224C"/>
    <w:rsid w:val="009C229D"/>
    <w:rsid w:val="009C510F"/>
    <w:rsid w:val="009C635A"/>
    <w:rsid w:val="009D3E2F"/>
    <w:rsid w:val="009D443C"/>
    <w:rsid w:val="009D4F1D"/>
    <w:rsid w:val="009D62BF"/>
    <w:rsid w:val="009D63E9"/>
    <w:rsid w:val="009D681A"/>
    <w:rsid w:val="009D7DEA"/>
    <w:rsid w:val="009E122F"/>
    <w:rsid w:val="009E5A9F"/>
    <w:rsid w:val="009E5CF0"/>
    <w:rsid w:val="009E6235"/>
    <w:rsid w:val="009E7678"/>
    <w:rsid w:val="009F0925"/>
    <w:rsid w:val="009F0D4A"/>
    <w:rsid w:val="009F21DB"/>
    <w:rsid w:val="009F3164"/>
    <w:rsid w:val="009F4ABA"/>
    <w:rsid w:val="009F50EC"/>
    <w:rsid w:val="009F52B9"/>
    <w:rsid w:val="009F63D6"/>
    <w:rsid w:val="009F69C9"/>
    <w:rsid w:val="009F6AFF"/>
    <w:rsid w:val="009F7592"/>
    <w:rsid w:val="00A0005E"/>
    <w:rsid w:val="00A023A8"/>
    <w:rsid w:val="00A02C26"/>
    <w:rsid w:val="00A03017"/>
    <w:rsid w:val="00A03DB8"/>
    <w:rsid w:val="00A06135"/>
    <w:rsid w:val="00A0639C"/>
    <w:rsid w:val="00A06E22"/>
    <w:rsid w:val="00A0740C"/>
    <w:rsid w:val="00A07F98"/>
    <w:rsid w:val="00A10BE1"/>
    <w:rsid w:val="00A14098"/>
    <w:rsid w:val="00A155AD"/>
    <w:rsid w:val="00A158FF"/>
    <w:rsid w:val="00A15F24"/>
    <w:rsid w:val="00A16E21"/>
    <w:rsid w:val="00A175EE"/>
    <w:rsid w:val="00A1769C"/>
    <w:rsid w:val="00A179DB"/>
    <w:rsid w:val="00A205D8"/>
    <w:rsid w:val="00A220C3"/>
    <w:rsid w:val="00A23804"/>
    <w:rsid w:val="00A266AF"/>
    <w:rsid w:val="00A27041"/>
    <w:rsid w:val="00A2707C"/>
    <w:rsid w:val="00A27C9E"/>
    <w:rsid w:val="00A30003"/>
    <w:rsid w:val="00A308CE"/>
    <w:rsid w:val="00A30CF4"/>
    <w:rsid w:val="00A32B4E"/>
    <w:rsid w:val="00A33FA4"/>
    <w:rsid w:val="00A34383"/>
    <w:rsid w:val="00A34FDB"/>
    <w:rsid w:val="00A36777"/>
    <w:rsid w:val="00A36C17"/>
    <w:rsid w:val="00A4067D"/>
    <w:rsid w:val="00A426E5"/>
    <w:rsid w:val="00A428FA"/>
    <w:rsid w:val="00A4339E"/>
    <w:rsid w:val="00A43656"/>
    <w:rsid w:val="00A448FA"/>
    <w:rsid w:val="00A45C59"/>
    <w:rsid w:val="00A46F2E"/>
    <w:rsid w:val="00A4707B"/>
    <w:rsid w:val="00A47EFE"/>
    <w:rsid w:val="00A50C15"/>
    <w:rsid w:val="00A50FCA"/>
    <w:rsid w:val="00A51345"/>
    <w:rsid w:val="00A51DFE"/>
    <w:rsid w:val="00A52FE9"/>
    <w:rsid w:val="00A55BCF"/>
    <w:rsid w:val="00A55EBD"/>
    <w:rsid w:val="00A561E5"/>
    <w:rsid w:val="00A567FB"/>
    <w:rsid w:val="00A56E67"/>
    <w:rsid w:val="00A57AB1"/>
    <w:rsid w:val="00A60CE1"/>
    <w:rsid w:val="00A60EE0"/>
    <w:rsid w:val="00A61AA4"/>
    <w:rsid w:val="00A62095"/>
    <w:rsid w:val="00A62384"/>
    <w:rsid w:val="00A64496"/>
    <w:rsid w:val="00A6489F"/>
    <w:rsid w:val="00A64A87"/>
    <w:rsid w:val="00A70185"/>
    <w:rsid w:val="00A70FD2"/>
    <w:rsid w:val="00A72B64"/>
    <w:rsid w:val="00A737AB"/>
    <w:rsid w:val="00A73B6E"/>
    <w:rsid w:val="00A753FE"/>
    <w:rsid w:val="00A8057A"/>
    <w:rsid w:val="00A81B2C"/>
    <w:rsid w:val="00A82F63"/>
    <w:rsid w:val="00A8361B"/>
    <w:rsid w:val="00A84FFA"/>
    <w:rsid w:val="00A85940"/>
    <w:rsid w:val="00A86F65"/>
    <w:rsid w:val="00A90113"/>
    <w:rsid w:val="00A906B0"/>
    <w:rsid w:val="00A90EC3"/>
    <w:rsid w:val="00A9136D"/>
    <w:rsid w:val="00A9156D"/>
    <w:rsid w:val="00A91ACD"/>
    <w:rsid w:val="00A91BF8"/>
    <w:rsid w:val="00A929B1"/>
    <w:rsid w:val="00A93CBE"/>
    <w:rsid w:val="00A9573F"/>
    <w:rsid w:val="00A95CBE"/>
    <w:rsid w:val="00A960CB"/>
    <w:rsid w:val="00A972C0"/>
    <w:rsid w:val="00A97FCF"/>
    <w:rsid w:val="00AA0004"/>
    <w:rsid w:val="00AA0988"/>
    <w:rsid w:val="00AA43A8"/>
    <w:rsid w:val="00AA6B1B"/>
    <w:rsid w:val="00AB089A"/>
    <w:rsid w:val="00AB30D1"/>
    <w:rsid w:val="00AB3238"/>
    <w:rsid w:val="00AB4A72"/>
    <w:rsid w:val="00AB503A"/>
    <w:rsid w:val="00AB6738"/>
    <w:rsid w:val="00AB6E4B"/>
    <w:rsid w:val="00AC0D1B"/>
    <w:rsid w:val="00AC0E3D"/>
    <w:rsid w:val="00AC13DA"/>
    <w:rsid w:val="00AC25A8"/>
    <w:rsid w:val="00AC40EB"/>
    <w:rsid w:val="00AC540F"/>
    <w:rsid w:val="00AC6121"/>
    <w:rsid w:val="00AC6553"/>
    <w:rsid w:val="00AD03C9"/>
    <w:rsid w:val="00AD149E"/>
    <w:rsid w:val="00AD1630"/>
    <w:rsid w:val="00AD225D"/>
    <w:rsid w:val="00AD284F"/>
    <w:rsid w:val="00AD55D3"/>
    <w:rsid w:val="00AD61E1"/>
    <w:rsid w:val="00AE0B1A"/>
    <w:rsid w:val="00AE0E48"/>
    <w:rsid w:val="00AE1DDB"/>
    <w:rsid w:val="00AE2847"/>
    <w:rsid w:val="00AE414E"/>
    <w:rsid w:val="00AE557E"/>
    <w:rsid w:val="00AE62E1"/>
    <w:rsid w:val="00AF1AF6"/>
    <w:rsid w:val="00AF1BE4"/>
    <w:rsid w:val="00AF1D85"/>
    <w:rsid w:val="00AF1EA1"/>
    <w:rsid w:val="00AF1FD8"/>
    <w:rsid w:val="00AF24D9"/>
    <w:rsid w:val="00AF257A"/>
    <w:rsid w:val="00AF2CB4"/>
    <w:rsid w:val="00AF57EC"/>
    <w:rsid w:val="00AF5961"/>
    <w:rsid w:val="00AF66BA"/>
    <w:rsid w:val="00B02C13"/>
    <w:rsid w:val="00B0411F"/>
    <w:rsid w:val="00B05046"/>
    <w:rsid w:val="00B0537D"/>
    <w:rsid w:val="00B05595"/>
    <w:rsid w:val="00B10B40"/>
    <w:rsid w:val="00B1628F"/>
    <w:rsid w:val="00B173F5"/>
    <w:rsid w:val="00B21BAC"/>
    <w:rsid w:val="00B22420"/>
    <w:rsid w:val="00B237D4"/>
    <w:rsid w:val="00B23A99"/>
    <w:rsid w:val="00B248F5"/>
    <w:rsid w:val="00B273EB"/>
    <w:rsid w:val="00B30BF0"/>
    <w:rsid w:val="00B33D33"/>
    <w:rsid w:val="00B350CC"/>
    <w:rsid w:val="00B365ED"/>
    <w:rsid w:val="00B404BC"/>
    <w:rsid w:val="00B42DBB"/>
    <w:rsid w:val="00B43640"/>
    <w:rsid w:val="00B438E1"/>
    <w:rsid w:val="00B4453C"/>
    <w:rsid w:val="00B44F0B"/>
    <w:rsid w:val="00B4672E"/>
    <w:rsid w:val="00B5010A"/>
    <w:rsid w:val="00B50240"/>
    <w:rsid w:val="00B51983"/>
    <w:rsid w:val="00B5222F"/>
    <w:rsid w:val="00B524D6"/>
    <w:rsid w:val="00B52EC2"/>
    <w:rsid w:val="00B53C94"/>
    <w:rsid w:val="00B54779"/>
    <w:rsid w:val="00B556F9"/>
    <w:rsid w:val="00B57255"/>
    <w:rsid w:val="00B579CD"/>
    <w:rsid w:val="00B604DE"/>
    <w:rsid w:val="00B60915"/>
    <w:rsid w:val="00B61E36"/>
    <w:rsid w:val="00B61F87"/>
    <w:rsid w:val="00B628F2"/>
    <w:rsid w:val="00B63609"/>
    <w:rsid w:val="00B64313"/>
    <w:rsid w:val="00B650F2"/>
    <w:rsid w:val="00B66A21"/>
    <w:rsid w:val="00B7136E"/>
    <w:rsid w:val="00B71A9B"/>
    <w:rsid w:val="00B72D12"/>
    <w:rsid w:val="00B73DF4"/>
    <w:rsid w:val="00B75418"/>
    <w:rsid w:val="00B76390"/>
    <w:rsid w:val="00B76CC5"/>
    <w:rsid w:val="00B76FA4"/>
    <w:rsid w:val="00B779C3"/>
    <w:rsid w:val="00B817B1"/>
    <w:rsid w:val="00B826AA"/>
    <w:rsid w:val="00B83651"/>
    <w:rsid w:val="00B83777"/>
    <w:rsid w:val="00B854A8"/>
    <w:rsid w:val="00B863F0"/>
    <w:rsid w:val="00B87442"/>
    <w:rsid w:val="00B9509E"/>
    <w:rsid w:val="00B95392"/>
    <w:rsid w:val="00B962FA"/>
    <w:rsid w:val="00B97A64"/>
    <w:rsid w:val="00BA0C2F"/>
    <w:rsid w:val="00BA13DE"/>
    <w:rsid w:val="00BA2F8B"/>
    <w:rsid w:val="00BA451E"/>
    <w:rsid w:val="00BA53C2"/>
    <w:rsid w:val="00BA7DB2"/>
    <w:rsid w:val="00BA7E35"/>
    <w:rsid w:val="00BA7F67"/>
    <w:rsid w:val="00BB17DC"/>
    <w:rsid w:val="00BB18B3"/>
    <w:rsid w:val="00BB577E"/>
    <w:rsid w:val="00BB7822"/>
    <w:rsid w:val="00BB7F9A"/>
    <w:rsid w:val="00BC1F75"/>
    <w:rsid w:val="00BC3F85"/>
    <w:rsid w:val="00BC449A"/>
    <w:rsid w:val="00BC45E0"/>
    <w:rsid w:val="00BC4FDF"/>
    <w:rsid w:val="00BC5D4B"/>
    <w:rsid w:val="00BC6164"/>
    <w:rsid w:val="00BC652C"/>
    <w:rsid w:val="00BC6B18"/>
    <w:rsid w:val="00BC7802"/>
    <w:rsid w:val="00BC7C31"/>
    <w:rsid w:val="00BD2043"/>
    <w:rsid w:val="00BD23CC"/>
    <w:rsid w:val="00BD3AAE"/>
    <w:rsid w:val="00BD7930"/>
    <w:rsid w:val="00BE0758"/>
    <w:rsid w:val="00BE0941"/>
    <w:rsid w:val="00BE1901"/>
    <w:rsid w:val="00BE3E35"/>
    <w:rsid w:val="00BE467B"/>
    <w:rsid w:val="00BE5C4B"/>
    <w:rsid w:val="00BE6B7A"/>
    <w:rsid w:val="00BE7BDF"/>
    <w:rsid w:val="00BE7D3B"/>
    <w:rsid w:val="00BF0B0C"/>
    <w:rsid w:val="00BF1846"/>
    <w:rsid w:val="00BF370D"/>
    <w:rsid w:val="00BF3DAA"/>
    <w:rsid w:val="00BF43D5"/>
    <w:rsid w:val="00BF476C"/>
    <w:rsid w:val="00BF591E"/>
    <w:rsid w:val="00BF65B0"/>
    <w:rsid w:val="00BF6C79"/>
    <w:rsid w:val="00C00BC4"/>
    <w:rsid w:val="00C019D7"/>
    <w:rsid w:val="00C03E07"/>
    <w:rsid w:val="00C04138"/>
    <w:rsid w:val="00C045D3"/>
    <w:rsid w:val="00C05138"/>
    <w:rsid w:val="00C07053"/>
    <w:rsid w:val="00C10044"/>
    <w:rsid w:val="00C104BB"/>
    <w:rsid w:val="00C119E9"/>
    <w:rsid w:val="00C12C21"/>
    <w:rsid w:val="00C14757"/>
    <w:rsid w:val="00C14A3F"/>
    <w:rsid w:val="00C1716A"/>
    <w:rsid w:val="00C17381"/>
    <w:rsid w:val="00C175AE"/>
    <w:rsid w:val="00C2157D"/>
    <w:rsid w:val="00C232A1"/>
    <w:rsid w:val="00C232D2"/>
    <w:rsid w:val="00C237F8"/>
    <w:rsid w:val="00C272E9"/>
    <w:rsid w:val="00C30017"/>
    <w:rsid w:val="00C30E1D"/>
    <w:rsid w:val="00C31261"/>
    <w:rsid w:val="00C31A60"/>
    <w:rsid w:val="00C32432"/>
    <w:rsid w:val="00C32E64"/>
    <w:rsid w:val="00C350ED"/>
    <w:rsid w:val="00C3527D"/>
    <w:rsid w:val="00C352A4"/>
    <w:rsid w:val="00C35671"/>
    <w:rsid w:val="00C37017"/>
    <w:rsid w:val="00C41332"/>
    <w:rsid w:val="00C4149F"/>
    <w:rsid w:val="00C41E81"/>
    <w:rsid w:val="00C455E7"/>
    <w:rsid w:val="00C457BB"/>
    <w:rsid w:val="00C461D7"/>
    <w:rsid w:val="00C50D57"/>
    <w:rsid w:val="00C50E59"/>
    <w:rsid w:val="00C51535"/>
    <w:rsid w:val="00C51564"/>
    <w:rsid w:val="00C51D3A"/>
    <w:rsid w:val="00C52912"/>
    <w:rsid w:val="00C56664"/>
    <w:rsid w:val="00C566BF"/>
    <w:rsid w:val="00C567BF"/>
    <w:rsid w:val="00C57D55"/>
    <w:rsid w:val="00C607FB"/>
    <w:rsid w:val="00C60B5F"/>
    <w:rsid w:val="00C62A0C"/>
    <w:rsid w:val="00C638A8"/>
    <w:rsid w:val="00C649AE"/>
    <w:rsid w:val="00C671D7"/>
    <w:rsid w:val="00C67B32"/>
    <w:rsid w:val="00C70F81"/>
    <w:rsid w:val="00C7176F"/>
    <w:rsid w:val="00C717D1"/>
    <w:rsid w:val="00C71E10"/>
    <w:rsid w:val="00C721D3"/>
    <w:rsid w:val="00C7430C"/>
    <w:rsid w:val="00C77A12"/>
    <w:rsid w:val="00C800A2"/>
    <w:rsid w:val="00C816C5"/>
    <w:rsid w:val="00C81803"/>
    <w:rsid w:val="00C81DD9"/>
    <w:rsid w:val="00C83EC7"/>
    <w:rsid w:val="00C879EE"/>
    <w:rsid w:val="00C923FE"/>
    <w:rsid w:val="00C92770"/>
    <w:rsid w:val="00C93220"/>
    <w:rsid w:val="00C95E17"/>
    <w:rsid w:val="00C9681E"/>
    <w:rsid w:val="00C96E86"/>
    <w:rsid w:val="00C9784A"/>
    <w:rsid w:val="00CA1002"/>
    <w:rsid w:val="00CA1689"/>
    <w:rsid w:val="00CA3085"/>
    <w:rsid w:val="00CA3550"/>
    <w:rsid w:val="00CA3885"/>
    <w:rsid w:val="00CA4C25"/>
    <w:rsid w:val="00CA5090"/>
    <w:rsid w:val="00CA7367"/>
    <w:rsid w:val="00CB0648"/>
    <w:rsid w:val="00CB10C3"/>
    <w:rsid w:val="00CB2C6F"/>
    <w:rsid w:val="00CB7045"/>
    <w:rsid w:val="00CB7779"/>
    <w:rsid w:val="00CC61B3"/>
    <w:rsid w:val="00CC623C"/>
    <w:rsid w:val="00CC6BA5"/>
    <w:rsid w:val="00CC71A6"/>
    <w:rsid w:val="00CC7BA2"/>
    <w:rsid w:val="00CD3EF9"/>
    <w:rsid w:val="00CD50F2"/>
    <w:rsid w:val="00CD5F37"/>
    <w:rsid w:val="00CD7734"/>
    <w:rsid w:val="00CD7EBA"/>
    <w:rsid w:val="00CE0EB9"/>
    <w:rsid w:val="00CE2195"/>
    <w:rsid w:val="00CE24DE"/>
    <w:rsid w:val="00CE2E9F"/>
    <w:rsid w:val="00CE3BDE"/>
    <w:rsid w:val="00CE4AE8"/>
    <w:rsid w:val="00CE4D1E"/>
    <w:rsid w:val="00CE60E9"/>
    <w:rsid w:val="00CE64C6"/>
    <w:rsid w:val="00CE665C"/>
    <w:rsid w:val="00CE7532"/>
    <w:rsid w:val="00CF0D45"/>
    <w:rsid w:val="00CF1B30"/>
    <w:rsid w:val="00CF1F83"/>
    <w:rsid w:val="00CF2493"/>
    <w:rsid w:val="00CF270B"/>
    <w:rsid w:val="00CF311D"/>
    <w:rsid w:val="00CF31C5"/>
    <w:rsid w:val="00CF35A7"/>
    <w:rsid w:val="00CF6BBA"/>
    <w:rsid w:val="00CF7316"/>
    <w:rsid w:val="00D014AE"/>
    <w:rsid w:val="00D03F56"/>
    <w:rsid w:val="00D06802"/>
    <w:rsid w:val="00D10B13"/>
    <w:rsid w:val="00D118F4"/>
    <w:rsid w:val="00D12DC9"/>
    <w:rsid w:val="00D132A6"/>
    <w:rsid w:val="00D137E1"/>
    <w:rsid w:val="00D13EDB"/>
    <w:rsid w:val="00D148A2"/>
    <w:rsid w:val="00D14D00"/>
    <w:rsid w:val="00D14F44"/>
    <w:rsid w:val="00D16AD1"/>
    <w:rsid w:val="00D17021"/>
    <w:rsid w:val="00D175FD"/>
    <w:rsid w:val="00D21EAA"/>
    <w:rsid w:val="00D23391"/>
    <w:rsid w:val="00D25C69"/>
    <w:rsid w:val="00D25F1B"/>
    <w:rsid w:val="00D261FF"/>
    <w:rsid w:val="00D30BB1"/>
    <w:rsid w:val="00D34020"/>
    <w:rsid w:val="00D36B01"/>
    <w:rsid w:val="00D44EFE"/>
    <w:rsid w:val="00D45CC9"/>
    <w:rsid w:val="00D52717"/>
    <w:rsid w:val="00D52795"/>
    <w:rsid w:val="00D52BCB"/>
    <w:rsid w:val="00D5370A"/>
    <w:rsid w:val="00D5470B"/>
    <w:rsid w:val="00D55047"/>
    <w:rsid w:val="00D55E70"/>
    <w:rsid w:val="00D5625D"/>
    <w:rsid w:val="00D57F1B"/>
    <w:rsid w:val="00D6115D"/>
    <w:rsid w:val="00D62520"/>
    <w:rsid w:val="00D64A7A"/>
    <w:rsid w:val="00D66CFB"/>
    <w:rsid w:val="00D673E3"/>
    <w:rsid w:val="00D67DD4"/>
    <w:rsid w:val="00D701F6"/>
    <w:rsid w:val="00D7086A"/>
    <w:rsid w:val="00D70B62"/>
    <w:rsid w:val="00D70ECC"/>
    <w:rsid w:val="00D7462E"/>
    <w:rsid w:val="00D7536B"/>
    <w:rsid w:val="00D756C6"/>
    <w:rsid w:val="00D756DF"/>
    <w:rsid w:val="00D75C70"/>
    <w:rsid w:val="00D77D57"/>
    <w:rsid w:val="00D8180F"/>
    <w:rsid w:val="00D828E4"/>
    <w:rsid w:val="00D84E53"/>
    <w:rsid w:val="00D85C45"/>
    <w:rsid w:val="00D879B2"/>
    <w:rsid w:val="00D87ADC"/>
    <w:rsid w:val="00D87FD6"/>
    <w:rsid w:val="00D90133"/>
    <w:rsid w:val="00D9106B"/>
    <w:rsid w:val="00D94988"/>
    <w:rsid w:val="00D968C3"/>
    <w:rsid w:val="00D97710"/>
    <w:rsid w:val="00DA05D2"/>
    <w:rsid w:val="00DA0968"/>
    <w:rsid w:val="00DA1E41"/>
    <w:rsid w:val="00DA2A76"/>
    <w:rsid w:val="00DA2CFE"/>
    <w:rsid w:val="00DA31CB"/>
    <w:rsid w:val="00DA3C5A"/>
    <w:rsid w:val="00DA3F9A"/>
    <w:rsid w:val="00DA78CD"/>
    <w:rsid w:val="00DB015F"/>
    <w:rsid w:val="00DB2688"/>
    <w:rsid w:val="00DB435B"/>
    <w:rsid w:val="00DB5048"/>
    <w:rsid w:val="00DB5918"/>
    <w:rsid w:val="00DB6763"/>
    <w:rsid w:val="00DB6DFE"/>
    <w:rsid w:val="00DB6F30"/>
    <w:rsid w:val="00DC0178"/>
    <w:rsid w:val="00DC0B60"/>
    <w:rsid w:val="00DC0FD1"/>
    <w:rsid w:val="00DC4C49"/>
    <w:rsid w:val="00DC5522"/>
    <w:rsid w:val="00DC705C"/>
    <w:rsid w:val="00DC7BDF"/>
    <w:rsid w:val="00DD0ACA"/>
    <w:rsid w:val="00DD0CB5"/>
    <w:rsid w:val="00DD11EE"/>
    <w:rsid w:val="00DD1429"/>
    <w:rsid w:val="00DD16D5"/>
    <w:rsid w:val="00DD1AC8"/>
    <w:rsid w:val="00DD2341"/>
    <w:rsid w:val="00DD3D34"/>
    <w:rsid w:val="00DD42B0"/>
    <w:rsid w:val="00DD72CA"/>
    <w:rsid w:val="00DD75F5"/>
    <w:rsid w:val="00DE1034"/>
    <w:rsid w:val="00DE4652"/>
    <w:rsid w:val="00DE4B36"/>
    <w:rsid w:val="00DE6B21"/>
    <w:rsid w:val="00DE722F"/>
    <w:rsid w:val="00DF0DD3"/>
    <w:rsid w:val="00DF2816"/>
    <w:rsid w:val="00DF2B3C"/>
    <w:rsid w:val="00DF3F44"/>
    <w:rsid w:val="00DF5623"/>
    <w:rsid w:val="00DF7950"/>
    <w:rsid w:val="00E0031D"/>
    <w:rsid w:val="00E00821"/>
    <w:rsid w:val="00E02936"/>
    <w:rsid w:val="00E03D06"/>
    <w:rsid w:val="00E04735"/>
    <w:rsid w:val="00E06406"/>
    <w:rsid w:val="00E07BCA"/>
    <w:rsid w:val="00E10BE8"/>
    <w:rsid w:val="00E11BB8"/>
    <w:rsid w:val="00E12BC8"/>
    <w:rsid w:val="00E12C20"/>
    <w:rsid w:val="00E12C4B"/>
    <w:rsid w:val="00E13527"/>
    <w:rsid w:val="00E2134F"/>
    <w:rsid w:val="00E225CD"/>
    <w:rsid w:val="00E236D6"/>
    <w:rsid w:val="00E24231"/>
    <w:rsid w:val="00E250D1"/>
    <w:rsid w:val="00E2666B"/>
    <w:rsid w:val="00E26F57"/>
    <w:rsid w:val="00E2747F"/>
    <w:rsid w:val="00E307F3"/>
    <w:rsid w:val="00E30AB8"/>
    <w:rsid w:val="00E32F90"/>
    <w:rsid w:val="00E33B39"/>
    <w:rsid w:val="00E3414F"/>
    <w:rsid w:val="00E3496B"/>
    <w:rsid w:val="00E36CAC"/>
    <w:rsid w:val="00E37C67"/>
    <w:rsid w:val="00E42766"/>
    <w:rsid w:val="00E4330C"/>
    <w:rsid w:val="00E446A9"/>
    <w:rsid w:val="00E45170"/>
    <w:rsid w:val="00E46F69"/>
    <w:rsid w:val="00E47043"/>
    <w:rsid w:val="00E52718"/>
    <w:rsid w:val="00E530CC"/>
    <w:rsid w:val="00E53E5C"/>
    <w:rsid w:val="00E5404C"/>
    <w:rsid w:val="00E542EF"/>
    <w:rsid w:val="00E56B8F"/>
    <w:rsid w:val="00E57859"/>
    <w:rsid w:val="00E60245"/>
    <w:rsid w:val="00E61164"/>
    <w:rsid w:val="00E626EC"/>
    <w:rsid w:val="00E6323D"/>
    <w:rsid w:val="00E63DC3"/>
    <w:rsid w:val="00E659C1"/>
    <w:rsid w:val="00E70787"/>
    <w:rsid w:val="00E70A9B"/>
    <w:rsid w:val="00E71B82"/>
    <w:rsid w:val="00E72384"/>
    <w:rsid w:val="00E73DDB"/>
    <w:rsid w:val="00E7480B"/>
    <w:rsid w:val="00E74820"/>
    <w:rsid w:val="00E75592"/>
    <w:rsid w:val="00E77438"/>
    <w:rsid w:val="00E80607"/>
    <w:rsid w:val="00E806E5"/>
    <w:rsid w:val="00E8164E"/>
    <w:rsid w:val="00E819A5"/>
    <w:rsid w:val="00E81A84"/>
    <w:rsid w:val="00E82AAA"/>
    <w:rsid w:val="00E82CA8"/>
    <w:rsid w:val="00E83BD9"/>
    <w:rsid w:val="00E83F11"/>
    <w:rsid w:val="00E84BDF"/>
    <w:rsid w:val="00E85543"/>
    <w:rsid w:val="00E86E1A"/>
    <w:rsid w:val="00E87814"/>
    <w:rsid w:val="00E90594"/>
    <w:rsid w:val="00E90C6C"/>
    <w:rsid w:val="00E91C25"/>
    <w:rsid w:val="00E9389E"/>
    <w:rsid w:val="00E94027"/>
    <w:rsid w:val="00E95376"/>
    <w:rsid w:val="00E9590B"/>
    <w:rsid w:val="00E95B0C"/>
    <w:rsid w:val="00E96355"/>
    <w:rsid w:val="00EA2525"/>
    <w:rsid w:val="00EA2BBD"/>
    <w:rsid w:val="00EA3894"/>
    <w:rsid w:val="00EB4456"/>
    <w:rsid w:val="00EB66A7"/>
    <w:rsid w:val="00EB6DAE"/>
    <w:rsid w:val="00EB78C5"/>
    <w:rsid w:val="00EC0767"/>
    <w:rsid w:val="00EC3700"/>
    <w:rsid w:val="00EC3A64"/>
    <w:rsid w:val="00EC41BA"/>
    <w:rsid w:val="00EC7A81"/>
    <w:rsid w:val="00ED1F7E"/>
    <w:rsid w:val="00ED69A8"/>
    <w:rsid w:val="00EE153D"/>
    <w:rsid w:val="00EE17F2"/>
    <w:rsid w:val="00EE2EB6"/>
    <w:rsid w:val="00EE3172"/>
    <w:rsid w:val="00EE38BC"/>
    <w:rsid w:val="00EE6C02"/>
    <w:rsid w:val="00EF184F"/>
    <w:rsid w:val="00EF3A0F"/>
    <w:rsid w:val="00EF47EB"/>
    <w:rsid w:val="00EF4869"/>
    <w:rsid w:val="00EF4D04"/>
    <w:rsid w:val="00EF4DE9"/>
    <w:rsid w:val="00F022DE"/>
    <w:rsid w:val="00F03215"/>
    <w:rsid w:val="00F05A89"/>
    <w:rsid w:val="00F05EB4"/>
    <w:rsid w:val="00F06568"/>
    <w:rsid w:val="00F07F97"/>
    <w:rsid w:val="00F10274"/>
    <w:rsid w:val="00F10310"/>
    <w:rsid w:val="00F103B8"/>
    <w:rsid w:val="00F11ED0"/>
    <w:rsid w:val="00F11F5B"/>
    <w:rsid w:val="00F14622"/>
    <w:rsid w:val="00F14948"/>
    <w:rsid w:val="00F15836"/>
    <w:rsid w:val="00F2031A"/>
    <w:rsid w:val="00F20857"/>
    <w:rsid w:val="00F241E5"/>
    <w:rsid w:val="00F2589F"/>
    <w:rsid w:val="00F26769"/>
    <w:rsid w:val="00F30482"/>
    <w:rsid w:val="00F308EE"/>
    <w:rsid w:val="00F319A1"/>
    <w:rsid w:val="00F32225"/>
    <w:rsid w:val="00F32E20"/>
    <w:rsid w:val="00F34107"/>
    <w:rsid w:val="00F36737"/>
    <w:rsid w:val="00F377D6"/>
    <w:rsid w:val="00F40151"/>
    <w:rsid w:val="00F40273"/>
    <w:rsid w:val="00F43736"/>
    <w:rsid w:val="00F44E8B"/>
    <w:rsid w:val="00F45D53"/>
    <w:rsid w:val="00F50298"/>
    <w:rsid w:val="00F50C27"/>
    <w:rsid w:val="00F5161C"/>
    <w:rsid w:val="00F51E81"/>
    <w:rsid w:val="00F52273"/>
    <w:rsid w:val="00F5308A"/>
    <w:rsid w:val="00F53D1C"/>
    <w:rsid w:val="00F53F85"/>
    <w:rsid w:val="00F55AED"/>
    <w:rsid w:val="00F60B65"/>
    <w:rsid w:val="00F64EC5"/>
    <w:rsid w:val="00F65889"/>
    <w:rsid w:val="00F663E4"/>
    <w:rsid w:val="00F70BDF"/>
    <w:rsid w:val="00F70E84"/>
    <w:rsid w:val="00F710A1"/>
    <w:rsid w:val="00F74D2E"/>
    <w:rsid w:val="00F77167"/>
    <w:rsid w:val="00F80F8A"/>
    <w:rsid w:val="00F832CE"/>
    <w:rsid w:val="00F83336"/>
    <w:rsid w:val="00F84D2F"/>
    <w:rsid w:val="00F84FF8"/>
    <w:rsid w:val="00F909AC"/>
    <w:rsid w:val="00F916DE"/>
    <w:rsid w:val="00F94F30"/>
    <w:rsid w:val="00F95117"/>
    <w:rsid w:val="00F95321"/>
    <w:rsid w:val="00F954C5"/>
    <w:rsid w:val="00F957AE"/>
    <w:rsid w:val="00F9590F"/>
    <w:rsid w:val="00F96949"/>
    <w:rsid w:val="00F97C84"/>
    <w:rsid w:val="00F97CFD"/>
    <w:rsid w:val="00FA10B3"/>
    <w:rsid w:val="00FA15AD"/>
    <w:rsid w:val="00FA1F0B"/>
    <w:rsid w:val="00FA26DD"/>
    <w:rsid w:val="00FA27C6"/>
    <w:rsid w:val="00FA39CB"/>
    <w:rsid w:val="00FA3FE3"/>
    <w:rsid w:val="00FA72A7"/>
    <w:rsid w:val="00FB0B7B"/>
    <w:rsid w:val="00FB1E9E"/>
    <w:rsid w:val="00FB2380"/>
    <w:rsid w:val="00FB272D"/>
    <w:rsid w:val="00FB34BE"/>
    <w:rsid w:val="00FB5889"/>
    <w:rsid w:val="00FB61D9"/>
    <w:rsid w:val="00FB7766"/>
    <w:rsid w:val="00FB7D1F"/>
    <w:rsid w:val="00FB7F72"/>
    <w:rsid w:val="00FC0C4A"/>
    <w:rsid w:val="00FC0D0A"/>
    <w:rsid w:val="00FC1419"/>
    <w:rsid w:val="00FC168B"/>
    <w:rsid w:val="00FC21D3"/>
    <w:rsid w:val="00FC2A89"/>
    <w:rsid w:val="00FC4981"/>
    <w:rsid w:val="00FC6079"/>
    <w:rsid w:val="00FC70E9"/>
    <w:rsid w:val="00FD1D9B"/>
    <w:rsid w:val="00FD2656"/>
    <w:rsid w:val="00FD267F"/>
    <w:rsid w:val="00FD2B12"/>
    <w:rsid w:val="00FD4090"/>
    <w:rsid w:val="00FD45BC"/>
    <w:rsid w:val="00FD4A1B"/>
    <w:rsid w:val="00FD4C1D"/>
    <w:rsid w:val="00FD5F20"/>
    <w:rsid w:val="00FD6AC6"/>
    <w:rsid w:val="00FD7D70"/>
    <w:rsid w:val="00FE03E4"/>
    <w:rsid w:val="00FE0A44"/>
    <w:rsid w:val="00FE21D6"/>
    <w:rsid w:val="00FE27B7"/>
    <w:rsid w:val="00FE2830"/>
    <w:rsid w:val="00FE4709"/>
    <w:rsid w:val="00FE642B"/>
    <w:rsid w:val="00FE7FDB"/>
    <w:rsid w:val="00FF222A"/>
    <w:rsid w:val="00FF4B79"/>
    <w:rsid w:val="00FF5BDE"/>
    <w:rsid w:val="00FF7539"/>
    <w:rsid w:val="00FF7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360" w:lineRule="auto"/>
        <w:ind w:firstLine="14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25D"/>
    <w:pPr>
      <w:autoSpaceDE w:val="0"/>
      <w:autoSpaceDN w:val="0"/>
    </w:pPr>
    <w:rPr>
      <w:rFonts w:cs="CG Times"/>
      <w:sz w:val="26"/>
      <w:szCs w:val="24"/>
    </w:rPr>
  </w:style>
  <w:style w:type="paragraph" w:styleId="Heading1">
    <w:name w:val="heading 1"/>
    <w:basedOn w:val="Normal"/>
    <w:next w:val="Normal"/>
    <w:link w:val="Heading1Char"/>
    <w:qFormat/>
    <w:rsid w:val="006C3EB4"/>
    <w:pPr>
      <w:keepNext/>
      <w:keepLines/>
      <w:autoSpaceDE/>
      <w:autoSpaceDN/>
      <w:spacing w:before="480"/>
      <w:ind w:firstLine="0"/>
      <w:outlineLvl w:val="0"/>
    </w:pPr>
    <w:rPr>
      <w:rFonts w:eastAsiaTheme="majorEastAsia" w:cstheme="majorBidi"/>
      <w:b/>
      <w:bCs/>
      <w:szCs w:val="28"/>
    </w:rPr>
  </w:style>
  <w:style w:type="paragraph" w:styleId="Heading2">
    <w:name w:val="heading 2"/>
    <w:basedOn w:val="Normal"/>
    <w:next w:val="Normal"/>
    <w:link w:val="Heading2Char"/>
    <w:qFormat/>
    <w:rsid w:val="001B7FB1"/>
    <w:pPr>
      <w:keepNext/>
      <w:autoSpaceDE/>
      <w:autoSpaceDN/>
      <w:ind w:firstLine="720"/>
      <w:outlineLvl w:val="1"/>
    </w:pPr>
    <w:rPr>
      <w:rFonts w:eastAsiaTheme="majorEastAsia" w:cstheme="majorBidi"/>
      <w:b/>
      <w:sz w:val="28"/>
      <w:szCs w:val="20"/>
    </w:rPr>
  </w:style>
  <w:style w:type="paragraph" w:styleId="Heading3">
    <w:name w:val="heading 3"/>
    <w:basedOn w:val="Normal"/>
    <w:next w:val="Normal"/>
    <w:link w:val="Heading3Char"/>
    <w:qFormat/>
    <w:rsid w:val="00B438E1"/>
    <w:pPr>
      <w:keepNext/>
      <w:autoSpaceDE/>
      <w:autoSpaceDN/>
      <w:outlineLvl w:val="2"/>
    </w:pPr>
    <w:rPr>
      <w:rFonts w:eastAsiaTheme="majorEastAsia" w:cstheme="majorBidi"/>
      <w:b/>
      <w:szCs w:val="20"/>
    </w:rPr>
  </w:style>
  <w:style w:type="paragraph" w:styleId="Heading4">
    <w:name w:val="heading 4"/>
    <w:basedOn w:val="Normal"/>
    <w:next w:val="Normal"/>
    <w:link w:val="Heading4Char"/>
    <w:semiHidden/>
    <w:unhideWhenUsed/>
    <w:qFormat/>
    <w:rsid w:val="006C24AA"/>
    <w:pPr>
      <w:keepNext/>
      <w:autoSpaceDE/>
      <w:autoSpaceDN/>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6C24AA"/>
    <w:pPr>
      <w:autoSpaceDE/>
      <w:autoSpaceDN/>
      <w:spacing w:before="240" w:after="60"/>
      <w:outlineLvl w:val="4"/>
    </w:pPr>
    <w:rPr>
      <w:rFonts w:asciiTheme="minorHAnsi" w:eastAsiaTheme="minorEastAsia" w:hAnsiTheme="minorHAnsi" w:cstheme="minorBidi"/>
      <w:b/>
      <w:bCs/>
      <w:i/>
      <w:iCs/>
      <w:szCs w:val="26"/>
    </w:rPr>
  </w:style>
  <w:style w:type="paragraph" w:styleId="Heading6">
    <w:name w:val="heading 6"/>
    <w:basedOn w:val="Normal"/>
    <w:next w:val="Normal"/>
    <w:link w:val="Heading6Char"/>
    <w:semiHidden/>
    <w:unhideWhenUsed/>
    <w:qFormat/>
    <w:rsid w:val="006C24AA"/>
    <w:pPr>
      <w:autoSpaceDE/>
      <w:autoSpaceDN/>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C1A8F"/>
    <w:pPr>
      <w:autoSpaceDE/>
      <w:autoSpaceDN/>
    </w:pPr>
    <w:rPr>
      <w:rFonts w:asciiTheme="majorHAnsi" w:eastAsiaTheme="majorEastAsia" w:hAnsiTheme="majorHAnsi" w:cs="Mangal"/>
      <w:szCs w:val="18"/>
    </w:rPr>
  </w:style>
  <w:style w:type="paragraph" w:styleId="EnvelopeAddress">
    <w:name w:val="envelope address"/>
    <w:basedOn w:val="Normal"/>
    <w:uiPriority w:val="99"/>
    <w:semiHidden/>
    <w:unhideWhenUsed/>
    <w:rsid w:val="002C1A8F"/>
    <w:pPr>
      <w:framePr w:w="7920" w:h="1980" w:hRule="exact" w:hSpace="180" w:wrap="auto" w:hAnchor="page" w:xAlign="center" w:yAlign="bottom"/>
      <w:autoSpaceDE/>
      <w:autoSpaceDN/>
      <w:ind w:left="2880"/>
    </w:pPr>
    <w:rPr>
      <w:rFonts w:ascii="Arial" w:eastAsiaTheme="majorEastAsia" w:hAnsi="Arial" w:cs="Mangal"/>
      <w:sz w:val="28"/>
      <w:szCs w:val="21"/>
    </w:rPr>
  </w:style>
  <w:style w:type="character" w:customStyle="1" w:styleId="Heading1Char">
    <w:name w:val="Heading 1 Char"/>
    <w:basedOn w:val="DefaultParagraphFont"/>
    <w:link w:val="Heading1"/>
    <w:rsid w:val="006C3EB4"/>
    <w:rPr>
      <w:rFonts w:eastAsiaTheme="majorEastAsia" w:cstheme="majorBidi"/>
      <w:b/>
      <w:bCs/>
      <w:sz w:val="26"/>
      <w:szCs w:val="28"/>
    </w:rPr>
  </w:style>
  <w:style w:type="character" w:customStyle="1" w:styleId="Heading2Char">
    <w:name w:val="Heading 2 Char"/>
    <w:basedOn w:val="DefaultParagraphFont"/>
    <w:link w:val="Heading2"/>
    <w:rsid w:val="001B7FB1"/>
    <w:rPr>
      <w:rFonts w:eastAsiaTheme="majorEastAsia" w:cstheme="majorBidi"/>
      <w:b/>
      <w:sz w:val="28"/>
    </w:rPr>
  </w:style>
  <w:style w:type="character" w:customStyle="1" w:styleId="Heading3Char">
    <w:name w:val="Heading 3 Char"/>
    <w:basedOn w:val="DefaultParagraphFont"/>
    <w:link w:val="Heading3"/>
    <w:rsid w:val="006C24AA"/>
    <w:rPr>
      <w:rFonts w:eastAsiaTheme="majorEastAsia" w:cstheme="majorBidi"/>
      <w:b/>
      <w:sz w:val="26"/>
    </w:rPr>
  </w:style>
  <w:style w:type="character" w:customStyle="1" w:styleId="Heading4Char">
    <w:name w:val="Heading 4 Char"/>
    <w:basedOn w:val="DefaultParagraphFont"/>
    <w:link w:val="Heading4"/>
    <w:semiHidden/>
    <w:rsid w:val="006C24A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6C24A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6C24AA"/>
    <w:rPr>
      <w:rFonts w:asciiTheme="minorHAnsi" w:eastAsiaTheme="minorEastAsia" w:hAnsiTheme="minorHAnsi" w:cstheme="minorBidi"/>
      <w:b/>
      <w:bCs/>
      <w:sz w:val="22"/>
      <w:szCs w:val="22"/>
    </w:rPr>
  </w:style>
  <w:style w:type="paragraph" w:styleId="TOC1">
    <w:name w:val="toc 1"/>
    <w:basedOn w:val="Normal"/>
    <w:next w:val="Normal"/>
    <w:autoRedefine/>
    <w:uiPriority w:val="39"/>
    <w:unhideWhenUsed/>
    <w:rsid w:val="006C24AA"/>
    <w:pPr>
      <w:autoSpaceDE/>
      <w:autoSpaceDN/>
      <w:spacing w:after="100"/>
    </w:pPr>
    <w:rPr>
      <w:rFonts w:cs="Times New Roman"/>
      <w:szCs w:val="26"/>
    </w:rPr>
  </w:style>
  <w:style w:type="paragraph" w:styleId="TOC2">
    <w:name w:val="toc 2"/>
    <w:basedOn w:val="Normal"/>
    <w:next w:val="Normal"/>
    <w:autoRedefine/>
    <w:uiPriority w:val="39"/>
    <w:unhideWhenUsed/>
    <w:rsid w:val="006C24AA"/>
    <w:pPr>
      <w:tabs>
        <w:tab w:val="left" w:pos="1080"/>
        <w:tab w:val="right" w:leader="dot" w:pos="9350"/>
      </w:tabs>
      <w:autoSpaceDE/>
      <w:autoSpaceDN/>
      <w:spacing w:after="100"/>
      <w:ind w:left="240"/>
    </w:pPr>
    <w:rPr>
      <w:rFonts w:cs="Times New Roman"/>
      <w:szCs w:val="26"/>
    </w:rPr>
  </w:style>
  <w:style w:type="paragraph" w:styleId="TOC3">
    <w:name w:val="toc 3"/>
    <w:basedOn w:val="Normal"/>
    <w:next w:val="Normal"/>
    <w:autoRedefine/>
    <w:uiPriority w:val="39"/>
    <w:unhideWhenUsed/>
    <w:rsid w:val="006C24AA"/>
    <w:pPr>
      <w:tabs>
        <w:tab w:val="left" w:pos="1440"/>
        <w:tab w:val="right" w:leader="dot" w:pos="9350"/>
      </w:tabs>
      <w:autoSpaceDE/>
      <w:autoSpaceDN/>
      <w:spacing w:after="100"/>
      <w:ind w:left="480"/>
    </w:pPr>
    <w:rPr>
      <w:rFonts w:cs="Times New Roman"/>
      <w:szCs w:val="26"/>
    </w:rPr>
  </w:style>
  <w:style w:type="character" w:styleId="Emphasis">
    <w:name w:val="Emphasis"/>
    <w:basedOn w:val="DefaultParagraphFont"/>
    <w:qFormat/>
    <w:rsid w:val="006C24AA"/>
    <w:rPr>
      <w:i/>
      <w:iCs/>
    </w:rPr>
  </w:style>
  <w:style w:type="paragraph" w:styleId="NoSpacing">
    <w:name w:val="No Spacing"/>
    <w:uiPriority w:val="1"/>
    <w:qFormat/>
    <w:rsid w:val="006C24AA"/>
    <w:rPr>
      <w:sz w:val="26"/>
      <w:szCs w:val="26"/>
    </w:rPr>
  </w:style>
  <w:style w:type="paragraph" w:styleId="ListParagraph">
    <w:name w:val="List Paragraph"/>
    <w:basedOn w:val="Normal"/>
    <w:uiPriority w:val="34"/>
    <w:qFormat/>
    <w:rsid w:val="006C24AA"/>
    <w:pPr>
      <w:autoSpaceDE/>
      <w:autoSpaceDN/>
      <w:ind w:left="720"/>
    </w:pPr>
    <w:rPr>
      <w:rFonts w:cs="Times New Roman"/>
      <w:szCs w:val="26"/>
    </w:rPr>
  </w:style>
  <w:style w:type="paragraph" w:styleId="TOCHeading">
    <w:name w:val="TOC Heading"/>
    <w:basedOn w:val="Heading1"/>
    <w:next w:val="Normal"/>
    <w:uiPriority w:val="39"/>
    <w:semiHidden/>
    <w:unhideWhenUsed/>
    <w:qFormat/>
    <w:rsid w:val="006C24AA"/>
    <w:pPr>
      <w:outlineLvl w:val="9"/>
    </w:pPr>
  </w:style>
  <w:style w:type="paragraph" w:styleId="FootnoteText">
    <w:name w:val="footnote text"/>
    <w:basedOn w:val="Normal"/>
    <w:link w:val="FootnoteTextChar"/>
    <w:semiHidden/>
    <w:unhideWhenUsed/>
    <w:rsid w:val="00E819A5"/>
    <w:pPr>
      <w:spacing w:line="240" w:lineRule="auto"/>
      <w:ind w:firstLine="0"/>
    </w:pPr>
    <w:rPr>
      <w:rFonts w:ascii="CG Times" w:hAnsi="CG Times"/>
      <w:sz w:val="20"/>
      <w:szCs w:val="20"/>
    </w:rPr>
  </w:style>
  <w:style w:type="character" w:customStyle="1" w:styleId="FootnoteTextChar">
    <w:name w:val="Footnote Text Char"/>
    <w:basedOn w:val="DefaultParagraphFont"/>
    <w:link w:val="FootnoteText"/>
    <w:semiHidden/>
    <w:rsid w:val="00E819A5"/>
    <w:rPr>
      <w:rFonts w:ascii="CG Times" w:hAnsi="CG Times" w:cs="CG Times"/>
    </w:rPr>
  </w:style>
  <w:style w:type="paragraph" w:customStyle="1" w:styleId="p6">
    <w:name w:val="p6"/>
    <w:basedOn w:val="Normal"/>
    <w:rsid w:val="00E819A5"/>
    <w:pPr>
      <w:widowControl w:val="0"/>
      <w:tabs>
        <w:tab w:val="left" w:pos="1513"/>
        <w:tab w:val="left" w:pos="2239"/>
      </w:tabs>
      <w:adjustRightInd w:val="0"/>
      <w:spacing w:line="240" w:lineRule="auto"/>
      <w:ind w:firstLine="1513"/>
    </w:pPr>
    <w:rPr>
      <w:rFonts w:cs="Times New Roman"/>
      <w:sz w:val="24"/>
    </w:rPr>
  </w:style>
  <w:style w:type="character" w:styleId="FootnoteReference">
    <w:name w:val="footnote reference"/>
    <w:basedOn w:val="DefaultParagraphFont"/>
    <w:semiHidden/>
    <w:unhideWhenUsed/>
    <w:rsid w:val="00E819A5"/>
    <w:rPr>
      <w:vertAlign w:val="superscript"/>
    </w:rPr>
  </w:style>
  <w:style w:type="paragraph" w:styleId="Header">
    <w:name w:val="header"/>
    <w:basedOn w:val="Normal"/>
    <w:link w:val="HeaderChar"/>
    <w:uiPriority w:val="99"/>
    <w:semiHidden/>
    <w:unhideWhenUsed/>
    <w:rsid w:val="0055530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55306"/>
    <w:rPr>
      <w:rFonts w:cs="CG Times"/>
      <w:sz w:val="26"/>
      <w:szCs w:val="24"/>
    </w:rPr>
  </w:style>
  <w:style w:type="paragraph" w:styleId="Footer">
    <w:name w:val="footer"/>
    <w:basedOn w:val="Normal"/>
    <w:link w:val="FooterChar"/>
    <w:uiPriority w:val="99"/>
    <w:unhideWhenUsed/>
    <w:rsid w:val="00555306"/>
    <w:pPr>
      <w:tabs>
        <w:tab w:val="center" w:pos="4680"/>
        <w:tab w:val="right" w:pos="9360"/>
      </w:tabs>
      <w:spacing w:line="240" w:lineRule="auto"/>
    </w:pPr>
  </w:style>
  <w:style w:type="character" w:customStyle="1" w:styleId="FooterChar">
    <w:name w:val="Footer Char"/>
    <w:basedOn w:val="DefaultParagraphFont"/>
    <w:link w:val="Footer"/>
    <w:uiPriority w:val="99"/>
    <w:rsid w:val="00555306"/>
    <w:rPr>
      <w:rFonts w:cs="CG Times"/>
      <w:sz w:val="26"/>
      <w:szCs w:val="24"/>
    </w:rPr>
  </w:style>
</w:styles>
</file>

<file path=word/webSettings.xml><?xml version="1.0" encoding="utf-8"?>
<w:webSettings xmlns:r="http://schemas.openxmlformats.org/officeDocument/2006/relationships" xmlns:w="http://schemas.openxmlformats.org/wordprocessingml/2006/main">
  <w:divs>
    <w:div w:id="58026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868F9BA-2855-44F2-AD09-0EA9D375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3916</Words>
  <Characters>22325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kvillwock</dc:creator>
  <cp:keywords/>
  <dc:description/>
  <cp:lastModifiedBy>Administrator</cp:lastModifiedBy>
  <cp:revision>5</cp:revision>
  <cp:lastPrinted>2010-12-29T11:16:00Z</cp:lastPrinted>
  <dcterms:created xsi:type="dcterms:W3CDTF">2010-12-22T18:26:00Z</dcterms:created>
  <dcterms:modified xsi:type="dcterms:W3CDTF">2010-12-29T11:16:00Z</dcterms:modified>
</cp:coreProperties>
</file>