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DC0" w:rsidRDefault="00712DC0" w:rsidP="00D97D2E">
      <w:pPr>
        <w:jc w:val="center"/>
        <w:rPr>
          <w:b/>
        </w:rPr>
      </w:pPr>
      <w:r>
        <w:rPr>
          <w:b/>
        </w:rPr>
        <w:t>BEFORE THE</w:t>
      </w:r>
    </w:p>
    <w:p w:rsidR="00712DC0" w:rsidRDefault="00712DC0" w:rsidP="00D97D2E">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712DC0" w:rsidRDefault="00712DC0" w:rsidP="00D97D2E">
      <w:pPr>
        <w:jc w:val="center"/>
        <w:rPr>
          <w:b/>
        </w:rPr>
      </w:pPr>
    </w:p>
    <w:p w:rsidR="00712DC0" w:rsidRDefault="00712DC0" w:rsidP="00D97D2E">
      <w:pPr>
        <w:jc w:val="center"/>
        <w:rPr>
          <w:b/>
        </w:rPr>
      </w:pPr>
    </w:p>
    <w:p w:rsidR="00D97D2E" w:rsidRDefault="00D97D2E" w:rsidP="00D97D2E">
      <w:pPr>
        <w:jc w:val="center"/>
        <w:rPr>
          <w:b/>
        </w:rPr>
      </w:pPr>
    </w:p>
    <w:p w:rsidR="00712DC0" w:rsidRDefault="00712DC0" w:rsidP="00D97D2E">
      <w:r>
        <w:t>Lachele Burtch</w:t>
      </w:r>
      <w:r>
        <w:tab/>
      </w:r>
      <w:r>
        <w:tab/>
      </w:r>
      <w:r>
        <w:tab/>
      </w:r>
      <w:r>
        <w:tab/>
      </w:r>
      <w:r>
        <w:tab/>
        <w:t>:</w:t>
      </w:r>
    </w:p>
    <w:p w:rsidR="00712DC0" w:rsidRDefault="00712DC0" w:rsidP="00D97D2E">
      <w:r>
        <w:tab/>
      </w:r>
      <w:r>
        <w:tab/>
      </w:r>
      <w:r>
        <w:tab/>
      </w:r>
      <w:r>
        <w:tab/>
      </w:r>
      <w:r>
        <w:tab/>
      </w:r>
      <w:r>
        <w:tab/>
      </w:r>
      <w:r>
        <w:tab/>
        <w:t>:</w:t>
      </w:r>
    </w:p>
    <w:p w:rsidR="00712DC0" w:rsidRDefault="00712DC0" w:rsidP="00D97D2E">
      <w:r>
        <w:tab/>
        <w:t>v.</w:t>
      </w:r>
      <w:r>
        <w:tab/>
      </w:r>
      <w:r>
        <w:tab/>
      </w:r>
      <w:r>
        <w:tab/>
      </w:r>
      <w:r>
        <w:tab/>
      </w:r>
      <w:r>
        <w:tab/>
      </w:r>
      <w:r>
        <w:tab/>
        <w:t>:</w:t>
      </w:r>
      <w:r>
        <w:tab/>
      </w:r>
      <w:r>
        <w:tab/>
        <w:t>C-2010-2195855</w:t>
      </w:r>
    </w:p>
    <w:p w:rsidR="00712DC0" w:rsidRDefault="00712DC0" w:rsidP="00D97D2E">
      <w:r>
        <w:tab/>
      </w:r>
      <w:r>
        <w:tab/>
      </w:r>
      <w:r>
        <w:tab/>
      </w:r>
      <w:r>
        <w:tab/>
      </w:r>
      <w:r>
        <w:tab/>
      </w:r>
      <w:r>
        <w:tab/>
      </w:r>
      <w:r>
        <w:tab/>
        <w:t>:</w:t>
      </w:r>
    </w:p>
    <w:p w:rsidR="00712DC0" w:rsidRDefault="00935281" w:rsidP="00D97D2E">
      <w:r>
        <w:t xml:space="preserve">Equitable </w:t>
      </w:r>
      <w:r w:rsidR="00712DC0">
        <w:t>Gas Company</w:t>
      </w:r>
      <w:r>
        <w:t>, LLC</w:t>
      </w:r>
      <w:r w:rsidR="00712DC0">
        <w:t xml:space="preserve"> </w:t>
      </w:r>
      <w:r w:rsidR="00712DC0">
        <w:tab/>
      </w:r>
      <w:r w:rsidR="00712DC0">
        <w:tab/>
      </w:r>
      <w:r w:rsidR="00712DC0">
        <w:tab/>
        <w:t>:</w:t>
      </w:r>
    </w:p>
    <w:p w:rsidR="00712DC0" w:rsidRDefault="00423F9C" w:rsidP="00D97D2E">
      <w:r>
        <w:tab/>
      </w:r>
      <w:r>
        <w:tab/>
      </w:r>
      <w:r>
        <w:tab/>
      </w:r>
      <w:r w:rsidR="00712DC0">
        <w:tab/>
      </w:r>
      <w:r w:rsidR="00712DC0">
        <w:tab/>
      </w:r>
      <w:r w:rsidR="00712DC0">
        <w:tab/>
      </w:r>
      <w:r w:rsidR="00712DC0">
        <w:tab/>
        <w:t>:</w:t>
      </w:r>
    </w:p>
    <w:p w:rsidR="00D97D2E" w:rsidRDefault="00D97D2E" w:rsidP="00D97D2E"/>
    <w:p w:rsidR="00712DC0" w:rsidRDefault="00712DC0" w:rsidP="00D97D2E">
      <w:pPr>
        <w:tabs>
          <w:tab w:val="left" w:pos="1076"/>
        </w:tabs>
      </w:pPr>
    </w:p>
    <w:p w:rsidR="00712DC0" w:rsidRDefault="00712DC0" w:rsidP="00D97D2E">
      <w:pPr>
        <w:tabs>
          <w:tab w:val="left" w:pos="1076"/>
        </w:tabs>
      </w:pPr>
    </w:p>
    <w:p w:rsidR="00712DC0" w:rsidRPr="00D003FC" w:rsidRDefault="00712DC0" w:rsidP="00D97D2E">
      <w:pPr>
        <w:jc w:val="center"/>
        <w:rPr>
          <w:b/>
          <w:u w:val="single"/>
        </w:rPr>
      </w:pPr>
      <w:r w:rsidRPr="00D003FC">
        <w:rPr>
          <w:b/>
          <w:u w:val="single"/>
        </w:rPr>
        <w:t>INITIAL DECISION</w:t>
      </w:r>
    </w:p>
    <w:p w:rsidR="00712DC0" w:rsidRDefault="00712DC0" w:rsidP="00D97D2E">
      <w:pPr>
        <w:jc w:val="center"/>
      </w:pPr>
    </w:p>
    <w:p w:rsidR="00712DC0" w:rsidRDefault="00712DC0" w:rsidP="00D97D2E">
      <w:pPr>
        <w:jc w:val="center"/>
      </w:pPr>
    </w:p>
    <w:p w:rsidR="00712DC0" w:rsidRDefault="00712DC0" w:rsidP="00D97D2E">
      <w:pPr>
        <w:jc w:val="center"/>
      </w:pPr>
      <w:r>
        <w:t>Before</w:t>
      </w:r>
    </w:p>
    <w:p w:rsidR="00712DC0" w:rsidRDefault="00712DC0" w:rsidP="00D97D2E">
      <w:pPr>
        <w:jc w:val="center"/>
      </w:pPr>
      <w:r>
        <w:t>David A. Alexander</w:t>
      </w:r>
    </w:p>
    <w:p w:rsidR="00712DC0" w:rsidRDefault="00712DC0" w:rsidP="00D97D2E">
      <w:pPr>
        <w:jc w:val="center"/>
      </w:pPr>
      <w:r>
        <w:t>Special Agent</w:t>
      </w:r>
    </w:p>
    <w:p w:rsidR="00712DC0" w:rsidRDefault="00712DC0" w:rsidP="00D97D2E">
      <w:pPr>
        <w:jc w:val="center"/>
      </w:pPr>
    </w:p>
    <w:p w:rsidR="00712DC0" w:rsidRDefault="00712DC0" w:rsidP="00D97D2E">
      <w:pPr>
        <w:jc w:val="center"/>
      </w:pPr>
    </w:p>
    <w:p w:rsidR="00712DC0" w:rsidRDefault="00712DC0" w:rsidP="00D97D2E">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712DC0" w:rsidRDefault="00712DC0" w:rsidP="00D97D2E">
      <w:pPr>
        <w:jc w:val="center"/>
      </w:pPr>
    </w:p>
    <w:p w:rsidR="00712DC0" w:rsidRDefault="00712DC0" w:rsidP="00D97D2E"/>
    <w:p w:rsidR="00740759" w:rsidRDefault="00712DC0" w:rsidP="00712DC0">
      <w:pPr>
        <w:tabs>
          <w:tab w:val="left" w:pos="-1440"/>
          <w:tab w:val="left" w:pos="-720"/>
        </w:tabs>
        <w:suppressAutoHyphens/>
        <w:spacing w:line="360" w:lineRule="auto"/>
        <w:ind w:firstLine="1440"/>
      </w:pPr>
      <w:r>
        <w:t xml:space="preserve">On </w:t>
      </w:r>
      <w:r w:rsidR="003C5465">
        <w:t>August 25, 2010</w:t>
      </w:r>
      <w:r>
        <w:t>, Lachele Burtch (Ms. Burtch or Complainant) filed a formal Complaint (Complaint) with the Pennsylvania Public Utility Commission (Commission) against Equitable Gas Company, LLC (</w:t>
      </w:r>
      <w:r w:rsidR="003C5465">
        <w:t xml:space="preserve">Equitable, the Company </w:t>
      </w:r>
      <w:r w:rsidR="00D97D2E">
        <w:t xml:space="preserve">or Respondent). </w:t>
      </w:r>
      <w:r>
        <w:t xml:space="preserve"> In the Complaint, Ms. Burtch alleged </w:t>
      </w:r>
      <w:r w:rsidR="003C5465" w:rsidRPr="003C5465">
        <w:rPr>
          <w:i/>
        </w:rPr>
        <w:t>inter alia</w:t>
      </w:r>
      <w:r w:rsidR="003C5465">
        <w:t xml:space="preserve"> </w:t>
      </w:r>
      <w:r>
        <w:t>an inability to pay her natural gas utility bill and</w:t>
      </w:r>
      <w:r w:rsidR="00981E13">
        <w:t>,</w:t>
      </w:r>
      <w:r>
        <w:t xml:space="preserve"> as relief</w:t>
      </w:r>
      <w:r w:rsidR="00981E13">
        <w:t>,</w:t>
      </w:r>
      <w:r>
        <w:t xml:space="preserve"> she requested a payment arrangement.  </w:t>
      </w:r>
    </w:p>
    <w:p w:rsidR="00740759" w:rsidRDefault="00740759" w:rsidP="00712DC0">
      <w:pPr>
        <w:tabs>
          <w:tab w:val="left" w:pos="-1440"/>
          <w:tab w:val="left" w:pos="-720"/>
        </w:tabs>
        <w:suppressAutoHyphens/>
        <w:spacing w:line="360" w:lineRule="auto"/>
        <w:ind w:firstLine="1440"/>
      </w:pPr>
    </w:p>
    <w:p w:rsidR="00D97D2E" w:rsidRDefault="00712DC0" w:rsidP="00712DC0">
      <w:pPr>
        <w:tabs>
          <w:tab w:val="left" w:pos="-1440"/>
          <w:tab w:val="left" w:pos="-720"/>
        </w:tabs>
        <w:suppressAutoHyphens/>
        <w:spacing w:line="360" w:lineRule="auto"/>
        <w:ind w:firstLine="1440"/>
        <w:rPr>
          <w:spacing w:val="-3"/>
        </w:rPr>
      </w:pPr>
      <w:r>
        <w:t xml:space="preserve">On </w:t>
      </w:r>
      <w:r w:rsidR="003C5465">
        <w:t>September 20, 2010</w:t>
      </w:r>
      <w:r>
        <w:t xml:space="preserve">, Respondent filed an </w:t>
      </w:r>
      <w:r>
        <w:rPr>
          <w:spacing w:val="-3"/>
        </w:rPr>
        <w:t xml:space="preserve">Answer </w:t>
      </w:r>
      <w:r w:rsidR="00740759">
        <w:rPr>
          <w:spacing w:val="-3"/>
        </w:rPr>
        <w:t xml:space="preserve">and New Matter </w:t>
      </w:r>
      <w:r>
        <w:rPr>
          <w:spacing w:val="-3"/>
        </w:rPr>
        <w:t>to the Complaint</w:t>
      </w:r>
      <w:r w:rsidR="00E0471F">
        <w:rPr>
          <w:spacing w:val="-3"/>
        </w:rPr>
        <w:t xml:space="preserve"> seeking dismissal of the Complaint on the basis that the Complaint fails to state a claim for which relief can be granted</w:t>
      </w:r>
      <w:r>
        <w:rPr>
          <w:spacing w:val="-3"/>
        </w:rPr>
        <w:t xml:space="preserve">.  </w:t>
      </w:r>
      <w:r w:rsidR="00740759">
        <w:rPr>
          <w:spacing w:val="-3"/>
        </w:rPr>
        <w:t>A review of the Commission</w:t>
      </w:r>
      <w:r w:rsidR="00194298">
        <w:rPr>
          <w:spacing w:val="-3"/>
        </w:rPr>
        <w:t>’s</w:t>
      </w:r>
      <w:r w:rsidR="00740759">
        <w:rPr>
          <w:spacing w:val="-3"/>
        </w:rPr>
        <w:t xml:space="preserve"> electronic records</w:t>
      </w:r>
      <w:r w:rsidR="00850B19">
        <w:rPr>
          <w:spacing w:val="-3"/>
        </w:rPr>
        <w:t xml:space="preserve"> indicate</w:t>
      </w:r>
      <w:r w:rsidR="00001461">
        <w:rPr>
          <w:spacing w:val="-3"/>
        </w:rPr>
        <w:t>d</w:t>
      </w:r>
      <w:r w:rsidR="00850B19">
        <w:rPr>
          <w:spacing w:val="-3"/>
        </w:rPr>
        <w:t xml:space="preserve"> that </w:t>
      </w:r>
      <w:r w:rsidR="00740759">
        <w:rPr>
          <w:spacing w:val="-3"/>
        </w:rPr>
        <w:t>the Complaint did not file a response to the New Matter</w:t>
      </w:r>
      <w:r w:rsidR="00850B19">
        <w:rPr>
          <w:spacing w:val="-3"/>
        </w:rPr>
        <w:t>, therefore the fac</w:t>
      </w:r>
      <w:r w:rsidR="00E0471F">
        <w:rPr>
          <w:spacing w:val="-3"/>
        </w:rPr>
        <w:t>tual allegations raised as New M</w:t>
      </w:r>
      <w:r w:rsidR="00850B19">
        <w:rPr>
          <w:spacing w:val="-3"/>
        </w:rPr>
        <w:t>atter are deemed admitted.</w:t>
      </w:r>
      <w:r w:rsidR="00850B19">
        <w:rPr>
          <w:rStyle w:val="FootnoteReference"/>
          <w:spacing w:val="-3"/>
        </w:rPr>
        <w:footnoteReference w:id="1"/>
      </w:r>
      <w:r w:rsidR="00740759">
        <w:rPr>
          <w:spacing w:val="-3"/>
        </w:rPr>
        <w:t xml:space="preserve"> </w:t>
      </w:r>
      <w:r w:rsidR="00D97D2E">
        <w:rPr>
          <w:spacing w:val="-3"/>
        </w:rPr>
        <w:t xml:space="preserve"> </w:t>
      </w:r>
    </w:p>
    <w:p w:rsidR="00D97D2E" w:rsidRDefault="00D97D2E">
      <w:pPr>
        <w:spacing w:after="200" w:line="276" w:lineRule="auto"/>
        <w:rPr>
          <w:spacing w:val="-3"/>
        </w:rPr>
      </w:pPr>
      <w:r>
        <w:rPr>
          <w:spacing w:val="-3"/>
        </w:rPr>
        <w:br w:type="page"/>
      </w:r>
    </w:p>
    <w:p w:rsidR="00712DC0" w:rsidRDefault="00712DC0" w:rsidP="00712DC0">
      <w:pPr>
        <w:tabs>
          <w:tab w:val="left" w:pos="2160"/>
        </w:tabs>
        <w:spacing w:line="360" w:lineRule="auto"/>
        <w:ind w:firstLine="1440"/>
      </w:pPr>
      <w:r>
        <w:lastRenderedPageBreak/>
        <w:t xml:space="preserve">By Telephonic Hearing Notice dated </w:t>
      </w:r>
      <w:r w:rsidR="00234C52">
        <w:t>September 1, 2010</w:t>
      </w:r>
      <w:r>
        <w:t xml:space="preserve">, and a Prehearing Order dated </w:t>
      </w:r>
      <w:r w:rsidR="00234C52">
        <w:t xml:space="preserve">October 12, </w:t>
      </w:r>
      <w:r>
        <w:t xml:space="preserve">2010, the parties were notified that an Initial Telephonic Hearing in this case was scheduled for the morning of </w:t>
      </w:r>
      <w:r w:rsidR="002813D8">
        <w:t>Tuesday</w:t>
      </w:r>
      <w:r>
        <w:t xml:space="preserve">, </w:t>
      </w:r>
      <w:r w:rsidR="002813D8">
        <w:t>December 14, 2010</w:t>
      </w:r>
      <w:r>
        <w:t>, at 1</w:t>
      </w:r>
      <w:r w:rsidR="002813D8">
        <w:t>0</w:t>
      </w:r>
      <w:r>
        <w:t xml:space="preserve">:00 </w:t>
      </w:r>
      <w:r w:rsidR="002813D8">
        <w:t>a</w:t>
      </w:r>
      <w:r>
        <w:t xml:space="preserve">.m.  The Prehearing Order stated </w:t>
      </w:r>
      <w:r w:rsidRPr="009F5BA4">
        <w:t>the date and time of the hearing and advis</w:t>
      </w:r>
      <w:r>
        <w:t>ed the parties</w:t>
      </w:r>
      <w:r w:rsidRPr="009F5BA4">
        <w:t xml:space="preserve"> </w:t>
      </w:r>
      <w:r>
        <w:t>that the case could be dismissed if they</w:t>
      </w:r>
      <w:r w:rsidRPr="009F5BA4">
        <w:t xml:space="preserve"> failed to obtain a continuance and failed to appear for the hearing.  </w:t>
      </w:r>
      <w:r>
        <w:t>T</w:t>
      </w:r>
      <w:r w:rsidRPr="009F5BA4">
        <w:t xml:space="preserve">he Prehearing Order </w:t>
      </w:r>
      <w:r>
        <w:t xml:space="preserve">also advised the parties of applicable procedural rules.  </w:t>
      </w:r>
    </w:p>
    <w:p w:rsidR="00712DC0" w:rsidRDefault="00712DC0" w:rsidP="00712DC0">
      <w:pPr>
        <w:tabs>
          <w:tab w:val="left" w:pos="2160"/>
        </w:tabs>
        <w:spacing w:line="360" w:lineRule="auto"/>
        <w:ind w:firstLine="1440"/>
      </w:pPr>
    </w:p>
    <w:p w:rsidR="00712DC0" w:rsidRDefault="00712DC0" w:rsidP="00712DC0">
      <w:pPr>
        <w:tabs>
          <w:tab w:val="left" w:pos="2160"/>
        </w:tabs>
        <w:spacing w:line="360" w:lineRule="auto"/>
        <w:ind w:firstLine="1440"/>
      </w:pPr>
      <w:r>
        <w:t>This case was assigned to me pursuant to 52 Pa. Code § 56.174.</w:t>
      </w:r>
    </w:p>
    <w:p w:rsidR="00712DC0" w:rsidRDefault="00712DC0" w:rsidP="00712DC0">
      <w:pPr>
        <w:spacing w:line="360" w:lineRule="auto"/>
        <w:ind w:firstLine="1440"/>
      </w:pPr>
    </w:p>
    <w:p w:rsidR="00981E13" w:rsidRDefault="00981E13" w:rsidP="00712DC0">
      <w:pPr>
        <w:tabs>
          <w:tab w:val="left" w:pos="2160"/>
        </w:tabs>
        <w:spacing w:line="360" w:lineRule="auto"/>
        <w:ind w:firstLine="1440"/>
      </w:pPr>
      <w:r>
        <w:t>On or about November 22, 2010, Thomas S. Anderson, Esquire filed a Praecipe for Entry of Appearance on Behalf of the Company.</w:t>
      </w:r>
    </w:p>
    <w:p w:rsidR="00981E13" w:rsidRDefault="00981E13" w:rsidP="00712DC0">
      <w:pPr>
        <w:tabs>
          <w:tab w:val="left" w:pos="2160"/>
        </w:tabs>
        <w:spacing w:line="360" w:lineRule="auto"/>
        <w:ind w:firstLine="1440"/>
      </w:pPr>
    </w:p>
    <w:p w:rsidR="00712DC0" w:rsidRDefault="00712DC0" w:rsidP="00712DC0">
      <w:pPr>
        <w:tabs>
          <w:tab w:val="left" w:pos="2160"/>
        </w:tabs>
        <w:spacing w:line="360" w:lineRule="auto"/>
        <w:ind w:firstLine="1440"/>
      </w:pPr>
      <w:r>
        <w:t xml:space="preserve">The telephonic hearing was held as scheduled.  On the day of the hearing, I called the Complainant at the telephone number listed on the Complaint, </w:t>
      </w:r>
      <w:r w:rsidR="002813D8">
        <w:t>412</w:t>
      </w:r>
      <w:r>
        <w:t>-</w:t>
      </w:r>
      <w:r w:rsidR="002813D8">
        <w:t>322</w:t>
      </w:r>
      <w:r>
        <w:t xml:space="preserve">-****.  At that time I heard a recorded message from the telephone company which informed me that the </w:t>
      </w:r>
      <w:r w:rsidR="00935281">
        <w:t xml:space="preserve">telephone </w:t>
      </w:r>
      <w:r>
        <w:t xml:space="preserve">number I dialed had been disconnected.  After I heard that message,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  </w:t>
      </w:r>
    </w:p>
    <w:p w:rsidR="00712DC0" w:rsidRDefault="00712DC0" w:rsidP="00712DC0">
      <w:pPr>
        <w:tabs>
          <w:tab w:val="left" w:pos="2160"/>
        </w:tabs>
        <w:spacing w:line="360" w:lineRule="auto"/>
        <w:ind w:firstLine="1440"/>
      </w:pPr>
    </w:p>
    <w:p w:rsidR="00712DC0" w:rsidRDefault="002813D8" w:rsidP="00712DC0">
      <w:pPr>
        <w:tabs>
          <w:tab w:val="left" w:pos="2160"/>
        </w:tabs>
        <w:spacing w:line="360" w:lineRule="auto"/>
        <w:ind w:firstLine="1440"/>
      </w:pPr>
      <w:r>
        <w:t>Thomas S. Anderson</w:t>
      </w:r>
      <w:r w:rsidR="00712DC0">
        <w:t>, Esq</w:t>
      </w:r>
      <w:r w:rsidR="00001461">
        <w:t>.</w:t>
      </w:r>
      <w:r w:rsidR="00712DC0">
        <w:t>, appeared</w:t>
      </w:r>
      <w:r w:rsidR="00D97D2E">
        <w:t xml:space="preserve"> on behalf of the Respondent.  </w:t>
      </w:r>
      <w:r w:rsidR="00712DC0">
        <w:t xml:space="preserve">After I called the listed telephone number on the Complaint, I advised Mr. </w:t>
      </w:r>
      <w:r>
        <w:t>Anderson</w:t>
      </w:r>
      <w:r w:rsidR="00712DC0">
        <w:t xml:space="preserve"> that I was unable to contact the Complainant.  </w:t>
      </w:r>
      <w:r>
        <w:t>M</w:t>
      </w:r>
      <w:r w:rsidR="00712DC0">
        <w:t xml:space="preserve">r. </w:t>
      </w:r>
      <w:r>
        <w:t>Anderson</w:t>
      </w:r>
      <w:r w:rsidR="00712DC0">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t>December 14, 2010</w:t>
      </w:r>
      <w:r w:rsidR="00712DC0">
        <w:t xml:space="preserve">.  </w:t>
      </w:r>
    </w:p>
    <w:p w:rsidR="00712DC0" w:rsidRDefault="00712DC0" w:rsidP="00712DC0">
      <w:pPr>
        <w:tabs>
          <w:tab w:val="left" w:pos="2160"/>
        </w:tabs>
        <w:spacing w:line="360" w:lineRule="auto"/>
        <w:ind w:firstLine="1440"/>
      </w:pPr>
    </w:p>
    <w:p w:rsidR="00D97D2E" w:rsidRDefault="00D97D2E">
      <w:pPr>
        <w:spacing w:after="200" w:line="276" w:lineRule="auto"/>
        <w:rPr>
          <w:u w:val="single"/>
        </w:rPr>
      </w:pPr>
      <w:r>
        <w:rPr>
          <w:u w:val="single"/>
        </w:rPr>
        <w:br w:type="page"/>
      </w:r>
    </w:p>
    <w:p w:rsidR="00712DC0" w:rsidRDefault="00712DC0" w:rsidP="00712DC0">
      <w:pPr>
        <w:tabs>
          <w:tab w:val="left" w:pos="2160"/>
        </w:tabs>
        <w:spacing w:line="360" w:lineRule="auto"/>
        <w:jc w:val="center"/>
        <w:rPr>
          <w:u w:val="single"/>
        </w:rPr>
      </w:pPr>
      <w:r>
        <w:rPr>
          <w:u w:val="single"/>
        </w:rPr>
        <w:lastRenderedPageBreak/>
        <w:t>FINDINGS OF FACT</w:t>
      </w:r>
    </w:p>
    <w:p w:rsidR="00712DC0" w:rsidRDefault="00712DC0" w:rsidP="00712DC0">
      <w:pPr>
        <w:tabs>
          <w:tab w:val="left" w:pos="2160"/>
        </w:tabs>
        <w:spacing w:line="360" w:lineRule="auto"/>
        <w:rPr>
          <w:u w:val="single"/>
        </w:rPr>
      </w:pPr>
    </w:p>
    <w:p w:rsidR="00712DC0" w:rsidRDefault="00712DC0" w:rsidP="00712DC0">
      <w:pPr>
        <w:tabs>
          <w:tab w:val="left" w:pos="2160"/>
        </w:tabs>
        <w:spacing w:line="360" w:lineRule="auto"/>
        <w:ind w:firstLine="1440"/>
      </w:pPr>
      <w:r>
        <w:t>1.</w:t>
      </w:r>
      <w:r>
        <w:tab/>
        <w:t xml:space="preserve">The Complainant is Lachele Burtch who received service at </w:t>
      </w:r>
      <w:r w:rsidR="00E0471F">
        <w:t xml:space="preserve">2300 </w:t>
      </w:r>
      <w:r w:rsidR="002813D8">
        <w:t>Wilson Avenue, Apt. 2, Pittsburgh</w:t>
      </w:r>
      <w:r>
        <w:t>, PA 15</w:t>
      </w:r>
      <w:r w:rsidR="002813D8">
        <w:t>214</w:t>
      </w:r>
      <w:r>
        <w:t>.</w:t>
      </w:r>
    </w:p>
    <w:p w:rsidR="00712DC0" w:rsidRDefault="00712DC0" w:rsidP="00712DC0">
      <w:pPr>
        <w:tabs>
          <w:tab w:val="left" w:pos="2160"/>
        </w:tabs>
        <w:spacing w:line="360" w:lineRule="auto"/>
        <w:ind w:firstLine="1440"/>
      </w:pPr>
    </w:p>
    <w:p w:rsidR="00712DC0" w:rsidRDefault="00712DC0" w:rsidP="00712DC0">
      <w:pPr>
        <w:spacing w:line="360" w:lineRule="auto"/>
        <w:ind w:firstLine="1440"/>
      </w:pPr>
      <w:r>
        <w:t>2.</w:t>
      </w:r>
      <w:r>
        <w:tab/>
        <w:t xml:space="preserve">The Respondent is Equitable Gas </w:t>
      </w:r>
      <w:r w:rsidR="00981E13">
        <w:t>Company,</w:t>
      </w:r>
      <w:r>
        <w:t xml:space="preserve"> LLC, a jurisdictional public utility providing natural gas utility services in the Commonwealth of Pennsylvania.</w:t>
      </w:r>
    </w:p>
    <w:p w:rsidR="002813D8" w:rsidRDefault="002813D8" w:rsidP="00712DC0">
      <w:pPr>
        <w:spacing w:line="360" w:lineRule="auto"/>
        <w:ind w:firstLine="1440"/>
      </w:pPr>
    </w:p>
    <w:p w:rsidR="00712DC0" w:rsidRDefault="00712DC0" w:rsidP="00712DC0">
      <w:pPr>
        <w:spacing w:line="360" w:lineRule="auto"/>
        <w:ind w:firstLine="1440"/>
      </w:pPr>
      <w:r>
        <w:t>3.</w:t>
      </w:r>
      <w:r>
        <w:tab/>
        <w:t xml:space="preserve">On </w:t>
      </w:r>
      <w:r w:rsidR="002813D8">
        <w:t>August 25, 2010</w:t>
      </w:r>
      <w:r>
        <w:t xml:space="preserve">, Complainant filed a formal Complaint with the Commission which alleged </w:t>
      </w:r>
      <w:r w:rsidR="002813D8" w:rsidRPr="002813D8">
        <w:rPr>
          <w:i/>
        </w:rPr>
        <w:t>inter alia</w:t>
      </w:r>
      <w:r w:rsidR="002813D8">
        <w:t xml:space="preserve"> </w:t>
      </w:r>
      <w:r>
        <w:t>an inability to pay her natural gas utility bill and requested a payment agreement.</w:t>
      </w:r>
    </w:p>
    <w:p w:rsidR="00712DC0" w:rsidRDefault="00712DC0" w:rsidP="00712DC0">
      <w:pPr>
        <w:spacing w:line="360" w:lineRule="auto"/>
        <w:ind w:firstLine="1440"/>
      </w:pPr>
    </w:p>
    <w:p w:rsidR="00712DC0" w:rsidRDefault="00712DC0" w:rsidP="00712DC0">
      <w:pPr>
        <w:spacing w:line="360" w:lineRule="auto"/>
        <w:ind w:firstLine="1440"/>
      </w:pPr>
      <w:r>
        <w:t>4.</w:t>
      </w:r>
      <w:r>
        <w:tab/>
        <w:t xml:space="preserve">On or about </w:t>
      </w:r>
      <w:r w:rsidR="00740759">
        <w:t>September 20</w:t>
      </w:r>
      <w:r w:rsidR="00213CA2">
        <w:t>, 2010, Respondent filed an</w:t>
      </w:r>
      <w:r>
        <w:t xml:space="preserve"> Answer </w:t>
      </w:r>
      <w:r w:rsidR="00740759">
        <w:t xml:space="preserve">and New Matter </w:t>
      </w:r>
      <w:r>
        <w:t>to the Complaint.</w:t>
      </w:r>
    </w:p>
    <w:p w:rsidR="00712DC0" w:rsidRDefault="00712DC0" w:rsidP="00712DC0">
      <w:pPr>
        <w:spacing w:line="360" w:lineRule="auto"/>
        <w:ind w:firstLine="1440"/>
      </w:pPr>
    </w:p>
    <w:p w:rsidR="00712DC0" w:rsidRDefault="00712DC0" w:rsidP="00712DC0">
      <w:pPr>
        <w:spacing w:line="360" w:lineRule="auto"/>
        <w:ind w:firstLine="1440"/>
      </w:pPr>
      <w:r>
        <w:t>5.</w:t>
      </w:r>
      <w:r>
        <w:tab/>
        <w:t xml:space="preserve">An Initial Telephonic Hearing in this case was scheduled for the morning of </w:t>
      </w:r>
      <w:r w:rsidR="00971738">
        <w:t>Tuesday, December 14, 2010</w:t>
      </w:r>
      <w:r>
        <w:t>, at 1</w:t>
      </w:r>
      <w:r w:rsidR="00971738">
        <w:t>0</w:t>
      </w:r>
      <w:r>
        <w:t xml:space="preserve">:00 </w:t>
      </w:r>
      <w:r w:rsidR="00971738">
        <w:t>a</w:t>
      </w:r>
      <w:r>
        <w:t xml:space="preserve">.m.  </w:t>
      </w:r>
    </w:p>
    <w:p w:rsidR="00712DC0" w:rsidRDefault="00712DC0" w:rsidP="00712DC0">
      <w:pPr>
        <w:spacing w:line="360" w:lineRule="auto"/>
        <w:ind w:firstLine="1440"/>
      </w:pPr>
    </w:p>
    <w:p w:rsidR="00712DC0" w:rsidRDefault="00712DC0" w:rsidP="00712DC0">
      <w:pPr>
        <w:spacing w:line="360" w:lineRule="auto"/>
        <w:ind w:firstLine="1440"/>
      </w:pPr>
      <w:r>
        <w:t>6.</w:t>
      </w:r>
      <w:r>
        <w:tab/>
        <w:t xml:space="preserve">By Hearing Notice dated </w:t>
      </w:r>
      <w:r w:rsidR="00971738">
        <w:t>September</w:t>
      </w:r>
      <w:r>
        <w:t xml:space="preserve"> </w:t>
      </w:r>
      <w:r w:rsidR="00971738">
        <w:t>1</w:t>
      </w:r>
      <w:r>
        <w:t xml:space="preserve">, 2010, and by a Prehearing Notice dated </w:t>
      </w:r>
      <w:r w:rsidR="00971738">
        <w:t>October 12</w:t>
      </w:r>
      <w:r>
        <w:t xml:space="preserve">, 2010, Complainant was notified of the date and time of the initial hearing on her Complaint and was provided information as to how to request a continuance. All of these documents were mailed to Complainant at the address provided on her complaint and were not returned to the Commission by the United States Postal Service. </w:t>
      </w:r>
    </w:p>
    <w:p w:rsidR="00712DC0" w:rsidRDefault="00712DC0" w:rsidP="00712DC0">
      <w:pPr>
        <w:spacing w:line="360" w:lineRule="auto"/>
        <w:ind w:firstLine="1440"/>
      </w:pPr>
    </w:p>
    <w:p w:rsidR="00712DC0" w:rsidRDefault="00712DC0" w:rsidP="00712DC0">
      <w:pPr>
        <w:spacing w:line="360" w:lineRule="auto"/>
        <w:ind w:firstLine="1440"/>
      </w:pPr>
      <w:r>
        <w:t>7.</w:t>
      </w:r>
      <w:r>
        <w:tab/>
        <w:t>Complainant did not request a continuance.</w:t>
      </w:r>
    </w:p>
    <w:p w:rsidR="00712DC0" w:rsidRDefault="00712DC0" w:rsidP="00712DC0">
      <w:pPr>
        <w:spacing w:line="360" w:lineRule="auto"/>
        <w:ind w:firstLine="1440"/>
      </w:pPr>
    </w:p>
    <w:p w:rsidR="00712DC0" w:rsidRDefault="00712DC0" w:rsidP="00712DC0">
      <w:pPr>
        <w:spacing w:line="360" w:lineRule="auto"/>
        <w:ind w:firstLine="1440"/>
      </w:pPr>
      <w:r>
        <w:t>8.</w:t>
      </w:r>
      <w:r>
        <w:tab/>
        <w:t>The hearing was held as scheduled. Respondent was present and prepared to proceed.</w:t>
      </w:r>
    </w:p>
    <w:p w:rsidR="00712DC0" w:rsidRDefault="00712DC0" w:rsidP="00712DC0">
      <w:pPr>
        <w:spacing w:line="360" w:lineRule="auto"/>
        <w:ind w:firstLine="1440"/>
      </w:pPr>
    </w:p>
    <w:p w:rsidR="00712DC0" w:rsidRDefault="00712DC0" w:rsidP="00712DC0">
      <w:pPr>
        <w:spacing w:line="360" w:lineRule="auto"/>
        <w:ind w:firstLine="1440"/>
      </w:pPr>
      <w:r>
        <w:t>9.</w:t>
      </w:r>
      <w:r>
        <w:tab/>
        <w:t>Complainant</w:t>
      </w:r>
      <w:r w:rsidRPr="0042320C">
        <w:t xml:space="preserve"> </w:t>
      </w:r>
      <w:r>
        <w:t>failed to appear</w:t>
      </w:r>
      <w:r w:rsidRPr="0042320C">
        <w:t xml:space="preserve"> for the </w:t>
      </w:r>
      <w:r>
        <w:t>h</w:t>
      </w:r>
      <w:r w:rsidRPr="0042320C">
        <w:t>earing.</w:t>
      </w:r>
      <w:r>
        <w:t xml:space="preserve">  </w:t>
      </w:r>
    </w:p>
    <w:p w:rsidR="00712DC0" w:rsidRDefault="00712DC0" w:rsidP="00712DC0">
      <w:pPr>
        <w:spacing w:line="360" w:lineRule="auto"/>
        <w:ind w:firstLine="1440"/>
      </w:pPr>
    </w:p>
    <w:p w:rsidR="00712DC0" w:rsidRDefault="00712DC0" w:rsidP="00712DC0">
      <w:pPr>
        <w:spacing w:line="360" w:lineRule="auto"/>
        <w:ind w:firstLine="1440"/>
      </w:pPr>
      <w:r>
        <w:lastRenderedPageBreak/>
        <w:t>10.</w:t>
      </w:r>
      <w:r>
        <w:tab/>
        <w:t>Respondent made a motion to dismiss the Complaint with prejudice for failure to prosecute.</w:t>
      </w:r>
    </w:p>
    <w:p w:rsidR="00971738" w:rsidRDefault="00971738" w:rsidP="00712DC0">
      <w:pPr>
        <w:spacing w:line="276" w:lineRule="auto"/>
        <w:jc w:val="center"/>
        <w:rPr>
          <w:u w:val="single"/>
        </w:rPr>
      </w:pPr>
    </w:p>
    <w:p w:rsidR="00712DC0" w:rsidRPr="004E7308" w:rsidRDefault="00712DC0" w:rsidP="00712DC0">
      <w:pPr>
        <w:spacing w:line="276" w:lineRule="auto"/>
        <w:jc w:val="center"/>
        <w:rPr>
          <w:u w:val="single"/>
        </w:rPr>
      </w:pPr>
      <w:r w:rsidRPr="004E7308">
        <w:rPr>
          <w:u w:val="single"/>
        </w:rPr>
        <w:t>DISCUSSION</w:t>
      </w:r>
    </w:p>
    <w:p w:rsidR="00712DC0" w:rsidRPr="004E7308" w:rsidRDefault="00712DC0" w:rsidP="00712DC0">
      <w:pPr>
        <w:tabs>
          <w:tab w:val="left" w:pos="2160"/>
        </w:tabs>
        <w:spacing w:line="360" w:lineRule="auto"/>
        <w:jc w:val="center"/>
        <w:rPr>
          <w:u w:val="single"/>
        </w:rPr>
      </w:pPr>
    </w:p>
    <w:p w:rsidR="00712DC0" w:rsidRPr="004E7308" w:rsidRDefault="00712DC0" w:rsidP="00712DC0">
      <w:pPr>
        <w:spacing w:line="360" w:lineRule="auto"/>
        <w:ind w:firstLine="1440"/>
      </w:pPr>
      <w:r w:rsidRPr="004E7308">
        <w:t xml:space="preserve">In </w:t>
      </w:r>
      <w:r>
        <w:t>the f</w:t>
      </w:r>
      <w:r w:rsidRPr="004E7308">
        <w:t xml:space="preserve">ormal Complaint, Complainant </w:t>
      </w:r>
      <w:r>
        <w:t xml:space="preserve">has </w:t>
      </w:r>
      <w:r w:rsidRPr="004E7308">
        <w:t xml:space="preserve">alleged an inability to pay </w:t>
      </w:r>
      <w:r>
        <w:t xml:space="preserve">her natural gas </w:t>
      </w:r>
      <w:r w:rsidRPr="004E7308">
        <w:t xml:space="preserve">utility bill.  As the party seeking affirmative relief from the Commission, </w:t>
      </w:r>
      <w:r>
        <w:t xml:space="preserve">the </w:t>
      </w:r>
      <w:r w:rsidRPr="004E7308">
        <w:t>Complainant bears the burden of proof.  66 Pa. C.S. §</w:t>
      </w:r>
      <w:r>
        <w:t xml:space="preserve"> </w:t>
      </w:r>
      <w:r w:rsidRPr="004E7308">
        <w:t xml:space="preserve">332(a).  </w:t>
      </w:r>
    </w:p>
    <w:p w:rsidR="00712DC0" w:rsidRPr="004E7308" w:rsidRDefault="00712DC0" w:rsidP="00712DC0">
      <w:pPr>
        <w:spacing w:line="360" w:lineRule="auto"/>
        <w:ind w:firstLine="1440"/>
      </w:pPr>
    </w:p>
    <w:p w:rsidR="00712DC0" w:rsidRDefault="00712DC0" w:rsidP="00712DC0">
      <w:pPr>
        <w:spacing w:line="360" w:lineRule="auto"/>
        <w:ind w:firstLine="1440"/>
      </w:pPr>
      <w:r>
        <w:t>The issue in this matter is whether the Complainant, by failing to appear sustained her burden of proof.  By failing to participate in the hearing, Complainant was unable to meet her burden.</w:t>
      </w:r>
    </w:p>
    <w:p w:rsidR="00712DC0" w:rsidRDefault="00712DC0" w:rsidP="00712DC0">
      <w:pPr>
        <w:spacing w:line="360" w:lineRule="auto"/>
        <w:ind w:firstLine="1440"/>
        <w:rPr>
          <w:spacing w:val="-3"/>
        </w:rPr>
      </w:pPr>
    </w:p>
    <w:p w:rsidR="00712DC0" w:rsidRDefault="00712DC0" w:rsidP="00712DC0">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Pr>
          <w:spacing w:val="-3"/>
        </w:rPr>
        <w:t xml:space="preserve">Pa.  </w:t>
      </w:r>
      <w:r w:rsidRPr="004E7308">
        <w:rPr>
          <w:spacing w:val="-3"/>
        </w:rPr>
        <w:t>1950).</w:t>
      </w:r>
      <w:r>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r>
        <w:rPr>
          <w:spacing w:val="-3"/>
        </w:rPr>
        <w:t xml:space="preserve">Pa.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r>
        <w:rPr>
          <w:spacing w:val="-3"/>
        </w:rPr>
        <w:t xml:space="preserve">Pa. Cmwlth. </w:t>
      </w:r>
      <w:r w:rsidRPr="004E7308">
        <w:rPr>
          <w:spacing w:val="-3"/>
        </w:rPr>
        <w:t xml:space="preserve">1993), 2 Pa.C.S.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712DC0" w:rsidRDefault="00712DC0" w:rsidP="00712DC0">
      <w:pPr>
        <w:spacing w:line="360" w:lineRule="auto"/>
        <w:ind w:firstLine="1440"/>
        <w:rPr>
          <w:spacing w:val="-3"/>
        </w:rPr>
      </w:pPr>
    </w:p>
    <w:p w:rsidR="00712DC0" w:rsidRDefault="00712DC0" w:rsidP="00712DC0">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xml:space="preserve">, </w:t>
      </w:r>
      <w:r>
        <w:lastRenderedPageBreak/>
        <w:t xml:space="preserve">479 A.2d 10 (Pa.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712DC0" w:rsidRDefault="00712DC0" w:rsidP="00712DC0">
      <w:pPr>
        <w:spacing w:line="360" w:lineRule="auto"/>
        <w:ind w:firstLine="1440"/>
        <w:rPr>
          <w:u w:val="single"/>
        </w:rPr>
      </w:pPr>
    </w:p>
    <w:p w:rsidR="00712DC0" w:rsidRDefault="00712DC0" w:rsidP="00712DC0">
      <w:pPr>
        <w:spacing w:line="360" w:lineRule="auto"/>
        <w:ind w:firstLine="1440"/>
      </w:pPr>
      <w:r>
        <w:t>Complainant failed to appear by telephone for the hearing.  On the day of the hearing, I called the Complainant at the telephone number listed on the Complaint, 4</w:t>
      </w:r>
      <w:r w:rsidR="00971738">
        <w:t>12</w:t>
      </w:r>
      <w:r>
        <w:t>-</w:t>
      </w:r>
      <w:r w:rsidR="00971738">
        <w:t>32</w:t>
      </w:r>
      <w:r>
        <w:t xml:space="preserve">2-****.  At that time I heard a recorded message from the telephone company which informed me that the </w:t>
      </w:r>
      <w:r w:rsidR="00935281">
        <w:t xml:space="preserve">telephone </w:t>
      </w:r>
      <w:r>
        <w:t>number I dialed had been disconnected.  I ve</w:t>
      </w:r>
      <w:r w:rsidR="00D97D2E">
        <w:t>rified that my voice mail and e</w:t>
      </w:r>
      <w:r w:rsidR="00D97D2E">
        <w:noBreakHyphen/>
      </w:r>
      <w:r>
        <w:t xml:space="preserv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r w:rsidR="00971738">
        <w:t>Complainant failed to appear.</w:t>
      </w:r>
    </w:p>
    <w:p w:rsidR="00712DC0" w:rsidRDefault="00712DC0" w:rsidP="00712DC0">
      <w:pPr>
        <w:spacing w:line="360" w:lineRule="auto"/>
        <w:ind w:firstLine="1440"/>
      </w:pPr>
    </w:p>
    <w:p w:rsidR="00712DC0" w:rsidRDefault="00712DC0" w:rsidP="00712DC0">
      <w:pPr>
        <w:spacing w:line="360" w:lineRule="auto"/>
        <w:ind w:firstLine="1440"/>
        <w:rPr>
          <w:spacing w:val="-3"/>
        </w:rPr>
      </w:pPr>
      <w:r w:rsidRPr="0097321D">
        <w:t>By</w:t>
      </w:r>
      <w:r>
        <w:t xml:space="preserve"> her</w:t>
      </w:r>
      <w:r w:rsidRPr="0097321D">
        <w:t xml:space="preserve"> unexcused failure to appear</w:t>
      </w:r>
      <w:r>
        <w:t>,</w:t>
      </w:r>
      <w:r w:rsidRPr="0097321D">
        <w:t xml:space="preserve"> </w:t>
      </w:r>
      <w:r>
        <w:t>Complainant</w:t>
      </w:r>
      <w:r w:rsidRPr="0097321D">
        <w:t xml:space="preserve"> waived he</w:t>
      </w:r>
      <w:r w:rsidR="00935281">
        <w:t>r</w:t>
      </w:r>
      <w:r w:rsidRPr="0097321D">
        <w:t xml:space="preserve"> opportunity to</w:t>
      </w:r>
      <w:r>
        <w:t xml:space="preserve"> participate in the hearing.  52 Pa. Code § 5.245(a).  A Complaint may be dismissed for lack of prosecution, i.e., the Complainant’s failure to appear at a hearing to sustain its burden of proof.  </w:t>
      </w:r>
      <w:r w:rsidRPr="00CC5104">
        <w:rPr>
          <w:u w:val="single"/>
        </w:rPr>
        <w:t>Darling v. Philadelphia Electric Co</w:t>
      </w:r>
      <w:r>
        <w:t>., Docket No. F-0</w:t>
      </w:r>
      <w:r w:rsidR="00D97D2E">
        <w:t>0161139 (Order entered November 16, </w:t>
      </w:r>
      <w:r>
        <w:t xml:space="preserve">1993).  Such dismissal is characterized as a dismissal with prejudice, which prevents the Complaint from litigating the matter again.  </w:t>
      </w:r>
      <w:r w:rsidRPr="002039CA">
        <w:rPr>
          <w:spacing w:val="-3"/>
          <w:u w:val="single"/>
        </w:rPr>
        <w:t xml:space="preserve">Jefferson v. </w:t>
      </w:r>
      <w:r>
        <w:rPr>
          <w:spacing w:val="-3"/>
          <w:u w:val="single"/>
        </w:rPr>
        <w:t>Equitable Gas Company , LLC</w:t>
      </w:r>
      <w:r>
        <w:rPr>
          <w:spacing w:val="-3"/>
        </w:rPr>
        <w:t xml:space="preserve">, Docket No. Z-00269892, (Order entered December 26, 1995).  </w:t>
      </w:r>
    </w:p>
    <w:p w:rsidR="00712DC0" w:rsidRDefault="00712DC0" w:rsidP="00712DC0">
      <w:pPr>
        <w:spacing w:line="360" w:lineRule="auto"/>
        <w:ind w:firstLine="1440"/>
        <w:rPr>
          <w:spacing w:val="-3"/>
        </w:rPr>
      </w:pPr>
    </w:p>
    <w:p w:rsidR="00712DC0" w:rsidRDefault="00712DC0" w:rsidP="00712DC0">
      <w:pPr>
        <w:spacing w:line="360" w:lineRule="auto"/>
        <w:ind w:firstLine="1440"/>
        <w:rPr>
          <w:spacing w:val="-3"/>
        </w:rPr>
      </w:pPr>
      <w:r>
        <w:rPr>
          <w:spacing w:val="-3"/>
        </w:rPr>
        <w:t>Due to the Complainant’s failure to appear by telephone for the hearing, I will grant the Respondent’s motion and dismiss the Complaint with prejudice.</w:t>
      </w:r>
    </w:p>
    <w:p w:rsidR="00712DC0" w:rsidRDefault="00712DC0" w:rsidP="00712DC0">
      <w:pPr>
        <w:spacing w:line="360" w:lineRule="auto"/>
        <w:ind w:firstLine="1440"/>
        <w:rPr>
          <w:spacing w:val="-3"/>
        </w:rPr>
      </w:pPr>
    </w:p>
    <w:p w:rsidR="00712DC0" w:rsidRDefault="00712DC0" w:rsidP="00712DC0">
      <w:pPr>
        <w:spacing w:line="360" w:lineRule="auto"/>
        <w:ind w:left="1440" w:firstLine="1440"/>
        <w:rPr>
          <w:u w:val="single"/>
        </w:rPr>
      </w:pPr>
      <w:r>
        <w:rPr>
          <w:u w:val="single"/>
        </w:rPr>
        <w:t>CONCLUSIONS OF LAW</w:t>
      </w:r>
    </w:p>
    <w:p w:rsidR="00712DC0" w:rsidRDefault="00712DC0" w:rsidP="00712DC0">
      <w:pPr>
        <w:spacing w:line="360" w:lineRule="auto"/>
        <w:ind w:firstLine="1440"/>
      </w:pPr>
    </w:p>
    <w:p w:rsidR="00712DC0" w:rsidRDefault="00712DC0" w:rsidP="00712DC0">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712DC0" w:rsidRDefault="00712DC0" w:rsidP="00712DC0">
      <w:pPr>
        <w:spacing w:line="360" w:lineRule="auto"/>
        <w:ind w:left="1440"/>
      </w:pPr>
    </w:p>
    <w:p w:rsidR="00D97D2E" w:rsidRDefault="00712DC0" w:rsidP="00D97D2E">
      <w:pPr>
        <w:numPr>
          <w:ilvl w:val="0"/>
          <w:numId w:val="1"/>
        </w:numPr>
        <w:tabs>
          <w:tab w:val="clear" w:pos="900"/>
          <w:tab w:val="num" w:pos="2160"/>
        </w:tabs>
        <w:spacing w:line="360" w:lineRule="auto"/>
        <w:ind w:left="0" w:firstLine="1440"/>
      </w:pPr>
      <w:r>
        <w:t>Complaint has the burden of proof</w:t>
      </w:r>
      <w:r w:rsidRPr="00006FBE">
        <w:t>.</w:t>
      </w:r>
      <w:r>
        <w:t xml:space="preserve">  66 </w:t>
      </w:r>
      <w:smartTag w:uri="urn:schemas-microsoft-com:office:smarttags" w:element="place">
        <w:smartTag w:uri="urn:schemas-microsoft-com:office:smarttags" w:element="State">
          <w:r>
            <w:t>Pa.</w:t>
          </w:r>
        </w:smartTag>
      </w:smartTag>
      <w:r>
        <w:t xml:space="preserve"> C.S. § 332(a)</w:t>
      </w:r>
      <w:r w:rsidR="00D97D2E">
        <w:br w:type="page"/>
      </w:r>
    </w:p>
    <w:p w:rsidR="00712DC0" w:rsidRDefault="00712DC0" w:rsidP="00712DC0">
      <w:pPr>
        <w:spacing w:line="360" w:lineRule="auto"/>
        <w:ind w:firstLine="1440"/>
      </w:pPr>
      <w:r>
        <w:lastRenderedPageBreak/>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712DC0" w:rsidRDefault="00712DC0" w:rsidP="00712DC0">
      <w:pPr>
        <w:spacing w:line="360" w:lineRule="auto"/>
        <w:ind w:firstLine="1440"/>
      </w:pPr>
    </w:p>
    <w:p w:rsidR="00712DC0" w:rsidRDefault="00712DC0" w:rsidP="00712DC0">
      <w:pPr>
        <w:numPr>
          <w:ilvl w:val="0"/>
          <w:numId w:val="2"/>
        </w:numPr>
        <w:tabs>
          <w:tab w:val="clear" w:pos="1800"/>
          <w:tab w:val="num" w:pos="2160"/>
        </w:tabs>
        <w:spacing w:line="360" w:lineRule="auto"/>
        <w:ind w:left="0" w:firstLine="1440"/>
      </w:pPr>
      <w:r>
        <w:t>By failing to appear to prosecute the complaint, Complainant ha</w:t>
      </w:r>
      <w:r w:rsidR="00971738">
        <w:t>s</w:t>
      </w:r>
      <w:r>
        <w:t xml:space="preserve"> failed to sustain her burden of proof.</w:t>
      </w:r>
    </w:p>
    <w:p w:rsidR="00712DC0" w:rsidRDefault="00712DC0" w:rsidP="00712DC0">
      <w:pPr>
        <w:spacing w:line="360" w:lineRule="auto"/>
      </w:pPr>
    </w:p>
    <w:p w:rsidR="00712DC0" w:rsidRDefault="00712DC0" w:rsidP="00712DC0">
      <w:pPr>
        <w:numPr>
          <w:ilvl w:val="0"/>
          <w:numId w:val="2"/>
        </w:numPr>
        <w:tabs>
          <w:tab w:val="clear" w:pos="1800"/>
          <w:tab w:val="num" w:pos="0"/>
        </w:tabs>
        <w:spacing w:line="360" w:lineRule="auto"/>
        <w:ind w:left="0" w:firstLine="1440"/>
      </w:pPr>
      <w:r>
        <w:t xml:space="preserve">Complainant’s Complaint is dismissed with prejudice for lack of prosecution.  </w:t>
      </w:r>
      <w:smartTag w:uri="urn:schemas-microsoft-com:office:smarttags" w:element="place">
        <w:r w:rsidRPr="00F40F42">
          <w:rPr>
            <w:u w:val="single"/>
          </w:rPr>
          <w:t>Jefferson</w:t>
        </w:r>
      </w:smartTag>
      <w:r w:rsidRPr="00F40F42">
        <w:rPr>
          <w:u w:val="single"/>
        </w:rPr>
        <w:t xml:space="preserve"> v. </w:t>
      </w:r>
      <w:r>
        <w:rPr>
          <w:u w:val="single"/>
        </w:rPr>
        <w:t>Equitable Gas Company , LLC</w:t>
      </w:r>
      <w:r>
        <w:t xml:space="preserve"> Docket No. Z-00269892 (Order entered December 26, 1995).</w:t>
      </w:r>
    </w:p>
    <w:p w:rsidR="00712DC0" w:rsidRDefault="00712DC0" w:rsidP="00712DC0">
      <w:pPr>
        <w:spacing w:line="360" w:lineRule="auto"/>
      </w:pPr>
    </w:p>
    <w:p w:rsidR="00712DC0" w:rsidRDefault="00712DC0" w:rsidP="00712DC0">
      <w:pPr>
        <w:tabs>
          <w:tab w:val="num" w:pos="1440"/>
        </w:tabs>
        <w:spacing w:line="360" w:lineRule="auto"/>
        <w:jc w:val="center"/>
        <w:rPr>
          <w:u w:val="single"/>
        </w:rPr>
      </w:pPr>
      <w:r>
        <w:rPr>
          <w:u w:val="single"/>
        </w:rPr>
        <w:t>ORDER</w:t>
      </w:r>
    </w:p>
    <w:p w:rsidR="00712DC0" w:rsidRDefault="00712DC0" w:rsidP="00712DC0">
      <w:pPr>
        <w:tabs>
          <w:tab w:val="num" w:pos="2160"/>
        </w:tabs>
        <w:spacing w:line="360" w:lineRule="auto"/>
        <w:jc w:val="center"/>
        <w:rPr>
          <w:u w:val="single"/>
        </w:rPr>
      </w:pPr>
    </w:p>
    <w:p w:rsidR="00712DC0" w:rsidRPr="00493E49" w:rsidRDefault="00712DC0" w:rsidP="00712DC0">
      <w:pPr>
        <w:tabs>
          <w:tab w:val="num" w:pos="2160"/>
        </w:tabs>
        <w:spacing w:line="360" w:lineRule="auto"/>
        <w:ind w:firstLine="1440"/>
      </w:pPr>
      <w:r w:rsidRPr="00493E49">
        <w:t xml:space="preserve">THEREFORE, </w:t>
      </w:r>
    </w:p>
    <w:p w:rsidR="00712DC0" w:rsidRDefault="00712DC0" w:rsidP="00712DC0">
      <w:pPr>
        <w:tabs>
          <w:tab w:val="num" w:pos="2160"/>
        </w:tabs>
        <w:spacing w:line="360" w:lineRule="auto"/>
      </w:pPr>
    </w:p>
    <w:p w:rsidR="00712DC0" w:rsidRPr="00493E49" w:rsidRDefault="00712DC0" w:rsidP="00712DC0">
      <w:pPr>
        <w:tabs>
          <w:tab w:val="num" w:pos="2160"/>
        </w:tabs>
        <w:spacing w:line="360" w:lineRule="auto"/>
        <w:ind w:firstLine="1440"/>
      </w:pPr>
      <w:r w:rsidRPr="00493E49">
        <w:t>IT IS ORDERED:</w:t>
      </w:r>
    </w:p>
    <w:p w:rsidR="00712DC0" w:rsidRDefault="00712DC0" w:rsidP="00712DC0">
      <w:pPr>
        <w:tabs>
          <w:tab w:val="num" w:pos="2160"/>
        </w:tabs>
        <w:spacing w:line="360" w:lineRule="auto"/>
        <w:rPr>
          <w:b/>
        </w:rPr>
      </w:pPr>
    </w:p>
    <w:p w:rsidR="00712DC0" w:rsidRDefault="00712DC0" w:rsidP="00712DC0">
      <w:pPr>
        <w:spacing w:line="360" w:lineRule="auto"/>
        <w:ind w:firstLine="1440"/>
      </w:pPr>
      <w:r>
        <w:t>1.</w:t>
      </w:r>
      <w:r>
        <w:tab/>
        <w:t>That the motion of Equitable Gas Company, LLC to dismiss the Complaint of Lachele Burtch at Docket No. C-2010-2195855 is granted.</w:t>
      </w:r>
    </w:p>
    <w:p w:rsidR="00712DC0" w:rsidRDefault="00712DC0" w:rsidP="00712DC0">
      <w:pPr>
        <w:tabs>
          <w:tab w:val="num" w:pos="2160"/>
        </w:tabs>
        <w:spacing w:line="360" w:lineRule="auto"/>
        <w:ind w:firstLine="1440"/>
      </w:pPr>
    </w:p>
    <w:p w:rsidR="00712DC0" w:rsidRDefault="00712DC0" w:rsidP="00712DC0">
      <w:pPr>
        <w:tabs>
          <w:tab w:val="num" w:pos="2160"/>
        </w:tabs>
        <w:spacing w:line="360" w:lineRule="auto"/>
        <w:ind w:firstLine="1440"/>
      </w:pPr>
      <w:r>
        <w:t>2.</w:t>
      </w:r>
      <w:r>
        <w:tab/>
        <w:t>That the Formal Complaint filed by Lachele Burtch against Equitable Gas Company, LLC at Docket No. C-2010-2195855 is dismissed with prejudice for failure to prosecute.</w:t>
      </w:r>
    </w:p>
    <w:p w:rsidR="00712DC0" w:rsidRDefault="00712DC0" w:rsidP="00712DC0">
      <w:pPr>
        <w:tabs>
          <w:tab w:val="num" w:pos="2160"/>
        </w:tabs>
        <w:spacing w:line="360" w:lineRule="auto"/>
        <w:ind w:firstLine="1440"/>
      </w:pPr>
    </w:p>
    <w:p w:rsidR="00712DC0" w:rsidRDefault="00712DC0" w:rsidP="00712DC0">
      <w:pPr>
        <w:tabs>
          <w:tab w:val="num" w:pos="2160"/>
        </w:tabs>
        <w:spacing w:line="360" w:lineRule="auto"/>
        <w:ind w:firstLine="1440"/>
      </w:pPr>
      <w:r>
        <w:t>3.</w:t>
      </w:r>
      <w:r>
        <w:tab/>
        <w:t>That the record at Docket No. C-2010-2195855 is marked closed.</w:t>
      </w:r>
    </w:p>
    <w:p w:rsidR="00D97D2E" w:rsidRDefault="00D97D2E" w:rsidP="00712DC0">
      <w:pPr>
        <w:tabs>
          <w:tab w:val="num" w:pos="2160"/>
        </w:tabs>
        <w:spacing w:line="360" w:lineRule="auto"/>
        <w:ind w:firstLine="1440"/>
      </w:pPr>
    </w:p>
    <w:p w:rsidR="00D97D2E" w:rsidRDefault="00D97D2E" w:rsidP="00712DC0">
      <w:pPr>
        <w:tabs>
          <w:tab w:val="num" w:pos="2160"/>
        </w:tabs>
        <w:spacing w:line="360" w:lineRule="auto"/>
        <w:ind w:firstLine="1440"/>
      </w:pPr>
    </w:p>
    <w:p w:rsidR="00971738" w:rsidRDefault="00712DC0" w:rsidP="00712DC0">
      <w:pPr>
        <w:tabs>
          <w:tab w:val="num" w:pos="2160"/>
          <w:tab w:val="left" w:pos="5048"/>
        </w:tabs>
      </w:pPr>
      <w:r>
        <w:t xml:space="preserve">Dated: </w:t>
      </w:r>
      <w:r w:rsidR="00971738" w:rsidRPr="00971738">
        <w:rPr>
          <w:u w:val="single"/>
        </w:rPr>
        <w:t>December 1</w:t>
      </w:r>
      <w:r w:rsidR="00D97D2E">
        <w:rPr>
          <w:u w:val="single"/>
        </w:rPr>
        <w:t>6</w:t>
      </w:r>
      <w:r w:rsidR="00971738" w:rsidRPr="00971738">
        <w:rPr>
          <w:u w:val="single"/>
        </w:rPr>
        <w:t>, 2010</w:t>
      </w:r>
    </w:p>
    <w:p w:rsidR="00712DC0" w:rsidRDefault="00712DC0" w:rsidP="00712DC0">
      <w:pPr>
        <w:tabs>
          <w:tab w:val="num" w:pos="2160"/>
          <w:tab w:val="left" w:pos="5048"/>
        </w:tabs>
      </w:pPr>
      <w:r>
        <w:tab/>
      </w:r>
      <w:r>
        <w:tab/>
        <w:t>_____________________________</w:t>
      </w:r>
      <w:r w:rsidR="00971738">
        <w:t>____</w:t>
      </w:r>
    </w:p>
    <w:p w:rsidR="00712DC0" w:rsidRDefault="00712DC0" w:rsidP="00712DC0">
      <w:pPr>
        <w:tabs>
          <w:tab w:val="num" w:pos="2160"/>
        </w:tabs>
      </w:pPr>
      <w:r>
        <w:tab/>
      </w:r>
      <w:r>
        <w:tab/>
      </w:r>
      <w:r>
        <w:tab/>
      </w:r>
      <w:r>
        <w:tab/>
      </w:r>
      <w:r>
        <w:tab/>
        <w:t>David A. Alexander</w:t>
      </w:r>
    </w:p>
    <w:p w:rsidR="000545ED" w:rsidRDefault="00712DC0" w:rsidP="00D97D2E">
      <w:pPr>
        <w:tabs>
          <w:tab w:val="num" w:pos="2160"/>
        </w:tabs>
      </w:pPr>
      <w:r>
        <w:tab/>
      </w:r>
      <w:r>
        <w:tab/>
      </w:r>
      <w:r>
        <w:tab/>
      </w:r>
      <w:r>
        <w:tab/>
      </w:r>
      <w:r>
        <w:tab/>
        <w:t>Special Agent</w:t>
      </w:r>
    </w:p>
    <w:sectPr w:rsidR="000545ED" w:rsidSect="00B56A97">
      <w:footerReference w:type="even" r:id="rId8"/>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82" w:rsidRDefault="00274682" w:rsidP="00A00F56">
      <w:r>
        <w:separator/>
      </w:r>
    </w:p>
  </w:endnote>
  <w:endnote w:type="continuationSeparator" w:id="0">
    <w:p w:rsidR="00274682" w:rsidRDefault="00274682" w:rsidP="00A00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97" w:rsidRDefault="00FC7C47" w:rsidP="00B56A97">
    <w:pPr>
      <w:pStyle w:val="Footer"/>
      <w:framePr w:wrap="around" w:vAnchor="text" w:hAnchor="margin" w:xAlign="center" w:y="1"/>
      <w:rPr>
        <w:rStyle w:val="PageNumber"/>
      </w:rPr>
    </w:pPr>
    <w:r>
      <w:rPr>
        <w:rStyle w:val="PageNumber"/>
      </w:rPr>
      <w:fldChar w:fldCharType="begin"/>
    </w:r>
    <w:r w:rsidR="006B0E89">
      <w:rPr>
        <w:rStyle w:val="PageNumber"/>
      </w:rPr>
      <w:instrText xml:space="preserve">PAGE  </w:instrText>
    </w:r>
    <w:r>
      <w:rPr>
        <w:rStyle w:val="PageNumber"/>
      </w:rPr>
      <w:fldChar w:fldCharType="end"/>
    </w:r>
  </w:p>
  <w:p w:rsidR="00B56A97" w:rsidRDefault="00274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97" w:rsidRPr="0014242F" w:rsidRDefault="00FC7C47"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6B0E89" w:rsidRPr="0014242F">
      <w:rPr>
        <w:rStyle w:val="PageNumber"/>
        <w:sz w:val="20"/>
        <w:szCs w:val="20"/>
      </w:rPr>
      <w:instrText xml:space="preserve">PAGE  </w:instrText>
    </w:r>
    <w:r w:rsidRPr="0014242F">
      <w:rPr>
        <w:rStyle w:val="PageNumber"/>
        <w:sz w:val="20"/>
        <w:szCs w:val="20"/>
      </w:rPr>
      <w:fldChar w:fldCharType="separate"/>
    </w:r>
    <w:r w:rsidR="00FD1E88">
      <w:rPr>
        <w:rStyle w:val="PageNumber"/>
        <w:noProof/>
        <w:sz w:val="20"/>
        <w:szCs w:val="20"/>
      </w:rPr>
      <w:t>5</w:t>
    </w:r>
    <w:r w:rsidRPr="0014242F">
      <w:rPr>
        <w:rStyle w:val="PageNumber"/>
        <w:sz w:val="20"/>
        <w:szCs w:val="20"/>
      </w:rPr>
      <w:fldChar w:fldCharType="end"/>
    </w:r>
  </w:p>
  <w:p w:rsidR="00B56A97" w:rsidRDefault="00274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82" w:rsidRDefault="00274682" w:rsidP="00A00F56">
      <w:r>
        <w:separator/>
      </w:r>
    </w:p>
  </w:footnote>
  <w:footnote w:type="continuationSeparator" w:id="0">
    <w:p w:rsidR="00274682" w:rsidRDefault="00274682" w:rsidP="00A00F56">
      <w:r>
        <w:continuationSeparator/>
      </w:r>
    </w:p>
  </w:footnote>
  <w:footnote w:id="1">
    <w:p w:rsidR="00850B19" w:rsidRDefault="00850B19">
      <w:pPr>
        <w:pStyle w:val="FootnoteText"/>
      </w:pPr>
      <w:r>
        <w:rPr>
          <w:rStyle w:val="FootnoteReference"/>
        </w:rPr>
        <w:footnoteRef/>
      </w:r>
      <w:r>
        <w:t xml:space="preserve">  </w:t>
      </w:r>
      <w:r w:rsidR="00D97D2E">
        <w:tab/>
      </w:r>
      <w:r>
        <w:t xml:space="preserve">Pursuant to 52 Pa. Code </w:t>
      </w:r>
      <w:r w:rsidR="00BD1F32">
        <w:t>§</w:t>
      </w:r>
      <w:r>
        <w:t>§</w:t>
      </w:r>
      <w:r w:rsidR="00BD1F32">
        <w:t xml:space="preserve"> 1.112 and </w:t>
      </w:r>
      <w:r>
        <w:t>5.62(c), Complainant’</w:t>
      </w:r>
      <w:r w:rsidR="00BD1F32">
        <w:t>s response to New M</w:t>
      </w:r>
      <w:r>
        <w:t xml:space="preserve">atter was due </w:t>
      </w:r>
      <w:r w:rsidR="00BD1F32">
        <w:t>wi</w:t>
      </w:r>
      <w:r w:rsidR="00001461">
        <w:t>thin 20 days of service of the A</w:t>
      </w:r>
      <w:r w:rsidR="00BD1F32">
        <w:t>nswer</w:t>
      </w:r>
      <w:r w:rsidR="00E0471F">
        <w:t xml:space="preserve"> or other pleading raising New M</w:t>
      </w:r>
      <w:r w:rsidR="00BD1F32">
        <w:t>atter.  Because the 20</w:t>
      </w:r>
      <w:r w:rsidR="00BD1F32" w:rsidRPr="00BD1F32">
        <w:rPr>
          <w:vertAlign w:val="superscript"/>
        </w:rPr>
        <w:t>th</w:t>
      </w:r>
      <w:r w:rsidR="00BD1F32">
        <w:t xml:space="preserve"> day in this matter was Sunday, October 10, 2010</w:t>
      </w:r>
      <w:r w:rsidR="00001461">
        <w:t>,</w:t>
      </w:r>
      <w:r w:rsidR="00BD1F32">
        <w:t xml:space="preserve"> and Monday October 11, 2010 was a legal holiday, a response </w:t>
      </w:r>
      <w:r w:rsidR="0017106E">
        <w:t xml:space="preserve">to New Matter </w:t>
      </w:r>
      <w:r w:rsidR="00BD1F32">
        <w:t xml:space="preserve">was due </w:t>
      </w:r>
      <w:r>
        <w:t xml:space="preserve">on or before </w:t>
      </w:r>
      <w:r w:rsidR="0017106E">
        <w:t xml:space="preserve">Tuesday, </w:t>
      </w:r>
      <w:r>
        <w:t>October</w:t>
      </w:r>
      <w:r w:rsidR="00BD1F32">
        <w:t xml:space="preserve"> 12, 2010.</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2DC0"/>
    <w:rsid w:val="00001461"/>
    <w:rsid w:val="00016725"/>
    <w:rsid w:val="00027DB5"/>
    <w:rsid w:val="00042B57"/>
    <w:rsid w:val="000545ED"/>
    <w:rsid w:val="00086F50"/>
    <w:rsid w:val="00087EC1"/>
    <w:rsid w:val="000A22F7"/>
    <w:rsid w:val="000A50AE"/>
    <w:rsid w:val="000B5361"/>
    <w:rsid w:val="00104FAE"/>
    <w:rsid w:val="001071B6"/>
    <w:rsid w:val="001446FE"/>
    <w:rsid w:val="00156933"/>
    <w:rsid w:val="0017106E"/>
    <w:rsid w:val="0017674C"/>
    <w:rsid w:val="00186B3D"/>
    <w:rsid w:val="00194298"/>
    <w:rsid w:val="001C0383"/>
    <w:rsid w:val="001C3014"/>
    <w:rsid w:val="001E31DC"/>
    <w:rsid w:val="001E3FCA"/>
    <w:rsid w:val="00200411"/>
    <w:rsid w:val="00213CA2"/>
    <w:rsid w:val="00234C52"/>
    <w:rsid w:val="002365AB"/>
    <w:rsid w:val="00236661"/>
    <w:rsid w:val="00250EEF"/>
    <w:rsid w:val="00252607"/>
    <w:rsid w:val="00256AAC"/>
    <w:rsid w:val="00274682"/>
    <w:rsid w:val="002813D8"/>
    <w:rsid w:val="002921AF"/>
    <w:rsid w:val="00297A3E"/>
    <w:rsid w:val="002A0263"/>
    <w:rsid w:val="002B6ED4"/>
    <w:rsid w:val="002D023E"/>
    <w:rsid w:val="003116CA"/>
    <w:rsid w:val="00315473"/>
    <w:rsid w:val="00315910"/>
    <w:rsid w:val="003167E4"/>
    <w:rsid w:val="00375AF3"/>
    <w:rsid w:val="00394B97"/>
    <w:rsid w:val="003C5465"/>
    <w:rsid w:val="003C58CA"/>
    <w:rsid w:val="003E31CF"/>
    <w:rsid w:val="0040235A"/>
    <w:rsid w:val="004114BA"/>
    <w:rsid w:val="00423F9C"/>
    <w:rsid w:val="004263CC"/>
    <w:rsid w:val="004359F9"/>
    <w:rsid w:val="00443FFF"/>
    <w:rsid w:val="004500C9"/>
    <w:rsid w:val="00454DE3"/>
    <w:rsid w:val="004775E5"/>
    <w:rsid w:val="00496B1C"/>
    <w:rsid w:val="004A07FA"/>
    <w:rsid w:val="004A5347"/>
    <w:rsid w:val="004A596B"/>
    <w:rsid w:val="004A6954"/>
    <w:rsid w:val="004D0BB4"/>
    <w:rsid w:val="004E016F"/>
    <w:rsid w:val="004F4388"/>
    <w:rsid w:val="0052099F"/>
    <w:rsid w:val="0052447B"/>
    <w:rsid w:val="00553733"/>
    <w:rsid w:val="0057631D"/>
    <w:rsid w:val="005814BA"/>
    <w:rsid w:val="005B12B0"/>
    <w:rsid w:val="005C6575"/>
    <w:rsid w:val="005D799D"/>
    <w:rsid w:val="00601537"/>
    <w:rsid w:val="00624947"/>
    <w:rsid w:val="006762DA"/>
    <w:rsid w:val="00694D6A"/>
    <w:rsid w:val="006A38F1"/>
    <w:rsid w:val="006B0E89"/>
    <w:rsid w:val="006B5C8A"/>
    <w:rsid w:val="006B5EBE"/>
    <w:rsid w:val="006C7954"/>
    <w:rsid w:val="006D2E6E"/>
    <w:rsid w:val="006E2576"/>
    <w:rsid w:val="00712DC0"/>
    <w:rsid w:val="00714805"/>
    <w:rsid w:val="007207BF"/>
    <w:rsid w:val="007225A1"/>
    <w:rsid w:val="00740759"/>
    <w:rsid w:val="007476CB"/>
    <w:rsid w:val="00764273"/>
    <w:rsid w:val="00790D57"/>
    <w:rsid w:val="007B6C4C"/>
    <w:rsid w:val="007C6FAF"/>
    <w:rsid w:val="00803299"/>
    <w:rsid w:val="008114F5"/>
    <w:rsid w:val="00842BAA"/>
    <w:rsid w:val="00850B19"/>
    <w:rsid w:val="00852514"/>
    <w:rsid w:val="00864AFA"/>
    <w:rsid w:val="00880268"/>
    <w:rsid w:val="008873BB"/>
    <w:rsid w:val="00897ED1"/>
    <w:rsid w:val="008C0D63"/>
    <w:rsid w:val="008E4941"/>
    <w:rsid w:val="008E5A05"/>
    <w:rsid w:val="009007B3"/>
    <w:rsid w:val="00916E63"/>
    <w:rsid w:val="00930190"/>
    <w:rsid w:val="00935281"/>
    <w:rsid w:val="0094745A"/>
    <w:rsid w:val="00971738"/>
    <w:rsid w:val="00974EB9"/>
    <w:rsid w:val="00981E13"/>
    <w:rsid w:val="009821D9"/>
    <w:rsid w:val="009B1609"/>
    <w:rsid w:val="009B55FD"/>
    <w:rsid w:val="009D6DB7"/>
    <w:rsid w:val="009E5001"/>
    <w:rsid w:val="00A00F56"/>
    <w:rsid w:val="00A1151A"/>
    <w:rsid w:val="00A229A7"/>
    <w:rsid w:val="00A6270A"/>
    <w:rsid w:val="00A65616"/>
    <w:rsid w:val="00A70B32"/>
    <w:rsid w:val="00A725CE"/>
    <w:rsid w:val="00AB0C21"/>
    <w:rsid w:val="00B05767"/>
    <w:rsid w:val="00B20BA1"/>
    <w:rsid w:val="00B46F17"/>
    <w:rsid w:val="00B552D4"/>
    <w:rsid w:val="00B9601C"/>
    <w:rsid w:val="00BB4BDA"/>
    <w:rsid w:val="00BD1F32"/>
    <w:rsid w:val="00BE7D22"/>
    <w:rsid w:val="00BF0F73"/>
    <w:rsid w:val="00BF3CDD"/>
    <w:rsid w:val="00BF54F7"/>
    <w:rsid w:val="00BF76B1"/>
    <w:rsid w:val="00C07627"/>
    <w:rsid w:val="00C1294E"/>
    <w:rsid w:val="00C14D44"/>
    <w:rsid w:val="00C175F1"/>
    <w:rsid w:val="00CD2D89"/>
    <w:rsid w:val="00D025C4"/>
    <w:rsid w:val="00D06209"/>
    <w:rsid w:val="00D12879"/>
    <w:rsid w:val="00D158B0"/>
    <w:rsid w:val="00D7603A"/>
    <w:rsid w:val="00D8552C"/>
    <w:rsid w:val="00D971EB"/>
    <w:rsid w:val="00D97D2E"/>
    <w:rsid w:val="00DB0CDD"/>
    <w:rsid w:val="00DD3409"/>
    <w:rsid w:val="00DE6C9C"/>
    <w:rsid w:val="00DF476C"/>
    <w:rsid w:val="00E01CF5"/>
    <w:rsid w:val="00E0471F"/>
    <w:rsid w:val="00E16390"/>
    <w:rsid w:val="00E168C7"/>
    <w:rsid w:val="00E21CAA"/>
    <w:rsid w:val="00E32D62"/>
    <w:rsid w:val="00E37580"/>
    <w:rsid w:val="00E413DF"/>
    <w:rsid w:val="00E57C5E"/>
    <w:rsid w:val="00E61CEB"/>
    <w:rsid w:val="00E734AF"/>
    <w:rsid w:val="00E74899"/>
    <w:rsid w:val="00F1658D"/>
    <w:rsid w:val="00F174AB"/>
    <w:rsid w:val="00F2481B"/>
    <w:rsid w:val="00F37763"/>
    <w:rsid w:val="00F40EBD"/>
    <w:rsid w:val="00F47AF3"/>
    <w:rsid w:val="00F54588"/>
    <w:rsid w:val="00F80903"/>
    <w:rsid w:val="00FB5AF9"/>
    <w:rsid w:val="00FC7C47"/>
    <w:rsid w:val="00FD03D0"/>
    <w:rsid w:val="00FD1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2DC0"/>
    <w:pPr>
      <w:tabs>
        <w:tab w:val="center" w:pos="4320"/>
        <w:tab w:val="right" w:pos="8640"/>
      </w:tabs>
    </w:pPr>
  </w:style>
  <w:style w:type="character" w:customStyle="1" w:styleId="FooterChar">
    <w:name w:val="Footer Char"/>
    <w:basedOn w:val="DefaultParagraphFont"/>
    <w:link w:val="Footer"/>
    <w:rsid w:val="00712DC0"/>
    <w:rPr>
      <w:rFonts w:ascii="Times New Roman" w:eastAsia="Times New Roman" w:hAnsi="Times New Roman" w:cs="Times New Roman"/>
      <w:sz w:val="24"/>
      <w:szCs w:val="24"/>
    </w:rPr>
  </w:style>
  <w:style w:type="character" w:styleId="PageNumber">
    <w:name w:val="page number"/>
    <w:basedOn w:val="DefaultParagraphFont"/>
    <w:rsid w:val="00712DC0"/>
  </w:style>
  <w:style w:type="paragraph" w:styleId="FootnoteText">
    <w:name w:val="footnote text"/>
    <w:basedOn w:val="Normal"/>
    <w:link w:val="FootnoteTextChar"/>
    <w:uiPriority w:val="99"/>
    <w:semiHidden/>
    <w:unhideWhenUsed/>
    <w:rsid w:val="00850B19"/>
    <w:rPr>
      <w:sz w:val="20"/>
      <w:szCs w:val="20"/>
    </w:rPr>
  </w:style>
  <w:style w:type="character" w:customStyle="1" w:styleId="FootnoteTextChar">
    <w:name w:val="Footnote Text Char"/>
    <w:basedOn w:val="DefaultParagraphFont"/>
    <w:link w:val="FootnoteText"/>
    <w:uiPriority w:val="99"/>
    <w:semiHidden/>
    <w:rsid w:val="00850B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0B19"/>
    <w:rPr>
      <w:vertAlign w:val="superscript"/>
    </w:rPr>
  </w:style>
  <w:style w:type="paragraph" w:styleId="BalloonText">
    <w:name w:val="Balloon Text"/>
    <w:basedOn w:val="Normal"/>
    <w:link w:val="BalloonTextChar"/>
    <w:uiPriority w:val="99"/>
    <w:semiHidden/>
    <w:unhideWhenUsed/>
    <w:rsid w:val="00971738"/>
    <w:rPr>
      <w:rFonts w:ascii="Tahoma" w:hAnsi="Tahoma" w:cs="Tahoma"/>
      <w:sz w:val="16"/>
      <w:szCs w:val="16"/>
    </w:rPr>
  </w:style>
  <w:style w:type="character" w:customStyle="1" w:styleId="BalloonTextChar">
    <w:name w:val="Balloon Text Char"/>
    <w:basedOn w:val="DefaultParagraphFont"/>
    <w:link w:val="BalloonText"/>
    <w:uiPriority w:val="99"/>
    <w:semiHidden/>
    <w:rsid w:val="0097173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3721-E9BF-4E14-B7A7-5D035075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5</cp:revision>
  <cp:lastPrinted>2011-01-12T17:18:00Z</cp:lastPrinted>
  <dcterms:created xsi:type="dcterms:W3CDTF">2010-12-16T19:48:00Z</dcterms:created>
  <dcterms:modified xsi:type="dcterms:W3CDTF">2011-01-12T17:18:00Z</dcterms:modified>
</cp:coreProperties>
</file>