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77" w:rsidRDefault="003B2D77" w:rsidP="004F7BFC">
      <w:pPr>
        <w:spacing w:line="240" w:lineRule="auto"/>
        <w:contextualSpacing/>
        <w:rPr>
          <w:b/>
        </w:rPr>
      </w:pPr>
      <w:r>
        <w:rPr>
          <w:b/>
        </w:rPr>
        <w:t>BEFORE THE</w:t>
      </w:r>
    </w:p>
    <w:p w:rsidR="003B2D77" w:rsidRDefault="003B2D77" w:rsidP="004F7BFC">
      <w:pPr>
        <w:spacing w:line="240" w:lineRule="auto"/>
        <w:contextualSpacing/>
        <w:rPr>
          <w:b/>
        </w:rPr>
      </w:pPr>
      <w:r>
        <w:rPr>
          <w:b/>
        </w:rPr>
        <w:t>PENNSYLVANIA PUBLIC UTILITY COMMISSION</w:t>
      </w:r>
    </w:p>
    <w:p w:rsidR="003B2D77" w:rsidRDefault="003B2D77" w:rsidP="004F7BFC">
      <w:pPr>
        <w:spacing w:line="240" w:lineRule="auto"/>
        <w:contextualSpacing/>
        <w:rPr>
          <w:b/>
        </w:rPr>
      </w:pPr>
    </w:p>
    <w:p w:rsidR="003B2D77" w:rsidRDefault="003B2D77" w:rsidP="004F7BFC">
      <w:pPr>
        <w:spacing w:line="240" w:lineRule="auto"/>
        <w:contextualSpacing/>
        <w:rPr>
          <w:b/>
        </w:rPr>
      </w:pPr>
    </w:p>
    <w:p w:rsidR="004F7BFC" w:rsidRDefault="004F7BFC" w:rsidP="004F7BFC">
      <w:pPr>
        <w:spacing w:line="240" w:lineRule="auto"/>
        <w:contextualSpacing/>
        <w:rPr>
          <w:b/>
        </w:rPr>
      </w:pPr>
    </w:p>
    <w:p w:rsidR="003B2D77" w:rsidRDefault="004F7BFC" w:rsidP="004F7BFC">
      <w:pPr>
        <w:spacing w:line="240" w:lineRule="auto"/>
        <w:contextualSpacing/>
        <w:jc w:val="left"/>
      </w:pPr>
      <w:r>
        <w:t>Marilyn Marie Smith</w:t>
      </w:r>
      <w:r>
        <w:tab/>
      </w:r>
      <w:r>
        <w:tab/>
      </w:r>
      <w:r>
        <w:tab/>
      </w:r>
      <w:r>
        <w:tab/>
      </w:r>
      <w:r>
        <w:tab/>
        <w:t>:</w:t>
      </w:r>
    </w:p>
    <w:p w:rsidR="003B2D77" w:rsidRDefault="003B2D77" w:rsidP="004F7BFC">
      <w:pPr>
        <w:spacing w:line="240" w:lineRule="auto"/>
        <w:contextualSpacing/>
        <w:jc w:val="left"/>
      </w:pPr>
      <w:r>
        <w:tab/>
      </w:r>
      <w:r>
        <w:tab/>
      </w:r>
      <w:r>
        <w:tab/>
      </w:r>
      <w:r>
        <w:tab/>
      </w:r>
      <w:r>
        <w:tab/>
      </w:r>
      <w:r>
        <w:tab/>
      </w:r>
      <w:r>
        <w:tab/>
        <w:t>:</w:t>
      </w:r>
    </w:p>
    <w:p w:rsidR="003B2D77" w:rsidRDefault="004F7BFC" w:rsidP="004F7BFC">
      <w:pPr>
        <w:spacing w:line="240" w:lineRule="auto"/>
        <w:contextualSpacing/>
        <w:jc w:val="left"/>
      </w:pPr>
      <w:r>
        <w:tab/>
        <w:t>v.</w:t>
      </w:r>
      <w:r>
        <w:tab/>
      </w:r>
      <w:r>
        <w:tab/>
      </w:r>
      <w:r>
        <w:tab/>
      </w:r>
      <w:r>
        <w:tab/>
      </w:r>
      <w:r>
        <w:tab/>
      </w:r>
      <w:r>
        <w:tab/>
        <w:t>:</w:t>
      </w:r>
      <w:r>
        <w:tab/>
      </w:r>
      <w:r w:rsidR="003B2D77">
        <w:tab/>
        <w:t>C-2010-2195084</w:t>
      </w:r>
    </w:p>
    <w:p w:rsidR="003B2D77" w:rsidRDefault="003B2D77" w:rsidP="004F7BFC">
      <w:pPr>
        <w:spacing w:line="240" w:lineRule="auto"/>
        <w:contextualSpacing/>
        <w:jc w:val="left"/>
      </w:pPr>
      <w:r>
        <w:tab/>
      </w:r>
      <w:r>
        <w:tab/>
      </w:r>
      <w:r>
        <w:tab/>
      </w:r>
      <w:r>
        <w:tab/>
      </w:r>
      <w:r>
        <w:tab/>
      </w:r>
      <w:r>
        <w:tab/>
      </w:r>
      <w:r>
        <w:tab/>
        <w:t>:</w:t>
      </w:r>
    </w:p>
    <w:p w:rsidR="003B2D77" w:rsidRDefault="004F7BFC" w:rsidP="004F7BFC">
      <w:pPr>
        <w:spacing w:line="240" w:lineRule="auto"/>
        <w:contextualSpacing/>
        <w:jc w:val="left"/>
      </w:pPr>
      <w:r>
        <w:t>UGI Utilities, Inc.</w:t>
      </w:r>
      <w:r>
        <w:tab/>
      </w:r>
      <w:r>
        <w:tab/>
      </w:r>
      <w:r>
        <w:tab/>
      </w:r>
      <w:r>
        <w:tab/>
      </w:r>
      <w:r>
        <w:tab/>
        <w:t>:</w:t>
      </w:r>
    </w:p>
    <w:p w:rsidR="003B2D77" w:rsidRDefault="003B2D77" w:rsidP="004F7BFC">
      <w:pPr>
        <w:spacing w:line="240" w:lineRule="auto"/>
        <w:contextualSpacing/>
        <w:jc w:val="left"/>
      </w:pPr>
    </w:p>
    <w:p w:rsidR="003B2D77" w:rsidRDefault="003B2D77" w:rsidP="004F7BFC">
      <w:pPr>
        <w:spacing w:line="240" w:lineRule="auto"/>
        <w:contextualSpacing/>
        <w:jc w:val="left"/>
      </w:pPr>
    </w:p>
    <w:p w:rsidR="003B2D77" w:rsidRPr="00781622" w:rsidRDefault="003B2D77" w:rsidP="004F7BFC">
      <w:pPr>
        <w:spacing w:line="240" w:lineRule="auto"/>
        <w:contextualSpacing/>
        <w:jc w:val="left"/>
      </w:pPr>
    </w:p>
    <w:p w:rsidR="003B2D77" w:rsidRPr="00AF1D33" w:rsidRDefault="00DB7538" w:rsidP="004F7BFC">
      <w:pPr>
        <w:spacing w:line="240" w:lineRule="auto"/>
        <w:contextualSpacing/>
        <w:rPr>
          <w:b/>
        </w:rPr>
      </w:pPr>
      <w:r>
        <w:rPr>
          <w:b/>
          <w:u w:val="single"/>
        </w:rPr>
        <w:t>INITIAL DECISION</w:t>
      </w:r>
    </w:p>
    <w:p w:rsidR="003B2D77" w:rsidRDefault="003B2D77" w:rsidP="00DB7538">
      <w:pPr>
        <w:spacing w:line="240" w:lineRule="auto"/>
      </w:pPr>
    </w:p>
    <w:p w:rsidR="00DB7538" w:rsidRDefault="00DB7538" w:rsidP="00DB7538">
      <w:pPr>
        <w:spacing w:line="240" w:lineRule="auto"/>
      </w:pPr>
    </w:p>
    <w:p w:rsidR="00DB7538" w:rsidRDefault="00DB7538" w:rsidP="00DB7538">
      <w:pPr>
        <w:spacing w:line="240" w:lineRule="auto"/>
      </w:pPr>
      <w:r>
        <w:t>Before</w:t>
      </w:r>
    </w:p>
    <w:p w:rsidR="00DB7538" w:rsidRDefault="00DB7538" w:rsidP="00DB7538">
      <w:pPr>
        <w:spacing w:line="240" w:lineRule="auto"/>
      </w:pPr>
      <w:r>
        <w:t>Susan D. Colwell</w:t>
      </w:r>
    </w:p>
    <w:p w:rsidR="00DB7538" w:rsidRDefault="00DB7538" w:rsidP="00DB7538">
      <w:pPr>
        <w:spacing w:line="240" w:lineRule="auto"/>
      </w:pPr>
      <w:r>
        <w:t>Administrative Law Judge</w:t>
      </w:r>
    </w:p>
    <w:p w:rsidR="00DB7538" w:rsidRDefault="00DB7538" w:rsidP="00DB7538">
      <w:pPr>
        <w:spacing w:line="240" w:lineRule="auto"/>
      </w:pPr>
    </w:p>
    <w:p w:rsidR="00DB7538" w:rsidRDefault="00DB7538" w:rsidP="00DB7538">
      <w:pPr>
        <w:spacing w:line="240" w:lineRule="auto"/>
      </w:pPr>
    </w:p>
    <w:p w:rsidR="003B2D77" w:rsidRDefault="003B2D77" w:rsidP="004F7BFC">
      <w:pPr>
        <w:spacing w:line="240" w:lineRule="auto"/>
        <w:rPr>
          <w:u w:val="single"/>
        </w:rPr>
      </w:pPr>
      <w:r>
        <w:rPr>
          <w:u w:val="single"/>
        </w:rPr>
        <w:t>HISTORY OF THE PROCEEDING</w:t>
      </w:r>
    </w:p>
    <w:p w:rsidR="003B2D77" w:rsidRDefault="003B2D77" w:rsidP="004F7BFC">
      <w:pPr>
        <w:spacing w:line="240" w:lineRule="auto"/>
        <w:rPr>
          <w:u w:val="single"/>
        </w:rPr>
      </w:pPr>
    </w:p>
    <w:p w:rsidR="004F7BFC" w:rsidRDefault="004F7BFC" w:rsidP="004F7BFC">
      <w:pPr>
        <w:spacing w:line="240" w:lineRule="auto"/>
        <w:rPr>
          <w:u w:val="single"/>
        </w:rPr>
      </w:pPr>
    </w:p>
    <w:p w:rsidR="003B2D77" w:rsidRDefault="003B2D77" w:rsidP="003B2D77">
      <w:pPr>
        <w:jc w:val="left"/>
      </w:pPr>
      <w:r>
        <w:tab/>
      </w:r>
      <w:r>
        <w:tab/>
        <w:t xml:space="preserve">On August 18, 2010, Marilyn Marie Smith (Complainant) filed a formal Complaint against UGI Utilities, Inc. (Respondent or UGI) on a Commission-issued formal complaint form, with multiple attachments, including handwritten pages of people’s names and random events, a copy of her W2 form from 2006 (the Complaint is restricted as confidential), a notice dated June 22, 2006 from the Department of Public Welfare, Office of Income Maintenance, Bureau of Child Support Enforcement, apparently her employer at that time, that she was subject to an investigation, correspondence dated May 5, 2010 from MX Energy indicating that she has switched electric service from PPL Electric Utilities Corporation, a packet of information with a cover sheet dated May 5, 2007, addressed to her as an employee who has separated from the Federal service, a notice from the Capital Tax Collection Bureau dated October 1, 2003, a letter from Mid Penn Bank dated September 20, 2006, a letter from the Department of Defense, Civilian Personnel Management Services dated September 17, 2008, and a BCS notice of completion of its informal process dated July 8, 2010 indicating that they are upholding the Company’s decision, among other documents.  The Complaint form itself lists the </w:t>
      </w:r>
      <w:r>
        <w:lastRenderedPageBreak/>
        <w:t>following:  BCSE Defense Finance and Act Serv. Contr</w:t>
      </w:r>
      <w:r w:rsidR="004F7BFC">
        <w:t>oll No. CSB 112121 OMB No. 1545</w:t>
      </w:r>
      <w:r w:rsidR="004F7BFC">
        <w:noBreakHyphen/>
      </w:r>
      <w:r>
        <w:t>00020 Acts title VII of the Civil Rights Act of 1964.</w:t>
      </w:r>
    </w:p>
    <w:p w:rsidR="003B2D77" w:rsidRDefault="003B2D77" w:rsidP="003B2D77">
      <w:pPr>
        <w:jc w:val="left"/>
      </w:pPr>
    </w:p>
    <w:p w:rsidR="003B2D77" w:rsidRPr="00781622" w:rsidRDefault="003B2D77" w:rsidP="003B2D77">
      <w:pPr>
        <w:jc w:val="left"/>
      </w:pPr>
      <w:r>
        <w:tab/>
      </w:r>
      <w:r>
        <w:tab/>
        <w:t xml:space="preserve">As relief, the Complaint states:  Front/back pay with interest Brothers William Von Smith released Michael Lee Smith Released.  Charles Vincent Fountain off death Row.  Resolution to the Black (unreadable word).  Bridge to Nowhere Restarted.  Children learning on Individual merit not the retarded system.  Front/back pay with interest punitive damages pain and suffering $10,000,000,000 dollars.  Overtime with interest.  Repeated to the mayor Linda Thompson not to sell because Queen Elizabeth </w:t>
      </w:r>
      <w:r w:rsidR="004F7BFC">
        <w:t xml:space="preserve">II was attached to the Deeds.  </w:t>
      </w:r>
    </w:p>
    <w:p w:rsidR="003B2D77" w:rsidRDefault="003B2D77" w:rsidP="003B2D77">
      <w:pPr>
        <w:jc w:val="left"/>
      </w:pPr>
    </w:p>
    <w:p w:rsidR="003B2D77" w:rsidRDefault="003B2D77" w:rsidP="003B2D77">
      <w:pPr>
        <w:jc w:val="left"/>
      </w:pPr>
      <w:r>
        <w:tab/>
      </w:r>
      <w:r>
        <w:tab/>
        <w:t>The only utility-related information on the printed form is under Paragraph 7, where the following appears:  April 12, 2010, for gas LIHEAP was denied granted a $100.00 toward the lights of 2009 not toward gas.</w:t>
      </w:r>
    </w:p>
    <w:p w:rsidR="003B2D77" w:rsidRDefault="003B2D77" w:rsidP="003B2D77">
      <w:pPr>
        <w:jc w:val="left"/>
      </w:pPr>
    </w:p>
    <w:p w:rsidR="003B2D77" w:rsidRDefault="003B2D77" w:rsidP="003B2D77">
      <w:pPr>
        <w:jc w:val="left"/>
      </w:pPr>
      <w:r>
        <w:tab/>
      </w:r>
      <w:r>
        <w:tab/>
        <w:t xml:space="preserve">On September 13, 2010, UGI filed Preliminary Objections, citing insufficient specificity of pleading as the basis. </w:t>
      </w:r>
      <w:r w:rsidR="00D00FF9">
        <w:t xml:space="preserve"> No response was filed, and on November 29, 2010, </w:t>
      </w:r>
      <w:r w:rsidR="002356DD">
        <w:t xml:space="preserve">I issued an Order Granting Preliminary Objections and Directing </w:t>
      </w:r>
      <w:r w:rsidR="008D4E3B">
        <w:t>the</w:t>
      </w:r>
      <w:r w:rsidR="002356DD">
        <w:t xml:space="preserve"> Filing of An Amended Complaint.  Complainant was given ten days to file an amended complaint, consistent with 52 Pa. Code 5.101(h).  More than twice that time has elapsed, and Complainant has not filed an amended complaint.  Therefore, the Complaint will be dismissed.</w:t>
      </w:r>
    </w:p>
    <w:p w:rsidR="003B2D77" w:rsidRDefault="003B2D77" w:rsidP="003B2D77">
      <w:pPr>
        <w:jc w:val="left"/>
      </w:pPr>
    </w:p>
    <w:p w:rsidR="003B2D77" w:rsidRDefault="002356DD" w:rsidP="002356DD">
      <w:pPr>
        <w:rPr>
          <w:u w:val="single"/>
        </w:rPr>
      </w:pPr>
      <w:r>
        <w:rPr>
          <w:u w:val="single"/>
        </w:rPr>
        <w:t>FINDINGS OF FACT</w:t>
      </w:r>
    </w:p>
    <w:p w:rsidR="002356DD" w:rsidRDefault="002356DD" w:rsidP="002356DD">
      <w:pPr>
        <w:rPr>
          <w:u w:val="single"/>
        </w:rPr>
      </w:pPr>
    </w:p>
    <w:p w:rsidR="002356DD" w:rsidRDefault="002356DD" w:rsidP="002356DD">
      <w:pPr>
        <w:jc w:val="left"/>
      </w:pPr>
      <w:r>
        <w:tab/>
      </w:r>
      <w:r>
        <w:tab/>
        <w:t>1.</w:t>
      </w:r>
      <w:r>
        <w:tab/>
        <w:t>Complainant is Marilyn Marie Smith, 3154 North 6</w:t>
      </w:r>
      <w:r w:rsidRPr="002356DD">
        <w:rPr>
          <w:vertAlign w:val="superscript"/>
        </w:rPr>
        <w:t>th</w:t>
      </w:r>
      <w:r>
        <w:t xml:space="preserve"> Street, Harrisburg PA 17110.</w:t>
      </w:r>
    </w:p>
    <w:p w:rsidR="002356DD" w:rsidRDefault="002356DD" w:rsidP="002356DD">
      <w:pPr>
        <w:jc w:val="left"/>
      </w:pPr>
    </w:p>
    <w:p w:rsidR="002356DD" w:rsidRDefault="002356DD" w:rsidP="002356DD">
      <w:pPr>
        <w:jc w:val="left"/>
      </w:pPr>
      <w:r>
        <w:tab/>
      </w:r>
      <w:r>
        <w:tab/>
        <w:t>2.</w:t>
      </w:r>
      <w:r>
        <w:tab/>
        <w:t>Respondent is UGI Utilities, Inc., a jurisdictional public utility providing jurisdictional gas service in the Commonwealth of Pennsylvania.</w:t>
      </w:r>
    </w:p>
    <w:p w:rsidR="002356DD" w:rsidRDefault="002356DD" w:rsidP="002356DD">
      <w:pPr>
        <w:jc w:val="left"/>
      </w:pPr>
    </w:p>
    <w:p w:rsidR="00AC225D" w:rsidRDefault="002356DD" w:rsidP="00AC225D">
      <w:pPr>
        <w:jc w:val="left"/>
      </w:pPr>
      <w:r>
        <w:tab/>
      </w:r>
      <w:r>
        <w:tab/>
        <w:t>3.</w:t>
      </w:r>
      <w:r>
        <w:tab/>
        <w:t>On August 18, 2010, Complainant filed a formal Complaint against UGI Utilities, Inc.</w:t>
      </w:r>
      <w:r w:rsidR="00AC225D">
        <w:t xml:space="preserve">  </w:t>
      </w:r>
      <w:r w:rsidR="00AC225D">
        <w:br w:type="page"/>
      </w:r>
    </w:p>
    <w:p w:rsidR="004F7BFC" w:rsidRDefault="002356DD" w:rsidP="004F7BFC">
      <w:pPr>
        <w:jc w:val="left"/>
      </w:pPr>
      <w:r>
        <w:lastRenderedPageBreak/>
        <w:tab/>
      </w:r>
      <w:r>
        <w:tab/>
        <w:t>4.</w:t>
      </w:r>
      <w:r>
        <w:tab/>
        <w:t xml:space="preserve">On September 13, 2010, UGI filed its Preliminary Objections </w:t>
      </w:r>
      <w:r w:rsidR="00432E87">
        <w:t>claiming insufficient specificity of the pleading and seeking an Order directing an amended complaint.</w:t>
      </w:r>
    </w:p>
    <w:p w:rsidR="00AC225D" w:rsidRDefault="00AC225D" w:rsidP="004F7BFC">
      <w:pPr>
        <w:jc w:val="left"/>
      </w:pPr>
    </w:p>
    <w:p w:rsidR="00432E87" w:rsidRDefault="00432E87" w:rsidP="002356DD">
      <w:pPr>
        <w:jc w:val="left"/>
      </w:pPr>
      <w:r>
        <w:tab/>
      </w:r>
      <w:r>
        <w:tab/>
        <w:t>5.</w:t>
      </w:r>
      <w:r>
        <w:tab/>
        <w:t>No responsive pleading was filed to the Preliminary Objections.</w:t>
      </w:r>
    </w:p>
    <w:p w:rsidR="00432E87" w:rsidRDefault="00432E87" w:rsidP="002356DD">
      <w:pPr>
        <w:jc w:val="left"/>
      </w:pPr>
    </w:p>
    <w:p w:rsidR="00432E87" w:rsidRDefault="00432E87" w:rsidP="002356DD">
      <w:pPr>
        <w:jc w:val="left"/>
      </w:pPr>
      <w:r>
        <w:tab/>
      </w:r>
      <w:r>
        <w:tab/>
        <w:t>6.</w:t>
      </w:r>
      <w:r>
        <w:tab/>
        <w:t xml:space="preserve">On November 29, 2010, I issued an Order Granting Preliminary Objections and Directing </w:t>
      </w:r>
      <w:r w:rsidR="008D4E3B">
        <w:t>the</w:t>
      </w:r>
      <w:r>
        <w:t xml:space="preserve"> Filing of An Amended Complaint.</w:t>
      </w:r>
    </w:p>
    <w:p w:rsidR="00432E87" w:rsidRDefault="00432E87" w:rsidP="002356DD">
      <w:pPr>
        <w:jc w:val="left"/>
      </w:pPr>
    </w:p>
    <w:p w:rsidR="00432E87" w:rsidRDefault="00432E87" w:rsidP="002356DD">
      <w:pPr>
        <w:jc w:val="left"/>
      </w:pPr>
      <w:r>
        <w:tab/>
      </w:r>
      <w:r>
        <w:tab/>
        <w:t>7.</w:t>
      </w:r>
      <w:r>
        <w:tab/>
        <w:t>As of the date of this Initial Decision, no amended complaint has been filed.</w:t>
      </w:r>
    </w:p>
    <w:p w:rsidR="00432E87" w:rsidRPr="002356DD" w:rsidRDefault="00432E87" w:rsidP="002356DD">
      <w:pPr>
        <w:jc w:val="left"/>
      </w:pPr>
    </w:p>
    <w:p w:rsidR="003B2D77" w:rsidRPr="00AF1D33" w:rsidRDefault="003B2D77" w:rsidP="003B2D77">
      <w:pPr>
        <w:rPr>
          <w:u w:val="single"/>
        </w:rPr>
      </w:pPr>
      <w:r>
        <w:rPr>
          <w:u w:val="single"/>
        </w:rPr>
        <w:t>DISCUSSION</w:t>
      </w:r>
    </w:p>
    <w:p w:rsidR="003B2D77" w:rsidRDefault="003B2D77" w:rsidP="003B2D77">
      <w:pPr>
        <w:jc w:val="left"/>
      </w:pPr>
    </w:p>
    <w:p w:rsidR="00A0208B" w:rsidRDefault="00A0208B" w:rsidP="003B2D77">
      <w:pPr>
        <w:jc w:val="left"/>
      </w:pPr>
      <w:r>
        <w:tab/>
      </w:r>
      <w:r>
        <w:tab/>
      </w:r>
      <w:r w:rsidR="0002050D">
        <w:t xml:space="preserve">On August 18, 2010, Complainant filed a formal Complaint which included many attachments but no actual allegations of wrongdoing on the part of the Respondent.  UGI filed Preliminary Objections seeking an order directing Complainant to file an amended complaint, which was granted by Order issued November 29, 2010.  Consistent with the time specified in 52 Pa. Code § 5.101(h), Complainant was given ten days to file an amended complaint.  </w:t>
      </w:r>
      <w:r w:rsidR="00F130A3">
        <w:t>More than double that amount of time has elapsed, and no amended complaint has been filed.  Therefore, this Initial Dec</w:t>
      </w:r>
      <w:r w:rsidR="00AC225D">
        <w:t xml:space="preserve">ision dismisses the Complaint. </w:t>
      </w:r>
      <w:r w:rsidR="0002050D">
        <w:t xml:space="preserve"> </w:t>
      </w:r>
    </w:p>
    <w:p w:rsidR="00A0208B" w:rsidRDefault="00A0208B" w:rsidP="003B2D77">
      <w:pPr>
        <w:jc w:val="left"/>
      </w:pPr>
    </w:p>
    <w:p w:rsidR="00A0208B" w:rsidRDefault="00A0208B" w:rsidP="00A0208B">
      <w:pPr>
        <w:contextualSpacing/>
        <w:jc w:val="left"/>
      </w:pPr>
      <w:r>
        <w:tab/>
      </w:r>
      <w:r>
        <w:tab/>
        <w:t>A billing or service dispute is started with the filing of a complaint, which must set forth the clear and concise statement of the act or omission being complained of as well as the relief sought.  52 Pa. Code § 5.22.</w:t>
      </w:r>
      <w:r>
        <w:rPr>
          <w:rStyle w:val="FootnoteReference"/>
        </w:rPr>
        <w:footnoteReference w:id="1"/>
      </w:r>
      <w:r>
        <w:t xml:space="preserve">  The respondent public utility has twenty days to file a responsive pleading, which may include an answer, new matter, and/or preliminary objections.  52 Pa. Code §§ 5.61, 5.101.  These pleadings all have specific purposes.  </w:t>
      </w:r>
    </w:p>
    <w:p w:rsidR="00A0208B" w:rsidRDefault="00A0208B" w:rsidP="00A0208B">
      <w:pPr>
        <w:contextualSpacing/>
        <w:jc w:val="left"/>
      </w:pPr>
    </w:p>
    <w:p w:rsidR="00A0208B" w:rsidRDefault="00A0208B" w:rsidP="00A0208B">
      <w:pPr>
        <w:contextualSpacing/>
        <w:jc w:val="left"/>
      </w:pPr>
      <w:r>
        <w:tab/>
      </w:r>
      <w:r>
        <w:tab/>
        <w:t xml:space="preserve">An answer must advise the complainant and the Commission of the nature of the defense and is required to specifically admit or deny each factual allegation in the complaint.  52 Pa. Code § 5.61(b).  Failure to file an answer may result in the factual allegations of the </w:t>
      </w:r>
      <w:r>
        <w:lastRenderedPageBreak/>
        <w:t>complaint being deemed to be admitted.  52 Pa. Code § 5.61(c)</w:t>
      </w:r>
      <w:r>
        <w:rPr>
          <w:rStyle w:val="FootnoteReference"/>
        </w:rPr>
        <w:footnoteReference w:id="2"/>
      </w:r>
      <w:r>
        <w:t xml:space="preserve">.  An answer is not required if the respondent utility files a preliminary objection seeking a more specific pleading, presumably because there are insufficient allegations to formulate a response.  52 Pa. Code § 5.101(e)(1).  </w:t>
      </w:r>
    </w:p>
    <w:p w:rsidR="00A0208B" w:rsidRDefault="00A0208B" w:rsidP="00A0208B">
      <w:pPr>
        <w:contextualSpacing/>
        <w:jc w:val="left"/>
      </w:pPr>
    </w:p>
    <w:p w:rsidR="00A0208B" w:rsidRDefault="00A0208B" w:rsidP="00A0208B">
      <w:pPr>
        <w:contextualSpacing/>
        <w:jc w:val="left"/>
      </w:pPr>
      <w:r>
        <w:tab/>
      </w:r>
      <w:r>
        <w:tab/>
        <w:t>The Respondent’s answer may be accompanied by new matter, which pleads one or more affirmative defenses and sets forth the facts necessary to support the affirmative defenses.  52 Pa. Code § 5.62(b).</w:t>
      </w:r>
      <w:r>
        <w:rPr>
          <w:rStyle w:val="FootnoteReference"/>
        </w:rPr>
        <w:footnoteReference w:id="3"/>
      </w:r>
      <w:r>
        <w:t xml:space="preserve">  This pleading is important because affirmative defenses which are not pleaded are waived, and because facts appearing in new matter which are not contradicted in a responsive pleading filed by the complainant can be used to support a motion for judgment on the pleadings or summary judgment aft</w:t>
      </w:r>
      <w:r w:rsidR="004F7BFC">
        <w:t xml:space="preserve">er the pleadings are closed.  </w:t>
      </w:r>
    </w:p>
    <w:p w:rsidR="00A0208B" w:rsidRDefault="00A0208B" w:rsidP="00A0208B">
      <w:pPr>
        <w:jc w:val="left"/>
      </w:pPr>
    </w:p>
    <w:p w:rsidR="003B2D77" w:rsidRDefault="003B2D77" w:rsidP="003B2D77">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r>
        <w:tab/>
        <w:t xml:space="preserve"> When considering the preliminary objection, the Commission must determine “whether the law says with certainty, based on well-pleaded factual averments . . . that no recovery or relief is possible.  </w:t>
      </w:r>
      <w:r>
        <w:rPr>
          <w:i/>
        </w:rPr>
        <w:t xml:space="preserve">P. J. S. v. </w:t>
      </w:r>
      <w:smartTag w:uri="urn:schemas-microsoft-com:office:smarttags" w:element="PlaceName">
        <w:smartTag w:uri="urn:schemas-microsoft-com:office:smarttags" w:element="State">
          <w:r>
            <w:rPr>
              <w:i/>
            </w:rPr>
            <w:t>Pa.</w:t>
          </w:r>
        </w:smartTag>
      </w:smartTag>
      <w:r>
        <w:rPr>
          <w:i/>
        </w:rPr>
        <w:t xml:space="preserve"> </w:t>
      </w:r>
      <w:smartTag w:uri="urn:schemas-microsoft-com:office:smarttags" w:element="PlaceType">
        <w:r>
          <w:rPr>
            <w:i/>
          </w:rPr>
          <w:t>State</w:t>
        </w:r>
      </w:smartTag>
      <w:r>
        <w:rPr>
          <w:i/>
        </w:rPr>
        <w:t xml:space="preserve"> Ethics Commission, </w:t>
      </w:r>
      <w:r>
        <w:t>669 A.2d 1105 (</w:t>
      </w:r>
      <w:smartTag w:uri="urn:schemas-microsoft-com:office:smarttags" w:element="place">
        <w:smartTag w:uri="urn:schemas-microsoft-com:office:smarttags" w:element="State">
          <w:r>
            <w:t>Pa.</w:t>
          </w:r>
        </w:smartTag>
      </w:smartTag>
      <w:r>
        <w:t xml:space="preserve"> Cmwlth. 1996).  Any doubt must be resolved in favor of the non-moving party by refusing to sustain the preliminary objections.  </w:t>
      </w:r>
      <w:r>
        <w:rPr>
          <w:i/>
        </w:rPr>
        <w:t xml:space="preserve">Boyd v. Ward, </w:t>
      </w:r>
      <w:r>
        <w:t>802 A.2d 705 (</w:t>
      </w:r>
      <w:smartTag w:uri="urn:schemas-microsoft-com:office:smarttags" w:element="place">
        <w:smartTag w:uri="urn:schemas-microsoft-com:office:smarttags" w:element="State">
          <w:r>
            <w:t>Pa.</w:t>
          </w:r>
        </w:smartTag>
      </w:smartTag>
      <w:r>
        <w:t xml:space="preserve"> Cmwlth. 2002).”  </w:t>
      </w:r>
      <w:r w:rsidRPr="00F87999">
        <w:rPr>
          <w:i/>
        </w:rPr>
        <w:t xml:space="preserve">Dept. of Auditor General, et al. v. State Employees’ Retirement System, et al., </w:t>
      </w:r>
      <w:r>
        <w:t>836 A.2d 1053, 1064 (</w:t>
      </w:r>
      <w:smartTag w:uri="urn:schemas-microsoft-com:office:smarttags" w:element="place">
        <w:smartTag w:uri="urn:schemas-microsoft-com:office:smarttags" w:element="State">
          <w:r>
            <w:t>Pa.</w:t>
          </w:r>
        </w:smartTag>
      </w:smartTag>
      <w:r>
        <w:t xml:space="preserve"> Cmwlth. 2003).  </w:t>
      </w:r>
    </w:p>
    <w:p w:rsidR="003B2D77" w:rsidRDefault="003B2D77" w:rsidP="003B2D77">
      <w:pPr>
        <w:jc w:val="left"/>
      </w:pPr>
    </w:p>
    <w:p w:rsidR="003B2D77" w:rsidRDefault="00DB7538" w:rsidP="003B2D77">
      <w:pPr>
        <w:jc w:val="left"/>
      </w:pPr>
      <w:r>
        <w:tab/>
      </w:r>
      <w:r>
        <w:tab/>
      </w:r>
      <w:r w:rsidR="003B2D77">
        <w:t>The section regarding preliminary objections reads as follows:</w:t>
      </w:r>
    </w:p>
    <w:p w:rsidR="003B2D77" w:rsidRDefault="003B2D77" w:rsidP="003B2D77">
      <w:pPr>
        <w:jc w:val="left"/>
      </w:pPr>
    </w:p>
    <w:p w:rsidR="003B2D77" w:rsidRDefault="003B2D77" w:rsidP="00347F08">
      <w:pPr>
        <w:spacing w:line="240" w:lineRule="auto"/>
        <w:ind w:left="1440" w:right="1440"/>
        <w:contextualSpacing/>
        <w:jc w:val="left"/>
        <w:rPr>
          <w:b/>
        </w:rPr>
      </w:pPr>
      <w:r>
        <w:rPr>
          <w:b/>
        </w:rPr>
        <w:t>§ 5.101.  Preliminary objections.</w:t>
      </w:r>
    </w:p>
    <w:p w:rsidR="00347F08" w:rsidRDefault="00347F08" w:rsidP="00347F08">
      <w:pPr>
        <w:spacing w:line="240" w:lineRule="auto"/>
        <w:ind w:left="1440" w:right="1440"/>
        <w:contextualSpacing/>
        <w:jc w:val="left"/>
        <w:rPr>
          <w:b/>
        </w:rPr>
      </w:pPr>
    </w:p>
    <w:p w:rsidR="00AC225D" w:rsidRDefault="003B2D77" w:rsidP="00AC225D">
      <w:pPr>
        <w:pStyle w:val="ListParagraph"/>
        <w:numPr>
          <w:ilvl w:val="0"/>
          <w:numId w:val="2"/>
        </w:numPr>
        <w:spacing w:line="240" w:lineRule="auto"/>
        <w:ind w:right="1440"/>
        <w:jc w:val="left"/>
      </w:pPr>
      <w:r w:rsidRPr="00347F08">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r w:rsidR="00AC225D">
        <w:br w:type="page"/>
      </w:r>
    </w:p>
    <w:p w:rsidR="003B2D77" w:rsidRDefault="003B2D77" w:rsidP="00347F08">
      <w:pPr>
        <w:pStyle w:val="ListParagraph"/>
        <w:numPr>
          <w:ilvl w:val="0"/>
          <w:numId w:val="1"/>
        </w:numPr>
        <w:spacing w:line="240" w:lineRule="auto"/>
        <w:ind w:left="2880" w:right="1440" w:hanging="720"/>
        <w:jc w:val="left"/>
      </w:pPr>
      <w:r>
        <w:lastRenderedPageBreak/>
        <w:t>Lack of Commission jurisdiction or improper service of the pleading initiating the proceeding.</w:t>
      </w:r>
    </w:p>
    <w:p w:rsidR="003B2D77" w:rsidRDefault="003B2D77" w:rsidP="00347F08">
      <w:pPr>
        <w:spacing w:line="240" w:lineRule="auto"/>
        <w:ind w:left="1440" w:right="1440"/>
        <w:contextualSpacing/>
        <w:jc w:val="left"/>
      </w:pPr>
    </w:p>
    <w:p w:rsidR="003B2D77" w:rsidRDefault="003B2D77" w:rsidP="00347F08">
      <w:pPr>
        <w:pStyle w:val="ListParagraph"/>
        <w:numPr>
          <w:ilvl w:val="0"/>
          <w:numId w:val="1"/>
        </w:numPr>
        <w:spacing w:line="240" w:lineRule="auto"/>
        <w:ind w:left="2880" w:right="1440" w:hanging="720"/>
        <w:jc w:val="left"/>
      </w:pPr>
      <w:r>
        <w:t>Failure of a pleading to conform to this chapter or the inclusion of scandalous or impertinent matter.</w:t>
      </w:r>
    </w:p>
    <w:p w:rsidR="003B2D77" w:rsidRDefault="003B2D77" w:rsidP="00347F08">
      <w:pPr>
        <w:spacing w:line="240" w:lineRule="auto"/>
        <w:ind w:left="1440" w:right="1440"/>
        <w:contextualSpacing/>
        <w:jc w:val="left"/>
      </w:pPr>
    </w:p>
    <w:p w:rsidR="003B2D77" w:rsidRPr="00833630" w:rsidRDefault="00347F08" w:rsidP="00347F08">
      <w:pPr>
        <w:spacing w:line="240" w:lineRule="auto"/>
        <w:ind w:left="2160" w:right="1440"/>
        <w:contextualSpacing/>
        <w:jc w:val="left"/>
        <w:rPr>
          <w:b/>
          <w:i/>
        </w:rPr>
      </w:pPr>
      <w:r>
        <w:t>(3)</w:t>
      </w:r>
      <w:r>
        <w:tab/>
      </w:r>
      <w:r w:rsidR="003B2D77" w:rsidRPr="00833630">
        <w:rPr>
          <w:b/>
          <w:i/>
        </w:rPr>
        <w:t>Insufficient specificity of a pleading.</w:t>
      </w:r>
    </w:p>
    <w:p w:rsidR="003B2D77" w:rsidRDefault="003B2D77" w:rsidP="00347F08">
      <w:pPr>
        <w:spacing w:line="240" w:lineRule="auto"/>
        <w:ind w:left="1440" w:right="1440"/>
        <w:contextualSpacing/>
        <w:jc w:val="left"/>
      </w:pPr>
    </w:p>
    <w:p w:rsidR="003B2D77" w:rsidRDefault="003B2D77" w:rsidP="00347F08">
      <w:pPr>
        <w:pStyle w:val="ListParagraph"/>
        <w:numPr>
          <w:ilvl w:val="0"/>
          <w:numId w:val="3"/>
        </w:numPr>
        <w:spacing w:line="240" w:lineRule="auto"/>
        <w:ind w:left="2880" w:right="1440" w:hanging="720"/>
        <w:jc w:val="left"/>
      </w:pPr>
      <w:r>
        <w:t>Legal insufficiency of a pleading.</w:t>
      </w:r>
    </w:p>
    <w:p w:rsidR="003B2D77" w:rsidRDefault="003B2D77" w:rsidP="00347F08">
      <w:pPr>
        <w:spacing w:line="240" w:lineRule="auto"/>
        <w:ind w:left="1440" w:right="1440"/>
        <w:contextualSpacing/>
        <w:jc w:val="left"/>
      </w:pPr>
    </w:p>
    <w:p w:rsidR="003B2D77" w:rsidRDefault="003B2D77" w:rsidP="00347F08">
      <w:pPr>
        <w:pStyle w:val="ListParagraph"/>
        <w:numPr>
          <w:ilvl w:val="0"/>
          <w:numId w:val="3"/>
        </w:numPr>
        <w:spacing w:line="240" w:lineRule="auto"/>
        <w:ind w:left="2880" w:right="1440" w:hanging="720"/>
        <w:jc w:val="left"/>
      </w:pPr>
      <w:r>
        <w:t>Lack of capacity to sue, nonjoinder of a necessary party or misjoinder of a cause of action.</w:t>
      </w:r>
    </w:p>
    <w:p w:rsidR="003B2D77" w:rsidRDefault="003B2D77" w:rsidP="00347F08">
      <w:pPr>
        <w:spacing w:line="240" w:lineRule="auto"/>
        <w:ind w:left="1440" w:right="1440"/>
        <w:contextualSpacing/>
        <w:jc w:val="left"/>
      </w:pPr>
    </w:p>
    <w:p w:rsidR="003B2D77" w:rsidRDefault="003B2D77" w:rsidP="00347F08">
      <w:pPr>
        <w:pStyle w:val="ListParagraph"/>
        <w:numPr>
          <w:ilvl w:val="0"/>
          <w:numId w:val="3"/>
        </w:numPr>
        <w:spacing w:line="240" w:lineRule="auto"/>
        <w:ind w:left="2880" w:right="1440" w:hanging="720"/>
        <w:jc w:val="left"/>
      </w:pPr>
      <w:r w:rsidRPr="00833630">
        <w:t>Pendency of a prior proceeding or agreement for alternative dispute resolution.</w:t>
      </w:r>
    </w:p>
    <w:p w:rsidR="00347F08" w:rsidRPr="00347F08" w:rsidRDefault="00347F08" w:rsidP="00DB7538">
      <w:pPr>
        <w:pStyle w:val="ListParagraph"/>
        <w:spacing w:line="240" w:lineRule="auto"/>
        <w:ind w:left="1440" w:right="1440"/>
        <w:rPr>
          <w:b/>
          <w:i/>
        </w:rPr>
      </w:pPr>
    </w:p>
    <w:p w:rsidR="003B2D77" w:rsidRDefault="003B2D77" w:rsidP="00DB7538">
      <w:pPr>
        <w:spacing w:line="240" w:lineRule="auto"/>
        <w:ind w:left="1440" w:right="1440"/>
        <w:contextualSpacing/>
      </w:pPr>
      <w:r>
        <w:t>* * *</w:t>
      </w:r>
    </w:p>
    <w:p w:rsidR="00347F08" w:rsidRPr="00D10A1C" w:rsidRDefault="00347F08" w:rsidP="00DB7538">
      <w:pPr>
        <w:spacing w:line="240" w:lineRule="auto"/>
        <w:ind w:left="1440" w:right="1440"/>
        <w:contextualSpacing/>
      </w:pPr>
    </w:p>
    <w:p w:rsidR="003B2D77" w:rsidRDefault="003B2D77" w:rsidP="00DB7538">
      <w:pPr>
        <w:spacing w:line="240" w:lineRule="auto"/>
        <w:ind w:left="1440" w:right="1440"/>
        <w:contextualSpacing/>
        <w:jc w:val="left"/>
      </w:pPr>
      <w:r>
        <w:t xml:space="preserve">52 </w:t>
      </w:r>
      <w:smartTag w:uri="urn:schemas-microsoft-com:office:smarttags" w:element="place">
        <w:smartTag w:uri="urn:schemas-microsoft-com:office:smarttags" w:element="State">
          <w:r>
            <w:t>Pa.</w:t>
          </w:r>
        </w:smartTag>
      </w:smartTag>
      <w:r>
        <w:t xml:space="preserve"> Code § 5.101(a)(emphasis added).  </w:t>
      </w:r>
    </w:p>
    <w:p w:rsidR="003B2D77" w:rsidRDefault="003B2D77" w:rsidP="00DB7538">
      <w:pPr>
        <w:jc w:val="left"/>
      </w:pPr>
    </w:p>
    <w:p w:rsidR="003B2D77" w:rsidRDefault="003B2D77" w:rsidP="003B2D77">
      <w:pPr>
        <w:jc w:val="left"/>
      </w:pPr>
      <w:r>
        <w:tab/>
      </w:r>
      <w:r>
        <w:tab/>
        <w:t>The Commission’s regulations provide that the content of a formal complaint must include “A clear and concise statement of the act or omission being complained of including the result of any informal complaint or informal investigation,” and “A clear and concise statement of the relief sought.”  52 Pa. Code § 5.22(1)(5) and (6).  The subject Complaint states no facts at all.</w:t>
      </w:r>
    </w:p>
    <w:p w:rsidR="003B2D77" w:rsidRDefault="003B2D77" w:rsidP="00AC225D">
      <w:pPr>
        <w:jc w:val="both"/>
      </w:pPr>
    </w:p>
    <w:p w:rsidR="003B2D77" w:rsidRPr="00FA08B0" w:rsidRDefault="003B2D77" w:rsidP="003B2D77">
      <w:pPr>
        <w:jc w:val="left"/>
      </w:pPr>
      <w:r>
        <w:tab/>
      </w:r>
      <w:r>
        <w:tab/>
      </w:r>
      <w:r w:rsidRPr="00FA08B0">
        <w:t xml:space="preserve">The Commission’s rule is based on Pennsylvania’s Rule of Civil Procedure 1019, which requires a plaintiff to plead all the facts that he must prove in order to achieve recovery on the alleged cause of action. The </w:t>
      </w:r>
      <w:r w:rsidRPr="00FA08B0">
        <w:rPr>
          <w:rStyle w:val="term1"/>
          <w:b w:val="0"/>
        </w:rPr>
        <w:t>pleading</w:t>
      </w:r>
      <w:r w:rsidRPr="00FA08B0">
        <w:t xml:space="preserve"> must be sufficiently specific so that the defending party will know how to prepare his defense</w:t>
      </w:r>
      <w:r w:rsidRPr="00AF1D33">
        <w:t xml:space="preserve">. </w:t>
      </w:r>
      <w:hyperlink r:id="rId8" w:history="1">
        <w:r w:rsidRPr="00AF1D33">
          <w:rPr>
            <w:rStyle w:val="Hyperlink"/>
            <w:i/>
            <w:iCs/>
            <w:color w:val="auto"/>
            <w:u w:val="none"/>
          </w:rPr>
          <w:t>Department of Transportation v. Shipley Humble Oil Co.</w:t>
        </w:r>
        <w:r w:rsidRPr="00AF1D33">
          <w:rPr>
            <w:rStyle w:val="Hyperlink"/>
            <w:color w:val="auto"/>
            <w:u w:val="none"/>
          </w:rPr>
          <w:t>, 29 Pa. Commw. 171, 370 A.2d 438 (Pa. Cmwlth. 1977)</w:t>
        </w:r>
      </w:hyperlink>
      <w:r w:rsidRPr="00FA08B0">
        <w:t xml:space="preserve">. Pennsylvania is a fact </w:t>
      </w:r>
      <w:r w:rsidRPr="00FA08B0">
        <w:rPr>
          <w:rStyle w:val="term1"/>
          <w:b w:val="0"/>
        </w:rPr>
        <w:t>pleading,</w:t>
      </w:r>
      <w:r w:rsidRPr="00FA08B0">
        <w:t xml:space="preserve"> rather than notice, state. Thus, the </w:t>
      </w:r>
      <w:r w:rsidRPr="00FA08B0">
        <w:rPr>
          <w:rStyle w:val="term1"/>
          <w:b w:val="0"/>
        </w:rPr>
        <w:t>pleadings</w:t>
      </w:r>
      <w:r w:rsidRPr="00FA08B0">
        <w:rPr>
          <w:b/>
        </w:rPr>
        <w:t xml:space="preserve"> </w:t>
      </w:r>
      <w:r w:rsidRPr="00FA08B0">
        <w:t>should conform to the elements necessary to state a cause of action.</w:t>
      </w:r>
      <w:r>
        <w:t xml:space="preserve">  </w:t>
      </w:r>
      <w:r w:rsidRPr="00B67690">
        <w:rPr>
          <w:i/>
        </w:rPr>
        <w:t>Pappert v. Tapp Pharmaceuticals, et al</w:t>
      </w:r>
      <w:r w:rsidRPr="00FA08B0">
        <w:t>., 868 A.2d 624; 2005 Pa. Commw. LEXIS 39</w:t>
      </w:r>
      <w:r>
        <w:t>.</w:t>
      </w:r>
    </w:p>
    <w:p w:rsidR="003B2D77" w:rsidRPr="00FA08B0" w:rsidRDefault="003B2D77" w:rsidP="003B2D77">
      <w:pPr>
        <w:jc w:val="left"/>
      </w:pPr>
    </w:p>
    <w:p w:rsidR="003B2D77" w:rsidRDefault="003B2D77" w:rsidP="003B2D77">
      <w:pPr>
        <w:jc w:val="left"/>
      </w:pPr>
      <w:r>
        <w:tab/>
      </w:r>
      <w:r>
        <w:tab/>
        <w:t>Here, the complaint d</w:t>
      </w:r>
      <w:r w:rsidR="00E80184">
        <w:t xml:space="preserve">id </w:t>
      </w:r>
      <w:r>
        <w:t xml:space="preserve">not contain sufficient factual detail to permit the opposing party an opportunity to formulate a meaningful response.  </w:t>
      </w:r>
      <w:r w:rsidR="00E80184">
        <w:t>A</w:t>
      </w:r>
      <w:r>
        <w:t xml:space="preserve"> Respondent is not required to guess </w:t>
      </w:r>
      <w:r>
        <w:lastRenderedPageBreak/>
        <w:t xml:space="preserve">whether the Complainant means to allege something, and it is possible that the basis of the complaint has nothing to do with </w:t>
      </w:r>
      <w:r w:rsidR="00A517C9">
        <w:t>any prior contacts with</w:t>
      </w:r>
      <w:r w:rsidR="00E80184">
        <w:t xml:space="preserve"> the Respondent</w:t>
      </w:r>
      <w:r w:rsidR="00DB7538">
        <w:t>.</w:t>
      </w:r>
      <w:r>
        <w:t xml:space="preserve">  </w:t>
      </w:r>
    </w:p>
    <w:p w:rsidR="003B2D77" w:rsidRDefault="003B2D77" w:rsidP="003B2D77">
      <w:pPr>
        <w:jc w:val="left"/>
      </w:pPr>
    </w:p>
    <w:p w:rsidR="003B2D77" w:rsidRDefault="003B2D77" w:rsidP="003B2D77">
      <w:pPr>
        <w:jc w:val="left"/>
      </w:pPr>
      <w:r>
        <w:tab/>
      </w:r>
      <w:r>
        <w:tab/>
        <w:t xml:space="preserve">Nor can the adjudicator determine if the burden of proving Complainant’s case has ultimately been met if there is no actual averment set out in the Complaint.  The facts must be set forth in sufficient detail to: (1) allow the utility to respond to them; and (2) allow the utility to prepare its defense; and (3) allow the adjudicator to recognize an actionable complaint.  </w:t>
      </w:r>
      <w:r w:rsidR="00F81539">
        <w:t>Since there were no discernible facts set forth to support a Complaint, t</w:t>
      </w:r>
      <w:r>
        <w:t xml:space="preserve">he Preliminary Objection </w:t>
      </w:r>
      <w:r w:rsidR="001B5B0C">
        <w:t>were</w:t>
      </w:r>
      <w:r>
        <w:t xml:space="preserve"> granted, and the Complainant </w:t>
      </w:r>
      <w:r w:rsidR="001B5B0C">
        <w:t>was directed to</w:t>
      </w:r>
      <w:r>
        <w:t xml:space="preserve"> file an Amended Complaint.</w:t>
      </w:r>
    </w:p>
    <w:p w:rsidR="003B2D77" w:rsidRDefault="003B2D77" w:rsidP="003B2D77">
      <w:pPr>
        <w:jc w:val="left"/>
      </w:pPr>
    </w:p>
    <w:p w:rsidR="00A0208B" w:rsidRDefault="003B2D77" w:rsidP="009F1806">
      <w:pPr>
        <w:jc w:val="left"/>
      </w:pPr>
      <w:r>
        <w:tab/>
      </w:r>
      <w:r>
        <w:tab/>
      </w:r>
      <w:r w:rsidR="001B5B0C">
        <w:t>Complainant was warned that, “</w:t>
      </w:r>
      <w:r>
        <w:t>Failure to file an amended complaint will result in the dismissal of the complaint itself.</w:t>
      </w:r>
      <w:r w:rsidR="001B5B0C">
        <w:t>” Order Directing The Filing of an Amended Complaint at 4.</w:t>
      </w:r>
      <w:r w:rsidR="00A90163">
        <w:t xml:space="preserve">  As of the date of this Initial Decision, no amended complaint had been filed.  Therefore, </w:t>
      </w:r>
      <w:r w:rsidR="009F1806">
        <w:t>the Complaint is dismissed.</w:t>
      </w:r>
    </w:p>
    <w:p w:rsidR="003B2D77" w:rsidRDefault="003B2D77" w:rsidP="003B2D77">
      <w:pPr>
        <w:jc w:val="left"/>
      </w:pPr>
    </w:p>
    <w:p w:rsidR="003B2D77" w:rsidRDefault="003B2D77" w:rsidP="003B2D77">
      <w:pPr>
        <w:rPr>
          <w:u w:val="single"/>
        </w:rPr>
      </w:pPr>
      <w:r>
        <w:rPr>
          <w:u w:val="single"/>
        </w:rPr>
        <w:t>CONCLUSIONS OF LAW</w:t>
      </w:r>
    </w:p>
    <w:p w:rsidR="003B2D77" w:rsidRDefault="003B2D77" w:rsidP="003B2D77">
      <w:pPr>
        <w:jc w:val="left"/>
        <w:rPr>
          <w:u w:val="single"/>
        </w:rPr>
      </w:pPr>
    </w:p>
    <w:p w:rsidR="003B2D77" w:rsidRDefault="003B2D77" w:rsidP="003B2D77">
      <w:pPr>
        <w:jc w:val="left"/>
      </w:pPr>
      <w:r>
        <w:tab/>
      </w:r>
      <w:r>
        <w:tab/>
        <w:t>1.</w:t>
      </w:r>
      <w:r>
        <w:tab/>
      </w:r>
      <w:r w:rsidRPr="003E75C6">
        <w:t xml:space="preserve">Commission regulations permit the filing of preliminary objections.  52 </w:t>
      </w:r>
      <w:smartTag w:uri="urn:schemas-microsoft-com:office:smarttags" w:element="place">
        <w:smartTag w:uri="urn:schemas-microsoft-com:office:smarttags" w:element="State">
          <w:r w:rsidRPr="003E75C6">
            <w:t>Pa.</w:t>
          </w:r>
        </w:smartTag>
      </w:smartTag>
      <w:r w:rsidRPr="003E75C6">
        <w:t xml:space="preserve"> Code §§ 5.101(a)(1)-(6).  </w:t>
      </w:r>
    </w:p>
    <w:p w:rsidR="003B2D77" w:rsidRDefault="003B2D77" w:rsidP="003B2D77">
      <w:pPr>
        <w:jc w:val="left"/>
      </w:pPr>
    </w:p>
    <w:p w:rsidR="003B2D77" w:rsidRDefault="003B2D77" w:rsidP="003B2D77">
      <w:pPr>
        <w:jc w:val="left"/>
      </w:pPr>
      <w:r>
        <w:tab/>
      </w:r>
      <w:r>
        <w:tab/>
        <w:t>2.</w:t>
      </w:r>
      <w:r>
        <w:tab/>
      </w:r>
      <w:r w:rsidRPr="003E75C6">
        <w:t xml:space="preserve">Preliminary objection practice before the Commission is similar to </w:t>
      </w:r>
      <w:smartTag w:uri="urn:schemas-microsoft-com:office:smarttags" w:element="place">
        <w:smartTag w:uri="urn:schemas-microsoft-com:office:smarttags" w:element="State">
          <w:r w:rsidRPr="003E75C6">
            <w:t>Pennsylvania</w:t>
          </w:r>
        </w:smartTag>
      </w:smartTag>
      <w:r w:rsidRPr="003E75C6">
        <w:t xml:space="preserve"> civil practice respecting preliminary objections. </w:t>
      </w:r>
      <w:r w:rsidRPr="003E75C6">
        <w:rPr>
          <w:i/>
        </w:rPr>
        <w:t>Equitable Small Transportation Intervenors v. Equitable Gas Company</w:t>
      </w:r>
      <w:r w:rsidRPr="003E75C6">
        <w:t xml:space="preserve">, 1994 </w:t>
      </w:r>
      <w:smartTag w:uri="urn:schemas-microsoft-com:office:smarttags" w:element="place">
        <w:smartTag w:uri="urn:schemas-microsoft-com:office:smarttags" w:element="State">
          <w:r w:rsidRPr="003E75C6">
            <w:t>Pa.</w:t>
          </w:r>
        </w:smartTag>
      </w:smartTag>
      <w:r w:rsidRPr="003E75C6">
        <w:t xml:space="preserve"> PUC LEXIS </w:t>
      </w:r>
      <w:r w:rsidR="00DB7538">
        <w:t>69, Docket No. C-00935435 (July </w:t>
      </w:r>
      <w:r w:rsidRPr="003E75C6">
        <w:t xml:space="preserve">18, 1994).  </w:t>
      </w:r>
    </w:p>
    <w:p w:rsidR="003B2D77" w:rsidRDefault="003B2D77" w:rsidP="003B2D77">
      <w:pPr>
        <w:jc w:val="left"/>
      </w:pPr>
    </w:p>
    <w:p w:rsidR="003B2D77" w:rsidRDefault="003B2D77" w:rsidP="003B2D77">
      <w:pPr>
        <w:jc w:val="left"/>
      </w:pPr>
      <w:r>
        <w:tab/>
      </w:r>
      <w:r>
        <w:tab/>
        <w:t>3.</w:t>
      </w:r>
      <w:r>
        <w:tab/>
      </w:r>
      <w:r w:rsidRPr="003E75C6">
        <w:t xml:space="preserve">In deciding the preliminary objections, the Commission must determine whether, based on well-pleaded factual averments of the </w:t>
      </w:r>
      <w:r w:rsidR="008D4E3B">
        <w:t>Complainant</w:t>
      </w:r>
      <w:r w:rsidRPr="003E75C6">
        <w:t xml:space="preserve">, recovery or relief is possible.  </w:t>
      </w:r>
      <w:r w:rsidRPr="003E75C6">
        <w:rPr>
          <w:i/>
        </w:rPr>
        <w:t>Dept. of Auditor General, et al v. SERS, et al.</w:t>
      </w:r>
      <w:r w:rsidRPr="003E75C6">
        <w:t xml:space="preserve">, 836 A.2d 1053, 1064 (Pa. Cmwlth. 2003), 2003 Pa. Commw. LEXIS 849;  </w:t>
      </w:r>
      <w:r w:rsidRPr="003E75C6">
        <w:rPr>
          <w:i/>
        </w:rPr>
        <w:t xml:space="preserve">P.J.S. v. </w:t>
      </w:r>
      <w:smartTag w:uri="urn:schemas-microsoft-com:office:smarttags" w:element="PlaceName">
        <w:r w:rsidRPr="003E75C6">
          <w:rPr>
            <w:i/>
          </w:rPr>
          <w:t>Pa.</w:t>
        </w:r>
      </w:smartTag>
      <w:r w:rsidRPr="003E75C6">
        <w:rPr>
          <w:i/>
        </w:rPr>
        <w:t xml:space="preserve"> </w:t>
      </w:r>
      <w:smartTag w:uri="urn:schemas-microsoft-com:office:smarttags" w:element="PlaceType">
        <w:r w:rsidRPr="003E75C6">
          <w:rPr>
            <w:i/>
          </w:rPr>
          <w:t>State</w:t>
        </w:r>
      </w:smartTag>
      <w:r w:rsidRPr="003E75C6">
        <w:rPr>
          <w:i/>
        </w:rPr>
        <w:t xml:space="preserve"> Ethics Comm’n,</w:t>
      </w:r>
      <w:r w:rsidRPr="003E75C6">
        <w:t xml:space="preserve"> 669 A.2d 1105 (</w:t>
      </w:r>
      <w:smartTag w:uri="urn:schemas-microsoft-com:office:smarttags" w:element="State">
        <w:r w:rsidRPr="003E75C6">
          <w:t>Pa.</w:t>
        </w:r>
      </w:smartTag>
      <w:r w:rsidRPr="003E75C6">
        <w:t xml:space="preserve"> Cmwlth. 1996)</w:t>
      </w:r>
      <w:r>
        <w:t>,</w:t>
      </w:r>
      <w:r w:rsidRPr="003E75C6">
        <w:t xml:space="preserve"> 1996 </w:t>
      </w:r>
      <w:smartTag w:uri="urn:schemas-microsoft-com:office:smarttags" w:element="place">
        <w:smartTag w:uri="urn:schemas-microsoft-com:office:smarttags" w:element="State">
          <w:r w:rsidRPr="003E75C6">
            <w:t>Pa.</w:t>
          </w:r>
        </w:smartTag>
      </w:smartTag>
      <w:r w:rsidRPr="003E75C6">
        <w:t xml:space="preserve"> Commw. LEXIS 11.  </w:t>
      </w:r>
    </w:p>
    <w:p w:rsidR="003B2D77" w:rsidRDefault="003B2D77" w:rsidP="003B2D77">
      <w:pPr>
        <w:jc w:val="left"/>
      </w:pPr>
    </w:p>
    <w:p w:rsidR="003B2D77" w:rsidRDefault="003B2D77" w:rsidP="003B2D77">
      <w:pPr>
        <w:jc w:val="left"/>
      </w:pPr>
      <w:r>
        <w:lastRenderedPageBreak/>
        <w:tab/>
      </w:r>
      <w:r>
        <w:tab/>
        <w:t>4.</w:t>
      </w:r>
      <w:r>
        <w:tab/>
      </w:r>
      <w:r w:rsidRPr="003E75C6">
        <w:t xml:space="preserve">Any doubt must be resolved in favor of the non-moving party by refusing to sustain the preliminary objections.  </w:t>
      </w:r>
      <w:r w:rsidRPr="003E75C6">
        <w:rPr>
          <w:i/>
        </w:rPr>
        <w:t xml:space="preserve">Boyd v. Ward, </w:t>
      </w:r>
      <w:r w:rsidRPr="003E75C6">
        <w:t>802 A.2d 705 (Pa.Cmwlth. 2002)</w:t>
      </w:r>
      <w:r>
        <w:t>,</w:t>
      </w:r>
      <w:r w:rsidRPr="003E75C6">
        <w:t xml:space="preserve"> 2002 </w:t>
      </w:r>
      <w:smartTag w:uri="urn:schemas-microsoft-com:office:smarttags" w:element="place">
        <w:smartTag w:uri="urn:schemas-microsoft-com:office:smarttags" w:element="State">
          <w:r w:rsidRPr="003E75C6">
            <w:t>Pa.</w:t>
          </w:r>
        </w:smartTag>
      </w:smartTag>
      <w:r w:rsidRPr="003E75C6">
        <w:t xml:space="preserve"> Commw. LEXIS 580.  </w:t>
      </w:r>
    </w:p>
    <w:p w:rsidR="003B2D77" w:rsidRDefault="003B2D77" w:rsidP="003B2D77">
      <w:pPr>
        <w:jc w:val="left"/>
      </w:pPr>
    </w:p>
    <w:p w:rsidR="003B2D77" w:rsidRDefault="003B2D77" w:rsidP="003B2D77">
      <w:pPr>
        <w:jc w:val="left"/>
      </w:pPr>
      <w:r>
        <w:tab/>
      </w:r>
      <w:r>
        <w:tab/>
        <w:t>5.</w:t>
      </w:r>
      <w:r>
        <w:tab/>
      </w:r>
      <w:r w:rsidRPr="003E75C6">
        <w:t xml:space="preserve">All of the non-moving party’s averments in the complaint must be viewed as true for purposes of deciding the preliminary objections, and only those facts specifically admitted may be considered against the non-moving party.  </w:t>
      </w:r>
      <w:r w:rsidRPr="003E75C6">
        <w:rPr>
          <w:i/>
        </w:rPr>
        <w:t xml:space="preserve">Ridge v. State Employees’ Retirement </w:t>
      </w:r>
      <w:r w:rsidRPr="003E75C6">
        <w:t>Board, 690 A.2d 1312 (</w:t>
      </w:r>
      <w:smartTag w:uri="urn:schemas-microsoft-com:office:smarttags" w:element="State">
        <w:r w:rsidRPr="003E75C6">
          <w:t>Pa.</w:t>
        </w:r>
      </w:smartTag>
      <w:r w:rsidRPr="003E75C6">
        <w:t xml:space="preserve"> Cmwlth. 1997)</w:t>
      </w:r>
      <w:r>
        <w:t>,</w:t>
      </w:r>
      <w:r w:rsidRPr="003E75C6">
        <w:t xml:space="preserve"> 1997 </w:t>
      </w:r>
      <w:smartTag w:uri="urn:schemas-microsoft-com:office:smarttags" w:element="place">
        <w:smartTag w:uri="urn:schemas-microsoft-com:office:smarttags" w:element="State">
          <w:r w:rsidRPr="003E75C6">
            <w:t>Pa.</w:t>
          </w:r>
        </w:smartTag>
      </w:smartTag>
      <w:r w:rsidRPr="003E75C6">
        <w:t xml:space="preserve"> Commw. LEXIS 148.  </w:t>
      </w:r>
    </w:p>
    <w:p w:rsidR="003B2D77" w:rsidRDefault="003B2D77" w:rsidP="003B2D77">
      <w:pPr>
        <w:jc w:val="left"/>
      </w:pPr>
    </w:p>
    <w:p w:rsidR="003B2D77" w:rsidRDefault="003B2D77" w:rsidP="003B2D77">
      <w:pPr>
        <w:jc w:val="left"/>
      </w:pPr>
      <w:r>
        <w:tab/>
      </w:r>
      <w:r>
        <w:tab/>
        <w:t>6.</w:t>
      </w:r>
      <w:r>
        <w:tab/>
        <w:t>The averments in the Complaint are insufficient to enable Respondent to formulate a meaningful response.</w:t>
      </w:r>
    </w:p>
    <w:p w:rsidR="00A517C9" w:rsidRDefault="00A517C9" w:rsidP="003B2D77">
      <w:pPr>
        <w:jc w:val="left"/>
      </w:pPr>
    </w:p>
    <w:p w:rsidR="003B2D77" w:rsidRPr="00AC225D" w:rsidRDefault="003B2D77" w:rsidP="008D4E3B">
      <w:pPr>
        <w:rPr>
          <w:u w:val="single"/>
        </w:rPr>
      </w:pPr>
      <w:r w:rsidRPr="00AC225D">
        <w:rPr>
          <w:u w:val="single"/>
        </w:rPr>
        <w:t>ORDER</w:t>
      </w:r>
    </w:p>
    <w:p w:rsidR="00AC225D" w:rsidRPr="00AC225D" w:rsidRDefault="00AC225D" w:rsidP="008D4E3B">
      <w:pPr>
        <w:rPr>
          <w:u w:val="single"/>
        </w:rPr>
      </w:pPr>
    </w:p>
    <w:p w:rsidR="00AC225D" w:rsidRPr="00AC225D" w:rsidRDefault="00AC225D" w:rsidP="008D4E3B">
      <w:pPr>
        <w:rPr>
          <w:u w:val="single"/>
        </w:rPr>
      </w:pPr>
    </w:p>
    <w:p w:rsidR="003B2D77" w:rsidRDefault="003B2D77" w:rsidP="003B2D77">
      <w:pPr>
        <w:jc w:val="left"/>
      </w:pPr>
      <w:r>
        <w:tab/>
      </w:r>
      <w:r>
        <w:tab/>
        <w:t>THEREFORE,</w:t>
      </w:r>
    </w:p>
    <w:p w:rsidR="003B2D77" w:rsidRDefault="003B2D77" w:rsidP="003B2D77">
      <w:pPr>
        <w:jc w:val="left"/>
      </w:pPr>
    </w:p>
    <w:p w:rsidR="003B2D77" w:rsidRDefault="003B2D77" w:rsidP="003B2D77">
      <w:pPr>
        <w:jc w:val="left"/>
      </w:pPr>
      <w:r>
        <w:tab/>
      </w:r>
      <w:r>
        <w:tab/>
        <w:t>IT IS ORDERED:</w:t>
      </w:r>
    </w:p>
    <w:p w:rsidR="003B2D77" w:rsidRDefault="003B2D77" w:rsidP="003B2D77">
      <w:pPr>
        <w:jc w:val="left"/>
      </w:pPr>
    </w:p>
    <w:p w:rsidR="003B2D77" w:rsidRDefault="003B2D77" w:rsidP="003B2D77">
      <w:pPr>
        <w:jc w:val="left"/>
      </w:pPr>
      <w:r>
        <w:tab/>
      </w:r>
      <w:r>
        <w:tab/>
        <w:t>1.</w:t>
      </w:r>
      <w:r>
        <w:tab/>
        <w:t xml:space="preserve">That </w:t>
      </w:r>
      <w:r w:rsidR="008D4E3B">
        <w:t xml:space="preserve">the Complaint captioned </w:t>
      </w:r>
      <w:r w:rsidR="008D4E3B">
        <w:rPr>
          <w:i/>
        </w:rPr>
        <w:t xml:space="preserve">Marilyn Marie Smith v. UGI Utilities, Inc., </w:t>
      </w:r>
      <w:r w:rsidR="008D4E3B">
        <w:t xml:space="preserve">Docket No. C-2010-2195084, is dismissed due to the failure of </w:t>
      </w:r>
      <w:r>
        <w:t xml:space="preserve">Marilyn Marie Smith </w:t>
      </w:r>
      <w:r w:rsidR="008D4E3B">
        <w:t>to</w:t>
      </w:r>
      <w:r>
        <w:t xml:space="preserve"> file an Amended Complaint </w:t>
      </w:r>
      <w:r w:rsidR="008D4E3B">
        <w:t>in violation of the November 29, 2010, Order.</w:t>
      </w:r>
    </w:p>
    <w:p w:rsidR="008D4E3B" w:rsidRDefault="008D4E3B" w:rsidP="003B2D77">
      <w:pPr>
        <w:jc w:val="left"/>
      </w:pPr>
    </w:p>
    <w:p w:rsidR="003B2D77" w:rsidRDefault="00AC225D" w:rsidP="003B2D77">
      <w:pPr>
        <w:jc w:val="left"/>
      </w:pPr>
      <w:r>
        <w:tab/>
      </w:r>
      <w:r>
        <w:tab/>
        <w:t>2</w:t>
      </w:r>
      <w:r w:rsidR="003B2D77">
        <w:t>.</w:t>
      </w:r>
      <w:r w:rsidR="003B2D77">
        <w:tab/>
        <w:t xml:space="preserve">That </w:t>
      </w:r>
      <w:r w:rsidR="008D4E3B">
        <w:t>the Secretary shall mark this docket closed</w:t>
      </w:r>
      <w:r w:rsidR="003B2D77">
        <w:t>.</w:t>
      </w:r>
    </w:p>
    <w:p w:rsidR="00AC225D" w:rsidRDefault="00AC225D" w:rsidP="003B2D77">
      <w:pPr>
        <w:jc w:val="left"/>
      </w:pPr>
    </w:p>
    <w:p w:rsidR="003B2D77" w:rsidRDefault="003B2D77" w:rsidP="003B2D77">
      <w:pPr>
        <w:jc w:val="left"/>
      </w:pPr>
    </w:p>
    <w:p w:rsidR="003B2D77" w:rsidRDefault="003B2D77" w:rsidP="003B2D77">
      <w:pPr>
        <w:spacing w:line="240" w:lineRule="auto"/>
        <w:contextualSpacing/>
        <w:jc w:val="left"/>
      </w:pPr>
      <w:r>
        <w:t xml:space="preserve">Dated:  </w:t>
      </w:r>
      <w:r w:rsidR="008D4E3B">
        <w:rPr>
          <w:u w:val="single"/>
        </w:rPr>
        <w:t>Dec</w:t>
      </w:r>
      <w:r>
        <w:rPr>
          <w:u w:val="single"/>
        </w:rPr>
        <w:t>ember 2</w:t>
      </w:r>
      <w:r w:rsidR="008D4E3B">
        <w:rPr>
          <w:u w:val="single"/>
        </w:rPr>
        <w:t>1</w:t>
      </w:r>
      <w:r>
        <w:rPr>
          <w:u w:val="single"/>
        </w:rPr>
        <w:t>, 2010</w:t>
      </w:r>
      <w:r>
        <w:tab/>
      </w:r>
      <w:r>
        <w:tab/>
      </w:r>
      <w:r>
        <w:tab/>
      </w:r>
      <w:r>
        <w:tab/>
        <w:t>__________________________________</w:t>
      </w:r>
    </w:p>
    <w:p w:rsidR="003B2D77" w:rsidRDefault="003B2D77" w:rsidP="003B2D77">
      <w:pPr>
        <w:spacing w:line="240" w:lineRule="auto"/>
        <w:contextualSpacing/>
        <w:jc w:val="left"/>
      </w:pPr>
      <w:r>
        <w:tab/>
      </w:r>
      <w:r>
        <w:tab/>
      </w:r>
      <w:r>
        <w:tab/>
      </w:r>
      <w:r>
        <w:tab/>
      </w:r>
      <w:r>
        <w:tab/>
      </w:r>
      <w:r>
        <w:tab/>
      </w:r>
      <w:r>
        <w:tab/>
        <w:t>Susan D. Colwell</w:t>
      </w:r>
    </w:p>
    <w:p w:rsidR="003B2D77" w:rsidRPr="006A715B" w:rsidRDefault="003B2D77" w:rsidP="003B2D77">
      <w:pPr>
        <w:spacing w:line="240" w:lineRule="auto"/>
        <w:contextualSpacing/>
        <w:jc w:val="left"/>
      </w:pPr>
      <w:r>
        <w:tab/>
      </w:r>
      <w:r>
        <w:tab/>
      </w:r>
      <w:r>
        <w:tab/>
      </w:r>
      <w:r>
        <w:tab/>
      </w:r>
      <w:r>
        <w:tab/>
      </w:r>
      <w:r>
        <w:tab/>
      </w:r>
      <w:r>
        <w:tab/>
        <w:t>Administrative Law Judge</w:t>
      </w:r>
    </w:p>
    <w:sectPr w:rsidR="003B2D77" w:rsidRPr="006A715B" w:rsidSect="0083363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95B" w:rsidRDefault="00CC495B" w:rsidP="00A0208B">
      <w:pPr>
        <w:spacing w:line="240" w:lineRule="auto"/>
      </w:pPr>
      <w:r>
        <w:separator/>
      </w:r>
    </w:p>
  </w:endnote>
  <w:endnote w:type="continuationSeparator" w:id="0">
    <w:p w:rsidR="00CC495B" w:rsidRDefault="00CC495B" w:rsidP="00A020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630" w:rsidRPr="004F7BFC" w:rsidRDefault="00663C1B">
    <w:pPr>
      <w:pStyle w:val="Footer"/>
      <w:rPr>
        <w:sz w:val="20"/>
        <w:szCs w:val="20"/>
      </w:rPr>
    </w:pPr>
    <w:r w:rsidRPr="004F7BFC">
      <w:rPr>
        <w:sz w:val="20"/>
        <w:szCs w:val="20"/>
      </w:rPr>
      <w:fldChar w:fldCharType="begin"/>
    </w:r>
    <w:r w:rsidR="00A6154F" w:rsidRPr="004F7BFC">
      <w:rPr>
        <w:sz w:val="20"/>
        <w:szCs w:val="20"/>
      </w:rPr>
      <w:instrText xml:space="preserve"> PAGE   \* MERGEFORMAT </w:instrText>
    </w:r>
    <w:r w:rsidRPr="004F7BFC">
      <w:rPr>
        <w:sz w:val="20"/>
        <w:szCs w:val="20"/>
      </w:rPr>
      <w:fldChar w:fldCharType="separate"/>
    </w:r>
    <w:r w:rsidR="00AC225D">
      <w:rPr>
        <w:noProof/>
        <w:sz w:val="20"/>
        <w:szCs w:val="20"/>
      </w:rPr>
      <w:t>2</w:t>
    </w:r>
    <w:r w:rsidRPr="004F7BFC">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95B" w:rsidRDefault="00CC495B" w:rsidP="004F7BFC">
      <w:pPr>
        <w:spacing w:line="240" w:lineRule="auto"/>
        <w:jc w:val="both"/>
      </w:pPr>
      <w:r>
        <w:separator/>
      </w:r>
    </w:p>
  </w:footnote>
  <w:footnote w:type="continuationSeparator" w:id="0">
    <w:p w:rsidR="00CC495B" w:rsidRDefault="00CC495B" w:rsidP="00A0208B">
      <w:pPr>
        <w:spacing w:line="240" w:lineRule="auto"/>
      </w:pPr>
      <w:r>
        <w:continuationSeparator/>
      </w:r>
    </w:p>
  </w:footnote>
  <w:footnote w:id="1">
    <w:p w:rsidR="004F7BFC" w:rsidRDefault="00A0208B" w:rsidP="00A0208B">
      <w:pPr>
        <w:pStyle w:val="FootnoteText"/>
      </w:pPr>
      <w:r>
        <w:rPr>
          <w:rStyle w:val="FootnoteReference"/>
        </w:rPr>
        <w:footnoteRef/>
      </w:r>
      <w:r>
        <w:t xml:space="preserve"> </w:t>
      </w:r>
      <w:r w:rsidR="004F7BFC">
        <w:tab/>
      </w:r>
      <w:r>
        <w:t>Based on Rule of Civil Procedure 1019.</w:t>
      </w:r>
    </w:p>
  </w:footnote>
  <w:footnote w:id="2">
    <w:p w:rsidR="00A0208B" w:rsidRDefault="00A0208B" w:rsidP="00A0208B">
      <w:pPr>
        <w:pStyle w:val="FootnoteText"/>
      </w:pPr>
      <w:r>
        <w:rPr>
          <w:rStyle w:val="FootnoteReference"/>
        </w:rPr>
        <w:footnoteRef/>
      </w:r>
      <w:r>
        <w:t xml:space="preserve"> </w:t>
      </w:r>
      <w:r w:rsidR="004F7BFC">
        <w:tab/>
      </w:r>
      <w:r>
        <w:t>Based on Rule of Civil Procedure 1029.</w:t>
      </w:r>
    </w:p>
    <w:p w:rsidR="00AC225D" w:rsidRDefault="00AC225D" w:rsidP="00A0208B">
      <w:pPr>
        <w:pStyle w:val="FootnoteText"/>
      </w:pPr>
    </w:p>
  </w:footnote>
  <w:footnote w:id="3">
    <w:p w:rsidR="00A0208B" w:rsidRDefault="00A0208B" w:rsidP="00A0208B">
      <w:pPr>
        <w:pStyle w:val="FootnoteText"/>
      </w:pPr>
      <w:r>
        <w:rPr>
          <w:rStyle w:val="FootnoteReference"/>
        </w:rPr>
        <w:footnoteRef/>
      </w:r>
      <w:r>
        <w:t xml:space="preserve"> </w:t>
      </w:r>
      <w:r w:rsidR="00347F08">
        <w:tab/>
      </w:r>
      <w:r>
        <w:t>Based on Rule of Civil Procedure 1030.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3A"/>
    <w:multiLevelType w:val="hybridMultilevel"/>
    <w:tmpl w:val="139A5842"/>
    <w:lvl w:ilvl="0" w:tplc="7B6415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BC871F9"/>
    <w:multiLevelType w:val="hybridMultilevel"/>
    <w:tmpl w:val="C4E06C50"/>
    <w:lvl w:ilvl="0" w:tplc="E04421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E9C7451"/>
    <w:multiLevelType w:val="hybridMultilevel"/>
    <w:tmpl w:val="38046D7E"/>
    <w:lvl w:ilvl="0" w:tplc="D73CC490">
      <w:start w:val="4"/>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B2D77"/>
    <w:rsid w:val="00001E3A"/>
    <w:rsid w:val="00001EF6"/>
    <w:rsid w:val="00003D11"/>
    <w:rsid w:val="00005558"/>
    <w:rsid w:val="000079FE"/>
    <w:rsid w:val="00012104"/>
    <w:rsid w:val="0001305A"/>
    <w:rsid w:val="00016E55"/>
    <w:rsid w:val="0002050D"/>
    <w:rsid w:val="0002105C"/>
    <w:rsid w:val="00025D7A"/>
    <w:rsid w:val="00032379"/>
    <w:rsid w:val="00033303"/>
    <w:rsid w:val="00035BB8"/>
    <w:rsid w:val="00040EB6"/>
    <w:rsid w:val="00044B8B"/>
    <w:rsid w:val="00044FC0"/>
    <w:rsid w:val="00046714"/>
    <w:rsid w:val="000541C0"/>
    <w:rsid w:val="0005423F"/>
    <w:rsid w:val="00055078"/>
    <w:rsid w:val="00055CC5"/>
    <w:rsid w:val="000576ED"/>
    <w:rsid w:val="000605B6"/>
    <w:rsid w:val="00060CFA"/>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4551"/>
    <w:rsid w:val="000A5DEA"/>
    <w:rsid w:val="000A652E"/>
    <w:rsid w:val="000A770B"/>
    <w:rsid w:val="000B1BFC"/>
    <w:rsid w:val="000B2D0C"/>
    <w:rsid w:val="000B339A"/>
    <w:rsid w:val="000B7111"/>
    <w:rsid w:val="000C2696"/>
    <w:rsid w:val="000C2A2B"/>
    <w:rsid w:val="000C34F3"/>
    <w:rsid w:val="000C4163"/>
    <w:rsid w:val="000C6B6E"/>
    <w:rsid w:val="000C6EF0"/>
    <w:rsid w:val="000D29BA"/>
    <w:rsid w:val="000D3E49"/>
    <w:rsid w:val="000D5763"/>
    <w:rsid w:val="000E2F36"/>
    <w:rsid w:val="000E49E6"/>
    <w:rsid w:val="000E7EF5"/>
    <w:rsid w:val="000F1890"/>
    <w:rsid w:val="000F2E5F"/>
    <w:rsid w:val="000F47F1"/>
    <w:rsid w:val="000F678B"/>
    <w:rsid w:val="000F78BE"/>
    <w:rsid w:val="0010080E"/>
    <w:rsid w:val="001021FB"/>
    <w:rsid w:val="00102A77"/>
    <w:rsid w:val="0010420D"/>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5B0C"/>
    <w:rsid w:val="001B6470"/>
    <w:rsid w:val="001B760E"/>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2004A8"/>
    <w:rsid w:val="002019B1"/>
    <w:rsid w:val="00201E65"/>
    <w:rsid w:val="0021162B"/>
    <w:rsid w:val="002125E4"/>
    <w:rsid w:val="00215381"/>
    <w:rsid w:val="00216C32"/>
    <w:rsid w:val="00216F76"/>
    <w:rsid w:val="0021750E"/>
    <w:rsid w:val="00220D97"/>
    <w:rsid w:val="00221A88"/>
    <w:rsid w:val="002241D0"/>
    <w:rsid w:val="00224756"/>
    <w:rsid w:val="00227A4A"/>
    <w:rsid w:val="00230CC6"/>
    <w:rsid w:val="002337D7"/>
    <w:rsid w:val="00234DEB"/>
    <w:rsid w:val="002356DD"/>
    <w:rsid w:val="0023584A"/>
    <w:rsid w:val="00236C44"/>
    <w:rsid w:val="002422D0"/>
    <w:rsid w:val="002451F7"/>
    <w:rsid w:val="002455CC"/>
    <w:rsid w:val="00246523"/>
    <w:rsid w:val="0024777B"/>
    <w:rsid w:val="00247CE0"/>
    <w:rsid w:val="00251E5A"/>
    <w:rsid w:val="00252DB6"/>
    <w:rsid w:val="00252F2A"/>
    <w:rsid w:val="0025351B"/>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353E"/>
    <w:rsid w:val="00293F4E"/>
    <w:rsid w:val="00297286"/>
    <w:rsid w:val="002A05C6"/>
    <w:rsid w:val="002A5F4D"/>
    <w:rsid w:val="002A70E9"/>
    <w:rsid w:val="002A7A0A"/>
    <w:rsid w:val="002B3E20"/>
    <w:rsid w:val="002B541A"/>
    <w:rsid w:val="002B754D"/>
    <w:rsid w:val="002C1023"/>
    <w:rsid w:val="002C4F02"/>
    <w:rsid w:val="002C69AD"/>
    <w:rsid w:val="002D0E4D"/>
    <w:rsid w:val="002D7978"/>
    <w:rsid w:val="002E7DDB"/>
    <w:rsid w:val="002F21B6"/>
    <w:rsid w:val="002F222D"/>
    <w:rsid w:val="002F42FC"/>
    <w:rsid w:val="002F5C03"/>
    <w:rsid w:val="002F6F4F"/>
    <w:rsid w:val="002F75DA"/>
    <w:rsid w:val="00304AA1"/>
    <w:rsid w:val="00306C33"/>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70E8"/>
    <w:rsid w:val="00347F08"/>
    <w:rsid w:val="00354574"/>
    <w:rsid w:val="003550C3"/>
    <w:rsid w:val="00356988"/>
    <w:rsid w:val="003601E1"/>
    <w:rsid w:val="00360F5F"/>
    <w:rsid w:val="0036124A"/>
    <w:rsid w:val="0036153E"/>
    <w:rsid w:val="0036237C"/>
    <w:rsid w:val="003625F5"/>
    <w:rsid w:val="003643C9"/>
    <w:rsid w:val="003657F1"/>
    <w:rsid w:val="00365A2F"/>
    <w:rsid w:val="0036754C"/>
    <w:rsid w:val="00375889"/>
    <w:rsid w:val="00380892"/>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D77"/>
    <w:rsid w:val="003B2E77"/>
    <w:rsid w:val="003B3FDD"/>
    <w:rsid w:val="003B4D40"/>
    <w:rsid w:val="003B5D19"/>
    <w:rsid w:val="003B610B"/>
    <w:rsid w:val="003C47E8"/>
    <w:rsid w:val="003C5102"/>
    <w:rsid w:val="003C6962"/>
    <w:rsid w:val="003C6F65"/>
    <w:rsid w:val="003D1F46"/>
    <w:rsid w:val="003D41CF"/>
    <w:rsid w:val="003E1442"/>
    <w:rsid w:val="003E2B14"/>
    <w:rsid w:val="003F01A7"/>
    <w:rsid w:val="003F2E62"/>
    <w:rsid w:val="004047B1"/>
    <w:rsid w:val="0040584C"/>
    <w:rsid w:val="00406807"/>
    <w:rsid w:val="004078EF"/>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2E87"/>
    <w:rsid w:val="00433AE5"/>
    <w:rsid w:val="0043485A"/>
    <w:rsid w:val="00440521"/>
    <w:rsid w:val="004407EE"/>
    <w:rsid w:val="00441078"/>
    <w:rsid w:val="00442254"/>
    <w:rsid w:val="00443307"/>
    <w:rsid w:val="00444E41"/>
    <w:rsid w:val="00445003"/>
    <w:rsid w:val="00446B02"/>
    <w:rsid w:val="00447A63"/>
    <w:rsid w:val="004521D4"/>
    <w:rsid w:val="0045300F"/>
    <w:rsid w:val="00454158"/>
    <w:rsid w:val="00454723"/>
    <w:rsid w:val="00460140"/>
    <w:rsid w:val="0046238B"/>
    <w:rsid w:val="00465D71"/>
    <w:rsid w:val="0047070D"/>
    <w:rsid w:val="00477A71"/>
    <w:rsid w:val="00481269"/>
    <w:rsid w:val="004839FC"/>
    <w:rsid w:val="00484BCE"/>
    <w:rsid w:val="00487E8F"/>
    <w:rsid w:val="00491F39"/>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4A68"/>
    <w:rsid w:val="004D6DCE"/>
    <w:rsid w:val="004E429F"/>
    <w:rsid w:val="004F160A"/>
    <w:rsid w:val="004F2F62"/>
    <w:rsid w:val="004F37CB"/>
    <w:rsid w:val="004F45CA"/>
    <w:rsid w:val="004F616B"/>
    <w:rsid w:val="004F7BFC"/>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4A3A"/>
    <w:rsid w:val="005650FF"/>
    <w:rsid w:val="005674EF"/>
    <w:rsid w:val="00570C2E"/>
    <w:rsid w:val="00571577"/>
    <w:rsid w:val="00571C60"/>
    <w:rsid w:val="0057213D"/>
    <w:rsid w:val="005732E9"/>
    <w:rsid w:val="00575D4F"/>
    <w:rsid w:val="00575F27"/>
    <w:rsid w:val="0058036C"/>
    <w:rsid w:val="0058073B"/>
    <w:rsid w:val="00580815"/>
    <w:rsid w:val="00582289"/>
    <w:rsid w:val="0058363F"/>
    <w:rsid w:val="00585BD9"/>
    <w:rsid w:val="00587B74"/>
    <w:rsid w:val="00593FF1"/>
    <w:rsid w:val="0059623B"/>
    <w:rsid w:val="005A1839"/>
    <w:rsid w:val="005A2923"/>
    <w:rsid w:val="005A3759"/>
    <w:rsid w:val="005B3D45"/>
    <w:rsid w:val="005B78C4"/>
    <w:rsid w:val="005C373B"/>
    <w:rsid w:val="005C3DD2"/>
    <w:rsid w:val="005C4AAA"/>
    <w:rsid w:val="005D1442"/>
    <w:rsid w:val="005E06D4"/>
    <w:rsid w:val="005F064D"/>
    <w:rsid w:val="005F512E"/>
    <w:rsid w:val="005F5A21"/>
    <w:rsid w:val="00600458"/>
    <w:rsid w:val="0060369E"/>
    <w:rsid w:val="00603824"/>
    <w:rsid w:val="00605D75"/>
    <w:rsid w:val="006073B5"/>
    <w:rsid w:val="00610CE1"/>
    <w:rsid w:val="006113D8"/>
    <w:rsid w:val="00616232"/>
    <w:rsid w:val="00620850"/>
    <w:rsid w:val="006225AC"/>
    <w:rsid w:val="006230A9"/>
    <w:rsid w:val="00624D32"/>
    <w:rsid w:val="006273ED"/>
    <w:rsid w:val="00634EB5"/>
    <w:rsid w:val="0063516D"/>
    <w:rsid w:val="00635AE1"/>
    <w:rsid w:val="006416B8"/>
    <w:rsid w:val="0064349A"/>
    <w:rsid w:val="006466B3"/>
    <w:rsid w:val="00646FCC"/>
    <w:rsid w:val="0064750C"/>
    <w:rsid w:val="00651F0A"/>
    <w:rsid w:val="006543FB"/>
    <w:rsid w:val="00655505"/>
    <w:rsid w:val="00655AA7"/>
    <w:rsid w:val="00655F80"/>
    <w:rsid w:val="00656541"/>
    <w:rsid w:val="006621E9"/>
    <w:rsid w:val="00662904"/>
    <w:rsid w:val="00663C1B"/>
    <w:rsid w:val="00664A57"/>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585E"/>
    <w:rsid w:val="00772458"/>
    <w:rsid w:val="00775812"/>
    <w:rsid w:val="00781AFB"/>
    <w:rsid w:val="00782461"/>
    <w:rsid w:val="0078470A"/>
    <w:rsid w:val="0078583D"/>
    <w:rsid w:val="00785939"/>
    <w:rsid w:val="00787AF1"/>
    <w:rsid w:val="0079132B"/>
    <w:rsid w:val="0079360E"/>
    <w:rsid w:val="007969E6"/>
    <w:rsid w:val="00796DA1"/>
    <w:rsid w:val="007A2C57"/>
    <w:rsid w:val="007A3440"/>
    <w:rsid w:val="007A34B3"/>
    <w:rsid w:val="007B1039"/>
    <w:rsid w:val="007B1644"/>
    <w:rsid w:val="007B413B"/>
    <w:rsid w:val="007B5461"/>
    <w:rsid w:val="007C19EC"/>
    <w:rsid w:val="007C342D"/>
    <w:rsid w:val="007C60E2"/>
    <w:rsid w:val="007D158A"/>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30A48"/>
    <w:rsid w:val="00833331"/>
    <w:rsid w:val="00833C36"/>
    <w:rsid w:val="00834B96"/>
    <w:rsid w:val="00836415"/>
    <w:rsid w:val="00836B47"/>
    <w:rsid w:val="00840A53"/>
    <w:rsid w:val="008427B3"/>
    <w:rsid w:val="0085047D"/>
    <w:rsid w:val="008524EA"/>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62FA"/>
    <w:rsid w:val="008C03AD"/>
    <w:rsid w:val="008C11EE"/>
    <w:rsid w:val="008C1485"/>
    <w:rsid w:val="008C175C"/>
    <w:rsid w:val="008D2DBA"/>
    <w:rsid w:val="008D4E3B"/>
    <w:rsid w:val="008D530C"/>
    <w:rsid w:val="008D56D1"/>
    <w:rsid w:val="008D638B"/>
    <w:rsid w:val="008D7ECE"/>
    <w:rsid w:val="008E44FF"/>
    <w:rsid w:val="008E5F96"/>
    <w:rsid w:val="008E6FB7"/>
    <w:rsid w:val="008E7FE5"/>
    <w:rsid w:val="008F25DF"/>
    <w:rsid w:val="008F29E0"/>
    <w:rsid w:val="008F4FCE"/>
    <w:rsid w:val="008F63E4"/>
    <w:rsid w:val="00900008"/>
    <w:rsid w:val="00902EB1"/>
    <w:rsid w:val="00904C01"/>
    <w:rsid w:val="009050BB"/>
    <w:rsid w:val="00905F7A"/>
    <w:rsid w:val="00906A31"/>
    <w:rsid w:val="00906B1B"/>
    <w:rsid w:val="00910398"/>
    <w:rsid w:val="0091039C"/>
    <w:rsid w:val="00911640"/>
    <w:rsid w:val="0091213F"/>
    <w:rsid w:val="00912783"/>
    <w:rsid w:val="0091451C"/>
    <w:rsid w:val="00915C3E"/>
    <w:rsid w:val="00915D45"/>
    <w:rsid w:val="00923349"/>
    <w:rsid w:val="00923CE8"/>
    <w:rsid w:val="009252D3"/>
    <w:rsid w:val="00926002"/>
    <w:rsid w:val="00930EBA"/>
    <w:rsid w:val="00935580"/>
    <w:rsid w:val="009366E0"/>
    <w:rsid w:val="00940622"/>
    <w:rsid w:val="009412D9"/>
    <w:rsid w:val="00944730"/>
    <w:rsid w:val="009471B5"/>
    <w:rsid w:val="00951A6C"/>
    <w:rsid w:val="00952928"/>
    <w:rsid w:val="009531DA"/>
    <w:rsid w:val="00953CFD"/>
    <w:rsid w:val="009669E3"/>
    <w:rsid w:val="009671DB"/>
    <w:rsid w:val="0096755D"/>
    <w:rsid w:val="00972738"/>
    <w:rsid w:val="00974C35"/>
    <w:rsid w:val="00976E81"/>
    <w:rsid w:val="009808B0"/>
    <w:rsid w:val="00980958"/>
    <w:rsid w:val="00983488"/>
    <w:rsid w:val="00983EDB"/>
    <w:rsid w:val="009849EF"/>
    <w:rsid w:val="00987014"/>
    <w:rsid w:val="009871AC"/>
    <w:rsid w:val="00997443"/>
    <w:rsid w:val="009A2AFB"/>
    <w:rsid w:val="009A2DE2"/>
    <w:rsid w:val="009A3B62"/>
    <w:rsid w:val="009A5C47"/>
    <w:rsid w:val="009A68E7"/>
    <w:rsid w:val="009A6BC5"/>
    <w:rsid w:val="009B4A92"/>
    <w:rsid w:val="009B4B7B"/>
    <w:rsid w:val="009B66C0"/>
    <w:rsid w:val="009B72A1"/>
    <w:rsid w:val="009B74A5"/>
    <w:rsid w:val="009C24F9"/>
    <w:rsid w:val="009D3AAC"/>
    <w:rsid w:val="009D5B63"/>
    <w:rsid w:val="009E1679"/>
    <w:rsid w:val="009E2348"/>
    <w:rsid w:val="009E239E"/>
    <w:rsid w:val="009E271D"/>
    <w:rsid w:val="009E362F"/>
    <w:rsid w:val="009E59CA"/>
    <w:rsid w:val="009F1806"/>
    <w:rsid w:val="009F1EA5"/>
    <w:rsid w:val="009F768D"/>
    <w:rsid w:val="00A00F26"/>
    <w:rsid w:val="00A018F7"/>
    <w:rsid w:val="00A0208B"/>
    <w:rsid w:val="00A02ABC"/>
    <w:rsid w:val="00A039B4"/>
    <w:rsid w:val="00A063F2"/>
    <w:rsid w:val="00A0799C"/>
    <w:rsid w:val="00A07D8F"/>
    <w:rsid w:val="00A13C95"/>
    <w:rsid w:val="00A1707A"/>
    <w:rsid w:val="00A215E2"/>
    <w:rsid w:val="00A23803"/>
    <w:rsid w:val="00A249F6"/>
    <w:rsid w:val="00A26704"/>
    <w:rsid w:val="00A27248"/>
    <w:rsid w:val="00A27289"/>
    <w:rsid w:val="00A34AEC"/>
    <w:rsid w:val="00A35AFD"/>
    <w:rsid w:val="00A40731"/>
    <w:rsid w:val="00A429D5"/>
    <w:rsid w:val="00A433E2"/>
    <w:rsid w:val="00A448EF"/>
    <w:rsid w:val="00A4598C"/>
    <w:rsid w:val="00A510EE"/>
    <w:rsid w:val="00A517C9"/>
    <w:rsid w:val="00A52A4E"/>
    <w:rsid w:val="00A5343C"/>
    <w:rsid w:val="00A6154F"/>
    <w:rsid w:val="00A615DA"/>
    <w:rsid w:val="00A64C8D"/>
    <w:rsid w:val="00A6721B"/>
    <w:rsid w:val="00A70355"/>
    <w:rsid w:val="00A73D4F"/>
    <w:rsid w:val="00A74128"/>
    <w:rsid w:val="00A7538D"/>
    <w:rsid w:val="00A75DD6"/>
    <w:rsid w:val="00A7618B"/>
    <w:rsid w:val="00A77155"/>
    <w:rsid w:val="00A77757"/>
    <w:rsid w:val="00A8008F"/>
    <w:rsid w:val="00A8092D"/>
    <w:rsid w:val="00A80E74"/>
    <w:rsid w:val="00A851A4"/>
    <w:rsid w:val="00A86BD8"/>
    <w:rsid w:val="00A87EDF"/>
    <w:rsid w:val="00A90163"/>
    <w:rsid w:val="00A90897"/>
    <w:rsid w:val="00A90C67"/>
    <w:rsid w:val="00A92B4B"/>
    <w:rsid w:val="00AA013D"/>
    <w:rsid w:val="00AA1496"/>
    <w:rsid w:val="00AA155D"/>
    <w:rsid w:val="00AA3D06"/>
    <w:rsid w:val="00AA4899"/>
    <w:rsid w:val="00AA4D37"/>
    <w:rsid w:val="00AA59F2"/>
    <w:rsid w:val="00AA639F"/>
    <w:rsid w:val="00AB16AD"/>
    <w:rsid w:val="00AB3CE6"/>
    <w:rsid w:val="00AB3E2B"/>
    <w:rsid w:val="00AB671D"/>
    <w:rsid w:val="00AB7130"/>
    <w:rsid w:val="00AC0D42"/>
    <w:rsid w:val="00AC225D"/>
    <w:rsid w:val="00AC2C30"/>
    <w:rsid w:val="00AC3558"/>
    <w:rsid w:val="00AC46EE"/>
    <w:rsid w:val="00AC701A"/>
    <w:rsid w:val="00AC74A3"/>
    <w:rsid w:val="00AC7DAD"/>
    <w:rsid w:val="00AD02BB"/>
    <w:rsid w:val="00AD344D"/>
    <w:rsid w:val="00AD49BE"/>
    <w:rsid w:val="00AD53F5"/>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35A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640"/>
    <w:rsid w:val="00BF0242"/>
    <w:rsid w:val="00BF0AE5"/>
    <w:rsid w:val="00BF144D"/>
    <w:rsid w:val="00BF214A"/>
    <w:rsid w:val="00BF3E1B"/>
    <w:rsid w:val="00BF7D51"/>
    <w:rsid w:val="00C02723"/>
    <w:rsid w:val="00C02A91"/>
    <w:rsid w:val="00C04960"/>
    <w:rsid w:val="00C06163"/>
    <w:rsid w:val="00C11391"/>
    <w:rsid w:val="00C114A8"/>
    <w:rsid w:val="00C1324E"/>
    <w:rsid w:val="00C138A5"/>
    <w:rsid w:val="00C14B96"/>
    <w:rsid w:val="00C158D4"/>
    <w:rsid w:val="00C211F9"/>
    <w:rsid w:val="00C22F92"/>
    <w:rsid w:val="00C25927"/>
    <w:rsid w:val="00C27126"/>
    <w:rsid w:val="00C310B8"/>
    <w:rsid w:val="00C31DBD"/>
    <w:rsid w:val="00C3305D"/>
    <w:rsid w:val="00C3343C"/>
    <w:rsid w:val="00C3343E"/>
    <w:rsid w:val="00C3643C"/>
    <w:rsid w:val="00C36C29"/>
    <w:rsid w:val="00C502DD"/>
    <w:rsid w:val="00C613E2"/>
    <w:rsid w:val="00C65047"/>
    <w:rsid w:val="00C653CC"/>
    <w:rsid w:val="00C665D4"/>
    <w:rsid w:val="00C67E56"/>
    <w:rsid w:val="00C74775"/>
    <w:rsid w:val="00C76F9B"/>
    <w:rsid w:val="00C77064"/>
    <w:rsid w:val="00C80AB6"/>
    <w:rsid w:val="00C833D6"/>
    <w:rsid w:val="00C84CDE"/>
    <w:rsid w:val="00C8762A"/>
    <w:rsid w:val="00C9306D"/>
    <w:rsid w:val="00C93320"/>
    <w:rsid w:val="00C95318"/>
    <w:rsid w:val="00C95A99"/>
    <w:rsid w:val="00C96B98"/>
    <w:rsid w:val="00C96F6B"/>
    <w:rsid w:val="00C97ED3"/>
    <w:rsid w:val="00CA043D"/>
    <w:rsid w:val="00CA069B"/>
    <w:rsid w:val="00CA27F9"/>
    <w:rsid w:val="00CA4F28"/>
    <w:rsid w:val="00CB067C"/>
    <w:rsid w:val="00CB15CA"/>
    <w:rsid w:val="00CB26B3"/>
    <w:rsid w:val="00CB3B7D"/>
    <w:rsid w:val="00CB687E"/>
    <w:rsid w:val="00CC074E"/>
    <w:rsid w:val="00CC1659"/>
    <w:rsid w:val="00CC30C3"/>
    <w:rsid w:val="00CC363A"/>
    <w:rsid w:val="00CC3D4E"/>
    <w:rsid w:val="00CC495B"/>
    <w:rsid w:val="00CC74BD"/>
    <w:rsid w:val="00CD0768"/>
    <w:rsid w:val="00CD3CC4"/>
    <w:rsid w:val="00CE047D"/>
    <w:rsid w:val="00CE43AF"/>
    <w:rsid w:val="00CE665D"/>
    <w:rsid w:val="00CE6758"/>
    <w:rsid w:val="00CE7731"/>
    <w:rsid w:val="00CF1226"/>
    <w:rsid w:val="00CF6A79"/>
    <w:rsid w:val="00CF73D7"/>
    <w:rsid w:val="00D00AAE"/>
    <w:rsid w:val="00D00FF9"/>
    <w:rsid w:val="00D02D5A"/>
    <w:rsid w:val="00D03B9D"/>
    <w:rsid w:val="00D06F2D"/>
    <w:rsid w:val="00D13B2D"/>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6C93"/>
    <w:rsid w:val="00D81512"/>
    <w:rsid w:val="00D85346"/>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B7538"/>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761A"/>
    <w:rsid w:val="00DF2338"/>
    <w:rsid w:val="00DF4C70"/>
    <w:rsid w:val="00DF4D56"/>
    <w:rsid w:val="00DF63EB"/>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3A7F"/>
    <w:rsid w:val="00E34A79"/>
    <w:rsid w:val="00E4104D"/>
    <w:rsid w:val="00E41293"/>
    <w:rsid w:val="00E44479"/>
    <w:rsid w:val="00E45108"/>
    <w:rsid w:val="00E451FE"/>
    <w:rsid w:val="00E475F0"/>
    <w:rsid w:val="00E50CA8"/>
    <w:rsid w:val="00E538E6"/>
    <w:rsid w:val="00E553E9"/>
    <w:rsid w:val="00E563DF"/>
    <w:rsid w:val="00E577FD"/>
    <w:rsid w:val="00E61098"/>
    <w:rsid w:val="00E62177"/>
    <w:rsid w:val="00E6494D"/>
    <w:rsid w:val="00E6716A"/>
    <w:rsid w:val="00E67F40"/>
    <w:rsid w:val="00E70167"/>
    <w:rsid w:val="00E703C3"/>
    <w:rsid w:val="00E73F29"/>
    <w:rsid w:val="00E74899"/>
    <w:rsid w:val="00E759B1"/>
    <w:rsid w:val="00E80184"/>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5D98"/>
    <w:rsid w:val="00EB7A35"/>
    <w:rsid w:val="00EC027A"/>
    <w:rsid w:val="00EC05B4"/>
    <w:rsid w:val="00EC074E"/>
    <w:rsid w:val="00EC0B10"/>
    <w:rsid w:val="00EC33EA"/>
    <w:rsid w:val="00EC62F1"/>
    <w:rsid w:val="00ED03A3"/>
    <w:rsid w:val="00ED0AA7"/>
    <w:rsid w:val="00ED2F8A"/>
    <w:rsid w:val="00ED7658"/>
    <w:rsid w:val="00EE1EE5"/>
    <w:rsid w:val="00EE2928"/>
    <w:rsid w:val="00EE359A"/>
    <w:rsid w:val="00EF2966"/>
    <w:rsid w:val="00EF7235"/>
    <w:rsid w:val="00F00A4D"/>
    <w:rsid w:val="00F01EA8"/>
    <w:rsid w:val="00F023A3"/>
    <w:rsid w:val="00F030F9"/>
    <w:rsid w:val="00F04C8C"/>
    <w:rsid w:val="00F054DA"/>
    <w:rsid w:val="00F06144"/>
    <w:rsid w:val="00F07BCF"/>
    <w:rsid w:val="00F130A3"/>
    <w:rsid w:val="00F16FAB"/>
    <w:rsid w:val="00F21CA5"/>
    <w:rsid w:val="00F31625"/>
    <w:rsid w:val="00F31BDC"/>
    <w:rsid w:val="00F32242"/>
    <w:rsid w:val="00F36CDE"/>
    <w:rsid w:val="00F36E39"/>
    <w:rsid w:val="00F40A8F"/>
    <w:rsid w:val="00F40FF5"/>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539"/>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4C6F"/>
    <w:rsid w:val="00FB64A1"/>
    <w:rsid w:val="00FB6732"/>
    <w:rsid w:val="00FB7D16"/>
    <w:rsid w:val="00FC110D"/>
    <w:rsid w:val="00FC3800"/>
    <w:rsid w:val="00FC4527"/>
    <w:rsid w:val="00FC65BE"/>
    <w:rsid w:val="00FC70C0"/>
    <w:rsid w:val="00FD1EEA"/>
    <w:rsid w:val="00FD30C0"/>
    <w:rsid w:val="00FD36CA"/>
    <w:rsid w:val="00FD3B41"/>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7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D77"/>
    <w:rPr>
      <w:color w:val="0000FF"/>
      <w:u w:val="single"/>
    </w:rPr>
  </w:style>
  <w:style w:type="character" w:customStyle="1" w:styleId="term1">
    <w:name w:val="term1"/>
    <w:basedOn w:val="DefaultParagraphFont"/>
    <w:rsid w:val="003B2D77"/>
    <w:rPr>
      <w:b/>
      <w:bCs/>
    </w:rPr>
  </w:style>
  <w:style w:type="paragraph" w:styleId="Footer">
    <w:name w:val="footer"/>
    <w:basedOn w:val="Normal"/>
    <w:link w:val="FooterChar"/>
    <w:uiPriority w:val="99"/>
    <w:unhideWhenUsed/>
    <w:rsid w:val="003B2D77"/>
    <w:pPr>
      <w:tabs>
        <w:tab w:val="center" w:pos="4680"/>
        <w:tab w:val="right" w:pos="9360"/>
      </w:tabs>
      <w:spacing w:line="240" w:lineRule="auto"/>
    </w:pPr>
  </w:style>
  <w:style w:type="character" w:customStyle="1" w:styleId="FooterChar">
    <w:name w:val="Footer Char"/>
    <w:basedOn w:val="DefaultParagraphFont"/>
    <w:link w:val="Footer"/>
    <w:uiPriority w:val="99"/>
    <w:rsid w:val="003B2D77"/>
    <w:rPr>
      <w:rFonts w:eastAsia="Calibri"/>
    </w:rPr>
  </w:style>
  <w:style w:type="paragraph" w:styleId="FootnoteText">
    <w:name w:val="footnote text"/>
    <w:basedOn w:val="Normal"/>
    <w:link w:val="FootnoteTextChar"/>
    <w:uiPriority w:val="99"/>
    <w:semiHidden/>
    <w:unhideWhenUsed/>
    <w:rsid w:val="00A0208B"/>
    <w:pPr>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A0208B"/>
    <w:rPr>
      <w:rFonts w:eastAsia="Times New Roman"/>
      <w:sz w:val="20"/>
      <w:szCs w:val="20"/>
    </w:rPr>
  </w:style>
  <w:style w:type="character" w:styleId="FootnoteReference">
    <w:name w:val="footnote reference"/>
    <w:basedOn w:val="DefaultParagraphFont"/>
    <w:uiPriority w:val="99"/>
    <w:semiHidden/>
    <w:unhideWhenUsed/>
    <w:rsid w:val="00A0208B"/>
    <w:rPr>
      <w:vertAlign w:val="superscript"/>
    </w:rPr>
  </w:style>
  <w:style w:type="paragraph" w:styleId="Header">
    <w:name w:val="header"/>
    <w:basedOn w:val="Normal"/>
    <w:link w:val="HeaderChar"/>
    <w:uiPriority w:val="99"/>
    <w:semiHidden/>
    <w:unhideWhenUsed/>
    <w:rsid w:val="004F7BF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F7BFC"/>
    <w:rPr>
      <w:rFonts w:eastAsia="Calibri"/>
    </w:rPr>
  </w:style>
  <w:style w:type="paragraph" w:styleId="ListParagraph">
    <w:name w:val="List Paragraph"/>
    <w:basedOn w:val="Normal"/>
    <w:uiPriority w:val="34"/>
    <w:qFormat/>
    <w:rsid w:val="00347F0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9d2e643a3a4f9dd730f910a09c9a872e&amp;_xfercite=%3ccite%20cc%3d%22USA%22%3e%3c%21%5bCDATA%5b868%20A.2d%20624%5d%5d%3e%3c%2fcite%3e&amp;_butType=3&amp;_butStat=2&amp;_butNum=91&amp;_butInline=1&amp;_butinfo=%3ccite%20cc%3d%22USA%22%3e%3c%21%5bCDATA%5b29%20Pa.%20Commw.%20171%5d%5d%3e%3c%2fcite%3e&amp;_fmtstr=FULL&amp;docnum=6&amp;_startdoc=1&amp;wchp=dGLzVlz-zSkAB&amp;_md5=dac5b3933cdbce651952148e1b38bef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08287-27CA-421E-B2C0-4269C88F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2010-12-21T20:47:00Z</dcterms:created>
  <dcterms:modified xsi:type="dcterms:W3CDTF">2010-12-21T20:47:00Z</dcterms:modified>
</cp:coreProperties>
</file>