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5E5B78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5E5B78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D1DBA" w:rsidRPr="00CB1515" w:rsidRDefault="008D1DBA" w:rsidP="008D1D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 xml:space="preserve">Herman A. </w:t>
      </w:r>
      <w:proofErr w:type="spellStart"/>
      <w:r w:rsidRPr="00CB1515">
        <w:rPr>
          <w:rFonts w:ascii="Times New Roman" w:hAnsi="Times New Roman"/>
          <w:spacing w:val="-3"/>
          <w:szCs w:val="24"/>
        </w:rPr>
        <w:t>Staton</w:t>
      </w:r>
      <w:proofErr w:type="spellEnd"/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  <w:t>:</w:t>
      </w:r>
    </w:p>
    <w:p w:rsidR="008D1DBA" w:rsidRPr="00CB1515" w:rsidRDefault="008D1DBA" w:rsidP="008D1D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  <w:t>:</w:t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</w:p>
    <w:p w:rsidR="008D1DBA" w:rsidRPr="00CB1515" w:rsidRDefault="008D1DBA" w:rsidP="008D1D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ab/>
        <w:t>v.</w:t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  <w:t xml:space="preserve">: </w:t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  <w:t>C-2010-2181032</w:t>
      </w:r>
    </w:p>
    <w:p w:rsidR="008D1DBA" w:rsidRPr="00CB1515" w:rsidRDefault="008D1DBA" w:rsidP="008D1D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  <w:t>:</w:t>
      </w:r>
    </w:p>
    <w:p w:rsidR="00817AAD" w:rsidRPr="00CB1515" w:rsidRDefault="008D1DBA" w:rsidP="008D1DBA">
      <w:pPr>
        <w:rPr>
          <w:rFonts w:ascii="Times New Roman" w:hAnsi="Times New Roman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>Philadelphia Gas Works</w:t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ab/>
        <w:t>:</w:t>
      </w: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Pr="002B300F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CB1515" w:rsidRDefault="00141506" w:rsidP="00CB1515">
      <w:pPr>
        <w:tabs>
          <w:tab w:val="center" w:pos="4680"/>
        </w:tabs>
        <w:suppressAutoHyphens/>
        <w:ind w:firstLine="135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CB1515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94335A" w:rsidRPr="00CB1515">
        <w:rPr>
          <w:rFonts w:ascii="Times New Roman" w:hAnsi="Times New Roman"/>
          <w:spacing w:val="-3"/>
          <w:szCs w:val="24"/>
        </w:rPr>
        <w:t xml:space="preserve">Administrative Law Judge </w:t>
      </w:r>
      <w:r w:rsidR="00CB1515" w:rsidRPr="00CB1515">
        <w:rPr>
          <w:rFonts w:ascii="Times New Roman" w:hAnsi="Times New Roman"/>
          <w:spacing w:val="-3"/>
          <w:szCs w:val="24"/>
        </w:rPr>
        <w:t>Marlane R. Chestnut</w:t>
      </w:r>
      <w:r w:rsidR="00CB1515">
        <w:rPr>
          <w:rFonts w:ascii="Times New Roman" w:hAnsi="Times New Roman"/>
          <w:spacing w:val="-3"/>
          <w:szCs w:val="24"/>
        </w:rPr>
        <w:t xml:space="preserve"> </w:t>
      </w:r>
      <w:r w:rsidR="009A547F" w:rsidRPr="00CB1515">
        <w:rPr>
          <w:rFonts w:ascii="Times New Roman" w:hAnsi="Times New Roman"/>
          <w:spacing w:val="-3"/>
          <w:szCs w:val="24"/>
        </w:rPr>
        <w:t>dated</w:t>
      </w:r>
      <w:r w:rsidR="00F5470D" w:rsidRPr="00CB1515">
        <w:rPr>
          <w:rFonts w:ascii="Times New Roman" w:hAnsi="Times New Roman"/>
          <w:spacing w:val="-3"/>
          <w:szCs w:val="24"/>
        </w:rPr>
        <w:t xml:space="preserve"> </w:t>
      </w:r>
      <w:r w:rsidR="00CB1515">
        <w:rPr>
          <w:rFonts w:ascii="Times New Roman" w:hAnsi="Times New Roman"/>
          <w:spacing w:val="-3"/>
          <w:szCs w:val="24"/>
        </w:rPr>
        <w:t xml:space="preserve">November 18, </w:t>
      </w:r>
      <w:r w:rsidR="00817AAD" w:rsidRPr="00CB1515">
        <w:rPr>
          <w:rFonts w:ascii="Times New Roman" w:hAnsi="Times New Roman"/>
          <w:spacing w:val="-3"/>
          <w:szCs w:val="24"/>
        </w:rPr>
        <w:t>2010</w:t>
      </w:r>
      <w:r w:rsidRPr="00CB1515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B1515" w:rsidRPr="00CB1515" w:rsidRDefault="00CB1515" w:rsidP="00CB151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>1.</w:t>
      </w:r>
      <w:r w:rsidRPr="00CB1515">
        <w:rPr>
          <w:rFonts w:ascii="Times New Roman" w:hAnsi="Times New Roman"/>
          <w:spacing w:val="-3"/>
          <w:szCs w:val="24"/>
        </w:rPr>
        <w:tab/>
        <w:t>That the motion to dismiss the Complaint filed at Docket No. C-2010-2181032 is granted;</w:t>
      </w:r>
    </w:p>
    <w:p w:rsidR="00CB1515" w:rsidRPr="00CB1515" w:rsidRDefault="00CB1515" w:rsidP="00CB151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B1515" w:rsidRPr="00CB1515" w:rsidRDefault="00CB1515" w:rsidP="00CB151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>2.</w:t>
      </w:r>
      <w:r w:rsidRPr="00CB1515">
        <w:rPr>
          <w:rFonts w:ascii="Times New Roman" w:hAnsi="Times New Roman"/>
          <w:spacing w:val="-3"/>
          <w:szCs w:val="24"/>
        </w:rPr>
        <w:tab/>
        <w:t xml:space="preserve">That the Complaint of Herman A. </w:t>
      </w:r>
      <w:proofErr w:type="spellStart"/>
      <w:r w:rsidRPr="00CB1515">
        <w:rPr>
          <w:rFonts w:ascii="Times New Roman" w:hAnsi="Times New Roman"/>
          <w:spacing w:val="-3"/>
          <w:szCs w:val="24"/>
        </w:rPr>
        <w:t>Staton</w:t>
      </w:r>
      <w:proofErr w:type="spellEnd"/>
      <w:r w:rsidRPr="00CB1515">
        <w:rPr>
          <w:rFonts w:ascii="Times New Roman" w:hAnsi="Times New Roman"/>
          <w:spacing w:val="-3"/>
          <w:szCs w:val="24"/>
        </w:rPr>
        <w:t xml:space="preserve"> against Philadelphia Gas Works at Docket No. C-2010-2181032 is dismissed with prejudice; and</w:t>
      </w:r>
    </w:p>
    <w:p w:rsidR="00CB1515" w:rsidRPr="00CB1515" w:rsidRDefault="00CB1515" w:rsidP="00CB151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B1515" w:rsidRPr="00CB1515" w:rsidRDefault="00CB1515" w:rsidP="00CB151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B1515">
        <w:rPr>
          <w:rFonts w:ascii="Times New Roman" w:hAnsi="Times New Roman"/>
          <w:spacing w:val="-3"/>
          <w:szCs w:val="24"/>
        </w:rPr>
        <w:t>3.</w:t>
      </w:r>
      <w:r w:rsidRPr="00CB1515">
        <w:rPr>
          <w:rFonts w:ascii="Times New Roman" w:hAnsi="Times New Roman"/>
          <w:spacing w:val="-3"/>
          <w:szCs w:val="24"/>
        </w:rPr>
        <w:tab/>
        <w:t xml:space="preserve">That the record at Docket No. C-2010-2181032 </w:t>
      </w:r>
      <w:proofErr w:type="gramStart"/>
      <w:r w:rsidRPr="00CB1515">
        <w:rPr>
          <w:rFonts w:ascii="Times New Roman" w:hAnsi="Times New Roman"/>
          <w:spacing w:val="-3"/>
          <w:szCs w:val="24"/>
        </w:rPr>
        <w:t>be</w:t>
      </w:r>
      <w:proofErr w:type="gramEnd"/>
      <w:r w:rsidRPr="00CB1515">
        <w:rPr>
          <w:rFonts w:ascii="Times New Roman" w:hAnsi="Times New Roman"/>
          <w:spacing w:val="-3"/>
          <w:szCs w:val="24"/>
        </w:rPr>
        <w:t xml:space="preserve"> marked closed.</w:t>
      </w:r>
    </w:p>
    <w:p w:rsidR="00613091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289F" w:rsidRPr="002B300F" w:rsidRDefault="00E478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125095</wp:posOffset>
            </wp:positionV>
            <wp:extent cx="2201545" cy="833755"/>
            <wp:effectExtent l="1905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E478F5">
        <w:rPr>
          <w:rFonts w:ascii="Times New Roman" w:hAnsi="Times New Roman"/>
          <w:spacing w:val="-3"/>
          <w:szCs w:val="24"/>
        </w:rPr>
        <w:t xml:space="preserve"> January 21,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44" w:rsidRDefault="00865B44">
      <w:pPr>
        <w:spacing w:line="20" w:lineRule="exact"/>
      </w:pPr>
    </w:p>
  </w:endnote>
  <w:endnote w:type="continuationSeparator" w:id="0">
    <w:p w:rsidR="00865B44" w:rsidRDefault="00865B44">
      <w:r>
        <w:t xml:space="preserve"> </w:t>
      </w:r>
    </w:p>
  </w:endnote>
  <w:endnote w:type="continuationNotice" w:id="1">
    <w:p w:rsidR="00865B44" w:rsidRDefault="00865B4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44" w:rsidRDefault="00865B44">
      <w:r>
        <w:separator/>
      </w:r>
    </w:p>
  </w:footnote>
  <w:footnote w:type="continuationSeparator" w:id="0">
    <w:p w:rsidR="00865B44" w:rsidRDefault="00865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82FEB"/>
    <w:rsid w:val="001D058B"/>
    <w:rsid w:val="001D209B"/>
    <w:rsid w:val="001E2D3B"/>
    <w:rsid w:val="00201E96"/>
    <w:rsid w:val="0022470B"/>
    <w:rsid w:val="0028314C"/>
    <w:rsid w:val="002B300F"/>
    <w:rsid w:val="002E3143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844C2"/>
    <w:rsid w:val="00587391"/>
    <w:rsid w:val="005E5B67"/>
    <w:rsid w:val="005E5B78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9633E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65B44"/>
    <w:rsid w:val="0088369B"/>
    <w:rsid w:val="00887705"/>
    <w:rsid w:val="008B0AA9"/>
    <w:rsid w:val="008B4CE3"/>
    <w:rsid w:val="008C7551"/>
    <w:rsid w:val="008D1DBA"/>
    <w:rsid w:val="008D3BB0"/>
    <w:rsid w:val="00906FC2"/>
    <w:rsid w:val="00923CA1"/>
    <w:rsid w:val="00935B3B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4289F"/>
    <w:rsid w:val="00C7455A"/>
    <w:rsid w:val="00C94A2D"/>
    <w:rsid w:val="00CB1515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478F5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2011-01-21T12:59:00Z</cp:lastPrinted>
  <dcterms:created xsi:type="dcterms:W3CDTF">2011-01-20T19:41:00Z</dcterms:created>
  <dcterms:modified xsi:type="dcterms:W3CDTF">2011-01-21T12:59:00Z</dcterms:modified>
</cp:coreProperties>
</file>