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720D34">
        <w:rPr>
          <w:rFonts w:ascii="Times New Roman" w:hAnsi="Times New Roman" w:cs="Times New Roman"/>
          <w:sz w:val="24"/>
          <w:szCs w:val="24"/>
        </w:rPr>
        <w:t>January 27, 2011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James H. Cawley, Chairman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Tyrone J. Christy, Vice Chairman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John F. Coleman, Jr.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Wayne E. Gardner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Robert F. Powelson</w:t>
      </w:r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>Pennsylvania Public Utility Commission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R-2010-2191376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>Office of Consumer Advocate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C-2010-2194647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 xml:space="preserve">Thomas B. </w:t>
      </w:r>
      <w:proofErr w:type="spellStart"/>
      <w:r w:rsidRPr="008A06FA">
        <w:rPr>
          <w:rFonts w:ascii="Times New Roman" w:hAnsi="Times New Roman" w:cs="Times New Roman"/>
          <w:sz w:val="24"/>
          <w:szCs w:val="24"/>
        </w:rPr>
        <w:t>Rutter</w:t>
      </w:r>
      <w:proofErr w:type="spellEnd"/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C-2010-2196300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A06FA">
        <w:rPr>
          <w:rFonts w:ascii="Times New Roman" w:hAnsi="Times New Roman" w:cs="Times New Roman"/>
          <w:sz w:val="24"/>
          <w:szCs w:val="24"/>
        </w:rPr>
        <w:t>Dewees</w:t>
      </w:r>
      <w:proofErr w:type="spellEnd"/>
      <w:r w:rsidRPr="008A06FA">
        <w:rPr>
          <w:rFonts w:ascii="Times New Roman" w:hAnsi="Times New Roman" w:cs="Times New Roman"/>
          <w:sz w:val="24"/>
          <w:szCs w:val="24"/>
        </w:rPr>
        <w:t xml:space="preserve"> Group, Inc. c/o Richard </w:t>
      </w:r>
      <w:proofErr w:type="spellStart"/>
      <w:r w:rsidRPr="008A06FA">
        <w:rPr>
          <w:rFonts w:ascii="Times New Roman" w:hAnsi="Times New Roman" w:cs="Times New Roman"/>
          <w:sz w:val="24"/>
          <w:szCs w:val="24"/>
        </w:rPr>
        <w:t>Dewees</w:t>
      </w:r>
      <w:proofErr w:type="spellEnd"/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C-2010-2197693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>Andrea Mowery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C-2010-2198878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 xml:space="preserve">Henry N. </w:t>
      </w:r>
      <w:proofErr w:type="spellStart"/>
      <w:r w:rsidRPr="008A06FA">
        <w:rPr>
          <w:rFonts w:ascii="Times New Roman" w:hAnsi="Times New Roman" w:cs="Times New Roman"/>
          <w:sz w:val="24"/>
          <w:szCs w:val="24"/>
        </w:rPr>
        <w:t>Capaldo</w:t>
      </w:r>
      <w:proofErr w:type="spellEnd"/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C-2010-2201640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>Joseph H. Boyer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C-2010-2204106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>James P. Herron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C-2010-2204434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>Center Point Farm Homeowner’s Association</w:t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C-2010-2208891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ab/>
        <w:t>v.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</w:p>
    <w:p w:rsidR="008A06FA" w:rsidRPr="008A06FA" w:rsidRDefault="008A06FA" w:rsidP="008A06FA">
      <w:pPr>
        <w:rPr>
          <w:rFonts w:ascii="Times New Roman" w:hAnsi="Times New Roman" w:cs="Times New Roman"/>
          <w:sz w:val="24"/>
          <w:szCs w:val="24"/>
        </w:rPr>
      </w:pPr>
      <w:r w:rsidRPr="008A06FA">
        <w:rPr>
          <w:rFonts w:ascii="Times New Roman" w:hAnsi="Times New Roman" w:cs="Times New Roman"/>
          <w:sz w:val="24"/>
          <w:szCs w:val="24"/>
        </w:rPr>
        <w:t>Superior Water Company, Inc.</w:t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</w:r>
      <w:r w:rsidRPr="008A06FA">
        <w:rPr>
          <w:rFonts w:ascii="Times New Roman" w:hAnsi="Times New Roman" w:cs="Times New Roman"/>
          <w:sz w:val="24"/>
          <w:szCs w:val="24"/>
        </w:rPr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20D34">
        <w:rPr>
          <w:rFonts w:ascii="Times New Roman" w:hAnsi="Times New Roman" w:cs="Times New Roman"/>
          <w:sz w:val="24"/>
          <w:szCs w:val="24"/>
        </w:rPr>
        <w:t xml:space="preserve">Recommended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8A06FA">
        <w:rPr>
          <w:rFonts w:ascii="Times New Roman" w:hAnsi="Times New Roman" w:cs="Times New Roman"/>
          <w:sz w:val="24"/>
          <w:szCs w:val="24"/>
        </w:rPr>
        <w:t>Christopher Pell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06FA">
        <w:rPr>
          <w:rFonts w:ascii="Times New Roman" w:hAnsi="Times New Roman" w:cs="Times New Roman"/>
          <w:sz w:val="24"/>
          <w:szCs w:val="24"/>
        </w:rPr>
        <w:t>dated December 21,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2F0C51" w:rsidRPr="002F0C51" w:rsidRDefault="002F0C51" w:rsidP="002F0C51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0C51">
        <w:rPr>
          <w:rFonts w:ascii="Times New Roman" w:hAnsi="Times New Roman" w:cs="Times New Roman"/>
          <w:sz w:val="24"/>
          <w:szCs w:val="24"/>
        </w:rPr>
        <w:t>That the rates, rules and regulations contained in Supplement No. 3 to Tariff Water – Pa. P.U.C. No. 4 not be permitted to be placed in effect;</w:t>
      </w:r>
    </w:p>
    <w:p w:rsidR="002F0C51" w:rsidRPr="002F0C51" w:rsidRDefault="002F0C51" w:rsidP="002F0C51">
      <w:pPr>
        <w:ind w:left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F0C51" w:rsidRPr="002F0C51" w:rsidRDefault="002F0C51" w:rsidP="002F0C51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0C51">
        <w:rPr>
          <w:rFonts w:ascii="Times New Roman" w:hAnsi="Times New Roman" w:cs="Times New Roman"/>
          <w:sz w:val="24"/>
          <w:szCs w:val="24"/>
        </w:rPr>
        <w:lastRenderedPageBreak/>
        <w:t xml:space="preserve">That the </w:t>
      </w:r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rates, terms and conditions contained in the </w:t>
      </w:r>
      <w:r w:rsidRPr="002F0C51">
        <w:rPr>
          <w:rFonts w:ascii="Times New Roman" w:hAnsi="Times New Roman" w:cs="Times New Roman"/>
          <w:sz w:val="24"/>
          <w:szCs w:val="24"/>
        </w:rPr>
        <w:t xml:space="preserve">Joint Petition for Approval of Settlement of Superior Water Company’s Base Rate Case at </w:t>
      </w:r>
      <w:r w:rsidRPr="002F0C51">
        <w:rPr>
          <w:rFonts w:ascii="Times New Roman" w:hAnsi="Times New Roman" w:cs="Times New Roman"/>
          <w:spacing w:val="-3"/>
          <w:sz w:val="24"/>
          <w:szCs w:val="24"/>
        </w:rPr>
        <w:t>Docket No. R-2010-2191376 submitted by Superior Water Company, Inc., the Office of Trial Staff and the Office of Consumer Advocate, be approved and adopted without modification;</w:t>
      </w:r>
    </w:p>
    <w:p w:rsidR="002F0C51" w:rsidRPr="002F0C51" w:rsidRDefault="002F0C51" w:rsidP="002F0C51">
      <w:pPr>
        <w:ind w:left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F0C51" w:rsidRPr="002F0C51" w:rsidRDefault="002F0C51" w:rsidP="002F0C51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0C51">
        <w:rPr>
          <w:rFonts w:ascii="Times New Roman" w:hAnsi="Times New Roman" w:cs="Times New Roman"/>
          <w:spacing w:val="-3"/>
          <w:sz w:val="24"/>
          <w:szCs w:val="24"/>
        </w:rPr>
        <w:t>That u</w:t>
      </w:r>
      <w:r w:rsidRPr="002F0C51">
        <w:rPr>
          <w:rFonts w:ascii="Times New Roman" w:hAnsi="Times New Roman" w:cs="Times New Roman"/>
          <w:sz w:val="24"/>
          <w:szCs w:val="24"/>
        </w:rPr>
        <w:t>pon</w:t>
      </w:r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 entry of the Commission Order approving the recommendation to adopt the </w:t>
      </w:r>
      <w:r w:rsidRPr="002F0C51">
        <w:rPr>
          <w:rFonts w:ascii="Times New Roman" w:hAnsi="Times New Roman" w:cs="Times New Roman"/>
          <w:sz w:val="24"/>
          <w:szCs w:val="24"/>
        </w:rPr>
        <w:t>Joint Petition for Approval of Settlement of Superior Water Company’s Base Rate Case</w:t>
      </w:r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, Superior Water Company, Inc. </w:t>
      </w:r>
      <w:r w:rsidRPr="002F0C51">
        <w:rPr>
          <w:rFonts w:ascii="Times New Roman" w:hAnsi="Times New Roman" w:cs="Times New Roman"/>
          <w:sz w:val="24"/>
          <w:szCs w:val="24"/>
        </w:rPr>
        <w:t>be permitted to file a tariff supplement in substantially the same form as that attached to the Joint Petition as Appendix A (Step One Rates) to become effective on one day’s notice, which tariff supplement,</w:t>
      </w:r>
      <w:r w:rsidRPr="002F0C51">
        <w:rPr>
          <w:rFonts w:ascii="Times New Roman" w:hAnsi="Times New Roman" w:cs="Times New Roman"/>
          <w:i/>
          <w:sz w:val="24"/>
          <w:szCs w:val="24"/>
        </w:rPr>
        <w:t xml:space="preserve"> inter alia</w:t>
      </w:r>
      <w:r w:rsidRPr="002F0C51">
        <w:rPr>
          <w:rFonts w:ascii="Times New Roman" w:hAnsi="Times New Roman" w:cs="Times New Roman"/>
          <w:sz w:val="24"/>
          <w:szCs w:val="24"/>
        </w:rPr>
        <w:t>, increases the company’s rates so as to produce an increase in annual operating base rate revenues of $380,000;</w:t>
      </w:r>
    </w:p>
    <w:p w:rsidR="002F0C51" w:rsidRPr="002F0C51" w:rsidRDefault="002F0C51" w:rsidP="002F0C51">
      <w:pPr>
        <w:ind w:left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F0C51" w:rsidRPr="002F0C51" w:rsidRDefault="002F0C51" w:rsidP="002F0C51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0C51">
        <w:rPr>
          <w:rFonts w:ascii="Times New Roman" w:hAnsi="Times New Roman" w:cs="Times New Roman"/>
          <w:spacing w:val="-3"/>
          <w:sz w:val="24"/>
          <w:szCs w:val="24"/>
        </w:rPr>
        <w:t>That u</w:t>
      </w:r>
      <w:r w:rsidRPr="002F0C51">
        <w:rPr>
          <w:rFonts w:ascii="Times New Roman" w:hAnsi="Times New Roman" w:cs="Times New Roman"/>
          <w:sz w:val="24"/>
          <w:szCs w:val="24"/>
        </w:rPr>
        <w:t>pon</w:t>
      </w:r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 entry of the Commission Order approving the recommendation to adopt the </w:t>
      </w:r>
      <w:r w:rsidRPr="002F0C51">
        <w:rPr>
          <w:rFonts w:ascii="Times New Roman" w:hAnsi="Times New Roman" w:cs="Times New Roman"/>
          <w:sz w:val="24"/>
          <w:szCs w:val="24"/>
        </w:rPr>
        <w:t>Joint Petition for Approval of Settlement of Superior Water Company’s Base Rate Case</w:t>
      </w:r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, Superior Water Company, Inc. </w:t>
      </w:r>
      <w:r w:rsidRPr="002F0C51">
        <w:rPr>
          <w:rFonts w:ascii="Times New Roman" w:hAnsi="Times New Roman" w:cs="Times New Roman"/>
          <w:sz w:val="24"/>
          <w:szCs w:val="24"/>
        </w:rPr>
        <w:t>be permitted to file a tariff supplement in substantially the same form as that attached to the Joint Petition as Appendix B (Step Two Rates) to become effective on July 1, 2011, which tariff supplement,</w:t>
      </w:r>
      <w:r w:rsidRPr="002F0C51">
        <w:rPr>
          <w:rFonts w:ascii="Times New Roman" w:hAnsi="Times New Roman" w:cs="Times New Roman"/>
          <w:i/>
          <w:sz w:val="24"/>
          <w:szCs w:val="24"/>
        </w:rPr>
        <w:t xml:space="preserve"> inter alia</w:t>
      </w:r>
      <w:r w:rsidRPr="002F0C51">
        <w:rPr>
          <w:rFonts w:ascii="Times New Roman" w:hAnsi="Times New Roman" w:cs="Times New Roman"/>
          <w:sz w:val="24"/>
          <w:szCs w:val="24"/>
        </w:rPr>
        <w:t>, increases the company’s rates so as to produce an increase in annual operating base rate revenues of $24,190;</w:t>
      </w:r>
    </w:p>
    <w:p w:rsidR="002F0C51" w:rsidRPr="002F0C51" w:rsidRDefault="002F0C51" w:rsidP="002F0C51">
      <w:pPr>
        <w:ind w:left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F0C51" w:rsidRPr="002F0C51" w:rsidRDefault="002F0C51" w:rsidP="002F0C51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0C51">
        <w:rPr>
          <w:rFonts w:ascii="Times New Roman" w:hAnsi="Times New Roman" w:cs="Times New Roman"/>
          <w:spacing w:val="-3"/>
          <w:sz w:val="24"/>
          <w:szCs w:val="24"/>
        </w:rPr>
        <w:t>That the Complaint filed by the Office of Consumer Advocate at Docket No. C-2010-2194647 be deemed satisfied;</w:t>
      </w:r>
    </w:p>
    <w:p w:rsidR="002F0C51" w:rsidRPr="002F0C51" w:rsidRDefault="002F0C51" w:rsidP="002F0C51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F0C51" w:rsidRPr="002F0C51" w:rsidRDefault="002F0C51" w:rsidP="002F0C51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That the following Complaints be dismissed:  Thomas B. </w:t>
      </w:r>
      <w:proofErr w:type="spellStart"/>
      <w:r w:rsidRPr="002F0C51">
        <w:rPr>
          <w:rFonts w:ascii="Times New Roman" w:hAnsi="Times New Roman" w:cs="Times New Roman"/>
          <w:spacing w:val="-3"/>
          <w:sz w:val="24"/>
          <w:szCs w:val="24"/>
        </w:rPr>
        <w:t>Rutter</w:t>
      </w:r>
      <w:proofErr w:type="spellEnd"/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 (C-2010-2196300), the </w:t>
      </w:r>
      <w:proofErr w:type="spellStart"/>
      <w:r w:rsidRPr="002F0C51">
        <w:rPr>
          <w:rFonts w:ascii="Times New Roman" w:hAnsi="Times New Roman" w:cs="Times New Roman"/>
          <w:spacing w:val="-3"/>
          <w:sz w:val="24"/>
          <w:szCs w:val="24"/>
        </w:rPr>
        <w:t>Dewees</w:t>
      </w:r>
      <w:proofErr w:type="spellEnd"/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 Group, Inc. c/o Richard </w:t>
      </w:r>
      <w:proofErr w:type="spellStart"/>
      <w:r w:rsidRPr="002F0C51">
        <w:rPr>
          <w:rFonts w:ascii="Times New Roman" w:hAnsi="Times New Roman" w:cs="Times New Roman"/>
          <w:spacing w:val="-3"/>
          <w:sz w:val="24"/>
          <w:szCs w:val="24"/>
        </w:rPr>
        <w:t>Dewees</w:t>
      </w:r>
      <w:proofErr w:type="spellEnd"/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 (C-2010-2197693), Andrea Mowery (C</w:t>
      </w:r>
      <w:r w:rsidRPr="002F0C51">
        <w:rPr>
          <w:rFonts w:ascii="Times New Roman" w:hAnsi="Times New Roman" w:cs="Times New Roman"/>
          <w:spacing w:val="-3"/>
          <w:sz w:val="24"/>
          <w:szCs w:val="24"/>
        </w:rPr>
        <w:noBreakHyphen/>
        <w:t xml:space="preserve">2010-2198878), Henry </w:t>
      </w:r>
      <w:proofErr w:type="spellStart"/>
      <w:r w:rsidRPr="002F0C51">
        <w:rPr>
          <w:rFonts w:ascii="Times New Roman" w:hAnsi="Times New Roman" w:cs="Times New Roman"/>
          <w:spacing w:val="-3"/>
          <w:sz w:val="24"/>
          <w:szCs w:val="24"/>
        </w:rPr>
        <w:t>Capaldo</w:t>
      </w:r>
      <w:proofErr w:type="spellEnd"/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 (C-2010-2201640), Joseph H. Boyer (C-2010-2204106), James P. Herron (C-2010-2204434) and Center Point Farm Homeowner’s Association (C-2010-2208891).</w:t>
      </w:r>
    </w:p>
    <w:p w:rsidR="002F0C51" w:rsidRPr="002F0C51" w:rsidRDefault="002F0C51" w:rsidP="002F0C51">
      <w:pPr>
        <w:ind w:left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F0C51" w:rsidRPr="002F0C51" w:rsidRDefault="002F0C51" w:rsidP="002F0C51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0C51">
        <w:rPr>
          <w:rFonts w:ascii="Times New Roman" w:hAnsi="Times New Roman" w:cs="Times New Roman"/>
          <w:spacing w:val="-3"/>
          <w:sz w:val="24"/>
          <w:szCs w:val="24"/>
        </w:rPr>
        <w:t xml:space="preserve">That the </w:t>
      </w:r>
      <w:r w:rsidRPr="002F0C51">
        <w:rPr>
          <w:rFonts w:ascii="Times New Roman" w:hAnsi="Times New Roman" w:cs="Times New Roman"/>
          <w:sz w:val="24"/>
          <w:szCs w:val="24"/>
        </w:rPr>
        <w:t>Joint Petition for Approval of Settlement of Superior Water Company’s Base Rate Case</w:t>
      </w:r>
      <w:r w:rsidRPr="002F0C51">
        <w:rPr>
          <w:rFonts w:ascii="Times New Roman" w:hAnsi="Times New Roman" w:cs="Times New Roman"/>
          <w:spacing w:val="-3"/>
          <w:sz w:val="24"/>
          <w:szCs w:val="24"/>
        </w:rPr>
        <w:t>, including all appendices, is admitted into the record of this proceeding; and</w:t>
      </w:r>
    </w:p>
    <w:p w:rsidR="002F0C51" w:rsidRPr="002F0C51" w:rsidRDefault="002F0C51" w:rsidP="002F0C51">
      <w:pPr>
        <w:ind w:left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F0C51" w:rsidRPr="002F0C51" w:rsidRDefault="002F0C51" w:rsidP="002F0C51">
      <w:pPr>
        <w:numPr>
          <w:ilvl w:val="0"/>
          <w:numId w:val="3"/>
        </w:numPr>
        <w:ind w:left="0"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F0C51">
        <w:rPr>
          <w:rFonts w:ascii="Times New Roman" w:hAnsi="Times New Roman" w:cs="Times New Roman"/>
          <w:sz w:val="24"/>
          <w:szCs w:val="24"/>
        </w:rPr>
        <w:t xml:space="preserve">That the Commission investigation at Docket No. </w:t>
      </w:r>
      <w:r w:rsidRPr="002F0C51">
        <w:rPr>
          <w:rFonts w:ascii="Times New Roman" w:hAnsi="Times New Roman" w:cs="Times New Roman"/>
          <w:spacing w:val="-3"/>
          <w:sz w:val="24"/>
          <w:szCs w:val="24"/>
        </w:rPr>
        <w:t>R-2010-2191376</w:t>
      </w:r>
      <w:r w:rsidRPr="002F0C51">
        <w:rPr>
          <w:rFonts w:ascii="Times New Roman" w:hAnsi="Times New Roman" w:cs="Times New Roman"/>
          <w:sz w:val="24"/>
          <w:szCs w:val="24"/>
        </w:rPr>
        <w:t xml:space="preserve"> be terminated and marked closed.</w:t>
      </w:r>
    </w:p>
    <w:p w:rsidR="005F1959" w:rsidRDefault="005F1959" w:rsidP="00387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BF15AF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6350</wp:posOffset>
            </wp:positionV>
            <wp:extent cx="2200275" cy="838200"/>
            <wp:effectExtent l="19050" t="0" r="952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720D34">
        <w:rPr>
          <w:rFonts w:ascii="Times New Roman" w:hAnsi="Times New Roman" w:cs="Times New Roman"/>
          <w:sz w:val="24"/>
          <w:szCs w:val="24"/>
        </w:rPr>
        <w:t>January 27, 2011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F15AF">
        <w:rPr>
          <w:rFonts w:ascii="Times New Roman" w:hAnsi="Times New Roman" w:cs="Times New Roman"/>
          <w:sz w:val="24"/>
          <w:szCs w:val="24"/>
        </w:rPr>
        <w:t>January 27, 2011</w:t>
      </w:r>
    </w:p>
    <w:sectPr w:rsidR="00B12417" w:rsidRPr="001F282F" w:rsidSect="0019595A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2788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EF5167"/>
    <w:multiLevelType w:val="hybridMultilevel"/>
    <w:tmpl w:val="6750EF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A270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0C5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6B21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0D34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62F2"/>
    <w:rsid w:val="008936AE"/>
    <w:rsid w:val="00897C13"/>
    <w:rsid w:val="008A06FA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38FA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15AF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755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ListNumber">
    <w:name w:val="List Number"/>
    <w:basedOn w:val="Normal"/>
    <w:rsid w:val="00720D34"/>
    <w:pPr>
      <w:numPr>
        <w:numId w:val="2"/>
      </w:numPr>
      <w:tabs>
        <w:tab w:val="clear" w:pos="360"/>
      </w:tabs>
      <w:spacing w:line="480" w:lineRule="auto"/>
      <w:ind w:left="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joyce marie farner</cp:lastModifiedBy>
  <cp:revision>4</cp:revision>
  <cp:lastPrinted>2011-01-27T15:47:00Z</cp:lastPrinted>
  <dcterms:created xsi:type="dcterms:W3CDTF">2011-01-14T17:37:00Z</dcterms:created>
  <dcterms:modified xsi:type="dcterms:W3CDTF">2011-01-27T15:47:00Z</dcterms:modified>
</cp:coreProperties>
</file>