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060513">
        <w:trPr>
          <w:trHeight w:val="990"/>
        </w:trPr>
        <w:tc>
          <w:tcPr>
            <w:tcW w:w="1363" w:type="dxa"/>
          </w:tcPr>
          <w:p w:rsidR="00060513" w:rsidRDefault="00C3254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060513" w:rsidRDefault="0006051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60513" w:rsidRDefault="0006051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60513" w:rsidRDefault="0006051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60513" w:rsidRDefault="0006051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60513" w:rsidRDefault="00060513">
      <w:pPr>
        <w:rPr>
          <w:sz w:val="24"/>
        </w:rPr>
        <w:sectPr w:rsidR="00060513">
          <w:pgSz w:w="12240" w:h="15840"/>
          <w:pgMar w:top="504" w:right="1440" w:bottom="1440" w:left="1440" w:header="720" w:footer="720" w:gutter="0"/>
          <w:cols w:space="720"/>
        </w:sectPr>
      </w:pPr>
    </w:p>
    <w:p w:rsidR="003E1941" w:rsidRPr="001D73DA" w:rsidRDefault="001D73DA" w:rsidP="00A47984">
      <w:pPr>
        <w:jc w:val="center"/>
      </w:pPr>
      <w:r w:rsidRPr="001D73DA">
        <w:lastRenderedPageBreak/>
        <w:t>January 31, 2011</w:t>
      </w:r>
    </w:p>
    <w:p w:rsidR="00B07E09" w:rsidRPr="001D73DA" w:rsidRDefault="00B07E09" w:rsidP="00A47984">
      <w:pPr>
        <w:jc w:val="center"/>
      </w:pPr>
    </w:p>
    <w:p w:rsidR="00B07E09" w:rsidRPr="001D73DA" w:rsidRDefault="00B07E09" w:rsidP="00A47984">
      <w:pPr>
        <w:jc w:val="center"/>
      </w:pPr>
    </w:p>
    <w:p w:rsidR="00A47984" w:rsidRPr="001D73DA" w:rsidRDefault="00BB2A8A" w:rsidP="00A47984">
      <w:pPr>
        <w:jc w:val="right"/>
      </w:pPr>
      <w:r w:rsidRPr="001D73DA">
        <w:t>A</w:t>
      </w:r>
      <w:r w:rsidR="00B11079" w:rsidRPr="001D73DA">
        <w:t>-20</w:t>
      </w:r>
      <w:r w:rsidRPr="001D73DA">
        <w:t>10</w:t>
      </w:r>
      <w:r w:rsidR="001F4960" w:rsidRPr="001D73DA">
        <w:t>-2213</w:t>
      </w:r>
      <w:r w:rsidR="004E7986" w:rsidRPr="001D73DA">
        <w:t>3</w:t>
      </w:r>
      <w:r w:rsidR="001F4960" w:rsidRPr="001D73DA">
        <w:t>6</w:t>
      </w:r>
      <w:r w:rsidR="004E7986" w:rsidRPr="001D73DA">
        <w:t>9</w:t>
      </w:r>
    </w:p>
    <w:p w:rsidR="00D163A6" w:rsidRPr="001D73DA" w:rsidRDefault="00D163A6" w:rsidP="00A47984">
      <w:pPr>
        <w:jc w:val="right"/>
      </w:pPr>
      <w:r w:rsidRPr="001D73DA">
        <w:t>A-201</w:t>
      </w:r>
      <w:r w:rsidR="00BA5C68" w:rsidRPr="001D73DA">
        <w:t>1</w:t>
      </w:r>
      <w:r w:rsidRPr="001D73DA">
        <w:t>-2221461</w:t>
      </w:r>
    </w:p>
    <w:p w:rsidR="00A47984" w:rsidRPr="001D73DA" w:rsidRDefault="00A47984" w:rsidP="00A47984">
      <w:pPr>
        <w:jc w:val="right"/>
      </w:pPr>
    </w:p>
    <w:p w:rsidR="00226953" w:rsidRPr="001D73DA" w:rsidRDefault="00FF225D" w:rsidP="00226953">
      <w:pPr>
        <w:pStyle w:val="Heading1"/>
        <w:rPr>
          <w:sz w:val="20"/>
        </w:rPr>
      </w:pPr>
      <w:r w:rsidRPr="001D73DA">
        <w:rPr>
          <w:sz w:val="20"/>
        </w:rPr>
        <w:t>TO ALL PARTIES:</w:t>
      </w:r>
    </w:p>
    <w:p w:rsidR="0013144A" w:rsidRPr="001D73DA" w:rsidRDefault="0013144A" w:rsidP="00A47984"/>
    <w:p w:rsidR="00A47984" w:rsidRPr="001D73DA" w:rsidRDefault="00A664C5" w:rsidP="00A47984">
      <w:r w:rsidRPr="001D73DA">
        <w:tab/>
      </w:r>
      <w:r w:rsidR="00A47984" w:rsidRPr="001D73DA">
        <w:t xml:space="preserve">Re:  </w:t>
      </w:r>
      <w:r w:rsidR="004E7986" w:rsidRPr="001D73DA">
        <w:t xml:space="preserve">Joint Application for approval to Transfer the Interests and Shares in DQE Holdings </w:t>
      </w:r>
      <w:r w:rsidR="001D634B" w:rsidRPr="001D73DA">
        <w:tab/>
      </w:r>
      <w:r w:rsidR="004E7986" w:rsidRPr="001D73DA">
        <w:t xml:space="preserve">LLC, currently owned by DUET Investment Holdings Limited, to Epsom Investment Pte </w:t>
      </w:r>
      <w:r w:rsidR="001D634B" w:rsidRPr="001D73DA">
        <w:tab/>
      </w:r>
      <w:r w:rsidR="004E7986" w:rsidRPr="001D73DA">
        <w:t xml:space="preserve">Ltd, a subsidiary of GIC Infra Holdings Pte Ltd, and to approve the Resulting Change in </w:t>
      </w:r>
      <w:r w:rsidR="001D634B" w:rsidRPr="001D73DA">
        <w:tab/>
      </w:r>
      <w:r w:rsidR="004E7986" w:rsidRPr="001D73DA">
        <w:t xml:space="preserve">control of Duquesne Light </w:t>
      </w:r>
      <w:r w:rsidR="00D163A6" w:rsidRPr="001D73DA">
        <w:t>Company and DQE Communications Services LLC</w:t>
      </w:r>
    </w:p>
    <w:p w:rsidR="00A47984" w:rsidRPr="001D73DA" w:rsidRDefault="00A47984" w:rsidP="00A47984"/>
    <w:p w:rsidR="00FF5D06" w:rsidRPr="001D73DA" w:rsidRDefault="00FF5D06" w:rsidP="00DC0F1A">
      <w:pPr>
        <w:ind w:firstLine="1440"/>
      </w:pPr>
      <w:r w:rsidRPr="001D73DA">
        <w:t xml:space="preserve">On </w:t>
      </w:r>
      <w:r w:rsidR="001D634B" w:rsidRPr="001D73DA">
        <w:t>Dec</w:t>
      </w:r>
      <w:r w:rsidR="00FE1293" w:rsidRPr="001D73DA">
        <w:t>ember</w:t>
      </w:r>
      <w:r w:rsidR="003E4694" w:rsidRPr="001D73DA">
        <w:t xml:space="preserve"> 1</w:t>
      </w:r>
      <w:r w:rsidR="001D634B" w:rsidRPr="001D73DA">
        <w:t>2</w:t>
      </w:r>
      <w:r w:rsidRPr="001D73DA">
        <w:t>, 20</w:t>
      </w:r>
      <w:r w:rsidR="003E4694" w:rsidRPr="001D73DA">
        <w:t>10</w:t>
      </w:r>
      <w:r w:rsidRPr="001D73DA">
        <w:t xml:space="preserve">, </w:t>
      </w:r>
      <w:r w:rsidR="001D634B" w:rsidRPr="001D73DA">
        <w:t>Duquesne Light Company</w:t>
      </w:r>
      <w:r w:rsidR="003E4694" w:rsidRPr="001D73DA">
        <w:t xml:space="preserve"> </w:t>
      </w:r>
      <w:r w:rsidR="00FE1293" w:rsidRPr="001D73DA">
        <w:t>(</w:t>
      </w:r>
      <w:r w:rsidR="001D634B" w:rsidRPr="001D73DA">
        <w:t>Duquesne Light</w:t>
      </w:r>
      <w:r w:rsidR="00FE1293" w:rsidRPr="001D73DA">
        <w:t xml:space="preserve">), </w:t>
      </w:r>
      <w:r w:rsidR="001D634B" w:rsidRPr="001D73DA">
        <w:t>Epsom Investment Pte Ltd</w:t>
      </w:r>
      <w:r w:rsidR="00FE1293" w:rsidRPr="001D73DA">
        <w:t xml:space="preserve"> (</w:t>
      </w:r>
      <w:r w:rsidR="001D634B" w:rsidRPr="001D73DA">
        <w:t>Epsom</w:t>
      </w:r>
      <w:r w:rsidR="00FE1293" w:rsidRPr="001D73DA">
        <w:t>), and D</w:t>
      </w:r>
      <w:r w:rsidR="00A96646" w:rsidRPr="001D73DA">
        <w:t>UET Investment</w:t>
      </w:r>
      <w:r w:rsidR="00FE1293" w:rsidRPr="001D73DA">
        <w:t xml:space="preserve"> Holdings L</w:t>
      </w:r>
      <w:r w:rsidR="00A96646" w:rsidRPr="001D73DA">
        <w:t>imited</w:t>
      </w:r>
      <w:r w:rsidR="00FE1293" w:rsidRPr="001D73DA">
        <w:t xml:space="preserve"> (</w:t>
      </w:r>
      <w:r w:rsidR="00A96646" w:rsidRPr="001D73DA">
        <w:t>DUET</w:t>
      </w:r>
      <w:r w:rsidR="00FE1293" w:rsidRPr="001D73DA">
        <w:t xml:space="preserve">) </w:t>
      </w:r>
      <w:r w:rsidR="00A96646" w:rsidRPr="001D73DA">
        <w:t xml:space="preserve">and Diversified Utility and Energy Trust No. 3 (DUET3) </w:t>
      </w:r>
      <w:r w:rsidR="00DC0F1A" w:rsidRPr="001D73DA">
        <w:t xml:space="preserve">(collectively, the Joint Applicants) </w:t>
      </w:r>
      <w:r w:rsidRPr="001D73DA">
        <w:t xml:space="preserve">filed </w:t>
      </w:r>
      <w:r w:rsidR="00E6365D" w:rsidRPr="001D73DA">
        <w:t xml:space="preserve">a joint application </w:t>
      </w:r>
      <w:r w:rsidRPr="001D73DA">
        <w:t xml:space="preserve">pursuant to Chapter </w:t>
      </w:r>
      <w:r w:rsidR="007349CC" w:rsidRPr="001D73DA">
        <w:t>1</w:t>
      </w:r>
      <w:r w:rsidRPr="001D73DA">
        <w:t xml:space="preserve">1 of the Pennsylvania Public Utility Code </w:t>
      </w:r>
      <w:r w:rsidR="00FA2982" w:rsidRPr="001D73DA">
        <w:t xml:space="preserve">and the Commission’s policy statement at 52 Pa. Code §69.901 </w:t>
      </w:r>
      <w:r w:rsidR="007349CC" w:rsidRPr="001D73DA">
        <w:t xml:space="preserve">for a change of control </w:t>
      </w:r>
      <w:r w:rsidR="00E6365D" w:rsidRPr="001D73DA">
        <w:t xml:space="preserve">whereby </w:t>
      </w:r>
      <w:r w:rsidR="00805097" w:rsidRPr="001D73DA">
        <w:t>all of DUET’s and DUET3’s interests and shares in DQE Holdings LLC (DQE)</w:t>
      </w:r>
      <w:r w:rsidR="002D18A7" w:rsidRPr="001D73DA">
        <w:t xml:space="preserve"> will </w:t>
      </w:r>
      <w:r w:rsidR="00805097" w:rsidRPr="001D73DA">
        <w:t xml:space="preserve">be </w:t>
      </w:r>
      <w:r w:rsidR="002D18A7" w:rsidRPr="001D73DA">
        <w:t>transfer</w:t>
      </w:r>
      <w:r w:rsidR="00805097" w:rsidRPr="001D73DA">
        <w:t>red</w:t>
      </w:r>
      <w:r w:rsidR="002D18A7" w:rsidRPr="001D73DA">
        <w:t xml:space="preserve"> to </w:t>
      </w:r>
      <w:r w:rsidR="00805097" w:rsidRPr="001D73DA">
        <w:t>Epsom</w:t>
      </w:r>
      <w:r w:rsidR="00B9205A" w:rsidRPr="001D73DA">
        <w:t xml:space="preserve">. </w:t>
      </w:r>
      <w:r w:rsidR="00DC0F1A" w:rsidRPr="001D73DA">
        <w:t xml:space="preserve"> </w:t>
      </w:r>
      <w:r w:rsidR="00EF7955" w:rsidRPr="001D73DA">
        <w:t xml:space="preserve">On January 20, 2011, the Joint Applicants amended their application to include the change of control of DQE Communications Network Services LLC (Network Services).  </w:t>
      </w:r>
      <w:r w:rsidR="00B9205A" w:rsidRPr="001D73DA">
        <w:t xml:space="preserve">Epsom is a direct wholly-owned subsidiary of GIC Infra Holdings Pte Ltd and an indirect wholly-owned subsidiary of </w:t>
      </w:r>
      <w:r w:rsidR="004F283C" w:rsidRPr="001D73DA">
        <w:t xml:space="preserve">the </w:t>
      </w:r>
      <w:r w:rsidR="00B9205A" w:rsidRPr="001D73DA">
        <w:t>Government</w:t>
      </w:r>
      <w:r w:rsidR="004F283C" w:rsidRPr="001D73DA">
        <w:t xml:space="preserve"> of Singapore Investment Corporation Pte </w:t>
      </w:r>
      <w:r w:rsidR="00FF1FB1" w:rsidRPr="001D73DA">
        <w:t xml:space="preserve">Ltd.  </w:t>
      </w:r>
      <w:r w:rsidR="004F283C" w:rsidRPr="001D73DA">
        <w:t>Duquesne Light Holdings</w:t>
      </w:r>
      <w:r w:rsidR="00DC34FE" w:rsidRPr="001D73DA">
        <w:t>,</w:t>
      </w:r>
      <w:r w:rsidR="00FF1FB1" w:rsidRPr="001D73DA">
        <w:t xml:space="preserve"> the parent company of Duquesne Light</w:t>
      </w:r>
      <w:r w:rsidR="00EF7955" w:rsidRPr="001D73DA">
        <w:t xml:space="preserve"> and Network Services</w:t>
      </w:r>
      <w:r w:rsidR="00FF1FB1" w:rsidRPr="001D73DA">
        <w:t>, is wholly-owned by DQE.</w:t>
      </w:r>
      <w:r w:rsidR="00DC34FE" w:rsidRPr="001D73DA">
        <w:t xml:space="preserve"> </w:t>
      </w:r>
      <w:r w:rsidR="004F283C" w:rsidRPr="001D73DA">
        <w:t xml:space="preserve"> </w:t>
      </w:r>
      <w:r w:rsidR="000C36B9" w:rsidRPr="001D73DA">
        <w:t xml:space="preserve">DUET and DUET3 currently control a 28.95% ownership interest in DQE.  </w:t>
      </w:r>
      <w:r w:rsidR="00FF1FB1" w:rsidRPr="001D73DA">
        <w:t>C</w:t>
      </w:r>
      <w:r w:rsidR="006F1649" w:rsidRPr="001D73DA">
        <w:t>onsequently</w:t>
      </w:r>
      <w:r w:rsidR="00FF1FB1" w:rsidRPr="001D73DA">
        <w:t>,</w:t>
      </w:r>
      <w:r w:rsidR="006F1649" w:rsidRPr="001D73DA">
        <w:t xml:space="preserve"> </w:t>
      </w:r>
      <w:r w:rsidR="00FF1FB1" w:rsidRPr="001D73DA">
        <w:t xml:space="preserve">the </w:t>
      </w:r>
      <w:r w:rsidR="001405D0" w:rsidRPr="001D73DA">
        <w:t xml:space="preserve">proposed </w:t>
      </w:r>
      <w:r w:rsidR="00FF1FB1" w:rsidRPr="001D73DA">
        <w:t>transaction would result in a change of the controlling interest in Duquesne Light</w:t>
      </w:r>
      <w:r w:rsidR="00EF7955" w:rsidRPr="001D73DA">
        <w:t xml:space="preserve"> and Network Services</w:t>
      </w:r>
      <w:r w:rsidR="001405D0" w:rsidRPr="001D73DA">
        <w:t>.</w:t>
      </w:r>
    </w:p>
    <w:p w:rsidR="0004499C" w:rsidRPr="001D73DA" w:rsidRDefault="0004499C" w:rsidP="00DC0F1A">
      <w:pPr>
        <w:ind w:firstLine="1440"/>
      </w:pPr>
    </w:p>
    <w:p w:rsidR="002B40CC" w:rsidRPr="001D73DA" w:rsidRDefault="00CA5812" w:rsidP="00906EB5">
      <w:pPr>
        <w:ind w:firstLine="1440"/>
      </w:pPr>
      <w:r w:rsidRPr="001D73DA">
        <w:t>T</w:t>
      </w:r>
      <w:r w:rsidR="00362EBA" w:rsidRPr="001D73DA">
        <w:t xml:space="preserve">he Commission is required to approve mergers and acquisitions that result in direct or indirect control of a Pennsylvania public utility pursuant to </w:t>
      </w:r>
      <w:r w:rsidR="00BB2FC5" w:rsidRPr="001D73DA">
        <w:t xml:space="preserve">66 Pa. C.S. § 1102(a)(3) and the policy statement at 52 Pa. Code §69.901.  </w:t>
      </w:r>
      <w:r w:rsidR="00FA0C1F" w:rsidRPr="001D73DA">
        <w:t xml:space="preserve">Additionally, the Pennsylvania Supreme Court </w:t>
      </w:r>
      <w:r w:rsidR="00DC3413" w:rsidRPr="001D73DA">
        <w:t xml:space="preserve">held </w:t>
      </w:r>
      <w:r w:rsidR="00284A42" w:rsidRPr="001D73DA">
        <w:t xml:space="preserve">that those seeking approval of a utility merger must demonstrate that the merger will affirmatively promote </w:t>
      </w:r>
      <w:r w:rsidR="006D299B" w:rsidRPr="001D73DA">
        <w:t>the service, accommodation, convenience, or safety of the</w:t>
      </w:r>
      <w:r w:rsidR="00284A42" w:rsidRPr="001D73DA">
        <w:t xml:space="preserve"> public </w:t>
      </w:r>
      <w:r w:rsidR="006D299B" w:rsidRPr="001D73DA">
        <w:t>as</w:t>
      </w:r>
      <w:r w:rsidR="00284A42" w:rsidRPr="001D73DA">
        <w:t xml:space="preserve"> set forth in </w:t>
      </w:r>
      <w:r w:rsidR="00284A42" w:rsidRPr="001D73DA">
        <w:rPr>
          <w:i/>
        </w:rPr>
        <w:t>City of York v.</w:t>
      </w:r>
      <w:r w:rsidR="00284A42" w:rsidRPr="001D73DA">
        <w:t xml:space="preserve"> </w:t>
      </w:r>
      <w:r w:rsidR="00D65BC7" w:rsidRPr="001D73DA">
        <w:rPr>
          <w:i/>
        </w:rPr>
        <w:t>Pa.</w:t>
      </w:r>
      <w:r w:rsidR="005213C2" w:rsidRPr="001D73DA">
        <w:rPr>
          <w:i/>
        </w:rPr>
        <w:t xml:space="preserve"> </w:t>
      </w:r>
      <w:r w:rsidR="00284A42" w:rsidRPr="001D73DA">
        <w:rPr>
          <w:i/>
        </w:rPr>
        <w:t>PUC,</w:t>
      </w:r>
      <w:r w:rsidR="00284A42" w:rsidRPr="001D73DA">
        <w:t xml:space="preserve"> 295 A. 2d 825 (Pa. 1972).</w:t>
      </w:r>
      <w:r w:rsidR="00BB2FC5" w:rsidRPr="001D73DA">
        <w:t xml:space="preserve"> </w:t>
      </w:r>
    </w:p>
    <w:p w:rsidR="00B32AA0" w:rsidRPr="001D73DA" w:rsidRDefault="00B32AA0" w:rsidP="00DC0F1A">
      <w:pPr>
        <w:ind w:firstLine="1440"/>
      </w:pPr>
    </w:p>
    <w:p w:rsidR="00B32AA0" w:rsidRPr="001D73DA" w:rsidRDefault="00A26CF3" w:rsidP="00DC0F1A">
      <w:pPr>
        <w:ind w:firstLine="1440"/>
      </w:pPr>
      <w:r w:rsidRPr="001D73DA">
        <w:t>The Commission has</w:t>
      </w:r>
      <w:r w:rsidR="00F30804" w:rsidRPr="001D73DA">
        <w:t xml:space="preserve"> assign</w:t>
      </w:r>
      <w:r w:rsidRPr="001D73DA">
        <w:t xml:space="preserve">ed the case to </w:t>
      </w:r>
      <w:r w:rsidR="00F30804" w:rsidRPr="001D73DA">
        <w:t>the Office of Administrative Law Judge</w:t>
      </w:r>
      <w:r w:rsidR="003332A2" w:rsidRPr="001D73DA">
        <w:t xml:space="preserve"> for hearing and recommended decision.  In order to create a complete record in this matter,</w:t>
      </w:r>
      <w:r w:rsidR="00210130" w:rsidRPr="001D73DA">
        <w:t xml:space="preserve"> </w:t>
      </w:r>
      <w:r w:rsidR="003332A2" w:rsidRPr="001D73DA">
        <w:t xml:space="preserve">the Joint Applicants and other parties are </w:t>
      </w:r>
      <w:r w:rsidR="005213C2" w:rsidRPr="001D73DA">
        <w:t xml:space="preserve">hereby </w:t>
      </w:r>
      <w:r w:rsidR="003332A2" w:rsidRPr="001D73DA">
        <w:t>directed to address</w:t>
      </w:r>
      <w:r w:rsidR="00210130" w:rsidRPr="001D73DA">
        <w:t xml:space="preserve"> the </w:t>
      </w:r>
      <w:r w:rsidR="00B3754F" w:rsidRPr="001D73DA">
        <w:t xml:space="preserve">issues and </w:t>
      </w:r>
      <w:r w:rsidR="00210130" w:rsidRPr="001D73DA">
        <w:t>areas of concern identified in Attachment A of this letter.</w:t>
      </w:r>
      <w:r w:rsidR="002A2908" w:rsidRPr="001D73DA">
        <w:t xml:space="preserve">  </w:t>
      </w:r>
      <w:r w:rsidR="00B3754F" w:rsidRPr="001D73DA">
        <w:t xml:space="preserve">The areas of concern listed in Attachment A is not intended to limit the </w:t>
      </w:r>
      <w:r w:rsidR="007A35BE" w:rsidRPr="001D73DA">
        <w:t xml:space="preserve">relevant </w:t>
      </w:r>
      <w:r w:rsidR="00B3754F" w:rsidRPr="001D73DA">
        <w:t xml:space="preserve">issues that may be raised by the parties in this matter to determine </w:t>
      </w:r>
      <w:r w:rsidR="00C174FB" w:rsidRPr="001D73DA">
        <w:t xml:space="preserve">whether the proposed merger </w:t>
      </w:r>
      <w:r w:rsidRPr="001D73DA">
        <w:t>is</w:t>
      </w:r>
      <w:r w:rsidR="0051429D" w:rsidRPr="001D73DA">
        <w:t xml:space="preserve"> necessary or proper for the service, accommodation, convenience, or safety of the public.</w:t>
      </w:r>
    </w:p>
    <w:p w:rsidR="00A47984" w:rsidRPr="001D73DA" w:rsidRDefault="00A47984" w:rsidP="00A47984"/>
    <w:p w:rsidR="0026595C" w:rsidRPr="001D73DA" w:rsidRDefault="00A47984" w:rsidP="00A47984">
      <w:r w:rsidRPr="001D73DA">
        <w:tab/>
      </w:r>
      <w:r w:rsidRPr="001D73DA">
        <w:tab/>
      </w:r>
      <w:r w:rsidRPr="001D73DA">
        <w:tab/>
      </w:r>
    </w:p>
    <w:p w:rsidR="0026595C" w:rsidRPr="001D73DA" w:rsidRDefault="001D73DA" w:rsidP="00A4798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96520</wp:posOffset>
            </wp:positionV>
            <wp:extent cx="2200275" cy="838200"/>
            <wp:effectExtent l="1905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984" w:rsidRPr="001D73DA" w:rsidRDefault="0026595C" w:rsidP="00A47984">
      <w:r w:rsidRPr="001D73DA">
        <w:tab/>
      </w:r>
      <w:r w:rsidRPr="001D73DA">
        <w:tab/>
      </w:r>
      <w:r w:rsidRPr="001D73DA">
        <w:tab/>
      </w:r>
      <w:r w:rsidRPr="001D73DA">
        <w:tab/>
      </w:r>
      <w:r w:rsidRPr="001D73DA">
        <w:tab/>
      </w:r>
      <w:r w:rsidRPr="001D73DA">
        <w:tab/>
      </w:r>
      <w:r w:rsidRPr="001D73DA">
        <w:tab/>
      </w:r>
      <w:r w:rsidR="00A47984" w:rsidRPr="001D73DA">
        <w:t>BY THE COMMISSION,</w:t>
      </w:r>
    </w:p>
    <w:p w:rsidR="00A47984" w:rsidRPr="001D73DA" w:rsidRDefault="00A47984" w:rsidP="00A47984"/>
    <w:p w:rsidR="00A47984" w:rsidRPr="001D73DA" w:rsidRDefault="00A47984" w:rsidP="00A47984"/>
    <w:p w:rsidR="00A47984" w:rsidRPr="001D73DA" w:rsidRDefault="00A47984" w:rsidP="00A47984"/>
    <w:p w:rsidR="00A47984" w:rsidRPr="001D73DA" w:rsidRDefault="00A47984" w:rsidP="00A47984">
      <w:r w:rsidRPr="001D73DA">
        <w:tab/>
      </w:r>
      <w:r w:rsidRPr="001D73DA">
        <w:tab/>
      </w:r>
      <w:r w:rsidRPr="001D73DA">
        <w:tab/>
      </w:r>
      <w:r w:rsidRPr="001D73DA">
        <w:tab/>
      </w:r>
      <w:r w:rsidRPr="001D73DA">
        <w:tab/>
      </w:r>
      <w:r w:rsidRPr="001D73DA">
        <w:tab/>
      </w:r>
      <w:r w:rsidRPr="001D73DA">
        <w:tab/>
      </w:r>
      <w:r w:rsidR="00CE69C3" w:rsidRPr="001D73DA">
        <w:t>Rosemary Chiavetta</w:t>
      </w:r>
    </w:p>
    <w:p w:rsidR="00A47984" w:rsidRPr="001D73DA" w:rsidRDefault="00A47984" w:rsidP="00A47984">
      <w:r w:rsidRPr="001D73DA">
        <w:tab/>
      </w:r>
      <w:r w:rsidRPr="001D73DA">
        <w:tab/>
      </w:r>
      <w:r w:rsidRPr="001D73DA">
        <w:tab/>
      </w:r>
      <w:r w:rsidRPr="001D73DA">
        <w:tab/>
      </w:r>
      <w:r w:rsidRPr="001D73DA">
        <w:tab/>
      </w:r>
      <w:r w:rsidRPr="001D73DA">
        <w:tab/>
      </w:r>
      <w:r w:rsidRPr="001D73DA">
        <w:tab/>
        <w:t>Secretary</w:t>
      </w:r>
    </w:p>
    <w:p w:rsidR="00387B02" w:rsidRPr="001D73DA" w:rsidRDefault="00387B02" w:rsidP="00A47984"/>
    <w:p w:rsidR="00387B02" w:rsidRPr="001D73DA" w:rsidRDefault="00BA2687" w:rsidP="00A47984">
      <w:r w:rsidRPr="001D73DA">
        <w:t>Enclosure</w:t>
      </w:r>
    </w:p>
    <w:p w:rsidR="00BA2687" w:rsidRPr="001D73DA" w:rsidRDefault="00BA2687" w:rsidP="00A47984"/>
    <w:p w:rsidR="005213C2" w:rsidRPr="001D73DA" w:rsidRDefault="00387B02" w:rsidP="00BA2687">
      <w:r w:rsidRPr="001D73DA">
        <w:t xml:space="preserve">cc:   </w:t>
      </w:r>
      <w:r w:rsidRPr="001D73DA">
        <w:tab/>
      </w:r>
      <w:r w:rsidR="005213C2" w:rsidRPr="001D73DA">
        <w:t>All Parties of Record</w:t>
      </w:r>
      <w:r w:rsidR="00513F0C" w:rsidRPr="001D73DA">
        <w:t xml:space="preserve"> (per attached list)</w:t>
      </w:r>
    </w:p>
    <w:p w:rsidR="006F0188" w:rsidRPr="001D73DA" w:rsidRDefault="005213C2">
      <w:pPr>
        <w:ind w:firstLine="720"/>
      </w:pPr>
      <w:r w:rsidRPr="001D73DA">
        <w:t>Office of Administrative Law Judges</w:t>
      </w:r>
    </w:p>
    <w:p w:rsidR="00387B02" w:rsidRPr="001D73DA" w:rsidRDefault="00BA2687" w:rsidP="00A47984">
      <w:r w:rsidRPr="001D73DA">
        <w:tab/>
        <w:t>Kathy Aunkst</w:t>
      </w:r>
    </w:p>
    <w:p w:rsidR="007F5E2A" w:rsidRPr="001D73DA" w:rsidRDefault="007F5E2A">
      <w:r w:rsidRPr="001D73DA">
        <w:br w:type="page"/>
      </w:r>
    </w:p>
    <w:p w:rsidR="003655C2" w:rsidRPr="003655C2" w:rsidRDefault="003655C2" w:rsidP="00872804">
      <w:pPr>
        <w:rPr>
          <w:rFonts w:ascii="Microsoft Sans Serif" w:hAnsi="Microsoft Sans Serif" w:cs="Microsoft Sans Serif"/>
          <w:caps/>
          <w:noProof/>
          <w:sz w:val="24"/>
          <w:szCs w:val="24"/>
          <w:u w:val="single"/>
        </w:rPr>
      </w:pPr>
      <w:r w:rsidRPr="003655C2">
        <w:rPr>
          <w:rFonts w:ascii="Microsoft Sans Serif" w:hAnsi="Microsoft Sans Serif" w:cs="Microsoft Sans Serif"/>
          <w:caps/>
          <w:noProof/>
          <w:sz w:val="24"/>
          <w:szCs w:val="24"/>
          <w:u w:val="single"/>
        </w:rPr>
        <w:lastRenderedPageBreak/>
        <w:t>Parties of Record</w:t>
      </w:r>
    </w:p>
    <w:p w:rsidR="003655C2" w:rsidRDefault="003655C2" w:rsidP="00872804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872804" w:rsidRPr="00D93898" w:rsidRDefault="001C51E9" w:rsidP="00872804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Michael W. Gang</w:t>
      </w:r>
      <w:r w:rsidR="00D93898"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="00D93898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  <w:r w:rsidR="00872804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872804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872804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872804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Irwin</w:t>
      </w:r>
      <w:r w:rsidR="00872804"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="00872804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Popowsky</w:t>
      </w:r>
      <w:r w:rsidR="00872804"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="00872804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872804" w:rsidRPr="00D93898" w:rsidRDefault="00D32013" w:rsidP="00872804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Andrew</w:t>
      </w:r>
      <w:r w:rsidR="001C51E9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>S</w:t>
      </w:r>
      <w:r w:rsidR="001C51E9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. </w:t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>tubbs</w:t>
      </w:r>
      <w:r w:rsidR="00D93898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 Esquire</w:t>
      </w:r>
      <w:r w:rsidR="00872804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872804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872804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Office of Consumer Advocate</w:t>
      </w:r>
    </w:p>
    <w:p w:rsidR="001C51E9" w:rsidRDefault="00D32013" w:rsidP="00872804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POST &amp; SCHELL, PC</w:t>
      </w:r>
      <w:r w:rsidR="00066EEA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066EEA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066EEA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066EEA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5th Floor Forum Place</w:t>
      </w:r>
    </w:p>
    <w:p w:rsidR="001C51E9" w:rsidRDefault="00D32013" w:rsidP="00872804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17 North second street</w:t>
      </w:r>
      <w:r w:rsidR="00066EEA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066EEA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066EEA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555 Walnut Street</w:t>
      </w:r>
    </w:p>
    <w:p w:rsidR="00872804" w:rsidRPr="00D93898" w:rsidRDefault="00D32013" w:rsidP="00872804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12</w:t>
      </w:r>
      <w:r w:rsidRPr="00BD762C">
        <w:rPr>
          <w:rFonts w:ascii="Microsoft Sans Serif" w:hAnsi="Microsoft Sans Serif" w:cs="Microsoft Sans Serif"/>
          <w:caps/>
          <w:noProof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 floor</w:t>
      </w:r>
      <w:r w:rsidR="001C51E9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872804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872804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872804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066EEA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="00066EEA"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="00066EEA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="00066EEA"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="00066EEA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17101-1923</w:t>
      </w:r>
    </w:p>
    <w:p w:rsidR="00066EEA" w:rsidRPr="00D93898" w:rsidRDefault="00D32013" w:rsidP="00066EEA">
      <w:pPr>
        <w:rPr>
          <w:rFonts w:ascii="Microsoft Sans Serif" w:hAnsi="Microsoft Sans Serif" w:cs="Microsoft Sans Serif"/>
          <w:b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harrisb</w:t>
      </w:r>
      <w:r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urg</w:t>
      </w:r>
      <w:r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1</w:t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>7101-1601</w:t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872804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066EEA" w:rsidRPr="00D93898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717.783.5048</w:t>
      </w:r>
    </w:p>
    <w:p w:rsidR="00872804" w:rsidRPr="00D93898" w:rsidRDefault="00D32013" w:rsidP="00872804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D93898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7</w:t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17</w:t>
      </w:r>
      <w:r w:rsidRPr="00D93898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.</w:t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731</w:t>
      </w:r>
      <w:r w:rsidRPr="00D93898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.</w:t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1970</w:t>
      </w:r>
      <w:r w:rsidR="00872804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872804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872804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hyperlink r:id="rId9" w:history="1">
        <w:r w:rsidR="00066EEA" w:rsidRPr="00295F43">
          <w:rPr>
            <w:rStyle w:val="Hyperlink"/>
            <w:rFonts w:ascii="Microsoft Sans Serif" w:hAnsi="Microsoft Sans Serif" w:cs="Microsoft Sans Serif"/>
            <w:sz w:val="24"/>
            <w:szCs w:val="24"/>
          </w:rPr>
          <w:t>spopowsky@paoca.org</w:t>
        </w:r>
      </w:hyperlink>
    </w:p>
    <w:p w:rsidR="0090657A" w:rsidRDefault="00AE76AB" w:rsidP="0090657A">
      <w:pPr>
        <w:rPr>
          <w:rFonts w:ascii="Microsoft Sans Serif" w:hAnsi="Microsoft Sans Serif" w:cs="Microsoft Sans Serif"/>
          <w:noProof/>
          <w:sz w:val="24"/>
          <w:szCs w:val="24"/>
        </w:rPr>
      </w:pPr>
      <w:hyperlink r:id="rId10" w:history="1">
        <w:r w:rsidR="0090657A" w:rsidRPr="007B0429">
          <w:rPr>
            <w:rStyle w:val="Hyperlink"/>
            <w:rFonts w:ascii="Microsoft Sans Serif" w:hAnsi="Microsoft Sans Serif" w:cs="Microsoft Sans Serif"/>
            <w:noProof/>
            <w:sz w:val="24"/>
            <w:szCs w:val="24"/>
          </w:rPr>
          <w:t>mgang@postschell.com</w:t>
        </w:r>
      </w:hyperlink>
      <w:r w:rsidR="0090657A">
        <w:rPr>
          <w:rFonts w:ascii="Microsoft Sans Serif" w:hAnsi="Microsoft Sans Serif" w:cs="Microsoft Sans Serif"/>
          <w:noProof/>
          <w:sz w:val="24"/>
          <w:szCs w:val="24"/>
        </w:rPr>
        <w:tab/>
      </w:r>
      <w:r w:rsidR="0090657A">
        <w:rPr>
          <w:rFonts w:ascii="Microsoft Sans Serif" w:hAnsi="Microsoft Sans Serif" w:cs="Microsoft Sans Serif"/>
          <w:noProof/>
          <w:sz w:val="24"/>
          <w:szCs w:val="24"/>
        </w:rPr>
        <w:tab/>
      </w:r>
      <w:r w:rsidR="0090657A">
        <w:rPr>
          <w:rFonts w:ascii="Microsoft Sans Serif" w:hAnsi="Microsoft Sans Serif" w:cs="Microsoft Sans Serif"/>
          <w:noProof/>
          <w:sz w:val="24"/>
          <w:szCs w:val="24"/>
        </w:rPr>
        <w:tab/>
      </w:r>
    </w:p>
    <w:p w:rsidR="00E16EFE" w:rsidRDefault="00AE76AB" w:rsidP="0090657A">
      <w:hyperlink r:id="rId11" w:history="1">
        <w:r w:rsidR="00E16EFE" w:rsidRPr="00EE494A">
          <w:rPr>
            <w:rStyle w:val="Hyperlink"/>
            <w:rFonts w:ascii="Microsoft Sans Serif" w:hAnsi="Microsoft Sans Serif" w:cs="Microsoft Sans Serif"/>
            <w:noProof/>
            <w:sz w:val="24"/>
            <w:szCs w:val="24"/>
          </w:rPr>
          <w:t>atubbs@postschell.com</w:t>
        </w:r>
      </w:hyperlink>
    </w:p>
    <w:p w:rsidR="00E16EFE" w:rsidRDefault="00E16EFE" w:rsidP="0090657A">
      <w:pPr>
        <w:rPr>
          <w:rFonts w:ascii="Microsoft Sans Serif" w:hAnsi="Microsoft Sans Serif" w:cs="Microsoft Sans Serif"/>
          <w:noProof/>
          <w:sz w:val="24"/>
          <w:szCs w:val="24"/>
        </w:rPr>
      </w:pPr>
    </w:p>
    <w:p w:rsidR="00E16EFE" w:rsidRDefault="00E16EFE" w:rsidP="0090657A">
      <w:pPr>
        <w:rPr>
          <w:rFonts w:ascii="Microsoft Sans Serif" w:hAnsi="Microsoft Sans Serif" w:cs="Microsoft Sans Serif"/>
          <w:noProof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noProof/>
          <w:sz w:val="24"/>
          <w:szCs w:val="24"/>
        </w:rPr>
        <w:tab/>
        <w:t>A</w:t>
      </w:r>
      <w:r w:rsidR="0022172A">
        <w:rPr>
          <w:rFonts w:ascii="Microsoft Sans Serif" w:hAnsi="Microsoft Sans Serif" w:cs="Microsoft Sans Serif"/>
          <w:noProof/>
          <w:sz w:val="24"/>
          <w:szCs w:val="24"/>
        </w:rPr>
        <w:t>ND</w:t>
      </w:r>
    </w:p>
    <w:p w:rsidR="00E16EFE" w:rsidRDefault="00E16EFE" w:rsidP="00E16EF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E16EFE" w:rsidRDefault="00E16EFE" w:rsidP="00E16EF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David B. MacGregor, Esquire</w:t>
      </w:r>
      <w:r w:rsidR="00370316">
        <w:rPr>
          <w:rFonts w:ascii="Arial" w:hAnsi="Arial" w:cs="Arial"/>
          <w:spacing w:val="-3"/>
          <w:sz w:val="24"/>
          <w:szCs w:val="24"/>
        </w:rPr>
        <w:t xml:space="preserve"> </w:t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William R</w:t>
      </w:r>
      <w:r w:rsidR="00370316"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="00370316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Lloyd Jr</w:t>
      </w:r>
      <w:r w:rsidR="00370316"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="00370316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6EFE" w:rsidRDefault="00E16EFE" w:rsidP="00E16EF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Post &amp; Schell, PC</w:t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Office of Small Business</w:t>
      </w:r>
    </w:p>
    <w:p w:rsidR="00E16EFE" w:rsidRDefault="00E16EFE" w:rsidP="00E16EF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Four Penn Center</w:t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Advocate</w:t>
      </w:r>
    </w:p>
    <w:p w:rsidR="00E16EFE" w:rsidRDefault="00E16EFE" w:rsidP="00E16EF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1600 John F. Kennedy Boulevard</w:t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1102 Commerce Building</w:t>
      </w:r>
    </w:p>
    <w:p w:rsidR="00E16EFE" w:rsidRPr="00DE4CD9" w:rsidRDefault="00E16EFE" w:rsidP="00E16EF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Philadelphia, PA  19103-2808</w:t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300 North Second Street</w:t>
      </w:r>
    </w:p>
    <w:p w:rsidR="00E16EFE" w:rsidRDefault="00AE76AB" w:rsidP="0090657A">
      <w:hyperlink r:id="rId12" w:history="1">
        <w:r w:rsidR="00370316" w:rsidRPr="00EE494A">
          <w:rPr>
            <w:rStyle w:val="Hyperlink"/>
            <w:rFonts w:ascii="Microsoft Sans Serif" w:hAnsi="Microsoft Sans Serif" w:cs="Microsoft Sans Serif"/>
            <w:noProof/>
            <w:sz w:val="24"/>
            <w:szCs w:val="24"/>
          </w:rPr>
          <w:t>dmacgregor@postschell.com</w:t>
        </w:r>
      </w:hyperlink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370316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="00370316"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="00370316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="00370316"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="00370316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17101</w:t>
      </w:r>
    </w:p>
    <w:p w:rsidR="00370316" w:rsidRPr="00D93898" w:rsidRDefault="00370316" w:rsidP="00370316">
      <w:pPr>
        <w:rPr>
          <w:rFonts w:ascii="Microsoft Sans Serif" w:hAnsi="Microsoft Sans Serif" w:cs="Microsoft Sans Serif"/>
          <w:b/>
          <w:caps/>
          <w:sz w:val="24"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ab/>
      </w:r>
      <w:r w:rsidRPr="00D93898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717.783.2525</w:t>
      </w:r>
    </w:p>
    <w:p w:rsidR="0090657A" w:rsidRPr="00D93898" w:rsidRDefault="0090657A" w:rsidP="0090657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D93898">
        <w:rPr>
          <w:rFonts w:ascii="Microsoft Sans Serif" w:hAnsi="Microsoft Sans Serif" w:cs="Microsoft Sans Serif"/>
          <w:i/>
          <w:noProof/>
          <w:sz w:val="24"/>
          <w:szCs w:val="24"/>
        </w:rPr>
        <w:t xml:space="preserve">Representing </w:t>
      </w:r>
      <w:r>
        <w:rPr>
          <w:rFonts w:ascii="Microsoft Sans Serif" w:hAnsi="Microsoft Sans Serif" w:cs="Microsoft Sans Serif"/>
          <w:i/>
          <w:noProof/>
          <w:sz w:val="24"/>
          <w:szCs w:val="24"/>
        </w:rPr>
        <w:t>the Joint Applicants</w:t>
      </w:r>
      <w:r w:rsidR="00370316">
        <w:rPr>
          <w:rFonts w:ascii="Microsoft Sans Serif" w:hAnsi="Microsoft Sans Serif" w:cs="Microsoft Sans Serif"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noProof/>
          <w:sz w:val="24"/>
          <w:szCs w:val="24"/>
        </w:rPr>
        <w:tab/>
      </w:r>
      <w:r w:rsidR="00370316">
        <w:rPr>
          <w:rFonts w:ascii="Microsoft Sans Serif" w:hAnsi="Microsoft Sans Serif" w:cs="Microsoft Sans Serif"/>
          <w:noProof/>
          <w:sz w:val="24"/>
          <w:szCs w:val="24"/>
        </w:rPr>
        <w:tab/>
      </w:r>
      <w:hyperlink r:id="rId13" w:history="1">
        <w:r w:rsidR="00370316" w:rsidRPr="007B0429">
          <w:rPr>
            <w:rStyle w:val="Hyperlink"/>
            <w:rFonts w:ascii="Microsoft Sans Serif" w:hAnsi="Microsoft Sans Serif" w:cs="Microsoft Sans Serif"/>
            <w:sz w:val="24"/>
          </w:rPr>
          <w:t>willloyd@state.pa.us</w:t>
        </w:r>
      </w:hyperlink>
    </w:p>
    <w:p w:rsidR="00066EEA" w:rsidRPr="00DC4331" w:rsidRDefault="00AB409A" w:rsidP="00AB409A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caps/>
          <w:noProof/>
          <w:sz w:val="24"/>
          <w:szCs w:val="24"/>
        </w:rPr>
        <w:tab/>
      </w:r>
    </w:p>
    <w:p w:rsidR="00791CA9" w:rsidRDefault="00791CA9" w:rsidP="00AB409A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791CA9" w:rsidRDefault="00791CA9" w:rsidP="00AB409A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AB409A" w:rsidRPr="00D93898" w:rsidRDefault="00115CB7" w:rsidP="00AB409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Johnnie E</w:t>
      </w:r>
      <w:r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Simms</w:t>
      </w:r>
      <w:r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AB409A" w:rsidRPr="00D93898" w:rsidRDefault="00115CB7" w:rsidP="00AB409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PA PUC Office of Trial Staff</w:t>
      </w:r>
      <w:r w:rsidR="00AB409A"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 </w:t>
      </w:r>
    </w:p>
    <w:p w:rsidR="00AB409A" w:rsidRPr="00D93898" w:rsidRDefault="00115CB7" w:rsidP="00AB409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PO Box 3265</w:t>
      </w:r>
    </w:p>
    <w:p w:rsidR="00443238" w:rsidRPr="00D93898" w:rsidRDefault="00115CB7" w:rsidP="0044323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D93898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D93898">
        <w:rPr>
          <w:rFonts w:ascii="Microsoft Sans Serif" w:hAnsi="Microsoft Sans Serif" w:cs="Microsoft Sans Serif"/>
          <w:caps/>
          <w:noProof/>
          <w:sz w:val="24"/>
          <w:szCs w:val="24"/>
        </w:rPr>
        <w:t>17105-3265</w:t>
      </w:r>
    </w:p>
    <w:p w:rsidR="00443238" w:rsidRPr="00D93898" w:rsidRDefault="00DA2970" w:rsidP="0044323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D93898">
        <w:rPr>
          <w:rFonts w:ascii="Microsoft Sans Serif" w:hAnsi="Microsoft Sans Serif" w:cs="Microsoft Sans Serif"/>
          <w:b/>
          <w:caps/>
          <w:sz w:val="24"/>
          <w:szCs w:val="24"/>
        </w:rPr>
        <w:t>717.787.4886</w:t>
      </w:r>
      <w:r w:rsidR="00443238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  <w:r w:rsidR="00443238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</w:p>
    <w:p w:rsidR="00443238" w:rsidRPr="00D93898" w:rsidRDefault="00AE76AB" w:rsidP="00443238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hyperlink r:id="rId14" w:history="1">
        <w:r w:rsidR="00DA2970" w:rsidRPr="007B0429">
          <w:rPr>
            <w:rStyle w:val="Hyperlink"/>
            <w:rFonts w:ascii="Microsoft Sans Serif" w:hAnsi="Microsoft Sans Serif" w:cs="Microsoft Sans Serif"/>
            <w:sz w:val="24"/>
          </w:rPr>
          <w:t>josimms@state.pa.us</w:t>
        </w:r>
      </w:hyperlink>
      <w:r w:rsidR="00EF3FD5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</w:p>
    <w:p w:rsidR="00443238" w:rsidRDefault="00791CA9" w:rsidP="00443238">
      <w:pPr>
        <w:rPr>
          <w:sz w:val="24"/>
        </w:rPr>
      </w:pPr>
      <w:r>
        <w:rPr>
          <w:rFonts w:ascii="Microsoft Sans Serif" w:hAnsi="Microsoft Sans Serif" w:cs="Microsoft Sans Serif"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noProof/>
          <w:sz w:val="24"/>
          <w:szCs w:val="24"/>
        </w:rPr>
        <w:tab/>
      </w:r>
      <w:r>
        <w:rPr>
          <w:rFonts w:ascii="Microsoft Sans Serif" w:hAnsi="Microsoft Sans Serif" w:cs="Microsoft Sans Serif"/>
          <w:noProof/>
          <w:sz w:val="24"/>
          <w:szCs w:val="24"/>
        </w:rPr>
        <w:tab/>
      </w:r>
    </w:p>
    <w:p w:rsidR="00D93898" w:rsidRPr="00D93898" w:rsidRDefault="00D93898" w:rsidP="00D93898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7F5E2A" w:rsidRDefault="007F5E2A" w:rsidP="00A47984">
      <w:pPr>
        <w:rPr>
          <w:sz w:val="24"/>
        </w:rPr>
      </w:pPr>
    </w:p>
    <w:p w:rsidR="00232CEC" w:rsidRDefault="00232CEC" w:rsidP="00DA7440">
      <w:pPr>
        <w:jc w:val="center"/>
        <w:rPr>
          <w:sz w:val="24"/>
        </w:rPr>
        <w:sectPr w:rsidR="00232CEC" w:rsidSect="009F374B">
          <w:head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335EBF" w:rsidRDefault="00335EBF" w:rsidP="00097E6F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T</w:t>
      </w:r>
      <w:r w:rsidRPr="00DA7440">
        <w:rPr>
          <w:b/>
          <w:sz w:val="24"/>
        </w:rPr>
        <w:t>r</w:t>
      </w:r>
      <w:r w:rsidR="001258C0">
        <w:rPr>
          <w:b/>
          <w:sz w:val="24"/>
        </w:rPr>
        <w:t xml:space="preserve">ansfer of DQE Holdings </w:t>
      </w:r>
      <w:r w:rsidR="00B335F7">
        <w:rPr>
          <w:b/>
          <w:sz w:val="24"/>
        </w:rPr>
        <w:t>LLC interests and shares owned by DUET Investment Holdings Limited to Epsom Investment Pte Ltd</w:t>
      </w:r>
    </w:p>
    <w:p w:rsidR="00335EBF" w:rsidRDefault="00335EBF" w:rsidP="00097E6F">
      <w:pPr>
        <w:jc w:val="center"/>
        <w:rPr>
          <w:b/>
          <w:sz w:val="24"/>
        </w:rPr>
      </w:pPr>
    </w:p>
    <w:p w:rsidR="00335EBF" w:rsidRDefault="00335EBF" w:rsidP="00097E6F">
      <w:pPr>
        <w:jc w:val="center"/>
        <w:rPr>
          <w:b/>
          <w:sz w:val="24"/>
        </w:rPr>
      </w:pPr>
      <w:r>
        <w:rPr>
          <w:b/>
          <w:sz w:val="24"/>
        </w:rPr>
        <w:t>A-2010-2213</w:t>
      </w:r>
      <w:r w:rsidR="00B335F7">
        <w:rPr>
          <w:b/>
          <w:sz w:val="24"/>
        </w:rPr>
        <w:t>3</w:t>
      </w:r>
      <w:r>
        <w:rPr>
          <w:b/>
          <w:sz w:val="24"/>
        </w:rPr>
        <w:t>6</w:t>
      </w:r>
      <w:r w:rsidR="00B335F7">
        <w:rPr>
          <w:b/>
          <w:sz w:val="24"/>
        </w:rPr>
        <w:t>9</w:t>
      </w:r>
    </w:p>
    <w:p w:rsidR="00BA5C68" w:rsidRDefault="00BA5C68" w:rsidP="00097E6F">
      <w:pPr>
        <w:jc w:val="center"/>
        <w:rPr>
          <w:b/>
          <w:sz w:val="24"/>
        </w:rPr>
      </w:pPr>
      <w:r>
        <w:rPr>
          <w:b/>
          <w:sz w:val="24"/>
        </w:rPr>
        <w:t>A-2011-2221461</w:t>
      </w:r>
    </w:p>
    <w:p w:rsidR="00335EBF" w:rsidRPr="00DA7440" w:rsidRDefault="00335EBF" w:rsidP="00097E6F">
      <w:pPr>
        <w:rPr>
          <w:sz w:val="24"/>
        </w:rPr>
      </w:pPr>
    </w:p>
    <w:p w:rsidR="00335EBF" w:rsidRDefault="00335EBF" w:rsidP="00097E6F">
      <w:pPr>
        <w:rPr>
          <w:sz w:val="24"/>
          <w:u w:val="single"/>
        </w:rPr>
      </w:pPr>
      <w:r w:rsidRPr="00DA7440">
        <w:rPr>
          <w:sz w:val="24"/>
          <w:u w:val="single"/>
        </w:rPr>
        <w:t>Items to be investigated in detail before the Administrative Law Judge:</w:t>
      </w:r>
    </w:p>
    <w:p w:rsidR="00335EBF" w:rsidRPr="00DA7440" w:rsidRDefault="00335EBF" w:rsidP="00097E6F">
      <w:pPr>
        <w:rPr>
          <w:sz w:val="24"/>
          <w:u w:val="single"/>
        </w:rPr>
      </w:pPr>
    </w:p>
    <w:p w:rsidR="00335EBF" w:rsidRPr="003F3EC5" w:rsidRDefault="003F3EC5" w:rsidP="00335EBF">
      <w:pPr>
        <w:numPr>
          <w:ilvl w:val="0"/>
          <w:numId w:val="10"/>
        </w:numPr>
        <w:rPr>
          <w:sz w:val="24"/>
        </w:rPr>
      </w:pPr>
      <w:r w:rsidRPr="003F3EC5">
        <w:rPr>
          <w:sz w:val="24"/>
        </w:rPr>
        <w:t>Review the impact of the proposed corporate structure of the merger and how this proposed structure is in the public interest?</w:t>
      </w:r>
      <w:r>
        <w:rPr>
          <w:sz w:val="24"/>
        </w:rPr>
        <w:t xml:space="preserve">  What</w:t>
      </w:r>
      <w:r w:rsidR="00335EBF" w:rsidRPr="003F3EC5">
        <w:rPr>
          <w:sz w:val="24"/>
        </w:rPr>
        <w:t xml:space="preserve"> will </w:t>
      </w:r>
      <w:r>
        <w:rPr>
          <w:sz w:val="24"/>
        </w:rPr>
        <w:t xml:space="preserve">be </w:t>
      </w:r>
      <w:r w:rsidR="00335EBF" w:rsidRPr="003F3EC5">
        <w:rPr>
          <w:sz w:val="24"/>
        </w:rPr>
        <w:t>the impact</w:t>
      </w:r>
      <w:r w:rsidR="00AD7194" w:rsidRPr="003F3EC5">
        <w:rPr>
          <w:sz w:val="24"/>
        </w:rPr>
        <w:t xml:space="preserve"> </w:t>
      </w:r>
      <w:r>
        <w:rPr>
          <w:sz w:val="24"/>
        </w:rPr>
        <w:t xml:space="preserve">on </w:t>
      </w:r>
      <w:r w:rsidR="004332A8" w:rsidRPr="003F3EC5">
        <w:rPr>
          <w:sz w:val="24"/>
        </w:rPr>
        <w:t xml:space="preserve">the corporate board of directors </w:t>
      </w:r>
      <w:r w:rsidR="000225A9">
        <w:rPr>
          <w:sz w:val="24"/>
        </w:rPr>
        <w:t xml:space="preserve">of </w:t>
      </w:r>
      <w:r>
        <w:rPr>
          <w:sz w:val="24"/>
        </w:rPr>
        <w:t xml:space="preserve">DQE Holdings, LLC </w:t>
      </w:r>
      <w:r w:rsidR="00A906E6">
        <w:rPr>
          <w:sz w:val="24"/>
        </w:rPr>
        <w:t>which</w:t>
      </w:r>
      <w:r w:rsidR="004332A8" w:rsidRPr="003F3EC5">
        <w:rPr>
          <w:sz w:val="24"/>
        </w:rPr>
        <w:t xml:space="preserve"> ultimate</w:t>
      </w:r>
      <w:r w:rsidR="00A906E6">
        <w:rPr>
          <w:sz w:val="24"/>
        </w:rPr>
        <w:t>ly</w:t>
      </w:r>
      <w:r w:rsidR="004332A8" w:rsidRPr="003F3EC5">
        <w:rPr>
          <w:sz w:val="24"/>
        </w:rPr>
        <w:t xml:space="preserve"> control</w:t>
      </w:r>
      <w:r w:rsidR="00A906E6">
        <w:rPr>
          <w:sz w:val="24"/>
        </w:rPr>
        <w:t>s</w:t>
      </w:r>
      <w:r w:rsidR="004332A8" w:rsidRPr="003F3EC5">
        <w:rPr>
          <w:sz w:val="24"/>
        </w:rPr>
        <w:t xml:space="preserve"> Duquesne Light Company</w:t>
      </w:r>
      <w:r w:rsidR="00E235BE" w:rsidRPr="00E235BE">
        <w:rPr>
          <w:sz w:val="24"/>
        </w:rPr>
        <w:t xml:space="preserve"> </w:t>
      </w:r>
      <w:r w:rsidR="00E235BE">
        <w:rPr>
          <w:sz w:val="24"/>
        </w:rPr>
        <w:t>and DQE Communications Network Services LLC</w:t>
      </w:r>
      <w:r w:rsidR="00335EBF" w:rsidRPr="003F3EC5">
        <w:rPr>
          <w:sz w:val="24"/>
        </w:rPr>
        <w:t xml:space="preserve">?  </w:t>
      </w:r>
    </w:p>
    <w:p w:rsidR="00865D08" w:rsidRPr="00865D08" w:rsidRDefault="00865D08" w:rsidP="00865D08">
      <w:pPr>
        <w:ind w:left="720"/>
        <w:rPr>
          <w:sz w:val="24"/>
        </w:rPr>
      </w:pPr>
    </w:p>
    <w:p w:rsidR="00865D08" w:rsidRDefault="00865D08" w:rsidP="00865D08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What will be the impact on </w:t>
      </w:r>
      <w:r w:rsidR="00485969">
        <w:rPr>
          <w:sz w:val="24"/>
        </w:rPr>
        <w:t>the corporate</w:t>
      </w:r>
      <w:r>
        <w:rPr>
          <w:sz w:val="24"/>
        </w:rPr>
        <w:t xml:space="preserve"> decision making </w:t>
      </w:r>
      <w:r w:rsidR="00485969">
        <w:rPr>
          <w:sz w:val="24"/>
        </w:rPr>
        <w:t xml:space="preserve">process </w:t>
      </w:r>
      <w:r>
        <w:rPr>
          <w:sz w:val="24"/>
        </w:rPr>
        <w:t xml:space="preserve">of the Macquarie Group </w:t>
      </w:r>
      <w:r w:rsidR="00485969">
        <w:rPr>
          <w:sz w:val="24"/>
        </w:rPr>
        <w:t xml:space="preserve">as its ownership moves from a 64.3% </w:t>
      </w:r>
      <w:r w:rsidR="004D7406">
        <w:rPr>
          <w:sz w:val="24"/>
        </w:rPr>
        <w:t>equity i</w:t>
      </w:r>
      <w:r w:rsidR="00485969">
        <w:rPr>
          <w:sz w:val="24"/>
        </w:rPr>
        <w:t>nterest to</w:t>
      </w:r>
      <w:r w:rsidR="004D7406">
        <w:rPr>
          <w:sz w:val="24"/>
        </w:rPr>
        <w:t xml:space="preserve"> a collective equity interest of only 35.39%?</w:t>
      </w:r>
      <w:r w:rsidR="006B03B9">
        <w:rPr>
          <w:sz w:val="24"/>
        </w:rPr>
        <w:t xml:space="preserve">  </w:t>
      </w:r>
    </w:p>
    <w:p w:rsidR="002C2365" w:rsidRDefault="002C2365" w:rsidP="002C2365">
      <w:pPr>
        <w:ind w:left="720"/>
        <w:rPr>
          <w:sz w:val="24"/>
        </w:rPr>
      </w:pPr>
    </w:p>
    <w:p w:rsidR="002C2365" w:rsidRDefault="000225A9" w:rsidP="00865D08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To what extent will the Government of Singapore have an impact on the decision making process on the corporate board of directors that ultimately control</w:t>
      </w:r>
      <w:r w:rsidR="00D6259E">
        <w:rPr>
          <w:sz w:val="24"/>
        </w:rPr>
        <w:t>s</w:t>
      </w:r>
      <w:r>
        <w:rPr>
          <w:sz w:val="24"/>
        </w:rPr>
        <w:t xml:space="preserve"> Duquesne Light Company</w:t>
      </w:r>
      <w:r w:rsidR="00E235BE">
        <w:rPr>
          <w:sz w:val="24"/>
        </w:rPr>
        <w:t xml:space="preserve"> and DQE Communications Network Services LLC</w:t>
      </w:r>
      <w:r>
        <w:rPr>
          <w:sz w:val="24"/>
        </w:rPr>
        <w:t>?</w:t>
      </w:r>
    </w:p>
    <w:p w:rsidR="004D7406" w:rsidRPr="00AD7194" w:rsidRDefault="004D7406" w:rsidP="004D7406">
      <w:pPr>
        <w:ind w:left="720"/>
        <w:rPr>
          <w:sz w:val="24"/>
        </w:rPr>
      </w:pPr>
    </w:p>
    <w:p w:rsidR="00335EBF" w:rsidRDefault="00A1124C" w:rsidP="00335EBF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Have the</w:t>
      </w:r>
      <w:r w:rsidR="006B03B9">
        <w:rPr>
          <w:sz w:val="24"/>
        </w:rPr>
        <w:t xml:space="preserve"> conditions of the Settlement Agreement </w:t>
      </w:r>
      <w:r>
        <w:rPr>
          <w:sz w:val="24"/>
        </w:rPr>
        <w:t xml:space="preserve">which transferred control of Duquesne Light Holdings to DQE Holdings, LLC and </w:t>
      </w:r>
      <w:r w:rsidR="006B03B9">
        <w:rPr>
          <w:sz w:val="24"/>
        </w:rPr>
        <w:t>approved by the Commission in Docket Numbers A-110150F0035 and A-311233F0002 be</w:t>
      </w:r>
      <w:r>
        <w:rPr>
          <w:sz w:val="24"/>
        </w:rPr>
        <w:t>en</w:t>
      </w:r>
      <w:r w:rsidR="006B03B9">
        <w:rPr>
          <w:sz w:val="24"/>
        </w:rPr>
        <w:t xml:space="preserve"> met?  </w:t>
      </w:r>
      <w:r>
        <w:rPr>
          <w:sz w:val="24"/>
        </w:rPr>
        <w:t>What impact will the change of control have on this Settlement Agreement</w:t>
      </w:r>
      <w:r w:rsidR="00335EBF" w:rsidRPr="00865D08">
        <w:rPr>
          <w:sz w:val="24"/>
        </w:rPr>
        <w:t>?</w:t>
      </w:r>
    </w:p>
    <w:p w:rsidR="00335EBF" w:rsidRPr="00DA7440" w:rsidRDefault="00335EBF" w:rsidP="00097E6F">
      <w:pPr>
        <w:rPr>
          <w:sz w:val="24"/>
        </w:rPr>
      </w:pPr>
    </w:p>
    <w:p w:rsidR="00335EBF" w:rsidRDefault="00335EBF" w:rsidP="00335EBF">
      <w:pPr>
        <w:numPr>
          <w:ilvl w:val="0"/>
          <w:numId w:val="10"/>
        </w:numPr>
        <w:rPr>
          <w:sz w:val="24"/>
        </w:rPr>
      </w:pPr>
      <w:r w:rsidRPr="00DA7440">
        <w:rPr>
          <w:sz w:val="24"/>
        </w:rPr>
        <w:t xml:space="preserve">What, if any, ring-fencing mechanisms are presently in place, or proposed as part of this transaction, to protect </w:t>
      </w:r>
      <w:r w:rsidR="00A906E6">
        <w:rPr>
          <w:sz w:val="24"/>
        </w:rPr>
        <w:t>Duquesne Light Company</w:t>
      </w:r>
      <w:r w:rsidRPr="00DA7440">
        <w:rPr>
          <w:sz w:val="24"/>
        </w:rPr>
        <w:t xml:space="preserve"> </w:t>
      </w:r>
      <w:r w:rsidR="00E235BE">
        <w:rPr>
          <w:sz w:val="24"/>
        </w:rPr>
        <w:t>and DQE Communications Network Services LLC</w:t>
      </w:r>
      <w:r w:rsidR="00E235BE" w:rsidRPr="00DA7440">
        <w:rPr>
          <w:sz w:val="24"/>
        </w:rPr>
        <w:t xml:space="preserve"> </w:t>
      </w:r>
      <w:r w:rsidRPr="00DA7440">
        <w:rPr>
          <w:sz w:val="24"/>
        </w:rPr>
        <w:t xml:space="preserve">from the business and financial risk </w:t>
      </w:r>
      <w:r w:rsidR="002C2365" w:rsidRPr="00DA7440">
        <w:rPr>
          <w:sz w:val="24"/>
        </w:rPr>
        <w:t>of its</w:t>
      </w:r>
      <w:r>
        <w:rPr>
          <w:sz w:val="24"/>
        </w:rPr>
        <w:t xml:space="preserve"> </w:t>
      </w:r>
      <w:r w:rsidRPr="00DA7440">
        <w:rPr>
          <w:sz w:val="24"/>
        </w:rPr>
        <w:t xml:space="preserve">parent </w:t>
      </w:r>
      <w:r>
        <w:rPr>
          <w:sz w:val="24"/>
        </w:rPr>
        <w:t xml:space="preserve">companies </w:t>
      </w:r>
      <w:r w:rsidRPr="00DA7440">
        <w:rPr>
          <w:sz w:val="24"/>
        </w:rPr>
        <w:t xml:space="preserve">and </w:t>
      </w:r>
      <w:r>
        <w:rPr>
          <w:sz w:val="24"/>
        </w:rPr>
        <w:t xml:space="preserve">any </w:t>
      </w:r>
      <w:r w:rsidRPr="00DA7440">
        <w:rPr>
          <w:sz w:val="24"/>
        </w:rPr>
        <w:t xml:space="preserve">other non-regulated affiliates?  Are any changes or additions necessary to better protect the public interest and make </w:t>
      </w:r>
      <w:r w:rsidR="006B694C">
        <w:rPr>
          <w:sz w:val="24"/>
        </w:rPr>
        <w:t>Duquesne Light Company’s</w:t>
      </w:r>
      <w:r w:rsidRPr="00DA7440">
        <w:rPr>
          <w:sz w:val="24"/>
        </w:rPr>
        <w:t xml:space="preserve"> regulated </w:t>
      </w:r>
      <w:r w:rsidR="006B694C">
        <w:rPr>
          <w:sz w:val="24"/>
        </w:rPr>
        <w:t>transmission and distribution business</w:t>
      </w:r>
      <w:r>
        <w:rPr>
          <w:sz w:val="24"/>
        </w:rPr>
        <w:t xml:space="preserve"> more</w:t>
      </w:r>
      <w:r w:rsidRPr="00DA7440">
        <w:rPr>
          <w:sz w:val="24"/>
        </w:rPr>
        <w:t xml:space="preserve"> bankruptcy remote?</w:t>
      </w:r>
    </w:p>
    <w:p w:rsidR="00335EBF" w:rsidRPr="00DA7440" w:rsidRDefault="00335EBF" w:rsidP="00097E6F">
      <w:pPr>
        <w:rPr>
          <w:sz w:val="24"/>
        </w:rPr>
      </w:pPr>
    </w:p>
    <w:p w:rsidR="008D5686" w:rsidRPr="008D5686" w:rsidRDefault="00B54790" w:rsidP="008D5686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What is the financial impact of the proposed change of control on Duquesne Light Company</w:t>
      </w:r>
      <w:r w:rsidR="00DC7954" w:rsidRPr="00DC7954">
        <w:rPr>
          <w:sz w:val="24"/>
        </w:rPr>
        <w:t xml:space="preserve"> </w:t>
      </w:r>
      <w:r w:rsidR="00DC7954">
        <w:rPr>
          <w:sz w:val="24"/>
        </w:rPr>
        <w:t>and DQE Communications Network Services LLC</w:t>
      </w:r>
      <w:r>
        <w:rPr>
          <w:sz w:val="24"/>
        </w:rPr>
        <w:t>?</w:t>
      </w:r>
      <w:r w:rsidR="00335EBF" w:rsidRPr="006C0418">
        <w:rPr>
          <w:sz w:val="24"/>
        </w:rPr>
        <w:t xml:space="preserve">  Will the </w:t>
      </w:r>
      <w:r>
        <w:rPr>
          <w:sz w:val="24"/>
        </w:rPr>
        <w:t>change of control</w:t>
      </w:r>
      <w:r w:rsidR="00335EBF" w:rsidRPr="006C0418">
        <w:rPr>
          <w:sz w:val="24"/>
        </w:rPr>
        <w:t xml:space="preserve"> create a more leveraged organization? </w:t>
      </w:r>
      <w:r w:rsidR="008D5686">
        <w:rPr>
          <w:sz w:val="24"/>
        </w:rPr>
        <w:t>H</w:t>
      </w:r>
      <w:r w:rsidR="008D5686" w:rsidRPr="008D5686">
        <w:rPr>
          <w:sz w:val="24"/>
        </w:rPr>
        <w:t xml:space="preserve">ow </w:t>
      </w:r>
      <w:r w:rsidR="008D5686">
        <w:rPr>
          <w:sz w:val="24"/>
        </w:rPr>
        <w:t xml:space="preserve">will </w:t>
      </w:r>
      <w:r w:rsidR="008D5686" w:rsidRPr="008D5686">
        <w:rPr>
          <w:sz w:val="24"/>
        </w:rPr>
        <w:t>the availability</w:t>
      </w:r>
      <w:r w:rsidR="008D5686">
        <w:rPr>
          <w:sz w:val="24"/>
        </w:rPr>
        <w:t xml:space="preserve"> </w:t>
      </w:r>
      <w:r w:rsidR="008D5686" w:rsidRPr="008D5686">
        <w:rPr>
          <w:sz w:val="24"/>
        </w:rPr>
        <w:t xml:space="preserve">of funds for investment in the distribution and transmission system of Duquesne </w:t>
      </w:r>
      <w:r w:rsidR="008D5686">
        <w:rPr>
          <w:sz w:val="24"/>
        </w:rPr>
        <w:t xml:space="preserve">Light Company </w:t>
      </w:r>
      <w:r w:rsidR="008D5686" w:rsidRPr="008D5686">
        <w:rPr>
          <w:sz w:val="24"/>
        </w:rPr>
        <w:t>be affected?</w:t>
      </w:r>
      <w:r w:rsidR="008D5686">
        <w:rPr>
          <w:sz w:val="24"/>
        </w:rPr>
        <w:t xml:space="preserve"> </w:t>
      </w:r>
      <w:r w:rsidR="00F63D55">
        <w:rPr>
          <w:sz w:val="24"/>
        </w:rPr>
        <w:t xml:space="preserve"> How might investment in smart meters </w:t>
      </w:r>
      <w:r w:rsidR="00DC7954">
        <w:rPr>
          <w:sz w:val="24"/>
        </w:rPr>
        <w:t>be impacted?</w:t>
      </w:r>
    </w:p>
    <w:p w:rsidR="00335EBF" w:rsidRPr="006C0418" w:rsidRDefault="00335EBF" w:rsidP="006C0418">
      <w:pPr>
        <w:ind w:left="720"/>
        <w:rPr>
          <w:sz w:val="24"/>
        </w:rPr>
      </w:pPr>
    </w:p>
    <w:p w:rsidR="00335EBF" w:rsidRDefault="00335EBF" w:rsidP="00335EBF">
      <w:pPr>
        <w:numPr>
          <w:ilvl w:val="0"/>
          <w:numId w:val="10"/>
        </w:numPr>
        <w:rPr>
          <w:sz w:val="24"/>
        </w:rPr>
      </w:pPr>
      <w:r w:rsidRPr="00DA7440">
        <w:rPr>
          <w:sz w:val="24"/>
        </w:rPr>
        <w:t>Investigate the impact the proposed merger may have on the potential for anticompetitive behavior per 66 Pa. C.S. § 2</w:t>
      </w:r>
      <w:r w:rsidR="006D75E4">
        <w:rPr>
          <w:sz w:val="24"/>
        </w:rPr>
        <w:t>8</w:t>
      </w:r>
      <w:r w:rsidRPr="00DA7440">
        <w:rPr>
          <w:sz w:val="24"/>
        </w:rPr>
        <w:t>1</w:t>
      </w:r>
      <w:r w:rsidR="006D75E4">
        <w:rPr>
          <w:sz w:val="24"/>
        </w:rPr>
        <w:t>1</w:t>
      </w:r>
      <w:r w:rsidRPr="00DA7440">
        <w:rPr>
          <w:sz w:val="24"/>
        </w:rPr>
        <w:t>(</w:t>
      </w:r>
      <w:r>
        <w:rPr>
          <w:sz w:val="24"/>
        </w:rPr>
        <w:t>a</w:t>
      </w:r>
      <w:r w:rsidRPr="00DA7440">
        <w:rPr>
          <w:sz w:val="24"/>
        </w:rPr>
        <w:t xml:space="preserve">).  How will the </w:t>
      </w:r>
      <w:r w:rsidR="006D75E4">
        <w:rPr>
          <w:sz w:val="24"/>
        </w:rPr>
        <w:t>change of control</w:t>
      </w:r>
      <w:r w:rsidRPr="00DA7440">
        <w:rPr>
          <w:sz w:val="24"/>
        </w:rPr>
        <w:t xml:space="preserve"> affect wholesale and retail competition for </w:t>
      </w:r>
      <w:r w:rsidR="006D75E4">
        <w:rPr>
          <w:sz w:val="24"/>
        </w:rPr>
        <w:t>electric</w:t>
      </w:r>
      <w:r>
        <w:rPr>
          <w:sz w:val="24"/>
        </w:rPr>
        <w:t xml:space="preserve"> g</w:t>
      </w:r>
      <w:r w:rsidR="006D75E4">
        <w:rPr>
          <w:sz w:val="24"/>
        </w:rPr>
        <w:t>eneration</w:t>
      </w:r>
      <w:r>
        <w:rPr>
          <w:sz w:val="24"/>
        </w:rPr>
        <w:t xml:space="preserve"> suppliers</w:t>
      </w:r>
      <w:r w:rsidRPr="00DA7440">
        <w:rPr>
          <w:sz w:val="24"/>
        </w:rPr>
        <w:t>?</w:t>
      </w:r>
    </w:p>
    <w:p w:rsidR="00335EBF" w:rsidRPr="00DA7440" w:rsidRDefault="00335EBF" w:rsidP="00097E6F">
      <w:pPr>
        <w:rPr>
          <w:sz w:val="24"/>
        </w:rPr>
      </w:pPr>
    </w:p>
    <w:p w:rsidR="00B54BBE" w:rsidRDefault="00B54BBE" w:rsidP="00335EBF">
      <w:pPr>
        <w:jc w:val="center"/>
        <w:rPr>
          <w:sz w:val="24"/>
        </w:rPr>
      </w:pPr>
    </w:p>
    <w:sectPr w:rsidR="00B54BBE" w:rsidSect="00232CEC">
      <w:headerReference w:type="defaul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404" w:rsidRDefault="005E1404">
      <w:r>
        <w:separator/>
      </w:r>
    </w:p>
  </w:endnote>
  <w:endnote w:type="continuationSeparator" w:id="0">
    <w:p w:rsidR="005E1404" w:rsidRDefault="005E1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404" w:rsidRDefault="005E1404">
      <w:r>
        <w:separator/>
      </w:r>
    </w:p>
  </w:footnote>
  <w:footnote w:type="continuationSeparator" w:id="0">
    <w:p w:rsidR="005E1404" w:rsidRDefault="005E1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E2" w:rsidRDefault="00D354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927" w:rsidRDefault="004E6632" w:rsidP="007D1927">
    <w:pPr>
      <w:pStyle w:val="Header"/>
      <w:jc w:val="right"/>
    </w:pPr>
    <w:r w:rsidRPr="007D1927">
      <w:rPr>
        <w:rFonts w:ascii="Times New (W1)" w:hAnsi="Times New (W1)"/>
        <w:sz w:val="28"/>
      </w:rPr>
      <w:t>Attachment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F1199C"/>
    <w:multiLevelType w:val="hybridMultilevel"/>
    <w:tmpl w:val="50264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60513"/>
    <w:rsid w:val="000225A9"/>
    <w:rsid w:val="0004499C"/>
    <w:rsid w:val="00052C9D"/>
    <w:rsid w:val="00060513"/>
    <w:rsid w:val="000645C8"/>
    <w:rsid w:val="00066EEA"/>
    <w:rsid w:val="00072C9E"/>
    <w:rsid w:val="00076251"/>
    <w:rsid w:val="00076C43"/>
    <w:rsid w:val="000A3005"/>
    <w:rsid w:val="000C36B9"/>
    <w:rsid w:val="000D09B4"/>
    <w:rsid w:val="000F35A7"/>
    <w:rsid w:val="00102FDF"/>
    <w:rsid w:val="00115CB7"/>
    <w:rsid w:val="001258C0"/>
    <w:rsid w:val="0013144A"/>
    <w:rsid w:val="001405D0"/>
    <w:rsid w:val="00163748"/>
    <w:rsid w:val="00166AE2"/>
    <w:rsid w:val="001705D5"/>
    <w:rsid w:val="00175006"/>
    <w:rsid w:val="001860C3"/>
    <w:rsid w:val="001C51E9"/>
    <w:rsid w:val="001D01B6"/>
    <w:rsid w:val="001D21AB"/>
    <w:rsid w:val="001D634B"/>
    <w:rsid w:val="001D73DA"/>
    <w:rsid w:val="001F4960"/>
    <w:rsid w:val="00203181"/>
    <w:rsid w:val="00210130"/>
    <w:rsid w:val="0022172A"/>
    <w:rsid w:val="00226953"/>
    <w:rsid w:val="00232CEC"/>
    <w:rsid w:val="00252BF3"/>
    <w:rsid w:val="0026595C"/>
    <w:rsid w:val="00284A42"/>
    <w:rsid w:val="00287D45"/>
    <w:rsid w:val="00292FA7"/>
    <w:rsid w:val="002A2908"/>
    <w:rsid w:val="002B40CC"/>
    <w:rsid w:val="002C2365"/>
    <w:rsid w:val="002D18A7"/>
    <w:rsid w:val="002D3A74"/>
    <w:rsid w:val="00310CDC"/>
    <w:rsid w:val="003332A2"/>
    <w:rsid w:val="00335EBF"/>
    <w:rsid w:val="00342391"/>
    <w:rsid w:val="00362EBA"/>
    <w:rsid w:val="003655C2"/>
    <w:rsid w:val="00370316"/>
    <w:rsid w:val="003755BE"/>
    <w:rsid w:val="00387B02"/>
    <w:rsid w:val="00392976"/>
    <w:rsid w:val="003D135F"/>
    <w:rsid w:val="003D3D79"/>
    <w:rsid w:val="003E1941"/>
    <w:rsid w:val="003E4271"/>
    <w:rsid w:val="003E4694"/>
    <w:rsid w:val="003F3EC5"/>
    <w:rsid w:val="00432DC0"/>
    <w:rsid w:val="004332A8"/>
    <w:rsid w:val="00437120"/>
    <w:rsid w:val="00437F51"/>
    <w:rsid w:val="00443238"/>
    <w:rsid w:val="00456521"/>
    <w:rsid w:val="00456DCC"/>
    <w:rsid w:val="00485969"/>
    <w:rsid w:val="004B0EA3"/>
    <w:rsid w:val="004C3EC8"/>
    <w:rsid w:val="004D7406"/>
    <w:rsid w:val="004E6632"/>
    <w:rsid w:val="004E7986"/>
    <w:rsid w:val="004F283C"/>
    <w:rsid w:val="004F30C1"/>
    <w:rsid w:val="00513F0C"/>
    <w:rsid w:val="0051429D"/>
    <w:rsid w:val="005213C2"/>
    <w:rsid w:val="00530AA0"/>
    <w:rsid w:val="005365D1"/>
    <w:rsid w:val="0054427A"/>
    <w:rsid w:val="005542AD"/>
    <w:rsid w:val="00577217"/>
    <w:rsid w:val="005935A5"/>
    <w:rsid w:val="005B4F4D"/>
    <w:rsid w:val="005E1404"/>
    <w:rsid w:val="005E2749"/>
    <w:rsid w:val="005F397B"/>
    <w:rsid w:val="0065334F"/>
    <w:rsid w:val="00654DEF"/>
    <w:rsid w:val="0065702C"/>
    <w:rsid w:val="00665710"/>
    <w:rsid w:val="00675332"/>
    <w:rsid w:val="0068001A"/>
    <w:rsid w:val="00683F41"/>
    <w:rsid w:val="0068643D"/>
    <w:rsid w:val="0069129E"/>
    <w:rsid w:val="006B03B9"/>
    <w:rsid w:val="006B694C"/>
    <w:rsid w:val="006C33B5"/>
    <w:rsid w:val="006D299B"/>
    <w:rsid w:val="006D75E4"/>
    <w:rsid w:val="006E709B"/>
    <w:rsid w:val="006F0188"/>
    <w:rsid w:val="006F1649"/>
    <w:rsid w:val="00703033"/>
    <w:rsid w:val="007349CC"/>
    <w:rsid w:val="00760FFA"/>
    <w:rsid w:val="00791CA9"/>
    <w:rsid w:val="007A0F10"/>
    <w:rsid w:val="007A35BE"/>
    <w:rsid w:val="007B0AE6"/>
    <w:rsid w:val="007B6B40"/>
    <w:rsid w:val="007C3E02"/>
    <w:rsid w:val="007D1927"/>
    <w:rsid w:val="007E1524"/>
    <w:rsid w:val="007F032B"/>
    <w:rsid w:val="007F5E2A"/>
    <w:rsid w:val="00801412"/>
    <w:rsid w:val="00805097"/>
    <w:rsid w:val="00834B05"/>
    <w:rsid w:val="00865D08"/>
    <w:rsid w:val="00872804"/>
    <w:rsid w:val="008A6960"/>
    <w:rsid w:val="008B2351"/>
    <w:rsid w:val="008B3728"/>
    <w:rsid w:val="008C207D"/>
    <w:rsid w:val="008D5686"/>
    <w:rsid w:val="008E2BB6"/>
    <w:rsid w:val="008F1211"/>
    <w:rsid w:val="00901725"/>
    <w:rsid w:val="0090657A"/>
    <w:rsid w:val="00906EB5"/>
    <w:rsid w:val="009475DE"/>
    <w:rsid w:val="0097711F"/>
    <w:rsid w:val="0098671C"/>
    <w:rsid w:val="009E198D"/>
    <w:rsid w:val="009F374B"/>
    <w:rsid w:val="00A04B7A"/>
    <w:rsid w:val="00A1124C"/>
    <w:rsid w:val="00A24FDE"/>
    <w:rsid w:val="00A26CF3"/>
    <w:rsid w:val="00A31FAE"/>
    <w:rsid w:val="00A4550F"/>
    <w:rsid w:val="00A47984"/>
    <w:rsid w:val="00A664C5"/>
    <w:rsid w:val="00A906E6"/>
    <w:rsid w:val="00A96646"/>
    <w:rsid w:val="00AB409A"/>
    <w:rsid w:val="00AD7194"/>
    <w:rsid w:val="00AE76AB"/>
    <w:rsid w:val="00B05CAC"/>
    <w:rsid w:val="00B07E09"/>
    <w:rsid w:val="00B11079"/>
    <w:rsid w:val="00B2572D"/>
    <w:rsid w:val="00B27A2A"/>
    <w:rsid w:val="00B32AA0"/>
    <w:rsid w:val="00B335F7"/>
    <w:rsid w:val="00B3754F"/>
    <w:rsid w:val="00B45EFD"/>
    <w:rsid w:val="00B53FD2"/>
    <w:rsid w:val="00B54790"/>
    <w:rsid w:val="00B54BBE"/>
    <w:rsid w:val="00B67104"/>
    <w:rsid w:val="00B9205A"/>
    <w:rsid w:val="00B94905"/>
    <w:rsid w:val="00BA07C3"/>
    <w:rsid w:val="00BA2687"/>
    <w:rsid w:val="00BA5C68"/>
    <w:rsid w:val="00BB2A8A"/>
    <w:rsid w:val="00BB2FC5"/>
    <w:rsid w:val="00BD762C"/>
    <w:rsid w:val="00BD7A24"/>
    <w:rsid w:val="00BF53B0"/>
    <w:rsid w:val="00C118C5"/>
    <w:rsid w:val="00C174FB"/>
    <w:rsid w:val="00C24B4C"/>
    <w:rsid w:val="00C30FE5"/>
    <w:rsid w:val="00C3254C"/>
    <w:rsid w:val="00C45F98"/>
    <w:rsid w:val="00C51709"/>
    <w:rsid w:val="00C76AD5"/>
    <w:rsid w:val="00C90224"/>
    <w:rsid w:val="00CA0A8E"/>
    <w:rsid w:val="00CA5812"/>
    <w:rsid w:val="00CE4047"/>
    <w:rsid w:val="00CE69C3"/>
    <w:rsid w:val="00D163A6"/>
    <w:rsid w:val="00D32013"/>
    <w:rsid w:val="00D348C8"/>
    <w:rsid w:val="00D354E2"/>
    <w:rsid w:val="00D47255"/>
    <w:rsid w:val="00D6259E"/>
    <w:rsid w:val="00D65BC7"/>
    <w:rsid w:val="00D757A7"/>
    <w:rsid w:val="00D93898"/>
    <w:rsid w:val="00DA2970"/>
    <w:rsid w:val="00DA7440"/>
    <w:rsid w:val="00DC0F1A"/>
    <w:rsid w:val="00DC3413"/>
    <w:rsid w:val="00DC34FE"/>
    <w:rsid w:val="00DC4331"/>
    <w:rsid w:val="00DC5D23"/>
    <w:rsid w:val="00DC7954"/>
    <w:rsid w:val="00DE6CEA"/>
    <w:rsid w:val="00E02D09"/>
    <w:rsid w:val="00E16EFE"/>
    <w:rsid w:val="00E235BE"/>
    <w:rsid w:val="00E2376B"/>
    <w:rsid w:val="00E446DE"/>
    <w:rsid w:val="00E63597"/>
    <w:rsid w:val="00E6365D"/>
    <w:rsid w:val="00E63F4D"/>
    <w:rsid w:val="00E66DF0"/>
    <w:rsid w:val="00E94692"/>
    <w:rsid w:val="00EC6D78"/>
    <w:rsid w:val="00ED004C"/>
    <w:rsid w:val="00ED7F68"/>
    <w:rsid w:val="00EF3FD5"/>
    <w:rsid w:val="00EF7955"/>
    <w:rsid w:val="00F0074E"/>
    <w:rsid w:val="00F034EA"/>
    <w:rsid w:val="00F30804"/>
    <w:rsid w:val="00F6073E"/>
    <w:rsid w:val="00F63D55"/>
    <w:rsid w:val="00FA0C1F"/>
    <w:rsid w:val="00FA2982"/>
    <w:rsid w:val="00FA66F9"/>
    <w:rsid w:val="00FB6B8C"/>
    <w:rsid w:val="00FE1293"/>
    <w:rsid w:val="00FF1FB1"/>
    <w:rsid w:val="00FF225D"/>
    <w:rsid w:val="00FF5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391"/>
  </w:style>
  <w:style w:type="paragraph" w:styleId="Heading1">
    <w:name w:val="heading 1"/>
    <w:basedOn w:val="Normal"/>
    <w:next w:val="Normal"/>
    <w:qFormat/>
    <w:rsid w:val="0034239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4239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3423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39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671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E4047"/>
  </w:style>
  <w:style w:type="character" w:styleId="Hyperlink">
    <w:name w:val="Hyperlink"/>
    <w:basedOn w:val="DefaultParagraphFont"/>
    <w:rsid w:val="00AB40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willloyd@state.pa.u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macgregor@postschel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ubbs@postschel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gang@postsche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powsky@paoca.org" TargetMode="External"/><Relationship Id="rId14" Type="http://schemas.openxmlformats.org/officeDocument/2006/relationships/hyperlink" Target="mailto:josimms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HUFF</dc:creator>
  <cp:keywords/>
  <dc:description/>
  <cp:lastModifiedBy>Administrator</cp:lastModifiedBy>
  <cp:revision>23</cp:revision>
  <cp:lastPrinted>2011-01-31T12:54:00Z</cp:lastPrinted>
  <dcterms:created xsi:type="dcterms:W3CDTF">2011-01-11T18:36:00Z</dcterms:created>
  <dcterms:modified xsi:type="dcterms:W3CDTF">2011-01-31T12:54:00Z</dcterms:modified>
</cp:coreProperties>
</file>