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CD7291" w:rsidP="00F9732A">
      <w:r>
        <w:t>Ray Miller</w:t>
      </w:r>
      <w:r>
        <w:tab/>
      </w:r>
      <w:r>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CD7291">
        <w:t>2010-2151018</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CD7291">
        <w:t>January 4, 2010</w:t>
      </w:r>
      <w:r w:rsidR="00BD76C8" w:rsidRPr="008B455C">
        <w:t xml:space="preserve">, </w:t>
      </w:r>
      <w:r w:rsidR="00CD7291">
        <w:t>Ray Miller</w:t>
      </w:r>
      <w:r w:rsidR="0065346D" w:rsidRPr="008B455C">
        <w:t xml:space="preserve"> (“</w:t>
      </w:r>
      <w:r w:rsidR="00CD7291">
        <w:t>Miller</w:t>
      </w:r>
      <w:r w:rsidR="00BC7989">
        <w:t>” or “Complainant</w:t>
      </w:r>
      <w:r w:rsidR="0065346D" w:rsidRPr="008B455C">
        <w:t>”)</w:t>
      </w:r>
      <w:r w:rsidR="00BD76C8" w:rsidRPr="008B455C">
        <w:t xml:space="preserve"> filed a formal complaint with the Pennsylvania P</w:t>
      </w:r>
      <w:r w:rsidR="0041637D" w:rsidRPr="008B455C">
        <w:t>u</w:t>
      </w:r>
      <w:r w:rsidR="00BD76C8" w:rsidRPr="008B455C">
        <w:t xml:space="preserve">blic Utility Commission (“Commission”) against Duquesne Light Company (“Duquesne Light” or “Respondent”) </w:t>
      </w:r>
      <w:r w:rsidR="0065346D" w:rsidRPr="008B455C">
        <w:t xml:space="preserve">complaining </w:t>
      </w:r>
      <w:r w:rsidR="00CD7291">
        <w:t>Respondent’s facilities failed and his air conditioning system did not work due to a failure of Respondent’s transformer to provide three-phase service.  This alleged</w:t>
      </w:r>
      <w:r w:rsidR="00B50BB3">
        <w:t xml:space="preserve"> reliability, safety or quality problem with Respondent’s provision of electrical services to Complainant’s residence</w:t>
      </w:r>
      <w:r w:rsidR="00CD7291">
        <w:t xml:space="preserve"> resulted in Complainant paying for his air conditioning technicians to </w:t>
      </w:r>
      <w:r w:rsidR="008E0B49">
        <w:t>visit the service address two times before the technicians were able to determine the failure of the air conditioning system was because Respondent’s facilities did not provide enough of the right quantity of electricity</w:t>
      </w:r>
      <w:r w:rsidR="00B50BB3">
        <w:t xml:space="preserve">.  Complainant requested the Commission require </w:t>
      </w:r>
      <w:r w:rsidR="00BD7A50">
        <w:t xml:space="preserve">Respondent </w:t>
      </w:r>
      <w:r w:rsidR="00B50BB3">
        <w:t xml:space="preserve">to </w:t>
      </w:r>
      <w:r w:rsidR="008E0B49">
        <w:t>pay for the cost of the two visits by the technician</w:t>
      </w:r>
      <w:r w:rsidR="00F86FB9">
        <w:t>.</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t xml:space="preserve">Duquesne Light filed </w:t>
      </w:r>
      <w:r w:rsidR="00DF0974" w:rsidRPr="008B455C">
        <w:t>an</w:t>
      </w:r>
      <w:r w:rsidR="00580D5E" w:rsidRPr="008B455C">
        <w:t xml:space="preserve"> </w:t>
      </w:r>
      <w:r w:rsidRPr="008B455C">
        <w:t xml:space="preserve">answer and new matter in response to </w:t>
      </w:r>
      <w:r w:rsidR="00F86FB9">
        <w:t>the</w:t>
      </w:r>
      <w:r w:rsidR="0065346D" w:rsidRPr="008B455C">
        <w:t xml:space="preserve"> </w:t>
      </w:r>
      <w:r w:rsidRPr="008B455C">
        <w:t xml:space="preserve">complaint on </w:t>
      </w:r>
      <w:r w:rsidR="008E0B49">
        <w:t>January 27, 2010</w:t>
      </w:r>
      <w:r w:rsidRPr="008B455C">
        <w:t xml:space="preserve">.  In </w:t>
      </w:r>
      <w:r w:rsidR="00DF0974" w:rsidRPr="008B455C">
        <w:t>its</w:t>
      </w:r>
      <w:r w:rsidRPr="008B455C">
        <w:t xml:space="preserve"> </w:t>
      </w:r>
      <w:r w:rsidR="00580D5E" w:rsidRPr="008B455C">
        <w:t xml:space="preserve">responsive pleading, Duquesne Light </w:t>
      </w:r>
      <w:r w:rsidR="008E0B49">
        <w:t xml:space="preserve">admitted the transformer failed to provide the </w:t>
      </w:r>
      <w:r w:rsidR="001F758E">
        <w:t>three</w:t>
      </w:r>
      <w:r w:rsidR="008E0B49">
        <w:t xml:space="preserve">-phase service but avers it was unaware of the problem until informed by </w:t>
      </w:r>
      <w:r w:rsidR="008E0B49">
        <w:lastRenderedPageBreak/>
        <w:t xml:space="preserve">Complainant on Saturday, August 15, 2009.  Once informed of the problem, Respondent argues it diagnosed and fixed the problem quickly.  </w:t>
      </w:r>
      <w:r w:rsidR="00DF08BA" w:rsidRPr="008B455C">
        <w:t xml:space="preserve">Duquesne Light requests </w:t>
      </w:r>
      <w:r w:rsidR="00DF0974" w:rsidRPr="008B455C">
        <w:t>the</w:t>
      </w:r>
      <w:r w:rsidR="00DF08BA" w:rsidRPr="008B455C">
        <w:t xml:space="preserve"> complaint </w:t>
      </w:r>
      <w:r w:rsidR="00DF39F5">
        <w:t xml:space="preserve">should </w:t>
      </w:r>
      <w:r w:rsidR="00DF08BA" w:rsidRPr="008B455C">
        <w:t xml:space="preserve">be dismissed.  </w:t>
      </w:r>
    </w:p>
    <w:p w:rsidR="000B575F" w:rsidRPr="008B455C" w:rsidRDefault="000B575F" w:rsidP="00BD76C8">
      <w:pPr>
        <w:spacing w:line="360" w:lineRule="auto"/>
      </w:pPr>
    </w:p>
    <w:p w:rsidR="008E4FD6" w:rsidRDefault="0084410C" w:rsidP="006D3697">
      <w:pPr>
        <w:spacing w:line="360" w:lineRule="auto"/>
      </w:pPr>
      <w:r w:rsidRPr="008B455C">
        <w:tab/>
      </w:r>
      <w:r w:rsidRPr="008B455C">
        <w:tab/>
      </w:r>
      <w:r w:rsidR="006D3697" w:rsidRPr="008B455C">
        <w:t xml:space="preserve">On </w:t>
      </w:r>
      <w:r w:rsidR="00B85EE4">
        <w:t>August 26, 2010</w:t>
      </w:r>
      <w:r w:rsidR="00D2288B">
        <w:t xml:space="preserve">, the Office of Administrative Law Judge scheduled an initial telephonic hearing in this matter for </w:t>
      </w:r>
      <w:r w:rsidR="00B85EE4">
        <w:t>Monday, November 29, 2010</w:t>
      </w:r>
      <w:r w:rsidR="004E7B43">
        <w:t xml:space="preserve">, and the </w:t>
      </w:r>
      <w:r w:rsidR="00EF5386" w:rsidRPr="008B455C">
        <w:t xml:space="preserve">Telephone Hearing Notice </w:t>
      </w:r>
      <w:r w:rsidR="006D3697" w:rsidRPr="008B455C">
        <w:t xml:space="preserve">was sent to </w:t>
      </w:r>
      <w:r w:rsidR="00BC7989">
        <w:t>Complainant</w:t>
      </w:r>
      <w:r w:rsidR="00863BD5" w:rsidRPr="008B455C">
        <w:t xml:space="preserve"> </w:t>
      </w:r>
      <w:r w:rsidR="006D3697" w:rsidRPr="008B455C">
        <w:t>and Duquesne Light</w:t>
      </w:r>
      <w:r w:rsidR="00EF5386" w:rsidRPr="008B455C">
        <w:t xml:space="preserve"> on that date</w:t>
      </w:r>
      <w:r w:rsidR="006D3697" w:rsidRPr="008B455C">
        <w:t xml:space="preserve">.  On </w:t>
      </w:r>
      <w:r w:rsidR="00B85EE4">
        <w:t>August 27, 2010</w:t>
      </w:r>
      <w:r w:rsidR="006D3697" w:rsidRPr="008B455C">
        <w:t>, the undersigned issued a</w:t>
      </w:r>
      <w:r w:rsidR="008418FC" w:rsidRPr="008B455C">
        <w:t xml:space="preserve"> Prehearing Order.  </w:t>
      </w:r>
    </w:p>
    <w:p w:rsidR="00B85EE4" w:rsidRDefault="00B85EE4" w:rsidP="006D3697">
      <w:pPr>
        <w:spacing w:line="360" w:lineRule="auto"/>
      </w:pPr>
    </w:p>
    <w:p w:rsidR="00B85EE4" w:rsidRDefault="00B85EE4" w:rsidP="006D3697">
      <w:pPr>
        <w:spacing w:line="360" w:lineRule="auto"/>
      </w:pPr>
      <w:r>
        <w:tab/>
      </w:r>
      <w:r>
        <w:tab/>
        <w:t>On September 17, 2010, Respondent filed a written request for a continuance on the grounds its witness would be unavailable on November 29, 2010, and indicating Complainant had no objection to the continuance.  On October 4, 2010, the presiding officer granted the continuance request.  On that same date, the Office of Administrative Law Judge rescheduled the initial telephonic hearing for Monday, November 22, 2010.</w:t>
      </w:r>
    </w:p>
    <w:p w:rsidR="00B85EE4" w:rsidRPr="008B455C" w:rsidRDefault="00B85EE4" w:rsidP="006D3697">
      <w:pPr>
        <w:spacing w:line="360" w:lineRule="auto"/>
      </w:pPr>
    </w:p>
    <w:p w:rsidR="00AD40B2" w:rsidRDefault="001F030C" w:rsidP="00AD40B2">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6D3697" w:rsidRPr="008B455C">
        <w:t xml:space="preserve">as scheduled on </w:t>
      </w:r>
      <w:r w:rsidR="00B85EE4">
        <w:t>November 22, 2010</w:t>
      </w:r>
      <w:r w:rsidR="006D3697" w:rsidRPr="008B455C">
        <w:t xml:space="preserve">.  </w:t>
      </w:r>
      <w:r w:rsidR="00BC7989">
        <w:t>Complainant</w:t>
      </w:r>
      <w:r w:rsidR="00196E40" w:rsidRPr="008B455C">
        <w:t xml:space="preserve"> </w:t>
      </w:r>
      <w:r w:rsidR="00DC297D" w:rsidRPr="008B455C">
        <w:t xml:space="preserve">appeared </w:t>
      </w:r>
      <w:r w:rsidR="00DC297D" w:rsidRPr="008B455C">
        <w:rPr>
          <w:i/>
        </w:rPr>
        <w:t xml:space="preserve">pro se </w:t>
      </w:r>
      <w:r w:rsidR="00DC297D" w:rsidRPr="008B455C">
        <w:t xml:space="preserve">and </w:t>
      </w:r>
      <w:r w:rsidR="005E6DB5" w:rsidRPr="008B455C">
        <w:t xml:space="preserve">Duquesne Light was represented by </w:t>
      </w:r>
      <w:proofErr w:type="spellStart"/>
      <w:r w:rsidR="00196E40" w:rsidRPr="008B455C">
        <w:t>Krysia</w:t>
      </w:r>
      <w:proofErr w:type="spellEnd"/>
      <w:r w:rsidR="00196E40" w:rsidRPr="008B455C">
        <w:t xml:space="preserve"> </w:t>
      </w:r>
      <w:proofErr w:type="spellStart"/>
      <w:r w:rsidR="00196E40" w:rsidRPr="008B455C">
        <w:t>Kubiak</w:t>
      </w:r>
      <w:proofErr w:type="spellEnd"/>
      <w:r w:rsidR="00AD40B2">
        <w:t>,</w:t>
      </w:r>
      <w:r w:rsidR="00EB7303">
        <w:t> </w:t>
      </w:r>
      <w:r w:rsidR="00AD40B2">
        <w:t xml:space="preserve">Esquire, who </w:t>
      </w:r>
      <w:r w:rsidR="00AD40B2" w:rsidRPr="008D5A3F">
        <w:t xml:space="preserve">presented the testimony of </w:t>
      </w:r>
      <w:r w:rsidR="00AD40B2">
        <w:t xml:space="preserve">Joe </w:t>
      </w:r>
      <w:proofErr w:type="spellStart"/>
      <w:r w:rsidR="00AD40B2">
        <w:t>Cataldo</w:t>
      </w:r>
      <w:proofErr w:type="spellEnd"/>
      <w:r w:rsidR="00AD40B2">
        <w:t xml:space="preserve">.  </w:t>
      </w:r>
      <w:r w:rsidR="00AD40B2" w:rsidRPr="008D5A3F">
        <w:t xml:space="preserve"> </w:t>
      </w:r>
      <w:r w:rsidR="00AD40B2">
        <w:t>Respondent</w:t>
      </w:r>
      <w:r w:rsidR="00AD40B2" w:rsidRPr="008D5A3F">
        <w:t xml:space="preserve"> offered </w:t>
      </w:r>
      <w:r w:rsidR="00AD40B2">
        <w:t>three exhibits</w:t>
      </w:r>
      <w:r w:rsidR="00AD40B2" w:rsidRPr="008D5A3F">
        <w:t xml:space="preserve">, marked </w:t>
      </w:r>
      <w:r w:rsidR="00AD40B2">
        <w:t xml:space="preserve">Duquesne Light Exhibits “2” through “4”, </w:t>
      </w:r>
      <w:r w:rsidR="00AD40B2" w:rsidRPr="008D5A3F">
        <w:t>which exhibit</w:t>
      </w:r>
      <w:r w:rsidR="00AD40B2">
        <w:t>s were</w:t>
      </w:r>
      <w:r w:rsidR="00AD40B2" w:rsidRPr="008D5A3F">
        <w:t xml:space="preserve"> admitted into evidence.  The </w:t>
      </w:r>
      <w:r w:rsidR="00AD40B2">
        <w:t xml:space="preserve">presiding officer received the </w:t>
      </w:r>
      <w:r w:rsidR="00AD40B2" w:rsidRPr="008D5A3F">
        <w:t>transcript of the hearing</w:t>
      </w:r>
      <w:r w:rsidR="00AD40B2">
        <w:t xml:space="preserve">, </w:t>
      </w:r>
      <w:r w:rsidR="00AD40B2" w:rsidRPr="008D5A3F">
        <w:t>contain</w:t>
      </w:r>
      <w:r w:rsidR="00AD40B2">
        <w:t>ing</w:t>
      </w:r>
      <w:r w:rsidR="00AD40B2" w:rsidRPr="008D5A3F">
        <w:t xml:space="preserve"> </w:t>
      </w:r>
      <w:r w:rsidR="0077246E">
        <w:t>thirty-five</w:t>
      </w:r>
      <w:r w:rsidR="00AD40B2" w:rsidRPr="008D5A3F">
        <w:t xml:space="preserve"> (</w:t>
      </w:r>
      <w:r w:rsidR="0077246E">
        <w:t>3</w:t>
      </w:r>
      <w:r w:rsidR="00AD40B2">
        <w:t>5</w:t>
      </w:r>
      <w:r w:rsidR="00AD40B2" w:rsidRPr="008D5A3F">
        <w:t>) pages</w:t>
      </w:r>
      <w:r w:rsidR="00AD40B2">
        <w:t xml:space="preserve">, on </w:t>
      </w:r>
      <w:r w:rsidR="0077246E">
        <w:t>December 27,</w:t>
      </w:r>
      <w:r w:rsidR="00AD40B2">
        <w:t xml:space="preserve"> 2010</w:t>
      </w:r>
      <w:r w:rsidR="00AD40B2" w:rsidRPr="008D5A3F">
        <w:t xml:space="preserve">.  Complainant and Respondent issued final statements on the hearing record in lieu of filing briefs.  </w:t>
      </w:r>
      <w:r w:rsidR="00AD40B2">
        <w:t xml:space="preserve">  </w:t>
      </w:r>
    </w:p>
    <w:p w:rsidR="00AD40B2" w:rsidRDefault="00AD40B2" w:rsidP="00AD40B2">
      <w:pPr>
        <w:tabs>
          <w:tab w:val="left" w:pos="2160"/>
        </w:tabs>
        <w:spacing w:line="360" w:lineRule="auto"/>
      </w:pPr>
    </w:p>
    <w:p w:rsidR="00AD40B2" w:rsidRPr="008B455C" w:rsidRDefault="00AD40B2" w:rsidP="00AD40B2">
      <w:pPr>
        <w:tabs>
          <w:tab w:val="left" w:pos="2160"/>
        </w:tabs>
        <w:spacing w:line="360" w:lineRule="auto"/>
        <w:ind w:firstLine="1440"/>
      </w:pPr>
      <w:r>
        <w:t xml:space="preserve">Upon receipt of the transcript, </w:t>
      </w:r>
      <w:r w:rsidRPr="008B455C">
        <w:t>the presiding officer closed the hearing record by Interim Order Closing the Hearing Record</w:t>
      </w:r>
      <w:r>
        <w:t xml:space="preserve"> on </w:t>
      </w:r>
      <w:r w:rsidR="0077246E">
        <w:t>December 29, 2010</w:t>
      </w:r>
      <w:r w:rsidRPr="008B455C">
        <w:t>.</w:t>
      </w:r>
    </w:p>
    <w:p w:rsidR="00F76C9B" w:rsidRDefault="00F76C9B" w:rsidP="008E4FD6">
      <w:pPr>
        <w:tabs>
          <w:tab w:val="left" w:pos="2160"/>
        </w:tabs>
        <w:spacing w:line="360" w:lineRule="auto"/>
        <w:jc w:val="center"/>
        <w:rPr>
          <w:u w:val="single"/>
        </w:rPr>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7E48E1" w:rsidRPr="008B455C" w:rsidRDefault="007E48E1" w:rsidP="007E48E1">
      <w:pPr>
        <w:tabs>
          <w:tab w:val="left" w:pos="2160"/>
        </w:tabs>
        <w:spacing w:line="360" w:lineRule="auto"/>
        <w:rPr>
          <w:u w:val="single"/>
        </w:rPr>
      </w:pPr>
    </w:p>
    <w:p w:rsidR="007E48E1" w:rsidRPr="008B455C" w:rsidRDefault="007E48E1" w:rsidP="007E48E1">
      <w:pPr>
        <w:tabs>
          <w:tab w:val="left" w:pos="2160"/>
        </w:tabs>
        <w:spacing w:line="360" w:lineRule="auto"/>
        <w:ind w:firstLine="1440"/>
      </w:pPr>
      <w:r w:rsidRPr="008B455C">
        <w:t>1.</w:t>
      </w:r>
      <w:r w:rsidRPr="008B455C">
        <w:tab/>
      </w:r>
      <w:r>
        <w:t>Complainant</w:t>
      </w:r>
      <w:r w:rsidRPr="008B455C">
        <w:t xml:space="preserve">, </w:t>
      </w:r>
      <w:r w:rsidR="00EB0E90">
        <w:t>Ray Miller</w:t>
      </w:r>
      <w:r w:rsidRPr="008B455C">
        <w:t xml:space="preserve">, </w:t>
      </w:r>
      <w:r w:rsidR="00EB0E90">
        <w:t>receives mail at 1181 Hillcrest Avenue, Pittsburgh, Pennsylvania 15220 and has a</w:t>
      </w:r>
      <w:r w:rsidR="0077246E">
        <w:t>n electric</w:t>
      </w:r>
      <w:r w:rsidR="00EB0E90">
        <w:t xml:space="preserve"> service account with Respondent at </w:t>
      </w:r>
      <w:r w:rsidR="0077246E">
        <w:t xml:space="preserve">a </w:t>
      </w:r>
      <w:r w:rsidR="00FB6200">
        <w:t xml:space="preserve">facility </w:t>
      </w:r>
      <w:r w:rsidR="0077246E">
        <w:t xml:space="preserve">located at </w:t>
      </w:r>
      <w:r w:rsidR="00EB0E90">
        <w:t>2639 Brownsville Road, Pittsburgh, Pennsylvania 15227</w:t>
      </w:r>
      <w:r w:rsidR="00FB6200">
        <w:t xml:space="preserve">.  </w:t>
      </w:r>
      <w:proofErr w:type="gramStart"/>
      <w:r w:rsidR="00FB6200">
        <w:t>(Tr. 7</w:t>
      </w:r>
      <w:r w:rsidRPr="008B455C">
        <w:t>).</w:t>
      </w:r>
      <w:proofErr w:type="gramEnd"/>
      <w:r w:rsidRPr="008B455C">
        <w:t xml:space="preserve"> </w:t>
      </w:r>
    </w:p>
    <w:p w:rsidR="007E48E1" w:rsidRPr="008B455C" w:rsidRDefault="007E48E1" w:rsidP="007E48E1">
      <w:pPr>
        <w:tabs>
          <w:tab w:val="left" w:pos="2160"/>
        </w:tabs>
        <w:spacing w:line="360" w:lineRule="auto"/>
        <w:ind w:firstLine="1440"/>
      </w:pPr>
      <w:r w:rsidRPr="008B455C">
        <w:lastRenderedPageBreak/>
        <w:t>2.</w:t>
      </w:r>
      <w:r w:rsidRPr="008B455C">
        <w:tab/>
      </w:r>
      <w:r>
        <w:t xml:space="preserve">On </w:t>
      </w:r>
      <w:r w:rsidR="00091995">
        <w:t>or about August 11, 2009</w:t>
      </w:r>
      <w:r>
        <w:t>, Complainant</w:t>
      </w:r>
      <w:r w:rsidR="00B44FB1">
        <w:t xml:space="preserve">’s </w:t>
      </w:r>
      <w:r w:rsidR="00B40E5D">
        <w:t xml:space="preserve">facility had electrical service but the </w:t>
      </w:r>
      <w:r w:rsidR="00B44FB1">
        <w:t>air conditioning system</w:t>
      </w:r>
      <w:r w:rsidR="00B40E5D">
        <w:t>, which functions on a 220 current,</w:t>
      </w:r>
      <w:r w:rsidR="00B44FB1">
        <w:t xml:space="preserve"> stopped functioning properly and </w:t>
      </w:r>
      <w:r w:rsidR="00B40E5D">
        <w:t xml:space="preserve">was unable </w:t>
      </w:r>
      <w:r w:rsidR="00B44FB1">
        <w:t>to cool the interior spaces</w:t>
      </w:r>
      <w:r w:rsidR="00B40E5D">
        <w:t xml:space="preserve"> adequately</w:t>
      </w:r>
      <w:r w:rsidR="00B44FB1">
        <w:t xml:space="preserve">.  </w:t>
      </w:r>
      <w:r>
        <w:t xml:space="preserve">(Tr. </w:t>
      </w:r>
      <w:r w:rsidR="00720A51">
        <w:t>10-1</w:t>
      </w:r>
      <w:r w:rsidR="00B40E5D">
        <w:t>3</w:t>
      </w:r>
      <w:r>
        <w:t>).</w:t>
      </w:r>
    </w:p>
    <w:p w:rsidR="007E48E1" w:rsidRDefault="007E48E1" w:rsidP="007E48E1">
      <w:pPr>
        <w:tabs>
          <w:tab w:val="left" w:pos="2160"/>
        </w:tabs>
        <w:spacing w:line="360" w:lineRule="auto"/>
        <w:ind w:firstLine="1440"/>
      </w:pPr>
    </w:p>
    <w:p w:rsidR="007E48E1" w:rsidRDefault="00DC090B" w:rsidP="007E48E1">
      <w:pPr>
        <w:tabs>
          <w:tab w:val="left" w:pos="2160"/>
        </w:tabs>
        <w:spacing w:line="360" w:lineRule="auto"/>
        <w:ind w:firstLine="1440"/>
      </w:pPr>
      <w:r>
        <w:t>3</w:t>
      </w:r>
      <w:r w:rsidR="007E48E1">
        <w:t>.</w:t>
      </w:r>
      <w:r w:rsidR="007E48E1">
        <w:tab/>
      </w:r>
      <w:r w:rsidR="00B44FB1">
        <w:t xml:space="preserve">On August 11, 2009, Complainant’s </w:t>
      </w:r>
      <w:r w:rsidR="00034688">
        <w:t>technician, South Hills Heating Venting and Air Conditioning (“</w:t>
      </w:r>
      <w:r w:rsidR="00286074">
        <w:t xml:space="preserve">South Hills </w:t>
      </w:r>
      <w:r w:rsidR="00034688">
        <w:t xml:space="preserve">HVAC”), inspected the air conditioning system but </w:t>
      </w:r>
      <w:r w:rsidR="00286074">
        <w:t>found</w:t>
      </w:r>
      <w:r w:rsidR="00034688">
        <w:t xml:space="preserve"> nothing wrong with the </w:t>
      </w:r>
      <w:r w:rsidR="00286074">
        <w:t xml:space="preserve">HVAC </w:t>
      </w:r>
      <w:r w:rsidR="00034688">
        <w:t xml:space="preserve">system.  </w:t>
      </w:r>
      <w:r w:rsidR="00286074">
        <w:t xml:space="preserve">South Hills HVAC charged </w:t>
      </w:r>
      <w:r w:rsidR="00034688">
        <w:t xml:space="preserve">Complainant $179.00 for the service call.  </w:t>
      </w:r>
      <w:proofErr w:type="gramStart"/>
      <w:r w:rsidR="00034688">
        <w:t xml:space="preserve">(Tr. </w:t>
      </w:r>
      <w:r w:rsidR="00720A51">
        <w:t>9, 10</w:t>
      </w:r>
      <w:r w:rsidR="007E48E1">
        <w:t>).</w:t>
      </w:r>
      <w:proofErr w:type="gramEnd"/>
    </w:p>
    <w:p w:rsidR="007E48E1" w:rsidRDefault="007E48E1" w:rsidP="007E48E1">
      <w:pPr>
        <w:tabs>
          <w:tab w:val="left" w:pos="2160"/>
        </w:tabs>
        <w:spacing w:line="360" w:lineRule="auto"/>
        <w:ind w:firstLine="1440"/>
      </w:pPr>
    </w:p>
    <w:p w:rsidR="007E48E1" w:rsidRDefault="00DC090B" w:rsidP="007E48E1">
      <w:pPr>
        <w:tabs>
          <w:tab w:val="left" w:pos="2160"/>
        </w:tabs>
        <w:spacing w:line="360" w:lineRule="auto"/>
        <w:ind w:firstLine="1440"/>
      </w:pPr>
      <w:r>
        <w:t>4</w:t>
      </w:r>
      <w:r w:rsidR="007E48E1">
        <w:t>.</w:t>
      </w:r>
      <w:r w:rsidR="007E48E1">
        <w:tab/>
        <w:t xml:space="preserve"> </w:t>
      </w:r>
      <w:r w:rsidR="00034688">
        <w:t xml:space="preserve">On August 15, 2009, Complainant again called </w:t>
      </w:r>
      <w:r w:rsidR="00286074">
        <w:t>South Hills</w:t>
      </w:r>
      <w:r w:rsidR="00034688">
        <w:t xml:space="preserve"> HVAC which again inspected the air conditioning system and determined the air conditioning</w:t>
      </w:r>
      <w:r w:rsidR="00286074">
        <w:t xml:space="preserve"> system</w:t>
      </w:r>
      <w:r w:rsidR="00034688">
        <w:t>, which was on a three-p</w:t>
      </w:r>
      <w:r w:rsidR="00286074">
        <w:t>hase conductor, was not receiving</w:t>
      </w:r>
      <w:r w:rsidR="00034688">
        <w:t xml:space="preserve"> three-phase service.  </w:t>
      </w:r>
      <w:r w:rsidR="00286074">
        <w:t xml:space="preserve">South Hills HVAC charged </w:t>
      </w:r>
      <w:r w:rsidR="00034688">
        <w:t>Complainant $1</w:t>
      </w:r>
      <w:r w:rsidR="00396518">
        <w:t>19</w:t>
      </w:r>
      <w:r w:rsidR="00034688">
        <w:t xml:space="preserve">.00 for the service call.  </w:t>
      </w:r>
      <w:proofErr w:type="gramStart"/>
      <w:r w:rsidR="00034688">
        <w:t xml:space="preserve">(Tr. </w:t>
      </w:r>
      <w:r w:rsidR="00FB6200">
        <w:t>8</w:t>
      </w:r>
      <w:r w:rsidR="00720A51">
        <w:t>-10</w:t>
      </w:r>
      <w:r w:rsidR="00B40E5D">
        <w:t>, 12</w:t>
      </w:r>
      <w:r w:rsidR="00034688">
        <w:t>).</w:t>
      </w:r>
      <w:proofErr w:type="gramEnd"/>
    </w:p>
    <w:p w:rsidR="007E48E1" w:rsidRDefault="007E48E1" w:rsidP="007E48E1">
      <w:pPr>
        <w:tabs>
          <w:tab w:val="left" w:pos="2160"/>
        </w:tabs>
        <w:spacing w:line="360" w:lineRule="auto"/>
        <w:ind w:firstLine="1440"/>
      </w:pPr>
    </w:p>
    <w:p w:rsidR="007E48E1" w:rsidRDefault="00DC090B" w:rsidP="007E48E1">
      <w:pPr>
        <w:tabs>
          <w:tab w:val="left" w:pos="2160"/>
        </w:tabs>
        <w:spacing w:line="360" w:lineRule="auto"/>
        <w:ind w:firstLine="1440"/>
      </w:pPr>
      <w:r>
        <w:t>5</w:t>
      </w:r>
      <w:r w:rsidR="007E48E1">
        <w:t>.</w:t>
      </w:r>
      <w:r w:rsidR="007E48E1">
        <w:tab/>
        <w:t xml:space="preserve"> </w:t>
      </w:r>
      <w:r w:rsidR="00396518">
        <w:t xml:space="preserve">On August 15, 2009, Complainant contacted Respondent at 10:24 a.m. and complained his air conditioning </w:t>
      </w:r>
      <w:r w:rsidR="00286074">
        <w:t xml:space="preserve">system received </w:t>
      </w:r>
      <w:r w:rsidR="00396518">
        <w:t>only partial power</w:t>
      </w:r>
      <w:r w:rsidR="00286074">
        <w:t xml:space="preserve"> from Respondent</w:t>
      </w:r>
      <w:r w:rsidR="00396518">
        <w:t>.</w:t>
      </w:r>
      <w:r>
        <w:t xml:space="preserve">  Respondent’s field technician responded to Complainant’s service address at 11:53 a.m. and repaired the problem by 4:48 p.m.  </w:t>
      </w:r>
      <w:proofErr w:type="gramStart"/>
      <w:r w:rsidR="00396518">
        <w:t xml:space="preserve">(Tr. </w:t>
      </w:r>
      <w:r w:rsidR="00FB6200">
        <w:t>8</w:t>
      </w:r>
      <w:r w:rsidR="00515DD0">
        <w:t>, 19</w:t>
      </w:r>
      <w:r>
        <w:t>-21</w:t>
      </w:r>
      <w:r w:rsidR="00396518">
        <w:t>; Duquesne Light Exhib</w:t>
      </w:r>
      <w:r w:rsidR="00200D48">
        <w:t>i</w:t>
      </w:r>
      <w:r w:rsidR="00396518">
        <w:t>t</w:t>
      </w:r>
      <w:r w:rsidR="00200D48">
        <w:t>s</w:t>
      </w:r>
      <w:r w:rsidR="00396518">
        <w:t xml:space="preserve"> </w:t>
      </w:r>
      <w:r w:rsidR="00515DD0">
        <w:t>2</w:t>
      </w:r>
      <w:r>
        <w:t xml:space="preserve"> &amp; 3</w:t>
      </w:r>
      <w:r w:rsidR="00396518">
        <w:t>).</w:t>
      </w:r>
      <w:proofErr w:type="gramEnd"/>
    </w:p>
    <w:p w:rsidR="007E48E1" w:rsidRDefault="007E48E1" w:rsidP="007E48E1">
      <w:pPr>
        <w:tabs>
          <w:tab w:val="left" w:pos="2160"/>
        </w:tabs>
        <w:spacing w:line="360" w:lineRule="auto"/>
        <w:ind w:firstLine="1440"/>
      </w:pPr>
    </w:p>
    <w:p w:rsidR="007E48E1" w:rsidRPr="008B455C" w:rsidRDefault="00DC090B" w:rsidP="007E48E1">
      <w:pPr>
        <w:tabs>
          <w:tab w:val="left" w:pos="2160"/>
        </w:tabs>
        <w:spacing w:line="360" w:lineRule="auto"/>
        <w:ind w:firstLine="1440"/>
      </w:pPr>
      <w:r>
        <w:t>6</w:t>
      </w:r>
      <w:r w:rsidR="007E48E1">
        <w:t>.</w:t>
      </w:r>
      <w:r w:rsidR="007E48E1">
        <w:tab/>
        <w:t xml:space="preserve">  </w:t>
      </w:r>
      <w:r w:rsidR="00A02454">
        <w:t xml:space="preserve">Upon arrival, Respondent’s field technician determined the partial power problem experienced by Complainant was due to a failure in </w:t>
      </w:r>
      <w:r w:rsidR="00286074">
        <w:t>Respondent’s</w:t>
      </w:r>
      <w:r w:rsidR="00A02454">
        <w:t xml:space="preserve"> transformer </w:t>
      </w:r>
      <w:r w:rsidR="00286074">
        <w:t xml:space="preserve">which </w:t>
      </w:r>
      <w:r w:rsidR="00A02454">
        <w:t>servic</w:t>
      </w:r>
      <w:r w:rsidR="00286074">
        <w:t>ed</w:t>
      </w:r>
      <w:r w:rsidR="00A02454">
        <w:t xml:space="preserve"> the address.</w:t>
      </w:r>
      <w:r w:rsidR="007E48E1">
        <w:t xml:space="preserve">  (Tr. </w:t>
      </w:r>
      <w:r w:rsidR="00515DD0">
        <w:t>21-</w:t>
      </w:r>
      <w:r w:rsidR="00A33661">
        <w:t>28</w:t>
      </w:r>
      <w:r w:rsidR="007E48E1">
        <w:t>).</w:t>
      </w:r>
    </w:p>
    <w:p w:rsidR="007E48E1" w:rsidRPr="008B455C" w:rsidRDefault="007E48E1" w:rsidP="007E48E1">
      <w:pPr>
        <w:pStyle w:val="BodyText"/>
        <w:jc w:val="left"/>
        <w:rPr>
          <w:sz w:val="24"/>
          <w:szCs w:val="24"/>
        </w:rPr>
      </w:pPr>
    </w:p>
    <w:p w:rsidR="007E48E1" w:rsidRDefault="007E48E1" w:rsidP="00B97032">
      <w:pPr>
        <w:pStyle w:val="BodyText"/>
        <w:jc w:val="left"/>
        <w:rPr>
          <w:sz w:val="24"/>
          <w:szCs w:val="24"/>
        </w:rPr>
      </w:pPr>
      <w:r>
        <w:rPr>
          <w:sz w:val="24"/>
          <w:szCs w:val="24"/>
        </w:rPr>
        <w:tab/>
      </w:r>
      <w:r>
        <w:rPr>
          <w:sz w:val="24"/>
          <w:szCs w:val="24"/>
        </w:rPr>
        <w:tab/>
      </w:r>
      <w:r w:rsidR="00DC090B">
        <w:rPr>
          <w:sz w:val="24"/>
          <w:szCs w:val="24"/>
        </w:rPr>
        <w:t>7</w:t>
      </w:r>
      <w:r w:rsidRPr="008B455C">
        <w:rPr>
          <w:sz w:val="24"/>
          <w:szCs w:val="24"/>
        </w:rPr>
        <w:t>.</w:t>
      </w:r>
      <w:r w:rsidRPr="008B455C">
        <w:rPr>
          <w:sz w:val="24"/>
          <w:szCs w:val="24"/>
        </w:rPr>
        <w:tab/>
      </w:r>
      <w:r w:rsidR="00A02454">
        <w:rPr>
          <w:sz w:val="24"/>
          <w:szCs w:val="24"/>
        </w:rPr>
        <w:t xml:space="preserve">Respondent has no method to measure or determine if a transformer is about to fail and has no monitoring system in place to record when a failure occurs.  The only way Respondent learns its transformers failed to function properly is </w:t>
      </w:r>
      <w:r w:rsidR="008C7936">
        <w:rPr>
          <w:sz w:val="24"/>
          <w:szCs w:val="24"/>
        </w:rPr>
        <w:t>when</w:t>
      </w:r>
      <w:r w:rsidR="00A02454">
        <w:rPr>
          <w:sz w:val="24"/>
          <w:szCs w:val="24"/>
        </w:rPr>
        <w:t xml:space="preserve"> the customer contacts to report a partial or complete power problem</w:t>
      </w:r>
      <w:r w:rsidR="00A33661">
        <w:rPr>
          <w:sz w:val="24"/>
          <w:szCs w:val="24"/>
        </w:rPr>
        <w:t xml:space="preserve">.  </w:t>
      </w:r>
      <w:r>
        <w:rPr>
          <w:sz w:val="24"/>
          <w:szCs w:val="24"/>
        </w:rPr>
        <w:t xml:space="preserve">(Tr. </w:t>
      </w:r>
      <w:r w:rsidR="00515DD0">
        <w:rPr>
          <w:sz w:val="24"/>
          <w:szCs w:val="24"/>
        </w:rPr>
        <w:t>22</w:t>
      </w:r>
      <w:r w:rsidR="00A33661">
        <w:rPr>
          <w:sz w:val="24"/>
          <w:szCs w:val="24"/>
        </w:rPr>
        <w:t>-28</w:t>
      </w:r>
      <w:r>
        <w:rPr>
          <w:sz w:val="24"/>
          <w:szCs w:val="24"/>
        </w:rPr>
        <w:t xml:space="preserve">). </w:t>
      </w:r>
    </w:p>
    <w:p w:rsidR="009A6CC7" w:rsidRDefault="009A6CC7" w:rsidP="00B97032">
      <w:pPr>
        <w:pStyle w:val="BodyText"/>
        <w:jc w:val="left"/>
        <w:rPr>
          <w:sz w:val="24"/>
          <w:szCs w:val="24"/>
        </w:rPr>
      </w:pPr>
    </w:p>
    <w:p w:rsidR="009A6CC7" w:rsidRDefault="00DC090B" w:rsidP="00B97032">
      <w:pPr>
        <w:pStyle w:val="BodyText"/>
        <w:jc w:val="left"/>
        <w:rPr>
          <w:sz w:val="24"/>
          <w:szCs w:val="24"/>
        </w:rPr>
      </w:pPr>
      <w:r>
        <w:rPr>
          <w:sz w:val="24"/>
          <w:szCs w:val="24"/>
        </w:rPr>
        <w:tab/>
      </w:r>
      <w:r>
        <w:rPr>
          <w:sz w:val="24"/>
          <w:szCs w:val="24"/>
        </w:rPr>
        <w:tab/>
        <w:t>8</w:t>
      </w:r>
      <w:r w:rsidR="009A6CC7">
        <w:rPr>
          <w:sz w:val="24"/>
          <w:szCs w:val="24"/>
        </w:rPr>
        <w:t>.</w:t>
      </w:r>
      <w:r w:rsidR="009A6CC7">
        <w:rPr>
          <w:sz w:val="24"/>
          <w:szCs w:val="24"/>
        </w:rPr>
        <w:tab/>
        <w:t xml:space="preserve">The industry standards for electrical distribution companies does not currently include any method to determine if a transformer is about to fail and there are no </w:t>
      </w:r>
      <w:r w:rsidR="009A6CC7">
        <w:rPr>
          <w:sz w:val="24"/>
          <w:szCs w:val="24"/>
        </w:rPr>
        <w:lastRenderedPageBreak/>
        <w:t>monitoring systems currently in place within the industry that will monitor the provision of electrical services, such as a remote voltage meter.</w:t>
      </w:r>
      <w:r w:rsidR="00A6043D">
        <w:rPr>
          <w:sz w:val="24"/>
          <w:szCs w:val="24"/>
        </w:rPr>
        <w:t xml:space="preserve">  (Tr. </w:t>
      </w:r>
      <w:r w:rsidR="008418E5">
        <w:rPr>
          <w:sz w:val="24"/>
          <w:szCs w:val="24"/>
        </w:rPr>
        <w:t>23-24</w:t>
      </w:r>
      <w:r w:rsidR="00A6043D">
        <w:rPr>
          <w:sz w:val="24"/>
          <w:szCs w:val="24"/>
        </w:rPr>
        <w:t>).</w:t>
      </w:r>
    </w:p>
    <w:p w:rsidR="007E48E1" w:rsidRDefault="007E48E1" w:rsidP="007E48E1">
      <w:pPr>
        <w:pStyle w:val="BodyText"/>
        <w:jc w:val="left"/>
        <w:rPr>
          <w:sz w:val="24"/>
          <w:szCs w:val="24"/>
        </w:rPr>
      </w:pPr>
    </w:p>
    <w:p w:rsidR="008E4FD6" w:rsidRPr="00B524A4" w:rsidRDefault="008E4FD6" w:rsidP="008E4FD6">
      <w:pPr>
        <w:tabs>
          <w:tab w:val="left" w:pos="2160"/>
        </w:tabs>
        <w:spacing w:line="360" w:lineRule="auto"/>
        <w:jc w:val="center"/>
        <w:rPr>
          <w:u w:val="single"/>
        </w:rPr>
      </w:pPr>
      <w:r w:rsidRPr="00B524A4">
        <w:rPr>
          <w:u w:val="single"/>
        </w:rPr>
        <w:t>DISCUSSION</w:t>
      </w:r>
    </w:p>
    <w:p w:rsidR="007E48E1" w:rsidRPr="00B524A4" w:rsidRDefault="007E48E1" w:rsidP="007E48E1">
      <w:pPr>
        <w:tabs>
          <w:tab w:val="left" w:pos="2160"/>
        </w:tabs>
        <w:spacing w:line="360" w:lineRule="auto"/>
        <w:jc w:val="center"/>
        <w:rPr>
          <w:u w:val="single"/>
        </w:rPr>
      </w:pPr>
    </w:p>
    <w:p w:rsidR="007E48E1" w:rsidRPr="00F73AC5" w:rsidRDefault="007E48E1" w:rsidP="007E48E1">
      <w:pPr>
        <w:pStyle w:val="BodyText"/>
        <w:jc w:val="left"/>
        <w:rPr>
          <w:sz w:val="24"/>
          <w:szCs w:val="24"/>
        </w:rPr>
      </w:pPr>
      <w:r w:rsidRPr="00F73AC5">
        <w:rPr>
          <w:sz w:val="24"/>
          <w:szCs w:val="24"/>
        </w:rPr>
        <w:tab/>
      </w:r>
      <w:r w:rsidRPr="00F73AC5">
        <w:rPr>
          <w:sz w:val="24"/>
          <w:szCs w:val="24"/>
        </w:rPr>
        <w:tab/>
        <w:t xml:space="preserve">On </w:t>
      </w:r>
      <w:r w:rsidR="00B97032">
        <w:rPr>
          <w:sz w:val="24"/>
          <w:szCs w:val="24"/>
        </w:rPr>
        <w:t>Janu</w:t>
      </w:r>
      <w:r w:rsidR="009A6CC7">
        <w:rPr>
          <w:sz w:val="24"/>
          <w:szCs w:val="24"/>
        </w:rPr>
        <w:t>a</w:t>
      </w:r>
      <w:r w:rsidR="00B97032">
        <w:rPr>
          <w:sz w:val="24"/>
          <w:szCs w:val="24"/>
        </w:rPr>
        <w:t>ry 4</w:t>
      </w:r>
      <w:r>
        <w:rPr>
          <w:sz w:val="24"/>
          <w:szCs w:val="24"/>
        </w:rPr>
        <w:t>, 2010</w:t>
      </w:r>
      <w:r w:rsidRPr="00F73AC5">
        <w:rPr>
          <w:sz w:val="24"/>
          <w:szCs w:val="24"/>
        </w:rPr>
        <w:t xml:space="preserve">, Complainant filed a formal complaint with the Commission alleging there was a reliability, safety or quality problem with Respondent’s provision of electrical services to Complainant’s </w:t>
      </w:r>
      <w:r w:rsidR="00B97032">
        <w:rPr>
          <w:sz w:val="24"/>
          <w:szCs w:val="24"/>
        </w:rPr>
        <w:t xml:space="preserve">service </w:t>
      </w:r>
      <w:r w:rsidRPr="00F73AC5">
        <w:rPr>
          <w:sz w:val="24"/>
          <w:szCs w:val="24"/>
        </w:rPr>
        <w:t xml:space="preserve">residence </w:t>
      </w:r>
      <w:r>
        <w:rPr>
          <w:sz w:val="24"/>
          <w:szCs w:val="24"/>
        </w:rPr>
        <w:t xml:space="preserve">and </w:t>
      </w:r>
      <w:r w:rsidRPr="00F73AC5">
        <w:rPr>
          <w:sz w:val="24"/>
          <w:szCs w:val="24"/>
        </w:rPr>
        <w:t xml:space="preserve">requested the Commission require Respondent to </w:t>
      </w:r>
      <w:r w:rsidR="00B97032">
        <w:rPr>
          <w:sz w:val="24"/>
          <w:szCs w:val="24"/>
        </w:rPr>
        <w:t>pay him</w:t>
      </w:r>
      <w:r>
        <w:rPr>
          <w:sz w:val="24"/>
          <w:szCs w:val="24"/>
        </w:rPr>
        <w:t xml:space="preserve"> for the cost of the </w:t>
      </w:r>
      <w:r w:rsidR="00B97032">
        <w:rPr>
          <w:sz w:val="24"/>
          <w:szCs w:val="24"/>
        </w:rPr>
        <w:t>HVAC service calls</w:t>
      </w:r>
      <w:r w:rsidRPr="00F73AC5">
        <w:rPr>
          <w:sz w:val="24"/>
          <w:szCs w:val="24"/>
        </w:rPr>
        <w:t>.</w:t>
      </w:r>
    </w:p>
    <w:p w:rsidR="007E48E1" w:rsidRPr="00B524A4" w:rsidRDefault="007E48E1" w:rsidP="007E48E1">
      <w:pPr>
        <w:pStyle w:val="BodyText"/>
        <w:jc w:val="left"/>
        <w:rPr>
          <w:sz w:val="24"/>
          <w:szCs w:val="24"/>
        </w:rPr>
      </w:pPr>
    </w:p>
    <w:p w:rsidR="007E48E1" w:rsidRPr="008B455C" w:rsidRDefault="007E48E1" w:rsidP="007E48E1">
      <w:pPr>
        <w:pStyle w:val="BodyText"/>
        <w:jc w:val="left"/>
        <w:rPr>
          <w:sz w:val="24"/>
          <w:szCs w:val="24"/>
        </w:rPr>
      </w:pPr>
      <w:r w:rsidRPr="008B455C">
        <w:rPr>
          <w:sz w:val="24"/>
          <w:szCs w:val="24"/>
        </w:rPr>
        <w:tab/>
      </w:r>
      <w:r w:rsidRPr="008B455C">
        <w:rPr>
          <w:sz w:val="24"/>
          <w:szCs w:val="24"/>
        </w:rPr>
        <w:tab/>
      </w:r>
      <w:r>
        <w:rPr>
          <w:sz w:val="24"/>
          <w:szCs w:val="24"/>
        </w:rPr>
        <w:t>Complainant</w:t>
      </w:r>
      <w:r w:rsidRPr="008B455C">
        <w:rPr>
          <w:sz w:val="24"/>
          <w:szCs w:val="24"/>
        </w:rPr>
        <w:t xml:space="preserve"> </w:t>
      </w:r>
      <w:r>
        <w:rPr>
          <w:sz w:val="24"/>
          <w:szCs w:val="24"/>
        </w:rPr>
        <w:t xml:space="preserve">argues Respondent’s transformer was faulty which resulted in </w:t>
      </w:r>
      <w:r w:rsidR="00B97032">
        <w:rPr>
          <w:sz w:val="24"/>
          <w:szCs w:val="24"/>
        </w:rPr>
        <w:t>the air conditioning system getting some power but insufficien</w:t>
      </w:r>
      <w:r w:rsidR="00933701">
        <w:rPr>
          <w:sz w:val="24"/>
          <w:szCs w:val="24"/>
        </w:rPr>
        <w:t>t power for the air conditioner</w:t>
      </w:r>
      <w:r w:rsidR="00B97032">
        <w:rPr>
          <w:sz w:val="24"/>
          <w:szCs w:val="24"/>
        </w:rPr>
        <w:t xml:space="preserve"> to function properly.  </w:t>
      </w:r>
      <w:r>
        <w:rPr>
          <w:sz w:val="24"/>
          <w:szCs w:val="24"/>
        </w:rPr>
        <w:t>Complainant asserts Respondent should be responsible for the failure of its own equipment</w:t>
      </w:r>
      <w:r w:rsidR="00B97032">
        <w:rPr>
          <w:sz w:val="24"/>
          <w:szCs w:val="24"/>
        </w:rPr>
        <w:t xml:space="preserve"> and because its equipment failed and Respondent failed to know its equipment failed, </w:t>
      </w:r>
      <w:r>
        <w:rPr>
          <w:sz w:val="24"/>
          <w:szCs w:val="24"/>
        </w:rPr>
        <w:t xml:space="preserve">Complainant contends Respondent </w:t>
      </w:r>
      <w:r w:rsidR="00B97032">
        <w:rPr>
          <w:sz w:val="24"/>
          <w:szCs w:val="24"/>
        </w:rPr>
        <w:t>has not provided him</w:t>
      </w:r>
      <w:r>
        <w:rPr>
          <w:sz w:val="24"/>
          <w:szCs w:val="24"/>
        </w:rPr>
        <w:t xml:space="preserve"> with adequate customer service.  </w:t>
      </w:r>
      <w:r w:rsidR="005375AF">
        <w:rPr>
          <w:sz w:val="24"/>
          <w:szCs w:val="24"/>
        </w:rPr>
        <w:t>Lastly, Complainant argues he should not be responsible to pay his HVAC technician to determine that Respondent’s equi</w:t>
      </w:r>
      <w:r w:rsidR="00A61835">
        <w:rPr>
          <w:sz w:val="24"/>
          <w:szCs w:val="24"/>
        </w:rPr>
        <w:t xml:space="preserve">pment failed and Respondent should be responsible to maintain its equipment because he was paying them for </w:t>
      </w:r>
      <w:r w:rsidR="00944A1C">
        <w:rPr>
          <w:sz w:val="24"/>
          <w:szCs w:val="24"/>
        </w:rPr>
        <w:t>three</w:t>
      </w:r>
      <w:r w:rsidR="00A61835">
        <w:rPr>
          <w:sz w:val="24"/>
          <w:szCs w:val="24"/>
        </w:rPr>
        <w:t>-phase service which Respondent was not providing.</w:t>
      </w:r>
    </w:p>
    <w:p w:rsidR="007E48E1" w:rsidRPr="008B455C" w:rsidRDefault="007E48E1" w:rsidP="007E48E1">
      <w:pPr>
        <w:pStyle w:val="BodyText"/>
        <w:jc w:val="left"/>
        <w:rPr>
          <w:sz w:val="24"/>
          <w:szCs w:val="24"/>
        </w:rPr>
      </w:pPr>
    </w:p>
    <w:p w:rsidR="007E48E1" w:rsidRDefault="007E48E1" w:rsidP="007E48E1">
      <w:pPr>
        <w:pStyle w:val="BodyText"/>
        <w:jc w:val="left"/>
        <w:rPr>
          <w:sz w:val="24"/>
          <w:szCs w:val="24"/>
        </w:rPr>
      </w:pPr>
      <w:r w:rsidRPr="008B455C">
        <w:rPr>
          <w:sz w:val="24"/>
          <w:szCs w:val="24"/>
        </w:rPr>
        <w:tab/>
      </w:r>
      <w:r w:rsidRPr="008B455C">
        <w:rPr>
          <w:sz w:val="24"/>
          <w:szCs w:val="24"/>
        </w:rPr>
        <w:tab/>
        <w:t>Respondent</w:t>
      </w:r>
      <w:r>
        <w:rPr>
          <w:sz w:val="24"/>
          <w:szCs w:val="24"/>
        </w:rPr>
        <w:t xml:space="preserve"> </w:t>
      </w:r>
      <w:r w:rsidR="00B97032">
        <w:rPr>
          <w:sz w:val="24"/>
          <w:szCs w:val="24"/>
        </w:rPr>
        <w:t xml:space="preserve">admits its transformer was </w:t>
      </w:r>
      <w:r>
        <w:rPr>
          <w:sz w:val="24"/>
          <w:szCs w:val="24"/>
        </w:rPr>
        <w:t xml:space="preserve">defective </w:t>
      </w:r>
      <w:r w:rsidR="00B97032">
        <w:rPr>
          <w:sz w:val="24"/>
          <w:szCs w:val="24"/>
        </w:rPr>
        <w:t>but argues</w:t>
      </w:r>
      <w:r>
        <w:rPr>
          <w:sz w:val="24"/>
          <w:szCs w:val="24"/>
        </w:rPr>
        <w:t xml:space="preserve"> it was not negligent in how it maintained its equipment or in how it responded to Complainant’s </w:t>
      </w:r>
      <w:r w:rsidR="00B97032">
        <w:rPr>
          <w:sz w:val="24"/>
          <w:szCs w:val="24"/>
        </w:rPr>
        <w:t>call</w:t>
      </w:r>
      <w:r>
        <w:rPr>
          <w:sz w:val="24"/>
          <w:szCs w:val="24"/>
        </w:rPr>
        <w:t xml:space="preserve">.  Respondent’s </w:t>
      </w:r>
      <w:r w:rsidR="008733E6">
        <w:rPr>
          <w:sz w:val="24"/>
          <w:szCs w:val="24"/>
        </w:rPr>
        <w:t>personnel responded quickly and restored appropriate service within seven to eight hours of when Complainant first contacted Respondent with the partial power complaint</w:t>
      </w:r>
      <w:r>
        <w:rPr>
          <w:sz w:val="24"/>
          <w:szCs w:val="24"/>
        </w:rPr>
        <w:t xml:space="preserve">.  </w:t>
      </w:r>
      <w:r w:rsidR="008733E6">
        <w:rPr>
          <w:sz w:val="24"/>
          <w:szCs w:val="24"/>
        </w:rPr>
        <w:t>Respondent avers there is no method to test transformers for projected performance and no means to monitor proper performance except to respond when customers call in complaints.</w:t>
      </w:r>
      <w:r>
        <w:rPr>
          <w:sz w:val="24"/>
          <w:szCs w:val="24"/>
        </w:rPr>
        <w:t xml:space="preserve">   </w:t>
      </w:r>
    </w:p>
    <w:p w:rsidR="00B32996" w:rsidRPr="008B455C" w:rsidRDefault="00B32996" w:rsidP="007E48E1">
      <w:pPr>
        <w:pStyle w:val="BodyText"/>
        <w:jc w:val="left"/>
        <w:rPr>
          <w:sz w:val="24"/>
          <w:szCs w:val="24"/>
        </w:rPr>
      </w:pPr>
    </w:p>
    <w:p w:rsidR="00933701" w:rsidRDefault="007E48E1" w:rsidP="007E48E1">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w:t>
      </w:r>
    </w:p>
    <w:p w:rsidR="007E48E1" w:rsidRDefault="007E48E1" w:rsidP="00933701">
      <w:pPr>
        <w:pStyle w:val="BodyText"/>
        <w:jc w:val="left"/>
        <w:rPr>
          <w:sz w:val="24"/>
          <w:szCs w:val="24"/>
        </w:rPr>
      </w:pPr>
      <w:proofErr w:type="gramStart"/>
      <w:r>
        <w:rPr>
          <w:sz w:val="24"/>
          <w:szCs w:val="24"/>
        </w:rPr>
        <w:lastRenderedPageBreak/>
        <w:t>and</w:t>
      </w:r>
      <w:proofErr w:type="gramEnd"/>
      <w:r>
        <w:rPr>
          <w:sz w:val="24"/>
          <w:szCs w:val="24"/>
        </w:rPr>
        <w:t xml:space="preserve">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 C.S.A. §1501.</w:t>
      </w:r>
    </w:p>
    <w:p w:rsidR="007E48E1" w:rsidRDefault="007E48E1" w:rsidP="007E48E1">
      <w:pPr>
        <w:pStyle w:val="BodyText"/>
        <w:ind w:firstLine="1440"/>
        <w:jc w:val="left"/>
        <w:rPr>
          <w:sz w:val="24"/>
          <w:szCs w:val="24"/>
        </w:rPr>
      </w:pPr>
    </w:p>
    <w:p w:rsidR="007E48E1" w:rsidRDefault="007E48E1" w:rsidP="007E48E1">
      <w:pPr>
        <w:spacing w:line="360" w:lineRule="auto"/>
        <w:ind w:firstLine="1440"/>
      </w:pPr>
      <w:r w:rsidRPr="004E7308">
        <w:t>As the party seeking affirmative relief from the Commission, Complainant bears the burden of proof</w:t>
      </w:r>
      <w:r>
        <w:t xml:space="preserve"> by substantial evidence</w:t>
      </w:r>
      <w:r w:rsidRPr="004E7308">
        <w:t xml:space="preserve">.  </w:t>
      </w:r>
      <w:proofErr w:type="gramStart"/>
      <w:r w:rsidRPr="004E7308">
        <w:t>66 Pa. C.S.</w:t>
      </w:r>
      <w:r>
        <w:t>A.</w:t>
      </w:r>
      <w:r w:rsidRPr="004E7308">
        <w:t xml:space="preserve"> §332(a).</w:t>
      </w:r>
      <w:proofErr w:type="gramEnd"/>
      <w:r>
        <w:t xml:space="preserve">  </w:t>
      </w:r>
      <w:r w:rsidRPr="006E5FE7">
        <w:t>Substantial evidence is defined as such evidence that a reasonable mind might accept as adequate to support a conclusion.  More is required than a mere trace of evidence or a suspicion of the existence of a fact sought to be established.</w:t>
      </w:r>
      <w:r w:rsidR="00A6043D">
        <w:rPr>
          <w:rStyle w:val="FootnoteReference"/>
        </w:rPr>
        <w:footnoteReference w:id="1"/>
      </w:r>
      <w:r w:rsidRPr="006E5FE7">
        <w:t xml:space="preserve">  </w:t>
      </w:r>
    </w:p>
    <w:p w:rsidR="007E48E1" w:rsidRDefault="007E48E1" w:rsidP="007E48E1">
      <w:pPr>
        <w:pStyle w:val="BodyText"/>
        <w:ind w:firstLine="1440"/>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Pa. C.S.</w:t>
      </w:r>
      <w:r>
        <w:rPr>
          <w:sz w:val="24"/>
          <w:szCs w:val="24"/>
        </w:rPr>
        <w:t>A.</w:t>
      </w:r>
      <w:r w:rsidRPr="00BF51E4">
        <w:rPr>
          <w:sz w:val="24"/>
          <w:szCs w:val="24"/>
        </w:rPr>
        <w:t xml:space="preserve"> §1501</w:t>
      </w:r>
      <w:r>
        <w:rPr>
          <w:sz w:val="24"/>
          <w:szCs w:val="24"/>
        </w:rPr>
        <w:t xml:space="preserve"> and §</w:t>
      </w:r>
      <w:r w:rsidRPr="00BF51E4">
        <w:rPr>
          <w:sz w:val="24"/>
          <w:szCs w:val="24"/>
        </w:rPr>
        <w:t xml:space="preserve">1502.  The Commission approves the cost of providing a utility system that is designed to provide reasonable service at reasonable rates </w:t>
      </w:r>
      <w:r w:rsidR="004A47A6">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2"/>
      </w:r>
      <w:r w:rsidRPr="00BF51E4">
        <w:rPr>
          <w:sz w:val="24"/>
          <w:szCs w:val="24"/>
        </w:rPr>
        <w:t xml:space="preserve">  </w:t>
      </w:r>
      <w:r>
        <w:rPr>
          <w:sz w:val="24"/>
          <w:szCs w:val="24"/>
        </w:rPr>
        <w:t xml:space="preserve">  </w:t>
      </w:r>
    </w:p>
    <w:p w:rsidR="00E9204D" w:rsidRDefault="00E9204D" w:rsidP="007E48E1">
      <w:pPr>
        <w:pStyle w:val="BodyText"/>
        <w:ind w:firstLine="1440"/>
        <w:jc w:val="left"/>
        <w:rPr>
          <w:sz w:val="24"/>
          <w:szCs w:val="24"/>
        </w:rPr>
      </w:pPr>
    </w:p>
    <w:p w:rsidR="007E48E1" w:rsidRDefault="007E48E1" w:rsidP="007E48E1">
      <w:pPr>
        <w:pStyle w:val="BodyText"/>
        <w:ind w:firstLine="1440"/>
        <w:jc w:val="left"/>
        <w:rPr>
          <w:sz w:val="24"/>
          <w:szCs w:val="24"/>
        </w:rPr>
      </w:pPr>
      <w:r>
        <w:rPr>
          <w:sz w:val="24"/>
          <w:szCs w:val="24"/>
        </w:rPr>
        <w:t xml:space="preserve">The testimony presented sufficiently proved </w:t>
      </w:r>
      <w:r w:rsidR="008733E6">
        <w:rPr>
          <w:sz w:val="24"/>
          <w:szCs w:val="24"/>
        </w:rPr>
        <w:t>the transformer servicing Complainant’s air conditioning system failed to function properly</w:t>
      </w:r>
      <w:r>
        <w:rPr>
          <w:sz w:val="24"/>
          <w:szCs w:val="24"/>
        </w:rPr>
        <w:t xml:space="preserve">.  </w:t>
      </w:r>
      <w:r w:rsidR="00A61835">
        <w:rPr>
          <w:sz w:val="24"/>
          <w:szCs w:val="24"/>
        </w:rPr>
        <w:t xml:space="preserve">Both parties agreed what was the problem.  </w:t>
      </w:r>
      <w:r>
        <w:rPr>
          <w:sz w:val="24"/>
          <w:szCs w:val="24"/>
        </w:rPr>
        <w:t>The testimony and evidence presented</w:t>
      </w:r>
      <w:r w:rsidR="008733E6">
        <w:rPr>
          <w:sz w:val="24"/>
          <w:szCs w:val="24"/>
        </w:rPr>
        <w:t xml:space="preserve"> </w:t>
      </w:r>
      <w:r>
        <w:rPr>
          <w:sz w:val="24"/>
          <w:szCs w:val="24"/>
        </w:rPr>
        <w:t xml:space="preserve">did show </w:t>
      </w:r>
      <w:r w:rsidR="00A114B1">
        <w:rPr>
          <w:sz w:val="24"/>
          <w:szCs w:val="24"/>
        </w:rPr>
        <w:t>the partial power problem was</w:t>
      </w:r>
      <w:r>
        <w:rPr>
          <w:sz w:val="24"/>
          <w:szCs w:val="24"/>
        </w:rPr>
        <w:t xml:space="preserve"> due to some malfunction or defective condition in Respondent’s equipment.  Yet the fact remains Complainant has not provided </w:t>
      </w:r>
      <w:r w:rsidR="00A114B1">
        <w:rPr>
          <w:sz w:val="24"/>
          <w:szCs w:val="24"/>
        </w:rPr>
        <w:t xml:space="preserve">sufficient evidence to show </w:t>
      </w:r>
      <w:r w:rsidR="00A61835">
        <w:rPr>
          <w:sz w:val="24"/>
          <w:szCs w:val="24"/>
        </w:rPr>
        <w:t>Respondent</w:t>
      </w:r>
      <w:r w:rsidR="00A114B1">
        <w:rPr>
          <w:sz w:val="24"/>
          <w:szCs w:val="24"/>
        </w:rPr>
        <w:t xml:space="preserve"> can reasonably monitor the performance of its transformers system-wide or that Respondent is</w:t>
      </w:r>
      <w:r w:rsidR="00A6043D">
        <w:rPr>
          <w:sz w:val="24"/>
          <w:szCs w:val="24"/>
        </w:rPr>
        <w:t xml:space="preserve"> responsible to rei</w:t>
      </w:r>
      <w:r w:rsidR="00A114B1">
        <w:rPr>
          <w:sz w:val="24"/>
          <w:szCs w:val="24"/>
        </w:rPr>
        <w:t>mburse Complainant for the cost of two HVAC visits</w:t>
      </w:r>
      <w:r>
        <w:rPr>
          <w:sz w:val="24"/>
          <w:szCs w:val="24"/>
        </w:rPr>
        <w:t xml:space="preserve">.  </w:t>
      </w:r>
    </w:p>
    <w:p w:rsidR="00E9204D" w:rsidRDefault="00E9204D" w:rsidP="007E48E1">
      <w:pPr>
        <w:pStyle w:val="BodyText"/>
        <w:ind w:firstLine="1440"/>
        <w:jc w:val="left"/>
        <w:rPr>
          <w:sz w:val="24"/>
          <w:szCs w:val="24"/>
        </w:rPr>
      </w:pPr>
    </w:p>
    <w:p w:rsidR="00E9204D" w:rsidRPr="00BF51E4" w:rsidRDefault="00A7499F" w:rsidP="007E48E1">
      <w:pPr>
        <w:pStyle w:val="BodyText"/>
        <w:ind w:firstLine="1440"/>
        <w:jc w:val="left"/>
        <w:rPr>
          <w:sz w:val="24"/>
          <w:szCs w:val="24"/>
        </w:rPr>
      </w:pPr>
      <w:r>
        <w:rPr>
          <w:sz w:val="24"/>
          <w:szCs w:val="24"/>
        </w:rPr>
        <w:t>Upon Complainant’s presentation of evidence sufficient to satisfy initial</w:t>
      </w:r>
      <w:r w:rsidR="00E76081">
        <w:rPr>
          <w:sz w:val="24"/>
          <w:szCs w:val="24"/>
        </w:rPr>
        <w:t>ly</w:t>
      </w:r>
      <w:r>
        <w:rPr>
          <w:sz w:val="24"/>
          <w:szCs w:val="24"/>
        </w:rPr>
        <w:t xml:space="preserve"> the burden of proof, the burden of going forward with the evidence, sometimes called the burden of </w:t>
      </w:r>
      <w:r>
        <w:rPr>
          <w:sz w:val="24"/>
          <w:szCs w:val="24"/>
        </w:rPr>
        <w:lastRenderedPageBreak/>
        <w:t>persuasion, to rebut the evidence of the customer shifts to Respondent.  If the evidence presented by Respondent is of co-equal value or weight, the burden of proof has not been satisfied by Complainant.  Complainant still must provide additional evidence to rebut the contrary evidence presented by Respondent.</w:t>
      </w:r>
      <w:r>
        <w:rPr>
          <w:rStyle w:val="FootnoteReference"/>
          <w:sz w:val="24"/>
          <w:szCs w:val="24"/>
        </w:rPr>
        <w:footnoteReference w:id="3"/>
      </w:r>
      <w:r w:rsidR="00A61835">
        <w:rPr>
          <w:sz w:val="24"/>
          <w:szCs w:val="24"/>
        </w:rPr>
        <w:t xml:space="preserve">  Complainant did not provide sufficient evidence of the availability of system-wide technology to monitor transformer performance or that the industry standard included routine maintenance by Respondent which routine Respondent failed to follow.</w:t>
      </w:r>
    </w:p>
    <w:p w:rsidR="007E48E1" w:rsidRPr="00BF51E4" w:rsidRDefault="007E48E1" w:rsidP="007E48E1">
      <w:pPr>
        <w:pStyle w:val="BodyText"/>
        <w:ind w:firstLine="1440"/>
        <w:jc w:val="left"/>
        <w:rPr>
          <w:sz w:val="24"/>
          <w:szCs w:val="24"/>
        </w:rPr>
      </w:pPr>
    </w:p>
    <w:p w:rsidR="007E48E1" w:rsidRDefault="007E48E1" w:rsidP="007E48E1">
      <w:pPr>
        <w:pStyle w:val="BodyText"/>
        <w:ind w:firstLine="1440"/>
        <w:jc w:val="left"/>
        <w:rPr>
          <w:sz w:val="24"/>
          <w:szCs w:val="24"/>
        </w:rPr>
      </w:pPr>
      <w:r w:rsidRPr="00BF51E4">
        <w:rPr>
          <w:sz w:val="24"/>
          <w:szCs w:val="24"/>
        </w:rPr>
        <w:t xml:space="preserve">Therefore, Complainant has not met </w:t>
      </w:r>
      <w:r w:rsidR="00A114B1">
        <w:rPr>
          <w:sz w:val="24"/>
          <w:szCs w:val="24"/>
        </w:rPr>
        <w:t>the</w:t>
      </w:r>
      <w:r w:rsidRPr="00BF51E4">
        <w:rPr>
          <w:sz w:val="24"/>
          <w:szCs w:val="24"/>
        </w:rPr>
        <w:t xml:space="preserve"> burden of proving Respondent violated the Commission’s regulations by failing to provide reasonable and adequate customer service when </w:t>
      </w:r>
      <w:r w:rsidR="00A114B1">
        <w:rPr>
          <w:sz w:val="24"/>
          <w:szCs w:val="24"/>
        </w:rPr>
        <w:t>the transformer failed</w:t>
      </w:r>
      <w:r w:rsidRPr="00BF51E4">
        <w:rPr>
          <w:sz w:val="24"/>
          <w:szCs w:val="24"/>
        </w:rPr>
        <w:t>.  Accordingly, the complaint is dismissed in the ordering</w:t>
      </w:r>
      <w:r w:rsidRPr="008B455C">
        <w:rPr>
          <w:sz w:val="24"/>
          <w:szCs w:val="24"/>
        </w:rPr>
        <w:t xml:space="preserve"> paragraphs below.</w:t>
      </w:r>
    </w:p>
    <w:p w:rsidR="00DC090B" w:rsidRDefault="00DC090B" w:rsidP="00DC090B">
      <w:pPr>
        <w:pStyle w:val="BodyText"/>
        <w:jc w:val="left"/>
        <w:rPr>
          <w:sz w:val="24"/>
          <w:szCs w:val="24"/>
        </w:rPr>
      </w:pPr>
      <w:r>
        <w:rPr>
          <w:sz w:val="24"/>
          <w:szCs w:val="24"/>
        </w:rPr>
        <w:t xml:space="preserve"> </w:t>
      </w: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 §701.</w:t>
      </w:r>
    </w:p>
    <w:p w:rsidR="007E48E1" w:rsidRPr="008B455C" w:rsidRDefault="007E48E1" w:rsidP="007E48E1">
      <w:pPr>
        <w:tabs>
          <w:tab w:val="num" w:pos="2160"/>
        </w:tabs>
        <w:spacing w:line="360" w:lineRule="auto"/>
        <w:ind w:firstLine="1260"/>
      </w:pPr>
    </w:p>
    <w:p w:rsidR="007E48E1" w:rsidRPr="008B455C" w:rsidRDefault="007E48E1" w:rsidP="007E48E1">
      <w:pPr>
        <w:spacing w:line="360" w:lineRule="auto"/>
      </w:pPr>
      <w:r w:rsidRPr="008B455C">
        <w:tab/>
      </w:r>
      <w:r w:rsidRPr="008B455C">
        <w:tab/>
        <w:t>2.</w:t>
      </w:r>
      <w:r w:rsidRPr="008B455C">
        <w:tab/>
      </w:r>
      <w:r>
        <w:t>Complainant</w:t>
      </w:r>
      <w:r w:rsidRPr="008B455C">
        <w:t xml:space="preserve"> carr</w:t>
      </w:r>
      <w:r>
        <w:t>ies</w:t>
      </w:r>
      <w:r w:rsidRPr="008B455C">
        <w:t xml:space="preserve"> the burden of proving Respondent</w:t>
      </w:r>
      <w:r>
        <w:t xml:space="preserve"> did not provide reasonable and adequate service</w:t>
      </w:r>
      <w:r w:rsidRPr="008B455C">
        <w:t xml:space="preserve">.  </w:t>
      </w:r>
      <w:proofErr w:type="gramStart"/>
      <w:r w:rsidRPr="008B455C">
        <w:t>66 Pa.</w:t>
      </w:r>
      <w:r>
        <w:t xml:space="preserve"> </w:t>
      </w:r>
      <w:r w:rsidRPr="008B455C">
        <w:t>C.S.A. §332(a).</w:t>
      </w:r>
      <w:proofErr w:type="gramEnd"/>
    </w:p>
    <w:p w:rsidR="007E48E1" w:rsidRPr="008B455C" w:rsidRDefault="007E48E1" w:rsidP="007E48E1">
      <w:pPr>
        <w:spacing w:line="360" w:lineRule="auto"/>
      </w:pPr>
    </w:p>
    <w:p w:rsidR="007E48E1" w:rsidRPr="008B455C"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Respondent provided Complainant with reasonable and adequate customer service in its provision of electrical services</w:t>
      </w:r>
      <w:r w:rsidRPr="008B455C">
        <w:rPr>
          <w:sz w:val="24"/>
          <w:szCs w:val="24"/>
        </w:rPr>
        <w:t xml:space="preserve">.  </w:t>
      </w:r>
    </w:p>
    <w:p w:rsidR="00A114B1" w:rsidRDefault="00A114B1" w:rsidP="007E48E1">
      <w:pPr>
        <w:spacing w:line="360" w:lineRule="auto"/>
      </w:pPr>
    </w:p>
    <w:p w:rsidR="007E48E1" w:rsidRDefault="007E48E1" w:rsidP="007E48E1">
      <w:pPr>
        <w:spacing w:line="360" w:lineRule="auto"/>
      </w:pPr>
      <w:r w:rsidRPr="008B455C">
        <w:tab/>
      </w:r>
      <w:r w:rsidRPr="008B455C">
        <w:tab/>
        <w:t>4.</w:t>
      </w:r>
      <w:r w:rsidRPr="008B455C">
        <w:tab/>
      </w:r>
      <w:r>
        <w:t>Complainant</w:t>
      </w:r>
      <w:r w:rsidRPr="008B455C">
        <w:t xml:space="preserve"> </w:t>
      </w:r>
      <w:r>
        <w:t>failed to meet</w:t>
      </w:r>
      <w:r w:rsidRPr="008B455C">
        <w:t xml:space="preserve"> the burden of proving Respondent</w:t>
      </w:r>
      <w:r>
        <w:t xml:space="preserve"> did not provide reasonable and adequate service.  </w:t>
      </w:r>
      <w:r w:rsidRPr="008B455C">
        <w:t xml:space="preserve">  </w:t>
      </w:r>
    </w:p>
    <w:p w:rsidR="007E48E1" w:rsidRDefault="007E48E1" w:rsidP="007E48E1">
      <w:pPr>
        <w:spacing w:line="360" w:lineRule="auto"/>
      </w:pPr>
    </w:p>
    <w:p w:rsidR="007E48E1" w:rsidRPr="008B455C" w:rsidRDefault="007E48E1" w:rsidP="007E48E1">
      <w:pPr>
        <w:spacing w:line="360" w:lineRule="auto"/>
      </w:pPr>
      <w:r>
        <w:tab/>
      </w:r>
      <w:r>
        <w:tab/>
        <w:t>5.</w:t>
      </w:r>
      <w:r>
        <w:tab/>
        <w:t xml:space="preserve">The Commission is without jurisdiction to consider negligence issues.  </w:t>
      </w:r>
      <w:proofErr w:type="spellStart"/>
      <w:proofErr w:type="gramStart"/>
      <w:r>
        <w:rPr>
          <w:u w:val="single"/>
        </w:rPr>
        <w:t>Poorbaugh</w:t>
      </w:r>
      <w:proofErr w:type="spellEnd"/>
      <w:r>
        <w:rPr>
          <w:u w:val="single"/>
        </w:rPr>
        <w:t xml:space="preserve"> v. Pennsylvania Public Utility Commission</w:t>
      </w:r>
      <w:r>
        <w:t xml:space="preserve">, 666 A.2d 744 (Pa. </w:t>
      </w:r>
      <w:proofErr w:type="spellStart"/>
      <w:r>
        <w:t>Commw</w:t>
      </w:r>
      <w:proofErr w:type="spellEnd"/>
      <w:r>
        <w:t>. 1995).</w:t>
      </w:r>
      <w:proofErr w:type="gramEnd"/>
      <w:r w:rsidRPr="008B455C">
        <w:tab/>
      </w:r>
    </w:p>
    <w:p w:rsidR="007E48E1" w:rsidRDefault="007E48E1" w:rsidP="007E48E1">
      <w:pPr>
        <w:spacing w:line="360" w:lineRule="auto"/>
        <w:jc w:val="center"/>
        <w:rPr>
          <w:u w:val="single"/>
        </w:rPr>
      </w:pPr>
    </w:p>
    <w:p w:rsidR="007E48E1" w:rsidRPr="008B455C" w:rsidRDefault="007E48E1" w:rsidP="007E48E1">
      <w:pPr>
        <w:spacing w:line="360" w:lineRule="auto"/>
        <w:jc w:val="center"/>
        <w:rPr>
          <w:u w:val="single"/>
        </w:rPr>
      </w:pPr>
      <w:r w:rsidRPr="008B455C">
        <w:rPr>
          <w:u w:val="single"/>
        </w:rPr>
        <w:lastRenderedPageBreak/>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7E48E1">
      <w:pPr>
        <w:tabs>
          <w:tab w:val="num" w:pos="2160"/>
        </w:tabs>
        <w:spacing w:line="360" w:lineRule="auto"/>
        <w:ind w:firstLine="1440"/>
      </w:pPr>
      <w:r w:rsidRPr="008B455C">
        <w:t xml:space="preserve">That the complaint </w:t>
      </w:r>
      <w:r w:rsidRPr="002F64FF">
        <w:t xml:space="preserve">of </w:t>
      </w:r>
      <w:r w:rsidR="009A6CC7">
        <w:t>Ray Miller</w:t>
      </w:r>
      <w:r w:rsidRPr="002F64FF">
        <w:t xml:space="preserve"> versus Duquesne Light Company</w:t>
      </w:r>
      <w:r w:rsidRPr="00055267">
        <w:t xml:space="preserve"> </w:t>
      </w:r>
      <w:r w:rsidRPr="008B455C">
        <w:t xml:space="preserve">at </w:t>
      </w:r>
      <w:r>
        <w:t>Docket No. C</w:t>
      </w:r>
      <w:r w:rsidRPr="008B455C">
        <w:noBreakHyphen/>
      </w:r>
      <w:r>
        <w:t>2010</w:t>
      </w:r>
      <w:r w:rsidRPr="008B455C">
        <w:t>-2</w:t>
      </w:r>
      <w:r>
        <w:t>1</w:t>
      </w:r>
      <w:r w:rsidR="009A6CC7">
        <w:t>51018</w:t>
      </w:r>
      <w:r w:rsidRPr="008B455C">
        <w:t xml:space="preserve"> </w:t>
      </w:r>
      <w:r w:rsidRPr="00EA1625">
        <w:t>hereby</w:t>
      </w:r>
      <w:r>
        <w:t xml:space="preserve"> is</w:t>
      </w:r>
      <w:r w:rsidRPr="00EA1625">
        <w:t xml:space="preserve"> </w:t>
      </w:r>
      <w:r>
        <w:t xml:space="preserve">denied because Complainant failed to prove </w:t>
      </w:r>
      <w:r w:rsidRPr="008B455C">
        <w:t>Respondent</w:t>
      </w:r>
      <w:r>
        <w:t xml:space="preserve"> did not provide reasonable and adequate service in its provision of electrical services on</w:t>
      </w:r>
      <w:r w:rsidR="009A6CC7">
        <w:t xml:space="preserve"> or about August</w:t>
      </w:r>
      <w:r w:rsidR="00E323A1">
        <w:t> </w:t>
      </w:r>
      <w:r w:rsidR="009A6CC7">
        <w:t>11, 2009 to August 15, 2009</w:t>
      </w:r>
      <w:r w:rsidRPr="008B455C">
        <w:t>.</w:t>
      </w:r>
    </w:p>
    <w:p w:rsidR="007E48E1" w:rsidRPr="008B455C" w:rsidRDefault="007E48E1" w:rsidP="007E48E1">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7E48E1" w:rsidRPr="008B455C" w:rsidRDefault="007E48E1" w:rsidP="007E48E1">
      <w:pPr>
        <w:tabs>
          <w:tab w:val="num" w:pos="2160"/>
          <w:tab w:val="left" w:pos="5048"/>
        </w:tabs>
      </w:pPr>
      <w:r w:rsidRPr="008B455C">
        <w:t>Date:</w:t>
      </w:r>
      <w:r w:rsidR="001D78CA">
        <w:t xml:space="preserve"> </w:t>
      </w:r>
      <w:r w:rsidRPr="008B455C">
        <w:t xml:space="preserve"> </w:t>
      </w:r>
      <w:r w:rsidR="0077246E">
        <w:rPr>
          <w:u w:val="single"/>
        </w:rPr>
        <w:t>January 11, 2011</w:t>
      </w:r>
      <w:r w:rsidRPr="008B455C">
        <w:tab/>
      </w:r>
      <w:r w:rsidR="004A7777">
        <w:tab/>
      </w:r>
      <w:r w:rsidR="001D78CA">
        <w:tab/>
      </w:r>
      <w:r w:rsidRPr="008B455C">
        <w:t>________________________</w:t>
      </w:r>
    </w:p>
    <w:p w:rsidR="007E48E1" w:rsidRPr="008B455C" w:rsidRDefault="007E48E1" w:rsidP="007E48E1">
      <w:pPr>
        <w:tabs>
          <w:tab w:val="num" w:pos="2160"/>
        </w:tabs>
      </w:pPr>
      <w:r w:rsidRPr="008B455C">
        <w:tab/>
      </w:r>
      <w:r w:rsidRPr="008B455C">
        <w:tab/>
      </w:r>
      <w:r w:rsidRPr="008B455C">
        <w:tab/>
      </w:r>
      <w:r w:rsidRPr="008B455C">
        <w:tab/>
      </w:r>
      <w:r w:rsidRPr="008B455C">
        <w:tab/>
      </w:r>
      <w:r w:rsidR="004A7777">
        <w:tab/>
      </w:r>
      <w:r w:rsidR="001D78CA">
        <w:tab/>
      </w:r>
      <w:r w:rsidRPr="008B455C">
        <w:t>Katrina L. Dunderdale</w:t>
      </w:r>
    </w:p>
    <w:p w:rsidR="007E48E1" w:rsidRDefault="007E48E1" w:rsidP="007E48E1">
      <w:pPr>
        <w:tabs>
          <w:tab w:val="num" w:pos="2160"/>
        </w:tabs>
        <w:sectPr w:rsidR="007E48E1"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pPr>
      <w:r w:rsidRPr="008B455C">
        <w:tab/>
      </w:r>
      <w:r w:rsidRPr="008B455C">
        <w:tab/>
      </w:r>
      <w:r w:rsidRPr="008B455C">
        <w:tab/>
      </w:r>
      <w:r w:rsidRPr="008B455C">
        <w:tab/>
      </w:r>
      <w:r w:rsidRPr="008B455C">
        <w:tab/>
      </w:r>
      <w:r w:rsidR="004A7777">
        <w:tab/>
      </w:r>
      <w:r w:rsidR="001D78CA">
        <w:tab/>
      </w:r>
      <w:r w:rsidRPr="008B455C">
        <w:t>Administrative Law Judge</w:t>
      </w:r>
    </w:p>
    <w:p w:rsidR="00EF0F65" w:rsidRDefault="00EF0F65" w:rsidP="00EF0F65">
      <w:pPr>
        <w:rPr>
          <w:caps/>
          <w:noProof/>
        </w:rPr>
      </w:pPr>
      <w:r>
        <w:lastRenderedPageBreak/>
        <w:t>a)</w:t>
      </w:r>
      <w:r>
        <w:tab/>
      </w:r>
      <w:r w:rsidR="007E48E1">
        <w:t>Ray Miller</w:t>
      </w:r>
      <w:r>
        <w:t xml:space="preserve"> v. Duquesne Light Company</w:t>
      </w:r>
    </w:p>
    <w:p w:rsidR="00EF0F65" w:rsidRPr="00502AB2" w:rsidRDefault="00EF0F65" w:rsidP="00EF0F65">
      <w:pPr>
        <w:rPr>
          <w:caps/>
        </w:rPr>
      </w:pPr>
      <w:r>
        <w:rPr>
          <w:caps/>
        </w:rPr>
        <w:tab/>
        <w:t>C-</w:t>
      </w:r>
      <w:r w:rsidR="007E48E1">
        <w:rPr>
          <w:caps/>
        </w:rPr>
        <w:t>2010-2151018</w:t>
      </w:r>
      <w:r w:rsidRPr="00502AB2">
        <w:rPr>
          <w:caps/>
          <w:noProof/>
        </w:rPr>
        <w:t xml:space="preserve"> </w:t>
      </w:r>
      <w:r w:rsidRPr="00502AB2">
        <w:rPr>
          <w:caps/>
        </w:rPr>
        <w:t xml:space="preserve"> </w:t>
      </w:r>
    </w:p>
    <w:p w:rsidR="00EF0F65" w:rsidRPr="00057980" w:rsidRDefault="00EF0F65" w:rsidP="00EF0F65">
      <w:pPr>
        <w:ind w:firstLine="1440"/>
        <w:rPr>
          <w:rFonts w:ascii="Microsoft Sans Serif" w:hAnsi="Microsoft Sans Serif" w:cs="Microsoft Sans Serif"/>
          <w:caps/>
        </w:rPr>
      </w:pPr>
    </w:p>
    <w:p w:rsidR="00EF0F65" w:rsidRDefault="00EF0F65" w:rsidP="00EF0F65">
      <w:pPr>
        <w:ind w:left="720" w:hanging="720"/>
      </w:pPr>
      <w:r>
        <w:t>b)</w:t>
      </w:r>
      <w:r>
        <w:tab/>
      </w:r>
      <w:r w:rsidR="007E48E1">
        <w:t>Miller</w:t>
      </w:r>
      <w:r>
        <w:t xml:space="preserve"> filed a formal complaint on </w:t>
      </w:r>
      <w:r w:rsidR="007E48E1">
        <w:t>January 4, 2010</w:t>
      </w:r>
      <w:r>
        <w:t xml:space="preserve"> </w:t>
      </w:r>
      <w:r w:rsidR="00596262">
        <w:t xml:space="preserve">complaining </w:t>
      </w:r>
      <w:r w:rsidR="007E48E1">
        <w:t xml:space="preserve">Respondent’s transformer </w:t>
      </w:r>
      <w:r w:rsidR="00360442">
        <w:t xml:space="preserve">failed to provide the three-phase service needed for his air conditioning unit to run properly, and </w:t>
      </w:r>
      <w:r w:rsidR="007E48E1">
        <w:t>caused him to incur repair costs totaling $298</w:t>
      </w:r>
      <w:r w:rsidR="00360442">
        <w:t xml:space="preserve">.  Complainant avers Respondent should be responsible to cover the cost of the technicians who found the source of the problem.  </w:t>
      </w:r>
      <w:r>
        <w:t xml:space="preserve">Respondent answered the complaint on </w:t>
      </w:r>
      <w:r w:rsidR="00360442">
        <w:t>January 27, 2010</w:t>
      </w:r>
      <w:r>
        <w:t xml:space="preserve">.   No briefs were filed.  The record closed on </w:t>
      </w:r>
      <w:r w:rsidR="00B37A46">
        <w:t>December 29, 2010.</w:t>
      </w:r>
    </w:p>
    <w:p w:rsidR="00B37A46" w:rsidRDefault="00B37A46" w:rsidP="00EF0F65">
      <w:pPr>
        <w:ind w:left="720" w:hanging="720"/>
      </w:pPr>
    </w:p>
    <w:p w:rsidR="00396353" w:rsidRDefault="00EF0F65" w:rsidP="00EF0F65">
      <w:pPr>
        <w:ind w:left="720" w:hanging="720"/>
        <w:sectPr w:rsidR="00396353" w:rsidSect="00F6612B">
          <w:footerReference w:type="even" r:id="rId10"/>
          <w:footerReference w:type="default" r:id="rId11"/>
          <w:pgSz w:w="12240" w:h="15840" w:code="1"/>
          <w:pgMar w:top="1440" w:right="1440" w:bottom="1440" w:left="1440" w:header="720" w:footer="720" w:gutter="0"/>
          <w:paperSrc w:first="50"/>
          <w:pgNumType w:start="1"/>
          <w:cols w:space="720"/>
          <w:noEndnote/>
          <w:titlePg/>
          <w:docGrid w:linePitch="326"/>
        </w:sectPr>
      </w:pPr>
      <w:r>
        <w:t>c)</w:t>
      </w:r>
      <w:r>
        <w:tab/>
        <w:t>ALJ Dunderdale issued an Initial Decision dismissing the complaint.</w:t>
      </w:r>
    </w:p>
    <w:p w:rsidR="002F7ADF" w:rsidRPr="00057980" w:rsidRDefault="002F7ADF" w:rsidP="002F7ADF">
      <w:pPr>
        <w:rPr>
          <w:rFonts w:ascii="Microsoft Sans Serif" w:hAnsi="Microsoft Sans Serif" w:cs="Microsoft Sans Serif"/>
          <w:b/>
          <w:caps/>
          <w:u w:val="single"/>
        </w:rPr>
      </w:pPr>
      <w:r w:rsidRPr="00C7407B">
        <w:rPr>
          <w:rFonts w:ascii="Microsoft Sans Serif" w:hAnsi="Microsoft Sans Serif" w:cs="Microsoft Sans Serif"/>
          <w:b/>
          <w:caps/>
          <w:noProof/>
          <w:u w:val="single"/>
        </w:rPr>
        <w:lastRenderedPageBreak/>
        <w:t>C-2010-2151018</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C7407B">
        <w:rPr>
          <w:rFonts w:ascii="Microsoft Sans Serif" w:hAnsi="Microsoft Sans Serif" w:cs="Microsoft Sans Serif"/>
          <w:b/>
          <w:caps/>
          <w:noProof/>
          <w:u w:val="single"/>
        </w:rPr>
        <w:t>Ray Miller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C7407B">
        <w:rPr>
          <w:rFonts w:ascii="Microsoft Sans Serif" w:hAnsi="Microsoft Sans Serif" w:cs="Microsoft Sans Serif"/>
          <w:b/>
          <w:caps/>
          <w:noProof/>
          <w:u w:val="single"/>
        </w:rPr>
        <w:t>Duquesne Light Company</w:t>
      </w:r>
    </w:p>
    <w:p w:rsidR="002F7ADF" w:rsidRPr="00057980" w:rsidRDefault="002F7ADF" w:rsidP="002F7ADF">
      <w:pPr>
        <w:rPr>
          <w:rFonts w:ascii="Microsoft Sans Serif" w:hAnsi="Microsoft Sans Serif" w:cs="Microsoft Sans Serif"/>
          <w:caps/>
        </w:rPr>
      </w:pPr>
    </w:p>
    <w:p w:rsidR="002F7ADF" w:rsidRPr="00057980" w:rsidRDefault="002F7ADF" w:rsidP="002F7ADF">
      <w:pPr>
        <w:rPr>
          <w:rFonts w:ascii="Microsoft Sans Serif" w:hAnsi="Microsoft Sans Serif" w:cs="Microsoft Sans Serif"/>
          <w:caps/>
        </w:rPr>
      </w:pP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Ray</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Miller</w:t>
      </w:r>
      <w:r w:rsidRPr="00057980">
        <w:rPr>
          <w:rFonts w:ascii="Microsoft Sans Serif" w:hAnsi="Microsoft Sans Serif" w:cs="Microsoft Sans Serif"/>
          <w:caps/>
        </w:rPr>
        <w:t xml:space="preserve"> </w:t>
      </w: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1181 Hillcrest Avenue</w:t>
      </w: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15220</w:t>
      </w:r>
    </w:p>
    <w:p w:rsidR="002F7ADF" w:rsidRPr="00057980" w:rsidRDefault="002F7ADF" w:rsidP="002F7ADF">
      <w:pPr>
        <w:rPr>
          <w:rFonts w:ascii="Microsoft Sans Serif" w:hAnsi="Microsoft Sans Serif" w:cs="Microsoft Sans Serif"/>
          <w:b/>
          <w:caps/>
          <w:u w:val="single"/>
        </w:rPr>
      </w:pPr>
      <w:r w:rsidRPr="00C7407B">
        <w:rPr>
          <w:rFonts w:ascii="Microsoft Sans Serif" w:hAnsi="Microsoft Sans Serif" w:cs="Microsoft Sans Serif"/>
          <w:b/>
          <w:caps/>
          <w:noProof/>
        </w:rPr>
        <w:t>412.983.5834</w:t>
      </w:r>
    </w:p>
    <w:p w:rsidR="002F7ADF" w:rsidRPr="00057980" w:rsidRDefault="002F7ADF" w:rsidP="002F7ADF">
      <w:pPr>
        <w:rPr>
          <w:rFonts w:ascii="Microsoft Sans Serif" w:hAnsi="Microsoft Sans Serif" w:cs="Microsoft Sans Serif"/>
          <w:caps/>
        </w:rPr>
      </w:pPr>
    </w:p>
    <w:p w:rsidR="002F7ADF" w:rsidRPr="00057980" w:rsidRDefault="002F7ADF" w:rsidP="002F7ADF">
      <w:pPr>
        <w:rPr>
          <w:rFonts w:ascii="Microsoft Sans Serif" w:hAnsi="Microsoft Sans Serif" w:cs="Microsoft Sans Serif"/>
          <w:caps/>
        </w:rPr>
      </w:pP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Krysia</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Kubiak</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Esquire</w:t>
      </w: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Duquesne Light Company</w:t>
      </w: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 xml:space="preserve">411 </w:t>
      </w:r>
      <w:smartTag w:uri="urn:schemas-microsoft-com:office:smarttags" w:element="place">
        <w:r w:rsidRPr="00C7407B">
          <w:rPr>
            <w:rFonts w:ascii="Microsoft Sans Serif" w:hAnsi="Microsoft Sans Serif" w:cs="Microsoft Sans Serif"/>
            <w:caps/>
            <w:noProof/>
          </w:rPr>
          <w:t>Seventh Avenue</w:t>
        </w:r>
      </w:smartTag>
      <w:r w:rsidRPr="00C7407B">
        <w:rPr>
          <w:rFonts w:ascii="Microsoft Sans Serif" w:hAnsi="Microsoft Sans Serif" w:cs="Microsoft Sans Serif"/>
          <w:caps/>
          <w:noProof/>
        </w:rPr>
        <w:t xml:space="preserve"> 16-1</w:t>
      </w: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407B">
        <w:rPr>
          <w:rFonts w:ascii="Microsoft Sans Serif" w:hAnsi="Microsoft Sans Serif" w:cs="Microsoft Sans Serif"/>
          <w:caps/>
          <w:noProof/>
        </w:rPr>
        <w:t>15219</w:t>
      </w:r>
    </w:p>
    <w:p w:rsidR="002F7ADF" w:rsidRPr="00057980" w:rsidRDefault="002F7ADF" w:rsidP="002F7ADF">
      <w:pPr>
        <w:rPr>
          <w:rFonts w:ascii="Microsoft Sans Serif" w:hAnsi="Microsoft Sans Serif" w:cs="Microsoft Sans Serif"/>
          <w:caps/>
        </w:rPr>
      </w:pPr>
      <w:r w:rsidRPr="00C7407B">
        <w:rPr>
          <w:rFonts w:ascii="Microsoft Sans Serif" w:hAnsi="Microsoft Sans Serif" w:cs="Microsoft Sans Serif"/>
          <w:b/>
          <w:caps/>
          <w:noProof/>
        </w:rPr>
        <w:t>412.393.6505</w:t>
      </w:r>
    </w:p>
    <w:p w:rsidR="00CA57BA" w:rsidRPr="008B455C" w:rsidRDefault="00CA57BA" w:rsidP="00EA12C1">
      <w:pPr>
        <w:tabs>
          <w:tab w:val="num" w:pos="2160"/>
        </w:tabs>
      </w:pPr>
    </w:p>
    <w:sectPr w:rsidR="00CA57BA" w:rsidRPr="008B455C" w:rsidSect="00F6612B">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D04" w:rsidRDefault="00B86D04">
      <w:r>
        <w:separator/>
      </w:r>
    </w:p>
  </w:endnote>
  <w:endnote w:type="continuationSeparator" w:id="0">
    <w:p w:rsidR="00B86D04" w:rsidRDefault="00B86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E1" w:rsidRDefault="00DC22E0" w:rsidP="008E4FD6">
    <w:pPr>
      <w:pStyle w:val="Footer"/>
      <w:framePr w:wrap="around" w:vAnchor="text" w:hAnchor="margin" w:xAlign="center" w:y="1"/>
      <w:rPr>
        <w:rStyle w:val="PageNumber"/>
      </w:rPr>
    </w:pPr>
    <w:r>
      <w:rPr>
        <w:rStyle w:val="PageNumber"/>
      </w:rPr>
      <w:fldChar w:fldCharType="begin"/>
    </w:r>
    <w:r w:rsidR="007E48E1">
      <w:rPr>
        <w:rStyle w:val="PageNumber"/>
      </w:rPr>
      <w:instrText xml:space="preserve">PAGE  </w:instrText>
    </w:r>
    <w:r>
      <w:rPr>
        <w:rStyle w:val="PageNumber"/>
      </w:rPr>
      <w:fldChar w:fldCharType="end"/>
    </w:r>
  </w:p>
  <w:p w:rsidR="007E48E1" w:rsidRDefault="007E48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E1" w:rsidRPr="007A5EEF" w:rsidRDefault="00DC22E0" w:rsidP="007A5EEF">
    <w:pPr>
      <w:pStyle w:val="Footer"/>
      <w:framePr w:wrap="around" w:vAnchor="text" w:hAnchor="page" w:x="6091" w:y="22"/>
      <w:rPr>
        <w:rStyle w:val="PageNumber"/>
      </w:rPr>
    </w:pPr>
    <w:r w:rsidRPr="007A5EEF">
      <w:rPr>
        <w:rStyle w:val="PageNumber"/>
      </w:rPr>
      <w:fldChar w:fldCharType="begin"/>
    </w:r>
    <w:r w:rsidR="007E48E1" w:rsidRPr="007A5EEF">
      <w:rPr>
        <w:rStyle w:val="PageNumber"/>
      </w:rPr>
      <w:instrText xml:space="preserve">PAGE  </w:instrText>
    </w:r>
    <w:r w:rsidRPr="007A5EEF">
      <w:rPr>
        <w:rStyle w:val="PageNumber"/>
      </w:rPr>
      <w:fldChar w:fldCharType="separate"/>
    </w:r>
    <w:r w:rsidR="00933701">
      <w:rPr>
        <w:rStyle w:val="PageNumber"/>
        <w:noProof/>
      </w:rPr>
      <w:t>7</w:t>
    </w:r>
    <w:r w:rsidRPr="007A5EEF">
      <w:rPr>
        <w:rStyle w:val="PageNumber"/>
      </w:rPr>
      <w:fldChar w:fldCharType="end"/>
    </w:r>
  </w:p>
  <w:p w:rsidR="007E48E1" w:rsidRDefault="007E48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Default="00DC22E0"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62" w:rsidRPr="0014242F" w:rsidRDefault="00DC22E0"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396353">
      <w:rPr>
        <w:rStyle w:val="PageNumber"/>
        <w:noProof/>
        <w:sz w:val="20"/>
        <w:szCs w:val="20"/>
      </w:rPr>
      <w:t>2</w:t>
    </w:r>
    <w:r w:rsidRPr="0014242F">
      <w:rPr>
        <w:rStyle w:val="PageNumber"/>
        <w:sz w:val="20"/>
        <w:szCs w:val="20"/>
      </w:rPr>
      <w:fldChar w:fldCharType="end"/>
    </w:r>
  </w:p>
  <w:p w:rsidR="00F30562" w:rsidRDefault="00F305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D04" w:rsidRDefault="00B86D04">
      <w:r>
        <w:separator/>
      </w:r>
    </w:p>
  </w:footnote>
  <w:footnote w:type="continuationSeparator" w:id="0">
    <w:p w:rsidR="00B86D04" w:rsidRDefault="00B86D04">
      <w:r>
        <w:continuationSeparator/>
      </w:r>
    </w:p>
  </w:footnote>
  <w:footnote w:id="1">
    <w:p w:rsidR="00A6043D" w:rsidRDefault="00A6043D" w:rsidP="00A6043D">
      <w:pPr>
        <w:pStyle w:val="FootnoteText"/>
        <w:ind w:firstLine="720"/>
      </w:pPr>
      <w:r>
        <w:rPr>
          <w:rStyle w:val="FootnoteReference"/>
        </w:rPr>
        <w:footnoteRef/>
      </w:r>
      <w:r w:rsidR="00C518D5">
        <w:t xml:space="preserve"> </w:t>
      </w:r>
      <w:proofErr w:type="gramStart"/>
      <w:r>
        <w:t xml:space="preserve">See </w:t>
      </w:r>
      <w:r w:rsidRPr="00A6043D">
        <w:rPr>
          <w:u w:val="single"/>
        </w:rPr>
        <w:t>Norfolk &amp; Western Ry. Company v. Pennsylvania Public Utility Commission</w:t>
      </w:r>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Department of Public Welfare</w:t>
      </w:r>
      <w:r w:rsidRPr="00A6043D">
        <w:t xml:space="preserve">, 480 A.2d 382 (Pa. </w:t>
      </w:r>
      <w:proofErr w:type="spellStart"/>
      <w:r w:rsidRPr="00A6043D">
        <w:t>Cmwlth</w:t>
      </w:r>
      <w:proofErr w:type="spellEnd"/>
      <w:r w:rsidRPr="00A6043D">
        <w:t>. 1984).</w:t>
      </w:r>
      <w:proofErr w:type="gramEnd"/>
    </w:p>
    <w:p w:rsidR="00A6043D" w:rsidRDefault="00A6043D" w:rsidP="00A6043D">
      <w:pPr>
        <w:pStyle w:val="FootnoteText"/>
        <w:ind w:firstLine="720"/>
      </w:pPr>
    </w:p>
  </w:footnote>
  <w:footnote w:id="2">
    <w:p w:rsidR="00A6043D" w:rsidRDefault="00A6043D" w:rsidP="00A6043D">
      <w:pPr>
        <w:pStyle w:val="FootnoteText"/>
        <w:ind w:firstLine="720"/>
      </w:pPr>
      <w:r>
        <w:rPr>
          <w:rStyle w:val="FootnoteReference"/>
        </w:rPr>
        <w:footnoteRef/>
      </w:r>
      <w:r w:rsidR="00CC4851">
        <w:t xml:space="preserve"> </w:t>
      </w:r>
      <w:r w:rsidRPr="00A6043D">
        <w:t xml:space="preserve">See </w:t>
      </w:r>
      <w:proofErr w:type="spellStart"/>
      <w:r w:rsidRPr="00A6043D">
        <w:rPr>
          <w:u w:val="single"/>
        </w:rPr>
        <w:t>DeFranscesco</w:t>
      </w:r>
      <w:proofErr w:type="spellEnd"/>
      <w:r w:rsidRPr="00A6043D">
        <w:rPr>
          <w:u w:val="single"/>
        </w:rPr>
        <w:t xml:space="preserve"> v. West Penn Power Company</w:t>
      </w:r>
      <w:r w:rsidRPr="00A6043D">
        <w:t xml:space="preserve">, 329 Pa. Superior Ct. 508, </w:t>
      </w:r>
      <w:proofErr w:type="gramStart"/>
      <w:r w:rsidRPr="00A6043D">
        <w:t>478 A.2d 1295</w:t>
      </w:r>
      <w:proofErr w:type="gramEnd"/>
      <w:r w:rsidRPr="00A6043D">
        <w:t xml:space="preserve"> (1984).</w:t>
      </w:r>
    </w:p>
  </w:footnote>
  <w:footnote w:id="3">
    <w:p w:rsidR="00A7499F" w:rsidRDefault="00A7499F" w:rsidP="00A7499F">
      <w:pPr>
        <w:pStyle w:val="FootnoteText"/>
        <w:ind w:firstLine="720"/>
      </w:pPr>
      <w:r>
        <w:rPr>
          <w:rStyle w:val="FootnoteReference"/>
        </w:rPr>
        <w:footnoteRef/>
      </w:r>
      <w:r w:rsidR="0002677E">
        <w:t xml:space="preserve"> </w:t>
      </w:r>
      <w:r w:rsidR="00493BBB">
        <w:t xml:space="preserve">See </w:t>
      </w:r>
      <w:r w:rsidR="00493BBB" w:rsidRPr="00493BBB">
        <w:rPr>
          <w:u w:val="single"/>
        </w:rPr>
        <w:t xml:space="preserve">Morrissey v. </w:t>
      </w:r>
      <w:proofErr w:type="spellStart"/>
      <w:proofErr w:type="gramStart"/>
      <w:r w:rsidR="00493BBB" w:rsidRPr="00493BBB">
        <w:rPr>
          <w:u w:val="single"/>
        </w:rPr>
        <w:t>Commw</w:t>
      </w:r>
      <w:proofErr w:type="spellEnd"/>
      <w:r w:rsidR="00493BBB" w:rsidRPr="00493BBB">
        <w:rPr>
          <w:u w:val="single"/>
        </w:rPr>
        <w:t>.,</w:t>
      </w:r>
      <w:proofErr w:type="gramEnd"/>
      <w:r w:rsidR="00493BBB" w:rsidRPr="00493BBB">
        <w:rPr>
          <w:u w:val="single"/>
        </w:rPr>
        <w:t xml:space="preserve"> Dept. of Highways</w:t>
      </w:r>
      <w:r w:rsidR="00493BBB">
        <w:t xml:space="preserve">, 424 Pa. 87, 225 A.2d 895 (1967) and </w:t>
      </w:r>
      <w:r w:rsidR="00493BBB" w:rsidRPr="00493BBB">
        <w:rPr>
          <w:u w:val="single"/>
        </w:rPr>
        <w:t>Burleson v</w:t>
      </w:r>
      <w:r w:rsidR="004819B5">
        <w:rPr>
          <w:u w:val="single"/>
        </w:rPr>
        <w:t>.</w:t>
      </w:r>
      <w:r w:rsidR="00493BBB" w:rsidRPr="00493BBB">
        <w:rPr>
          <w:u w:val="single"/>
        </w:rPr>
        <w:t xml:space="preserve"> Penna. Public Utility Commission</w:t>
      </w:r>
      <w:r w:rsidR="00493BBB">
        <w:t xml:space="preserve">, 66 Pa. </w:t>
      </w:r>
      <w:proofErr w:type="spellStart"/>
      <w:r w:rsidR="00493BBB">
        <w:t>Commw</w:t>
      </w:r>
      <w:proofErr w:type="spellEnd"/>
      <w:r w:rsidR="00493BBB">
        <w:t xml:space="preserve">. 282, 443 A.2d 1373 (1982), </w:t>
      </w:r>
      <w:proofErr w:type="spellStart"/>
      <w:r w:rsidR="00493BBB" w:rsidRPr="00493BBB">
        <w:rPr>
          <w:u w:val="single"/>
        </w:rPr>
        <w:t>aff’d</w:t>
      </w:r>
      <w:proofErr w:type="spellEnd"/>
      <w:r w:rsidR="00493BBB">
        <w:t xml:space="preserve"> 501 Pa. 443, 461 A.2d 1234.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A57BA"/>
    <w:rsid w:val="00000E5F"/>
    <w:rsid w:val="00002933"/>
    <w:rsid w:val="00004CAB"/>
    <w:rsid w:val="00010C1B"/>
    <w:rsid w:val="00014CD9"/>
    <w:rsid w:val="00015B93"/>
    <w:rsid w:val="00015E77"/>
    <w:rsid w:val="000218E1"/>
    <w:rsid w:val="0002562B"/>
    <w:rsid w:val="0002677E"/>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81933"/>
    <w:rsid w:val="0008418F"/>
    <w:rsid w:val="000841E3"/>
    <w:rsid w:val="00091995"/>
    <w:rsid w:val="000919E3"/>
    <w:rsid w:val="000920B0"/>
    <w:rsid w:val="000943A5"/>
    <w:rsid w:val="00094EC4"/>
    <w:rsid w:val="00095A48"/>
    <w:rsid w:val="000A7A7E"/>
    <w:rsid w:val="000A7DE2"/>
    <w:rsid w:val="000B0443"/>
    <w:rsid w:val="000B1450"/>
    <w:rsid w:val="000B4044"/>
    <w:rsid w:val="000B575F"/>
    <w:rsid w:val="000B7C98"/>
    <w:rsid w:val="000C22D0"/>
    <w:rsid w:val="000C39FB"/>
    <w:rsid w:val="000C639E"/>
    <w:rsid w:val="000C6633"/>
    <w:rsid w:val="000C736C"/>
    <w:rsid w:val="000D4E83"/>
    <w:rsid w:val="000D6424"/>
    <w:rsid w:val="000D7D68"/>
    <w:rsid w:val="000E0DDA"/>
    <w:rsid w:val="000E33AA"/>
    <w:rsid w:val="000E4C15"/>
    <w:rsid w:val="000E4D29"/>
    <w:rsid w:val="000F0F3C"/>
    <w:rsid w:val="000F45A3"/>
    <w:rsid w:val="000F4D6B"/>
    <w:rsid w:val="0010040A"/>
    <w:rsid w:val="00103B9D"/>
    <w:rsid w:val="0010437D"/>
    <w:rsid w:val="00106746"/>
    <w:rsid w:val="001130C8"/>
    <w:rsid w:val="001140BC"/>
    <w:rsid w:val="001161AA"/>
    <w:rsid w:val="0011788E"/>
    <w:rsid w:val="0012141F"/>
    <w:rsid w:val="00121AE5"/>
    <w:rsid w:val="0012478B"/>
    <w:rsid w:val="00125CCD"/>
    <w:rsid w:val="00130E27"/>
    <w:rsid w:val="001339E0"/>
    <w:rsid w:val="00133A47"/>
    <w:rsid w:val="00133B41"/>
    <w:rsid w:val="001354D6"/>
    <w:rsid w:val="00137307"/>
    <w:rsid w:val="001375AA"/>
    <w:rsid w:val="00142A80"/>
    <w:rsid w:val="00143FA7"/>
    <w:rsid w:val="00144748"/>
    <w:rsid w:val="00144BDA"/>
    <w:rsid w:val="00145EBF"/>
    <w:rsid w:val="001513EC"/>
    <w:rsid w:val="00152853"/>
    <w:rsid w:val="00153E19"/>
    <w:rsid w:val="00156938"/>
    <w:rsid w:val="00156A90"/>
    <w:rsid w:val="0016133D"/>
    <w:rsid w:val="00165400"/>
    <w:rsid w:val="00165B98"/>
    <w:rsid w:val="00166F22"/>
    <w:rsid w:val="00167534"/>
    <w:rsid w:val="0017741E"/>
    <w:rsid w:val="00182EDA"/>
    <w:rsid w:val="0018379D"/>
    <w:rsid w:val="00183AE1"/>
    <w:rsid w:val="00185EF9"/>
    <w:rsid w:val="00190788"/>
    <w:rsid w:val="00195561"/>
    <w:rsid w:val="00196E40"/>
    <w:rsid w:val="001B283D"/>
    <w:rsid w:val="001B3B0D"/>
    <w:rsid w:val="001B436F"/>
    <w:rsid w:val="001B5AF2"/>
    <w:rsid w:val="001C3008"/>
    <w:rsid w:val="001C5F76"/>
    <w:rsid w:val="001D1195"/>
    <w:rsid w:val="001D1DC6"/>
    <w:rsid w:val="001D5E87"/>
    <w:rsid w:val="001D67F3"/>
    <w:rsid w:val="001D6F49"/>
    <w:rsid w:val="001D7070"/>
    <w:rsid w:val="001D78CA"/>
    <w:rsid w:val="001D79FF"/>
    <w:rsid w:val="001E2C24"/>
    <w:rsid w:val="001F030C"/>
    <w:rsid w:val="001F758E"/>
    <w:rsid w:val="00200D48"/>
    <w:rsid w:val="00200ED0"/>
    <w:rsid w:val="00203C61"/>
    <w:rsid w:val="00206B04"/>
    <w:rsid w:val="002075E6"/>
    <w:rsid w:val="00210334"/>
    <w:rsid w:val="00210460"/>
    <w:rsid w:val="002132C0"/>
    <w:rsid w:val="00214A19"/>
    <w:rsid w:val="002154B5"/>
    <w:rsid w:val="002165A2"/>
    <w:rsid w:val="00216A05"/>
    <w:rsid w:val="00230C81"/>
    <w:rsid w:val="0023169E"/>
    <w:rsid w:val="00234C5A"/>
    <w:rsid w:val="00244AD1"/>
    <w:rsid w:val="002520A5"/>
    <w:rsid w:val="00254BFC"/>
    <w:rsid w:val="00254FD1"/>
    <w:rsid w:val="0025557F"/>
    <w:rsid w:val="00263EFE"/>
    <w:rsid w:val="00264C6D"/>
    <w:rsid w:val="00265108"/>
    <w:rsid w:val="0026526F"/>
    <w:rsid w:val="00271E72"/>
    <w:rsid w:val="00271FF1"/>
    <w:rsid w:val="00280380"/>
    <w:rsid w:val="00280AF0"/>
    <w:rsid w:val="00283A3F"/>
    <w:rsid w:val="00284FA9"/>
    <w:rsid w:val="00286074"/>
    <w:rsid w:val="002867AD"/>
    <w:rsid w:val="002904BB"/>
    <w:rsid w:val="00291917"/>
    <w:rsid w:val="00293E92"/>
    <w:rsid w:val="00295403"/>
    <w:rsid w:val="002A625C"/>
    <w:rsid w:val="002A78AC"/>
    <w:rsid w:val="002B433A"/>
    <w:rsid w:val="002B4996"/>
    <w:rsid w:val="002B4DFA"/>
    <w:rsid w:val="002C703F"/>
    <w:rsid w:val="002C7AB0"/>
    <w:rsid w:val="002D04F8"/>
    <w:rsid w:val="002D29E7"/>
    <w:rsid w:val="002E2B6E"/>
    <w:rsid w:val="002E597B"/>
    <w:rsid w:val="002E5A74"/>
    <w:rsid w:val="002E6B15"/>
    <w:rsid w:val="002F15F6"/>
    <w:rsid w:val="002F1743"/>
    <w:rsid w:val="002F4F6F"/>
    <w:rsid w:val="002F6CA8"/>
    <w:rsid w:val="002F6DFB"/>
    <w:rsid w:val="002F7ADF"/>
    <w:rsid w:val="00302C62"/>
    <w:rsid w:val="00302D41"/>
    <w:rsid w:val="00307FF8"/>
    <w:rsid w:val="00311588"/>
    <w:rsid w:val="003121E7"/>
    <w:rsid w:val="00324C80"/>
    <w:rsid w:val="00324D48"/>
    <w:rsid w:val="00326059"/>
    <w:rsid w:val="00330B01"/>
    <w:rsid w:val="0033183D"/>
    <w:rsid w:val="00334D84"/>
    <w:rsid w:val="0034231B"/>
    <w:rsid w:val="00342B49"/>
    <w:rsid w:val="0034410D"/>
    <w:rsid w:val="0034692A"/>
    <w:rsid w:val="0035629D"/>
    <w:rsid w:val="003603C7"/>
    <w:rsid w:val="00360442"/>
    <w:rsid w:val="00360EB9"/>
    <w:rsid w:val="00361EAC"/>
    <w:rsid w:val="003649AC"/>
    <w:rsid w:val="00365F7C"/>
    <w:rsid w:val="00370128"/>
    <w:rsid w:val="00373245"/>
    <w:rsid w:val="00373ECC"/>
    <w:rsid w:val="0037694C"/>
    <w:rsid w:val="00380F4B"/>
    <w:rsid w:val="00383822"/>
    <w:rsid w:val="00386C1C"/>
    <w:rsid w:val="00387E50"/>
    <w:rsid w:val="003908EE"/>
    <w:rsid w:val="00391096"/>
    <w:rsid w:val="00394A82"/>
    <w:rsid w:val="00396353"/>
    <w:rsid w:val="00396518"/>
    <w:rsid w:val="003B045F"/>
    <w:rsid w:val="003B3294"/>
    <w:rsid w:val="003B4F65"/>
    <w:rsid w:val="003B7783"/>
    <w:rsid w:val="003C1053"/>
    <w:rsid w:val="003C13E7"/>
    <w:rsid w:val="003C2777"/>
    <w:rsid w:val="003C417D"/>
    <w:rsid w:val="003C4E1D"/>
    <w:rsid w:val="003C7776"/>
    <w:rsid w:val="003D0DEF"/>
    <w:rsid w:val="003D374F"/>
    <w:rsid w:val="003D500A"/>
    <w:rsid w:val="003D5173"/>
    <w:rsid w:val="003D67D8"/>
    <w:rsid w:val="003E1EE5"/>
    <w:rsid w:val="003E2BB0"/>
    <w:rsid w:val="003E2D32"/>
    <w:rsid w:val="003E60E7"/>
    <w:rsid w:val="003F1BC1"/>
    <w:rsid w:val="003F56DB"/>
    <w:rsid w:val="003F6E27"/>
    <w:rsid w:val="0040104B"/>
    <w:rsid w:val="0040125C"/>
    <w:rsid w:val="00411416"/>
    <w:rsid w:val="0041637D"/>
    <w:rsid w:val="00421585"/>
    <w:rsid w:val="004219BD"/>
    <w:rsid w:val="00424E72"/>
    <w:rsid w:val="00430437"/>
    <w:rsid w:val="00431883"/>
    <w:rsid w:val="004322BD"/>
    <w:rsid w:val="00440B6B"/>
    <w:rsid w:val="004455C4"/>
    <w:rsid w:val="00446EE8"/>
    <w:rsid w:val="00462770"/>
    <w:rsid w:val="0046290B"/>
    <w:rsid w:val="004635FD"/>
    <w:rsid w:val="00465878"/>
    <w:rsid w:val="0046652F"/>
    <w:rsid w:val="00470AFC"/>
    <w:rsid w:val="00472A21"/>
    <w:rsid w:val="00474C53"/>
    <w:rsid w:val="00477B44"/>
    <w:rsid w:val="004819B5"/>
    <w:rsid w:val="00483A4C"/>
    <w:rsid w:val="004859D0"/>
    <w:rsid w:val="00487AE0"/>
    <w:rsid w:val="00493BBB"/>
    <w:rsid w:val="004970DA"/>
    <w:rsid w:val="004A26B6"/>
    <w:rsid w:val="004A47A6"/>
    <w:rsid w:val="004A6673"/>
    <w:rsid w:val="004A7777"/>
    <w:rsid w:val="004B34C6"/>
    <w:rsid w:val="004B422F"/>
    <w:rsid w:val="004B4B53"/>
    <w:rsid w:val="004B6A2B"/>
    <w:rsid w:val="004B7FA4"/>
    <w:rsid w:val="004C32C0"/>
    <w:rsid w:val="004C5FA9"/>
    <w:rsid w:val="004C6202"/>
    <w:rsid w:val="004D0CBE"/>
    <w:rsid w:val="004D2634"/>
    <w:rsid w:val="004D3826"/>
    <w:rsid w:val="004D3A14"/>
    <w:rsid w:val="004D454A"/>
    <w:rsid w:val="004D477D"/>
    <w:rsid w:val="004D75D5"/>
    <w:rsid w:val="004E01BD"/>
    <w:rsid w:val="004E3B20"/>
    <w:rsid w:val="004E4252"/>
    <w:rsid w:val="004E605F"/>
    <w:rsid w:val="004E7B43"/>
    <w:rsid w:val="0050181E"/>
    <w:rsid w:val="0050497A"/>
    <w:rsid w:val="00504A1A"/>
    <w:rsid w:val="00507ECF"/>
    <w:rsid w:val="00515DD0"/>
    <w:rsid w:val="00517217"/>
    <w:rsid w:val="00522985"/>
    <w:rsid w:val="00531E4E"/>
    <w:rsid w:val="00537506"/>
    <w:rsid w:val="005375AF"/>
    <w:rsid w:val="0053772F"/>
    <w:rsid w:val="00540E3A"/>
    <w:rsid w:val="00543B7C"/>
    <w:rsid w:val="00543F98"/>
    <w:rsid w:val="005447FE"/>
    <w:rsid w:val="00544F7E"/>
    <w:rsid w:val="00545043"/>
    <w:rsid w:val="005451B0"/>
    <w:rsid w:val="00547948"/>
    <w:rsid w:val="00550F87"/>
    <w:rsid w:val="00552C73"/>
    <w:rsid w:val="00553E91"/>
    <w:rsid w:val="00557326"/>
    <w:rsid w:val="00560A07"/>
    <w:rsid w:val="00563142"/>
    <w:rsid w:val="00563254"/>
    <w:rsid w:val="005637DF"/>
    <w:rsid w:val="00563FC3"/>
    <w:rsid w:val="005647C7"/>
    <w:rsid w:val="005763CB"/>
    <w:rsid w:val="00577567"/>
    <w:rsid w:val="00580981"/>
    <w:rsid w:val="00580D5E"/>
    <w:rsid w:val="0058201B"/>
    <w:rsid w:val="005900D4"/>
    <w:rsid w:val="0059029B"/>
    <w:rsid w:val="00592DDB"/>
    <w:rsid w:val="00596262"/>
    <w:rsid w:val="0059631D"/>
    <w:rsid w:val="005A3E08"/>
    <w:rsid w:val="005A77D0"/>
    <w:rsid w:val="005B64BD"/>
    <w:rsid w:val="005C6D4A"/>
    <w:rsid w:val="005D03F4"/>
    <w:rsid w:val="005D4345"/>
    <w:rsid w:val="005E1CC5"/>
    <w:rsid w:val="005E2935"/>
    <w:rsid w:val="005E636D"/>
    <w:rsid w:val="005E6DB5"/>
    <w:rsid w:val="005F4120"/>
    <w:rsid w:val="00600AE4"/>
    <w:rsid w:val="00600EE9"/>
    <w:rsid w:val="0060359F"/>
    <w:rsid w:val="00607B04"/>
    <w:rsid w:val="00613AE9"/>
    <w:rsid w:val="00616E73"/>
    <w:rsid w:val="00616FE9"/>
    <w:rsid w:val="00617C29"/>
    <w:rsid w:val="006220FF"/>
    <w:rsid w:val="00623177"/>
    <w:rsid w:val="00632562"/>
    <w:rsid w:val="00633976"/>
    <w:rsid w:val="00633E89"/>
    <w:rsid w:val="0063487E"/>
    <w:rsid w:val="006354D3"/>
    <w:rsid w:val="00636459"/>
    <w:rsid w:val="00641052"/>
    <w:rsid w:val="00644349"/>
    <w:rsid w:val="00645FE8"/>
    <w:rsid w:val="0065019D"/>
    <w:rsid w:val="006515DB"/>
    <w:rsid w:val="00651AB0"/>
    <w:rsid w:val="0065346D"/>
    <w:rsid w:val="00653FDE"/>
    <w:rsid w:val="006552C8"/>
    <w:rsid w:val="00655B18"/>
    <w:rsid w:val="0066212D"/>
    <w:rsid w:val="00664032"/>
    <w:rsid w:val="006663CA"/>
    <w:rsid w:val="0066791C"/>
    <w:rsid w:val="00674B93"/>
    <w:rsid w:val="006771E3"/>
    <w:rsid w:val="006772A2"/>
    <w:rsid w:val="00682B76"/>
    <w:rsid w:val="006869B5"/>
    <w:rsid w:val="00687C7C"/>
    <w:rsid w:val="00691FDA"/>
    <w:rsid w:val="00692E3E"/>
    <w:rsid w:val="00694153"/>
    <w:rsid w:val="0069460C"/>
    <w:rsid w:val="006954BC"/>
    <w:rsid w:val="006A0714"/>
    <w:rsid w:val="006A7864"/>
    <w:rsid w:val="006B0612"/>
    <w:rsid w:val="006B2DFE"/>
    <w:rsid w:val="006B50E8"/>
    <w:rsid w:val="006B629F"/>
    <w:rsid w:val="006B7DE7"/>
    <w:rsid w:val="006C13BF"/>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B77"/>
    <w:rsid w:val="006F324E"/>
    <w:rsid w:val="006F5FE7"/>
    <w:rsid w:val="006F60DA"/>
    <w:rsid w:val="006F6520"/>
    <w:rsid w:val="006F7393"/>
    <w:rsid w:val="00700704"/>
    <w:rsid w:val="00700E85"/>
    <w:rsid w:val="00701501"/>
    <w:rsid w:val="00710B17"/>
    <w:rsid w:val="00710CE3"/>
    <w:rsid w:val="0071171E"/>
    <w:rsid w:val="007121EF"/>
    <w:rsid w:val="0071586C"/>
    <w:rsid w:val="007172D2"/>
    <w:rsid w:val="00720A51"/>
    <w:rsid w:val="00720C39"/>
    <w:rsid w:val="007272A7"/>
    <w:rsid w:val="00732CDD"/>
    <w:rsid w:val="00736DBA"/>
    <w:rsid w:val="00740BC6"/>
    <w:rsid w:val="007454F2"/>
    <w:rsid w:val="007516D0"/>
    <w:rsid w:val="00751CE0"/>
    <w:rsid w:val="007535C9"/>
    <w:rsid w:val="00753A3F"/>
    <w:rsid w:val="00754FD3"/>
    <w:rsid w:val="00757A01"/>
    <w:rsid w:val="00762CDE"/>
    <w:rsid w:val="00766B36"/>
    <w:rsid w:val="0077246E"/>
    <w:rsid w:val="00772949"/>
    <w:rsid w:val="00772CFC"/>
    <w:rsid w:val="00776CD8"/>
    <w:rsid w:val="0078110D"/>
    <w:rsid w:val="00781A81"/>
    <w:rsid w:val="00783095"/>
    <w:rsid w:val="00785AF3"/>
    <w:rsid w:val="0079328F"/>
    <w:rsid w:val="007939B6"/>
    <w:rsid w:val="00794EFF"/>
    <w:rsid w:val="00794F1B"/>
    <w:rsid w:val="007A32D3"/>
    <w:rsid w:val="007A40D1"/>
    <w:rsid w:val="007A5552"/>
    <w:rsid w:val="007A5EEF"/>
    <w:rsid w:val="007B6775"/>
    <w:rsid w:val="007C06FD"/>
    <w:rsid w:val="007C404E"/>
    <w:rsid w:val="007D2958"/>
    <w:rsid w:val="007D2DA0"/>
    <w:rsid w:val="007D79D2"/>
    <w:rsid w:val="007E48E1"/>
    <w:rsid w:val="007E7B4E"/>
    <w:rsid w:val="007F02A4"/>
    <w:rsid w:val="007F479E"/>
    <w:rsid w:val="00806E0D"/>
    <w:rsid w:val="00823FCA"/>
    <w:rsid w:val="00824890"/>
    <w:rsid w:val="008251D8"/>
    <w:rsid w:val="00836E65"/>
    <w:rsid w:val="008418E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91035"/>
    <w:rsid w:val="008927B5"/>
    <w:rsid w:val="00892EA3"/>
    <w:rsid w:val="00894816"/>
    <w:rsid w:val="008A28F8"/>
    <w:rsid w:val="008A63E2"/>
    <w:rsid w:val="008B3879"/>
    <w:rsid w:val="008B445B"/>
    <w:rsid w:val="008B455C"/>
    <w:rsid w:val="008B6587"/>
    <w:rsid w:val="008B6F28"/>
    <w:rsid w:val="008C17E6"/>
    <w:rsid w:val="008C36F2"/>
    <w:rsid w:val="008C666D"/>
    <w:rsid w:val="008C7936"/>
    <w:rsid w:val="008D0326"/>
    <w:rsid w:val="008D0D31"/>
    <w:rsid w:val="008D6CA9"/>
    <w:rsid w:val="008D6E2C"/>
    <w:rsid w:val="008D7DC6"/>
    <w:rsid w:val="008E09C6"/>
    <w:rsid w:val="008E0B49"/>
    <w:rsid w:val="008E0E89"/>
    <w:rsid w:val="008E10FA"/>
    <w:rsid w:val="008E450B"/>
    <w:rsid w:val="008E4FD6"/>
    <w:rsid w:val="008E5C99"/>
    <w:rsid w:val="008F4EF2"/>
    <w:rsid w:val="008F7C99"/>
    <w:rsid w:val="009001C9"/>
    <w:rsid w:val="00906FD4"/>
    <w:rsid w:val="009101FF"/>
    <w:rsid w:val="00910A53"/>
    <w:rsid w:val="00917283"/>
    <w:rsid w:val="0092068A"/>
    <w:rsid w:val="00921285"/>
    <w:rsid w:val="009252B2"/>
    <w:rsid w:val="009310EE"/>
    <w:rsid w:val="00933485"/>
    <w:rsid w:val="00933701"/>
    <w:rsid w:val="0094142D"/>
    <w:rsid w:val="00943CC8"/>
    <w:rsid w:val="00943E53"/>
    <w:rsid w:val="009445CA"/>
    <w:rsid w:val="00944A1C"/>
    <w:rsid w:val="00960580"/>
    <w:rsid w:val="00962EE7"/>
    <w:rsid w:val="00966C36"/>
    <w:rsid w:val="00970027"/>
    <w:rsid w:val="009760CB"/>
    <w:rsid w:val="009901A1"/>
    <w:rsid w:val="009A5AF8"/>
    <w:rsid w:val="009A6CC7"/>
    <w:rsid w:val="009B446B"/>
    <w:rsid w:val="009C05E9"/>
    <w:rsid w:val="009C27D2"/>
    <w:rsid w:val="009C3132"/>
    <w:rsid w:val="009C4526"/>
    <w:rsid w:val="009C5EB5"/>
    <w:rsid w:val="009D227B"/>
    <w:rsid w:val="009D2B67"/>
    <w:rsid w:val="009D47A5"/>
    <w:rsid w:val="009D69B6"/>
    <w:rsid w:val="009E6876"/>
    <w:rsid w:val="009F38D7"/>
    <w:rsid w:val="009F579E"/>
    <w:rsid w:val="009F6130"/>
    <w:rsid w:val="00A00793"/>
    <w:rsid w:val="00A02454"/>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355E"/>
    <w:rsid w:val="00A469B4"/>
    <w:rsid w:val="00A46AA1"/>
    <w:rsid w:val="00A511AD"/>
    <w:rsid w:val="00A52673"/>
    <w:rsid w:val="00A55F7C"/>
    <w:rsid w:val="00A6043D"/>
    <w:rsid w:val="00A61835"/>
    <w:rsid w:val="00A64AC5"/>
    <w:rsid w:val="00A70C75"/>
    <w:rsid w:val="00A733A2"/>
    <w:rsid w:val="00A7499F"/>
    <w:rsid w:val="00A801E7"/>
    <w:rsid w:val="00A806BC"/>
    <w:rsid w:val="00A80E4E"/>
    <w:rsid w:val="00A831C5"/>
    <w:rsid w:val="00A848BA"/>
    <w:rsid w:val="00A86E3D"/>
    <w:rsid w:val="00A90619"/>
    <w:rsid w:val="00A914E9"/>
    <w:rsid w:val="00A93EC0"/>
    <w:rsid w:val="00A94A48"/>
    <w:rsid w:val="00A96447"/>
    <w:rsid w:val="00AA70E2"/>
    <w:rsid w:val="00AB30CF"/>
    <w:rsid w:val="00AB40A9"/>
    <w:rsid w:val="00AC1113"/>
    <w:rsid w:val="00AC1F4C"/>
    <w:rsid w:val="00AC3C83"/>
    <w:rsid w:val="00AC6067"/>
    <w:rsid w:val="00AC6745"/>
    <w:rsid w:val="00AC6E5D"/>
    <w:rsid w:val="00AD40B2"/>
    <w:rsid w:val="00AE20FB"/>
    <w:rsid w:val="00AE290D"/>
    <w:rsid w:val="00AE3923"/>
    <w:rsid w:val="00AF4238"/>
    <w:rsid w:val="00AF5FC0"/>
    <w:rsid w:val="00AF63EA"/>
    <w:rsid w:val="00B010E8"/>
    <w:rsid w:val="00B16875"/>
    <w:rsid w:val="00B219F2"/>
    <w:rsid w:val="00B23445"/>
    <w:rsid w:val="00B32996"/>
    <w:rsid w:val="00B33E15"/>
    <w:rsid w:val="00B37A46"/>
    <w:rsid w:val="00B406E2"/>
    <w:rsid w:val="00B40E5D"/>
    <w:rsid w:val="00B41507"/>
    <w:rsid w:val="00B428F4"/>
    <w:rsid w:val="00B44FB1"/>
    <w:rsid w:val="00B46636"/>
    <w:rsid w:val="00B50814"/>
    <w:rsid w:val="00B50BB3"/>
    <w:rsid w:val="00B5162C"/>
    <w:rsid w:val="00B524A4"/>
    <w:rsid w:val="00B55DDC"/>
    <w:rsid w:val="00B66DDD"/>
    <w:rsid w:val="00B67B97"/>
    <w:rsid w:val="00B7377B"/>
    <w:rsid w:val="00B77E42"/>
    <w:rsid w:val="00B81FED"/>
    <w:rsid w:val="00B845F6"/>
    <w:rsid w:val="00B85EE4"/>
    <w:rsid w:val="00B86D04"/>
    <w:rsid w:val="00B91AD9"/>
    <w:rsid w:val="00B93A4F"/>
    <w:rsid w:val="00B946B2"/>
    <w:rsid w:val="00B94FFF"/>
    <w:rsid w:val="00B97032"/>
    <w:rsid w:val="00BA1C5C"/>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B60"/>
    <w:rsid w:val="00C0572F"/>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908DB"/>
    <w:rsid w:val="00C931B6"/>
    <w:rsid w:val="00C93B23"/>
    <w:rsid w:val="00CA0FA9"/>
    <w:rsid w:val="00CA262F"/>
    <w:rsid w:val="00CA57BA"/>
    <w:rsid w:val="00CB54CC"/>
    <w:rsid w:val="00CB7EF0"/>
    <w:rsid w:val="00CC069F"/>
    <w:rsid w:val="00CC4851"/>
    <w:rsid w:val="00CD4ED5"/>
    <w:rsid w:val="00CD53CA"/>
    <w:rsid w:val="00CD7291"/>
    <w:rsid w:val="00CE02D2"/>
    <w:rsid w:val="00CE1628"/>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5250"/>
    <w:rsid w:val="00D45488"/>
    <w:rsid w:val="00D467C6"/>
    <w:rsid w:val="00D57B37"/>
    <w:rsid w:val="00D654B3"/>
    <w:rsid w:val="00D65923"/>
    <w:rsid w:val="00D65D16"/>
    <w:rsid w:val="00D66AFA"/>
    <w:rsid w:val="00D74CB8"/>
    <w:rsid w:val="00D761B6"/>
    <w:rsid w:val="00D76D1C"/>
    <w:rsid w:val="00D76DB8"/>
    <w:rsid w:val="00D838A7"/>
    <w:rsid w:val="00D85A3F"/>
    <w:rsid w:val="00D868FB"/>
    <w:rsid w:val="00D86C43"/>
    <w:rsid w:val="00D86FEA"/>
    <w:rsid w:val="00D94038"/>
    <w:rsid w:val="00DA3335"/>
    <w:rsid w:val="00DA3D69"/>
    <w:rsid w:val="00DA430D"/>
    <w:rsid w:val="00DA5163"/>
    <w:rsid w:val="00DA66D7"/>
    <w:rsid w:val="00DA72B7"/>
    <w:rsid w:val="00DB1053"/>
    <w:rsid w:val="00DB192A"/>
    <w:rsid w:val="00DB40BF"/>
    <w:rsid w:val="00DB7463"/>
    <w:rsid w:val="00DC090B"/>
    <w:rsid w:val="00DC22E0"/>
    <w:rsid w:val="00DC297D"/>
    <w:rsid w:val="00DC3243"/>
    <w:rsid w:val="00DC5620"/>
    <w:rsid w:val="00DC6EA0"/>
    <w:rsid w:val="00DD020B"/>
    <w:rsid w:val="00DD2547"/>
    <w:rsid w:val="00DD6D12"/>
    <w:rsid w:val="00DD7859"/>
    <w:rsid w:val="00DE608E"/>
    <w:rsid w:val="00DF08BA"/>
    <w:rsid w:val="00DF0974"/>
    <w:rsid w:val="00DF2688"/>
    <w:rsid w:val="00DF26E1"/>
    <w:rsid w:val="00DF3972"/>
    <w:rsid w:val="00DF39F5"/>
    <w:rsid w:val="00DF4B76"/>
    <w:rsid w:val="00E05C97"/>
    <w:rsid w:val="00E109B6"/>
    <w:rsid w:val="00E11F39"/>
    <w:rsid w:val="00E14394"/>
    <w:rsid w:val="00E14693"/>
    <w:rsid w:val="00E14AE5"/>
    <w:rsid w:val="00E16E1F"/>
    <w:rsid w:val="00E16E9D"/>
    <w:rsid w:val="00E305D1"/>
    <w:rsid w:val="00E31B73"/>
    <w:rsid w:val="00E323A1"/>
    <w:rsid w:val="00E34A6F"/>
    <w:rsid w:val="00E36F96"/>
    <w:rsid w:val="00E41DD8"/>
    <w:rsid w:val="00E47B98"/>
    <w:rsid w:val="00E52B61"/>
    <w:rsid w:val="00E52BA8"/>
    <w:rsid w:val="00E56F54"/>
    <w:rsid w:val="00E57675"/>
    <w:rsid w:val="00E645B5"/>
    <w:rsid w:val="00E73280"/>
    <w:rsid w:val="00E75181"/>
    <w:rsid w:val="00E7573A"/>
    <w:rsid w:val="00E76081"/>
    <w:rsid w:val="00E7797A"/>
    <w:rsid w:val="00E8182E"/>
    <w:rsid w:val="00E86BB6"/>
    <w:rsid w:val="00E87654"/>
    <w:rsid w:val="00E9039A"/>
    <w:rsid w:val="00E90BC9"/>
    <w:rsid w:val="00E9204D"/>
    <w:rsid w:val="00E95158"/>
    <w:rsid w:val="00E96CE7"/>
    <w:rsid w:val="00EA075C"/>
    <w:rsid w:val="00EA12C1"/>
    <w:rsid w:val="00EA1752"/>
    <w:rsid w:val="00EA1EDF"/>
    <w:rsid w:val="00EA5CC6"/>
    <w:rsid w:val="00EB08F3"/>
    <w:rsid w:val="00EB0E90"/>
    <w:rsid w:val="00EB2F3A"/>
    <w:rsid w:val="00EB5786"/>
    <w:rsid w:val="00EB6518"/>
    <w:rsid w:val="00EB7303"/>
    <w:rsid w:val="00EC1213"/>
    <w:rsid w:val="00EC1C81"/>
    <w:rsid w:val="00EC6DA3"/>
    <w:rsid w:val="00ED0A26"/>
    <w:rsid w:val="00ED13BB"/>
    <w:rsid w:val="00ED6AF6"/>
    <w:rsid w:val="00ED7A75"/>
    <w:rsid w:val="00EE2926"/>
    <w:rsid w:val="00EF0B42"/>
    <w:rsid w:val="00EF0F65"/>
    <w:rsid w:val="00EF2B87"/>
    <w:rsid w:val="00EF49DF"/>
    <w:rsid w:val="00EF5386"/>
    <w:rsid w:val="00EF6B54"/>
    <w:rsid w:val="00EF6D7D"/>
    <w:rsid w:val="00EF7458"/>
    <w:rsid w:val="00EF7BB1"/>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28CD"/>
    <w:rsid w:val="00F3411A"/>
    <w:rsid w:val="00F35726"/>
    <w:rsid w:val="00F35B71"/>
    <w:rsid w:val="00F42A12"/>
    <w:rsid w:val="00F556B2"/>
    <w:rsid w:val="00F606DA"/>
    <w:rsid w:val="00F650AC"/>
    <w:rsid w:val="00F6612B"/>
    <w:rsid w:val="00F668A8"/>
    <w:rsid w:val="00F67901"/>
    <w:rsid w:val="00F73AC5"/>
    <w:rsid w:val="00F7580A"/>
    <w:rsid w:val="00F768B3"/>
    <w:rsid w:val="00F76C9B"/>
    <w:rsid w:val="00F81937"/>
    <w:rsid w:val="00F83DE6"/>
    <w:rsid w:val="00F8480C"/>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B6200"/>
    <w:rsid w:val="00FC0796"/>
    <w:rsid w:val="00FC23D6"/>
    <w:rsid w:val="00FC4468"/>
    <w:rsid w:val="00FC53AC"/>
    <w:rsid w:val="00FD73AA"/>
    <w:rsid w:val="00FE3E04"/>
    <w:rsid w:val="00FE558E"/>
    <w:rsid w:val="00FF021A"/>
    <w:rsid w:val="00FF0E78"/>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2CCA2-ABCA-4B5B-82D4-2FD41E94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31</cp:revision>
  <cp:lastPrinted>2011-01-31T16:52:00Z</cp:lastPrinted>
  <dcterms:created xsi:type="dcterms:W3CDTF">2011-01-07T19:40:00Z</dcterms:created>
  <dcterms:modified xsi:type="dcterms:W3CDTF">2011-01-31T16:52:00Z</dcterms:modified>
</cp:coreProperties>
</file>