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AF4" w:rsidRPr="009C6D70" w:rsidRDefault="00F40AF4" w:rsidP="00F40AF4">
      <w:pPr>
        <w:jc w:val="center"/>
        <w:rPr>
          <w:b/>
        </w:rPr>
      </w:pPr>
      <w:r w:rsidRPr="009C6D70">
        <w:rPr>
          <w:b/>
        </w:rPr>
        <w:t>BEFORE THE</w:t>
      </w:r>
    </w:p>
    <w:p w:rsidR="00F40AF4" w:rsidRPr="009C6D70" w:rsidRDefault="00F40AF4" w:rsidP="00F40AF4">
      <w:pPr>
        <w:jc w:val="center"/>
      </w:pPr>
      <w:r w:rsidRPr="009C6D70">
        <w:rPr>
          <w:b/>
        </w:rPr>
        <w:t>PENNSYLVANIA PUBLIC UTILITY COMMISSION</w:t>
      </w:r>
    </w:p>
    <w:p w:rsidR="00F40AF4" w:rsidRPr="009C6D70" w:rsidRDefault="00F40AF4" w:rsidP="00F40AF4"/>
    <w:p w:rsidR="00F40AF4" w:rsidRPr="009C6D70" w:rsidRDefault="00F40AF4" w:rsidP="00F40AF4"/>
    <w:p w:rsidR="00F40AF4" w:rsidRPr="009C6D70" w:rsidRDefault="00F40AF4" w:rsidP="00F40AF4"/>
    <w:p w:rsidR="00224F44" w:rsidRPr="009C6D70" w:rsidRDefault="00F40AF4" w:rsidP="00F40AF4">
      <w:r w:rsidRPr="009C6D70">
        <w:t>Pennsylvania Public Utility Commission</w:t>
      </w:r>
      <w:r w:rsidR="00224F44" w:rsidRPr="009C6D70">
        <w:tab/>
      </w:r>
      <w:r w:rsidR="00224F44" w:rsidRPr="009C6D70">
        <w:tab/>
        <w:t>:</w:t>
      </w:r>
      <w:r w:rsidR="00AA4C9C" w:rsidRPr="009C6D70">
        <w:tab/>
      </w:r>
      <w:r w:rsidR="00AA4C9C" w:rsidRPr="009C6D70">
        <w:tab/>
      </w:r>
      <w:r w:rsidR="00AA4C9C" w:rsidRPr="009C6D70">
        <w:tab/>
        <w:t>R-2010-2179522</w:t>
      </w:r>
    </w:p>
    <w:p w:rsidR="00224F44" w:rsidRPr="009C6D70" w:rsidRDefault="00224F44" w:rsidP="00F40AF4">
      <w:r w:rsidRPr="009C6D70">
        <w:t xml:space="preserve">Office of Consumer Advocate </w:t>
      </w:r>
      <w:r w:rsidRPr="009C6D70">
        <w:tab/>
      </w:r>
      <w:r w:rsidRPr="009C6D70">
        <w:tab/>
      </w:r>
      <w:r w:rsidRPr="009C6D70">
        <w:tab/>
        <w:t>:</w:t>
      </w:r>
      <w:r w:rsidR="00AA4C9C" w:rsidRPr="009C6D70">
        <w:tab/>
      </w:r>
      <w:r w:rsidR="00AA4C9C" w:rsidRPr="009C6D70">
        <w:tab/>
      </w:r>
      <w:r w:rsidR="00AA4C9C" w:rsidRPr="009C6D70">
        <w:tab/>
      </w:r>
      <w:r w:rsidR="006F593A" w:rsidRPr="009C6D70">
        <w:t>C-2010-2194660</w:t>
      </w:r>
    </w:p>
    <w:p w:rsidR="00DA5A83" w:rsidRPr="009C6D70" w:rsidRDefault="00224F44" w:rsidP="00F40AF4">
      <w:r w:rsidRPr="009C6D70">
        <w:t xml:space="preserve">Office of Small Business Advocate </w:t>
      </w:r>
      <w:r w:rsidR="00663F11" w:rsidRPr="009C6D70">
        <w:tab/>
      </w:r>
      <w:r w:rsidR="00F40AF4" w:rsidRPr="009C6D70">
        <w:tab/>
      </w:r>
      <w:r w:rsidRPr="009C6D70">
        <w:tab/>
      </w:r>
      <w:r w:rsidR="00F40AF4" w:rsidRPr="009C6D70">
        <w:t>:</w:t>
      </w:r>
      <w:r w:rsidR="006F593A" w:rsidRPr="009C6D70">
        <w:tab/>
      </w:r>
      <w:r w:rsidR="006F593A" w:rsidRPr="009C6D70">
        <w:tab/>
      </w:r>
      <w:r w:rsidR="006F593A" w:rsidRPr="009C6D70">
        <w:tab/>
        <w:t>C-2010-2193322</w:t>
      </w:r>
    </w:p>
    <w:p w:rsidR="00F02D29" w:rsidRPr="009C6D70" w:rsidRDefault="00F02D29" w:rsidP="00F40AF4">
      <w:r w:rsidRPr="009C6D70">
        <w:t>Linda L. Sullivan</w:t>
      </w:r>
      <w:r w:rsidR="00822EEA" w:rsidRPr="009C6D70">
        <w:tab/>
      </w:r>
      <w:r w:rsidR="00822EEA" w:rsidRPr="009C6D70">
        <w:tab/>
      </w:r>
      <w:r w:rsidR="00822EEA" w:rsidRPr="009C6D70">
        <w:tab/>
      </w:r>
      <w:r w:rsidR="00822EEA" w:rsidRPr="009C6D70">
        <w:tab/>
      </w:r>
      <w:r w:rsidR="00822EEA" w:rsidRPr="009C6D70">
        <w:tab/>
        <w:t>:</w:t>
      </w:r>
      <w:r w:rsidR="00822EEA" w:rsidRPr="009C6D70">
        <w:tab/>
      </w:r>
      <w:r w:rsidR="00822EEA" w:rsidRPr="009C6D70">
        <w:tab/>
      </w:r>
      <w:r w:rsidR="00822EEA" w:rsidRPr="009C6D70">
        <w:tab/>
        <w:t>R-2010-2153066</w:t>
      </w:r>
    </w:p>
    <w:p w:rsidR="00822EEA" w:rsidRPr="009C6D70" w:rsidRDefault="00822EEA" w:rsidP="00822EEA">
      <w:r w:rsidRPr="009C6D70">
        <w:t>Janet Vento</w:t>
      </w:r>
      <w:r w:rsidRPr="009C6D70">
        <w:tab/>
      </w:r>
      <w:r w:rsidRPr="009C6D70">
        <w:tab/>
      </w:r>
      <w:r w:rsidRPr="009C6D70">
        <w:tab/>
      </w:r>
      <w:r w:rsidRPr="009C6D70">
        <w:tab/>
      </w:r>
      <w:r w:rsidRPr="009C6D70">
        <w:tab/>
      </w:r>
      <w:r w:rsidRPr="009C6D70">
        <w:tab/>
        <w:t>:</w:t>
      </w:r>
      <w:r w:rsidRPr="009C6D70">
        <w:tab/>
      </w:r>
      <w:r w:rsidRPr="009C6D70">
        <w:tab/>
      </w:r>
      <w:r w:rsidRPr="009C6D70">
        <w:tab/>
        <w:t>C-2010-2196479</w:t>
      </w:r>
    </w:p>
    <w:p w:rsidR="00822EEA" w:rsidRPr="009C6D70" w:rsidRDefault="00822EEA" w:rsidP="00822EEA">
      <w:r w:rsidRPr="009C6D70">
        <w:t>Mary M. Chestnut</w:t>
      </w:r>
      <w:r w:rsidRPr="009C6D70">
        <w:tab/>
      </w:r>
      <w:r w:rsidRPr="009C6D70">
        <w:tab/>
      </w:r>
      <w:r w:rsidRPr="009C6D70">
        <w:tab/>
      </w:r>
      <w:r w:rsidRPr="009C6D70">
        <w:tab/>
      </w:r>
      <w:r w:rsidRPr="009C6D70">
        <w:tab/>
        <w:t>:</w:t>
      </w:r>
      <w:r w:rsidRPr="009C6D70">
        <w:tab/>
      </w:r>
      <w:r w:rsidRPr="009C6D70">
        <w:tab/>
      </w:r>
      <w:r w:rsidRPr="009C6D70">
        <w:tab/>
        <w:t>C-2010-2196790</w:t>
      </w:r>
    </w:p>
    <w:p w:rsidR="00822EEA" w:rsidRPr="009C6D70" w:rsidRDefault="00822EEA" w:rsidP="00822EEA">
      <w:r w:rsidRPr="009C6D70">
        <w:t>Donald W. Killmeyer</w:t>
      </w:r>
      <w:r w:rsidRPr="009C6D70">
        <w:tab/>
      </w:r>
      <w:r w:rsidRPr="009C6D70">
        <w:tab/>
      </w:r>
      <w:r w:rsidRPr="009C6D70">
        <w:tab/>
      </w:r>
      <w:r w:rsidRPr="009C6D70">
        <w:tab/>
      </w:r>
      <w:r w:rsidRPr="009C6D70">
        <w:tab/>
        <w:t>:</w:t>
      </w:r>
      <w:r w:rsidRPr="009C6D70">
        <w:tab/>
      </w:r>
      <w:r w:rsidRPr="009C6D70">
        <w:tab/>
      </w:r>
      <w:r w:rsidRPr="009C6D70">
        <w:tab/>
        <w:t>C-2010-2199926</w:t>
      </w:r>
    </w:p>
    <w:p w:rsidR="00822EEA" w:rsidRPr="009C6D70" w:rsidRDefault="00822EEA" w:rsidP="00822EEA">
      <w:r w:rsidRPr="009C6D70">
        <w:t>Sarah Divilly</w:t>
      </w:r>
      <w:r w:rsidRPr="009C6D70">
        <w:tab/>
      </w:r>
      <w:r w:rsidRPr="009C6D70">
        <w:tab/>
      </w:r>
      <w:r w:rsidRPr="009C6D70">
        <w:tab/>
      </w:r>
      <w:r w:rsidRPr="009C6D70">
        <w:tab/>
      </w:r>
      <w:r w:rsidRPr="009C6D70">
        <w:tab/>
      </w:r>
      <w:r w:rsidRPr="009C6D70">
        <w:tab/>
        <w:t>:</w:t>
      </w:r>
      <w:r w:rsidRPr="009C6D70">
        <w:tab/>
      </w:r>
      <w:r w:rsidRPr="009C6D70">
        <w:tab/>
      </w:r>
      <w:r w:rsidRPr="009C6D70">
        <w:tab/>
        <w:t>C-2010-2199945</w:t>
      </w:r>
    </w:p>
    <w:p w:rsidR="00822EEA" w:rsidRPr="009C6D70" w:rsidRDefault="00822EEA" w:rsidP="00822EEA">
      <w:r w:rsidRPr="009C6D70">
        <w:t>Delores D. White</w:t>
      </w:r>
      <w:r w:rsidRPr="009C6D70">
        <w:tab/>
      </w:r>
      <w:r w:rsidRPr="009C6D70">
        <w:tab/>
      </w:r>
      <w:r w:rsidRPr="009C6D70">
        <w:tab/>
      </w:r>
      <w:r w:rsidRPr="009C6D70">
        <w:tab/>
      </w:r>
      <w:r w:rsidRPr="009C6D70">
        <w:tab/>
        <w:t>:</w:t>
      </w:r>
      <w:r w:rsidRPr="009C6D70">
        <w:tab/>
      </w:r>
      <w:r w:rsidRPr="009C6D70">
        <w:tab/>
      </w:r>
      <w:r w:rsidRPr="009C6D70">
        <w:tab/>
        <w:t>C-2010-2200548</w:t>
      </w:r>
    </w:p>
    <w:p w:rsidR="00822EEA" w:rsidRPr="009C6D70" w:rsidRDefault="00822EEA" w:rsidP="00822EEA">
      <w:r w:rsidRPr="009C6D70">
        <w:t>Vicki Courie</w:t>
      </w:r>
      <w:r w:rsidRPr="009C6D70">
        <w:tab/>
      </w:r>
      <w:r w:rsidRPr="009C6D70">
        <w:tab/>
      </w:r>
      <w:r w:rsidRPr="009C6D70">
        <w:tab/>
      </w:r>
      <w:r w:rsidRPr="009C6D70">
        <w:tab/>
      </w:r>
      <w:r w:rsidRPr="009C6D70">
        <w:tab/>
      </w:r>
      <w:r w:rsidRPr="009C6D70">
        <w:tab/>
        <w:t>:</w:t>
      </w:r>
      <w:r w:rsidRPr="009C6D70">
        <w:tab/>
      </w:r>
      <w:r w:rsidRPr="009C6D70">
        <w:tab/>
      </w:r>
      <w:r w:rsidRPr="009C6D70">
        <w:tab/>
        <w:t>C-2010-2201179</w:t>
      </w:r>
    </w:p>
    <w:p w:rsidR="00822EEA" w:rsidRPr="009C6D70" w:rsidRDefault="00822EEA" w:rsidP="00822EEA">
      <w:r w:rsidRPr="009C6D70">
        <w:t>Rebecca Nesvet</w:t>
      </w:r>
      <w:r w:rsidRPr="009C6D70">
        <w:tab/>
      </w:r>
      <w:r w:rsidRPr="009C6D70">
        <w:tab/>
      </w:r>
      <w:r w:rsidRPr="009C6D70">
        <w:tab/>
      </w:r>
      <w:r w:rsidRPr="009C6D70">
        <w:tab/>
      </w:r>
      <w:r w:rsidRPr="009C6D70">
        <w:tab/>
        <w:t>:</w:t>
      </w:r>
      <w:r w:rsidRPr="009C6D70">
        <w:tab/>
      </w:r>
      <w:r w:rsidRPr="009C6D70">
        <w:tab/>
      </w:r>
      <w:r w:rsidRPr="009C6D70">
        <w:tab/>
        <w:t>C-2010-2202732</w:t>
      </w:r>
    </w:p>
    <w:p w:rsidR="00822EEA" w:rsidRPr="009C6D70" w:rsidRDefault="00822EEA" w:rsidP="00F40AF4">
      <w:r w:rsidRPr="009C6D70">
        <w:t>Marie Rubottom</w:t>
      </w:r>
      <w:r w:rsidRPr="009C6D70">
        <w:tab/>
      </w:r>
      <w:r w:rsidRPr="009C6D70">
        <w:tab/>
      </w:r>
      <w:r w:rsidRPr="009C6D70">
        <w:tab/>
      </w:r>
      <w:r w:rsidRPr="009C6D70">
        <w:tab/>
      </w:r>
      <w:r w:rsidRPr="009C6D70">
        <w:tab/>
        <w:t>:</w:t>
      </w:r>
      <w:r w:rsidRPr="009C6D70">
        <w:tab/>
      </w:r>
      <w:r w:rsidRPr="009C6D70">
        <w:tab/>
      </w:r>
      <w:r w:rsidRPr="009C6D70">
        <w:tab/>
        <w:t>C-2010-2202837</w:t>
      </w:r>
    </w:p>
    <w:p w:rsidR="00DA5A83" w:rsidRPr="009C6D70" w:rsidRDefault="00DA5A83" w:rsidP="00F40AF4">
      <w:r w:rsidRPr="009C6D70">
        <w:t>Duquesne Industrial Intervenors</w:t>
      </w:r>
      <w:r w:rsidRPr="009C6D70">
        <w:tab/>
      </w:r>
      <w:r w:rsidRPr="009C6D70">
        <w:tab/>
      </w:r>
      <w:r w:rsidRPr="009C6D70">
        <w:tab/>
        <w:t>:</w:t>
      </w:r>
      <w:r w:rsidR="006F593A" w:rsidRPr="009C6D70">
        <w:tab/>
      </w:r>
      <w:r w:rsidR="006F593A" w:rsidRPr="009C6D70">
        <w:tab/>
      </w:r>
      <w:r w:rsidR="006F593A" w:rsidRPr="009C6D70">
        <w:tab/>
        <w:t>C-2010-220</w:t>
      </w:r>
      <w:r w:rsidR="005D7C72" w:rsidRPr="009C6D70">
        <w:t>3197</w:t>
      </w:r>
    </w:p>
    <w:p w:rsidR="000E20B9" w:rsidRPr="009C6D70" w:rsidRDefault="000E20B9" w:rsidP="000E20B9">
      <w:r w:rsidRPr="009C6D70">
        <w:t>Carolina Ursitti</w:t>
      </w:r>
      <w:r w:rsidRPr="009C6D70">
        <w:tab/>
      </w:r>
      <w:r w:rsidRPr="009C6D70">
        <w:tab/>
      </w:r>
      <w:r w:rsidRPr="009C6D70">
        <w:tab/>
      </w:r>
      <w:r w:rsidRPr="009C6D70">
        <w:tab/>
      </w:r>
      <w:r w:rsidRPr="009C6D70">
        <w:tab/>
        <w:t>:</w:t>
      </w:r>
      <w:r w:rsidRPr="009C6D70">
        <w:tab/>
      </w:r>
      <w:r w:rsidRPr="009C6D70">
        <w:tab/>
      </w:r>
      <w:r w:rsidRPr="009C6D70">
        <w:tab/>
        <w:t>C-2010-2203912</w:t>
      </w:r>
    </w:p>
    <w:p w:rsidR="000E20B9" w:rsidRPr="009C6D70" w:rsidRDefault="000E20B9" w:rsidP="00F40AF4">
      <w:r w:rsidRPr="009C6D70">
        <w:t>Donald J. Gilbert</w:t>
      </w:r>
      <w:r w:rsidRPr="009C6D70">
        <w:tab/>
      </w:r>
      <w:r w:rsidRPr="009C6D70">
        <w:tab/>
      </w:r>
      <w:r w:rsidRPr="009C6D70">
        <w:tab/>
      </w:r>
      <w:r w:rsidRPr="009C6D70">
        <w:tab/>
      </w:r>
      <w:r w:rsidRPr="009C6D70">
        <w:tab/>
        <w:t>:</w:t>
      </w:r>
      <w:r w:rsidRPr="009C6D70">
        <w:tab/>
      </w:r>
      <w:r w:rsidRPr="009C6D70">
        <w:tab/>
      </w:r>
      <w:r w:rsidRPr="009C6D70">
        <w:tab/>
        <w:t>C-2010-2204100</w:t>
      </w:r>
    </w:p>
    <w:p w:rsidR="000E20B9" w:rsidRPr="009C6D70" w:rsidRDefault="00DA5A83" w:rsidP="00F40AF4">
      <w:r w:rsidRPr="009C6D70">
        <w:t>NRG Energy Center Pittsburgh, LLC</w:t>
      </w:r>
      <w:r w:rsidRPr="009C6D70">
        <w:tab/>
      </w:r>
      <w:r w:rsidRPr="009C6D70">
        <w:tab/>
      </w:r>
      <w:r w:rsidRPr="009C6D70">
        <w:tab/>
        <w:t>:</w:t>
      </w:r>
      <w:r w:rsidRPr="009C6D70">
        <w:tab/>
      </w:r>
      <w:r w:rsidRPr="009C6D70">
        <w:tab/>
      </w:r>
      <w:r w:rsidRPr="009C6D70">
        <w:tab/>
        <w:t>C-2010-2206586</w:t>
      </w:r>
    </w:p>
    <w:p w:rsidR="00E909F3" w:rsidRPr="009C6D70" w:rsidRDefault="00E909F3" w:rsidP="00F40AF4">
      <w:r w:rsidRPr="009C6D70">
        <w:t>Jay Folkens</w:t>
      </w:r>
      <w:r w:rsidRPr="009C6D70">
        <w:tab/>
      </w:r>
      <w:r w:rsidRPr="009C6D70">
        <w:tab/>
      </w:r>
      <w:r w:rsidRPr="009C6D70">
        <w:tab/>
      </w:r>
      <w:r w:rsidRPr="009C6D70">
        <w:tab/>
      </w:r>
      <w:r w:rsidRPr="009C6D70">
        <w:tab/>
      </w:r>
      <w:r w:rsidRPr="009C6D70">
        <w:tab/>
        <w:t>:</w:t>
      </w:r>
      <w:r w:rsidRPr="009C6D70">
        <w:tab/>
      </w:r>
      <w:r w:rsidRPr="009C6D70">
        <w:tab/>
      </w:r>
      <w:r w:rsidRPr="009C6D70">
        <w:tab/>
        <w:t>C-2010-2213076</w:t>
      </w:r>
    </w:p>
    <w:p w:rsidR="00C1705F" w:rsidRPr="009C6D70" w:rsidRDefault="00C1705F" w:rsidP="00F40AF4">
      <w:r w:rsidRPr="009C6D70">
        <w:t>John and Sherry Urban</w:t>
      </w:r>
      <w:r w:rsidRPr="009C6D70">
        <w:tab/>
      </w:r>
      <w:r w:rsidRPr="009C6D70">
        <w:tab/>
      </w:r>
      <w:r w:rsidRPr="009C6D70">
        <w:tab/>
      </w:r>
      <w:r w:rsidRPr="009C6D70">
        <w:tab/>
        <w:t>:</w:t>
      </w:r>
      <w:r w:rsidRPr="009C6D70">
        <w:tab/>
      </w:r>
      <w:r w:rsidRPr="009C6D70">
        <w:tab/>
      </w:r>
      <w:r w:rsidRPr="009C6D70">
        <w:tab/>
        <w:t>C-2010-2214197</w:t>
      </w:r>
    </w:p>
    <w:p w:rsidR="00F40AF4" w:rsidRPr="009C6D70" w:rsidRDefault="00F40AF4" w:rsidP="00F40AF4">
      <w:r w:rsidRPr="009C6D70">
        <w:tab/>
      </w:r>
      <w:r w:rsidRPr="009C6D70">
        <w:tab/>
      </w:r>
      <w:r w:rsidRPr="009C6D70">
        <w:tab/>
      </w:r>
      <w:r w:rsidRPr="009C6D70">
        <w:tab/>
      </w:r>
      <w:r w:rsidRPr="009C6D70">
        <w:tab/>
      </w:r>
      <w:r w:rsidRPr="009C6D70">
        <w:tab/>
      </w:r>
      <w:r w:rsidRPr="009C6D70">
        <w:tab/>
        <w:t>:</w:t>
      </w:r>
    </w:p>
    <w:p w:rsidR="00F40AF4" w:rsidRPr="009C6D70" w:rsidRDefault="00B31971" w:rsidP="00F40AF4">
      <w:r>
        <w:tab/>
        <w:t>v.</w:t>
      </w:r>
      <w:r>
        <w:tab/>
      </w:r>
      <w:r>
        <w:tab/>
      </w:r>
      <w:r>
        <w:tab/>
      </w:r>
      <w:r>
        <w:tab/>
      </w:r>
      <w:r>
        <w:tab/>
      </w:r>
      <w:r>
        <w:tab/>
        <w:t>:</w:t>
      </w:r>
    </w:p>
    <w:p w:rsidR="00F40AF4" w:rsidRPr="009C6D70" w:rsidRDefault="00F40AF4" w:rsidP="00F40AF4">
      <w:r w:rsidRPr="009C6D70">
        <w:tab/>
      </w:r>
      <w:r w:rsidRPr="009C6D70">
        <w:tab/>
      </w:r>
      <w:r w:rsidRPr="009C6D70">
        <w:tab/>
      </w:r>
      <w:r w:rsidRPr="009C6D70">
        <w:tab/>
      </w:r>
      <w:r w:rsidRPr="009C6D70">
        <w:tab/>
      </w:r>
      <w:r w:rsidRPr="009C6D70">
        <w:tab/>
      </w:r>
      <w:r w:rsidRPr="009C6D70">
        <w:tab/>
        <w:t>:</w:t>
      </w:r>
    </w:p>
    <w:p w:rsidR="001A517C" w:rsidRPr="009C6D70" w:rsidRDefault="00C1705F">
      <w:r w:rsidRPr="009C6D70">
        <w:t>Duquesne Light Company</w:t>
      </w:r>
      <w:r w:rsidRPr="009C6D70">
        <w:tab/>
      </w:r>
      <w:r w:rsidRPr="009C6D70">
        <w:tab/>
      </w:r>
      <w:r w:rsidR="00F40AF4" w:rsidRPr="009C6D70">
        <w:tab/>
      </w:r>
      <w:r w:rsidR="00F40AF4" w:rsidRPr="009C6D70">
        <w:tab/>
        <w:t>:</w:t>
      </w:r>
    </w:p>
    <w:p w:rsidR="00F40AF4" w:rsidRPr="009C6D70" w:rsidRDefault="00F40AF4" w:rsidP="00F40AF4">
      <w:pPr>
        <w:jc w:val="center"/>
        <w:rPr>
          <w:b/>
          <w:u w:val="single"/>
        </w:rPr>
      </w:pPr>
    </w:p>
    <w:p w:rsidR="00F40AF4" w:rsidRPr="009C6D70" w:rsidRDefault="00F40AF4" w:rsidP="00F40AF4">
      <w:pPr>
        <w:jc w:val="center"/>
        <w:rPr>
          <w:b/>
          <w:u w:val="single"/>
        </w:rPr>
      </w:pPr>
    </w:p>
    <w:p w:rsidR="00F40AF4" w:rsidRPr="009C6D70" w:rsidRDefault="00F40AF4" w:rsidP="00F40AF4">
      <w:pPr>
        <w:jc w:val="center"/>
        <w:rPr>
          <w:b/>
          <w:u w:val="single"/>
        </w:rPr>
      </w:pPr>
    </w:p>
    <w:p w:rsidR="00F40AF4" w:rsidRPr="009C6D70" w:rsidRDefault="00F40AF4" w:rsidP="00F40AF4">
      <w:pPr>
        <w:jc w:val="center"/>
      </w:pPr>
      <w:r w:rsidRPr="009C6D70">
        <w:rPr>
          <w:b/>
          <w:u w:val="single"/>
        </w:rPr>
        <w:t>RECOMMENDED DECISION</w:t>
      </w:r>
    </w:p>
    <w:p w:rsidR="00F40AF4" w:rsidRPr="009C6D70" w:rsidRDefault="00F40AF4" w:rsidP="00F40AF4">
      <w:pPr>
        <w:jc w:val="center"/>
      </w:pPr>
    </w:p>
    <w:p w:rsidR="00F40AF4" w:rsidRPr="009C6D70" w:rsidRDefault="00F40AF4" w:rsidP="00F40AF4">
      <w:pPr>
        <w:jc w:val="center"/>
      </w:pPr>
    </w:p>
    <w:p w:rsidR="00F40AF4" w:rsidRPr="009C6D70" w:rsidRDefault="00F40AF4" w:rsidP="00F40AF4">
      <w:pPr>
        <w:jc w:val="center"/>
      </w:pPr>
      <w:r w:rsidRPr="009C6D70">
        <w:t>Before</w:t>
      </w:r>
    </w:p>
    <w:p w:rsidR="00F40AF4" w:rsidRPr="009C6D70" w:rsidRDefault="00F40AF4" w:rsidP="00F40AF4">
      <w:pPr>
        <w:jc w:val="center"/>
      </w:pPr>
      <w:r w:rsidRPr="009C6D70">
        <w:t>Mark A. Hoyer</w:t>
      </w:r>
      <w:r w:rsidR="008C6F74" w:rsidRPr="009C6D70">
        <w:t xml:space="preserve"> and Conrad A. Johnson</w:t>
      </w:r>
    </w:p>
    <w:p w:rsidR="00F40AF4" w:rsidRPr="009C6D70" w:rsidRDefault="00F40AF4" w:rsidP="00F40AF4">
      <w:pPr>
        <w:jc w:val="center"/>
      </w:pPr>
      <w:r w:rsidRPr="009C6D70">
        <w:t>Administrative Law Judges</w:t>
      </w:r>
    </w:p>
    <w:p w:rsidR="009C6D70" w:rsidRPr="009C6D70" w:rsidRDefault="009C6D70" w:rsidP="00F40AF4">
      <w:pPr>
        <w:jc w:val="center"/>
      </w:pPr>
    </w:p>
    <w:p w:rsidR="009C6D70" w:rsidRPr="009C6D70" w:rsidRDefault="009C6D70" w:rsidP="00F40AF4">
      <w:pPr>
        <w:jc w:val="center"/>
        <w:sectPr w:rsidR="009C6D70" w:rsidRPr="009C6D70" w:rsidSect="008A53F1">
          <w:footerReference w:type="even" r:id="rId8"/>
          <w:footerReference w:type="default" r:id="rId9"/>
          <w:footerReference w:type="first" r:id="rId10"/>
          <w:pgSz w:w="12240" w:h="15840" w:code="1"/>
          <w:pgMar w:top="1440" w:right="1440" w:bottom="1440" w:left="1440" w:header="1440" w:footer="1440" w:gutter="0"/>
          <w:cols w:space="720"/>
          <w:titlePg/>
          <w:docGrid w:linePitch="360"/>
        </w:sectPr>
      </w:pPr>
    </w:p>
    <w:p w:rsidR="009C6D70" w:rsidRPr="009C6D70" w:rsidRDefault="009C6D70" w:rsidP="009C6D70">
      <w:pPr>
        <w:tabs>
          <w:tab w:val="left" w:pos="720"/>
          <w:tab w:val="left" w:pos="1440"/>
          <w:tab w:val="left" w:pos="2160"/>
          <w:tab w:val="center" w:pos="4680"/>
        </w:tabs>
        <w:spacing w:line="360" w:lineRule="auto"/>
        <w:jc w:val="center"/>
        <w:rPr>
          <w:b/>
          <w:u w:val="single"/>
        </w:rPr>
      </w:pPr>
      <w:r w:rsidRPr="009C6D70">
        <w:rPr>
          <w:b/>
          <w:u w:val="single"/>
        </w:rPr>
        <w:lastRenderedPageBreak/>
        <w:t>TABLE OF CONTENTS</w:t>
      </w:r>
    </w:p>
    <w:p w:rsidR="009C6D70" w:rsidRPr="009C6D70" w:rsidRDefault="009C6D70" w:rsidP="009C6D70">
      <w:pPr>
        <w:tabs>
          <w:tab w:val="left" w:pos="720"/>
          <w:tab w:val="left" w:pos="1440"/>
          <w:tab w:val="left" w:pos="2160"/>
        </w:tabs>
        <w:spacing w:line="360" w:lineRule="auto"/>
      </w:pPr>
    </w:p>
    <w:p w:rsidR="009C6D70" w:rsidRPr="009C6D70" w:rsidRDefault="009C6D70" w:rsidP="009C6D70">
      <w:pPr>
        <w:tabs>
          <w:tab w:val="left" w:pos="720"/>
          <w:tab w:val="left" w:pos="1440"/>
          <w:tab w:val="left" w:pos="2160"/>
          <w:tab w:val="right" w:leader="dot" w:pos="9360"/>
        </w:tabs>
        <w:spacing w:line="360" w:lineRule="auto"/>
      </w:pPr>
      <w:r w:rsidRPr="009C6D70">
        <w:t>I.</w:t>
      </w:r>
      <w:r w:rsidRPr="009C6D70">
        <w:tab/>
      </w:r>
      <w:r w:rsidR="00131C14">
        <w:rPr>
          <w:caps/>
        </w:rPr>
        <w:t>HISTORY OF THE PROCEEDING</w:t>
      </w:r>
      <w:r w:rsidRPr="009C6D70">
        <w:tab/>
        <w:t>1</w:t>
      </w:r>
    </w:p>
    <w:p w:rsidR="009C6D70" w:rsidRPr="009C6D70" w:rsidRDefault="009C6D70" w:rsidP="00131C14">
      <w:pPr>
        <w:tabs>
          <w:tab w:val="left" w:pos="720"/>
          <w:tab w:val="left" w:pos="1440"/>
          <w:tab w:val="left" w:pos="2160"/>
          <w:tab w:val="right" w:leader="dot" w:pos="9360"/>
        </w:tabs>
        <w:spacing w:line="360" w:lineRule="auto"/>
      </w:pPr>
      <w:r w:rsidRPr="009C6D70">
        <w:t>II.</w:t>
      </w:r>
      <w:r w:rsidRPr="009C6D70">
        <w:tab/>
      </w:r>
      <w:r w:rsidR="00131C14">
        <w:t>PUBLIC INPUT HEARINGS</w:t>
      </w:r>
      <w:r w:rsidRPr="009C6D70">
        <w:tab/>
      </w:r>
      <w:r w:rsidR="00131C14">
        <w:t>6</w:t>
      </w:r>
    </w:p>
    <w:p w:rsidR="009C6D70" w:rsidRPr="009C6D70" w:rsidRDefault="009C6D70" w:rsidP="009C6D70">
      <w:pPr>
        <w:tabs>
          <w:tab w:val="left" w:pos="720"/>
          <w:tab w:val="left" w:pos="1440"/>
          <w:tab w:val="right" w:leader="dot" w:pos="9360"/>
        </w:tabs>
        <w:spacing w:line="360" w:lineRule="auto"/>
      </w:pPr>
      <w:r w:rsidRPr="009C6D70">
        <w:tab/>
        <w:t>A.</w:t>
      </w:r>
      <w:r w:rsidRPr="009C6D70">
        <w:tab/>
      </w:r>
      <w:r w:rsidR="00131C14">
        <w:t>Beaver Falls Public Input Testimony</w:t>
      </w:r>
      <w:r w:rsidRPr="009C6D70">
        <w:tab/>
      </w:r>
      <w:r w:rsidR="00131C14">
        <w:t>7</w:t>
      </w:r>
    </w:p>
    <w:p w:rsidR="009C6D70" w:rsidRPr="009C6D70" w:rsidRDefault="009C6D70" w:rsidP="009C6D70">
      <w:pPr>
        <w:tabs>
          <w:tab w:val="left" w:pos="720"/>
          <w:tab w:val="left" w:pos="1440"/>
          <w:tab w:val="left" w:pos="2160"/>
          <w:tab w:val="right" w:leader="dot" w:pos="9360"/>
        </w:tabs>
        <w:spacing w:line="360" w:lineRule="auto"/>
      </w:pPr>
      <w:r w:rsidRPr="009C6D70">
        <w:tab/>
        <w:t>B.</w:t>
      </w:r>
      <w:r w:rsidRPr="009C6D70">
        <w:tab/>
      </w:r>
      <w:r w:rsidR="00131C14">
        <w:t xml:space="preserve">Allegheny </w:t>
      </w:r>
      <w:r w:rsidR="00C71E83">
        <w:t xml:space="preserve">County </w:t>
      </w:r>
      <w:r w:rsidR="00131C14">
        <w:t>Courthouse, Pittsburgh Public Input Testimony</w:t>
      </w:r>
      <w:r w:rsidRPr="009C6D70">
        <w:tab/>
        <w:t>1</w:t>
      </w:r>
      <w:r w:rsidR="00131C14">
        <w:t>0</w:t>
      </w:r>
    </w:p>
    <w:p w:rsidR="009C6D70" w:rsidRPr="009C6D70" w:rsidRDefault="009C6D70" w:rsidP="00131C14">
      <w:pPr>
        <w:tabs>
          <w:tab w:val="left" w:pos="720"/>
          <w:tab w:val="left" w:pos="1440"/>
          <w:tab w:val="left" w:pos="2160"/>
          <w:tab w:val="right" w:leader="dot" w:pos="9360"/>
        </w:tabs>
        <w:spacing w:line="360" w:lineRule="auto"/>
      </w:pPr>
      <w:r w:rsidRPr="009C6D70">
        <w:t>III.</w:t>
      </w:r>
      <w:r w:rsidRPr="009C6D70">
        <w:tab/>
      </w:r>
      <w:r w:rsidR="00131C14">
        <w:t>DESCRIPTION AND TERMS OF SETTLEMENT</w:t>
      </w:r>
      <w:r w:rsidRPr="009C6D70">
        <w:tab/>
      </w:r>
      <w:r w:rsidR="00131C14">
        <w:t>1</w:t>
      </w:r>
      <w:r w:rsidR="00C832E4">
        <w:t>6</w:t>
      </w:r>
    </w:p>
    <w:p w:rsidR="009C6D70" w:rsidRPr="009C6D70" w:rsidRDefault="009C6D70" w:rsidP="009C6D70">
      <w:pPr>
        <w:tabs>
          <w:tab w:val="left" w:pos="720"/>
          <w:tab w:val="left" w:pos="1440"/>
          <w:tab w:val="right" w:leader="dot" w:pos="9360"/>
        </w:tabs>
        <w:spacing w:line="360" w:lineRule="auto"/>
      </w:pPr>
      <w:r w:rsidRPr="009C6D70">
        <w:t>IV.</w:t>
      </w:r>
      <w:r w:rsidRPr="009C6D70">
        <w:tab/>
      </w:r>
      <w:r w:rsidR="00131C14">
        <w:t>DISCUSSION</w:t>
      </w:r>
      <w:r w:rsidRPr="009C6D70">
        <w:tab/>
        <w:t>2</w:t>
      </w:r>
      <w:r w:rsidR="00C832E4">
        <w:t>2</w:t>
      </w:r>
    </w:p>
    <w:p w:rsidR="009C6D70" w:rsidRPr="009C6D70" w:rsidRDefault="00BC1C98" w:rsidP="00BC1C98">
      <w:pPr>
        <w:tabs>
          <w:tab w:val="left" w:pos="720"/>
          <w:tab w:val="left" w:pos="1440"/>
          <w:tab w:val="right" w:leader="dot" w:pos="9360"/>
        </w:tabs>
        <w:spacing w:line="360" w:lineRule="auto"/>
      </w:pPr>
      <w:r>
        <w:tab/>
        <w:t>A.</w:t>
      </w:r>
      <w:r>
        <w:tab/>
        <w:t>Duquesne’s Position</w:t>
      </w:r>
      <w:r w:rsidR="009C6D70" w:rsidRPr="009C6D70">
        <w:tab/>
        <w:t>2</w:t>
      </w:r>
      <w:r w:rsidR="00C832E4">
        <w:t>3</w:t>
      </w:r>
    </w:p>
    <w:p w:rsidR="009C6D70" w:rsidRPr="009C6D70" w:rsidRDefault="009C6D70" w:rsidP="009C6D70">
      <w:pPr>
        <w:tabs>
          <w:tab w:val="left" w:pos="720"/>
          <w:tab w:val="left" w:pos="1440"/>
          <w:tab w:val="left" w:pos="2160"/>
          <w:tab w:val="right" w:leader="dot" w:pos="9360"/>
        </w:tabs>
        <w:spacing w:line="360" w:lineRule="auto"/>
      </w:pPr>
      <w:r w:rsidRPr="009C6D70">
        <w:tab/>
      </w:r>
      <w:r w:rsidRPr="009C6D70">
        <w:tab/>
        <w:t>1.</w:t>
      </w:r>
      <w:r w:rsidRPr="009C6D70">
        <w:tab/>
      </w:r>
      <w:r w:rsidR="00BC1C98">
        <w:t>Revenue Requirement</w:t>
      </w:r>
      <w:r w:rsidRPr="009C6D70">
        <w:tab/>
        <w:t>2</w:t>
      </w:r>
      <w:r w:rsidR="00C832E4">
        <w:t>4</w:t>
      </w:r>
    </w:p>
    <w:p w:rsidR="009C6D70" w:rsidRDefault="009C6D70" w:rsidP="009C6D70">
      <w:pPr>
        <w:tabs>
          <w:tab w:val="left" w:pos="720"/>
          <w:tab w:val="left" w:pos="1440"/>
          <w:tab w:val="left" w:pos="2160"/>
          <w:tab w:val="right" w:leader="dot" w:pos="9360"/>
        </w:tabs>
        <w:spacing w:line="360" w:lineRule="auto"/>
      </w:pPr>
      <w:r w:rsidRPr="009C6D70">
        <w:tab/>
      </w:r>
      <w:r w:rsidRPr="009C6D70">
        <w:tab/>
        <w:t>2.</w:t>
      </w:r>
      <w:r w:rsidRPr="009C6D70">
        <w:tab/>
      </w:r>
      <w:r w:rsidR="00BC1C98">
        <w:t>Pensions</w:t>
      </w:r>
      <w:r w:rsidRPr="009C6D70">
        <w:tab/>
        <w:t>2</w:t>
      </w:r>
      <w:r w:rsidR="00C832E4">
        <w:t>6</w:t>
      </w:r>
    </w:p>
    <w:p w:rsidR="00BC1C98" w:rsidRDefault="00BC1C98" w:rsidP="009C6D70">
      <w:pPr>
        <w:tabs>
          <w:tab w:val="left" w:pos="720"/>
          <w:tab w:val="left" w:pos="1440"/>
          <w:tab w:val="left" w:pos="2160"/>
          <w:tab w:val="right" w:leader="dot" w:pos="9360"/>
        </w:tabs>
        <w:spacing w:line="360" w:lineRule="auto"/>
      </w:pPr>
      <w:r>
        <w:tab/>
      </w:r>
      <w:r>
        <w:tab/>
        <w:t>3.</w:t>
      </w:r>
      <w:r>
        <w:tab/>
      </w:r>
      <w:r w:rsidR="002640B5">
        <w:t>OPEBs</w:t>
      </w:r>
      <w:r>
        <w:tab/>
        <w:t>2</w:t>
      </w:r>
      <w:r w:rsidR="00C832E4">
        <w:t>8</w:t>
      </w:r>
    </w:p>
    <w:p w:rsidR="00BC1C98" w:rsidRDefault="00BC1C98" w:rsidP="009C6D70">
      <w:pPr>
        <w:tabs>
          <w:tab w:val="left" w:pos="720"/>
          <w:tab w:val="left" w:pos="1440"/>
          <w:tab w:val="left" w:pos="2160"/>
          <w:tab w:val="right" w:leader="dot" w:pos="9360"/>
        </w:tabs>
        <w:spacing w:line="360" w:lineRule="auto"/>
      </w:pPr>
      <w:r>
        <w:tab/>
      </w:r>
      <w:r>
        <w:tab/>
        <w:t>4.</w:t>
      </w:r>
      <w:r>
        <w:tab/>
        <w:t>Smart Meters</w:t>
      </w:r>
      <w:r>
        <w:tab/>
        <w:t>2</w:t>
      </w:r>
      <w:r w:rsidR="00C832E4">
        <w:t>8</w:t>
      </w:r>
    </w:p>
    <w:p w:rsidR="00BC1C98" w:rsidRDefault="00BC1C98" w:rsidP="009C6D70">
      <w:pPr>
        <w:tabs>
          <w:tab w:val="left" w:pos="720"/>
          <w:tab w:val="left" w:pos="1440"/>
          <w:tab w:val="left" w:pos="2160"/>
          <w:tab w:val="right" w:leader="dot" w:pos="9360"/>
        </w:tabs>
        <w:spacing w:line="360" w:lineRule="auto"/>
      </w:pPr>
      <w:r>
        <w:tab/>
      </w:r>
      <w:r>
        <w:tab/>
        <w:t>5.</w:t>
      </w:r>
      <w:r>
        <w:tab/>
        <w:t>Universal Service</w:t>
      </w:r>
      <w:r>
        <w:tab/>
        <w:t>2</w:t>
      </w:r>
      <w:r w:rsidR="00C832E4">
        <w:t>9</w:t>
      </w:r>
    </w:p>
    <w:p w:rsidR="00BC1C98" w:rsidRDefault="00BC1C98" w:rsidP="009C6D70">
      <w:pPr>
        <w:tabs>
          <w:tab w:val="left" w:pos="720"/>
          <w:tab w:val="left" w:pos="1440"/>
          <w:tab w:val="left" w:pos="2160"/>
          <w:tab w:val="right" w:leader="dot" w:pos="9360"/>
        </w:tabs>
        <w:spacing w:line="360" w:lineRule="auto"/>
      </w:pPr>
      <w:r>
        <w:tab/>
      </w:r>
      <w:r>
        <w:tab/>
        <w:t>6.</w:t>
      </w:r>
      <w:r>
        <w:tab/>
        <w:t>IRS Repair Allowance</w:t>
      </w:r>
      <w:r>
        <w:tab/>
        <w:t>3</w:t>
      </w:r>
      <w:r w:rsidR="00C832E4">
        <w:t>1</w:t>
      </w:r>
    </w:p>
    <w:p w:rsidR="00BC1C98" w:rsidRDefault="00BC1C98" w:rsidP="009C6D70">
      <w:pPr>
        <w:tabs>
          <w:tab w:val="left" w:pos="720"/>
          <w:tab w:val="left" w:pos="1440"/>
          <w:tab w:val="left" w:pos="2160"/>
          <w:tab w:val="right" w:leader="dot" w:pos="9360"/>
        </w:tabs>
        <w:spacing w:line="360" w:lineRule="auto"/>
      </w:pPr>
      <w:r>
        <w:tab/>
      </w:r>
      <w:r>
        <w:tab/>
        <w:t>7.</w:t>
      </w:r>
      <w:r>
        <w:tab/>
        <w:t>Revenue Allocation</w:t>
      </w:r>
      <w:r>
        <w:tab/>
        <w:t>3</w:t>
      </w:r>
      <w:r w:rsidR="00C832E4">
        <w:t>1</w:t>
      </w:r>
    </w:p>
    <w:p w:rsidR="00BC1C98" w:rsidRDefault="00BC1C98" w:rsidP="009C6D70">
      <w:pPr>
        <w:tabs>
          <w:tab w:val="left" w:pos="720"/>
          <w:tab w:val="left" w:pos="1440"/>
          <w:tab w:val="left" w:pos="2160"/>
          <w:tab w:val="right" w:leader="dot" w:pos="9360"/>
        </w:tabs>
        <w:spacing w:line="360" w:lineRule="auto"/>
      </w:pPr>
      <w:r>
        <w:tab/>
      </w:r>
      <w:r>
        <w:tab/>
        <w:t>8.</w:t>
      </w:r>
      <w:r>
        <w:tab/>
        <w:t>Rate Design</w:t>
      </w:r>
      <w:r>
        <w:tab/>
        <w:t>3</w:t>
      </w:r>
      <w:r w:rsidR="00C832E4">
        <w:t>5</w:t>
      </w:r>
    </w:p>
    <w:p w:rsidR="00BC1C98" w:rsidRDefault="00BC1C98" w:rsidP="009C6D70">
      <w:pPr>
        <w:tabs>
          <w:tab w:val="left" w:pos="720"/>
          <w:tab w:val="left" w:pos="1440"/>
          <w:tab w:val="left" w:pos="2160"/>
          <w:tab w:val="right" w:leader="dot" w:pos="9360"/>
        </w:tabs>
        <w:spacing w:line="360" w:lineRule="auto"/>
      </w:pPr>
      <w:r>
        <w:tab/>
        <w:t>B.</w:t>
      </w:r>
      <w:r>
        <w:tab/>
        <w:t>OTS</w:t>
      </w:r>
      <w:r w:rsidR="00E32DD2">
        <w:t>’</w:t>
      </w:r>
      <w:r>
        <w:t xml:space="preserve"> Position</w:t>
      </w:r>
      <w:r>
        <w:tab/>
        <w:t>3</w:t>
      </w:r>
      <w:r w:rsidR="00C832E4">
        <w:t>6</w:t>
      </w:r>
    </w:p>
    <w:p w:rsidR="00BC1C98" w:rsidRDefault="00BC1C98" w:rsidP="009C6D70">
      <w:pPr>
        <w:tabs>
          <w:tab w:val="left" w:pos="720"/>
          <w:tab w:val="left" w:pos="1440"/>
          <w:tab w:val="left" w:pos="2160"/>
          <w:tab w:val="right" w:leader="dot" w:pos="9360"/>
        </w:tabs>
        <w:spacing w:line="360" w:lineRule="auto"/>
      </w:pPr>
      <w:r>
        <w:tab/>
        <w:t>C.</w:t>
      </w:r>
      <w:r>
        <w:tab/>
        <w:t>OCA</w:t>
      </w:r>
      <w:r w:rsidR="00E32DD2">
        <w:t>’s</w:t>
      </w:r>
      <w:r>
        <w:t xml:space="preserve"> Position</w:t>
      </w:r>
      <w:r>
        <w:tab/>
        <w:t>3</w:t>
      </w:r>
      <w:r w:rsidR="00C832E4">
        <w:t>8</w:t>
      </w:r>
    </w:p>
    <w:p w:rsidR="00BC1C98" w:rsidRDefault="00BC1C98" w:rsidP="009C6D70">
      <w:pPr>
        <w:tabs>
          <w:tab w:val="left" w:pos="720"/>
          <w:tab w:val="left" w:pos="1440"/>
          <w:tab w:val="left" w:pos="2160"/>
          <w:tab w:val="right" w:leader="dot" w:pos="9360"/>
        </w:tabs>
        <w:spacing w:line="360" w:lineRule="auto"/>
      </w:pPr>
      <w:r>
        <w:tab/>
      </w:r>
      <w:r>
        <w:tab/>
        <w:t>1.</w:t>
      </w:r>
      <w:r>
        <w:tab/>
        <w:t>Revenue Requirement</w:t>
      </w:r>
      <w:r>
        <w:tab/>
        <w:t>3</w:t>
      </w:r>
      <w:r w:rsidR="00C832E4">
        <w:t>8</w:t>
      </w:r>
    </w:p>
    <w:p w:rsidR="00BC1C98" w:rsidRDefault="00BC1C98" w:rsidP="009C6D70">
      <w:pPr>
        <w:tabs>
          <w:tab w:val="left" w:pos="720"/>
          <w:tab w:val="left" w:pos="1440"/>
          <w:tab w:val="left" w:pos="2160"/>
          <w:tab w:val="right" w:leader="dot" w:pos="9360"/>
        </w:tabs>
        <w:spacing w:line="360" w:lineRule="auto"/>
      </w:pPr>
      <w:r>
        <w:tab/>
      </w:r>
      <w:r>
        <w:tab/>
        <w:t>2.</w:t>
      </w:r>
      <w:r>
        <w:tab/>
        <w:t>Revenue Allocation</w:t>
      </w:r>
      <w:r>
        <w:tab/>
        <w:t>3</w:t>
      </w:r>
      <w:r w:rsidR="00C832E4">
        <w:t>9</w:t>
      </w:r>
    </w:p>
    <w:p w:rsidR="00BC1C98" w:rsidRDefault="00BC1C98" w:rsidP="009C6D70">
      <w:pPr>
        <w:tabs>
          <w:tab w:val="left" w:pos="720"/>
          <w:tab w:val="left" w:pos="1440"/>
          <w:tab w:val="left" w:pos="2160"/>
          <w:tab w:val="right" w:leader="dot" w:pos="9360"/>
        </w:tabs>
        <w:spacing w:line="360" w:lineRule="auto"/>
      </w:pPr>
      <w:r>
        <w:tab/>
      </w:r>
      <w:r>
        <w:tab/>
        <w:t>3.</w:t>
      </w:r>
      <w:r>
        <w:tab/>
        <w:t>Residential Rate Design</w:t>
      </w:r>
      <w:r>
        <w:tab/>
      </w:r>
      <w:r w:rsidR="00C832E4">
        <w:t>40</w:t>
      </w:r>
    </w:p>
    <w:p w:rsidR="00BC1C98" w:rsidRDefault="00082E5C" w:rsidP="009C6D70">
      <w:pPr>
        <w:tabs>
          <w:tab w:val="left" w:pos="720"/>
          <w:tab w:val="left" w:pos="1440"/>
          <w:tab w:val="left" w:pos="2160"/>
          <w:tab w:val="right" w:leader="dot" w:pos="9360"/>
        </w:tabs>
        <w:spacing w:line="360" w:lineRule="auto"/>
      </w:pPr>
      <w:r>
        <w:tab/>
      </w:r>
      <w:r>
        <w:tab/>
        <w:t>4.</w:t>
      </w:r>
      <w:r>
        <w:tab/>
        <w:t>Pensions</w:t>
      </w:r>
      <w:r>
        <w:tab/>
        <w:t>4</w:t>
      </w:r>
      <w:r w:rsidR="00C832E4">
        <w:t>1</w:t>
      </w:r>
    </w:p>
    <w:p w:rsidR="00082E5C" w:rsidRDefault="00082E5C" w:rsidP="009C6D70">
      <w:pPr>
        <w:tabs>
          <w:tab w:val="left" w:pos="720"/>
          <w:tab w:val="left" w:pos="1440"/>
          <w:tab w:val="left" w:pos="2160"/>
          <w:tab w:val="right" w:leader="dot" w:pos="9360"/>
        </w:tabs>
        <w:spacing w:line="360" w:lineRule="auto"/>
      </w:pPr>
      <w:r>
        <w:tab/>
      </w:r>
      <w:r>
        <w:tab/>
        <w:t>5.</w:t>
      </w:r>
      <w:r>
        <w:tab/>
        <w:t>Taxes</w:t>
      </w:r>
      <w:r>
        <w:tab/>
        <w:t>4</w:t>
      </w:r>
      <w:r w:rsidR="00C832E4">
        <w:t>3</w:t>
      </w:r>
    </w:p>
    <w:p w:rsidR="00082E5C" w:rsidRDefault="00082E5C" w:rsidP="009C6D70">
      <w:pPr>
        <w:tabs>
          <w:tab w:val="left" w:pos="720"/>
          <w:tab w:val="left" w:pos="1440"/>
          <w:tab w:val="left" w:pos="2160"/>
          <w:tab w:val="right" w:leader="dot" w:pos="9360"/>
        </w:tabs>
        <w:spacing w:line="360" w:lineRule="auto"/>
      </w:pPr>
      <w:r>
        <w:tab/>
      </w:r>
      <w:r>
        <w:tab/>
        <w:t>6.</w:t>
      </w:r>
      <w:r>
        <w:tab/>
        <w:t>Universal Service</w:t>
      </w:r>
      <w:r>
        <w:tab/>
        <w:t>4</w:t>
      </w:r>
      <w:r w:rsidR="00C832E4">
        <w:t>5</w:t>
      </w:r>
    </w:p>
    <w:p w:rsidR="00082E5C" w:rsidRDefault="00082E5C" w:rsidP="009C6D70">
      <w:pPr>
        <w:tabs>
          <w:tab w:val="left" w:pos="720"/>
          <w:tab w:val="left" w:pos="1440"/>
          <w:tab w:val="left" w:pos="2160"/>
          <w:tab w:val="right" w:leader="dot" w:pos="9360"/>
        </w:tabs>
        <w:spacing w:line="360" w:lineRule="auto"/>
      </w:pPr>
      <w:r>
        <w:tab/>
      </w:r>
      <w:r>
        <w:tab/>
        <w:t>7.</w:t>
      </w:r>
      <w:r>
        <w:tab/>
        <w:t>Smart Meters</w:t>
      </w:r>
      <w:r>
        <w:tab/>
        <w:t>4</w:t>
      </w:r>
      <w:r w:rsidR="00C832E4">
        <w:t>9</w:t>
      </w:r>
    </w:p>
    <w:p w:rsidR="009C6D70" w:rsidRDefault="009C6D70" w:rsidP="009C6D70">
      <w:pPr>
        <w:tabs>
          <w:tab w:val="left" w:pos="720"/>
          <w:tab w:val="left" w:pos="1440"/>
          <w:tab w:val="right" w:leader="dot" w:pos="9360"/>
        </w:tabs>
        <w:spacing w:line="360" w:lineRule="auto"/>
      </w:pPr>
      <w:r w:rsidRPr="009C6D70">
        <w:tab/>
        <w:t>D.</w:t>
      </w:r>
      <w:r w:rsidRPr="009C6D70">
        <w:tab/>
      </w:r>
      <w:r w:rsidR="00082E5C">
        <w:t>OSBA’s Position</w:t>
      </w:r>
      <w:r w:rsidRPr="009C6D70">
        <w:tab/>
      </w:r>
      <w:r w:rsidR="00082E5C">
        <w:t>4</w:t>
      </w:r>
      <w:r w:rsidR="00C832E4">
        <w:t>9</w:t>
      </w:r>
    </w:p>
    <w:p w:rsidR="00082E5C" w:rsidRDefault="00082E5C" w:rsidP="00082E5C">
      <w:pPr>
        <w:tabs>
          <w:tab w:val="left" w:pos="720"/>
          <w:tab w:val="left" w:pos="1440"/>
          <w:tab w:val="left" w:pos="2160"/>
          <w:tab w:val="right" w:leader="dot" w:pos="9360"/>
        </w:tabs>
        <w:spacing w:line="360" w:lineRule="auto"/>
      </w:pPr>
      <w:r>
        <w:tab/>
      </w:r>
      <w:r>
        <w:tab/>
        <w:t>1.</w:t>
      </w:r>
      <w:r>
        <w:tab/>
        <w:t>Return on Equity</w:t>
      </w:r>
      <w:r>
        <w:tab/>
      </w:r>
      <w:r w:rsidR="00C832E4">
        <w:t>50</w:t>
      </w:r>
    </w:p>
    <w:p w:rsidR="00082E5C" w:rsidRDefault="00082E5C" w:rsidP="00082E5C">
      <w:pPr>
        <w:tabs>
          <w:tab w:val="left" w:pos="720"/>
          <w:tab w:val="left" w:pos="1440"/>
          <w:tab w:val="left" w:pos="2160"/>
          <w:tab w:val="right" w:leader="dot" w:pos="9360"/>
        </w:tabs>
        <w:spacing w:line="360" w:lineRule="auto"/>
      </w:pPr>
      <w:r>
        <w:tab/>
      </w:r>
      <w:r>
        <w:tab/>
        <w:t>2.</w:t>
      </w:r>
      <w:r>
        <w:tab/>
        <w:t>Rate Schedules</w:t>
      </w:r>
      <w:r>
        <w:tab/>
        <w:t>5</w:t>
      </w:r>
      <w:r w:rsidR="00C832E4">
        <w:t>1</w:t>
      </w:r>
    </w:p>
    <w:p w:rsidR="00082E5C" w:rsidRDefault="00082E5C" w:rsidP="00082E5C">
      <w:pPr>
        <w:tabs>
          <w:tab w:val="left" w:pos="720"/>
          <w:tab w:val="left" w:pos="1440"/>
          <w:tab w:val="left" w:pos="2160"/>
          <w:tab w:val="right" w:leader="dot" w:pos="9360"/>
        </w:tabs>
        <w:spacing w:line="360" w:lineRule="auto"/>
      </w:pPr>
      <w:r>
        <w:tab/>
      </w:r>
      <w:r>
        <w:tab/>
        <w:t>3.</w:t>
      </w:r>
      <w:r>
        <w:tab/>
        <w:t>Distribution Revenue Allocation</w:t>
      </w:r>
      <w:r>
        <w:tab/>
        <w:t>5</w:t>
      </w:r>
      <w:r w:rsidR="00D113CD">
        <w:t>2</w:t>
      </w:r>
    </w:p>
    <w:p w:rsidR="009C6D70" w:rsidRPr="009C6D70" w:rsidRDefault="009C6D70" w:rsidP="009C6D70">
      <w:pPr>
        <w:tabs>
          <w:tab w:val="left" w:pos="720"/>
          <w:tab w:val="left" w:pos="1440"/>
          <w:tab w:val="right" w:leader="dot" w:pos="9360"/>
        </w:tabs>
        <w:spacing w:line="360" w:lineRule="auto"/>
      </w:pPr>
      <w:r w:rsidRPr="009C6D70">
        <w:tab/>
        <w:t>E.</w:t>
      </w:r>
      <w:r w:rsidRPr="009C6D70">
        <w:tab/>
      </w:r>
      <w:r w:rsidR="00082E5C">
        <w:t>DII’s Position</w:t>
      </w:r>
      <w:r w:rsidRPr="009C6D70">
        <w:tab/>
      </w:r>
      <w:r w:rsidR="00082E5C">
        <w:t>5</w:t>
      </w:r>
      <w:r w:rsidR="00D113CD">
        <w:t>5</w:t>
      </w:r>
    </w:p>
    <w:p w:rsidR="009C6D70" w:rsidRPr="009C6D70" w:rsidRDefault="009C6D70" w:rsidP="009C6D70">
      <w:pPr>
        <w:tabs>
          <w:tab w:val="left" w:pos="720"/>
          <w:tab w:val="left" w:pos="1440"/>
          <w:tab w:val="right" w:leader="dot" w:pos="9360"/>
        </w:tabs>
        <w:spacing w:line="360" w:lineRule="auto"/>
      </w:pPr>
      <w:r w:rsidRPr="009C6D70">
        <w:lastRenderedPageBreak/>
        <w:tab/>
        <w:t>F.</w:t>
      </w:r>
      <w:r w:rsidRPr="009C6D70">
        <w:tab/>
      </w:r>
      <w:r w:rsidR="00082E5C">
        <w:t>NRG’s Position</w:t>
      </w:r>
      <w:r w:rsidRPr="009C6D70">
        <w:tab/>
      </w:r>
      <w:r w:rsidR="00082E5C">
        <w:t>5</w:t>
      </w:r>
      <w:r w:rsidR="00D113CD">
        <w:t>9</w:t>
      </w:r>
    </w:p>
    <w:p w:rsidR="009C6D70" w:rsidRPr="009C6D70" w:rsidRDefault="009C6D70" w:rsidP="00082E5C">
      <w:pPr>
        <w:tabs>
          <w:tab w:val="left" w:pos="720"/>
          <w:tab w:val="left" w:pos="1440"/>
          <w:tab w:val="left" w:pos="2160"/>
          <w:tab w:val="right" w:leader="dot" w:pos="9360"/>
        </w:tabs>
        <w:spacing w:line="360" w:lineRule="auto"/>
      </w:pPr>
      <w:r w:rsidRPr="009C6D70">
        <w:tab/>
        <w:t>G.</w:t>
      </w:r>
      <w:r w:rsidRPr="009C6D70">
        <w:tab/>
      </w:r>
      <w:r w:rsidR="00082E5C">
        <w:t>Recommendation</w:t>
      </w:r>
      <w:r w:rsidRPr="009C6D70">
        <w:tab/>
      </w:r>
      <w:r w:rsidR="00082E5C">
        <w:t>5</w:t>
      </w:r>
      <w:r w:rsidR="00D113CD">
        <w:t>9</w:t>
      </w:r>
    </w:p>
    <w:p w:rsidR="009C6D70" w:rsidRPr="009C6D70" w:rsidRDefault="009C6D70" w:rsidP="00082E5C">
      <w:pPr>
        <w:tabs>
          <w:tab w:val="left" w:pos="720"/>
          <w:tab w:val="left" w:pos="1440"/>
          <w:tab w:val="left" w:pos="2160"/>
          <w:tab w:val="right" w:leader="dot" w:pos="9360"/>
        </w:tabs>
        <w:spacing w:line="360" w:lineRule="auto"/>
      </w:pPr>
      <w:r w:rsidRPr="009C6D70">
        <w:t>V</w:t>
      </w:r>
      <w:r w:rsidR="00514F6E">
        <w:t>.</w:t>
      </w:r>
      <w:r w:rsidR="00514F6E">
        <w:tab/>
        <w:t>CONCLUSIONS OF LAW</w:t>
      </w:r>
      <w:r w:rsidRPr="009C6D70">
        <w:tab/>
      </w:r>
      <w:r w:rsidR="00D113CD">
        <w:t>60</w:t>
      </w:r>
    </w:p>
    <w:p w:rsidR="009C6D70" w:rsidRPr="009C6D70" w:rsidRDefault="00514F6E" w:rsidP="009C6D70">
      <w:pPr>
        <w:tabs>
          <w:tab w:val="left" w:pos="720"/>
          <w:tab w:val="left" w:pos="1440"/>
          <w:tab w:val="right" w:leader="dot" w:pos="9360"/>
        </w:tabs>
        <w:spacing w:line="360" w:lineRule="auto"/>
      </w:pPr>
      <w:r>
        <w:t>VI</w:t>
      </w:r>
      <w:r w:rsidR="009C6D70" w:rsidRPr="009C6D70">
        <w:t>.</w:t>
      </w:r>
      <w:r w:rsidR="009C6D70" w:rsidRPr="009C6D70">
        <w:tab/>
        <w:t>RECOMMENDED ORDER</w:t>
      </w:r>
      <w:r w:rsidR="009C6D70" w:rsidRPr="009C6D70">
        <w:tab/>
      </w:r>
      <w:r w:rsidR="00F361D0">
        <w:t>6</w:t>
      </w:r>
      <w:r w:rsidR="00D113CD">
        <w:t>1</w:t>
      </w:r>
    </w:p>
    <w:p w:rsidR="009C6D70" w:rsidRPr="009C6D70" w:rsidRDefault="009C6D70" w:rsidP="009C6D70">
      <w:pPr>
        <w:tabs>
          <w:tab w:val="left" w:pos="720"/>
          <w:tab w:val="left" w:pos="1440"/>
          <w:tab w:val="right" w:leader="dot" w:pos="9360"/>
        </w:tabs>
        <w:spacing w:line="360" w:lineRule="auto"/>
      </w:pPr>
    </w:p>
    <w:p w:rsidR="009C6D70" w:rsidRPr="009C6D70" w:rsidRDefault="009C6D70" w:rsidP="009C6D70">
      <w:pPr>
        <w:tabs>
          <w:tab w:val="left" w:pos="720"/>
          <w:tab w:val="left" w:pos="1440"/>
          <w:tab w:val="right" w:leader="dot" w:pos="9360"/>
        </w:tabs>
        <w:spacing w:line="360" w:lineRule="auto"/>
        <w:sectPr w:rsidR="009C6D70" w:rsidRPr="009C6D70" w:rsidSect="009C6D70">
          <w:pgSz w:w="12240" w:h="15840"/>
          <w:pgMar w:top="1440" w:right="1440" w:bottom="1440" w:left="1440" w:header="0" w:footer="576" w:gutter="0"/>
          <w:pgNumType w:fmt="lowerRoman" w:start="1"/>
          <w:cols w:space="720"/>
          <w:titlePg/>
          <w:docGrid w:linePitch="326"/>
        </w:sectPr>
      </w:pPr>
    </w:p>
    <w:p w:rsidR="00F40AF4" w:rsidRPr="009C6D70" w:rsidRDefault="00F40AF4" w:rsidP="00E476A4">
      <w:pPr>
        <w:spacing w:line="360" w:lineRule="auto"/>
        <w:jc w:val="center"/>
      </w:pPr>
      <w:r w:rsidRPr="009C6D70">
        <w:lastRenderedPageBreak/>
        <w:t>I.</w:t>
      </w:r>
      <w:r w:rsidRPr="009C6D70">
        <w:tab/>
      </w:r>
      <w:r w:rsidR="00BB0985" w:rsidRPr="009C6D70">
        <w:rPr>
          <w:u w:val="single"/>
        </w:rPr>
        <w:t>HISTORY OF THE PROCEEDING</w:t>
      </w:r>
    </w:p>
    <w:p w:rsidR="00BB0985" w:rsidRPr="009C6D70" w:rsidRDefault="00BB0985" w:rsidP="00E476A4">
      <w:pPr>
        <w:spacing w:line="360" w:lineRule="auto"/>
      </w:pPr>
    </w:p>
    <w:p w:rsidR="00BB0985" w:rsidRPr="009C6D70" w:rsidRDefault="00F956E4" w:rsidP="00E476A4">
      <w:pPr>
        <w:spacing w:line="360" w:lineRule="auto"/>
      </w:pPr>
      <w:r w:rsidRPr="009C6D70">
        <w:tab/>
      </w:r>
      <w:r w:rsidRPr="009C6D70">
        <w:tab/>
        <w:t xml:space="preserve">This Recommended Decision approves, without modification, the Joint Petition for Settlement of All Issues, which the parties joining therein filed on </w:t>
      </w:r>
      <w:r w:rsidR="00ED415A" w:rsidRPr="009C6D70">
        <w:t>January 7, 2011.</w:t>
      </w:r>
    </w:p>
    <w:p w:rsidR="00B83235" w:rsidRPr="009C6D70" w:rsidRDefault="00B83235" w:rsidP="00BB0985">
      <w:pPr>
        <w:spacing w:line="360" w:lineRule="auto"/>
      </w:pPr>
    </w:p>
    <w:p w:rsidR="00B83235" w:rsidRPr="009C6D70" w:rsidRDefault="00B83235" w:rsidP="00B83235">
      <w:pPr>
        <w:spacing w:line="360" w:lineRule="auto"/>
        <w:ind w:firstLine="720"/>
      </w:pPr>
      <w:r w:rsidRPr="009C6D70">
        <w:tab/>
        <w:t xml:space="preserve">On July 23, 2010, Duquesne Light Company (Duquesne or Company) filed </w:t>
      </w:r>
      <w:bookmarkStart w:id="0" w:name="OLE_LINK1"/>
      <w:bookmarkStart w:id="1" w:name="OLE_LINK2"/>
      <w:r w:rsidRPr="009C6D70">
        <w:t xml:space="preserve">Supplement No. 35 to Tariff </w:t>
      </w:r>
      <w:bookmarkEnd w:id="0"/>
      <w:bookmarkEnd w:id="1"/>
      <w:r w:rsidR="00862DD6">
        <w:t xml:space="preserve">Electric </w:t>
      </w:r>
      <w:r w:rsidR="00862DD6" w:rsidRPr="0027771F">
        <w:t xml:space="preserve">– Pa. P.U.C. No. </w:t>
      </w:r>
      <w:r w:rsidR="00862DD6">
        <w:t>2</w:t>
      </w:r>
      <w:r w:rsidR="00862DD6" w:rsidRPr="0027771F">
        <w:t>4</w:t>
      </w:r>
      <w:r w:rsidRPr="009C6D70">
        <w:t>, containing proposed changes in rates, rules, and regulations calculated to produce approximately $87.3 million in additional annual distribution service</w:t>
      </w:r>
      <w:r w:rsidRPr="009C6D70">
        <w:rPr>
          <w:i/>
        </w:rPr>
        <w:t xml:space="preserve"> </w:t>
      </w:r>
      <w:r w:rsidRPr="009C6D70">
        <w:t xml:space="preserve">revenues.  This rate change </w:t>
      </w:r>
      <w:r w:rsidR="00417ABA" w:rsidRPr="009C6D70">
        <w:t xml:space="preserve">proposal </w:t>
      </w:r>
      <w:r w:rsidRPr="009C6D70">
        <w:t>represent</w:t>
      </w:r>
      <w:r w:rsidR="00D20EF1" w:rsidRPr="009C6D70">
        <w:t>ed</w:t>
      </w:r>
      <w:r w:rsidRPr="009C6D70">
        <w:t xml:space="preserve"> an average increase in distribution rates of approximately 22.6%, which equates to an average increase in total rates (distribution, transmission and generation charges) of approximately 6.7%.  Duquesne’s proposed general rate increase </w:t>
      </w:r>
      <w:r w:rsidR="00EE4A0B" w:rsidRPr="009C6D70">
        <w:t>was</w:t>
      </w:r>
      <w:r w:rsidRPr="009C6D70">
        <w:t xml:space="preserve"> based on a future test year ending March 31, 2011, and </w:t>
      </w:r>
      <w:r w:rsidR="00EE4A0B" w:rsidRPr="009C6D70">
        <w:t>was</w:t>
      </w:r>
      <w:r w:rsidRPr="009C6D70">
        <w:t xml:space="preserve"> designed to allow the Company an opportunity to earn an overall rate of return of 8.78%, including an 11.25% return on common equity.  Supplement No. 35 bears a proposed effective date of September 21, 2010.</w:t>
      </w:r>
    </w:p>
    <w:p w:rsidR="00B83235" w:rsidRPr="009C6D70" w:rsidRDefault="00B83235" w:rsidP="00B83235">
      <w:pPr>
        <w:spacing w:line="360" w:lineRule="auto"/>
        <w:ind w:firstLine="1440"/>
      </w:pPr>
    </w:p>
    <w:p w:rsidR="00B83235" w:rsidRPr="009C6D70" w:rsidRDefault="00D34779" w:rsidP="00B83235">
      <w:pPr>
        <w:spacing w:line="360" w:lineRule="auto"/>
        <w:ind w:firstLine="720"/>
      </w:pPr>
      <w:r>
        <w:tab/>
      </w:r>
      <w:r w:rsidR="00B83235" w:rsidRPr="009C6D70">
        <w:t xml:space="preserve">Duquesne </w:t>
      </w:r>
      <w:r w:rsidR="00417ABA" w:rsidRPr="009C6D70">
        <w:t>proposed</w:t>
      </w:r>
      <w:r w:rsidR="00B83235" w:rsidRPr="009C6D70">
        <w:t xml:space="preserve"> to increase rates across all rate schedules for residential, small and medium commercial and industrial, and large commercial and industrial customer classes.  Rates </w:t>
      </w:r>
      <w:r w:rsidR="00EE4A0B" w:rsidRPr="009C6D70">
        <w:t>would have</w:t>
      </w:r>
      <w:r w:rsidR="00B83235" w:rsidRPr="009C6D70">
        <w:t xml:space="preserve"> decrease</w:t>
      </w:r>
      <w:r w:rsidR="00EE4A0B" w:rsidRPr="009C6D70">
        <w:t>d</w:t>
      </w:r>
      <w:r w:rsidR="00B83235" w:rsidRPr="009C6D70">
        <w:t xml:space="preserve"> for all lighting customers</w:t>
      </w:r>
      <w:r w:rsidR="00EE4A0B" w:rsidRPr="009C6D70">
        <w:t xml:space="preserve"> under Duquesne’s proposal</w:t>
      </w:r>
      <w:r w:rsidR="00B83235" w:rsidRPr="009C6D70">
        <w:t xml:space="preserve">.  </w:t>
      </w:r>
    </w:p>
    <w:p w:rsidR="00A66FC3" w:rsidRPr="009C6D70" w:rsidRDefault="00A66FC3" w:rsidP="00B83235">
      <w:pPr>
        <w:spacing w:line="360" w:lineRule="auto"/>
        <w:ind w:firstLine="720"/>
      </w:pPr>
    </w:p>
    <w:p w:rsidR="00B83235" w:rsidRPr="009C6D70" w:rsidRDefault="00D34779" w:rsidP="00B83235">
      <w:pPr>
        <w:autoSpaceDE w:val="0"/>
        <w:autoSpaceDN w:val="0"/>
        <w:adjustRightInd w:val="0"/>
        <w:spacing w:line="360" w:lineRule="auto"/>
        <w:ind w:firstLine="720"/>
      </w:pPr>
      <w:r>
        <w:tab/>
      </w:r>
      <w:r w:rsidR="00B83235" w:rsidRPr="009C6D70">
        <w:t xml:space="preserve">Duquesne </w:t>
      </w:r>
      <w:r w:rsidR="00417ABA" w:rsidRPr="009C6D70">
        <w:t xml:space="preserve">proposed </w:t>
      </w:r>
      <w:r w:rsidR="00B83235" w:rsidRPr="009C6D70">
        <w:t>modify</w:t>
      </w:r>
      <w:r w:rsidR="00417ABA" w:rsidRPr="009C6D70">
        <w:t>ing</w:t>
      </w:r>
      <w:r w:rsidR="00B83235" w:rsidRPr="009C6D70">
        <w:t xml:space="preserve"> its rate design for several rate schedules.  First, for schedules </w:t>
      </w:r>
      <w:r w:rsidR="000E63AA" w:rsidRPr="009C6D70">
        <w:t>Residential Service Heating</w:t>
      </w:r>
      <w:r w:rsidR="000E63AA">
        <w:t xml:space="preserve"> (</w:t>
      </w:r>
      <w:r w:rsidR="00B83235" w:rsidRPr="009C6D70">
        <w:t>RH</w:t>
      </w:r>
      <w:r w:rsidR="000E63AA">
        <w:t>)</w:t>
      </w:r>
      <w:r w:rsidR="00B83235" w:rsidRPr="009C6D70">
        <w:t xml:space="preserve"> and </w:t>
      </w:r>
      <w:r w:rsidR="00371F35">
        <w:t>Residential Service Add-on Heat Pump (</w:t>
      </w:r>
      <w:r w:rsidR="00B83235" w:rsidRPr="009C6D70">
        <w:t>RA</w:t>
      </w:r>
      <w:r w:rsidR="00371F35">
        <w:t>)</w:t>
      </w:r>
      <w:r w:rsidR="00B83235" w:rsidRPr="009C6D70">
        <w:t>, it propose</w:t>
      </w:r>
      <w:r w:rsidR="00417ABA" w:rsidRPr="009C6D70">
        <w:t>d</w:t>
      </w:r>
      <w:r w:rsidR="00B83235" w:rsidRPr="009C6D70">
        <w:t xml:space="preserve"> to replace the declining block rate structure during the heating season with a flat energy charge per kWh that is lower than the non-heating season energy charge.  Second, it propose</w:t>
      </w:r>
      <w:r w:rsidR="00417ABA" w:rsidRPr="009C6D70">
        <w:t>d</w:t>
      </w:r>
      <w:r w:rsidR="00B83235" w:rsidRPr="009C6D70">
        <w:t xml:space="preserve"> to separate the </w:t>
      </w:r>
      <w:r w:rsidR="000E63AA" w:rsidRPr="009C6D70">
        <w:t>General Service Small and Medium</w:t>
      </w:r>
      <w:r w:rsidR="000E63AA">
        <w:t xml:space="preserve"> (</w:t>
      </w:r>
      <w:r w:rsidR="00B83235" w:rsidRPr="009C6D70">
        <w:t>GS</w:t>
      </w:r>
      <w:r w:rsidR="000E63AA">
        <w:t>/</w:t>
      </w:r>
      <w:r w:rsidR="00B83235" w:rsidRPr="009C6D70">
        <w:t>GM</w:t>
      </w:r>
      <w:r w:rsidR="000E63AA">
        <w:t>)</w:t>
      </w:r>
      <w:r w:rsidR="00B83235" w:rsidRPr="009C6D70">
        <w:t xml:space="preserve"> rate</w:t>
      </w:r>
      <w:r w:rsidR="00B83235" w:rsidRPr="009C6D70">
        <w:rPr>
          <w:b/>
          <w:bCs/>
        </w:rPr>
        <w:t xml:space="preserve"> </w:t>
      </w:r>
      <w:r w:rsidR="00B83235" w:rsidRPr="009C6D70">
        <w:t>schedule into three rate schedules</w:t>
      </w:r>
      <w:r w:rsidR="0012210B">
        <w:t xml:space="preserve">: </w:t>
      </w:r>
      <w:r w:rsidR="00B83235" w:rsidRPr="009C6D70">
        <w:t xml:space="preserve"> GS No Demand, GM&lt;25 and GM&gt;25.  Third, Duquesne </w:t>
      </w:r>
      <w:r w:rsidR="00417ABA" w:rsidRPr="009C6D70">
        <w:t>p</w:t>
      </w:r>
      <w:r w:rsidR="00B83235" w:rsidRPr="009C6D70">
        <w:t>ropos</w:t>
      </w:r>
      <w:r w:rsidR="00417ABA" w:rsidRPr="009C6D70">
        <w:t>ed</w:t>
      </w:r>
      <w:r w:rsidR="00B83235" w:rsidRPr="009C6D70">
        <w:t xml:space="preserve"> to eliminate the current variable energy per kWh for schedules </w:t>
      </w:r>
      <w:r w:rsidR="00900165">
        <w:t>General Service Large (</w:t>
      </w:r>
      <w:r w:rsidR="00B83235" w:rsidRPr="009C6D70">
        <w:t>GL</w:t>
      </w:r>
      <w:r w:rsidR="00900165">
        <w:t>)</w:t>
      </w:r>
      <w:r w:rsidR="00B83235" w:rsidRPr="009C6D70">
        <w:t xml:space="preserve"> and </w:t>
      </w:r>
      <w:r w:rsidR="00900165">
        <w:t>Large Power Service (</w:t>
      </w:r>
      <w:r w:rsidR="00B83235" w:rsidRPr="009C6D70">
        <w:t>L</w:t>
      </w:r>
      <w:r w:rsidR="00900165">
        <w:t>)</w:t>
      </w:r>
      <w:r w:rsidR="00B83235" w:rsidRPr="009C6D70">
        <w:t xml:space="preserve">, while maintaining a minimum demand charge based on a customer’s contract demand.  However, for schedule </w:t>
      </w:r>
      <w:r w:rsidR="00A23AFA">
        <w:t>General Service Large Heating</w:t>
      </w:r>
      <w:r w:rsidR="00A23AFA" w:rsidRPr="009C6D70">
        <w:t xml:space="preserve"> </w:t>
      </w:r>
      <w:r w:rsidR="00A23AFA">
        <w:t>(</w:t>
      </w:r>
      <w:r w:rsidR="00B83235" w:rsidRPr="009C6D70">
        <w:t>GLH</w:t>
      </w:r>
      <w:r w:rsidR="00A23AFA">
        <w:t>)</w:t>
      </w:r>
      <w:r w:rsidR="00B83235" w:rsidRPr="009C6D70">
        <w:t>, which is the complementary electric space heating rate to schedule GL, the Company propos</w:t>
      </w:r>
      <w:r w:rsidR="00C12BAE" w:rsidRPr="009C6D70">
        <w:t>ed</w:t>
      </w:r>
      <w:r w:rsidR="00B83235" w:rsidRPr="009C6D70">
        <w:t xml:space="preserve"> to bill a flat energy charge per kWh during the heating months (October to May) and </w:t>
      </w:r>
      <w:r w:rsidR="00C71E83">
        <w:t xml:space="preserve">to </w:t>
      </w:r>
      <w:r w:rsidR="00B83235" w:rsidRPr="009C6D70">
        <w:t xml:space="preserve">eliminate the current </w:t>
      </w:r>
      <w:r w:rsidR="00B83235" w:rsidRPr="009C6D70">
        <w:lastRenderedPageBreak/>
        <w:t>fixed monthly customer charge during the heating season.  Fourth, for schedule L</w:t>
      </w:r>
      <w:r w:rsidR="00C12BAE" w:rsidRPr="009C6D70">
        <w:t xml:space="preserve">, Duquesne </w:t>
      </w:r>
      <w:r w:rsidR="00B83235" w:rsidRPr="009C6D70">
        <w:t>propos</w:t>
      </w:r>
      <w:r w:rsidR="00C12BAE" w:rsidRPr="009C6D70">
        <w:t>ed</w:t>
      </w:r>
      <w:r w:rsidR="00B83235" w:rsidRPr="009C6D70">
        <w:t xml:space="preserve"> to eliminate the current declining block demand charge.  Finally, for schedule </w:t>
      </w:r>
      <w:r w:rsidR="00A23AFA">
        <w:t>High Voltage Power Service (</w:t>
      </w:r>
      <w:r w:rsidR="00B83235" w:rsidRPr="009C6D70">
        <w:t>HVPS</w:t>
      </w:r>
      <w:r w:rsidR="00A23AFA">
        <w:t>)</w:t>
      </w:r>
      <w:r w:rsidR="00C12BAE" w:rsidRPr="009C6D70">
        <w:t>,</w:t>
      </w:r>
      <w:r w:rsidR="00B83235" w:rsidRPr="009C6D70">
        <w:t xml:space="preserve"> the Company propos</w:t>
      </w:r>
      <w:r w:rsidR="00C12BAE" w:rsidRPr="009C6D70">
        <w:t>ed</w:t>
      </w:r>
      <w:r w:rsidR="00B83235" w:rsidRPr="009C6D70">
        <w:t xml:space="preserve"> to eliminate the variable demand charge.</w:t>
      </w:r>
    </w:p>
    <w:p w:rsidR="00B83235" w:rsidRPr="009C6D70" w:rsidRDefault="00B83235" w:rsidP="00B83235">
      <w:pPr>
        <w:spacing w:line="360" w:lineRule="auto"/>
        <w:ind w:firstLine="720"/>
      </w:pPr>
    </w:p>
    <w:p w:rsidR="00B83235" w:rsidRPr="009C6D70" w:rsidRDefault="00D34779" w:rsidP="00B83235">
      <w:pPr>
        <w:spacing w:line="360" w:lineRule="auto"/>
        <w:ind w:firstLine="720"/>
      </w:pPr>
      <w:r>
        <w:tab/>
      </w:r>
      <w:r w:rsidR="00A66FC3" w:rsidRPr="009C6D70">
        <w:t xml:space="preserve">If the Commission had approved </w:t>
      </w:r>
      <w:r w:rsidR="00B83235" w:rsidRPr="009C6D70">
        <w:t xml:space="preserve">Duquesne’s proposed rate increase and revenue allocation, the majority of the Company’s residential customers—those served under Rate Schedule </w:t>
      </w:r>
      <w:r w:rsidR="00DB0F38" w:rsidRPr="009C6D70">
        <w:t xml:space="preserve">Residential Service </w:t>
      </w:r>
      <w:r w:rsidR="00DB0F38">
        <w:t>(RS)</w:t>
      </w:r>
      <w:r w:rsidR="00B83235" w:rsidRPr="009C6D70">
        <w:t>—</w:t>
      </w:r>
      <w:r w:rsidR="00A66FC3" w:rsidRPr="009C6D70">
        <w:t>would have</w:t>
      </w:r>
      <w:r w:rsidR="00B83235" w:rsidRPr="009C6D70">
        <w:t xml:space="preserve"> receive</w:t>
      </w:r>
      <w:r w:rsidR="00A66FC3" w:rsidRPr="009C6D70">
        <w:t>d</w:t>
      </w:r>
      <w:r w:rsidR="00B83235" w:rsidRPr="009C6D70">
        <w:t xml:space="preserve"> an increase of approximately 9.9% on a total billed revenue basis, and approximately 26.3% on a distribution revenue basis.  Approximately 20% </w:t>
      </w:r>
      <w:r w:rsidR="00A66FC3" w:rsidRPr="009C6D70">
        <w:t xml:space="preserve">of that increase would have been </w:t>
      </w:r>
      <w:r w:rsidR="00B83235" w:rsidRPr="009C6D70">
        <w:t xml:space="preserve">due to an increase in the customer charge from $7.00 to $8.50, while the remainder </w:t>
      </w:r>
      <w:r w:rsidR="00A66FC3" w:rsidRPr="009C6D70">
        <w:t>would be</w:t>
      </w:r>
      <w:r w:rsidR="00B83235" w:rsidRPr="009C6D70">
        <w:t xml:space="preserve"> the result of an increase in the rate per kWh.  </w:t>
      </w:r>
      <w:r w:rsidR="00A66FC3" w:rsidRPr="009C6D70">
        <w:t>Under Duquesne’s original proposal, t</w:t>
      </w:r>
      <w:r w:rsidR="00B83235" w:rsidRPr="009C6D70">
        <w:t xml:space="preserve">he total average monthly bill for a residential customer using 600 kWh per month would </w:t>
      </w:r>
      <w:r w:rsidR="00F205BC" w:rsidRPr="009C6D70">
        <w:t xml:space="preserve">have </w:t>
      </w:r>
      <w:r w:rsidR="00B83235" w:rsidRPr="009C6D70">
        <w:t>increase</w:t>
      </w:r>
      <w:r w:rsidR="00F205BC" w:rsidRPr="009C6D70">
        <w:t>d</w:t>
      </w:r>
      <w:r w:rsidR="00B83235" w:rsidRPr="009C6D70">
        <w:t xml:space="preserve"> by $7.77, a 9.4% increase.  Those residential customers who take service under Rate Schedule RH w</w:t>
      </w:r>
      <w:r w:rsidR="003E15B6" w:rsidRPr="009C6D70">
        <w:t xml:space="preserve">ould have </w:t>
      </w:r>
      <w:r w:rsidR="00B83235" w:rsidRPr="009C6D70">
        <w:t>receive</w:t>
      </w:r>
      <w:r w:rsidR="003E15B6" w:rsidRPr="009C6D70">
        <w:t>d</w:t>
      </w:r>
      <w:r w:rsidR="00B83235" w:rsidRPr="009C6D70">
        <w:t xml:space="preserve"> an increase of approximately 13.4% on a total billed revenue basis, and approximately 42.0% on a distribution revenue basis.  Those residential customers who take service under Rate Schedule RA w</w:t>
      </w:r>
      <w:r w:rsidR="003E15B6" w:rsidRPr="009C6D70">
        <w:t>ould have</w:t>
      </w:r>
      <w:r w:rsidR="00B83235" w:rsidRPr="009C6D70">
        <w:t xml:space="preserve"> experience</w:t>
      </w:r>
      <w:r w:rsidR="003E15B6" w:rsidRPr="009C6D70">
        <w:t>d</w:t>
      </w:r>
      <w:r w:rsidR="00B83235" w:rsidRPr="009C6D70">
        <w:t xml:space="preserve"> an increase of approximately 11.8% on a total billed revenue basis, and approximately 43.2% on a distribution revenue basis.  Duquesne’s commercial and industrial customers w</w:t>
      </w:r>
      <w:r w:rsidR="003E15B6" w:rsidRPr="009C6D70">
        <w:t xml:space="preserve">ould have </w:t>
      </w:r>
      <w:r w:rsidR="00B83235" w:rsidRPr="009C6D70">
        <w:t>also experience</w:t>
      </w:r>
      <w:r w:rsidR="003E15B6" w:rsidRPr="009C6D70">
        <w:t>d</w:t>
      </w:r>
      <w:r w:rsidR="00B83235" w:rsidRPr="009C6D70">
        <w:t xml:space="preserve"> significant increases in their rates under the Company’s rate increase and revenue allocation proposals.  However, lighting customers w</w:t>
      </w:r>
      <w:r w:rsidR="003E15B6" w:rsidRPr="009C6D70">
        <w:t>ould have</w:t>
      </w:r>
      <w:r w:rsidR="00B83235" w:rsidRPr="009C6D70">
        <w:t xml:space="preserve"> experience</w:t>
      </w:r>
      <w:r w:rsidR="003E15B6" w:rsidRPr="009C6D70">
        <w:t>d</w:t>
      </w:r>
      <w:r w:rsidR="00B83235" w:rsidRPr="009C6D70">
        <w:t xml:space="preserve"> a decrease in rates.</w:t>
      </w:r>
    </w:p>
    <w:p w:rsidR="00B83235" w:rsidRPr="009C6D70" w:rsidRDefault="00B83235" w:rsidP="00B83235">
      <w:pPr>
        <w:spacing w:line="360" w:lineRule="auto"/>
        <w:ind w:firstLine="720"/>
      </w:pPr>
    </w:p>
    <w:p w:rsidR="0018569C" w:rsidRPr="009C6D70" w:rsidRDefault="00B83235" w:rsidP="00B83235">
      <w:pPr>
        <w:spacing w:line="360" w:lineRule="auto"/>
        <w:ind w:firstLine="720"/>
      </w:pPr>
      <w:r w:rsidRPr="009C6D70">
        <w:tab/>
        <w:t xml:space="preserve">On September 16, 2010, an Order was adopted and entered by the Commission which, </w:t>
      </w:r>
      <w:r w:rsidRPr="009C6D70">
        <w:rPr>
          <w:i/>
        </w:rPr>
        <w:t>inter alia</w:t>
      </w:r>
      <w:r w:rsidRPr="009C6D70">
        <w:t xml:space="preserve">, suspended the proposed Supplement No. 35 to Tariff </w:t>
      </w:r>
      <w:r w:rsidR="00862DD6">
        <w:t xml:space="preserve">Electric </w:t>
      </w:r>
      <w:r w:rsidR="00862DD6" w:rsidRPr="0027771F">
        <w:t xml:space="preserve">– Pa. P.U.C. No. </w:t>
      </w:r>
      <w:r w:rsidR="00862DD6">
        <w:t>2</w:t>
      </w:r>
      <w:r w:rsidR="00862DD6" w:rsidRPr="0027771F">
        <w:t>4</w:t>
      </w:r>
      <w:r w:rsidRPr="009C6D70">
        <w:t xml:space="preserve"> until April 21, 2011, unless otherwise directed by the Commission, and ordered an investigation to determine the lawfulness, justness, and reasonableness of the rates, rules and regulations contained in the filing.</w:t>
      </w:r>
      <w:r w:rsidR="0018569C" w:rsidRPr="009C6D70">
        <w:t xml:space="preserve">  The Commission’s Order also provided that the case be assigned to the Office of Administrative Law Judge for the prompt scheduling of such hearings as may be necessary, culminating in this issuance of a Recommended Decision.</w:t>
      </w:r>
    </w:p>
    <w:p w:rsidR="0018569C" w:rsidRPr="009C6D70" w:rsidRDefault="0018569C" w:rsidP="00B83235">
      <w:pPr>
        <w:spacing w:line="360" w:lineRule="auto"/>
        <w:ind w:firstLine="720"/>
      </w:pPr>
    </w:p>
    <w:p w:rsidR="006F178E" w:rsidRPr="009C6D70" w:rsidRDefault="0018569C" w:rsidP="006F178E">
      <w:pPr>
        <w:spacing w:line="360" w:lineRule="auto"/>
      </w:pPr>
      <w:r w:rsidRPr="009C6D70">
        <w:tab/>
      </w:r>
      <w:r w:rsidR="006F178E" w:rsidRPr="009C6D70">
        <w:tab/>
        <w:t>Also in its September 16, 2010 Order, the Commission identified the following issues, which it directed the parties and the Presiding ALJs to address in this proceeding:</w:t>
      </w:r>
    </w:p>
    <w:p w:rsidR="006F178E" w:rsidRPr="009C6D70" w:rsidRDefault="006F178E" w:rsidP="00E476A4">
      <w:pPr>
        <w:numPr>
          <w:ilvl w:val="0"/>
          <w:numId w:val="21"/>
        </w:numPr>
        <w:ind w:left="2160" w:right="1440" w:hanging="720"/>
      </w:pPr>
      <w:r w:rsidRPr="009C6D70">
        <w:lastRenderedPageBreak/>
        <w:t>The Commission’s analysis of Duquesne Light’s proposed general rate increase has identified an additional issue, “ring fencing,” that may have a significant impact on the rates to consumers of the utility.  Ring fencing protections allow the risks associated with the jurisdictional utility to be isolated from the risks associated with its affiliates of the consolidated entity.  The Commission has encouraged such protections in the past and would like the parties to this proceeding to address the ring fencing impact on rates.</w:t>
      </w:r>
    </w:p>
    <w:p w:rsidR="006F178E" w:rsidRPr="009C6D70" w:rsidRDefault="006F178E" w:rsidP="00E476A4">
      <w:pPr>
        <w:ind w:left="2160" w:right="1440" w:hanging="720"/>
      </w:pPr>
    </w:p>
    <w:p w:rsidR="006F178E" w:rsidRPr="009C6D70" w:rsidRDefault="006F178E" w:rsidP="00E476A4">
      <w:pPr>
        <w:pStyle w:val="ListParagraph"/>
        <w:numPr>
          <w:ilvl w:val="0"/>
          <w:numId w:val="21"/>
        </w:numPr>
        <w:ind w:left="2160" w:right="1440" w:hanging="720"/>
        <w:rPr>
          <w:sz w:val="24"/>
          <w:szCs w:val="24"/>
        </w:rPr>
      </w:pPr>
      <w:r w:rsidRPr="009C6D70">
        <w:rPr>
          <w:sz w:val="24"/>
          <w:szCs w:val="24"/>
        </w:rPr>
        <w:t>Duquesne’s test year revenue and expense claims must be closely examined to determine their accuracy and the extent to which they support the requested revenue increase.</w:t>
      </w:r>
    </w:p>
    <w:p w:rsidR="006F178E" w:rsidRPr="009C6D70" w:rsidRDefault="006F178E" w:rsidP="00E476A4">
      <w:pPr>
        <w:tabs>
          <w:tab w:val="left" w:pos="1440"/>
        </w:tabs>
        <w:ind w:left="2160" w:right="1440" w:hanging="720"/>
      </w:pPr>
    </w:p>
    <w:p w:rsidR="006F178E" w:rsidRPr="009C6D70" w:rsidRDefault="006F178E" w:rsidP="00E476A4">
      <w:pPr>
        <w:pStyle w:val="ListParagraph"/>
        <w:numPr>
          <w:ilvl w:val="0"/>
          <w:numId w:val="21"/>
        </w:numPr>
        <w:ind w:left="2160" w:right="1440" w:hanging="720"/>
        <w:rPr>
          <w:sz w:val="24"/>
          <w:szCs w:val="24"/>
        </w:rPr>
      </w:pPr>
      <w:r w:rsidRPr="009C6D70">
        <w:rPr>
          <w:sz w:val="24"/>
          <w:szCs w:val="24"/>
        </w:rPr>
        <w:t>The level of capital investment appearing in Duquesne’s rate base claim must be closely reviewed to ensure that it was prudently made, and that any utility plant acquired is necessary, used and useful to the provision of electric distribution service.</w:t>
      </w:r>
    </w:p>
    <w:p w:rsidR="006F178E" w:rsidRPr="009C6D70" w:rsidRDefault="006F178E" w:rsidP="00E476A4">
      <w:pPr>
        <w:pStyle w:val="ListParagraph"/>
        <w:ind w:left="2160" w:right="1440" w:hanging="720"/>
        <w:rPr>
          <w:sz w:val="24"/>
          <w:szCs w:val="24"/>
        </w:rPr>
      </w:pPr>
    </w:p>
    <w:p w:rsidR="006F178E" w:rsidRPr="009C6D70" w:rsidRDefault="006F178E" w:rsidP="00E476A4">
      <w:pPr>
        <w:pStyle w:val="ListParagraph"/>
        <w:numPr>
          <w:ilvl w:val="0"/>
          <w:numId w:val="21"/>
        </w:numPr>
        <w:ind w:left="2160" w:right="1440" w:hanging="720"/>
        <w:rPr>
          <w:sz w:val="24"/>
          <w:szCs w:val="24"/>
        </w:rPr>
      </w:pPr>
      <w:r w:rsidRPr="009C6D70">
        <w:rPr>
          <w:sz w:val="24"/>
          <w:szCs w:val="24"/>
        </w:rPr>
        <w:t>Duquesne’s proposed revenue allocation must be carefully examined to determine whether or not it is just and reasonable.</w:t>
      </w:r>
    </w:p>
    <w:p w:rsidR="006F178E" w:rsidRPr="009C6D70" w:rsidRDefault="006F178E" w:rsidP="00E476A4">
      <w:pPr>
        <w:pStyle w:val="ListParagraph"/>
        <w:ind w:left="2160" w:right="1440" w:hanging="720"/>
        <w:rPr>
          <w:sz w:val="24"/>
          <w:szCs w:val="24"/>
        </w:rPr>
      </w:pPr>
    </w:p>
    <w:p w:rsidR="006F178E" w:rsidRPr="009C6D70" w:rsidRDefault="006F178E" w:rsidP="00E476A4">
      <w:pPr>
        <w:pStyle w:val="ListParagraph"/>
        <w:numPr>
          <w:ilvl w:val="0"/>
          <w:numId w:val="21"/>
        </w:numPr>
        <w:ind w:left="2160" w:right="1440" w:hanging="720"/>
        <w:rPr>
          <w:sz w:val="24"/>
          <w:szCs w:val="24"/>
        </w:rPr>
      </w:pPr>
      <w:r w:rsidRPr="009C6D70">
        <w:rPr>
          <w:sz w:val="24"/>
          <w:szCs w:val="24"/>
        </w:rPr>
        <w:t>Duquesne’s proposal to redesign the rate structure of residential heating and add-on heat pump customers must be carefully examined to determine whether or not it is just and reasonable.</w:t>
      </w:r>
    </w:p>
    <w:p w:rsidR="006F178E" w:rsidRPr="009C6D70" w:rsidRDefault="006F178E" w:rsidP="00E476A4">
      <w:pPr>
        <w:pStyle w:val="ListParagraph"/>
        <w:ind w:left="2160" w:right="1440" w:hanging="720"/>
        <w:rPr>
          <w:sz w:val="24"/>
          <w:szCs w:val="24"/>
        </w:rPr>
      </w:pPr>
    </w:p>
    <w:p w:rsidR="006F178E" w:rsidRPr="009C6D70" w:rsidRDefault="006F178E" w:rsidP="00E476A4">
      <w:pPr>
        <w:pStyle w:val="ListParagraph"/>
        <w:numPr>
          <w:ilvl w:val="0"/>
          <w:numId w:val="21"/>
        </w:numPr>
        <w:ind w:left="2160" w:right="1440" w:hanging="720"/>
        <w:rPr>
          <w:sz w:val="24"/>
          <w:szCs w:val="24"/>
        </w:rPr>
      </w:pPr>
      <w:r w:rsidRPr="009C6D70">
        <w:rPr>
          <w:sz w:val="24"/>
          <w:szCs w:val="24"/>
        </w:rPr>
        <w:t>Duquesne’s proposal to separate rate schedule GSGM into three new rate schedules must be carefully reviewed to determine whether or not it is just and reasonable.</w:t>
      </w:r>
    </w:p>
    <w:p w:rsidR="006F178E" w:rsidRPr="009C6D70" w:rsidRDefault="006F178E" w:rsidP="00E476A4">
      <w:pPr>
        <w:pStyle w:val="ListParagraph"/>
        <w:ind w:left="2160" w:right="1440" w:hanging="720"/>
        <w:rPr>
          <w:sz w:val="24"/>
          <w:szCs w:val="24"/>
        </w:rPr>
      </w:pPr>
    </w:p>
    <w:p w:rsidR="006F178E" w:rsidRPr="009C6D70" w:rsidRDefault="006F178E" w:rsidP="00E476A4">
      <w:pPr>
        <w:pStyle w:val="ListParagraph"/>
        <w:numPr>
          <w:ilvl w:val="0"/>
          <w:numId w:val="21"/>
        </w:numPr>
        <w:ind w:left="2160" w:right="1440" w:hanging="720"/>
        <w:rPr>
          <w:sz w:val="24"/>
          <w:szCs w:val="24"/>
        </w:rPr>
      </w:pPr>
      <w:r w:rsidRPr="009C6D70">
        <w:rPr>
          <w:sz w:val="24"/>
          <w:szCs w:val="24"/>
        </w:rPr>
        <w:t>Duquesne’s proposals to redesign the rate schedules for large commercial and industrial customers through the conversion to demand only rates, the elimination of variable demand charges and/or the elimination of declining block demand charges must be carefully reviewed to determine whether or not they are just and reasonable.</w:t>
      </w:r>
    </w:p>
    <w:p w:rsidR="006F178E" w:rsidRPr="009C6D70" w:rsidRDefault="006F178E" w:rsidP="00E476A4">
      <w:pPr>
        <w:pStyle w:val="ListParagraph"/>
        <w:ind w:left="2160" w:right="1440" w:hanging="720"/>
        <w:rPr>
          <w:sz w:val="24"/>
          <w:szCs w:val="24"/>
        </w:rPr>
      </w:pPr>
    </w:p>
    <w:p w:rsidR="006F178E" w:rsidRPr="00900165" w:rsidRDefault="006F178E" w:rsidP="008251FA">
      <w:pPr>
        <w:pStyle w:val="ListParagraph"/>
        <w:numPr>
          <w:ilvl w:val="0"/>
          <w:numId w:val="21"/>
        </w:numPr>
        <w:ind w:left="2160" w:right="1440" w:hanging="720"/>
        <w:rPr>
          <w:sz w:val="24"/>
          <w:szCs w:val="24"/>
        </w:rPr>
      </w:pPr>
      <w:r w:rsidRPr="00900165">
        <w:rPr>
          <w:sz w:val="24"/>
          <w:szCs w:val="24"/>
        </w:rPr>
        <w:t>The cost allocation methodologies utilized in Duquesne’s class cost-of-service study must be thoroughly scrutinized in order to ensure that the results of the study are reasonably accurate, and to determine whether or not they support the Company’s proposed revenue allocation.</w:t>
      </w:r>
    </w:p>
    <w:p w:rsidR="006F178E" w:rsidRPr="009C6D70" w:rsidRDefault="006F178E" w:rsidP="00E476A4">
      <w:pPr>
        <w:pStyle w:val="ListParagraph"/>
        <w:ind w:left="2160" w:right="1440" w:hanging="720"/>
        <w:rPr>
          <w:sz w:val="24"/>
          <w:szCs w:val="24"/>
        </w:rPr>
      </w:pPr>
    </w:p>
    <w:p w:rsidR="006F178E" w:rsidRPr="009C6D70" w:rsidRDefault="006F178E" w:rsidP="00E476A4">
      <w:pPr>
        <w:pStyle w:val="ListParagraph"/>
        <w:numPr>
          <w:ilvl w:val="0"/>
          <w:numId w:val="21"/>
        </w:numPr>
        <w:ind w:left="2160" w:right="1440" w:hanging="720"/>
        <w:rPr>
          <w:sz w:val="24"/>
          <w:szCs w:val="24"/>
        </w:rPr>
      </w:pPr>
      <w:r w:rsidRPr="009C6D70">
        <w:rPr>
          <w:sz w:val="24"/>
          <w:szCs w:val="24"/>
        </w:rPr>
        <w:t>The cost allocation methodologies utilized in Duquesne’s class cost-of-service study must be thoroughly scrutinized to determine whether or not they support the Company’s proposed rate design changes.</w:t>
      </w:r>
    </w:p>
    <w:p w:rsidR="006F178E" w:rsidRPr="009C6D70" w:rsidRDefault="006F178E" w:rsidP="00E476A4">
      <w:pPr>
        <w:ind w:left="2160" w:right="1440" w:hanging="720"/>
      </w:pPr>
    </w:p>
    <w:p w:rsidR="006F178E" w:rsidRPr="009C6D70" w:rsidRDefault="006F178E" w:rsidP="00E476A4">
      <w:pPr>
        <w:pStyle w:val="ListParagraph"/>
        <w:numPr>
          <w:ilvl w:val="0"/>
          <w:numId w:val="21"/>
        </w:numPr>
        <w:ind w:left="2160" w:right="1440" w:hanging="720"/>
        <w:rPr>
          <w:sz w:val="24"/>
          <w:szCs w:val="24"/>
        </w:rPr>
      </w:pPr>
      <w:r w:rsidRPr="009C6D70">
        <w:rPr>
          <w:sz w:val="24"/>
          <w:szCs w:val="24"/>
        </w:rPr>
        <w:t>Duquesne’s proposed updates to its tariff to clarify certain provisions and eliminate other provisions must be reviewed to determine whether or not such changes are appropriate.</w:t>
      </w:r>
    </w:p>
    <w:p w:rsidR="006F178E" w:rsidRPr="009C6D70" w:rsidRDefault="006F178E" w:rsidP="00E476A4">
      <w:pPr>
        <w:pStyle w:val="ListParagraph"/>
        <w:ind w:left="2160" w:right="1440" w:hanging="720"/>
        <w:rPr>
          <w:sz w:val="24"/>
          <w:szCs w:val="24"/>
        </w:rPr>
      </w:pPr>
    </w:p>
    <w:p w:rsidR="006F178E" w:rsidRPr="009C6D70" w:rsidRDefault="006F178E" w:rsidP="0012210B">
      <w:pPr>
        <w:pStyle w:val="ListParagraph"/>
        <w:numPr>
          <w:ilvl w:val="0"/>
          <w:numId w:val="21"/>
        </w:numPr>
        <w:ind w:left="2160" w:right="1440" w:hanging="720"/>
        <w:rPr>
          <w:sz w:val="24"/>
          <w:szCs w:val="24"/>
        </w:rPr>
      </w:pPr>
      <w:r w:rsidRPr="009C6D70">
        <w:rPr>
          <w:sz w:val="24"/>
          <w:szCs w:val="24"/>
        </w:rPr>
        <w:t>Duquesne’s methodology for calculating its health care expenses must be closely examined.</w:t>
      </w:r>
    </w:p>
    <w:p w:rsidR="006F178E" w:rsidRPr="009C6D70" w:rsidRDefault="006F178E" w:rsidP="0012210B">
      <w:pPr>
        <w:pStyle w:val="ListParagraph"/>
        <w:ind w:left="1440" w:right="1440"/>
        <w:rPr>
          <w:sz w:val="24"/>
          <w:szCs w:val="24"/>
        </w:rPr>
      </w:pPr>
    </w:p>
    <w:p w:rsidR="006F178E" w:rsidRPr="009C6D70" w:rsidRDefault="006F178E" w:rsidP="0012210B">
      <w:pPr>
        <w:pStyle w:val="ListParagraph"/>
        <w:spacing w:line="360" w:lineRule="auto"/>
        <w:ind w:left="0" w:right="1440"/>
        <w:rPr>
          <w:sz w:val="24"/>
          <w:szCs w:val="24"/>
        </w:rPr>
      </w:pPr>
      <w:r w:rsidRPr="009C6D70">
        <w:rPr>
          <w:i/>
          <w:sz w:val="24"/>
          <w:szCs w:val="24"/>
        </w:rPr>
        <w:t>See</w:t>
      </w:r>
      <w:r w:rsidRPr="009C6D70">
        <w:rPr>
          <w:sz w:val="24"/>
          <w:szCs w:val="24"/>
        </w:rPr>
        <w:t>, Opinion and Order entered September 16, 2010, pp. 3-4; Appendix A.</w:t>
      </w:r>
      <w:r w:rsidR="00E061CA" w:rsidRPr="009C6D70">
        <w:rPr>
          <w:rStyle w:val="FootnoteReference"/>
          <w:sz w:val="24"/>
          <w:szCs w:val="24"/>
        </w:rPr>
        <w:footnoteReference w:id="1"/>
      </w:r>
    </w:p>
    <w:p w:rsidR="00B83235" w:rsidRPr="009C6D70" w:rsidRDefault="00B83235" w:rsidP="00E476A4">
      <w:pPr>
        <w:spacing w:line="360" w:lineRule="auto"/>
        <w:ind w:firstLine="720"/>
      </w:pPr>
    </w:p>
    <w:p w:rsidR="00B83235" w:rsidRPr="009C6D70" w:rsidRDefault="00B83235" w:rsidP="00E476A4">
      <w:pPr>
        <w:spacing w:line="360" w:lineRule="auto"/>
      </w:pPr>
      <w:r w:rsidRPr="009C6D70">
        <w:tab/>
      </w:r>
      <w:r w:rsidRPr="009C6D70">
        <w:tab/>
      </w:r>
      <w:r w:rsidR="000E7B3F" w:rsidRPr="009C6D70">
        <w:t>T</w:t>
      </w:r>
      <w:r w:rsidRPr="009C6D70">
        <w:t>he Commission’s Office of Trial Staff (OTS) entered its appearance in this proceeding, while the Office of Consumer Advocate (OCA) and the Office of Small Business Advocate (OSBA) filed complaints.  The OCA complaint is filed at Docket No. C-2010-2194660.  The OSBA complaint is filed at Docket No. C-2010-2193322.  In addition, the following individuals/entit</w:t>
      </w:r>
      <w:r w:rsidR="000E7B3F" w:rsidRPr="009C6D70">
        <w:t>ies</w:t>
      </w:r>
      <w:r w:rsidRPr="009C6D70">
        <w:t xml:space="preserve"> filed formal complaints</w:t>
      </w:r>
      <w:r w:rsidR="00610120" w:rsidRPr="009C6D70">
        <w:t xml:space="preserve"> that were consolidated in this action</w:t>
      </w:r>
      <w:r w:rsidRPr="009C6D70">
        <w:t xml:space="preserve">: </w:t>
      </w:r>
      <w:r w:rsidR="00C71E83">
        <w:t xml:space="preserve"> </w:t>
      </w:r>
      <w:r w:rsidR="00EF7056" w:rsidRPr="009C6D70">
        <w:t xml:space="preserve">Linda L. Sullivan at Docket No. </w:t>
      </w:r>
      <w:proofErr w:type="gramStart"/>
      <w:r w:rsidR="00EF7056" w:rsidRPr="009C6D70">
        <w:t>R-2010-2153066</w:t>
      </w:r>
      <w:r w:rsidR="00162882">
        <w:t>,</w:t>
      </w:r>
      <w:r w:rsidR="00BB6E06">
        <w:rPr>
          <w:rStyle w:val="FootnoteReference"/>
        </w:rPr>
        <w:footnoteReference w:id="2"/>
      </w:r>
      <w:r w:rsidR="00EF7056" w:rsidRPr="009C6D70">
        <w:t xml:space="preserve"> Janet Vento at Docket No.</w:t>
      </w:r>
      <w:proofErr w:type="gramEnd"/>
      <w:r w:rsidR="00EF7056" w:rsidRPr="009C6D70">
        <w:t xml:space="preserve"> C-2010-2196479, Mary M. Chestnut at Docket No. C-2010-2196790</w:t>
      </w:r>
      <w:r w:rsidRPr="009C6D70">
        <w:t xml:space="preserve">, </w:t>
      </w:r>
      <w:r w:rsidR="00EF7056" w:rsidRPr="009C6D70">
        <w:t>Donald W. Killmeyer at Docket No. C-2010-2199926, Sarah Divilly at Docket No. C-2010-2199945, Delores D. White at Docket No. C</w:t>
      </w:r>
      <w:r w:rsidR="00862DD6">
        <w:noBreakHyphen/>
      </w:r>
      <w:r w:rsidR="00EF7056" w:rsidRPr="009C6D70">
        <w:t xml:space="preserve">2010-2200548, </w:t>
      </w:r>
      <w:r w:rsidRPr="009C6D70">
        <w:t>Vicki Cour</w:t>
      </w:r>
      <w:r w:rsidR="00EF7056" w:rsidRPr="009C6D70">
        <w:t>ie at Docket No. C-2010-2201179, Rebecca Nesvet at Docket No. C</w:t>
      </w:r>
      <w:r w:rsidR="00862DD6">
        <w:noBreakHyphen/>
      </w:r>
      <w:r w:rsidR="00EF7056" w:rsidRPr="009C6D70">
        <w:t xml:space="preserve">2010-2202732, </w:t>
      </w:r>
      <w:r w:rsidR="00A27480" w:rsidRPr="009C6D70">
        <w:t xml:space="preserve">Marie Rubottom at Docket No. </w:t>
      </w:r>
      <w:proofErr w:type="gramStart"/>
      <w:r w:rsidR="00A27480" w:rsidRPr="009C6D70">
        <w:t xml:space="preserve">C-2010-2202837, </w:t>
      </w:r>
      <w:r w:rsidR="005261C2" w:rsidRPr="009C6D70">
        <w:t>Duquesne Industrial Intervenors (DII)</w:t>
      </w:r>
      <w:r w:rsidR="005261C2" w:rsidRPr="009C6D70">
        <w:rPr>
          <w:rStyle w:val="FootnoteReference"/>
        </w:rPr>
        <w:footnoteReference w:id="3"/>
      </w:r>
      <w:r w:rsidR="005261C2" w:rsidRPr="009C6D70">
        <w:t xml:space="preserve"> at Docket No.</w:t>
      </w:r>
      <w:proofErr w:type="gramEnd"/>
      <w:r w:rsidR="005261C2" w:rsidRPr="009C6D70">
        <w:t xml:space="preserve"> C-2010-2203197, </w:t>
      </w:r>
      <w:r w:rsidR="00A27480" w:rsidRPr="009C6D70">
        <w:t xml:space="preserve">Carolina Ursitti at Docket No. C-2010-2203912, </w:t>
      </w:r>
      <w:r w:rsidR="005261C2" w:rsidRPr="009C6D70">
        <w:t xml:space="preserve">Donald J. Gilbert at Docket No. C-2010-2204100, NRG Energy Center Pittsburgh, LLC (NRG) at Docket No. C-2010-2206586, </w:t>
      </w:r>
      <w:r w:rsidR="00A27480" w:rsidRPr="009C6D70">
        <w:t>Jay Folkens</w:t>
      </w:r>
      <w:r w:rsidR="00154ED9" w:rsidRPr="009C6D70">
        <w:t xml:space="preserve"> at Docket No. C-2010-2213076</w:t>
      </w:r>
      <w:r w:rsidR="005261C2" w:rsidRPr="009C6D70">
        <w:t xml:space="preserve"> and</w:t>
      </w:r>
      <w:r w:rsidR="00154ED9" w:rsidRPr="009C6D70">
        <w:t xml:space="preserve"> </w:t>
      </w:r>
      <w:r w:rsidR="00A27480" w:rsidRPr="009C6D70">
        <w:t>John and Sherry Urban at Docket No. C-2010-2214197</w:t>
      </w:r>
      <w:r w:rsidRPr="009C6D70">
        <w:t xml:space="preserve">.  </w:t>
      </w:r>
      <w:r w:rsidR="00444C99" w:rsidRPr="009C6D70">
        <w:t xml:space="preserve">Petitions to </w:t>
      </w:r>
      <w:r w:rsidRPr="009C6D70">
        <w:t xml:space="preserve">Intervene filed by Citizen </w:t>
      </w:r>
      <w:r w:rsidRPr="009C6D70">
        <w:lastRenderedPageBreak/>
        <w:t>Power, Inc.</w:t>
      </w:r>
      <w:r w:rsidR="00DE0A87" w:rsidRPr="009C6D70">
        <w:t xml:space="preserve"> (Citizen Power)</w:t>
      </w:r>
      <w:r w:rsidRPr="009C6D70">
        <w:t xml:space="preserve"> and the International Brotherhood of Electrical Workers, Local 29 (IBEW)</w:t>
      </w:r>
      <w:r w:rsidR="00444C99" w:rsidRPr="009C6D70">
        <w:t xml:space="preserve"> were granted.</w:t>
      </w:r>
      <w:r w:rsidR="00444C99" w:rsidRPr="009C6D70">
        <w:rPr>
          <w:rStyle w:val="FootnoteReference"/>
        </w:rPr>
        <w:footnoteReference w:id="4"/>
      </w:r>
      <w:r w:rsidRPr="009C6D70">
        <w:t xml:space="preserve">  </w:t>
      </w:r>
    </w:p>
    <w:p w:rsidR="00B83235" w:rsidRPr="009C6D70" w:rsidRDefault="00B83235" w:rsidP="00B83235">
      <w:pPr>
        <w:spacing w:line="360" w:lineRule="auto"/>
      </w:pPr>
    </w:p>
    <w:p w:rsidR="001E0024" w:rsidRPr="009C6D70" w:rsidRDefault="00BB6E06" w:rsidP="001E0024">
      <w:pPr>
        <w:spacing w:line="360" w:lineRule="auto"/>
      </w:pPr>
      <w:r>
        <w:tab/>
      </w:r>
      <w:r>
        <w:tab/>
      </w:r>
      <w:r w:rsidR="005C1128" w:rsidRPr="009C6D70">
        <w:t xml:space="preserve">On September 16, 2010, the undersigned Administrative Law Judges (ALJs) issued a Prehearing Conference Order scheduling a prehearing conference for Friday, September 24, 2010.  The </w:t>
      </w:r>
      <w:r w:rsidR="00B83235" w:rsidRPr="009C6D70">
        <w:t xml:space="preserve">prehearing conference was held </w:t>
      </w:r>
      <w:r w:rsidR="005C1128" w:rsidRPr="009C6D70">
        <w:t xml:space="preserve">as scheduled.  </w:t>
      </w:r>
      <w:r w:rsidR="00ED464E" w:rsidRPr="009C6D70">
        <w:t xml:space="preserve">Following the conference, on October 4, 2010, a Prehearing Order was issued which, </w:t>
      </w:r>
      <w:r w:rsidR="00ED464E" w:rsidRPr="009C6D70">
        <w:rPr>
          <w:i/>
        </w:rPr>
        <w:t>inter alia</w:t>
      </w:r>
      <w:r w:rsidR="00ED464E" w:rsidRPr="009C6D70">
        <w:t>, established a litigation schedule, including</w:t>
      </w:r>
      <w:r w:rsidR="00904E5E" w:rsidRPr="009C6D70">
        <w:t xml:space="preserve"> three days of technical evidentiary hearings, </w:t>
      </w:r>
      <w:r w:rsidR="00F937B0" w:rsidRPr="009C6D70">
        <w:t xml:space="preserve">beginning on </w:t>
      </w:r>
      <w:r w:rsidR="00904E5E" w:rsidRPr="009C6D70">
        <w:t>December 7, 2010</w:t>
      </w:r>
      <w:r w:rsidR="00F937B0" w:rsidRPr="009C6D70">
        <w:t xml:space="preserve"> and concluding on </w:t>
      </w:r>
      <w:r w:rsidR="00904E5E" w:rsidRPr="009C6D70">
        <w:t xml:space="preserve">December 9, 2010, and </w:t>
      </w:r>
      <w:r w:rsidR="00ED464E" w:rsidRPr="009C6D70">
        <w:t>tw</w:t>
      </w:r>
      <w:r w:rsidR="004B29B1" w:rsidRPr="009C6D70">
        <w:t xml:space="preserve">o </w:t>
      </w:r>
      <w:r w:rsidR="00C71E83">
        <w:t>p</w:t>
      </w:r>
      <w:r w:rsidR="004B29B1" w:rsidRPr="009C6D70">
        <w:t xml:space="preserve">ublic </w:t>
      </w:r>
      <w:r w:rsidR="00C71E83">
        <w:t>i</w:t>
      </w:r>
      <w:r w:rsidR="004B29B1" w:rsidRPr="009C6D70">
        <w:t xml:space="preserve">nput </w:t>
      </w:r>
      <w:r w:rsidR="00C71E83">
        <w:t>h</w:t>
      </w:r>
      <w:r w:rsidR="004B29B1" w:rsidRPr="009C6D70">
        <w:t>earings</w:t>
      </w:r>
      <w:r w:rsidR="00EE157C" w:rsidRPr="009C6D70">
        <w:t xml:space="preserve"> on Tuesday, October 26, 2010</w:t>
      </w:r>
      <w:r w:rsidR="004B29B1" w:rsidRPr="009C6D70">
        <w:t>.</w:t>
      </w:r>
      <w:r w:rsidR="004B29B1" w:rsidRPr="009C6D70">
        <w:rPr>
          <w:rStyle w:val="FootnoteReference"/>
        </w:rPr>
        <w:footnoteReference w:id="5"/>
      </w:r>
      <w:r w:rsidR="00ED464E" w:rsidRPr="009C6D70">
        <w:t xml:space="preserve"> </w:t>
      </w:r>
      <w:r w:rsidR="00B83235" w:rsidRPr="009C6D70">
        <w:t xml:space="preserve">  </w:t>
      </w:r>
    </w:p>
    <w:p w:rsidR="001E0024" w:rsidRPr="009C6D70" w:rsidRDefault="001E0024" w:rsidP="001E0024">
      <w:pPr>
        <w:spacing w:line="360" w:lineRule="auto"/>
      </w:pPr>
    </w:p>
    <w:p w:rsidR="001E0024" w:rsidRPr="009C6D70" w:rsidRDefault="00BB6E06" w:rsidP="00C574B0">
      <w:pPr>
        <w:spacing w:line="360" w:lineRule="auto"/>
        <w:ind w:firstLine="720"/>
      </w:pPr>
      <w:r>
        <w:tab/>
      </w:r>
      <w:r w:rsidR="00F937B0" w:rsidRPr="009C6D70">
        <w:t xml:space="preserve">Technical evidentiary hearings began as scheduled on December 7, 2010.  At the hearing, the parties in attendance informed the undersigned ALJs that they had reached a settlement on all revenue requirement issues and that they were close to achieving a </w:t>
      </w:r>
      <w:r w:rsidR="00EC7970" w:rsidRPr="009C6D70">
        <w:t>s</w:t>
      </w:r>
      <w:r w:rsidR="00F937B0" w:rsidRPr="009C6D70">
        <w:t>ettlement on all remaining is</w:t>
      </w:r>
      <w:r w:rsidR="00EC7970" w:rsidRPr="009C6D70">
        <w:t>sues.</w:t>
      </w:r>
      <w:r w:rsidR="001E0024" w:rsidRPr="009C6D70">
        <w:rPr>
          <w:rStyle w:val="FootnoteReference"/>
        </w:rPr>
        <w:footnoteReference w:id="6"/>
      </w:r>
      <w:r w:rsidR="00EC7970" w:rsidRPr="009C6D70">
        <w:t xml:space="preserve">  In light of the ongoing s</w:t>
      </w:r>
      <w:r w:rsidR="00F937B0" w:rsidRPr="009C6D70">
        <w:t xml:space="preserve">ettlement discussions, the </w:t>
      </w:r>
      <w:r w:rsidR="00EC7970" w:rsidRPr="009C6D70">
        <w:t xml:space="preserve">undersigned </w:t>
      </w:r>
      <w:r w:rsidR="00F937B0" w:rsidRPr="009C6D70">
        <w:t xml:space="preserve">ALJs accepted the parties’ proposal to waive cross-examination on revenue requirement, and admitted all parties’ </w:t>
      </w:r>
      <w:r w:rsidR="00BA4E68" w:rsidRPr="009C6D70">
        <w:t xml:space="preserve">written </w:t>
      </w:r>
      <w:r w:rsidR="00F937B0" w:rsidRPr="009C6D70">
        <w:t>testimony and exhibits subject to potential cross</w:t>
      </w:r>
      <w:r w:rsidR="00C46D59">
        <w:t>-</w:t>
      </w:r>
      <w:r w:rsidR="00F937B0" w:rsidRPr="009C6D70">
        <w:t xml:space="preserve">examination on revenue allocation and class cost of service matters.  The </w:t>
      </w:r>
      <w:r w:rsidR="00EC7970" w:rsidRPr="009C6D70">
        <w:t xml:space="preserve">undersigned </w:t>
      </w:r>
      <w:r w:rsidR="00F937B0" w:rsidRPr="009C6D70">
        <w:t xml:space="preserve">ALJs </w:t>
      </w:r>
      <w:r w:rsidR="00EC7970" w:rsidRPr="009C6D70">
        <w:t xml:space="preserve">then </w:t>
      </w:r>
      <w:r w:rsidR="00F937B0" w:rsidRPr="009C6D70">
        <w:t xml:space="preserve">canceled the </w:t>
      </w:r>
      <w:r w:rsidR="0077058E" w:rsidRPr="009C6D70">
        <w:t xml:space="preserve">second day of </w:t>
      </w:r>
      <w:r w:rsidR="00F937B0" w:rsidRPr="009C6D70">
        <w:t xml:space="preserve">hearing scheduled for December 8, 2010, and reserved the </w:t>
      </w:r>
      <w:r w:rsidR="001E0024" w:rsidRPr="009C6D70">
        <w:t xml:space="preserve">third day </w:t>
      </w:r>
      <w:r w:rsidR="008251FA">
        <w:t>scheduled for December </w:t>
      </w:r>
      <w:r w:rsidR="00F937B0" w:rsidRPr="009C6D70">
        <w:t>9, 2010 to conduct cross-examination on issues not settled.</w:t>
      </w:r>
      <w:r w:rsidR="001E0024" w:rsidRPr="009C6D70">
        <w:t xml:space="preserve">  </w:t>
      </w:r>
      <w:r w:rsidR="008311D0" w:rsidRPr="009C6D70">
        <w:t>Counsel for Duquesne advised the undersigned ALJs that t</w:t>
      </w:r>
      <w:r w:rsidR="001E0024" w:rsidRPr="009C6D70">
        <w:t>he parties</w:t>
      </w:r>
      <w:r w:rsidR="008311D0" w:rsidRPr="009C6D70">
        <w:t xml:space="preserve"> who attended the hearing on December 7, 2010 achieved a s</w:t>
      </w:r>
      <w:r w:rsidR="001E0024" w:rsidRPr="009C6D70">
        <w:t xml:space="preserve">ettlement in principle of all issues on December 8, 2010.  </w:t>
      </w:r>
      <w:r w:rsidR="00223B61" w:rsidRPr="009C6D70">
        <w:t xml:space="preserve">The parties who attended the first day of hearing on December 7, 2010 waived cross-examination on issues reserved for </w:t>
      </w:r>
      <w:r w:rsidR="00223B61" w:rsidRPr="009C6D70">
        <w:lastRenderedPageBreak/>
        <w:t>the December</w:t>
      </w:r>
      <w:r w:rsidR="008251FA">
        <w:t> </w:t>
      </w:r>
      <w:r w:rsidR="00223B61" w:rsidRPr="009C6D70">
        <w:t xml:space="preserve">9, 2010 hearing.  </w:t>
      </w:r>
      <w:r w:rsidR="001E0024" w:rsidRPr="009C6D70">
        <w:t xml:space="preserve">Thereafter, the </w:t>
      </w:r>
      <w:r w:rsidR="008311D0" w:rsidRPr="009C6D70">
        <w:t xml:space="preserve">undersigned ALJs </w:t>
      </w:r>
      <w:r w:rsidR="001E0024" w:rsidRPr="009C6D70">
        <w:t xml:space="preserve">canceled the hearing scheduled for December 9, 2010.  </w:t>
      </w:r>
    </w:p>
    <w:p w:rsidR="00D55B35" w:rsidRPr="009C6D70" w:rsidRDefault="00D55B35" w:rsidP="00C574B0">
      <w:pPr>
        <w:spacing w:line="360" w:lineRule="auto"/>
        <w:ind w:firstLine="720"/>
      </w:pPr>
    </w:p>
    <w:p w:rsidR="00303125" w:rsidRPr="009C6D70" w:rsidRDefault="00D55B35" w:rsidP="00C574B0">
      <w:pPr>
        <w:spacing w:line="360" w:lineRule="auto"/>
        <w:ind w:firstLine="720"/>
      </w:pPr>
      <w:r w:rsidRPr="009C6D70">
        <w:tab/>
      </w:r>
      <w:r w:rsidR="007234E4" w:rsidRPr="009C6D70">
        <w:t>O</w:t>
      </w:r>
      <w:r w:rsidRPr="009C6D70">
        <w:t>n Friday, January 7, 2011, a Joint Petition for Settlement of All Issues</w:t>
      </w:r>
      <w:r w:rsidR="007234E4" w:rsidRPr="009C6D70">
        <w:t xml:space="preserve"> (Joint Petition</w:t>
      </w:r>
      <w:r w:rsidR="00A01B68">
        <w:t xml:space="preserve"> </w:t>
      </w:r>
      <w:r w:rsidR="004933DD" w:rsidRPr="009C6D70">
        <w:t xml:space="preserve">or </w:t>
      </w:r>
      <w:r w:rsidR="00A01B68">
        <w:t>Settlement</w:t>
      </w:r>
      <w:r w:rsidR="007234E4" w:rsidRPr="009C6D70">
        <w:t>)</w:t>
      </w:r>
      <w:r w:rsidR="004E55A0" w:rsidRPr="009C6D70">
        <w:rPr>
          <w:rStyle w:val="FootnoteReference"/>
        </w:rPr>
        <w:footnoteReference w:id="7"/>
      </w:r>
      <w:r w:rsidRPr="009C6D70">
        <w:t xml:space="preserve"> was filed with the Commission’s Secretary’s Bureau </w:t>
      </w:r>
      <w:r w:rsidR="007234E4" w:rsidRPr="009C6D70">
        <w:t>along with a certificate of service of the same on all parties.</w:t>
      </w:r>
      <w:r w:rsidR="00035127" w:rsidRPr="009C6D70">
        <w:t xml:space="preserve">  The Joint Petition </w:t>
      </w:r>
      <w:r w:rsidR="00303125" w:rsidRPr="009C6D70">
        <w:t>includes</w:t>
      </w:r>
      <w:r w:rsidR="00035127" w:rsidRPr="009C6D70">
        <w:t xml:space="preserve"> Appendices A through H.</w:t>
      </w:r>
      <w:r w:rsidR="00BB4EF1" w:rsidRPr="009C6D70">
        <w:rPr>
          <w:rStyle w:val="FootnoteReference"/>
        </w:rPr>
        <w:footnoteReference w:id="8"/>
      </w:r>
      <w:r w:rsidR="00035127" w:rsidRPr="009C6D70">
        <w:t xml:space="preserve">  Citizen Power and the IBEW were not signatory parties to the Joint Petition but each filed a letter of non-opposition with the Commission’s Secretary’s Bureau </w:t>
      </w:r>
      <w:r w:rsidR="00303125" w:rsidRPr="009C6D70">
        <w:t xml:space="preserve">dated January 7, 2011.  </w:t>
      </w:r>
      <w:r w:rsidR="007234E4" w:rsidRPr="009C6D70">
        <w:t xml:space="preserve">  </w:t>
      </w:r>
    </w:p>
    <w:p w:rsidR="00303125" w:rsidRPr="009C6D70" w:rsidRDefault="00303125" w:rsidP="001E0024">
      <w:pPr>
        <w:spacing w:line="360" w:lineRule="auto"/>
        <w:ind w:firstLine="720"/>
      </w:pPr>
    </w:p>
    <w:p w:rsidR="00F32882" w:rsidRPr="009C6D70" w:rsidRDefault="00303125" w:rsidP="001E0024">
      <w:pPr>
        <w:spacing w:line="360" w:lineRule="auto"/>
        <w:ind w:firstLine="720"/>
      </w:pPr>
      <w:r w:rsidRPr="009C6D70">
        <w:tab/>
        <w:t xml:space="preserve">On January 10, 2011, the undersigned issued a Third Interim Order which consolidated all of the complaints filed opposing </w:t>
      </w:r>
      <w:r w:rsidR="00101813" w:rsidRPr="009C6D70">
        <w:t>the rates, rules and regulations contained in Duquesne’s base rate filing at Docket No. R-2010-2179522.</w:t>
      </w:r>
      <w:r w:rsidR="00101813" w:rsidRPr="009C6D70">
        <w:rPr>
          <w:rStyle w:val="FootnoteReference"/>
        </w:rPr>
        <w:footnoteReference w:id="9"/>
      </w:r>
      <w:r w:rsidR="007234E4" w:rsidRPr="009C6D70">
        <w:t xml:space="preserve"> </w:t>
      </w:r>
      <w:r w:rsidR="00DA50A3" w:rsidRPr="009C6D70">
        <w:t xml:space="preserve"> Also on January 10, 2011, the undersigned ALJs sent a letter to the parties regarding the filing of written objections to the Joint Petition</w:t>
      </w:r>
      <w:r w:rsidR="00F32882" w:rsidRPr="009C6D70">
        <w:t xml:space="preserve"> by non-signatory parties.  Written objections were to be filed by 4:30 p.m. on </w:t>
      </w:r>
      <w:r w:rsidR="00874F7D">
        <w:t>January </w:t>
      </w:r>
      <w:r w:rsidR="00F32882" w:rsidRPr="009C6D70">
        <w:t>24, 2011.</w:t>
      </w:r>
      <w:r w:rsidR="007E6676" w:rsidRPr="009C6D70">
        <w:t xml:space="preserve"> </w:t>
      </w:r>
      <w:r w:rsidR="0021589B">
        <w:t xml:space="preserve"> </w:t>
      </w:r>
      <w:r w:rsidR="00E061CA" w:rsidRPr="009C6D70">
        <w:t xml:space="preserve">No written objections were filed.  </w:t>
      </w:r>
      <w:r w:rsidR="00F32882" w:rsidRPr="009C6D70">
        <w:t xml:space="preserve">  </w:t>
      </w:r>
    </w:p>
    <w:p w:rsidR="00F32882" w:rsidRPr="009C6D70" w:rsidRDefault="00F32882" w:rsidP="001E0024">
      <w:pPr>
        <w:spacing w:line="360" w:lineRule="auto"/>
        <w:ind w:firstLine="720"/>
      </w:pPr>
    </w:p>
    <w:p w:rsidR="00A4523E" w:rsidRPr="009C6D70" w:rsidRDefault="00F32882" w:rsidP="00C574B0">
      <w:pPr>
        <w:spacing w:line="360" w:lineRule="auto"/>
        <w:ind w:firstLine="720"/>
      </w:pPr>
      <w:r w:rsidRPr="009C6D70">
        <w:tab/>
        <w:t>On January 2</w:t>
      </w:r>
      <w:r w:rsidR="00E061CA" w:rsidRPr="009C6D70">
        <w:t>6</w:t>
      </w:r>
      <w:r w:rsidRPr="009C6D70">
        <w:t xml:space="preserve">, 2011, a Fourth Interim Order Closing the </w:t>
      </w:r>
      <w:r w:rsidR="00E061CA" w:rsidRPr="009C6D70">
        <w:t xml:space="preserve">Hearing </w:t>
      </w:r>
      <w:r w:rsidRPr="009C6D70">
        <w:t xml:space="preserve">Record was issued.  </w:t>
      </w:r>
      <w:r w:rsidR="00DA50A3" w:rsidRPr="009C6D70">
        <w:t xml:space="preserve"> </w:t>
      </w:r>
    </w:p>
    <w:p w:rsidR="00A4523E" w:rsidRPr="009C6D70" w:rsidRDefault="00A4523E" w:rsidP="00C574B0">
      <w:pPr>
        <w:spacing w:line="360" w:lineRule="auto"/>
        <w:ind w:firstLine="720"/>
      </w:pPr>
    </w:p>
    <w:p w:rsidR="00A4523E" w:rsidRPr="009C6D70" w:rsidRDefault="00A4523E" w:rsidP="00C574B0">
      <w:pPr>
        <w:spacing w:line="360" w:lineRule="auto"/>
        <w:jc w:val="center"/>
      </w:pPr>
      <w:r w:rsidRPr="009C6D70">
        <w:t xml:space="preserve">II.    </w:t>
      </w:r>
      <w:r w:rsidRPr="009C6D70">
        <w:rPr>
          <w:u w:val="single"/>
        </w:rPr>
        <w:t>PUBLIC INPUT HEARINGS</w:t>
      </w:r>
    </w:p>
    <w:p w:rsidR="00A4523E" w:rsidRPr="009C6D70" w:rsidRDefault="00A4523E" w:rsidP="00C574B0">
      <w:pPr>
        <w:spacing w:line="360" w:lineRule="auto"/>
      </w:pPr>
    </w:p>
    <w:p w:rsidR="00874F7D" w:rsidRDefault="00A4523E" w:rsidP="00C574B0">
      <w:pPr>
        <w:spacing w:line="360" w:lineRule="auto"/>
      </w:pPr>
      <w:r w:rsidRPr="009C6D70">
        <w:tab/>
      </w:r>
      <w:r w:rsidRPr="009C6D70">
        <w:tab/>
        <w:t>After due advertisement, the October 26, 2010 public input hearings were convened in the service territories, Beaver Falls, Beaver County,</w:t>
      </w:r>
      <w:r w:rsidR="00300C1A">
        <w:t xml:space="preserve"> </w:t>
      </w:r>
      <w:r w:rsidRPr="009C6D70">
        <w:t xml:space="preserve">Pennsylvania at 2:00 </w:t>
      </w:r>
      <w:r w:rsidR="007375AF">
        <w:t>p.m.</w:t>
      </w:r>
      <w:r w:rsidRPr="009C6D70">
        <w:t xml:space="preserve">, and Allegheny County Courthouse, Pittsburgh, Pennsylvania at 7:00 </w:t>
      </w:r>
      <w:r w:rsidR="007375AF">
        <w:t>p.m</w:t>
      </w:r>
      <w:r w:rsidRPr="009C6D70">
        <w:t xml:space="preserve">.  Duquesne, </w:t>
      </w:r>
      <w:r w:rsidR="00E32DD2">
        <w:t xml:space="preserve">the </w:t>
      </w:r>
      <w:r w:rsidRPr="009C6D70">
        <w:t xml:space="preserve">OTS and </w:t>
      </w:r>
    </w:p>
    <w:p w:rsidR="00874F7D" w:rsidRDefault="00874F7D">
      <w:r>
        <w:br w:type="page"/>
      </w:r>
    </w:p>
    <w:p w:rsidR="00A4523E" w:rsidRPr="009C6D70" w:rsidRDefault="00E32DD2" w:rsidP="00C574B0">
      <w:pPr>
        <w:spacing w:line="360" w:lineRule="auto"/>
      </w:pPr>
      <w:proofErr w:type="gramStart"/>
      <w:r>
        <w:lastRenderedPageBreak/>
        <w:t>the</w:t>
      </w:r>
      <w:proofErr w:type="gramEnd"/>
      <w:r>
        <w:t xml:space="preserve"> </w:t>
      </w:r>
      <w:r w:rsidR="00A4523E" w:rsidRPr="009C6D70">
        <w:t xml:space="preserve">OCA participated in both hearings. </w:t>
      </w:r>
      <w:r w:rsidR="00300C1A">
        <w:t xml:space="preserve"> </w:t>
      </w:r>
      <w:r w:rsidR="00A4523E" w:rsidRPr="009C6D70">
        <w:t xml:space="preserve">Ratepayer/Complainant Mary M. Chestnut together with four other customers testified at the Beaver Falls hearing. </w:t>
      </w:r>
      <w:r w:rsidR="00300C1A">
        <w:t xml:space="preserve"> </w:t>
      </w:r>
      <w:r w:rsidR="00A4523E" w:rsidRPr="009C6D70">
        <w:t xml:space="preserve">Ratepayer/Complainant Sarah Divilly and six other witnesses testified at the evening hearing. </w:t>
      </w:r>
      <w:r w:rsidR="00300C1A">
        <w:t xml:space="preserve"> </w:t>
      </w:r>
      <w:r w:rsidR="00A4523E" w:rsidRPr="009C6D70">
        <w:t>Their testimonies are summarized below.</w:t>
      </w:r>
    </w:p>
    <w:p w:rsidR="00A4523E" w:rsidRPr="009C6D70" w:rsidRDefault="00A4523E" w:rsidP="00A4523E">
      <w:pPr>
        <w:spacing w:line="360" w:lineRule="auto"/>
      </w:pPr>
    </w:p>
    <w:p w:rsidR="00A4523E" w:rsidRPr="009C6D70" w:rsidRDefault="00A4523E" w:rsidP="00A4523E">
      <w:pPr>
        <w:spacing w:line="360" w:lineRule="auto"/>
      </w:pPr>
      <w:r w:rsidRPr="009C6D70">
        <w:t>A.</w:t>
      </w:r>
      <w:r w:rsidRPr="009C6D70">
        <w:tab/>
      </w:r>
      <w:r w:rsidRPr="009C6D70">
        <w:rPr>
          <w:u w:val="single"/>
        </w:rPr>
        <w:t>Beaver Falls Public Input Testimony</w:t>
      </w:r>
    </w:p>
    <w:p w:rsidR="00A4523E" w:rsidRPr="009C6D70" w:rsidRDefault="00A4523E" w:rsidP="00A4523E">
      <w:pPr>
        <w:spacing w:line="360" w:lineRule="auto"/>
        <w:rPr>
          <w:b/>
        </w:rPr>
      </w:pPr>
    </w:p>
    <w:p w:rsidR="00A4523E" w:rsidRPr="009C6D70" w:rsidRDefault="00A4523E" w:rsidP="00A4523E">
      <w:pPr>
        <w:spacing w:line="360" w:lineRule="auto"/>
      </w:pPr>
      <w:r w:rsidRPr="009C6D70">
        <w:rPr>
          <w:b/>
        </w:rPr>
        <w:tab/>
      </w:r>
      <w:r w:rsidRPr="009C6D70">
        <w:rPr>
          <w:b/>
        </w:rPr>
        <w:tab/>
      </w:r>
      <w:r w:rsidRPr="009C6D70">
        <w:t xml:space="preserve">Jonathan Bruce, an electrical contractor, owns an electrical contracting business served by Duquesne in New Castle.  Mr. Bruce was contacted by Duquesne concerning the hearing and asked if he would be willing to give his input. </w:t>
      </w:r>
      <w:r w:rsidR="00300C1A">
        <w:t xml:space="preserve"> </w:t>
      </w:r>
      <w:r w:rsidRPr="009C6D70">
        <w:t xml:space="preserve">He was “fully supportive” of the Company and stated: </w:t>
      </w:r>
    </w:p>
    <w:p w:rsidR="00A4523E" w:rsidRPr="009C6D70" w:rsidRDefault="00A4523E" w:rsidP="00A4523E">
      <w:pPr>
        <w:spacing w:line="360" w:lineRule="auto"/>
      </w:pPr>
    </w:p>
    <w:p w:rsidR="00A4523E" w:rsidRPr="009C6D70" w:rsidRDefault="00A4523E" w:rsidP="00A4523E">
      <w:pPr>
        <w:ind w:left="1440" w:right="1440"/>
        <w:contextualSpacing/>
      </w:pPr>
      <w:r w:rsidRPr="009C6D70">
        <w:t xml:space="preserve">We do work for western – a lot of work through western Pennsylvania. </w:t>
      </w:r>
      <w:r w:rsidR="00300C1A">
        <w:t xml:space="preserve"> </w:t>
      </w:r>
      <w:r w:rsidRPr="009C6D70">
        <w:t>We employ anywhere from</w:t>
      </w:r>
      <w:r w:rsidR="007375AF">
        <w:t xml:space="preserve"> </w:t>
      </w:r>
      <w:r w:rsidRPr="009C6D70">
        <w:t xml:space="preserve">150 to 400 people, and we employ many people that work directly on Duquesne Light projects. </w:t>
      </w:r>
    </w:p>
    <w:p w:rsidR="00A4523E" w:rsidRPr="009C6D70" w:rsidRDefault="00A4523E" w:rsidP="00A4523E">
      <w:pPr>
        <w:ind w:left="1440" w:right="1440"/>
        <w:contextualSpacing/>
      </w:pPr>
    </w:p>
    <w:p w:rsidR="00A4523E" w:rsidRPr="009C6D70" w:rsidRDefault="00A4523E" w:rsidP="00A4523E">
      <w:pPr>
        <w:ind w:left="1440" w:right="1440"/>
        <w:contextualSpacing/>
      </w:pPr>
      <w:r w:rsidRPr="009C6D70">
        <w:t xml:space="preserve">I guess, when I think about Duquesne Light, they certainly support our community, which is important. </w:t>
      </w:r>
      <w:r w:rsidR="00300C1A">
        <w:t xml:space="preserve"> </w:t>
      </w:r>
      <w:r w:rsidRPr="009C6D70">
        <w:t>They also employ a lot of</w:t>
      </w:r>
      <w:r w:rsidR="00881D0D">
        <w:t xml:space="preserve">  </w:t>
      </w:r>
      <w:r w:rsidRPr="009C6D70">
        <w:t xml:space="preserve"> people in western Pennsylvania, which is vital, I think, to our economy as a major employer.</w:t>
      </w:r>
    </w:p>
    <w:p w:rsidR="00A4523E" w:rsidRPr="009C6D70" w:rsidRDefault="00A4523E" w:rsidP="00A4523E">
      <w:pPr>
        <w:ind w:left="1440" w:right="1440"/>
        <w:contextualSpacing/>
      </w:pPr>
    </w:p>
    <w:p w:rsidR="00A4523E" w:rsidRPr="009C6D70" w:rsidRDefault="00A4523E" w:rsidP="00A4523E">
      <w:pPr>
        <w:ind w:left="1440" w:right="1440"/>
        <w:contextualSpacing/>
      </w:pPr>
      <w:r w:rsidRPr="009C6D70">
        <w:t>Our electrical infrastructure is aging.  You can read a lot about our entire country and the need for electrical infrastructure improvements so that we have reliability in our power, and western PA is certainly one of those areas that needs to continue to do that.</w:t>
      </w:r>
    </w:p>
    <w:p w:rsidR="00A4523E" w:rsidRPr="009C6D70" w:rsidRDefault="00A4523E" w:rsidP="00A4523E">
      <w:pPr>
        <w:ind w:left="1440" w:right="1440"/>
        <w:contextualSpacing/>
      </w:pPr>
    </w:p>
    <w:p w:rsidR="00A4523E" w:rsidRDefault="00A4523E" w:rsidP="00A4523E">
      <w:pPr>
        <w:ind w:left="1440" w:right="1440"/>
        <w:contextualSpacing/>
      </w:pPr>
      <w:r w:rsidRPr="009C6D70">
        <w:t xml:space="preserve">Duquesne Light has made a commitment to continue to do that for our businesses and even more so for the families, the people there, a lot of the families that we employ. </w:t>
      </w:r>
      <w:r w:rsidR="00300C1A">
        <w:t xml:space="preserve"> </w:t>
      </w:r>
      <w:r w:rsidRPr="009C6D70">
        <w:t>It affects us with a rate increase because we have a lot of employees that are Duquesne Light customers.  So it’s important that we look at a rate increase and how it affects them, but I think it’s even more important that they have reliable power.</w:t>
      </w:r>
    </w:p>
    <w:p w:rsidR="007375AF" w:rsidRDefault="007375AF" w:rsidP="00A4523E">
      <w:pPr>
        <w:ind w:left="1440" w:right="1440"/>
        <w:contextualSpacing/>
      </w:pPr>
    </w:p>
    <w:p w:rsidR="007375AF" w:rsidRPr="009C6D70" w:rsidRDefault="007375AF" w:rsidP="007375AF">
      <w:pPr>
        <w:ind w:left="1440" w:right="1440" w:hanging="1440"/>
        <w:contextualSpacing/>
      </w:pPr>
      <w:proofErr w:type="gramStart"/>
      <w:r>
        <w:t xml:space="preserve">Public Input </w:t>
      </w:r>
      <w:r w:rsidR="00B87A0A">
        <w:t xml:space="preserve">Hearing </w:t>
      </w:r>
      <w:r>
        <w:t>T</w:t>
      </w:r>
      <w:r w:rsidR="0021589B">
        <w:t>ranscript</w:t>
      </w:r>
      <w:r>
        <w:t xml:space="preserve"> (PIH Tr.)</w:t>
      </w:r>
      <w:proofErr w:type="gramEnd"/>
      <w:r>
        <w:t xml:space="preserve"> </w:t>
      </w:r>
      <w:proofErr w:type="gramStart"/>
      <w:r>
        <w:t>52-53</w:t>
      </w:r>
      <w:r w:rsidR="00E70D89">
        <w:t>.</w:t>
      </w:r>
      <w:proofErr w:type="gramEnd"/>
    </w:p>
    <w:p w:rsidR="00A4523E" w:rsidRPr="009C6D70" w:rsidRDefault="00A4523E" w:rsidP="00A4523E">
      <w:pPr>
        <w:tabs>
          <w:tab w:val="left" w:pos="9360"/>
        </w:tabs>
        <w:spacing w:line="360" w:lineRule="auto"/>
        <w:ind w:right="1440"/>
      </w:pPr>
      <w:r w:rsidRPr="009C6D70">
        <w:t xml:space="preserve">  </w:t>
      </w:r>
    </w:p>
    <w:p w:rsidR="00874F7D" w:rsidRDefault="00A4523E" w:rsidP="00A4523E">
      <w:pPr>
        <w:spacing w:line="360" w:lineRule="auto"/>
      </w:pPr>
      <w:r w:rsidRPr="009C6D70">
        <w:tab/>
      </w:r>
      <w:r w:rsidRPr="009C6D70">
        <w:tab/>
      </w:r>
    </w:p>
    <w:p w:rsidR="00874F7D" w:rsidRDefault="00874F7D">
      <w:r>
        <w:br w:type="page"/>
      </w:r>
    </w:p>
    <w:p w:rsidR="00A4523E" w:rsidRPr="009C6D70" w:rsidRDefault="00874F7D" w:rsidP="00A4523E">
      <w:pPr>
        <w:spacing w:line="360" w:lineRule="auto"/>
      </w:pPr>
      <w:r>
        <w:lastRenderedPageBreak/>
        <w:tab/>
      </w:r>
      <w:r>
        <w:tab/>
      </w:r>
      <w:r w:rsidR="00A4523E" w:rsidRPr="009C6D70">
        <w:t xml:space="preserve">Customer/Complainant Mary Margaret Chestnut mentioned she had read that an Australian concern, the Duett Group, is selling its 29 percent stake in Duquesne in March 2011.  She wanted to know if the sale was going to affect her rates and/or the requested </w:t>
      </w:r>
      <w:r w:rsidR="002772C3">
        <w:t>$</w:t>
      </w:r>
      <w:r w:rsidR="00A4523E" w:rsidRPr="009C6D70">
        <w:t xml:space="preserve">87.3 million rate increase. </w:t>
      </w:r>
      <w:r w:rsidR="00300C1A">
        <w:t xml:space="preserve"> </w:t>
      </w:r>
      <w:r w:rsidR="00A4523E" w:rsidRPr="009C6D70">
        <w:t>As a retiree opposing the proposed rate increase, she contended:</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These rate increases are going to go across the board to everybody, industrial, all the manufacturing.  It’s all going to filter down to me, the little residential customer that has to take up the increases on the manufacturer who passes it down to the retailer who is going to pass it down to me.</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We didn’t get a raise last year, the retired people, for 2010.  We are not going to get this one for 2011</w:t>
      </w:r>
      <w:r w:rsidR="0012210B">
        <w:t>,</w:t>
      </w:r>
      <w:r w:rsidRPr="009C6D70">
        <w:t xml:space="preserve"> Mr. Eichenmiller, and maybe not in 2012, possibly not 2013, but everything is increasing. </w:t>
      </w:r>
      <w:r w:rsidR="00306C1D">
        <w:t xml:space="preserve"> </w:t>
      </w:r>
      <w:r w:rsidRPr="009C6D70">
        <w:t xml:space="preserve">We simply cannot keep up with it. </w:t>
      </w:r>
      <w:r w:rsidR="00306C1D">
        <w:t xml:space="preserve"> </w:t>
      </w:r>
      <w:r w:rsidRPr="009C6D70">
        <w:t xml:space="preserve">We cannot keep up with it. </w:t>
      </w:r>
    </w:p>
    <w:p w:rsidR="00A4523E" w:rsidRPr="009C6D70" w:rsidRDefault="00A4523E" w:rsidP="00A4523E">
      <w:pPr>
        <w:ind w:left="1440" w:right="1080"/>
        <w:contextualSpacing/>
      </w:pPr>
    </w:p>
    <w:p w:rsidR="00A4523E" w:rsidRDefault="00A4523E" w:rsidP="00A4523E">
      <w:pPr>
        <w:ind w:left="1440" w:right="1080"/>
        <w:contextualSpacing/>
      </w:pPr>
      <w:r w:rsidRPr="009C6D70">
        <w:t>Everything is going to filter down onto the little residential customer. We simply cannot be the – have all these big companies loaded on our back all of the time.</w:t>
      </w:r>
    </w:p>
    <w:p w:rsidR="00E70D89" w:rsidRDefault="00E70D89" w:rsidP="00A4523E">
      <w:pPr>
        <w:ind w:left="1440" w:right="1080"/>
        <w:contextualSpacing/>
      </w:pPr>
    </w:p>
    <w:p w:rsidR="00E70D89" w:rsidRPr="009C6D70" w:rsidRDefault="00E70D89" w:rsidP="00E70D89">
      <w:pPr>
        <w:spacing w:line="360" w:lineRule="auto"/>
        <w:ind w:left="1440" w:right="1080" w:hanging="1440"/>
        <w:contextualSpacing/>
      </w:pPr>
      <w:r>
        <w:t>PIH Tr. 56-57.</w:t>
      </w:r>
    </w:p>
    <w:p w:rsidR="00A4523E" w:rsidRPr="009C6D70" w:rsidRDefault="00A4523E" w:rsidP="00E70D89">
      <w:pPr>
        <w:spacing w:line="360" w:lineRule="auto"/>
      </w:pPr>
    </w:p>
    <w:p w:rsidR="00A4523E" w:rsidRPr="009C6D70" w:rsidRDefault="00A4523E" w:rsidP="00E70D89">
      <w:pPr>
        <w:spacing w:line="360" w:lineRule="auto"/>
      </w:pPr>
      <w:r w:rsidRPr="009C6D70">
        <w:tab/>
      </w:r>
      <w:r w:rsidRPr="009C6D70">
        <w:tab/>
        <w:t>Valerie McElvy, a customer of Duquesne, stated she was glad to testify on Duquesne’s behalf.  As the Director of the Retired and Senior Volunteer Program of Beaver County, she is connected to Duquesne through its employees who volunteer in her program. She testified:</w:t>
      </w:r>
    </w:p>
    <w:p w:rsidR="00A4523E" w:rsidRPr="009C6D70" w:rsidRDefault="00A4523E" w:rsidP="00A4523E">
      <w:pPr>
        <w:spacing w:line="360" w:lineRule="auto"/>
      </w:pPr>
    </w:p>
    <w:p w:rsidR="00A4523E" w:rsidRPr="009C6D70" w:rsidRDefault="00A4523E" w:rsidP="00A4523E">
      <w:pPr>
        <w:ind w:left="1440" w:right="1080"/>
        <w:contextualSpacing/>
      </w:pPr>
      <w:r w:rsidRPr="009C6D70">
        <w:t xml:space="preserve">The Duquesne Light employees have been – they have loved coming down and helping us, so now they ask us --- well, they ask me.  </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 xml:space="preserve">The point of it is they willingly come down. </w:t>
      </w:r>
    </w:p>
    <w:p w:rsidR="00A4523E" w:rsidRPr="009C6D70" w:rsidRDefault="00A4523E" w:rsidP="00A4523E">
      <w:pPr>
        <w:ind w:left="1440" w:right="1080"/>
        <w:contextualSpacing/>
      </w:pPr>
      <w:r w:rsidRPr="009C6D70">
        <w:tab/>
      </w:r>
      <w:r w:rsidRPr="009C6D70">
        <w:tab/>
      </w:r>
    </w:p>
    <w:p w:rsidR="00A4523E" w:rsidRPr="009C6D70" w:rsidRDefault="00A4523E" w:rsidP="00A4523E">
      <w:pPr>
        <w:ind w:left="1440" w:right="1080"/>
        <w:contextualSpacing/>
      </w:pPr>
      <w:r w:rsidRPr="009C6D70">
        <w:t>When they asked me to be a part of this hearing, I thought it would be a wonderful way to express to people that they are not just working every day, that they are also giving back to their community.</w:t>
      </w:r>
    </w:p>
    <w:p w:rsidR="00A4523E" w:rsidRPr="009C6D70" w:rsidRDefault="00A4523E" w:rsidP="00A4523E">
      <w:pPr>
        <w:ind w:left="1440" w:right="1080"/>
        <w:contextualSpacing/>
      </w:pPr>
    </w:p>
    <w:p w:rsidR="00874F7D" w:rsidRDefault="00A4523E" w:rsidP="00A4523E">
      <w:pPr>
        <w:ind w:left="1440" w:right="1080"/>
        <w:contextualSpacing/>
      </w:pPr>
      <w:r w:rsidRPr="009C6D70">
        <w:t xml:space="preserve">They have painted.  They have had food drives and clothing drives. They’ve served meals to the needy and the homeless and the hungry.  </w:t>
      </w:r>
    </w:p>
    <w:p w:rsidR="00874F7D" w:rsidRDefault="00874F7D">
      <w:r>
        <w:br w:type="page"/>
      </w:r>
    </w:p>
    <w:p w:rsidR="00A4523E" w:rsidRPr="009C6D70" w:rsidRDefault="00A4523E" w:rsidP="00A4523E">
      <w:pPr>
        <w:ind w:left="1440" w:right="1080"/>
        <w:contextualSpacing/>
      </w:pPr>
      <w:r w:rsidRPr="009C6D70">
        <w:lastRenderedPageBreak/>
        <w:t>Anything that I have asked them to do, they have been willing to come down and volunteer.</w:t>
      </w:r>
    </w:p>
    <w:p w:rsidR="00A4523E" w:rsidRPr="009C6D70" w:rsidRDefault="00A4523E" w:rsidP="00A4523E">
      <w:pPr>
        <w:ind w:left="1440" w:right="1080"/>
        <w:contextualSpacing/>
      </w:pPr>
    </w:p>
    <w:p w:rsidR="00A4523E" w:rsidRDefault="00A4523E" w:rsidP="00A4523E">
      <w:pPr>
        <w:ind w:left="1440" w:right="1080"/>
        <w:contextualSpacing/>
      </w:pPr>
      <w:r w:rsidRPr="009C6D70">
        <w:t xml:space="preserve">As far as Duquesne Light, I trust Duquesne Light with the decisions that you all have to make.  Yes, I am a consumer as well. </w:t>
      </w:r>
      <w:r w:rsidR="001B6840">
        <w:t xml:space="preserve"> </w:t>
      </w:r>
      <w:r w:rsidRPr="009C6D70">
        <w:t xml:space="preserve">I wear that hat. </w:t>
      </w:r>
      <w:r w:rsidR="001B6840">
        <w:t xml:space="preserve"> </w:t>
      </w:r>
      <w:r w:rsidRPr="009C6D70">
        <w:t xml:space="preserve">I’m also on Borough Council in New Brighton. </w:t>
      </w:r>
      <w:r w:rsidR="001B6840">
        <w:t xml:space="preserve"> </w:t>
      </w:r>
      <w:r w:rsidRPr="009C6D70">
        <w:t>Many times we are discussing issues such as this, so I realize that rate increases sometimes have to happen.</w:t>
      </w:r>
    </w:p>
    <w:p w:rsidR="00615A16" w:rsidRDefault="00615A16" w:rsidP="00A4523E">
      <w:pPr>
        <w:ind w:left="1440" w:right="1080"/>
        <w:contextualSpacing/>
      </w:pPr>
    </w:p>
    <w:p w:rsidR="00615A16" w:rsidRPr="009C6D70" w:rsidRDefault="00615A16" w:rsidP="00615A16">
      <w:pPr>
        <w:ind w:left="1440" w:right="1080" w:hanging="1440"/>
        <w:contextualSpacing/>
      </w:pPr>
      <w:r>
        <w:t>PIH Tr. 59-60.</w:t>
      </w:r>
    </w:p>
    <w:p w:rsidR="00A4523E" w:rsidRPr="009C6D70" w:rsidRDefault="00A4523E" w:rsidP="00A4523E">
      <w:pPr>
        <w:spacing w:line="360" w:lineRule="auto"/>
      </w:pPr>
    </w:p>
    <w:p w:rsidR="00A4523E" w:rsidRPr="009C6D70" w:rsidRDefault="00A4523E" w:rsidP="001B6840">
      <w:pPr>
        <w:spacing w:line="360" w:lineRule="auto"/>
      </w:pPr>
      <w:r w:rsidRPr="009C6D70">
        <w:tab/>
      </w:r>
      <w:r w:rsidRPr="009C6D70">
        <w:tab/>
        <w:t xml:space="preserve">Mike Toomey is the property manager at the ACS Pittsburgh Data Center, which is housed in a 108,000 square foot building with a 64,000 square foot data center.  His Duquesne Sales Representative, Judith Kroll, made him aware of the public input hearing. </w:t>
      </w:r>
      <w:r w:rsidR="001B6840">
        <w:t xml:space="preserve"> </w:t>
      </w:r>
      <w:r w:rsidRPr="009C6D70">
        <w:t xml:space="preserve">He explained that his elderly neighbor’s electricity had been disrupted for a few days during the February snowstorm. </w:t>
      </w:r>
      <w:r w:rsidR="001B6840">
        <w:t xml:space="preserve"> </w:t>
      </w:r>
      <w:r w:rsidRPr="009C6D70">
        <w:t xml:space="preserve">Once he made his sales representative aware of the situation, his neighbor’s electricity was restored within an hour or so. </w:t>
      </w:r>
      <w:r w:rsidR="001B6840">
        <w:t xml:space="preserve"> </w:t>
      </w:r>
      <w:r w:rsidRPr="009C6D70">
        <w:t>Mr. Toomey noted:</w:t>
      </w:r>
    </w:p>
    <w:p w:rsidR="00A4523E" w:rsidRPr="009C6D70" w:rsidRDefault="00A4523E" w:rsidP="001B6840">
      <w:pPr>
        <w:spacing w:line="360" w:lineRule="auto"/>
      </w:pPr>
    </w:p>
    <w:p w:rsidR="00A4523E" w:rsidRPr="009C6D70" w:rsidRDefault="00A4523E" w:rsidP="00A4523E">
      <w:pPr>
        <w:ind w:left="1440" w:right="1080"/>
        <w:contextualSpacing/>
      </w:pPr>
      <w:r w:rsidRPr="009C6D70">
        <w:t xml:space="preserve">Electricity is very critical to the nature of our business. </w:t>
      </w:r>
      <w:r w:rsidR="00355C7E">
        <w:t xml:space="preserve"> </w:t>
      </w:r>
      <w:r w:rsidRPr="009C6D70">
        <w:t xml:space="preserve">Duquesne Light service has been very reliable since their recent infrastructure upgrade. </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Power is our lifeblood, the reliability of it.  I can truthfully say that the customer service relationship and reliability of Duquesne Light’s power is outstanding.</w:t>
      </w:r>
    </w:p>
    <w:p w:rsidR="00A4523E" w:rsidRPr="009C6D70" w:rsidRDefault="00A4523E" w:rsidP="00A4523E">
      <w:pPr>
        <w:ind w:left="1440" w:right="1080"/>
        <w:contextualSpacing/>
      </w:pPr>
    </w:p>
    <w:p w:rsidR="007E1C31" w:rsidRDefault="00A4523E" w:rsidP="00257E68">
      <w:pPr>
        <w:spacing w:before="120"/>
        <w:ind w:left="1440" w:right="1080"/>
        <w:contextualSpacing/>
      </w:pPr>
      <w:r w:rsidRPr="009C6D70">
        <w:t>I’m also a customer of Duquesne Light.  I’m not a big fan of any price increase anywhere in life.  I’m a conservative.  However, in this situation, with all the infrastructure upgrades that Duquesne Light has made, I am talking in their defense, or on their behalf, rather.</w:t>
      </w:r>
    </w:p>
    <w:p w:rsidR="007E1C31" w:rsidRDefault="007E1C31" w:rsidP="00257E68">
      <w:pPr>
        <w:spacing w:before="120"/>
        <w:ind w:left="1440" w:right="1080"/>
        <w:contextualSpacing/>
      </w:pPr>
    </w:p>
    <w:p w:rsidR="00A4523E" w:rsidRPr="009C6D70" w:rsidRDefault="007841E7" w:rsidP="00355C7E">
      <w:pPr>
        <w:spacing w:line="360" w:lineRule="auto"/>
        <w:ind w:left="1440" w:right="1080" w:hanging="1440"/>
        <w:contextualSpacing/>
      </w:pPr>
      <w:r>
        <w:t>PIH Tr. 61-65.</w:t>
      </w:r>
      <w:r w:rsidR="00A4523E" w:rsidRPr="009C6D70">
        <w:t xml:space="preserve"> </w:t>
      </w:r>
    </w:p>
    <w:p w:rsidR="00A4523E" w:rsidRPr="009C6D70" w:rsidRDefault="00A4523E" w:rsidP="00355C7E">
      <w:pPr>
        <w:spacing w:line="360" w:lineRule="auto"/>
        <w:ind w:left="1440" w:right="1080"/>
        <w:contextualSpacing/>
      </w:pPr>
    </w:p>
    <w:p w:rsidR="00A4523E" w:rsidRPr="009C6D70" w:rsidRDefault="00A4523E" w:rsidP="00355C7E">
      <w:pPr>
        <w:spacing w:line="360" w:lineRule="auto"/>
      </w:pPr>
      <w:r w:rsidRPr="009C6D70">
        <w:tab/>
      </w:r>
      <w:r w:rsidRPr="009C6D70">
        <w:tab/>
        <w:t>Garrett Fabian testified:</w:t>
      </w:r>
    </w:p>
    <w:p w:rsidR="00A4523E" w:rsidRPr="009C6D70" w:rsidRDefault="00A4523E" w:rsidP="00257E68">
      <w:pPr>
        <w:ind w:left="1440" w:right="1080"/>
        <w:contextualSpacing/>
      </w:pPr>
    </w:p>
    <w:p w:rsidR="00A4523E" w:rsidRPr="009C6D70" w:rsidRDefault="00A4523E" w:rsidP="00257E68">
      <w:pPr>
        <w:ind w:left="1440" w:right="1080"/>
        <w:contextualSpacing/>
      </w:pPr>
      <w:r w:rsidRPr="009C6D70">
        <w:t xml:space="preserve">My job title is Energy Manager for Conservation Consultants. </w:t>
      </w:r>
      <w:r w:rsidR="00257E68">
        <w:t xml:space="preserve"> </w:t>
      </w:r>
      <w:r w:rsidRPr="009C6D70">
        <w:t>I am a residential customer of Duquesne Light.</w:t>
      </w:r>
    </w:p>
    <w:p w:rsidR="00A4523E" w:rsidRPr="009C6D70" w:rsidRDefault="00A4523E" w:rsidP="00A4523E">
      <w:pPr>
        <w:ind w:left="1440" w:right="1080"/>
        <w:contextualSpacing/>
      </w:pPr>
    </w:p>
    <w:p w:rsidR="00874F7D" w:rsidRDefault="00874F7D">
      <w:r>
        <w:br w:type="page"/>
      </w:r>
    </w:p>
    <w:p w:rsidR="00A4523E" w:rsidRPr="009C6D70" w:rsidRDefault="00A4523E" w:rsidP="00A4523E">
      <w:pPr>
        <w:ind w:left="1440" w:right="1080"/>
        <w:contextualSpacing/>
      </w:pPr>
      <w:r w:rsidRPr="009C6D70">
        <w:lastRenderedPageBreak/>
        <w:t>My organization is a contractor of the Duquesne Light Company, and the representative of Duquesne Light asked my supervisor if someone from our organization would testify on behalf of Duquesne Light as to the services it provides for its low-income customers.</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Specifically what I do with Conservation Consultants as an energy manager for Duquesne Light, I do educational work for their customers under the banner of a program th</w:t>
      </w:r>
      <w:r w:rsidR="0012210B">
        <w:t>ey</w:t>
      </w:r>
      <w:r w:rsidRPr="009C6D70">
        <w:t xml:space="preserve"> have called the Smart Comfort Program.</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 xml:space="preserve">I spend about 45 minutes to an hour per home asking the customers about what different types of electric-using household appliances they have.  I am able to break down their monthly bill item by item, show them where their costs are going. </w:t>
      </w:r>
    </w:p>
    <w:p w:rsidR="00A4523E" w:rsidRPr="009C6D70" w:rsidRDefault="00A4523E" w:rsidP="00A4523E">
      <w:pPr>
        <w:ind w:left="1440" w:right="1080"/>
        <w:contextualSpacing/>
      </w:pPr>
    </w:p>
    <w:p w:rsidR="00A4523E" w:rsidRDefault="00A4523E" w:rsidP="00A4523E">
      <w:pPr>
        <w:ind w:left="1440" w:right="1080"/>
        <w:contextualSpacing/>
      </w:pPr>
      <w:r w:rsidRPr="009C6D70">
        <w:t>Once, I have identified what factors in their home are leading to their high use, I give them specific one-on-one education of how to use those appliances at peak efficiency.</w:t>
      </w:r>
    </w:p>
    <w:p w:rsidR="00355C7E" w:rsidRDefault="00355C7E" w:rsidP="00A4523E">
      <w:pPr>
        <w:ind w:left="1440" w:right="1080"/>
        <w:contextualSpacing/>
      </w:pPr>
    </w:p>
    <w:p w:rsidR="00355C7E" w:rsidRPr="009C6D70" w:rsidRDefault="00355C7E" w:rsidP="00355C7E">
      <w:pPr>
        <w:spacing w:line="360" w:lineRule="auto"/>
        <w:ind w:left="1440" w:right="1080" w:hanging="1440"/>
        <w:contextualSpacing/>
      </w:pPr>
      <w:r>
        <w:t>PIH Tr. 67-69.</w:t>
      </w:r>
    </w:p>
    <w:p w:rsidR="00A4523E" w:rsidRPr="009C6D70" w:rsidRDefault="00A4523E" w:rsidP="00355C7E">
      <w:pPr>
        <w:spacing w:line="360" w:lineRule="auto"/>
        <w:ind w:left="1440" w:right="1080"/>
        <w:contextualSpacing/>
      </w:pPr>
    </w:p>
    <w:p w:rsidR="00A4523E" w:rsidRPr="009C6D70" w:rsidRDefault="00A4523E" w:rsidP="00355C7E">
      <w:pPr>
        <w:spacing w:line="360" w:lineRule="auto"/>
      </w:pPr>
      <w:r w:rsidRPr="009C6D70">
        <w:t>B.</w:t>
      </w:r>
      <w:r w:rsidRPr="009C6D70">
        <w:tab/>
      </w:r>
      <w:r w:rsidRPr="009C6D70">
        <w:rPr>
          <w:u w:val="single"/>
        </w:rPr>
        <w:t xml:space="preserve">Allegheny </w:t>
      </w:r>
      <w:r w:rsidR="00355C7E">
        <w:rPr>
          <w:u w:val="single"/>
        </w:rPr>
        <w:t xml:space="preserve">County </w:t>
      </w:r>
      <w:r w:rsidRPr="009C6D70">
        <w:rPr>
          <w:u w:val="single"/>
        </w:rPr>
        <w:t>Courthouse, Pittsburgh Public Input Testimony</w:t>
      </w:r>
    </w:p>
    <w:p w:rsidR="00A4523E" w:rsidRPr="009C6D70" w:rsidRDefault="00A4523E" w:rsidP="00A4523E">
      <w:pPr>
        <w:spacing w:line="360" w:lineRule="auto"/>
      </w:pPr>
    </w:p>
    <w:p w:rsidR="00A4523E" w:rsidRPr="009C6D70" w:rsidRDefault="00A4523E" w:rsidP="00A4523E">
      <w:pPr>
        <w:spacing w:line="360" w:lineRule="auto"/>
      </w:pPr>
      <w:r w:rsidRPr="009C6D70">
        <w:tab/>
      </w:r>
      <w:r w:rsidRPr="009C6D70">
        <w:tab/>
        <w:t>Mary Sally testified:</w:t>
      </w:r>
    </w:p>
    <w:p w:rsidR="00A4523E" w:rsidRPr="009C6D70" w:rsidRDefault="00A4523E" w:rsidP="00A4523E">
      <w:pPr>
        <w:ind w:left="1440" w:right="1080"/>
        <w:contextualSpacing/>
      </w:pPr>
      <w:r w:rsidRPr="009C6D70">
        <w:t>I’m the customer service manager of the Dollar Energy Fund, and I am a customer of Duquesne Light.</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Our organization was founded in 1983 to help the growing number of local low-income families who struggle to pay their month</w:t>
      </w:r>
      <w:r w:rsidR="00355C7E">
        <w:t>ly</w:t>
      </w:r>
      <w:r w:rsidRPr="009C6D70">
        <w:t xml:space="preserve"> utility bills.</w:t>
      </w:r>
      <w:r w:rsidR="00355C7E">
        <w:t xml:space="preserve">  </w:t>
      </w:r>
      <w:r w:rsidRPr="009C6D70">
        <w:t>We provide those in need with a one-time assistance grant to help them restore or maintain safe electric, gas or water service.</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Duquesne Light signed on as our first utility partner and has demonstrated their commitment to helping their low-income customer</w:t>
      </w:r>
      <w:r w:rsidR="00355C7E">
        <w:t>s</w:t>
      </w:r>
      <w:r w:rsidRPr="009C6D70">
        <w:t xml:space="preserve"> through their involvement with our organization for the past 27 years.</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Duquesne Light matches dollar-for dollar every hardship fund donation we receive and use to benefit their low-income customers.  Since 1983, they have contributed over six million dollars in matching funds.</w:t>
      </w:r>
    </w:p>
    <w:p w:rsidR="00A4523E" w:rsidRPr="009C6D70" w:rsidRDefault="00A4523E" w:rsidP="00A4523E">
      <w:pPr>
        <w:ind w:left="1440" w:right="1080"/>
        <w:contextualSpacing/>
      </w:pPr>
    </w:p>
    <w:p w:rsidR="00874F7D" w:rsidRDefault="00874F7D">
      <w:r>
        <w:br w:type="page"/>
      </w:r>
    </w:p>
    <w:p w:rsidR="00355C7E" w:rsidRDefault="00A4523E" w:rsidP="00257E68">
      <w:pPr>
        <w:spacing w:before="120"/>
        <w:ind w:left="1440" w:right="1080"/>
        <w:contextualSpacing/>
      </w:pPr>
      <w:r w:rsidRPr="009C6D70">
        <w:lastRenderedPageBreak/>
        <w:t>We are p</w:t>
      </w:r>
      <w:r w:rsidR="0012210B">
        <w:t>r</w:t>
      </w:r>
      <w:r w:rsidRPr="009C6D70">
        <w:t>oud to be associated with a company that remains committed to help those who are less fortunate.</w:t>
      </w:r>
    </w:p>
    <w:p w:rsidR="00355C7E" w:rsidRDefault="00355C7E" w:rsidP="00257E68">
      <w:pPr>
        <w:spacing w:before="120"/>
        <w:ind w:left="1440" w:right="1080"/>
        <w:contextualSpacing/>
      </w:pPr>
    </w:p>
    <w:p w:rsidR="00A4523E" w:rsidRPr="009C6D70" w:rsidRDefault="00355C7E" w:rsidP="00355C7E">
      <w:pPr>
        <w:spacing w:line="360" w:lineRule="auto"/>
        <w:ind w:left="1440" w:right="1080" w:hanging="1440"/>
        <w:contextualSpacing/>
      </w:pPr>
      <w:r>
        <w:t>PIH Tr. 87-88.</w:t>
      </w:r>
      <w:r w:rsidR="00A4523E" w:rsidRPr="009C6D70">
        <w:t xml:space="preserve"> </w:t>
      </w:r>
    </w:p>
    <w:p w:rsidR="00A4523E" w:rsidRPr="009C6D70" w:rsidRDefault="00A4523E" w:rsidP="00355C7E">
      <w:pPr>
        <w:spacing w:line="360" w:lineRule="auto"/>
        <w:ind w:left="1440" w:right="1080"/>
        <w:contextualSpacing/>
      </w:pPr>
    </w:p>
    <w:p w:rsidR="00A4523E" w:rsidRPr="009C6D70" w:rsidRDefault="00A4523E" w:rsidP="00355C7E">
      <w:pPr>
        <w:spacing w:line="360" w:lineRule="auto"/>
      </w:pPr>
      <w:r w:rsidRPr="009C6D70">
        <w:tab/>
      </w:r>
      <w:r w:rsidRPr="009C6D70">
        <w:tab/>
        <w:t>Complainant/Customer Sarah Divilly opposed the requested rate increase.  Ms.</w:t>
      </w:r>
      <w:r w:rsidR="00881D0D">
        <w:t> </w:t>
      </w:r>
      <w:r w:rsidRPr="009C6D70">
        <w:t>Divilly maintained:</w:t>
      </w:r>
    </w:p>
    <w:p w:rsidR="00A4523E" w:rsidRPr="009C6D70" w:rsidRDefault="00A4523E" w:rsidP="00257E68">
      <w:pPr>
        <w:spacing w:line="360" w:lineRule="auto"/>
      </w:pPr>
    </w:p>
    <w:p w:rsidR="00A4523E" w:rsidRPr="009C6D70" w:rsidRDefault="00A4523E" w:rsidP="00A4523E">
      <w:pPr>
        <w:ind w:left="1440" w:right="1080"/>
        <w:contextualSpacing/>
      </w:pPr>
      <w:r w:rsidRPr="009C6D70">
        <w:t xml:space="preserve">Your, Honor, please don’t give Duquesne Light a rate increase because the economy is bad. </w:t>
      </w:r>
    </w:p>
    <w:p w:rsidR="00A4523E" w:rsidRPr="009C6D70" w:rsidRDefault="00A4523E" w:rsidP="00A4523E">
      <w:pPr>
        <w:ind w:left="1440" w:right="1080"/>
        <w:contextualSpacing/>
      </w:pPr>
      <w:r w:rsidRPr="009C6D70">
        <w:t xml:space="preserve"> </w:t>
      </w:r>
    </w:p>
    <w:p w:rsidR="00A4523E" w:rsidRPr="009C6D70" w:rsidRDefault="00A4523E" w:rsidP="00A4523E">
      <w:pPr>
        <w:ind w:left="1440" w:right="1080"/>
        <w:contextualSpacing/>
      </w:pPr>
      <w:r w:rsidRPr="009C6D70">
        <w:t xml:space="preserve">I know some missionaries from Africa, and their light is off for over two years. </w:t>
      </w:r>
      <w:r w:rsidR="00EE3249">
        <w:t xml:space="preserve"> </w:t>
      </w:r>
      <w:r w:rsidRPr="009C6D70">
        <w:t>I did help to pay the bill because I felt bad, you know.  They still have no light.</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Duquesne Light, on their bill, they say that you can give a dollar to people that can’t pay their bill.  I don’t know who is getting that money or what, but these people do need help.</w:t>
      </w:r>
    </w:p>
    <w:p w:rsidR="00A4523E" w:rsidRPr="009C6D70" w:rsidRDefault="00A4523E" w:rsidP="00A4523E">
      <w:pPr>
        <w:ind w:left="1440" w:right="1080"/>
        <w:contextualSpacing/>
      </w:pPr>
    </w:p>
    <w:p w:rsidR="00A4523E" w:rsidRDefault="00A4523E" w:rsidP="00EE3249">
      <w:pPr>
        <w:ind w:left="1440" w:right="1080"/>
        <w:contextualSpacing/>
      </w:pPr>
      <w:r w:rsidRPr="009C6D70">
        <w:t>I think Duquesne Light should call the people and say, I see your light has been off for a few years, how are you making it?  Can we help you?  Do things for the people.</w:t>
      </w:r>
    </w:p>
    <w:p w:rsidR="00217A9A" w:rsidRDefault="00217A9A" w:rsidP="00EE3249">
      <w:pPr>
        <w:ind w:left="1440" w:right="1080"/>
        <w:contextualSpacing/>
      </w:pPr>
    </w:p>
    <w:p w:rsidR="00217A9A" w:rsidRPr="009C6D70" w:rsidRDefault="00217A9A" w:rsidP="00217A9A">
      <w:pPr>
        <w:spacing w:line="360" w:lineRule="auto"/>
        <w:ind w:left="1440" w:right="1080" w:hanging="1440"/>
        <w:contextualSpacing/>
      </w:pPr>
      <w:r>
        <w:t>PIH Tr. 91.</w:t>
      </w:r>
    </w:p>
    <w:p w:rsidR="00A4523E" w:rsidRPr="009C6D70" w:rsidRDefault="00A4523E" w:rsidP="00217A9A">
      <w:pPr>
        <w:spacing w:line="360" w:lineRule="auto"/>
      </w:pPr>
      <w:r w:rsidRPr="009C6D70">
        <w:tab/>
      </w:r>
      <w:r w:rsidRPr="009C6D70">
        <w:tab/>
      </w:r>
    </w:p>
    <w:p w:rsidR="00A4523E" w:rsidRPr="009C6D70" w:rsidRDefault="00A4523E" w:rsidP="00217A9A">
      <w:pPr>
        <w:spacing w:line="360" w:lineRule="auto"/>
      </w:pPr>
      <w:r w:rsidRPr="009C6D70">
        <w:tab/>
      </w:r>
      <w:r w:rsidRPr="009C6D70">
        <w:tab/>
        <w:t>Stephan Dake, president and an owner of Sergeant Electric, performs a lot of construction work for Duquesne.  He contended:</w:t>
      </w:r>
    </w:p>
    <w:p w:rsidR="00A4523E" w:rsidRPr="009C6D70" w:rsidRDefault="00A4523E" w:rsidP="00A4523E">
      <w:pPr>
        <w:spacing w:line="360" w:lineRule="auto"/>
      </w:pPr>
    </w:p>
    <w:p w:rsidR="00A4523E" w:rsidRPr="009C6D70" w:rsidRDefault="00A4523E" w:rsidP="00A4523E">
      <w:pPr>
        <w:ind w:left="1440" w:right="1080"/>
        <w:contextualSpacing/>
      </w:pPr>
      <w:r w:rsidRPr="009C6D70">
        <w:t xml:space="preserve">Duquesne Light’s continued viability and ability to continue expenditures on upgrading the grid, upgrading their distribution and transmission system is obviously pretty important to our company. </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We employ exclusively IBEW union electricians, and typical payrolls run anywhere fr</w:t>
      </w:r>
      <w:r w:rsidR="00DE11FA">
        <w:t>om</w:t>
      </w:r>
      <w:r w:rsidRPr="009C6D70">
        <w:t xml:space="preserve"> 250 to 350 employees on a monthly basis. </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 xml:space="preserve">I’m sure you are all aware of Duquesne Light’s relatively aggressive program over the last few years to upgrade that grid and distribution system, replace a lot of components, provide for increased power distribution capacity, which, of course, is vitally important to our rebuilding here in the city, building a high-tech community, and in </w:t>
      </w:r>
      <w:r w:rsidRPr="009C6D70">
        <w:lastRenderedPageBreak/>
        <w:t>fostering new businesses and also energy-efficiency as it applies to even residential demand control.</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I just wanted to come and make a point that we have always had a very</w:t>
      </w:r>
    </w:p>
    <w:p w:rsidR="00A4523E" w:rsidRPr="009C6D70" w:rsidRDefault="00A4523E" w:rsidP="00A4523E">
      <w:pPr>
        <w:ind w:left="1440" w:right="1080"/>
        <w:contextualSpacing/>
      </w:pPr>
      <w:r w:rsidRPr="009C6D70">
        <w:t xml:space="preserve">good relationship with Duquesne Light.  They have always been fair, and we enjoy our relationship with them as a subcontractor to a client or customer. </w:t>
      </w:r>
    </w:p>
    <w:p w:rsidR="00A4523E" w:rsidRPr="009C6D70" w:rsidRDefault="00A4523E" w:rsidP="00A4523E">
      <w:pPr>
        <w:ind w:left="1440" w:right="1080"/>
        <w:contextualSpacing/>
      </w:pPr>
    </w:p>
    <w:p w:rsidR="00A4523E" w:rsidRDefault="00A4523E" w:rsidP="00DE11FA">
      <w:pPr>
        <w:ind w:left="1440" w:right="1080"/>
        <w:contextualSpacing/>
      </w:pPr>
      <w:r w:rsidRPr="009C6D70">
        <w:t>To the degree they have asked for additional rate compensation, I can certainly state quite factually, based on what I see around the country, because we have a lot of operations in central and southern Indiana, the Duquesne Light system has needed some upgrades.</w:t>
      </w:r>
    </w:p>
    <w:p w:rsidR="00217A9A" w:rsidRDefault="00217A9A" w:rsidP="00DE11FA">
      <w:pPr>
        <w:ind w:left="1440" w:right="1080"/>
        <w:contextualSpacing/>
      </w:pPr>
    </w:p>
    <w:p w:rsidR="00217A9A" w:rsidRPr="009C6D70" w:rsidRDefault="00217A9A" w:rsidP="00217A9A">
      <w:pPr>
        <w:spacing w:line="360" w:lineRule="auto"/>
        <w:ind w:left="1440" w:right="1080" w:hanging="1440"/>
        <w:contextualSpacing/>
      </w:pPr>
      <w:r>
        <w:t>PIH Tr. 93-95.</w:t>
      </w:r>
    </w:p>
    <w:p w:rsidR="00A4523E" w:rsidRPr="009C6D70" w:rsidRDefault="00A4523E" w:rsidP="00217A9A">
      <w:pPr>
        <w:spacing w:line="360" w:lineRule="auto"/>
      </w:pPr>
      <w:r w:rsidRPr="009C6D70">
        <w:tab/>
      </w:r>
      <w:r w:rsidRPr="009C6D70">
        <w:tab/>
      </w:r>
    </w:p>
    <w:p w:rsidR="00A4523E" w:rsidRPr="009C6D70" w:rsidRDefault="00A4523E" w:rsidP="00217A9A">
      <w:pPr>
        <w:spacing w:line="360" w:lineRule="auto"/>
      </w:pPr>
      <w:r w:rsidRPr="009C6D70">
        <w:tab/>
      </w:r>
      <w:r w:rsidRPr="009C6D70">
        <w:tab/>
        <w:t xml:space="preserve">Robert Paul </w:t>
      </w:r>
      <w:proofErr w:type="spellStart"/>
      <w:r w:rsidRPr="009C6D70">
        <w:t>Grzywinski</w:t>
      </w:r>
      <w:proofErr w:type="spellEnd"/>
      <w:r w:rsidRPr="009C6D70">
        <w:t xml:space="preserve"> has been a Duquesne customer for 30 years. </w:t>
      </w:r>
      <w:r w:rsidR="00EE3249">
        <w:t xml:space="preserve"> </w:t>
      </w:r>
      <w:r w:rsidRPr="009C6D70">
        <w:t>He is an electrical supervisor for Lamar Advertising.  Mr. Grzywinski said:</w:t>
      </w:r>
    </w:p>
    <w:p w:rsidR="00A4523E" w:rsidRPr="009C6D70" w:rsidRDefault="00A4523E" w:rsidP="00A4523E">
      <w:pPr>
        <w:ind w:left="1440" w:right="1080"/>
        <w:contextualSpacing/>
      </w:pPr>
    </w:p>
    <w:p w:rsidR="00A4523E" w:rsidRPr="009C6D70" w:rsidRDefault="00A4523E" w:rsidP="000D763A">
      <w:pPr>
        <w:ind w:left="1440" w:right="1080"/>
        <w:contextualSpacing/>
      </w:pPr>
      <w:r w:rsidRPr="009C6D70">
        <w:t xml:space="preserve">We have hundreds of billboards throughout this area.  Our area includes Pittsburgh, </w:t>
      </w:r>
      <w:proofErr w:type="spellStart"/>
      <w:r w:rsidRPr="009C6D70">
        <w:t>Du</w:t>
      </w:r>
      <w:r w:rsidR="00217A9A">
        <w:t>B</w:t>
      </w:r>
      <w:r w:rsidRPr="009C6D70">
        <w:t>ois</w:t>
      </w:r>
      <w:proofErr w:type="spellEnd"/>
      <w:r w:rsidRPr="009C6D70">
        <w:t xml:space="preserve">, Bedford, Washington, PA, and Uniontown.  We deal with Duquesne Light Company, Allegheny Power, FirstEnergy, Bedford Rural Electric. </w:t>
      </w:r>
      <w:r w:rsidR="00EE3249">
        <w:t xml:space="preserve"> </w:t>
      </w:r>
      <w:r w:rsidRPr="009C6D70">
        <w:t xml:space="preserve">Duquesne Light is our largest provider in this area. </w:t>
      </w:r>
    </w:p>
    <w:p w:rsidR="00A4523E" w:rsidRPr="009C6D70" w:rsidRDefault="00A4523E" w:rsidP="000D763A">
      <w:pPr>
        <w:ind w:left="1440" w:right="1080"/>
        <w:contextualSpacing/>
      </w:pPr>
    </w:p>
    <w:p w:rsidR="00A4523E" w:rsidRPr="009C6D70" w:rsidRDefault="00A4523E" w:rsidP="000D763A">
      <w:pPr>
        <w:ind w:left="1440" w:right="1080"/>
        <w:contextualSpacing/>
      </w:pPr>
      <w:r w:rsidRPr="009C6D70">
        <w:t>They (digital billboards) are powered by electricity 24 hours a day seven days a week.  They are constantly on, so again, electricity is very vital to those boards and to our company making money and employing our employees.</w:t>
      </w:r>
    </w:p>
    <w:p w:rsidR="00A4523E" w:rsidRPr="009C6D70" w:rsidRDefault="00A4523E" w:rsidP="000D763A">
      <w:pPr>
        <w:ind w:left="1440" w:right="1080"/>
        <w:contextualSpacing/>
      </w:pPr>
    </w:p>
    <w:p w:rsidR="00A4523E" w:rsidRPr="009C6D70" w:rsidRDefault="00A4523E" w:rsidP="000D763A">
      <w:pPr>
        <w:ind w:left="1440" w:right="1080"/>
        <w:contextualSpacing/>
      </w:pPr>
      <w:r w:rsidRPr="009C6D70">
        <w:t>I’ve been working with Duquesne Light for the last four years through Lamar.  I was assigned a contact for our commercial account.  Her name is Judith Kroll.  Any time I have a problem, I deal with Judith Kroll.  She takes care of the commercial accounts.</w:t>
      </w:r>
    </w:p>
    <w:p w:rsidR="00A4523E" w:rsidRPr="009C6D70" w:rsidRDefault="00A4523E" w:rsidP="000D763A">
      <w:pPr>
        <w:ind w:left="1440" w:right="1080"/>
        <w:contextualSpacing/>
      </w:pPr>
    </w:p>
    <w:p w:rsidR="00A4523E" w:rsidRPr="009C6D70" w:rsidRDefault="00A4523E" w:rsidP="000D763A">
      <w:pPr>
        <w:ind w:left="1440" w:right="1080"/>
        <w:contextualSpacing/>
      </w:pPr>
      <w:r w:rsidRPr="009C6D70">
        <w:t>Duquesne Light has provided us with quality customer service and power.  Like I said, of all the power companies I have dealt with, Duquesne Light is the most reliable and customer supportive.  The program for the commercial account customers is geared to the customer’s needs.</w:t>
      </w:r>
    </w:p>
    <w:p w:rsidR="00A4523E" w:rsidRPr="009C6D70" w:rsidRDefault="00A4523E" w:rsidP="000D763A">
      <w:pPr>
        <w:ind w:left="1440" w:right="1080"/>
        <w:contextualSpacing/>
      </w:pPr>
    </w:p>
    <w:p w:rsidR="002942CE" w:rsidRDefault="002942CE">
      <w:r>
        <w:br w:type="page"/>
      </w:r>
    </w:p>
    <w:p w:rsidR="00217A9A" w:rsidRDefault="00A4523E" w:rsidP="00EE3249">
      <w:pPr>
        <w:ind w:left="1440" w:right="1080"/>
        <w:contextualSpacing/>
      </w:pPr>
      <w:r w:rsidRPr="009C6D70">
        <w:lastRenderedPageBreak/>
        <w:t>They (Duquesne) are very customer-friendly and cooperative.  They provide employment and a tax base for this area, which is very vital to this area.</w:t>
      </w:r>
    </w:p>
    <w:p w:rsidR="00217A9A" w:rsidRDefault="00217A9A" w:rsidP="00EE3249">
      <w:pPr>
        <w:ind w:left="1440" w:right="1080"/>
        <w:contextualSpacing/>
      </w:pPr>
    </w:p>
    <w:p w:rsidR="00A4523E" w:rsidRPr="009C6D70" w:rsidRDefault="00217A9A" w:rsidP="00217A9A">
      <w:pPr>
        <w:spacing w:line="360" w:lineRule="auto"/>
        <w:ind w:left="1440" w:right="1080" w:hanging="1530"/>
        <w:contextualSpacing/>
      </w:pPr>
      <w:r>
        <w:t>PIH Tr. 97-100.</w:t>
      </w:r>
      <w:r w:rsidR="00A4523E" w:rsidRPr="009C6D70">
        <w:t xml:space="preserve"> </w:t>
      </w:r>
    </w:p>
    <w:p w:rsidR="00A4523E" w:rsidRPr="009C6D70" w:rsidRDefault="00A4523E" w:rsidP="00217A9A">
      <w:pPr>
        <w:spacing w:line="360" w:lineRule="auto"/>
      </w:pPr>
      <w:r w:rsidRPr="009C6D70">
        <w:tab/>
      </w:r>
      <w:r w:rsidRPr="009C6D70">
        <w:tab/>
      </w:r>
    </w:p>
    <w:p w:rsidR="00A4523E" w:rsidRPr="009C6D70" w:rsidRDefault="00A4523E" w:rsidP="00217A9A">
      <w:pPr>
        <w:spacing w:line="360" w:lineRule="auto"/>
      </w:pPr>
      <w:r w:rsidRPr="009C6D70">
        <w:tab/>
      </w:r>
      <w:r w:rsidRPr="009C6D70">
        <w:tab/>
        <w:t>Customer Sam McMahon testified he was representing UPMC.  According to Mr.</w:t>
      </w:r>
      <w:r w:rsidR="00881D0D">
        <w:t> </w:t>
      </w:r>
      <w:r w:rsidRPr="009C6D70">
        <w:t xml:space="preserve">McMahon, his testimony like others was primarily testimonial. </w:t>
      </w:r>
      <w:r w:rsidR="00EE3249">
        <w:t xml:space="preserve"> </w:t>
      </w:r>
      <w:r w:rsidRPr="009C6D70">
        <w:t>He commented:</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I guess I should start out with a disclaimer.  That is, UPMC, in the past has been a participant in an ad hoc group known as Duquesne Industrial Intervenors.  We chose not to be involved in this rate case, but we frequently are involved in cases through the DII.</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 xml:space="preserve">Who is UPMC? </w:t>
      </w:r>
      <w:r w:rsidR="00EE3249">
        <w:t xml:space="preserve"> </w:t>
      </w:r>
      <w:r w:rsidRPr="009C6D70">
        <w:t xml:space="preserve">We are an eight billion dollar integrated global health system. </w:t>
      </w:r>
      <w:r w:rsidR="00EE3249">
        <w:t xml:space="preserve"> </w:t>
      </w:r>
      <w:r w:rsidRPr="009C6D70">
        <w:t xml:space="preserve">Primarily, we are located headquarter-wise here in Pittsburgh. </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We employ over 50,000 western Pennsylvanians in primarily health care.</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 xml:space="preserve">Our employees are spread over 20 hospitals, 400 doctors’ offices and a large number of administrative offices.  The point is, we have pretty much covered every rate class.  We even have some residential facilities that are under a Duquesne Light rate. </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Our profile, the electric profile, we consume over 400 million kilowatt hours a year, and 370 million of that is on Duquesne Light.  Of 370, 340 of that 370 million are spread between the largest classes, L, GL and GHL.</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What I wanted to characterize is, of course, that reliability is of the utmost importance when you are talking about hospitals.  Working with Duquesne Light, we have always worked to have each hospital served by two separate substations so that a misplaced tractor-trailer won’t take a hospital down.</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You are also aware that hospitals, by state and federal law are required to have backup generation.  In many ways, we are probably one of the largest capable generators in the area.</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 xml:space="preserve">We had situations where Duquesne Light, trying to do some maintenance in a particular area, would say, can you get off the grid, for you know, the next half-hour?  We would fire up our generators.  </w:t>
      </w:r>
      <w:r w:rsidRPr="009C6D70">
        <w:lastRenderedPageBreak/>
        <w:t>This was – we weren’t compensated for that.  It was just cooperation between mutually respected entities in this community.</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Duquesne Light, again, is very cooperative.</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How does my testimony relate to today’s hearing?  As I said, it was meant to be a testimonial.  Our ability to generate – we are a hospital, but I have to tell you, we have very capable people that are manning the steam, the power houses, very capable equipment in generation.  That mix, i</w:t>
      </w:r>
      <w:r w:rsidR="00DE11FA">
        <w:t>n</w:t>
      </w:r>
      <w:r w:rsidRPr="009C6D70">
        <w:t xml:space="preserve"> some ways give us an affinity with Duquesne Light that other customers would not have.</w:t>
      </w:r>
    </w:p>
    <w:p w:rsidR="00A4523E" w:rsidRPr="009C6D70" w:rsidRDefault="00A4523E" w:rsidP="00A4523E">
      <w:pPr>
        <w:ind w:left="1440" w:right="1080"/>
        <w:contextualSpacing/>
      </w:pPr>
    </w:p>
    <w:p w:rsidR="00A4523E" w:rsidRDefault="00A4523E" w:rsidP="00A4523E">
      <w:pPr>
        <w:ind w:left="1440" w:right="1080"/>
        <w:contextualSpacing/>
      </w:pPr>
      <w:r w:rsidRPr="009C6D70">
        <w:t>With Duquesne Light, it’s a proactive, we’re your partner.</w:t>
      </w:r>
    </w:p>
    <w:p w:rsidR="00940C6E" w:rsidRDefault="00940C6E" w:rsidP="00A4523E">
      <w:pPr>
        <w:ind w:left="1440" w:right="1080"/>
        <w:contextualSpacing/>
      </w:pPr>
    </w:p>
    <w:p w:rsidR="00940C6E" w:rsidRPr="009C6D70" w:rsidRDefault="00940C6E" w:rsidP="00940C6E">
      <w:pPr>
        <w:spacing w:line="360" w:lineRule="auto"/>
        <w:ind w:left="1440" w:right="1080" w:hanging="1440"/>
        <w:contextualSpacing/>
      </w:pPr>
      <w:r>
        <w:t>PIH Tr. 102-105.</w:t>
      </w:r>
    </w:p>
    <w:p w:rsidR="00A4523E" w:rsidRPr="009C6D70" w:rsidRDefault="00A4523E" w:rsidP="00940C6E">
      <w:pPr>
        <w:spacing w:line="360" w:lineRule="auto"/>
        <w:ind w:left="1440" w:right="1080"/>
        <w:contextualSpacing/>
      </w:pPr>
    </w:p>
    <w:p w:rsidR="00A4523E" w:rsidRPr="009C6D70" w:rsidRDefault="00A4523E" w:rsidP="00940C6E">
      <w:pPr>
        <w:spacing w:line="360" w:lineRule="auto"/>
      </w:pPr>
      <w:r w:rsidRPr="009C6D70">
        <w:tab/>
      </w:r>
      <w:r w:rsidRPr="009C6D70">
        <w:tab/>
        <w:t>CARES Representative, James Harland, is a Duquesne customer. Mr.</w:t>
      </w:r>
      <w:r w:rsidR="00881D0D">
        <w:t> </w:t>
      </w:r>
      <w:r w:rsidRPr="009C6D70">
        <w:t>Harland related:</w:t>
      </w:r>
    </w:p>
    <w:p w:rsidR="00A4523E" w:rsidRPr="009C6D70" w:rsidRDefault="00A4523E" w:rsidP="00A4523E">
      <w:pPr>
        <w:spacing w:line="360" w:lineRule="auto"/>
        <w:ind w:left="1440" w:right="1080"/>
      </w:pPr>
    </w:p>
    <w:p w:rsidR="00A4523E" w:rsidRPr="009C6D70" w:rsidRDefault="00A4523E" w:rsidP="00A4523E">
      <w:pPr>
        <w:ind w:left="1440" w:right="1080"/>
        <w:contextualSpacing/>
      </w:pPr>
      <w:r w:rsidRPr="009C6D70">
        <w:t>Through community-base</w:t>
      </w:r>
      <w:r w:rsidR="00DE11FA">
        <w:t>d</w:t>
      </w:r>
      <w:r w:rsidRPr="009C6D70">
        <w:t xml:space="preserve"> organizations, Duquesne Light employs CARES representatives. </w:t>
      </w:r>
      <w:r w:rsidR="00D44393">
        <w:t xml:space="preserve"> </w:t>
      </w:r>
      <w:r w:rsidRPr="009C6D70">
        <w:t xml:space="preserve">We make home visits to those individuals at risk with the primary purpose of assessment and referral.  </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We are able to process LIHEAP, Dollar Energy and Cris</w:t>
      </w:r>
      <w:r w:rsidR="00E90358">
        <w:t>i</w:t>
      </w:r>
      <w:r w:rsidRPr="009C6D70">
        <w:t xml:space="preserve">s </w:t>
      </w:r>
      <w:r w:rsidR="00940C6E">
        <w:t>G</w:t>
      </w:r>
      <w:r w:rsidRPr="009C6D70">
        <w:t>rants that they would otherwise not receive. We can also help with their enrollment for other utility companies’ CAP programs.</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Through Duquesne Light’s universal service programs, the customer assistance program, CAP, Duquesne Light provides low-income and payment-troubled customers with affordable reduce</w:t>
      </w:r>
      <w:r w:rsidR="00DE11FA">
        <w:t>d</w:t>
      </w:r>
      <w:r w:rsidRPr="009C6D70">
        <w:t xml:space="preserve"> budget payments.</w:t>
      </w:r>
    </w:p>
    <w:p w:rsidR="00A4523E" w:rsidRPr="009C6D70" w:rsidRDefault="00A4523E" w:rsidP="00A4523E">
      <w:pPr>
        <w:ind w:left="1440" w:right="1080"/>
        <w:contextualSpacing/>
      </w:pPr>
    </w:p>
    <w:p w:rsidR="00A4523E" w:rsidRDefault="00A4523E" w:rsidP="00A4523E">
      <w:pPr>
        <w:ind w:left="1440" w:right="1080"/>
        <w:contextualSpacing/>
      </w:pPr>
      <w:r w:rsidRPr="009C6D70">
        <w:t xml:space="preserve">Duquesne Light, through the universal service program, serves a huge number of low-income individuals.  I believe it is one of the few utilities that </w:t>
      </w:r>
      <w:proofErr w:type="gramStart"/>
      <w:r w:rsidRPr="009C6D70">
        <w:t>has</w:t>
      </w:r>
      <w:proofErr w:type="gramEnd"/>
      <w:r w:rsidRPr="009C6D70">
        <w:t>, through its CARES program, remained committed to the original intent of the PUC legislation to help our most vulnerable citizens.</w:t>
      </w:r>
    </w:p>
    <w:p w:rsidR="00940C6E" w:rsidRDefault="00940C6E" w:rsidP="00A4523E">
      <w:pPr>
        <w:ind w:left="1440" w:right="1080"/>
        <w:contextualSpacing/>
      </w:pPr>
    </w:p>
    <w:p w:rsidR="00940C6E" w:rsidRPr="009C6D70" w:rsidRDefault="00940C6E" w:rsidP="00940C6E">
      <w:pPr>
        <w:spacing w:line="360" w:lineRule="auto"/>
        <w:ind w:left="1440" w:right="1080" w:hanging="1440"/>
        <w:contextualSpacing/>
      </w:pPr>
      <w:r>
        <w:t>PIH Tr. 109-110.</w:t>
      </w:r>
    </w:p>
    <w:p w:rsidR="00A4523E" w:rsidRPr="009C6D70" w:rsidRDefault="00A4523E" w:rsidP="00940C6E">
      <w:pPr>
        <w:spacing w:line="360" w:lineRule="auto"/>
        <w:ind w:left="1440" w:right="1080"/>
      </w:pPr>
    </w:p>
    <w:p w:rsidR="00DA729C" w:rsidRDefault="00A4523E" w:rsidP="00940C6E">
      <w:pPr>
        <w:spacing w:line="360" w:lineRule="auto"/>
      </w:pPr>
      <w:r w:rsidRPr="009C6D70">
        <w:tab/>
      </w:r>
      <w:r w:rsidRPr="009C6D70">
        <w:tab/>
      </w:r>
    </w:p>
    <w:p w:rsidR="00DA729C" w:rsidRDefault="00DA729C">
      <w:r>
        <w:br w:type="page"/>
      </w:r>
    </w:p>
    <w:p w:rsidR="00A4523E" w:rsidRPr="009C6D70" w:rsidRDefault="00DA729C" w:rsidP="00940C6E">
      <w:pPr>
        <w:spacing w:line="360" w:lineRule="auto"/>
      </w:pPr>
      <w:r>
        <w:lastRenderedPageBreak/>
        <w:tab/>
      </w:r>
      <w:r>
        <w:tab/>
      </w:r>
      <w:r w:rsidR="00A4523E" w:rsidRPr="009C6D70">
        <w:t xml:space="preserve">Mary Ann </w:t>
      </w:r>
      <w:proofErr w:type="spellStart"/>
      <w:r w:rsidR="00A4523E" w:rsidRPr="009C6D70">
        <w:t>Heneroty</w:t>
      </w:r>
      <w:proofErr w:type="spellEnd"/>
      <w:r w:rsidR="00A4523E" w:rsidRPr="009C6D70">
        <w:t>, a Duquesne customer and CEO of Catholic Youth Association, testified as follows</w:t>
      </w:r>
      <w:r w:rsidR="007A204B">
        <w:t>:</w:t>
      </w:r>
    </w:p>
    <w:p w:rsidR="00A4523E" w:rsidRPr="009C6D70" w:rsidRDefault="00A4523E" w:rsidP="00A4523E">
      <w:pPr>
        <w:spacing w:line="360" w:lineRule="auto"/>
      </w:pPr>
    </w:p>
    <w:p w:rsidR="00A4523E" w:rsidRPr="009C6D70" w:rsidRDefault="00A4523E" w:rsidP="00A4523E">
      <w:pPr>
        <w:ind w:left="1440" w:right="1080"/>
        <w:contextualSpacing/>
      </w:pPr>
      <w:r w:rsidRPr="009C6D70">
        <w:t>CYA is a non-profit organization that was begun in 1925.  We currently serve over 2,000 people at four sites.</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We serve the elderly with programs such as Meal</w:t>
      </w:r>
      <w:r w:rsidR="00DE11FA">
        <w:t>s</w:t>
      </w:r>
      <w:r w:rsidRPr="009C6D70">
        <w:t xml:space="preserve">-On-Wheels, adult day services, senior centers, transportation and health and wellness.  We serve children with child care, summer camp and scouting. </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Because of the growth in programs in recent years and the demand for services, we were faced with several electrical issues this year.</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 xml:space="preserve">Duquesne Light stepped forward and became a community partner helping us solve our energy needs.  The first need was for outdoor lighting.  Under their Power of Light program, Duquesne provided outdoor lighting for two of our senior centers. </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They provided over $40,000 in supplies and services to illuminate the parking lots.</w:t>
      </w:r>
    </w:p>
    <w:p w:rsidR="00A4523E" w:rsidRPr="009C6D70" w:rsidRDefault="00A4523E" w:rsidP="00A4523E">
      <w:pPr>
        <w:ind w:left="1440" w:right="1080"/>
        <w:contextualSpacing/>
      </w:pPr>
    </w:p>
    <w:p w:rsidR="00A4523E" w:rsidRPr="009C6D70" w:rsidRDefault="00A4523E" w:rsidP="00A4523E">
      <w:pPr>
        <w:ind w:left="1440" w:right="1080"/>
        <w:contextualSpacing/>
      </w:pPr>
      <w:r w:rsidRPr="009C6D70">
        <w:t>The second issue involves the amount of power coming into the building.  Due to increased service demands, Duquesne Light agreed to provide a change of service to the Stephen Foster Community Center (in the Lawrenceville neighborhood of Pittsburgh), providing new poles, wiring and tree trimming.  Without this direct grant, we would have face</w:t>
      </w:r>
      <w:r w:rsidR="00DE11FA">
        <w:t>d</w:t>
      </w:r>
      <w:r w:rsidRPr="009C6D70">
        <w:t xml:space="preserve"> some serious issues, like blowing fuses and living with a potentially danger</w:t>
      </w:r>
      <w:r w:rsidR="00DE11FA">
        <w:t>ous</w:t>
      </w:r>
      <w:r w:rsidRPr="009C6D70">
        <w:t xml:space="preserve"> situation.</w:t>
      </w:r>
    </w:p>
    <w:p w:rsidR="00A4523E" w:rsidRPr="009C6D70" w:rsidRDefault="00A4523E" w:rsidP="00A4523E">
      <w:pPr>
        <w:ind w:left="1440" w:right="1080"/>
        <w:contextualSpacing/>
      </w:pPr>
    </w:p>
    <w:p w:rsidR="00A4523E" w:rsidRDefault="00A4523E" w:rsidP="00A4523E">
      <w:pPr>
        <w:ind w:left="1440" w:right="1080"/>
        <w:contextualSpacing/>
      </w:pPr>
      <w:r w:rsidRPr="009C6D70">
        <w:t>All of us at CYA are very grateful that we discovered this program, and we are also very grateful for the professionalism of their (Duquesne) employees.</w:t>
      </w:r>
    </w:p>
    <w:p w:rsidR="00940C6E" w:rsidRDefault="00940C6E" w:rsidP="00A4523E">
      <w:pPr>
        <w:ind w:left="1440" w:right="1080"/>
        <w:contextualSpacing/>
      </w:pPr>
    </w:p>
    <w:p w:rsidR="00940C6E" w:rsidRPr="009C6D70" w:rsidRDefault="00940C6E" w:rsidP="00940C6E">
      <w:pPr>
        <w:spacing w:line="360" w:lineRule="auto"/>
        <w:ind w:left="1440" w:right="1080" w:hanging="1440"/>
        <w:contextualSpacing/>
      </w:pPr>
      <w:r>
        <w:t>PIH Tr. 112-114.</w:t>
      </w:r>
    </w:p>
    <w:p w:rsidR="00A4523E" w:rsidRPr="009C6D70" w:rsidRDefault="00A4523E" w:rsidP="00940C6E">
      <w:pPr>
        <w:spacing w:line="360" w:lineRule="auto"/>
        <w:ind w:left="1440" w:right="1080"/>
        <w:contextualSpacing/>
      </w:pPr>
    </w:p>
    <w:p w:rsidR="00A4523E" w:rsidRPr="009C6D70" w:rsidRDefault="00A4523E" w:rsidP="00940C6E">
      <w:pPr>
        <w:spacing w:line="360" w:lineRule="auto"/>
      </w:pPr>
      <w:r w:rsidRPr="009C6D70">
        <w:rPr>
          <w:b/>
        </w:rPr>
        <w:tab/>
      </w:r>
      <w:r w:rsidR="004B0C6B">
        <w:rPr>
          <w:b/>
        </w:rPr>
        <w:tab/>
      </w:r>
      <w:r w:rsidRPr="009C6D70">
        <w:t xml:space="preserve">In summary, individual ratepayers without a direct </w:t>
      </w:r>
      <w:r w:rsidR="00151110">
        <w:t xml:space="preserve">business </w:t>
      </w:r>
      <w:r w:rsidRPr="009C6D70">
        <w:t xml:space="preserve">connection to Duquesne </w:t>
      </w:r>
      <w:r w:rsidR="00940C6E">
        <w:t>o</w:t>
      </w:r>
      <w:r w:rsidRPr="009C6D70">
        <w:t>pposed the rate increase as unreasonable.  Those witnesses with a direct business connection to Duquesne favorably testified as to the Company’s reliable service and community involvement.</w:t>
      </w:r>
    </w:p>
    <w:p w:rsidR="00A4523E" w:rsidRPr="009C6D70" w:rsidRDefault="00A4523E" w:rsidP="00A4523E">
      <w:pPr>
        <w:spacing w:line="360" w:lineRule="auto"/>
        <w:rPr>
          <w:b/>
        </w:rPr>
      </w:pPr>
    </w:p>
    <w:p w:rsidR="000443C4" w:rsidRDefault="000443C4">
      <w:r>
        <w:br w:type="page"/>
      </w:r>
    </w:p>
    <w:p w:rsidR="00A4523E" w:rsidRPr="009C6D70" w:rsidRDefault="00A4523E" w:rsidP="00642AB1">
      <w:pPr>
        <w:spacing w:line="360" w:lineRule="auto"/>
        <w:jc w:val="center"/>
      </w:pPr>
      <w:r w:rsidRPr="009C6D70">
        <w:lastRenderedPageBreak/>
        <w:t>III.</w:t>
      </w:r>
      <w:r w:rsidRPr="009C6D70">
        <w:tab/>
      </w:r>
      <w:r w:rsidRPr="009C6D70">
        <w:rPr>
          <w:u w:val="single"/>
        </w:rPr>
        <w:t>DESCRIPTION AND TERMS OF SETTLEMENT</w:t>
      </w:r>
    </w:p>
    <w:p w:rsidR="00A4523E" w:rsidRPr="009C6D70" w:rsidRDefault="00A4523E" w:rsidP="00642AB1">
      <w:pPr>
        <w:spacing w:line="360" w:lineRule="auto"/>
        <w:jc w:val="center"/>
      </w:pPr>
    </w:p>
    <w:p w:rsidR="00A4523E" w:rsidRPr="009C6D70" w:rsidRDefault="00A4523E" w:rsidP="00642AB1">
      <w:pPr>
        <w:spacing w:line="360" w:lineRule="auto"/>
      </w:pPr>
      <w:r w:rsidRPr="009C6D70">
        <w:tab/>
      </w:r>
      <w:r w:rsidRPr="009C6D70">
        <w:tab/>
        <w:t>The eighteen-page Joint Petition for Settlement of All Issues includes eight appendices.  Appendix A</w:t>
      </w:r>
      <w:r w:rsidRPr="009C6D70">
        <w:rPr>
          <w:rStyle w:val="FootnoteReference"/>
        </w:rPr>
        <w:footnoteReference w:id="10"/>
      </w:r>
      <w:r w:rsidRPr="009C6D70">
        <w:t xml:space="preserve"> is the proposed tariff including the user rate increases to be filed upon approval of the Settlement.  Appendix B verifies the Company Revenue at the Proposed Settlement Rates.  Appendices C, D, E, F, G and H are the Statements in Support of the Settlement of Duquesne, OTS, OCA, OSBA, DII and NRG, respectively. </w:t>
      </w:r>
    </w:p>
    <w:p w:rsidR="00A4523E" w:rsidRPr="009C6D70" w:rsidRDefault="00A4523E" w:rsidP="000C598F">
      <w:pPr>
        <w:pStyle w:val="ListNumber"/>
        <w:numPr>
          <w:ilvl w:val="0"/>
          <w:numId w:val="0"/>
        </w:numPr>
        <w:spacing w:line="360" w:lineRule="auto"/>
        <w:ind w:left="810"/>
        <w:jc w:val="both"/>
      </w:pPr>
    </w:p>
    <w:p w:rsidR="00A4523E" w:rsidRDefault="00A4523E" w:rsidP="000C598F">
      <w:pPr>
        <w:pStyle w:val="ListNumber"/>
        <w:numPr>
          <w:ilvl w:val="0"/>
          <w:numId w:val="0"/>
        </w:numPr>
        <w:spacing w:line="360" w:lineRule="auto"/>
        <w:jc w:val="both"/>
      </w:pPr>
      <w:r w:rsidRPr="009C6D70">
        <w:tab/>
      </w:r>
      <w:r w:rsidRPr="009C6D70">
        <w:tab/>
        <w:t>The Joint Petitioners submit that the effect of the settlement upon the average residential default service customer’s total month</w:t>
      </w:r>
      <w:r w:rsidR="006F6660">
        <w:t>ly</w:t>
      </w:r>
      <w:r w:rsidRPr="009C6D70">
        <w:t xml:space="preserve"> bill will be as follows:</w:t>
      </w:r>
      <w:r w:rsidRPr="009C6D70">
        <w:rPr>
          <w:rStyle w:val="FootnoteReference"/>
        </w:rPr>
        <w:footnoteReference w:id="11"/>
      </w:r>
    </w:p>
    <w:p w:rsidR="004B0C6B" w:rsidRPr="009C6D70" w:rsidRDefault="004B0C6B" w:rsidP="004B0C6B">
      <w:pPr>
        <w:pStyle w:val="ListNumber"/>
        <w:numPr>
          <w:ilvl w:val="0"/>
          <w:numId w:val="0"/>
        </w:num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A4523E" w:rsidRPr="009C6D70" w:rsidTr="00D9695C">
        <w:tc>
          <w:tcPr>
            <w:tcW w:w="2394" w:type="dxa"/>
          </w:tcPr>
          <w:p w:rsidR="00A4523E" w:rsidRPr="009C6D70" w:rsidRDefault="00A4523E" w:rsidP="00D9695C">
            <w:pPr>
              <w:pStyle w:val="ListNumber"/>
              <w:numPr>
                <w:ilvl w:val="0"/>
                <w:numId w:val="0"/>
              </w:numPr>
            </w:pPr>
          </w:p>
        </w:tc>
        <w:tc>
          <w:tcPr>
            <w:tcW w:w="2394" w:type="dxa"/>
          </w:tcPr>
          <w:p w:rsidR="00A4523E" w:rsidRPr="009C6D70" w:rsidRDefault="00A4523E" w:rsidP="00D9695C">
            <w:pPr>
              <w:pStyle w:val="ListNumber"/>
              <w:numPr>
                <w:ilvl w:val="0"/>
                <w:numId w:val="0"/>
              </w:numPr>
              <w:spacing w:line="240" w:lineRule="auto"/>
              <w:jc w:val="center"/>
            </w:pPr>
            <w:r w:rsidRPr="009C6D70">
              <w:t>Effective on Date of Rate Filing</w:t>
            </w:r>
          </w:p>
        </w:tc>
        <w:tc>
          <w:tcPr>
            <w:tcW w:w="2394" w:type="dxa"/>
          </w:tcPr>
          <w:p w:rsidR="00A4523E" w:rsidRPr="009C6D70" w:rsidRDefault="00A4523E" w:rsidP="00D9695C">
            <w:pPr>
              <w:pStyle w:val="ListNumber"/>
              <w:numPr>
                <w:ilvl w:val="0"/>
                <w:numId w:val="0"/>
              </w:numPr>
              <w:jc w:val="center"/>
            </w:pPr>
            <w:r w:rsidRPr="009C6D70">
              <w:t>Proposed</w:t>
            </w:r>
          </w:p>
        </w:tc>
        <w:tc>
          <w:tcPr>
            <w:tcW w:w="2394" w:type="dxa"/>
          </w:tcPr>
          <w:p w:rsidR="00A4523E" w:rsidRPr="009C6D70" w:rsidRDefault="00A4523E" w:rsidP="00D9695C">
            <w:pPr>
              <w:pStyle w:val="ListNumber"/>
              <w:numPr>
                <w:ilvl w:val="0"/>
                <w:numId w:val="0"/>
              </w:numPr>
              <w:jc w:val="center"/>
            </w:pPr>
            <w:r w:rsidRPr="009C6D70">
              <w:t>As Settled</w:t>
            </w:r>
          </w:p>
        </w:tc>
      </w:tr>
      <w:tr w:rsidR="00A4523E" w:rsidRPr="009C6D70" w:rsidTr="00D9695C">
        <w:tc>
          <w:tcPr>
            <w:tcW w:w="2394" w:type="dxa"/>
          </w:tcPr>
          <w:p w:rsidR="00A4523E" w:rsidRPr="009C6D70" w:rsidRDefault="00A4523E" w:rsidP="00D9695C">
            <w:pPr>
              <w:pStyle w:val="ListNumber"/>
              <w:numPr>
                <w:ilvl w:val="0"/>
                <w:numId w:val="0"/>
              </w:numPr>
              <w:spacing w:line="240" w:lineRule="auto"/>
            </w:pPr>
            <w:r w:rsidRPr="009C6D70">
              <w:t>Residential Customer</w:t>
            </w:r>
          </w:p>
          <w:p w:rsidR="00A4523E" w:rsidRPr="009C6D70" w:rsidRDefault="00A4523E" w:rsidP="00D9695C">
            <w:pPr>
              <w:pStyle w:val="ListNumber"/>
              <w:numPr>
                <w:ilvl w:val="0"/>
                <w:numId w:val="0"/>
              </w:numPr>
              <w:spacing w:line="240" w:lineRule="auto"/>
              <w:ind w:left="360"/>
            </w:pPr>
            <w:r w:rsidRPr="009C6D70">
              <w:t>(600 kWh/mo.)</w:t>
            </w:r>
          </w:p>
        </w:tc>
        <w:tc>
          <w:tcPr>
            <w:tcW w:w="2394" w:type="dxa"/>
          </w:tcPr>
          <w:p w:rsidR="00A4523E" w:rsidRPr="009C6D70" w:rsidRDefault="00A4523E" w:rsidP="00D9695C">
            <w:pPr>
              <w:pStyle w:val="ListNumber"/>
              <w:numPr>
                <w:ilvl w:val="0"/>
                <w:numId w:val="0"/>
              </w:numPr>
              <w:jc w:val="center"/>
            </w:pPr>
            <w:r w:rsidRPr="009C6D70">
              <w:t>$82.83</w:t>
            </w:r>
          </w:p>
        </w:tc>
        <w:tc>
          <w:tcPr>
            <w:tcW w:w="2394" w:type="dxa"/>
          </w:tcPr>
          <w:p w:rsidR="00A4523E" w:rsidRPr="009C6D70" w:rsidRDefault="00A4523E" w:rsidP="00D9695C">
            <w:pPr>
              <w:pStyle w:val="ListNumber"/>
              <w:numPr>
                <w:ilvl w:val="0"/>
                <w:numId w:val="0"/>
              </w:numPr>
              <w:jc w:val="center"/>
            </w:pPr>
            <w:r w:rsidRPr="009C6D70">
              <w:t>$90.60</w:t>
            </w:r>
          </w:p>
        </w:tc>
        <w:tc>
          <w:tcPr>
            <w:tcW w:w="2394" w:type="dxa"/>
          </w:tcPr>
          <w:p w:rsidR="00A4523E" w:rsidRPr="009C6D70" w:rsidRDefault="00A4523E" w:rsidP="00D9695C">
            <w:pPr>
              <w:pStyle w:val="ListNumber"/>
              <w:numPr>
                <w:ilvl w:val="0"/>
                <w:numId w:val="0"/>
              </w:numPr>
              <w:jc w:val="center"/>
            </w:pPr>
            <w:r w:rsidRPr="009C6D70">
              <w:t>$87.10</w:t>
            </w:r>
          </w:p>
        </w:tc>
      </w:tr>
    </w:tbl>
    <w:p w:rsidR="00A4523E" w:rsidRPr="009C6D70" w:rsidRDefault="00A4523E" w:rsidP="00A4523E">
      <w:pPr>
        <w:spacing w:line="360" w:lineRule="auto"/>
      </w:pPr>
    </w:p>
    <w:p w:rsidR="00A4523E" w:rsidRPr="009C6D70" w:rsidRDefault="00A4523E" w:rsidP="00401755">
      <w:pPr>
        <w:spacing w:line="360" w:lineRule="auto"/>
      </w:pPr>
      <w:r w:rsidRPr="009C6D70">
        <w:tab/>
      </w:r>
      <w:r w:rsidRPr="009C6D70">
        <w:tab/>
        <w:t xml:space="preserve">The essential terms of the </w:t>
      </w:r>
      <w:r w:rsidR="00466707">
        <w:t>Joint</w:t>
      </w:r>
      <w:r w:rsidRPr="009C6D70">
        <w:t xml:space="preserve"> Petition, set forth in Part II.  </w:t>
      </w:r>
      <w:r w:rsidRPr="006F6660">
        <w:rPr>
          <w:i/>
        </w:rPr>
        <w:t>Settlement Provisions</w:t>
      </w:r>
      <w:r w:rsidRPr="009C6D70">
        <w:t>, Paragraphs 26 through 36, state:</w:t>
      </w:r>
    </w:p>
    <w:p w:rsidR="00A4523E" w:rsidRPr="009C6D70" w:rsidRDefault="00A4523E" w:rsidP="00401755">
      <w:pPr>
        <w:pStyle w:val="Level1"/>
        <w:numPr>
          <w:ilvl w:val="0"/>
          <w:numId w:val="0"/>
        </w:numPr>
        <w:tabs>
          <w:tab w:val="num" w:pos="1440"/>
        </w:tabs>
        <w:ind w:left="720" w:right="720"/>
        <w:contextualSpacing/>
      </w:pPr>
    </w:p>
    <w:p w:rsidR="001278D6" w:rsidRDefault="000C598F" w:rsidP="00401755">
      <w:pPr>
        <w:pStyle w:val="BodyText2"/>
        <w:spacing w:line="240" w:lineRule="auto"/>
        <w:ind w:right="720"/>
        <w:jc w:val="left"/>
      </w:pPr>
      <w:r>
        <w:tab/>
      </w:r>
    </w:p>
    <w:p w:rsidR="00A4523E" w:rsidRDefault="001278D6" w:rsidP="00401755">
      <w:pPr>
        <w:pStyle w:val="BodyText2"/>
        <w:spacing w:line="240" w:lineRule="auto"/>
        <w:ind w:right="720"/>
        <w:jc w:val="left"/>
      </w:pPr>
      <w:r>
        <w:tab/>
      </w:r>
      <w:r w:rsidR="00A4523E" w:rsidRPr="009C6D70">
        <w:t>The Joint Petitioners agree as follows:</w:t>
      </w:r>
    </w:p>
    <w:p w:rsidR="00401755" w:rsidRPr="009C6D70" w:rsidRDefault="00401755" w:rsidP="00401755">
      <w:pPr>
        <w:pStyle w:val="BodyText2"/>
        <w:spacing w:line="240" w:lineRule="auto"/>
        <w:ind w:right="720"/>
        <w:jc w:val="left"/>
      </w:pPr>
    </w:p>
    <w:p w:rsidR="00A4523E" w:rsidRPr="006F6660" w:rsidRDefault="00A4523E" w:rsidP="001278D6">
      <w:pPr>
        <w:pStyle w:val="Heading2"/>
        <w:numPr>
          <w:ilvl w:val="0"/>
          <w:numId w:val="0"/>
        </w:numPr>
        <w:spacing w:after="0"/>
        <w:ind w:left="720" w:right="1080"/>
        <w:jc w:val="left"/>
        <w:rPr>
          <w:b w:val="0"/>
          <w:szCs w:val="24"/>
        </w:rPr>
      </w:pPr>
      <w:r w:rsidRPr="009C6D70">
        <w:rPr>
          <w:szCs w:val="24"/>
        </w:rPr>
        <w:tab/>
      </w:r>
      <w:r w:rsidR="000C598F">
        <w:rPr>
          <w:szCs w:val="24"/>
        </w:rPr>
        <w:tab/>
      </w:r>
      <w:r w:rsidRPr="006F6660">
        <w:rPr>
          <w:b w:val="0"/>
          <w:szCs w:val="24"/>
        </w:rPr>
        <w:t>A.</w:t>
      </w:r>
      <w:r w:rsidRPr="006F6660">
        <w:rPr>
          <w:b w:val="0"/>
          <w:szCs w:val="24"/>
        </w:rPr>
        <w:tab/>
        <w:t>Revenue Requirement</w:t>
      </w:r>
    </w:p>
    <w:p w:rsidR="00401755" w:rsidRPr="00401755" w:rsidRDefault="00401755" w:rsidP="001278D6">
      <w:pPr>
        <w:pStyle w:val="BodyText2"/>
        <w:spacing w:line="240" w:lineRule="auto"/>
        <w:ind w:right="1080"/>
      </w:pPr>
    </w:p>
    <w:p w:rsidR="00DA729C" w:rsidRDefault="00A4523E" w:rsidP="001278D6">
      <w:pPr>
        <w:pStyle w:val="BodyText2"/>
        <w:spacing w:line="240" w:lineRule="auto"/>
        <w:ind w:left="1440" w:right="1080" w:firstLine="0"/>
        <w:contextualSpacing/>
        <w:jc w:val="left"/>
      </w:pPr>
      <w:r w:rsidRPr="009C6D70">
        <w:tab/>
        <w:t>26.</w:t>
      </w:r>
      <w:r w:rsidRPr="009C6D70">
        <w:tab/>
        <w:t>Duquesne Light will be permitted to increase rates by amounts designed to produce an increase in distribution revenues of $45.7 million annually, which includes future test year universal service costs that will be recovered under the Company’s Universal Service Charge Rider (“Rider No. 5”) and consumer education costs to be recovered through the Consumer Education Surcharge.  These rates will become effective for service rendered on and after April 21, 2011.  Specifically, the revenue requirement agreed to in this Settlement</w:t>
      </w:r>
      <w:r w:rsidR="000C598F">
        <w:t xml:space="preserve"> </w:t>
      </w:r>
    </w:p>
    <w:p w:rsidR="00DA729C" w:rsidRDefault="00DA729C">
      <w:r>
        <w:br w:type="page"/>
      </w:r>
    </w:p>
    <w:p w:rsidR="00A4523E" w:rsidRPr="009C6D70" w:rsidRDefault="00A4523E" w:rsidP="001278D6">
      <w:pPr>
        <w:pStyle w:val="BodyText2"/>
        <w:spacing w:line="240" w:lineRule="auto"/>
        <w:ind w:left="1440" w:right="1080" w:firstLine="0"/>
        <w:contextualSpacing/>
        <w:jc w:val="left"/>
      </w:pPr>
      <w:r w:rsidRPr="009C6D70">
        <w:lastRenderedPageBreak/>
        <w:t>includes a total of $21,613,815, including gross receipts tax, in Universal Service</w:t>
      </w:r>
      <w:r w:rsidR="000C598F">
        <w:t xml:space="preserve"> </w:t>
      </w:r>
      <w:r w:rsidRPr="009C6D70">
        <w:t>Costs for the future test year ending March 31, 2011 (inclusive of $2.4 million of arrearage forgiveness for CAP customers) that will be recovered through the reconcilable Universal Service Charge Rider provided for in this Settlement and $895,507 of consumer education costs that will be recovered through the Consumer Education Surcharge, as shown in Appendix “B.”</w:t>
      </w:r>
      <w:r w:rsidRPr="009C6D70">
        <w:rPr>
          <w:rStyle w:val="FootnoteReference"/>
        </w:rPr>
        <w:footnoteReference w:id="12"/>
      </w:r>
      <w:r w:rsidRPr="009C6D70">
        <w:t xml:space="preserve">  </w:t>
      </w:r>
    </w:p>
    <w:p w:rsidR="00A4523E" w:rsidRPr="009C6D70" w:rsidRDefault="00A4523E" w:rsidP="001278D6">
      <w:pPr>
        <w:pStyle w:val="ListNumber"/>
        <w:numPr>
          <w:ilvl w:val="0"/>
          <w:numId w:val="0"/>
        </w:numPr>
        <w:spacing w:line="240" w:lineRule="auto"/>
        <w:ind w:left="1440" w:right="1080"/>
        <w:contextualSpacing/>
      </w:pPr>
    </w:p>
    <w:p w:rsidR="00A4523E" w:rsidRPr="009C6D70" w:rsidRDefault="00A4523E" w:rsidP="001278D6">
      <w:pPr>
        <w:pStyle w:val="ListNumber"/>
        <w:numPr>
          <w:ilvl w:val="0"/>
          <w:numId w:val="0"/>
        </w:numPr>
        <w:spacing w:line="240" w:lineRule="auto"/>
        <w:ind w:left="1440" w:right="1080"/>
        <w:contextualSpacing/>
      </w:pPr>
      <w:r w:rsidRPr="009C6D70">
        <w:tab/>
        <w:t>27.</w:t>
      </w:r>
      <w:r w:rsidRPr="009C6D70">
        <w:tab/>
        <w:t>The Company agrees to withdraw/remove its proposed adjustment to book reserve, addition to rate base and depreciation expense characterized as an unrecovered adjustment for amortization.</w:t>
      </w:r>
    </w:p>
    <w:p w:rsidR="00A4523E" w:rsidRPr="009C6D70" w:rsidRDefault="00A4523E" w:rsidP="001278D6">
      <w:pPr>
        <w:pStyle w:val="ListNumber"/>
        <w:numPr>
          <w:ilvl w:val="0"/>
          <w:numId w:val="0"/>
        </w:numPr>
        <w:spacing w:line="240" w:lineRule="auto"/>
        <w:ind w:left="1440" w:right="1080"/>
        <w:contextualSpacing/>
      </w:pPr>
      <w:r w:rsidRPr="009C6D70">
        <w:t xml:space="preserve"> </w:t>
      </w:r>
    </w:p>
    <w:p w:rsidR="00A4523E" w:rsidRPr="006F6660" w:rsidRDefault="000C598F" w:rsidP="001278D6">
      <w:pPr>
        <w:pStyle w:val="Heading2"/>
        <w:numPr>
          <w:ilvl w:val="0"/>
          <w:numId w:val="0"/>
        </w:numPr>
        <w:ind w:left="1440" w:right="1080"/>
        <w:contextualSpacing/>
        <w:jc w:val="left"/>
        <w:rPr>
          <w:b w:val="0"/>
          <w:szCs w:val="24"/>
        </w:rPr>
      </w:pPr>
      <w:r>
        <w:rPr>
          <w:szCs w:val="24"/>
        </w:rPr>
        <w:tab/>
      </w:r>
      <w:r w:rsidR="00A4523E" w:rsidRPr="006F6660">
        <w:rPr>
          <w:b w:val="0"/>
          <w:szCs w:val="24"/>
        </w:rPr>
        <w:t>B.</w:t>
      </w:r>
      <w:r w:rsidR="00A4523E" w:rsidRPr="006F6660">
        <w:rPr>
          <w:b w:val="0"/>
          <w:szCs w:val="24"/>
        </w:rPr>
        <w:tab/>
        <w:t>Revenue Allocation and Rate Design</w:t>
      </w:r>
    </w:p>
    <w:p w:rsidR="00A4523E" w:rsidRPr="009C6D70" w:rsidRDefault="00A4523E" w:rsidP="001278D6">
      <w:pPr>
        <w:pStyle w:val="ListNumber"/>
        <w:numPr>
          <w:ilvl w:val="0"/>
          <w:numId w:val="0"/>
        </w:numPr>
        <w:spacing w:line="240" w:lineRule="auto"/>
        <w:ind w:left="1440" w:right="1080"/>
        <w:contextualSpacing/>
      </w:pPr>
      <w:r w:rsidRPr="009C6D70">
        <w:tab/>
        <w:t>28.</w:t>
      </w:r>
      <w:r w:rsidRPr="009C6D70">
        <w:tab/>
        <w:t>Under the Settlement, the Joint Petitioners agreed to eliminate the proposed rate decreases to mitigate the burden on those rate schedules subject to a rate increase.  The proposed rate increases for all other rate schedules were generally scaled back proportionally from the Company’s originally proposed rates.  The Joint Petitioners agreed to re-allocate the scaled back increases among the small and medium general service commercial and industrial rate schedules (GS, GM and GMH) to provide greater movement toward cost of service.  In addition, rates for lighting rate schedule SM were increased slightly by approximately $500,000, or 5.3%.</w:t>
      </w:r>
      <w:r w:rsidRPr="009C6D70">
        <w:rPr>
          <w:rStyle w:val="FootnoteReference"/>
        </w:rPr>
        <w:footnoteReference w:id="13"/>
      </w:r>
      <w:r w:rsidRPr="009C6D70">
        <w:t xml:space="preserve">  This agreed upon revenue allocation is for settlement purposes only and does not represent any parties’ particular position or acceptance of the Company’s class cost of service study.</w:t>
      </w:r>
    </w:p>
    <w:p w:rsidR="00A4523E" w:rsidRPr="009C6D70" w:rsidRDefault="00A4523E" w:rsidP="001278D6">
      <w:pPr>
        <w:pStyle w:val="ListNumber"/>
        <w:numPr>
          <w:ilvl w:val="0"/>
          <w:numId w:val="0"/>
        </w:numPr>
        <w:spacing w:line="240" w:lineRule="auto"/>
        <w:ind w:left="1440" w:right="1080"/>
        <w:contextualSpacing/>
      </w:pPr>
    </w:p>
    <w:p w:rsidR="00A4523E" w:rsidRPr="009C6D70" w:rsidRDefault="00A4523E" w:rsidP="001278D6">
      <w:pPr>
        <w:pStyle w:val="ListNumber"/>
        <w:numPr>
          <w:ilvl w:val="0"/>
          <w:numId w:val="0"/>
        </w:numPr>
        <w:spacing w:line="240" w:lineRule="auto"/>
        <w:ind w:left="1440" w:right="1080"/>
        <w:contextualSpacing/>
      </w:pPr>
      <w:r w:rsidRPr="009C6D70">
        <w:tab/>
        <w:t>29.</w:t>
      </w:r>
      <w:r w:rsidRPr="009C6D70">
        <w:tab/>
        <w:t>The customer charge for Rates RS, RH and RA will be the current rate of $7.00 per month, as opposed to the requested customer charge of $8.50 per month.</w:t>
      </w:r>
    </w:p>
    <w:p w:rsidR="00A4523E" w:rsidRPr="009C6D70" w:rsidRDefault="00A4523E" w:rsidP="001278D6">
      <w:pPr>
        <w:pStyle w:val="ListNumber"/>
        <w:numPr>
          <w:ilvl w:val="0"/>
          <w:numId w:val="0"/>
        </w:numPr>
        <w:spacing w:line="240" w:lineRule="auto"/>
        <w:ind w:left="1440" w:right="1080"/>
        <w:contextualSpacing/>
      </w:pPr>
    </w:p>
    <w:p w:rsidR="00A4523E" w:rsidRPr="009C6D70" w:rsidRDefault="00A4523E" w:rsidP="001278D6">
      <w:pPr>
        <w:pStyle w:val="ListNumber"/>
        <w:numPr>
          <w:ilvl w:val="0"/>
          <w:numId w:val="0"/>
        </w:numPr>
        <w:spacing w:line="240" w:lineRule="auto"/>
        <w:ind w:left="1440" w:right="1080"/>
        <w:contextualSpacing/>
      </w:pPr>
      <w:r w:rsidRPr="009C6D70">
        <w:tab/>
        <w:t>30.</w:t>
      </w:r>
      <w:r w:rsidRPr="009C6D70">
        <w:tab/>
        <w:t>The customer charge for Rate GS will be the current rate of $7.00 per month.  The customer charge for Rate GM will be $30.00 per month for customers with monthly demands less than 25 kW and $43.00 per month for those customers with monthly demands greater than or equal to 25 kW.</w:t>
      </w:r>
    </w:p>
    <w:p w:rsidR="00A4523E" w:rsidRPr="009C6D70" w:rsidRDefault="00A4523E" w:rsidP="001278D6">
      <w:pPr>
        <w:pStyle w:val="ListNumber"/>
        <w:numPr>
          <w:ilvl w:val="0"/>
          <w:numId w:val="0"/>
        </w:numPr>
        <w:spacing w:line="240" w:lineRule="auto"/>
        <w:ind w:left="1440" w:right="1080"/>
        <w:contextualSpacing/>
      </w:pPr>
    </w:p>
    <w:p w:rsidR="00964C04" w:rsidRDefault="00A4523E" w:rsidP="001278D6">
      <w:pPr>
        <w:pStyle w:val="ListNumber"/>
        <w:numPr>
          <w:ilvl w:val="0"/>
          <w:numId w:val="0"/>
        </w:numPr>
        <w:spacing w:line="240" w:lineRule="auto"/>
        <w:ind w:left="1440" w:right="1080"/>
        <w:contextualSpacing/>
      </w:pPr>
      <w:r w:rsidRPr="009C6D70">
        <w:tab/>
      </w:r>
    </w:p>
    <w:p w:rsidR="00964C04" w:rsidRDefault="00964C04">
      <w:r>
        <w:br w:type="page"/>
      </w:r>
    </w:p>
    <w:p w:rsidR="00A4523E" w:rsidRPr="009C6D70" w:rsidRDefault="00964C04" w:rsidP="001278D6">
      <w:pPr>
        <w:pStyle w:val="ListNumber"/>
        <w:numPr>
          <w:ilvl w:val="0"/>
          <w:numId w:val="0"/>
        </w:numPr>
        <w:spacing w:line="240" w:lineRule="auto"/>
        <w:ind w:left="1440" w:right="1080"/>
        <w:contextualSpacing/>
      </w:pPr>
      <w:r>
        <w:lastRenderedPageBreak/>
        <w:tab/>
      </w:r>
      <w:r w:rsidR="00A4523E" w:rsidRPr="009C6D70">
        <w:t>31.</w:t>
      </w:r>
      <w:r w:rsidR="00A4523E" w:rsidRPr="009C6D70">
        <w:tab/>
        <w:t>Current Rate L demand charges will be increased by the same percentage to achieve the base distribution revenues for that rate schedule as set forth in Appendix “B.”</w:t>
      </w:r>
    </w:p>
    <w:p w:rsidR="00A4523E" w:rsidRPr="009C6D70" w:rsidRDefault="00A4523E" w:rsidP="001278D6">
      <w:pPr>
        <w:pStyle w:val="ListNumber"/>
        <w:numPr>
          <w:ilvl w:val="0"/>
          <w:numId w:val="0"/>
        </w:numPr>
        <w:spacing w:line="240" w:lineRule="auto"/>
        <w:ind w:left="1440" w:right="1080"/>
        <w:contextualSpacing/>
      </w:pPr>
    </w:p>
    <w:p w:rsidR="00A4523E" w:rsidRPr="009C6D70" w:rsidRDefault="00A4523E" w:rsidP="001278D6">
      <w:pPr>
        <w:pStyle w:val="ListNumber"/>
        <w:numPr>
          <w:ilvl w:val="0"/>
          <w:numId w:val="0"/>
        </w:numPr>
        <w:spacing w:line="240" w:lineRule="auto"/>
        <w:ind w:left="1440" w:right="1080"/>
        <w:contextualSpacing/>
      </w:pPr>
      <w:r w:rsidRPr="009C6D70">
        <w:tab/>
        <w:t>32.</w:t>
      </w:r>
      <w:r w:rsidRPr="009C6D70">
        <w:tab/>
        <w:t>Current Rate GL demand charges will be increased by the same percentage to achieve the base distribution revenue for that rate schedule as set forth in Appendix “B.”</w:t>
      </w:r>
    </w:p>
    <w:p w:rsidR="00A4523E" w:rsidRPr="009C6D70" w:rsidRDefault="00A4523E" w:rsidP="001278D6">
      <w:pPr>
        <w:pStyle w:val="ListNumber"/>
        <w:numPr>
          <w:ilvl w:val="0"/>
          <w:numId w:val="0"/>
        </w:numPr>
        <w:spacing w:line="240" w:lineRule="auto"/>
        <w:ind w:left="1440" w:right="1080"/>
        <w:contextualSpacing/>
      </w:pPr>
    </w:p>
    <w:p w:rsidR="00A4523E" w:rsidRPr="009C6D70" w:rsidRDefault="00A4523E" w:rsidP="001278D6">
      <w:pPr>
        <w:pStyle w:val="ListNumber"/>
        <w:numPr>
          <w:ilvl w:val="0"/>
          <w:numId w:val="0"/>
        </w:numPr>
        <w:spacing w:line="240" w:lineRule="auto"/>
        <w:ind w:left="1440" w:right="1080"/>
        <w:contextualSpacing/>
      </w:pPr>
      <w:r w:rsidRPr="009C6D70">
        <w:tab/>
        <w:t>33.</w:t>
      </w:r>
      <w:r w:rsidRPr="009C6D70">
        <w:tab/>
        <w:t xml:space="preserve">Rate GLH will include a monthly customer charge of $43.00 per month.  </w:t>
      </w:r>
    </w:p>
    <w:p w:rsidR="00A4523E" w:rsidRPr="009C6D70" w:rsidRDefault="00A4523E" w:rsidP="001278D6">
      <w:pPr>
        <w:pStyle w:val="ListNumber"/>
        <w:numPr>
          <w:ilvl w:val="0"/>
          <w:numId w:val="0"/>
        </w:numPr>
        <w:spacing w:line="240" w:lineRule="auto"/>
        <w:ind w:left="1440" w:right="1080"/>
        <w:contextualSpacing/>
      </w:pPr>
    </w:p>
    <w:p w:rsidR="00A4523E" w:rsidRPr="009C6D70" w:rsidRDefault="00A4523E" w:rsidP="001278D6">
      <w:pPr>
        <w:pStyle w:val="ListNumber"/>
        <w:numPr>
          <w:ilvl w:val="0"/>
          <w:numId w:val="0"/>
        </w:numPr>
        <w:spacing w:line="240" w:lineRule="auto"/>
        <w:ind w:left="1440" w:right="1080"/>
        <w:contextualSpacing/>
      </w:pPr>
      <w:r w:rsidRPr="009C6D70">
        <w:tab/>
        <w:t>34.</w:t>
      </w:r>
      <w:r w:rsidRPr="009C6D70">
        <w:tab/>
        <w:t>The Untransformed Service Credit under Rate L will be increased by the amount of the percentage increase to Rate L distribution rates.</w:t>
      </w:r>
    </w:p>
    <w:p w:rsidR="00A4523E" w:rsidRPr="009C6D70" w:rsidRDefault="00A4523E" w:rsidP="001278D6">
      <w:pPr>
        <w:pStyle w:val="ListNumber"/>
        <w:numPr>
          <w:ilvl w:val="0"/>
          <w:numId w:val="0"/>
        </w:numPr>
        <w:spacing w:line="240" w:lineRule="auto"/>
        <w:ind w:left="1440" w:right="1080"/>
        <w:contextualSpacing/>
      </w:pPr>
    </w:p>
    <w:p w:rsidR="00A4523E" w:rsidRPr="009C6D70" w:rsidRDefault="00A4523E" w:rsidP="001278D6">
      <w:pPr>
        <w:pStyle w:val="ListNumber"/>
        <w:numPr>
          <w:ilvl w:val="0"/>
          <w:numId w:val="0"/>
        </w:numPr>
        <w:spacing w:line="240" w:lineRule="auto"/>
        <w:ind w:left="1440" w:right="1080"/>
        <w:contextualSpacing/>
      </w:pPr>
      <w:r w:rsidRPr="009C6D70">
        <w:tab/>
        <w:t>35.</w:t>
      </w:r>
      <w:r w:rsidRPr="009C6D70">
        <w:tab/>
        <w:t>All consumer education costs will be recovered through the Consumer Education Surcharge (“Rider No. 1”).  Commencing April 21, 2011, all consumer education costs will be removed from base rates.  In order to avoid customer confusion associated with multiple changes to Rider No. 1 rates, the current Rider No. 1 rates will remain in effect through May 31, 2011 pursuant to the schedule set forth in Rider No. 1.  The Company will submit its annual Consumer Education Surcharge reconciliation filing on April 1, 2011 for proposed rates effective on June 1, 2011.  Rates to become effective on June 1, 2011 will reflect the Company’s projected consumer education costs for June 1, 2011 through May 31, 2012, any net over or under collection for the prior calendar year, and removal of consumer education costs from base rates as of April 21, 2011.</w:t>
      </w:r>
    </w:p>
    <w:p w:rsidR="00A4523E" w:rsidRPr="009C6D70" w:rsidRDefault="00A4523E" w:rsidP="001278D6">
      <w:pPr>
        <w:pStyle w:val="ListNumber"/>
        <w:numPr>
          <w:ilvl w:val="0"/>
          <w:numId w:val="0"/>
        </w:numPr>
        <w:spacing w:line="240" w:lineRule="auto"/>
        <w:ind w:left="1440" w:right="1080"/>
        <w:contextualSpacing/>
      </w:pPr>
    </w:p>
    <w:p w:rsidR="00A4523E" w:rsidRDefault="00A4523E" w:rsidP="00140A3D">
      <w:pPr>
        <w:pStyle w:val="ListNumber"/>
        <w:numPr>
          <w:ilvl w:val="0"/>
          <w:numId w:val="0"/>
        </w:numPr>
        <w:spacing w:line="240" w:lineRule="auto"/>
        <w:ind w:left="1440" w:right="1080"/>
        <w:contextualSpacing/>
      </w:pPr>
      <w:r w:rsidRPr="009C6D70">
        <w:tab/>
        <w:t>36.</w:t>
      </w:r>
      <w:r w:rsidRPr="009C6D70">
        <w:tab/>
        <w:t xml:space="preserve">The Company will retain tariff Rule 4, which enables the Company to enter into special contracts with industrial and commercial customers having load of at least 100 kW to address changing business needs. </w:t>
      </w:r>
    </w:p>
    <w:p w:rsidR="00140A3D" w:rsidRDefault="00140A3D" w:rsidP="00140A3D">
      <w:pPr>
        <w:pStyle w:val="ListNumber"/>
        <w:numPr>
          <w:ilvl w:val="0"/>
          <w:numId w:val="0"/>
        </w:numPr>
        <w:spacing w:line="240" w:lineRule="auto"/>
        <w:ind w:left="1440" w:right="1080"/>
        <w:contextualSpacing/>
      </w:pPr>
    </w:p>
    <w:p w:rsidR="00140A3D" w:rsidRDefault="00140A3D" w:rsidP="00642AB1">
      <w:pPr>
        <w:pStyle w:val="ListNumber"/>
        <w:numPr>
          <w:ilvl w:val="0"/>
          <w:numId w:val="0"/>
        </w:numPr>
        <w:spacing w:line="360" w:lineRule="auto"/>
        <w:ind w:left="1440" w:right="1080" w:hanging="1440"/>
        <w:contextualSpacing/>
      </w:pPr>
      <w:r>
        <w:t>Joint Petition ¶¶26-36, pp. 7-9.</w:t>
      </w:r>
    </w:p>
    <w:p w:rsidR="00642AB1" w:rsidRPr="009C6D70" w:rsidRDefault="00642AB1" w:rsidP="00642AB1">
      <w:pPr>
        <w:pStyle w:val="ListNumber"/>
        <w:numPr>
          <w:ilvl w:val="0"/>
          <w:numId w:val="0"/>
        </w:numPr>
        <w:spacing w:line="360" w:lineRule="auto"/>
        <w:ind w:left="1440" w:right="1080" w:hanging="1440"/>
        <w:contextualSpacing/>
      </w:pPr>
    </w:p>
    <w:p w:rsidR="00A4523E" w:rsidRPr="009C6D70" w:rsidRDefault="00A4523E" w:rsidP="00642AB1">
      <w:pPr>
        <w:pStyle w:val="ListNumber"/>
        <w:numPr>
          <w:ilvl w:val="0"/>
          <w:numId w:val="0"/>
        </w:numPr>
        <w:spacing w:line="360" w:lineRule="auto"/>
      </w:pPr>
      <w:r w:rsidRPr="009C6D70">
        <w:tab/>
      </w:r>
      <w:r w:rsidR="000D763A">
        <w:tab/>
      </w:r>
      <w:r w:rsidRPr="009C6D70">
        <w:t xml:space="preserve">In Paragraphs 37 through 50, there are additional Settlement provisions under subheadings, Pensions, Universal Service, Smart Meters, </w:t>
      </w:r>
      <w:r w:rsidR="002640B5" w:rsidRPr="009C6D70">
        <w:t>Other Post-Employment Benefits</w:t>
      </w:r>
      <w:r w:rsidR="002640B5">
        <w:t xml:space="preserve"> (OPEBs)</w:t>
      </w:r>
      <w:r w:rsidRPr="009C6D70">
        <w:t xml:space="preserve"> and IRS Repair Allowances.</w:t>
      </w:r>
      <w:r w:rsidRPr="009C6D70">
        <w:rPr>
          <w:rStyle w:val="FootnoteReference"/>
        </w:rPr>
        <w:footnoteReference w:id="14"/>
      </w:r>
    </w:p>
    <w:p w:rsidR="002640B5" w:rsidRDefault="002640B5" w:rsidP="00401755">
      <w:pPr>
        <w:pStyle w:val="ListNumber"/>
        <w:numPr>
          <w:ilvl w:val="0"/>
          <w:numId w:val="0"/>
        </w:numPr>
        <w:spacing w:line="360" w:lineRule="auto"/>
      </w:pPr>
    </w:p>
    <w:p w:rsidR="002640B5" w:rsidRDefault="002640B5" w:rsidP="00401755">
      <w:pPr>
        <w:pStyle w:val="ListNumber"/>
        <w:numPr>
          <w:ilvl w:val="0"/>
          <w:numId w:val="0"/>
        </w:numPr>
        <w:spacing w:line="360" w:lineRule="auto"/>
      </w:pPr>
    </w:p>
    <w:p w:rsidR="00A4523E" w:rsidRPr="009C6D70" w:rsidRDefault="00A4523E" w:rsidP="00401755">
      <w:pPr>
        <w:pStyle w:val="ListNumber"/>
        <w:numPr>
          <w:ilvl w:val="0"/>
          <w:numId w:val="0"/>
        </w:numPr>
        <w:spacing w:line="360" w:lineRule="auto"/>
      </w:pPr>
      <w:r w:rsidRPr="009C6D70">
        <w:lastRenderedPageBreak/>
        <w:t xml:space="preserve">The Pensions subheading, among other terms, provides for the following: </w:t>
      </w:r>
    </w:p>
    <w:p w:rsidR="00A4523E" w:rsidRPr="009C6D70" w:rsidRDefault="00A4523E" w:rsidP="00401755">
      <w:pPr>
        <w:pStyle w:val="ListNumber"/>
        <w:numPr>
          <w:ilvl w:val="0"/>
          <w:numId w:val="0"/>
        </w:numPr>
        <w:spacing w:line="240" w:lineRule="auto"/>
        <w:ind w:left="1440" w:right="1080" w:firstLine="1440"/>
        <w:contextualSpacing/>
      </w:pPr>
    </w:p>
    <w:p w:rsidR="00B95C1A" w:rsidRDefault="00A4523E" w:rsidP="001278D6">
      <w:pPr>
        <w:pStyle w:val="ListNumber"/>
        <w:numPr>
          <w:ilvl w:val="0"/>
          <w:numId w:val="0"/>
        </w:numPr>
        <w:spacing w:before="120" w:line="240" w:lineRule="auto"/>
        <w:ind w:left="1440" w:right="1080"/>
        <w:contextualSpacing/>
      </w:pPr>
      <w:r w:rsidRPr="009C6D70">
        <w:t>Commencing with calendar year 2001, Duquesne Light agrees it will deposit into its pensions trust an amount equal to $55,000,000; provided, however, that contributions(s) in any year excess of the foregoing may be used on a cumulative bas</w:t>
      </w:r>
      <w:r w:rsidR="006F6660">
        <w:t>i</w:t>
      </w:r>
      <w:r w:rsidRPr="009C6D70">
        <w:t>s to satisfy further contributions obligations under this Settlement. … Duquesne Light will meet these contributions requirement unless it applies for and receives authority from the Commission to contribute a lesser amount</w:t>
      </w:r>
      <w:r w:rsidR="00B01DC8">
        <w:t>. </w:t>
      </w:r>
      <w:r w:rsidR="00140A3D">
        <w:t>…</w:t>
      </w:r>
    </w:p>
    <w:p w:rsidR="00B95C1A" w:rsidRDefault="00B95C1A" w:rsidP="001278D6">
      <w:pPr>
        <w:pStyle w:val="ListNumber"/>
        <w:numPr>
          <w:ilvl w:val="0"/>
          <w:numId w:val="0"/>
        </w:numPr>
        <w:spacing w:before="120" w:line="240" w:lineRule="auto"/>
        <w:ind w:left="1440" w:right="1080"/>
        <w:contextualSpacing/>
      </w:pPr>
    </w:p>
    <w:p w:rsidR="00B95C1A" w:rsidRPr="009C6D70" w:rsidRDefault="00A4523E" w:rsidP="00B95C1A">
      <w:pPr>
        <w:pStyle w:val="ListNumber"/>
        <w:numPr>
          <w:ilvl w:val="0"/>
          <w:numId w:val="0"/>
        </w:numPr>
        <w:spacing w:line="360" w:lineRule="auto"/>
        <w:ind w:left="1440" w:right="1080" w:hanging="1440"/>
        <w:contextualSpacing/>
      </w:pPr>
      <w:r w:rsidRPr="009C6D70">
        <w:t xml:space="preserve">   </w:t>
      </w:r>
      <w:r w:rsidR="00B95C1A">
        <w:t>Joint Petition ¶</w:t>
      </w:r>
      <w:r w:rsidR="00B01DC8">
        <w:t>37</w:t>
      </w:r>
      <w:r w:rsidR="00B95C1A">
        <w:t>, pp. 9-10.</w:t>
      </w:r>
    </w:p>
    <w:p w:rsidR="00A4523E" w:rsidRPr="009C6D70" w:rsidRDefault="00A4523E" w:rsidP="00B95C1A">
      <w:pPr>
        <w:pStyle w:val="ListNumber"/>
        <w:numPr>
          <w:ilvl w:val="0"/>
          <w:numId w:val="0"/>
        </w:numPr>
        <w:spacing w:line="360" w:lineRule="auto"/>
      </w:pPr>
    </w:p>
    <w:p w:rsidR="00A4523E" w:rsidRPr="009C6D70" w:rsidRDefault="00A4523E" w:rsidP="00B95C1A">
      <w:pPr>
        <w:pStyle w:val="ListNumber"/>
        <w:numPr>
          <w:ilvl w:val="0"/>
          <w:numId w:val="0"/>
        </w:numPr>
        <w:spacing w:line="360" w:lineRule="auto"/>
      </w:pPr>
      <w:r w:rsidRPr="009C6D70">
        <w:tab/>
      </w:r>
      <w:r w:rsidR="000D763A">
        <w:tab/>
      </w:r>
      <w:r w:rsidRPr="009C6D70">
        <w:t>The Universal Service terms, in part, state:</w:t>
      </w:r>
    </w:p>
    <w:p w:rsidR="00A4523E" w:rsidRPr="009C6D70" w:rsidRDefault="00A4523E" w:rsidP="00B95C1A">
      <w:pPr>
        <w:pStyle w:val="ListNumber"/>
        <w:numPr>
          <w:ilvl w:val="0"/>
          <w:numId w:val="0"/>
        </w:numPr>
        <w:spacing w:line="360" w:lineRule="auto"/>
      </w:pPr>
    </w:p>
    <w:p w:rsidR="00A4523E" w:rsidRPr="009C6D70" w:rsidRDefault="00A4523E" w:rsidP="00401755">
      <w:pPr>
        <w:pStyle w:val="ListNumber"/>
        <w:numPr>
          <w:ilvl w:val="0"/>
          <w:numId w:val="0"/>
        </w:numPr>
        <w:spacing w:line="240" w:lineRule="auto"/>
        <w:ind w:left="1440" w:right="1080"/>
        <w:contextualSpacing/>
      </w:pPr>
      <w:r w:rsidRPr="009C6D70">
        <w:t>Duquesne Light’s Rider 5 has been revised to provide a credit to reduce CAP customer discounts included in the Rider 5 charge to the extent that the monthly CAP enrollment level exceeds 35,700 customers.  Specifically, the recoverable CAP discounts will be reduced by the number of CAP participants in excess of 35,700 times the average CAP credit and arrearage forgiveness costs times 10.43%.  The participation level above which the offset shall be applied will be reset in each distribution rate case.</w:t>
      </w:r>
    </w:p>
    <w:p w:rsidR="00A4523E" w:rsidRPr="009C6D70" w:rsidRDefault="00A4523E" w:rsidP="00401755">
      <w:pPr>
        <w:pStyle w:val="ListNumber"/>
        <w:numPr>
          <w:ilvl w:val="0"/>
          <w:numId w:val="0"/>
        </w:numPr>
        <w:spacing w:line="240" w:lineRule="auto"/>
        <w:ind w:left="1440" w:right="1080"/>
        <w:contextualSpacing/>
      </w:pPr>
    </w:p>
    <w:p w:rsidR="00A4523E" w:rsidRPr="009C6D70" w:rsidRDefault="00A4523E" w:rsidP="00401755">
      <w:pPr>
        <w:pStyle w:val="ListNumber"/>
        <w:numPr>
          <w:ilvl w:val="0"/>
          <w:numId w:val="0"/>
        </w:numPr>
        <w:spacing w:line="240" w:lineRule="auto"/>
        <w:ind w:left="1440" w:right="1080"/>
        <w:contextualSpacing/>
      </w:pPr>
      <w:r w:rsidRPr="009C6D70">
        <w:t xml:space="preserve">Duquesne Light will implement a CAP Plus Plan, upon receipt of approval from the Commission, designed to adjust CAP customer payments to avoid an increase in the total discounts offered to all CAP customers after consideration of LIHEAP grants applied to individual CAP customers’ accounts. </w:t>
      </w:r>
      <w:r w:rsidR="005F1BB9">
        <w:t xml:space="preserve"> </w:t>
      </w:r>
      <w:r w:rsidRPr="009C6D70">
        <w:t xml:space="preserve">Duquesne will consult with the OCA, the Bureau of Consumers Services, and the OTS to discuss its proposed CAP Plus Plan and file its proposed CAP Plus Plan with the </w:t>
      </w:r>
      <w:r w:rsidR="006F6660">
        <w:t>C</w:t>
      </w:r>
      <w:r w:rsidRPr="009C6D70">
        <w:t xml:space="preserve">ommission no later than April 1, 2011.  The above stated conditions that are contained in this Paragraph will not be applicable in the event that the Department of Public Welfare changes its current policy and allows Duquesne Light to apply LIHEAP grants to CAP credits. </w:t>
      </w:r>
    </w:p>
    <w:p w:rsidR="00A4523E" w:rsidRPr="009C6D70" w:rsidRDefault="00A4523E" w:rsidP="00401755">
      <w:pPr>
        <w:pStyle w:val="ListNumber"/>
        <w:numPr>
          <w:ilvl w:val="0"/>
          <w:numId w:val="0"/>
        </w:numPr>
        <w:spacing w:line="240" w:lineRule="auto"/>
        <w:ind w:left="1440" w:right="1080"/>
        <w:contextualSpacing/>
      </w:pPr>
    </w:p>
    <w:p w:rsidR="00A4523E" w:rsidRPr="009C6D70" w:rsidRDefault="00A4523E" w:rsidP="00401755">
      <w:pPr>
        <w:pStyle w:val="ListNumber"/>
        <w:numPr>
          <w:ilvl w:val="0"/>
          <w:numId w:val="0"/>
        </w:numPr>
        <w:spacing w:line="240" w:lineRule="auto"/>
        <w:ind w:left="1440" w:right="1080"/>
        <w:contextualSpacing/>
      </w:pPr>
      <w:r w:rsidRPr="009C6D70">
        <w:t xml:space="preserve">Duquesne Light agrees to follow Commission guidelines and limit eligibility for its CAP program to customers with income at or below 150% of the Federal Poverty Level, except as provided in this paragraph, and will not extend CAP eligibility to seniors with income above 150% of the Federal Poverty Level.  Duquesne Light shall be permitted to grandfather its existing senior customers so that they will not be removed from the current benefit programs, as long as their income levels are at or below 200% of the Federal Poverty Level.     </w:t>
      </w:r>
    </w:p>
    <w:p w:rsidR="00A4523E" w:rsidRPr="009C6D70" w:rsidRDefault="00A4523E" w:rsidP="00401755">
      <w:pPr>
        <w:pStyle w:val="ListNumber"/>
        <w:numPr>
          <w:ilvl w:val="0"/>
          <w:numId w:val="0"/>
        </w:numPr>
        <w:spacing w:line="240" w:lineRule="auto"/>
        <w:ind w:left="1440" w:right="1080"/>
        <w:contextualSpacing/>
      </w:pPr>
    </w:p>
    <w:p w:rsidR="00A4523E" w:rsidRDefault="00A4523E" w:rsidP="00401755">
      <w:pPr>
        <w:pStyle w:val="ListNumber"/>
        <w:numPr>
          <w:ilvl w:val="0"/>
          <w:numId w:val="0"/>
        </w:numPr>
        <w:spacing w:line="240" w:lineRule="auto"/>
        <w:ind w:left="1440" w:right="1080"/>
        <w:contextualSpacing/>
      </w:pPr>
      <w:r w:rsidRPr="009C6D70">
        <w:t>Upon implementation of the necessary computer programming changes, Duquesne Light will ensure that CAP customers: (1) pay at least the minimum amounts specified in the Commission’s CAP policy statement, and (2) receive no more than the maximum CAP shortfall amounts specified in the Commission’s CAP policy statement, unless the customer meets exceptions set forth in the policy statement.</w:t>
      </w:r>
    </w:p>
    <w:p w:rsidR="00B95C1A" w:rsidRDefault="00B95C1A" w:rsidP="00401755">
      <w:pPr>
        <w:pStyle w:val="ListNumber"/>
        <w:numPr>
          <w:ilvl w:val="0"/>
          <w:numId w:val="0"/>
        </w:numPr>
        <w:spacing w:line="240" w:lineRule="auto"/>
        <w:ind w:left="1440" w:right="1080"/>
        <w:contextualSpacing/>
      </w:pPr>
    </w:p>
    <w:p w:rsidR="00B95C1A" w:rsidRPr="009C6D70" w:rsidRDefault="00B95C1A" w:rsidP="00540318">
      <w:pPr>
        <w:pStyle w:val="ListNumber"/>
        <w:numPr>
          <w:ilvl w:val="0"/>
          <w:numId w:val="0"/>
        </w:numPr>
        <w:spacing w:line="360" w:lineRule="auto"/>
        <w:ind w:left="1440" w:right="1080" w:hanging="1440"/>
        <w:contextualSpacing/>
      </w:pPr>
      <w:r>
        <w:t>Joint Petition ¶¶38-47, pp. 10-12.</w:t>
      </w:r>
    </w:p>
    <w:p w:rsidR="00A4523E" w:rsidRPr="009C6D70" w:rsidRDefault="00A4523E" w:rsidP="00540318">
      <w:pPr>
        <w:pStyle w:val="ListNumber"/>
        <w:numPr>
          <w:ilvl w:val="0"/>
          <w:numId w:val="0"/>
        </w:numPr>
        <w:spacing w:line="360" w:lineRule="auto"/>
      </w:pPr>
      <w:r w:rsidRPr="009C6D70">
        <w:tab/>
      </w:r>
      <w:r w:rsidRPr="009C6D70">
        <w:tab/>
      </w:r>
    </w:p>
    <w:p w:rsidR="00A4523E" w:rsidRPr="009C6D70" w:rsidRDefault="00A4523E" w:rsidP="00540318">
      <w:pPr>
        <w:pStyle w:val="ListNumber"/>
        <w:numPr>
          <w:ilvl w:val="0"/>
          <w:numId w:val="0"/>
        </w:numPr>
        <w:spacing w:line="360" w:lineRule="auto"/>
      </w:pPr>
      <w:r w:rsidRPr="009C6D70">
        <w:t xml:space="preserve"> </w:t>
      </w:r>
      <w:r w:rsidRPr="009C6D70">
        <w:tab/>
      </w:r>
      <w:r w:rsidR="000D763A">
        <w:tab/>
      </w:r>
      <w:r w:rsidRPr="009C6D70">
        <w:t xml:space="preserve">To fulfill the Commission’s smart meter surcharge requirements resulting from the proceedings in </w:t>
      </w:r>
      <w:r w:rsidRPr="009C6D70">
        <w:rPr>
          <w:i/>
        </w:rPr>
        <w:t>Petition of Duquesne Light Company for Approval of Smart Meter Technology Procurement and Installation Plan</w:t>
      </w:r>
      <w:r w:rsidRPr="009C6D70">
        <w:t xml:space="preserve">, Docket </w:t>
      </w:r>
      <w:r w:rsidR="005F1BB9">
        <w:t>N</w:t>
      </w:r>
      <w:r w:rsidRPr="009C6D70">
        <w:t>o. M-2009-2123948, and for that purpose only, the parties agreed:</w:t>
      </w:r>
    </w:p>
    <w:p w:rsidR="00A4523E" w:rsidRPr="009C6D70" w:rsidRDefault="00A4523E" w:rsidP="00401755">
      <w:pPr>
        <w:pStyle w:val="ListNumber"/>
        <w:numPr>
          <w:ilvl w:val="0"/>
          <w:numId w:val="0"/>
        </w:numPr>
        <w:spacing w:line="360" w:lineRule="auto"/>
      </w:pPr>
    </w:p>
    <w:p w:rsidR="00A4523E" w:rsidRDefault="00A4523E" w:rsidP="00401755">
      <w:pPr>
        <w:pStyle w:val="ListNumber"/>
        <w:numPr>
          <w:ilvl w:val="0"/>
          <w:numId w:val="0"/>
        </w:numPr>
        <w:spacing w:line="240" w:lineRule="auto"/>
        <w:ind w:left="1440" w:right="1080"/>
        <w:contextualSpacing/>
      </w:pPr>
      <w:r w:rsidRPr="009C6D70">
        <w:t>Duquesne Light will use a 10% return on common equity and a capital structure w</w:t>
      </w:r>
      <w:r w:rsidR="006F6660">
        <w:t>ith</w:t>
      </w:r>
      <w:r w:rsidRPr="009C6D70">
        <w:t xml:space="preserve"> no more than a 46% common equity ratio.  The 10% return on common equity and capital structure ratios are limited solely to establishing the Company’s smart meter surcharge for a three-year period following the effective date of rates in this proceeding consistent with the Commission’s Smart Meter Order at Docket No. M-2009-2123948 entered on May 11, 2010 or until the return on equity percentage and capital structure ratios are reset in the Company’s next base rate case, whichever is sooner. </w:t>
      </w:r>
      <w:r w:rsidR="005F1BB9">
        <w:t xml:space="preserve"> </w:t>
      </w:r>
      <w:r w:rsidRPr="009C6D70">
        <w:t>It is understood and agreed that this Settlement is the result of compromise and does not reflect any Party’s positions with respect to the current cost of common equity or capital structure for Duquesne Light.</w:t>
      </w:r>
    </w:p>
    <w:p w:rsidR="00540318" w:rsidRDefault="00540318" w:rsidP="00401755">
      <w:pPr>
        <w:pStyle w:val="ListNumber"/>
        <w:numPr>
          <w:ilvl w:val="0"/>
          <w:numId w:val="0"/>
        </w:numPr>
        <w:spacing w:line="240" w:lineRule="auto"/>
        <w:ind w:left="1440" w:right="1080"/>
        <w:contextualSpacing/>
      </w:pPr>
    </w:p>
    <w:p w:rsidR="00540318" w:rsidRPr="009C6D70" w:rsidRDefault="00540318" w:rsidP="00540318">
      <w:pPr>
        <w:pStyle w:val="ListNumber"/>
        <w:numPr>
          <w:ilvl w:val="0"/>
          <w:numId w:val="0"/>
        </w:numPr>
        <w:spacing w:line="360" w:lineRule="auto"/>
        <w:ind w:left="1440" w:right="1080" w:hanging="1440"/>
        <w:contextualSpacing/>
      </w:pPr>
      <w:r>
        <w:t>Joint Petition ¶48, pp. 12-13.</w:t>
      </w:r>
    </w:p>
    <w:p w:rsidR="00A4523E" w:rsidRPr="009C6D70" w:rsidRDefault="00A4523E" w:rsidP="00540318">
      <w:pPr>
        <w:pStyle w:val="ListNumber"/>
        <w:numPr>
          <w:ilvl w:val="0"/>
          <w:numId w:val="0"/>
        </w:numPr>
        <w:spacing w:line="360" w:lineRule="auto"/>
        <w:ind w:left="1440" w:right="1080"/>
      </w:pPr>
    </w:p>
    <w:p w:rsidR="00A4523E" w:rsidRPr="009C6D70" w:rsidRDefault="00A4523E" w:rsidP="002C2EE0">
      <w:pPr>
        <w:pStyle w:val="ListNumber"/>
        <w:numPr>
          <w:ilvl w:val="0"/>
          <w:numId w:val="0"/>
        </w:numPr>
        <w:spacing w:line="360" w:lineRule="auto"/>
      </w:pPr>
      <w:r w:rsidRPr="009C6D70">
        <w:tab/>
      </w:r>
      <w:r w:rsidR="000D763A">
        <w:tab/>
      </w:r>
      <w:r w:rsidRPr="009C6D70">
        <w:t xml:space="preserve">Under the </w:t>
      </w:r>
      <w:r w:rsidR="002640B5">
        <w:t>OPEBs</w:t>
      </w:r>
      <w:r w:rsidRPr="009C6D70">
        <w:t xml:space="preserve"> provisions, the parties submit, in part: </w:t>
      </w:r>
    </w:p>
    <w:p w:rsidR="00A4523E" w:rsidRPr="009C6D70" w:rsidRDefault="00A4523E" w:rsidP="002C2EE0">
      <w:pPr>
        <w:pStyle w:val="ListNumber"/>
        <w:numPr>
          <w:ilvl w:val="0"/>
          <w:numId w:val="0"/>
        </w:numPr>
        <w:spacing w:line="240" w:lineRule="auto"/>
      </w:pPr>
    </w:p>
    <w:p w:rsidR="00CA0796" w:rsidRDefault="00A4523E" w:rsidP="002C2EE0">
      <w:pPr>
        <w:pStyle w:val="ListNumber"/>
        <w:numPr>
          <w:ilvl w:val="0"/>
          <w:numId w:val="0"/>
        </w:numPr>
        <w:spacing w:line="240" w:lineRule="auto"/>
        <w:ind w:left="1440" w:right="1080"/>
        <w:contextualSpacing/>
      </w:pPr>
      <w:r w:rsidRPr="009C6D70">
        <w:t>The Company’s rate allowance for OPEBs (Other Post-Employment Benefits) is based upon the estimated SFAS</w:t>
      </w:r>
      <w:r w:rsidRPr="009C6D70">
        <w:rPr>
          <w:color w:val="000000"/>
        </w:rPr>
        <w:t xml:space="preserve"> (Statement of Financial Accounting Standards)</w:t>
      </w:r>
      <w:r w:rsidRPr="009C6D70">
        <w:t xml:space="preserve"> 106 cost for the Future Test Year of approximately $5.035 million, which reflects a two-year normalization of the expected Net Periodic Benefit Cost for 2011 and 2012.  The expense component included in rates is approximately 50% of this </w:t>
      </w:r>
    </w:p>
    <w:p w:rsidR="00CA0796" w:rsidRDefault="00CA0796">
      <w:r>
        <w:br w:type="page"/>
      </w:r>
    </w:p>
    <w:p w:rsidR="00A4523E" w:rsidRDefault="00A4523E" w:rsidP="002C2EE0">
      <w:pPr>
        <w:pStyle w:val="ListNumber"/>
        <w:numPr>
          <w:ilvl w:val="0"/>
          <w:numId w:val="0"/>
        </w:numPr>
        <w:spacing w:line="240" w:lineRule="auto"/>
        <w:ind w:left="1440" w:right="1080"/>
        <w:contextualSpacing/>
      </w:pPr>
      <w:r w:rsidRPr="009C6D70">
        <w:lastRenderedPageBreak/>
        <w:t>estimated cost ($2.5175 million).  The remaining 50% of actual SFAS 106 cost will be the amount to be capitalized on the Company’s books.</w:t>
      </w:r>
    </w:p>
    <w:p w:rsidR="00540318" w:rsidRDefault="00540318" w:rsidP="005F1BB9">
      <w:pPr>
        <w:pStyle w:val="ListNumber"/>
        <w:numPr>
          <w:ilvl w:val="0"/>
          <w:numId w:val="0"/>
        </w:numPr>
        <w:spacing w:before="120" w:line="240" w:lineRule="auto"/>
        <w:ind w:left="1440" w:right="1080"/>
        <w:contextualSpacing/>
      </w:pPr>
    </w:p>
    <w:p w:rsidR="00540318" w:rsidRPr="009C6D70" w:rsidRDefault="00540318" w:rsidP="00540318">
      <w:pPr>
        <w:pStyle w:val="ListNumber"/>
        <w:numPr>
          <w:ilvl w:val="0"/>
          <w:numId w:val="0"/>
        </w:numPr>
        <w:spacing w:line="360" w:lineRule="auto"/>
        <w:ind w:left="1440" w:right="1080" w:hanging="1440"/>
        <w:contextualSpacing/>
      </w:pPr>
      <w:r>
        <w:t>Joint Petition ¶49, p. 13.</w:t>
      </w:r>
    </w:p>
    <w:p w:rsidR="00540318" w:rsidRPr="009C6D70" w:rsidRDefault="00540318" w:rsidP="00540318">
      <w:pPr>
        <w:pStyle w:val="ListNumber"/>
        <w:numPr>
          <w:ilvl w:val="0"/>
          <w:numId w:val="0"/>
        </w:numPr>
        <w:spacing w:line="360" w:lineRule="auto"/>
        <w:ind w:left="1440" w:right="1080" w:hanging="1440"/>
        <w:contextualSpacing/>
      </w:pPr>
    </w:p>
    <w:p w:rsidR="00A4523E" w:rsidRPr="009C6D70" w:rsidRDefault="00A4523E" w:rsidP="00540318">
      <w:pPr>
        <w:pStyle w:val="ListNumber"/>
        <w:numPr>
          <w:ilvl w:val="0"/>
          <w:numId w:val="0"/>
        </w:numPr>
        <w:spacing w:line="360" w:lineRule="auto"/>
      </w:pPr>
      <w:r w:rsidRPr="009C6D70">
        <w:tab/>
      </w:r>
      <w:r w:rsidRPr="009C6D70">
        <w:tab/>
        <w:t>The parties stipulated to an IRS Repair Allowance as follows:</w:t>
      </w:r>
    </w:p>
    <w:p w:rsidR="00A4523E" w:rsidRPr="009C6D70" w:rsidRDefault="00A4523E" w:rsidP="00540318">
      <w:pPr>
        <w:pStyle w:val="ListNumber"/>
        <w:numPr>
          <w:ilvl w:val="0"/>
          <w:numId w:val="0"/>
        </w:numPr>
        <w:spacing w:line="240" w:lineRule="auto"/>
        <w:ind w:left="806"/>
        <w:contextualSpacing/>
      </w:pPr>
    </w:p>
    <w:p w:rsidR="00A4523E" w:rsidRDefault="00A4523E" w:rsidP="000D763A">
      <w:pPr>
        <w:pStyle w:val="ListNumber"/>
        <w:numPr>
          <w:ilvl w:val="0"/>
          <w:numId w:val="0"/>
        </w:numPr>
        <w:spacing w:after="120" w:line="240" w:lineRule="auto"/>
        <w:ind w:left="1440" w:right="1080"/>
        <w:contextualSpacing/>
      </w:pPr>
      <w:r w:rsidRPr="009C6D70">
        <w:t xml:space="preserve">If the Company implements changes in income tax accounting for repairs pursuant to proposed IRS regulations issued in March 2008 and Revenue Procedure 2009-39, the Company will record the “catch-up” (representing the refund for the cumulative effect of the election, also referred to as the Section 481(a) adjustment) reduction to its income tax liability in account 282 on its regulated books of account, when such catch up refund amount is received.  This will increase the ADIT (Accumulated Deferred Income Taxes) which results in a decrease in rate base.  As to the ongoing current deduction, the Company will likewise record the annual reduction in its income tax liability from adoption of changes in income tax accounting for repairs pursuant to proposed IRS regulations issued in March 2008 and Revenue Procedure 2009-39 in account 282 on its regulated books of account each year which will also result in a reduction to its rate base (by increasing its ADIT).  Finally, the Company will reflect all adjustments to the foregoing as a result of IRS adjustments in the amounts originally claimed by the Company in account 282 on its regulated books of account for reporting and ratemaking purposes as such adjustments occur. </w:t>
      </w:r>
    </w:p>
    <w:p w:rsidR="00540318" w:rsidRDefault="00540318" w:rsidP="000D763A">
      <w:pPr>
        <w:pStyle w:val="ListNumber"/>
        <w:numPr>
          <w:ilvl w:val="0"/>
          <w:numId w:val="0"/>
        </w:numPr>
        <w:spacing w:after="120" w:line="240" w:lineRule="auto"/>
        <w:ind w:left="1440" w:right="1080"/>
        <w:contextualSpacing/>
      </w:pPr>
    </w:p>
    <w:p w:rsidR="00540318" w:rsidRPr="009C6D70" w:rsidRDefault="00540318" w:rsidP="00540318">
      <w:pPr>
        <w:pStyle w:val="ListNumber"/>
        <w:numPr>
          <w:ilvl w:val="0"/>
          <w:numId w:val="0"/>
        </w:numPr>
        <w:spacing w:line="360" w:lineRule="auto"/>
        <w:ind w:left="1440" w:right="1080" w:hanging="1440"/>
        <w:contextualSpacing/>
      </w:pPr>
      <w:r>
        <w:t>Joint Petition ¶50, pp. 13-14.</w:t>
      </w:r>
    </w:p>
    <w:p w:rsidR="00540318" w:rsidRPr="009C6D70" w:rsidRDefault="00540318" w:rsidP="00540318">
      <w:pPr>
        <w:pStyle w:val="ListNumber"/>
        <w:numPr>
          <w:ilvl w:val="0"/>
          <w:numId w:val="0"/>
        </w:numPr>
        <w:spacing w:line="360" w:lineRule="auto"/>
        <w:ind w:left="1440" w:right="1080" w:hanging="1440"/>
        <w:contextualSpacing/>
      </w:pPr>
    </w:p>
    <w:p w:rsidR="00A4523E" w:rsidRPr="009C6D70" w:rsidRDefault="00A4523E" w:rsidP="00540318">
      <w:pPr>
        <w:pStyle w:val="ListNumber"/>
        <w:numPr>
          <w:ilvl w:val="0"/>
          <w:numId w:val="0"/>
        </w:numPr>
        <w:spacing w:line="360" w:lineRule="auto"/>
      </w:pPr>
      <w:r w:rsidRPr="009C6D70">
        <w:tab/>
      </w:r>
      <w:r w:rsidRPr="009C6D70">
        <w:tab/>
        <w:t xml:space="preserve">The Joint Petitioners maintain the Settlement resulted “…after extensive investigation of Duquesne Light’s filing, including extensive informal and formal discovery and </w:t>
      </w:r>
    </w:p>
    <w:p w:rsidR="00A4523E" w:rsidRPr="009C6D70" w:rsidRDefault="00A4523E" w:rsidP="00E30D11">
      <w:pPr>
        <w:pStyle w:val="ListNumber"/>
        <w:numPr>
          <w:ilvl w:val="0"/>
          <w:numId w:val="0"/>
        </w:numPr>
        <w:spacing w:line="360" w:lineRule="auto"/>
      </w:pPr>
      <w:proofErr w:type="gramStart"/>
      <w:r w:rsidRPr="009C6D70">
        <w:t>the</w:t>
      </w:r>
      <w:proofErr w:type="gramEnd"/>
      <w:r w:rsidRPr="009C6D70">
        <w:t xml:space="preserve"> filing of direct, rebuttal and </w:t>
      </w:r>
      <w:proofErr w:type="spellStart"/>
      <w:r w:rsidRPr="009C6D70">
        <w:t>surrebuttal</w:t>
      </w:r>
      <w:proofErr w:type="spellEnd"/>
      <w:r w:rsidRPr="009C6D70">
        <w:t xml:space="preserve"> testimony….”</w:t>
      </w:r>
      <w:r w:rsidR="007F7857">
        <w:t xml:space="preserve">  Joint Petition ¶52, p. 14. </w:t>
      </w:r>
      <w:r w:rsidRPr="009C6D70">
        <w:t xml:space="preserve">  The Settlement is in the public interest, they contend</w:t>
      </w:r>
      <w:r w:rsidR="007F7857">
        <w:t>, for the following reasons</w:t>
      </w:r>
      <w:r w:rsidRPr="009C6D70">
        <w:t xml:space="preserve">: </w:t>
      </w:r>
      <w:r w:rsidR="007F7857">
        <w:t xml:space="preserve"> </w:t>
      </w:r>
      <w:r w:rsidRPr="009C6D70">
        <w:t>a) the necessity of additional administrative and potential appellate proceedings at a substantial cost to the Joint Petitioners and the Company’s customers will be avoided; and b) the proposed rates will allocate</w:t>
      </w:r>
      <w:r w:rsidR="007F7857">
        <w:t xml:space="preserve"> the agreed upon </w:t>
      </w:r>
      <w:r w:rsidRPr="009C6D70">
        <w:t>revenue increase to each customer class in a fashion that is reasonable based upon the rate structure and cost of service positions expressed in the testimony and exhibits of the various settling parties.</w:t>
      </w:r>
      <w:r w:rsidR="007F7857">
        <w:t xml:space="preserve">  Joint Petition ¶¶53-55, p. 15. </w:t>
      </w:r>
      <w:r w:rsidR="007F7857" w:rsidRPr="009C6D70">
        <w:t xml:space="preserve">  </w:t>
      </w:r>
      <w:r w:rsidRPr="009C6D70">
        <w:t xml:space="preserve">  </w:t>
      </w:r>
    </w:p>
    <w:p w:rsidR="00A4523E" w:rsidRPr="009C6D70" w:rsidRDefault="00A4523E" w:rsidP="00401755">
      <w:pPr>
        <w:pStyle w:val="ListNumber"/>
        <w:numPr>
          <w:ilvl w:val="0"/>
          <w:numId w:val="0"/>
        </w:numPr>
        <w:spacing w:line="360" w:lineRule="auto"/>
      </w:pPr>
    </w:p>
    <w:p w:rsidR="004B77E2" w:rsidRPr="009C6D70" w:rsidRDefault="00A4523E" w:rsidP="00401755">
      <w:pPr>
        <w:pStyle w:val="ListNumber"/>
        <w:numPr>
          <w:ilvl w:val="0"/>
          <w:numId w:val="0"/>
        </w:numPr>
        <w:spacing w:line="360" w:lineRule="auto"/>
      </w:pPr>
      <w:r w:rsidRPr="009C6D70">
        <w:lastRenderedPageBreak/>
        <w:tab/>
      </w:r>
      <w:r w:rsidRPr="009C6D70">
        <w:tab/>
        <w:t xml:space="preserve">The Settlement is conditioned upon Commission approval together with additional provisions, which are not reiterated here. </w:t>
      </w:r>
      <w:r w:rsidR="00E30D11">
        <w:t xml:space="preserve"> </w:t>
      </w:r>
      <w:r w:rsidRPr="009C6D70">
        <w:t xml:space="preserve">See </w:t>
      </w:r>
      <w:r w:rsidR="009D440B">
        <w:t>Joint</w:t>
      </w:r>
      <w:r w:rsidRPr="009C6D70">
        <w:t xml:space="preserve"> Petition</w:t>
      </w:r>
      <w:r w:rsidR="009D440B">
        <w:t xml:space="preserve"> ¶</w:t>
      </w:r>
      <w:r w:rsidR="005C02C1">
        <w:t>¶</w:t>
      </w:r>
      <w:r w:rsidRPr="009C6D70">
        <w:t>56</w:t>
      </w:r>
      <w:r w:rsidR="005C02C1">
        <w:t>-</w:t>
      </w:r>
      <w:r w:rsidRPr="009C6D70">
        <w:t>62.  The Joint Petitioners conclude and respectfully request the ALJs and Commission approve the proposed Settlement, without modification; the associated complaints be mark closed; and the entry of an Order terminating the proceedings and authorizing Duquesne to file the tariff attached as Appendix A to become effective for service rendered on and after April 21, 2011.</w:t>
      </w:r>
      <w:r w:rsidRPr="009C6D70">
        <w:rPr>
          <w:rStyle w:val="FootnoteReference"/>
        </w:rPr>
        <w:footnoteReference w:id="15"/>
      </w:r>
      <w:r w:rsidR="00F16DB4" w:rsidRPr="009C6D70">
        <w:tab/>
      </w:r>
      <w:r w:rsidR="00F16DB4" w:rsidRPr="009C6D70">
        <w:tab/>
      </w:r>
    </w:p>
    <w:p w:rsidR="004B77E2" w:rsidRPr="009C6D70" w:rsidRDefault="004B77E2" w:rsidP="00401755">
      <w:pPr>
        <w:spacing w:line="360" w:lineRule="auto"/>
      </w:pPr>
    </w:p>
    <w:p w:rsidR="004B77E2" w:rsidRPr="009C6D70" w:rsidRDefault="00307B85" w:rsidP="000D763A">
      <w:pPr>
        <w:spacing w:line="360" w:lineRule="auto"/>
        <w:jc w:val="center"/>
      </w:pPr>
      <w:r w:rsidRPr="009C6D70">
        <w:t>IV.</w:t>
      </w:r>
      <w:r w:rsidRPr="009C6D70">
        <w:tab/>
      </w:r>
      <w:r w:rsidR="000D3CB5" w:rsidRPr="009C6D70">
        <w:rPr>
          <w:u w:val="single"/>
        </w:rPr>
        <w:t>DISCUSSION</w:t>
      </w:r>
    </w:p>
    <w:p w:rsidR="000D3CB5" w:rsidRPr="009C6D70" w:rsidRDefault="000D3CB5" w:rsidP="00401755">
      <w:pPr>
        <w:spacing w:line="360" w:lineRule="auto"/>
      </w:pPr>
    </w:p>
    <w:p w:rsidR="00272171" w:rsidRPr="009C6D70" w:rsidRDefault="00272171" w:rsidP="00272171">
      <w:pPr>
        <w:spacing w:line="360" w:lineRule="auto"/>
        <w:ind w:firstLine="1440"/>
      </w:pPr>
      <w:r w:rsidRPr="009C6D70">
        <w:t xml:space="preserve">The Commission encourages parties in contested on-the-record proceedings to settle cases.  </w:t>
      </w:r>
      <w:r w:rsidRPr="009C6D70">
        <w:rPr>
          <w:i/>
        </w:rPr>
        <w:t>See</w:t>
      </w:r>
      <w:r w:rsidRPr="009C6D70">
        <w:t>, 52 Pa. Code §5.231.  Settlements eliminate the time, effort and expense of litigating a matter to its ultimate conclusion, which may entail review of the Commission’s decision by the appellate courts of Pennsylvania.  Such savings benefit not only the individual parties, but also the Commission and all ratepayers of a utility, who otherwise may have to bear the financial burden such litigation necessarily entails.</w:t>
      </w:r>
    </w:p>
    <w:p w:rsidR="00272171" w:rsidRPr="009C6D70" w:rsidRDefault="00272171" w:rsidP="00272171">
      <w:pPr>
        <w:spacing w:line="360" w:lineRule="auto"/>
      </w:pPr>
    </w:p>
    <w:p w:rsidR="00964C04" w:rsidRDefault="00964C04" w:rsidP="00272171">
      <w:pPr>
        <w:pStyle w:val="ListNumber"/>
        <w:numPr>
          <w:ilvl w:val="0"/>
          <w:numId w:val="0"/>
        </w:numPr>
        <w:spacing w:line="360" w:lineRule="auto"/>
        <w:ind w:firstLine="720"/>
      </w:pPr>
      <w:r>
        <w:tab/>
      </w:r>
      <w:r w:rsidR="00272171" w:rsidRPr="009C6D70">
        <w:t xml:space="preserve">By definition, a “settlement” reflects a compromise of the parties’ positions, which arguably fosters and promotes the public interest.  When parties in a proceeding reach a settlement, the principal issue for Commission consideration is whether the agreement reached suits the public interest.  </w:t>
      </w:r>
      <w:r w:rsidR="00272171" w:rsidRPr="00E30D11">
        <w:rPr>
          <w:i/>
        </w:rPr>
        <w:t>Pa. P.U.C. v. CS Water and Sewer Associates</w:t>
      </w:r>
      <w:r w:rsidR="00272171" w:rsidRPr="009C6D70">
        <w:t xml:space="preserve">, 74 Pa. P.U.C. 767, 771 (1991).  In their supporting statements, </w:t>
      </w:r>
      <w:r w:rsidR="006412BB" w:rsidRPr="009C6D70">
        <w:t xml:space="preserve">Duquesne, </w:t>
      </w:r>
      <w:r w:rsidR="00272171" w:rsidRPr="009C6D70">
        <w:t>the OTS, the OCA, the OSBA</w:t>
      </w:r>
      <w:r w:rsidR="006412BB" w:rsidRPr="009C6D70">
        <w:t xml:space="preserve">, DII and NRG </w:t>
      </w:r>
      <w:r w:rsidR="00272171" w:rsidRPr="009C6D70">
        <w:t>conclude, after extensive discovery, the filing of testimony</w:t>
      </w:r>
      <w:r w:rsidR="004C2586">
        <w:t>,</w:t>
      </w:r>
      <w:r w:rsidR="00272171" w:rsidRPr="009C6D70">
        <w:t xml:space="preserve"> and discussion, that this Settlement resolves all contested issues in this case</w:t>
      </w:r>
      <w:r w:rsidR="004C2586">
        <w:t>;</w:t>
      </w:r>
      <w:r w:rsidR="00272171" w:rsidRPr="009C6D70">
        <w:t xml:space="preserve"> it fairly balances the interests of </w:t>
      </w:r>
      <w:r w:rsidR="006412BB" w:rsidRPr="009C6D70">
        <w:t xml:space="preserve">Duquesne </w:t>
      </w:r>
      <w:r w:rsidR="00272171" w:rsidRPr="009C6D70">
        <w:t>and its ratepayers</w:t>
      </w:r>
      <w:r w:rsidR="004C2586">
        <w:t>;</w:t>
      </w:r>
      <w:r w:rsidR="00272171" w:rsidRPr="009C6D70">
        <w:t xml:space="preserve"> it is in the public interest and</w:t>
      </w:r>
      <w:r w:rsidR="00B93583">
        <w:t xml:space="preserve">; </w:t>
      </w:r>
      <w:r w:rsidR="00272171" w:rsidRPr="009C6D70">
        <w:t>it should be approved.  The Joint Petitioners declare this Settlement is in the public interest, because acceptance of this Settlement will avoid the necessity of further administrative and potential appellate proceedings at what would have been a substantial cost to the Joint Petitioners (</w:t>
      </w:r>
      <w:r w:rsidR="005500F1" w:rsidRPr="009C6D70">
        <w:t>Joint Petition ¶53, p. 15</w:t>
      </w:r>
      <w:r w:rsidR="00272171" w:rsidRPr="009C6D70">
        <w:t xml:space="preserve">).  The Joint Petitioners also </w:t>
      </w:r>
    </w:p>
    <w:p w:rsidR="00964C04" w:rsidRDefault="00964C04">
      <w:r>
        <w:br w:type="page"/>
      </w:r>
    </w:p>
    <w:p w:rsidR="00272171" w:rsidRPr="009C6D70" w:rsidRDefault="00272171" w:rsidP="00964C04">
      <w:pPr>
        <w:pStyle w:val="ListNumber"/>
        <w:numPr>
          <w:ilvl w:val="0"/>
          <w:numId w:val="0"/>
        </w:numPr>
        <w:spacing w:line="360" w:lineRule="auto"/>
      </w:pPr>
      <w:proofErr w:type="gramStart"/>
      <w:r w:rsidRPr="009C6D70">
        <w:lastRenderedPageBreak/>
        <w:t>declare</w:t>
      </w:r>
      <w:proofErr w:type="gramEnd"/>
      <w:r w:rsidRPr="009C6D70">
        <w:t xml:space="preserve"> this Settlement is in the public interest, because the rates reflected in this Settlement will allocate the agreed-upon revenue requirement to each customer class in a manner that is reasonable in light of the rate structure and cost of service positions advanced in the testimony and exhibits of the vario</w:t>
      </w:r>
      <w:r w:rsidR="005500F1" w:rsidRPr="009C6D70">
        <w:t>us parties (Joint Petition ¶54, p. 15</w:t>
      </w:r>
      <w:r w:rsidRPr="009C6D70">
        <w:t xml:space="preserve">). </w:t>
      </w:r>
    </w:p>
    <w:p w:rsidR="00272171" w:rsidRPr="009C6D70" w:rsidRDefault="00272171" w:rsidP="00272171">
      <w:pPr>
        <w:pStyle w:val="ListNumber"/>
        <w:numPr>
          <w:ilvl w:val="0"/>
          <w:numId w:val="0"/>
        </w:numPr>
        <w:spacing w:line="360" w:lineRule="auto"/>
      </w:pPr>
    </w:p>
    <w:p w:rsidR="00272171" w:rsidRPr="009C6D70" w:rsidRDefault="00272171" w:rsidP="00272171">
      <w:pPr>
        <w:pStyle w:val="ListNumber"/>
        <w:numPr>
          <w:ilvl w:val="0"/>
          <w:numId w:val="0"/>
        </w:numPr>
        <w:spacing w:line="360" w:lineRule="auto"/>
      </w:pPr>
      <w:r w:rsidRPr="009C6D70">
        <w:t>A.</w:t>
      </w:r>
      <w:r w:rsidRPr="009C6D70">
        <w:tab/>
      </w:r>
      <w:r w:rsidR="001912D9" w:rsidRPr="009C6D70">
        <w:rPr>
          <w:u w:val="single"/>
        </w:rPr>
        <w:t>Duquesne</w:t>
      </w:r>
      <w:r w:rsidRPr="009C6D70">
        <w:rPr>
          <w:u w:val="single"/>
        </w:rPr>
        <w:t>’s Position</w:t>
      </w:r>
    </w:p>
    <w:p w:rsidR="00272171" w:rsidRPr="009C6D70" w:rsidRDefault="00272171" w:rsidP="00272171">
      <w:pPr>
        <w:pStyle w:val="ListNumber"/>
        <w:numPr>
          <w:ilvl w:val="0"/>
          <w:numId w:val="0"/>
        </w:numPr>
        <w:spacing w:line="360" w:lineRule="auto"/>
      </w:pPr>
    </w:p>
    <w:p w:rsidR="001912D9" w:rsidRPr="009C6D70" w:rsidRDefault="00272171" w:rsidP="001912D9">
      <w:pPr>
        <w:pStyle w:val="BodyText2"/>
        <w:spacing w:line="360" w:lineRule="auto"/>
        <w:jc w:val="left"/>
      </w:pPr>
      <w:r w:rsidRPr="009C6D70">
        <w:tab/>
      </w:r>
      <w:r w:rsidR="001912D9" w:rsidRPr="009C6D70">
        <w:t>Duquesne believes the Settlement achieved in this proceeding is in the best interests of the Company, its customers and the parties.</w:t>
      </w:r>
      <w:r w:rsidR="004621F5" w:rsidRPr="009C6D70">
        <w:t xml:space="preserve">  </w:t>
      </w:r>
      <w:r w:rsidR="001912D9" w:rsidRPr="009C6D70">
        <w:t xml:space="preserve">Initially, </w:t>
      </w:r>
      <w:r w:rsidR="004621F5" w:rsidRPr="009C6D70">
        <w:t>Duquesne asserts</w:t>
      </w:r>
      <w:r w:rsidR="000E111C" w:rsidRPr="009C6D70">
        <w:t xml:space="preserve"> that</w:t>
      </w:r>
      <w:r w:rsidR="004621F5" w:rsidRPr="009C6D70">
        <w:t xml:space="preserve"> </w:t>
      </w:r>
      <w:r w:rsidR="001912D9" w:rsidRPr="009C6D70">
        <w:t xml:space="preserve">the complete Settlement among all active parties in this major electric rate proceeding provides strong evidence that the Settlement is reasonable and in the public interest, given the diverse interests of these parties and the active role </w:t>
      </w:r>
      <w:r w:rsidR="004621F5" w:rsidRPr="009C6D70">
        <w:t xml:space="preserve">each played </w:t>
      </w:r>
      <w:r w:rsidR="001912D9" w:rsidRPr="009C6D70">
        <w:t>in this proceeding.</w:t>
      </w:r>
      <w:r w:rsidR="004621F5" w:rsidRPr="009C6D70">
        <w:t xml:space="preserve">  </w:t>
      </w:r>
      <w:r w:rsidR="00474D92" w:rsidRPr="009C6D70">
        <w:t xml:space="preserve">The Settlement reflects a carefully balanced compromise of the interests of all of the Joint Petitioners, according to Duquesne.  Duquesne </w:t>
      </w:r>
      <w:r w:rsidR="00EB1779" w:rsidRPr="009C6D70">
        <w:t>argues that, f</w:t>
      </w:r>
      <w:r w:rsidR="00474D92" w:rsidRPr="009C6D70">
        <w:t xml:space="preserve">or these reasons and the reasons set forth </w:t>
      </w:r>
      <w:r w:rsidR="00EB1779" w:rsidRPr="009C6D70">
        <w:t>in its Statement in Support</w:t>
      </w:r>
      <w:r w:rsidR="00474D92" w:rsidRPr="009C6D70">
        <w:t>, the Settlement is just and reasonable and should be approved.  D</w:t>
      </w:r>
      <w:r w:rsidR="000E111C" w:rsidRPr="009C6D70">
        <w:t>uquesne St. in Support</w:t>
      </w:r>
      <w:r w:rsidR="004266A4" w:rsidRPr="009C6D70">
        <w:t xml:space="preserve">, </w:t>
      </w:r>
      <w:r w:rsidR="000E111C" w:rsidRPr="009C6D70">
        <w:t>p</w:t>
      </w:r>
      <w:r w:rsidR="00EB1779" w:rsidRPr="009C6D70">
        <w:t>p</w:t>
      </w:r>
      <w:r w:rsidR="000E111C" w:rsidRPr="009C6D70">
        <w:t>. 2</w:t>
      </w:r>
      <w:r w:rsidR="00EB1779" w:rsidRPr="009C6D70">
        <w:t>-3</w:t>
      </w:r>
      <w:r w:rsidR="000E111C" w:rsidRPr="009C6D70">
        <w:t xml:space="preserve">.  </w:t>
      </w:r>
    </w:p>
    <w:p w:rsidR="004621F5" w:rsidRPr="009C6D70" w:rsidRDefault="004621F5" w:rsidP="001912D9">
      <w:pPr>
        <w:pStyle w:val="BodyText2"/>
        <w:spacing w:line="360" w:lineRule="auto"/>
        <w:jc w:val="left"/>
      </w:pPr>
    </w:p>
    <w:p w:rsidR="001912D9" w:rsidRPr="009C6D70" w:rsidRDefault="00964C04" w:rsidP="001912D9">
      <w:pPr>
        <w:pStyle w:val="BodyText2"/>
        <w:spacing w:line="360" w:lineRule="auto"/>
        <w:jc w:val="left"/>
      </w:pPr>
      <w:r>
        <w:tab/>
      </w:r>
      <w:r w:rsidR="001912D9" w:rsidRPr="009C6D70">
        <w:t xml:space="preserve">Moreover, </w:t>
      </w:r>
      <w:r w:rsidR="00D66805" w:rsidRPr="009C6D70">
        <w:t xml:space="preserve">according to Duquesne, </w:t>
      </w:r>
      <w:r w:rsidR="001912D9" w:rsidRPr="009C6D70">
        <w:t>the Settlement was achieved after a comprehensive investigation of Duquesne</w:t>
      </w:r>
      <w:r w:rsidR="00D66805" w:rsidRPr="009C6D70">
        <w:t>’</w:t>
      </w:r>
      <w:r w:rsidR="001912D9" w:rsidRPr="009C6D70">
        <w:t xml:space="preserve">s operations and finances.  In addition to informal discovery, Duquesne </w:t>
      </w:r>
      <w:r w:rsidR="00CF512C" w:rsidRPr="009C6D70">
        <w:t xml:space="preserve">claims it </w:t>
      </w:r>
      <w:r w:rsidR="001912D9" w:rsidRPr="009C6D70">
        <w:t xml:space="preserve">responded to more than 435 formal discovery requests, many of which had multiple subparts.  </w:t>
      </w:r>
      <w:r w:rsidR="00474D92" w:rsidRPr="009C6D70">
        <w:t>Duquesne recounts that the p</w:t>
      </w:r>
      <w:r w:rsidR="001912D9" w:rsidRPr="009C6D70">
        <w:t xml:space="preserve">arties filed five rounds of testimony, including the Company’s direct testimony, </w:t>
      </w:r>
      <w:r w:rsidR="00116EA8">
        <w:t xml:space="preserve">the </w:t>
      </w:r>
      <w:r w:rsidR="001912D9" w:rsidRPr="009C6D70">
        <w:t>Company’s supplemental testimony to respond further to Commission-identified matters, other parties’ direct testimony, rebuttal testimony and surrebuttal testimony</w:t>
      </w:r>
      <w:r w:rsidR="00474D92" w:rsidRPr="009C6D70">
        <w:t xml:space="preserve"> in accordance with the litigation schedule established </w:t>
      </w:r>
      <w:r w:rsidR="00DE6E83" w:rsidRPr="009C6D70">
        <w:t xml:space="preserve">in the Prehearing Order </w:t>
      </w:r>
      <w:r w:rsidR="00116EA8">
        <w:t>(</w:t>
      </w:r>
      <w:r w:rsidR="00DE6E83" w:rsidRPr="009C6D70">
        <w:t xml:space="preserve">later </w:t>
      </w:r>
      <w:r w:rsidR="00474D92" w:rsidRPr="009C6D70">
        <w:t>modified</w:t>
      </w:r>
      <w:r w:rsidR="00DE6E83" w:rsidRPr="009C6D70">
        <w:t xml:space="preserve"> to include the supplemental testimony</w:t>
      </w:r>
      <w:r w:rsidR="00116EA8">
        <w:t>)</w:t>
      </w:r>
      <w:r w:rsidR="00474D92" w:rsidRPr="009C6D70">
        <w:t>.</w:t>
      </w:r>
      <w:r w:rsidR="001912D9" w:rsidRPr="009C6D70">
        <w:t xml:space="preserve">  Moreover, </w:t>
      </w:r>
      <w:r w:rsidR="00474D92" w:rsidRPr="009C6D70">
        <w:t>Duquesne further asserts</w:t>
      </w:r>
      <w:r w:rsidR="00DB7DBD" w:rsidRPr="009C6D70">
        <w:t xml:space="preserve"> that</w:t>
      </w:r>
      <w:r w:rsidR="00474D92" w:rsidRPr="009C6D70">
        <w:t xml:space="preserve"> </w:t>
      </w:r>
      <w:r w:rsidR="001912D9" w:rsidRPr="009C6D70">
        <w:t>the parties participated in numerous settlement discussions and formal negotiations which ultimately led to the Settlement.</w:t>
      </w:r>
      <w:r w:rsidR="004266A4" w:rsidRPr="009C6D70">
        <w:t xml:space="preserve">  Duquesne St. in Support, p. 2.    </w:t>
      </w:r>
    </w:p>
    <w:p w:rsidR="00DB7DBD" w:rsidRPr="009C6D70" w:rsidRDefault="00DB7DBD" w:rsidP="001912D9">
      <w:pPr>
        <w:pStyle w:val="BodyText2"/>
        <w:spacing w:line="360" w:lineRule="auto"/>
        <w:jc w:val="left"/>
      </w:pPr>
    </w:p>
    <w:p w:rsidR="00A11885" w:rsidRDefault="00964C04" w:rsidP="001912D9">
      <w:pPr>
        <w:pStyle w:val="BodyText2"/>
        <w:spacing w:line="360" w:lineRule="auto"/>
        <w:jc w:val="left"/>
      </w:pPr>
      <w:r>
        <w:tab/>
      </w:r>
      <w:r w:rsidR="001912D9" w:rsidRPr="009C6D70">
        <w:t xml:space="preserve">Finally, </w:t>
      </w:r>
      <w:r w:rsidR="00DB7DBD" w:rsidRPr="009C6D70">
        <w:t xml:space="preserve">Duquesne claims </w:t>
      </w:r>
      <w:r w:rsidR="001912D9" w:rsidRPr="009C6D70">
        <w:t xml:space="preserve">the parties in this proceeding, and their counsel, have considerable experience in rate proceedings.  </w:t>
      </w:r>
      <w:r w:rsidR="00DB7DBD" w:rsidRPr="009C6D70">
        <w:t>According to Duquesne, t</w:t>
      </w:r>
      <w:r w:rsidR="001912D9" w:rsidRPr="009C6D70">
        <w:t xml:space="preserve">heir knowledge, </w:t>
      </w:r>
    </w:p>
    <w:p w:rsidR="00A11885" w:rsidRDefault="00A11885">
      <w:r>
        <w:br w:type="page"/>
      </w:r>
    </w:p>
    <w:p w:rsidR="001912D9" w:rsidRPr="009C6D70" w:rsidRDefault="001912D9" w:rsidP="00A11885">
      <w:pPr>
        <w:pStyle w:val="BodyText2"/>
        <w:spacing w:line="360" w:lineRule="auto"/>
        <w:ind w:firstLine="0"/>
        <w:jc w:val="left"/>
      </w:pPr>
      <w:proofErr w:type="gramStart"/>
      <w:r w:rsidRPr="009C6D70">
        <w:lastRenderedPageBreak/>
        <w:t>experience</w:t>
      </w:r>
      <w:proofErr w:type="gramEnd"/>
      <w:r w:rsidRPr="009C6D70">
        <w:t xml:space="preserve"> and ability to evaluate the strengths and weaknesses of their litigation positions provided a strong base upon which to build a consensus in this proceeding for a settlement of all issues.</w:t>
      </w:r>
      <w:r w:rsidR="00873E3A" w:rsidRPr="009C6D70">
        <w:t xml:space="preserve">  Duquesne St. in Support, p. 2.    </w:t>
      </w:r>
    </w:p>
    <w:p w:rsidR="00DB7DBD" w:rsidRPr="009C6D70" w:rsidRDefault="00DB7DBD" w:rsidP="001912D9">
      <w:pPr>
        <w:pStyle w:val="BodyText2"/>
        <w:spacing w:line="360" w:lineRule="auto"/>
        <w:jc w:val="left"/>
      </w:pPr>
    </w:p>
    <w:p w:rsidR="00DB7DBD" w:rsidRPr="009C6D70" w:rsidRDefault="00C8389C" w:rsidP="00930D93">
      <w:pPr>
        <w:pStyle w:val="BodyText2"/>
        <w:numPr>
          <w:ilvl w:val="0"/>
          <w:numId w:val="22"/>
        </w:numPr>
        <w:tabs>
          <w:tab w:val="clear" w:pos="2160"/>
        </w:tabs>
        <w:spacing w:line="360" w:lineRule="auto"/>
        <w:ind w:left="1440"/>
        <w:jc w:val="left"/>
        <w:rPr>
          <w:u w:val="single"/>
        </w:rPr>
      </w:pPr>
      <w:r w:rsidRPr="009C6D70">
        <w:rPr>
          <w:u w:val="single"/>
        </w:rPr>
        <w:t>Revenue Requirement</w:t>
      </w:r>
    </w:p>
    <w:p w:rsidR="00C8389C" w:rsidRPr="009C6D70" w:rsidRDefault="00C8389C" w:rsidP="00C8389C">
      <w:pPr>
        <w:pStyle w:val="BodyText2"/>
        <w:spacing w:line="360" w:lineRule="auto"/>
        <w:jc w:val="left"/>
      </w:pPr>
    </w:p>
    <w:p w:rsidR="004F1873" w:rsidRPr="009C6D70" w:rsidRDefault="00A11885" w:rsidP="004F1873">
      <w:pPr>
        <w:pStyle w:val="BodyText2"/>
        <w:spacing w:line="360" w:lineRule="auto"/>
        <w:jc w:val="left"/>
      </w:pPr>
      <w:r>
        <w:tab/>
      </w:r>
      <w:r w:rsidR="00507DE5" w:rsidRPr="009C6D70">
        <w:t>T</w:t>
      </w:r>
      <w:r w:rsidR="004F1873" w:rsidRPr="009C6D70">
        <w:t>he Settlement provides for a distribution revenue increase of $45.7 million which includes future test year universal service costs that will be recovered through the implementation of the Company’s proposed Universal Service Charge (Rider No. 5) and consumer education costs to be recovered through the Consumer Education Surcharge (Rider No. 1).</w:t>
      </w:r>
      <w:r w:rsidR="004F1873" w:rsidRPr="009C6D70">
        <w:rPr>
          <w:rStyle w:val="FootnoteReference"/>
        </w:rPr>
        <w:footnoteReference w:id="16"/>
      </w:r>
      <w:r w:rsidR="004F1873" w:rsidRPr="009C6D70">
        <w:t xml:space="preserve">  </w:t>
      </w:r>
      <w:r w:rsidR="00507DE5" w:rsidRPr="009C6D70">
        <w:t>Duquesne points out that t</w:t>
      </w:r>
      <w:r w:rsidR="004F1873" w:rsidRPr="009C6D70">
        <w:t xml:space="preserve">he distribution revenue increase of $45.7 million </w:t>
      </w:r>
      <w:r w:rsidR="00507DE5" w:rsidRPr="009C6D70">
        <w:t xml:space="preserve">provided for in the Settlement </w:t>
      </w:r>
      <w:r w:rsidR="004F1873" w:rsidRPr="009C6D70">
        <w:t>is approximately 52% of the Company’s original request of $87.3 million.</w:t>
      </w:r>
      <w:r w:rsidR="004266A4" w:rsidRPr="009C6D70">
        <w:t xml:space="preserve"> Duquesne St. in Support, p. 3.  </w:t>
      </w:r>
    </w:p>
    <w:p w:rsidR="00507DE5" w:rsidRPr="009C6D70" w:rsidRDefault="00507DE5" w:rsidP="004F1873">
      <w:pPr>
        <w:pStyle w:val="BodyText2"/>
        <w:spacing w:line="360" w:lineRule="auto"/>
        <w:jc w:val="left"/>
      </w:pPr>
    </w:p>
    <w:p w:rsidR="004F1873" w:rsidRPr="009C6D70" w:rsidRDefault="00A11885" w:rsidP="004F1873">
      <w:pPr>
        <w:pStyle w:val="BodyText2"/>
        <w:spacing w:line="360" w:lineRule="auto"/>
        <w:jc w:val="left"/>
      </w:pPr>
      <w:r>
        <w:tab/>
      </w:r>
      <w:r w:rsidR="004266A4" w:rsidRPr="009C6D70">
        <w:t>T</w:t>
      </w:r>
      <w:r w:rsidR="004F1873" w:rsidRPr="009C6D70">
        <w:t xml:space="preserve">he Company’s Director of External Affairs, Mr. Frederick J. Eichenmiller, </w:t>
      </w:r>
      <w:r w:rsidR="004266A4" w:rsidRPr="009C6D70">
        <w:t xml:space="preserve">explained that </w:t>
      </w:r>
      <w:r w:rsidR="004F1873" w:rsidRPr="009C6D70">
        <w:t xml:space="preserve">the combination of the recent financial crisis/economic downturn and new funding rules under the Pension Protection Act of 2006 (PPA) require Duquesne to make significant contributions to its pension plan in the future test year of this case, as well as in subsequent years.  Duquesne Light St. 1, p. 4.  </w:t>
      </w:r>
      <w:r w:rsidR="006C3295" w:rsidRPr="009C6D70">
        <w:t>According to Duquesne, t</w:t>
      </w:r>
      <w:r w:rsidR="004F1873" w:rsidRPr="009C6D70">
        <w:t>he financial crisis/economic downturn also is increasing the Company’s costs for providing assistance to low-income customers under the Company’s Customer Assistance Program (CAP).  Moreover, as of the end of the future test year, Duquesne will have increased its net utility distribution plant by approximately $263 million since its last base rate proceeding in 2006.  Duquesne Light St. 1, p. 4.  Duquesne filed its last distribution rate case in the spring of 2006.</w:t>
      </w:r>
      <w:r w:rsidR="006C3295" w:rsidRPr="009C6D70">
        <w:t xml:space="preserve">  Duquesne St. in Support, p. 4. </w:t>
      </w:r>
    </w:p>
    <w:p w:rsidR="006C3295" w:rsidRPr="009C6D70" w:rsidRDefault="006C3295" w:rsidP="004F1873">
      <w:pPr>
        <w:pStyle w:val="BodyText2"/>
        <w:spacing w:line="360" w:lineRule="auto"/>
        <w:jc w:val="left"/>
      </w:pPr>
    </w:p>
    <w:p w:rsidR="00A11885" w:rsidRDefault="00A11885" w:rsidP="004F1873">
      <w:pPr>
        <w:pStyle w:val="BodyText2"/>
        <w:spacing w:line="360" w:lineRule="auto"/>
        <w:jc w:val="left"/>
      </w:pPr>
      <w:r>
        <w:tab/>
      </w:r>
      <w:r w:rsidR="006C3295" w:rsidRPr="009C6D70">
        <w:t>Duquesne claims that, d</w:t>
      </w:r>
      <w:r w:rsidR="004F1873" w:rsidRPr="009C6D70">
        <w:t xml:space="preserve">ue to these factors, the Company’s overall rate of return on rate base was decreasing over the past several years.  </w:t>
      </w:r>
      <w:r w:rsidR="006C3295" w:rsidRPr="009C6D70">
        <w:t xml:space="preserve">Mr. Eichenmiller explained that </w:t>
      </w:r>
      <w:r w:rsidR="004F1873" w:rsidRPr="009C6D70">
        <w:t xml:space="preserve">the </w:t>
      </w:r>
    </w:p>
    <w:p w:rsidR="00A11885" w:rsidRDefault="00A11885">
      <w:r>
        <w:br w:type="page"/>
      </w:r>
    </w:p>
    <w:p w:rsidR="00D6438C" w:rsidRPr="009C6D70" w:rsidRDefault="004F1873" w:rsidP="00A11885">
      <w:pPr>
        <w:pStyle w:val="BodyText2"/>
        <w:spacing w:line="360" w:lineRule="auto"/>
        <w:ind w:firstLine="0"/>
        <w:jc w:val="left"/>
      </w:pPr>
      <w:r w:rsidRPr="009C6D70">
        <w:lastRenderedPageBreak/>
        <w:t xml:space="preserve">Company’s overall return on rate base for the future test year ending March 31, 2011 was projected to be only 5.48%.  Duquesne Light St. 1, p. 8.  </w:t>
      </w:r>
      <w:r w:rsidR="006C3295" w:rsidRPr="009C6D70">
        <w:t>According to Duquesne, t</w:t>
      </w:r>
      <w:r w:rsidRPr="009C6D70">
        <w:t xml:space="preserve">his is lower than the Company’s long-term debt cost rate of 6.07%.  Duquesne Light St. 12, p. 20.  </w:t>
      </w:r>
      <w:r w:rsidR="004758B7" w:rsidRPr="009C6D70">
        <w:t>Duquesne asserts that t</w:t>
      </w:r>
      <w:r w:rsidR="00877F40" w:rsidRPr="009C6D70">
        <w:t>he $45.7 million increase</w:t>
      </w:r>
      <w:r w:rsidR="004758B7" w:rsidRPr="009C6D70">
        <w:t xml:space="preserve"> </w:t>
      </w:r>
      <w:r w:rsidRPr="009C6D70">
        <w:t xml:space="preserve">will provide </w:t>
      </w:r>
      <w:r w:rsidR="004758B7" w:rsidRPr="009C6D70">
        <w:t xml:space="preserve">the Company </w:t>
      </w:r>
      <w:r w:rsidRPr="009C6D70">
        <w:t xml:space="preserve">recovery of its expenses, including the expense component of pension contributions, and provide the Company with the reasonable opportunity to earn a fair return.  </w:t>
      </w:r>
      <w:r w:rsidR="00D6438C" w:rsidRPr="009C6D70">
        <w:t>Duquesne believes t</w:t>
      </w:r>
      <w:r w:rsidRPr="009C6D70">
        <w:t>he revenue increase</w:t>
      </w:r>
      <w:r w:rsidR="00D6438C" w:rsidRPr="009C6D70">
        <w:t xml:space="preserve"> in the Settlement</w:t>
      </w:r>
      <w:r w:rsidRPr="009C6D70">
        <w:t xml:space="preserve"> should allow the Company to attract capital on reasonable terms and allow the Company to continue to provide safe and reliable service to customers.</w:t>
      </w:r>
      <w:r w:rsidR="00877F40" w:rsidRPr="009C6D70">
        <w:t xml:space="preserve">  Duquesne St. in Support, p. 4. </w:t>
      </w:r>
    </w:p>
    <w:p w:rsidR="00D6438C" w:rsidRPr="009C6D70" w:rsidRDefault="00D6438C" w:rsidP="004F1873">
      <w:pPr>
        <w:pStyle w:val="BodyText2"/>
        <w:spacing w:line="360" w:lineRule="auto"/>
        <w:jc w:val="left"/>
      </w:pPr>
    </w:p>
    <w:p w:rsidR="004F1873" w:rsidRPr="009C6D70" w:rsidRDefault="00A11885" w:rsidP="00311A50">
      <w:pPr>
        <w:pStyle w:val="BodyText2"/>
        <w:spacing w:line="360" w:lineRule="auto"/>
        <w:jc w:val="left"/>
      </w:pPr>
      <w:r>
        <w:tab/>
      </w:r>
      <w:r w:rsidR="00031D10" w:rsidRPr="009C6D70">
        <w:t>According to Duquesne, t</w:t>
      </w:r>
      <w:r w:rsidR="004F1873" w:rsidRPr="009C6D70">
        <w:t>he revenue requirement under the Settlement is generally a “black box” number</w:t>
      </w:r>
      <w:r w:rsidR="00296A74" w:rsidRPr="009C6D70">
        <w:t xml:space="preserve">.  The Joint Petitioners entered into a “black box” Settlement wherein the Joint Petitioners </w:t>
      </w:r>
      <w:r w:rsidR="004F1873" w:rsidRPr="009C6D70">
        <w:t xml:space="preserve">do not specifically identify revenues and expenses that are allowed or disallowed.  </w:t>
      </w:r>
      <w:r w:rsidR="00296A74" w:rsidRPr="009C6D70">
        <w:t xml:space="preserve">Duquesne claims </w:t>
      </w:r>
      <w:r w:rsidR="004F1873" w:rsidRPr="009C6D70">
        <w:t>the “black box” concept often facilitates settlement agreements because parties are not required to identify a specific return on equity (ROE) or identify revenues and/or expenses that are allowed or disallowed.  This process</w:t>
      </w:r>
      <w:r w:rsidR="00296A74" w:rsidRPr="009C6D70">
        <w:t xml:space="preserve">, according to Duquesne, </w:t>
      </w:r>
      <w:r w:rsidR="004F1873" w:rsidRPr="009C6D70">
        <w:t>allows a settlement without requiring parties to abandon or reverse their positions on important issues, which could impact their positions in later cases.</w:t>
      </w:r>
      <w:r w:rsidR="00E4363B" w:rsidRPr="009C6D70">
        <w:t xml:space="preserve">  Duquesne St. in Support, p. 5.</w:t>
      </w:r>
    </w:p>
    <w:p w:rsidR="00877F40" w:rsidRPr="009C6D70" w:rsidRDefault="00877F40" w:rsidP="00311A50">
      <w:pPr>
        <w:pStyle w:val="BodyText2"/>
        <w:spacing w:line="360" w:lineRule="auto"/>
        <w:jc w:val="left"/>
      </w:pPr>
    </w:p>
    <w:p w:rsidR="00E30D11" w:rsidRDefault="00A11885" w:rsidP="00311A50">
      <w:pPr>
        <w:pStyle w:val="FootnoteText"/>
        <w:spacing w:line="360" w:lineRule="auto"/>
        <w:rPr>
          <w:sz w:val="24"/>
          <w:szCs w:val="24"/>
        </w:rPr>
      </w:pPr>
      <w:r>
        <w:rPr>
          <w:sz w:val="24"/>
          <w:szCs w:val="24"/>
        </w:rPr>
        <w:tab/>
      </w:r>
      <w:r>
        <w:rPr>
          <w:sz w:val="24"/>
          <w:szCs w:val="24"/>
        </w:rPr>
        <w:tab/>
      </w:r>
      <w:r w:rsidR="00ED0053" w:rsidRPr="009C6D70">
        <w:rPr>
          <w:sz w:val="24"/>
          <w:szCs w:val="24"/>
        </w:rPr>
        <w:t xml:space="preserve">Duquesne points out </w:t>
      </w:r>
      <w:proofErr w:type="gramStart"/>
      <w:r w:rsidR="00ED0053" w:rsidRPr="009C6D70">
        <w:rPr>
          <w:sz w:val="24"/>
          <w:szCs w:val="24"/>
        </w:rPr>
        <w:t>that e</w:t>
      </w:r>
      <w:r w:rsidR="004F1873" w:rsidRPr="009C6D70">
        <w:rPr>
          <w:sz w:val="24"/>
          <w:szCs w:val="24"/>
        </w:rPr>
        <w:t>xceptions</w:t>
      </w:r>
      <w:proofErr w:type="gramEnd"/>
      <w:r w:rsidR="004F1873" w:rsidRPr="009C6D70">
        <w:rPr>
          <w:sz w:val="24"/>
          <w:szCs w:val="24"/>
        </w:rPr>
        <w:t xml:space="preserve"> to the “black box” concept under this Settlement were made to specify universal service costs to be recovered under Rider No. 5 and consumer education costs to be recovered under Rider No. 1.  </w:t>
      </w:r>
      <w:r w:rsidR="00ED0053" w:rsidRPr="009C6D70">
        <w:rPr>
          <w:sz w:val="24"/>
          <w:szCs w:val="24"/>
        </w:rPr>
        <w:t>According to Duquesne, t</w:t>
      </w:r>
      <w:r w:rsidR="004F1873" w:rsidRPr="009C6D70">
        <w:rPr>
          <w:sz w:val="24"/>
          <w:szCs w:val="24"/>
        </w:rPr>
        <w:t xml:space="preserve">he parties had to specify the amounts to be recovered under Rider No. 5 and Rider No. 1 in order to develop the Settlement rates.  In addition, the Settlement specifies that Duquesne agrees to withdraw its proposed adjustment to book reserve, addition to rate base and depreciation expense that was claimed by the Company as an unrecovered depreciation reserve adjustment.  </w:t>
      </w:r>
      <w:proofErr w:type="gramStart"/>
      <w:r w:rsidR="00DC4551" w:rsidRPr="009C6D70">
        <w:rPr>
          <w:sz w:val="24"/>
          <w:szCs w:val="24"/>
        </w:rPr>
        <w:t xml:space="preserve">Joint Petition </w:t>
      </w:r>
      <w:r w:rsidR="004F1873" w:rsidRPr="009C6D70">
        <w:rPr>
          <w:sz w:val="24"/>
          <w:szCs w:val="24"/>
        </w:rPr>
        <w:t>¶2</w:t>
      </w:r>
      <w:r w:rsidR="00883C2D" w:rsidRPr="009C6D70">
        <w:rPr>
          <w:sz w:val="24"/>
          <w:szCs w:val="24"/>
        </w:rPr>
        <w:t>7, p. 7</w:t>
      </w:r>
      <w:r w:rsidR="004F1873" w:rsidRPr="009C6D70">
        <w:rPr>
          <w:sz w:val="24"/>
          <w:szCs w:val="24"/>
        </w:rPr>
        <w:t>.</w:t>
      </w:r>
      <w:proofErr w:type="gramEnd"/>
      <w:r w:rsidR="004F1873" w:rsidRPr="009C6D70">
        <w:rPr>
          <w:rStyle w:val="FootnoteReference"/>
          <w:sz w:val="24"/>
          <w:szCs w:val="24"/>
        </w:rPr>
        <w:footnoteReference w:id="17"/>
      </w:r>
      <w:r w:rsidR="00883C2D" w:rsidRPr="009C6D70">
        <w:rPr>
          <w:sz w:val="24"/>
          <w:szCs w:val="24"/>
        </w:rPr>
        <w:t xml:space="preserve">  </w:t>
      </w:r>
      <w:r w:rsidR="00311A50" w:rsidRPr="009C6D70">
        <w:rPr>
          <w:sz w:val="24"/>
          <w:szCs w:val="24"/>
        </w:rPr>
        <w:t xml:space="preserve">This adjustment related to the Company’s request to complete the conversion to amortization accounting that was presented in the last base rate case at Docket No. </w:t>
      </w:r>
      <w:r w:rsidR="00311A50" w:rsidRPr="009C6D70">
        <w:rPr>
          <w:sz w:val="24"/>
          <w:szCs w:val="24"/>
        </w:rPr>
        <w:lastRenderedPageBreak/>
        <w:t xml:space="preserve">R-00061346.  Duquesne Light St. 8-R, p. 2.  </w:t>
      </w:r>
      <w:r w:rsidR="00E32DD2">
        <w:rPr>
          <w:sz w:val="24"/>
          <w:szCs w:val="24"/>
        </w:rPr>
        <w:t xml:space="preserve">The </w:t>
      </w:r>
      <w:r w:rsidR="00311A50" w:rsidRPr="009C6D70">
        <w:rPr>
          <w:sz w:val="24"/>
          <w:szCs w:val="24"/>
        </w:rPr>
        <w:t xml:space="preserve">OTS objected to this adjustment in its testimony.  OTS St. 3, p. 7. </w:t>
      </w:r>
    </w:p>
    <w:p w:rsidR="00311A50" w:rsidRPr="009C6D70" w:rsidRDefault="00311A50" w:rsidP="00311A50">
      <w:pPr>
        <w:pStyle w:val="FootnoteText"/>
        <w:spacing w:line="360" w:lineRule="auto"/>
        <w:rPr>
          <w:sz w:val="24"/>
          <w:szCs w:val="24"/>
        </w:rPr>
      </w:pPr>
      <w:r w:rsidRPr="009C6D70">
        <w:rPr>
          <w:sz w:val="24"/>
          <w:szCs w:val="24"/>
        </w:rPr>
        <w:t xml:space="preserve"> </w:t>
      </w:r>
    </w:p>
    <w:p w:rsidR="00E4363B" w:rsidRPr="009C6D70" w:rsidRDefault="00930D93" w:rsidP="004F1873">
      <w:pPr>
        <w:pStyle w:val="BodyText2"/>
        <w:spacing w:line="360" w:lineRule="auto"/>
        <w:jc w:val="left"/>
      </w:pPr>
      <w:r>
        <w:tab/>
      </w:r>
      <w:r w:rsidR="004F1873" w:rsidRPr="009C6D70">
        <w:t xml:space="preserve">The </w:t>
      </w:r>
      <w:r w:rsidR="00ED0053" w:rsidRPr="009C6D70">
        <w:t xml:space="preserve">Joint Petitioners </w:t>
      </w:r>
      <w:r w:rsidR="004F1873" w:rsidRPr="009C6D70">
        <w:t>also specified a return on equity and an equity component for purposes of the Smart Meter Recovery, as directed by the Commission.</w:t>
      </w:r>
      <w:r w:rsidR="00E4363B" w:rsidRPr="009C6D70">
        <w:t xml:space="preserve">  Duquesne St. in Support, p. 5.</w:t>
      </w:r>
    </w:p>
    <w:p w:rsidR="00E4363B" w:rsidRPr="009C6D70" w:rsidRDefault="00E4363B" w:rsidP="004F1873">
      <w:pPr>
        <w:pStyle w:val="BodyText2"/>
        <w:spacing w:line="360" w:lineRule="auto"/>
        <w:jc w:val="left"/>
      </w:pPr>
    </w:p>
    <w:p w:rsidR="00C8389C" w:rsidRPr="009C6D70" w:rsidRDefault="00E4363B" w:rsidP="004F1873">
      <w:pPr>
        <w:pStyle w:val="BodyText2"/>
        <w:spacing w:line="360" w:lineRule="auto"/>
        <w:jc w:val="left"/>
      </w:pPr>
      <w:r w:rsidRPr="009C6D70">
        <w:t>2.</w:t>
      </w:r>
      <w:r w:rsidRPr="009C6D70">
        <w:tab/>
      </w:r>
      <w:r w:rsidRPr="009C6D70">
        <w:rPr>
          <w:u w:val="single"/>
        </w:rPr>
        <w:t>Pensions</w:t>
      </w:r>
      <w:r w:rsidR="004F1873" w:rsidRPr="009C6D70">
        <w:t xml:space="preserve">  </w:t>
      </w:r>
    </w:p>
    <w:p w:rsidR="001912D9" w:rsidRPr="009C6D70" w:rsidRDefault="001912D9" w:rsidP="001912D9">
      <w:pPr>
        <w:pStyle w:val="BodyText2"/>
        <w:spacing w:line="360" w:lineRule="auto"/>
        <w:jc w:val="left"/>
      </w:pPr>
    </w:p>
    <w:p w:rsidR="00D31B84" w:rsidRPr="009C6D70" w:rsidRDefault="003D5D49" w:rsidP="00512F18">
      <w:pPr>
        <w:pStyle w:val="BodyText2"/>
        <w:spacing w:line="360" w:lineRule="auto"/>
        <w:jc w:val="left"/>
      </w:pPr>
      <w:r>
        <w:tab/>
      </w:r>
      <w:r w:rsidR="00D31B84" w:rsidRPr="009C6D70">
        <w:t xml:space="preserve">The Settlement includes </w:t>
      </w:r>
      <w:r w:rsidR="00512F18" w:rsidRPr="009C6D70">
        <w:t>p</w:t>
      </w:r>
      <w:r w:rsidR="00D31B84" w:rsidRPr="009C6D70">
        <w:t xml:space="preserve">rovisions concerning the amount of Duquesne’s ongoing pension contributions.  </w:t>
      </w:r>
      <w:r w:rsidR="00512F18" w:rsidRPr="009C6D70">
        <w:t>T</w:t>
      </w:r>
      <w:r w:rsidR="00D31B84" w:rsidRPr="009C6D70">
        <w:t>he Company’s Director of Finance and Treasurer, Mr. Bordo,</w:t>
      </w:r>
      <w:r w:rsidR="00512F18" w:rsidRPr="009C6D70">
        <w:t xml:space="preserve"> explained that </w:t>
      </w:r>
      <w:r w:rsidR="00D31B84" w:rsidRPr="009C6D70">
        <w:t xml:space="preserve">the Company’s cash contributions to pensions are expected to be over $178 million for calendar years 2011 through 2013.  Duquesne Light St. 3-S, Ex. DBB-2.  </w:t>
      </w:r>
      <w:r w:rsidR="00512F18" w:rsidRPr="009C6D70">
        <w:t xml:space="preserve">Duquesne claims it </w:t>
      </w:r>
      <w:r w:rsidR="00D31B84" w:rsidRPr="009C6D70">
        <w:t>is required to make these significant contributions due to increased funding requirements under the PPA</w:t>
      </w:r>
      <w:r w:rsidR="009E57B9" w:rsidRPr="009C6D70">
        <w:t xml:space="preserve"> (Pension Protection Act of 2006)</w:t>
      </w:r>
      <w:r w:rsidR="009E57B9" w:rsidRPr="009C6D70">
        <w:rPr>
          <w:rStyle w:val="FootnoteReference"/>
        </w:rPr>
        <w:footnoteReference w:id="18"/>
      </w:r>
      <w:r w:rsidR="00D31B84" w:rsidRPr="009C6D70">
        <w:t xml:space="preserve"> and declines in asset values as a result of the recent economic downturn.</w:t>
      </w:r>
      <w:r w:rsidR="00512F18" w:rsidRPr="009C6D70">
        <w:t xml:space="preserve">  Duquesne St. in Support, p. 6.</w:t>
      </w:r>
    </w:p>
    <w:p w:rsidR="00512F18" w:rsidRPr="009C6D70" w:rsidRDefault="00512F18" w:rsidP="00D31B84">
      <w:pPr>
        <w:pStyle w:val="BodyText2"/>
        <w:spacing w:line="360" w:lineRule="auto"/>
        <w:ind w:firstLine="1440"/>
        <w:jc w:val="left"/>
      </w:pPr>
    </w:p>
    <w:p w:rsidR="00D31B84" w:rsidRPr="009C6D70" w:rsidRDefault="00D31B84" w:rsidP="00D31B84">
      <w:pPr>
        <w:pStyle w:val="BodyText2"/>
        <w:spacing w:line="360" w:lineRule="auto"/>
        <w:ind w:firstLine="1440"/>
        <w:jc w:val="left"/>
      </w:pPr>
      <w:r w:rsidRPr="009C6D70">
        <w:t xml:space="preserve">Under the Settlement, Duquesne agreed to contribute to its pension trusts an amount equal to $55 million per year commencing with calendar year 2011.  </w:t>
      </w:r>
      <w:r w:rsidR="004933DD" w:rsidRPr="009C6D70">
        <w:t>Under the Settlement, i</w:t>
      </w:r>
      <w:r w:rsidRPr="009C6D70">
        <w:t>f contributions are made in any year in excess of the $55 million, Duquesne may use the cumulative excess to satisfy future contribution obligations</w:t>
      </w:r>
      <w:r w:rsidR="004933DD" w:rsidRPr="009C6D70">
        <w:t xml:space="preserve"> required pursuant to </w:t>
      </w:r>
      <w:r w:rsidRPr="009C6D70">
        <w:t xml:space="preserve">the Settlement.  </w:t>
      </w:r>
      <w:proofErr w:type="gramStart"/>
      <w:r w:rsidR="00883C2D" w:rsidRPr="009C6D70">
        <w:t>Joint Petition ¶37, p. 9.</w:t>
      </w:r>
      <w:proofErr w:type="gramEnd"/>
      <w:r w:rsidR="00883C2D" w:rsidRPr="009C6D70">
        <w:rPr>
          <w:rStyle w:val="FootnoteReference"/>
        </w:rPr>
        <w:footnoteReference w:id="19"/>
      </w:r>
      <w:r w:rsidRPr="009C6D70">
        <w:t xml:space="preserve">  Duquesne will annually report contributions to the Commission and </w:t>
      </w:r>
      <w:r w:rsidR="00116EA8">
        <w:t xml:space="preserve">the </w:t>
      </w:r>
      <w:r w:rsidRPr="009C6D70">
        <w:t xml:space="preserve">OTS, </w:t>
      </w:r>
      <w:r w:rsidR="00116EA8">
        <w:t xml:space="preserve">the </w:t>
      </w:r>
      <w:r w:rsidRPr="009C6D70">
        <w:t xml:space="preserve">OCA and </w:t>
      </w:r>
      <w:r w:rsidR="00116EA8">
        <w:t xml:space="preserve">the </w:t>
      </w:r>
      <w:r w:rsidRPr="009C6D70">
        <w:t>OSBA to allow monitoring of the commitment</w:t>
      </w:r>
      <w:r w:rsidR="00534944" w:rsidRPr="009C6D70">
        <w:t>, according to the Settlement terms</w:t>
      </w:r>
      <w:r w:rsidRPr="009C6D70">
        <w:t>.  Duquesne</w:t>
      </w:r>
      <w:r w:rsidR="00534944" w:rsidRPr="009C6D70">
        <w:t xml:space="preserve"> </w:t>
      </w:r>
      <w:r w:rsidRPr="009C6D70">
        <w:t>believes this Settlement provision is important because it will ensure that adequate funds are contributed to the Company’s pension plans.</w:t>
      </w:r>
      <w:r w:rsidR="00912546" w:rsidRPr="009C6D70">
        <w:t xml:space="preserve">  Duquesne St. in Support, p. 6.</w:t>
      </w:r>
    </w:p>
    <w:p w:rsidR="00512F18" w:rsidRPr="009C6D70" w:rsidRDefault="00512F18" w:rsidP="00D31B84">
      <w:pPr>
        <w:pStyle w:val="BodyText2"/>
        <w:spacing w:line="360" w:lineRule="auto"/>
        <w:ind w:firstLine="1440"/>
        <w:jc w:val="left"/>
      </w:pPr>
    </w:p>
    <w:p w:rsidR="00D31B84" w:rsidRPr="009C6D70" w:rsidRDefault="00D31B84" w:rsidP="00D31B84">
      <w:pPr>
        <w:pStyle w:val="BodyText2"/>
        <w:spacing w:line="360" w:lineRule="auto"/>
        <w:ind w:firstLine="1440"/>
        <w:jc w:val="left"/>
      </w:pPr>
      <w:r w:rsidRPr="009C6D70">
        <w:lastRenderedPageBreak/>
        <w:t xml:space="preserve">The Settlement also will allow Duquesne to include in rate base the capitalized amount of actual pension contributions (50%), net of related accumulated deferred income taxes, for ratemaking purposes.  </w:t>
      </w:r>
      <w:r w:rsidR="007902C3" w:rsidRPr="009C6D70">
        <w:t>Joint Petition ¶37, p. 9.</w:t>
      </w:r>
      <w:r w:rsidR="007902C3" w:rsidRPr="009C6D70">
        <w:rPr>
          <w:rStyle w:val="FootnoteReference"/>
        </w:rPr>
        <w:footnoteReference w:id="20"/>
      </w:r>
      <w:r w:rsidRPr="009C6D70">
        <w:t xml:space="preserve">  However, depreciation expense will be based on the amounts capitalized under SFAS 87 recorded on the Company’s books.  </w:t>
      </w:r>
      <w:r w:rsidR="00534944" w:rsidRPr="009C6D70">
        <w:t>According to Duquesne, t</w:t>
      </w:r>
      <w:r w:rsidRPr="009C6D70">
        <w:t>his approach allows the Company to maintain its books in accordance with Generally Accepted Accounting Principles (GAAP) and also reflect in rate base the excess of cash contributions to be capitalized over amounts of pension costs capitalized pe</w:t>
      </w:r>
      <w:r w:rsidR="00912546" w:rsidRPr="009C6D70">
        <w:t>r books, net of deferred taxes.  Duquesne St. in Support, p. 6.</w:t>
      </w:r>
      <w:r w:rsidRPr="009C6D70">
        <w:t xml:space="preserve"> </w:t>
      </w:r>
    </w:p>
    <w:p w:rsidR="00512F18" w:rsidRPr="009C6D70" w:rsidRDefault="00512F18" w:rsidP="00D31B84">
      <w:pPr>
        <w:pStyle w:val="BodyText2"/>
        <w:spacing w:line="360" w:lineRule="auto"/>
        <w:ind w:firstLine="1440"/>
        <w:jc w:val="left"/>
      </w:pPr>
    </w:p>
    <w:p w:rsidR="00715CCA" w:rsidRPr="009C6D70" w:rsidRDefault="00125631" w:rsidP="00D31B84">
      <w:pPr>
        <w:pStyle w:val="BodyText2"/>
        <w:spacing w:line="360" w:lineRule="auto"/>
        <w:ind w:firstLine="1440"/>
        <w:jc w:val="left"/>
      </w:pPr>
      <w:r w:rsidRPr="009C6D70">
        <w:t>Duquesne asserts that t</w:t>
      </w:r>
      <w:r w:rsidR="00D31B84" w:rsidRPr="009C6D70">
        <w:t>he pension provisions</w:t>
      </w:r>
      <w:r w:rsidRPr="009C6D70">
        <w:t xml:space="preserve"> in the Settlement</w:t>
      </w:r>
      <w:r w:rsidR="00D31B84" w:rsidRPr="009C6D70">
        <w:t xml:space="preserve"> represent a significant compromise by the Company in this proceeding.  </w:t>
      </w:r>
      <w:r w:rsidRPr="009C6D70">
        <w:t>Duquesne’s</w:t>
      </w:r>
      <w:r w:rsidR="00D31B84" w:rsidRPr="009C6D70">
        <w:t xml:space="preserve"> position </w:t>
      </w:r>
      <w:r w:rsidRPr="009C6D70">
        <w:t xml:space="preserve">had been </w:t>
      </w:r>
      <w:r w:rsidR="00D31B84" w:rsidRPr="009C6D70">
        <w:t xml:space="preserve">that it should be permitted to include the full capitalized component of actual pension contributions in rate base and to depreciate such additions to rate base on a current basis, without any adjustment for deferred taxes.  Duquesne Light St. 6-R, p. 15.  The Company </w:t>
      </w:r>
      <w:r w:rsidRPr="009C6D70">
        <w:t xml:space="preserve">originally </w:t>
      </w:r>
      <w:r w:rsidR="00D31B84" w:rsidRPr="009C6D70">
        <w:t xml:space="preserve">proposed that it be permitted to recover both a return on its capitalized pension contributions through rate base and a return of its capitalized pension contributions through depreciation expense.  </w:t>
      </w:r>
      <w:r w:rsidR="00250B66">
        <w:t xml:space="preserve">The </w:t>
      </w:r>
      <w:r w:rsidR="00D31B84" w:rsidRPr="009C6D70">
        <w:t>OCA disagreed and argued that the Company should only include the lower SFAS 87 capitalized amounts and related depreciation e</w:t>
      </w:r>
      <w:r w:rsidR="006E324E" w:rsidRPr="009C6D70">
        <w:t>xpense.  OCA St. 1, pp. 5-6; Duquesne St. in Support, p. 7.</w:t>
      </w:r>
      <w:r w:rsidR="00D31B84" w:rsidRPr="009C6D70">
        <w:t xml:space="preserve">  </w:t>
      </w:r>
    </w:p>
    <w:p w:rsidR="00715CCA" w:rsidRPr="009C6D70" w:rsidRDefault="00715CCA" w:rsidP="00D31B84">
      <w:pPr>
        <w:pStyle w:val="BodyText2"/>
        <w:spacing w:line="360" w:lineRule="auto"/>
        <w:ind w:firstLine="1440"/>
        <w:jc w:val="left"/>
      </w:pPr>
    </w:p>
    <w:p w:rsidR="003D5D49" w:rsidRDefault="00D31B84" w:rsidP="00D31B84">
      <w:pPr>
        <w:pStyle w:val="BodyText2"/>
        <w:spacing w:line="360" w:lineRule="auto"/>
        <w:ind w:firstLine="1440"/>
        <w:jc w:val="left"/>
      </w:pPr>
      <w:r w:rsidRPr="009C6D70">
        <w:t xml:space="preserve">In rebuttal testimony, the Company </w:t>
      </w:r>
      <w:r w:rsidR="00715CCA" w:rsidRPr="009C6D70">
        <w:t xml:space="preserve">argued that </w:t>
      </w:r>
      <w:r w:rsidRPr="009C6D70">
        <w:t xml:space="preserve">the OCA position would result in an unreasonable amount of regulatory lag on its cash investment in pensions due to:  (1) </w:t>
      </w:r>
      <w:r w:rsidR="00715CCA" w:rsidRPr="009C6D70">
        <w:t>a</w:t>
      </w:r>
      <w:r w:rsidRPr="009C6D70">
        <w:t xml:space="preserve"> significant difference between the Company’s actual cash contributions and the SFAS 87 amounts, and (2) the fact that the SFAS 87 amount will not catch up to the Company’s actual cash contributions in the near future.  Duquesne Light St. 3-R, p. 17.  As a compromise in this proceeding, the Joint Petitioners agreed that the Company could earn a return on the capitalized amount of its actual cash contributions in base rates but that the Company’s depreciation expense for book and ratemaking purposes would be based on the SFAS 87 capitalized amounts.  </w:t>
      </w:r>
    </w:p>
    <w:p w:rsidR="003D5D49" w:rsidRDefault="003D5D49">
      <w:r>
        <w:br w:type="page"/>
      </w:r>
    </w:p>
    <w:p w:rsidR="00D31B84" w:rsidRPr="009C6D70" w:rsidRDefault="00D31B84" w:rsidP="003D5D49">
      <w:pPr>
        <w:pStyle w:val="BodyText2"/>
        <w:spacing w:line="360" w:lineRule="auto"/>
        <w:ind w:firstLine="0"/>
        <w:jc w:val="left"/>
      </w:pPr>
      <w:r w:rsidRPr="009C6D70">
        <w:lastRenderedPageBreak/>
        <w:t>Duquesne believes that this is a reasonable compromise of this issue.</w:t>
      </w:r>
      <w:r w:rsidR="006E324E" w:rsidRPr="009C6D70">
        <w:t xml:space="preserve">  Duquesne St. in Support, p. 7.</w:t>
      </w:r>
    </w:p>
    <w:p w:rsidR="006E324E" w:rsidRPr="009C6D70" w:rsidRDefault="006E324E" w:rsidP="00D31B84">
      <w:pPr>
        <w:pStyle w:val="BodyText2"/>
        <w:spacing w:line="360" w:lineRule="auto"/>
        <w:ind w:firstLine="1440"/>
        <w:jc w:val="left"/>
      </w:pPr>
    </w:p>
    <w:p w:rsidR="006E324E" w:rsidRPr="009C6D70" w:rsidRDefault="006E324E" w:rsidP="008659C3">
      <w:pPr>
        <w:pStyle w:val="BodyText2"/>
        <w:spacing w:line="360" w:lineRule="auto"/>
        <w:jc w:val="left"/>
      </w:pPr>
      <w:r w:rsidRPr="009C6D70">
        <w:t>3.</w:t>
      </w:r>
      <w:r w:rsidRPr="009C6D70">
        <w:tab/>
      </w:r>
      <w:r w:rsidRPr="009C6D70">
        <w:rPr>
          <w:u w:val="single"/>
        </w:rPr>
        <w:t>OPEB</w:t>
      </w:r>
      <w:r w:rsidR="003D5D49">
        <w:rPr>
          <w:u w:val="single"/>
        </w:rPr>
        <w:t>s</w:t>
      </w:r>
    </w:p>
    <w:p w:rsidR="006E324E" w:rsidRPr="009C6D70" w:rsidRDefault="006E324E" w:rsidP="00D31B84">
      <w:pPr>
        <w:pStyle w:val="BodyText2"/>
        <w:spacing w:line="360" w:lineRule="auto"/>
        <w:ind w:firstLine="1440"/>
        <w:jc w:val="left"/>
      </w:pPr>
    </w:p>
    <w:p w:rsidR="006E324E" w:rsidRPr="009C6D70" w:rsidRDefault="006E324E" w:rsidP="006E324E">
      <w:pPr>
        <w:pStyle w:val="BodyText2"/>
        <w:spacing w:line="360" w:lineRule="auto"/>
        <w:ind w:firstLine="1440"/>
        <w:jc w:val="left"/>
      </w:pPr>
      <w:r w:rsidRPr="009C6D70">
        <w:t xml:space="preserve">The Settlement contains specific provisions for meeting the Company’s </w:t>
      </w:r>
      <w:r w:rsidRPr="009C6D70">
        <w:rPr>
          <w:color w:val="000000"/>
        </w:rPr>
        <w:t>Other Post Employment Benefits</w:t>
      </w:r>
      <w:r w:rsidRPr="009C6D70">
        <w:t xml:space="preserve"> (OPEB) requirements.  Under the Settlement, the Company’s rate allowance is based on an OPEB cost of $5.035 million.  The expense component included in rates is approximately 50% of this cost.  In addition, under the Settlement, the Company has agreed to deposit into its Voluntary Employee Beneficiary Associated (VEBA) trust the full amount of annual OPEB costs calculated by the Company’s actuary pursuant to SFAS 106.  The Company accounts for the difference between the net periodic post-retirement benefit expense determined annually by the actuary in accordance with SFAS 106 and the amount of SFAS 106 post-retirement benefit expense used to establish rates.  That difference is recorded as a regulatory asset or liability and will be expensed or credited in future rate proceedings in determining OPEB expense included in rates.  </w:t>
      </w:r>
      <w:r w:rsidR="008B4536" w:rsidRPr="009C6D70">
        <w:t>Duquesne asserts that the S</w:t>
      </w:r>
      <w:r w:rsidRPr="009C6D70">
        <w:t xml:space="preserve">ettlement provisions related to OPEBs provide clarity regarding the ratemaking and accounting treatment of OPEBs, provide for funding of the VEBA trust and provide that the Company will be able to recover its expected OPEB costs.  Further, </w:t>
      </w:r>
      <w:r w:rsidR="008443D6" w:rsidRPr="009C6D70">
        <w:t xml:space="preserve">Duquesne points out that </w:t>
      </w:r>
      <w:r w:rsidRPr="009C6D70">
        <w:t>any over or under recovery of costs is to be amortized in future base rate proceedings.</w:t>
      </w:r>
      <w:r w:rsidR="00224D6C" w:rsidRPr="009C6D70">
        <w:t xml:space="preserve">  Duquesne St. in Support, pp. 7-8.</w:t>
      </w:r>
    </w:p>
    <w:p w:rsidR="00927382" w:rsidRPr="009C6D70" w:rsidRDefault="00927382" w:rsidP="006E324E">
      <w:pPr>
        <w:pStyle w:val="BodyText2"/>
        <w:spacing w:line="360" w:lineRule="auto"/>
        <w:ind w:firstLine="1440"/>
        <w:jc w:val="left"/>
      </w:pPr>
    </w:p>
    <w:p w:rsidR="00927382" w:rsidRPr="009C6D70" w:rsidRDefault="00927382" w:rsidP="008659C3">
      <w:pPr>
        <w:pStyle w:val="BodyText2"/>
        <w:numPr>
          <w:ilvl w:val="0"/>
          <w:numId w:val="23"/>
        </w:numPr>
        <w:tabs>
          <w:tab w:val="clear" w:pos="2160"/>
        </w:tabs>
        <w:spacing w:line="360" w:lineRule="auto"/>
        <w:ind w:left="1440"/>
        <w:jc w:val="left"/>
      </w:pPr>
      <w:r w:rsidRPr="009C6D70">
        <w:rPr>
          <w:u w:val="single"/>
        </w:rPr>
        <w:t>Smart Meters</w:t>
      </w:r>
    </w:p>
    <w:p w:rsidR="00927382" w:rsidRPr="009C6D70" w:rsidRDefault="00927382" w:rsidP="00927382">
      <w:pPr>
        <w:pStyle w:val="BodyText2"/>
        <w:spacing w:line="360" w:lineRule="auto"/>
        <w:jc w:val="left"/>
      </w:pPr>
    </w:p>
    <w:p w:rsidR="0011005B" w:rsidRDefault="00927382" w:rsidP="006F6660">
      <w:pPr>
        <w:pStyle w:val="BodyText2"/>
        <w:spacing w:line="360" w:lineRule="auto"/>
        <w:ind w:firstLine="1440"/>
        <w:jc w:val="left"/>
      </w:pPr>
      <w:r w:rsidRPr="009C6D70">
        <w:t xml:space="preserve">Under the Settlement, the Joint Petitioners agreed that Duquesne will use a 10% ROE and a capital structure with no more than 46% common equity for establishing the Company’s smart meter charge (SMC) for a three-year period following the effective date of </w:t>
      </w:r>
      <w:r w:rsidR="006F6660">
        <w:t xml:space="preserve"> </w:t>
      </w:r>
    </w:p>
    <w:p w:rsidR="00D25882" w:rsidRDefault="00D25882">
      <w:r>
        <w:br w:type="page"/>
      </w:r>
    </w:p>
    <w:p w:rsidR="00224D6C" w:rsidRPr="009C6D70" w:rsidRDefault="00927382" w:rsidP="0011005B">
      <w:pPr>
        <w:pStyle w:val="BodyText2"/>
        <w:spacing w:line="360" w:lineRule="auto"/>
        <w:ind w:firstLine="0"/>
        <w:jc w:val="left"/>
      </w:pPr>
      <w:proofErr w:type="gramStart"/>
      <w:r w:rsidRPr="009C6D70">
        <w:lastRenderedPageBreak/>
        <w:t>rates</w:t>
      </w:r>
      <w:proofErr w:type="gramEnd"/>
      <w:r w:rsidRPr="009C6D70">
        <w:t xml:space="preserve"> in this proceeding.</w:t>
      </w:r>
      <w:r w:rsidR="00B02770" w:rsidRPr="009C6D70">
        <w:rPr>
          <w:rStyle w:val="FootnoteReference"/>
        </w:rPr>
        <w:footnoteReference w:id="21"/>
      </w:r>
      <w:r w:rsidRPr="009C6D70">
        <w:t xml:space="preserve">  </w:t>
      </w:r>
      <w:proofErr w:type="gramStart"/>
      <w:r w:rsidR="00387C55" w:rsidRPr="009C6D70">
        <w:t>Joint Petition ¶48, p. 12.</w:t>
      </w:r>
      <w:proofErr w:type="gramEnd"/>
      <w:r w:rsidR="007E6C65" w:rsidRPr="009C6D70">
        <w:rPr>
          <w:rStyle w:val="FootnoteReference"/>
        </w:rPr>
        <w:footnoteReference w:id="22"/>
      </w:r>
      <w:r w:rsidRPr="009C6D70">
        <w:t xml:space="preserve">  In the Commission’s Order approving the Company’s smart meter filing, the Commission held that in the event parties settle future Company base rate proceedings, parties are to establish capital structure ratios and an ROE for the Company to use in calculating its SMC.  </w:t>
      </w:r>
      <w:r w:rsidRPr="009C6D70">
        <w:rPr>
          <w:i/>
        </w:rPr>
        <w:t>Petition of Duquesne Light Company for Approval of Smart Meter Technology Procurement and Installation Plan</w:t>
      </w:r>
      <w:r w:rsidRPr="009C6D70">
        <w:t>, Docket No. M-2009-2123948, Order entered May 11, 2010, pp. 19, 25.  Consistent with the Smart Meter Order, the Joint Petitioners agreed to a capital structure ratio and ROE for the Company’s SMC.</w:t>
      </w:r>
      <w:r w:rsidR="00224D6C" w:rsidRPr="009C6D70">
        <w:t xml:space="preserve">  Duquesne St. in Support, pp. 8-9.</w:t>
      </w:r>
    </w:p>
    <w:p w:rsidR="00A26FCB" w:rsidRPr="009C6D70" w:rsidRDefault="00A26FCB" w:rsidP="00224D6C">
      <w:pPr>
        <w:pStyle w:val="BodyText2"/>
        <w:spacing w:line="360" w:lineRule="auto"/>
        <w:ind w:firstLine="1440"/>
        <w:jc w:val="left"/>
      </w:pPr>
    </w:p>
    <w:p w:rsidR="00A26FCB" w:rsidRPr="009C6D70" w:rsidRDefault="00A26FCB" w:rsidP="008659C3">
      <w:pPr>
        <w:pStyle w:val="BodyText2"/>
        <w:numPr>
          <w:ilvl w:val="0"/>
          <w:numId w:val="23"/>
        </w:numPr>
        <w:tabs>
          <w:tab w:val="clear" w:pos="2160"/>
          <w:tab w:val="num" w:pos="1440"/>
        </w:tabs>
        <w:spacing w:line="360" w:lineRule="auto"/>
        <w:ind w:left="1440"/>
        <w:jc w:val="left"/>
      </w:pPr>
      <w:r w:rsidRPr="009C6D70">
        <w:rPr>
          <w:u w:val="single"/>
        </w:rPr>
        <w:t>Universal Service</w:t>
      </w:r>
    </w:p>
    <w:p w:rsidR="00A26FCB" w:rsidRPr="009C6D70" w:rsidRDefault="00A26FCB" w:rsidP="00A26FCB">
      <w:pPr>
        <w:pStyle w:val="BodyText2"/>
        <w:spacing w:line="360" w:lineRule="auto"/>
        <w:ind w:firstLine="1440"/>
        <w:jc w:val="left"/>
      </w:pPr>
    </w:p>
    <w:p w:rsidR="00A26FCB" w:rsidRPr="009C6D70" w:rsidRDefault="00A26FCB" w:rsidP="00A26FCB">
      <w:pPr>
        <w:pStyle w:val="BodyText2"/>
        <w:spacing w:line="360" w:lineRule="auto"/>
        <w:ind w:firstLine="1440"/>
        <w:jc w:val="left"/>
      </w:pPr>
      <w:r w:rsidRPr="009C6D70">
        <w:t>Duquesne proposed to recover its universal service costs through a Universal Service Charge, Rider No. 5.  According to Duquesne, in recent years it has experienced increasing CAP participation levels and increasing universal service costs.  Duquesne Light St. 10, p. 3.  Duquesne</w:t>
      </w:r>
      <w:r w:rsidR="004979A7" w:rsidRPr="009C6D70">
        <w:t xml:space="preserve"> asserts that its </w:t>
      </w:r>
      <w:r w:rsidRPr="009C6D70">
        <w:t>propos</w:t>
      </w:r>
      <w:r w:rsidR="004979A7" w:rsidRPr="009C6D70">
        <w:t>al</w:t>
      </w:r>
      <w:r w:rsidRPr="009C6D70">
        <w:t xml:space="preserve"> to recover universal service costs through a reconcilable rider</w:t>
      </w:r>
      <w:r w:rsidR="004979A7" w:rsidRPr="009C6D70">
        <w:t xml:space="preserve"> was made in order to provide certainty with regard to cost recovery</w:t>
      </w:r>
      <w:r w:rsidRPr="009C6D70">
        <w:t>.</w:t>
      </w:r>
      <w:r w:rsidR="001A2B3D" w:rsidRPr="009C6D70">
        <w:t xml:space="preserve">  Duquesne St. in Support, p. 9. </w:t>
      </w:r>
    </w:p>
    <w:p w:rsidR="004979A7" w:rsidRPr="009C6D70" w:rsidRDefault="004979A7" w:rsidP="00A26FCB">
      <w:pPr>
        <w:pStyle w:val="BodyText2"/>
        <w:spacing w:line="360" w:lineRule="auto"/>
        <w:ind w:firstLine="1440"/>
        <w:jc w:val="left"/>
      </w:pPr>
    </w:p>
    <w:p w:rsidR="00A26FCB" w:rsidRPr="009C6D70" w:rsidRDefault="00A26FCB" w:rsidP="00A26FCB">
      <w:pPr>
        <w:pStyle w:val="BodyText2"/>
        <w:spacing w:line="360" w:lineRule="auto"/>
        <w:ind w:firstLine="1440"/>
        <w:jc w:val="left"/>
      </w:pPr>
      <w:r w:rsidRPr="009C6D70">
        <w:t xml:space="preserve">Duquesne believes that allowing the Company to recover its universal service costs through a reconcilable rider is in the public interest because it will allow the Company to fully recover its actual universal service costs.  Under the Electricity Generation Customer Choice and Competition Act, the Company is entitled to fully recover its universal service costs.  </w:t>
      </w:r>
      <w:proofErr w:type="gramStart"/>
      <w:r w:rsidRPr="009C6D70">
        <w:t>66 Pa. C.S. §2802.</w:t>
      </w:r>
      <w:proofErr w:type="gramEnd"/>
      <w:r w:rsidRPr="009C6D70">
        <w:t xml:space="preserve">  In addition, </w:t>
      </w:r>
      <w:r w:rsidR="0038584B" w:rsidRPr="009C6D70">
        <w:t xml:space="preserve">Duquesne asserts, </w:t>
      </w:r>
      <w:r w:rsidRPr="009C6D70">
        <w:t>many other utilities, such as PPL Electric Utilities Corporation, Columbia Gas of Pennsylvania, UGI Penn Natural Gas, Inc. and UGI Central Penn Gas, Inc. have reconcilable riders for recovering universal service costs.  Duquesne Light St. 14-R, p. 19</w:t>
      </w:r>
      <w:r w:rsidR="00011EAD" w:rsidRPr="009C6D70">
        <w:t>;</w:t>
      </w:r>
      <w:r w:rsidR="001A2B3D" w:rsidRPr="009C6D70">
        <w:t xml:space="preserve"> Duquesne St. in Support, p. 9.</w:t>
      </w:r>
    </w:p>
    <w:p w:rsidR="004979A7" w:rsidRPr="009C6D70" w:rsidRDefault="004979A7" w:rsidP="00A26FCB">
      <w:pPr>
        <w:pStyle w:val="BodyText2"/>
        <w:spacing w:line="360" w:lineRule="auto"/>
        <w:ind w:firstLine="1440"/>
        <w:jc w:val="left"/>
      </w:pPr>
    </w:p>
    <w:p w:rsidR="00A26FCB" w:rsidRPr="009C6D70" w:rsidRDefault="00A26FCB" w:rsidP="00A26FCB">
      <w:pPr>
        <w:pStyle w:val="BodyText2"/>
        <w:spacing w:line="360" w:lineRule="auto"/>
        <w:ind w:firstLine="1440"/>
        <w:jc w:val="left"/>
      </w:pPr>
      <w:r w:rsidRPr="009C6D70">
        <w:lastRenderedPageBreak/>
        <w:t xml:space="preserve">Under the Settlement, the Joint Petitioners agreed to adopt the Company’s proposal to recover universal service costs through a reconcilable rider, with certain modifications as to how the Company will project costs under the Rider.  The Settlement also provides that Duquesne will provide a credit to reduce the CAP customer discounts to be recovered under the Rider if the monthly CAP enrollment exceeds the current level of 35,700 customers.  Specifically, the recoverable CAP discounts will be reduced by the number of CAP customers in excess of 35,700 times the average CAP credit and arrearage forgiveness cost times 10.43%.  </w:t>
      </w:r>
      <w:proofErr w:type="gramStart"/>
      <w:r w:rsidR="00E46C04" w:rsidRPr="009C6D70">
        <w:t xml:space="preserve">Joint Petition </w:t>
      </w:r>
      <w:r w:rsidRPr="009C6D70">
        <w:t>¶4</w:t>
      </w:r>
      <w:r w:rsidR="00E46C04" w:rsidRPr="009C6D70">
        <w:t>2, p. 11</w:t>
      </w:r>
      <w:r w:rsidRPr="009C6D70">
        <w:t>.</w:t>
      </w:r>
      <w:proofErr w:type="gramEnd"/>
      <w:r w:rsidR="005E3D7C" w:rsidRPr="009C6D70">
        <w:rPr>
          <w:rStyle w:val="FootnoteReference"/>
        </w:rPr>
        <w:footnoteReference w:id="23"/>
      </w:r>
      <w:r w:rsidRPr="009C6D70">
        <w:t xml:space="preserve">  </w:t>
      </w:r>
      <w:r w:rsidR="0038584B" w:rsidRPr="009C6D70">
        <w:t>According to Duquesne, t</w:t>
      </w:r>
      <w:r w:rsidRPr="009C6D70">
        <w:t xml:space="preserve">his provision resolves </w:t>
      </w:r>
      <w:r w:rsidR="00250B66">
        <w:t xml:space="preserve">the </w:t>
      </w:r>
      <w:r w:rsidRPr="009C6D70">
        <w:t>OCA’s contention that the Company’s level of uncollectible accounts expense recovered in base rates will decline when additional customers enroll in the CAP program.</w:t>
      </w:r>
      <w:r w:rsidR="001A2B3D" w:rsidRPr="009C6D70">
        <w:t xml:space="preserve">  Duquesne St. in Support, pp. 9-10.</w:t>
      </w:r>
    </w:p>
    <w:p w:rsidR="004979A7" w:rsidRPr="009C6D70" w:rsidRDefault="004979A7" w:rsidP="00A26FCB">
      <w:pPr>
        <w:pStyle w:val="BodyText2"/>
        <w:spacing w:line="360" w:lineRule="auto"/>
        <w:ind w:firstLine="1440"/>
        <w:jc w:val="left"/>
      </w:pPr>
    </w:p>
    <w:p w:rsidR="00A26FCB" w:rsidRPr="009C6D70" w:rsidRDefault="00A26FCB" w:rsidP="00A26FCB">
      <w:pPr>
        <w:pStyle w:val="BodyText2"/>
        <w:spacing w:line="360" w:lineRule="auto"/>
        <w:ind w:firstLine="1440"/>
        <w:jc w:val="left"/>
      </w:pPr>
      <w:r w:rsidRPr="009C6D70">
        <w:t>In addition, the Settlement provides that Duquesne will propose to the Commission a CAP</w:t>
      </w:r>
      <w:r w:rsidR="00603426">
        <w:t xml:space="preserve"> </w:t>
      </w:r>
      <w:proofErr w:type="gramStart"/>
      <w:r w:rsidRPr="009C6D70">
        <w:t>Plus</w:t>
      </w:r>
      <w:proofErr w:type="gramEnd"/>
      <w:r w:rsidRPr="009C6D70">
        <w:t xml:space="preserve"> </w:t>
      </w:r>
      <w:r w:rsidR="00603426">
        <w:t>P</w:t>
      </w:r>
      <w:r w:rsidRPr="009C6D70">
        <w:t xml:space="preserve">rogram with respect to its application of LIHEAP grants.  </w:t>
      </w:r>
      <w:r w:rsidR="00FB2652">
        <w:t xml:space="preserve">The </w:t>
      </w:r>
      <w:r w:rsidRPr="009C6D70">
        <w:t xml:space="preserve">OCA and </w:t>
      </w:r>
      <w:r w:rsidR="00FB2652">
        <w:t xml:space="preserve">the </w:t>
      </w:r>
      <w:r w:rsidRPr="009C6D70">
        <w:t xml:space="preserve">OTS proposed that Duquesne should implement a “CAP Plus” approach in conjunction with implementing a Department of Welfare change in the application of LIHEAP grants.  As explained in the rebuttal testimony of Michele </w:t>
      </w:r>
      <w:proofErr w:type="spellStart"/>
      <w:r w:rsidRPr="009C6D70">
        <w:t>Sandoe</w:t>
      </w:r>
      <w:proofErr w:type="spellEnd"/>
      <w:r w:rsidRPr="009C6D70">
        <w:t xml:space="preserve">, Duquesne had reservations about implementing a CAP </w:t>
      </w:r>
      <w:proofErr w:type="gramStart"/>
      <w:r w:rsidRPr="009C6D70">
        <w:t>Plus</w:t>
      </w:r>
      <w:proofErr w:type="gramEnd"/>
      <w:r w:rsidRPr="009C6D70">
        <w:t xml:space="preserve"> Plan given the effects on CAP customers.  Duquesne Light St. 10</w:t>
      </w:r>
      <w:r w:rsidR="0011005B">
        <w:noBreakHyphen/>
      </w:r>
      <w:r w:rsidRPr="009C6D70">
        <w:t>R, pp. 10-16.  Moreover, in</w:t>
      </w:r>
      <w:r w:rsidR="00ED157F" w:rsidRPr="009C6D70">
        <w:t xml:space="preserve"> </w:t>
      </w:r>
      <w:r w:rsidRPr="009C6D70">
        <w:t>the Company’s Submittal of its Three Year Universal Service Plan, Docket No. M-2010-2161220, while Duquesne did not submit a CAP</w:t>
      </w:r>
      <w:r w:rsidR="00603426">
        <w:t xml:space="preserve"> </w:t>
      </w:r>
      <w:proofErr w:type="gramStart"/>
      <w:r w:rsidRPr="009C6D70">
        <w:t>Plus</w:t>
      </w:r>
      <w:proofErr w:type="gramEnd"/>
      <w:r w:rsidRPr="009C6D70">
        <w:t xml:space="preserve"> </w:t>
      </w:r>
      <w:r w:rsidR="00603426">
        <w:t>P</w:t>
      </w:r>
      <w:r w:rsidRPr="009C6D70">
        <w:t>lan, Commissioner Coleman, in a separate Statement, asked for comment on whether Duquesne should adopt such a CAP</w:t>
      </w:r>
      <w:r w:rsidR="00603426">
        <w:t xml:space="preserve"> </w:t>
      </w:r>
      <w:r w:rsidRPr="009C6D70">
        <w:t xml:space="preserve">Plus </w:t>
      </w:r>
      <w:r w:rsidR="00603426">
        <w:t>P</w:t>
      </w:r>
      <w:r w:rsidRPr="009C6D70">
        <w:t xml:space="preserve">rogram.  The Company was willing to adopt such a program for settlement purposes and </w:t>
      </w:r>
      <w:r w:rsidR="003E5903" w:rsidRPr="009C6D70">
        <w:t xml:space="preserve">agreed to </w:t>
      </w:r>
      <w:r w:rsidRPr="009C6D70">
        <w:t>submit such a plan by April 1, 2011.</w:t>
      </w:r>
      <w:r w:rsidR="001A2B3D" w:rsidRPr="009C6D70">
        <w:t xml:space="preserve">  Duquesne St. in Support, p. 10.</w:t>
      </w:r>
    </w:p>
    <w:p w:rsidR="004979A7" w:rsidRPr="009C6D70" w:rsidRDefault="004979A7" w:rsidP="00A26FCB">
      <w:pPr>
        <w:pStyle w:val="BodyText2"/>
        <w:spacing w:line="360" w:lineRule="auto"/>
        <w:ind w:firstLine="1440"/>
        <w:jc w:val="left"/>
      </w:pPr>
    </w:p>
    <w:p w:rsidR="00D25882" w:rsidRDefault="00FB2652" w:rsidP="001A2B3D">
      <w:pPr>
        <w:pStyle w:val="BodyText2"/>
        <w:spacing w:line="360" w:lineRule="auto"/>
        <w:ind w:firstLine="1440"/>
        <w:jc w:val="left"/>
      </w:pPr>
      <w:r>
        <w:t xml:space="preserve">The </w:t>
      </w:r>
      <w:r w:rsidR="00A26FCB" w:rsidRPr="009C6D70">
        <w:t xml:space="preserve">OTS argued that the Company should limit eligibility for its CAP program to customers at or below 150% of the Federal Poverty Level (FPL).  Duquesne currently allows senior citizens to join the CAP program if their income levels are at or below 200% of the FPL.  </w:t>
      </w:r>
    </w:p>
    <w:p w:rsidR="00D25882" w:rsidRDefault="00D25882">
      <w:r>
        <w:br w:type="page"/>
      </w:r>
    </w:p>
    <w:p w:rsidR="001A2B3D" w:rsidRPr="009C6D70" w:rsidRDefault="00A26FCB" w:rsidP="007050B0">
      <w:pPr>
        <w:pStyle w:val="BodyText2"/>
        <w:spacing w:line="360" w:lineRule="auto"/>
        <w:ind w:firstLine="0"/>
        <w:jc w:val="left"/>
      </w:pPr>
      <w:r w:rsidRPr="009C6D70">
        <w:lastRenderedPageBreak/>
        <w:t xml:space="preserve">Duquesne Light St. 10-R, pp. 15-16.  Under the Settlement, Duquesne will not extend CAP eligibility to seniors with incomes above 150% of the FPL.  However, existing seniors currently on the CAP program will not be removed from the program as long as their income levels do not exceed 200% of the FPL.  </w:t>
      </w:r>
      <w:r w:rsidR="003E5903" w:rsidRPr="009C6D70">
        <w:t>According to Duquesne, t</w:t>
      </w:r>
      <w:r w:rsidRPr="009C6D70">
        <w:t>his Settlement provision aligns the Company’s CAP program eligibility with the Commission’s CAP policy statement.  Duquesne believes that this is a reasonable compromise of this issue.</w:t>
      </w:r>
      <w:r w:rsidR="001A2B3D" w:rsidRPr="009C6D70">
        <w:t xml:space="preserve">  Duquesne St. in Support, p. 10.</w:t>
      </w:r>
    </w:p>
    <w:p w:rsidR="00821DC6" w:rsidRPr="009C6D70" w:rsidRDefault="00821DC6" w:rsidP="001A2B3D">
      <w:pPr>
        <w:pStyle w:val="BodyText2"/>
        <w:spacing w:line="360" w:lineRule="auto"/>
        <w:ind w:firstLine="1440"/>
        <w:jc w:val="left"/>
      </w:pPr>
    </w:p>
    <w:p w:rsidR="00821DC6" w:rsidRPr="009C6D70" w:rsidRDefault="00821DC6" w:rsidP="008659C3">
      <w:pPr>
        <w:pStyle w:val="BodyText2"/>
        <w:numPr>
          <w:ilvl w:val="0"/>
          <w:numId w:val="23"/>
        </w:numPr>
        <w:tabs>
          <w:tab w:val="clear" w:pos="2160"/>
        </w:tabs>
        <w:spacing w:line="360" w:lineRule="auto"/>
        <w:ind w:left="1440"/>
        <w:jc w:val="left"/>
      </w:pPr>
      <w:r w:rsidRPr="009C6D70">
        <w:rPr>
          <w:u w:val="single"/>
        </w:rPr>
        <w:t>IRS Repair Allowance</w:t>
      </w:r>
    </w:p>
    <w:p w:rsidR="00821DC6" w:rsidRPr="009C6D70" w:rsidRDefault="00821DC6" w:rsidP="00821DC6">
      <w:pPr>
        <w:pStyle w:val="BodyText2"/>
        <w:spacing w:line="360" w:lineRule="auto"/>
        <w:jc w:val="left"/>
      </w:pPr>
    </w:p>
    <w:p w:rsidR="00821DC6" w:rsidRPr="009C6D70" w:rsidRDefault="00FB2652" w:rsidP="00821DC6">
      <w:pPr>
        <w:pStyle w:val="BodyText2"/>
        <w:spacing w:line="360" w:lineRule="auto"/>
        <w:ind w:firstLine="1440"/>
        <w:jc w:val="left"/>
      </w:pPr>
      <w:r>
        <w:t xml:space="preserve">The </w:t>
      </w:r>
      <w:r w:rsidR="00821DC6" w:rsidRPr="009C6D70">
        <w:t xml:space="preserve">OCA requested that the Company specify how it will account for changes in income tax accounting for repairs if the Company were to adopt the changes in the method for determining tax deductions for repairs under Revenue Procedure 2009-39.  </w:t>
      </w:r>
      <w:r w:rsidR="00CB39C7" w:rsidRPr="009C6D70">
        <w:t xml:space="preserve">Duquesne contends </w:t>
      </w:r>
      <w:r w:rsidR="00821DC6" w:rsidRPr="009C6D70">
        <w:t xml:space="preserve">that there are currently significant uncertainties associated with IRS rules for such an election.  Duquesne Light St. 9-R, pp. 5-12.  </w:t>
      </w:r>
      <w:r w:rsidR="00BF4912" w:rsidRPr="009C6D70">
        <w:t xml:space="preserve">In the Settlement, </w:t>
      </w:r>
      <w:r w:rsidR="00CB39C7" w:rsidRPr="009C6D70">
        <w:t>Duquesne</w:t>
      </w:r>
      <w:r w:rsidR="00821DC6" w:rsidRPr="009C6D70">
        <w:t xml:space="preserve"> agreed to specific rules for how it will reflect changes in its regulated books of account and for ratemaking if it implements the changes in income tax accounting for repairs under proposed IRS regulations issued in March 2008 and Revenue Procedure 2009-39.  </w:t>
      </w:r>
      <w:r w:rsidR="00844152" w:rsidRPr="009C6D70">
        <w:t>Joint Petition ¶50, pp. 13-14</w:t>
      </w:r>
      <w:r w:rsidR="00CB39C7" w:rsidRPr="009C6D70">
        <w:t>;</w:t>
      </w:r>
      <w:r w:rsidR="004F1BE5" w:rsidRPr="009C6D70">
        <w:rPr>
          <w:rStyle w:val="FootnoteReference"/>
        </w:rPr>
        <w:footnoteReference w:id="24"/>
      </w:r>
      <w:r w:rsidR="00CB39C7" w:rsidRPr="009C6D70">
        <w:t xml:space="preserve"> Duquesne St. in Support, p. 11.  </w:t>
      </w:r>
    </w:p>
    <w:p w:rsidR="007244AB" w:rsidRPr="009C6D70" w:rsidRDefault="007244AB" w:rsidP="00821DC6">
      <w:pPr>
        <w:pStyle w:val="BodyText2"/>
        <w:spacing w:line="360" w:lineRule="auto"/>
        <w:ind w:firstLine="1440"/>
        <w:jc w:val="left"/>
      </w:pPr>
    </w:p>
    <w:p w:rsidR="007244AB" w:rsidRPr="009C6D70" w:rsidRDefault="007244AB" w:rsidP="008659C3">
      <w:pPr>
        <w:pStyle w:val="BodyText2"/>
        <w:numPr>
          <w:ilvl w:val="0"/>
          <w:numId w:val="23"/>
        </w:numPr>
        <w:tabs>
          <w:tab w:val="clear" w:pos="2160"/>
        </w:tabs>
        <w:spacing w:line="360" w:lineRule="auto"/>
        <w:ind w:left="1440"/>
        <w:jc w:val="left"/>
      </w:pPr>
      <w:r w:rsidRPr="009C6D70">
        <w:rPr>
          <w:u w:val="single"/>
        </w:rPr>
        <w:t>Revenue Allocation</w:t>
      </w:r>
    </w:p>
    <w:p w:rsidR="007244AB" w:rsidRPr="009C6D70" w:rsidRDefault="007244AB" w:rsidP="007244AB">
      <w:pPr>
        <w:pStyle w:val="BodyText2"/>
        <w:spacing w:line="360" w:lineRule="auto"/>
        <w:jc w:val="left"/>
      </w:pPr>
    </w:p>
    <w:p w:rsidR="007050B0" w:rsidRDefault="002E75AB" w:rsidP="008038A5">
      <w:pPr>
        <w:pStyle w:val="BodyText2"/>
        <w:spacing w:line="360" w:lineRule="auto"/>
        <w:ind w:firstLine="1440"/>
        <w:jc w:val="left"/>
      </w:pPr>
      <w:r w:rsidRPr="009C6D70">
        <w:t>According to Duquesne, t</w:t>
      </w:r>
      <w:r w:rsidR="008038A5" w:rsidRPr="009C6D70">
        <w:t>he revenue allocatio</w:t>
      </w:r>
      <w:r w:rsidR="00794EF5" w:rsidRPr="009C6D70">
        <w:t>n under the Settlement is based</w:t>
      </w:r>
      <w:r w:rsidR="008038A5" w:rsidRPr="009C6D70">
        <w:t xml:space="preserve"> on a scaleback of the Company’s original proposed revenue allocation.  The principal revision to the Company’s original proposal</w:t>
      </w:r>
      <w:r w:rsidR="00D50135" w:rsidRPr="009C6D70">
        <w:t xml:space="preserve">, Duquesne </w:t>
      </w:r>
      <w:r w:rsidR="002F4C42" w:rsidRPr="009C6D70">
        <w:t>explains</w:t>
      </w:r>
      <w:r w:rsidR="00D50135" w:rsidRPr="009C6D70">
        <w:t xml:space="preserve">, </w:t>
      </w:r>
      <w:r w:rsidR="008038A5" w:rsidRPr="009C6D70">
        <w:t xml:space="preserve">was to eliminate proposed decreases for the lighting classes.  </w:t>
      </w:r>
      <w:r w:rsidRPr="009C6D70">
        <w:t xml:space="preserve">Duquesne </w:t>
      </w:r>
      <w:r w:rsidR="002F4C42" w:rsidRPr="009C6D70">
        <w:t xml:space="preserve">further </w:t>
      </w:r>
      <w:r w:rsidRPr="009C6D70">
        <w:t>explains that in order t</w:t>
      </w:r>
      <w:r w:rsidR="008038A5" w:rsidRPr="009C6D70">
        <w:t xml:space="preserve">o achieve the Settlement revenue allocation, the revenue reduction at the lower Settlement revenue increase and the elimination of the proposed rate decreases to the lighting classes were initially allocated to each of the other rate schedules to reduce the increase as proposed by the Company in proportion to their share of the </w:t>
      </w:r>
    </w:p>
    <w:p w:rsidR="007050B0" w:rsidRDefault="007050B0">
      <w:r>
        <w:br w:type="page"/>
      </w:r>
    </w:p>
    <w:p w:rsidR="008038A5" w:rsidRPr="009C6D70" w:rsidRDefault="008038A5" w:rsidP="007050B0">
      <w:pPr>
        <w:pStyle w:val="BodyText2"/>
        <w:spacing w:line="360" w:lineRule="auto"/>
        <w:ind w:firstLine="0"/>
        <w:jc w:val="left"/>
      </w:pPr>
      <w:proofErr w:type="gramStart"/>
      <w:r w:rsidRPr="009C6D70">
        <w:lastRenderedPageBreak/>
        <w:t>increase</w:t>
      </w:r>
      <w:proofErr w:type="gramEnd"/>
      <w:r w:rsidRPr="009C6D70">
        <w:t>.  The settling parties then agreed to minor modifications of the amounts allocated among the classes.  In addition, the settling parties agreed to move revenue increase dollars within certain classes, from GM</w:t>
      </w:r>
      <w:r w:rsidRPr="009C6D70">
        <w:rPr>
          <w:u w:val="single"/>
        </w:rPr>
        <w:t>&gt;</w:t>
      </w:r>
      <w:r w:rsidRPr="009C6D70">
        <w:t>25kW to rates GS, GM&lt;25kW and GMH, to lower the increase to customers served under GM</w:t>
      </w:r>
      <w:r w:rsidRPr="009C6D70">
        <w:rPr>
          <w:u w:val="single"/>
        </w:rPr>
        <w:t>&gt;</w:t>
      </w:r>
      <w:r w:rsidRPr="009C6D70">
        <w:t xml:space="preserve">25kW.  Since customers under the GS, GM&lt;25kW and GMH rate schedules were paying less than cost </w:t>
      </w:r>
      <w:r w:rsidR="0021129B">
        <w:t>of service under the Company’s Cost of S</w:t>
      </w:r>
      <w:r w:rsidRPr="009C6D70">
        <w:t xml:space="preserve">ervice </w:t>
      </w:r>
      <w:r w:rsidR="0021129B">
        <w:t>S</w:t>
      </w:r>
      <w:r w:rsidRPr="009C6D70">
        <w:t xml:space="preserve">tudy </w:t>
      </w:r>
      <w:r w:rsidR="0021129B" w:rsidRPr="009C6D70">
        <w:t>(COSS)</w:t>
      </w:r>
      <w:r w:rsidR="0021129B">
        <w:t xml:space="preserve"> </w:t>
      </w:r>
      <w:r w:rsidRPr="009C6D70">
        <w:t>and rate GM</w:t>
      </w:r>
      <w:r w:rsidRPr="009C6D70">
        <w:rPr>
          <w:u w:val="single"/>
        </w:rPr>
        <w:t>&gt;</w:t>
      </w:r>
      <w:r w:rsidRPr="009C6D70">
        <w:t>25kW customers were paying more than cost of service, the movement of dollars within the small commercial class moved all of these rate schedules closer to cost of service under the Company’s study.  In addition, the settling parties agreed to increase Rate SM revenue (the largest street lighting class) by 5.3%, less than half of the 11.7% system average revenue increase.</w:t>
      </w:r>
      <w:r w:rsidR="002E75AB" w:rsidRPr="009C6D70">
        <w:t xml:space="preserve">  Duquesne St. in Support, pp. 11-12.</w:t>
      </w:r>
      <w:r w:rsidRPr="009C6D70">
        <w:t xml:space="preserve"> </w:t>
      </w:r>
    </w:p>
    <w:p w:rsidR="002E75AB" w:rsidRPr="009C6D70" w:rsidRDefault="002E75AB" w:rsidP="008038A5">
      <w:pPr>
        <w:pStyle w:val="BodyText2"/>
        <w:spacing w:line="360" w:lineRule="auto"/>
        <w:ind w:firstLine="1440"/>
        <w:jc w:val="left"/>
      </w:pPr>
    </w:p>
    <w:p w:rsidR="008038A5" w:rsidRPr="009C6D70" w:rsidRDefault="00EA3FE7" w:rsidP="00694B2E">
      <w:pPr>
        <w:pStyle w:val="BodyText2"/>
        <w:tabs>
          <w:tab w:val="left" w:pos="7290"/>
        </w:tabs>
        <w:spacing w:line="360" w:lineRule="auto"/>
        <w:ind w:firstLine="1440"/>
        <w:jc w:val="left"/>
      </w:pPr>
      <w:r w:rsidRPr="009C6D70">
        <w:t>Duquesne argues that t</w:t>
      </w:r>
      <w:r w:rsidR="008038A5" w:rsidRPr="009C6D70">
        <w:t>he revenue allocation under the Settlement is reasonable for several reasons.  First, the revenue allocation initially proposed by the Company moved all classes closer to the system average return.  See Duquesne Light St. 14, pp. 5-6; OSBA St. 1, p</w:t>
      </w:r>
      <w:r w:rsidR="00694B2E">
        <w:noBreakHyphen/>
      </w:r>
      <w:r w:rsidR="008038A5" w:rsidRPr="009C6D70">
        <w:t>6.  The Settlement allocation continues to do this and moves the commercial classes closer to cost of service than originally proposed by the Company.</w:t>
      </w:r>
      <w:r w:rsidR="00750070" w:rsidRPr="009C6D70">
        <w:t xml:space="preserve">  Duquesne St. in Support, p. 12. </w:t>
      </w:r>
      <w:r w:rsidRPr="009C6D70">
        <w:t xml:space="preserve">  </w:t>
      </w:r>
      <w:r w:rsidR="008038A5" w:rsidRPr="009C6D70">
        <w:t xml:space="preserve">  </w:t>
      </w:r>
    </w:p>
    <w:p w:rsidR="00EA3FE7" w:rsidRPr="009C6D70" w:rsidRDefault="00EA3FE7" w:rsidP="008038A5">
      <w:pPr>
        <w:pStyle w:val="BodyText2"/>
        <w:spacing w:line="360" w:lineRule="auto"/>
        <w:ind w:firstLine="1440"/>
        <w:jc w:val="left"/>
      </w:pPr>
    </w:p>
    <w:p w:rsidR="008038A5" w:rsidRPr="009C6D70" w:rsidRDefault="008038A5" w:rsidP="008038A5">
      <w:pPr>
        <w:pStyle w:val="BodyText2"/>
        <w:spacing w:line="360" w:lineRule="auto"/>
        <w:ind w:firstLine="1440"/>
        <w:jc w:val="left"/>
      </w:pPr>
      <w:r w:rsidRPr="009C6D70">
        <w:t>Second, the Company’s proposed revenue allocation was within the range proposed by all parties.  Duquesne Light St. 14-R, p</w:t>
      </w:r>
      <w:r w:rsidR="003A18EE">
        <w:t>p</w:t>
      </w:r>
      <w:r w:rsidRPr="009C6D70">
        <w:t>.</w:t>
      </w:r>
      <w:r w:rsidR="00B77E3B">
        <w:t xml:space="preserve"> </w:t>
      </w:r>
      <w:r w:rsidRPr="009C6D70">
        <w:t>7</w:t>
      </w:r>
      <w:r w:rsidR="003A18EE">
        <w:t>-8</w:t>
      </w:r>
      <w:r w:rsidRPr="009C6D70">
        <w:t xml:space="preserve">.  In testimony, </w:t>
      </w:r>
      <w:r w:rsidR="00FB2652">
        <w:t xml:space="preserve">the </w:t>
      </w:r>
      <w:r w:rsidRPr="009C6D70">
        <w:t xml:space="preserve">OCA proposed to allocate substantially less of the overall increase to the residential class and more to the small C&amp;I and large C&amp;I classes than what Duquesne proposed.  OCA St. 2, p. 26.  </w:t>
      </w:r>
      <w:r w:rsidR="009E6258">
        <w:t xml:space="preserve">The </w:t>
      </w:r>
      <w:r w:rsidRPr="009C6D70">
        <w:t xml:space="preserve">OSBA proposed to allocate more of the increase to the residential class and less to the small C&amp;I and large C&amp;I classes than what Duquesne proposed.  OSBA St. 1, Schedules BK-3, BK-5.  DII proposed to allocate more of the increase to the residential and small C&amp;I classes and less to the large C&amp;I class than what Duquesne proposed.  DII St. 1, p. 8.  </w:t>
      </w:r>
      <w:r w:rsidR="002F4C42" w:rsidRPr="009C6D70">
        <w:t>Duquesne claims th</w:t>
      </w:r>
      <w:r w:rsidR="00B76AE9" w:rsidRPr="009C6D70">
        <w:t>e</w:t>
      </w:r>
      <w:r w:rsidR="002F4C42" w:rsidRPr="009C6D70">
        <w:t xml:space="preserve"> </w:t>
      </w:r>
      <w:r w:rsidRPr="009C6D70">
        <w:t>revenue allocation</w:t>
      </w:r>
      <w:r w:rsidR="002F4C42" w:rsidRPr="009C6D70">
        <w:t xml:space="preserve"> it initially proposed</w:t>
      </w:r>
      <w:r w:rsidRPr="009C6D70">
        <w:t xml:space="preserve"> balanced the interests of all parties.  In addition, </w:t>
      </w:r>
      <w:r w:rsidR="00B76AE9" w:rsidRPr="009C6D70">
        <w:t>according to Duquesne</w:t>
      </w:r>
      <w:r w:rsidRPr="009C6D70">
        <w:t>, the revenue allocation under the Settlement is based, in large part, on a scale-back of the Company’s proposed revenue increase of $87.3 million to $45.7 million.</w:t>
      </w:r>
      <w:r w:rsidR="00750070" w:rsidRPr="009C6D70">
        <w:t xml:space="preserve">  Duquesne St. in Support, p. 12.</w:t>
      </w:r>
    </w:p>
    <w:p w:rsidR="00B76AE9" w:rsidRPr="009C6D70" w:rsidRDefault="00B76AE9" w:rsidP="008038A5">
      <w:pPr>
        <w:pStyle w:val="BodyText2"/>
        <w:spacing w:line="360" w:lineRule="auto"/>
        <w:ind w:firstLine="1440"/>
        <w:jc w:val="left"/>
      </w:pPr>
    </w:p>
    <w:p w:rsidR="008038A5" w:rsidRPr="009C6D70" w:rsidRDefault="00B76AE9" w:rsidP="008038A5">
      <w:pPr>
        <w:pStyle w:val="BodyText2"/>
        <w:spacing w:line="360" w:lineRule="auto"/>
        <w:ind w:firstLine="1440"/>
        <w:jc w:val="left"/>
      </w:pPr>
      <w:r w:rsidRPr="009C6D70">
        <w:lastRenderedPageBreak/>
        <w:t xml:space="preserve">Duquesne asserts that </w:t>
      </w:r>
      <w:r w:rsidR="008038A5" w:rsidRPr="009C6D70">
        <w:t xml:space="preserve">it was reasonable to eliminate the proposed rate decreases to the lighting classes for purposes of achieving the Settlement.  In testimony, </w:t>
      </w:r>
      <w:r w:rsidR="00FB2652">
        <w:t xml:space="preserve">the </w:t>
      </w:r>
      <w:r w:rsidR="008038A5" w:rsidRPr="009C6D70">
        <w:t xml:space="preserve">OCA and </w:t>
      </w:r>
      <w:r w:rsidR="00FB2652">
        <w:t xml:space="preserve">the </w:t>
      </w:r>
      <w:r w:rsidR="008038A5" w:rsidRPr="009C6D70">
        <w:t xml:space="preserve">OSBA proposed no rate decreases for the lighting classes.  OCA St. 2, p. 25; OSBA St. 1, p. 7.  Generally, </w:t>
      </w:r>
      <w:r w:rsidR="00102B62" w:rsidRPr="009C6D70">
        <w:t xml:space="preserve">according to Duquesne, </w:t>
      </w:r>
      <w:r w:rsidR="008038A5" w:rsidRPr="009C6D70">
        <w:t>classes that are above cost of service have been moved closer to cost of service over time by increasing class rates less than the system average while rates for other classes below system average have been moved closer to cost of service over time by increasing class rates more than the system average.</w:t>
      </w:r>
      <w:r w:rsidR="00750070" w:rsidRPr="009C6D70">
        <w:t xml:space="preserve">  Duquesne St. in Support, pp. 12-13.</w:t>
      </w:r>
    </w:p>
    <w:p w:rsidR="00102B62" w:rsidRPr="009C6D70" w:rsidRDefault="00102B62" w:rsidP="008038A5">
      <w:pPr>
        <w:pStyle w:val="BodyText2"/>
        <w:spacing w:line="360" w:lineRule="auto"/>
        <w:ind w:firstLine="1440"/>
        <w:jc w:val="left"/>
      </w:pPr>
    </w:p>
    <w:p w:rsidR="008038A5" w:rsidRPr="009C6D70" w:rsidRDefault="008038A5" w:rsidP="008659C3">
      <w:pPr>
        <w:pStyle w:val="BodyText2"/>
        <w:spacing w:line="360" w:lineRule="auto"/>
        <w:ind w:firstLine="1440"/>
        <w:jc w:val="left"/>
      </w:pPr>
      <w:r w:rsidRPr="009C6D70">
        <w:t xml:space="preserve">Given all of these considerations, Duquesne believes that the revenue allocation under the Settlement is fully consistent with the Commonwealth Court’s decision in </w:t>
      </w:r>
      <w:r w:rsidRPr="009C6D70">
        <w:rPr>
          <w:i/>
        </w:rPr>
        <w:t>Lloyd v. Pa. P.U.C.</w:t>
      </w:r>
      <w:r w:rsidRPr="009C6D70">
        <w:t>, 904 A</w:t>
      </w:r>
      <w:r w:rsidR="00FB2652">
        <w:t>.</w:t>
      </w:r>
      <w:r w:rsidRPr="009C6D70">
        <w:t>2d 1010 (Pa. Cmwlth. 2006) (</w:t>
      </w:r>
      <w:r w:rsidRPr="009C6D70">
        <w:rPr>
          <w:i/>
        </w:rPr>
        <w:t>Lloyd</w:t>
      </w:r>
      <w:r w:rsidRPr="009C6D70">
        <w:t xml:space="preserve">) and prior Court precedent regarding revenue allocation.  </w:t>
      </w:r>
      <w:r w:rsidR="00102B62" w:rsidRPr="009C6D70">
        <w:t>Duquesne asserts that, i</w:t>
      </w:r>
      <w:r w:rsidRPr="009C6D70">
        <w:t xml:space="preserve">n compliance with </w:t>
      </w:r>
      <w:r w:rsidRPr="009C6D70">
        <w:rPr>
          <w:i/>
        </w:rPr>
        <w:t>Lloyd</w:t>
      </w:r>
      <w:r w:rsidRPr="009C6D70">
        <w:t xml:space="preserve">, the Settlement moves all rate classes closer to a system average return based </w:t>
      </w:r>
      <w:r w:rsidR="003A18EE">
        <w:t xml:space="preserve">on </w:t>
      </w:r>
      <w:r w:rsidRPr="009C6D70">
        <w:t>Duquesne</w:t>
      </w:r>
      <w:r w:rsidR="001D74F8" w:rsidRPr="009C6D70">
        <w:t>’</w:t>
      </w:r>
      <w:r w:rsidRPr="009C6D70">
        <w:t>s class cost of service study.</w:t>
      </w:r>
      <w:r w:rsidR="00102B62" w:rsidRPr="009C6D70">
        <w:t xml:space="preserve">  Duquesne further asserts that,</w:t>
      </w:r>
      <w:r w:rsidRPr="009C6D70">
        <w:t xml:space="preserve"> in considering the </w:t>
      </w:r>
      <w:r w:rsidRPr="009C6D70">
        <w:rPr>
          <w:i/>
          <w:iCs/>
        </w:rPr>
        <w:t xml:space="preserve">Lloyd </w:t>
      </w:r>
      <w:r w:rsidRPr="009C6D70">
        <w:t xml:space="preserve">decision, it is important to recognize that </w:t>
      </w:r>
      <w:r w:rsidRPr="009C6D70">
        <w:rPr>
          <w:i/>
          <w:iCs/>
        </w:rPr>
        <w:t>Lloyd</w:t>
      </w:r>
      <w:r w:rsidRPr="009C6D70">
        <w:t xml:space="preserve"> did not overturn prior judicial precedent with regard to revenue allocation and the applicability of cost of service studies.  </w:t>
      </w:r>
      <w:r w:rsidR="00102B62" w:rsidRPr="009C6D70">
        <w:t>According to Duquesne, w</w:t>
      </w:r>
      <w:r w:rsidRPr="009C6D70">
        <w:t xml:space="preserve">hen allocating revenues to the rate classes, the Commission is not required to adopt a single </w:t>
      </w:r>
      <w:r w:rsidR="0021129B">
        <w:t xml:space="preserve">COSS </w:t>
      </w:r>
      <w:r w:rsidRPr="009C6D70">
        <w:t xml:space="preserve">or strictly allocate revenues according to the study’s results.  </w:t>
      </w:r>
      <w:r w:rsidR="008B4F4B" w:rsidRPr="009C6D70">
        <w:t>Duquesne</w:t>
      </w:r>
      <w:r w:rsidR="001D74F8" w:rsidRPr="009C6D70">
        <w:t xml:space="preserve"> cites the case of </w:t>
      </w:r>
      <w:r w:rsidRPr="009C6D70">
        <w:rPr>
          <w:i/>
          <w:iCs/>
        </w:rPr>
        <w:t>Executone of Philadelphia, Inc. v. Pa. P.U.C.</w:t>
      </w:r>
      <w:r w:rsidRPr="009C6D70">
        <w:t>, 52 Pa. Cmwlth. 74, 79, 415 A.2d 445, 448 (1980)</w:t>
      </w:r>
      <w:r w:rsidR="001D74F8" w:rsidRPr="009C6D70">
        <w:t xml:space="preserve">.  In </w:t>
      </w:r>
      <w:r w:rsidR="001D74F8" w:rsidRPr="009C6D70">
        <w:rPr>
          <w:i/>
        </w:rPr>
        <w:t>Executon</w:t>
      </w:r>
      <w:r w:rsidR="008B4F4B" w:rsidRPr="009C6D70">
        <w:rPr>
          <w:i/>
        </w:rPr>
        <w:t>e</w:t>
      </w:r>
      <w:r w:rsidRPr="009C6D70">
        <w:t>, the Court stated as follows:</w:t>
      </w:r>
    </w:p>
    <w:p w:rsidR="008659C3" w:rsidRDefault="008659C3" w:rsidP="008659C3">
      <w:pPr>
        <w:pStyle w:val="IndentSingle"/>
        <w:spacing w:after="0"/>
      </w:pPr>
    </w:p>
    <w:p w:rsidR="008038A5" w:rsidRPr="009C6D70" w:rsidRDefault="008038A5" w:rsidP="008659C3">
      <w:pPr>
        <w:pStyle w:val="IndentSingle"/>
        <w:spacing w:after="0"/>
      </w:pPr>
      <w:r w:rsidRPr="009C6D70">
        <w:t>[T]here is no single correct cost study or methodology that can be used to answer all questions pertaining to costs; there are only appropriate and inappropriate cost analyses depending upon the type of service under study and the management and regulatory decision in question.</w:t>
      </w:r>
    </w:p>
    <w:p w:rsidR="001D74F8" w:rsidRPr="009C6D70" w:rsidRDefault="001D74F8" w:rsidP="001D74F8">
      <w:pPr>
        <w:pStyle w:val="BodyText"/>
      </w:pPr>
    </w:p>
    <w:p w:rsidR="00750070" w:rsidRPr="009C6D70" w:rsidRDefault="00750070" w:rsidP="00132B39">
      <w:pPr>
        <w:pStyle w:val="BodyText"/>
        <w:spacing w:after="0" w:line="360" w:lineRule="auto"/>
      </w:pPr>
      <w:r w:rsidRPr="009C6D70">
        <w:t>Duquesne St. in Support, p. 13.</w:t>
      </w:r>
    </w:p>
    <w:p w:rsidR="008659C3" w:rsidRDefault="008659C3" w:rsidP="00132B39">
      <w:pPr>
        <w:pStyle w:val="BodyText2"/>
        <w:spacing w:line="360" w:lineRule="auto"/>
        <w:ind w:firstLine="1440"/>
        <w:jc w:val="left"/>
      </w:pPr>
    </w:p>
    <w:p w:rsidR="008038A5" w:rsidRPr="009C6D70" w:rsidRDefault="001948E6" w:rsidP="00132B39">
      <w:pPr>
        <w:pStyle w:val="BodyText2"/>
        <w:spacing w:line="360" w:lineRule="auto"/>
        <w:ind w:firstLine="1440"/>
        <w:jc w:val="left"/>
      </w:pPr>
      <w:r w:rsidRPr="009C6D70">
        <w:t xml:space="preserve">Duquesne also </w:t>
      </w:r>
      <w:r w:rsidR="001F5D45" w:rsidRPr="009C6D70">
        <w:t xml:space="preserve">cites </w:t>
      </w:r>
      <w:r w:rsidR="008038A5" w:rsidRPr="009C6D70">
        <w:rPr>
          <w:i/>
          <w:iCs/>
        </w:rPr>
        <w:t>Peoples Natural Gas Co. v. Pa. P.U.C.</w:t>
      </w:r>
      <w:r w:rsidR="008038A5" w:rsidRPr="009C6D70">
        <w:t>, 47 Pa. Cmwlth. 512, 409 A.2d 446, 456 (1979), (</w:t>
      </w:r>
      <w:r w:rsidR="008038A5" w:rsidRPr="009C6D70">
        <w:rPr>
          <w:i/>
          <w:iCs/>
        </w:rPr>
        <w:t>Peoples</w:t>
      </w:r>
      <w:r w:rsidR="001F5D45" w:rsidRPr="009C6D70">
        <w:t xml:space="preserve">) wherein </w:t>
      </w:r>
      <w:r w:rsidR="008038A5" w:rsidRPr="009C6D70">
        <w:t>the Court stated as follows with respect to rate design:</w:t>
      </w:r>
    </w:p>
    <w:p w:rsidR="007050B0" w:rsidRDefault="007050B0">
      <w:r>
        <w:br w:type="page"/>
      </w:r>
    </w:p>
    <w:p w:rsidR="008038A5" w:rsidRPr="009C6D70" w:rsidRDefault="008038A5" w:rsidP="008B4F4B">
      <w:pPr>
        <w:pStyle w:val="IndentSingle"/>
        <w:spacing w:after="0"/>
      </w:pPr>
      <w:r w:rsidRPr="009C6D70">
        <w:lastRenderedPageBreak/>
        <w:t xml:space="preserve">. . . </w:t>
      </w:r>
      <w:proofErr w:type="gramStart"/>
      <w:r w:rsidRPr="009C6D70">
        <w:t>there</w:t>
      </w:r>
      <w:proofErr w:type="gramEnd"/>
      <w:r w:rsidRPr="009C6D70">
        <w:t xml:space="preserve"> is no set formula for determining proper ratios among the rates of different customer classes.  </w:t>
      </w:r>
      <w:r w:rsidRPr="009C6D70">
        <w:rPr>
          <w:i/>
          <w:iCs/>
        </w:rPr>
        <w:t xml:space="preserve">Natona Mills v. Pennsylvania Public Utility </w:t>
      </w:r>
      <w:r w:rsidRPr="009C6D70">
        <w:t xml:space="preserve">Commission, 179 Pa. Super. 263, 116 A.2d 876 (1955).  What is reasonable under the circumstances, the proper difference among rate classes, is an administrative question for the commission to decide. </w:t>
      </w:r>
      <w:r w:rsidR="00B77E3B">
        <w:t xml:space="preserve"> </w:t>
      </w:r>
      <w:r w:rsidRPr="009C6D70">
        <w:t>This court’s scope of review is limited.</w:t>
      </w:r>
    </w:p>
    <w:p w:rsidR="008B4F4B" w:rsidRPr="009C6D70" w:rsidRDefault="008B4F4B" w:rsidP="008B4F4B">
      <w:pPr>
        <w:pStyle w:val="BodyText"/>
      </w:pPr>
    </w:p>
    <w:p w:rsidR="009357B8" w:rsidRPr="009C6D70" w:rsidRDefault="009357B8" w:rsidP="008B4F4B">
      <w:pPr>
        <w:pStyle w:val="BodyText"/>
      </w:pPr>
      <w:r w:rsidRPr="009C6D70">
        <w:t>Duquesne St. in Support, p. 13</w:t>
      </w:r>
      <w:r w:rsidR="00B77E3B">
        <w:t>.</w:t>
      </w:r>
    </w:p>
    <w:p w:rsidR="009357B8" w:rsidRPr="009C6D70" w:rsidRDefault="009357B8" w:rsidP="008B4F4B">
      <w:pPr>
        <w:pStyle w:val="BodyText"/>
      </w:pPr>
    </w:p>
    <w:p w:rsidR="008038A5" w:rsidRPr="009C6D70" w:rsidRDefault="008038A5" w:rsidP="008038A5">
      <w:pPr>
        <w:pStyle w:val="BodyText2"/>
        <w:spacing w:line="360" w:lineRule="auto"/>
        <w:ind w:firstLine="1440"/>
        <w:jc w:val="left"/>
      </w:pPr>
      <w:r w:rsidRPr="009C6D70">
        <w:t xml:space="preserve">In addition, </w:t>
      </w:r>
      <w:r w:rsidR="006F6C06" w:rsidRPr="009C6D70">
        <w:t xml:space="preserve">according to Duquesne, </w:t>
      </w:r>
      <w:r w:rsidRPr="009C6D70">
        <w:t xml:space="preserve">the Commission has broad discretion in establishing a rate structure.  In </w:t>
      </w:r>
      <w:r w:rsidRPr="009C6D70">
        <w:rPr>
          <w:i/>
          <w:iCs/>
        </w:rPr>
        <w:t>Peoples</w:t>
      </w:r>
      <w:r w:rsidRPr="009C6D70">
        <w:t>, the Court also stated:</w:t>
      </w:r>
    </w:p>
    <w:p w:rsidR="00B77E3B" w:rsidRDefault="00B77E3B" w:rsidP="007B0FC5">
      <w:pPr>
        <w:pStyle w:val="IndentSingle"/>
        <w:spacing w:after="0"/>
      </w:pPr>
    </w:p>
    <w:p w:rsidR="008038A5" w:rsidRPr="009C6D70" w:rsidRDefault="008038A5" w:rsidP="007B0FC5">
      <w:pPr>
        <w:pStyle w:val="IndentSingle"/>
        <w:spacing w:after="0"/>
      </w:pPr>
      <w:r w:rsidRPr="009C6D70">
        <w:t xml:space="preserve">It is well settled that the establishment of a rate structure is an administrative function peculiarly within the expertise of the Commission.  </w:t>
      </w:r>
      <w:r w:rsidRPr="009C6D70">
        <w:rPr>
          <w:i/>
          <w:iCs/>
        </w:rPr>
        <w:t>Pittsburgh v. Pennsylvania Public Utility Commission</w:t>
      </w:r>
      <w:r w:rsidRPr="009C6D70">
        <w:t xml:space="preserve">, 168 Pa. Super. 95, 78 A.2d 35 (1951).  Further, this court has continually recognized that the findings of the Commission, if supported by competent evidence, will not be disturbed.  </w:t>
      </w:r>
      <w:r w:rsidRPr="009C6D70">
        <w:rPr>
          <w:i/>
          <w:iCs/>
        </w:rPr>
        <w:t>United States Steel Corp. v. Pennsylvania Public Utility Commission</w:t>
      </w:r>
      <w:r w:rsidRPr="009C6D70">
        <w:t xml:space="preserve">, 37 Pa. Cmwlth. 173, 390 A.2d 865 (1978); </w:t>
      </w:r>
      <w:r w:rsidRPr="009C6D70">
        <w:rPr>
          <w:i/>
          <w:iCs/>
        </w:rPr>
        <w:t>Philadelphia Suburban Transportation Co. v. Pennsylvania Public Utility Commission</w:t>
      </w:r>
      <w:r w:rsidRPr="009C6D70">
        <w:t>, 3 Pa. Cmwlth. 184, 192-94, 281 A.2d 179, 185 (1971).</w:t>
      </w:r>
    </w:p>
    <w:p w:rsidR="007B0FC5" w:rsidRPr="009C6D70" w:rsidRDefault="007B0FC5" w:rsidP="007B0FC5">
      <w:pPr>
        <w:pStyle w:val="BodyText2"/>
        <w:spacing w:line="360" w:lineRule="auto"/>
        <w:ind w:firstLine="0"/>
        <w:jc w:val="left"/>
      </w:pPr>
    </w:p>
    <w:p w:rsidR="008038A5" w:rsidRPr="009C6D70" w:rsidRDefault="008038A5" w:rsidP="007B0FC5">
      <w:pPr>
        <w:pStyle w:val="BodyText2"/>
        <w:spacing w:line="360" w:lineRule="auto"/>
        <w:ind w:firstLine="0"/>
        <w:jc w:val="left"/>
      </w:pPr>
      <w:r w:rsidRPr="009C6D70">
        <w:rPr>
          <w:i/>
          <w:iCs/>
        </w:rPr>
        <w:t>Peoples</w:t>
      </w:r>
      <w:r w:rsidRPr="009C6D70">
        <w:t xml:space="preserve">, 47 Pa. Cmwlth., </w:t>
      </w:r>
      <w:r w:rsidRPr="009C6D70">
        <w:rPr>
          <w:i/>
          <w:iCs/>
        </w:rPr>
        <w:t>supra</w:t>
      </w:r>
      <w:r w:rsidRPr="009C6D70">
        <w:t xml:space="preserve"> at 533, 409 A.2d at 456</w:t>
      </w:r>
      <w:r w:rsidR="009357B8" w:rsidRPr="009C6D70">
        <w:t>; Duquesne St. in Support, p. 14</w:t>
      </w:r>
      <w:r w:rsidRPr="009C6D70">
        <w:t>.</w:t>
      </w:r>
    </w:p>
    <w:p w:rsidR="008038A5" w:rsidRPr="009C6D70" w:rsidRDefault="008038A5" w:rsidP="008038A5">
      <w:pPr>
        <w:pStyle w:val="BodyText2"/>
        <w:spacing w:line="360" w:lineRule="auto"/>
        <w:ind w:firstLine="1440"/>
        <w:jc w:val="left"/>
      </w:pPr>
    </w:p>
    <w:p w:rsidR="008038A5" w:rsidRPr="009C6D70" w:rsidRDefault="00501579" w:rsidP="008038A5">
      <w:pPr>
        <w:pStyle w:val="BodyText2"/>
        <w:spacing w:line="360" w:lineRule="auto"/>
        <w:ind w:firstLine="1440"/>
        <w:jc w:val="left"/>
      </w:pPr>
      <w:r w:rsidRPr="009C6D70">
        <w:rPr>
          <w:color w:val="000000"/>
        </w:rPr>
        <w:t xml:space="preserve">Relying on </w:t>
      </w:r>
      <w:r w:rsidR="008038A5" w:rsidRPr="009C6D70">
        <w:rPr>
          <w:i/>
          <w:iCs/>
          <w:color w:val="000000"/>
        </w:rPr>
        <w:t>Lloyd</w:t>
      </w:r>
      <w:r w:rsidR="008038A5" w:rsidRPr="009C6D70">
        <w:rPr>
          <w:color w:val="000000"/>
        </w:rPr>
        <w:t xml:space="preserve"> and the other cases cited above</w:t>
      </w:r>
      <w:r w:rsidRPr="009C6D70">
        <w:rPr>
          <w:color w:val="000000"/>
        </w:rPr>
        <w:t xml:space="preserve">, Duquesne asserts that </w:t>
      </w:r>
      <w:r w:rsidR="008038A5" w:rsidRPr="009C6D70">
        <w:rPr>
          <w:color w:val="000000"/>
        </w:rPr>
        <w:t xml:space="preserve">the Commission retains considerable discretion in designing rates, is not required to follow any particular cost of service study, and can consider other factors, including gradualism, in designing just and reasonable rates.  </w:t>
      </w:r>
      <w:r w:rsidR="00430968" w:rsidRPr="009C6D70">
        <w:rPr>
          <w:color w:val="000000"/>
        </w:rPr>
        <w:t>Duquesne contends that t</w:t>
      </w:r>
      <w:r w:rsidR="008038A5" w:rsidRPr="009C6D70">
        <w:rPr>
          <w:color w:val="000000"/>
        </w:rPr>
        <w:t>he revenue allocation under the Settlement reflects a movement towards cost of service for all rate classes unde</w:t>
      </w:r>
      <w:r w:rsidR="00430968" w:rsidRPr="009C6D70">
        <w:rPr>
          <w:color w:val="000000"/>
        </w:rPr>
        <w:t>r Duquesne’</w:t>
      </w:r>
      <w:r w:rsidR="008038A5" w:rsidRPr="009C6D70">
        <w:rPr>
          <w:color w:val="000000"/>
        </w:rPr>
        <w:t xml:space="preserve">s class cost of service study.  As such, the Settlement’s proposed revenue allocation is fully consistent with the </w:t>
      </w:r>
      <w:r w:rsidR="008038A5" w:rsidRPr="009C6D70">
        <w:rPr>
          <w:i/>
          <w:iCs/>
          <w:color w:val="000000"/>
        </w:rPr>
        <w:t>Lloyd</w:t>
      </w:r>
      <w:r w:rsidR="008038A5" w:rsidRPr="009C6D70">
        <w:rPr>
          <w:color w:val="000000"/>
        </w:rPr>
        <w:t xml:space="preserve"> decision and other relevant precedent regarding revenue allocation</w:t>
      </w:r>
      <w:r w:rsidR="00FB2652">
        <w:rPr>
          <w:color w:val="000000"/>
        </w:rPr>
        <w:t>, according to Duquesne</w:t>
      </w:r>
      <w:r w:rsidR="008038A5" w:rsidRPr="009C6D70">
        <w:rPr>
          <w:color w:val="000000"/>
        </w:rPr>
        <w:t>.</w:t>
      </w:r>
      <w:r w:rsidR="009357B8" w:rsidRPr="009C6D70">
        <w:rPr>
          <w:color w:val="000000"/>
        </w:rPr>
        <w:t xml:space="preserve">  </w:t>
      </w:r>
      <w:r w:rsidR="009357B8" w:rsidRPr="009C6D70">
        <w:t>Duquesne St. in Support, p. 14.</w:t>
      </w:r>
    </w:p>
    <w:p w:rsidR="00AB1D8F" w:rsidRPr="009C6D70" w:rsidRDefault="00AB1D8F" w:rsidP="008038A5">
      <w:pPr>
        <w:pStyle w:val="BodyText2"/>
        <w:spacing w:line="360" w:lineRule="auto"/>
        <w:ind w:firstLine="1440"/>
        <w:jc w:val="left"/>
      </w:pPr>
    </w:p>
    <w:p w:rsidR="00FB2652" w:rsidRDefault="00FB2652">
      <w:pPr>
        <w:rPr>
          <w:u w:val="single"/>
        </w:rPr>
      </w:pPr>
      <w:r>
        <w:rPr>
          <w:u w:val="single"/>
        </w:rPr>
        <w:br w:type="page"/>
      </w:r>
    </w:p>
    <w:p w:rsidR="00AB1D8F" w:rsidRPr="009C6D70" w:rsidRDefault="00AB1D8F" w:rsidP="00132B39">
      <w:pPr>
        <w:pStyle w:val="BodyText2"/>
        <w:numPr>
          <w:ilvl w:val="0"/>
          <w:numId w:val="23"/>
        </w:numPr>
        <w:tabs>
          <w:tab w:val="clear" w:pos="2160"/>
        </w:tabs>
        <w:spacing w:line="360" w:lineRule="auto"/>
        <w:ind w:left="1440"/>
        <w:jc w:val="left"/>
      </w:pPr>
      <w:r w:rsidRPr="009C6D70">
        <w:rPr>
          <w:u w:val="single"/>
        </w:rPr>
        <w:lastRenderedPageBreak/>
        <w:t>Rate Design</w:t>
      </w:r>
    </w:p>
    <w:p w:rsidR="00AB1D8F" w:rsidRPr="009C6D70" w:rsidRDefault="00AB1D8F" w:rsidP="00AB1D8F">
      <w:pPr>
        <w:pStyle w:val="BodyText2"/>
        <w:spacing w:line="360" w:lineRule="auto"/>
        <w:jc w:val="left"/>
      </w:pPr>
    </w:p>
    <w:p w:rsidR="00AB1D8F" w:rsidRPr="009C6D70" w:rsidRDefault="008779F9" w:rsidP="00AB1D8F">
      <w:pPr>
        <w:pStyle w:val="BodyText2"/>
        <w:spacing w:line="360" w:lineRule="auto"/>
        <w:ind w:firstLine="1440"/>
        <w:jc w:val="left"/>
      </w:pPr>
      <w:r w:rsidRPr="009C6D70">
        <w:t>T</w:t>
      </w:r>
      <w:r w:rsidR="00AB1D8F" w:rsidRPr="009C6D70">
        <w:t xml:space="preserve">he Joint Petitioners agreed that the customer charge for all residential customers, taking service under </w:t>
      </w:r>
      <w:r w:rsidR="008210E6">
        <w:t>R</w:t>
      </w:r>
      <w:r w:rsidR="00AB1D8F" w:rsidRPr="009C6D70">
        <w:t>ate Schedules RS, RH and RA, would remain at $7.00 per month.</w:t>
      </w:r>
      <w:r w:rsidRPr="009C6D70">
        <w:t xml:space="preserve">  Joint Petition ¶29, p. 8.</w:t>
      </w:r>
      <w:r w:rsidRPr="009C6D70">
        <w:rPr>
          <w:rStyle w:val="FootnoteReference"/>
        </w:rPr>
        <w:footnoteReference w:id="25"/>
      </w:r>
      <w:r w:rsidR="00AB1D8F" w:rsidRPr="009C6D70">
        <w:t xml:space="preserve">  The Company originally proposed to increase the Residential customer charges to $8.50 per month.  Duquesne Light St. 14, p. 7.  </w:t>
      </w:r>
      <w:r w:rsidR="007E5D49" w:rsidRPr="009C6D70">
        <w:t>B</w:t>
      </w:r>
      <w:r w:rsidR="00AB1D8F" w:rsidRPr="009C6D70">
        <w:t xml:space="preserve">oth </w:t>
      </w:r>
      <w:r w:rsidR="00C07784">
        <w:t xml:space="preserve">the </w:t>
      </w:r>
      <w:r w:rsidR="00AB1D8F" w:rsidRPr="009C6D70">
        <w:t xml:space="preserve">OCA and </w:t>
      </w:r>
      <w:r w:rsidR="00C07784">
        <w:t xml:space="preserve">the </w:t>
      </w:r>
      <w:r w:rsidR="00AB1D8F" w:rsidRPr="009C6D70">
        <w:t xml:space="preserve">OTS proposed no increase to the current residential customer charges of $7.00 per month.  The Settlement adopts the OCA and OTS position.  Duquesne believes its </w:t>
      </w:r>
      <w:r w:rsidR="0021129B">
        <w:t xml:space="preserve">COSS </w:t>
      </w:r>
      <w:r w:rsidR="00AB1D8F" w:rsidRPr="009C6D70">
        <w:t>supports higher residential customer charges</w:t>
      </w:r>
      <w:r w:rsidR="007E5D49" w:rsidRPr="009C6D70">
        <w:t xml:space="preserve"> but</w:t>
      </w:r>
      <w:r w:rsidR="00AB1D8F" w:rsidRPr="009C6D70">
        <w:t xml:space="preserve"> </w:t>
      </w:r>
      <w:r w:rsidR="007E5D49" w:rsidRPr="009C6D70">
        <w:t xml:space="preserve">it </w:t>
      </w:r>
      <w:r w:rsidR="00AB1D8F" w:rsidRPr="009C6D70">
        <w:t>recognizes the impact that a higher customer charge may have on customers</w:t>
      </w:r>
      <w:r w:rsidR="007E5D49" w:rsidRPr="009C6D70">
        <w:t>,</w:t>
      </w:r>
      <w:r w:rsidR="00AB1D8F" w:rsidRPr="009C6D70">
        <w:t xml:space="preserve"> and has accepted the OCA and OTS position</w:t>
      </w:r>
      <w:r w:rsidR="00FD6E5F" w:rsidRPr="009C6D70">
        <w:t xml:space="preserve">.  Duquesne St. in Support, pp. 14-15.  </w:t>
      </w:r>
    </w:p>
    <w:p w:rsidR="00AB1D8F" w:rsidRPr="009C6D70" w:rsidRDefault="00AB1D8F" w:rsidP="00AB1D8F">
      <w:pPr>
        <w:pStyle w:val="BodyText2"/>
        <w:spacing w:line="360" w:lineRule="auto"/>
        <w:ind w:firstLine="1440"/>
        <w:jc w:val="left"/>
      </w:pPr>
    </w:p>
    <w:p w:rsidR="00AB1D8F" w:rsidRPr="009C6D70" w:rsidRDefault="00FD6E5F" w:rsidP="00AB1D8F">
      <w:pPr>
        <w:pStyle w:val="BodyText2"/>
        <w:spacing w:line="360" w:lineRule="auto"/>
        <w:ind w:firstLine="1440"/>
        <w:jc w:val="left"/>
      </w:pPr>
      <w:r w:rsidRPr="009C6D70">
        <w:t>T</w:t>
      </w:r>
      <w:r w:rsidR="00AB1D8F" w:rsidRPr="009C6D70">
        <w:t>he Joint Petitioners also agreed to keep the monthly customer charges for Rate GS customers at $7.00 per month and for Rate GM customers with less than 25 kW of demand at $30.00 per month.  In addition, the Joint Petitioners agreed to increase the customer charge for Rate GM customers with demand equal to or greater than 25 kW from $30.00 per month to $43.00 per month.  Duquesne originally proposed customer charges of $8.50 per month for Rate GS customers and $56.35 per month for all Rate GM customers.  Duquesne Light St. 14, Exhibit WVP-1.  The Settlement adopts the customer charges for Rate GS and Rate GM customers proposed by the OTS</w:t>
      </w:r>
      <w:r w:rsidRPr="009C6D70">
        <w:t xml:space="preserve">.  </w:t>
      </w:r>
      <w:r w:rsidR="00AB1D8F" w:rsidRPr="009C6D70">
        <w:t>OTS St. 3, pp. 33-36.  Duquesne</w:t>
      </w:r>
      <w:r w:rsidRPr="009C6D70">
        <w:t xml:space="preserve"> </w:t>
      </w:r>
      <w:r w:rsidR="00AB1D8F" w:rsidRPr="009C6D70">
        <w:t xml:space="preserve">does not agree with </w:t>
      </w:r>
      <w:r w:rsidR="00E32DD2">
        <w:t xml:space="preserve">the </w:t>
      </w:r>
      <w:r w:rsidR="00AB1D8F" w:rsidRPr="009C6D70">
        <w:t>OTS’ calculation of customer charges</w:t>
      </w:r>
      <w:r w:rsidRPr="009C6D70">
        <w:t xml:space="preserve"> but it </w:t>
      </w:r>
      <w:r w:rsidR="00AB1D8F" w:rsidRPr="009C6D70">
        <w:t>accepted the OTS position</w:t>
      </w:r>
      <w:r w:rsidRPr="009C6D70">
        <w:t xml:space="preserve"> in the Settlement.  </w:t>
      </w:r>
      <w:r w:rsidR="009B6CD7" w:rsidRPr="009C6D70">
        <w:t xml:space="preserve">Duquesne St. in Support, p. 15.  </w:t>
      </w:r>
    </w:p>
    <w:p w:rsidR="00AB1D8F" w:rsidRPr="009C6D70" w:rsidRDefault="00AB1D8F" w:rsidP="00AB1D8F">
      <w:pPr>
        <w:pStyle w:val="BodyText2"/>
        <w:spacing w:line="360" w:lineRule="auto"/>
        <w:ind w:firstLine="1440"/>
        <w:jc w:val="left"/>
      </w:pPr>
    </w:p>
    <w:p w:rsidR="007050B0" w:rsidRDefault="00AB1D8F" w:rsidP="00AB1D8F">
      <w:pPr>
        <w:pStyle w:val="BodyText2"/>
        <w:spacing w:line="360" w:lineRule="auto"/>
        <w:ind w:firstLine="1440"/>
        <w:jc w:val="left"/>
      </w:pPr>
      <w:r w:rsidRPr="009C6D70">
        <w:t xml:space="preserve">DII disagreed with several of the Company’s proposed rate design changes for large C&amp;I customers.  Specifically, DII disagreed with the Company’s proposal to eliminate declining block demand charges for Rates L and GL.  DII St. 1, p. 3.  DII also requested that the Untransformed Service Credit under Rate L be increased by the same percentage as Rate L distribution rates.  In addition, DII requested that the Company retain Tariff Rule 4 which allows the Company to enter into special contracts with industrial or commercial customers having </w:t>
      </w:r>
    </w:p>
    <w:p w:rsidR="007050B0" w:rsidRDefault="007050B0">
      <w:r>
        <w:br w:type="page"/>
      </w:r>
    </w:p>
    <w:p w:rsidR="00AB1D8F" w:rsidRPr="009C6D70" w:rsidRDefault="00AB1D8F" w:rsidP="007050B0">
      <w:pPr>
        <w:pStyle w:val="BodyText2"/>
        <w:spacing w:line="360" w:lineRule="auto"/>
        <w:ind w:firstLine="0"/>
        <w:jc w:val="left"/>
      </w:pPr>
      <w:proofErr w:type="gramStart"/>
      <w:r w:rsidRPr="009C6D70">
        <w:lastRenderedPageBreak/>
        <w:t>loads</w:t>
      </w:r>
      <w:proofErr w:type="gramEnd"/>
      <w:r w:rsidRPr="009C6D70">
        <w:t xml:space="preserve"> of at least 100 kW.  DII St. 1, p. 3.  </w:t>
      </w:r>
      <w:r w:rsidR="009B6CD7" w:rsidRPr="009C6D70">
        <w:t xml:space="preserve">Duquesne </w:t>
      </w:r>
      <w:r w:rsidRPr="009C6D70">
        <w:t>accepted DII’s proposed rate design changes</w:t>
      </w:r>
      <w:r w:rsidR="009B6CD7" w:rsidRPr="009C6D70">
        <w:t xml:space="preserve"> in the Settlement.</w:t>
      </w:r>
      <w:r w:rsidRPr="009C6D70">
        <w:t xml:space="preserve">  </w:t>
      </w:r>
      <w:r w:rsidR="009B6CD7" w:rsidRPr="009C6D70">
        <w:t>According to Duquesne, t</w:t>
      </w:r>
      <w:r w:rsidRPr="009C6D70">
        <w:t>hese rate design changes will benefit larger C&amp;I customers with high demands.  Duquesne</w:t>
      </w:r>
      <w:r w:rsidR="009B6CD7" w:rsidRPr="009C6D70">
        <w:t xml:space="preserve"> </w:t>
      </w:r>
      <w:r w:rsidRPr="009C6D70">
        <w:t>believes that this is reasonable.  In addition,</w:t>
      </w:r>
      <w:r w:rsidR="009B6CD7" w:rsidRPr="009C6D70">
        <w:t xml:space="preserve"> Duquesne claims that </w:t>
      </w:r>
      <w:r w:rsidRPr="009C6D70">
        <w:t xml:space="preserve">retaining Tariff Rule 4 will give </w:t>
      </w:r>
      <w:r w:rsidR="009B6CD7" w:rsidRPr="009C6D70">
        <w:t>the Company</w:t>
      </w:r>
      <w:r w:rsidRPr="009C6D70">
        <w:t xml:space="preserve"> additional flexibility to retain or increase load from C&amp;I customers with demands of 100 kW or greater.</w:t>
      </w:r>
      <w:r w:rsidR="009B6CD7" w:rsidRPr="009C6D70">
        <w:t xml:space="preserve">  Duquesne St. in Support, p. 15.</w:t>
      </w:r>
    </w:p>
    <w:p w:rsidR="00AB1D8F" w:rsidRPr="009C6D70" w:rsidRDefault="00AB1D8F" w:rsidP="00AB1D8F">
      <w:pPr>
        <w:pStyle w:val="BodyText2"/>
        <w:spacing w:line="360" w:lineRule="auto"/>
        <w:ind w:firstLine="1440"/>
        <w:jc w:val="left"/>
      </w:pPr>
    </w:p>
    <w:p w:rsidR="00AB1D8F" w:rsidRPr="009C6D70" w:rsidRDefault="009B6CD7" w:rsidP="00AB1D8F">
      <w:pPr>
        <w:pStyle w:val="BodyText2"/>
        <w:spacing w:line="360" w:lineRule="auto"/>
        <w:ind w:firstLine="1440"/>
        <w:jc w:val="left"/>
      </w:pPr>
      <w:r w:rsidRPr="009C6D70">
        <w:t>T</w:t>
      </w:r>
      <w:r w:rsidR="00AB1D8F" w:rsidRPr="009C6D70">
        <w:t>he Joint Petitioners also agreed that Duquesne</w:t>
      </w:r>
      <w:r w:rsidR="006B6735" w:rsidRPr="009C6D70">
        <w:t xml:space="preserve"> w</w:t>
      </w:r>
      <w:r w:rsidR="00AB1D8F" w:rsidRPr="009C6D70">
        <w:t>ill recover all of its consumer education costs through Rider No. 1.  Currently, Duquesne</w:t>
      </w:r>
      <w:r w:rsidR="006B6735" w:rsidRPr="009C6D70">
        <w:t xml:space="preserve"> </w:t>
      </w:r>
      <w:r w:rsidR="00AB1D8F" w:rsidRPr="009C6D70">
        <w:t>recovers certain of its consumer education costs in base rates and the remainder through Rider No. 1.  Duquesne Light St. 14</w:t>
      </w:r>
      <w:r w:rsidR="008210E6">
        <w:noBreakHyphen/>
      </w:r>
      <w:r w:rsidR="00AB1D8F" w:rsidRPr="009C6D70">
        <w:t xml:space="preserve">R, p. 13.  </w:t>
      </w:r>
      <w:r w:rsidR="00C07784">
        <w:t xml:space="preserve">The </w:t>
      </w:r>
      <w:r w:rsidR="00AB1D8F" w:rsidRPr="009C6D70">
        <w:t>OTS argued that the Company should recover all of its consumer education costs through Rider No. 1 and none through base rates.  OTS St. 2, p. 24.  Duquesne believes this is a reasonable position and has agreed to accept it</w:t>
      </w:r>
      <w:r w:rsidR="006B6735" w:rsidRPr="009C6D70">
        <w:t xml:space="preserve">.  </w:t>
      </w:r>
      <w:r w:rsidR="00AB1D8F" w:rsidRPr="009C6D70">
        <w:t xml:space="preserve">As of April 21, 2011, the </w:t>
      </w:r>
      <w:r w:rsidR="006B6735" w:rsidRPr="009C6D70">
        <w:t xml:space="preserve">proposed </w:t>
      </w:r>
      <w:r w:rsidR="00AB1D8F" w:rsidRPr="009C6D70">
        <w:t xml:space="preserve">effective date of rates in this proceeding, </w:t>
      </w:r>
      <w:r w:rsidR="00402468" w:rsidRPr="009C6D70">
        <w:t xml:space="preserve">Duquesne agreed to remove </w:t>
      </w:r>
      <w:r w:rsidR="00AB1D8F" w:rsidRPr="009C6D70">
        <w:t>all consumer education costs</w:t>
      </w:r>
      <w:r w:rsidR="00402468" w:rsidRPr="009C6D70">
        <w:t xml:space="preserve"> </w:t>
      </w:r>
      <w:r w:rsidR="00AB1D8F" w:rsidRPr="009C6D70">
        <w:t xml:space="preserve">from base rates and </w:t>
      </w:r>
      <w:r w:rsidR="00402468" w:rsidRPr="009C6D70">
        <w:t>to</w:t>
      </w:r>
      <w:r w:rsidR="008210E6">
        <w:t xml:space="preserve"> </w:t>
      </w:r>
      <w:r w:rsidR="00AB1D8F" w:rsidRPr="009C6D70">
        <w:t>recover these costs through Rider No. 1.</w:t>
      </w:r>
      <w:r w:rsidR="00402468" w:rsidRPr="009C6D70">
        <w:t xml:space="preserve">  Duquesne St. in Support, p. 16.</w:t>
      </w:r>
    </w:p>
    <w:p w:rsidR="00A449D3" w:rsidRPr="009C6D70" w:rsidRDefault="00A449D3" w:rsidP="00A449D3">
      <w:pPr>
        <w:pStyle w:val="BodyText2"/>
        <w:spacing w:line="360" w:lineRule="auto"/>
        <w:ind w:firstLine="0"/>
        <w:jc w:val="left"/>
      </w:pPr>
    </w:p>
    <w:p w:rsidR="00A449D3" w:rsidRPr="009C6D70" w:rsidRDefault="003756FC" w:rsidP="003756FC">
      <w:pPr>
        <w:pStyle w:val="BodyText2"/>
        <w:spacing w:line="360" w:lineRule="auto"/>
        <w:ind w:firstLine="0"/>
        <w:jc w:val="left"/>
      </w:pPr>
      <w:r w:rsidRPr="009C6D70">
        <w:t>B.</w:t>
      </w:r>
      <w:r w:rsidRPr="009C6D70">
        <w:tab/>
      </w:r>
      <w:r w:rsidRPr="009C6D70">
        <w:rPr>
          <w:u w:val="single"/>
        </w:rPr>
        <w:t>OTS</w:t>
      </w:r>
      <w:r w:rsidR="003A18EE">
        <w:rPr>
          <w:u w:val="single"/>
        </w:rPr>
        <w:t>’</w:t>
      </w:r>
      <w:r w:rsidRPr="009C6D70">
        <w:rPr>
          <w:u w:val="single"/>
        </w:rPr>
        <w:t xml:space="preserve"> Position</w:t>
      </w:r>
    </w:p>
    <w:p w:rsidR="003756FC" w:rsidRPr="009C6D70" w:rsidRDefault="003756FC" w:rsidP="003756FC">
      <w:pPr>
        <w:pStyle w:val="BodyText2"/>
        <w:spacing w:line="360" w:lineRule="auto"/>
        <w:ind w:firstLine="0"/>
        <w:jc w:val="left"/>
      </w:pPr>
    </w:p>
    <w:p w:rsidR="002B07F2" w:rsidRPr="009C6D70" w:rsidRDefault="002B07F2" w:rsidP="003756FC">
      <w:pPr>
        <w:pStyle w:val="BodyText2"/>
        <w:spacing w:line="360" w:lineRule="auto"/>
        <w:ind w:firstLine="0"/>
        <w:jc w:val="left"/>
      </w:pPr>
      <w:r w:rsidRPr="009C6D70">
        <w:tab/>
      </w:r>
      <w:r w:rsidRPr="009C6D70">
        <w:tab/>
      </w:r>
      <w:r w:rsidR="00CA1E61" w:rsidRPr="009C6D70">
        <w:t xml:space="preserve">The </w:t>
      </w:r>
      <w:r w:rsidRPr="009C6D70">
        <w:t>OTS agreed that the Settlement was in the public interest for a number of reasons, including the following:</w:t>
      </w:r>
    </w:p>
    <w:p w:rsidR="002B07F2" w:rsidRPr="009C6D70" w:rsidRDefault="002B07F2" w:rsidP="003756FC">
      <w:pPr>
        <w:pStyle w:val="BodyText2"/>
        <w:spacing w:line="360" w:lineRule="auto"/>
        <w:ind w:firstLine="0"/>
        <w:jc w:val="left"/>
      </w:pPr>
    </w:p>
    <w:p w:rsidR="002B07F2" w:rsidRPr="009C6D70" w:rsidRDefault="002B07F2" w:rsidP="002B07F2">
      <w:pPr>
        <w:pStyle w:val="BodyTextIndent"/>
        <w:numPr>
          <w:ilvl w:val="4"/>
          <w:numId w:val="26"/>
        </w:numPr>
        <w:spacing w:after="0"/>
        <w:ind w:left="1440" w:right="1440"/>
        <w:rPr>
          <w:color w:val="000000"/>
        </w:rPr>
      </w:pPr>
      <w:r w:rsidRPr="009C6D70">
        <w:rPr>
          <w:color w:val="000000"/>
        </w:rPr>
        <w:t>The Settlement provides for an increase in distribution revenues of $45.7 million annually, a level of additional operating revenues that OTS, as one of the Joint Petitioners, agrees is reasonable and lawful, (Settlement, p. 7).</w:t>
      </w:r>
    </w:p>
    <w:p w:rsidR="002B07F2" w:rsidRPr="009C6D70" w:rsidRDefault="002B07F2" w:rsidP="002B07F2">
      <w:pPr>
        <w:pStyle w:val="BodyTextIndent"/>
        <w:spacing w:after="0"/>
        <w:ind w:left="1440" w:right="1440"/>
        <w:rPr>
          <w:color w:val="000000"/>
        </w:rPr>
      </w:pPr>
    </w:p>
    <w:p w:rsidR="002B07F2" w:rsidRPr="009C6D70" w:rsidRDefault="002B07F2" w:rsidP="002B07F2">
      <w:pPr>
        <w:pStyle w:val="BodyTextIndent"/>
        <w:numPr>
          <w:ilvl w:val="4"/>
          <w:numId w:val="26"/>
        </w:numPr>
        <w:spacing w:after="0"/>
        <w:ind w:left="1440" w:right="1440"/>
        <w:rPr>
          <w:color w:val="000000"/>
        </w:rPr>
      </w:pPr>
      <w:r w:rsidRPr="009C6D70">
        <w:rPr>
          <w:color w:val="000000"/>
        </w:rPr>
        <w:t>The Settlement avoids the necessity of further administrative and possible appellate court proceedings, that would have been at substantial cost to the involved parties and the Company’s jurisdictional ratepayers and thereby represents a conservation of time and saving of expenses for all involved.</w:t>
      </w:r>
    </w:p>
    <w:p w:rsidR="0071661A" w:rsidRPr="009C6D70" w:rsidRDefault="0071661A" w:rsidP="0071661A">
      <w:pPr>
        <w:pStyle w:val="BodyTextIndent"/>
        <w:spacing w:after="0"/>
        <w:ind w:left="0" w:right="1440"/>
        <w:rPr>
          <w:color w:val="000000"/>
        </w:rPr>
      </w:pPr>
    </w:p>
    <w:p w:rsidR="007050B0" w:rsidRDefault="002B07F2" w:rsidP="002B07F2">
      <w:pPr>
        <w:pStyle w:val="BodyTextIndent"/>
        <w:numPr>
          <w:ilvl w:val="4"/>
          <w:numId w:val="26"/>
        </w:numPr>
        <w:spacing w:after="0"/>
        <w:ind w:left="1440" w:right="1440"/>
        <w:rPr>
          <w:color w:val="000000"/>
        </w:rPr>
      </w:pPr>
      <w:r w:rsidRPr="009C6D70">
        <w:rPr>
          <w:color w:val="000000"/>
        </w:rPr>
        <w:t xml:space="preserve">The Settlement maintains the current recovery of all consumer education costs through the Consumer Education </w:t>
      </w:r>
    </w:p>
    <w:p w:rsidR="007050B0" w:rsidRDefault="007050B0">
      <w:pPr>
        <w:rPr>
          <w:color w:val="000000"/>
        </w:rPr>
      </w:pPr>
      <w:r>
        <w:rPr>
          <w:color w:val="000000"/>
        </w:rPr>
        <w:br w:type="page"/>
      </w:r>
    </w:p>
    <w:p w:rsidR="002B07F2" w:rsidRPr="009C6D70" w:rsidRDefault="002B07F2" w:rsidP="007050B0">
      <w:pPr>
        <w:pStyle w:val="BodyTextIndent"/>
        <w:spacing w:after="0"/>
        <w:ind w:left="1440" w:right="1440"/>
        <w:rPr>
          <w:color w:val="000000"/>
        </w:rPr>
      </w:pPr>
      <w:r w:rsidRPr="009C6D70">
        <w:rPr>
          <w:color w:val="000000"/>
        </w:rPr>
        <w:lastRenderedPageBreak/>
        <w:t xml:space="preserve">Surcharge, thus removing all consumer education costs from base rates in order to eliminate the possibility for duplicative cost </w:t>
      </w:r>
      <w:proofErr w:type="gramStart"/>
      <w:r w:rsidRPr="009C6D70">
        <w:rPr>
          <w:color w:val="000000"/>
        </w:rPr>
        <w:t>recovery</w:t>
      </w:r>
      <w:proofErr w:type="gramEnd"/>
      <w:r w:rsidRPr="009C6D70">
        <w:rPr>
          <w:color w:val="000000"/>
        </w:rPr>
        <w:t>, (Settlement, p.</w:t>
      </w:r>
      <w:r w:rsidR="008210E6">
        <w:rPr>
          <w:color w:val="000000"/>
        </w:rPr>
        <w:t xml:space="preserve"> </w:t>
      </w:r>
      <w:r w:rsidRPr="009C6D70">
        <w:rPr>
          <w:color w:val="000000"/>
        </w:rPr>
        <w:t>8-9).</w:t>
      </w:r>
    </w:p>
    <w:p w:rsidR="0071661A" w:rsidRPr="009C6D70" w:rsidRDefault="0071661A" w:rsidP="0071661A">
      <w:pPr>
        <w:pStyle w:val="BodyTextIndent"/>
        <w:spacing w:after="0"/>
        <w:ind w:left="1440" w:right="1440"/>
        <w:rPr>
          <w:color w:val="000000"/>
        </w:rPr>
      </w:pPr>
    </w:p>
    <w:p w:rsidR="002B07F2" w:rsidRPr="009C6D70" w:rsidRDefault="002B07F2" w:rsidP="002B07F2">
      <w:pPr>
        <w:pStyle w:val="BodyTextIndent"/>
        <w:numPr>
          <w:ilvl w:val="4"/>
          <w:numId w:val="26"/>
        </w:numPr>
        <w:spacing w:after="0"/>
        <w:ind w:left="1440" w:right="1440"/>
        <w:rPr>
          <w:color w:val="000000"/>
        </w:rPr>
      </w:pPr>
      <w:r w:rsidRPr="009C6D70">
        <w:rPr>
          <w:color w:val="000000"/>
        </w:rPr>
        <w:t>The Settlement eliminates the rate decreases proposed for particular customer classes in the Company’s originally proposed rates and ensures that rates will be allocated pursuant to an equitable revenue allocation and rate design agreed to by the Joint Petitioners, (Settlement, p. 8).</w:t>
      </w:r>
    </w:p>
    <w:p w:rsidR="0071661A" w:rsidRPr="009C6D70" w:rsidRDefault="0071661A" w:rsidP="0071661A">
      <w:pPr>
        <w:pStyle w:val="BodyTextIndent"/>
        <w:spacing w:after="0"/>
        <w:ind w:left="0" w:right="1440"/>
        <w:rPr>
          <w:color w:val="000000"/>
        </w:rPr>
      </w:pPr>
    </w:p>
    <w:p w:rsidR="002B07F2" w:rsidRPr="009C6D70" w:rsidRDefault="002B07F2" w:rsidP="002B07F2">
      <w:pPr>
        <w:pStyle w:val="BodyTextIndent"/>
        <w:numPr>
          <w:ilvl w:val="4"/>
          <w:numId w:val="26"/>
        </w:numPr>
        <w:spacing w:after="0"/>
        <w:ind w:left="1440" w:right="1440"/>
        <w:rPr>
          <w:color w:val="000000"/>
        </w:rPr>
      </w:pPr>
      <w:r w:rsidRPr="009C6D70">
        <w:rPr>
          <w:color w:val="000000"/>
        </w:rPr>
        <w:t>The Settlement affords ratepayers an opportunity to exercise greater control over their electricity expenses by preserving the customer charge for Rates RS, RH and RA at be</w:t>
      </w:r>
      <w:r w:rsidR="007C0F73" w:rsidRPr="009C6D70">
        <w:rPr>
          <w:color w:val="000000"/>
        </w:rPr>
        <w:t xml:space="preserve"> </w:t>
      </w:r>
      <w:r w:rsidR="00943C45" w:rsidRPr="009C6D70">
        <w:rPr>
          <w:color w:val="000000"/>
        </w:rPr>
        <w:t>[</w:t>
      </w:r>
      <w:r w:rsidR="007C0F73" w:rsidRPr="009C6D70">
        <w:rPr>
          <w:color w:val="000000"/>
        </w:rPr>
        <w:t>s</w:t>
      </w:r>
      <w:r w:rsidR="007C0F73" w:rsidRPr="009C6D70">
        <w:rPr>
          <w:i/>
          <w:color w:val="000000"/>
        </w:rPr>
        <w:t>ic</w:t>
      </w:r>
      <w:r w:rsidR="00943C45" w:rsidRPr="009C6D70">
        <w:rPr>
          <w:i/>
          <w:color w:val="000000"/>
        </w:rPr>
        <w:t>.</w:t>
      </w:r>
      <w:r w:rsidR="00943C45" w:rsidRPr="009C6D70">
        <w:rPr>
          <w:color w:val="000000"/>
        </w:rPr>
        <w:t>]</w:t>
      </w:r>
      <w:r w:rsidRPr="009C6D70">
        <w:rPr>
          <w:color w:val="000000"/>
        </w:rPr>
        <w:t xml:space="preserve"> the current rate of $7.00 per month, as opposed to the customer charge of $8.50 per month proposed in the Company’s original filing, (Settlement, p. 8).</w:t>
      </w:r>
      <w:r w:rsidR="006D7B01" w:rsidRPr="009C6D70">
        <w:rPr>
          <w:color w:val="000000"/>
        </w:rPr>
        <w:t xml:space="preserve"> </w:t>
      </w:r>
    </w:p>
    <w:p w:rsidR="0071661A" w:rsidRPr="009C6D70" w:rsidRDefault="0071661A" w:rsidP="0071661A">
      <w:pPr>
        <w:pStyle w:val="BodyTextIndent"/>
        <w:spacing w:after="0"/>
        <w:ind w:left="1440" w:right="1440"/>
        <w:rPr>
          <w:color w:val="000000"/>
        </w:rPr>
      </w:pPr>
    </w:p>
    <w:p w:rsidR="002B07F2" w:rsidRPr="009C6D70" w:rsidRDefault="002B07F2" w:rsidP="002B07F2">
      <w:pPr>
        <w:pStyle w:val="BodyTextIndent"/>
        <w:numPr>
          <w:ilvl w:val="4"/>
          <w:numId w:val="26"/>
        </w:numPr>
        <w:spacing w:after="0"/>
        <w:ind w:left="1440" w:right="1440"/>
        <w:rPr>
          <w:color w:val="000000"/>
        </w:rPr>
      </w:pPr>
      <w:r w:rsidRPr="009C6D70">
        <w:rPr>
          <w:color w:val="000000"/>
        </w:rPr>
        <w:t>Similarly, the Settlement preserves the customer charge for Rate GS will</w:t>
      </w:r>
      <w:r w:rsidR="006D7B01" w:rsidRPr="009C6D70">
        <w:rPr>
          <w:color w:val="000000"/>
        </w:rPr>
        <w:t xml:space="preserve"> (remain)</w:t>
      </w:r>
      <w:r w:rsidR="007C0F73" w:rsidRPr="009C6D70">
        <w:rPr>
          <w:color w:val="000000"/>
        </w:rPr>
        <w:t xml:space="preserve"> </w:t>
      </w:r>
      <w:r w:rsidR="00943C45" w:rsidRPr="009C6D70">
        <w:rPr>
          <w:color w:val="000000"/>
        </w:rPr>
        <w:t>[</w:t>
      </w:r>
      <w:r w:rsidR="007C0F73" w:rsidRPr="009C6D70">
        <w:rPr>
          <w:color w:val="000000"/>
        </w:rPr>
        <w:t>s</w:t>
      </w:r>
      <w:r w:rsidR="007C0F73" w:rsidRPr="009C6D70">
        <w:rPr>
          <w:i/>
          <w:color w:val="000000"/>
        </w:rPr>
        <w:t>ic.</w:t>
      </w:r>
      <w:r w:rsidR="00943C45" w:rsidRPr="009C6D70">
        <w:rPr>
          <w:color w:val="000000"/>
        </w:rPr>
        <w:t>]</w:t>
      </w:r>
      <w:r w:rsidR="007C0F73" w:rsidRPr="009C6D70">
        <w:rPr>
          <w:color w:val="000000"/>
        </w:rPr>
        <w:t xml:space="preserve"> </w:t>
      </w:r>
      <w:r w:rsidRPr="009C6D70">
        <w:rPr>
          <w:color w:val="000000"/>
        </w:rPr>
        <w:t>at the current rate of $7.00 per month.</w:t>
      </w:r>
      <w:r w:rsidR="00BA577F" w:rsidRPr="009C6D70">
        <w:rPr>
          <w:color w:val="000000"/>
        </w:rPr>
        <w:t xml:space="preserve"> </w:t>
      </w:r>
      <w:r w:rsidRPr="009C6D70">
        <w:rPr>
          <w:color w:val="000000"/>
        </w:rPr>
        <w:t>The customer charge for Rate GM will be $30.00 per month for customers with monthly demands less than 25 kW and $43.00 per month for those customers with monthly demands greater than or equal to 25 kW, (Settlement p. 8).</w:t>
      </w:r>
    </w:p>
    <w:p w:rsidR="0071661A" w:rsidRPr="009C6D70" w:rsidRDefault="0071661A" w:rsidP="0071661A">
      <w:pPr>
        <w:pStyle w:val="BodyTextIndent"/>
        <w:spacing w:after="0"/>
        <w:ind w:left="0" w:right="1440"/>
        <w:rPr>
          <w:color w:val="000000"/>
        </w:rPr>
      </w:pPr>
    </w:p>
    <w:p w:rsidR="002B07F2" w:rsidRPr="009C6D70" w:rsidRDefault="002B07F2" w:rsidP="002B07F2">
      <w:pPr>
        <w:pStyle w:val="BodyTextIndent"/>
        <w:numPr>
          <w:ilvl w:val="4"/>
          <w:numId w:val="26"/>
        </w:numPr>
        <w:spacing w:after="0"/>
        <w:ind w:left="1440" w:right="1440"/>
        <w:rPr>
          <w:color w:val="000000"/>
        </w:rPr>
      </w:pPr>
      <w:r w:rsidRPr="009C6D70">
        <w:rPr>
          <w:color w:val="000000"/>
        </w:rPr>
        <w:t xml:space="preserve">The Settlement provides Duquesne with adequate funding for its pension trust contributions, requiring the Company to deposit $55,000,000 into its pension trusts as of calendar year 2011.  Under the terms of the Settlement, Duquesne may recover the expense component of $27,500,000 (50% of cash contributions) of projected future pension contributions. </w:t>
      </w:r>
      <w:r w:rsidR="008210E6">
        <w:rPr>
          <w:color w:val="000000"/>
        </w:rPr>
        <w:t xml:space="preserve"> </w:t>
      </w:r>
      <w:r w:rsidRPr="009C6D70">
        <w:rPr>
          <w:color w:val="000000"/>
        </w:rPr>
        <w:t>Duquesne is also permitted to include the other 50% of actual pension contributions dating from January 1, 2007, net of related accumulated deferred income taxes, in its rate base with necessary adjustments to the SFAS capitalized pension amounts as detailed in the Settlement, (Settlement, p. 9-10).</w:t>
      </w:r>
    </w:p>
    <w:p w:rsidR="0071661A" w:rsidRPr="009C6D70" w:rsidRDefault="0071661A" w:rsidP="0071661A">
      <w:pPr>
        <w:pStyle w:val="BodyTextIndent"/>
        <w:spacing w:after="0"/>
        <w:ind w:left="1440" w:right="1440"/>
        <w:rPr>
          <w:color w:val="000000"/>
        </w:rPr>
      </w:pPr>
    </w:p>
    <w:p w:rsidR="002B07F2" w:rsidRPr="009C6D70" w:rsidRDefault="002B07F2" w:rsidP="002B07F2">
      <w:pPr>
        <w:pStyle w:val="BodyTextIndent"/>
        <w:numPr>
          <w:ilvl w:val="4"/>
          <w:numId w:val="26"/>
        </w:numPr>
        <w:spacing w:after="0"/>
        <w:ind w:left="1440" w:right="1440"/>
        <w:rPr>
          <w:color w:val="000000"/>
        </w:rPr>
      </w:pPr>
      <w:r w:rsidRPr="009C6D70">
        <w:rPr>
          <w:color w:val="000000"/>
        </w:rPr>
        <w:t>The Settlement provides assurances that Duquesne will meet its pension trust contribution requirements, including requiring Commission approval to contribute a lesser amount and requiring annual reporting to the Commission, with copies provided to OTS, OCA and OSBA</w:t>
      </w:r>
      <w:r w:rsidR="003A18EE">
        <w:rPr>
          <w:color w:val="000000"/>
        </w:rPr>
        <w:t>,</w:t>
      </w:r>
      <w:r w:rsidRPr="009C6D70">
        <w:rPr>
          <w:color w:val="000000"/>
        </w:rPr>
        <w:t xml:space="preserve"> (Settlement, p. 10).</w:t>
      </w:r>
    </w:p>
    <w:p w:rsidR="0071661A" w:rsidRPr="009C6D70" w:rsidRDefault="0071661A" w:rsidP="0071661A">
      <w:pPr>
        <w:pStyle w:val="BodyTextIndent"/>
        <w:spacing w:after="0"/>
        <w:ind w:left="0" w:right="1440"/>
        <w:rPr>
          <w:color w:val="000000"/>
        </w:rPr>
      </w:pPr>
    </w:p>
    <w:p w:rsidR="007050B0" w:rsidRDefault="002B07F2" w:rsidP="002B07F2">
      <w:pPr>
        <w:pStyle w:val="BodyTextIndent"/>
        <w:numPr>
          <w:ilvl w:val="4"/>
          <w:numId w:val="26"/>
        </w:numPr>
        <w:spacing w:after="0"/>
        <w:ind w:left="1440" w:right="1440"/>
        <w:rPr>
          <w:color w:val="000000"/>
        </w:rPr>
      </w:pPr>
      <w:r w:rsidRPr="009C6D70">
        <w:rPr>
          <w:color w:val="000000"/>
        </w:rPr>
        <w:t xml:space="preserve">The Settlement incorporates modifications to Duquesne’s CAP Program designed to preserve universal service for low-income customers without overburdening the Company’s non-CAP </w:t>
      </w:r>
    </w:p>
    <w:p w:rsidR="007050B0" w:rsidRDefault="007050B0">
      <w:pPr>
        <w:rPr>
          <w:color w:val="000000"/>
        </w:rPr>
      </w:pPr>
      <w:r>
        <w:rPr>
          <w:color w:val="000000"/>
        </w:rPr>
        <w:br w:type="page"/>
      </w:r>
    </w:p>
    <w:p w:rsidR="002B07F2" w:rsidRPr="009C6D70" w:rsidRDefault="002B07F2" w:rsidP="007050B0">
      <w:pPr>
        <w:pStyle w:val="BodyTextIndent"/>
        <w:spacing w:after="0"/>
        <w:ind w:left="1440" w:right="1440"/>
        <w:rPr>
          <w:color w:val="000000"/>
        </w:rPr>
      </w:pPr>
      <w:proofErr w:type="gramStart"/>
      <w:r w:rsidRPr="009C6D70">
        <w:rPr>
          <w:color w:val="000000"/>
        </w:rPr>
        <w:lastRenderedPageBreak/>
        <w:t>ratepayers</w:t>
      </w:r>
      <w:proofErr w:type="gramEnd"/>
      <w:r w:rsidRPr="009C6D70">
        <w:rPr>
          <w:color w:val="000000"/>
        </w:rPr>
        <w:t>.  Notably, the Settlement provides that (1) an auto-enrolled customer is not considered to be a CAP participant until the customer has completed the CAP enrollment process, (2) CAP discounts will be credited back to non-CAP ratepayers to the extent that monthly CAP enrollment exceeds 35,700, (3) Duquesne must review its CAP auto-enrollment process to determine the impact upon program costs and participation levels of auto-enrollment, (4) Duquesne must implement a CAP Plus Plan to comply with the Department of Public Welfare’s changes to the LIHEAP grants without unduly increasing the CAP discount, and (5) that Duquesne will observe Commission guidelines and limit eligibility for its CAP program to customers with income</w:t>
      </w:r>
      <w:r w:rsidR="00C07784">
        <w:rPr>
          <w:color w:val="000000"/>
        </w:rPr>
        <w:t>s [sic.]</w:t>
      </w:r>
      <w:r w:rsidRPr="009C6D70">
        <w:rPr>
          <w:color w:val="000000"/>
        </w:rPr>
        <w:t xml:space="preserve"> at or below 150% of the Federal Poverty Level</w:t>
      </w:r>
      <w:r w:rsidR="00C07784">
        <w:rPr>
          <w:color w:val="000000"/>
        </w:rPr>
        <w:t>,</w:t>
      </w:r>
      <w:r w:rsidR="00BE6C86">
        <w:rPr>
          <w:color w:val="000000"/>
        </w:rPr>
        <w:t xml:space="preserve"> </w:t>
      </w:r>
      <w:r w:rsidRPr="009C6D70">
        <w:rPr>
          <w:color w:val="000000"/>
        </w:rPr>
        <w:t>(Settlement, p. 10-12).</w:t>
      </w:r>
    </w:p>
    <w:p w:rsidR="0071661A" w:rsidRPr="009C6D70" w:rsidRDefault="0071661A" w:rsidP="0071661A">
      <w:pPr>
        <w:pStyle w:val="BodyTextIndent"/>
        <w:spacing w:after="0"/>
        <w:ind w:left="1440" w:right="1440"/>
        <w:rPr>
          <w:color w:val="000000"/>
        </w:rPr>
      </w:pPr>
    </w:p>
    <w:p w:rsidR="002B07F2" w:rsidRPr="009C6D70" w:rsidRDefault="002B07F2" w:rsidP="002B07F2">
      <w:pPr>
        <w:pStyle w:val="BodyTextIndent"/>
        <w:numPr>
          <w:ilvl w:val="4"/>
          <w:numId w:val="26"/>
        </w:numPr>
        <w:spacing w:after="0"/>
        <w:ind w:left="1440" w:right="1440"/>
        <w:rPr>
          <w:color w:val="000000"/>
        </w:rPr>
      </w:pPr>
      <w:r w:rsidRPr="009C6D70">
        <w:rPr>
          <w:color w:val="000000"/>
        </w:rPr>
        <w:t>The Settlement provides a 10% return on common equity and a capital structure with a maximum common equity ratio of 46% for establishing the Company’s smart meter surcharge in accordance with the Commission Order entered May 11, 2010 at Docket No. M-2009-2123948. (Settlement, p. 12-13).</w:t>
      </w:r>
    </w:p>
    <w:p w:rsidR="0071661A" w:rsidRPr="009C6D70" w:rsidRDefault="0071661A" w:rsidP="0071661A">
      <w:pPr>
        <w:pStyle w:val="BodyTextIndent"/>
        <w:spacing w:after="0"/>
        <w:ind w:left="0" w:right="1440"/>
        <w:rPr>
          <w:color w:val="000000"/>
        </w:rPr>
      </w:pPr>
    </w:p>
    <w:p w:rsidR="00B5729B" w:rsidRPr="009C6D70" w:rsidRDefault="0071661A" w:rsidP="00132B39">
      <w:pPr>
        <w:pStyle w:val="BodyTextIndent"/>
        <w:spacing w:after="0" w:line="360" w:lineRule="auto"/>
        <w:ind w:left="0" w:right="1440"/>
        <w:rPr>
          <w:color w:val="000000"/>
        </w:rPr>
      </w:pPr>
      <w:r w:rsidRPr="009C6D70">
        <w:rPr>
          <w:color w:val="000000"/>
        </w:rPr>
        <w:t>OTS St. in Support, pp. 6-9.</w:t>
      </w:r>
      <w:r w:rsidRPr="009C6D70">
        <w:rPr>
          <w:rStyle w:val="FootnoteReference"/>
          <w:color w:val="000000"/>
        </w:rPr>
        <w:footnoteReference w:id="26"/>
      </w:r>
    </w:p>
    <w:p w:rsidR="00B5729B" w:rsidRPr="009C6D70" w:rsidRDefault="00B5729B" w:rsidP="00132B39">
      <w:pPr>
        <w:pStyle w:val="BodyTextIndent"/>
        <w:spacing w:after="0" w:line="360" w:lineRule="auto"/>
        <w:ind w:right="1440"/>
        <w:rPr>
          <w:color w:val="000000"/>
        </w:rPr>
      </w:pPr>
    </w:p>
    <w:p w:rsidR="00B5729B" w:rsidRPr="009C6D70" w:rsidRDefault="00B5729B" w:rsidP="00132B39">
      <w:pPr>
        <w:pStyle w:val="BodyTextIndent"/>
        <w:spacing w:after="0" w:line="360" w:lineRule="auto"/>
        <w:ind w:left="0"/>
        <w:rPr>
          <w:color w:val="000000"/>
        </w:rPr>
      </w:pPr>
      <w:r w:rsidRPr="009C6D70">
        <w:rPr>
          <w:color w:val="000000"/>
        </w:rPr>
        <w:t>C.</w:t>
      </w:r>
      <w:r w:rsidRPr="009C6D70">
        <w:rPr>
          <w:color w:val="000000"/>
        </w:rPr>
        <w:tab/>
      </w:r>
      <w:r w:rsidRPr="009C6D70">
        <w:rPr>
          <w:color w:val="000000"/>
          <w:u w:val="single"/>
        </w:rPr>
        <w:t>OCA</w:t>
      </w:r>
      <w:r w:rsidR="00E32DD2">
        <w:rPr>
          <w:color w:val="000000"/>
          <w:u w:val="single"/>
        </w:rPr>
        <w:t>’s</w:t>
      </w:r>
      <w:r w:rsidRPr="009C6D70">
        <w:rPr>
          <w:color w:val="000000"/>
          <w:u w:val="single"/>
        </w:rPr>
        <w:t xml:space="preserve"> Position</w:t>
      </w:r>
    </w:p>
    <w:p w:rsidR="00B5729B" w:rsidRPr="009C6D70" w:rsidRDefault="00B5729B" w:rsidP="00132B39">
      <w:pPr>
        <w:pStyle w:val="BodyTextIndent"/>
        <w:spacing w:after="0" w:line="360" w:lineRule="auto"/>
        <w:ind w:left="0"/>
        <w:rPr>
          <w:color w:val="000000"/>
        </w:rPr>
      </w:pPr>
    </w:p>
    <w:p w:rsidR="00F15A09" w:rsidRPr="009C6D70" w:rsidRDefault="00F15A09" w:rsidP="008210E6">
      <w:pPr>
        <w:numPr>
          <w:ilvl w:val="0"/>
          <w:numId w:val="30"/>
        </w:numPr>
        <w:tabs>
          <w:tab w:val="clear" w:pos="1800"/>
        </w:tabs>
        <w:spacing w:line="360" w:lineRule="auto"/>
        <w:ind w:left="1440" w:hanging="720"/>
        <w:rPr>
          <w:color w:val="000000"/>
          <w:u w:val="single"/>
        </w:rPr>
      </w:pPr>
      <w:r w:rsidRPr="009C6D70">
        <w:rPr>
          <w:color w:val="000000"/>
          <w:u w:val="single"/>
        </w:rPr>
        <w:t>Revenue Requirement</w:t>
      </w:r>
    </w:p>
    <w:p w:rsidR="00F15A09" w:rsidRPr="009C6D70" w:rsidRDefault="00F15A09" w:rsidP="00132B39">
      <w:pPr>
        <w:spacing w:line="360" w:lineRule="auto"/>
        <w:rPr>
          <w:color w:val="000000"/>
          <w:u w:val="single"/>
        </w:rPr>
      </w:pPr>
    </w:p>
    <w:p w:rsidR="00CA1E61" w:rsidRPr="009C6D70" w:rsidRDefault="001A1C19" w:rsidP="00132B39">
      <w:pPr>
        <w:spacing w:line="360" w:lineRule="auto"/>
        <w:ind w:firstLine="1440"/>
        <w:rPr>
          <w:kern w:val="32"/>
        </w:rPr>
      </w:pPr>
      <w:r w:rsidRPr="009C6D70">
        <w:rPr>
          <w:kern w:val="32"/>
        </w:rPr>
        <w:t xml:space="preserve">The OCA asserts that </w:t>
      </w:r>
      <w:r w:rsidR="00CA1E61" w:rsidRPr="009C6D70">
        <w:rPr>
          <w:kern w:val="32"/>
        </w:rPr>
        <w:t>the revenue increase under the proposed Settlement represents a result that would be within the range of likely outcomes in the event of full litigation of the case</w:t>
      </w:r>
      <w:r w:rsidRPr="009C6D70">
        <w:rPr>
          <w:kern w:val="32"/>
        </w:rPr>
        <w:t>, based on its analysis of the Company’s filing and discovery responses received</w:t>
      </w:r>
      <w:r w:rsidR="00CA1E61" w:rsidRPr="009C6D70">
        <w:rPr>
          <w:kern w:val="32"/>
        </w:rPr>
        <w:t xml:space="preserve">.  </w:t>
      </w:r>
      <w:r w:rsidRPr="009C6D70">
        <w:rPr>
          <w:kern w:val="32"/>
        </w:rPr>
        <w:t>The OCA takes the position that t</w:t>
      </w:r>
      <w:r w:rsidR="00CA1E61" w:rsidRPr="009C6D70">
        <w:rPr>
          <w:kern w:val="32"/>
        </w:rPr>
        <w:t>he increase is reasonable and, when accompanied by other important conditions contained in the Settlement, yields a result that is in the public interest.</w:t>
      </w:r>
      <w:r w:rsidR="00E4066A" w:rsidRPr="009C6D70">
        <w:rPr>
          <w:kern w:val="32"/>
        </w:rPr>
        <w:t xml:space="preserve">  OCA St. in Support, p. 4.</w:t>
      </w:r>
    </w:p>
    <w:p w:rsidR="00CA1E61" w:rsidRPr="009C6D70" w:rsidRDefault="00CA1E61" w:rsidP="00CA1E61">
      <w:pPr>
        <w:spacing w:line="360" w:lineRule="auto"/>
        <w:ind w:left="1440"/>
        <w:rPr>
          <w:color w:val="000000"/>
          <w:u w:val="single"/>
        </w:rPr>
      </w:pPr>
    </w:p>
    <w:p w:rsidR="007050B0" w:rsidRDefault="008C3E88" w:rsidP="006E1783">
      <w:pPr>
        <w:spacing w:line="360" w:lineRule="auto"/>
        <w:ind w:firstLine="1440"/>
        <w:rPr>
          <w:kern w:val="32"/>
        </w:rPr>
      </w:pPr>
      <w:r w:rsidRPr="009C6D70">
        <w:rPr>
          <w:kern w:val="32"/>
        </w:rPr>
        <w:t>According to the OCA, t</w:t>
      </w:r>
      <w:r w:rsidR="00F15A09" w:rsidRPr="009C6D70">
        <w:rPr>
          <w:kern w:val="32"/>
        </w:rPr>
        <w:t xml:space="preserve">he proposed Settlement provides for an overall distribution base rate increase of $45.7 million, approximately $41.6 million less than the rate </w:t>
      </w:r>
    </w:p>
    <w:p w:rsidR="007050B0" w:rsidRDefault="007050B0">
      <w:pPr>
        <w:rPr>
          <w:kern w:val="32"/>
        </w:rPr>
      </w:pPr>
      <w:r>
        <w:rPr>
          <w:kern w:val="32"/>
        </w:rPr>
        <w:br w:type="page"/>
      </w:r>
    </w:p>
    <w:p w:rsidR="00F15A09" w:rsidRPr="009C6D70" w:rsidRDefault="00F15A09" w:rsidP="007050B0">
      <w:pPr>
        <w:spacing w:line="360" w:lineRule="auto"/>
        <w:rPr>
          <w:kern w:val="32"/>
        </w:rPr>
      </w:pPr>
      <w:proofErr w:type="gramStart"/>
      <w:r w:rsidRPr="009C6D70">
        <w:rPr>
          <w:kern w:val="32"/>
        </w:rPr>
        <w:lastRenderedPageBreak/>
        <w:t>increase</w:t>
      </w:r>
      <w:proofErr w:type="gramEnd"/>
      <w:r w:rsidRPr="009C6D70">
        <w:rPr>
          <w:kern w:val="32"/>
        </w:rPr>
        <w:t xml:space="preserve"> amount originally requested by </w:t>
      </w:r>
      <w:r w:rsidR="0040436B" w:rsidRPr="009C6D70">
        <w:rPr>
          <w:kern w:val="32"/>
        </w:rPr>
        <w:t>Duquesne</w:t>
      </w:r>
      <w:r w:rsidRPr="009C6D70">
        <w:rPr>
          <w:kern w:val="32"/>
        </w:rPr>
        <w:t xml:space="preserve">.  Consequently, the Settlement reflects a compromise on </w:t>
      </w:r>
      <w:r w:rsidR="0040436B" w:rsidRPr="009C6D70">
        <w:rPr>
          <w:kern w:val="32"/>
        </w:rPr>
        <w:t>Duquesne’s</w:t>
      </w:r>
      <w:r w:rsidRPr="009C6D70">
        <w:rPr>
          <w:kern w:val="32"/>
        </w:rPr>
        <w:t xml:space="preserve"> distribution revenue increase request of approximately $87.3 million.  The distribution rate increase reflects an increase in total annual revenues of approximately 3.5% as compared to the Company’s original request of a 6.69% increase in revenues.  On a distribution-only basis, the increase is 11.7% as compared to the Company’s original request for a 23.4% increase.  The terms of the Settlement provide that the increase will go into effect on April 21, 2011, the end of the suspension period.</w:t>
      </w:r>
      <w:r w:rsidR="00E4066A" w:rsidRPr="009C6D70">
        <w:rPr>
          <w:kern w:val="32"/>
        </w:rPr>
        <w:t xml:space="preserve">  OCA St. in Support, p. 4.</w:t>
      </w:r>
      <w:r w:rsidRPr="009C6D70">
        <w:rPr>
          <w:kern w:val="32"/>
        </w:rPr>
        <w:t xml:space="preserve">    </w:t>
      </w:r>
    </w:p>
    <w:p w:rsidR="005103AE" w:rsidRPr="009C6D70" w:rsidRDefault="005103AE" w:rsidP="005103AE">
      <w:pPr>
        <w:spacing w:line="360" w:lineRule="auto"/>
        <w:ind w:firstLine="1440"/>
        <w:rPr>
          <w:kern w:val="32"/>
        </w:rPr>
      </w:pPr>
    </w:p>
    <w:p w:rsidR="005103AE" w:rsidRPr="009C6D70" w:rsidRDefault="00CA1E61" w:rsidP="005103AE">
      <w:pPr>
        <w:spacing w:line="360" w:lineRule="auto"/>
        <w:ind w:firstLine="1440"/>
        <w:rPr>
          <w:kern w:val="32"/>
        </w:rPr>
      </w:pPr>
      <w:r w:rsidRPr="009C6D70">
        <w:rPr>
          <w:kern w:val="32"/>
        </w:rPr>
        <w:t>According to the OCA, t</w:t>
      </w:r>
      <w:r w:rsidR="00F15A09" w:rsidRPr="009C6D70">
        <w:rPr>
          <w:kern w:val="32"/>
        </w:rPr>
        <w:t xml:space="preserve">his represents a “black box settlement,” with the limited exceptions of Other Post Employment Benefits (OPEBs) and pensions.  </w:t>
      </w:r>
      <w:r w:rsidRPr="009C6D70">
        <w:rPr>
          <w:kern w:val="32"/>
        </w:rPr>
        <w:t xml:space="preserve">The </w:t>
      </w:r>
      <w:r w:rsidR="005103AE" w:rsidRPr="009C6D70">
        <w:rPr>
          <w:kern w:val="32"/>
        </w:rPr>
        <w:t>OCA contends that b</w:t>
      </w:r>
      <w:r w:rsidR="00F15A09" w:rsidRPr="009C6D70">
        <w:rPr>
          <w:kern w:val="32"/>
        </w:rPr>
        <w:t xml:space="preserve">lack box settlements provide timely resolution of disputes without the significant expense of prolonged litigation.  The OCA submits that it is unlikely that the parties would have been able to reach consensus on each disputed accounting and ratemaking issue in this matter as policy and legal positions can differ widely.  </w:t>
      </w:r>
      <w:r w:rsidR="005103AE" w:rsidRPr="009C6D70">
        <w:rPr>
          <w:kern w:val="32"/>
        </w:rPr>
        <w:t xml:space="preserve">According to </w:t>
      </w:r>
      <w:r w:rsidR="00250B66">
        <w:rPr>
          <w:kern w:val="32"/>
        </w:rPr>
        <w:t xml:space="preserve">the </w:t>
      </w:r>
      <w:r w:rsidR="005103AE" w:rsidRPr="009C6D70">
        <w:rPr>
          <w:kern w:val="32"/>
        </w:rPr>
        <w:t>OCA, a</w:t>
      </w:r>
      <w:r w:rsidR="00F15A09" w:rsidRPr="009C6D70">
        <w:rPr>
          <w:kern w:val="32"/>
        </w:rPr>
        <w:t>voiding the necessity of hearings and possible extensive briefing benefits ratepayers by keeping the expenses associated with this filing as reasonable as possible under the circumstances.</w:t>
      </w:r>
      <w:r w:rsidR="00E4066A" w:rsidRPr="009C6D70">
        <w:rPr>
          <w:kern w:val="32"/>
        </w:rPr>
        <w:t xml:space="preserve">  OCA St. in Support, p. 4.</w:t>
      </w:r>
    </w:p>
    <w:p w:rsidR="00166BB4" w:rsidRPr="009C6D70" w:rsidRDefault="00166BB4" w:rsidP="005103AE">
      <w:pPr>
        <w:spacing w:line="360" w:lineRule="auto"/>
        <w:ind w:firstLine="1440"/>
        <w:rPr>
          <w:kern w:val="32"/>
        </w:rPr>
      </w:pPr>
    </w:p>
    <w:p w:rsidR="00166BB4" w:rsidRPr="009C6D70" w:rsidRDefault="00166BB4" w:rsidP="00132B39">
      <w:pPr>
        <w:spacing w:line="360" w:lineRule="auto"/>
        <w:ind w:firstLine="720"/>
        <w:rPr>
          <w:kern w:val="32"/>
        </w:rPr>
      </w:pPr>
      <w:r w:rsidRPr="009C6D70">
        <w:rPr>
          <w:kern w:val="32"/>
        </w:rPr>
        <w:t>2.</w:t>
      </w:r>
      <w:r w:rsidRPr="009C6D70">
        <w:rPr>
          <w:kern w:val="32"/>
        </w:rPr>
        <w:tab/>
      </w:r>
      <w:r w:rsidRPr="009C6D70">
        <w:rPr>
          <w:kern w:val="32"/>
          <w:u w:val="single"/>
        </w:rPr>
        <w:t>Revenue Allocation</w:t>
      </w:r>
    </w:p>
    <w:p w:rsidR="00166BB4" w:rsidRPr="009C6D70" w:rsidRDefault="00166BB4" w:rsidP="005103AE">
      <w:pPr>
        <w:spacing w:line="360" w:lineRule="auto"/>
        <w:ind w:firstLine="1440"/>
        <w:rPr>
          <w:kern w:val="32"/>
        </w:rPr>
      </w:pPr>
    </w:p>
    <w:p w:rsidR="00F15A09" w:rsidRPr="009C6D70" w:rsidRDefault="00F15A09" w:rsidP="00166BB4">
      <w:pPr>
        <w:spacing w:line="360" w:lineRule="auto"/>
        <w:ind w:firstLine="1440"/>
        <w:rPr>
          <w:kern w:val="32"/>
        </w:rPr>
      </w:pPr>
      <w:r w:rsidRPr="009C6D70">
        <w:rPr>
          <w:kern w:val="32"/>
        </w:rPr>
        <w:t>The Company’s COSS was contested by the OCA</w:t>
      </w:r>
      <w:r w:rsidR="001B6251" w:rsidRPr="009C6D70">
        <w:rPr>
          <w:kern w:val="32"/>
        </w:rPr>
        <w:t xml:space="preserve">.  </w:t>
      </w:r>
      <w:r w:rsidRPr="009C6D70">
        <w:rPr>
          <w:kern w:val="32"/>
        </w:rPr>
        <w:t xml:space="preserve">The OCA submitted its own COSS that showed different results from that of the Company.  </w:t>
      </w:r>
      <w:r w:rsidR="001B6251" w:rsidRPr="009C6D70">
        <w:rPr>
          <w:kern w:val="32"/>
        </w:rPr>
        <w:t>U</w:t>
      </w:r>
      <w:r w:rsidRPr="009C6D70">
        <w:rPr>
          <w:kern w:val="32"/>
        </w:rPr>
        <w:t xml:space="preserve">nder the OCA’s COSS, the primary residential class, Rate RS, had an indexed rate of return of 110.5% of the system average at present rates, while the class as a whole had an indexed rate of return of 104% of the system average at present rates.  </w:t>
      </w:r>
      <w:r w:rsidRPr="009C6D70">
        <w:rPr>
          <w:i/>
          <w:kern w:val="32"/>
        </w:rPr>
        <w:t>See</w:t>
      </w:r>
      <w:r w:rsidRPr="009C6D70">
        <w:rPr>
          <w:kern w:val="32"/>
        </w:rPr>
        <w:t xml:space="preserve"> OCA St. 2, Sched. CJ-7.  In other words, under the OCA’s COSS, the residential class was fully covering its costs at present rates.  In addition to the Company, three parties </w:t>
      </w:r>
      <w:r w:rsidR="009E6258">
        <w:rPr>
          <w:kern w:val="32"/>
        </w:rPr>
        <w:t>–</w:t>
      </w:r>
      <w:r w:rsidRPr="009C6D70">
        <w:rPr>
          <w:kern w:val="32"/>
        </w:rPr>
        <w:t xml:space="preserve"> </w:t>
      </w:r>
      <w:r w:rsidR="009E6258">
        <w:rPr>
          <w:kern w:val="32"/>
        </w:rPr>
        <w:t xml:space="preserve">the </w:t>
      </w:r>
      <w:r w:rsidRPr="009C6D70">
        <w:rPr>
          <w:kern w:val="32"/>
        </w:rPr>
        <w:t xml:space="preserve">OCA, </w:t>
      </w:r>
      <w:r w:rsidR="009E6258">
        <w:rPr>
          <w:kern w:val="32"/>
        </w:rPr>
        <w:t xml:space="preserve">the </w:t>
      </w:r>
      <w:r w:rsidRPr="009C6D70">
        <w:rPr>
          <w:kern w:val="32"/>
        </w:rPr>
        <w:t>OSBA and DII -- submitted allocation recommendations in their direct testimonies based on the results of the different cost of service studies.  The allocation proposals varied widely.</w:t>
      </w:r>
      <w:r w:rsidR="001B6251" w:rsidRPr="009C6D70">
        <w:rPr>
          <w:kern w:val="32"/>
        </w:rPr>
        <w:t xml:space="preserve">  OCA St. in Support, p. 5.</w:t>
      </w:r>
    </w:p>
    <w:p w:rsidR="00166BB4" w:rsidRPr="009C6D70" w:rsidRDefault="00166BB4" w:rsidP="00166BB4">
      <w:pPr>
        <w:spacing w:line="360" w:lineRule="auto"/>
        <w:ind w:firstLine="1440"/>
        <w:rPr>
          <w:kern w:val="32"/>
        </w:rPr>
      </w:pPr>
    </w:p>
    <w:p w:rsidR="007050B0" w:rsidRDefault="007050B0">
      <w:pPr>
        <w:rPr>
          <w:kern w:val="32"/>
        </w:rPr>
      </w:pPr>
      <w:r>
        <w:rPr>
          <w:kern w:val="32"/>
        </w:rPr>
        <w:br w:type="page"/>
      </w:r>
    </w:p>
    <w:p w:rsidR="00F15A09" w:rsidRPr="009C6D70" w:rsidRDefault="00F15A09" w:rsidP="00166BB4">
      <w:pPr>
        <w:spacing w:line="360" w:lineRule="auto"/>
        <w:ind w:firstLine="1440"/>
        <w:rPr>
          <w:kern w:val="32"/>
        </w:rPr>
      </w:pPr>
      <w:r w:rsidRPr="009C6D70">
        <w:rPr>
          <w:kern w:val="32"/>
        </w:rPr>
        <w:lastRenderedPageBreak/>
        <w:t xml:space="preserve">For the residential class as a whole (Rates RS, RH and RA), the Company assigned $53.87 million of the $87.3 million increase, while the OCA assigned $40.55 million of the $87.3 million increase.  </w:t>
      </w:r>
      <w:r w:rsidRPr="009C6D70">
        <w:rPr>
          <w:i/>
          <w:kern w:val="32"/>
        </w:rPr>
        <w:t>See</w:t>
      </w:r>
      <w:r w:rsidRPr="009C6D70">
        <w:rPr>
          <w:kern w:val="32"/>
        </w:rPr>
        <w:t xml:space="preserve"> OCA St.</w:t>
      </w:r>
      <w:r w:rsidR="008E4487" w:rsidRPr="009C6D70">
        <w:rPr>
          <w:kern w:val="32"/>
        </w:rPr>
        <w:t xml:space="preserve"> 2, p. </w:t>
      </w:r>
      <w:r w:rsidRPr="009C6D70">
        <w:rPr>
          <w:kern w:val="32"/>
        </w:rPr>
        <w:t>36, Sched. CJ-8.  Under the Settlement revenue allocation agreed to by the Joint Petitioners, D</w:t>
      </w:r>
      <w:r w:rsidR="001B6251" w:rsidRPr="009C6D70">
        <w:rPr>
          <w:kern w:val="32"/>
        </w:rPr>
        <w:t>uquesne</w:t>
      </w:r>
      <w:r w:rsidR="00F24439" w:rsidRPr="009C6D70">
        <w:rPr>
          <w:kern w:val="32"/>
        </w:rPr>
        <w:t xml:space="preserve">’s </w:t>
      </w:r>
      <w:r w:rsidRPr="009C6D70">
        <w:rPr>
          <w:kern w:val="32"/>
        </w:rPr>
        <w:t xml:space="preserve">residential classes would collectively experience a total revenue increase of approximately $27.9 million as compared to the proposed $53.87 million in the Company’s filing. </w:t>
      </w:r>
      <w:bookmarkStart w:id="2" w:name="OLE_LINK5"/>
      <w:bookmarkStart w:id="3" w:name="OLE_LINK6"/>
      <w:r w:rsidRPr="009C6D70">
        <w:rPr>
          <w:kern w:val="32"/>
        </w:rPr>
        <w:t xml:space="preserve"> </w:t>
      </w:r>
      <w:bookmarkEnd w:id="2"/>
      <w:bookmarkEnd w:id="3"/>
      <w:r w:rsidRPr="009C6D70">
        <w:rPr>
          <w:kern w:val="32"/>
        </w:rPr>
        <w:t>For purposes of the Settlement, Rate RS will experience a distribution increase of 12.5% compared to the system average distribution increase of 11.7%.  This is an increase of 4.8% on a total bill basis.  Rate RH will experience a distribution increase of 19.2% compared to the system average distribution increase of 11.7%.  This is an increase of 4.8% on a total bill basis.  Rate RA will experience a distribution increase of 21.5% compared to the system average distribution increase of 11.7%.  This is an increase of 6.5% on a total bill basis.</w:t>
      </w:r>
      <w:r w:rsidR="001B6251" w:rsidRPr="009C6D70">
        <w:rPr>
          <w:kern w:val="32"/>
        </w:rPr>
        <w:t xml:space="preserve">  OCA St. in Support, p. 5.  </w:t>
      </w:r>
      <w:r w:rsidRPr="009C6D70">
        <w:rPr>
          <w:kern w:val="32"/>
        </w:rPr>
        <w:t xml:space="preserve">  </w:t>
      </w:r>
    </w:p>
    <w:p w:rsidR="00166BB4" w:rsidRPr="009C6D70" w:rsidRDefault="00166BB4" w:rsidP="00166BB4">
      <w:pPr>
        <w:spacing w:line="360" w:lineRule="auto"/>
        <w:ind w:firstLine="1440"/>
        <w:rPr>
          <w:kern w:val="32"/>
        </w:rPr>
      </w:pPr>
    </w:p>
    <w:p w:rsidR="001B6251" w:rsidRPr="009C6D70" w:rsidRDefault="00F15A09" w:rsidP="001B6251">
      <w:pPr>
        <w:spacing w:line="360" w:lineRule="auto"/>
        <w:ind w:firstLine="1440"/>
        <w:rPr>
          <w:kern w:val="32"/>
        </w:rPr>
      </w:pPr>
      <w:r w:rsidRPr="009C6D70">
        <w:rPr>
          <w:kern w:val="32"/>
        </w:rPr>
        <w:t xml:space="preserve">The OCA submits that the rate allocation established in the Settlement is a reasonable compromise given the ranges proposed by the parties.  </w:t>
      </w:r>
      <w:r w:rsidR="00F24439" w:rsidRPr="009C6D70">
        <w:rPr>
          <w:kern w:val="32"/>
        </w:rPr>
        <w:t>According to the OCA, t</w:t>
      </w:r>
      <w:r w:rsidRPr="009C6D70">
        <w:rPr>
          <w:kern w:val="32"/>
        </w:rPr>
        <w:t>he allocation in the Settlement will move classes toward cost of service while also taking gradualism into consideration.</w:t>
      </w:r>
      <w:r w:rsidR="001B6251" w:rsidRPr="009C6D70">
        <w:rPr>
          <w:kern w:val="32"/>
        </w:rPr>
        <w:t xml:space="preserve">  OCA St. in Support, p. 6.</w:t>
      </w:r>
    </w:p>
    <w:p w:rsidR="00654BDD" w:rsidRPr="009C6D70" w:rsidRDefault="00654BDD" w:rsidP="001B6251">
      <w:pPr>
        <w:spacing w:line="360" w:lineRule="auto"/>
        <w:ind w:firstLine="1440"/>
        <w:rPr>
          <w:kern w:val="32"/>
        </w:rPr>
      </w:pPr>
    </w:p>
    <w:p w:rsidR="00F15A09" w:rsidRPr="009C6D70" w:rsidRDefault="00654BDD" w:rsidP="00132B39">
      <w:pPr>
        <w:spacing w:line="360" w:lineRule="auto"/>
        <w:ind w:firstLine="720"/>
        <w:rPr>
          <w:kern w:val="32"/>
        </w:rPr>
      </w:pPr>
      <w:r w:rsidRPr="009C6D70">
        <w:rPr>
          <w:kern w:val="32"/>
        </w:rPr>
        <w:t>3.</w:t>
      </w:r>
      <w:r w:rsidRPr="009C6D70">
        <w:rPr>
          <w:kern w:val="32"/>
        </w:rPr>
        <w:tab/>
      </w:r>
      <w:r w:rsidRPr="009C6D70">
        <w:rPr>
          <w:kern w:val="32"/>
          <w:u w:val="single"/>
        </w:rPr>
        <w:t>Residential Rate Design</w:t>
      </w:r>
      <w:r w:rsidRPr="009C6D70">
        <w:rPr>
          <w:kern w:val="32"/>
        </w:rPr>
        <w:t xml:space="preserve"> </w:t>
      </w:r>
    </w:p>
    <w:p w:rsidR="001D2D9A" w:rsidRPr="009C6D70" w:rsidRDefault="001D2D9A" w:rsidP="001D2D9A">
      <w:pPr>
        <w:spacing w:line="360" w:lineRule="auto"/>
        <w:rPr>
          <w:bCs/>
          <w:kern w:val="32"/>
        </w:rPr>
      </w:pPr>
    </w:p>
    <w:p w:rsidR="00F15A09" w:rsidRPr="009C6D70" w:rsidRDefault="00F15A09" w:rsidP="00342F59">
      <w:pPr>
        <w:spacing w:line="360" w:lineRule="auto"/>
        <w:ind w:firstLine="1440"/>
        <w:rPr>
          <w:bCs/>
          <w:kern w:val="32"/>
        </w:rPr>
      </w:pPr>
      <w:r w:rsidRPr="009C6D70">
        <w:rPr>
          <w:kern w:val="32"/>
        </w:rPr>
        <w:t xml:space="preserve">In the filing the Company proposed increasing the customer charge for Rates R, RH and RA from $7.00 to $8.50.  </w:t>
      </w:r>
      <w:r w:rsidRPr="009C6D70">
        <w:rPr>
          <w:i/>
          <w:kern w:val="32"/>
        </w:rPr>
        <w:t>See</w:t>
      </w:r>
      <w:r w:rsidRPr="009C6D70">
        <w:rPr>
          <w:kern w:val="32"/>
        </w:rPr>
        <w:t xml:space="preserve"> D</w:t>
      </w:r>
      <w:r w:rsidR="008E4487" w:rsidRPr="009C6D70">
        <w:rPr>
          <w:kern w:val="32"/>
        </w:rPr>
        <w:t>uquesne Light S</w:t>
      </w:r>
      <w:r w:rsidRPr="009C6D70">
        <w:rPr>
          <w:kern w:val="32"/>
        </w:rPr>
        <w:t>t. 14</w:t>
      </w:r>
      <w:r w:rsidR="008E4487" w:rsidRPr="009C6D70">
        <w:rPr>
          <w:kern w:val="32"/>
        </w:rPr>
        <w:t xml:space="preserve">, p. </w:t>
      </w:r>
      <w:r w:rsidRPr="009C6D70">
        <w:rPr>
          <w:kern w:val="32"/>
        </w:rPr>
        <w:t xml:space="preserve">7.  The OCA recommended that the customer charge for the residential rate classes remain at $7.00.  </w:t>
      </w:r>
      <w:r w:rsidRPr="009C6D70">
        <w:rPr>
          <w:i/>
          <w:kern w:val="32"/>
        </w:rPr>
        <w:t>See</w:t>
      </w:r>
      <w:r w:rsidRPr="009C6D70">
        <w:rPr>
          <w:kern w:val="32"/>
        </w:rPr>
        <w:t xml:space="preserve"> OCA St. 2</w:t>
      </w:r>
      <w:r w:rsidR="008E4487" w:rsidRPr="009C6D70">
        <w:rPr>
          <w:kern w:val="32"/>
        </w:rPr>
        <w:t>, p. 30.</w:t>
      </w:r>
      <w:r w:rsidRPr="009C6D70">
        <w:rPr>
          <w:kern w:val="32"/>
        </w:rPr>
        <w:t xml:space="preserve">  The OTS also recommended that the residential customer charge remain unchanged.  </w:t>
      </w:r>
      <w:r w:rsidRPr="009C6D70">
        <w:rPr>
          <w:i/>
          <w:kern w:val="32"/>
        </w:rPr>
        <w:t xml:space="preserve">See </w:t>
      </w:r>
      <w:r w:rsidRPr="009C6D70">
        <w:rPr>
          <w:kern w:val="32"/>
        </w:rPr>
        <w:t>OTS St. 3</w:t>
      </w:r>
      <w:r w:rsidR="008E4487" w:rsidRPr="009C6D70">
        <w:rPr>
          <w:kern w:val="32"/>
        </w:rPr>
        <w:t>, p. 34.</w:t>
      </w:r>
      <w:r w:rsidRPr="009C6D70">
        <w:rPr>
          <w:kern w:val="32"/>
        </w:rPr>
        <w:t xml:space="preserve">  </w:t>
      </w:r>
      <w:r w:rsidRPr="009C6D70">
        <w:rPr>
          <w:bCs/>
          <w:kern w:val="32"/>
        </w:rPr>
        <w:t xml:space="preserve">Under the Settlement, </w:t>
      </w:r>
      <w:r w:rsidR="008E4487" w:rsidRPr="009C6D70">
        <w:rPr>
          <w:bCs/>
          <w:kern w:val="32"/>
        </w:rPr>
        <w:t>Duquesne</w:t>
      </w:r>
      <w:r w:rsidRPr="009C6D70">
        <w:rPr>
          <w:bCs/>
          <w:kern w:val="32"/>
        </w:rPr>
        <w:t xml:space="preserve">’s monthly residential customer charge for </w:t>
      </w:r>
      <w:r w:rsidR="00C07784">
        <w:rPr>
          <w:bCs/>
          <w:kern w:val="32"/>
        </w:rPr>
        <w:t>R</w:t>
      </w:r>
      <w:r w:rsidRPr="009C6D70">
        <w:rPr>
          <w:bCs/>
          <w:kern w:val="32"/>
        </w:rPr>
        <w:t xml:space="preserve">ates R, RH and RA will remain at $7.00, </w:t>
      </w:r>
      <w:r w:rsidRPr="009C6D70">
        <w:rPr>
          <w:kern w:val="32"/>
        </w:rPr>
        <w:t xml:space="preserve">rather than increase to $8.50, as originally proposed by the Company.  </w:t>
      </w:r>
      <w:r w:rsidR="00382711" w:rsidRPr="009C6D70">
        <w:rPr>
          <w:kern w:val="32"/>
        </w:rPr>
        <w:t>According to the OCA, t</w:t>
      </w:r>
      <w:r w:rsidRPr="009C6D70">
        <w:rPr>
          <w:bCs/>
          <w:kern w:val="32"/>
        </w:rPr>
        <w:t xml:space="preserve">his is consistent with the cost analysis of </w:t>
      </w:r>
      <w:r w:rsidR="00382711" w:rsidRPr="009C6D70">
        <w:rPr>
          <w:bCs/>
          <w:kern w:val="32"/>
        </w:rPr>
        <w:t>its</w:t>
      </w:r>
      <w:r w:rsidRPr="009C6D70">
        <w:rPr>
          <w:bCs/>
          <w:kern w:val="32"/>
        </w:rPr>
        <w:t xml:space="preserve"> witness Clarence L. Johnson.  </w:t>
      </w:r>
      <w:r w:rsidRPr="009C6D70">
        <w:rPr>
          <w:bCs/>
          <w:i/>
          <w:kern w:val="32"/>
        </w:rPr>
        <w:t>See</w:t>
      </w:r>
      <w:r w:rsidRPr="009C6D70">
        <w:rPr>
          <w:bCs/>
          <w:kern w:val="32"/>
        </w:rPr>
        <w:t xml:space="preserve"> OCA St. 2</w:t>
      </w:r>
      <w:r w:rsidR="008E4487" w:rsidRPr="009C6D70">
        <w:rPr>
          <w:bCs/>
          <w:kern w:val="32"/>
        </w:rPr>
        <w:t xml:space="preserve">, pp. </w:t>
      </w:r>
      <w:r w:rsidRPr="009C6D70">
        <w:rPr>
          <w:bCs/>
          <w:kern w:val="32"/>
        </w:rPr>
        <w:t>27-30</w:t>
      </w:r>
      <w:r w:rsidR="00382711" w:rsidRPr="009C6D70">
        <w:rPr>
          <w:bCs/>
          <w:kern w:val="32"/>
        </w:rPr>
        <w:t xml:space="preserve">; </w:t>
      </w:r>
      <w:r w:rsidR="00382711" w:rsidRPr="009C6D70">
        <w:rPr>
          <w:color w:val="000000"/>
        </w:rPr>
        <w:t>OCA St. in Support, p. 6.</w:t>
      </w:r>
    </w:p>
    <w:p w:rsidR="00342F59" w:rsidRPr="009C6D70" w:rsidRDefault="00342F59" w:rsidP="00342F59">
      <w:pPr>
        <w:spacing w:line="360" w:lineRule="auto"/>
        <w:ind w:firstLine="1440"/>
        <w:rPr>
          <w:bCs/>
          <w:kern w:val="32"/>
        </w:rPr>
      </w:pPr>
    </w:p>
    <w:p w:rsidR="009C027C" w:rsidRDefault="009C027C">
      <w:pPr>
        <w:rPr>
          <w:bCs/>
          <w:kern w:val="32"/>
        </w:rPr>
      </w:pPr>
      <w:r>
        <w:rPr>
          <w:bCs/>
          <w:kern w:val="32"/>
        </w:rPr>
        <w:br w:type="page"/>
      </w:r>
    </w:p>
    <w:p w:rsidR="00342F59" w:rsidRPr="009C6D70" w:rsidRDefault="00F15A09" w:rsidP="00342F59">
      <w:pPr>
        <w:spacing w:line="360" w:lineRule="auto"/>
        <w:ind w:firstLine="1440"/>
        <w:rPr>
          <w:color w:val="000000"/>
        </w:rPr>
      </w:pPr>
      <w:r w:rsidRPr="009C6D70">
        <w:rPr>
          <w:bCs/>
          <w:kern w:val="32"/>
        </w:rPr>
        <w:lastRenderedPageBreak/>
        <w:t xml:space="preserve">The OCA submits that the residential rate design established through the Settlement is reasonable and consistent with sound ratemaking principles.  </w:t>
      </w:r>
      <w:r w:rsidRPr="009C6D70">
        <w:rPr>
          <w:color w:val="000000"/>
        </w:rPr>
        <w:t>These rate design changes</w:t>
      </w:r>
      <w:r w:rsidR="00382711" w:rsidRPr="009C6D70">
        <w:rPr>
          <w:color w:val="000000"/>
        </w:rPr>
        <w:t xml:space="preserve">, the OCA claims, </w:t>
      </w:r>
      <w:r w:rsidRPr="009C6D70">
        <w:rPr>
          <w:color w:val="000000"/>
        </w:rPr>
        <w:t>are within the range of the likely outcomes in the event of full litigation of the case.</w:t>
      </w:r>
      <w:r w:rsidR="00382711" w:rsidRPr="009C6D70">
        <w:rPr>
          <w:color w:val="000000"/>
        </w:rPr>
        <w:t xml:space="preserve">  OCA St. in Support, p. 6.</w:t>
      </w:r>
      <w:r w:rsidRPr="009C6D70">
        <w:rPr>
          <w:color w:val="000000"/>
        </w:rPr>
        <w:t xml:space="preserve"> </w:t>
      </w:r>
    </w:p>
    <w:p w:rsidR="00F15A09" w:rsidRPr="009C6D70" w:rsidRDefault="00F15A09" w:rsidP="00342F59">
      <w:pPr>
        <w:spacing w:line="360" w:lineRule="auto"/>
        <w:ind w:firstLine="1440"/>
        <w:rPr>
          <w:bCs/>
          <w:kern w:val="32"/>
        </w:rPr>
      </w:pPr>
    </w:p>
    <w:p w:rsidR="00F15A09" w:rsidRPr="009C6D70" w:rsidRDefault="00F15A09" w:rsidP="00342F59">
      <w:pPr>
        <w:spacing w:line="360" w:lineRule="auto"/>
        <w:ind w:firstLine="1440"/>
        <w:rPr>
          <w:color w:val="000000"/>
        </w:rPr>
      </w:pPr>
      <w:r w:rsidRPr="009C6D70">
        <w:rPr>
          <w:bCs/>
          <w:kern w:val="32"/>
        </w:rPr>
        <w:t xml:space="preserve">In its filing, the Company proposed to eliminate the greater than 500 kWh winter block and implement a flat seasonal differential for Rates RH and RA.  </w:t>
      </w:r>
      <w:r w:rsidRPr="009C6D70">
        <w:rPr>
          <w:bCs/>
          <w:i/>
          <w:kern w:val="32"/>
        </w:rPr>
        <w:t xml:space="preserve">See </w:t>
      </w:r>
      <w:r w:rsidRPr="009C6D70">
        <w:rPr>
          <w:bCs/>
          <w:kern w:val="32"/>
        </w:rPr>
        <w:t>D</w:t>
      </w:r>
      <w:r w:rsidR="008E4487" w:rsidRPr="009C6D70">
        <w:rPr>
          <w:bCs/>
          <w:kern w:val="32"/>
        </w:rPr>
        <w:t>uquesne Light</w:t>
      </w:r>
      <w:r w:rsidRPr="009C6D70">
        <w:rPr>
          <w:bCs/>
          <w:kern w:val="32"/>
        </w:rPr>
        <w:t xml:space="preserve"> St.</w:t>
      </w:r>
      <w:r w:rsidR="002D61BE" w:rsidRPr="009C6D70">
        <w:rPr>
          <w:bCs/>
          <w:kern w:val="32"/>
        </w:rPr>
        <w:t xml:space="preserve"> 14, p. 8.</w:t>
      </w:r>
      <w:r w:rsidRPr="009C6D70">
        <w:rPr>
          <w:bCs/>
          <w:kern w:val="32"/>
        </w:rPr>
        <w:t xml:space="preserve">  The OCA found this proposal to be reasonable, especially since the reduced revenue requirement of the Settlement will help reduce the bill impacts of this change on customers in Rates RH and RA.</w:t>
      </w:r>
      <w:r w:rsidR="00382711" w:rsidRPr="009C6D70">
        <w:rPr>
          <w:bCs/>
          <w:kern w:val="32"/>
        </w:rPr>
        <w:t xml:space="preserve">  </w:t>
      </w:r>
      <w:r w:rsidR="00382711" w:rsidRPr="009C6D70">
        <w:rPr>
          <w:color w:val="000000"/>
        </w:rPr>
        <w:t>OCA St. in Support, p. 6.</w:t>
      </w:r>
    </w:p>
    <w:p w:rsidR="00382711" w:rsidRPr="009C6D70" w:rsidRDefault="00382711" w:rsidP="00342F59">
      <w:pPr>
        <w:spacing w:line="360" w:lineRule="auto"/>
        <w:ind w:firstLine="1440"/>
        <w:rPr>
          <w:color w:val="000000"/>
        </w:rPr>
      </w:pPr>
    </w:p>
    <w:p w:rsidR="00F15A09" w:rsidRPr="009C6D70" w:rsidRDefault="001E796B" w:rsidP="00132B39">
      <w:pPr>
        <w:numPr>
          <w:ilvl w:val="0"/>
          <w:numId w:val="33"/>
        </w:numPr>
        <w:tabs>
          <w:tab w:val="clear" w:pos="2160"/>
        </w:tabs>
        <w:spacing w:line="360" w:lineRule="auto"/>
        <w:ind w:left="1440"/>
        <w:jc w:val="both"/>
        <w:rPr>
          <w:bCs/>
          <w:kern w:val="32"/>
        </w:rPr>
      </w:pPr>
      <w:r w:rsidRPr="009C6D70">
        <w:rPr>
          <w:bCs/>
          <w:kern w:val="32"/>
          <w:u w:val="single"/>
        </w:rPr>
        <w:t>Pensions</w:t>
      </w:r>
    </w:p>
    <w:p w:rsidR="001E796B" w:rsidRPr="009C6D70" w:rsidRDefault="001E796B" w:rsidP="001E796B">
      <w:pPr>
        <w:spacing w:line="360" w:lineRule="auto"/>
        <w:jc w:val="both"/>
        <w:rPr>
          <w:bCs/>
          <w:kern w:val="32"/>
        </w:rPr>
      </w:pPr>
    </w:p>
    <w:p w:rsidR="00F15A09" w:rsidRPr="009C6D70" w:rsidRDefault="00F15A09" w:rsidP="001E796B">
      <w:pPr>
        <w:spacing w:line="360" w:lineRule="auto"/>
        <w:ind w:firstLine="1440"/>
        <w:rPr>
          <w:bCs/>
          <w:kern w:val="32"/>
        </w:rPr>
      </w:pPr>
      <w:r w:rsidRPr="009C6D70">
        <w:rPr>
          <w:bCs/>
          <w:kern w:val="32"/>
        </w:rPr>
        <w:t>OCA witness Effron recommended rejection of D</w:t>
      </w:r>
      <w:r w:rsidR="006550A6" w:rsidRPr="009C6D70">
        <w:rPr>
          <w:bCs/>
          <w:kern w:val="32"/>
        </w:rPr>
        <w:t>uquesne’s</w:t>
      </w:r>
      <w:r w:rsidRPr="009C6D70">
        <w:rPr>
          <w:bCs/>
          <w:kern w:val="32"/>
        </w:rPr>
        <w:t xml:space="preserve"> proposed pension expense, noting </w:t>
      </w:r>
      <w:r w:rsidRPr="009C6D70">
        <w:rPr>
          <w:bCs/>
          <w:i/>
          <w:kern w:val="32"/>
        </w:rPr>
        <w:t>inter alia</w:t>
      </w:r>
      <w:r w:rsidRPr="009C6D70">
        <w:rPr>
          <w:bCs/>
          <w:kern w:val="32"/>
        </w:rPr>
        <w:t xml:space="preserve"> that the Company had not made pension contributions in accordance with the Settlement of its last base rate case (Docket No. R-00061346).  </w:t>
      </w:r>
      <w:r w:rsidRPr="009C6D70">
        <w:rPr>
          <w:bCs/>
          <w:i/>
          <w:kern w:val="32"/>
        </w:rPr>
        <w:t>See</w:t>
      </w:r>
      <w:r w:rsidRPr="009C6D70">
        <w:rPr>
          <w:bCs/>
          <w:kern w:val="32"/>
        </w:rPr>
        <w:t xml:space="preserve"> OCA St. 1</w:t>
      </w:r>
      <w:r w:rsidR="006550A6" w:rsidRPr="009C6D70">
        <w:rPr>
          <w:bCs/>
          <w:kern w:val="32"/>
        </w:rPr>
        <w:t xml:space="preserve">, pp. </w:t>
      </w:r>
      <w:r w:rsidRPr="009C6D70">
        <w:rPr>
          <w:bCs/>
          <w:kern w:val="32"/>
        </w:rPr>
        <w:t xml:space="preserve">12-15.  The Company indicated it would make a lump sum contribution by the end of 2010 to make up for contributions promised in the Settlement at Docket No. R-00061346.  </w:t>
      </w:r>
      <w:r w:rsidR="006550A6" w:rsidRPr="009C6D70">
        <w:rPr>
          <w:bCs/>
          <w:kern w:val="32"/>
        </w:rPr>
        <w:t>Duquesne</w:t>
      </w:r>
      <w:r w:rsidR="00982F45" w:rsidRPr="009C6D70">
        <w:rPr>
          <w:bCs/>
          <w:kern w:val="32"/>
        </w:rPr>
        <w:t xml:space="preserve"> Light</w:t>
      </w:r>
      <w:r w:rsidR="006550A6" w:rsidRPr="009C6D70">
        <w:rPr>
          <w:bCs/>
          <w:kern w:val="32"/>
        </w:rPr>
        <w:t xml:space="preserve"> </w:t>
      </w:r>
      <w:r w:rsidRPr="009C6D70">
        <w:rPr>
          <w:bCs/>
          <w:kern w:val="32"/>
        </w:rPr>
        <w:t>St. 11</w:t>
      </w:r>
      <w:r w:rsidR="006550A6" w:rsidRPr="009C6D70">
        <w:rPr>
          <w:bCs/>
          <w:kern w:val="32"/>
        </w:rPr>
        <w:t xml:space="preserve">, p. 4.  OCA St. in Support, pp. 6-7.  </w:t>
      </w:r>
    </w:p>
    <w:p w:rsidR="001E796B" w:rsidRPr="009C6D70" w:rsidRDefault="001E796B" w:rsidP="001E796B">
      <w:pPr>
        <w:spacing w:line="360" w:lineRule="auto"/>
        <w:ind w:firstLine="1440"/>
        <w:rPr>
          <w:bCs/>
          <w:kern w:val="32"/>
        </w:rPr>
      </w:pPr>
    </w:p>
    <w:p w:rsidR="001B1593" w:rsidRPr="009C6D70" w:rsidRDefault="00F15A09" w:rsidP="001B1593">
      <w:pPr>
        <w:spacing w:line="360" w:lineRule="auto"/>
        <w:ind w:firstLine="1440"/>
        <w:rPr>
          <w:bCs/>
          <w:kern w:val="32"/>
        </w:rPr>
      </w:pPr>
      <w:r w:rsidRPr="009C6D70">
        <w:rPr>
          <w:bCs/>
          <w:kern w:val="32"/>
        </w:rPr>
        <w:t xml:space="preserve">OCA witness Effron also recommended rejection of the Company’s proposed </w:t>
      </w:r>
      <w:r w:rsidRPr="009C6D70">
        <w:rPr>
          <w:bCs/>
          <w:i/>
          <w:kern w:val="32"/>
        </w:rPr>
        <w:t>pro forma</w:t>
      </w:r>
      <w:r w:rsidRPr="009C6D70">
        <w:rPr>
          <w:bCs/>
          <w:kern w:val="32"/>
        </w:rPr>
        <w:t xml:space="preserve"> pension expense because D</w:t>
      </w:r>
      <w:r w:rsidR="006550A6" w:rsidRPr="009C6D70">
        <w:rPr>
          <w:bCs/>
          <w:kern w:val="32"/>
        </w:rPr>
        <w:t xml:space="preserve">uquesne’s </w:t>
      </w:r>
      <w:r w:rsidRPr="009C6D70">
        <w:rPr>
          <w:bCs/>
          <w:kern w:val="32"/>
        </w:rPr>
        <w:t xml:space="preserve">forecasted amount greatly exceeded the average of the actual pension contributions for the past three years.  </w:t>
      </w:r>
      <w:r w:rsidRPr="009C6D70">
        <w:rPr>
          <w:bCs/>
          <w:i/>
          <w:kern w:val="32"/>
        </w:rPr>
        <w:t>See</w:t>
      </w:r>
      <w:r w:rsidRPr="009C6D70">
        <w:rPr>
          <w:bCs/>
          <w:kern w:val="32"/>
        </w:rPr>
        <w:t xml:space="preserve"> OCA St. 1</w:t>
      </w:r>
      <w:r w:rsidR="006550A6" w:rsidRPr="009C6D70">
        <w:rPr>
          <w:bCs/>
          <w:kern w:val="32"/>
        </w:rPr>
        <w:t>, p. 12.</w:t>
      </w:r>
      <w:r w:rsidRPr="009C6D70">
        <w:rPr>
          <w:bCs/>
          <w:kern w:val="32"/>
        </w:rPr>
        <w:t xml:space="preserve">  In Rebuttal Testimony, the Company indicated that the increased proposed </w:t>
      </w:r>
      <w:r w:rsidRPr="009C6D70">
        <w:rPr>
          <w:bCs/>
          <w:i/>
          <w:kern w:val="32"/>
        </w:rPr>
        <w:t>pro forma</w:t>
      </w:r>
      <w:r w:rsidRPr="009C6D70">
        <w:rPr>
          <w:bCs/>
          <w:kern w:val="32"/>
        </w:rPr>
        <w:t xml:space="preserve"> pension expense amounts were necessary in order to comply with new funding requirements under the Pension Protection Act of 2006 (PPA).  </w:t>
      </w:r>
      <w:r w:rsidR="006550A6" w:rsidRPr="009C6D70">
        <w:rPr>
          <w:bCs/>
          <w:kern w:val="32"/>
        </w:rPr>
        <w:t xml:space="preserve">Duquesne </w:t>
      </w:r>
      <w:r w:rsidR="00982F45" w:rsidRPr="009C6D70">
        <w:rPr>
          <w:bCs/>
          <w:kern w:val="32"/>
        </w:rPr>
        <w:t>Light St. 11 and St. 11R</w:t>
      </w:r>
      <w:r w:rsidR="001B1593" w:rsidRPr="009C6D70">
        <w:rPr>
          <w:bCs/>
          <w:kern w:val="32"/>
        </w:rPr>
        <w:t>; OCA St. in Support, p. 7.</w:t>
      </w:r>
    </w:p>
    <w:p w:rsidR="001E796B" w:rsidRPr="009C6D70" w:rsidRDefault="001E796B" w:rsidP="001E796B">
      <w:pPr>
        <w:spacing w:line="360" w:lineRule="auto"/>
        <w:ind w:firstLine="1440"/>
        <w:rPr>
          <w:bCs/>
          <w:kern w:val="32"/>
        </w:rPr>
      </w:pPr>
    </w:p>
    <w:p w:rsidR="009C027C" w:rsidRDefault="00F15A09" w:rsidP="001E796B">
      <w:pPr>
        <w:spacing w:line="360" w:lineRule="auto"/>
        <w:ind w:firstLine="1440"/>
        <w:rPr>
          <w:bCs/>
          <w:kern w:val="32"/>
        </w:rPr>
      </w:pPr>
      <w:r w:rsidRPr="009C6D70">
        <w:rPr>
          <w:bCs/>
          <w:kern w:val="32"/>
        </w:rPr>
        <w:t xml:space="preserve">In the Settlement, the Company agreed to deposit $55 million per year into its pension trusts commencing in 2011, which shall comply with funding requirements of ERISA and the PPA.  Also, specific accounting procedures and reporting requirements are outlined.  By </w:t>
      </w:r>
    </w:p>
    <w:p w:rsidR="009C027C" w:rsidRDefault="009C027C">
      <w:pPr>
        <w:rPr>
          <w:bCs/>
          <w:kern w:val="32"/>
        </w:rPr>
      </w:pPr>
      <w:r>
        <w:rPr>
          <w:bCs/>
          <w:kern w:val="32"/>
        </w:rPr>
        <w:br w:type="page"/>
      </w:r>
    </w:p>
    <w:p w:rsidR="00F15A09" w:rsidRPr="009C6D70" w:rsidRDefault="00F15A09" w:rsidP="009C027C">
      <w:pPr>
        <w:spacing w:line="360" w:lineRule="auto"/>
        <w:rPr>
          <w:bCs/>
          <w:kern w:val="32"/>
        </w:rPr>
      </w:pPr>
      <w:r w:rsidRPr="009C6D70">
        <w:rPr>
          <w:bCs/>
          <w:kern w:val="32"/>
        </w:rPr>
        <w:lastRenderedPageBreak/>
        <w:t>January 31 of the calendar year following the contribution year, D</w:t>
      </w:r>
      <w:r w:rsidR="001B1593" w:rsidRPr="009C6D70">
        <w:rPr>
          <w:bCs/>
          <w:kern w:val="32"/>
        </w:rPr>
        <w:t xml:space="preserve">uquesne </w:t>
      </w:r>
      <w:r w:rsidRPr="009C6D70">
        <w:rPr>
          <w:bCs/>
          <w:kern w:val="32"/>
        </w:rPr>
        <w:t>must provide a report and affidavit to the Commission and parties attesting to the actual contributions to pension trusts during the contribution year.  The parties have the right to take action to enforce the Settlement provisions in the event the Company does not make the required contribution.</w:t>
      </w:r>
      <w:r w:rsidR="001B1593" w:rsidRPr="009C6D70">
        <w:rPr>
          <w:bCs/>
          <w:kern w:val="32"/>
        </w:rPr>
        <w:t xml:space="preserve">  OCA St. in Support, p. 7.</w:t>
      </w:r>
    </w:p>
    <w:p w:rsidR="001E796B" w:rsidRPr="009C6D70" w:rsidRDefault="001E796B" w:rsidP="001E796B">
      <w:pPr>
        <w:spacing w:line="360" w:lineRule="auto"/>
        <w:ind w:firstLine="1440"/>
        <w:rPr>
          <w:bCs/>
          <w:kern w:val="32"/>
        </w:rPr>
      </w:pPr>
    </w:p>
    <w:p w:rsidR="00F15A09" w:rsidRPr="009C6D70" w:rsidRDefault="00F15A09" w:rsidP="0048731E">
      <w:pPr>
        <w:spacing w:line="360" w:lineRule="auto"/>
        <w:ind w:firstLine="1440"/>
        <w:rPr>
          <w:bCs/>
          <w:kern w:val="32"/>
        </w:rPr>
      </w:pPr>
      <w:r w:rsidRPr="009C6D70">
        <w:rPr>
          <w:bCs/>
          <w:kern w:val="32"/>
        </w:rPr>
        <w:t xml:space="preserve">Also in the Settlement, the Joint Petitioners agreed to resolve an issue regarding the proper ratemaking treatment of the actual cash contribution </w:t>
      </w:r>
      <w:r w:rsidR="001B1593" w:rsidRPr="009C6D70">
        <w:rPr>
          <w:bCs/>
          <w:kern w:val="32"/>
        </w:rPr>
        <w:t>Duquesne</w:t>
      </w:r>
      <w:r w:rsidRPr="009C6D70">
        <w:rPr>
          <w:bCs/>
          <w:kern w:val="32"/>
        </w:rPr>
        <w:t xml:space="preserve"> makes to its pension trust.  </w:t>
      </w:r>
      <w:r w:rsidRPr="009C6D70">
        <w:rPr>
          <w:bCs/>
          <w:i/>
          <w:kern w:val="32"/>
        </w:rPr>
        <w:t xml:space="preserve">See </w:t>
      </w:r>
      <w:r w:rsidRPr="009C6D70">
        <w:rPr>
          <w:bCs/>
          <w:kern w:val="32"/>
        </w:rPr>
        <w:t>OCA St. 1-S</w:t>
      </w:r>
      <w:r w:rsidR="001B1593" w:rsidRPr="009C6D70">
        <w:rPr>
          <w:bCs/>
          <w:kern w:val="32"/>
        </w:rPr>
        <w:t xml:space="preserve">, pp. </w:t>
      </w:r>
      <w:r w:rsidRPr="009C6D70">
        <w:rPr>
          <w:bCs/>
          <w:kern w:val="32"/>
        </w:rPr>
        <w:t xml:space="preserve">3-6.  The Settlement provides: </w:t>
      </w:r>
    </w:p>
    <w:p w:rsidR="0048731E" w:rsidRPr="009C6D70" w:rsidRDefault="0048731E" w:rsidP="0048731E">
      <w:pPr>
        <w:spacing w:line="360" w:lineRule="auto"/>
        <w:ind w:firstLine="1440"/>
        <w:rPr>
          <w:bCs/>
          <w:kern w:val="32"/>
        </w:rPr>
      </w:pPr>
    </w:p>
    <w:p w:rsidR="00F15A09" w:rsidRPr="009C6D70" w:rsidRDefault="00F15A09" w:rsidP="00132B39">
      <w:pPr>
        <w:spacing w:after="120"/>
        <w:ind w:left="1440" w:right="1080"/>
        <w:rPr>
          <w:bCs/>
          <w:kern w:val="32"/>
        </w:rPr>
      </w:pPr>
      <w:r w:rsidRPr="009C6D70">
        <w:rPr>
          <w:bCs/>
          <w:kern w:val="32"/>
        </w:rPr>
        <w:t>50% of actual pension contributions from January 1, 2007, forward, net of related accumulated deferred income taxes, in rate base for rate making purposes.  The rate base adjustment for pensions shall be the amount necessary to adjust the SFAS 87 capitalized pension amounts to equal accumulated capitalized pension contributions, net of applicable deferred income taxes, from January 1, 2007, forward.  The depreciation expense for book and ratemaking purposes will be based on the SFAS 87 capitalized amounts.</w:t>
      </w:r>
    </w:p>
    <w:p w:rsidR="00F15A09" w:rsidRPr="009C6D70" w:rsidRDefault="00F15A09" w:rsidP="00132B39">
      <w:pPr>
        <w:spacing w:after="120"/>
        <w:jc w:val="both"/>
        <w:rPr>
          <w:bCs/>
          <w:kern w:val="32"/>
        </w:rPr>
      </w:pPr>
    </w:p>
    <w:p w:rsidR="00F15A09" w:rsidRDefault="001B1593" w:rsidP="00132B39">
      <w:pPr>
        <w:spacing w:line="360" w:lineRule="auto"/>
        <w:jc w:val="both"/>
        <w:rPr>
          <w:bCs/>
          <w:kern w:val="32"/>
        </w:rPr>
      </w:pPr>
      <w:r w:rsidRPr="009C6D70">
        <w:rPr>
          <w:bCs/>
          <w:kern w:val="32"/>
        </w:rPr>
        <w:t>Joint Petition ¶37, p. 9.</w:t>
      </w:r>
      <w:r w:rsidR="00205758" w:rsidRPr="009C6D70">
        <w:rPr>
          <w:rStyle w:val="FootnoteReference"/>
          <w:bCs/>
          <w:kern w:val="32"/>
        </w:rPr>
        <w:footnoteReference w:id="27"/>
      </w:r>
      <w:r w:rsidR="00205758" w:rsidRPr="009C6D70">
        <w:rPr>
          <w:bCs/>
          <w:kern w:val="32"/>
        </w:rPr>
        <w:t xml:space="preserve">  OCA St. in Support, pp. 7-8.</w:t>
      </w:r>
      <w:r w:rsidR="00F15A09" w:rsidRPr="009C6D70">
        <w:rPr>
          <w:bCs/>
          <w:kern w:val="32"/>
        </w:rPr>
        <w:t xml:space="preserve">  </w:t>
      </w:r>
    </w:p>
    <w:p w:rsidR="00132B39" w:rsidRPr="009C6D70" w:rsidRDefault="00132B39" w:rsidP="00132B39">
      <w:pPr>
        <w:spacing w:line="360" w:lineRule="auto"/>
        <w:jc w:val="both"/>
        <w:rPr>
          <w:bCs/>
          <w:kern w:val="32"/>
        </w:rPr>
      </w:pPr>
    </w:p>
    <w:p w:rsidR="00F15A09" w:rsidRPr="009C6D70" w:rsidRDefault="00205758" w:rsidP="00132B39">
      <w:pPr>
        <w:spacing w:line="360" w:lineRule="auto"/>
        <w:ind w:firstLine="1440"/>
        <w:rPr>
          <w:bCs/>
          <w:kern w:val="32"/>
        </w:rPr>
      </w:pPr>
      <w:r w:rsidRPr="009C6D70">
        <w:rPr>
          <w:bCs/>
          <w:kern w:val="32"/>
        </w:rPr>
        <w:t>According to the OCA, t</w:t>
      </w:r>
      <w:r w:rsidR="00F15A09" w:rsidRPr="009C6D70">
        <w:rPr>
          <w:bCs/>
          <w:kern w:val="32"/>
        </w:rPr>
        <w:t>his provision will permit the Company to include the capitalized portion of its cash contributions to the pension in its rate base without affecting depreciation expense.  Allowing this change resolves the unfavorable differences in recording pension contributions for ratemaking purposes and recording pension contributions for financial accounting purposes.</w:t>
      </w:r>
      <w:r w:rsidRPr="009C6D70">
        <w:rPr>
          <w:bCs/>
          <w:kern w:val="32"/>
        </w:rPr>
        <w:t xml:space="preserve">  OCA St. in Support, p. 8.  </w:t>
      </w:r>
    </w:p>
    <w:p w:rsidR="0048731E" w:rsidRPr="009C6D70" w:rsidRDefault="0048731E" w:rsidP="00B50EE6">
      <w:pPr>
        <w:spacing w:line="360" w:lineRule="auto"/>
        <w:ind w:firstLine="1440"/>
        <w:rPr>
          <w:bCs/>
          <w:kern w:val="32"/>
        </w:rPr>
      </w:pPr>
    </w:p>
    <w:p w:rsidR="00F15A09" w:rsidRPr="009C6D70" w:rsidRDefault="00F15A09" w:rsidP="00B50EE6">
      <w:pPr>
        <w:spacing w:line="360" w:lineRule="auto"/>
        <w:ind w:firstLine="1440"/>
        <w:rPr>
          <w:bCs/>
          <w:kern w:val="32"/>
        </w:rPr>
      </w:pPr>
      <w:r w:rsidRPr="009C6D70">
        <w:rPr>
          <w:bCs/>
          <w:kern w:val="32"/>
        </w:rPr>
        <w:t>The OCA submits that the pension contribution provisions established through the Settlement are reasonable and consistent with sound ratemaking principles.</w:t>
      </w:r>
      <w:r w:rsidR="00785E80" w:rsidRPr="009C6D70">
        <w:rPr>
          <w:bCs/>
          <w:kern w:val="32"/>
        </w:rPr>
        <w:t xml:space="preserve">  OCA St. in Support, p. 8.  </w:t>
      </w:r>
    </w:p>
    <w:p w:rsidR="00785E80" w:rsidRPr="009C6D70" w:rsidRDefault="00785E80" w:rsidP="00B50EE6">
      <w:pPr>
        <w:spacing w:line="360" w:lineRule="auto"/>
        <w:ind w:firstLine="1440"/>
        <w:rPr>
          <w:bCs/>
          <w:kern w:val="32"/>
        </w:rPr>
      </w:pPr>
    </w:p>
    <w:p w:rsidR="009C027C" w:rsidRDefault="009C027C">
      <w:pPr>
        <w:rPr>
          <w:bCs/>
          <w:kern w:val="32"/>
          <w:u w:val="single"/>
        </w:rPr>
      </w:pPr>
      <w:r>
        <w:rPr>
          <w:bCs/>
          <w:kern w:val="32"/>
          <w:u w:val="single"/>
        </w:rPr>
        <w:br w:type="page"/>
      </w:r>
    </w:p>
    <w:p w:rsidR="00785E80" w:rsidRPr="009C6D70" w:rsidRDefault="00785E80" w:rsidP="00794193">
      <w:pPr>
        <w:numPr>
          <w:ilvl w:val="0"/>
          <w:numId w:val="33"/>
        </w:numPr>
        <w:tabs>
          <w:tab w:val="clear" w:pos="2160"/>
        </w:tabs>
        <w:spacing w:line="360" w:lineRule="auto"/>
        <w:ind w:left="1440"/>
        <w:rPr>
          <w:bCs/>
          <w:kern w:val="32"/>
        </w:rPr>
      </w:pPr>
      <w:r w:rsidRPr="009C6D70">
        <w:rPr>
          <w:bCs/>
          <w:kern w:val="32"/>
          <w:u w:val="single"/>
        </w:rPr>
        <w:lastRenderedPageBreak/>
        <w:t>Taxes</w:t>
      </w:r>
    </w:p>
    <w:p w:rsidR="00785E80" w:rsidRPr="009C6D70" w:rsidRDefault="00785E80" w:rsidP="00794193">
      <w:pPr>
        <w:spacing w:line="360" w:lineRule="auto"/>
        <w:rPr>
          <w:bCs/>
          <w:kern w:val="32"/>
        </w:rPr>
      </w:pPr>
    </w:p>
    <w:p w:rsidR="00F15A09" w:rsidRPr="009C6D70" w:rsidRDefault="00B50EE6" w:rsidP="00794193">
      <w:pPr>
        <w:spacing w:line="360" w:lineRule="auto"/>
        <w:ind w:firstLine="1440"/>
        <w:rPr>
          <w:bCs/>
          <w:kern w:val="32"/>
        </w:rPr>
      </w:pPr>
      <w:r w:rsidRPr="009C6D70">
        <w:rPr>
          <w:bCs/>
          <w:kern w:val="32"/>
        </w:rPr>
        <w:t xml:space="preserve">In Direct Testimony, the OCA explained as follows:  </w:t>
      </w:r>
      <w:r w:rsidR="00F15A09" w:rsidRPr="009C6D70">
        <w:rPr>
          <w:bCs/>
          <w:kern w:val="32"/>
        </w:rPr>
        <w:t xml:space="preserve"> </w:t>
      </w:r>
    </w:p>
    <w:p w:rsidR="003421C2" w:rsidRPr="009C6D70" w:rsidRDefault="003421C2" w:rsidP="00794193">
      <w:pPr>
        <w:spacing w:line="360" w:lineRule="auto"/>
        <w:ind w:firstLine="1440"/>
        <w:rPr>
          <w:bCs/>
          <w:kern w:val="32"/>
        </w:rPr>
      </w:pPr>
    </w:p>
    <w:p w:rsidR="00F15A09" w:rsidRDefault="00F15A09" w:rsidP="00132B39">
      <w:pPr>
        <w:ind w:left="1440" w:right="1440"/>
      </w:pPr>
      <w:r w:rsidRPr="009C6D70">
        <w:t>In September 2009, the Internal Revenue Service (“IRS”) issued Revenue Procedure 2009-39, clarifying the procedures for taxpayers to obtain consent for changes in the method of accounting for which expenditures are currently deductible under Internal Revenue Code Section 162 and which expenditures must be capitalized under Internal Revenue Code Section 263.  The current deductibility of such expenditures had been expanded by proposed regulations issued in March 2008, and Revenue Procedure 2009-39 clarified that consent to implement such changes in accounting would be automatic.</w:t>
      </w:r>
    </w:p>
    <w:p w:rsidR="00994B27" w:rsidRPr="009C6D70" w:rsidRDefault="00994B27" w:rsidP="00132B39">
      <w:pPr>
        <w:ind w:left="1440" w:right="1440"/>
      </w:pPr>
    </w:p>
    <w:p w:rsidR="00F15A09" w:rsidRPr="009C6D70" w:rsidRDefault="00F15A09" w:rsidP="00132B39">
      <w:pPr>
        <w:ind w:left="1440" w:right="1440" w:firstLine="720"/>
      </w:pPr>
      <w:r w:rsidRPr="009C6D70">
        <w:t>The combined effect of the proposed regulations and Revenue Procedure 2009-39 was to greatly enhance the current repair allowance deduction for certain expenditures (including “network assets”) that are capitalized on the Company’s books of account.</w:t>
      </w:r>
    </w:p>
    <w:p w:rsidR="003421C2" w:rsidRPr="009C6D70" w:rsidRDefault="003421C2" w:rsidP="00132B39">
      <w:pPr>
        <w:ind w:left="1440" w:right="1440" w:firstLine="720"/>
      </w:pPr>
    </w:p>
    <w:p w:rsidR="00F15A09" w:rsidRPr="009C6D70" w:rsidRDefault="00F15A09" w:rsidP="00994B27">
      <w:pPr>
        <w:ind w:left="1440" w:right="1440"/>
        <w:jc w:val="center"/>
      </w:pPr>
      <w:r w:rsidRPr="009C6D70">
        <w:t>* * *</w:t>
      </w:r>
    </w:p>
    <w:p w:rsidR="003421C2" w:rsidRPr="009C6D70" w:rsidRDefault="003421C2" w:rsidP="00132B39">
      <w:pPr>
        <w:ind w:left="1440" w:right="1440"/>
      </w:pPr>
    </w:p>
    <w:p w:rsidR="00F15A09" w:rsidRPr="009C6D70" w:rsidRDefault="00F15A09" w:rsidP="00994B27">
      <w:pPr>
        <w:spacing w:after="120"/>
        <w:ind w:left="1440" w:right="1440"/>
      </w:pPr>
      <w:r w:rsidRPr="009C6D70">
        <w:t xml:space="preserve">There are actually two components to the tax accounting change.  First, the current deduction for the repair allowance is increased on a going forward basis in the year that the change is implemented and subsequent years.  Second, a “catch-up” deduction is also allowed for the cumulative effect of expenditures that had been capitalized in prior years but would be currently deductible under the new accounting method. </w:t>
      </w:r>
      <w:r w:rsidR="00C07784">
        <w:t xml:space="preserve"> </w:t>
      </w:r>
      <w:r w:rsidRPr="009C6D70">
        <w:t>This “catch up” deduction is also referred to as a Section 481(a) adjustment, based on the Internal Revenue Code section that authorizes such catch-up adjustments for accounting changes.</w:t>
      </w:r>
    </w:p>
    <w:p w:rsidR="00F15A09" w:rsidRPr="009C6D70" w:rsidRDefault="00F15A09" w:rsidP="00994B27">
      <w:pPr>
        <w:spacing w:after="120"/>
        <w:ind w:left="720" w:right="-360" w:hanging="720"/>
        <w:jc w:val="both"/>
      </w:pPr>
    </w:p>
    <w:p w:rsidR="00F15A09" w:rsidRDefault="00F15A09" w:rsidP="00994B27">
      <w:pPr>
        <w:spacing w:line="360" w:lineRule="auto"/>
        <w:ind w:left="720" w:right="-360" w:hanging="720"/>
        <w:jc w:val="both"/>
      </w:pPr>
      <w:r w:rsidRPr="009C6D70">
        <w:rPr>
          <w:i/>
        </w:rPr>
        <w:t xml:space="preserve">See </w:t>
      </w:r>
      <w:r w:rsidRPr="009C6D70">
        <w:t>OCA St. 1</w:t>
      </w:r>
      <w:r w:rsidR="00C12370" w:rsidRPr="009C6D70">
        <w:t xml:space="preserve">, pp. </w:t>
      </w:r>
      <w:r w:rsidRPr="009C6D70">
        <w:t>26</w:t>
      </w:r>
      <w:r w:rsidR="00C12370" w:rsidRPr="009C6D70">
        <w:t>,</w:t>
      </w:r>
      <w:r w:rsidRPr="009C6D70">
        <w:t xml:space="preserve"> 27</w:t>
      </w:r>
      <w:r w:rsidR="00C12370" w:rsidRPr="009C6D70">
        <w:t>; OCA St. in Support, p</w:t>
      </w:r>
      <w:r w:rsidR="00414D79" w:rsidRPr="009C6D70">
        <w:t>p</w:t>
      </w:r>
      <w:r w:rsidR="00C12370" w:rsidRPr="009C6D70">
        <w:t>. 8</w:t>
      </w:r>
      <w:r w:rsidR="00414D79" w:rsidRPr="009C6D70">
        <w:t>-9</w:t>
      </w:r>
      <w:r w:rsidRPr="009C6D70">
        <w:t>.</w:t>
      </w:r>
    </w:p>
    <w:p w:rsidR="00994B27" w:rsidRPr="009C6D70" w:rsidRDefault="00994B27" w:rsidP="00994B27">
      <w:pPr>
        <w:spacing w:line="360" w:lineRule="auto"/>
        <w:ind w:left="720" w:right="-360" w:hanging="720"/>
        <w:jc w:val="both"/>
      </w:pPr>
    </w:p>
    <w:p w:rsidR="009C027C" w:rsidRDefault="00F15A09" w:rsidP="00994B27">
      <w:pPr>
        <w:spacing w:line="360" w:lineRule="auto"/>
        <w:ind w:firstLine="1440"/>
      </w:pPr>
      <w:r w:rsidRPr="009C6D70">
        <w:rPr>
          <w:bCs/>
          <w:kern w:val="32"/>
        </w:rPr>
        <w:t xml:space="preserve">The OCA noted that </w:t>
      </w:r>
      <w:r w:rsidRPr="009C6D70">
        <w:t>D</w:t>
      </w:r>
      <w:r w:rsidR="00C12370" w:rsidRPr="009C6D70">
        <w:t>uquesne</w:t>
      </w:r>
      <w:r w:rsidRPr="009C6D70">
        <w:t xml:space="preserve"> had neither requested nor implemented the accounting change, and had not reflected the effect of the tax accounting change in the determination of the Company’s revenue requirement.  </w:t>
      </w:r>
      <w:r w:rsidR="0037769A" w:rsidRPr="009C6D70">
        <w:t>OCA St. 1, p.</w:t>
      </w:r>
      <w:r w:rsidRPr="009C6D70">
        <w:t xml:space="preserve"> 27.  The OCA </w:t>
      </w:r>
    </w:p>
    <w:p w:rsidR="009C027C" w:rsidRDefault="009C027C">
      <w:r>
        <w:br w:type="page"/>
      </w:r>
    </w:p>
    <w:p w:rsidR="00F15A09" w:rsidRPr="009C6D70" w:rsidRDefault="00F15A09" w:rsidP="009C027C">
      <w:pPr>
        <w:spacing w:line="360" w:lineRule="auto"/>
      </w:pPr>
      <w:proofErr w:type="gramStart"/>
      <w:r w:rsidRPr="009C6D70">
        <w:lastRenderedPageBreak/>
        <w:t>recommended</w:t>
      </w:r>
      <w:proofErr w:type="gramEnd"/>
      <w:r w:rsidRPr="009C6D70">
        <w:t xml:space="preserve"> that the Commission require D</w:t>
      </w:r>
      <w:r w:rsidR="0037769A" w:rsidRPr="009C6D70">
        <w:t>uquesne</w:t>
      </w:r>
      <w:r w:rsidRPr="009C6D70">
        <w:t xml:space="preserve"> to: </w:t>
      </w:r>
      <w:r w:rsidR="00C07784">
        <w:t xml:space="preserve"> </w:t>
      </w:r>
      <w:r w:rsidRPr="009C6D70">
        <w:t xml:space="preserve">1) maintain the effect of any Section 481(a) adjustment related to the new repair allowance in a reserve account; and 2) keep a record of any increase to the ongoing repair allowance deduction from the effective date of the accounting change.  Further, the OCA recommended that the revenue requirement effect of the change in accounting for repair allowances should then be returned to customers through bill credits.  </w:t>
      </w:r>
      <w:r w:rsidRPr="009C6D70">
        <w:rPr>
          <w:i/>
        </w:rPr>
        <w:t>See</w:t>
      </w:r>
      <w:r w:rsidRPr="009C6D70">
        <w:t xml:space="preserve"> OCA St. 1</w:t>
      </w:r>
      <w:r w:rsidR="00414D79" w:rsidRPr="009C6D70">
        <w:t xml:space="preserve">, p. </w:t>
      </w:r>
      <w:r w:rsidR="0037769A" w:rsidRPr="009C6D70">
        <w:t>31; OCA St. in Support, p. 9.</w:t>
      </w:r>
    </w:p>
    <w:p w:rsidR="0037769A" w:rsidRPr="009C6D70" w:rsidRDefault="0037769A" w:rsidP="00C12370">
      <w:pPr>
        <w:spacing w:line="360" w:lineRule="auto"/>
        <w:ind w:firstLine="1440"/>
      </w:pPr>
    </w:p>
    <w:p w:rsidR="00F15A09" w:rsidRPr="009C6D70" w:rsidRDefault="00F15A09" w:rsidP="00994B27">
      <w:pPr>
        <w:spacing w:after="120" w:line="360" w:lineRule="auto"/>
        <w:ind w:firstLine="1440"/>
        <w:rPr>
          <w:bCs/>
          <w:kern w:val="32"/>
        </w:rPr>
      </w:pPr>
      <w:r w:rsidRPr="009C6D70">
        <w:rPr>
          <w:bCs/>
          <w:kern w:val="32"/>
        </w:rPr>
        <w:t xml:space="preserve">For purposes of Settlement, </w:t>
      </w:r>
      <w:r w:rsidR="00CA7E2B" w:rsidRPr="009C6D70">
        <w:rPr>
          <w:bCs/>
          <w:kern w:val="32"/>
        </w:rPr>
        <w:t>the Joint Petitioners</w:t>
      </w:r>
      <w:r w:rsidRPr="009C6D70">
        <w:rPr>
          <w:bCs/>
          <w:kern w:val="32"/>
        </w:rPr>
        <w:t xml:space="preserve"> agreed that the Company would do the following: </w:t>
      </w:r>
    </w:p>
    <w:p w:rsidR="00F15A09" w:rsidRDefault="00F15A09" w:rsidP="00BE6C86">
      <w:pPr>
        <w:numPr>
          <w:ilvl w:val="0"/>
          <w:numId w:val="27"/>
        </w:numPr>
        <w:ind w:left="1440" w:right="1440" w:firstLine="0"/>
        <w:rPr>
          <w:bCs/>
          <w:kern w:val="32"/>
        </w:rPr>
      </w:pPr>
      <w:r w:rsidRPr="009C6D70">
        <w:rPr>
          <w:bCs/>
          <w:kern w:val="32"/>
        </w:rPr>
        <w:t>If DLC</w:t>
      </w:r>
      <w:r w:rsidR="00C94D9D" w:rsidRPr="009C6D70">
        <w:rPr>
          <w:bCs/>
          <w:kern w:val="32"/>
        </w:rPr>
        <w:t xml:space="preserve"> (Duquesne)</w:t>
      </w:r>
      <w:r w:rsidRPr="009C6D70">
        <w:rPr>
          <w:bCs/>
          <w:kern w:val="32"/>
        </w:rPr>
        <w:t xml:space="preserve"> implements changes to income tax accounting for repairs pursuant to proposed IRS regulations issued in March 2008 and Revenue Procedure 2009-39, the Company will record the catch-up reduction to its income tax liability in account 282 on its regulated books of account, when such catch-up refund amount is received.  The Company will increase the ADIT, which will result in a decrease to rate base;</w:t>
      </w:r>
    </w:p>
    <w:p w:rsidR="00BE6C86" w:rsidRPr="009C6D70" w:rsidRDefault="00BE6C86" w:rsidP="00BE6C86">
      <w:pPr>
        <w:ind w:left="1440" w:right="1440"/>
        <w:rPr>
          <w:bCs/>
          <w:kern w:val="32"/>
        </w:rPr>
      </w:pPr>
    </w:p>
    <w:p w:rsidR="00F15A09" w:rsidRDefault="00F15A09" w:rsidP="00BE6C86">
      <w:pPr>
        <w:numPr>
          <w:ilvl w:val="0"/>
          <w:numId w:val="27"/>
        </w:numPr>
        <w:ind w:left="1440" w:right="1440" w:firstLine="0"/>
        <w:rPr>
          <w:bCs/>
          <w:kern w:val="32"/>
        </w:rPr>
      </w:pPr>
      <w:r w:rsidRPr="009C6D70">
        <w:rPr>
          <w:bCs/>
          <w:kern w:val="32"/>
        </w:rPr>
        <w:t>Regarding the on-going current deduction, the Company will record the annual reduction in its income tax liability from adoption of changes in income tax accounting for repairs pursuant to proposed IRS regulations issued in March 2008 and Revenue Procedure 2009-39 in account 282 on its regulated books of account each year.  This will also result in a reduction to rate base by increasing ADIT; and</w:t>
      </w:r>
    </w:p>
    <w:p w:rsidR="00794193" w:rsidRPr="009C6D70" w:rsidRDefault="00794193" w:rsidP="00794193">
      <w:pPr>
        <w:ind w:left="1440" w:right="1440"/>
        <w:rPr>
          <w:bCs/>
          <w:kern w:val="32"/>
        </w:rPr>
      </w:pPr>
    </w:p>
    <w:p w:rsidR="00F15A09" w:rsidRPr="009C6D70" w:rsidRDefault="00F15A09" w:rsidP="00994B27">
      <w:pPr>
        <w:numPr>
          <w:ilvl w:val="0"/>
          <w:numId w:val="27"/>
        </w:numPr>
        <w:ind w:left="1440" w:right="1440" w:firstLine="0"/>
        <w:rPr>
          <w:bCs/>
          <w:kern w:val="32"/>
        </w:rPr>
      </w:pPr>
      <w:r w:rsidRPr="009C6D70">
        <w:rPr>
          <w:bCs/>
          <w:kern w:val="32"/>
        </w:rPr>
        <w:t xml:space="preserve">DLC will reflect all adjustments as a result of IRS adjustments in the amounts originally claimed by the Company in account 282 on its regulated books of account for reporting and ratemaking purposes as such adjustments occur. </w:t>
      </w:r>
    </w:p>
    <w:p w:rsidR="0037769A" w:rsidRPr="009C6D70" w:rsidRDefault="0037769A" w:rsidP="0037769A">
      <w:pPr>
        <w:spacing w:line="360" w:lineRule="auto"/>
        <w:rPr>
          <w:bCs/>
          <w:kern w:val="32"/>
          <w:u w:val="single"/>
        </w:rPr>
      </w:pPr>
    </w:p>
    <w:p w:rsidR="00F80C2C" w:rsidRPr="009C6D70" w:rsidRDefault="00F15A09" w:rsidP="0037769A">
      <w:pPr>
        <w:spacing w:line="360" w:lineRule="auto"/>
        <w:rPr>
          <w:bCs/>
          <w:kern w:val="32"/>
        </w:rPr>
      </w:pPr>
      <w:r w:rsidRPr="009C6D70">
        <w:rPr>
          <w:bCs/>
          <w:i/>
          <w:kern w:val="32"/>
        </w:rPr>
        <w:t xml:space="preserve">See </w:t>
      </w:r>
      <w:r w:rsidR="00C94D9D" w:rsidRPr="009C6D70">
        <w:rPr>
          <w:bCs/>
          <w:kern w:val="32"/>
        </w:rPr>
        <w:t>Joint Petition ¶50, pp. 13-14.</w:t>
      </w:r>
      <w:r w:rsidR="00C94D9D" w:rsidRPr="009C6D70">
        <w:rPr>
          <w:rStyle w:val="FootnoteReference"/>
          <w:bCs/>
          <w:kern w:val="32"/>
        </w:rPr>
        <w:footnoteReference w:id="28"/>
      </w:r>
      <w:r w:rsidR="00CA7E2B" w:rsidRPr="009C6D70">
        <w:rPr>
          <w:bCs/>
          <w:kern w:val="32"/>
        </w:rPr>
        <w:t xml:space="preserve">  OCA St. in Support, pp. 9-10.</w:t>
      </w:r>
    </w:p>
    <w:p w:rsidR="00F80C2C" w:rsidRPr="009C6D70" w:rsidRDefault="00F80C2C" w:rsidP="0037769A">
      <w:pPr>
        <w:spacing w:line="360" w:lineRule="auto"/>
        <w:rPr>
          <w:bCs/>
          <w:kern w:val="32"/>
        </w:rPr>
      </w:pPr>
    </w:p>
    <w:p w:rsidR="009C027C" w:rsidRDefault="00F15A09" w:rsidP="00F80C2C">
      <w:pPr>
        <w:spacing w:line="360" w:lineRule="auto"/>
        <w:ind w:firstLine="1440"/>
        <w:rPr>
          <w:bCs/>
          <w:kern w:val="32"/>
        </w:rPr>
      </w:pPr>
      <w:r w:rsidRPr="009C6D70">
        <w:rPr>
          <w:bCs/>
          <w:kern w:val="32"/>
        </w:rPr>
        <w:t xml:space="preserve">The OCA submits that the Settlement terms regarding the new IRS rules for repair allowance deductions address the OCA’s concerns and are in the public interest.  </w:t>
      </w:r>
      <w:r w:rsidR="00221E39" w:rsidRPr="009C6D70">
        <w:rPr>
          <w:bCs/>
          <w:kern w:val="32"/>
        </w:rPr>
        <w:t xml:space="preserve">According to </w:t>
      </w:r>
    </w:p>
    <w:p w:rsidR="009C027C" w:rsidRDefault="009C027C">
      <w:pPr>
        <w:rPr>
          <w:bCs/>
          <w:kern w:val="32"/>
        </w:rPr>
      </w:pPr>
      <w:r>
        <w:rPr>
          <w:bCs/>
          <w:kern w:val="32"/>
        </w:rPr>
        <w:br w:type="page"/>
      </w:r>
    </w:p>
    <w:p w:rsidR="00F15A09" w:rsidRPr="009C6D70" w:rsidRDefault="00221E39" w:rsidP="009C027C">
      <w:pPr>
        <w:spacing w:line="360" w:lineRule="auto"/>
        <w:rPr>
          <w:bCs/>
          <w:kern w:val="32"/>
        </w:rPr>
      </w:pPr>
      <w:proofErr w:type="gramStart"/>
      <w:r w:rsidRPr="009C6D70">
        <w:rPr>
          <w:bCs/>
          <w:kern w:val="32"/>
        </w:rPr>
        <w:lastRenderedPageBreak/>
        <w:t>the</w:t>
      </w:r>
      <w:proofErr w:type="gramEnd"/>
      <w:r w:rsidRPr="009C6D70">
        <w:rPr>
          <w:bCs/>
          <w:kern w:val="32"/>
        </w:rPr>
        <w:t xml:space="preserve"> OCA, t</w:t>
      </w:r>
      <w:r w:rsidR="00F15A09" w:rsidRPr="009C6D70">
        <w:rPr>
          <w:bCs/>
          <w:kern w:val="32"/>
        </w:rPr>
        <w:t>hese provisions will adequately preserve the economic value of the deductions for customers and therefore, should be accepted by the Commission.</w:t>
      </w:r>
      <w:r w:rsidR="00CA7E2B" w:rsidRPr="009C6D70">
        <w:rPr>
          <w:bCs/>
          <w:kern w:val="32"/>
        </w:rPr>
        <w:t xml:space="preserve">  OCA St. in Support, p. 10.</w:t>
      </w:r>
      <w:r w:rsidR="00F15A09" w:rsidRPr="009C6D70">
        <w:rPr>
          <w:bCs/>
          <w:kern w:val="32"/>
        </w:rPr>
        <w:t xml:space="preserve"> </w:t>
      </w:r>
    </w:p>
    <w:p w:rsidR="00221E39" w:rsidRPr="009C6D70" w:rsidRDefault="00221E39" w:rsidP="00221E39">
      <w:pPr>
        <w:spacing w:line="360" w:lineRule="auto"/>
        <w:rPr>
          <w:bCs/>
          <w:kern w:val="32"/>
        </w:rPr>
      </w:pPr>
    </w:p>
    <w:p w:rsidR="00221E39" w:rsidRPr="009C6D70" w:rsidRDefault="00221E39" w:rsidP="00221E39">
      <w:pPr>
        <w:spacing w:line="360" w:lineRule="auto"/>
        <w:rPr>
          <w:bCs/>
          <w:kern w:val="32"/>
        </w:rPr>
      </w:pPr>
      <w:r w:rsidRPr="009C6D70">
        <w:rPr>
          <w:bCs/>
          <w:kern w:val="32"/>
        </w:rPr>
        <w:tab/>
        <w:t>6.</w:t>
      </w:r>
      <w:r w:rsidRPr="009C6D70">
        <w:rPr>
          <w:bCs/>
          <w:kern w:val="32"/>
        </w:rPr>
        <w:tab/>
      </w:r>
      <w:r w:rsidRPr="009C6D70">
        <w:rPr>
          <w:bCs/>
          <w:kern w:val="32"/>
          <w:u w:val="single"/>
        </w:rPr>
        <w:t>Universal Service</w:t>
      </w:r>
    </w:p>
    <w:p w:rsidR="00221E39" w:rsidRPr="009C6D70" w:rsidRDefault="00221E39" w:rsidP="00221E39">
      <w:pPr>
        <w:spacing w:line="360" w:lineRule="auto"/>
        <w:rPr>
          <w:bCs/>
          <w:kern w:val="32"/>
        </w:rPr>
      </w:pPr>
    </w:p>
    <w:p w:rsidR="00F15A09" w:rsidRPr="009C6D70" w:rsidRDefault="00221E39" w:rsidP="00F77DD7">
      <w:pPr>
        <w:spacing w:after="240" w:line="360" w:lineRule="auto"/>
      </w:pPr>
      <w:r w:rsidRPr="009C6D70">
        <w:rPr>
          <w:bCs/>
          <w:kern w:val="32"/>
        </w:rPr>
        <w:tab/>
      </w:r>
      <w:r w:rsidRPr="009C6D70">
        <w:rPr>
          <w:bCs/>
          <w:kern w:val="32"/>
        </w:rPr>
        <w:tab/>
      </w:r>
      <w:r w:rsidR="003834CD" w:rsidRPr="009C6D70">
        <w:rPr>
          <w:bCs/>
          <w:kern w:val="32"/>
        </w:rPr>
        <w:t>T</w:t>
      </w:r>
      <w:r w:rsidR="00F15A09" w:rsidRPr="009C6D70">
        <w:t>he OCA raised four main concerns regarding the Company’s Universal Service Programs.  First, OCA witness Colton took issue with D</w:t>
      </w:r>
      <w:r w:rsidR="003834CD" w:rsidRPr="009C6D70">
        <w:t>uquesne’s</w:t>
      </w:r>
      <w:r w:rsidR="00F15A09" w:rsidRPr="009C6D70">
        <w:t xml:space="preserve"> proposed method of applying the Low-Income Home Energy Assistance Program (LIHEAP) grants to customers’ bills in response to the policy of the Pennsylvania Department of Public Welfare (DPW).  </w:t>
      </w:r>
      <w:r w:rsidR="00F15A09" w:rsidRPr="009C6D70">
        <w:rPr>
          <w:i/>
        </w:rPr>
        <w:t>See</w:t>
      </w:r>
      <w:r w:rsidR="00F15A09" w:rsidRPr="009C6D70">
        <w:t xml:space="preserve"> OCA St. 4</w:t>
      </w:r>
      <w:r w:rsidR="003834CD" w:rsidRPr="009C6D70">
        <w:t>, pp. 31-37.</w:t>
      </w:r>
      <w:r w:rsidR="00F15A09" w:rsidRPr="009C6D70">
        <w:t xml:space="preserve">  The concern regarding the application of LIHEAP grants to customers’ accounts was explained by OCA witness Colton as follows:</w:t>
      </w:r>
    </w:p>
    <w:p w:rsidR="00F15A09" w:rsidRPr="009C6D70" w:rsidRDefault="00F15A09" w:rsidP="00F77DD7">
      <w:pPr>
        <w:spacing w:after="240"/>
        <w:ind w:left="1440" w:right="1440"/>
      </w:pPr>
      <w:r w:rsidRPr="009C6D70">
        <w:t>The practical effect of complying with the DPW directive will be that LIHEAP grants will be applied to further reduce asked-to-pay amounts that have already been reduced to an affordable amount through the use of ratepayer funds.  Applying LIHEAP grants in this fashion could reduce the asked-to-pay amounts for some customers to near $0.  [Citations omitted].  Complying with the DPW directive will also increase program costs to other ratepayers, who are bearing the cost of this program. Contrary to the historic way of treating LIHEAP funds for the Pennsylvania CAP programs, LIHEAP funds will not be subtracted from the CAP shortfall for purposes of calculating t</w:t>
      </w:r>
      <w:r w:rsidR="003834CD" w:rsidRPr="009C6D70">
        <w:t xml:space="preserve">he universal service dollars to </w:t>
      </w:r>
      <w:r w:rsidRPr="009C6D70">
        <w:t xml:space="preserve">be collected through the Company’s Rider No. 5.  </w:t>
      </w:r>
    </w:p>
    <w:p w:rsidR="003834CD" w:rsidRPr="009C6D70" w:rsidRDefault="003834CD" w:rsidP="00794193">
      <w:pPr>
        <w:jc w:val="both"/>
      </w:pPr>
    </w:p>
    <w:p w:rsidR="003834CD" w:rsidRPr="009C6D70" w:rsidRDefault="003834CD" w:rsidP="00794193">
      <w:pPr>
        <w:spacing w:line="360" w:lineRule="auto"/>
        <w:jc w:val="both"/>
      </w:pPr>
      <w:r w:rsidRPr="009C6D70">
        <w:t>O</w:t>
      </w:r>
      <w:r w:rsidR="00F15A09" w:rsidRPr="009C6D70">
        <w:t>CA St.</w:t>
      </w:r>
      <w:r w:rsidR="007E6D75" w:rsidRPr="009C6D70">
        <w:t xml:space="preserve"> 4</w:t>
      </w:r>
      <w:r w:rsidR="00C852A9">
        <w:t>, p.</w:t>
      </w:r>
      <w:r w:rsidR="007E6D75" w:rsidRPr="009C6D70">
        <w:t xml:space="preserve"> 33; OCA St. in Support, pp. 10-11.</w:t>
      </w:r>
    </w:p>
    <w:p w:rsidR="003834CD" w:rsidRPr="009C6D70" w:rsidRDefault="003834CD" w:rsidP="00794193">
      <w:pPr>
        <w:spacing w:line="360" w:lineRule="auto"/>
        <w:jc w:val="both"/>
      </w:pPr>
    </w:p>
    <w:p w:rsidR="00F15A09" w:rsidRPr="009C6D70" w:rsidRDefault="00F15A09" w:rsidP="00794193">
      <w:pPr>
        <w:spacing w:after="120" w:line="360" w:lineRule="auto"/>
        <w:ind w:firstLine="1440"/>
      </w:pPr>
      <w:r w:rsidRPr="009C6D70">
        <w:t>In order to properly integrate the new DPW directive with the CAP, Mr. Colton suggested that the Company implement a CAP</w:t>
      </w:r>
      <w:r w:rsidR="00603426">
        <w:t xml:space="preserve"> </w:t>
      </w:r>
      <w:proofErr w:type="gramStart"/>
      <w:r w:rsidRPr="009C6D70">
        <w:t>Plus</w:t>
      </w:r>
      <w:proofErr w:type="gramEnd"/>
      <w:r w:rsidRPr="009C6D70">
        <w:t xml:space="preserve"> </w:t>
      </w:r>
      <w:r w:rsidR="00603426">
        <w:t>P</w:t>
      </w:r>
      <w:r w:rsidRPr="009C6D70">
        <w:t xml:space="preserve">rogram.  Specifically, </w:t>
      </w:r>
    </w:p>
    <w:p w:rsidR="00F15A09" w:rsidRPr="009C6D70" w:rsidRDefault="00F15A09" w:rsidP="00994B27">
      <w:pPr>
        <w:spacing w:after="120"/>
        <w:ind w:left="1440" w:right="1440"/>
      </w:pPr>
      <w:r w:rsidRPr="009C6D70">
        <w:t xml:space="preserve">Through the CAP-Plus approach, in addition to charging its traditional percentage of bill payment, Duquesne Light would add a charge to the bills of all CAP participants to generate a revenue stream equal to the total value of LIHEAP grants applied against the asked-to-pay amounts (rather than against the CAP shortfall).  </w:t>
      </w:r>
    </w:p>
    <w:p w:rsidR="00F15A09" w:rsidRPr="009C6D70" w:rsidRDefault="00F15A09" w:rsidP="00994B27">
      <w:pPr>
        <w:ind w:left="720" w:right="1440"/>
        <w:jc w:val="center"/>
      </w:pPr>
      <w:r w:rsidRPr="009C6D70">
        <w:t>*  *  *</w:t>
      </w:r>
    </w:p>
    <w:p w:rsidR="009C027C" w:rsidRDefault="009C027C">
      <w:r>
        <w:br w:type="page"/>
      </w:r>
    </w:p>
    <w:p w:rsidR="00F15A09" w:rsidRPr="009C6D70" w:rsidRDefault="00F15A09" w:rsidP="00794193">
      <w:pPr>
        <w:spacing w:after="120"/>
        <w:ind w:left="1440" w:right="1440"/>
      </w:pPr>
      <w:r w:rsidRPr="009C6D70">
        <w:lastRenderedPageBreak/>
        <w:t>The CAP-Plus response involves adding a charge to all CAP customers’ asked-to-pay amounts, an amount that would be offset by the receipt of a LIHEAP grant. The dollars to be recovered through such a charge should be based on the total LIHEAP funds averaged over all CAP participants, not the average LIHEAP grant of CAP participants receiving LIHEAP grants.</w:t>
      </w:r>
    </w:p>
    <w:p w:rsidR="00F15A09" w:rsidRPr="009C6D70" w:rsidRDefault="00F15A09" w:rsidP="00794193">
      <w:pPr>
        <w:spacing w:after="120"/>
        <w:ind w:right="1440"/>
        <w:jc w:val="both"/>
      </w:pPr>
    </w:p>
    <w:p w:rsidR="00F15A09" w:rsidRDefault="00F15A09" w:rsidP="00794193">
      <w:pPr>
        <w:spacing w:line="360" w:lineRule="auto"/>
        <w:jc w:val="both"/>
      </w:pPr>
      <w:r w:rsidRPr="009C6D70">
        <w:t>OCA St. 4</w:t>
      </w:r>
      <w:r w:rsidR="007E6D75" w:rsidRPr="009C6D70">
        <w:t>, pp. 33-34, 37; OCA St. in Support, p. 11.</w:t>
      </w:r>
      <w:r w:rsidRPr="009C6D70">
        <w:t xml:space="preserve"> </w:t>
      </w:r>
    </w:p>
    <w:p w:rsidR="00994B27" w:rsidRPr="009C6D70" w:rsidRDefault="00994B27" w:rsidP="00794193">
      <w:pPr>
        <w:spacing w:line="360" w:lineRule="auto"/>
        <w:jc w:val="both"/>
      </w:pPr>
    </w:p>
    <w:p w:rsidR="00F15A09" w:rsidRPr="009C6D70" w:rsidRDefault="00D446FE" w:rsidP="00794193">
      <w:pPr>
        <w:spacing w:line="360" w:lineRule="auto"/>
        <w:ind w:firstLine="1440"/>
      </w:pPr>
      <w:r w:rsidRPr="009C6D70">
        <w:t>T</w:t>
      </w:r>
      <w:r w:rsidR="00F15A09" w:rsidRPr="009C6D70">
        <w:t>he Joint Petitioners agreed that D</w:t>
      </w:r>
      <w:r w:rsidRPr="009C6D70">
        <w:t>uquesne</w:t>
      </w:r>
      <w:r w:rsidR="00F15A09" w:rsidRPr="009C6D70">
        <w:t xml:space="preserve"> will implement a CAP</w:t>
      </w:r>
      <w:r w:rsidR="000477D1">
        <w:t xml:space="preserve"> </w:t>
      </w:r>
      <w:proofErr w:type="gramStart"/>
      <w:r w:rsidR="00F15A09" w:rsidRPr="009C6D70">
        <w:t>Plus</w:t>
      </w:r>
      <w:proofErr w:type="gramEnd"/>
      <w:r w:rsidR="00F15A09" w:rsidRPr="009C6D70">
        <w:t xml:space="preserve"> </w:t>
      </w:r>
      <w:r w:rsidR="000477D1">
        <w:t>P</w:t>
      </w:r>
      <w:r w:rsidR="00F15A09" w:rsidRPr="009C6D70">
        <w:t xml:space="preserve">rogram.  </w:t>
      </w:r>
      <w:r w:rsidR="00F15A09" w:rsidRPr="009C6D70">
        <w:rPr>
          <w:i/>
        </w:rPr>
        <w:t>See</w:t>
      </w:r>
      <w:r w:rsidR="00F15A09" w:rsidRPr="009C6D70">
        <w:t xml:space="preserve"> </w:t>
      </w:r>
      <w:r w:rsidRPr="009C6D70">
        <w:t>Joint Petition ¶45, p. 11.</w:t>
      </w:r>
      <w:r w:rsidRPr="009C6D70">
        <w:rPr>
          <w:rStyle w:val="FootnoteReference"/>
        </w:rPr>
        <w:footnoteReference w:id="29"/>
      </w:r>
      <w:r w:rsidR="00F15A09" w:rsidRPr="009C6D70">
        <w:t xml:space="preserve">  </w:t>
      </w:r>
      <w:r w:rsidR="00EA0C62" w:rsidRPr="009C6D70">
        <w:t xml:space="preserve">According to OCA witness </w:t>
      </w:r>
      <w:r w:rsidR="00F15A09" w:rsidRPr="009C6D70">
        <w:t>Colton, these modifications are fair and reasonable.  The OCA further submits that implementation of a CAP</w:t>
      </w:r>
      <w:r w:rsidR="000477D1">
        <w:t xml:space="preserve"> </w:t>
      </w:r>
      <w:proofErr w:type="gramStart"/>
      <w:r w:rsidR="00F15A09" w:rsidRPr="009C6D70">
        <w:t>Plus</w:t>
      </w:r>
      <w:proofErr w:type="gramEnd"/>
      <w:r w:rsidR="00F15A09" w:rsidRPr="009C6D70">
        <w:t xml:space="preserve"> </w:t>
      </w:r>
      <w:r w:rsidR="000477D1">
        <w:t>P</w:t>
      </w:r>
      <w:r w:rsidR="00F15A09" w:rsidRPr="009C6D70">
        <w:t>rogram is in the public interest.</w:t>
      </w:r>
      <w:r w:rsidR="00C12DB3" w:rsidRPr="009C6D70">
        <w:t xml:space="preserve">  OCA St. in Support, p. 11. </w:t>
      </w:r>
      <w:r w:rsidR="00F15A09" w:rsidRPr="009C6D70">
        <w:t xml:space="preserve"> </w:t>
      </w:r>
    </w:p>
    <w:p w:rsidR="00EA0C62" w:rsidRPr="009C6D70" w:rsidRDefault="00EA0C62" w:rsidP="00D446FE">
      <w:pPr>
        <w:spacing w:line="360" w:lineRule="auto"/>
        <w:ind w:firstLine="1440"/>
      </w:pPr>
    </w:p>
    <w:p w:rsidR="00F15A09" w:rsidRPr="009C6D70" w:rsidRDefault="00F15A09" w:rsidP="0073264E">
      <w:pPr>
        <w:spacing w:line="360" w:lineRule="auto"/>
        <w:ind w:firstLine="1440"/>
      </w:pPr>
      <w:r w:rsidRPr="009C6D70">
        <w:t>Second, OCA witness Colton raised issues regarding the Company’s cost recovery mechanism in Rider No. 5 because as proposed, it would result in an over-recovery of bad debt expense.  OCA St. 4</w:t>
      </w:r>
      <w:r w:rsidR="00EA0C62" w:rsidRPr="009C6D70">
        <w:t>, pp. 16-31.</w:t>
      </w:r>
      <w:r w:rsidRPr="009C6D70">
        <w:t xml:space="preserve">  Mr. Colton recommended that if </w:t>
      </w:r>
      <w:r w:rsidR="0073264E" w:rsidRPr="009C6D70">
        <w:t>Duquesne</w:t>
      </w:r>
      <w:r w:rsidRPr="009C6D70">
        <w:t xml:space="preserve"> is permitted to pass 100% of its incremental CAP credits and arrearage forgiveness costs through its proposed Rider No. 5, </w:t>
      </w:r>
      <w:r w:rsidR="0073264E" w:rsidRPr="009C6D70">
        <w:t>it</w:t>
      </w:r>
      <w:r w:rsidRPr="009C6D70">
        <w:t xml:space="preserve"> should offset its CAP credits by an amount equal to 10.43% of the incremental CAP revenue and use a base number of 32,200 (the average number of CAP participants for the historic and future test years) CAP participants.  OCA St. 4</w:t>
      </w:r>
      <w:r w:rsidR="0073264E" w:rsidRPr="009C6D70">
        <w:t>, pp. 1</w:t>
      </w:r>
      <w:r w:rsidRPr="009C6D70">
        <w:t>6-17; OCA St. 4-S</w:t>
      </w:r>
      <w:r w:rsidR="0073264E" w:rsidRPr="009C6D70">
        <w:t>, p. 4</w:t>
      </w:r>
      <w:r w:rsidR="00C12DB3" w:rsidRPr="009C6D70">
        <w:t>; OCA St. in Support, p. 11.</w:t>
      </w:r>
    </w:p>
    <w:p w:rsidR="00CC300E" w:rsidRPr="009C6D70" w:rsidRDefault="00CC300E" w:rsidP="0073264E">
      <w:pPr>
        <w:spacing w:line="360" w:lineRule="auto"/>
        <w:ind w:firstLine="1440"/>
      </w:pPr>
    </w:p>
    <w:p w:rsidR="00CC300E" w:rsidRPr="009C6D70" w:rsidRDefault="00F15A09" w:rsidP="00CC300E">
      <w:pPr>
        <w:spacing w:line="360" w:lineRule="auto"/>
        <w:ind w:firstLine="1440"/>
      </w:pPr>
      <w:r w:rsidRPr="009C6D70">
        <w:t>Mr. Colton explained the necessity for his recommended offset as follows:</w:t>
      </w:r>
    </w:p>
    <w:p w:rsidR="009C027C" w:rsidRDefault="00F15A09" w:rsidP="00994B27">
      <w:pPr>
        <w:ind w:left="1440" w:right="1440"/>
      </w:pPr>
      <w:r w:rsidRPr="009C6D70">
        <w:t>The purpose of the adjustment I propose is to prevent the over-recovery of universal service costs for active CAP customers.  I am not proposing to recalculate the Company’s uncollectible expense or uncollectible reserve.   The use of a net write-off figure would reduce the universal service cost adjustment by an amount of revenue recovered from customers that have long since ceased to be active DLC</w:t>
      </w:r>
      <w:r w:rsidR="00805519">
        <w:t xml:space="preserve"> (Duquesne) </w:t>
      </w:r>
      <w:r w:rsidRPr="009C6D70">
        <w:t xml:space="preserve">customers. My adjustment, however, relates to the changes in revenue between </w:t>
      </w:r>
      <w:r w:rsidRPr="009C6D70">
        <w:rPr>
          <w:i/>
        </w:rPr>
        <w:t>active</w:t>
      </w:r>
      <w:r w:rsidRPr="009C6D70">
        <w:t xml:space="preserve"> confirmed low-income (and non-low-income) customers and </w:t>
      </w:r>
      <w:r w:rsidRPr="009C6D70">
        <w:rPr>
          <w:i/>
        </w:rPr>
        <w:t>active</w:t>
      </w:r>
      <w:r w:rsidRPr="009C6D70">
        <w:t xml:space="preserve"> CAP </w:t>
      </w:r>
    </w:p>
    <w:p w:rsidR="009C027C" w:rsidRDefault="009C027C">
      <w:r>
        <w:br w:type="page"/>
      </w:r>
    </w:p>
    <w:p w:rsidR="00F15A09" w:rsidRPr="009C6D70" w:rsidRDefault="00F15A09" w:rsidP="00994B27">
      <w:pPr>
        <w:ind w:left="1440" w:right="1440"/>
      </w:pPr>
      <w:proofErr w:type="gramStart"/>
      <w:r w:rsidRPr="009C6D70">
        <w:lastRenderedPageBreak/>
        <w:t>participants</w:t>
      </w:r>
      <w:proofErr w:type="gramEnd"/>
      <w:r w:rsidRPr="009C6D70">
        <w:t>.  To reach into the inactive customer base to reduce the over-recovery of universal service costs from active CAP participants would be inappropriate.</w:t>
      </w:r>
    </w:p>
    <w:p w:rsidR="00F15A09" w:rsidRPr="009C6D70" w:rsidRDefault="00F15A09" w:rsidP="00994B27">
      <w:pPr>
        <w:spacing w:after="120"/>
        <w:jc w:val="both"/>
      </w:pPr>
    </w:p>
    <w:p w:rsidR="00F15A09" w:rsidRPr="009C6D70" w:rsidRDefault="00F15A09" w:rsidP="00BE16EE">
      <w:pPr>
        <w:spacing w:line="360" w:lineRule="auto"/>
      </w:pPr>
      <w:r w:rsidRPr="009C6D70">
        <w:t>OCA St. 4-S</w:t>
      </w:r>
      <w:r w:rsidR="00CC300E" w:rsidRPr="009C6D70">
        <w:t xml:space="preserve">, pp. 3-4 </w:t>
      </w:r>
      <w:r w:rsidRPr="009C6D70">
        <w:t xml:space="preserve">(Emphasis </w:t>
      </w:r>
      <w:r w:rsidR="009C4BA5" w:rsidRPr="009C6D70">
        <w:t>added</w:t>
      </w:r>
      <w:r w:rsidRPr="009C6D70">
        <w:t>)</w:t>
      </w:r>
      <w:r w:rsidR="00CC300E" w:rsidRPr="009C6D70">
        <w:t>; OCA St. in Support, p. 12</w:t>
      </w:r>
      <w:r w:rsidRPr="009C6D70">
        <w:t>.</w:t>
      </w:r>
    </w:p>
    <w:p w:rsidR="00FD27D9" w:rsidRPr="009C6D70" w:rsidRDefault="00FD27D9" w:rsidP="00BE16EE">
      <w:pPr>
        <w:spacing w:line="360" w:lineRule="auto"/>
      </w:pPr>
    </w:p>
    <w:p w:rsidR="00F15A09" w:rsidRPr="009C6D70" w:rsidRDefault="00FD27D9" w:rsidP="00BE16EE">
      <w:pPr>
        <w:spacing w:line="360" w:lineRule="auto"/>
      </w:pPr>
      <w:r w:rsidRPr="009C6D70">
        <w:tab/>
      </w:r>
      <w:r w:rsidRPr="009C6D70">
        <w:tab/>
      </w:r>
      <w:r w:rsidR="00936FDA" w:rsidRPr="009C6D70">
        <w:t xml:space="preserve">According to the OCA, </w:t>
      </w:r>
      <w:r w:rsidR="001D30C8" w:rsidRPr="009C6D70">
        <w:t>t</w:t>
      </w:r>
      <w:r w:rsidR="00F15A09" w:rsidRPr="009C6D70">
        <w:t xml:space="preserve">he Settlement addresses </w:t>
      </w:r>
      <w:r w:rsidR="001D30C8" w:rsidRPr="009C6D70">
        <w:t xml:space="preserve">its </w:t>
      </w:r>
      <w:r w:rsidR="00F15A09" w:rsidRPr="009C6D70">
        <w:t>concerns regarding cost recovery.  The Joint Petitioners agreed to reduce the recoverable CAP discounts by the number of CAP participants in excess of 35,700 times the average CAP credit and arrearage forgiveness costs times 10.43%.  The OCA submits that these changes to the CAP cost recovery mechanism are reasonable and in the public interest.</w:t>
      </w:r>
      <w:r w:rsidR="001022EE" w:rsidRPr="009C6D70">
        <w:t xml:space="preserve">  OCA St. in Support, p. 12.</w:t>
      </w:r>
    </w:p>
    <w:p w:rsidR="001022EE" w:rsidRPr="009C6D70" w:rsidRDefault="001022EE" w:rsidP="00FD27D9">
      <w:pPr>
        <w:spacing w:line="360" w:lineRule="auto"/>
      </w:pPr>
    </w:p>
    <w:p w:rsidR="00F15A09" w:rsidRPr="009C6D70" w:rsidRDefault="00F15A09" w:rsidP="001022EE">
      <w:pPr>
        <w:spacing w:line="360" w:lineRule="auto"/>
        <w:ind w:firstLine="1440"/>
      </w:pPr>
      <w:r w:rsidRPr="009C6D70">
        <w:t>Next, OCA witness Colton identified the issue of whether D</w:t>
      </w:r>
      <w:r w:rsidR="0084233D" w:rsidRPr="009C6D70">
        <w:t xml:space="preserve">uquesne </w:t>
      </w:r>
      <w:r w:rsidRPr="009C6D70">
        <w:t xml:space="preserve">sought appropriate cost recovery for its universal service and energy conservation programs through its proposed Rider No. 5.  </w:t>
      </w:r>
      <w:r w:rsidRPr="009C6D70">
        <w:rPr>
          <w:i/>
        </w:rPr>
        <w:t>See</w:t>
      </w:r>
      <w:r w:rsidRPr="009C6D70">
        <w:t xml:space="preserve"> OCA St.</w:t>
      </w:r>
      <w:r w:rsidR="0084233D" w:rsidRPr="009C6D70">
        <w:t xml:space="preserve"> 4, pp. 4-16.</w:t>
      </w:r>
      <w:r w:rsidRPr="009C6D70">
        <w:t xml:space="preserve">  Specifically, Mr. Colton took issue with: </w:t>
      </w:r>
      <w:r w:rsidR="003C1CFD">
        <w:t xml:space="preserve"> </w:t>
      </w:r>
      <w:r w:rsidRPr="009C6D70">
        <w:t xml:space="preserve">1) the proposed calculation of the number of CAP participants because </w:t>
      </w:r>
      <w:r w:rsidR="0084233D" w:rsidRPr="009C6D70">
        <w:t>Duquesne</w:t>
      </w:r>
      <w:r w:rsidRPr="009C6D70">
        <w:t>’s proposed calculation method would consistently overstate the number of CAP participants (OCA St. 4</w:t>
      </w:r>
      <w:r w:rsidR="0084233D" w:rsidRPr="009C6D70">
        <w:t>, pp. 4-7</w:t>
      </w:r>
      <w:r w:rsidRPr="009C6D70">
        <w:t>); 2) D</w:t>
      </w:r>
      <w:r w:rsidR="0084233D" w:rsidRPr="009C6D70">
        <w:t>uquesne’</w:t>
      </w:r>
      <w:r w:rsidRPr="009C6D70">
        <w:t>s proposed method for estimating the annual CAP shortfall, since it will overstate the CAP shortfall for the computational year (OCA St. 4</w:t>
      </w:r>
      <w:r w:rsidR="0084233D" w:rsidRPr="009C6D70">
        <w:t>, pp. 7-10)</w:t>
      </w:r>
      <w:r w:rsidRPr="009C6D70">
        <w:t>; and 3) D</w:t>
      </w:r>
      <w:r w:rsidR="0084233D" w:rsidRPr="009C6D70">
        <w:t xml:space="preserve">uquesne’s </w:t>
      </w:r>
      <w:r w:rsidRPr="009C6D70">
        <w:t>proposal to include the total number of current CAP participants in the total number of new CAP additions and assign each of these participants an average CAP shortfall based on the application of the average CAP discount to an annual normalized bill because this would overstate the costs being incurred through the CAP shortfall (OCA St. 4</w:t>
      </w:r>
      <w:r w:rsidR="0084233D" w:rsidRPr="009C6D70">
        <w:t>, pp. 11-15</w:t>
      </w:r>
      <w:r w:rsidRPr="009C6D70">
        <w:t>).  Also, OCA witness Colton indicated that his principles and observations regarding Rider No. 5 should be taken into account in setting the number of CAP participants in Rider No. 5.  In particular, the number of CAP participants counted for purposes of setting the Rider No. 5 rate should exclude any low-income customers that are participating in CAP through the auto-enrollment process.  OCA St. 4</w:t>
      </w:r>
      <w:r w:rsidR="0084233D" w:rsidRPr="009C6D70">
        <w:t>, p. 16; OCA St. in Support</w:t>
      </w:r>
      <w:r w:rsidR="0069134A" w:rsidRPr="009C6D70">
        <w:t>,</w:t>
      </w:r>
      <w:r w:rsidR="00D81489" w:rsidRPr="009C6D70">
        <w:t xml:space="preserve"> pp. 12-13.</w:t>
      </w:r>
    </w:p>
    <w:p w:rsidR="00D81489" w:rsidRPr="009C6D70" w:rsidRDefault="00D81489" w:rsidP="001022EE">
      <w:pPr>
        <w:spacing w:line="360" w:lineRule="auto"/>
        <w:ind w:firstLine="1440"/>
      </w:pPr>
    </w:p>
    <w:p w:rsidR="009C027C" w:rsidRDefault="009C027C">
      <w:r>
        <w:br w:type="page"/>
      </w:r>
    </w:p>
    <w:p w:rsidR="00B72BEA" w:rsidRDefault="00F15A09" w:rsidP="00D81489">
      <w:pPr>
        <w:spacing w:line="360" w:lineRule="auto"/>
        <w:ind w:firstLine="1440"/>
      </w:pPr>
      <w:r w:rsidRPr="009C6D70">
        <w:lastRenderedPageBreak/>
        <w:t>The Settlement includes several revisions to Rider No. 5 that specifically address the OCA’s concerns outlined above.</w:t>
      </w:r>
      <w:r w:rsidR="00B72BEA" w:rsidRPr="009C6D70">
        <w:t xml:space="preserve">  </w:t>
      </w:r>
      <w:r w:rsidRPr="009C6D70">
        <w:t>The OCA submits that these revisions are reasonable and in the public interest.</w:t>
      </w:r>
      <w:r w:rsidR="00B72BEA" w:rsidRPr="009C6D70">
        <w:t xml:space="preserve">  OCA St. in Support, p. 13.</w:t>
      </w:r>
    </w:p>
    <w:p w:rsidR="009C027C" w:rsidRPr="009C6D70" w:rsidRDefault="009C027C" w:rsidP="00D81489">
      <w:pPr>
        <w:spacing w:line="360" w:lineRule="auto"/>
        <w:ind w:firstLine="1440"/>
      </w:pPr>
    </w:p>
    <w:p w:rsidR="00F15A09" w:rsidRPr="009C6D70" w:rsidRDefault="00F15A09" w:rsidP="00B72BEA">
      <w:pPr>
        <w:spacing w:line="360" w:lineRule="auto"/>
        <w:ind w:firstLine="1440"/>
      </w:pPr>
      <w:r w:rsidRPr="009C6D70">
        <w:t xml:space="preserve">Finally, OCA witness Colton made recommendations regarding the Company’s proposed automatic enrollment feature of its CAP program.  </w:t>
      </w:r>
      <w:r w:rsidRPr="009C6D70">
        <w:rPr>
          <w:i/>
        </w:rPr>
        <w:t>See</w:t>
      </w:r>
      <w:r w:rsidRPr="009C6D70">
        <w:t xml:space="preserve"> OCA St. 4</w:t>
      </w:r>
      <w:r w:rsidR="00B72BEA" w:rsidRPr="009C6D70">
        <w:t>, pp. 38-42.</w:t>
      </w:r>
      <w:r w:rsidRPr="009C6D70">
        <w:t xml:space="preserve">  Mr.</w:t>
      </w:r>
      <w:r w:rsidR="00CB6300">
        <w:t> </w:t>
      </w:r>
      <w:r w:rsidRPr="009C6D70">
        <w:t>Colton recommended that D</w:t>
      </w:r>
      <w:r w:rsidR="00B72BEA" w:rsidRPr="009C6D70">
        <w:t xml:space="preserve">uquesne </w:t>
      </w:r>
      <w:r w:rsidRPr="009C6D70">
        <w:t>adopt a modification that would ensure that customers so enrolled would be required to document during the six-month provisional enrollment period that they meet all CAP enrollment requirements, including that the customer was payment troubled at the time they received the LIHEAP grant.  The OCA also recommended that D</w:t>
      </w:r>
      <w:r w:rsidR="00947A6E" w:rsidRPr="009C6D70">
        <w:t>uquesne</w:t>
      </w:r>
      <w:r w:rsidRPr="009C6D70">
        <w:t xml:space="preserve"> establish a sunset date for its automatic enrollment feature after which the Company could perform an evaluation of the operation of the process as well as determine its impact on total CAP enrollment and total CAP costs.   That evaluation would then be used to determine if automatic enrollment would be included in Duquesne’s next Universal Service Plan.  </w:t>
      </w:r>
      <w:r w:rsidRPr="009C6D70">
        <w:rPr>
          <w:i/>
          <w:u w:val="single"/>
        </w:rPr>
        <w:t>Id</w:t>
      </w:r>
      <w:r w:rsidRPr="009C6D70">
        <w:rPr>
          <w:i/>
        </w:rPr>
        <w:t>.</w:t>
      </w:r>
      <w:r w:rsidR="004825BA" w:rsidRPr="009C6D70">
        <w:t>; OCA St. in Support, p. 13.</w:t>
      </w:r>
    </w:p>
    <w:p w:rsidR="00947A6E" w:rsidRPr="009C6D70" w:rsidRDefault="00947A6E" w:rsidP="00B72BEA">
      <w:pPr>
        <w:spacing w:line="360" w:lineRule="auto"/>
        <w:ind w:firstLine="1440"/>
      </w:pPr>
    </w:p>
    <w:p w:rsidR="004825BA" w:rsidRPr="009C6D70" w:rsidRDefault="00F15A09" w:rsidP="004825BA">
      <w:pPr>
        <w:spacing w:line="360" w:lineRule="auto"/>
        <w:ind w:firstLine="1440"/>
      </w:pPr>
      <w:r w:rsidRPr="009C6D70">
        <w:t xml:space="preserve">In the Settlement, the Joint Petitioners addressed </w:t>
      </w:r>
      <w:r w:rsidR="00947A6E" w:rsidRPr="009C6D70">
        <w:t xml:space="preserve">the </w:t>
      </w:r>
      <w:r w:rsidRPr="009C6D70">
        <w:t xml:space="preserve">OCA’s concerns regarding the auto-enrollment feature.  </w:t>
      </w:r>
      <w:r w:rsidRPr="009C6D70">
        <w:rPr>
          <w:i/>
        </w:rPr>
        <w:t>See</w:t>
      </w:r>
      <w:r w:rsidRPr="009C6D70">
        <w:t xml:space="preserve"> </w:t>
      </w:r>
      <w:r w:rsidR="00947A6E" w:rsidRPr="009C6D70">
        <w:t xml:space="preserve">Joint Petition </w:t>
      </w:r>
      <w:r w:rsidRPr="009C6D70">
        <w:t>¶4</w:t>
      </w:r>
      <w:r w:rsidR="00947A6E" w:rsidRPr="009C6D70">
        <w:t>4, p. 11.</w:t>
      </w:r>
      <w:r w:rsidR="00947A6E" w:rsidRPr="009C6D70">
        <w:rPr>
          <w:rStyle w:val="FootnoteReference"/>
        </w:rPr>
        <w:footnoteReference w:id="30"/>
      </w:r>
      <w:r w:rsidRPr="009C6D70">
        <w:t xml:space="preserve">  The Joint Petitioners agreed that prior to the time it files its next universal service plan, D</w:t>
      </w:r>
      <w:r w:rsidR="00760397" w:rsidRPr="009C6D70">
        <w:t xml:space="preserve">uquesne </w:t>
      </w:r>
      <w:r w:rsidRPr="009C6D70">
        <w:t xml:space="preserve">will review this feature to determine its impacts on program costs and CAP participation levels and whether modifications to the feature should be implemented.  </w:t>
      </w:r>
      <w:r w:rsidRPr="009C6D70">
        <w:rPr>
          <w:i/>
          <w:u w:val="single"/>
        </w:rPr>
        <w:t>Id</w:t>
      </w:r>
      <w:r w:rsidRPr="009C6D70">
        <w:rPr>
          <w:i/>
        </w:rPr>
        <w:t>.</w:t>
      </w:r>
      <w:r w:rsidRPr="009C6D70">
        <w:t xml:space="preserve">  The Company’s review will be formal and submitted with its next universal service plan filing.  </w:t>
      </w:r>
      <w:r w:rsidRPr="009C6D70">
        <w:rPr>
          <w:i/>
          <w:u w:val="single"/>
        </w:rPr>
        <w:t>Id</w:t>
      </w:r>
      <w:r w:rsidRPr="009C6D70">
        <w:t>.  The OCA submits that these modifications are reasonable and in the public interest and should be accepted.</w:t>
      </w:r>
      <w:r w:rsidR="004825BA" w:rsidRPr="009C6D70">
        <w:t xml:space="preserve">  OCA St. in Support, p. 13.</w:t>
      </w:r>
    </w:p>
    <w:p w:rsidR="00760397" w:rsidRPr="009C6D70" w:rsidRDefault="00760397" w:rsidP="004825BA">
      <w:pPr>
        <w:spacing w:line="360" w:lineRule="auto"/>
        <w:ind w:firstLine="1440"/>
      </w:pPr>
    </w:p>
    <w:p w:rsidR="00BE16EE" w:rsidRDefault="00BE16EE">
      <w:pPr>
        <w:rPr>
          <w:bCs/>
          <w:kern w:val="32"/>
        </w:rPr>
      </w:pPr>
      <w:r>
        <w:rPr>
          <w:bCs/>
          <w:kern w:val="32"/>
        </w:rPr>
        <w:br w:type="page"/>
      </w:r>
    </w:p>
    <w:p w:rsidR="00760397" w:rsidRPr="009C6D70" w:rsidRDefault="00760397" w:rsidP="00760397">
      <w:pPr>
        <w:spacing w:line="360" w:lineRule="auto"/>
        <w:rPr>
          <w:bCs/>
          <w:kern w:val="32"/>
        </w:rPr>
      </w:pPr>
      <w:r w:rsidRPr="009C6D70">
        <w:rPr>
          <w:bCs/>
          <w:kern w:val="32"/>
        </w:rPr>
        <w:lastRenderedPageBreak/>
        <w:tab/>
        <w:t>7.</w:t>
      </w:r>
      <w:r w:rsidRPr="009C6D70">
        <w:rPr>
          <w:bCs/>
          <w:kern w:val="32"/>
        </w:rPr>
        <w:tab/>
      </w:r>
      <w:r w:rsidRPr="009C6D70">
        <w:rPr>
          <w:bCs/>
          <w:kern w:val="32"/>
          <w:u w:val="single"/>
        </w:rPr>
        <w:t>Smart Meters</w:t>
      </w:r>
    </w:p>
    <w:p w:rsidR="00760397" w:rsidRPr="009C6D70" w:rsidRDefault="00760397" w:rsidP="00760397">
      <w:pPr>
        <w:spacing w:line="360" w:lineRule="auto"/>
        <w:rPr>
          <w:bCs/>
          <w:kern w:val="32"/>
        </w:rPr>
      </w:pPr>
    </w:p>
    <w:p w:rsidR="00F15A09" w:rsidRPr="009C6D70" w:rsidRDefault="00036DA6" w:rsidP="00760397">
      <w:pPr>
        <w:pStyle w:val="PlainText"/>
        <w:spacing w:line="360" w:lineRule="auto"/>
        <w:ind w:firstLine="1440"/>
        <w:rPr>
          <w:rFonts w:ascii="Times New Roman" w:hAnsi="Times New Roman"/>
          <w:sz w:val="24"/>
          <w:szCs w:val="24"/>
        </w:rPr>
      </w:pPr>
      <w:r w:rsidRPr="009C6D70">
        <w:rPr>
          <w:rFonts w:ascii="Times New Roman" w:hAnsi="Times New Roman"/>
          <w:bCs/>
          <w:kern w:val="32"/>
          <w:sz w:val="24"/>
          <w:szCs w:val="24"/>
        </w:rPr>
        <w:t>According to the OCA, s</w:t>
      </w:r>
      <w:r w:rsidR="00F15A09" w:rsidRPr="009C6D70">
        <w:rPr>
          <w:rFonts w:ascii="Times New Roman" w:hAnsi="Times New Roman"/>
          <w:bCs/>
          <w:kern w:val="32"/>
          <w:sz w:val="24"/>
          <w:szCs w:val="24"/>
        </w:rPr>
        <w:t xml:space="preserve">ince this is a </w:t>
      </w:r>
      <w:r w:rsidR="003A32DF">
        <w:rPr>
          <w:rFonts w:ascii="Times New Roman" w:hAnsi="Times New Roman"/>
          <w:bCs/>
          <w:kern w:val="32"/>
          <w:sz w:val="24"/>
          <w:szCs w:val="24"/>
        </w:rPr>
        <w:t>“</w:t>
      </w:r>
      <w:r w:rsidR="00F15A09" w:rsidRPr="009C6D70">
        <w:rPr>
          <w:rFonts w:ascii="Times New Roman" w:hAnsi="Times New Roman"/>
          <w:bCs/>
          <w:kern w:val="32"/>
          <w:sz w:val="24"/>
          <w:szCs w:val="24"/>
        </w:rPr>
        <w:t>black box</w:t>
      </w:r>
      <w:r w:rsidR="003A32DF">
        <w:rPr>
          <w:rFonts w:ascii="Times New Roman" w:hAnsi="Times New Roman"/>
          <w:bCs/>
          <w:kern w:val="32"/>
          <w:sz w:val="24"/>
          <w:szCs w:val="24"/>
        </w:rPr>
        <w:t>”</w:t>
      </w:r>
      <w:r w:rsidR="00F15A09" w:rsidRPr="009C6D70">
        <w:rPr>
          <w:rFonts w:ascii="Times New Roman" w:hAnsi="Times New Roman"/>
          <w:bCs/>
          <w:kern w:val="32"/>
          <w:sz w:val="24"/>
          <w:szCs w:val="24"/>
        </w:rPr>
        <w:t xml:space="preserve"> Settlement with no specified rate of return, the Joint Petitioners were required by the Commission’s Order in the Company’s Act 129 Smart Meter proceeding to establish a return on common equity and capital structure for purposes of computing the Company’s smart meter surcharge.  Specifically, the Commission’s Order in D</w:t>
      </w:r>
      <w:r w:rsidR="00F702E0" w:rsidRPr="009C6D70">
        <w:rPr>
          <w:rFonts w:ascii="Times New Roman" w:hAnsi="Times New Roman"/>
          <w:bCs/>
          <w:kern w:val="32"/>
          <w:sz w:val="24"/>
          <w:szCs w:val="24"/>
        </w:rPr>
        <w:t>uquesne’s</w:t>
      </w:r>
      <w:r w:rsidR="00F15A09" w:rsidRPr="009C6D70">
        <w:rPr>
          <w:rFonts w:ascii="Times New Roman" w:hAnsi="Times New Roman"/>
          <w:bCs/>
          <w:kern w:val="32"/>
          <w:sz w:val="24"/>
          <w:szCs w:val="24"/>
        </w:rPr>
        <w:t xml:space="preserve"> Smart Meter proceeding states: “</w:t>
      </w:r>
      <w:r w:rsidR="00F15A09" w:rsidRPr="009C6D70">
        <w:rPr>
          <w:rFonts w:ascii="Times New Roman" w:hAnsi="Times New Roman"/>
          <w:sz w:val="24"/>
          <w:szCs w:val="24"/>
        </w:rPr>
        <w:t xml:space="preserve">To the extent that Duquesne’s subsequent base rate case is settled, the parties are to establish the applicable capital structure ratio to apply for the purposes of the [smart meter surcharge] recovery mechanism in that proceeding.”  </w:t>
      </w:r>
      <w:r w:rsidR="00F15A09" w:rsidRPr="00AE6923">
        <w:rPr>
          <w:rFonts w:ascii="Times New Roman" w:hAnsi="Times New Roman"/>
          <w:i/>
          <w:sz w:val="24"/>
          <w:szCs w:val="24"/>
        </w:rPr>
        <w:t>See</w:t>
      </w:r>
      <w:r w:rsidR="00F15A09" w:rsidRPr="009C6D70">
        <w:rPr>
          <w:rFonts w:ascii="Times New Roman" w:hAnsi="Times New Roman"/>
          <w:sz w:val="24"/>
          <w:szCs w:val="24"/>
        </w:rPr>
        <w:t xml:space="preserve"> </w:t>
      </w:r>
      <w:r w:rsidR="00F15A09" w:rsidRPr="009C6D70">
        <w:rPr>
          <w:rFonts w:ascii="Times New Roman" w:hAnsi="Times New Roman"/>
          <w:i/>
          <w:sz w:val="24"/>
          <w:szCs w:val="24"/>
        </w:rPr>
        <w:t>Petition of Duquesne Light Company for Approval of Smart Meter Technology Procurement and Installation Plan</w:t>
      </w:r>
      <w:r w:rsidR="00F15A09" w:rsidRPr="009C6D70">
        <w:rPr>
          <w:rFonts w:ascii="Times New Roman" w:hAnsi="Times New Roman"/>
          <w:sz w:val="24"/>
          <w:szCs w:val="24"/>
        </w:rPr>
        <w:t xml:space="preserve">, Docket No. M-2009-2123948 Order (May 11, 2010) at 20.  The Commission also stated: “To the extent that the subsequent base rate case is settled, the parties are to establish the applicable ROE to apply for the purposes of the Plan recovery mechanism in that proceeding.”  </w:t>
      </w:r>
      <w:r w:rsidR="00F15A09" w:rsidRPr="009C6D70">
        <w:rPr>
          <w:rFonts w:ascii="Times New Roman" w:hAnsi="Times New Roman"/>
          <w:i/>
          <w:sz w:val="24"/>
          <w:szCs w:val="24"/>
          <w:u w:val="single"/>
        </w:rPr>
        <w:t>Id</w:t>
      </w:r>
      <w:r w:rsidR="00F15A09" w:rsidRPr="009C6D70">
        <w:rPr>
          <w:rFonts w:ascii="Times New Roman" w:hAnsi="Times New Roman"/>
          <w:i/>
          <w:sz w:val="24"/>
          <w:szCs w:val="24"/>
        </w:rPr>
        <w:t>.</w:t>
      </w:r>
      <w:r w:rsidR="00F15A09" w:rsidRPr="009C6D70">
        <w:rPr>
          <w:rFonts w:ascii="Times New Roman" w:hAnsi="Times New Roman"/>
          <w:sz w:val="24"/>
          <w:szCs w:val="24"/>
        </w:rPr>
        <w:t xml:space="preserve"> at 24-25</w:t>
      </w:r>
      <w:r w:rsidR="009B6B49" w:rsidRPr="009C6D70">
        <w:rPr>
          <w:rFonts w:ascii="Times New Roman" w:hAnsi="Times New Roman"/>
          <w:sz w:val="24"/>
          <w:szCs w:val="24"/>
        </w:rPr>
        <w:t>; OCA St. in Support, p. 14</w:t>
      </w:r>
      <w:r w:rsidR="00F15A09" w:rsidRPr="009C6D70">
        <w:rPr>
          <w:rFonts w:ascii="Times New Roman" w:hAnsi="Times New Roman"/>
          <w:sz w:val="24"/>
          <w:szCs w:val="24"/>
        </w:rPr>
        <w:t>.</w:t>
      </w:r>
    </w:p>
    <w:p w:rsidR="00F702E0" w:rsidRPr="009C6D70" w:rsidRDefault="00F702E0" w:rsidP="00760397">
      <w:pPr>
        <w:pStyle w:val="PlainText"/>
        <w:spacing w:line="360" w:lineRule="auto"/>
        <w:ind w:firstLine="1440"/>
        <w:rPr>
          <w:rFonts w:ascii="Times New Roman" w:hAnsi="Times New Roman"/>
          <w:sz w:val="24"/>
          <w:szCs w:val="24"/>
        </w:rPr>
      </w:pPr>
    </w:p>
    <w:p w:rsidR="00F15A09" w:rsidRPr="009C6D70" w:rsidRDefault="00F702E0" w:rsidP="00760397">
      <w:pPr>
        <w:spacing w:line="360" w:lineRule="auto"/>
        <w:ind w:firstLine="1440"/>
        <w:rPr>
          <w:bCs/>
          <w:kern w:val="32"/>
        </w:rPr>
      </w:pPr>
      <w:r w:rsidRPr="009C6D70">
        <w:rPr>
          <w:bCs/>
          <w:kern w:val="32"/>
        </w:rPr>
        <w:t>T</w:t>
      </w:r>
      <w:r w:rsidR="00F15A09" w:rsidRPr="009C6D70">
        <w:rPr>
          <w:bCs/>
          <w:kern w:val="32"/>
        </w:rPr>
        <w:t>he Joint Petitioners agreed that D</w:t>
      </w:r>
      <w:r w:rsidRPr="009C6D70">
        <w:rPr>
          <w:bCs/>
          <w:kern w:val="32"/>
        </w:rPr>
        <w:t xml:space="preserve">uquesne </w:t>
      </w:r>
      <w:r w:rsidR="00F15A09" w:rsidRPr="009C6D70">
        <w:rPr>
          <w:bCs/>
          <w:kern w:val="32"/>
        </w:rPr>
        <w:t xml:space="preserve">will use a common equity return rate of 10.0% and a capital structure with no more than a 46% common equity ratio for purposes of computing its smart meter surcharge.  </w:t>
      </w:r>
      <w:r w:rsidR="00F15A09" w:rsidRPr="009C6D70">
        <w:rPr>
          <w:bCs/>
          <w:i/>
          <w:kern w:val="32"/>
        </w:rPr>
        <w:t>See</w:t>
      </w:r>
      <w:r w:rsidR="00F15A09" w:rsidRPr="009C6D70">
        <w:rPr>
          <w:bCs/>
          <w:kern w:val="32"/>
        </w:rPr>
        <w:t xml:space="preserve"> </w:t>
      </w:r>
      <w:r w:rsidR="00D648E8" w:rsidRPr="009C6D70">
        <w:rPr>
          <w:bCs/>
          <w:kern w:val="32"/>
        </w:rPr>
        <w:t>Joint Petition ¶48, p. 12.</w:t>
      </w:r>
      <w:r w:rsidR="00D648E8" w:rsidRPr="009C6D70">
        <w:rPr>
          <w:rStyle w:val="FootnoteReference"/>
          <w:bCs/>
          <w:kern w:val="32"/>
        </w:rPr>
        <w:footnoteReference w:id="31"/>
      </w:r>
      <w:r w:rsidR="00F15A09" w:rsidRPr="009C6D70">
        <w:rPr>
          <w:bCs/>
          <w:kern w:val="32"/>
        </w:rPr>
        <w:t xml:space="preserve">  The OCA submits that this capital structure and return on equity is a reasonable resolution of this issue in the context of this Settlement.</w:t>
      </w:r>
      <w:r w:rsidR="009B6B49" w:rsidRPr="009C6D70">
        <w:rPr>
          <w:bCs/>
          <w:kern w:val="32"/>
        </w:rPr>
        <w:t xml:space="preserve">  </w:t>
      </w:r>
      <w:r w:rsidR="009B6B49" w:rsidRPr="009C6D70">
        <w:t>OCA St. in Support, p. 14.</w:t>
      </w:r>
      <w:r w:rsidR="00F15A09" w:rsidRPr="009C6D70">
        <w:rPr>
          <w:bCs/>
          <w:kern w:val="32"/>
        </w:rPr>
        <w:t xml:space="preserve"> </w:t>
      </w:r>
    </w:p>
    <w:p w:rsidR="00036DA6" w:rsidRPr="009C6D70" w:rsidRDefault="00036DA6" w:rsidP="00036DA6">
      <w:pPr>
        <w:spacing w:line="360" w:lineRule="auto"/>
        <w:rPr>
          <w:bCs/>
          <w:kern w:val="32"/>
        </w:rPr>
      </w:pPr>
    </w:p>
    <w:p w:rsidR="00036DA6" w:rsidRPr="009C6D70" w:rsidRDefault="00036DA6" w:rsidP="00994B27">
      <w:pPr>
        <w:numPr>
          <w:ilvl w:val="0"/>
          <w:numId w:val="37"/>
        </w:numPr>
        <w:tabs>
          <w:tab w:val="clear" w:pos="1080"/>
        </w:tabs>
        <w:spacing w:line="360" w:lineRule="auto"/>
        <w:ind w:left="720"/>
        <w:rPr>
          <w:bCs/>
          <w:kern w:val="32"/>
        </w:rPr>
      </w:pPr>
      <w:r w:rsidRPr="009C6D70">
        <w:rPr>
          <w:bCs/>
          <w:kern w:val="32"/>
          <w:u w:val="single"/>
        </w:rPr>
        <w:t>OSBA’s Position</w:t>
      </w:r>
    </w:p>
    <w:p w:rsidR="00036DA6" w:rsidRPr="009C6D70" w:rsidRDefault="00036DA6" w:rsidP="00036DA6">
      <w:pPr>
        <w:spacing w:line="360" w:lineRule="auto"/>
        <w:ind w:left="360"/>
        <w:rPr>
          <w:bCs/>
          <w:kern w:val="32"/>
        </w:rPr>
      </w:pPr>
    </w:p>
    <w:p w:rsidR="00244773" w:rsidRPr="009C6D70" w:rsidRDefault="00244773" w:rsidP="00BE16EE">
      <w:pPr>
        <w:pStyle w:val="ListParagraph"/>
        <w:spacing w:after="240" w:line="360" w:lineRule="auto"/>
        <w:ind w:left="0" w:firstLine="1440"/>
        <w:rPr>
          <w:sz w:val="24"/>
          <w:szCs w:val="24"/>
        </w:rPr>
      </w:pPr>
      <w:r w:rsidRPr="009C6D70">
        <w:rPr>
          <w:sz w:val="24"/>
          <w:szCs w:val="24"/>
        </w:rPr>
        <w:t>In its Complaint, Prehearing Memorandum, and testimony, the OSBA identified several issues of concern, including the following:</w:t>
      </w:r>
    </w:p>
    <w:p w:rsidR="00244773" w:rsidRPr="009C6D70" w:rsidRDefault="00244773" w:rsidP="00BE16EE">
      <w:pPr>
        <w:spacing w:after="240"/>
        <w:ind w:left="1440" w:right="1440"/>
      </w:pPr>
      <w:r w:rsidRPr="009C6D70">
        <w:t>1.</w:t>
      </w:r>
      <w:r w:rsidRPr="009C6D70">
        <w:tab/>
        <w:t>Whether the Company’s proposed 11.25% Return on Equity is excessive;</w:t>
      </w:r>
    </w:p>
    <w:p w:rsidR="00244773" w:rsidRPr="009C6D70" w:rsidRDefault="00244773" w:rsidP="00244773">
      <w:pPr>
        <w:ind w:left="1440" w:right="1440" w:hanging="720"/>
      </w:pPr>
    </w:p>
    <w:p w:rsidR="009C027C" w:rsidRDefault="009C027C">
      <w:r>
        <w:br w:type="page"/>
      </w:r>
    </w:p>
    <w:p w:rsidR="00244773" w:rsidRPr="009C6D70" w:rsidRDefault="00244773" w:rsidP="00244773">
      <w:pPr>
        <w:ind w:left="1440" w:right="1440" w:hanging="720"/>
      </w:pPr>
      <w:r w:rsidRPr="009C6D70">
        <w:lastRenderedPageBreak/>
        <w:tab/>
        <w:t>2.</w:t>
      </w:r>
      <w:r w:rsidRPr="009C6D70">
        <w:tab/>
        <w:t>Whether the Company’s proposed cost-of-service methodology is appropriate;</w:t>
      </w:r>
    </w:p>
    <w:p w:rsidR="00244773" w:rsidRPr="009C6D70" w:rsidRDefault="00244773" w:rsidP="00244773">
      <w:pPr>
        <w:ind w:left="1440" w:right="1440" w:hanging="720"/>
      </w:pPr>
    </w:p>
    <w:p w:rsidR="00244773" w:rsidRPr="009C6D70" w:rsidRDefault="00244773" w:rsidP="00244773">
      <w:pPr>
        <w:ind w:left="1440" w:right="1440" w:hanging="720"/>
      </w:pPr>
      <w:r w:rsidRPr="009C6D70">
        <w:tab/>
        <w:t>3.</w:t>
      </w:r>
      <w:r w:rsidRPr="009C6D70">
        <w:tab/>
        <w:t>Whether the Company’s proposed class revenue distribution properly moves all classes closer to their respective cost of service indications; and</w:t>
      </w:r>
    </w:p>
    <w:p w:rsidR="00244773" w:rsidRPr="009C6D70" w:rsidRDefault="00244773" w:rsidP="00244773">
      <w:pPr>
        <w:ind w:left="1440" w:right="1440" w:hanging="720"/>
      </w:pPr>
    </w:p>
    <w:p w:rsidR="00244773" w:rsidRPr="009C6D70" w:rsidRDefault="00244773" w:rsidP="00244773">
      <w:pPr>
        <w:ind w:left="1440" w:right="1440" w:hanging="720"/>
      </w:pPr>
      <w:r w:rsidRPr="009C6D70">
        <w:tab/>
        <w:t>4.</w:t>
      </w:r>
      <w:r w:rsidRPr="009C6D70">
        <w:tab/>
        <w:t>Whether the Company’s proposed rate design for its GS/GM and GH classes comports with traditional rate design principles.</w:t>
      </w:r>
    </w:p>
    <w:p w:rsidR="00036DA6" w:rsidRPr="009C6D70" w:rsidRDefault="00036DA6" w:rsidP="00C12F53">
      <w:pPr>
        <w:spacing w:line="360" w:lineRule="auto"/>
        <w:rPr>
          <w:bCs/>
          <w:kern w:val="32"/>
        </w:rPr>
      </w:pPr>
    </w:p>
    <w:p w:rsidR="00C12F53" w:rsidRPr="009C6D70" w:rsidRDefault="00C12F53" w:rsidP="00C12F53">
      <w:pPr>
        <w:spacing w:line="360" w:lineRule="auto"/>
        <w:rPr>
          <w:bCs/>
          <w:kern w:val="32"/>
        </w:rPr>
      </w:pPr>
      <w:r w:rsidRPr="009C6D70">
        <w:rPr>
          <w:bCs/>
          <w:kern w:val="32"/>
        </w:rPr>
        <w:t>OSBA St. in Support, p. 2.</w:t>
      </w:r>
    </w:p>
    <w:p w:rsidR="00C12F53" w:rsidRPr="009C6D70" w:rsidRDefault="00C12F53" w:rsidP="00C12F53">
      <w:pPr>
        <w:spacing w:line="360" w:lineRule="auto"/>
        <w:rPr>
          <w:bCs/>
          <w:kern w:val="32"/>
        </w:rPr>
      </w:pPr>
    </w:p>
    <w:p w:rsidR="00C12F53" w:rsidRPr="009C6D70" w:rsidRDefault="00C12F53" w:rsidP="00C12F53">
      <w:pPr>
        <w:spacing w:line="360" w:lineRule="auto"/>
        <w:rPr>
          <w:bCs/>
          <w:kern w:val="32"/>
        </w:rPr>
      </w:pPr>
      <w:r w:rsidRPr="009C6D70">
        <w:rPr>
          <w:bCs/>
          <w:kern w:val="32"/>
        </w:rPr>
        <w:tab/>
      </w:r>
      <w:r w:rsidRPr="009C6D70">
        <w:rPr>
          <w:bCs/>
          <w:kern w:val="32"/>
        </w:rPr>
        <w:tab/>
        <w:t>In its Statement in Support, the OSBA outlines its reasons for concluding that the Settlement is in the best interests of small business customers.  The OSBA supports the Settlement and requests that it be approved in its entirety without modification.  OSBA St. in Support, p. 9.</w:t>
      </w:r>
    </w:p>
    <w:p w:rsidR="00C12F53" w:rsidRPr="009C6D70" w:rsidRDefault="00C12F53" w:rsidP="00C12F53">
      <w:pPr>
        <w:spacing w:line="360" w:lineRule="auto"/>
        <w:rPr>
          <w:bCs/>
          <w:kern w:val="32"/>
        </w:rPr>
      </w:pPr>
    </w:p>
    <w:p w:rsidR="00C12F53" w:rsidRPr="009C6D70" w:rsidRDefault="00C12F53" w:rsidP="00786812">
      <w:pPr>
        <w:numPr>
          <w:ilvl w:val="0"/>
          <w:numId w:val="38"/>
        </w:numPr>
        <w:tabs>
          <w:tab w:val="clear" w:pos="2160"/>
        </w:tabs>
        <w:spacing w:line="360" w:lineRule="auto"/>
        <w:ind w:left="1440"/>
        <w:rPr>
          <w:bCs/>
          <w:kern w:val="32"/>
        </w:rPr>
      </w:pPr>
      <w:r w:rsidRPr="009C6D70">
        <w:rPr>
          <w:bCs/>
          <w:kern w:val="32"/>
          <w:u w:val="single"/>
        </w:rPr>
        <w:t>Return o</w:t>
      </w:r>
      <w:r w:rsidR="00E84480" w:rsidRPr="009C6D70">
        <w:rPr>
          <w:bCs/>
          <w:kern w:val="32"/>
          <w:u w:val="single"/>
        </w:rPr>
        <w:t>n</w:t>
      </w:r>
      <w:r w:rsidRPr="009C6D70">
        <w:rPr>
          <w:bCs/>
          <w:kern w:val="32"/>
          <w:u w:val="single"/>
        </w:rPr>
        <w:t xml:space="preserve"> Equity</w:t>
      </w:r>
    </w:p>
    <w:p w:rsidR="00E84480" w:rsidRPr="009C6D70" w:rsidRDefault="00E84480" w:rsidP="00E84480">
      <w:pPr>
        <w:spacing w:line="360" w:lineRule="auto"/>
        <w:rPr>
          <w:bCs/>
          <w:kern w:val="32"/>
        </w:rPr>
      </w:pPr>
    </w:p>
    <w:p w:rsidR="00E84480" w:rsidRPr="009C6D70" w:rsidRDefault="00E84480" w:rsidP="00BE16EE">
      <w:pPr>
        <w:spacing w:line="360" w:lineRule="auto"/>
        <w:ind w:firstLine="1440"/>
      </w:pPr>
      <w:r w:rsidRPr="009C6D70">
        <w:t xml:space="preserve">In analyzing the Company’s filed request for an $87.3 million distribution rate increase, OSBA witness Brian Kalcic opposed Duquesne’s proposed </w:t>
      </w:r>
      <w:r w:rsidR="00151110">
        <w:t>ROE</w:t>
      </w:r>
      <w:r w:rsidRPr="009C6D70">
        <w:t xml:space="preserve"> of 11.25%.  Specifically, Mr. Kalcic testified, as follows</w:t>
      </w:r>
      <w:r w:rsidR="003B3093" w:rsidRPr="009C6D70">
        <w:t>:</w:t>
      </w:r>
    </w:p>
    <w:p w:rsidR="003B3093" w:rsidRPr="009C6D70" w:rsidRDefault="003B3093" w:rsidP="00BE16EE">
      <w:pPr>
        <w:spacing w:line="360" w:lineRule="auto"/>
        <w:ind w:firstLine="1440"/>
      </w:pPr>
    </w:p>
    <w:p w:rsidR="00E84480" w:rsidRPr="009C6D70" w:rsidRDefault="00E84480" w:rsidP="00786812">
      <w:pPr>
        <w:tabs>
          <w:tab w:val="left" w:pos="980"/>
          <w:tab w:val="left" w:pos="2160"/>
        </w:tabs>
        <w:ind w:left="1440" w:right="1440"/>
      </w:pPr>
      <w:r w:rsidRPr="009C6D70">
        <w:t>Counsel advises that the PPL Electric base rate case at Docket No. R-00049255, and the Metropolitan Edison Company (‘Met-Ed’) and Pennsylvania Electric Company (‘Penelec’) consolidated base rate case at Docket Nos. R-00061366 &amp; R-00061367 (respectively), represent the two (2) most recent litigated [electric base rates] proceedings.  I am further advised that the Commission awarded PPL Electric an ROE of 10.70% (Opinion and Order entered December 22, 2004) and Met-Ed / Penelec an ROE of 10.1% (Opinion and Order entered January 11, 2007) in those proceedings.</w:t>
      </w:r>
      <w:r w:rsidR="00F27259" w:rsidRPr="009C6D70">
        <w:t xml:space="preserve">  OSBA St. 1, p. 10.</w:t>
      </w:r>
    </w:p>
    <w:p w:rsidR="00E84480" w:rsidRPr="009C6D70" w:rsidRDefault="00E84480" w:rsidP="00786812">
      <w:pPr>
        <w:tabs>
          <w:tab w:val="left" w:pos="980"/>
        </w:tabs>
        <w:ind w:left="1440" w:right="1440"/>
      </w:pPr>
      <w:r w:rsidRPr="009C6D70">
        <w:tab/>
      </w:r>
      <w:r w:rsidRPr="009C6D70">
        <w:tab/>
      </w:r>
      <w:r w:rsidRPr="009C6D70">
        <w:tab/>
      </w:r>
    </w:p>
    <w:p w:rsidR="00E84480" w:rsidRDefault="00E84480" w:rsidP="00786812">
      <w:pPr>
        <w:tabs>
          <w:tab w:val="left" w:pos="980"/>
        </w:tabs>
        <w:ind w:left="720" w:right="1440"/>
        <w:jc w:val="center"/>
      </w:pPr>
      <w:r w:rsidRPr="009C6D70">
        <w:t>* * *</w:t>
      </w:r>
    </w:p>
    <w:p w:rsidR="00786812" w:rsidRPr="009C6D70" w:rsidRDefault="00786812" w:rsidP="00786812">
      <w:pPr>
        <w:tabs>
          <w:tab w:val="left" w:pos="980"/>
        </w:tabs>
        <w:ind w:left="720" w:right="1440"/>
        <w:jc w:val="center"/>
      </w:pPr>
    </w:p>
    <w:p w:rsidR="009C027C" w:rsidRDefault="009C027C">
      <w:r>
        <w:br w:type="page"/>
      </w:r>
    </w:p>
    <w:p w:rsidR="00E84480" w:rsidRPr="009C6D70" w:rsidRDefault="00E84480" w:rsidP="00786812">
      <w:pPr>
        <w:pStyle w:val="BodyTextIndent"/>
        <w:spacing w:after="0"/>
        <w:ind w:left="1440" w:right="1440"/>
      </w:pPr>
      <w:r w:rsidRPr="009C6D70">
        <w:lastRenderedPageBreak/>
        <w:t>In general,</w:t>
      </w:r>
      <w:r w:rsidRPr="009C6D70">
        <w:rPr>
          <w:b/>
        </w:rPr>
        <w:t xml:space="preserve"> </w:t>
      </w:r>
      <w:r w:rsidRPr="009C6D70">
        <w:t>interest rates and capital costs have declined since late 2004.  For example, in December 2004, the prime lending rate (charged by banks to their most credit-worthy customers) was 5.00%.  Today, the prime lending rate stands at 3.25%. [footnote omitted]</w:t>
      </w:r>
      <w:r w:rsidRPr="009C6D70">
        <w:rPr>
          <w:b/>
        </w:rPr>
        <w:t xml:space="preserve">  </w:t>
      </w:r>
      <w:r w:rsidRPr="009C6D70">
        <w:t>Logically, this suggests that the baseline 10.70% ROE awarded to PPL Electric in Docket No. R-00049255 should act as the cap or ceiling on the ROE awarded to the Company in this proceeding.</w:t>
      </w:r>
      <w:r w:rsidR="00F27259" w:rsidRPr="009C6D70">
        <w:t xml:space="preserve">  OSBA St. 1, p. 11.</w:t>
      </w:r>
    </w:p>
    <w:p w:rsidR="003B3093" w:rsidRPr="009C6D70" w:rsidRDefault="003B3093" w:rsidP="003B3093">
      <w:pPr>
        <w:pStyle w:val="BodyTextIndent"/>
        <w:ind w:right="1440"/>
      </w:pPr>
    </w:p>
    <w:p w:rsidR="003B3093" w:rsidRPr="009C6D70" w:rsidRDefault="003B3093" w:rsidP="00786812">
      <w:pPr>
        <w:pStyle w:val="BodyTextIndent"/>
        <w:ind w:right="1440" w:hanging="360"/>
      </w:pPr>
      <w:r w:rsidRPr="009C6D70">
        <w:t>OSBA St. in Support, pp. 3-4.</w:t>
      </w:r>
    </w:p>
    <w:p w:rsidR="003B3093" w:rsidRPr="009C6D70" w:rsidRDefault="003B3093" w:rsidP="003B3093">
      <w:pPr>
        <w:pStyle w:val="BodyTextIndent"/>
        <w:ind w:right="1440"/>
      </w:pPr>
    </w:p>
    <w:p w:rsidR="003B3093" w:rsidRPr="009C6D70" w:rsidRDefault="003B3093" w:rsidP="003B3093">
      <w:pPr>
        <w:pStyle w:val="BodyTextIndent"/>
        <w:spacing w:after="0" w:line="360" w:lineRule="auto"/>
        <w:ind w:left="0" w:firstLine="720"/>
      </w:pPr>
      <w:r w:rsidRPr="009C6D70">
        <w:tab/>
      </w:r>
      <w:r w:rsidR="00E84480" w:rsidRPr="009C6D70">
        <w:t>Mr. Kalcic testified, “a reduction in Duquesne’s requested ROE from 11.75% to 10.70% would reduce the Company’s requested increase by $7.7 million, i.e., from $87.3 million to $79.6 million.</w:t>
      </w:r>
      <w:r w:rsidRPr="009C6D70">
        <w:t>”  OSBA St. 1, p. 11; OSBA St. in Support, p. 4.</w:t>
      </w:r>
    </w:p>
    <w:p w:rsidR="00CD02F6" w:rsidRPr="009C6D70" w:rsidRDefault="00CD02F6" w:rsidP="003B3093">
      <w:pPr>
        <w:pStyle w:val="BodyTextIndent"/>
        <w:spacing w:after="0" w:line="360" w:lineRule="auto"/>
        <w:ind w:left="0" w:firstLine="720"/>
      </w:pPr>
    </w:p>
    <w:p w:rsidR="00E84480" w:rsidRPr="009C6D70" w:rsidRDefault="00E84480" w:rsidP="00CD02F6">
      <w:pPr>
        <w:spacing w:line="360" w:lineRule="auto"/>
        <w:ind w:firstLine="1440"/>
      </w:pPr>
      <w:r w:rsidRPr="009C6D70">
        <w:t>In addition, Mr. Kalcic testified that Duquesne’s filing failed to include any increase in revenue from late payment charges.  As Mr. Kalcic explained, these revenues will increase as the Company’s underlying rates increase.</w:t>
      </w:r>
      <w:r w:rsidR="00CD02F6" w:rsidRPr="009C6D70">
        <w:t xml:space="preserve">  OSBA St. 1, p. 9.</w:t>
      </w:r>
      <w:r w:rsidRPr="009C6D70">
        <w:t xml:space="preserve"> </w:t>
      </w:r>
      <w:r w:rsidR="00BE16EE">
        <w:t xml:space="preserve"> </w:t>
      </w:r>
      <w:r w:rsidRPr="009C6D70">
        <w:t>Therefore,</w:t>
      </w:r>
      <w:r w:rsidR="00CD02F6" w:rsidRPr="009C6D70">
        <w:t xml:space="preserve"> according to the OSBA, </w:t>
      </w:r>
      <w:r w:rsidRPr="009C6D70">
        <w:t>the $79.6 million revenue requirement should be further reduced by $360,000 to $79.240 million.</w:t>
      </w:r>
      <w:r w:rsidR="00CD02F6" w:rsidRPr="009C6D70">
        <w:t xml:space="preserve">  OSBA St. 3, p. 5; OSBA St. in Support, p. 4.  </w:t>
      </w:r>
    </w:p>
    <w:p w:rsidR="00CD02F6" w:rsidRPr="009C6D70" w:rsidRDefault="00CD02F6" w:rsidP="00CD02F6">
      <w:pPr>
        <w:spacing w:line="360" w:lineRule="auto"/>
        <w:ind w:firstLine="1440"/>
      </w:pPr>
    </w:p>
    <w:p w:rsidR="00B77E31" w:rsidRPr="009C6D70" w:rsidRDefault="00E84480" w:rsidP="00306801">
      <w:pPr>
        <w:spacing w:line="360" w:lineRule="auto"/>
        <w:ind w:firstLine="1440"/>
      </w:pPr>
      <w:r w:rsidRPr="009C6D70">
        <w:t>Furthermore</w:t>
      </w:r>
      <w:r w:rsidR="00306801" w:rsidRPr="009C6D70">
        <w:t>, the OSBA continues,</w:t>
      </w:r>
      <w:r w:rsidRPr="009C6D70">
        <w:t xml:space="preserve"> Duquesne accepted numerous adjustments which lowered its revenue requirement by $11.684 million</w:t>
      </w:r>
      <w:r w:rsidR="00306801" w:rsidRPr="009C6D70">
        <w:t xml:space="preserve"> in rebuttal testimony</w:t>
      </w:r>
      <w:r w:rsidRPr="009C6D70">
        <w:t>.</w:t>
      </w:r>
      <w:r w:rsidR="00306801" w:rsidRPr="009C6D70">
        <w:t xml:space="preserve">  OSBA St. 3, p. 5.  </w:t>
      </w:r>
      <w:r w:rsidRPr="009C6D70">
        <w:t>These conceded adjustments would lower the OSBA’s revenue requirement cap from $79.240 million to $67.556 million.</w:t>
      </w:r>
      <w:r w:rsidR="00306801" w:rsidRPr="009C6D70">
        <w:t xml:space="preserve">  The OSBA points out that t</w:t>
      </w:r>
      <w:r w:rsidRPr="009C6D70">
        <w:t>he Settlement revenue requirement of $45.7 million is well below the “cap” proposed by the OSBA.</w:t>
      </w:r>
      <w:r w:rsidR="00306801" w:rsidRPr="009C6D70">
        <w:t xml:space="preserve">  OSBA St. 3, p. 5</w:t>
      </w:r>
      <w:r w:rsidR="00B77E31" w:rsidRPr="009C6D70">
        <w:t xml:space="preserve">; OSBA St. in Support, pp. 4-5.   </w:t>
      </w:r>
    </w:p>
    <w:p w:rsidR="00B77E31" w:rsidRPr="009C6D70" w:rsidRDefault="00B77E31" w:rsidP="00306801">
      <w:pPr>
        <w:spacing w:line="360" w:lineRule="auto"/>
        <w:ind w:firstLine="1440"/>
      </w:pPr>
    </w:p>
    <w:p w:rsidR="00B77E31" w:rsidRPr="009C6D70" w:rsidRDefault="00B77E31" w:rsidP="00786812">
      <w:pPr>
        <w:spacing w:line="360" w:lineRule="auto"/>
        <w:ind w:firstLine="720"/>
      </w:pPr>
      <w:r w:rsidRPr="009C6D70">
        <w:t>2.</w:t>
      </w:r>
      <w:r w:rsidRPr="009C6D70">
        <w:tab/>
      </w:r>
      <w:r w:rsidRPr="009C6D70">
        <w:rPr>
          <w:u w:val="single"/>
        </w:rPr>
        <w:t>Rate Schedules</w:t>
      </w:r>
    </w:p>
    <w:p w:rsidR="00B77E31" w:rsidRPr="009C6D70" w:rsidRDefault="00B77E31" w:rsidP="00306801">
      <w:pPr>
        <w:spacing w:line="360" w:lineRule="auto"/>
        <w:ind w:firstLine="1440"/>
      </w:pPr>
    </w:p>
    <w:p w:rsidR="003A32DF" w:rsidRDefault="00B77E31" w:rsidP="00B77E31">
      <w:pPr>
        <w:spacing w:line="360" w:lineRule="auto"/>
        <w:ind w:firstLine="1440"/>
      </w:pPr>
      <w:r w:rsidRPr="009C6D70">
        <w:t xml:space="preserve">According to the OSBA, </w:t>
      </w:r>
      <w:r w:rsidR="00E84480" w:rsidRPr="009C6D70">
        <w:t xml:space="preserve">Duquesne </w:t>
      </w:r>
      <w:r w:rsidRPr="009C6D70">
        <w:t xml:space="preserve">currently </w:t>
      </w:r>
      <w:r w:rsidR="00E84480" w:rsidRPr="009C6D70">
        <w:t xml:space="preserve">serves over 97% of its customers on three rate schedules, </w:t>
      </w:r>
      <w:r w:rsidR="00E84480" w:rsidRPr="009C6D70">
        <w:rPr>
          <w:i/>
        </w:rPr>
        <w:t>i.e.</w:t>
      </w:r>
      <w:r w:rsidR="00E84480" w:rsidRPr="009C6D70">
        <w:t>, Rate RS-Residential Service, Rate RH-Residential Service Heating, and Rate GS/GM-General Service Small and Medium.</w:t>
      </w:r>
      <w:r w:rsidRPr="009C6D70">
        <w:t xml:space="preserve">  OSBA St. 1, p. 3.  </w:t>
      </w:r>
      <w:r w:rsidR="00E84480" w:rsidRPr="009C6D70">
        <w:t xml:space="preserve">In its filing, Duquesne </w:t>
      </w:r>
    </w:p>
    <w:p w:rsidR="003A32DF" w:rsidRDefault="003A32DF">
      <w:r>
        <w:br w:type="page"/>
      </w:r>
    </w:p>
    <w:p w:rsidR="00E84480" w:rsidRPr="009C6D70" w:rsidRDefault="00E84480" w:rsidP="003A32DF">
      <w:pPr>
        <w:spacing w:line="360" w:lineRule="auto"/>
      </w:pPr>
      <w:r w:rsidRPr="009C6D70">
        <w:lastRenderedPageBreak/>
        <w:t xml:space="preserve">proposed to split Rate GS/GM into three rate schedules: </w:t>
      </w:r>
      <w:r w:rsidR="00805519">
        <w:t xml:space="preserve"> </w:t>
      </w:r>
      <w:r w:rsidRPr="009C6D70">
        <w:t xml:space="preserve">a) Rate GS, which will be available to non-demand metered general service customers; b) Rate GM (&lt; 25 kW), which will be available to demand metered general service customers with monthly demands less than 25 kilowatts; and c) Rate GM (≥ 25 kW), which will be available to demand metered general service customers with monthly demands greater than or equal to 25 kilowatts.  </w:t>
      </w:r>
      <w:r w:rsidR="00F90A6B" w:rsidRPr="009C6D70">
        <w:t>T</w:t>
      </w:r>
      <w:r w:rsidRPr="009C6D70">
        <w:t>he OSBA agrees that the Company’s proposed split of GS/GM is appropriate.</w:t>
      </w:r>
      <w:r w:rsidR="00F90A6B" w:rsidRPr="009C6D70">
        <w:t xml:space="preserve">  OSBA St. 1, p. 3; OSBA St. in Support, p.</w:t>
      </w:r>
      <w:r w:rsidR="00786812">
        <w:t> </w:t>
      </w:r>
      <w:r w:rsidR="00F90A6B" w:rsidRPr="009C6D70">
        <w:t xml:space="preserve">5.  </w:t>
      </w:r>
    </w:p>
    <w:p w:rsidR="00F90A6B" w:rsidRPr="009C6D70" w:rsidRDefault="00F90A6B" w:rsidP="00B77E31">
      <w:pPr>
        <w:spacing w:line="360" w:lineRule="auto"/>
        <w:ind w:firstLine="1440"/>
      </w:pPr>
    </w:p>
    <w:p w:rsidR="00F90A6B" w:rsidRPr="009C6D70" w:rsidRDefault="00F90A6B" w:rsidP="00786812">
      <w:pPr>
        <w:spacing w:line="360" w:lineRule="auto"/>
        <w:ind w:firstLine="720"/>
      </w:pPr>
      <w:r w:rsidRPr="009C6D70">
        <w:t>3.</w:t>
      </w:r>
      <w:r w:rsidRPr="009C6D70">
        <w:tab/>
      </w:r>
      <w:r w:rsidRPr="009C6D70">
        <w:rPr>
          <w:u w:val="single"/>
        </w:rPr>
        <w:t>Distribution Revenue Allocation</w:t>
      </w:r>
    </w:p>
    <w:p w:rsidR="00F90A6B" w:rsidRPr="009C6D70" w:rsidRDefault="00F90A6B" w:rsidP="00B77E31">
      <w:pPr>
        <w:spacing w:line="360" w:lineRule="auto"/>
        <w:ind w:firstLine="1440"/>
      </w:pPr>
    </w:p>
    <w:p w:rsidR="00F90A6B" w:rsidRPr="009C6D70" w:rsidRDefault="00F90A6B" w:rsidP="00AF5CE0">
      <w:pPr>
        <w:spacing w:line="360" w:lineRule="auto"/>
        <w:ind w:firstLine="1440"/>
      </w:pPr>
      <w:r w:rsidRPr="009C6D70">
        <w:t>In its filing, Duquesne proposed a revenue allocation that purportedly moved all classes closer to cost of service as measured by the class cost of service indicators.</w:t>
      </w:r>
      <w:r w:rsidR="00AF5CE0" w:rsidRPr="009C6D70">
        <w:t xml:space="preserve">  Duquesne Light St</w:t>
      </w:r>
      <w:r w:rsidR="008E0FA9" w:rsidRPr="009C6D70">
        <w:t>.</w:t>
      </w:r>
      <w:r w:rsidR="00AF5CE0" w:rsidRPr="009C6D70">
        <w:t xml:space="preserve"> 14, pp. 5-6.  </w:t>
      </w:r>
      <w:r w:rsidRPr="009C6D70">
        <w:t xml:space="preserve">However, </w:t>
      </w:r>
      <w:r w:rsidR="008E0FA9" w:rsidRPr="009C6D70">
        <w:t xml:space="preserve">according to OSBA witness </w:t>
      </w:r>
      <w:r w:rsidRPr="009C6D70">
        <w:t>Kalcic</w:t>
      </w:r>
      <w:r w:rsidR="008E0FA9" w:rsidRPr="009C6D70">
        <w:t xml:space="preserve">, </w:t>
      </w:r>
      <w:r w:rsidRPr="009C6D70">
        <w:t>Duquesne’s proposed revenue allocation was problematic, in part because the degree of movement (towards cost of service) varied by rate class.</w:t>
      </w:r>
      <w:r w:rsidR="00AF5CE0" w:rsidRPr="009C6D70">
        <w:t xml:space="preserve">  OSBA St. 1, p. 6.  </w:t>
      </w:r>
      <w:r w:rsidRPr="009C6D70">
        <w:t>Additionally, Mr. Kalcic noted that Duquesne’s initial proposal would have resulted in some classes (Rates RH and RA) receiving distribution increases which equate to 1.75 times the requested system average increase in distribution rate revenue, which exceeds the typical limit of 1.5 times the system average increase as suggested by traditional customer impact guidelines.</w:t>
      </w:r>
      <w:r w:rsidR="00AF5CE0" w:rsidRPr="009C6D70">
        <w:t xml:space="preserve">  OSBA St. 1, p. 7; OSBA St. in Support, pp. 5-6.</w:t>
      </w:r>
    </w:p>
    <w:p w:rsidR="008E0FA9" w:rsidRPr="009C6D70" w:rsidRDefault="008E0FA9" w:rsidP="00AF5CE0">
      <w:pPr>
        <w:spacing w:line="360" w:lineRule="auto"/>
        <w:ind w:firstLine="1440"/>
      </w:pPr>
    </w:p>
    <w:p w:rsidR="003A32DF" w:rsidRDefault="008E0FA9" w:rsidP="008E0FA9">
      <w:pPr>
        <w:spacing w:line="360" w:lineRule="auto"/>
        <w:ind w:firstLine="1440"/>
      </w:pPr>
      <w:r w:rsidRPr="009C6D70">
        <w:t xml:space="preserve">The OSBA </w:t>
      </w:r>
      <w:r w:rsidR="00B003A5" w:rsidRPr="009C6D70">
        <w:t>proposed an alternative allocation of the distribution rate increase at the Company’s full revenue requirement i</w:t>
      </w:r>
      <w:r w:rsidR="00F90A6B" w:rsidRPr="009C6D70">
        <w:t>n an effort to move all classes closer to cost and to minimize rate shock.  Mr. Kalcic began by assigning each class its cost-based increase calculated by using the Company’s COSS.  He then adjusted those results to prevent any class from receiving an increase that was greater than 1.5 times the system average increase and to prevent any class from receiving a rate decrease.</w:t>
      </w:r>
      <w:r w:rsidR="00B003A5" w:rsidRPr="009C6D70">
        <w:t xml:space="preserve">  OSBA St. 1, p. 8.</w:t>
      </w:r>
      <w:r w:rsidR="00F90A6B" w:rsidRPr="009C6D70">
        <w:t xml:space="preserve">  In rebuttal testimony, the Company revised its COSS to reflect certain modifications and corrections.</w:t>
      </w:r>
      <w:r w:rsidR="00B003A5" w:rsidRPr="009C6D70">
        <w:t xml:space="preserve">  Duquesne Light St. 13R, p. 2.</w:t>
      </w:r>
      <w:r w:rsidR="00F90A6B" w:rsidRPr="009C6D70">
        <w:t xml:space="preserve">  </w:t>
      </w:r>
      <w:r w:rsidR="00B003A5" w:rsidRPr="009C6D70">
        <w:t>In s</w:t>
      </w:r>
      <w:r w:rsidR="00F90A6B" w:rsidRPr="009C6D70">
        <w:t xml:space="preserve">urrebuttal, Mr. Kalcic updated his revenue allocation recommendation to reflect the Company’s modifications to its COSS, but he applied the same parameters as he did </w:t>
      </w:r>
    </w:p>
    <w:p w:rsidR="003A32DF" w:rsidRDefault="003A32DF">
      <w:r>
        <w:br w:type="page"/>
      </w:r>
    </w:p>
    <w:p w:rsidR="00F90A6B" w:rsidRPr="009C6D70" w:rsidRDefault="00F90A6B" w:rsidP="003A32DF">
      <w:pPr>
        <w:spacing w:line="360" w:lineRule="auto"/>
      </w:pPr>
      <w:proofErr w:type="gramStart"/>
      <w:r w:rsidRPr="009C6D70">
        <w:lastRenderedPageBreak/>
        <w:t>in</w:t>
      </w:r>
      <w:proofErr w:type="gramEnd"/>
      <w:r w:rsidRPr="009C6D70">
        <w:t xml:space="preserve"> his direct testimony.  Mr. Kalcic’s updated alternative revenue allocation is set forth in Schedule BK-2S of his surrebuttal testimony.</w:t>
      </w:r>
    </w:p>
    <w:p w:rsidR="00037773" w:rsidRPr="009C6D70" w:rsidRDefault="00037773" w:rsidP="008E0FA9">
      <w:pPr>
        <w:spacing w:line="360" w:lineRule="auto"/>
        <w:ind w:firstLine="1440"/>
      </w:pPr>
    </w:p>
    <w:p w:rsidR="00F90A6B" w:rsidRPr="009C6D70" w:rsidRDefault="00037773" w:rsidP="00037773">
      <w:pPr>
        <w:spacing w:line="360" w:lineRule="auto"/>
        <w:ind w:firstLine="1440"/>
      </w:pPr>
      <w:r w:rsidRPr="009C6D70">
        <w:t xml:space="preserve">In its Statement in Support, the OSBA then provided four comparison tables.  </w:t>
      </w:r>
      <w:r w:rsidR="00F90A6B" w:rsidRPr="009C6D70">
        <w:t>Table 1 (below) displays the OSBA’s revenue allocation proposal for the small business classes at the Settlement revenue requirement of $45.7 million.</w:t>
      </w:r>
    </w:p>
    <w:p w:rsidR="00F90A6B" w:rsidRPr="009C6D70" w:rsidRDefault="00F90A6B" w:rsidP="00F90A6B">
      <w:pPr>
        <w:jc w:val="center"/>
        <w:rPr>
          <w:b/>
        </w:rPr>
      </w:pPr>
    </w:p>
    <w:p w:rsidR="00F90A6B" w:rsidRPr="009C6D70" w:rsidRDefault="00F90A6B" w:rsidP="00F90A6B">
      <w:pPr>
        <w:jc w:val="center"/>
        <w:rPr>
          <w:b/>
        </w:rPr>
      </w:pPr>
    </w:p>
    <w:p w:rsidR="00F90A6B" w:rsidRPr="009C6D70" w:rsidRDefault="00F90A6B" w:rsidP="00F90A6B">
      <w:pPr>
        <w:jc w:val="center"/>
        <w:rPr>
          <w:b/>
        </w:rPr>
      </w:pPr>
      <w:r w:rsidRPr="009C6D70">
        <w:rPr>
          <w:b/>
        </w:rPr>
        <w:t>Table 1</w:t>
      </w:r>
    </w:p>
    <w:p w:rsidR="00F90A6B" w:rsidRPr="009C6D70" w:rsidRDefault="00F90A6B" w:rsidP="00F90A6B">
      <w:pPr>
        <w:jc w:val="center"/>
      </w:pPr>
      <w:r w:rsidRPr="009C6D70">
        <w:t>OSBA Recommended Increases at</w:t>
      </w:r>
    </w:p>
    <w:p w:rsidR="00F90A6B" w:rsidRPr="009C6D70" w:rsidRDefault="00F90A6B" w:rsidP="00F90A6B">
      <w:pPr>
        <w:jc w:val="center"/>
      </w:pPr>
      <w:r w:rsidRPr="009C6D70">
        <w:t>Settlement Revenue Level</w:t>
      </w:r>
    </w:p>
    <w:p w:rsidR="00F90A6B" w:rsidRPr="009C6D70" w:rsidRDefault="00F90A6B" w:rsidP="00F90A6B">
      <w:pPr>
        <w:jc w:val="center"/>
      </w:pPr>
      <w:r w:rsidRPr="009C6D70">
        <w:t>($000)</w:t>
      </w:r>
    </w:p>
    <w:p w:rsidR="00F90A6B" w:rsidRPr="009C6D70" w:rsidRDefault="00F90A6B" w:rsidP="00F90A6B"/>
    <w:tbl>
      <w:tblPr>
        <w:tblW w:w="0" w:type="auto"/>
        <w:jc w:val="center"/>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070"/>
        <w:gridCol w:w="1440"/>
        <w:gridCol w:w="1710"/>
        <w:gridCol w:w="1530"/>
      </w:tblGrid>
      <w:tr w:rsidR="00F90A6B" w:rsidRPr="009C6D70" w:rsidTr="00732658">
        <w:trPr>
          <w:jc w:val="center"/>
        </w:trPr>
        <w:tc>
          <w:tcPr>
            <w:tcW w:w="2070" w:type="dxa"/>
          </w:tcPr>
          <w:p w:rsidR="00F90A6B" w:rsidRPr="009C6D70" w:rsidRDefault="00F90A6B" w:rsidP="00732658"/>
          <w:p w:rsidR="00F90A6B" w:rsidRPr="009C6D70" w:rsidRDefault="00F90A6B" w:rsidP="00732658"/>
          <w:p w:rsidR="00F90A6B" w:rsidRPr="009C6D70" w:rsidRDefault="00F90A6B" w:rsidP="00732658">
            <w:r w:rsidRPr="009C6D70">
              <w:t>Class</w:t>
            </w:r>
          </w:p>
        </w:tc>
        <w:tc>
          <w:tcPr>
            <w:tcW w:w="1440" w:type="dxa"/>
          </w:tcPr>
          <w:p w:rsidR="00F90A6B" w:rsidRPr="009C6D70" w:rsidRDefault="00F90A6B" w:rsidP="00732658"/>
          <w:p w:rsidR="00F90A6B" w:rsidRPr="009C6D70" w:rsidRDefault="00F90A6B" w:rsidP="00732658">
            <w:pPr>
              <w:jc w:val="center"/>
            </w:pPr>
            <w:r w:rsidRPr="009C6D70">
              <w:t>Present Revenue</w:t>
            </w:r>
          </w:p>
        </w:tc>
        <w:tc>
          <w:tcPr>
            <w:tcW w:w="1710" w:type="dxa"/>
          </w:tcPr>
          <w:p w:rsidR="00F90A6B" w:rsidRPr="009C6D70" w:rsidRDefault="00F90A6B" w:rsidP="00732658">
            <w:pPr>
              <w:jc w:val="center"/>
            </w:pPr>
            <w:r w:rsidRPr="009C6D70">
              <w:t>OSBA Recommended Increase 1/</w:t>
            </w:r>
          </w:p>
        </w:tc>
        <w:tc>
          <w:tcPr>
            <w:tcW w:w="1530" w:type="dxa"/>
          </w:tcPr>
          <w:p w:rsidR="00F90A6B" w:rsidRPr="009C6D70" w:rsidRDefault="00F90A6B" w:rsidP="00732658">
            <w:pPr>
              <w:jc w:val="center"/>
            </w:pPr>
          </w:p>
          <w:p w:rsidR="00F90A6B" w:rsidRPr="009C6D70" w:rsidRDefault="00F90A6B" w:rsidP="00732658">
            <w:pPr>
              <w:jc w:val="center"/>
            </w:pPr>
            <w:r w:rsidRPr="009C6D70">
              <w:t>Percentage Increase</w:t>
            </w:r>
          </w:p>
        </w:tc>
      </w:tr>
      <w:tr w:rsidR="00F90A6B" w:rsidRPr="009C6D70" w:rsidTr="00732658">
        <w:trPr>
          <w:jc w:val="center"/>
        </w:trPr>
        <w:tc>
          <w:tcPr>
            <w:tcW w:w="2070" w:type="dxa"/>
          </w:tcPr>
          <w:p w:rsidR="00F90A6B" w:rsidRPr="009C6D70" w:rsidRDefault="00F90A6B" w:rsidP="00732658">
            <w:r w:rsidRPr="009C6D70">
              <w:t>GS</w:t>
            </w:r>
          </w:p>
        </w:tc>
        <w:tc>
          <w:tcPr>
            <w:tcW w:w="1440" w:type="dxa"/>
          </w:tcPr>
          <w:p w:rsidR="00F90A6B" w:rsidRPr="009C6D70" w:rsidRDefault="00BE16EE" w:rsidP="00732658">
            <w:pPr>
              <w:jc w:val="center"/>
            </w:pPr>
            <w:r>
              <w:t xml:space="preserve">  </w:t>
            </w:r>
            <w:r w:rsidR="00F90A6B" w:rsidRPr="009C6D70">
              <w:t>$5,512</w:t>
            </w:r>
          </w:p>
        </w:tc>
        <w:tc>
          <w:tcPr>
            <w:tcW w:w="1710" w:type="dxa"/>
          </w:tcPr>
          <w:p w:rsidR="00F90A6B" w:rsidRPr="009C6D70" w:rsidRDefault="00F90A6B" w:rsidP="00732658">
            <w:pPr>
              <w:jc w:val="center"/>
            </w:pPr>
            <w:r w:rsidRPr="009C6D70">
              <w:t>$1,012</w:t>
            </w:r>
          </w:p>
        </w:tc>
        <w:tc>
          <w:tcPr>
            <w:tcW w:w="1530" w:type="dxa"/>
          </w:tcPr>
          <w:p w:rsidR="00F90A6B" w:rsidRPr="009C6D70" w:rsidRDefault="00F90A6B" w:rsidP="00732658">
            <w:pPr>
              <w:jc w:val="center"/>
            </w:pPr>
            <w:r w:rsidRPr="009C6D70">
              <w:t>18.4%</w:t>
            </w:r>
          </w:p>
        </w:tc>
      </w:tr>
      <w:tr w:rsidR="00F90A6B" w:rsidRPr="009C6D70" w:rsidTr="00732658">
        <w:trPr>
          <w:jc w:val="center"/>
        </w:trPr>
        <w:tc>
          <w:tcPr>
            <w:tcW w:w="2070" w:type="dxa"/>
          </w:tcPr>
          <w:p w:rsidR="00F90A6B" w:rsidRPr="009C6D70" w:rsidRDefault="00F90A6B" w:rsidP="00732658">
            <w:r w:rsidRPr="009C6D70">
              <w:t>GM&lt;25 kW</w:t>
            </w:r>
          </w:p>
        </w:tc>
        <w:tc>
          <w:tcPr>
            <w:tcW w:w="1440" w:type="dxa"/>
          </w:tcPr>
          <w:p w:rsidR="00F90A6B" w:rsidRPr="009C6D70" w:rsidRDefault="00F90A6B" w:rsidP="00732658">
            <w:pPr>
              <w:jc w:val="center"/>
            </w:pPr>
            <w:r w:rsidRPr="009C6D70">
              <w:t>$21,099</w:t>
            </w:r>
          </w:p>
        </w:tc>
        <w:tc>
          <w:tcPr>
            <w:tcW w:w="1710" w:type="dxa"/>
          </w:tcPr>
          <w:p w:rsidR="00F90A6B" w:rsidRPr="009C6D70" w:rsidRDefault="00F90A6B" w:rsidP="00732658">
            <w:pPr>
              <w:jc w:val="center"/>
            </w:pPr>
            <w:r w:rsidRPr="009C6D70">
              <w:t>$3,873</w:t>
            </w:r>
          </w:p>
        </w:tc>
        <w:tc>
          <w:tcPr>
            <w:tcW w:w="1530" w:type="dxa"/>
          </w:tcPr>
          <w:p w:rsidR="00F90A6B" w:rsidRPr="009C6D70" w:rsidRDefault="00F90A6B" w:rsidP="00732658">
            <w:pPr>
              <w:jc w:val="center"/>
            </w:pPr>
            <w:r w:rsidRPr="009C6D70">
              <w:t>18.4%</w:t>
            </w:r>
          </w:p>
        </w:tc>
      </w:tr>
      <w:tr w:rsidR="00F90A6B" w:rsidRPr="009C6D70" w:rsidTr="00732658">
        <w:trPr>
          <w:jc w:val="center"/>
        </w:trPr>
        <w:tc>
          <w:tcPr>
            <w:tcW w:w="2070" w:type="dxa"/>
          </w:tcPr>
          <w:p w:rsidR="00F90A6B" w:rsidRPr="009C6D70" w:rsidRDefault="00F90A6B" w:rsidP="00732658">
            <w:r w:rsidRPr="009C6D70">
              <w:t>GM≥25 kW</w:t>
            </w:r>
          </w:p>
        </w:tc>
        <w:tc>
          <w:tcPr>
            <w:tcW w:w="1440" w:type="dxa"/>
          </w:tcPr>
          <w:p w:rsidR="00F90A6B" w:rsidRPr="009C6D70" w:rsidRDefault="00F90A6B" w:rsidP="00732658">
            <w:pPr>
              <w:jc w:val="center"/>
            </w:pPr>
            <w:r w:rsidRPr="009C6D70">
              <w:t>$50,036</w:t>
            </w:r>
          </w:p>
        </w:tc>
        <w:tc>
          <w:tcPr>
            <w:tcW w:w="1710" w:type="dxa"/>
          </w:tcPr>
          <w:p w:rsidR="00F90A6B" w:rsidRPr="009C6D70" w:rsidRDefault="00F90A6B" w:rsidP="00732658">
            <w:pPr>
              <w:jc w:val="center"/>
            </w:pPr>
            <w:r w:rsidRPr="009C6D70">
              <w:t>$3,868</w:t>
            </w:r>
          </w:p>
        </w:tc>
        <w:tc>
          <w:tcPr>
            <w:tcW w:w="1530" w:type="dxa"/>
          </w:tcPr>
          <w:p w:rsidR="00F90A6B" w:rsidRPr="009C6D70" w:rsidRDefault="00BE16EE" w:rsidP="00732658">
            <w:pPr>
              <w:jc w:val="center"/>
            </w:pPr>
            <w:r>
              <w:t xml:space="preserve">  </w:t>
            </w:r>
            <w:r w:rsidR="00F90A6B" w:rsidRPr="009C6D70">
              <w:t>7.7%</w:t>
            </w:r>
          </w:p>
        </w:tc>
      </w:tr>
      <w:tr w:rsidR="00F90A6B" w:rsidRPr="009C6D70" w:rsidTr="00732658">
        <w:trPr>
          <w:jc w:val="center"/>
        </w:trPr>
        <w:tc>
          <w:tcPr>
            <w:tcW w:w="2070" w:type="dxa"/>
          </w:tcPr>
          <w:p w:rsidR="00F90A6B" w:rsidRPr="009C6D70" w:rsidRDefault="00F90A6B" w:rsidP="00732658">
            <w:r w:rsidRPr="009C6D70">
              <w:t>GMH</w:t>
            </w:r>
          </w:p>
        </w:tc>
        <w:tc>
          <w:tcPr>
            <w:tcW w:w="1440" w:type="dxa"/>
          </w:tcPr>
          <w:p w:rsidR="00F90A6B" w:rsidRPr="009C6D70" w:rsidRDefault="00BE16EE" w:rsidP="00732658">
            <w:pPr>
              <w:jc w:val="center"/>
            </w:pPr>
            <w:r>
              <w:t xml:space="preserve">  </w:t>
            </w:r>
            <w:r w:rsidR="00F90A6B" w:rsidRPr="009C6D70">
              <w:t>$7,145</w:t>
            </w:r>
          </w:p>
        </w:tc>
        <w:tc>
          <w:tcPr>
            <w:tcW w:w="1710" w:type="dxa"/>
          </w:tcPr>
          <w:p w:rsidR="00F90A6B" w:rsidRPr="009C6D70" w:rsidRDefault="00F90A6B" w:rsidP="00732658">
            <w:pPr>
              <w:jc w:val="center"/>
            </w:pPr>
            <w:r w:rsidRPr="009C6D70">
              <w:t>$1,311</w:t>
            </w:r>
          </w:p>
        </w:tc>
        <w:tc>
          <w:tcPr>
            <w:tcW w:w="1530" w:type="dxa"/>
          </w:tcPr>
          <w:p w:rsidR="00F90A6B" w:rsidRPr="009C6D70" w:rsidRDefault="00F90A6B" w:rsidP="00732658">
            <w:pPr>
              <w:jc w:val="center"/>
            </w:pPr>
            <w:r w:rsidRPr="009C6D70">
              <w:t>18.3%</w:t>
            </w:r>
          </w:p>
        </w:tc>
      </w:tr>
    </w:tbl>
    <w:p w:rsidR="00F90A6B" w:rsidRPr="009C6D70" w:rsidRDefault="00F90A6B" w:rsidP="00F90A6B">
      <w:pPr>
        <w:tabs>
          <w:tab w:val="left" w:pos="720"/>
        </w:tabs>
      </w:pPr>
      <w:r w:rsidRPr="009C6D70">
        <w:tab/>
      </w:r>
      <w:r w:rsidRPr="009C6D70">
        <w:tab/>
        <w:t>Source:  Schedule BK-2S.</w:t>
      </w:r>
    </w:p>
    <w:p w:rsidR="00F90A6B" w:rsidRPr="009C6D70" w:rsidRDefault="00F90A6B" w:rsidP="00F90A6B">
      <w:pPr>
        <w:tabs>
          <w:tab w:val="left" w:pos="720"/>
        </w:tabs>
      </w:pPr>
      <w:r w:rsidRPr="009C6D70">
        <w:tab/>
      </w:r>
      <w:r w:rsidRPr="009C6D70">
        <w:tab/>
        <w:t>1/  Increase derived by scaling back column 2 of Sch. BK-2S by the ratio of</w:t>
      </w:r>
    </w:p>
    <w:p w:rsidR="00F90A6B" w:rsidRPr="009C6D70" w:rsidRDefault="00F90A6B" w:rsidP="00F90A6B">
      <w:pPr>
        <w:tabs>
          <w:tab w:val="left" w:pos="720"/>
        </w:tabs>
      </w:pPr>
      <w:r w:rsidRPr="009C6D70">
        <w:tab/>
      </w:r>
      <w:r w:rsidRPr="009C6D70">
        <w:tab/>
        <w:t xml:space="preserve">     $45.700 divided by $75.616.</w:t>
      </w:r>
    </w:p>
    <w:p w:rsidR="00A91C93" w:rsidRPr="009C6D70" w:rsidRDefault="00A91C93" w:rsidP="00A91C93">
      <w:pPr>
        <w:spacing w:line="360" w:lineRule="auto"/>
      </w:pPr>
    </w:p>
    <w:p w:rsidR="00A91C93" w:rsidRPr="009C6D70" w:rsidRDefault="00A91C93" w:rsidP="00317481">
      <w:pPr>
        <w:spacing w:line="360" w:lineRule="auto"/>
      </w:pPr>
      <w:r w:rsidRPr="009C6D70">
        <w:t>OSBA St. in Support, p. 7.</w:t>
      </w:r>
    </w:p>
    <w:p w:rsidR="00A91C93" w:rsidRPr="009C6D70" w:rsidRDefault="00A91C93" w:rsidP="00317481">
      <w:pPr>
        <w:spacing w:line="360" w:lineRule="auto"/>
      </w:pPr>
    </w:p>
    <w:p w:rsidR="00F90A6B" w:rsidRPr="009C6D70" w:rsidRDefault="00037773" w:rsidP="00317481">
      <w:pPr>
        <w:spacing w:line="360" w:lineRule="auto"/>
        <w:ind w:firstLine="1440"/>
      </w:pPr>
      <w:r w:rsidRPr="009C6D70">
        <w:t xml:space="preserve">According to the OSBA, </w:t>
      </w:r>
      <w:r w:rsidR="00F90A6B" w:rsidRPr="009C6D70">
        <w:t>Table 2 (below) displays Duquesne’s litigation position regarding the allocation of the Settlement revenue requirement among the small business classes.</w:t>
      </w:r>
    </w:p>
    <w:p w:rsidR="00786812" w:rsidRDefault="00786812" w:rsidP="00F90A6B">
      <w:pPr>
        <w:jc w:val="center"/>
        <w:rPr>
          <w:b/>
        </w:rPr>
      </w:pPr>
    </w:p>
    <w:p w:rsidR="00317481" w:rsidRDefault="00317481">
      <w:pPr>
        <w:rPr>
          <w:b/>
        </w:rPr>
      </w:pPr>
      <w:r>
        <w:rPr>
          <w:b/>
        </w:rPr>
        <w:br w:type="page"/>
      </w:r>
    </w:p>
    <w:p w:rsidR="00F90A6B" w:rsidRPr="009C6D70" w:rsidRDefault="00F90A6B" w:rsidP="00F90A6B">
      <w:pPr>
        <w:jc w:val="center"/>
        <w:rPr>
          <w:b/>
        </w:rPr>
      </w:pPr>
      <w:r w:rsidRPr="009C6D70">
        <w:rPr>
          <w:b/>
        </w:rPr>
        <w:lastRenderedPageBreak/>
        <w:t>Table 2</w:t>
      </w:r>
    </w:p>
    <w:p w:rsidR="00F90A6B" w:rsidRPr="009C6D70" w:rsidRDefault="00F90A6B" w:rsidP="00F90A6B">
      <w:pPr>
        <w:jc w:val="center"/>
      </w:pPr>
      <w:r w:rsidRPr="009C6D70">
        <w:t>Duquesne Proposed Increases at</w:t>
      </w:r>
    </w:p>
    <w:p w:rsidR="00F90A6B" w:rsidRPr="009C6D70" w:rsidRDefault="00F90A6B" w:rsidP="00F90A6B">
      <w:pPr>
        <w:jc w:val="center"/>
      </w:pPr>
      <w:r w:rsidRPr="009C6D70">
        <w:t>Settlement Revenue Level</w:t>
      </w:r>
    </w:p>
    <w:p w:rsidR="00F90A6B" w:rsidRPr="009C6D70" w:rsidRDefault="00F90A6B" w:rsidP="00F90A6B">
      <w:pPr>
        <w:jc w:val="center"/>
      </w:pPr>
      <w:r w:rsidRPr="009C6D70">
        <w:t>($000)</w:t>
      </w:r>
    </w:p>
    <w:p w:rsidR="00F90A6B" w:rsidRPr="009C6D70" w:rsidRDefault="00F90A6B" w:rsidP="00F90A6B"/>
    <w:tbl>
      <w:tblPr>
        <w:tblW w:w="0" w:type="auto"/>
        <w:jc w:val="center"/>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070"/>
        <w:gridCol w:w="1440"/>
        <w:gridCol w:w="1710"/>
        <w:gridCol w:w="1530"/>
      </w:tblGrid>
      <w:tr w:rsidR="00F90A6B" w:rsidRPr="009C6D70" w:rsidTr="00732658">
        <w:trPr>
          <w:jc w:val="center"/>
        </w:trPr>
        <w:tc>
          <w:tcPr>
            <w:tcW w:w="2070" w:type="dxa"/>
          </w:tcPr>
          <w:p w:rsidR="00F90A6B" w:rsidRPr="009C6D70" w:rsidRDefault="00F90A6B" w:rsidP="00732658"/>
          <w:p w:rsidR="00F90A6B" w:rsidRPr="009C6D70" w:rsidRDefault="00F90A6B" w:rsidP="00732658"/>
          <w:p w:rsidR="00F90A6B" w:rsidRPr="009C6D70" w:rsidRDefault="00F90A6B" w:rsidP="00732658">
            <w:r w:rsidRPr="009C6D70">
              <w:t>Class</w:t>
            </w:r>
          </w:p>
        </w:tc>
        <w:tc>
          <w:tcPr>
            <w:tcW w:w="1440" w:type="dxa"/>
          </w:tcPr>
          <w:p w:rsidR="00F90A6B" w:rsidRPr="009C6D70" w:rsidRDefault="00F90A6B" w:rsidP="00732658"/>
          <w:p w:rsidR="00F90A6B" w:rsidRPr="009C6D70" w:rsidRDefault="00F90A6B" w:rsidP="00732658">
            <w:pPr>
              <w:jc w:val="center"/>
            </w:pPr>
            <w:r w:rsidRPr="009C6D70">
              <w:t>Present Revenue</w:t>
            </w:r>
          </w:p>
        </w:tc>
        <w:tc>
          <w:tcPr>
            <w:tcW w:w="1710" w:type="dxa"/>
          </w:tcPr>
          <w:p w:rsidR="00F90A6B" w:rsidRPr="009C6D70" w:rsidRDefault="00F90A6B" w:rsidP="00732658">
            <w:pPr>
              <w:jc w:val="center"/>
            </w:pPr>
            <w:r w:rsidRPr="009C6D70">
              <w:t>Duquesne Proposed Increase 1/</w:t>
            </w:r>
          </w:p>
        </w:tc>
        <w:tc>
          <w:tcPr>
            <w:tcW w:w="1530" w:type="dxa"/>
          </w:tcPr>
          <w:p w:rsidR="00F90A6B" w:rsidRPr="009C6D70" w:rsidRDefault="00F90A6B" w:rsidP="00732658">
            <w:pPr>
              <w:jc w:val="center"/>
            </w:pPr>
          </w:p>
          <w:p w:rsidR="00F90A6B" w:rsidRPr="009C6D70" w:rsidRDefault="00F90A6B" w:rsidP="00732658">
            <w:pPr>
              <w:jc w:val="center"/>
            </w:pPr>
            <w:r w:rsidRPr="009C6D70">
              <w:t>Percentage Increase</w:t>
            </w:r>
          </w:p>
        </w:tc>
      </w:tr>
      <w:tr w:rsidR="00F90A6B" w:rsidRPr="009C6D70" w:rsidTr="00732658">
        <w:trPr>
          <w:jc w:val="center"/>
        </w:trPr>
        <w:tc>
          <w:tcPr>
            <w:tcW w:w="2070" w:type="dxa"/>
          </w:tcPr>
          <w:p w:rsidR="00F90A6B" w:rsidRPr="009C6D70" w:rsidRDefault="00F90A6B" w:rsidP="00732658">
            <w:r w:rsidRPr="009C6D70">
              <w:t>GS</w:t>
            </w:r>
          </w:p>
        </w:tc>
        <w:tc>
          <w:tcPr>
            <w:tcW w:w="1440" w:type="dxa"/>
          </w:tcPr>
          <w:p w:rsidR="00F90A6B" w:rsidRPr="009C6D70" w:rsidRDefault="00317481" w:rsidP="00732658">
            <w:pPr>
              <w:jc w:val="center"/>
            </w:pPr>
            <w:r>
              <w:t xml:space="preserve">  </w:t>
            </w:r>
            <w:r w:rsidR="00F90A6B" w:rsidRPr="009C6D70">
              <w:t>$5,512</w:t>
            </w:r>
          </w:p>
        </w:tc>
        <w:tc>
          <w:tcPr>
            <w:tcW w:w="1710" w:type="dxa"/>
          </w:tcPr>
          <w:p w:rsidR="00F90A6B" w:rsidRPr="009C6D70" w:rsidRDefault="00F90A6B" w:rsidP="00732658">
            <w:pPr>
              <w:jc w:val="center"/>
            </w:pPr>
            <w:r w:rsidRPr="009C6D70">
              <w:t>$1,025</w:t>
            </w:r>
          </w:p>
        </w:tc>
        <w:tc>
          <w:tcPr>
            <w:tcW w:w="1530" w:type="dxa"/>
          </w:tcPr>
          <w:p w:rsidR="00F90A6B" w:rsidRPr="009C6D70" w:rsidRDefault="00F90A6B" w:rsidP="00732658">
            <w:pPr>
              <w:jc w:val="center"/>
            </w:pPr>
            <w:r w:rsidRPr="009C6D70">
              <w:t>18.6%</w:t>
            </w:r>
          </w:p>
        </w:tc>
      </w:tr>
      <w:tr w:rsidR="00F90A6B" w:rsidRPr="009C6D70" w:rsidTr="00732658">
        <w:trPr>
          <w:jc w:val="center"/>
        </w:trPr>
        <w:tc>
          <w:tcPr>
            <w:tcW w:w="2070" w:type="dxa"/>
          </w:tcPr>
          <w:p w:rsidR="00F90A6B" w:rsidRPr="009C6D70" w:rsidRDefault="00F90A6B" w:rsidP="00732658">
            <w:r w:rsidRPr="009C6D70">
              <w:t>GM&lt;25 kW</w:t>
            </w:r>
          </w:p>
        </w:tc>
        <w:tc>
          <w:tcPr>
            <w:tcW w:w="1440" w:type="dxa"/>
          </w:tcPr>
          <w:p w:rsidR="00F90A6B" w:rsidRPr="009C6D70" w:rsidRDefault="00F90A6B" w:rsidP="00732658">
            <w:pPr>
              <w:jc w:val="center"/>
            </w:pPr>
            <w:r w:rsidRPr="009C6D70">
              <w:t>$21,099</w:t>
            </w:r>
          </w:p>
        </w:tc>
        <w:tc>
          <w:tcPr>
            <w:tcW w:w="1710" w:type="dxa"/>
          </w:tcPr>
          <w:p w:rsidR="00F90A6B" w:rsidRPr="009C6D70" w:rsidRDefault="00F90A6B" w:rsidP="00732658">
            <w:pPr>
              <w:jc w:val="center"/>
            </w:pPr>
            <w:r w:rsidRPr="009C6D70">
              <w:t>$3,924</w:t>
            </w:r>
          </w:p>
        </w:tc>
        <w:tc>
          <w:tcPr>
            <w:tcW w:w="1530" w:type="dxa"/>
          </w:tcPr>
          <w:p w:rsidR="00F90A6B" w:rsidRPr="009C6D70" w:rsidRDefault="00F90A6B" w:rsidP="00732658">
            <w:pPr>
              <w:jc w:val="center"/>
            </w:pPr>
            <w:r w:rsidRPr="009C6D70">
              <w:t>18.6%</w:t>
            </w:r>
          </w:p>
        </w:tc>
      </w:tr>
      <w:tr w:rsidR="00F90A6B" w:rsidRPr="009C6D70" w:rsidTr="00732658">
        <w:trPr>
          <w:jc w:val="center"/>
        </w:trPr>
        <w:tc>
          <w:tcPr>
            <w:tcW w:w="2070" w:type="dxa"/>
          </w:tcPr>
          <w:p w:rsidR="00F90A6B" w:rsidRPr="009C6D70" w:rsidRDefault="00F90A6B" w:rsidP="00732658">
            <w:r w:rsidRPr="009C6D70">
              <w:t>GM≥25 kW</w:t>
            </w:r>
          </w:p>
        </w:tc>
        <w:tc>
          <w:tcPr>
            <w:tcW w:w="1440" w:type="dxa"/>
          </w:tcPr>
          <w:p w:rsidR="00F90A6B" w:rsidRPr="009C6D70" w:rsidRDefault="00F90A6B" w:rsidP="00732658">
            <w:pPr>
              <w:jc w:val="center"/>
            </w:pPr>
            <w:r w:rsidRPr="009C6D70">
              <w:t>$50,036</w:t>
            </w:r>
          </w:p>
        </w:tc>
        <w:tc>
          <w:tcPr>
            <w:tcW w:w="1710" w:type="dxa"/>
          </w:tcPr>
          <w:p w:rsidR="00F90A6B" w:rsidRPr="009C6D70" w:rsidRDefault="00F90A6B" w:rsidP="00732658">
            <w:pPr>
              <w:jc w:val="center"/>
            </w:pPr>
            <w:r w:rsidRPr="009C6D70">
              <w:t>$5,491</w:t>
            </w:r>
          </w:p>
        </w:tc>
        <w:tc>
          <w:tcPr>
            <w:tcW w:w="1530" w:type="dxa"/>
          </w:tcPr>
          <w:p w:rsidR="00F90A6B" w:rsidRPr="009C6D70" w:rsidRDefault="00F90A6B" w:rsidP="00732658">
            <w:pPr>
              <w:jc w:val="center"/>
            </w:pPr>
            <w:r w:rsidRPr="009C6D70">
              <w:t>11.0%</w:t>
            </w:r>
          </w:p>
        </w:tc>
      </w:tr>
      <w:tr w:rsidR="00F90A6B" w:rsidRPr="009C6D70" w:rsidTr="00732658">
        <w:trPr>
          <w:jc w:val="center"/>
        </w:trPr>
        <w:tc>
          <w:tcPr>
            <w:tcW w:w="2070" w:type="dxa"/>
          </w:tcPr>
          <w:p w:rsidR="00F90A6B" w:rsidRPr="009C6D70" w:rsidRDefault="00F90A6B" w:rsidP="00732658">
            <w:r w:rsidRPr="009C6D70">
              <w:t>GMH</w:t>
            </w:r>
          </w:p>
        </w:tc>
        <w:tc>
          <w:tcPr>
            <w:tcW w:w="1440" w:type="dxa"/>
          </w:tcPr>
          <w:p w:rsidR="00F90A6B" w:rsidRPr="009C6D70" w:rsidRDefault="00317481" w:rsidP="00732658">
            <w:pPr>
              <w:jc w:val="center"/>
            </w:pPr>
            <w:r>
              <w:t xml:space="preserve">  </w:t>
            </w:r>
            <w:r w:rsidR="00F90A6B" w:rsidRPr="009C6D70">
              <w:t>$7,145</w:t>
            </w:r>
          </w:p>
        </w:tc>
        <w:tc>
          <w:tcPr>
            <w:tcW w:w="1710" w:type="dxa"/>
          </w:tcPr>
          <w:p w:rsidR="00F90A6B" w:rsidRPr="009C6D70" w:rsidRDefault="00F90A6B" w:rsidP="00732658">
            <w:pPr>
              <w:jc w:val="center"/>
            </w:pPr>
            <w:r w:rsidRPr="009C6D70">
              <w:t>$1,154</w:t>
            </w:r>
          </w:p>
        </w:tc>
        <w:tc>
          <w:tcPr>
            <w:tcW w:w="1530" w:type="dxa"/>
          </w:tcPr>
          <w:p w:rsidR="00F90A6B" w:rsidRPr="009C6D70" w:rsidRDefault="00F90A6B" w:rsidP="00732658">
            <w:pPr>
              <w:jc w:val="center"/>
            </w:pPr>
            <w:r w:rsidRPr="009C6D70">
              <w:t>16.2%</w:t>
            </w:r>
          </w:p>
        </w:tc>
      </w:tr>
    </w:tbl>
    <w:p w:rsidR="00F90A6B" w:rsidRPr="009C6D70" w:rsidRDefault="00F90A6B" w:rsidP="00F90A6B">
      <w:pPr>
        <w:tabs>
          <w:tab w:val="left" w:pos="720"/>
        </w:tabs>
      </w:pPr>
      <w:r w:rsidRPr="009C6D70">
        <w:tab/>
      </w:r>
      <w:r w:rsidRPr="009C6D70">
        <w:tab/>
        <w:t>Source:  Schedules BK-1 &amp; BK-2S.</w:t>
      </w:r>
    </w:p>
    <w:p w:rsidR="00F90A6B" w:rsidRPr="009C6D70" w:rsidRDefault="00F90A6B" w:rsidP="00F90A6B">
      <w:pPr>
        <w:tabs>
          <w:tab w:val="left" w:pos="720"/>
        </w:tabs>
      </w:pPr>
      <w:r w:rsidRPr="009C6D70">
        <w:tab/>
      </w:r>
      <w:r w:rsidRPr="009C6D70">
        <w:tab/>
        <w:t>1/  Increase derived by scaling back column 2 of Sch. BK-1 by the ratio of</w:t>
      </w:r>
    </w:p>
    <w:p w:rsidR="00F90A6B" w:rsidRPr="009C6D70" w:rsidRDefault="00F90A6B" w:rsidP="00F90A6B">
      <w:pPr>
        <w:tabs>
          <w:tab w:val="left" w:pos="720"/>
        </w:tabs>
      </w:pPr>
      <w:r w:rsidRPr="009C6D70">
        <w:tab/>
      </w:r>
      <w:r w:rsidRPr="009C6D70">
        <w:tab/>
        <w:t xml:space="preserve">     $47.919 divided by $89.549, so that the Company’s proposed </w:t>
      </w:r>
      <w:r w:rsidRPr="009C6D70">
        <w:rPr>
          <w:i/>
        </w:rPr>
        <w:t>decreases</w:t>
      </w:r>
      <w:r w:rsidRPr="009C6D70">
        <w:t xml:space="preserve"> to </w:t>
      </w:r>
    </w:p>
    <w:p w:rsidR="00F90A6B" w:rsidRPr="009C6D70" w:rsidRDefault="00F90A6B" w:rsidP="00F90A6B">
      <w:pPr>
        <w:tabs>
          <w:tab w:val="left" w:pos="720"/>
        </w:tabs>
      </w:pPr>
      <w:r w:rsidRPr="009C6D70">
        <w:tab/>
      </w:r>
      <w:r w:rsidRPr="009C6D70">
        <w:tab/>
        <w:t xml:space="preserve">     Rates SE and SL remain unchanged.</w:t>
      </w:r>
    </w:p>
    <w:p w:rsidR="00F90A6B" w:rsidRPr="009C6D70" w:rsidRDefault="00F90A6B" w:rsidP="00F90A6B"/>
    <w:p w:rsidR="00A91C93" w:rsidRPr="009C6D70" w:rsidRDefault="00A91C93" w:rsidP="00A91C93">
      <w:pPr>
        <w:spacing w:line="360" w:lineRule="auto"/>
      </w:pPr>
      <w:r w:rsidRPr="009C6D70">
        <w:t>OSBA St. in Support, p. 7.</w:t>
      </w:r>
    </w:p>
    <w:p w:rsidR="00A91C93" w:rsidRPr="009C6D70" w:rsidRDefault="00A91C93" w:rsidP="00A91C93">
      <w:pPr>
        <w:spacing w:line="360" w:lineRule="auto"/>
      </w:pPr>
    </w:p>
    <w:p w:rsidR="00F90A6B" w:rsidRPr="009C6D70" w:rsidRDefault="00037773" w:rsidP="00037773">
      <w:pPr>
        <w:spacing w:line="360" w:lineRule="auto"/>
        <w:ind w:firstLine="1440"/>
        <w:rPr>
          <w:b/>
        </w:rPr>
      </w:pPr>
      <w:r w:rsidRPr="009C6D70">
        <w:t xml:space="preserve">According to the OSBA, </w:t>
      </w:r>
      <w:r w:rsidR="00F90A6B" w:rsidRPr="009C6D70">
        <w:t>Table 3 (below) compares the litigation positions of the OSBA and Duquesne to the Settlement revenue allocation on a dollar basis.</w:t>
      </w:r>
    </w:p>
    <w:p w:rsidR="00F90A6B" w:rsidRPr="009C6D70" w:rsidRDefault="00F90A6B" w:rsidP="00F90A6B">
      <w:pPr>
        <w:jc w:val="center"/>
        <w:rPr>
          <w:b/>
        </w:rPr>
      </w:pPr>
    </w:p>
    <w:p w:rsidR="00F90A6B" w:rsidRPr="009C6D70" w:rsidRDefault="00F90A6B" w:rsidP="00F90A6B">
      <w:pPr>
        <w:jc w:val="center"/>
        <w:rPr>
          <w:b/>
        </w:rPr>
      </w:pPr>
      <w:r w:rsidRPr="009C6D70">
        <w:rPr>
          <w:b/>
        </w:rPr>
        <w:t>Table 3</w:t>
      </w:r>
    </w:p>
    <w:p w:rsidR="00F90A6B" w:rsidRPr="009C6D70" w:rsidRDefault="00F90A6B" w:rsidP="00F90A6B">
      <w:pPr>
        <w:jc w:val="center"/>
      </w:pPr>
      <w:r w:rsidRPr="009C6D70">
        <w:t>Comparison of OSBA and Duquesne Litigation Positions</w:t>
      </w:r>
    </w:p>
    <w:p w:rsidR="00F90A6B" w:rsidRPr="009C6D70" w:rsidRDefault="00F90A6B" w:rsidP="00F90A6B">
      <w:pPr>
        <w:jc w:val="center"/>
      </w:pPr>
      <w:r w:rsidRPr="009C6D70">
        <w:t>to Settlement Increases</w:t>
      </w:r>
    </w:p>
    <w:p w:rsidR="00F90A6B" w:rsidRPr="009C6D70" w:rsidRDefault="00F90A6B" w:rsidP="00F90A6B">
      <w:pPr>
        <w:jc w:val="center"/>
      </w:pPr>
      <w:r w:rsidRPr="009C6D70">
        <w:t>($000)</w:t>
      </w:r>
    </w:p>
    <w:p w:rsidR="00F90A6B" w:rsidRPr="009C6D70" w:rsidRDefault="00F90A6B" w:rsidP="00F90A6B"/>
    <w:tbl>
      <w:tblPr>
        <w:tblW w:w="0" w:type="auto"/>
        <w:jc w:val="center"/>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070"/>
        <w:gridCol w:w="1656"/>
        <w:gridCol w:w="1710"/>
        <w:gridCol w:w="1530"/>
      </w:tblGrid>
      <w:tr w:rsidR="00F90A6B" w:rsidRPr="009C6D70" w:rsidTr="00732658">
        <w:trPr>
          <w:jc w:val="center"/>
        </w:trPr>
        <w:tc>
          <w:tcPr>
            <w:tcW w:w="2070" w:type="dxa"/>
          </w:tcPr>
          <w:p w:rsidR="00F90A6B" w:rsidRPr="009C6D70" w:rsidRDefault="00F90A6B" w:rsidP="00732658"/>
          <w:p w:rsidR="00F90A6B" w:rsidRPr="009C6D70" w:rsidRDefault="00F90A6B" w:rsidP="00732658"/>
          <w:p w:rsidR="00F90A6B" w:rsidRPr="009C6D70" w:rsidRDefault="00F90A6B" w:rsidP="00732658">
            <w:r w:rsidRPr="009C6D70">
              <w:t>Class</w:t>
            </w:r>
          </w:p>
        </w:tc>
        <w:tc>
          <w:tcPr>
            <w:tcW w:w="1656" w:type="dxa"/>
          </w:tcPr>
          <w:p w:rsidR="00F90A6B" w:rsidRPr="009C6D70" w:rsidRDefault="00F90A6B" w:rsidP="00732658"/>
          <w:p w:rsidR="00F90A6B" w:rsidRPr="009C6D70" w:rsidRDefault="00F90A6B" w:rsidP="00732658">
            <w:pPr>
              <w:jc w:val="center"/>
            </w:pPr>
            <w:r w:rsidRPr="009C6D70">
              <w:t>OSBA Recommended</w:t>
            </w:r>
          </w:p>
        </w:tc>
        <w:tc>
          <w:tcPr>
            <w:tcW w:w="1710" w:type="dxa"/>
          </w:tcPr>
          <w:p w:rsidR="00F90A6B" w:rsidRPr="009C6D70" w:rsidRDefault="00F90A6B" w:rsidP="00732658">
            <w:pPr>
              <w:jc w:val="center"/>
            </w:pPr>
          </w:p>
          <w:p w:rsidR="00F90A6B" w:rsidRPr="009C6D70" w:rsidRDefault="00F90A6B" w:rsidP="00732658">
            <w:pPr>
              <w:jc w:val="center"/>
            </w:pPr>
            <w:r w:rsidRPr="009C6D70">
              <w:t>Duquesne Proposed</w:t>
            </w:r>
          </w:p>
        </w:tc>
        <w:tc>
          <w:tcPr>
            <w:tcW w:w="1530" w:type="dxa"/>
          </w:tcPr>
          <w:p w:rsidR="00F90A6B" w:rsidRPr="009C6D70" w:rsidRDefault="00F90A6B" w:rsidP="00732658">
            <w:pPr>
              <w:jc w:val="center"/>
            </w:pPr>
          </w:p>
          <w:p w:rsidR="00F90A6B" w:rsidRPr="009C6D70" w:rsidRDefault="00F90A6B" w:rsidP="00732658">
            <w:pPr>
              <w:jc w:val="center"/>
            </w:pPr>
            <w:r w:rsidRPr="009C6D70">
              <w:t>Settlement Increase</w:t>
            </w:r>
          </w:p>
        </w:tc>
      </w:tr>
      <w:tr w:rsidR="00F90A6B" w:rsidRPr="009C6D70" w:rsidTr="00732658">
        <w:trPr>
          <w:jc w:val="center"/>
        </w:trPr>
        <w:tc>
          <w:tcPr>
            <w:tcW w:w="2070" w:type="dxa"/>
          </w:tcPr>
          <w:p w:rsidR="00F90A6B" w:rsidRPr="009C6D70" w:rsidRDefault="00F90A6B" w:rsidP="00732658">
            <w:r w:rsidRPr="009C6D70">
              <w:t>GS</w:t>
            </w:r>
          </w:p>
        </w:tc>
        <w:tc>
          <w:tcPr>
            <w:tcW w:w="1656" w:type="dxa"/>
          </w:tcPr>
          <w:p w:rsidR="00F90A6B" w:rsidRPr="009C6D70" w:rsidRDefault="00F90A6B" w:rsidP="00732658">
            <w:pPr>
              <w:jc w:val="center"/>
            </w:pPr>
            <w:r w:rsidRPr="009C6D70">
              <w:t>$1,012</w:t>
            </w:r>
          </w:p>
        </w:tc>
        <w:tc>
          <w:tcPr>
            <w:tcW w:w="1710" w:type="dxa"/>
          </w:tcPr>
          <w:p w:rsidR="00F90A6B" w:rsidRPr="009C6D70" w:rsidRDefault="00F90A6B" w:rsidP="00732658">
            <w:pPr>
              <w:jc w:val="center"/>
            </w:pPr>
            <w:r w:rsidRPr="009C6D70">
              <w:t>$1,025</w:t>
            </w:r>
          </w:p>
        </w:tc>
        <w:tc>
          <w:tcPr>
            <w:tcW w:w="1530" w:type="dxa"/>
          </w:tcPr>
          <w:p w:rsidR="00F90A6B" w:rsidRPr="009C6D70" w:rsidRDefault="00F90A6B" w:rsidP="00732658">
            <w:pPr>
              <w:jc w:val="center"/>
            </w:pPr>
            <w:r w:rsidRPr="009C6D70">
              <w:t>$1,012</w:t>
            </w:r>
          </w:p>
        </w:tc>
      </w:tr>
      <w:tr w:rsidR="00F90A6B" w:rsidRPr="009C6D70" w:rsidTr="00732658">
        <w:trPr>
          <w:jc w:val="center"/>
        </w:trPr>
        <w:tc>
          <w:tcPr>
            <w:tcW w:w="2070" w:type="dxa"/>
          </w:tcPr>
          <w:p w:rsidR="00F90A6B" w:rsidRPr="009C6D70" w:rsidRDefault="00F90A6B" w:rsidP="00732658">
            <w:r w:rsidRPr="009C6D70">
              <w:t>GM&lt;25 kW</w:t>
            </w:r>
          </w:p>
        </w:tc>
        <w:tc>
          <w:tcPr>
            <w:tcW w:w="1656" w:type="dxa"/>
          </w:tcPr>
          <w:p w:rsidR="00F90A6B" w:rsidRPr="009C6D70" w:rsidRDefault="00F90A6B" w:rsidP="00732658">
            <w:pPr>
              <w:jc w:val="center"/>
            </w:pPr>
            <w:r w:rsidRPr="009C6D70">
              <w:t>$3,873</w:t>
            </w:r>
          </w:p>
        </w:tc>
        <w:tc>
          <w:tcPr>
            <w:tcW w:w="1710" w:type="dxa"/>
          </w:tcPr>
          <w:p w:rsidR="00F90A6B" w:rsidRPr="009C6D70" w:rsidRDefault="00F90A6B" w:rsidP="00732658">
            <w:pPr>
              <w:jc w:val="center"/>
            </w:pPr>
            <w:r w:rsidRPr="009C6D70">
              <w:t>$3,924</w:t>
            </w:r>
          </w:p>
        </w:tc>
        <w:tc>
          <w:tcPr>
            <w:tcW w:w="1530" w:type="dxa"/>
          </w:tcPr>
          <w:p w:rsidR="00F90A6B" w:rsidRPr="009C6D70" w:rsidRDefault="00F90A6B" w:rsidP="00732658">
            <w:pPr>
              <w:jc w:val="center"/>
            </w:pPr>
            <w:r w:rsidRPr="009C6D70">
              <w:t>$3,863</w:t>
            </w:r>
          </w:p>
        </w:tc>
      </w:tr>
      <w:tr w:rsidR="00F90A6B" w:rsidRPr="009C6D70" w:rsidTr="00732658">
        <w:trPr>
          <w:jc w:val="center"/>
        </w:trPr>
        <w:tc>
          <w:tcPr>
            <w:tcW w:w="2070" w:type="dxa"/>
          </w:tcPr>
          <w:p w:rsidR="00F90A6B" w:rsidRPr="009C6D70" w:rsidRDefault="00F90A6B" w:rsidP="00732658">
            <w:r w:rsidRPr="009C6D70">
              <w:t>GM≥25 kW</w:t>
            </w:r>
          </w:p>
        </w:tc>
        <w:tc>
          <w:tcPr>
            <w:tcW w:w="1656" w:type="dxa"/>
          </w:tcPr>
          <w:p w:rsidR="00F90A6B" w:rsidRPr="009C6D70" w:rsidRDefault="00F90A6B" w:rsidP="00732658">
            <w:pPr>
              <w:jc w:val="center"/>
            </w:pPr>
            <w:r w:rsidRPr="009C6D70">
              <w:t>$3,868</w:t>
            </w:r>
          </w:p>
        </w:tc>
        <w:tc>
          <w:tcPr>
            <w:tcW w:w="1710" w:type="dxa"/>
          </w:tcPr>
          <w:p w:rsidR="00F90A6B" w:rsidRPr="009C6D70" w:rsidRDefault="00F90A6B" w:rsidP="00732658">
            <w:pPr>
              <w:jc w:val="center"/>
            </w:pPr>
            <w:r w:rsidRPr="009C6D70">
              <w:t>$5,491</w:t>
            </w:r>
          </w:p>
        </w:tc>
        <w:tc>
          <w:tcPr>
            <w:tcW w:w="1530" w:type="dxa"/>
          </w:tcPr>
          <w:p w:rsidR="00F90A6B" w:rsidRPr="009C6D70" w:rsidRDefault="00F90A6B" w:rsidP="00732658">
            <w:pPr>
              <w:jc w:val="center"/>
            </w:pPr>
            <w:r w:rsidRPr="009C6D70">
              <w:t>$4,505</w:t>
            </w:r>
          </w:p>
        </w:tc>
      </w:tr>
      <w:tr w:rsidR="00F90A6B" w:rsidRPr="009C6D70" w:rsidTr="00732658">
        <w:trPr>
          <w:jc w:val="center"/>
        </w:trPr>
        <w:tc>
          <w:tcPr>
            <w:tcW w:w="2070" w:type="dxa"/>
          </w:tcPr>
          <w:p w:rsidR="00F90A6B" w:rsidRPr="009C6D70" w:rsidRDefault="00F90A6B" w:rsidP="00732658">
            <w:r w:rsidRPr="009C6D70">
              <w:t>GMH</w:t>
            </w:r>
          </w:p>
        </w:tc>
        <w:tc>
          <w:tcPr>
            <w:tcW w:w="1656" w:type="dxa"/>
          </w:tcPr>
          <w:p w:rsidR="00F90A6B" w:rsidRPr="009C6D70" w:rsidRDefault="00F90A6B" w:rsidP="00732658">
            <w:pPr>
              <w:jc w:val="center"/>
            </w:pPr>
            <w:r w:rsidRPr="009C6D70">
              <w:t>$1,311</w:t>
            </w:r>
          </w:p>
        </w:tc>
        <w:tc>
          <w:tcPr>
            <w:tcW w:w="1710" w:type="dxa"/>
          </w:tcPr>
          <w:p w:rsidR="00F90A6B" w:rsidRPr="009C6D70" w:rsidRDefault="00F90A6B" w:rsidP="00732658">
            <w:pPr>
              <w:jc w:val="center"/>
            </w:pPr>
            <w:r w:rsidRPr="009C6D70">
              <w:t>$1,154</w:t>
            </w:r>
          </w:p>
        </w:tc>
        <w:tc>
          <w:tcPr>
            <w:tcW w:w="1530" w:type="dxa"/>
          </w:tcPr>
          <w:p w:rsidR="00F90A6B" w:rsidRPr="009C6D70" w:rsidRDefault="00F90A6B" w:rsidP="00732658">
            <w:pPr>
              <w:jc w:val="center"/>
            </w:pPr>
            <w:r w:rsidRPr="009C6D70">
              <w:t>$1,292</w:t>
            </w:r>
          </w:p>
        </w:tc>
      </w:tr>
    </w:tbl>
    <w:p w:rsidR="00F90A6B" w:rsidRPr="009C6D70" w:rsidRDefault="00F90A6B" w:rsidP="00F90A6B">
      <w:pPr>
        <w:tabs>
          <w:tab w:val="left" w:pos="720"/>
        </w:tabs>
        <w:ind w:firstLine="720"/>
      </w:pPr>
      <w:r w:rsidRPr="009C6D70">
        <w:tab/>
        <w:t>Source:  Tables 1 &amp; 2 and Appendix B to Settlement.</w:t>
      </w:r>
    </w:p>
    <w:p w:rsidR="00F90A6B" w:rsidRPr="009C6D70" w:rsidRDefault="00F90A6B" w:rsidP="00F90A6B">
      <w:pPr>
        <w:tabs>
          <w:tab w:val="left" w:pos="720"/>
        </w:tabs>
      </w:pPr>
    </w:p>
    <w:p w:rsidR="00A91C93" w:rsidRPr="009C6D70" w:rsidRDefault="00A91C93" w:rsidP="00A91C93">
      <w:pPr>
        <w:spacing w:line="360" w:lineRule="auto"/>
      </w:pPr>
      <w:r w:rsidRPr="009C6D70">
        <w:t>OSBA St. in Support, p. 8.</w:t>
      </w:r>
    </w:p>
    <w:p w:rsidR="00A91C93" w:rsidRPr="009C6D70" w:rsidRDefault="00A91C93" w:rsidP="00A91C93">
      <w:pPr>
        <w:spacing w:line="360" w:lineRule="auto"/>
      </w:pPr>
    </w:p>
    <w:p w:rsidR="00F90A6B" w:rsidRPr="009C6D70" w:rsidRDefault="00415060" w:rsidP="00037773">
      <w:pPr>
        <w:spacing w:line="360" w:lineRule="auto"/>
        <w:ind w:firstLine="1440"/>
      </w:pPr>
      <w:r w:rsidRPr="009C6D70">
        <w:t xml:space="preserve">According to the OSBA, </w:t>
      </w:r>
      <w:r w:rsidR="00F90A6B" w:rsidRPr="009C6D70">
        <w:t>Table 4 (below) compares the litigation positions of the OSBA and Duquesne to the Settlement revenue allocation on a percentage increase basis.</w:t>
      </w:r>
    </w:p>
    <w:p w:rsidR="00786812" w:rsidRDefault="00786812" w:rsidP="00F90A6B">
      <w:pPr>
        <w:jc w:val="center"/>
        <w:rPr>
          <w:b/>
        </w:rPr>
      </w:pPr>
    </w:p>
    <w:p w:rsidR="00C82321" w:rsidRDefault="00C82321">
      <w:pPr>
        <w:rPr>
          <w:b/>
        </w:rPr>
      </w:pPr>
      <w:r>
        <w:rPr>
          <w:b/>
        </w:rPr>
        <w:br w:type="page"/>
      </w:r>
    </w:p>
    <w:p w:rsidR="00F90A6B" w:rsidRPr="009C6D70" w:rsidRDefault="00F90A6B" w:rsidP="00F90A6B">
      <w:pPr>
        <w:jc w:val="center"/>
      </w:pPr>
      <w:r w:rsidRPr="009C6D70">
        <w:rPr>
          <w:b/>
        </w:rPr>
        <w:lastRenderedPageBreak/>
        <w:t>Table 4</w:t>
      </w:r>
    </w:p>
    <w:p w:rsidR="00F90A6B" w:rsidRPr="009C6D70" w:rsidRDefault="00F90A6B" w:rsidP="00F90A6B">
      <w:pPr>
        <w:jc w:val="center"/>
      </w:pPr>
      <w:r w:rsidRPr="009C6D70">
        <w:t>Comparison of OSBA and Duquesne Litigation Positions</w:t>
      </w:r>
    </w:p>
    <w:p w:rsidR="00F90A6B" w:rsidRPr="009C6D70" w:rsidRDefault="00F90A6B" w:rsidP="00F90A6B">
      <w:pPr>
        <w:jc w:val="center"/>
      </w:pPr>
      <w:r w:rsidRPr="009C6D70">
        <w:t>to Settlement Percentage Increases</w:t>
      </w:r>
    </w:p>
    <w:p w:rsidR="00F90A6B" w:rsidRPr="009C6D70" w:rsidRDefault="00F90A6B" w:rsidP="00F90A6B"/>
    <w:tbl>
      <w:tblPr>
        <w:tblW w:w="0" w:type="auto"/>
        <w:jc w:val="center"/>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070"/>
        <w:gridCol w:w="1656"/>
        <w:gridCol w:w="1710"/>
        <w:gridCol w:w="1530"/>
      </w:tblGrid>
      <w:tr w:rsidR="00F90A6B" w:rsidRPr="009C6D70" w:rsidTr="00732658">
        <w:trPr>
          <w:jc w:val="center"/>
        </w:trPr>
        <w:tc>
          <w:tcPr>
            <w:tcW w:w="2070" w:type="dxa"/>
          </w:tcPr>
          <w:p w:rsidR="00F90A6B" w:rsidRPr="009C6D70" w:rsidRDefault="00F90A6B" w:rsidP="00732658"/>
          <w:p w:rsidR="00F90A6B" w:rsidRPr="009C6D70" w:rsidRDefault="00F90A6B" w:rsidP="00732658"/>
          <w:p w:rsidR="00F90A6B" w:rsidRPr="009C6D70" w:rsidRDefault="00F90A6B" w:rsidP="00732658">
            <w:r w:rsidRPr="009C6D70">
              <w:t>Class</w:t>
            </w:r>
          </w:p>
        </w:tc>
        <w:tc>
          <w:tcPr>
            <w:tcW w:w="1656" w:type="dxa"/>
          </w:tcPr>
          <w:p w:rsidR="00F90A6B" w:rsidRPr="009C6D70" w:rsidRDefault="00F90A6B" w:rsidP="00732658"/>
          <w:p w:rsidR="00F90A6B" w:rsidRPr="009C6D70" w:rsidRDefault="00F90A6B" w:rsidP="00732658">
            <w:pPr>
              <w:jc w:val="center"/>
            </w:pPr>
            <w:r w:rsidRPr="009C6D70">
              <w:t>OSBA Recommended</w:t>
            </w:r>
          </w:p>
        </w:tc>
        <w:tc>
          <w:tcPr>
            <w:tcW w:w="1710" w:type="dxa"/>
          </w:tcPr>
          <w:p w:rsidR="00F90A6B" w:rsidRPr="009C6D70" w:rsidRDefault="00F90A6B" w:rsidP="00732658">
            <w:pPr>
              <w:jc w:val="center"/>
            </w:pPr>
          </w:p>
          <w:p w:rsidR="00F90A6B" w:rsidRPr="009C6D70" w:rsidRDefault="00F90A6B" w:rsidP="00732658">
            <w:pPr>
              <w:jc w:val="center"/>
            </w:pPr>
            <w:r w:rsidRPr="009C6D70">
              <w:t>Duquesne Proposed</w:t>
            </w:r>
          </w:p>
        </w:tc>
        <w:tc>
          <w:tcPr>
            <w:tcW w:w="1530" w:type="dxa"/>
          </w:tcPr>
          <w:p w:rsidR="00F90A6B" w:rsidRPr="009C6D70" w:rsidRDefault="00F90A6B" w:rsidP="00732658">
            <w:pPr>
              <w:jc w:val="center"/>
            </w:pPr>
          </w:p>
          <w:p w:rsidR="00F90A6B" w:rsidRPr="009C6D70" w:rsidRDefault="00F90A6B" w:rsidP="00732658">
            <w:pPr>
              <w:jc w:val="center"/>
            </w:pPr>
            <w:r w:rsidRPr="009C6D70">
              <w:t>Settlement Increase</w:t>
            </w:r>
          </w:p>
        </w:tc>
      </w:tr>
      <w:tr w:rsidR="00F90A6B" w:rsidRPr="009C6D70" w:rsidTr="00732658">
        <w:trPr>
          <w:jc w:val="center"/>
        </w:trPr>
        <w:tc>
          <w:tcPr>
            <w:tcW w:w="2070" w:type="dxa"/>
          </w:tcPr>
          <w:p w:rsidR="00F90A6B" w:rsidRPr="009C6D70" w:rsidRDefault="00F90A6B" w:rsidP="00732658">
            <w:r w:rsidRPr="009C6D70">
              <w:t>GS</w:t>
            </w:r>
          </w:p>
        </w:tc>
        <w:tc>
          <w:tcPr>
            <w:tcW w:w="1656" w:type="dxa"/>
          </w:tcPr>
          <w:p w:rsidR="00F90A6B" w:rsidRPr="009C6D70" w:rsidRDefault="00F90A6B" w:rsidP="00732658">
            <w:pPr>
              <w:jc w:val="center"/>
            </w:pPr>
            <w:r w:rsidRPr="009C6D70">
              <w:t>18.4%</w:t>
            </w:r>
          </w:p>
        </w:tc>
        <w:tc>
          <w:tcPr>
            <w:tcW w:w="1710" w:type="dxa"/>
          </w:tcPr>
          <w:p w:rsidR="00F90A6B" w:rsidRPr="009C6D70" w:rsidRDefault="00F90A6B" w:rsidP="00732658">
            <w:pPr>
              <w:jc w:val="center"/>
            </w:pPr>
            <w:r w:rsidRPr="009C6D70">
              <w:t>18.6%</w:t>
            </w:r>
          </w:p>
        </w:tc>
        <w:tc>
          <w:tcPr>
            <w:tcW w:w="1530" w:type="dxa"/>
          </w:tcPr>
          <w:p w:rsidR="00F90A6B" w:rsidRPr="009C6D70" w:rsidRDefault="00F90A6B" w:rsidP="00732658">
            <w:pPr>
              <w:jc w:val="center"/>
            </w:pPr>
            <w:r w:rsidRPr="009C6D70">
              <w:t>18.4%</w:t>
            </w:r>
          </w:p>
        </w:tc>
      </w:tr>
      <w:tr w:rsidR="00F90A6B" w:rsidRPr="009C6D70" w:rsidTr="00732658">
        <w:trPr>
          <w:jc w:val="center"/>
        </w:trPr>
        <w:tc>
          <w:tcPr>
            <w:tcW w:w="2070" w:type="dxa"/>
          </w:tcPr>
          <w:p w:rsidR="00F90A6B" w:rsidRPr="009C6D70" w:rsidRDefault="00F90A6B" w:rsidP="00732658">
            <w:r w:rsidRPr="009C6D70">
              <w:t>GM&lt;25 kW</w:t>
            </w:r>
          </w:p>
        </w:tc>
        <w:tc>
          <w:tcPr>
            <w:tcW w:w="1656" w:type="dxa"/>
          </w:tcPr>
          <w:p w:rsidR="00F90A6B" w:rsidRPr="009C6D70" w:rsidRDefault="00F90A6B" w:rsidP="00732658">
            <w:pPr>
              <w:jc w:val="center"/>
            </w:pPr>
            <w:r w:rsidRPr="009C6D70">
              <w:t>18.4%</w:t>
            </w:r>
          </w:p>
        </w:tc>
        <w:tc>
          <w:tcPr>
            <w:tcW w:w="1710" w:type="dxa"/>
          </w:tcPr>
          <w:p w:rsidR="00F90A6B" w:rsidRPr="009C6D70" w:rsidRDefault="00F90A6B" w:rsidP="00732658">
            <w:pPr>
              <w:jc w:val="center"/>
            </w:pPr>
            <w:r w:rsidRPr="009C6D70">
              <w:t>18.6%</w:t>
            </w:r>
          </w:p>
        </w:tc>
        <w:tc>
          <w:tcPr>
            <w:tcW w:w="1530" w:type="dxa"/>
          </w:tcPr>
          <w:p w:rsidR="00F90A6B" w:rsidRPr="009C6D70" w:rsidRDefault="00F90A6B" w:rsidP="00732658">
            <w:pPr>
              <w:jc w:val="center"/>
            </w:pPr>
            <w:r w:rsidRPr="009C6D70">
              <w:t>18.3%</w:t>
            </w:r>
          </w:p>
        </w:tc>
      </w:tr>
      <w:tr w:rsidR="00F90A6B" w:rsidRPr="009C6D70" w:rsidTr="00732658">
        <w:trPr>
          <w:jc w:val="center"/>
        </w:trPr>
        <w:tc>
          <w:tcPr>
            <w:tcW w:w="2070" w:type="dxa"/>
          </w:tcPr>
          <w:p w:rsidR="00F90A6B" w:rsidRPr="009C6D70" w:rsidRDefault="00F90A6B" w:rsidP="00732658">
            <w:r w:rsidRPr="009C6D70">
              <w:t>GM≥25 kW</w:t>
            </w:r>
          </w:p>
        </w:tc>
        <w:tc>
          <w:tcPr>
            <w:tcW w:w="1656" w:type="dxa"/>
          </w:tcPr>
          <w:p w:rsidR="00F90A6B" w:rsidRPr="009C6D70" w:rsidRDefault="00317481" w:rsidP="00732658">
            <w:pPr>
              <w:jc w:val="center"/>
            </w:pPr>
            <w:r>
              <w:t xml:space="preserve">  </w:t>
            </w:r>
            <w:r w:rsidR="00F90A6B" w:rsidRPr="009C6D70">
              <w:t>7.7%</w:t>
            </w:r>
          </w:p>
        </w:tc>
        <w:tc>
          <w:tcPr>
            <w:tcW w:w="1710" w:type="dxa"/>
          </w:tcPr>
          <w:p w:rsidR="00F90A6B" w:rsidRPr="009C6D70" w:rsidRDefault="00F90A6B" w:rsidP="00732658">
            <w:pPr>
              <w:jc w:val="center"/>
            </w:pPr>
            <w:r w:rsidRPr="009C6D70">
              <w:t>11.0%</w:t>
            </w:r>
          </w:p>
        </w:tc>
        <w:tc>
          <w:tcPr>
            <w:tcW w:w="1530" w:type="dxa"/>
          </w:tcPr>
          <w:p w:rsidR="00F90A6B" w:rsidRPr="009C6D70" w:rsidRDefault="00317481" w:rsidP="00732658">
            <w:pPr>
              <w:jc w:val="center"/>
            </w:pPr>
            <w:r>
              <w:t xml:space="preserve">  </w:t>
            </w:r>
            <w:r w:rsidR="00F90A6B" w:rsidRPr="009C6D70">
              <w:t>9.0%</w:t>
            </w:r>
          </w:p>
        </w:tc>
      </w:tr>
      <w:tr w:rsidR="00F90A6B" w:rsidRPr="009C6D70" w:rsidTr="00732658">
        <w:trPr>
          <w:jc w:val="center"/>
        </w:trPr>
        <w:tc>
          <w:tcPr>
            <w:tcW w:w="2070" w:type="dxa"/>
          </w:tcPr>
          <w:p w:rsidR="00F90A6B" w:rsidRPr="009C6D70" w:rsidRDefault="00F90A6B" w:rsidP="00732658">
            <w:r w:rsidRPr="009C6D70">
              <w:t>GMH</w:t>
            </w:r>
          </w:p>
        </w:tc>
        <w:tc>
          <w:tcPr>
            <w:tcW w:w="1656" w:type="dxa"/>
          </w:tcPr>
          <w:p w:rsidR="00F90A6B" w:rsidRPr="009C6D70" w:rsidRDefault="00F90A6B" w:rsidP="00732658">
            <w:pPr>
              <w:jc w:val="center"/>
            </w:pPr>
            <w:r w:rsidRPr="009C6D70">
              <w:t>18.3%</w:t>
            </w:r>
          </w:p>
        </w:tc>
        <w:tc>
          <w:tcPr>
            <w:tcW w:w="1710" w:type="dxa"/>
          </w:tcPr>
          <w:p w:rsidR="00F90A6B" w:rsidRPr="009C6D70" w:rsidRDefault="00F90A6B" w:rsidP="00732658">
            <w:pPr>
              <w:jc w:val="center"/>
            </w:pPr>
            <w:r w:rsidRPr="009C6D70">
              <w:t>16.2%</w:t>
            </w:r>
          </w:p>
        </w:tc>
        <w:tc>
          <w:tcPr>
            <w:tcW w:w="1530" w:type="dxa"/>
          </w:tcPr>
          <w:p w:rsidR="00F90A6B" w:rsidRPr="009C6D70" w:rsidRDefault="00F90A6B" w:rsidP="00732658">
            <w:pPr>
              <w:jc w:val="center"/>
            </w:pPr>
            <w:r w:rsidRPr="009C6D70">
              <w:t>18.1%</w:t>
            </w:r>
          </w:p>
        </w:tc>
      </w:tr>
    </w:tbl>
    <w:p w:rsidR="00F90A6B" w:rsidRPr="009C6D70" w:rsidRDefault="00F90A6B" w:rsidP="00F90A6B">
      <w:pPr>
        <w:tabs>
          <w:tab w:val="left" w:pos="720"/>
        </w:tabs>
      </w:pPr>
      <w:r w:rsidRPr="009C6D70">
        <w:tab/>
      </w:r>
      <w:r w:rsidRPr="009C6D70">
        <w:tab/>
        <w:t>Source:  Tables 1 &amp; 2 and Appendix B to Settlement.</w:t>
      </w:r>
    </w:p>
    <w:p w:rsidR="00F90A6B" w:rsidRPr="009C6D70" w:rsidRDefault="00F90A6B" w:rsidP="00F90A6B">
      <w:pPr>
        <w:tabs>
          <w:tab w:val="left" w:pos="720"/>
        </w:tabs>
      </w:pPr>
    </w:p>
    <w:p w:rsidR="00A91C93" w:rsidRPr="009C6D70" w:rsidRDefault="00A91C93" w:rsidP="00B56F52">
      <w:pPr>
        <w:spacing w:line="360" w:lineRule="auto"/>
      </w:pPr>
      <w:r w:rsidRPr="009C6D70">
        <w:t>OSBA St. in Support, p. 8.</w:t>
      </w:r>
    </w:p>
    <w:p w:rsidR="00A91C93" w:rsidRPr="009C6D70" w:rsidRDefault="00A91C93" w:rsidP="00B56F52">
      <w:pPr>
        <w:spacing w:line="360" w:lineRule="auto"/>
      </w:pPr>
    </w:p>
    <w:p w:rsidR="00F90A6B" w:rsidRPr="009C6D70" w:rsidRDefault="00B56F52" w:rsidP="00B56F52">
      <w:pPr>
        <w:spacing w:line="360" w:lineRule="auto"/>
      </w:pPr>
      <w:r w:rsidRPr="009C6D70">
        <w:t>The OSBA points out that, a</w:t>
      </w:r>
      <w:r w:rsidR="00F90A6B" w:rsidRPr="009C6D70">
        <w:t>s shown in Table 4, the Settlement results in an increase which is virtually the same as the OSBA recommended for GS, GM &lt;25 kW, GMH</w:t>
      </w:r>
      <w:r w:rsidR="00AE6923">
        <w:t xml:space="preserve"> and f</w:t>
      </w:r>
      <w:r w:rsidR="00F90A6B" w:rsidRPr="009C6D70">
        <w:t>or GM≥25 kW</w:t>
      </w:r>
      <w:r w:rsidRPr="009C6D70">
        <w:t>.  According to the OSBA, t</w:t>
      </w:r>
      <w:r w:rsidR="00F90A6B" w:rsidRPr="009C6D70">
        <w:t>he Settlement results in an increase of 9%, which is a compromise between the positions of the OSBA and the Company and which moves GM≥25 kW closer to cost of service than proposed by the Company.</w:t>
      </w:r>
      <w:r w:rsidRPr="009C6D70">
        <w:t xml:space="preserve">  </w:t>
      </w:r>
      <w:r w:rsidR="00A91C93" w:rsidRPr="009C6D70">
        <w:t xml:space="preserve">OSBA St. in Support, p. 8.  </w:t>
      </w:r>
    </w:p>
    <w:p w:rsidR="001B7C95" w:rsidRPr="009C6D70" w:rsidRDefault="001B7C95" w:rsidP="00B56F52">
      <w:pPr>
        <w:spacing w:line="360" w:lineRule="auto"/>
      </w:pPr>
    </w:p>
    <w:p w:rsidR="001B7C95" w:rsidRPr="009C6D70" w:rsidRDefault="0018543E" w:rsidP="00786812">
      <w:pPr>
        <w:numPr>
          <w:ilvl w:val="0"/>
          <w:numId w:val="37"/>
        </w:numPr>
        <w:tabs>
          <w:tab w:val="clear" w:pos="1080"/>
        </w:tabs>
        <w:spacing w:line="360" w:lineRule="auto"/>
        <w:ind w:left="720"/>
      </w:pPr>
      <w:r w:rsidRPr="009C6D70">
        <w:rPr>
          <w:u w:val="single"/>
        </w:rPr>
        <w:t>DII’s Position</w:t>
      </w:r>
    </w:p>
    <w:p w:rsidR="0018543E" w:rsidRPr="009C6D70" w:rsidRDefault="0018543E" w:rsidP="0018543E">
      <w:pPr>
        <w:spacing w:line="360" w:lineRule="auto"/>
        <w:ind w:left="360"/>
      </w:pPr>
    </w:p>
    <w:p w:rsidR="00957FE3" w:rsidRPr="009C6D70" w:rsidRDefault="00DC014B" w:rsidP="00DC014B">
      <w:pPr>
        <w:spacing w:line="360" w:lineRule="auto"/>
        <w:ind w:firstLine="1440"/>
      </w:pPr>
      <w:r w:rsidRPr="009C6D70">
        <w:t xml:space="preserve">DII concludes that the Settlement resolves all of DII’s issues of concern.  </w:t>
      </w:r>
      <w:r w:rsidR="00957FE3" w:rsidRPr="009C6D70">
        <w:t>DII's Complaint</w:t>
      </w:r>
      <w:r w:rsidRPr="009C6D70">
        <w:t xml:space="preserve"> (Complaint)</w:t>
      </w:r>
      <w:r w:rsidR="00957FE3" w:rsidRPr="009C6D70">
        <w:t xml:space="preserve"> set forth the following issues:</w:t>
      </w:r>
    </w:p>
    <w:p w:rsidR="00DC014B" w:rsidRPr="009C6D70" w:rsidRDefault="00DC014B" w:rsidP="00DC014B">
      <w:pPr>
        <w:spacing w:line="360" w:lineRule="auto"/>
        <w:ind w:firstLine="1440"/>
      </w:pPr>
    </w:p>
    <w:p w:rsidR="00957FE3" w:rsidRPr="009C6D70" w:rsidRDefault="00957FE3" w:rsidP="00470730">
      <w:pPr>
        <w:numPr>
          <w:ilvl w:val="0"/>
          <w:numId w:val="39"/>
        </w:numPr>
        <w:ind w:left="2160" w:right="1440" w:hanging="720"/>
      </w:pPr>
      <w:r w:rsidRPr="009C6D70">
        <w:t>Whether the size of the requested rate increase is appropriate;</w:t>
      </w:r>
    </w:p>
    <w:p w:rsidR="00957FE3" w:rsidRPr="009C6D70" w:rsidRDefault="00957FE3" w:rsidP="00470730">
      <w:pPr>
        <w:numPr>
          <w:ilvl w:val="0"/>
          <w:numId w:val="39"/>
        </w:numPr>
        <w:ind w:left="2160" w:right="1440" w:hanging="720"/>
      </w:pPr>
      <w:r w:rsidRPr="009C6D70">
        <w:t xml:space="preserve">Whether the expenses claimed by Duquesne were prudently incurred; </w:t>
      </w:r>
    </w:p>
    <w:p w:rsidR="00957FE3" w:rsidRPr="009C6D70" w:rsidRDefault="00957FE3" w:rsidP="00470730">
      <w:pPr>
        <w:numPr>
          <w:ilvl w:val="0"/>
          <w:numId w:val="39"/>
        </w:numPr>
        <w:ind w:left="2160" w:right="1440" w:hanging="720"/>
      </w:pPr>
      <w:r w:rsidRPr="009C6D70">
        <w:t>Whether the allocation of the proposed distribution rate increase between and among customer classes is just, reasonable and non-discriminatory;</w:t>
      </w:r>
    </w:p>
    <w:p w:rsidR="00957FE3" w:rsidRPr="009C6D70" w:rsidRDefault="00957FE3" w:rsidP="00470730">
      <w:pPr>
        <w:numPr>
          <w:ilvl w:val="0"/>
          <w:numId w:val="39"/>
        </w:numPr>
        <w:ind w:left="2160" w:right="1440" w:hanging="720"/>
      </w:pPr>
      <w:r w:rsidRPr="009C6D70">
        <w:t>Whether Duquesne's proposed rate structure and rate design are appropriate, just, reasonable and not unduly discriminatory, specifically including the proposed rate design changes for Rates GL, L and HVPS;</w:t>
      </w:r>
    </w:p>
    <w:p w:rsidR="00C82321" w:rsidRDefault="00C82321">
      <w:r>
        <w:br w:type="page"/>
      </w:r>
    </w:p>
    <w:p w:rsidR="00957FE3" w:rsidRPr="009C6D70" w:rsidRDefault="00957FE3" w:rsidP="00470730">
      <w:pPr>
        <w:numPr>
          <w:ilvl w:val="0"/>
          <w:numId w:val="39"/>
        </w:numPr>
        <w:ind w:left="2160" w:right="1440" w:hanging="720"/>
      </w:pPr>
      <w:r w:rsidRPr="009C6D70">
        <w:lastRenderedPageBreak/>
        <w:t>Whether the 11.25% return on equity proposed by Duquesne and other aspects of the Company's proposal result in a fair rate of return; and</w:t>
      </w:r>
    </w:p>
    <w:p w:rsidR="00957FE3" w:rsidRPr="009C6D70" w:rsidRDefault="00957FE3" w:rsidP="00470730">
      <w:pPr>
        <w:numPr>
          <w:ilvl w:val="0"/>
          <w:numId w:val="39"/>
        </w:numPr>
        <w:spacing w:after="120"/>
        <w:ind w:left="2160" w:right="1440" w:hanging="720"/>
      </w:pPr>
      <w:r w:rsidRPr="009C6D70">
        <w:t xml:space="preserve">Whether Duquesne's claimed cost of service is accurate, legitimate and appropriately allocated. </w:t>
      </w:r>
    </w:p>
    <w:p w:rsidR="00957FE3" w:rsidRPr="009C6D70" w:rsidRDefault="00957FE3" w:rsidP="00470730">
      <w:pPr>
        <w:spacing w:after="120"/>
        <w:ind w:left="2160" w:hanging="720"/>
        <w:jc w:val="both"/>
      </w:pPr>
    </w:p>
    <w:p w:rsidR="00957FE3" w:rsidRPr="009C6D70" w:rsidRDefault="00957FE3" w:rsidP="00786812">
      <w:pPr>
        <w:spacing w:after="120" w:line="360" w:lineRule="auto"/>
      </w:pPr>
      <w:r w:rsidRPr="009C6D70">
        <w:t>Complaint</w:t>
      </w:r>
      <w:r w:rsidR="00DB4C8D" w:rsidRPr="009C6D70">
        <w:t xml:space="preserve">, p. </w:t>
      </w:r>
      <w:r w:rsidRPr="009C6D70">
        <w:t>3</w:t>
      </w:r>
      <w:r w:rsidR="00473B3D" w:rsidRPr="009C6D70">
        <w:t>; DII St. in Support, p. 2.</w:t>
      </w:r>
      <w:r w:rsidR="008F46F1" w:rsidRPr="009C6D70">
        <w:t xml:space="preserve">  DII then discusses five reasons why the Settlement adequately resolves the issues</w:t>
      </w:r>
      <w:r w:rsidR="00362D30" w:rsidRPr="009C6D70">
        <w:t xml:space="preserve"> of concern.</w:t>
      </w:r>
      <w:r w:rsidR="008F46F1" w:rsidRPr="009C6D70">
        <w:t xml:space="preserve">  </w:t>
      </w:r>
      <w:r w:rsidRPr="009C6D70">
        <w:t xml:space="preserve">  </w:t>
      </w:r>
    </w:p>
    <w:p w:rsidR="00957FE3" w:rsidRPr="009C6D70" w:rsidRDefault="00957FE3" w:rsidP="00957FE3">
      <w:pPr>
        <w:ind w:firstLine="720"/>
        <w:jc w:val="both"/>
      </w:pPr>
    </w:p>
    <w:p w:rsidR="008C387F" w:rsidRPr="009C6D70" w:rsidRDefault="00957FE3" w:rsidP="00473B3D">
      <w:pPr>
        <w:spacing w:line="360" w:lineRule="auto"/>
        <w:ind w:firstLine="1440"/>
      </w:pPr>
      <w:r w:rsidRPr="009C6D70">
        <w:t xml:space="preserve">First, under the Settlement Duquesne will retain Tariff Rule 4, which allows the Company to enter into special contracts with industrial and commercial customers with loads of at least 100 kW.  </w:t>
      </w:r>
      <w:r w:rsidR="003E1405" w:rsidRPr="009C6D70">
        <w:t>Joint Petition ¶</w:t>
      </w:r>
      <w:r w:rsidRPr="009C6D70">
        <w:t>36</w:t>
      </w:r>
      <w:r w:rsidR="003E1405" w:rsidRPr="009C6D70">
        <w:t>, p. 9.</w:t>
      </w:r>
      <w:r w:rsidRPr="009C6D70">
        <w:t xml:space="preserve">  DII disagreed with the Company's initial proposal to eliminate the Company's ability to enter such special contracts, which address "changing business needs or operating conditions."  DII St</w:t>
      </w:r>
      <w:r w:rsidR="003E1405" w:rsidRPr="009C6D70">
        <w:t>.</w:t>
      </w:r>
      <w:r w:rsidRPr="009C6D70">
        <w:t xml:space="preserve"> 1, p. 14.  As DII witness Baudino testified, despite the Company's concerns that such discounts to larger customers "post restructuring" are no longer appropriate, "[s]ince there is no obligation to enter a Rule 4 contract, it would appear to be beneficial to maintain the option in the event that the Company, the affected Rule 4 customer and other Duquesne customers could benefit from such a contract."  DII St</w:t>
      </w:r>
      <w:r w:rsidR="003E1405" w:rsidRPr="009C6D70">
        <w:t>.</w:t>
      </w:r>
      <w:r w:rsidRPr="009C6D70">
        <w:t xml:space="preserve"> 1, pp. 13-14.  </w:t>
      </w:r>
      <w:r w:rsidR="003E1405" w:rsidRPr="009C6D70">
        <w:t>According to DII, t</w:t>
      </w:r>
      <w:r w:rsidRPr="009C6D70">
        <w:t>he Settlement will allow for such beneficial contracts.</w:t>
      </w:r>
      <w:r w:rsidR="00473B3D" w:rsidRPr="009C6D70">
        <w:t xml:space="preserve"> </w:t>
      </w:r>
      <w:r w:rsidR="003E1405" w:rsidRPr="009C6D70">
        <w:t xml:space="preserve"> DII St. in Support, pp. 3-4.</w:t>
      </w:r>
      <w:r w:rsidR="00473B3D" w:rsidRPr="009C6D70">
        <w:t xml:space="preserve"> </w:t>
      </w:r>
    </w:p>
    <w:p w:rsidR="008C387F" w:rsidRPr="009C6D70" w:rsidRDefault="008C387F" w:rsidP="00473B3D">
      <w:pPr>
        <w:spacing w:line="360" w:lineRule="auto"/>
        <w:ind w:firstLine="1440"/>
      </w:pPr>
    </w:p>
    <w:p w:rsidR="008C387F" w:rsidRPr="009C6D70" w:rsidRDefault="00957FE3" w:rsidP="008C387F">
      <w:pPr>
        <w:spacing w:line="360" w:lineRule="auto"/>
        <w:ind w:firstLine="1440"/>
      </w:pPr>
      <w:r w:rsidRPr="009C6D70">
        <w:t xml:space="preserve">Second, the Settlement provides that the Untransformed Service Credit under Rate L will be increased by the amount of the percentage increase to Rate L distribution rates.  </w:t>
      </w:r>
      <w:r w:rsidR="00C01334" w:rsidRPr="009C6D70">
        <w:t>Joint Petition ¶34, p. 8.</w:t>
      </w:r>
      <w:r w:rsidRPr="009C6D70">
        <w:t xml:space="preserve">  This credit recognizes that some customers taking service on the Company's Rate L do so at voltages exceeding 11,500 volts.  DII St</w:t>
      </w:r>
      <w:r w:rsidR="00C01334" w:rsidRPr="009C6D70">
        <w:t xml:space="preserve">. </w:t>
      </w:r>
      <w:r w:rsidRPr="009C6D70">
        <w:t xml:space="preserve">1, p. 13.  The current credit is $.70 per kW for customers taking service above 11,500 volts and who furnish their own equipment necessary to take untransformed service.  </w:t>
      </w:r>
      <w:r w:rsidRPr="009C6D70">
        <w:rPr>
          <w:i/>
          <w:u w:val="single"/>
        </w:rPr>
        <w:t>Id.</w:t>
      </w:r>
      <w:r w:rsidRPr="009C6D70">
        <w:t xml:space="preserve">  The Company had proposed that this credit remain unchanged, but DII asserted that given the increases in demand charges for Schedule L, the credit should be increased accordingly.  </w:t>
      </w:r>
      <w:r w:rsidRPr="009C6D70">
        <w:rPr>
          <w:i/>
          <w:u w:val="single"/>
        </w:rPr>
        <w:t>Id.</w:t>
      </w:r>
      <w:r w:rsidRPr="009C6D70">
        <w:t xml:space="preserve">  The Settlement provides for an appropriate increase in this credit commensurate with the overall increase for Rate Schedule L.</w:t>
      </w:r>
      <w:r w:rsidR="00C01334" w:rsidRPr="009C6D70">
        <w:t xml:space="preserve">  DII St. in Support, p. 3.</w:t>
      </w:r>
    </w:p>
    <w:p w:rsidR="008C387F" w:rsidRPr="009C6D70" w:rsidRDefault="008C387F" w:rsidP="008C387F">
      <w:pPr>
        <w:spacing w:line="360" w:lineRule="auto"/>
        <w:ind w:firstLine="1440"/>
      </w:pPr>
    </w:p>
    <w:p w:rsidR="00957FE3" w:rsidRPr="009C6D70" w:rsidRDefault="00957FE3" w:rsidP="008C387F">
      <w:pPr>
        <w:spacing w:line="360" w:lineRule="auto"/>
        <w:ind w:firstLine="1440"/>
      </w:pPr>
      <w:r w:rsidRPr="009C6D70">
        <w:lastRenderedPageBreak/>
        <w:t xml:space="preserve">Third, the Settlement reduces Duquesne's distribution revenue increase from its original request of $87.3 million in additional annual distribution rate revenues to an increase of $45.7 million. </w:t>
      </w:r>
      <w:r w:rsidR="00C01334" w:rsidRPr="009C6D70">
        <w:t xml:space="preserve"> Joint Petition ¶26</w:t>
      </w:r>
      <w:r w:rsidR="00D65C12" w:rsidRPr="009C6D70">
        <w:t>, p. 7.</w:t>
      </w:r>
      <w:r w:rsidRPr="009C6D70">
        <w:t xml:space="preserve">  This reduced amount is inclusive of future test year universal service costs that will be recovered under the Company's Universal Service Charge Rider, and consumer education costs to be recovered through the Consumer Education Surcharge.  </w:t>
      </w:r>
      <w:r w:rsidRPr="009C6D70">
        <w:rPr>
          <w:i/>
          <w:u w:val="single"/>
        </w:rPr>
        <w:t>Id.</w:t>
      </w:r>
      <w:r w:rsidRPr="009C6D70">
        <w:t xml:space="preserve">  </w:t>
      </w:r>
      <w:r w:rsidR="00D65C12" w:rsidRPr="009C6D70">
        <w:t>According to DII, t</w:t>
      </w:r>
      <w:r w:rsidRPr="009C6D70">
        <w:t>his reduction of $41.6 million from the rate increase requested by the Company provides an adequate resolution to the issue of whether the Company's requested rate increase is appropriate.</w:t>
      </w:r>
      <w:r w:rsidR="00C01334" w:rsidRPr="009C6D70">
        <w:t xml:space="preserve">  DII St. in Support, p. 3.</w:t>
      </w:r>
      <w:r w:rsidRPr="009C6D70">
        <w:t xml:space="preserve">  </w:t>
      </w:r>
    </w:p>
    <w:p w:rsidR="008C387F" w:rsidRPr="009C6D70" w:rsidRDefault="008C387F" w:rsidP="008C387F">
      <w:pPr>
        <w:spacing w:line="360" w:lineRule="auto"/>
        <w:ind w:firstLine="1440"/>
      </w:pPr>
    </w:p>
    <w:p w:rsidR="00957FE3" w:rsidRPr="009C6D70" w:rsidRDefault="00957FE3" w:rsidP="00362D30">
      <w:pPr>
        <w:spacing w:line="360" w:lineRule="auto"/>
        <w:ind w:firstLine="1440"/>
      </w:pPr>
      <w:r w:rsidRPr="009C6D70">
        <w:t>Fourth, the Settlement maintains a customer charge for Rate GLH.  DII proposed that the rate design continue to include such a customer charge.  DII St</w:t>
      </w:r>
      <w:r w:rsidR="00BD3FCD" w:rsidRPr="009C6D70">
        <w:t>.</w:t>
      </w:r>
      <w:r w:rsidRPr="009C6D70">
        <w:t xml:space="preserve"> 1, p. 12.  While the Company had proposed eliminating the customer charge during heating months and going to a kWh-only charge, DII found "no sound basis" in eliminating this charge.  </w:t>
      </w:r>
      <w:r w:rsidRPr="009C6D70">
        <w:rPr>
          <w:i/>
          <w:u w:val="single"/>
        </w:rPr>
        <w:t>Id.</w:t>
      </w:r>
      <w:r w:rsidRPr="009C6D70">
        <w:t xml:space="preserve">  The Settlement rate designs for Rates GL, L and HVPS are also appropriate</w:t>
      </w:r>
      <w:r w:rsidR="00BD3FCD" w:rsidRPr="009C6D70">
        <w:t>, according to DII</w:t>
      </w:r>
      <w:r w:rsidRPr="009C6D70">
        <w:t xml:space="preserve">.  </w:t>
      </w:r>
      <w:r w:rsidR="00D65C12" w:rsidRPr="009C6D70">
        <w:t>DII St. in Support, p. 4.</w:t>
      </w:r>
    </w:p>
    <w:p w:rsidR="00362D30" w:rsidRPr="009C6D70" w:rsidRDefault="00362D30" w:rsidP="00362D30">
      <w:pPr>
        <w:spacing w:line="360" w:lineRule="auto"/>
        <w:ind w:firstLine="1440"/>
      </w:pPr>
    </w:p>
    <w:p w:rsidR="00957FE3" w:rsidRPr="009C6D70" w:rsidRDefault="00957FE3" w:rsidP="00470730">
      <w:pPr>
        <w:spacing w:after="100" w:afterAutospacing="1" w:line="360" w:lineRule="auto"/>
        <w:ind w:firstLine="1440"/>
      </w:pPr>
      <w:r w:rsidRPr="009C6D70">
        <w:t>Fifth, the Settlement continues to move all rate schedules closer to cost of service.  DII witness Baudino testified concerning the need to move toward cost of service, stating:</w:t>
      </w:r>
    </w:p>
    <w:p w:rsidR="00957FE3" w:rsidRPr="009C6D70" w:rsidRDefault="00957FE3" w:rsidP="00470730">
      <w:pPr>
        <w:spacing w:after="100" w:afterAutospacing="1"/>
        <w:ind w:left="1440" w:right="1440"/>
      </w:pPr>
      <w:r w:rsidRPr="009C6D70">
        <w:t>[i]n the current proceeding, Rates GL and L are continuing to pay significant subsidies to other rate classes and [Company witness] Pfrommer's recommended increases of 16.4% and 14.8% for these classes are excessive and unjustified.  Equity and fairness calls for significantly lower increases to GL and L and continued movement toward cost of service for all classes.</w:t>
      </w:r>
    </w:p>
    <w:p w:rsidR="00957FE3" w:rsidRPr="009C6D70" w:rsidRDefault="00957FE3" w:rsidP="00957FE3">
      <w:pPr>
        <w:ind w:left="1440" w:right="1440"/>
        <w:jc w:val="both"/>
      </w:pPr>
    </w:p>
    <w:p w:rsidR="00C82321" w:rsidRDefault="00957FE3" w:rsidP="00362D30">
      <w:pPr>
        <w:spacing w:line="360" w:lineRule="auto"/>
      </w:pPr>
      <w:r w:rsidRPr="009C6D70">
        <w:t>DII St</w:t>
      </w:r>
      <w:r w:rsidR="00BD3FCD" w:rsidRPr="009C6D70">
        <w:t>.</w:t>
      </w:r>
      <w:r w:rsidRPr="009C6D70">
        <w:t xml:space="preserve"> 1, p. 10.  In the settlement resolving the Company's 2006 distribution rate case, Rates GL and L received increases of 85.3% and 83.9%, while the total system increase was only 41.8%.  DII St</w:t>
      </w:r>
      <w:r w:rsidR="00BD3FCD" w:rsidRPr="009C6D70">
        <w:t>.</w:t>
      </w:r>
      <w:r w:rsidRPr="009C6D70">
        <w:t xml:space="preserve"> 1, p. 10.  The Settlement's movement towards cost of service provides for a more equitable rate allocation for these rate classes than that of the 2006 settlement, as well as the </w:t>
      </w:r>
    </w:p>
    <w:p w:rsidR="00C82321" w:rsidRDefault="00C82321">
      <w:r>
        <w:br w:type="page"/>
      </w:r>
    </w:p>
    <w:p w:rsidR="00362D30" w:rsidRPr="009C6D70" w:rsidRDefault="00957FE3" w:rsidP="00362D30">
      <w:pPr>
        <w:spacing w:line="360" w:lineRule="auto"/>
      </w:pPr>
      <w:proofErr w:type="gramStart"/>
      <w:r w:rsidRPr="009C6D70">
        <w:lastRenderedPageBreak/>
        <w:t>allocation</w:t>
      </w:r>
      <w:proofErr w:type="gramEnd"/>
      <w:r w:rsidRPr="009C6D70">
        <w:t xml:space="preserve"> originally proposed by the Company in this proceeding.  </w:t>
      </w:r>
      <w:r w:rsidR="00BD3FCD" w:rsidRPr="009C6D70">
        <w:rPr>
          <w:i/>
        </w:rPr>
        <w:t xml:space="preserve">See </w:t>
      </w:r>
      <w:r w:rsidR="00BD3FCD" w:rsidRPr="009C6D70">
        <w:t>Joint Petition ¶¶</w:t>
      </w:r>
      <w:r w:rsidR="00AA2232" w:rsidRPr="009C6D70">
        <w:t>31-32, p.</w:t>
      </w:r>
      <w:r w:rsidR="004D1E01">
        <w:t> </w:t>
      </w:r>
      <w:r w:rsidR="00AA2232" w:rsidRPr="009C6D70">
        <w:t xml:space="preserve">8. </w:t>
      </w:r>
    </w:p>
    <w:p w:rsidR="00AA2232" w:rsidRPr="009C6D70" w:rsidRDefault="00AA2232" w:rsidP="00362D30">
      <w:pPr>
        <w:spacing w:line="360" w:lineRule="auto"/>
      </w:pPr>
    </w:p>
    <w:p w:rsidR="00957FE3" w:rsidRPr="009C6D70" w:rsidRDefault="00AA2232" w:rsidP="00317481">
      <w:pPr>
        <w:spacing w:line="360" w:lineRule="auto"/>
        <w:ind w:firstLine="1440"/>
      </w:pPr>
      <w:r w:rsidRPr="009C6D70">
        <w:t>DII asserts that, w</w:t>
      </w:r>
      <w:r w:rsidR="00957FE3" w:rsidRPr="009C6D70">
        <w:t xml:space="preserve">hile </w:t>
      </w:r>
      <w:r w:rsidRPr="009C6D70">
        <w:t>it</w:t>
      </w:r>
      <w:r w:rsidR="00957FE3" w:rsidRPr="009C6D70">
        <w:t xml:space="preserve"> supports the Settlement, distribution base rates have yet to reach full cost of service levels despite two base rate proceedings.  </w:t>
      </w:r>
      <w:r w:rsidRPr="009C6D70">
        <w:t>According to DII, i</w:t>
      </w:r>
      <w:r w:rsidR="00957FE3" w:rsidRPr="009C6D70">
        <w:t xml:space="preserve">t is crucial that more progress toward cost of service, if not complete cost of service, be achieved by Duquesne in the next distribution base rate proceeding.  Notably, in its 2010 distribution base rate proceeding, PPL Electric Utilities Corporation (PPL) moved its rates for all major rate classes to "at or near" full cost of service, with PPL's entire proposed rate increase being allocated to residential customers in order to achieve this goal.  </w:t>
      </w:r>
      <w:r w:rsidR="00957FE3" w:rsidRPr="009C6D70">
        <w:rPr>
          <w:i/>
        </w:rPr>
        <w:t>Pa. PUC v. PPL Electric Utilities Corporation</w:t>
      </w:r>
      <w:r w:rsidR="00957FE3" w:rsidRPr="009C6D70">
        <w:t xml:space="preserve">, Docket No. R-2010-2161694 (Order entered December 21, 2010) at 36.  </w:t>
      </w:r>
      <w:r w:rsidRPr="009C6D70">
        <w:t>According to DII, t</w:t>
      </w:r>
      <w:r w:rsidR="00957FE3" w:rsidRPr="009C6D70">
        <w:t xml:space="preserve">his goal is mandated by </w:t>
      </w:r>
      <w:r w:rsidR="00957FE3" w:rsidRPr="009C6D70">
        <w:rPr>
          <w:i/>
        </w:rPr>
        <w:t>Lloyd v. Pennsylvania Public Utility Commission</w:t>
      </w:r>
      <w:r w:rsidR="00957FE3" w:rsidRPr="009C6D70">
        <w:t xml:space="preserve">, in which the Commonwealth Court of Pennsylvania declared achieving cost of service to be the "polestar" of utility ratemaking.  </w:t>
      </w:r>
      <w:r w:rsidR="00957FE3" w:rsidRPr="009C6D70">
        <w:rPr>
          <w:i/>
        </w:rPr>
        <w:t>Lloyd v. Pa. PUC</w:t>
      </w:r>
      <w:r w:rsidR="00957FE3" w:rsidRPr="009C6D70">
        <w:t xml:space="preserve">, 904 A.2d 1010 at 1020 (Pa. Cmwlth. 2006) </w:t>
      </w:r>
      <w:r w:rsidR="00957FE3" w:rsidRPr="009C6D70">
        <w:rPr>
          <w:i/>
        </w:rPr>
        <w:t>appeal denied</w:t>
      </w:r>
      <w:r w:rsidR="00805519">
        <w:rPr>
          <w:i/>
        </w:rPr>
        <w:t>,</w:t>
      </w:r>
      <w:r w:rsidR="00957FE3" w:rsidRPr="009C6D70">
        <w:t xml:space="preserve"> 591 Pa. 676, 916 A.2d 1104, fn. 10 (2007).  The Commonwealth Court held that while gradualism concerns may be considered, they do not outweigh the need to bring a timely end to cross-subsidization among rate classes: </w:t>
      </w:r>
    </w:p>
    <w:p w:rsidR="00317481" w:rsidRDefault="00317481" w:rsidP="00317481">
      <w:pPr>
        <w:ind w:left="1440" w:right="1440"/>
      </w:pPr>
    </w:p>
    <w:p w:rsidR="00957FE3" w:rsidRPr="009C6D70" w:rsidRDefault="00957FE3" w:rsidP="00317481">
      <w:pPr>
        <w:ind w:left="1440" w:right="1440"/>
      </w:pPr>
      <w:r w:rsidRPr="009C6D70">
        <w:t xml:space="preserve">However, while permitted, gradualism is but one of many factors to be considered and weighed by the Commission in determining rate designs, and principles of gradualism cannot be allowed to trump all other valid ratemaking concerns and do not justify allowing one class of customers to subsidize the cost of service for another class of customers over an extended period of time.  </w:t>
      </w:r>
    </w:p>
    <w:p w:rsidR="00957FE3" w:rsidRPr="009C6D70" w:rsidRDefault="00957FE3" w:rsidP="00317481">
      <w:pPr>
        <w:spacing w:line="360" w:lineRule="auto"/>
        <w:jc w:val="both"/>
      </w:pPr>
    </w:p>
    <w:p w:rsidR="00957FE3" w:rsidRPr="009C6D70" w:rsidRDefault="00957FE3" w:rsidP="00317481">
      <w:pPr>
        <w:spacing w:line="360" w:lineRule="auto"/>
      </w:pPr>
      <w:r w:rsidRPr="009C6D70">
        <w:rPr>
          <w:i/>
          <w:u w:val="single"/>
        </w:rPr>
        <w:t>Id.</w:t>
      </w:r>
      <w:r w:rsidRPr="009C6D70">
        <w:t xml:space="preserve">  PPL was able to achieve rates "at or near" full cost of service in its three rate cases since passage of the Electric Competition Act, 66 Pa. C.S. §2801 </w:t>
      </w:r>
      <w:r w:rsidRPr="009C6D70">
        <w:rPr>
          <w:i/>
        </w:rPr>
        <w:t>et seq</w:t>
      </w:r>
      <w:r w:rsidRPr="009C6D70">
        <w:t>., and</w:t>
      </w:r>
      <w:r w:rsidR="004C1105" w:rsidRPr="009C6D70">
        <w:t>,</w:t>
      </w:r>
      <w:r w:rsidRPr="009C6D70">
        <w:t xml:space="preserve"> </w:t>
      </w:r>
      <w:r w:rsidR="00EF4AF0" w:rsidRPr="009C6D70">
        <w:t>DII asserts</w:t>
      </w:r>
      <w:r w:rsidR="004C1105" w:rsidRPr="009C6D70">
        <w:t xml:space="preserve">, </w:t>
      </w:r>
      <w:r w:rsidRPr="009C6D70">
        <w:t>it is vital that the cross-subsidization by Duquesne's large and industrial customer classes end with the Company's third post-rate cap distribution case.</w:t>
      </w:r>
      <w:r w:rsidR="0004498A" w:rsidRPr="009C6D70">
        <w:t xml:space="preserve">  DII St. in Support, pp. 4-5.</w:t>
      </w:r>
      <w:r w:rsidRPr="009C6D70">
        <w:t xml:space="preserve"> </w:t>
      </w:r>
    </w:p>
    <w:p w:rsidR="00D00AB4" w:rsidRPr="009C6D70" w:rsidRDefault="00D00AB4" w:rsidP="00362D30">
      <w:pPr>
        <w:spacing w:line="360" w:lineRule="auto"/>
      </w:pPr>
    </w:p>
    <w:p w:rsidR="0083482E" w:rsidRDefault="0083482E">
      <w:r>
        <w:br w:type="page"/>
      </w:r>
    </w:p>
    <w:p w:rsidR="00D00AB4" w:rsidRPr="009C6D70" w:rsidRDefault="00D00AB4" w:rsidP="00362D30">
      <w:pPr>
        <w:spacing w:line="360" w:lineRule="auto"/>
      </w:pPr>
      <w:r w:rsidRPr="009C6D70">
        <w:lastRenderedPageBreak/>
        <w:t>F.</w:t>
      </w:r>
      <w:r w:rsidRPr="009C6D70">
        <w:tab/>
      </w:r>
      <w:r w:rsidRPr="009C6D70">
        <w:rPr>
          <w:u w:val="single"/>
        </w:rPr>
        <w:t>NRG’s Position</w:t>
      </w:r>
    </w:p>
    <w:p w:rsidR="00D00AB4" w:rsidRPr="009C6D70" w:rsidRDefault="00D00AB4" w:rsidP="00362D30">
      <w:pPr>
        <w:spacing w:line="360" w:lineRule="auto"/>
      </w:pPr>
    </w:p>
    <w:p w:rsidR="0004498A" w:rsidRPr="009C6D70" w:rsidRDefault="0004498A" w:rsidP="0004498A">
      <w:pPr>
        <w:pStyle w:val="Heading3"/>
        <w:numPr>
          <w:ilvl w:val="0"/>
          <w:numId w:val="0"/>
        </w:numPr>
        <w:spacing w:after="0" w:line="360" w:lineRule="auto"/>
        <w:ind w:firstLine="1440"/>
        <w:jc w:val="left"/>
        <w:rPr>
          <w:b w:val="0"/>
          <w:szCs w:val="24"/>
        </w:rPr>
      </w:pPr>
      <w:r w:rsidRPr="009C6D70">
        <w:rPr>
          <w:b w:val="0"/>
          <w:szCs w:val="24"/>
        </w:rPr>
        <w:t xml:space="preserve">NRG had concerns about the overall level of the rate increase initially requested by Duquesne (approximately 23.4 percent or $87.3 million per year).  NRG also had concerns about the allocation of this rate increase among the various rate schedules.  In NRG’s view, Duquesne’s proposal failed to eliminate cross-subsidies that harm commercial and industrial ratepayers, including customers receiving service under Rate Schedule GL.  </w:t>
      </w:r>
      <w:r w:rsidR="001068AE" w:rsidRPr="009C6D70">
        <w:rPr>
          <w:b w:val="0"/>
          <w:szCs w:val="24"/>
        </w:rPr>
        <w:t xml:space="preserve">NRG points out that </w:t>
      </w:r>
      <w:r w:rsidRPr="009C6D70">
        <w:rPr>
          <w:b w:val="0"/>
          <w:szCs w:val="24"/>
        </w:rPr>
        <w:t>these issues were the subject of extensive negotiations among the Joint Petitioners.  NRG</w:t>
      </w:r>
      <w:r w:rsidR="001068AE" w:rsidRPr="009C6D70">
        <w:rPr>
          <w:b w:val="0"/>
          <w:szCs w:val="24"/>
        </w:rPr>
        <w:t xml:space="preserve"> </w:t>
      </w:r>
      <w:r w:rsidRPr="009C6D70">
        <w:rPr>
          <w:b w:val="0"/>
          <w:szCs w:val="24"/>
        </w:rPr>
        <w:t>believes that the parties negotiated in good faith to reach a mutually-acceptable compromise.</w:t>
      </w:r>
      <w:r w:rsidR="001068AE" w:rsidRPr="009C6D70">
        <w:rPr>
          <w:b w:val="0"/>
          <w:szCs w:val="24"/>
        </w:rPr>
        <w:t xml:space="preserve"> NRG St. in Support, p. 3.</w:t>
      </w:r>
    </w:p>
    <w:p w:rsidR="0004498A" w:rsidRPr="009C6D70" w:rsidRDefault="0004498A" w:rsidP="0004498A">
      <w:pPr>
        <w:pStyle w:val="Heading3"/>
        <w:numPr>
          <w:ilvl w:val="0"/>
          <w:numId w:val="0"/>
        </w:numPr>
        <w:spacing w:after="0" w:line="360" w:lineRule="auto"/>
        <w:ind w:firstLine="1440"/>
        <w:jc w:val="left"/>
        <w:rPr>
          <w:b w:val="0"/>
          <w:szCs w:val="24"/>
        </w:rPr>
      </w:pPr>
    </w:p>
    <w:p w:rsidR="0004498A" w:rsidRPr="009C6D70" w:rsidRDefault="0004498A" w:rsidP="0004498A">
      <w:pPr>
        <w:pStyle w:val="Heading3"/>
        <w:numPr>
          <w:ilvl w:val="0"/>
          <w:numId w:val="0"/>
        </w:numPr>
        <w:spacing w:after="0" w:line="360" w:lineRule="auto"/>
        <w:ind w:firstLine="1440"/>
        <w:jc w:val="left"/>
        <w:rPr>
          <w:b w:val="0"/>
          <w:szCs w:val="24"/>
        </w:rPr>
      </w:pPr>
      <w:r w:rsidRPr="009C6D70">
        <w:rPr>
          <w:b w:val="0"/>
          <w:szCs w:val="24"/>
        </w:rPr>
        <w:t xml:space="preserve">Under the Settlement, the overall rate increase was reduced to approximately 11.7 percent.  Additionally, </w:t>
      </w:r>
      <w:r w:rsidR="001068AE" w:rsidRPr="009C6D70">
        <w:rPr>
          <w:b w:val="0"/>
          <w:szCs w:val="24"/>
        </w:rPr>
        <w:t xml:space="preserve">according to NRG, </w:t>
      </w:r>
      <w:r w:rsidRPr="009C6D70">
        <w:rPr>
          <w:b w:val="0"/>
          <w:szCs w:val="24"/>
        </w:rPr>
        <w:t>the cross-subsidies established under Duquesne</w:t>
      </w:r>
      <w:r w:rsidR="001068AE" w:rsidRPr="009C6D70">
        <w:rPr>
          <w:b w:val="0"/>
          <w:szCs w:val="24"/>
        </w:rPr>
        <w:t>’s</w:t>
      </w:r>
      <w:r w:rsidRPr="009C6D70">
        <w:rPr>
          <w:b w:val="0"/>
          <w:szCs w:val="24"/>
        </w:rPr>
        <w:t xml:space="preserve"> existing tariff were reduced to some extent.  Accordingly, on a percentage basis, the rate increase for customers served under the Rate Schedule GL</w:t>
      </w:r>
      <w:r w:rsidR="00ED0115" w:rsidRPr="009C6D70">
        <w:rPr>
          <w:b w:val="0"/>
          <w:szCs w:val="24"/>
        </w:rPr>
        <w:t xml:space="preserve"> (which includes NRG)</w:t>
      </w:r>
      <w:r w:rsidRPr="009C6D70">
        <w:rPr>
          <w:b w:val="0"/>
          <w:szCs w:val="24"/>
        </w:rPr>
        <w:t xml:space="preserve"> will be less than the average percentage increase.</w:t>
      </w:r>
      <w:r w:rsidR="001068AE" w:rsidRPr="009C6D70">
        <w:rPr>
          <w:b w:val="0"/>
          <w:szCs w:val="24"/>
        </w:rPr>
        <w:t xml:space="preserve">  NRG St. in Support, p. 3.</w:t>
      </w:r>
    </w:p>
    <w:p w:rsidR="0004498A" w:rsidRPr="009C6D70" w:rsidRDefault="0004498A" w:rsidP="0004498A">
      <w:pPr>
        <w:pStyle w:val="Heading3"/>
        <w:numPr>
          <w:ilvl w:val="0"/>
          <w:numId w:val="0"/>
        </w:numPr>
        <w:spacing w:after="0" w:line="360" w:lineRule="auto"/>
        <w:ind w:firstLine="1440"/>
        <w:jc w:val="left"/>
        <w:rPr>
          <w:b w:val="0"/>
          <w:szCs w:val="24"/>
        </w:rPr>
      </w:pPr>
    </w:p>
    <w:p w:rsidR="001068AE" w:rsidRPr="009C6D70" w:rsidRDefault="00ED0115" w:rsidP="001068AE">
      <w:pPr>
        <w:pStyle w:val="Heading3"/>
        <w:numPr>
          <w:ilvl w:val="0"/>
          <w:numId w:val="0"/>
        </w:numPr>
        <w:spacing w:after="0" w:line="360" w:lineRule="auto"/>
        <w:ind w:firstLine="1440"/>
        <w:jc w:val="left"/>
        <w:rPr>
          <w:b w:val="0"/>
          <w:szCs w:val="24"/>
        </w:rPr>
      </w:pPr>
      <w:r w:rsidRPr="009C6D70">
        <w:rPr>
          <w:b w:val="0"/>
          <w:szCs w:val="24"/>
        </w:rPr>
        <w:t>NRG</w:t>
      </w:r>
      <w:r w:rsidR="0004498A" w:rsidRPr="009C6D70">
        <w:rPr>
          <w:b w:val="0"/>
          <w:szCs w:val="24"/>
        </w:rPr>
        <w:t xml:space="preserve"> supports this Settlement because it is fair, just and reasonable and therefore is in the public interest.  </w:t>
      </w:r>
      <w:r w:rsidRPr="009C6D70">
        <w:rPr>
          <w:b w:val="0"/>
          <w:szCs w:val="24"/>
        </w:rPr>
        <w:t>According to NRG, w</w:t>
      </w:r>
      <w:r w:rsidR="0004498A" w:rsidRPr="009C6D70">
        <w:rPr>
          <w:b w:val="0"/>
          <w:szCs w:val="24"/>
        </w:rPr>
        <w:t>hile Duquesne still will earn varying rates of return on its service to different customer groups, the Settlement moves in a positive direction and reduces the disparities that now exist.</w:t>
      </w:r>
      <w:r w:rsidR="001068AE" w:rsidRPr="009C6D70">
        <w:rPr>
          <w:b w:val="0"/>
          <w:szCs w:val="24"/>
        </w:rPr>
        <w:t xml:space="preserve">  NRG St. in Support, p. 3.</w:t>
      </w:r>
    </w:p>
    <w:p w:rsidR="005A0D31" w:rsidRPr="009C6D70" w:rsidRDefault="005A0D31" w:rsidP="005A0D31">
      <w:pPr>
        <w:pStyle w:val="BodyText2"/>
        <w:ind w:firstLine="0"/>
      </w:pPr>
    </w:p>
    <w:p w:rsidR="005A0D31" w:rsidRPr="009C6D70" w:rsidRDefault="0083482E" w:rsidP="005A0D31">
      <w:pPr>
        <w:spacing w:line="360" w:lineRule="auto"/>
        <w:rPr>
          <w:u w:val="single"/>
        </w:rPr>
      </w:pPr>
      <w:r>
        <w:t>G</w:t>
      </w:r>
      <w:r w:rsidR="005A0D31" w:rsidRPr="009C6D70">
        <w:t>.</w:t>
      </w:r>
      <w:r w:rsidR="005A0D31" w:rsidRPr="009C6D70">
        <w:tab/>
      </w:r>
      <w:r w:rsidR="005A0D31" w:rsidRPr="009C6D70">
        <w:rPr>
          <w:u w:val="single"/>
        </w:rPr>
        <w:t>Recommendation</w:t>
      </w:r>
    </w:p>
    <w:p w:rsidR="005A0D31" w:rsidRPr="009C6D70" w:rsidRDefault="005A0D31" w:rsidP="005A0D31">
      <w:pPr>
        <w:spacing w:line="360" w:lineRule="auto"/>
      </w:pPr>
    </w:p>
    <w:p w:rsidR="00C82321" w:rsidRDefault="005A0D31" w:rsidP="005A0D31">
      <w:pPr>
        <w:tabs>
          <w:tab w:val="left" w:pos="0"/>
        </w:tabs>
        <w:spacing w:line="360" w:lineRule="auto"/>
      </w:pPr>
      <w:r w:rsidRPr="009C6D70">
        <w:tab/>
      </w:r>
      <w:r w:rsidRPr="009C6D70">
        <w:tab/>
        <w:t xml:space="preserve">The Joint Petitioners in this proceeding represent many interests.  </w:t>
      </w:r>
      <w:r w:rsidR="009E6258">
        <w:t xml:space="preserve">The </w:t>
      </w:r>
      <w:r w:rsidRPr="009C6D70">
        <w:t xml:space="preserve">OTS, </w:t>
      </w:r>
      <w:r w:rsidR="009E6258">
        <w:t xml:space="preserve">the </w:t>
      </w:r>
      <w:r w:rsidRPr="009C6D70">
        <w:t xml:space="preserve">OCA and </w:t>
      </w:r>
      <w:r w:rsidR="009E6258">
        <w:t xml:space="preserve">the </w:t>
      </w:r>
      <w:r w:rsidRPr="009C6D70">
        <w:t xml:space="preserve">OSBA represent the public interest, the interests of residential customers and the interests of small business customers, respectively.  In addition, the Joint Petitioners include </w:t>
      </w:r>
      <w:r w:rsidR="00873ED3" w:rsidRPr="009C6D70">
        <w:t xml:space="preserve">DII, which represents the following companies: </w:t>
      </w:r>
      <w:r w:rsidR="0083482E">
        <w:t xml:space="preserve"> </w:t>
      </w:r>
      <w:r w:rsidR="00873ED3" w:rsidRPr="009C6D70">
        <w:t xml:space="preserve">Allegheny Ludlum Corporation, Bayer Corporation, Giant Eagle, Inc., Horsehead Corporation, The Linde Group, United States Steel Corporation, Universal Stainless and Alloy Products, Inc., and the University of Pittsburgh.  NRG was also </w:t>
      </w:r>
    </w:p>
    <w:p w:rsidR="00C82321" w:rsidRDefault="00C82321">
      <w:r>
        <w:br w:type="page"/>
      </w:r>
    </w:p>
    <w:p w:rsidR="005A0D31" w:rsidRPr="009C6D70" w:rsidRDefault="00873ED3" w:rsidP="005A0D31">
      <w:pPr>
        <w:tabs>
          <w:tab w:val="left" w:pos="0"/>
        </w:tabs>
        <w:spacing w:line="360" w:lineRule="auto"/>
      </w:pPr>
      <w:proofErr w:type="gramStart"/>
      <w:r w:rsidRPr="009C6D70">
        <w:lastRenderedPageBreak/>
        <w:t>represented</w:t>
      </w:r>
      <w:proofErr w:type="gramEnd"/>
      <w:r w:rsidRPr="009C6D70">
        <w:t xml:space="preserve">.  </w:t>
      </w:r>
      <w:r w:rsidR="005A0D31" w:rsidRPr="009C6D70">
        <w:t xml:space="preserve">To reach a settlement of all issues with the aforementioned parties in such a base rate case is unusual.  It represents hours of negotiation and a great deal of cooperation.  The Settlement addresses, or takes off the table, every contested issue in this proceeding.  Because all of the diverse interests represented by the Joint Petitioners have been satisfied, the Settlement benefits </w:t>
      </w:r>
      <w:r w:rsidRPr="009C6D70">
        <w:t>Duquesne’s</w:t>
      </w:r>
      <w:r w:rsidR="005A0D31" w:rsidRPr="009C6D70">
        <w:t xml:space="preserve"> customers.  It saves the parties and the Commission the time and expense of fully litigating this matter.  The parties have avoided the need to prepare for and participate in</w:t>
      </w:r>
      <w:r w:rsidR="00AC14B3" w:rsidRPr="009C6D70">
        <w:t xml:space="preserve"> extensive, contentious </w:t>
      </w:r>
      <w:r w:rsidR="005A0D31" w:rsidRPr="009C6D70">
        <w:t xml:space="preserve">hearings, prepare briefs, reply briefs, exceptions, replies to exceptions and possible appellate litigation.  </w:t>
      </w:r>
      <w:r w:rsidR="00AC14B3" w:rsidRPr="009C6D70">
        <w:t xml:space="preserve">Duquesne’s </w:t>
      </w:r>
      <w:r w:rsidR="005A0D31" w:rsidRPr="009C6D70">
        <w:t>customers benefit from this cost savings.</w:t>
      </w:r>
    </w:p>
    <w:p w:rsidR="005A0D31" w:rsidRPr="009C6D70" w:rsidRDefault="005A0D31" w:rsidP="005A0D31">
      <w:pPr>
        <w:tabs>
          <w:tab w:val="left" w:pos="0"/>
        </w:tabs>
        <w:spacing w:line="360" w:lineRule="auto"/>
      </w:pPr>
    </w:p>
    <w:p w:rsidR="005A0D31" w:rsidRPr="009C6D70" w:rsidRDefault="005A0D31" w:rsidP="005A0D31">
      <w:pPr>
        <w:tabs>
          <w:tab w:val="left" w:pos="0"/>
        </w:tabs>
        <w:spacing w:line="360" w:lineRule="auto"/>
      </w:pPr>
      <w:r w:rsidRPr="009C6D70">
        <w:tab/>
      </w:r>
      <w:r w:rsidRPr="009C6D70">
        <w:tab/>
        <w:t xml:space="preserve">The Joint Petition for Settlement of All Issues was served on all non-signatory parties to this base rate case.  Objections to the proposed Settlement were to have been filed on or before 4:30 p.m. on </w:t>
      </w:r>
      <w:r w:rsidR="00AC14B3" w:rsidRPr="009C6D70">
        <w:t xml:space="preserve">Monday, January 24, 2011.  </w:t>
      </w:r>
      <w:r w:rsidRPr="009C6D70">
        <w:t>No objections were filed.</w:t>
      </w:r>
    </w:p>
    <w:p w:rsidR="005A0D31" w:rsidRPr="009C6D70" w:rsidRDefault="005A0D31" w:rsidP="005A0D31">
      <w:pPr>
        <w:spacing w:line="360" w:lineRule="auto"/>
      </w:pPr>
    </w:p>
    <w:p w:rsidR="005A0D31" w:rsidRPr="009C6D70" w:rsidRDefault="005A0D31" w:rsidP="005A0D31">
      <w:pPr>
        <w:spacing w:line="360" w:lineRule="auto"/>
      </w:pPr>
      <w:r w:rsidRPr="009C6D70">
        <w:tab/>
      </w:r>
      <w:r w:rsidRPr="009C6D70">
        <w:tab/>
        <w:t>Upon due consideration of the terms and conditions of the Joint Petition for Settlement of All Issues, including the statements of the Joint Petitioners, this Settlement constitutes a fair, just and reasonable resolution of the Commission’s investigation.  Therefore, the Joint Petition for Settlement of All Issues is in the public interest and should be approved.</w:t>
      </w:r>
    </w:p>
    <w:p w:rsidR="009E4DD5" w:rsidRPr="009C6D70" w:rsidRDefault="009E4DD5" w:rsidP="005A0D31">
      <w:pPr>
        <w:spacing w:line="360" w:lineRule="auto"/>
      </w:pPr>
    </w:p>
    <w:p w:rsidR="00AC26E2" w:rsidRPr="009C6D70" w:rsidRDefault="00AC26E2" w:rsidP="00AC26E2">
      <w:pPr>
        <w:spacing w:line="360" w:lineRule="auto"/>
        <w:jc w:val="center"/>
      </w:pPr>
      <w:r w:rsidRPr="009C6D70">
        <w:t>V.</w:t>
      </w:r>
      <w:r w:rsidRPr="009C6D70">
        <w:tab/>
      </w:r>
      <w:r w:rsidRPr="009C6D70">
        <w:rPr>
          <w:u w:val="single"/>
        </w:rPr>
        <w:t>CONCLUSIONS OF LAW</w:t>
      </w:r>
    </w:p>
    <w:p w:rsidR="00AC26E2" w:rsidRPr="009C6D70" w:rsidRDefault="00AC26E2" w:rsidP="00AC26E2">
      <w:pPr>
        <w:spacing w:line="360" w:lineRule="auto"/>
      </w:pPr>
    </w:p>
    <w:p w:rsidR="00AC26E2" w:rsidRPr="009C6D70" w:rsidRDefault="00AC26E2" w:rsidP="00AC26E2">
      <w:pPr>
        <w:numPr>
          <w:ilvl w:val="0"/>
          <w:numId w:val="19"/>
        </w:numPr>
        <w:tabs>
          <w:tab w:val="clear" w:pos="720"/>
          <w:tab w:val="num" w:pos="0"/>
        </w:tabs>
        <w:spacing w:line="360" w:lineRule="auto"/>
        <w:ind w:left="0" w:firstLine="1440"/>
      </w:pPr>
      <w:r w:rsidRPr="009C6D70">
        <w:t xml:space="preserve">The Commission has jurisdiction over the subject matter and the parties to this proceeding.  66 Pa. C.S. §§501, </w:t>
      </w:r>
      <w:r w:rsidRPr="009C6D70">
        <w:rPr>
          <w:i/>
        </w:rPr>
        <w:t>et seq</w:t>
      </w:r>
      <w:r w:rsidRPr="009C6D70">
        <w:t>.</w:t>
      </w:r>
    </w:p>
    <w:p w:rsidR="00AC26E2" w:rsidRPr="009C6D70" w:rsidRDefault="00AC26E2" w:rsidP="00AC26E2">
      <w:pPr>
        <w:spacing w:line="360" w:lineRule="auto"/>
      </w:pPr>
    </w:p>
    <w:p w:rsidR="00AC26E2" w:rsidRPr="009C6D70" w:rsidRDefault="00AC26E2" w:rsidP="00AC26E2">
      <w:pPr>
        <w:numPr>
          <w:ilvl w:val="0"/>
          <w:numId w:val="19"/>
        </w:numPr>
        <w:tabs>
          <w:tab w:val="clear" w:pos="720"/>
          <w:tab w:val="num" w:pos="0"/>
        </w:tabs>
        <w:spacing w:line="360" w:lineRule="auto"/>
        <w:ind w:left="0" w:firstLine="1440"/>
      </w:pPr>
      <w:r w:rsidRPr="009C6D70">
        <w:t>The Joint Petition for Settlement of All Issues is in the public interest and</w:t>
      </w:r>
      <w:r w:rsidR="006922F4" w:rsidRPr="009C6D70">
        <w:t xml:space="preserve"> is consistent with </w:t>
      </w:r>
      <w:r w:rsidRPr="009C6D70">
        <w:t>the requirements</w:t>
      </w:r>
      <w:r w:rsidR="006922F4" w:rsidRPr="009C6D70">
        <w:t xml:space="preserve"> contained in </w:t>
      </w:r>
      <w:r w:rsidRPr="00037AF8">
        <w:rPr>
          <w:i/>
        </w:rPr>
        <w:t>Lloyd v. Pa. P.U.C.</w:t>
      </w:r>
      <w:r w:rsidRPr="009C6D70">
        <w:t xml:space="preserve">, </w:t>
      </w:r>
      <w:r w:rsidR="00272171" w:rsidRPr="009C6D70">
        <w:t>904 A.2d 1010</w:t>
      </w:r>
      <w:r w:rsidRPr="009C6D70">
        <w:t xml:space="preserve"> (Pa. Cmwlth. 2006).</w:t>
      </w:r>
    </w:p>
    <w:p w:rsidR="001760EF" w:rsidRPr="009C6D70" w:rsidRDefault="001760EF" w:rsidP="00AF5461">
      <w:pPr>
        <w:spacing w:line="360" w:lineRule="auto"/>
      </w:pPr>
    </w:p>
    <w:p w:rsidR="004A16D5" w:rsidRDefault="004A16D5">
      <w:pPr>
        <w:sectPr w:rsidR="004A16D5" w:rsidSect="008251FA">
          <w:pgSz w:w="12240" w:h="15840" w:code="1"/>
          <w:pgMar w:top="1440" w:right="1440" w:bottom="1440" w:left="1440" w:header="720" w:footer="720" w:gutter="0"/>
          <w:pgNumType w:start="1"/>
          <w:cols w:space="720"/>
          <w:titlePg/>
          <w:docGrid w:linePitch="360"/>
        </w:sectPr>
      </w:pPr>
    </w:p>
    <w:p w:rsidR="008F5E2B" w:rsidRPr="009C6D70" w:rsidRDefault="00130EC8" w:rsidP="00130EC8">
      <w:pPr>
        <w:spacing w:line="360" w:lineRule="auto"/>
        <w:jc w:val="center"/>
      </w:pPr>
      <w:r w:rsidRPr="009C6D70">
        <w:lastRenderedPageBreak/>
        <w:t>VI.</w:t>
      </w:r>
      <w:r w:rsidRPr="009C6D70">
        <w:tab/>
      </w:r>
      <w:r w:rsidRPr="009C6D70">
        <w:rPr>
          <w:u w:val="single"/>
        </w:rPr>
        <w:t>ORDER</w:t>
      </w:r>
    </w:p>
    <w:p w:rsidR="00130EC8" w:rsidRPr="009C6D70" w:rsidRDefault="00130EC8" w:rsidP="00130EC8">
      <w:pPr>
        <w:spacing w:line="360" w:lineRule="auto"/>
      </w:pPr>
    </w:p>
    <w:p w:rsidR="00130EC8" w:rsidRPr="009C6D70" w:rsidRDefault="00130EC8" w:rsidP="00130EC8">
      <w:pPr>
        <w:spacing w:line="360" w:lineRule="auto"/>
      </w:pPr>
      <w:r w:rsidRPr="009C6D70">
        <w:tab/>
      </w:r>
      <w:r w:rsidRPr="009C6D70">
        <w:tab/>
        <w:t>THEREFORE,</w:t>
      </w:r>
    </w:p>
    <w:p w:rsidR="00130EC8" w:rsidRPr="009C6D70" w:rsidRDefault="00130EC8" w:rsidP="00130EC8">
      <w:pPr>
        <w:spacing w:line="360" w:lineRule="auto"/>
      </w:pPr>
    </w:p>
    <w:p w:rsidR="00130EC8" w:rsidRPr="009C6D70" w:rsidRDefault="00130EC8" w:rsidP="00130EC8">
      <w:pPr>
        <w:spacing w:line="360" w:lineRule="auto"/>
      </w:pPr>
      <w:r w:rsidRPr="009C6D70">
        <w:tab/>
      </w:r>
      <w:r w:rsidRPr="009C6D70">
        <w:tab/>
        <w:t>IT IS RECOMMENDED:</w:t>
      </w:r>
    </w:p>
    <w:p w:rsidR="00130EC8" w:rsidRPr="009C6D70" w:rsidRDefault="00130EC8" w:rsidP="00130EC8">
      <w:pPr>
        <w:spacing w:line="360" w:lineRule="auto"/>
      </w:pPr>
    </w:p>
    <w:p w:rsidR="00007A6A" w:rsidRPr="009C6D70" w:rsidRDefault="00136AC2" w:rsidP="00470730">
      <w:pPr>
        <w:numPr>
          <w:ilvl w:val="0"/>
          <w:numId w:val="17"/>
        </w:numPr>
        <w:tabs>
          <w:tab w:val="clear" w:pos="720"/>
        </w:tabs>
        <w:spacing w:line="360" w:lineRule="auto"/>
        <w:ind w:left="0" w:firstLine="1440"/>
      </w:pPr>
      <w:r w:rsidRPr="009C6D70">
        <w:t xml:space="preserve">That the Joint Petition for Settlement of All Issues that </w:t>
      </w:r>
      <w:r w:rsidR="002F63D2" w:rsidRPr="009C6D70">
        <w:t>Duquesne Light Company, the Office of Trial Staff, the Office of Consumer Advocate, the Office of Small Business Advocate, the Duquesne Industrial Intervenors and NRG Energy Center Pittsburgh</w:t>
      </w:r>
      <w:r w:rsidR="00921B0A">
        <w:t>,</w:t>
      </w:r>
      <w:r w:rsidR="002F63D2" w:rsidRPr="009C6D70">
        <w:t xml:space="preserve"> LLC </w:t>
      </w:r>
      <w:r w:rsidRPr="009C6D70">
        <w:t>have submitted at Docket No</w:t>
      </w:r>
      <w:r w:rsidR="007210F1" w:rsidRPr="009C6D70">
        <w:t>s</w:t>
      </w:r>
      <w:r w:rsidRPr="009C6D70">
        <w:t>. R</w:t>
      </w:r>
      <w:r w:rsidRPr="009C6D70">
        <w:noBreakHyphen/>
      </w:r>
      <w:r w:rsidR="002F63D2" w:rsidRPr="009C6D70">
        <w:t xml:space="preserve">2010-2179522, </w:t>
      </w:r>
      <w:r w:rsidR="00AE6923" w:rsidRPr="009C6D70">
        <w:t xml:space="preserve">C-2010-2194660, </w:t>
      </w:r>
      <w:r w:rsidR="002F63D2" w:rsidRPr="009C6D70">
        <w:t>C-2010-2193322, R</w:t>
      </w:r>
      <w:r w:rsidR="00470730">
        <w:noBreakHyphen/>
      </w:r>
      <w:r w:rsidR="002F63D2" w:rsidRPr="009C6D70">
        <w:t>2010-2153066, C-2010-2196479, C-2010</w:t>
      </w:r>
      <w:r w:rsidR="00C72589" w:rsidRPr="009C6D70">
        <w:t>-2196790, C-2010-2199926, C-2010-2199945, C</w:t>
      </w:r>
      <w:r w:rsidR="00470730">
        <w:noBreakHyphen/>
      </w:r>
      <w:r w:rsidR="00C72589" w:rsidRPr="009C6D70">
        <w:t>2010-2200548, C-2010-2201179, C-2010-2202732, C-2010-2202837, C-2010-2203197, C</w:t>
      </w:r>
      <w:r w:rsidR="00470730">
        <w:noBreakHyphen/>
      </w:r>
      <w:r w:rsidR="00C72589" w:rsidRPr="009C6D70">
        <w:t>2010-2203912, C-2010-2204100, C-2010-2206586, C-2010-</w:t>
      </w:r>
      <w:r w:rsidR="00450D55" w:rsidRPr="009C6D70">
        <w:t>2213076 and C-2010-2214197,</w:t>
      </w:r>
      <w:r w:rsidR="007210F1" w:rsidRPr="009C6D70">
        <w:t xml:space="preserve"> including all terms and conditions</w:t>
      </w:r>
      <w:r w:rsidR="00AC26E2" w:rsidRPr="009C6D70">
        <w:t xml:space="preserve"> stated therein</w:t>
      </w:r>
      <w:r w:rsidR="007210F1" w:rsidRPr="009C6D70">
        <w:t xml:space="preserve">, </w:t>
      </w:r>
      <w:r w:rsidR="00805519">
        <w:t>be</w:t>
      </w:r>
      <w:r w:rsidR="007210F1" w:rsidRPr="009C6D70">
        <w:t xml:space="preserve"> approved without modification</w:t>
      </w:r>
      <w:r w:rsidRPr="009C6D70">
        <w:t>.</w:t>
      </w:r>
      <w:r w:rsidR="00007A6A" w:rsidRPr="009C6D70">
        <w:t xml:space="preserve">  </w:t>
      </w:r>
    </w:p>
    <w:p w:rsidR="00136AC2" w:rsidRPr="009C6D70" w:rsidRDefault="00136AC2" w:rsidP="00470730">
      <w:pPr>
        <w:spacing w:line="360" w:lineRule="auto"/>
        <w:ind w:firstLine="1440"/>
      </w:pPr>
    </w:p>
    <w:p w:rsidR="00136AC2" w:rsidRPr="009C6D70" w:rsidRDefault="00AE0F52" w:rsidP="00130EC8">
      <w:pPr>
        <w:numPr>
          <w:ilvl w:val="0"/>
          <w:numId w:val="17"/>
        </w:numPr>
        <w:tabs>
          <w:tab w:val="clear" w:pos="720"/>
          <w:tab w:val="num" w:pos="0"/>
        </w:tabs>
        <w:spacing w:line="360" w:lineRule="auto"/>
        <w:ind w:left="0" w:firstLine="1440"/>
      </w:pPr>
      <w:r w:rsidRPr="009C6D70">
        <w:t xml:space="preserve">That </w:t>
      </w:r>
      <w:r w:rsidR="00450D55" w:rsidRPr="009C6D70">
        <w:t>Duquesne Light Company</w:t>
      </w:r>
      <w:r w:rsidRPr="009C6D70">
        <w:t xml:space="preserve"> </w:t>
      </w:r>
      <w:r w:rsidR="00C82321">
        <w:t xml:space="preserve">shall be permitted to file a tariff supplement incorporating the terms of the Settlement and changes to rates, rules and regulations as set forth in </w:t>
      </w:r>
      <w:r w:rsidRPr="009C6D70">
        <w:t xml:space="preserve">Appendix A </w:t>
      </w:r>
      <w:r w:rsidR="003137EE">
        <w:t>of</w:t>
      </w:r>
      <w:r w:rsidRPr="009C6D70">
        <w:t xml:space="preserve"> the Joint Petition for Settlement of All Issues, </w:t>
      </w:r>
      <w:r w:rsidR="003137EE">
        <w:t xml:space="preserve">to </w:t>
      </w:r>
      <w:r w:rsidR="00805519">
        <w:t>become</w:t>
      </w:r>
      <w:r w:rsidRPr="009C6D70">
        <w:t xml:space="preserve"> effect</w:t>
      </w:r>
      <w:r w:rsidR="00805519">
        <w:t>ive</w:t>
      </w:r>
      <w:r w:rsidRPr="009C6D70">
        <w:t xml:space="preserve"> on </w:t>
      </w:r>
      <w:r w:rsidR="003137EE">
        <w:t>one day’s notice after entry of the Commission’s Order approving the Settlement, for service rendered on and</w:t>
      </w:r>
      <w:r w:rsidRPr="009C6D70">
        <w:t xml:space="preserve"> after </w:t>
      </w:r>
      <w:r w:rsidR="00450D55" w:rsidRPr="009C6D70">
        <w:t>April 21, 2011</w:t>
      </w:r>
      <w:r w:rsidR="003137EE">
        <w:t>, which tariff supplement increases Duquesne Light Company’s rates so as to produce an annual increase in operating revenues of not more than $</w:t>
      </w:r>
      <w:r w:rsidR="007C3E3C">
        <w:t>45,700,000.</w:t>
      </w:r>
    </w:p>
    <w:p w:rsidR="00AE0F52" w:rsidRPr="009C6D70" w:rsidRDefault="00AE0F52" w:rsidP="00AE0F52">
      <w:pPr>
        <w:spacing w:line="360" w:lineRule="auto"/>
      </w:pPr>
    </w:p>
    <w:p w:rsidR="00AE0F52" w:rsidRPr="009C6D70" w:rsidRDefault="00AE0F52" w:rsidP="00130EC8">
      <w:pPr>
        <w:numPr>
          <w:ilvl w:val="0"/>
          <w:numId w:val="17"/>
        </w:numPr>
        <w:tabs>
          <w:tab w:val="clear" w:pos="720"/>
          <w:tab w:val="num" w:pos="0"/>
        </w:tabs>
        <w:spacing w:line="360" w:lineRule="auto"/>
        <w:ind w:left="0" w:firstLine="1440"/>
      </w:pPr>
      <w:r w:rsidRPr="009C6D70">
        <w:t xml:space="preserve">That the </w:t>
      </w:r>
      <w:r w:rsidR="008938E8" w:rsidRPr="009C6D70">
        <w:t xml:space="preserve">following complaints </w:t>
      </w:r>
      <w:r w:rsidR="004D7AC2" w:rsidRPr="009C6D70">
        <w:t xml:space="preserve">consolidated with the Commission’s investigation at Docket No. R-2010-2179522 </w:t>
      </w:r>
      <w:proofErr w:type="gramStart"/>
      <w:r w:rsidR="00805519">
        <w:t>be</w:t>
      </w:r>
      <w:proofErr w:type="gramEnd"/>
      <w:r w:rsidR="00805519">
        <w:t xml:space="preserve"> </w:t>
      </w:r>
      <w:r w:rsidR="008938E8" w:rsidRPr="009C6D70">
        <w:t xml:space="preserve">dismissed: </w:t>
      </w:r>
      <w:r w:rsidR="0083482E">
        <w:t xml:space="preserve"> </w:t>
      </w:r>
      <w:r w:rsidR="00AE6923" w:rsidRPr="009C6D70">
        <w:t xml:space="preserve">the Office of Consumer Advocate, C-2010-2194660; </w:t>
      </w:r>
      <w:r w:rsidR="008938E8" w:rsidRPr="009C6D70">
        <w:t xml:space="preserve">the Office of Small Business Advocate, C-2010-2193322; Linda L. Sullivan, Docket No. </w:t>
      </w:r>
      <w:r w:rsidR="004D7AC2" w:rsidRPr="009C6D70">
        <w:t>R</w:t>
      </w:r>
      <w:r w:rsidR="008938E8" w:rsidRPr="009C6D70">
        <w:t xml:space="preserve">-2010-2153066; Janet Vento, Docket No. C-2010-2196479; Mary M. Chestnut, Docket No. C-2010-2196790; Donald Killmeyer, Docket No. C-2010-2199926; Sarah Divilly, Docket No. C-2010-2199945; Delores D. White, Docket No. C-2010-2200548; Vicki Courie, Docket No. C-2010-2201179; Rebecca Nesvet, Docket No. C-2010-2202732; Marie Rubottom, Docket No. C-2010-2202837; Duquesne Industrial Intervenors, Docket No. C-2010-2203197; </w:t>
      </w:r>
      <w:r w:rsidR="008938E8" w:rsidRPr="009C6D70">
        <w:lastRenderedPageBreak/>
        <w:t>Carolina Ursitti, Docket No. C-2010-2203912; Donald J. Gilbert, Docket No. C-2010-2204100; NRG Energy Center Pittsburgh, LLC, Docket No. C-2010-2206586; Jay Folkens, Docket No. C</w:t>
      </w:r>
      <w:r w:rsidR="00805519">
        <w:noBreakHyphen/>
      </w:r>
      <w:r w:rsidR="008938E8" w:rsidRPr="009C6D70">
        <w:t>2010-2213076; and John and Sherry Urban, Docket No. C-2010-2214197</w:t>
      </w:r>
      <w:r w:rsidRPr="009C6D70">
        <w:t>.</w:t>
      </w:r>
    </w:p>
    <w:p w:rsidR="007210F1" w:rsidRPr="009C6D70" w:rsidRDefault="007210F1" w:rsidP="007210F1">
      <w:pPr>
        <w:spacing w:line="360" w:lineRule="auto"/>
      </w:pPr>
    </w:p>
    <w:p w:rsidR="007210F1" w:rsidRDefault="007210F1" w:rsidP="00130EC8">
      <w:pPr>
        <w:numPr>
          <w:ilvl w:val="0"/>
          <w:numId w:val="17"/>
        </w:numPr>
        <w:tabs>
          <w:tab w:val="clear" w:pos="720"/>
          <w:tab w:val="num" w:pos="0"/>
        </w:tabs>
        <w:spacing w:line="360" w:lineRule="auto"/>
        <w:ind w:left="0" w:firstLine="1440"/>
      </w:pPr>
      <w:r w:rsidRPr="009C6D70">
        <w:t xml:space="preserve">That the Commission’s investigation at Docket No. </w:t>
      </w:r>
      <w:r w:rsidR="00450D55" w:rsidRPr="009C6D70">
        <w:t>R-2010-2179522</w:t>
      </w:r>
      <w:r w:rsidRPr="009C6D70">
        <w:t xml:space="preserve"> </w:t>
      </w:r>
      <w:proofErr w:type="gramStart"/>
      <w:r w:rsidR="00805519">
        <w:t>be</w:t>
      </w:r>
      <w:proofErr w:type="gramEnd"/>
      <w:r w:rsidR="00AC26E2" w:rsidRPr="009C6D70">
        <w:t xml:space="preserve"> </w:t>
      </w:r>
      <w:r w:rsidRPr="009C6D70">
        <w:t>marked closed.</w:t>
      </w:r>
    </w:p>
    <w:p w:rsidR="00470730" w:rsidRPr="009C6D70" w:rsidRDefault="00470730" w:rsidP="00470730">
      <w:pPr>
        <w:spacing w:line="360" w:lineRule="auto"/>
        <w:ind w:left="1440"/>
      </w:pPr>
    </w:p>
    <w:p w:rsidR="00595E5F" w:rsidRPr="009C6D70" w:rsidRDefault="00595E5F" w:rsidP="00595E5F">
      <w:pPr>
        <w:spacing w:line="360" w:lineRule="auto"/>
      </w:pPr>
    </w:p>
    <w:p w:rsidR="00595E5F" w:rsidRPr="009C6D70" w:rsidRDefault="00595E5F" w:rsidP="00595E5F">
      <w:r w:rsidRPr="009C6D70">
        <w:t xml:space="preserve">Date:  </w:t>
      </w:r>
      <w:r w:rsidR="004D7AC2" w:rsidRPr="009C6D70">
        <w:rPr>
          <w:u w:val="single"/>
        </w:rPr>
        <w:t xml:space="preserve">January </w:t>
      </w:r>
      <w:r w:rsidR="00A01B68">
        <w:rPr>
          <w:u w:val="single"/>
        </w:rPr>
        <w:t>28</w:t>
      </w:r>
      <w:r w:rsidR="004D7AC2" w:rsidRPr="009C6D70">
        <w:rPr>
          <w:u w:val="single"/>
        </w:rPr>
        <w:t>, 2011</w:t>
      </w:r>
      <w:r w:rsidRPr="009C6D70">
        <w:tab/>
      </w:r>
      <w:r w:rsidRPr="009C6D70">
        <w:tab/>
      </w:r>
      <w:r w:rsidRPr="009C6D70">
        <w:tab/>
      </w:r>
      <w:r w:rsidRPr="009C6D70">
        <w:tab/>
      </w:r>
      <w:r w:rsidRPr="009C6D70">
        <w:rPr>
          <w:u w:val="single"/>
        </w:rPr>
        <w:tab/>
      </w:r>
      <w:r w:rsidRPr="009C6D70">
        <w:rPr>
          <w:u w:val="single"/>
        </w:rPr>
        <w:tab/>
      </w:r>
      <w:r w:rsidRPr="009C6D70">
        <w:rPr>
          <w:u w:val="single"/>
        </w:rPr>
        <w:tab/>
      </w:r>
      <w:r w:rsidRPr="009C6D70">
        <w:rPr>
          <w:u w:val="single"/>
        </w:rPr>
        <w:tab/>
      </w:r>
      <w:r w:rsidRPr="009C6D70">
        <w:rPr>
          <w:u w:val="single"/>
        </w:rPr>
        <w:tab/>
      </w:r>
      <w:r w:rsidRPr="009C6D70">
        <w:rPr>
          <w:u w:val="single"/>
        </w:rPr>
        <w:tab/>
      </w:r>
    </w:p>
    <w:p w:rsidR="00595E5F" w:rsidRPr="009C6D70" w:rsidRDefault="00595E5F" w:rsidP="00595E5F">
      <w:r w:rsidRPr="009C6D70">
        <w:tab/>
      </w:r>
      <w:r w:rsidRPr="009C6D70">
        <w:tab/>
      </w:r>
      <w:r w:rsidRPr="009C6D70">
        <w:tab/>
      </w:r>
      <w:r w:rsidRPr="009C6D70">
        <w:tab/>
      </w:r>
      <w:r w:rsidRPr="009C6D70">
        <w:tab/>
      </w:r>
      <w:r w:rsidRPr="009C6D70">
        <w:tab/>
      </w:r>
      <w:r w:rsidRPr="009C6D70">
        <w:tab/>
      </w:r>
      <w:r w:rsidR="004D7AC2" w:rsidRPr="009C6D70">
        <w:t>Conrad A. Johnson</w:t>
      </w:r>
    </w:p>
    <w:p w:rsidR="00595E5F" w:rsidRPr="009C6D70" w:rsidRDefault="00595E5F" w:rsidP="00595E5F">
      <w:r w:rsidRPr="009C6D70">
        <w:tab/>
      </w:r>
      <w:r w:rsidRPr="009C6D70">
        <w:tab/>
      </w:r>
      <w:r w:rsidRPr="009C6D70">
        <w:tab/>
      </w:r>
      <w:r w:rsidRPr="009C6D70">
        <w:tab/>
      </w:r>
      <w:r w:rsidRPr="009C6D70">
        <w:tab/>
      </w:r>
      <w:r w:rsidRPr="009C6D70">
        <w:tab/>
      </w:r>
      <w:r w:rsidRPr="009C6D70">
        <w:tab/>
        <w:t>Administrative Law Judge</w:t>
      </w:r>
    </w:p>
    <w:p w:rsidR="00595E5F" w:rsidRPr="009C6D70" w:rsidRDefault="00595E5F" w:rsidP="00595E5F"/>
    <w:p w:rsidR="00595E5F" w:rsidRPr="009C6D70" w:rsidRDefault="00595E5F" w:rsidP="00595E5F"/>
    <w:p w:rsidR="00595E5F" w:rsidRPr="009C6D70" w:rsidRDefault="00595E5F" w:rsidP="00595E5F">
      <w:r w:rsidRPr="009C6D70">
        <w:tab/>
      </w:r>
      <w:r w:rsidRPr="009C6D70">
        <w:tab/>
      </w:r>
      <w:r w:rsidRPr="009C6D70">
        <w:tab/>
      </w:r>
      <w:r w:rsidRPr="009C6D70">
        <w:tab/>
      </w:r>
      <w:r w:rsidRPr="009C6D70">
        <w:tab/>
      </w:r>
      <w:r w:rsidRPr="009C6D70">
        <w:tab/>
      </w:r>
      <w:r w:rsidRPr="009C6D70">
        <w:tab/>
      </w:r>
      <w:r w:rsidRPr="009C6D70">
        <w:rPr>
          <w:u w:val="single"/>
        </w:rPr>
        <w:tab/>
      </w:r>
      <w:r w:rsidRPr="009C6D70">
        <w:rPr>
          <w:u w:val="single"/>
        </w:rPr>
        <w:tab/>
      </w:r>
      <w:r w:rsidRPr="009C6D70">
        <w:rPr>
          <w:u w:val="single"/>
        </w:rPr>
        <w:tab/>
      </w:r>
      <w:r w:rsidRPr="009C6D70">
        <w:rPr>
          <w:u w:val="single"/>
        </w:rPr>
        <w:tab/>
      </w:r>
      <w:r w:rsidRPr="009C6D70">
        <w:rPr>
          <w:u w:val="single"/>
        </w:rPr>
        <w:tab/>
      </w:r>
      <w:r w:rsidRPr="009C6D70">
        <w:rPr>
          <w:u w:val="single"/>
        </w:rPr>
        <w:tab/>
      </w:r>
    </w:p>
    <w:p w:rsidR="00595E5F" w:rsidRPr="009C6D70" w:rsidRDefault="00595E5F" w:rsidP="00595E5F">
      <w:r w:rsidRPr="009C6D70">
        <w:tab/>
      </w:r>
      <w:r w:rsidRPr="009C6D70">
        <w:tab/>
      </w:r>
      <w:r w:rsidRPr="009C6D70">
        <w:tab/>
      </w:r>
      <w:r w:rsidRPr="009C6D70">
        <w:tab/>
      </w:r>
      <w:r w:rsidRPr="009C6D70">
        <w:tab/>
      </w:r>
      <w:r w:rsidRPr="009C6D70">
        <w:tab/>
      </w:r>
      <w:r w:rsidRPr="009C6D70">
        <w:tab/>
        <w:t>Mark A. Hoyer</w:t>
      </w:r>
    </w:p>
    <w:p w:rsidR="00595E5F" w:rsidRPr="009C6D70" w:rsidRDefault="00595E5F" w:rsidP="00595E5F">
      <w:r w:rsidRPr="009C6D70">
        <w:tab/>
      </w:r>
      <w:r w:rsidRPr="009C6D70">
        <w:tab/>
      </w:r>
      <w:r w:rsidRPr="009C6D70">
        <w:tab/>
      </w:r>
      <w:r w:rsidRPr="009C6D70">
        <w:tab/>
      </w:r>
      <w:r w:rsidRPr="009C6D70">
        <w:tab/>
      </w:r>
      <w:r w:rsidRPr="009C6D70">
        <w:tab/>
      </w:r>
      <w:r w:rsidRPr="009C6D70">
        <w:tab/>
        <w:t>Administrative Law Judge</w:t>
      </w:r>
    </w:p>
    <w:p w:rsidR="00595E5F" w:rsidRDefault="00595E5F" w:rsidP="00595E5F"/>
    <w:p w:rsidR="00CF464C" w:rsidRDefault="00CF464C" w:rsidP="00595E5F">
      <w:pPr>
        <w:sectPr w:rsidR="00CF464C" w:rsidSect="00717DF2">
          <w:footerReference w:type="first" r:id="rId11"/>
          <w:pgSz w:w="12240" w:h="15840" w:code="1"/>
          <w:pgMar w:top="1440" w:right="1440" w:bottom="1440" w:left="1440" w:header="720" w:footer="720" w:gutter="0"/>
          <w:cols w:space="720"/>
          <w:titlePg/>
          <w:docGrid w:linePitch="360"/>
        </w:sectPr>
      </w:pPr>
    </w:p>
    <w:p w:rsidR="00CF464C" w:rsidRPr="009C6D70" w:rsidRDefault="00CF464C" w:rsidP="007C3E3C">
      <w:pPr>
        <w:ind w:left="720" w:hanging="720"/>
      </w:pPr>
    </w:p>
    <w:sectPr w:rsidR="00CF464C" w:rsidRPr="009C6D70" w:rsidSect="006151A3">
      <w:footerReference w:type="first" r:id="rId12"/>
      <w:pgSz w:w="12240" w:h="15840" w:code="1"/>
      <w:pgMar w:top="1440" w:right="1440" w:bottom="1440" w:left="1440" w:header="1440" w:footer="144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89D" w:rsidRDefault="00B5789D">
      <w:r>
        <w:separator/>
      </w:r>
    </w:p>
  </w:endnote>
  <w:endnote w:type="continuationSeparator" w:id="0">
    <w:p w:rsidR="00B5789D" w:rsidRDefault="00B578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971" w:rsidRDefault="00B31971" w:rsidP="00B161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1971" w:rsidRDefault="00B319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713172"/>
      <w:docPartObj>
        <w:docPartGallery w:val="Page Numbers (Bottom of Page)"/>
        <w:docPartUnique/>
      </w:docPartObj>
    </w:sdtPr>
    <w:sdtEndPr>
      <w:rPr>
        <w:sz w:val="22"/>
        <w:szCs w:val="22"/>
      </w:rPr>
    </w:sdtEndPr>
    <w:sdtContent>
      <w:p w:rsidR="00B31971" w:rsidRDefault="00B31971">
        <w:pPr>
          <w:pStyle w:val="Footer"/>
          <w:jc w:val="center"/>
        </w:pPr>
        <w:r w:rsidRPr="008251FA">
          <w:rPr>
            <w:sz w:val="20"/>
            <w:szCs w:val="20"/>
          </w:rPr>
          <w:fldChar w:fldCharType="begin"/>
        </w:r>
        <w:r w:rsidRPr="008251FA">
          <w:rPr>
            <w:sz w:val="20"/>
            <w:szCs w:val="20"/>
          </w:rPr>
          <w:instrText xml:space="preserve"> PAGE   \* MERGEFORMAT </w:instrText>
        </w:r>
        <w:r w:rsidRPr="008251FA">
          <w:rPr>
            <w:sz w:val="20"/>
            <w:szCs w:val="20"/>
          </w:rPr>
          <w:fldChar w:fldCharType="separate"/>
        </w:r>
        <w:r w:rsidR="00F2188C">
          <w:rPr>
            <w:noProof/>
            <w:sz w:val="20"/>
            <w:szCs w:val="20"/>
          </w:rPr>
          <w:t>60</w:t>
        </w:r>
        <w:r w:rsidRPr="008251FA">
          <w:rPr>
            <w:sz w:val="20"/>
            <w:szCs w:val="20"/>
          </w:rPr>
          <w:fldChar w:fldCharType="end"/>
        </w:r>
      </w:p>
    </w:sdtContent>
  </w:sdt>
  <w:p w:rsidR="00B31971" w:rsidRDefault="00B319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DF2" w:rsidRDefault="00717DF2" w:rsidP="00717DF2">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88C" w:rsidRPr="00F2188C" w:rsidRDefault="00F2188C" w:rsidP="00717DF2">
    <w:pPr>
      <w:pStyle w:val="Footer"/>
      <w:jc w:val="center"/>
      <w:rPr>
        <w:sz w:val="20"/>
        <w:szCs w:val="20"/>
      </w:rPr>
    </w:pPr>
    <w:r w:rsidRPr="00F2188C">
      <w:rPr>
        <w:sz w:val="20"/>
        <w:szCs w:val="20"/>
      </w:rPr>
      <w:t>61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88C" w:rsidRPr="00F2188C" w:rsidRDefault="00F2188C" w:rsidP="00717DF2">
    <w:pPr>
      <w:pStyle w:val="Footer"/>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89D" w:rsidRDefault="00B5789D">
      <w:r>
        <w:separator/>
      </w:r>
    </w:p>
  </w:footnote>
  <w:footnote w:type="continuationSeparator" w:id="0">
    <w:p w:rsidR="00B5789D" w:rsidRDefault="00B5789D">
      <w:r>
        <w:continuationSeparator/>
      </w:r>
    </w:p>
  </w:footnote>
  <w:footnote w:id="1">
    <w:p w:rsidR="00B31971" w:rsidRPr="00862DD6" w:rsidRDefault="00B31971" w:rsidP="00E476A4">
      <w:pPr>
        <w:pStyle w:val="FootnoteText"/>
        <w:ind w:firstLine="720"/>
        <w:rPr>
          <w:b/>
        </w:rPr>
      </w:pPr>
      <w:r>
        <w:rPr>
          <w:rStyle w:val="FootnoteReference"/>
        </w:rPr>
        <w:footnoteRef/>
      </w:r>
      <w:r w:rsidR="000925B9">
        <w:tab/>
      </w:r>
      <w:r>
        <w:t xml:space="preserve">Duquesne and the OCA addressed the issues of concern identified by the Commission in their respective Statements in Support.  </w:t>
      </w:r>
      <w:r>
        <w:rPr>
          <w:i/>
        </w:rPr>
        <w:t xml:space="preserve">See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t>Duquesne St</w:t>
              </w:r>
            </w:smartTag>
          </w:smartTag>
          <w:r>
            <w:t>.</w:t>
          </w:r>
        </w:smartTag>
      </w:smartTag>
      <w:r>
        <w:t xml:space="preserve"> in Support, pp. 16-24 and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t>OCA St</w:t>
              </w:r>
            </w:smartTag>
          </w:smartTag>
          <w:r>
            <w:t>.</w:t>
          </w:r>
        </w:smartTag>
      </w:smartTag>
      <w:r>
        <w:t xml:space="preserve"> in Support, pp. 15-17.</w:t>
      </w:r>
    </w:p>
    <w:p w:rsidR="00B31971" w:rsidRDefault="00B31971">
      <w:pPr>
        <w:pStyle w:val="FootnoteText"/>
      </w:pPr>
    </w:p>
  </w:footnote>
  <w:footnote w:id="2">
    <w:p w:rsidR="00BB6E06" w:rsidRDefault="00BB6E06">
      <w:pPr>
        <w:pStyle w:val="FootnoteText"/>
      </w:pPr>
      <w:r>
        <w:tab/>
      </w:r>
      <w:r>
        <w:rPr>
          <w:rStyle w:val="FootnoteReference"/>
        </w:rPr>
        <w:footnoteRef/>
      </w:r>
      <w:r>
        <w:tab/>
        <w:t>Linda Sullivan was given a</w:t>
      </w:r>
      <w:r w:rsidR="00162882">
        <w:t>n</w:t>
      </w:r>
      <w:r>
        <w:t xml:space="preserve"> “R” docket number in error.  She was actually a</w:t>
      </w:r>
      <w:r w:rsidR="00162882">
        <w:t xml:space="preserve"> protestant; however she was treated as a formal complaint.</w:t>
      </w:r>
    </w:p>
  </w:footnote>
  <w:footnote w:id="3">
    <w:p w:rsidR="00BB6E06" w:rsidRDefault="00BB6E06" w:rsidP="00E476A4">
      <w:pPr>
        <w:pStyle w:val="FootnoteText"/>
        <w:ind w:firstLine="720"/>
      </w:pPr>
    </w:p>
    <w:p w:rsidR="00B31971" w:rsidRPr="00376661" w:rsidRDefault="00BB6E06" w:rsidP="00E476A4">
      <w:pPr>
        <w:pStyle w:val="FootnoteText"/>
        <w:ind w:firstLine="720"/>
      </w:pPr>
      <w:r>
        <w:rPr>
          <w:rStyle w:val="FootnoteReference"/>
        </w:rPr>
        <w:footnoteRef/>
      </w:r>
      <w:r>
        <w:tab/>
      </w:r>
      <w:r w:rsidR="00B31971">
        <w:t xml:space="preserve">Membership in the Duquesne Industrial Intervenors includes the following companies:  Allegheny Ludlum Corporation, Bayer Corporation, Giant Eagle, Inc., Horsehead Corporation, The Linde Group, United States Steel Corporation, Universal Stainless and Alloy Products, Inc., and the </w:t>
      </w:r>
      <w:smartTag w:uri="urn:schemas-microsoft-com:office:smarttags" w:element="place">
        <w:smartTag w:uri="urn:schemas-microsoft-com:office:smarttags" w:element="PlaceType">
          <w:r w:rsidR="00B31971">
            <w:t>University</w:t>
          </w:r>
        </w:smartTag>
        <w:r w:rsidR="00B31971">
          <w:t xml:space="preserve"> of </w:t>
        </w:r>
        <w:smartTag w:uri="urn:schemas-microsoft-com:office:smarttags" w:element="PlaceName">
          <w:r w:rsidR="00B31971">
            <w:t>Pittsburgh</w:t>
          </w:r>
        </w:smartTag>
      </w:smartTag>
      <w:r w:rsidR="00B31971">
        <w:t xml:space="preserve">.    </w:t>
      </w:r>
    </w:p>
  </w:footnote>
  <w:footnote w:id="4">
    <w:p w:rsidR="00B31971" w:rsidRDefault="00B31971">
      <w:pPr>
        <w:pStyle w:val="FootnoteText"/>
      </w:pPr>
      <w:r>
        <w:tab/>
      </w:r>
      <w:r>
        <w:rPr>
          <w:rStyle w:val="FootnoteReference"/>
        </w:rPr>
        <w:footnoteRef/>
      </w:r>
      <w:r>
        <w:t xml:space="preserve"> </w:t>
      </w:r>
      <w:r>
        <w:tab/>
        <w:t xml:space="preserve">On October 21, 2010, NRG filed a Motion for Leave to File a Petition to </w:t>
      </w:r>
      <w:proofErr w:type="gramStart"/>
      <w:r>
        <w:t>Intervene</w:t>
      </w:r>
      <w:proofErr w:type="gramEnd"/>
      <w:r>
        <w:t xml:space="preserve"> and a Petition to Intervene.  The Motion and Petition were denied in the Second Interim Order issued on November 24, 2010.  NRG is a formal complainant in this proceeding. </w:t>
      </w:r>
    </w:p>
    <w:p w:rsidR="00B31971" w:rsidRDefault="00B31971">
      <w:pPr>
        <w:pStyle w:val="FootnoteText"/>
      </w:pPr>
      <w:r>
        <w:t xml:space="preserve"> </w:t>
      </w:r>
    </w:p>
  </w:footnote>
  <w:footnote w:id="5">
    <w:p w:rsidR="00B31971" w:rsidRDefault="00B31971">
      <w:pPr>
        <w:pStyle w:val="FootnoteText"/>
      </w:pPr>
      <w:r>
        <w:tab/>
      </w:r>
      <w:r>
        <w:rPr>
          <w:rStyle w:val="FootnoteReference"/>
        </w:rPr>
        <w:footnoteRef/>
      </w:r>
      <w:r>
        <w:t xml:space="preserve"> </w:t>
      </w:r>
      <w:r>
        <w:tab/>
        <w:t xml:space="preserve">The public input hearings were held as scheduled.  The first public input hearing was held at 2:00 p.m. on October 26, 2010 in the Holiday Inn-Beaver Falls, </w:t>
      </w:r>
      <w:smartTag w:uri="urn:schemas-microsoft-com:office:smarttags" w:element="place">
        <w:smartTag w:uri="urn:schemas-microsoft-com:office:smarttags" w:element="City">
          <w:r>
            <w:t>Beaver Falls</w:t>
          </w:r>
        </w:smartTag>
        <w:r>
          <w:t xml:space="preserve">, </w:t>
        </w:r>
        <w:smartTag w:uri="urn:schemas-microsoft-com:office:smarttags" w:element="State">
          <w:r>
            <w:t>Pennsylvania</w:t>
          </w:r>
        </w:smartTag>
      </w:smartTag>
      <w:r>
        <w:t xml:space="preserve">.  The second public input hearing was held that evening at 7:00 p.m. in the Allegheny County Courthouse, </w:t>
      </w:r>
      <w:smartTag w:uri="urn:schemas-microsoft-com:office:smarttags" w:element="place">
        <w:smartTag w:uri="urn:schemas-microsoft-com:office:smarttags" w:element="City">
          <w:r>
            <w:t>Pittsburgh</w:t>
          </w:r>
        </w:smartTag>
        <w:r>
          <w:t xml:space="preserve">, </w:t>
        </w:r>
        <w:smartTag w:uri="urn:schemas-microsoft-com:office:smarttags" w:element="State">
          <w:r>
            <w:t>Pennsylvania</w:t>
          </w:r>
        </w:smartTag>
      </w:smartTag>
      <w:r>
        <w:t xml:space="preserve">. </w:t>
      </w:r>
    </w:p>
    <w:p w:rsidR="00B31971" w:rsidRDefault="00B31971">
      <w:pPr>
        <w:pStyle w:val="FootnoteText"/>
      </w:pPr>
      <w:r>
        <w:t xml:space="preserve"> </w:t>
      </w:r>
    </w:p>
  </w:footnote>
  <w:footnote w:id="6">
    <w:p w:rsidR="00B31971" w:rsidRDefault="00B31971">
      <w:pPr>
        <w:pStyle w:val="FootnoteText"/>
      </w:pPr>
      <w:r>
        <w:tab/>
      </w:r>
      <w:r>
        <w:rPr>
          <w:rStyle w:val="FootnoteReference"/>
        </w:rPr>
        <w:footnoteRef/>
      </w:r>
      <w:r>
        <w:t xml:space="preserve"> </w:t>
      </w:r>
      <w:r>
        <w:tab/>
        <w:t>The following parties were present and represented at the first day of technical evidentiary hearings on December 7, 2010:  Duquesne, the OTS, the OCA, the OSBA, DII, and NRG.  No other parties were present or represented.</w:t>
      </w:r>
    </w:p>
  </w:footnote>
  <w:footnote w:id="7">
    <w:p w:rsidR="00B31971" w:rsidRDefault="00B31971">
      <w:pPr>
        <w:pStyle w:val="FootnoteText"/>
      </w:pPr>
      <w:r>
        <w:tab/>
      </w:r>
      <w:r>
        <w:rPr>
          <w:rStyle w:val="FootnoteReference"/>
        </w:rPr>
        <w:footnoteRef/>
      </w:r>
      <w:r>
        <w:t xml:space="preserve"> </w:t>
      </w:r>
      <w:r>
        <w:tab/>
        <w:t>The signatory parties to the Joint Petition are as follows: Duquesne, the OTS, the OCA, the OSBA, DII and NRG.  Hereafter, these parties will be collectively referred to as the “Joint Petitioners.”</w:t>
      </w:r>
    </w:p>
    <w:p w:rsidR="00B31971" w:rsidRDefault="00B31971">
      <w:pPr>
        <w:pStyle w:val="FootnoteText"/>
      </w:pPr>
      <w:r>
        <w:t xml:space="preserve">    </w:t>
      </w:r>
    </w:p>
  </w:footnote>
  <w:footnote w:id="8">
    <w:p w:rsidR="00B31971" w:rsidRDefault="00B31971">
      <w:pPr>
        <w:pStyle w:val="FootnoteText"/>
      </w:pPr>
      <w:r>
        <w:tab/>
      </w:r>
      <w:r>
        <w:rPr>
          <w:rStyle w:val="FootnoteReference"/>
        </w:rPr>
        <w:footnoteRef/>
      </w:r>
      <w:r>
        <w:t xml:space="preserve"> </w:t>
      </w:r>
      <w:r>
        <w:tab/>
        <w:t>The Joint Petition, including the appendices, is not attached to this Recommended Decision.</w:t>
      </w:r>
    </w:p>
    <w:p w:rsidR="00B31971" w:rsidRDefault="00B31971">
      <w:pPr>
        <w:pStyle w:val="FootnoteText"/>
      </w:pPr>
    </w:p>
  </w:footnote>
  <w:footnote w:id="9">
    <w:p w:rsidR="00B31971" w:rsidRDefault="00B31971">
      <w:pPr>
        <w:pStyle w:val="FootnoteText"/>
      </w:pPr>
      <w:r>
        <w:tab/>
      </w:r>
      <w:r>
        <w:rPr>
          <w:rStyle w:val="FootnoteReference"/>
        </w:rPr>
        <w:footnoteRef/>
      </w:r>
      <w:r>
        <w:t xml:space="preserve"> </w:t>
      </w:r>
      <w:r>
        <w:tab/>
        <w:t xml:space="preserve">This order included all of the formal complaints filed and consolidated, including those which were previously consolidated with this action in the Prehearing Order issued on October 4, 2010.  This was done so that all formal complaints consolidated are listed in one order for purposes of clarity and ease of reference.  </w:t>
      </w:r>
    </w:p>
  </w:footnote>
  <w:footnote w:id="10">
    <w:p w:rsidR="00B31971" w:rsidRDefault="00B31971" w:rsidP="00A4523E">
      <w:pPr>
        <w:pStyle w:val="FootnoteText"/>
      </w:pPr>
      <w:r>
        <w:tab/>
      </w:r>
      <w:r>
        <w:rPr>
          <w:rStyle w:val="FootnoteReference"/>
        </w:rPr>
        <w:footnoteRef/>
      </w:r>
      <w:r>
        <w:t xml:space="preserve"> </w:t>
      </w:r>
      <w:r>
        <w:tab/>
        <w:t xml:space="preserve">Appendix A consists of a clean and red-lined version of the form tariff supplement.  The red-lined version is a red-line of the tariff in effect at the time of the rate filing in July 2010. </w:t>
      </w:r>
    </w:p>
    <w:p w:rsidR="00B31971" w:rsidRDefault="00B31971" w:rsidP="00A4523E">
      <w:pPr>
        <w:pStyle w:val="FootnoteText"/>
      </w:pPr>
      <w:r>
        <w:tab/>
      </w:r>
    </w:p>
  </w:footnote>
  <w:footnote w:id="11">
    <w:p w:rsidR="00B31971" w:rsidRDefault="00B31971" w:rsidP="00A4523E">
      <w:pPr>
        <w:pStyle w:val="FootnoteText"/>
        <w:jc w:val="both"/>
      </w:pPr>
      <w:r>
        <w:tab/>
      </w:r>
      <w:r>
        <w:rPr>
          <w:rStyle w:val="FootnoteReference"/>
        </w:rPr>
        <w:footnoteRef/>
      </w:r>
      <w:r>
        <w:t xml:space="preserve"> </w:t>
      </w:r>
      <w:r>
        <w:tab/>
        <w:t xml:space="preserve">The estimated monthly bills are based on the Company’s default service rates and surcharges as of July 23, 2010, the date of the Company’s filing.  </w:t>
      </w:r>
    </w:p>
  </w:footnote>
  <w:footnote w:id="12">
    <w:p w:rsidR="00B31971" w:rsidRDefault="00B31971" w:rsidP="00140A3D">
      <w:pPr>
        <w:pStyle w:val="FootnoteText"/>
      </w:pPr>
      <w:r>
        <w:tab/>
      </w:r>
      <w:r>
        <w:rPr>
          <w:rStyle w:val="FootnoteReference"/>
        </w:rPr>
        <w:footnoteRef/>
      </w:r>
      <w:r>
        <w:t xml:space="preserve"> </w:t>
      </w:r>
      <w:r>
        <w:tab/>
        <w:t>In other words, the Company’s Universal Service Costs will be recovered (prospectively) via Rider No. 5, rather than in base rates.</w:t>
      </w:r>
    </w:p>
    <w:p w:rsidR="00B31971" w:rsidRDefault="00B31971" w:rsidP="00140A3D">
      <w:pPr>
        <w:pStyle w:val="FootnoteText"/>
      </w:pPr>
    </w:p>
  </w:footnote>
  <w:footnote w:id="13">
    <w:p w:rsidR="00B31971" w:rsidRDefault="00B31971" w:rsidP="00A4523E">
      <w:pPr>
        <w:pStyle w:val="FootnoteText"/>
      </w:pPr>
      <w:r>
        <w:tab/>
      </w:r>
      <w:r>
        <w:rPr>
          <w:rStyle w:val="FootnoteReference"/>
        </w:rPr>
        <w:footnoteRef/>
      </w:r>
      <w:r>
        <w:t xml:space="preserve"> </w:t>
      </w:r>
      <w:r>
        <w:tab/>
        <w:t>Appropriately, the SM increase is less than 0.5 times the system average increase of 11.7%, since the class is providing a present rate of return above the system average.</w:t>
      </w:r>
    </w:p>
  </w:footnote>
  <w:footnote w:id="14">
    <w:p w:rsidR="00B31971" w:rsidRDefault="00B31971" w:rsidP="00A4523E">
      <w:pPr>
        <w:pStyle w:val="FootnoteText"/>
      </w:pPr>
      <w:r>
        <w:tab/>
      </w:r>
      <w:r>
        <w:rPr>
          <w:rStyle w:val="FootnoteReference"/>
        </w:rPr>
        <w:footnoteRef/>
      </w:r>
      <w:r>
        <w:tab/>
        <w:t xml:space="preserve">Only some of the provisions of the additional subheadings are noted here. </w:t>
      </w:r>
    </w:p>
  </w:footnote>
  <w:footnote w:id="15">
    <w:p w:rsidR="00B31971" w:rsidRDefault="00B31971" w:rsidP="00A4523E">
      <w:pPr>
        <w:pStyle w:val="FootnoteText"/>
      </w:pPr>
      <w:r>
        <w:tab/>
      </w:r>
      <w:r>
        <w:rPr>
          <w:rStyle w:val="FootnoteReference"/>
        </w:rPr>
        <w:footnoteRef/>
      </w:r>
      <w:r>
        <w:tab/>
        <w:t xml:space="preserve">Page 17 of the Joint Petition, </w:t>
      </w:r>
      <w:r w:rsidRPr="009C6D70">
        <w:t>¶</w:t>
      </w:r>
      <w:r>
        <w:t xml:space="preserve">3, contains a typographical error listing the requested effective date for the proposed tariff as April 21, 2010.  The correct effective date is April 21, 2011 as listed in Appendix A, page 1.  </w:t>
      </w:r>
    </w:p>
  </w:footnote>
  <w:footnote w:id="16">
    <w:p w:rsidR="00B31971" w:rsidRDefault="00B31971" w:rsidP="004F1873">
      <w:pPr>
        <w:pStyle w:val="FootnoteText"/>
      </w:pPr>
      <w:r>
        <w:tab/>
      </w:r>
      <w:r>
        <w:rPr>
          <w:rStyle w:val="FootnoteReference"/>
        </w:rPr>
        <w:footnoteRef/>
      </w:r>
      <w:r>
        <w:t xml:space="preserve"> </w:t>
      </w:r>
      <w:r>
        <w:tab/>
        <w:t>In addition, the Settlement provides that the initial charge under Rider No. 5 will also reflect projected increases in universal service costs subsequent to the future test year, and be subject to annual reconciliation.</w:t>
      </w:r>
    </w:p>
  </w:footnote>
  <w:footnote w:id="17">
    <w:p w:rsidR="00B31971" w:rsidRDefault="00B31971" w:rsidP="004F1873">
      <w:pPr>
        <w:pStyle w:val="FootnoteText"/>
      </w:pPr>
      <w:r>
        <w:tab/>
      </w:r>
      <w:r>
        <w:rPr>
          <w:rStyle w:val="FootnoteReference"/>
        </w:rPr>
        <w:footnoteRef/>
      </w:r>
      <w:r>
        <w:t xml:space="preserve"> </w:t>
      </w:r>
      <w:r>
        <w:tab/>
        <w:t xml:space="preserve">Duquesne cites Settlement ¶26 (Joint Petition ¶26) in its Statement in Support in error.  Joint Petition ¶27 addresses the agreement to withdraw/remove Duquesne’s proposed adjustment to book reserve.    </w:t>
      </w:r>
    </w:p>
  </w:footnote>
  <w:footnote w:id="18">
    <w:p w:rsidR="00B31971" w:rsidRDefault="00B31971">
      <w:pPr>
        <w:pStyle w:val="FootnoteText"/>
      </w:pPr>
      <w:r>
        <w:tab/>
      </w:r>
      <w:r>
        <w:rPr>
          <w:rStyle w:val="FootnoteReference"/>
        </w:rPr>
        <w:footnoteRef/>
      </w:r>
      <w:r>
        <w:t xml:space="preserve"> </w:t>
      </w:r>
      <w:r>
        <w:tab/>
        <w:t>Duquesne Light St. 3, p. 13.</w:t>
      </w:r>
    </w:p>
    <w:p w:rsidR="00B31971" w:rsidRDefault="00B31971">
      <w:pPr>
        <w:pStyle w:val="FootnoteText"/>
      </w:pPr>
    </w:p>
  </w:footnote>
  <w:footnote w:id="19">
    <w:p w:rsidR="00B31971" w:rsidRDefault="00B31971">
      <w:pPr>
        <w:pStyle w:val="FootnoteText"/>
      </w:pPr>
      <w:r>
        <w:tab/>
      </w:r>
      <w:r>
        <w:rPr>
          <w:rStyle w:val="FootnoteReference"/>
        </w:rPr>
        <w:footnoteRef/>
      </w:r>
      <w:r>
        <w:t xml:space="preserve"> </w:t>
      </w:r>
      <w:r>
        <w:tab/>
        <w:t xml:space="preserve">Duquesne cites Settlement ¶36 here in error.  Settlement ¶37 (Joint Petition ¶37) addresses the topic, “Pensions.”    </w:t>
      </w:r>
    </w:p>
  </w:footnote>
  <w:footnote w:id="20">
    <w:p w:rsidR="00B31971" w:rsidRDefault="00B31971">
      <w:pPr>
        <w:pStyle w:val="FootnoteText"/>
      </w:pPr>
      <w:r>
        <w:tab/>
      </w:r>
      <w:r>
        <w:rPr>
          <w:rStyle w:val="FootnoteReference"/>
        </w:rPr>
        <w:footnoteRef/>
      </w:r>
      <w:r>
        <w:t xml:space="preserve"> </w:t>
      </w:r>
      <w:r>
        <w:tab/>
        <w:t xml:space="preserve">Duquesne cites Settlement ¶36 here in error.  Settlement ¶37 (Joint Petition ¶37) addresses the topic, “Pensions.”    </w:t>
      </w:r>
    </w:p>
  </w:footnote>
  <w:footnote w:id="21">
    <w:p w:rsidR="00B31971" w:rsidRDefault="00B31971" w:rsidP="0011005B">
      <w:pPr>
        <w:pStyle w:val="BodyText2"/>
        <w:spacing w:line="240" w:lineRule="auto"/>
        <w:ind w:firstLine="0"/>
        <w:jc w:val="left"/>
        <w:rPr>
          <w:sz w:val="20"/>
          <w:szCs w:val="20"/>
        </w:rPr>
      </w:pPr>
      <w:r>
        <w:tab/>
      </w:r>
      <w:r w:rsidRPr="00B02770">
        <w:rPr>
          <w:rStyle w:val="FootnoteReference"/>
          <w:sz w:val="20"/>
          <w:szCs w:val="20"/>
        </w:rPr>
        <w:footnoteRef/>
      </w:r>
      <w:r>
        <w:tab/>
        <w:t xml:space="preserve"> </w:t>
      </w:r>
      <w:r w:rsidRPr="00B02770">
        <w:rPr>
          <w:sz w:val="20"/>
          <w:szCs w:val="20"/>
        </w:rPr>
        <w:t>Duquesne notes that these numbers were agreed to for settlement purposes only and do not reflect the Company’s or any party’s position with respect to the current cost of common equity or capital structure to be used in determining base rates for Duquesne.</w:t>
      </w:r>
      <w:r>
        <w:rPr>
          <w:sz w:val="20"/>
          <w:szCs w:val="20"/>
        </w:rPr>
        <w:t xml:space="preserve">  </w:t>
      </w:r>
      <w:smartTag w:uri="urn:schemas-microsoft-com:office:smarttags" w:element="Street">
        <w:smartTag w:uri="urn:schemas-microsoft-com:office:smarttags" w:element="address">
          <w:r>
            <w:rPr>
              <w:sz w:val="20"/>
              <w:szCs w:val="20"/>
            </w:rPr>
            <w:t>Duquesne St.</w:t>
          </w:r>
        </w:smartTag>
      </w:smartTag>
      <w:r>
        <w:rPr>
          <w:sz w:val="20"/>
          <w:szCs w:val="20"/>
        </w:rPr>
        <w:t xml:space="preserve"> in Support, pp. 8-9.</w:t>
      </w:r>
    </w:p>
    <w:p w:rsidR="00B31971" w:rsidRDefault="00B31971" w:rsidP="0011005B">
      <w:pPr>
        <w:pStyle w:val="BodyText2"/>
        <w:spacing w:line="240" w:lineRule="auto"/>
        <w:ind w:firstLine="0"/>
        <w:jc w:val="left"/>
      </w:pPr>
    </w:p>
  </w:footnote>
  <w:footnote w:id="22">
    <w:p w:rsidR="00B31971" w:rsidRDefault="00B31971">
      <w:pPr>
        <w:pStyle w:val="FootnoteText"/>
      </w:pPr>
      <w:r>
        <w:tab/>
      </w:r>
      <w:r>
        <w:rPr>
          <w:rStyle w:val="FootnoteReference"/>
        </w:rPr>
        <w:footnoteRef/>
      </w:r>
      <w:r>
        <w:t xml:space="preserve"> </w:t>
      </w:r>
      <w:r>
        <w:tab/>
        <w:t>Duquesne cites Settlement ¶47 in its Statement in Support in error.  Settlement ¶48 (Joint Petition ¶48) addresses Smart Meters.</w:t>
      </w:r>
    </w:p>
  </w:footnote>
  <w:footnote w:id="23">
    <w:p w:rsidR="00B31971" w:rsidRDefault="00B31971">
      <w:pPr>
        <w:pStyle w:val="FootnoteText"/>
      </w:pPr>
      <w:r>
        <w:tab/>
      </w:r>
      <w:r>
        <w:rPr>
          <w:rStyle w:val="FootnoteReference"/>
        </w:rPr>
        <w:footnoteRef/>
      </w:r>
      <w:r>
        <w:t xml:space="preserve"> </w:t>
      </w:r>
      <w:r>
        <w:tab/>
        <w:t>Duquesne cites Settlement ¶41 in its Statement in Support in error.  Settlement ¶42 (Joint Petition ¶42) addresses how recoverable CAP discounts will be reduced.</w:t>
      </w:r>
    </w:p>
  </w:footnote>
  <w:footnote w:id="24">
    <w:p w:rsidR="00B31971" w:rsidRDefault="00B31971">
      <w:pPr>
        <w:pStyle w:val="FootnoteText"/>
      </w:pPr>
      <w:r>
        <w:tab/>
      </w:r>
      <w:r>
        <w:rPr>
          <w:rStyle w:val="FootnoteReference"/>
        </w:rPr>
        <w:footnoteRef/>
      </w:r>
      <w:r>
        <w:t xml:space="preserve"> </w:t>
      </w:r>
      <w:r>
        <w:tab/>
        <w:t>Duquesne cites Settlement ¶49 in its Statement in Support in error.  Settlement ¶50 (Joint Petition ¶50) addresses the IRS Repair Allowance.</w:t>
      </w:r>
    </w:p>
  </w:footnote>
  <w:footnote w:id="25">
    <w:p w:rsidR="00B31971" w:rsidRDefault="00B31971">
      <w:pPr>
        <w:pStyle w:val="FootnoteText"/>
      </w:pPr>
      <w:r>
        <w:tab/>
      </w:r>
      <w:r>
        <w:rPr>
          <w:rStyle w:val="FootnoteReference"/>
        </w:rPr>
        <w:footnoteRef/>
      </w:r>
      <w:r>
        <w:t xml:space="preserve"> </w:t>
      </w:r>
      <w:r>
        <w:tab/>
        <w:t xml:space="preserve">Duquesne cites Settlement ¶28 in its Statement in Support in error.  Settlement ¶29 (Joint Petition ¶29) addresses customer charge for Rates RS, RH and RA.   </w:t>
      </w:r>
    </w:p>
  </w:footnote>
  <w:footnote w:id="26">
    <w:p w:rsidR="00B31971" w:rsidRDefault="00B31971">
      <w:pPr>
        <w:pStyle w:val="FootnoteText"/>
      </w:pPr>
      <w:r>
        <w:tab/>
      </w:r>
      <w:r>
        <w:rPr>
          <w:rStyle w:val="FootnoteReference"/>
        </w:rPr>
        <w:footnoteRef/>
      </w:r>
      <w:r>
        <w:t xml:space="preserve"> </w:t>
      </w:r>
      <w:r>
        <w:tab/>
        <w:t>All cites to “Settlement” in this quoted portion of OTS’ Statement in Support refer to the “Joint Petition.”</w:t>
      </w:r>
    </w:p>
  </w:footnote>
  <w:footnote w:id="27">
    <w:p w:rsidR="00B31971" w:rsidRDefault="00B31971">
      <w:pPr>
        <w:pStyle w:val="FootnoteText"/>
      </w:pPr>
      <w:r>
        <w:tab/>
      </w:r>
      <w:r>
        <w:rPr>
          <w:rStyle w:val="FootnoteReference"/>
        </w:rPr>
        <w:footnoteRef/>
      </w:r>
      <w:r>
        <w:t xml:space="preserve"> </w:t>
      </w:r>
      <w:r>
        <w:tab/>
        <w:t xml:space="preserve">The OCA incorrectly cites to “Settlement ¶36” in its Statement in Support.  Settlement ¶37 (Joint Petition ¶37) addresses Pensions.     </w:t>
      </w:r>
    </w:p>
  </w:footnote>
  <w:footnote w:id="28">
    <w:p w:rsidR="00B31971" w:rsidRDefault="00B31971">
      <w:pPr>
        <w:pStyle w:val="FootnoteText"/>
      </w:pPr>
      <w:r>
        <w:tab/>
      </w:r>
      <w:r>
        <w:rPr>
          <w:rStyle w:val="FootnoteReference"/>
        </w:rPr>
        <w:footnoteRef/>
      </w:r>
      <w:r>
        <w:t xml:space="preserve"> </w:t>
      </w:r>
      <w:r>
        <w:tab/>
        <w:t xml:space="preserve">The OCA incorrectly cites to “Settlement ¶49” in its Statement in Support.  Settlement ¶50 (Joint Petition ¶50) addresses the IRS Repair Allowance.     </w:t>
      </w:r>
    </w:p>
  </w:footnote>
  <w:footnote w:id="29">
    <w:p w:rsidR="00B31971" w:rsidRDefault="00B31971">
      <w:pPr>
        <w:pStyle w:val="FootnoteText"/>
      </w:pPr>
      <w:r>
        <w:tab/>
      </w:r>
      <w:r>
        <w:rPr>
          <w:rStyle w:val="FootnoteReference"/>
        </w:rPr>
        <w:footnoteRef/>
      </w:r>
      <w:r>
        <w:t xml:space="preserve"> </w:t>
      </w:r>
      <w:r>
        <w:tab/>
        <w:t xml:space="preserve">The OCA incorrectly cites to “Settlement ¶44” in its Statement in Support.  Settlement ¶45 (Joint Petition ¶45) addresses Duquesne’s implementation of a CAP Plus Plan.       </w:t>
      </w:r>
    </w:p>
  </w:footnote>
  <w:footnote w:id="30">
    <w:p w:rsidR="00B31971" w:rsidRDefault="00B31971">
      <w:pPr>
        <w:pStyle w:val="FootnoteText"/>
      </w:pPr>
      <w:r>
        <w:tab/>
      </w:r>
      <w:r>
        <w:rPr>
          <w:rStyle w:val="FootnoteReference"/>
        </w:rPr>
        <w:footnoteRef/>
      </w:r>
      <w:r>
        <w:tab/>
        <w:t xml:space="preserve">The OCA incorrectly cites to “Settlement ¶43” in its Statement in Support.  Settlement ¶44 (Joint Petition ¶44) addresses the CAP auto-enrollment process.        </w:t>
      </w:r>
    </w:p>
  </w:footnote>
  <w:footnote w:id="31">
    <w:p w:rsidR="00B31971" w:rsidRDefault="00B31971">
      <w:pPr>
        <w:pStyle w:val="FootnoteText"/>
      </w:pPr>
      <w:r>
        <w:tab/>
      </w:r>
      <w:r>
        <w:rPr>
          <w:rStyle w:val="FootnoteReference"/>
        </w:rPr>
        <w:footnoteRef/>
      </w:r>
      <w:r>
        <w:t xml:space="preserve"> </w:t>
      </w:r>
      <w:r>
        <w:tab/>
        <w:t xml:space="preserve">The OCA incorrectly cites to “Settlement ¶47” in its Statement in Support.  Settlement ¶48 (Joint Petition ¶48) addresses the topic of Smart Meters.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C341540"/>
    <w:lvl w:ilvl="0">
      <w:start w:val="1"/>
      <w:numFmt w:val="decimal"/>
      <w:pStyle w:val="ListNumber"/>
      <w:lvlText w:val="%1."/>
      <w:lvlJc w:val="left"/>
      <w:pPr>
        <w:tabs>
          <w:tab w:val="num" w:pos="360"/>
        </w:tabs>
        <w:ind w:left="360" w:hanging="360"/>
      </w:pPr>
    </w:lvl>
  </w:abstractNum>
  <w:abstractNum w:abstractNumId="1">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A6165F3"/>
    <w:multiLevelType w:val="hybridMultilevel"/>
    <w:tmpl w:val="F648C3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162798"/>
    <w:multiLevelType w:val="multilevel"/>
    <w:tmpl w:val="FA3421EE"/>
    <w:lvl w:ilvl="0">
      <w:start w:val="1"/>
      <w:numFmt w:val="decimal"/>
      <w:lvlText w:val="%1."/>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3600" w:hanging="720"/>
      </w:pPr>
    </w:lvl>
  </w:abstractNum>
  <w:abstractNum w:abstractNumId="4">
    <w:nsid w:val="169930ED"/>
    <w:multiLevelType w:val="hybridMultilevel"/>
    <w:tmpl w:val="CC22C5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9D3F11"/>
    <w:multiLevelType w:val="hybridMultilevel"/>
    <w:tmpl w:val="80E8C7BC"/>
    <w:lvl w:ilvl="0" w:tplc="8AC886E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BAC4977"/>
    <w:multiLevelType w:val="hybridMultilevel"/>
    <w:tmpl w:val="0BD69470"/>
    <w:lvl w:ilvl="0" w:tplc="74AE9626">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C274142"/>
    <w:multiLevelType w:val="hybridMultilevel"/>
    <w:tmpl w:val="5C20B63C"/>
    <w:lvl w:ilvl="0" w:tplc="74AE962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43672B4"/>
    <w:multiLevelType w:val="multilevel"/>
    <w:tmpl w:val="81FAF8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6084B76"/>
    <w:multiLevelType w:val="hybridMultilevel"/>
    <w:tmpl w:val="5C28F5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D148A2"/>
    <w:multiLevelType w:val="hybridMultilevel"/>
    <w:tmpl w:val="5F6627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EA3EA4"/>
    <w:multiLevelType w:val="hybridMultilevel"/>
    <w:tmpl w:val="C52846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1FF42B8"/>
    <w:multiLevelType w:val="hybridMultilevel"/>
    <w:tmpl w:val="63AC50F6"/>
    <w:lvl w:ilvl="0" w:tplc="74AE962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3D53D0F"/>
    <w:multiLevelType w:val="multilevel"/>
    <w:tmpl w:val="726274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65352B"/>
    <w:multiLevelType w:val="multilevel"/>
    <w:tmpl w:val="80E8C7BC"/>
    <w:lvl w:ilvl="0">
      <w:start w:val="1"/>
      <w:numFmt w:val="decimal"/>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6">
    <w:nsid w:val="385714FF"/>
    <w:multiLevelType w:val="hybridMultilevel"/>
    <w:tmpl w:val="2E468584"/>
    <w:lvl w:ilvl="0" w:tplc="F8BE3C56">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39647954"/>
    <w:multiLevelType w:val="hybridMultilevel"/>
    <w:tmpl w:val="33BC4052"/>
    <w:lvl w:ilvl="0" w:tplc="04090015">
      <w:start w:val="2"/>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2F44B9"/>
    <w:multiLevelType w:val="multilevel"/>
    <w:tmpl w:val="5F6627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F1140CD"/>
    <w:multiLevelType w:val="hybridMultilevel"/>
    <w:tmpl w:val="56FEB6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4313F6B"/>
    <w:multiLevelType w:val="hybridMultilevel"/>
    <w:tmpl w:val="0FA21E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DD59B0"/>
    <w:multiLevelType w:val="hybridMultilevel"/>
    <w:tmpl w:val="93D258A6"/>
    <w:lvl w:ilvl="0" w:tplc="AA2CED2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A043407"/>
    <w:multiLevelType w:val="hybridMultilevel"/>
    <w:tmpl w:val="609A47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535B8D"/>
    <w:multiLevelType w:val="hybridMultilevel"/>
    <w:tmpl w:val="643CEB7E"/>
    <w:lvl w:ilvl="0" w:tplc="B1882400">
      <w:start w:val="7"/>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1AF72F4"/>
    <w:multiLevelType w:val="multilevel"/>
    <w:tmpl w:val="F648C3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3007FC0"/>
    <w:multiLevelType w:val="hybridMultilevel"/>
    <w:tmpl w:val="1A105E56"/>
    <w:lvl w:ilvl="0" w:tplc="E6E0D94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38C6DEC"/>
    <w:multiLevelType w:val="multilevel"/>
    <w:tmpl w:val="CC22C5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53D4470"/>
    <w:multiLevelType w:val="hybridMultilevel"/>
    <w:tmpl w:val="8854A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C051C2"/>
    <w:multiLevelType w:val="hybridMultilevel"/>
    <w:tmpl w:val="4A260EF4"/>
    <w:lvl w:ilvl="0" w:tplc="FC12DDE6">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121549"/>
    <w:multiLevelType w:val="hybridMultilevel"/>
    <w:tmpl w:val="5E22A9B6"/>
    <w:lvl w:ilvl="0" w:tplc="74AE9626">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5F3D6968"/>
    <w:multiLevelType w:val="multilevel"/>
    <w:tmpl w:val="56FEB6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3627A25"/>
    <w:multiLevelType w:val="hybridMultilevel"/>
    <w:tmpl w:val="221291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64D72E7"/>
    <w:multiLevelType w:val="hybridMultilevel"/>
    <w:tmpl w:val="AC56F3E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nsid w:val="67847BB4"/>
    <w:multiLevelType w:val="hybridMultilevel"/>
    <w:tmpl w:val="4786538C"/>
    <w:lvl w:ilvl="0" w:tplc="A1D034A0">
      <w:start w:val="1"/>
      <w:numFmt w:val="decimal"/>
      <w:lvlText w:val="%1."/>
      <w:lvlJc w:val="left"/>
      <w:pPr>
        <w:tabs>
          <w:tab w:val="num" w:pos="1800"/>
        </w:tabs>
        <w:ind w:left="1800" w:hanging="36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6BF14DD6"/>
    <w:multiLevelType w:val="hybridMultilevel"/>
    <w:tmpl w:val="2D022650"/>
    <w:lvl w:ilvl="0" w:tplc="74AE9626">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6CB9539A"/>
    <w:multiLevelType w:val="hybridMultilevel"/>
    <w:tmpl w:val="09BCC4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D5355BB"/>
    <w:multiLevelType w:val="hybridMultilevel"/>
    <w:tmpl w:val="726274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1653A0"/>
    <w:multiLevelType w:val="hybridMultilevel"/>
    <w:tmpl w:val="4AD670FC"/>
    <w:lvl w:ilvl="0" w:tplc="C72C5E90">
      <w:start w:val="2"/>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39D2FAC"/>
    <w:multiLevelType w:val="multilevel"/>
    <w:tmpl w:val="0BEEF57C"/>
    <w:name w:val="Jo brief"/>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upp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num w:numId="1">
    <w:abstractNumId w:val="20"/>
  </w:num>
  <w:num w:numId="2">
    <w:abstractNumId w:val="2"/>
  </w:num>
  <w:num w:numId="3">
    <w:abstractNumId w:val="24"/>
  </w:num>
  <w:num w:numId="4">
    <w:abstractNumId w:val="12"/>
  </w:num>
  <w:num w:numId="5">
    <w:abstractNumId w:val="5"/>
  </w:num>
  <w:num w:numId="6">
    <w:abstractNumId w:val="15"/>
  </w:num>
  <w:num w:numId="7">
    <w:abstractNumId w:val="36"/>
  </w:num>
  <w:num w:numId="8">
    <w:abstractNumId w:val="14"/>
  </w:num>
  <w:num w:numId="9">
    <w:abstractNumId w:val="19"/>
  </w:num>
  <w:num w:numId="10">
    <w:abstractNumId w:val="30"/>
  </w:num>
  <w:num w:numId="11">
    <w:abstractNumId w:val="31"/>
  </w:num>
  <w:num w:numId="12">
    <w:abstractNumId w:val="11"/>
  </w:num>
  <w:num w:numId="13">
    <w:abstractNumId w:val="18"/>
  </w:num>
  <w:num w:numId="14">
    <w:abstractNumId w:val="35"/>
  </w:num>
  <w:num w:numId="15">
    <w:abstractNumId w:val="4"/>
  </w:num>
  <w:num w:numId="16">
    <w:abstractNumId w:val="8"/>
  </w:num>
  <w:num w:numId="17">
    <w:abstractNumId w:val="10"/>
  </w:num>
  <w:num w:numId="18">
    <w:abstractNumId w:val="26"/>
  </w:num>
  <w:num w:numId="19">
    <w:abstractNumId w:val="22"/>
  </w:num>
  <w:num w:numId="20">
    <w:abstractNumId w:val="0"/>
  </w:num>
  <w:num w:numId="21">
    <w:abstractNumId w:val="27"/>
  </w:num>
  <w:num w:numId="22">
    <w:abstractNumId w:val="7"/>
  </w:num>
  <w:num w:numId="23">
    <w:abstractNumId w:val="34"/>
  </w:num>
  <w:num w:numId="24">
    <w:abstractNumId w:val="37"/>
  </w:num>
  <w:num w:numId="25">
    <w:abstractNumId w:val="17"/>
  </w:num>
  <w:num w:numId="26">
    <w:abstractNumId w:val="3"/>
  </w:num>
  <w:num w:numId="27">
    <w:abstractNumId w:val="32"/>
  </w:num>
  <w:num w:numId="28">
    <w:abstractNumId w:val="25"/>
  </w:num>
  <w:num w:numId="29">
    <w:abstractNumId w:val="6"/>
  </w:num>
  <w:num w:numId="30">
    <w:abstractNumId w:val="33"/>
  </w:num>
  <w:num w:numId="31">
    <w:abstractNumId w:val="16"/>
  </w:num>
  <w:num w:numId="32">
    <w:abstractNumId w:val="21"/>
  </w:num>
  <w:num w:numId="33">
    <w:abstractNumId w:val="29"/>
  </w:num>
  <w:num w:numId="34">
    <w:abstractNumId w:val="1"/>
    <w:lvlOverride w:ilvl="0">
      <w:lvl w:ilvl="0">
        <w:start w:val="10"/>
        <w:numFmt w:val="decimal"/>
        <w:pStyle w:val="Level1"/>
        <w:lvlText w:val="%1."/>
        <w:lvlJc w:val="left"/>
        <w:pPr>
          <w:tabs>
            <w:tab w:val="num" w:pos="0"/>
          </w:tabs>
          <w:ind w:left="0" w:firstLine="0"/>
        </w:pPr>
        <w:rPr>
          <w:rFonts w:hint="default"/>
        </w:rPr>
      </w:lvl>
    </w:lvlOverride>
    <w:lvlOverride w:ilvl="1">
      <w:lvl w:ilvl="1">
        <w:start w:val="1"/>
        <w:numFmt w:val="lowerLetter"/>
        <w:lvlText w:val="%2."/>
        <w:lvlJc w:val="left"/>
        <w:pPr>
          <w:tabs>
            <w:tab w:val="num" w:pos="0"/>
          </w:tabs>
          <w:ind w:left="0" w:firstLine="0"/>
        </w:pPr>
        <w:rPr>
          <w:rFonts w:hint="default"/>
        </w:rPr>
      </w:lvl>
    </w:lvlOverride>
    <w:lvlOverride w:ilvl="2">
      <w:lvl w:ilvl="2">
        <w:start w:val="1"/>
        <w:numFmt w:val="lowerRoman"/>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lowerLetter"/>
        <w:lvlText w:val="(%5)"/>
        <w:lvlJc w:val="left"/>
        <w:pPr>
          <w:tabs>
            <w:tab w:val="num" w:pos="0"/>
          </w:tabs>
          <w:ind w:left="0" w:firstLine="0"/>
        </w:pPr>
        <w:rPr>
          <w:rFonts w:hint="default"/>
        </w:rPr>
      </w:lvl>
    </w:lvlOverride>
    <w:lvlOverride w:ilvl="5">
      <w:lvl w:ilvl="5">
        <w:start w:val="1"/>
        <w:numFmt w:val="lowerRoman"/>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lowerLetter"/>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35">
    <w:abstractNumId w:val="38"/>
  </w:num>
  <w:num w:numId="36">
    <w:abstractNumId w:val="23"/>
  </w:num>
  <w:num w:numId="37">
    <w:abstractNumId w:val="28"/>
  </w:num>
  <w:num w:numId="38">
    <w:abstractNumId w:val="13"/>
  </w:num>
  <w:num w:numId="3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8194"/>
  </w:hdrShapeDefaults>
  <w:footnotePr>
    <w:footnote w:id="-1"/>
    <w:footnote w:id="0"/>
  </w:footnotePr>
  <w:endnotePr>
    <w:endnote w:id="-1"/>
    <w:endnote w:id="0"/>
  </w:endnotePr>
  <w:compat/>
  <w:docVars>
    <w:docVar w:name="dgnword-eventsink" w:val="28707680"/>
  </w:docVars>
  <w:rsids>
    <w:rsidRoot w:val="00F40AF4"/>
    <w:rsid w:val="00001D5E"/>
    <w:rsid w:val="00002E71"/>
    <w:rsid w:val="00007A6A"/>
    <w:rsid w:val="00010E60"/>
    <w:rsid w:val="00011EAD"/>
    <w:rsid w:val="00011F9D"/>
    <w:rsid w:val="00012D29"/>
    <w:rsid w:val="0001444C"/>
    <w:rsid w:val="000158F5"/>
    <w:rsid w:val="00015C87"/>
    <w:rsid w:val="00017247"/>
    <w:rsid w:val="000200B5"/>
    <w:rsid w:val="00022031"/>
    <w:rsid w:val="00022664"/>
    <w:rsid w:val="00024AA5"/>
    <w:rsid w:val="00027740"/>
    <w:rsid w:val="00027E4C"/>
    <w:rsid w:val="00030657"/>
    <w:rsid w:val="000307B4"/>
    <w:rsid w:val="00031D10"/>
    <w:rsid w:val="00035127"/>
    <w:rsid w:val="00035D88"/>
    <w:rsid w:val="00035F60"/>
    <w:rsid w:val="00036DA6"/>
    <w:rsid w:val="00037773"/>
    <w:rsid w:val="00037AF8"/>
    <w:rsid w:val="000404B5"/>
    <w:rsid w:val="00041943"/>
    <w:rsid w:val="00042860"/>
    <w:rsid w:val="000443C4"/>
    <w:rsid w:val="00044944"/>
    <w:rsid w:val="0004498A"/>
    <w:rsid w:val="000477D1"/>
    <w:rsid w:val="00052673"/>
    <w:rsid w:val="0005471E"/>
    <w:rsid w:val="0005554B"/>
    <w:rsid w:val="0006554F"/>
    <w:rsid w:val="00070D98"/>
    <w:rsid w:val="000716B7"/>
    <w:rsid w:val="000767FF"/>
    <w:rsid w:val="0008135A"/>
    <w:rsid w:val="00082E5C"/>
    <w:rsid w:val="000849DC"/>
    <w:rsid w:val="00087CC5"/>
    <w:rsid w:val="0009005C"/>
    <w:rsid w:val="000921BC"/>
    <w:rsid w:val="000925B9"/>
    <w:rsid w:val="000927E9"/>
    <w:rsid w:val="000950CA"/>
    <w:rsid w:val="00096994"/>
    <w:rsid w:val="00096F74"/>
    <w:rsid w:val="000A220E"/>
    <w:rsid w:val="000A510C"/>
    <w:rsid w:val="000A7EFE"/>
    <w:rsid w:val="000B629F"/>
    <w:rsid w:val="000B6D95"/>
    <w:rsid w:val="000C04BD"/>
    <w:rsid w:val="000C1A6B"/>
    <w:rsid w:val="000C269C"/>
    <w:rsid w:val="000C5510"/>
    <w:rsid w:val="000C598F"/>
    <w:rsid w:val="000C71B2"/>
    <w:rsid w:val="000D1336"/>
    <w:rsid w:val="000D3CB5"/>
    <w:rsid w:val="000D5CA1"/>
    <w:rsid w:val="000D763A"/>
    <w:rsid w:val="000D7906"/>
    <w:rsid w:val="000E0C64"/>
    <w:rsid w:val="000E111C"/>
    <w:rsid w:val="000E20B9"/>
    <w:rsid w:val="000E2DCB"/>
    <w:rsid w:val="000E3D69"/>
    <w:rsid w:val="000E63AA"/>
    <w:rsid w:val="000E6C36"/>
    <w:rsid w:val="000E7B3F"/>
    <w:rsid w:val="000F0CB0"/>
    <w:rsid w:val="000F1E2C"/>
    <w:rsid w:val="000F22AD"/>
    <w:rsid w:val="00101813"/>
    <w:rsid w:val="001022EE"/>
    <w:rsid w:val="00102B62"/>
    <w:rsid w:val="00105690"/>
    <w:rsid w:val="001059C3"/>
    <w:rsid w:val="0010611E"/>
    <w:rsid w:val="001068AE"/>
    <w:rsid w:val="0011005B"/>
    <w:rsid w:val="00113811"/>
    <w:rsid w:val="00114446"/>
    <w:rsid w:val="0011497C"/>
    <w:rsid w:val="00114A5C"/>
    <w:rsid w:val="00114D69"/>
    <w:rsid w:val="00115E17"/>
    <w:rsid w:val="001163B8"/>
    <w:rsid w:val="00116EA8"/>
    <w:rsid w:val="0012099C"/>
    <w:rsid w:val="0012210B"/>
    <w:rsid w:val="0012337D"/>
    <w:rsid w:val="00124DF6"/>
    <w:rsid w:val="00125631"/>
    <w:rsid w:val="00126555"/>
    <w:rsid w:val="001278D6"/>
    <w:rsid w:val="00130EC8"/>
    <w:rsid w:val="00131C14"/>
    <w:rsid w:val="00132B39"/>
    <w:rsid w:val="001336B2"/>
    <w:rsid w:val="00136AC2"/>
    <w:rsid w:val="00140A3D"/>
    <w:rsid w:val="001465C5"/>
    <w:rsid w:val="0014695E"/>
    <w:rsid w:val="00150F38"/>
    <w:rsid w:val="00151110"/>
    <w:rsid w:val="00151828"/>
    <w:rsid w:val="001534FA"/>
    <w:rsid w:val="00154ED9"/>
    <w:rsid w:val="001551FE"/>
    <w:rsid w:val="001608E4"/>
    <w:rsid w:val="00162236"/>
    <w:rsid w:val="00162882"/>
    <w:rsid w:val="00163667"/>
    <w:rsid w:val="00166BB4"/>
    <w:rsid w:val="00171BA7"/>
    <w:rsid w:val="00171CF4"/>
    <w:rsid w:val="00174444"/>
    <w:rsid w:val="001760EF"/>
    <w:rsid w:val="0017663E"/>
    <w:rsid w:val="00177C22"/>
    <w:rsid w:val="00180FEC"/>
    <w:rsid w:val="00183770"/>
    <w:rsid w:val="001838DA"/>
    <w:rsid w:val="0018502A"/>
    <w:rsid w:val="0018543E"/>
    <w:rsid w:val="0018569C"/>
    <w:rsid w:val="00190B52"/>
    <w:rsid w:val="001912D9"/>
    <w:rsid w:val="00192F81"/>
    <w:rsid w:val="001948E6"/>
    <w:rsid w:val="00197214"/>
    <w:rsid w:val="00197FE7"/>
    <w:rsid w:val="001A1C19"/>
    <w:rsid w:val="001A2B3D"/>
    <w:rsid w:val="001A3FD3"/>
    <w:rsid w:val="001A517C"/>
    <w:rsid w:val="001B1593"/>
    <w:rsid w:val="001B37F9"/>
    <w:rsid w:val="001B389A"/>
    <w:rsid w:val="001B6251"/>
    <w:rsid w:val="001B669F"/>
    <w:rsid w:val="001B6840"/>
    <w:rsid w:val="001B7B44"/>
    <w:rsid w:val="001B7C95"/>
    <w:rsid w:val="001C1DA4"/>
    <w:rsid w:val="001C2410"/>
    <w:rsid w:val="001D2D9A"/>
    <w:rsid w:val="001D2DE1"/>
    <w:rsid w:val="001D30C8"/>
    <w:rsid w:val="001D664C"/>
    <w:rsid w:val="001D74F8"/>
    <w:rsid w:val="001E0024"/>
    <w:rsid w:val="001E13F6"/>
    <w:rsid w:val="001E2D99"/>
    <w:rsid w:val="001E3811"/>
    <w:rsid w:val="001E606E"/>
    <w:rsid w:val="001E6948"/>
    <w:rsid w:val="001E6AC2"/>
    <w:rsid w:val="001E70AB"/>
    <w:rsid w:val="001E796B"/>
    <w:rsid w:val="001F4294"/>
    <w:rsid w:val="001F5D45"/>
    <w:rsid w:val="001F5E84"/>
    <w:rsid w:val="002002ED"/>
    <w:rsid w:val="00202271"/>
    <w:rsid w:val="00205676"/>
    <w:rsid w:val="00205758"/>
    <w:rsid w:val="0020725F"/>
    <w:rsid w:val="0020746B"/>
    <w:rsid w:val="002107F3"/>
    <w:rsid w:val="0021129B"/>
    <w:rsid w:val="00212F85"/>
    <w:rsid w:val="0021472B"/>
    <w:rsid w:val="0021589B"/>
    <w:rsid w:val="00216054"/>
    <w:rsid w:val="00217A9A"/>
    <w:rsid w:val="00221630"/>
    <w:rsid w:val="00221E39"/>
    <w:rsid w:val="00221ED7"/>
    <w:rsid w:val="002231E7"/>
    <w:rsid w:val="00223B61"/>
    <w:rsid w:val="00224D6C"/>
    <w:rsid w:val="00224F44"/>
    <w:rsid w:val="0022623F"/>
    <w:rsid w:val="002270C7"/>
    <w:rsid w:val="00227A7F"/>
    <w:rsid w:val="0023014D"/>
    <w:rsid w:val="00231C3E"/>
    <w:rsid w:val="00234986"/>
    <w:rsid w:val="00235782"/>
    <w:rsid w:val="0023594C"/>
    <w:rsid w:val="00237F95"/>
    <w:rsid w:val="00244773"/>
    <w:rsid w:val="00244DC3"/>
    <w:rsid w:val="00250B66"/>
    <w:rsid w:val="00254AC4"/>
    <w:rsid w:val="0025505D"/>
    <w:rsid w:val="0025568C"/>
    <w:rsid w:val="0025624A"/>
    <w:rsid w:val="002569D2"/>
    <w:rsid w:val="00256F15"/>
    <w:rsid w:val="00257E68"/>
    <w:rsid w:val="002640B5"/>
    <w:rsid w:val="002659C1"/>
    <w:rsid w:val="002705F3"/>
    <w:rsid w:val="002715D6"/>
    <w:rsid w:val="00272171"/>
    <w:rsid w:val="00273113"/>
    <w:rsid w:val="002772C3"/>
    <w:rsid w:val="00282E72"/>
    <w:rsid w:val="00286013"/>
    <w:rsid w:val="00286E18"/>
    <w:rsid w:val="00292413"/>
    <w:rsid w:val="002942CE"/>
    <w:rsid w:val="00296A74"/>
    <w:rsid w:val="00297007"/>
    <w:rsid w:val="002A08AE"/>
    <w:rsid w:val="002A39F2"/>
    <w:rsid w:val="002A5634"/>
    <w:rsid w:val="002A5DF8"/>
    <w:rsid w:val="002B07F2"/>
    <w:rsid w:val="002B080D"/>
    <w:rsid w:val="002B3616"/>
    <w:rsid w:val="002B43C8"/>
    <w:rsid w:val="002C0A83"/>
    <w:rsid w:val="002C2EE0"/>
    <w:rsid w:val="002C5195"/>
    <w:rsid w:val="002C6736"/>
    <w:rsid w:val="002D3212"/>
    <w:rsid w:val="002D46AD"/>
    <w:rsid w:val="002D50E8"/>
    <w:rsid w:val="002D61BE"/>
    <w:rsid w:val="002D684D"/>
    <w:rsid w:val="002E13C9"/>
    <w:rsid w:val="002E3EEC"/>
    <w:rsid w:val="002E414F"/>
    <w:rsid w:val="002E5D73"/>
    <w:rsid w:val="002E62AE"/>
    <w:rsid w:val="002E75AB"/>
    <w:rsid w:val="002E7CBD"/>
    <w:rsid w:val="002F0988"/>
    <w:rsid w:val="002F4C42"/>
    <w:rsid w:val="002F63D2"/>
    <w:rsid w:val="002F78A6"/>
    <w:rsid w:val="003009B5"/>
    <w:rsid w:val="00300C1A"/>
    <w:rsid w:val="00302904"/>
    <w:rsid w:val="00303125"/>
    <w:rsid w:val="00303D93"/>
    <w:rsid w:val="00306801"/>
    <w:rsid w:val="00306C1D"/>
    <w:rsid w:val="0030792D"/>
    <w:rsid w:val="00307B85"/>
    <w:rsid w:val="003105EB"/>
    <w:rsid w:val="00311A50"/>
    <w:rsid w:val="003137EE"/>
    <w:rsid w:val="00314634"/>
    <w:rsid w:val="00317481"/>
    <w:rsid w:val="0032184B"/>
    <w:rsid w:val="00322AAB"/>
    <w:rsid w:val="00323CE9"/>
    <w:rsid w:val="0032536B"/>
    <w:rsid w:val="00327015"/>
    <w:rsid w:val="003367D1"/>
    <w:rsid w:val="00336E01"/>
    <w:rsid w:val="00340085"/>
    <w:rsid w:val="003421C2"/>
    <w:rsid w:val="00342F59"/>
    <w:rsid w:val="00343DF7"/>
    <w:rsid w:val="00344BBD"/>
    <w:rsid w:val="0035364E"/>
    <w:rsid w:val="003549EE"/>
    <w:rsid w:val="00355C7E"/>
    <w:rsid w:val="003560A1"/>
    <w:rsid w:val="0036055F"/>
    <w:rsid w:val="00362D30"/>
    <w:rsid w:val="00363FC4"/>
    <w:rsid w:val="00366EBA"/>
    <w:rsid w:val="003679E6"/>
    <w:rsid w:val="00367E9A"/>
    <w:rsid w:val="00371F35"/>
    <w:rsid w:val="00372822"/>
    <w:rsid w:val="00372BCE"/>
    <w:rsid w:val="00373050"/>
    <w:rsid w:val="003756FC"/>
    <w:rsid w:val="00375FC7"/>
    <w:rsid w:val="00376FD2"/>
    <w:rsid w:val="00377219"/>
    <w:rsid w:val="0037769A"/>
    <w:rsid w:val="0038154F"/>
    <w:rsid w:val="00382711"/>
    <w:rsid w:val="003834CD"/>
    <w:rsid w:val="00383E9E"/>
    <w:rsid w:val="0038584B"/>
    <w:rsid w:val="003868BE"/>
    <w:rsid w:val="00386EC2"/>
    <w:rsid w:val="00387C55"/>
    <w:rsid w:val="003914A1"/>
    <w:rsid w:val="003928FD"/>
    <w:rsid w:val="00397341"/>
    <w:rsid w:val="003A02D8"/>
    <w:rsid w:val="003A05D0"/>
    <w:rsid w:val="003A18EE"/>
    <w:rsid w:val="003A32DF"/>
    <w:rsid w:val="003A51FD"/>
    <w:rsid w:val="003A57E2"/>
    <w:rsid w:val="003A7731"/>
    <w:rsid w:val="003B0F7E"/>
    <w:rsid w:val="003B2E04"/>
    <w:rsid w:val="003B3093"/>
    <w:rsid w:val="003B5554"/>
    <w:rsid w:val="003B585E"/>
    <w:rsid w:val="003B67C3"/>
    <w:rsid w:val="003C0F08"/>
    <w:rsid w:val="003C1CFD"/>
    <w:rsid w:val="003C3A99"/>
    <w:rsid w:val="003C49C9"/>
    <w:rsid w:val="003C7B70"/>
    <w:rsid w:val="003D00C1"/>
    <w:rsid w:val="003D0E27"/>
    <w:rsid w:val="003D15D0"/>
    <w:rsid w:val="003D38F7"/>
    <w:rsid w:val="003D5D49"/>
    <w:rsid w:val="003D6830"/>
    <w:rsid w:val="003E1405"/>
    <w:rsid w:val="003E15B6"/>
    <w:rsid w:val="003E4DDA"/>
    <w:rsid w:val="003E5628"/>
    <w:rsid w:val="003E5903"/>
    <w:rsid w:val="003E5D1E"/>
    <w:rsid w:val="003F347A"/>
    <w:rsid w:val="003F69C5"/>
    <w:rsid w:val="003F7475"/>
    <w:rsid w:val="00401755"/>
    <w:rsid w:val="00402468"/>
    <w:rsid w:val="00403F28"/>
    <w:rsid w:val="0040436B"/>
    <w:rsid w:val="0040464B"/>
    <w:rsid w:val="00407E2D"/>
    <w:rsid w:val="004127CC"/>
    <w:rsid w:val="00414D79"/>
    <w:rsid w:val="00415060"/>
    <w:rsid w:val="0041758B"/>
    <w:rsid w:val="00417A48"/>
    <w:rsid w:val="00417ABA"/>
    <w:rsid w:val="004255AD"/>
    <w:rsid w:val="004266A4"/>
    <w:rsid w:val="00427446"/>
    <w:rsid w:val="004275DC"/>
    <w:rsid w:val="00427731"/>
    <w:rsid w:val="00430968"/>
    <w:rsid w:val="00431ED9"/>
    <w:rsid w:val="0043213F"/>
    <w:rsid w:val="0043388C"/>
    <w:rsid w:val="004345F2"/>
    <w:rsid w:val="00441E8C"/>
    <w:rsid w:val="00443FC3"/>
    <w:rsid w:val="004444FF"/>
    <w:rsid w:val="00444C99"/>
    <w:rsid w:val="00444F84"/>
    <w:rsid w:val="00447047"/>
    <w:rsid w:val="00447DAD"/>
    <w:rsid w:val="00450D55"/>
    <w:rsid w:val="004610DD"/>
    <w:rsid w:val="004621F5"/>
    <w:rsid w:val="00466707"/>
    <w:rsid w:val="00466EEB"/>
    <w:rsid w:val="00470730"/>
    <w:rsid w:val="00470BD1"/>
    <w:rsid w:val="00473B3D"/>
    <w:rsid w:val="00474D92"/>
    <w:rsid w:val="004758B7"/>
    <w:rsid w:val="004763CF"/>
    <w:rsid w:val="00476406"/>
    <w:rsid w:val="004801CF"/>
    <w:rsid w:val="004825BA"/>
    <w:rsid w:val="0048731E"/>
    <w:rsid w:val="004921A2"/>
    <w:rsid w:val="00492902"/>
    <w:rsid w:val="004933DD"/>
    <w:rsid w:val="004979A7"/>
    <w:rsid w:val="004A0D2F"/>
    <w:rsid w:val="004A16D5"/>
    <w:rsid w:val="004A3A17"/>
    <w:rsid w:val="004A4379"/>
    <w:rsid w:val="004A4472"/>
    <w:rsid w:val="004A5F2D"/>
    <w:rsid w:val="004A5F6F"/>
    <w:rsid w:val="004B0C6B"/>
    <w:rsid w:val="004B1125"/>
    <w:rsid w:val="004B1E4E"/>
    <w:rsid w:val="004B29B1"/>
    <w:rsid w:val="004B2B1A"/>
    <w:rsid w:val="004B4763"/>
    <w:rsid w:val="004B4793"/>
    <w:rsid w:val="004B506A"/>
    <w:rsid w:val="004B58A0"/>
    <w:rsid w:val="004B77E2"/>
    <w:rsid w:val="004C10B1"/>
    <w:rsid w:val="004C1105"/>
    <w:rsid w:val="004C1ADF"/>
    <w:rsid w:val="004C2586"/>
    <w:rsid w:val="004C3351"/>
    <w:rsid w:val="004C6ACC"/>
    <w:rsid w:val="004D1AF6"/>
    <w:rsid w:val="004D1E01"/>
    <w:rsid w:val="004D26B3"/>
    <w:rsid w:val="004D3CF4"/>
    <w:rsid w:val="004D5571"/>
    <w:rsid w:val="004D6A84"/>
    <w:rsid w:val="004D7AC2"/>
    <w:rsid w:val="004E0DC8"/>
    <w:rsid w:val="004E2DEE"/>
    <w:rsid w:val="004E3916"/>
    <w:rsid w:val="004E48B8"/>
    <w:rsid w:val="004E55A0"/>
    <w:rsid w:val="004E56E5"/>
    <w:rsid w:val="004F1873"/>
    <w:rsid w:val="004F1BE5"/>
    <w:rsid w:val="004F205C"/>
    <w:rsid w:val="004F3674"/>
    <w:rsid w:val="004F52CA"/>
    <w:rsid w:val="00500E04"/>
    <w:rsid w:val="00501290"/>
    <w:rsid w:val="005013B7"/>
    <w:rsid w:val="00501579"/>
    <w:rsid w:val="00503B65"/>
    <w:rsid w:val="005049DA"/>
    <w:rsid w:val="00504E02"/>
    <w:rsid w:val="005055FD"/>
    <w:rsid w:val="00507DE5"/>
    <w:rsid w:val="005103AE"/>
    <w:rsid w:val="00510BCD"/>
    <w:rsid w:val="00512CA6"/>
    <w:rsid w:val="00512F18"/>
    <w:rsid w:val="00513A0D"/>
    <w:rsid w:val="00513E78"/>
    <w:rsid w:val="00514F6E"/>
    <w:rsid w:val="00515E12"/>
    <w:rsid w:val="005167FD"/>
    <w:rsid w:val="00520B4D"/>
    <w:rsid w:val="005235D3"/>
    <w:rsid w:val="005245B1"/>
    <w:rsid w:val="00526125"/>
    <w:rsid w:val="005261C2"/>
    <w:rsid w:val="0052693F"/>
    <w:rsid w:val="005319D7"/>
    <w:rsid w:val="00534944"/>
    <w:rsid w:val="00540318"/>
    <w:rsid w:val="005463A9"/>
    <w:rsid w:val="00546F57"/>
    <w:rsid w:val="005474D6"/>
    <w:rsid w:val="005500F1"/>
    <w:rsid w:val="00562BF1"/>
    <w:rsid w:val="00567867"/>
    <w:rsid w:val="00573658"/>
    <w:rsid w:val="005756F9"/>
    <w:rsid w:val="00575B38"/>
    <w:rsid w:val="00576844"/>
    <w:rsid w:val="005773BD"/>
    <w:rsid w:val="00584382"/>
    <w:rsid w:val="0059057B"/>
    <w:rsid w:val="00590615"/>
    <w:rsid w:val="005937CF"/>
    <w:rsid w:val="005945F6"/>
    <w:rsid w:val="00595C07"/>
    <w:rsid w:val="00595E5F"/>
    <w:rsid w:val="005963C4"/>
    <w:rsid w:val="005A0D31"/>
    <w:rsid w:val="005A2758"/>
    <w:rsid w:val="005A2AEA"/>
    <w:rsid w:val="005A338D"/>
    <w:rsid w:val="005A54F0"/>
    <w:rsid w:val="005A560D"/>
    <w:rsid w:val="005B04D0"/>
    <w:rsid w:val="005B4EAA"/>
    <w:rsid w:val="005C02C1"/>
    <w:rsid w:val="005C1128"/>
    <w:rsid w:val="005C5138"/>
    <w:rsid w:val="005C5ED9"/>
    <w:rsid w:val="005D141F"/>
    <w:rsid w:val="005D45C9"/>
    <w:rsid w:val="005D4F69"/>
    <w:rsid w:val="005D5D54"/>
    <w:rsid w:val="005D7C72"/>
    <w:rsid w:val="005E159E"/>
    <w:rsid w:val="005E3D7C"/>
    <w:rsid w:val="005E6C7E"/>
    <w:rsid w:val="005E7A75"/>
    <w:rsid w:val="005F0F61"/>
    <w:rsid w:val="005F1BB9"/>
    <w:rsid w:val="0060218C"/>
    <w:rsid w:val="0060255E"/>
    <w:rsid w:val="00603426"/>
    <w:rsid w:val="00603FCF"/>
    <w:rsid w:val="00610120"/>
    <w:rsid w:val="006104AA"/>
    <w:rsid w:val="00613DA8"/>
    <w:rsid w:val="00614B07"/>
    <w:rsid w:val="006151A3"/>
    <w:rsid w:val="00615A16"/>
    <w:rsid w:val="00616EF1"/>
    <w:rsid w:val="0062040F"/>
    <w:rsid w:val="00622936"/>
    <w:rsid w:val="0062391C"/>
    <w:rsid w:val="0063177A"/>
    <w:rsid w:val="00636172"/>
    <w:rsid w:val="0064016B"/>
    <w:rsid w:val="006412BB"/>
    <w:rsid w:val="00642AB1"/>
    <w:rsid w:val="006471CE"/>
    <w:rsid w:val="0065351C"/>
    <w:rsid w:val="00654BDD"/>
    <w:rsid w:val="0065509C"/>
    <w:rsid w:val="006550A6"/>
    <w:rsid w:val="0065674E"/>
    <w:rsid w:val="006568DF"/>
    <w:rsid w:val="00657F07"/>
    <w:rsid w:val="0066057A"/>
    <w:rsid w:val="00661B4E"/>
    <w:rsid w:val="00662C19"/>
    <w:rsid w:val="00663F11"/>
    <w:rsid w:val="00670398"/>
    <w:rsid w:val="0067080A"/>
    <w:rsid w:val="00670B1B"/>
    <w:rsid w:val="006729FF"/>
    <w:rsid w:val="006734EC"/>
    <w:rsid w:val="00675F41"/>
    <w:rsid w:val="00676400"/>
    <w:rsid w:val="00676ECB"/>
    <w:rsid w:val="0068098C"/>
    <w:rsid w:val="0069134A"/>
    <w:rsid w:val="006922F4"/>
    <w:rsid w:val="00692D9A"/>
    <w:rsid w:val="00694B2E"/>
    <w:rsid w:val="006972B1"/>
    <w:rsid w:val="006A4740"/>
    <w:rsid w:val="006A64F2"/>
    <w:rsid w:val="006A6A40"/>
    <w:rsid w:val="006B3EFB"/>
    <w:rsid w:val="006B6735"/>
    <w:rsid w:val="006B690F"/>
    <w:rsid w:val="006C245A"/>
    <w:rsid w:val="006C245B"/>
    <w:rsid w:val="006C3295"/>
    <w:rsid w:val="006C5DA4"/>
    <w:rsid w:val="006C6F08"/>
    <w:rsid w:val="006C7836"/>
    <w:rsid w:val="006D491B"/>
    <w:rsid w:val="006D7B01"/>
    <w:rsid w:val="006E1783"/>
    <w:rsid w:val="006E1DF2"/>
    <w:rsid w:val="006E324E"/>
    <w:rsid w:val="006E57E8"/>
    <w:rsid w:val="006F08AE"/>
    <w:rsid w:val="006F08CA"/>
    <w:rsid w:val="006F178E"/>
    <w:rsid w:val="006F2ACE"/>
    <w:rsid w:val="006F593A"/>
    <w:rsid w:val="006F6660"/>
    <w:rsid w:val="006F6C06"/>
    <w:rsid w:val="006F79BB"/>
    <w:rsid w:val="007000FB"/>
    <w:rsid w:val="007008E0"/>
    <w:rsid w:val="007050B0"/>
    <w:rsid w:val="00705235"/>
    <w:rsid w:val="007107AD"/>
    <w:rsid w:val="00715CCA"/>
    <w:rsid w:val="0071661A"/>
    <w:rsid w:val="00717DF2"/>
    <w:rsid w:val="007210F1"/>
    <w:rsid w:val="007234E4"/>
    <w:rsid w:val="007244AB"/>
    <w:rsid w:val="00727A76"/>
    <w:rsid w:val="0073264E"/>
    <w:rsid w:val="00732658"/>
    <w:rsid w:val="00735001"/>
    <w:rsid w:val="0073635E"/>
    <w:rsid w:val="007375AF"/>
    <w:rsid w:val="00742C25"/>
    <w:rsid w:val="00743300"/>
    <w:rsid w:val="00745364"/>
    <w:rsid w:val="00747A6F"/>
    <w:rsid w:val="00750070"/>
    <w:rsid w:val="007520AB"/>
    <w:rsid w:val="00752308"/>
    <w:rsid w:val="00760397"/>
    <w:rsid w:val="00763043"/>
    <w:rsid w:val="00766C21"/>
    <w:rsid w:val="0077010C"/>
    <w:rsid w:val="0077058E"/>
    <w:rsid w:val="00770F98"/>
    <w:rsid w:val="007731F4"/>
    <w:rsid w:val="00780E4B"/>
    <w:rsid w:val="00781BAD"/>
    <w:rsid w:val="007841E7"/>
    <w:rsid w:val="00784D93"/>
    <w:rsid w:val="00785E80"/>
    <w:rsid w:val="00786812"/>
    <w:rsid w:val="00787B82"/>
    <w:rsid w:val="007902C3"/>
    <w:rsid w:val="00794193"/>
    <w:rsid w:val="00794EF5"/>
    <w:rsid w:val="00795B64"/>
    <w:rsid w:val="007964AA"/>
    <w:rsid w:val="00796F08"/>
    <w:rsid w:val="007A1A4C"/>
    <w:rsid w:val="007A204B"/>
    <w:rsid w:val="007A4181"/>
    <w:rsid w:val="007A46A0"/>
    <w:rsid w:val="007A7939"/>
    <w:rsid w:val="007B0FC5"/>
    <w:rsid w:val="007B21DD"/>
    <w:rsid w:val="007B430A"/>
    <w:rsid w:val="007B442A"/>
    <w:rsid w:val="007B5630"/>
    <w:rsid w:val="007C0BAC"/>
    <w:rsid w:val="007C0F73"/>
    <w:rsid w:val="007C13D5"/>
    <w:rsid w:val="007C3E3C"/>
    <w:rsid w:val="007C5570"/>
    <w:rsid w:val="007D2137"/>
    <w:rsid w:val="007D67D1"/>
    <w:rsid w:val="007E0E8A"/>
    <w:rsid w:val="007E1C31"/>
    <w:rsid w:val="007E2A88"/>
    <w:rsid w:val="007E39DB"/>
    <w:rsid w:val="007E426A"/>
    <w:rsid w:val="007E451E"/>
    <w:rsid w:val="007E5D49"/>
    <w:rsid w:val="007E6676"/>
    <w:rsid w:val="007E6C65"/>
    <w:rsid w:val="007E6D75"/>
    <w:rsid w:val="007F7857"/>
    <w:rsid w:val="007F7E28"/>
    <w:rsid w:val="008038A5"/>
    <w:rsid w:val="008046A7"/>
    <w:rsid w:val="00805519"/>
    <w:rsid w:val="00807ABE"/>
    <w:rsid w:val="008161F8"/>
    <w:rsid w:val="0082072C"/>
    <w:rsid w:val="008210E6"/>
    <w:rsid w:val="008211B6"/>
    <w:rsid w:val="008215F2"/>
    <w:rsid w:val="00821DC6"/>
    <w:rsid w:val="00822EEA"/>
    <w:rsid w:val="008251FA"/>
    <w:rsid w:val="008311D0"/>
    <w:rsid w:val="00831EDA"/>
    <w:rsid w:val="00833FF2"/>
    <w:rsid w:val="0083482E"/>
    <w:rsid w:val="008363BD"/>
    <w:rsid w:val="00837226"/>
    <w:rsid w:val="008417CC"/>
    <w:rsid w:val="00842293"/>
    <w:rsid w:val="0084233D"/>
    <w:rsid w:val="008433EA"/>
    <w:rsid w:val="00844152"/>
    <w:rsid w:val="0084419E"/>
    <w:rsid w:val="008443D6"/>
    <w:rsid w:val="00847619"/>
    <w:rsid w:val="008527AF"/>
    <w:rsid w:val="00853982"/>
    <w:rsid w:val="0085796E"/>
    <w:rsid w:val="00860B56"/>
    <w:rsid w:val="0086208C"/>
    <w:rsid w:val="00862DD6"/>
    <w:rsid w:val="00863319"/>
    <w:rsid w:val="008659C3"/>
    <w:rsid w:val="00865E1F"/>
    <w:rsid w:val="00870E3F"/>
    <w:rsid w:val="00872FDD"/>
    <w:rsid w:val="008739F3"/>
    <w:rsid w:val="00873C98"/>
    <w:rsid w:val="00873E3A"/>
    <w:rsid w:val="00873ED3"/>
    <w:rsid w:val="00874F7D"/>
    <w:rsid w:val="00875888"/>
    <w:rsid w:val="00877335"/>
    <w:rsid w:val="008779F9"/>
    <w:rsid w:val="00877F40"/>
    <w:rsid w:val="00881A7C"/>
    <w:rsid w:val="00881D0D"/>
    <w:rsid w:val="00883C2D"/>
    <w:rsid w:val="00883D57"/>
    <w:rsid w:val="00885412"/>
    <w:rsid w:val="00886291"/>
    <w:rsid w:val="0089092B"/>
    <w:rsid w:val="00890FD6"/>
    <w:rsid w:val="0089104A"/>
    <w:rsid w:val="008938E8"/>
    <w:rsid w:val="00895B38"/>
    <w:rsid w:val="0089619E"/>
    <w:rsid w:val="008A53F1"/>
    <w:rsid w:val="008B4536"/>
    <w:rsid w:val="008B4F4B"/>
    <w:rsid w:val="008B629C"/>
    <w:rsid w:val="008C0A8C"/>
    <w:rsid w:val="008C1CCC"/>
    <w:rsid w:val="008C3426"/>
    <w:rsid w:val="008C387F"/>
    <w:rsid w:val="008C3E88"/>
    <w:rsid w:val="008C4B08"/>
    <w:rsid w:val="008C6C90"/>
    <w:rsid w:val="008C6CD3"/>
    <w:rsid w:val="008C6F74"/>
    <w:rsid w:val="008D25CC"/>
    <w:rsid w:val="008D3E8B"/>
    <w:rsid w:val="008E0D6A"/>
    <w:rsid w:val="008E0FA9"/>
    <w:rsid w:val="008E121E"/>
    <w:rsid w:val="008E3C17"/>
    <w:rsid w:val="008E4487"/>
    <w:rsid w:val="008E73F7"/>
    <w:rsid w:val="008F2375"/>
    <w:rsid w:val="008F31AE"/>
    <w:rsid w:val="008F46F1"/>
    <w:rsid w:val="008F5E2B"/>
    <w:rsid w:val="008F7441"/>
    <w:rsid w:val="00900165"/>
    <w:rsid w:val="00901FC3"/>
    <w:rsid w:val="00904091"/>
    <w:rsid w:val="009044B7"/>
    <w:rsid w:val="00904E5E"/>
    <w:rsid w:val="00906166"/>
    <w:rsid w:val="00906E26"/>
    <w:rsid w:val="00907C81"/>
    <w:rsid w:val="00912360"/>
    <w:rsid w:val="00912546"/>
    <w:rsid w:val="00914472"/>
    <w:rsid w:val="00917AE9"/>
    <w:rsid w:val="0092089F"/>
    <w:rsid w:val="00921B0A"/>
    <w:rsid w:val="00921DA9"/>
    <w:rsid w:val="00927382"/>
    <w:rsid w:val="00930D93"/>
    <w:rsid w:val="00933019"/>
    <w:rsid w:val="009357B8"/>
    <w:rsid w:val="00936FDA"/>
    <w:rsid w:val="009404E9"/>
    <w:rsid w:val="00940C6E"/>
    <w:rsid w:val="0094137F"/>
    <w:rsid w:val="00941BFF"/>
    <w:rsid w:val="00941E0A"/>
    <w:rsid w:val="0094214A"/>
    <w:rsid w:val="00942B3C"/>
    <w:rsid w:val="00943ADC"/>
    <w:rsid w:val="00943C45"/>
    <w:rsid w:val="00947A6E"/>
    <w:rsid w:val="00951681"/>
    <w:rsid w:val="00951BC4"/>
    <w:rsid w:val="00957FE3"/>
    <w:rsid w:val="009603C9"/>
    <w:rsid w:val="00960B87"/>
    <w:rsid w:val="00962AAD"/>
    <w:rsid w:val="009635AB"/>
    <w:rsid w:val="00964C04"/>
    <w:rsid w:val="00964ECF"/>
    <w:rsid w:val="00971A09"/>
    <w:rsid w:val="00975E03"/>
    <w:rsid w:val="00976E44"/>
    <w:rsid w:val="00980566"/>
    <w:rsid w:val="00982F45"/>
    <w:rsid w:val="00985D2D"/>
    <w:rsid w:val="00986732"/>
    <w:rsid w:val="00986ECD"/>
    <w:rsid w:val="009903E3"/>
    <w:rsid w:val="0099176B"/>
    <w:rsid w:val="00994325"/>
    <w:rsid w:val="0099459B"/>
    <w:rsid w:val="00994B27"/>
    <w:rsid w:val="009972E5"/>
    <w:rsid w:val="009A1208"/>
    <w:rsid w:val="009A2737"/>
    <w:rsid w:val="009A2A70"/>
    <w:rsid w:val="009A3D45"/>
    <w:rsid w:val="009A7D1A"/>
    <w:rsid w:val="009B2249"/>
    <w:rsid w:val="009B3268"/>
    <w:rsid w:val="009B355A"/>
    <w:rsid w:val="009B5FBB"/>
    <w:rsid w:val="009B6175"/>
    <w:rsid w:val="009B6B49"/>
    <w:rsid w:val="009B6CD7"/>
    <w:rsid w:val="009C027C"/>
    <w:rsid w:val="009C14CA"/>
    <w:rsid w:val="009C4BA5"/>
    <w:rsid w:val="009C69FB"/>
    <w:rsid w:val="009C6D70"/>
    <w:rsid w:val="009C7CDC"/>
    <w:rsid w:val="009D0659"/>
    <w:rsid w:val="009D119A"/>
    <w:rsid w:val="009D440B"/>
    <w:rsid w:val="009E0743"/>
    <w:rsid w:val="009E0762"/>
    <w:rsid w:val="009E16BB"/>
    <w:rsid w:val="009E3469"/>
    <w:rsid w:val="009E3575"/>
    <w:rsid w:val="009E4DD5"/>
    <w:rsid w:val="009E57B9"/>
    <w:rsid w:val="009E6258"/>
    <w:rsid w:val="009E63AB"/>
    <w:rsid w:val="009E6878"/>
    <w:rsid w:val="009F07ED"/>
    <w:rsid w:val="009F17FE"/>
    <w:rsid w:val="009F34A1"/>
    <w:rsid w:val="009F4617"/>
    <w:rsid w:val="009F47A7"/>
    <w:rsid w:val="009F707B"/>
    <w:rsid w:val="009F7990"/>
    <w:rsid w:val="009F7A6D"/>
    <w:rsid w:val="00A009D4"/>
    <w:rsid w:val="00A01B68"/>
    <w:rsid w:val="00A11885"/>
    <w:rsid w:val="00A12944"/>
    <w:rsid w:val="00A14EFC"/>
    <w:rsid w:val="00A15C72"/>
    <w:rsid w:val="00A15DFA"/>
    <w:rsid w:val="00A1696D"/>
    <w:rsid w:val="00A22BE0"/>
    <w:rsid w:val="00A23AFA"/>
    <w:rsid w:val="00A24C4F"/>
    <w:rsid w:val="00A26FCB"/>
    <w:rsid w:val="00A2719F"/>
    <w:rsid w:val="00A27480"/>
    <w:rsid w:val="00A312B8"/>
    <w:rsid w:val="00A315F9"/>
    <w:rsid w:val="00A32C82"/>
    <w:rsid w:val="00A33A9C"/>
    <w:rsid w:val="00A34581"/>
    <w:rsid w:val="00A35315"/>
    <w:rsid w:val="00A35702"/>
    <w:rsid w:val="00A3641B"/>
    <w:rsid w:val="00A42FB5"/>
    <w:rsid w:val="00A442C3"/>
    <w:rsid w:val="00A449D3"/>
    <w:rsid w:val="00A4523E"/>
    <w:rsid w:val="00A474D4"/>
    <w:rsid w:val="00A52CD8"/>
    <w:rsid w:val="00A57FFA"/>
    <w:rsid w:val="00A60BE2"/>
    <w:rsid w:val="00A66FC3"/>
    <w:rsid w:val="00A7014D"/>
    <w:rsid w:val="00A71047"/>
    <w:rsid w:val="00A83596"/>
    <w:rsid w:val="00A835FF"/>
    <w:rsid w:val="00A83846"/>
    <w:rsid w:val="00A83E30"/>
    <w:rsid w:val="00A916E8"/>
    <w:rsid w:val="00A91C93"/>
    <w:rsid w:val="00A92349"/>
    <w:rsid w:val="00A92F77"/>
    <w:rsid w:val="00A937FA"/>
    <w:rsid w:val="00A944BC"/>
    <w:rsid w:val="00A97F3E"/>
    <w:rsid w:val="00AA1CCA"/>
    <w:rsid w:val="00AA2232"/>
    <w:rsid w:val="00AA31D4"/>
    <w:rsid w:val="00AA4C9C"/>
    <w:rsid w:val="00AB07B5"/>
    <w:rsid w:val="00AB0B25"/>
    <w:rsid w:val="00AB1D8F"/>
    <w:rsid w:val="00AB5A09"/>
    <w:rsid w:val="00AC14B3"/>
    <w:rsid w:val="00AC26E2"/>
    <w:rsid w:val="00AC4481"/>
    <w:rsid w:val="00AC54FF"/>
    <w:rsid w:val="00AC7A91"/>
    <w:rsid w:val="00AC7B96"/>
    <w:rsid w:val="00AD066A"/>
    <w:rsid w:val="00AD069F"/>
    <w:rsid w:val="00AD1100"/>
    <w:rsid w:val="00AD16E8"/>
    <w:rsid w:val="00AE0F52"/>
    <w:rsid w:val="00AE315A"/>
    <w:rsid w:val="00AE3450"/>
    <w:rsid w:val="00AE6923"/>
    <w:rsid w:val="00AE699D"/>
    <w:rsid w:val="00AF1477"/>
    <w:rsid w:val="00AF23B5"/>
    <w:rsid w:val="00AF33FC"/>
    <w:rsid w:val="00AF4C7A"/>
    <w:rsid w:val="00AF5461"/>
    <w:rsid w:val="00AF5CE0"/>
    <w:rsid w:val="00B003A5"/>
    <w:rsid w:val="00B00AA3"/>
    <w:rsid w:val="00B0111A"/>
    <w:rsid w:val="00B01DC8"/>
    <w:rsid w:val="00B02770"/>
    <w:rsid w:val="00B03CB4"/>
    <w:rsid w:val="00B072ED"/>
    <w:rsid w:val="00B0740E"/>
    <w:rsid w:val="00B07D2A"/>
    <w:rsid w:val="00B1144E"/>
    <w:rsid w:val="00B1170E"/>
    <w:rsid w:val="00B1361D"/>
    <w:rsid w:val="00B13AF7"/>
    <w:rsid w:val="00B14A97"/>
    <w:rsid w:val="00B15030"/>
    <w:rsid w:val="00B150FA"/>
    <w:rsid w:val="00B1617D"/>
    <w:rsid w:val="00B20520"/>
    <w:rsid w:val="00B20D8C"/>
    <w:rsid w:val="00B20EE3"/>
    <w:rsid w:val="00B21B7C"/>
    <w:rsid w:val="00B22AC5"/>
    <w:rsid w:val="00B24C6D"/>
    <w:rsid w:val="00B273CB"/>
    <w:rsid w:val="00B31971"/>
    <w:rsid w:val="00B323F0"/>
    <w:rsid w:val="00B32DC1"/>
    <w:rsid w:val="00B37E41"/>
    <w:rsid w:val="00B40D3A"/>
    <w:rsid w:val="00B445DE"/>
    <w:rsid w:val="00B47304"/>
    <w:rsid w:val="00B47709"/>
    <w:rsid w:val="00B47C3D"/>
    <w:rsid w:val="00B50794"/>
    <w:rsid w:val="00B50EE6"/>
    <w:rsid w:val="00B51C9C"/>
    <w:rsid w:val="00B547CD"/>
    <w:rsid w:val="00B56F52"/>
    <w:rsid w:val="00B5729B"/>
    <w:rsid w:val="00B5789D"/>
    <w:rsid w:val="00B61DEE"/>
    <w:rsid w:val="00B72BEA"/>
    <w:rsid w:val="00B757FB"/>
    <w:rsid w:val="00B763C7"/>
    <w:rsid w:val="00B76AE9"/>
    <w:rsid w:val="00B77E31"/>
    <w:rsid w:val="00B77E3B"/>
    <w:rsid w:val="00B816DD"/>
    <w:rsid w:val="00B81A18"/>
    <w:rsid w:val="00B81D8F"/>
    <w:rsid w:val="00B82AC2"/>
    <w:rsid w:val="00B83235"/>
    <w:rsid w:val="00B83C4A"/>
    <w:rsid w:val="00B87A0A"/>
    <w:rsid w:val="00B914C2"/>
    <w:rsid w:val="00B93583"/>
    <w:rsid w:val="00B95C1A"/>
    <w:rsid w:val="00BA3333"/>
    <w:rsid w:val="00BA36B3"/>
    <w:rsid w:val="00BA4E68"/>
    <w:rsid w:val="00BA577F"/>
    <w:rsid w:val="00BA5B1F"/>
    <w:rsid w:val="00BA66B1"/>
    <w:rsid w:val="00BB0985"/>
    <w:rsid w:val="00BB1638"/>
    <w:rsid w:val="00BB4BAF"/>
    <w:rsid w:val="00BB4EF1"/>
    <w:rsid w:val="00BB5FEA"/>
    <w:rsid w:val="00BB6E06"/>
    <w:rsid w:val="00BB7E8B"/>
    <w:rsid w:val="00BC1C98"/>
    <w:rsid w:val="00BC1DCF"/>
    <w:rsid w:val="00BC346D"/>
    <w:rsid w:val="00BC34EF"/>
    <w:rsid w:val="00BC35D4"/>
    <w:rsid w:val="00BC3D16"/>
    <w:rsid w:val="00BD3E57"/>
    <w:rsid w:val="00BD3FCD"/>
    <w:rsid w:val="00BD4DFB"/>
    <w:rsid w:val="00BE16EE"/>
    <w:rsid w:val="00BE2DE0"/>
    <w:rsid w:val="00BE3510"/>
    <w:rsid w:val="00BE4BA6"/>
    <w:rsid w:val="00BE6C86"/>
    <w:rsid w:val="00BE761E"/>
    <w:rsid w:val="00BF0827"/>
    <w:rsid w:val="00BF2F4A"/>
    <w:rsid w:val="00BF3093"/>
    <w:rsid w:val="00BF3C89"/>
    <w:rsid w:val="00BF43D9"/>
    <w:rsid w:val="00BF4912"/>
    <w:rsid w:val="00BF4EB8"/>
    <w:rsid w:val="00C00BA8"/>
    <w:rsid w:val="00C01334"/>
    <w:rsid w:val="00C01528"/>
    <w:rsid w:val="00C04531"/>
    <w:rsid w:val="00C04558"/>
    <w:rsid w:val="00C04EA1"/>
    <w:rsid w:val="00C07784"/>
    <w:rsid w:val="00C11AAF"/>
    <w:rsid w:val="00C11EFF"/>
    <w:rsid w:val="00C12370"/>
    <w:rsid w:val="00C124E6"/>
    <w:rsid w:val="00C12BAE"/>
    <w:rsid w:val="00C12DB3"/>
    <w:rsid w:val="00C12F53"/>
    <w:rsid w:val="00C13F83"/>
    <w:rsid w:val="00C15167"/>
    <w:rsid w:val="00C15382"/>
    <w:rsid w:val="00C15A52"/>
    <w:rsid w:val="00C15ECA"/>
    <w:rsid w:val="00C16531"/>
    <w:rsid w:val="00C1705F"/>
    <w:rsid w:val="00C1764C"/>
    <w:rsid w:val="00C20E93"/>
    <w:rsid w:val="00C222F3"/>
    <w:rsid w:val="00C23BF2"/>
    <w:rsid w:val="00C24004"/>
    <w:rsid w:val="00C24455"/>
    <w:rsid w:val="00C24695"/>
    <w:rsid w:val="00C254F0"/>
    <w:rsid w:val="00C33EB2"/>
    <w:rsid w:val="00C37799"/>
    <w:rsid w:val="00C37CD0"/>
    <w:rsid w:val="00C411DB"/>
    <w:rsid w:val="00C44018"/>
    <w:rsid w:val="00C46557"/>
    <w:rsid w:val="00C46D59"/>
    <w:rsid w:val="00C46DC6"/>
    <w:rsid w:val="00C4789A"/>
    <w:rsid w:val="00C51603"/>
    <w:rsid w:val="00C55401"/>
    <w:rsid w:val="00C55A2D"/>
    <w:rsid w:val="00C574B0"/>
    <w:rsid w:val="00C612DD"/>
    <w:rsid w:val="00C6172C"/>
    <w:rsid w:val="00C61F76"/>
    <w:rsid w:val="00C679CE"/>
    <w:rsid w:val="00C71E83"/>
    <w:rsid w:val="00C72533"/>
    <w:rsid w:val="00C72589"/>
    <w:rsid w:val="00C81090"/>
    <w:rsid w:val="00C82321"/>
    <w:rsid w:val="00C832E4"/>
    <w:rsid w:val="00C8389C"/>
    <w:rsid w:val="00C84FCE"/>
    <w:rsid w:val="00C852A9"/>
    <w:rsid w:val="00C8745C"/>
    <w:rsid w:val="00C93740"/>
    <w:rsid w:val="00C94D9D"/>
    <w:rsid w:val="00C961E7"/>
    <w:rsid w:val="00CA06B1"/>
    <w:rsid w:val="00CA06FD"/>
    <w:rsid w:val="00CA0796"/>
    <w:rsid w:val="00CA1E61"/>
    <w:rsid w:val="00CA6B55"/>
    <w:rsid w:val="00CA7E2B"/>
    <w:rsid w:val="00CB2B08"/>
    <w:rsid w:val="00CB39C7"/>
    <w:rsid w:val="00CB6300"/>
    <w:rsid w:val="00CB709D"/>
    <w:rsid w:val="00CB7B6B"/>
    <w:rsid w:val="00CB7E04"/>
    <w:rsid w:val="00CC0BE8"/>
    <w:rsid w:val="00CC300E"/>
    <w:rsid w:val="00CC3396"/>
    <w:rsid w:val="00CC3CE6"/>
    <w:rsid w:val="00CC3E11"/>
    <w:rsid w:val="00CC6700"/>
    <w:rsid w:val="00CC6D89"/>
    <w:rsid w:val="00CC6F63"/>
    <w:rsid w:val="00CD02F6"/>
    <w:rsid w:val="00CD1278"/>
    <w:rsid w:val="00CD20F8"/>
    <w:rsid w:val="00CD34E9"/>
    <w:rsid w:val="00CD3EF6"/>
    <w:rsid w:val="00CE116F"/>
    <w:rsid w:val="00CE1403"/>
    <w:rsid w:val="00CE2FD5"/>
    <w:rsid w:val="00CE452F"/>
    <w:rsid w:val="00CE7902"/>
    <w:rsid w:val="00CE7F8F"/>
    <w:rsid w:val="00CF1A8C"/>
    <w:rsid w:val="00CF35E9"/>
    <w:rsid w:val="00CF43F2"/>
    <w:rsid w:val="00CF464C"/>
    <w:rsid w:val="00CF4B8D"/>
    <w:rsid w:val="00CF512C"/>
    <w:rsid w:val="00CF644A"/>
    <w:rsid w:val="00D00AB4"/>
    <w:rsid w:val="00D02312"/>
    <w:rsid w:val="00D0333B"/>
    <w:rsid w:val="00D0406D"/>
    <w:rsid w:val="00D06CF4"/>
    <w:rsid w:val="00D1088E"/>
    <w:rsid w:val="00D113CD"/>
    <w:rsid w:val="00D162BC"/>
    <w:rsid w:val="00D167BB"/>
    <w:rsid w:val="00D205BA"/>
    <w:rsid w:val="00D20EF1"/>
    <w:rsid w:val="00D25882"/>
    <w:rsid w:val="00D25F59"/>
    <w:rsid w:val="00D267A9"/>
    <w:rsid w:val="00D3025A"/>
    <w:rsid w:val="00D31B84"/>
    <w:rsid w:val="00D3255C"/>
    <w:rsid w:val="00D3420E"/>
    <w:rsid w:val="00D34779"/>
    <w:rsid w:val="00D356CF"/>
    <w:rsid w:val="00D4206A"/>
    <w:rsid w:val="00D44393"/>
    <w:rsid w:val="00D446FE"/>
    <w:rsid w:val="00D447C5"/>
    <w:rsid w:val="00D50135"/>
    <w:rsid w:val="00D50C61"/>
    <w:rsid w:val="00D53926"/>
    <w:rsid w:val="00D53B6D"/>
    <w:rsid w:val="00D5467C"/>
    <w:rsid w:val="00D55B35"/>
    <w:rsid w:val="00D6141B"/>
    <w:rsid w:val="00D6438C"/>
    <w:rsid w:val="00D648E8"/>
    <w:rsid w:val="00D6498B"/>
    <w:rsid w:val="00D65AC8"/>
    <w:rsid w:val="00D65C12"/>
    <w:rsid w:val="00D65EC9"/>
    <w:rsid w:val="00D66805"/>
    <w:rsid w:val="00D7008E"/>
    <w:rsid w:val="00D70BC1"/>
    <w:rsid w:val="00D723DB"/>
    <w:rsid w:val="00D72F00"/>
    <w:rsid w:val="00D7641A"/>
    <w:rsid w:val="00D77E01"/>
    <w:rsid w:val="00D807D1"/>
    <w:rsid w:val="00D81489"/>
    <w:rsid w:val="00D81AED"/>
    <w:rsid w:val="00D81DC6"/>
    <w:rsid w:val="00D8395C"/>
    <w:rsid w:val="00D84E2D"/>
    <w:rsid w:val="00D867F5"/>
    <w:rsid w:val="00D87BEB"/>
    <w:rsid w:val="00D91676"/>
    <w:rsid w:val="00D9281D"/>
    <w:rsid w:val="00D957AB"/>
    <w:rsid w:val="00D9695C"/>
    <w:rsid w:val="00DA0270"/>
    <w:rsid w:val="00DA04D6"/>
    <w:rsid w:val="00DA0675"/>
    <w:rsid w:val="00DA06FC"/>
    <w:rsid w:val="00DA313B"/>
    <w:rsid w:val="00DA50A3"/>
    <w:rsid w:val="00DA56F0"/>
    <w:rsid w:val="00DA5A83"/>
    <w:rsid w:val="00DA5F0B"/>
    <w:rsid w:val="00DA729C"/>
    <w:rsid w:val="00DB0F38"/>
    <w:rsid w:val="00DB4C8D"/>
    <w:rsid w:val="00DB58AA"/>
    <w:rsid w:val="00DB5F13"/>
    <w:rsid w:val="00DB645E"/>
    <w:rsid w:val="00DB7DBD"/>
    <w:rsid w:val="00DC014B"/>
    <w:rsid w:val="00DC159F"/>
    <w:rsid w:val="00DC3338"/>
    <w:rsid w:val="00DC4551"/>
    <w:rsid w:val="00DC5B32"/>
    <w:rsid w:val="00DD40C0"/>
    <w:rsid w:val="00DE0A87"/>
    <w:rsid w:val="00DE11FA"/>
    <w:rsid w:val="00DE2FEA"/>
    <w:rsid w:val="00DE3B4F"/>
    <w:rsid w:val="00DE5630"/>
    <w:rsid w:val="00DE5FF0"/>
    <w:rsid w:val="00DE6E83"/>
    <w:rsid w:val="00DF0EC6"/>
    <w:rsid w:val="00DF26E7"/>
    <w:rsid w:val="00DF372E"/>
    <w:rsid w:val="00DF6DBF"/>
    <w:rsid w:val="00DF6EF9"/>
    <w:rsid w:val="00E04585"/>
    <w:rsid w:val="00E049A4"/>
    <w:rsid w:val="00E051E1"/>
    <w:rsid w:val="00E061CA"/>
    <w:rsid w:val="00E061FF"/>
    <w:rsid w:val="00E07531"/>
    <w:rsid w:val="00E1233F"/>
    <w:rsid w:val="00E125AF"/>
    <w:rsid w:val="00E13082"/>
    <w:rsid w:val="00E1342A"/>
    <w:rsid w:val="00E14388"/>
    <w:rsid w:val="00E1687C"/>
    <w:rsid w:val="00E21788"/>
    <w:rsid w:val="00E22831"/>
    <w:rsid w:val="00E242D3"/>
    <w:rsid w:val="00E24CA4"/>
    <w:rsid w:val="00E30D11"/>
    <w:rsid w:val="00E32889"/>
    <w:rsid w:val="00E32DD2"/>
    <w:rsid w:val="00E36C6E"/>
    <w:rsid w:val="00E37FA1"/>
    <w:rsid w:val="00E4066A"/>
    <w:rsid w:val="00E414F8"/>
    <w:rsid w:val="00E42757"/>
    <w:rsid w:val="00E42C19"/>
    <w:rsid w:val="00E4363B"/>
    <w:rsid w:val="00E43A15"/>
    <w:rsid w:val="00E4472A"/>
    <w:rsid w:val="00E46C04"/>
    <w:rsid w:val="00E47077"/>
    <w:rsid w:val="00E476A4"/>
    <w:rsid w:val="00E52101"/>
    <w:rsid w:val="00E52653"/>
    <w:rsid w:val="00E53C53"/>
    <w:rsid w:val="00E5575C"/>
    <w:rsid w:val="00E56ADF"/>
    <w:rsid w:val="00E6165E"/>
    <w:rsid w:val="00E641A6"/>
    <w:rsid w:val="00E6714F"/>
    <w:rsid w:val="00E705D3"/>
    <w:rsid w:val="00E70D89"/>
    <w:rsid w:val="00E73146"/>
    <w:rsid w:val="00E7317F"/>
    <w:rsid w:val="00E73276"/>
    <w:rsid w:val="00E76ACE"/>
    <w:rsid w:val="00E84012"/>
    <w:rsid w:val="00E84480"/>
    <w:rsid w:val="00E861DA"/>
    <w:rsid w:val="00E86F6F"/>
    <w:rsid w:val="00E90358"/>
    <w:rsid w:val="00E904E5"/>
    <w:rsid w:val="00E909F3"/>
    <w:rsid w:val="00E94E50"/>
    <w:rsid w:val="00E959E8"/>
    <w:rsid w:val="00E96A0E"/>
    <w:rsid w:val="00EA0C62"/>
    <w:rsid w:val="00EA3CAE"/>
    <w:rsid w:val="00EA3FE7"/>
    <w:rsid w:val="00EA4268"/>
    <w:rsid w:val="00EA7897"/>
    <w:rsid w:val="00EB1779"/>
    <w:rsid w:val="00EB1B66"/>
    <w:rsid w:val="00EB208A"/>
    <w:rsid w:val="00EB2FB3"/>
    <w:rsid w:val="00EB4959"/>
    <w:rsid w:val="00EB4B99"/>
    <w:rsid w:val="00EB64E7"/>
    <w:rsid w:val="00EC11E4"/>
    <w:rsid w:val="00EC1AE7"/>
    <w:rsid w:val="00EC5E91"/>
    <w:rsid w:val="00EC7970"/>
    <w:rsid w:val="00EC7FD4"/>
    <w:rsid w:val="00ED0053"/>
    <w:rsid w:val="00ED0115"/>
    <w:rsid w:val="00ED157F"/>
    <w:rsid w:val="00ED1EC3"/>
    <w:rsid w:val="00ED2F45"/>
    <w:rsid w:val="00ED4012"/>
    <w:rsid w:val="00ED415A"/>
    <w:rsid w:val="00ED4625"/>
    <w:rsid w:val="00ED464E"/>
    <w:rsid w:val="00ED55A2"/>
    <w:rsid w:val="00EE010A"/>
    <w:rsid w:val="00EE157C"/>
    <w:rsid w:val="00EE3249"/>
    <w:rsid w:val="00EE358E"/>
    <w:rsid w:val="00EE3CF9"/>
    <w:rsid w:val="00EE4A0B"/>
    <w:rsid w:val="00EE5074"/>
    <w:rsid w:val="00EF12CB"/>
    <w:rsid w:val="00EF4AF0"/>
    <w:rsid w:val="00EF4F0C"/>
    <w:rsid w:val="00EF7056"/>
    <w:rsid w:val="00F0033E"/>
    <w:rsid w:val="00F02A7A"/>
    <w:rsid w:val="00F02D29"/>
    <w:rsid w:val="00F03624"/>
    <w:rsid w:val="00F05FE8"/>
    <w:rsid w:val="00F06057"/>
    <w:rsid w:val="00F14251"/>
    <w:rsid w:val="00F15A09"/>
    <w:rsid w:val="00F16DB4"/>
    <w:rsid w:val="00F205BC"/>
    <w:rsid w:val="00F2188C"/>
    <w:rsid w:val="00F24439"/>
    <w:rsid w:val="00F27259"/>
    <w:rsid w:val="00F3014C"/>
    <w:rsid w:val="00F32882"/>
    <w:rsid w:val="00F353CE"/>
    <w:rsid w:val="00F361D0"/>
    <w:rsid w:val="00F3651B"/>
    <w:rsid w:val="00F37163"/>
    <w:rsid w:val="00F40AF4"/>
    <w:rsid w:val="00F435F1"/>
    <w:rsid w:val="00F4448E"/>
    <w:rsid w:val="00F45F9D"/>
    <w:rsid w:val="00F47958"/>
    <w:rsid w:val="00F47DD6"/>
    <w:rsid w:val="00F51224"/>
    <w:rsid w:val="00F5541C"/>
    <w:rsid w:val="00F6446F"/>
    <w:rsid w:val="00F65411"/>
    <w:rsid w:val="00F702E0"/>
    <w:rsid w:val="00F710FC"/>
    <w:rsid w:val="00F73E58"/>
    <w:rsid w:val="00F7406E"/>
    <w:rsid w:val="00F74249"/>
    <w:rsid w:val="00F75473"/>
    <w:rsid w:val="00F75C7C"/>
    <w:rsid w:val="00F7795D"/>
    <w:rsid w:val="00F77DD7"/>
    <w:rsid w:val="00F80C2C"/>
    <w:rsid w:val="00F838BA"/>
    <w:rsid w:val="00F84751"/>
    <w:rsid w:val="00F85075"/>
    <w:rsid w:val="00F90A6B"/>
    <w:rsid w:val="00F937B0"/>
    <w:rsid w:val="00F93E48"/>
    <w:rsid w:val="00F95169"/>
    <w:rsid w:val="00F956E4"/>
    <w:rsid w:val="00FA1909"/>
    <w:rsid w:val="00FA2073"/>
    <w:rsid w:val="00FA521B"/>
    <w:rsid w:val="00FA6ABB"/>
    <w:rsid w:val="00FA7E0A"/>
    <w:rsid w:val="00FB0CB0"/>
    <w:rsid w:val="00FB1797"/>
    <w:rsid w:val="00FB2652"/>
    <w:rsid w:val="00FC12FF"/>
    <w:rsid w:val="00FC4AD5"/>
    <w:rsid w:val="00FD241B"/>
    <w:rsid w:val="00FD27D9"/>
    <w:rsid w:val="00FD2ADF"/>
    <w:rsid w:val="00FD6E5F"/>
    <w:rsid w:val="00FD7A82"/>
    <w:rsid w:val="00FD7A96"/>
    <w:rsid w:val="00FE0A6D"/>
    <w:rsid w:val="00FE2301"/>
    <w:rsid w:val="00FE3202"/>
    <w:rsid w:val="00FE3976"/>
    <w:rsid w:val="00FE4274"/>
    <w:rsid w:val="00FE5327"/>
    <w:rsid w:val="00FE6FF7"/>
    <w:rsid w:val="00FF515A"/>
    <w:rsid w:val="00FF6210"/>
    <w:rsid w:val="00FF7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AF4"/>
    <w:rPr>
      <w:sz w:val="24"/>
      <w:szCs w:val="24"/>
    </w:rPr>
  </w:style>
  <w:style w:type="paragraph" w:styleId="Heading1">
    <w:name w:val="heading 1"/>
    <w:basedOn w:val="Normal"/>
    <w:next w:val="BodyText2"/>
    <w:qFormat/>
    <w:rsid w:val="00A4523E"/>
    <w:pPr>
      <w:keepLines/>
      <w:numPr>
        <w:numId w:val="35"/>
      </w:numPr>
      <w:tabs>
        <w:tab w:val="clear" w:pos="720"/>
      </w:tabs>
      <w:spacing w:after="240"/>
      <w:jc w:val="both"/>
      <w:outlineLvl w:val="0"/>
    </w:pPr>
    <w:rPr>
      <w:b/>
      <w:bCs/>
      <w:caps/>
      <w:szCs w:val="32"/>
      <w:u w:val="single"/>
    </w:rPr>
  </w:style>
  <w:style w:type="paragraph" w:styleId="Heading2">
    <w:name w:val="heading 2"/>
    <w:basedOn w:val="Normal"/>
    <w:next w:val="BodyText2"/>
    <w:link w:val="Heading2Char"/>
    <w:qFormat/>
    <w:rsid w:val="00A4523E"/>
    <w:pPr>
      <w:keepLines/>
      <w:numPr>
        <w:ilvl w:val="1"/>
        <w:numId w:val="35"/>
      </w:numPr>
      <w:spacing w:after="240"/>
      <w:jc w:val="both"/>
      <w:outlineLvl w:val="1"/>
    </w:pPr>
    <w:rPr>
      <w:b/>
      <w:bCs/>
      <w:iCs/>
      <w:caps/>
      <w:szCs w:val="28"/>
    </w:rPr>
  </w:style>
  <w:style w:type="paragraph" w:styleId="Heading3">
    <w:name w:val="heading 3"/>
    <w:basedOn w:val="Normal"/>
    <w:next w:val="BodyText2"/>
    <w:qFormat/>
    <w:rsid w:val="00A4523E"/>
    <w:pPr>
      <w:numPr>
        <w:ilvl w:val="2"/>
        <w:numId w:val="35"/>
      </w:numPr>
      <w:spacing w:after="240"/>
      <w:jc w:val="both"/>
      <w:outlineLvl w:val="2"/>
    </w:pPr>
    <w:rPr>
      <w:b/>
      <w:bCs/>
      <w:szCs w:val="26"/>
    </w:rPr>
  </w:style>
  <w:style w:type="paragraph" w:styleId="Heading4">
    <w:name w:val="heading 4"/>
    <w:basedOn w:val="Normal"/>
    <w:next w:val="BodyText2"/>
    <w:qFormat/>
    <w:rsid w:val="00A4523E"/>
    <w:pPr>
      <w:numPr>
        <w:ilvl w:val="3"/>
        <w:numId w:val="35"/>
      </w:numPr>
      <w:spacing w:after="240"/>
      <w:jc w:val="both"/>
      <w:outlineLvl w:val="3"/>
    </w:pPr>
    <w:rPr>
      <w:b/>
      <w:bCs/>
      <w:szCs w:val="28"/>
    </w:rPr>
  </w:style>
  <w:style w:type="paragraph" w:styleId="Heading5">
    <w:name w:val="heading 5"/>
    <w:basedOn w:val="Normal"/>
    <w:next w:val="BodyText2"/>
    <w:qFormat/>
    <w:rsid w:val="00A4523E"/>
    <w:pPr>
      <w:numPr>
        <w:ilvl w:val="4"/>
        <w:numId w:val="35"/>
      </w:numPr>
      <w:spacing w:after="240"/>
      <w:jc w:val="both"/>
      <w:outlineLvl w:val="4"/>
    </w:pPr>
    <w:rPr>
      <w:b/>
      <w:bCs/>
      <w:iCs/>
      <w:szCs w:val="26"/>
    </w:rPr>
  </w:style>
  <w:style w:type="paragraph" w:styleId="Heading6">
    <w:name w:val="heading 6"/>
    <w:basedOn w:val="Normal"/>
    <w:next w:val="BodyText2"/>
    <w:qFormat/>
    <w:rsid w:val="00A4523E"/>
    <w:pPr>
      <w:numPr>
        <w:ilvl w:val="5"/>
        <w:numId w:val="35"/>
      </w:numPr>
      <w:spacing w:after="240"/>
      <w:outlineLvl w:val="5"/>
    </w:pPr>
    <w:rPr>
      <w:b/>
      <w:bCs/>
      <w:szCs w:val="22"/>
    </w:rPr>
  </w:style>
  <w:style w:type="paragraph" w:styleId="Heading7">
    <w:name w:val="heading 7"/>
    <w:basedOn w:val="Normal"/>
    <w:next w:val="BodyText2"/>
    <w:qFormat/>
    <w:rsid w:val="00A4523E"/>
    <w:pPr>
      <w:numPr>
        <w:ilvl w:val="6"/>
        <w:numId w:val="35"/>
      </w:numPr>
      <w:spacing w:after="240"/>
      <w:outlineLvl w:val="6"/>
    </w:pPr>
    <w:rPr>
      <w:b/>
    </w:rPr>
  </w:style>
  <w:style w:type="paragraph" w:styleId="Heading8">
    <w:name w:val="heading 8"/>
    <w:basedOn w:val="Normal"/>
    <w:next w:val="BodyText2"/>
    <w:qFormat/>
    <w:rsid w:val="00A4523E"/>
    <w:pPr>
      <w:numPr>
        <w:ilvl w:val="7"/>
        <w:numId w:val="35"/>
      </w:numPr>
      <w:spacing w:after="240"/>
      <w:jc w:val="both"/>
      <w:outlineLvl w:val="7"/>
    </w:pPr>
    <w:rPr>
      <w:b/>
      <w:iCs/>
    </w:rPr>
  </w:style>
  <w:style w:type="paragraph" w:styleId="Heading9">
    <w:name w:val="heading 9"/>
    <w:basedOn w:val="Normal"/>
    <w:next w:val="BodyText2"/>
    <w:qFormat/>
    <w:rsid w:val="00A4523E"/>
    <w:pPr>
      <w:numPr>
        <w:ilvl w:val="8"/>
        <w:numId w:val="35"/>
      </w:numPr>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semiHidden/>
    <w:rsid w:val="00F40AF4"/>
    <w:rPr>
      <w:sz w:val="20"/>
      <w:szCs w:val="20"/>
    </w:rPr>
  </w:style>
  <w:style w:type="character" w:styleId="FootnoteReference">
    <w:name w:val="footnote reference"/>
    <w:basedOn w:val="DefaultParagraphFont"/>
    <w:semiHidden/>
    <w:rsid w:val="00F40AF4"/>
    <w:rPr>
      <w:vertAlign w:val="superscript"/>
    </w:rPr>
  </w:style>
  <w:style w:type="paragraph" w:styleId="Footer">
    <w:name w:val="footer"/>
    <w:basedOn w:val="Normal"/>
    <w:link w:val="FooterChar"/>
    <w:uiPriority w:val="99"/>
    <w:rsid w:val="00F40AF4"/>
    <w:pPr>
      <w:tabs>
        <w:tab w:val="center" w:pos="4320"/>
        <w:tab w:val="right" w:pos="8640"/>
      </w:tabs>
    </w:pPr>
  </w:style>
  <w:style w:type="character" w:styleId="PageNumber">
    <w:name w:val="page number"/>
    <w:basedOn w:val="DefaultParagraphFont"/>
    <w:rsid w:val="00F40AF4"/>
  </w:style>
  <w:style w:type="paragraph" w:styleId="ListNumber">
    <w:name w:val="List Number"/>
    <w:basedOn w:val="Normal"/>
    <w:rsid w:val="00272171"/>
    <w:pPr>
      <w:numPr>
        <w:numId w:val="20"/>
      </w:numPr>
      <w:tabs>
        <w:tab w:val="clear" w:pos="360"/>
      </w:tabs>
      <w:spacing w:line="480" w:lineRule="auto"/>
      <w:ind w:left="0" w:firstLine="720"/>
    </w:pPr>
  </w:style>
  <w:style w:type="paragraph" w:styleId="BodyText2">
    <w:name w:val="Body Text 2"/>
    <w:basedOn w:val="Normal"/>
    <w:rsid w:val="00272171"/>
    <w:pPr>
      <w:spacing w:line="480" w:lineRule="auto"/>
      <w:ind w:firstLine="720"/>
      <w:jc w:val="both"/>
    </w:pPr>
  </w:style>
  <w:style w:type="paragraph" w:styleId="ListParagraph">
    <w:name w:val="List Paragraph"/>
    <w:basedOn w:val="Normal"/>
    <w:qFormat/>
    <w:rsid w:val="006F178E"/>
    <w:pPr>
      <w:ind w:left="720"/>
      <w:contextualSpacing/>
    </w:pPr>
    <w:rPr>
      <w:color w:val="000000"/>
      <w:sz w:val="26"/>
      <w:szCs w:val="20"/>
    </w:rPr>
  </w:style>
  <w:style w:type="paragraph" w:customStyle="1" w:styleId="IndentSingle">
    <w:name w:val="Indent Single"/>
    <w:basedOn w:val="Normal"/>
    <w:next w:val="BodyText"/>
    <w:rsid w:val="008038A5"/>
    <w:pPr>
      <w:spacing w:after="240"/>
      <w:ind w:left="1440" w:right="1440"/>
    </w:pPr>
  </w:style>
  <w:style w:type="paragraph" w:styleId="BodyText">
    <w:name w:val="Body Text"/>
    <w:basedOn w:val="Normal"/>
    <w:rsid w:val="008038A5"/>
    <w:pPr>
      <w:spacing w:after="120"/>
    </w:pPr>
  </w:style>
  <w:style w:type="paragraph" w:styleId="BodyTextIndent">
    <w:name w:val="Body Text Indent"/>
    <w:basedOn w:val="Normal"/>
    <w:rsid w:val="002B07F2"/>
    <w:pPr>
      <w:spacing w:after="120"/>
      <w:ind w:left="360"/>
    </w:pPr>
  </w:style>
  <w:style w:type="paragraph" w:styleId="PlainText">
    <w:name w:val="Plain Text"/>
    <w:basedOn w:val="Normal"/>
    <w:link w:val="PlainTextChar"/>
    <w:unhideWhenUsed/>
    <w:rsid w:val="00F15A09"/>
    <w:rPr>
      <w:rFonts w:ascii="Consolas" w:eastAsia="Calibri" w:hAnsi="Consolas"/>
      <w:sz w:val="21"/>
      <w:szCs w:val="21"/>
    </w:rPr>
  </w:style>
  <w:style w:type="character" w:customStyle="1" w:styleId="PlainTextChar">
    <w:name w:val="Plain Text Char"/>
    <w:basedOn w:val="DefaultParagraphFont"/>
    <w:link w:val="PlainText"/>
    <w:rsid w:val="00F15A09"/>
    <w:rPr>
      <w:rFonts w:ascii="Consolas" w:eastAsia="Calibri" w:hAnsi="Consolas"/>
      <w:sz w:val="21"/>
      <w:szCs w:val="21"/>
      <w:lang w:val="en-US" w:eastAsia="en-US" w:bidi="ar-SA"/>
    </w:rPr>
  </w:style>
  <w:style w:type="character" w:customStyle="1" w:styleId="FootnoteTextChar1">
    <w:name w:val="Footnote Text Char1"/>
    <w:basedOn w:val="DefaultParagraphFont"/>
    <w:link w:val="FootnoteText"/>
    <w:rsid w:val="00A4523E"/>
    <w:rPr>
      <w:lang w:val="en-US" w:eastAsia="en-US" w:bidi="ar-SA"/>
    </w:rPr>
  </w:style>
  <w:style w:type="paragraph" w:customStyle="1" w:styleId="Level1">
    <w:name w:val="Level 1"/>
    <w:basedOn w:val="Normal"/>
    <w:rsid w:val="00A4523E"/>
    <w:pPr>
      <w:widowControl w:val="0"/>
      <w:numPr>
        <w:numId w:val="34"/>
      </w:numPr>
      <w:autoSpaceDE w:val="0"/>
      <w:autoSpaceDN w:val="0"/>
      <w:adjustRightInd w:val="0"/>
      <w:ind w:firstLine="720"/>
      <w:outlineLvl w:val="0"/>
    </w:pPr>
  </w:style>
  <w:style w:type="character" w:customStyle="1" w:styleId="Heading2Char">
    <w:name w:val="Heading 2 Char"/>
    <w:basedOn w:val="DefaultParagraphFont"/>
    <w:link w:val="Heading2"/>
    <w:rsid w:val="00A4523E"/>
    <w:rPr>
      <w:b/>
      <w:bCs/>
      <w:iCs/>
      <w:caps/>
      <w:sz w:val="24"/>
      <w:szCs w:val="28"/>
      <w:lang w:val="en-US" w:eastAsia="en-US" w:bidi="ar-SA"/>
    </w:rPr>
  </w:style>
  <w:style w:type="character" w:customStyle="1" w:styleId="FootnoteTextChar">
    <w:name w:val="Footnote Text Char"/>
    <w:basedOn w:val="DefaultParagraphFont"/>
    <w:semiHidden/>
    <w:locked/>
    <w:rsid w:val="00E84480"/>
    <w:rPr>
      <w:rFonts w:ascii="Times" w:hAnsi="Times" w:cs="Times New Roman"/>
      <w:sz w:val="20"/>
      <w:szCs w:val="20"/>
    </w:rPr>
  </w:style>
  <w:style w:type="paragraph" w:styleId="Header">
    <w:name w:val="header"/>
    <w:basedOn w:val="Normal"/>
    <w:link w:val="HeaderChar"/>
    <w:rsid w:val="009C6D70"/>
    <w:pPr>
      <w:tabs>
        <w:tab w:val="center" w:pos="4680"/>
        <w:tab w:val="right" w:pos="9360"/>
      </w:tabs>
    </w:pPr>
  </w:style>
  <w:style w:type="character" w:customStyle="1" w:styleId="HeaderChar">
    <w:name w:val="Header Char"/>
    <w:basedOn w:val="DefaultParagraphFont"/>
    <w:link w:val="Header"/>
    <w:rsid w:val="009C6D70"/>
    <w:rPr>
      <w:sz w:val="24"/>
      <w:szCs w:val="24"/>
    </w:rPr>
  </w:style>
  <w:style w:type="character" w:customStyle="1" w:styleId="FooterChar">
    <w:name w:val="Footer Char"/>
    <w:basedOn w:val="DefaultParagraphFont"/>
    <w:link w:val="Footer"/>
    <w:uiPriority w:val="99"/>
    <w:rsid w:val="009C6D70"/>
    <w:rPr>
      <w:sz w:val="24"/>
      <w:szCs w:val="24"/>
    </w:rPr>
  </w:style>
  <w:style w:type="paragraph" w:styleId="EndnoteText">
    <w:name w:val="endnote text"/>
    <w:basedOn w:val="Normal"/>
    <w:link w:val="EndnoteTextChar"/>
    <w:rsid w:val="00D34779"/>
    <w:rPr>
      <w:sz w:val="20"/>
      <w:szCs w:val="20"/>
    </w:rPr>
  </w:style>
  <w:style w:type="character" w:customStyle="1" w:styleId="EndnoteTextChar">
    <w:name w:val="Endnote Text Char"/>
    <w:basedOn w:val="DefaultParagraphFont"/>
    <w:link w:val="EndnoteText"/>
    <w:rsid w:val="00D34779"/>
  </w:style>
  <w:style w:type="character" w:styleId="EndnoteReference">
    <w:name w:val="endnote reference"/>
    <w:basedOn w:val="DefaultParagraphFont"/>
    <w:rsid w:val="00D34779"/>
    <w:rPr>
      <w:vertAlign w:val="superscript"/>
    </w:rPr>
  </w:style>
</w:styles>
</file>

<file path=word/webSettings.xml><?xml version="1.0" encoding="utf-8"?>
<w:webSettings xmlns:r="http://schemas.openxmlformats.org/officeDocument/2006/relationships" xmlns:w="http://schemas.openxmlformats.org/wordprocessingml/2006/main">
  <w:divs>
    <w:div w:id="120587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40F85-BC4E-4A5C-94DF-9CBE7246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66</Pages>
  <Words>17898</Words>
  <Characters>102024</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119683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MIS</dc:creator>
  <cp:keywords/>
  <dc:description/>
  <cp:lastModifiedBy>shoffner</cp:lastModifiedBy>
  <cp:revision>44</cp:revision>
  <cp:lastPrinted>2011-02-01T17:01:00Z</cp:lastPrinted>
  <dcterms:created xsi:type="dcterms:W3CDTF">2011-01-27T12:52:00Z</dcterms:created>
  <dcterms:modified xsi:type="dcterms:W3CDTF">2011-02-01T17:07:00Z</dcterms:modified>
</cp:coreProperties>
</file>