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1A68F9" w:rsidRPr="00D8760E" w:rsidTr="003351E3">
        <w:trPr>
          <w:trHeight w:val="990"/>
        </w:trPr>
        <w:tc>
          <w:tcPr>
            <w:tcW w:w="1363" w:type="dxa"/>
          </w:tcPr>
          <w:p w:rsidR="001A68F9" w:rsidRPr="00D8760E" w:rsidRDefault="001A68F9" w:rsidP="003351E3">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A68F9" w:rsidRPr="00D8760E" w:rsidRDefault="001A68F9" w:rsidP="003351E3">
            <w:pPr>
              <w:suppressAutoHyphens/>
              <w:jc w:val="center"/>
              <w:rPr>
                <w:rFonts w:ascii="Arial" w:hAnsi="Arial"/>
                <w:color w:val="000080"/>
                <w:spacing w:val="-3"/>
                <w:sz w:val="26"/>
              </w:rPr>
            </w:pPr>
          </w:p>
          <w:p w:rsidR="001A68F9" w:rsidRPr="00D8760E" w:rsidRDefault="001A68F9" w:rsidP="003351E3">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1A68F9" w:rsidRPr="00D8760E" w:rsidRDefault="001A68F9" w:rsidP="003351E3">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1A68F9" w:rsidRPr="00D8760E" w:rsidRDefault="001A68F9" w:rsidP="003351E3">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1A68F9" w:rsidRPr="00D8760E" w:rsidRDefault="001A68F9" w:rsidP="003351E3">
            <w:pPr>
              <w:rPr>
                <w:rFonts w:ascii="Arial" w:hAnsi="Arial"/>
                <w:sz w:val="12"/>
              </w:rPr>
            </w:pPr>
          </w:p>
          <w:p w:rsidR="001A68F9" w:rsidRPr="00D8760E" w:rsidRDefault="001A68F9" w:rsidP="003351E3">
            <w:pPr>
              <w:rPr>
                <w:rFonts w:ascii="Arial" w:hAnsi="Arial"/>
                <w:sz w:val="12"/>
              </w:rPr>
            </w:pPr>
          </w:p>
          <w:p w:rsidR="001A68F9" w:rsidRPr="00D8760E" w:rsidRDefault="001A68F9" w:rsidP="003351E3">
            <w:pPr>
              <w:rPr>
                <w:rFonts w:ascii="Arial" w:hAnsi="Arial"/>
                <w:sz w:val="12"/>
              </w:rPr>
            </w:pPr>
          </w:p>
          <w:p w:rsidR="001A68F9" w:rsidRPr="00D8760E" w:rsidRDefault="001A68F9" w:rsidP="003351E3">
            <w:pPr>
              <w:rPr>
                <w:rFonts w:ascii="Arial" w:hAnsi="Arial"/>
                <w:sz w:val="12"/>
              </w:rPr>
            </w:pPr>
          </w:p>
          <w:p w:rsidR="001A68F9" w:rsidRPr="00D8760E" w:rsidRDefault="001A68F9" w:rsidP="003351E3">
            <w:pPr>
              <w:rPr>
                <w:rFonts w:ascii="Arial" w:hAnsi="Arial"/>
                <w:sz w:val="12"/>
              </w:rPr>
            </w:pPr>
          </w:p>
          <w:p w:rsidR="001A68F9" w:rsidRPr="00D8760E" w:rsidRDefault="001A68F9" w:rsidP="003351E3">
            <w:pPr>
              <w:rPr>
                <w:rFonts w:ascii="Arial" w:hAnsi="Arial"/>
                <w:sz w:val="12"/>
              </w:rPr>
            </w:pPr>
          </w:p>
          <w:p w:rsidR="001A68F9" w:rsidRPr="00D8760E" w:rsidRDefault="001A68F9" w:rsidP="003351E3">
            <w:pPr>
              <w:jc w:val="right"/>
              <w:rPr>
                <w:rFonts w:ascii="Arial" w:hAnsi="Arial"/>
                <w:sz w:val="12"/>
              </w:rPr>
            </w:pPr>
            <w:r w:rsidRPr="00D8760E">
              <w:rPr>
                <w:rFonts w:ascii="Arial" w:hAnsi="Arial"/>
                <w:b/>
                <w:spacing w:val="-1"/>
                <w:sz w:val="12"/>
              </w:rPr>
              <w:t>IN REPLY PLEASE REFER TO OUR FILE</w:t>
            </w:r>
          </w:p>
        </w:tc>
      </w:tr>
    </w:tbl>
    <w:p w:rsidR="001A68F9" w:rsidRPr="000D510F" w:rsidRDefault="001A68F9" w:rsidP="001A68F9">
      <w:pPr>
        <w:ind w:left="-480" w:right="-720"/>
        <w:jc w:val="center"/>
        <w:rPr>
          <w:rFonts w:ascii="Arial" w:hAnsi="Arial" w:cs="Arial"/>
          <w:b/>
          <w:color w:val="FF0000"/>
          <w:u w:val="single"/>
        </w:rPr>
      </w:pPr>
    </w:p>
    <w:p w:rsidR="001A68F9" w:rsidRPr="00EF5ECF" w:rsidRDefault="001A68F9" w:rsidP="001A68F9">
      <w:pPr>
        <w:ind w:left="-480" w:right="-720"/>
        <w:rPr>
          <w:rFonts w:ascii="Arial" w:hAnsi="Arial"/>
          <w:b/>
          <w:u w:val="single"/>
        </w:rPr>
      </w:pPr>
      <w:r w:rsidRPr="0050388D">
        <w:t xml:space="preserve"> </w:t>
      </w:r>
      <w:r w:rsidRPr="00EF5ECF">
        <w:rPr>
          <w:rFonts w:ascii="Arial" w:hAnsi="Arial"/>
          <w:b/>
          <w:u w:val="single"/>
        </w:rPr>
        <w:t>PRESS RELEASE</w:t>
      </w:r>
    </w:p>
    <w:p w:rsidR="001A68F9" w:rsidRPr="00EF5ECF" w:rsidRDefault="001A68F9" w:rsidP="001A68F9">
      <w:pPr>
        <w:ind w:left="-540" w:right="-720"/>
        <w:rPr>
          <w:rFonts w:ascii="Arial" w:hAnsi="Arial"/>
        </w:rPr>
      </w:pPr>
      <w:r w:rsidRPr="00EF5ECF">
        <w:rPr>
          <w:rFonts w:ascii="Arial" w:hAnsi="Arial"/>
        </w:rPr>
        <w:t xml:space="preserve"> </w:t>
      </w:r>
      <w:r>
        <w:rPr>
          <w:rFonts w:ascii="Arial" w:hAnsi="Arial"/>
        </w:rPr>
        <w:t xml:space="preserve"> </w:t>
      </w:r>
      <w:r w:rsidRPr="00856B6C">
        <w:rPr>
          <w:rFonts w:ascii="Arial" w:hAnsi="Arial"/>
        </w:rPr>
        <w:t xml:space="preserve">Date: </w:t>
      </w:r>
      <w:r w:rsidRPr="00856B6C">
        <w:rPr>
          <w:rFonts w:ascii="Arial" w:hAnsi="Arial"/>
        </w:rPr>
        <w:tab/>
      </w:r>
      <w:r w:rsidR="00EC19B3">
        <w:rPr>
          <w:rFonts w:ascii="Arial" w:hAnsi="Arial"/>
        </w:rPr>
        <w:t xml:space="preserve">Sept. </w:t>
      </w:r>
      <w:r w:rsidR="00524477">
        <w:rPr>
          <w:rFonts w:ascii="Arial" w:hAnsi="Arial"/>
        </w:rPr>
        <w:t>16</w:t>
      </w:r>
      <w:r>
        <w:rPr>
          <w:rFonts w:ascii="Arial" w:hAnsi="Arial"/>
        </w:rPr>
        <w:t>, 2010</w:t>
      </w:r>
      <w:r w:rsidRPr="00EF5ECF">
        <w:rPr>
          <w:rFonts w:ascii="Arial" w:hAnsi="Arial"/>
        </w:rPr>
        <w:tab/>
      </w:r>
      <w:r w:rsidRPr="00EF5ECF">
        <w:rPr>
          <w:rFonts w:ascii="Arial" w:hAnsi="Arial"/>
        </w:rPr>
        <w:tab/>
      </w:r>
      <w:r w:rsidRPr="00EF5ECF">
        <w:rPr>
          <w:rFonts w:ascii="Arial" w:hAnsi="Arial"/>
        </w:rPr>
        <w:tab/>
      </w:r>
    </w:p>
    <w:p w:rsidR="001A68F9" w:rsidRDefault="001A68F9" w:rsidP="001A68F9">
      <w:pPr>
        <w:ind w:left="-48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1A68F9" w:rsidRPr="00EF5ECF" w:rsidRDefault="001A68F9" w:rsidP="001A68F9">
      <w:pPr>
        <w:ind w:left="-480" w:right="-720"/>
        <w:rPr>
          <w:rFonts w:ascii="Arial" w:hAnsi="Arial"/>
        </w:rPr>
      </w:pPr>
      <w:r>
        <w:rPr>
          <w:rFonts w:ascii="Arial" w:hAnsi="Arial"/>
        </w:rPr>
        <w:tab/>
      </w:r>
      <w:r>
        <w:rPr>
          <w:rFonts w:ascii="Arial" w:hAnsi="Arial"/>
        </w:rPr>
        <w:tab/>
        <w:t xml:space="preserve">(717) 787-5722 or </w:t>
      </w:r>
      <w:hyperlink r:id="rId6" w:history="1">
        <w:r w:rsidRPr="00A726D4">
          <w:rPr>
            <w:rStyle w:val="Hyperlink"/>
            <w:rFonts w:ascii="Arial" w:hAnsi="Arial"/>
          </w:rPr>
          <w:t>jekocher@state.pa.us</w:t>
        </w:r>
      </w:hyperlink>
      <w:r>
        <w:rPr>
          <w:rFonts w:ascii="Arial" w:hAnsi="Arial"/>
        </w:rPr>
        <w:t xml:space="preserve"> </w:t>
      </w:r>
    </w:p>
    <w:p w:rsidR="001A68F9" w:rsidRDefault="001A68F9" w:rsidP="001A68F9">
      <w:pPr>
        <w:ind w:left="-540" w:right="-720"/>
        <w:jc w:val="center"/>
        <w:rPr>
          <w:rFonts w:ascii="Arial" w:hAnsi="Arial"/>
          <w:b/>
        </w:rPr>
      </w:pPr>
    </w:p>
    <w:p w:rsidR="001A68F9" w:rsidRPr="00EF5ECF" w:rsidRDefault="0084385E" w:rsidP="00ED3B8E">
      <w:pPr>
        <w:ind w:left="-540" w:right="-990"/>
        <w:jc w:val="center"/>
        <w:rPr>
          <w:rFonts w:ascii="Arial" w:hAnsi="Arial"/>
          <w:b/>
        </w:rPr>
      </w:pPr>
      <w:r>
        <w:rPr>
          <w:rFonts w:ascii="Arial" w:hAnsi="Arial"/>
          <w:b/>
        </w:rPr>
        <w:t>PUC Finalizes Policy Statement to Provide Foundation for Achieving Solar Energy Goals</w:t>
      </w:r>
    </w:p>
    <w:p w:rsidR="001A68F9" w:rsidRDefault="001A68F9" w:rsidP="001A68F9">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 –</w:t>
      </w:r>
      <w:r>
        <w:rPr>
          <w:rFonts w:ascii="Arial" w:hAnsi="Arial"/>
        </w:rPr>
        <w:t xml:space="preserve"> </w:t>
      </w:r>
      <w:r w:rsidRPr="005C0941">
        <w:rPr>
          <w:rFonts w:ascii="Arial" w:hAnsi="Arial"/>
        </w:rPr>
        <w:t xml:space="preserve">The Pennsylvania Public Utility Commission (PUC) </w:t>
      </w:r>
      <w:r>
        <w:rPr>
          <w:rFonts w:ascii="Arial" w:hAnsi="Arial"/>
        </w:rPr>
        <w:t>today</w:t>
      </w:r>
      <w:r w:rsidR="00C70C2E">
        <w:rPr>
          <w:rFonts w:ascii="Arial" w:hAnsi="Arial"/>
        </w:rPr>
        <w:t xml:space="preserve"> finalized </w:t>
      </w:r>
      <w:r w:rsidR="00884F84">
        <w:rPr>
          <w:rFonts w:ascii="Arial" w:hAnsi="Arial"/>
        </w:rPr>
        <w:t xml:space="preserve">a </w:t>
      </w:r>
      <w:r w:rsidR="00964314">
        <w:rPr>
          <w:rFonts w:ascii="Arial" w:hAnsi="Arial"/>
        </w:rPr>
        <w:t>policy statement designed to provide a foundation from which the sta</w:t>
      </w:r>
      <w:r w:rsidR="00B558E8">
        <w:rPr>
          <w:rFonts w:ascii="Arial" w:hAnsi="Arial"/>
        </w:rPr>
        <w:t>t</w:t>
      </w:r>
      <w:r w:rsidR="009C7FFA">
        <w:rPr>
          <w:rFonts w:ascii="Arial" w:hAnsi="Arial"/>
        </w:rPr>
        <w:t>e can achieve its</w:t>
      </w:r>
      <w:r w:rsidR="00964314">
        <w:rPr>
          <w:rFonts w:ascii="Arial" w:hAnsi="Arial"/>
        </w:rPr>
        <w:t xml:space="preserve"> so</w:t>
      </w:r>
      <w:r w:rsidR="00B558E8">
        <w:rPr>
          <w:rFonts w:ascii="Arial" w:hAnsi="Arial"/>
        </w:rPr>
        <w:t xml:space="preserve">lar renewable energy </w:t>
      </w:r>
      <w:r w:rsidR="009C7FFA">
        <w:rPr>
          <w:rFonts w:ascii="Arial" w:hAnsi="Arial"/>
        </w:rPr>
        <w:t>mandates</w:t>
      </w:r>
      <w:r w:rsidR="00B558E8">
        <w:rPr>
          <w:rFonts w:ascii="Arial" w:hAnsi="Arial"/>
        </w:rPr>
        <w:t xml:space="preserve"> at the least cost to Pennsylvania consumers.</w:t>
      </w:r>
    </w:p>
    <w:p w:rsidR="00DE4713" w:rsidRDefault="00F93A16" w:rsidP="001A68F9">
      <w:pPr>
        <w:spacing w:before="100" w:beforeAutospacing="1" w:after="240"/>
        <w:ind w:left="-547" w:right="-720" w:firstLine="540"/>
        <w:rPr>
          <w:rFonts w:ascii="Arial" w:hAnsi="Arial"/>
        </w:rPr>
      </w:pPr>
      <w:r>
        <w:rPr>
          <w:rFonts w:ascii="Arial" w:hAnsi="Arial"/>
        </w:rPr>
        <w:t xml:space="preserve">The Commission voted </w:t>
      </w:r>
      <w:r w:rsidR="00A45224">
        <w:rPr>
          <w:rFonts w:ascii="Arial" w:hAnsi="Arial"/>
        </w:rPr>
        <w:t>5-0</w:t>
      </w:r>
      <w:r>
        <w:rPr>
          <w:rFonts w:ascii="Arial" w:hAnsi="Arial"/>
        </w:rPr>
        <w:t xml:space="preserve"> </w:t>
      </w:r>
      <w:r w:rsidR="00C4496A">
        <w:rPr>
          <w:rFonts w:ascii="Arial" w:hAnsi="Arial"/>
        </w:rPr>
        <w:t>to provide longer term revenue stability needed to support both small-scale and large-scale solar development and to address other barriers that could prevent development of new solar projects.</w:t>
      </w:r>
      <w:r w:rsidR="00B95D08">
        <w:rPr>
          <w:rFonts w:ascii="Arial" w:hAnsi="Arial"/>
        </w:rPr>
        <w:t xml:space="preserve"> More than 20 parties provided comment</w:t>
      </w:r>
      <w:r w:rsidR="009C7FFA">
        <w:rPr>
          <w:rFonts w:ascii="Arial" w:hAnsi="Arial"/>
        </w:rPr>
        <w:t>s</w:t>
      </w:r>
      <w:r w:rsidR="00B95D08">
        <w:rPr>
          <w:rFonts w:ascii="Arial" w:hAnsi="Arial"/>
        </w:rPr>
        <w:t xml:space="preserve"> on </w:t>
      </w:r>
      <w:r w:rsidR="000977E2">
        <w:rPr>
          <w:rFonts w:ascii="Arial" w:hAnsi="Arial"/>
        </w:rPr>
        <w:t>the draft policy statement issued Dec. 10, 2009</w:t>
      </w:r>
      <w:r w:rsidR="009F5E79">
        <w:rPr>
          <w:rFonts w:ascii="Arial" w:hAnsi="Arial"/>
        </w:rPr>
        <w:t>.</w:t>
      </w:r>
    </w:p>
    <w:p w:rsidR="00762A4A" w:rsidRPr="00762A4A" w:rsidRDefault="00762A4A" w:rsidP="00762A4A">
      <w:pPr>
        <w:spacing w:before="100" w:beforeAutospacing="1" w:after="240"/>
        <w:ind w:left="-547" w:right="-720" w:firstLine="540"/>
        <w:rPr>
          <w:rFonts w:ascii="Arial" w:hAnsi="Arial"/>
        </w:rPr>
      </w:pPr>
      <w:r w:rsidRPr="00762A4A">
        <w:rPr>
          <w:rFonts w:ascii="Arial" w:hAnsi="Arial"/>
        </w:rPr>
        <w:t>The policy statement:</w:t>
      </w:r>
    </w:p>
    <w:p w:rsidR="00762A4A" w:rsidRPr="00762A4A" w:rsidRDefault="00762A4A" w:rsidP="00762A4A">
      <w:pPr>
        <w:numPr>
          <w:ilvl w:val="0"/>
          <w:numId w:val="1"/>
        </w:numPr>
        <w:spacing w:before="100" w:beforeAutospacing="1" w:after="240"/>
        <w:ind w:right="-720"/>
        <w:rPr>
          <w:rFonts w:ascii="Arial" w:hAnsi="Arial"/>
        </w:rPr>
      </w:pPr>
      <w:r w:rsidRPr="00762A4A">
        <w:rPr>
          <w:rFonts w:ascii="Arial" w:hAnsi="Arial"/>
        </w:rPr>
        <w:t xml:space="preserve">Defines large- and small-scale solar projects; </w:t>
      </w:r>
    </w:p>
    <w:p w:rsidR="00762A4A" w:rsidRPr="00762A4A" w:rsidRDefault="00762A4A" w:rsidP="00762A4A">
      <w:pPr>
        <w:numPr>
          <w:ilvl w:val="0"/>
          <w:numId w:val="1"/>
        </w:numPr>
        <w:spacing w:before="100" w:beforeAutospacing="1" w:after="240"/>
        <w:ind w:right="-720"/>
        <w:rPr>
          <w:rFonts w:ascii="Arial" w:hAnsi="Arial"/>
        </w:rPr>
      </w:pPr>
      <w:r w:rsidRPr="00762A4A">
        <w:rPr>
          <w:rFonts w:ascii="Arial" w:hAnsi="Arial"/>
        </w:rPr>
        <w:t>Recommends using</w:t>
      </w:r>
      <w:r w:rsidR="009C7FFA">
        <w:rPr>
          <w:rFonts w:ascii="Arial" w:hAnsi="Arial"/>
        </w:rPr>
        <w:t xml:space="preserve"> competitive</w:t>
      </w:r>
      <w:r w:rsidRPr="00762A4A">
        <w:rPr>
          <w:rFonts w:ascii="Arial" w:hAnsi="Arial"/>
        </w:rPr>
        <w:t xml:space="preserve"> requests for proposals to establish solar renewable energy credit (SREC) values recoverable as a reasonable expense; </w:t>
      </w:r>
    </w:p>
    <w:p w:rsidR="00BA0F25" w:rsidRDefault="00BA0F25" w:rsidP="00762A4A">
      <w:pPr>
        <w:numPr>
          <w:ilvl w:val="0"/>
          <w:numId w:val="1"/>
        </w:numPr>
        <w:spacing w:before="100" w:beforeAutospacing="1" w:after="240"/>
        <w:ind w:right="-720"/>
        <w:rPr>
          <w:rFonts w:ascii="Arial" w:hAnsi="Arial"/>
        </w:rPr>
      </w:pPr>
      <w:r>
        <w:rPr>
          <w:rFonts w:ascii="Arial" w:hAnsi="Arial"/>
        </w:rPr>
        <w:t xml:space="preserve">Standardizes contracts for the purchase of SRECs by </w:t>
      </w:r>
      <w:r w:rsidR="009C7FFA">
        <w:rPr>
          <w:rFonts w:ascii="Arial" w:hAnsi="Arial"/>
        </w:rPr>
        <w:t>electric distribution companies (</w:t>
      </w:r>
      <w:r>
        <w:rPr>
          <w:rFonts w:ascii="Arial" w:hAnsi="Arial"/>
        </w:rPr>
        <w:t>EDCs</w:t>
      </w:r>
      <w:r w:rsidR="009C7FFA">
        <w:rPr>
          <w:rFonts w:ascii="Arial" w:hAnsi="Arial"/>
        </w:rPr>
        <w:t>)</w:t>
      </w:r>
      <w:r>
        <w:rPr>
          <w:rFonts w:ascii="Arial" w:hAnsi="Arial"/>
        </w:rPr>
        <w:t>;</w:t>
      </w:r>
    </w:p>
    <w:p w:rsidR="00762A4A" w:rsidRPr="00762A4A" w:rsidRDefault="00762A4A" w:rsidP="00762A4A">
      <w:pPr>
        <w:numPr>
          <w:ilvl w:val="0"/>
          <w:numId w:val="1"/>
        </w:numPr>
        <w:spacing w:before="100" w:beforeAutospacing="1" w:after="240"/>
        <w:ind w:right="-720"/>
        <w:rPr>
          <w:rFonts w:ascii="Arial" w:hAnsi="Arial"/>
        </w:rPr>
      </w:pPr>
      <w:r w:rsidRPr="00762A4A">
        <w:rPr>
          <w:rFonts w:ascii="Arial" w:hAnsi="Arial"/>
        </w:rPr>
        <w:t xml:space="preserve">Establishes a stakeholder working group of electric distribution companies, electric generation suppliers, Commission staff, public advocates, solar aggregators and other interested parties to ensure SREC contracts reflect the most recent developments in Pennsylvania law and energy policy; and </w:t>
      </w:r>
    </w:p>
    <w:p w:rsidR="00E76887" w:rsidRDefault="00E76887" w:rsidP="00E76887">
      <w:pPr>
        <w:numPr>
          <w:ilvl w:val="0"/>
          <w:numId w:val="1"/>
        </w:numPr>
        <w:spacing w:before="100" w:beforeAutospacing="1" w:after="240"/>
        <w:ind w:right="-720"/>
        <w:rPr>
          <w:rFonts w:ascii="Arial" w:hAnsi="Arial"/>
        </w:rPr>
      </w:pPr>
      <w:r>
        <w:rPr>
          <w:rFonts w:ascii="Arial" w:hAnsi="Arial"/>
        </w:rPr>
        <w:t xml:space="preserve">Encourages education of potential sellers of SRECs about the opportunity to sell these solar attributes to the electric utilities in support of regional development of solar resources. </w:t>
      </w:r>
    </w:p>
    <w:p w:rsidR="001A68F9" w:rsidRPr="00FD6CC3" w:rsidRDefault="009F5E79" w:rsidP="001A68F9">
      <w:pPr>
        <w:spacing w:before="100" w:beforeAutospacing="1" w:after="240"/>
        <w:ind w:left="-547" w:right="-720" w:firstLine="540"/>
        <w:rPr>
          <w:rFonts w:ascii="Arial" w:hAnsi="Arial"/>
        </w:rPr>
      </w:pPr>
      <w:r>
        <w:rPr>
          <w:rFonts w:ascii="Arial" w:hAnsi="Arial"/>
        </w:rPr>
        <w:t xml:space="preserve">The </w:t>
      </w:r>
      <w:r w:rsidR="009C7FFA">
        <w:rPr>
          <w:rFonts w:ascii="Arial" w:hAnsi="Arial"/>
        </w:rPr>
        <w:t xml:space="preserve">state </w:t>
      </w:r>
      <w:r>
        <w:rPr>
          <w:rFonts w:ascii="Arial" w:hAnsi="Arial"/>
        </w:rPr>
        <w:t xml:space="preserve">Alternative Energy Portfolio Standards Act of 2004 </w:t>
      </w:r>
      <w:r w:rsidR="008B7FB3" w:rsidRPr="008B7FB3">
        <w:rPr>
          <w:rFonts w:ascii="Arial" w:hAnsi="Arial"/>
        </w:rPr>
        <w:t>(AEPS) require</w:t>
      </w:r>
      <w:r w:rsidR="009C7FFA">
        <w:rPr>
          <w:rFonts w:ascii="Arial" w:hAnsi="Arial"/>
        </w:rPr>
        <w:t>s</w:t>
      </w:r>
      <w:r w:rsidR="008B7FB3" w:rsidRPr="008B7FB3">
        <w:rPr>
          <w:rFonts w:ascii="Arial" w:hAnsi="Arial"/>
        </w:rPr>
        <w:t xml:space="preserve"> </w:t>
      </w:r>
      <w:r w:rsidR="008B7FB3">
        <w:rPr>
          <w:rFonts w:ascii="Arial" w:hAnsi="Arial"/>
        </w:rPr>
        <w:t xml:space="preserve">electric distribution companies and electric generation suppliers </w:t>
      </w:r>
      <w:r w:rsidR="008B7FB3" w:rsidRPr="008B7FB3">
        <w:rPr>
          <w:rFonts w:ascii="Arial" w:hAnsi="Arial"/>
        </w:rPr>
        <w:t>to include a specific percentage of electricity from alternative resources</w:t>
      </w:r>
      <w:r w:rsidR="009C7FFA">
        <w:rPr>
          <w:rFonts w:ascii="Arial" w:hAnsi="Arial"/>
        </w:rPr>
        <w:t>,</w:t>
      </w:r>
      <w:r w:rsidR="008B7FB3" w:rsidRPr="008B7FB3">
        <w:rPr>
          <w:rFonts w:ascii="Arial" w:hAnsi="Arial"/>
        </w:rPr>
        <w:t xml:space="preserve"> </w:t>
      </w:r>
      <w:r w:rsidR="008B7FB3">
        <w:rPr>
          <w:rFonts w:ascii="Arial" w:hAnsi="Arial"/>
        </w:rPr>
        <w:t>including solar</w:t>
      </w:r>
      <w:r w:rsidR="009C7FFA">
        <w:rPr>
          <w:rFonts w:ascii="Arial" w:hAnsi="Arial"/>
        </w:rPr>
        <w:t>,</w:t>
      </w:r>
      <w:r w:rsidR="008B7FB3">
        <w:rPr>
          <w:rFonts w:ascii="Arial" w:hAnsi="Arial"/>
        </w:rPr>
        <w:t xml:space="preserve"> </w:t>
      </w:r>
      <w:r w:rsidR="008B7FB3" w:rsidRPr="008B7FB3">
        <w:rPr>
          <w:rFonts w:ascii="Arial" w:hAnsi="Arial"/>
        </w:rPr>
        <w:t>in the generation they sell to Pennsylvania customers</w:t>
      </w:r>
    </w:p>
    <w:p w:rsidR="001A68F9" w:rsidRPr="00E35B7A" w:rsidRDefault="001A68F9" w:rsidP="001A68F9">
      <w:pPr>
        <w:spacing w:before="100" w:beforeAutospacing="1" w:after="240"/>
        <w:ind w:left="-547" w:right="-720" w:firstLine="540"/>
        <w:rPr>
          <w:rFonts w:ascii="Arial" w:hAnsi="Arial" w:cs="Arial"/>
        </w:rPr>
      </w:pPr>
      <w:r w:rsidRPr="00FD6CC3">
        <w:rPr>
          <w:rFonts w:ascii="Arial" w:hAnsi="Arial"/>
        </w:rPr>
        <w:t> </w:t>
      </w:r>
      <w:r w:rsidRPr="00E35B7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1A68F9" w:rsidRPr="001F4CBA" w:rsidRDefault="001A68F9" w:rsidP="001A68F9">
      <w:pPr>
        <w:spacing w:before="100" w:beforeAutospacing="1" w:after="240"/>
        <w:ind w:left="-547" w:right="-720" w:firstLine="540"/>
        <w:rPr>
          <w:rFonts w:ascii="Arial" w:hAnsi="Arial" w:cs="Arial"/>
        </w:rPr>
      </w:pPr>
      <w:r w:rsidRPr="00E35B7A">
        <w:rPr>
          <w:rFonts w:ascii="Arial" w:hAnsi="Arial" w:cs="Arial"/>
        </w:rPr>
        <w:lastRenderedPageBreak/>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Pr>
          <w:rFonts w:ascii="Arial" w:hAnsi="Arial" w:cs="Arial"/>
        </w:rPr>
        <w:t>w</w:t>
      </w:r>
      <w:r w:rsidRPr="00E35B7A">
        <w:rPr>
          <w:rFonts w:ascii="Arial" w:hAnsi="Arial" w:cs="Arial"/>
        </w:rPr>
        <w:t xml:space="preserve">ebsite at </w:t>
      </w:r>
      <w:hyperlink r:id="rId7" w:history="1">
        <w:r w:rsidRPr="00E35B7A">
          <w:rPr>
            <w:rFonts w:ascii="Arial" w:hAnsi="Arial" w:cs="Arial"/>
            <w:color w:val="0000FF"/>
            <w:u w:val="single"/>
          </w:rPr>
          <w:t>www.puc.state.pa.us</w:t>
        </w:r>
      </w:hyperlink>
      <w:r w:rsidRPr="00E35B7A">
        <w:rPr>
          <w:rFonts w:ascii="Arial" w:hAnsi="Arial" w:cs="Arial"/>
        </w:rPr>
        <w:t>.</w:t>
      </w:r>
    </w:p>
    <w:p w:rsidR="001A68F9" w:rsidRDefault="001A68F9" w:rsidP="001A68F9">
      <w:pPr>
        <w:spacing w:before="100" w:beforeAutospacing="1" w:after="100" w:afterAutospacing="1"/>
        <w:ind w:left="-540" w:right="-1440"/>
        <w:jc w:val="center"/>
        <w:rPr>
          <w:rFonts w:ascii="Arial" w:hAnsi="Arial"/>
        </w:rPr>
      </w:pPr>
      <w:r w:rsidRPr="00EF5ECF">
        <w:rPr>
          <w:rFonts w:ascii="Arial" w:hAnsi="Arial"/>
        </w:rPr>
        <w:t># # #</w:t>
      </w:r>
    </w:p>
    <w:p w:rsidR="001A68F9" w:rsidRPr="00EF5ECF" w:rsidRDefault="005872CF" w:rsidP="001A68F9">
      <w:pPr>
        <w:ind w:left="-540" w:right="-1440"/>
        <w:rPr>
          <w:rFonts w:ascii="Arial" w:hAnsi="Arial"/>
        </w:rPr>
      </w:pPr>
      <w:r>
        <w:rPr>
          <w:rFonts w:ascii="Arial" w:hAnsi="Arial"/>
        </w:rPr>
        <w:t>Docket no. M-2009</w:t>
      </w:r>
      <w:r w:rsidR="002F03DB">
        <w:rPr>
          <w:rFonts w:ascii="Arial" w:hAnsi="Arial"/>
        </w:rPr>
        <w:t>-</w:t>
      </w:r>
      <w:r>
        <w:rPr>
          <w:rFonts w:ascii="Arial" w:hAnsi="Arial"/>
        </w:rPr>
        <w:t>2140263</w:t>
      </w:r>
    </w:p>
    <w:p w:rsidR="00AF02D0" w:rsidRDefault="00064A39"/>
    <w:sectPr w:rsidR="00AF02D0" w:rsidSect="00790D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8238A"/>
    <w:multiLevelType w:val="multilevel"/>
    <w:tmpl w:val="3792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68F9"/>
    <w:rsid w:val="000419A0"/>
    <w:rsid w:val="000576F9"/>
    <w:rsid w:val="00064A39"/>
    <w:rsid w:val="00095E83"/>
    <w:rsid w:val="000977E2"/>
    <w:rsid w:val="001260DD"/>
    <w:rsid w:val="00126E85"/>
    <w:rsid w:val="00153CEB"/>
    <w:rsid w:val="0019794E"/>
    <w:rsid w:val="001A68F9"/>
    <w:rsid w:val="001B0B79"/>
    <w:rsid w:val="001C5B6B"/>
    <w:rsid w:val="002226E2"/>
    <w:rsid w:val="00235F8D"/>
    <w:rsid w:val="00281450"/>
    <w:rsid w:val="002F03DB"/>
    <w:rsid w:val="00301D65"/>
    <w:rsid w:val="003120C1"/>
    <w:rsid w:val="003200C4"/>
    <w:rsid w:val="00322BB8"/>
    <w:rsid w:val="003264DD"/>
    <w:rsid w:val="00357784"/>
    <w:rsid w:val="003D1A6C"/>
    <w:rsid w:val="003F7465"/>
    <w:rsid w:val="003F766E"/>
    <w:rsid w:val="00441D41"/>
    <w:rsid w:val="004703FB"/>
    <w:rsid w:val="00475E45"/>
    <w:rsid w:val="004C37DB"/>
    <w:rsid w:val="00515214"/>
    <w:rsid w:val="00517096"/>
    <w:rsid w:val="00524477"/>
    <w:rsid w:val="005571C8"/>
    <w:rsid w:val="005705EE"/>
    <w:rsid w:val="005872CF"/>
    <w:rsid w:val="005936E0"/>
    <w:rsid w:val="005D4DE5"/>
    <w:rsid w:val="006312BB"/>
    <w:rsid w:val="00651C29"/>
    <w:rsid w:val="0067048D"/>
    <w:rsid w:val="006B782A"/>
    <w:rsid w:val="006E0A36"/>
    <w:rsid w:val="00712EB6"/>
    <w:rsid w:val="007171C4"/>
    <w:rsid w:val="00762A4A"/>
    <w:rsid w:val="007A0297"/>
    <w:rsid w:val="007F003B"/>
    <w:rsid w:val="00802283"/>
    <w:rsid w:val="00841A0A"/>
    <w:rsid w:val="0084385E"/>
    <w:rsid w:val="008460A9"/>
    <w:rsid w:val="00877EE9"/>
    <w:rsid w:val="00884F84"/>
    <w:rsid w:val="008977DE"/>
    <w:rsid w:val="008B7FB3"/>
    <w:rsid w:val="0094300F"/>
    <w:rsid w:val="00964314"/>
    <w:rsid w:val="00973034"/>
    <w:rsid w:val="009B4923"/>
    <w:rsid w:val="009C7FFA"/>
    <w:rsid w:val="009F5E79"/>
    <w:rsid w:val="00A45224"/>
    <w:rsid w:val="00A65172"/>
    <w:rsid w:val="00A82B4C"/>
    <w:rsid w:val="00B558E8"/>
    <w:rsid w:val="00B75C9A"/>
    <w:rsid w:val="00B95D08"/>
    <w:rsid w:val="00BA0F25"/>
    <w:rsid w:val="00BD4377"/>
    <w:rsid w:val="00BF1C39"/>
    <w:rsid w:val="00C44818"/>
    <w:rsid w:val="00C4496A"/>
    <w:rsid w:val="00C54F3B"/>
    <w:rsid w:val="00C650C3"/>
    <w:rsid w:val="00C70C2E"/>
    <w:rsid w:val="00C76A74"/>
    <w:rsid w:val="00C80AFB"/>
    <w:rsid w:val="00C86F54"/>
    <w:rsid w:val="00C97315"/>
    <w:rsid w:val="00CC6098"/>
    <w:rsid w:val="00D11A09"/>
    <w:rsid w:val="00D31FA2"/>
    <w:rsid w:val="00DA5642"/>
    <w:rsid w:val="00DE2379"/>
    <w:rsid w:val="00DE4713"/>
    <w:rsid w:val="00E2313B"/>
    <w:rsid w:val="00E76887"/>
    <w:rsid w:val="00EA6048"/>
    <w:rsid w:val="00EC19B3"/>
    <w:rsid w:val="00EC2C6F"/>
    <w:rsid w:val="00ED3B8E"/>
    <w:rsid w:val="00EE2681"/>
    <w:rsid w:val="00EE4974"/>
    <w:rsid w:val="00F111D1"/>
    <w:rsid w:val="00F55DB7"/>
    <w:rsid w:val="00F73C5A"/>
    <w:rsid w:val="00F93A16"/>
    <w:rsid w:val="00FA345D"/>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68F9"/>
    <w:rPr>
      <w:color w:val="0000FF"/>
      <w:u w:val="single"/>
    </w:rPr>
  </w:style>
  <w:style w:type="paragraph" w:styleId="BalloonText">
    <w:name w:val="Balloon Text"/>
    <w:basedOn w:val="Normal"/>
    <w:link w:val="BalloonTextChar"/>
    <w:uiPriority w:val="99"/>
    <w:semiHidden/>
    <w:unhideWhenUsed/>
    <w:rsid w:val="001A68F9"/>
    <w:rPr>
      <w:rFonts w:ascii="Tahoma" w:hAnsi="Tahoma" w:cs="Tahoma"/>
      <w:sz w:val="16"/>
      <w:szCs w:val="16"/>
    </w:rPr>
  </w:style>
  <w:style w:type="character" w:customStyle="1" w:styleId="BalloonTextChar">
    <w:name w:val="Balloon Text Char"/>
    <w:basedOn w:val="DefaultParagraphFont"/>
    <w:link w:val="BalloonText"/>
    <w:uiPriority w:val="99"/>
    <w:semiHidden/>
    <w:rsid w:val="001A68F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976611">
      <w:bodyDiv w:val="1"/>
      <w:marLeft w:val="0"/>
      <w:marRight w:val="0"/>
      <w:marTop w:val="0"/>
      <w:marBottom w:val="0"/>
      <w:divBdr>
        <w:top w:val="none" w:sz="0" w:space="0" w:color="auto"/>
        <w:left w:val="none" w:sz="0" w:space="0" w:color="auto"/>
        <w:bottom w:val="none" w:sz="0" w:space="0" w:color="auto"/>
        <w:right w:val="none" w:sz="0" w:space="0" w:color="auto"/>
      </w:divBdr>
    </w:div>
    <w:div w:id="1205870665">
      <w:bodyDiv w:val="1"/>
      <w:marLeft w:val="15"/>
      <w:marRight w:val="0"/>
      <w:marTop w:val="15"/>
      <w:marBottom w:val="0"/>
      <w:divBdr>
        <w:top w:val="none" w:sz="0" w:space="0" w:color="auto"/>
        <w:left w:val="none" w:sz="0" w:space="0" w:color="auto"/>
        <w:bottom w:val="none" w:sz="0" w:space="0" w:color="auto"/>
        <w:right w:val="none" w:sz="0" w:space="0" w:color="auto"/>
      </w:divBdr>
      <w:divsChild>
        <w:div w:id="509414956">
          <w:marLeft w:val="0"/>
          <w:marRight w:val="0"/>
          <w:marTop w:val="0"/>
          <w:marBottom w:val="0"/>
          <w:divBdr>
            <w:top w:val="none" w:sz="0" w:space="0" w:color="auto"/>
            <w:left w:val="none" w:sz="0" w:space="0" w:color="auto"/>
            <w:bottom w:val="none" w:sz="0" w:space="0" w:color="auto"/>
            <w:right w:val="none" w:sz="0" w:space="0" w:color="auto"/>
          </w:divBdr>
          <w:divsChild>
            <w:div w:id="6646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54380">
      <w:bodyDiv w:val="1"/>
      <w:marLeft w:val="15"/>
      <w:marRight w:val="0"/>
      <w:marTop w:val="15"/>
      <w:marBottom w:val="0"/>
      <w:divBdr>
        <w:top w:val="none" w:sz="0" w:space="0" w:color="auto"/>
        <w:left w:val="none" w:sz="0" w:space="0" w:color="auto"/>
        <w:bottom w:val="none" w:sz="0" w:space="0" w:color="auto"/>
        <w:right w:val="none" w:sz="0" w:space="0" w:color="auto"/>
      </w:divBdr>
      <w:divsChild>
        <w:div w:id="1790928471">
          <w:marLeft w:val="0"/>
          <w:marRight w:val="0"/>
          <w:marTop w:val="0"/>
          <w:marBottom w:val="0"/>
          <w:divBdr>
            <w:top w:val="none" w:sz="0" w:space="0" w:color="auto"/>
            <w:left w:val="none" w:sz="0" w:space="0" w:color="auto"/>
            <w:bottom w:val="none" w:sz="0" w:space="0" w:color="auto"/>
            <w:right w:val="none" w:sz="0" w:space="0" w:color="auto"/>
          </w:divBdr>
          <w:divsChild>
            <w:div w:id="16068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kocher@state.pa.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30</cp:revision>
  <dcterms:created xsi:type="dcterms:W3CDTF">2010-08-31T18:49:00Z</dcterms:created>
  <dcterms:modified xsi:type="dcterms:W3CDTF">2010-09-16T20:13:00Z</dcterms:modified>
</cp:coreProperties>
</file>