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A31FAC">
        <w:rPr>
          <w:sz w:val="26"/>
          <w:szCs w:val="26"/>
        </w:rPr>
        <w:t>February 10</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t>James H. Cawley</w:t>
      </w:r>
      <w:r w:rsidRPr="002A5D4B">
        <w:rPr>
          <w:sz w:val="26"/>
          <w:szCs w:val="26"/>
        </w:rPr>
        <w:t>, Chairman</w:t>
      </w:r>
    </w:p>
    <w:p w:rsidR="009304FE" w:rsidRDefault="009304FE" w:rsidP="009304FE">
      <w:pPr>
        <w:rPr>
          <w:sz w:val="26"/>
          <w:szCs w:val="26"/>
        </w:rPr>
      </w:pPr>
      <w:r>
        <w:rPr>
          <w:sz w:val="26"/>
          <w:szCs w:val="26"/>
        </w:rPr>
        <w:tab/>
        <w:t>Tyrone J. Christy</w:t>
      </w:r>
      <w:r w:rsidRPr="002A5D4B">
        <w:rPr>
          <w:sz w:val="26"/>
          <w:szCs w:val="26"/>
        </w:rPr>
        <w:t>, Vice Chairman</w:t>
      </w:r>
    </w:p>
    <w:p w:rsidR="001C7F88" w:rsidRPr="002A5D4B" w:rsidRDefault="001C7F88" w:rsidP="009304FE">
      <w:pPr>
        <w:rPr>
          <w:sz w:val="26"/>
          <w:szCs w:val="26"/>
        </w:rPr>
      </w:pPr>
      <w:r>
        <w:rPr>
          <w:sz w:val="26"/>
          <w:szCs w:val="26"/>
        </w:rPr>
        <w:tab/>
        <w:t>John F. Coleman, Jr.</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Pr>
          <w:sz w:val="26"/>
          <w:szCs w:val="26"/>
        </w:rPr>
        <w:t>Robert F. Powelson</w:t>
      </w:r>
    </w:p>
    <w:p w:rsidR="009304FE" w:rsidRDefault="009304FE" w:rsidP="009304FE"/>
    <w:p w:rsidR="009304FE" w:rsidRDefault="009304FE" w:rsidP="009304FE"/>
    <w:p w:rsidR="00BC321A" w:rsidRDefault="003B68C7" w:rsidP="009304FE">
      <w:pPr>
        <w:tabs>
          <w:tab w:val="left" w:pos="-720"/>
          <w:tab w:val="left" w:pos="0"/>
        </w:tabs>
        <w:suppressAutoHyphens/>
        <w:rPr>
          <w:sz w:val="26"/>
          <w:szCs w:val="26"/>
        </w:rPr>
      </w:pPr>
      <w:r>
        <w:rPr>
          <w:sz w:val="26"/>
          <w:szCs w:val="26"/>
        </w:rPr>
        <w:t xml:space="preserve">William </w:t>
      </w:r>
      <w:proofErr w:type="spellStart"/>
      <w:r>
        <w:rPr>
          <w:sz w:val="26"/>
          <w:szCs w:val="26"/>
        </w:rPr>
        <w:t>Petravich</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C-2010-2188984</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r>
      <w:proofErr w:type="gramStart"/>
      <w:r w:rsidRPr="006C64C8">
        <w:rPr>
          <w:sz w:val="26"/>
          <w:szCs w:val="26"/>
        </w:rPr>
        <w:t>v</w:t>
      </w:r>
      <w:proofErr w:type="gramEnd"/>
      <w:r w:rsidRPr="006C64C8">
        <w:rPr>
          <w:sz w:val="26"/>
          <w:szCs w:val="26"/>
        </w:rPr>
        <w:t>.</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652DF" w:rsidP="009304FE">
      <w:pPr>
        <w:tabs>
          <w:tab w:val="left" w:pos="-720"/>
          <w:tab w:val="left" w:pos="0"/>
        </w:tabs>
        <w:suppressAutoHyphens/>
        <w:rPr>
          <w:sz w:val="26"/>
          <w:szCs w:val="26"/>
        </w:rPr>
      </w:pPr>
      <w:r>
        <w:rPr>
          <w:sz w:val="26"/>
          <w:szCs w:val="26"/>
        </w:rPr>
        <w:t>Philadelphia Gas Works</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B81FD1">
        <w:rPr>
          <w:sz w:val="26"/>
          <w:szCs w:val="26"/>
        </w:rPr>
        <w:t xml:space="preserve">William </w:t>
      </w:r>
      <w:proofErr w:type="spellStart"/>
      <w:r w:rsidR="00B81FD1">
        <w:rPr>
          <w:sz w:val="26"/>
          <w:szCs w:val="26"/>
        </w:rPr>
        <w:t>Petravich</w:t>
      </w:r>
      <w:proofErr w:type="spellEnd"/>
      <w:r w:rsidR="00FE7460">
        <w:rPr>
          <w:sz w:val="26"/>
          <w:szCs w:val="26"/>
        </w:rPr>
        <w:t xml:space="preserve"> (Complainant)</w:t>
      </w:r>
      <w:r w:rsidR="00710EAE">
        <w:rPr>
          <w:sz w:val="26"/>
          <w:szCs w:val="26"/>
        </w:rPr>
        <w:t xml:space="preserve">, </w:t>
      </w:r>
      <w:r w:rsidR="00B45042">
        <w:rPr>
          <w:sz w:val="26"/>
          <w:szCs w:val="26"/>
        </w:rPr>
        <w:t>filed</w:t>
      </w:r>
      <w:r w:rsidR="00F8097F">
        <w:rPr>
          <w:sz w:val="26"/>
          <w:szCs w:val="26"/>
        </w:rPr>
        <w:t xml:space="preserve"> on </w:t>
      </w:r>
      <w:r w:rsidR="00E865EA">
        <w:rPr>
          <w:sz w:val="26"/>
          <w:szCs w:val="26"/>
        </w:rPr>
        <w:t>November</w:t>
      </w:r>
      <w:r w:rsidR="000711D9">
        <w:rPr>
          <w:sz w:val="26"/>
          <w:szCs w:val="26"/>
        </w:rPr>
        <w:t xml:space="preserve"> </w:t>
      </w:r>
      <w:r w:rsidR="00E865EA">
        <w:rPr>
          <w:sz w:val="26"/>
          <w:szCs w:val="26"/>
        </w:rPr>
        <w:t>8</w:t>
      </w:r>
      <w:r w:rsidR="00F8097F">
        <w:rPr>
          <w:sz w:val="26"/>
          <w:szCs w:val="26"/>
        </w:rPr>
        <w:t>, 2010</w:t>
      </w:r>
      <w:r w:rsidR="009304FE" w:rsidRPr="00585188">
        <w:rPr>
          <w:sz w:val="26"/>
          <w:szCs w:val="26"/>
        </w:rPr>
        <w:t>,</w:t>
      </w:r>
      <w:r w:rsidR="00655AC4">
        <w:rPr>
          <w:rStyle w:val="FootnoteReference"/>
        </w:rPr>
        <w:footnoteReference w:id="1"/>
      </w:r>
      <w:r w:rsidR="009304FE">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proofErr w:type="spellStart"/>
      <w:r w:rsidR="00E865EA">
        <w:rPr>
          <w:sz w:val="26"/>
          <w:szCs w:val="26"/>
        </w:rPr>
        <w:t>Ky</w:t>
      </w:r>
      <w:proofErr w:type="spellEnd"/>
      <w:r w:rsidR="00E865EA">
        <w:rPr>
          <w:sz w:val="26"/>
          <w:szCs w:val="26"/>
        </w:rPr>
        <w:t xml:space="preserve"> Van </w:t>
      </w:r>
      <w:r w:rsidR="009E455F">
        <w:rPr>
          <w:sz w:val="26"/>
          <w:szCs w:val="26"/>
        </w:rPr>
        <w:t>Nguyen</w:t>
      </w:r>
      <w:r w:rsidR="009304FE" w:rsidRPr="00585188">
        <w:rPr>
          <w:sz w:val="26"/>
          <w:szCs w:val="26"/>
        </w:rPr>
        <w:t>, issued</w:t>
      </w:r>
      <w:r w:rsidR="00E61A27">
        <w:rPr>
          <w:sz w:val="26"/>
          <w:szCs w:val="26"/>
        </w:rPr>
        <w:t xml:space="preserve"> </w:t>
      </w:r>
      <w:r w:rsidR="006D590F">
        <w:rPr>
          <w:sz w:val="26"/>
          <w:szCs w:val="26"/>
        </w:rPr>
        <w:t>October 28</w:t>
      </w:r>
      <w:r w:rsidR="00EB3F2D">
        <w:rPr>
          <w:sz w:val="26"/>
          <w:szCs w:val="26"/>
        </w:rPr>
        <w:t>, 20</w:t>
      </w:r>
      <w:r w:rsidR="00070FFD">
        <w:rPr>
          <w:sz w:val="26"/>
          <w:szCs w:val="26"/>
        </w:rPr>
        <w:t>10</w:t>
      </w:r>
      <w:r w:rsidR="009304FE">
        <w:rPr>
          <w:sz w:val="26"/>
          <w:szCs w:val="26"/>
        </w:rPr>
        <w:t xml:space="preserve">.  </w:t>
      </w:r>
      <w:r w:rsidR="00655AC4">
        <w:rPr>
          <w:sz w:val="26"/>
          <w:szCs w:val="26"/>
        </w:rPr>
        <w:t xml:space="preserve"> </w:t>
      </w:r>
      <w:r w:rsidR="002723CB">
        <w:rPr>
          <w:sz w:val="26"/>
          <w:szCs w:val="26"/>
        </w:rPr>
        <w:t>Philadelphia G</w:t>
      </w:r>
      <w:r w:rsidR="00193EF0">
        <w:rPr>
          <w:sz w:val="26"/>
          <w:szCs w:val="26"/>
        </w:rPr>
        <w:t xml:space="preserve">as Works (PGW) </w:t>
      </w:r>
      <w:r w:rsidR="008F05C2">
        <w:rPr>
          <w:sz w:val="26"/>
          <w:szCs w:val="26"/>
        </w:rPr>
        <w:t xml:space="preserve">filed </w:t>
      </w:r>
      <w:r w:rsidR="008F05C2">
        <w:rPr>
          <w:sz w:val="26"/>
          <w:szCs w:val="26"/>
        </w:rPr>
        <w:lastRenderedPageBreak/>
        <w:t xml:space="preserve">Reply Exceptions </w:t>
      </w:r>
      <w:r w:rsidR="00193EF0">
        <w:rPr>
          <w:sz w:val="26"/>
          <w:szCs w:val="26"/>
        </w:rPr>
        <w:t xml:space="preserve">on </w:t>
      </w:r>
      <w:r w:rsidR="00B30A47">
        <w:rPr>
          <w:sz w:val="26"/>
          <w:szCs w:val="26"/>
        </w:rPr>
        <w:t>November 29</w:t>
      </w:r>
      <w:r w:rsidR="00193EF0">
        <w:rPr>
          <w:sz w:val="26"/>
          <w:szCs w:val="26"/>
        </w:rPr>
        <w:t>, 2010.</w:t>
      </w:r>
      <w:r w:rsidR="009B4416">
        <w:rPr>
          <w:rStyle w:val="FootnoteReference"/>
        </w:rPr>
        <w:footnoteReference w:id="2"/>
      </w:r>
      <w:r w:rsidR="00966051">
        <w:rPr>
          <w:sz w:val="26"/>
          <w:szCs w:val="26"/>
        </w:rPr>
        <w:t xml:space="preserve">  For the reasons stated below, we</w:t>
      </w:r>
      <w:r w:rsidR="00300C9D">
        <w:rPr>
          <w:sz w:val="26"/>
          <w:szCs w:val="26"/>
        </w:rPr>
        <w:t xml:space="preserve"> deny the </w:t>
      </w:r>
      <w:r w:rsidR="00271322">
        <w:rPr>
          <w:sz w:val="26"/>
          <w:szCs w:val="26"/>
        </w:rPr>
        <w:t xml:space="preserve">Complainant’s </w:t>
      </w:r>
      <w:r w:rsidR="00300C9D">
        <w:rPr>
          <w:sz w:val="26"/>
          <w:szCs w:val="26"/>
        </w:rPr>
        <w:t xml:space="preserve">Exceptions and adopt the </w:t>
      </w:r>
      <w:r w:rsidR="006A4113">
        <w:rPr>
          <w:sz w:val="26"/>
          <w:szCs w:val="26"/>
        </w:rPr>
        <w:t xml:space="preserve">ALJ’s </w:t>
      </w:r>
      <w:r w:rsidR="00300C9D">
        <w:rPr>
          <w:sz w:val="26"/>
          <w:szCs w:val="26"/>
        </w:rPr>
        <w:t>Initial Decision</w:t>
      </w:r>
      <w:r w:rsidR="00874DEF">
        <w:rPr>
          <w:sz w:val="26"/>
          <w:szCs w:val="26"/>
        </w:rPr>
        <w:t xml:space="preserve">.  </w:t>
      </w:r>
    </w:p>
    <w:p w:rsidR="00966051" w:rsidRDefault="00966051"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t>History of the Proceeding</w:t>
      </w:r>
    </w:p>
    <w:p w:rsidR="00527A20" w:rsidRDefault="00527A20" w:rsidP="002D5216">
      <w:pPr>
        <w:spacing w:line="360" w:lineRule="auto"/>
        <w:rPr>
          <w:sz w:val="26"/>
          <w:szCs w:val="26"/>
        </w:rPr>
      </w:pPr>
    </w:p>
    <w:p w:rsidR="002723CB" w:rsidRDefault="002723CB" w:rsidP="002723CB">
      <w:pPr>
        <w:spacing w:line="360" w:lineRule="auto"/>
        <w:ind w:firstLine="1440"/>
        <w:rPr>
          <w:sz w:val="26"/>
          <w:szCs w:val="26"/>
        </w:rPr>
      </w:pPr>
      <w:r w:rsidRPr="002723CB">
        <w:rPr>
          <w:sz w:val="26"/>
          <w:szCs w:val="26"/>
        </w:rPr>
        <w:t xml:space="preserve">On </w:t>
      </w:r>
      <w:r w:rsidR="00AF41FA">
        <w:rPr>
          <w:sz w:val="26"/>
          <w:szCs w:val="26"/>
        </w:rPr>
        <w:t>July 15</w:t>
      </w:r>
      <w:r w:rsidRPr="002723CB">
        <w:rPr>
          <w:sz w:val="26"/>
          <w:szCs w:val="26"/>
        </w:rPr>
        <w:t>,</w:t>
      </w:r>
      <w:r w:rsidR="00AF41FA">
        <w:rPr>
          <w:sz w:val="26"/>
          <w:szCs w:val="26"/>
        </w:rPr>
        <w:t xml:space="preserve"> 2010,</w:t>
      </w:r>
      <w:r w:rsidRPr="002723CB">
        <w:rPr>
          <w:sz w:val="26"/>
          <w:szCs w:val="26"/>
        </w:rPr>
        <w:t xml:space="preserve"> </w:t>
      </w:r>
      <w:r w:rsidR="00FE7460">
        <w:rPr>
          <w:sz w:val="26"/>
          <w:szCs w:val="26"/>
        </w:rPr>
        <w:t xml:space="preserve">Mr. </w:t>
      </w:r>
      <w:proofErr w:type="spellStart"/>
      <w:r w:rsidR="00FE7460">
        <w:rPr>
          <w:sz w:val="26"/>
          <w:szCs w:val="26"/>
        </w:rPr>
        <w:t>Petravich</w:t>
      </w:r>
      <w:proofErr w:type="spellEnd"/>
      <w:r w:rsidR="00FE7460">
        <w:rPr>
          <w:sz w:val="26"/>
          <w:szCs w:val="26"/>
        </w:rPr>
        <w:t xml:space="preserve"> filed </w:t>
      </w:r>
      <w:r>
        <w:rPr>
          <w:sz w:val="26"/>
          <w:szCs w:val="26"/>
        </w:rPr>
        <w:t>a F</w:t>
      </w:r>
      <w:r w:rsidRPr="002723CB">
        <w:rPr>
          <w:sz w:val="26"/>
          <w:szCs w:val="26"/>
        </w:rPr>
        <w:t xml:space="preserve">ormal Complaint against </w:t>
      </w:r>
      <w:r w:rsidR="0075282E">
        <w:rPr>
          <w:sz w:val="26"/>
          <w:szCs w:val="26"/>
        </w:rPr>
        <w:t>PGW</w:t>
      </w:r>
      <w:r w:rsidRPr="002723CB">
        <w:rPr>
          <w:sz w:val="26"/>
          <w:szCs w:val="26"/>
        </w:rPr>
        <w:t xml:space="preserve"> with the Commission.</w:t>
      </w:r>
      <w:r w:rsidR="00300C9D">
        <w:rPr>
          <w:sz w:val="26"/>
          <w:szCs w:val="26"/>
        </w:rPr>
        <w:t xml:space="preserve">  </w:t>
      </w:r>
      <w:r w:rsidR="009116CC">
        <w:rPr>
          <w:sz w:val="26"/>
          <w:szCs w:val="26"/>
        </w:rPr>
        <w:t>T</w:t>
      </w:r>
      <w:r w:rsidR="00007106">
        <w:rPr>
          <w:sz w:val="26"/>
          <w:szCs w:val="26"/>
        </w:rPr>
        <w:t xml:space="preserve">he names of both </w:t>
      </w:r>
      <w:r w:rsidR="00300C9D">
        <w:rPr>
          <w:sz w:val="26"/>
          <w:szCs w:val="26"/>
        </w:rPr>
        <w:t xml:space="preserve">Mr. </w:t>
      </w:r>
      <w:proofErr w:type="spellStart"/>
      <w:r w:rsidR="00300C9D">
        <w:rPr>
          <w:sz w:val="26"/>
          <w:szCs w:val="26"/>
        </w:rPr>
        <w:t>Petravich</w:t>
      </w:r>
      <w:proofErr w:type="spellEnd"/>
      <w:r w:rsidR="00300C9D">
        <w:rPr>
          <w:sz w:val="26"/>
          <w:szCs w:val="26"/>
        </w:rPr>
        <w:t xml:space="preserve"> </w:t>
      </w:r>
      <w:r w:rsidR="00007106">
        <w:rPr>
          <w:sz w:val="26"/>
          <w:szCs w:val="26"/>
        </w:rPr>
        <w:t>and</w:t>
      </w:r>
      <w:r w:rsidR="00300C9D">
        <w:rPr>
          <w:sz w:val="26"/>
          <w:szCs w:val="26"/>
        </w:rPr>
        <w:t xml:space="preserve"> Martha Evans</w:t>
      </w:r>
      <w:r w:rsidR="00007106">
        <w:rPr>
          <w:sz w:val="26"/>
          <w:szCs w:val="26"/>
        </w:rPr>
        <w:t xml:space="preserve"> </w:t>
      </w:r>
      <w:r w:rsidR="00E53916">
        <w:rPr>
          <w:sz w:val="26"/>
          <w:szCs w:val="26"/>
        </w:rPr>
        <w:t>a</w:t>
      </w:r>
      <w:r w:rsidR="00007106">
        <w:rPr>
          <w:sz w:val="26"/>
          <w:szCs w:val="26"/>
        </w:rPr>
        <w:t>r</w:t>
      </w:r>
      <w:r w:rsidR="00E53916">
        <w:rPr>
          <w:sz w:val="26"/>
          <w:szCs w:val="26"/>
        </w:rPr>
        <w:t>e</w:t>
      </w:r>
      <w:r w:rsidR="00007106">
        <w:rPr>
          <w:sz w:val="26"/>
          <w:szCs w:val="26"/>
        </w:rPr>
        <w:t xml:space="preserve"> on the Complaint, </w:t>
      </w:r>
      <w:r w:rsidR="009116CC">
        <w:rPr>
          <w:sz w:val="26"/>
          <w:szCs w:val="26"/>
        </w:rPr>
        <w:t xml:space="preserve">however, only </w:t>
      </w:r>
      <w:r w:rsidR="00007106">
        <w:rPr>
          <w:sz w:val="26"/>
          <w:szCs w:val="26"/>
        </w:rPr>
        <w:t xml:space="preserve">Mr. </w:t>
      </w:r>
      <w:proofErr w:type="spellStart"/>
      <w:r w:rsidR="00007106">
        <w:rPr>
          <w:sz w:val="26"/>
          <w:szCs w:val="26"/>
        </w:rPr>
        <w:t>Petravich</w:t>
      </w:r>
      <w:proofErr w:type="spellEnd"/>
      <w:r w:rsidR="00007106">
        <w:rPr>
          <w:sz w:val="26"/>
          <w:szCs w:val="26"/>
        </w:rPr>
        <w:t xml:space="preserve"> signed the Complaint</w:t>
      </w:r>
      <w:r w:rsidR="00CC4EB1">
        <w:rPr>
          <w:sz w:val="26"/>
          <w:szCs w:val="26"/>
        </w:rPr>
        <w:t xml:space="preserve">.  </w:t>
      </w:r>
      <w:r w:rsidR="00EC5F13">
        <w:rPr>
          <w:sz w:val="26"/>
          <w:szCs w:val="26"/>
        </w:rPr>
        <w:t xml:space="preserve">In the Complaint, Mr. </w:t>
      </w:r>
      <w:proofErr w:type="spellStart"/>
      <w:r w:rsidR="00EC5F13">
        <w:rPr>
          <w:sz w:val="26"/>
          <w:szCs w:val="26"/>
        </w:rPr>
        <w:t>Petravich</w:t>
      </w:r>
      <w:proofErr w:type="spellEnd"/>
      <w:r w:rsidR="00EC5F13">
        <w:rPr>
          <w:sz w:val="26"/>
          <w:szCs w:val="26"/>
        </w:rPr>
        <w:t xml:space="preserve"> alleged that Northeast Executive Abstract Agency withheld money </w:t>
      </w:r>
      <w:r w:rsidR="006D590F">
        <w:rPr>
          <w:sz w:val="26"/>
          <w:szCs w:val="26"/>
        </w:rPr>
        <w:t xml:space="preserve">for PGW </w:t>
      </w:r>
      <w:r w:rsidR="00EC5F13">
        <w:rPr>
          <w:sz w:val="26"/>
          <w:szCs w:val="26"/>
        </w:rPr>
        <w:t>when Martha Evans sold her house</w:t>
      </w:r>
      <w:r w:rsidR="00A64AC6">
        <w:rPr>
          <w:sz w:val="26"/>
          <w:szCs w:val="26"/>
        </w:rPr>
        <w:t xml:space="preserve"> </w:t>
      </w:r>
      <w:r w:rsidR="001704F7">
        <w:rPr>
          <w:sz w:val="26"/>
          <w:szCs w:val="26"/>
        </w:rPr>
        <w:t xml:space="preserve">at 1358 </w:t>
      </w:r>
      <w:proofErr w:type="spellStart"/>
      <w:r w:rsidR="001704F7">
        <w:rPr>
          <w:sz w:val="26"/>
          <w:szCs w:val="26"/>
        </w:rPr>
        <w:t>Ruan</w:t>
      </w:r>
      <w:proofErr w:type="spellEnd"/>
      <w:r w:rsidR="001704F7">
        <w:rPr>
          <w:sz w:val="26"/>
          <w:szCs w:val="26"/>
        </w:rPr>
        <w:t xml:space="preserve"> Street, Philadelphia, Pennsylvania (the service address)</w:t>
      </w:r>
      <w:r w:rsidR="006D590F">
        <w:rPr>
          <w:sz w:val="26"/>
          <w:szCs w:val="26"/>
        </w:rPr>
        <w:t xml:space="preserve">.  Mr. </w:t>
      </w:r>
      <w:proofErr w:type="spellStart"/>
      <w:r w:rsidR="006D590F">
        <w:rPr>
          <w:sz w:val="26"/>
          <w:szCs w:val="26"/>
        </w:rPr>
        <w:t>Petravich</w:t>
      </w:r>
      <w:proofErr w:type="spellEnd"/>
      <w:r w:rsidR="00A64AC6">
        <w:rPr>
          <w:sz w:val="26"/>
          <w:szCs w:val="26"/>
        </w:rPr>
        <w:t xml:space="preserve"> </w:t>
      </w:r>
      <w:r w:rsidR="00615576">
        <w:rPr>
          <w:sz w:val="26"/>
          <w:szCs w:val="26"/>
        </w:rPr>
        <w:t xml:space="preserve">alleges that </w:t>
      </w:r>
      <w:r w:rsidR="00A20575">
        <w:rPr>
          <w:sz w:val="26"/>
          <w:szCs w:val="26"/>
        </w:rPr>
        <w:t>Ms. Evans is due the money that was withheld for PGW at settlement</w:t>
      </w:r>
      <w:r w:rsidR="00A64AC6">
        <w:rPr>
          <w:sz w:val="26"/>
          <w:szCs w:val="26"/>
        </w:rPr>
        <w:t>.</w:t>
      </w:r>
      <w:r w:rsidR="00EC5F13">
        <w:rPr>
          <w:sz w:val="26"/>
          <w:szCs w:val="26"/>
        </w:rPr>
        <w:t xml:space="preserve"> </w:t>
      </w:r>
      <w:r w:rsidR="00316B27">
        <w:rPr>
          <w:sz w:val="26"/>
          <w:szCs w:val="26"/>
        </w:rPr>
        <w:t xml:space="preserve"> The Commission’s Secretary’s Bureau served PGW with the Complaint on July 21, 2010.</w:t>
      </w:r>
    </w:p>
    <w:p w:rsidR="00A64AC6" w:rsidRDefault="00A64AC6" w:rsidP="002723CB">
      <w:pPr>
        <w:spacing w:line="360" w:lineRule="auto"/>
        <w:ind w:firstLine="1440"/>
        <w:rPr>
          <w:sz w:val="26"/>
          <w:szCs w:val="26"/>
        </w:rPr>
      </w:pPr>
    </w:p>
    <w:p w:rsidR="002723CB" w:rsidRDefault="00DA4B4A" w:rsidP="002723CB">
      <w:pPr>
        <w:spacing w:line="360" w:lineRule="auto"/>
        <w:ind w:firstLine="1440"/>
        <w:rPr>
          <w:sz w:val="26"/>
          <w:szCs w:val="26"/>
        </w:rPr>
      </w:pPr>
      <w:r>
        <w:rPr>
          <w:sz w:val="26"/>
          <w:szCs w:val="26"/>
        </w:rPr>
        <w:t xml:space="preserve">In response to the Complaint, </w:t>
      </w:r>
      <w:r w:rsidR="00A64AC6">
        <w:rPr>
          <w:sz w:val="26"/>
          <w:szCs w:val="26"/>
        </w:rPr>
        <w:t xml:space="preserve">PGW filed </w:t>
      </w:r>
      <w:r w:rsidR="00492787">
        <w:rPr>
          <w:sz w:val="26"/>
          <w:szCs w:val="26"/>
        </w:rPr>
        <w:t xml:space="preserve">and served </w:t>
      </w:r>
      <w:r w:rsidR="00A64AC6">
        <w:rPr>
          <w:sz w:val="26"/>
          <w:szCs w:val="26"/>
        </w:rPr>
        <w:t>an Answer</w:t>
      </w:r>
      <w:r w:rsidR="00E028C2">
        <w:rPr>
          <w:sz w:val="26"/>
          <w:szCs w:val="26"/>
        </w:rPr>
        <w:t xml:space="preserve"> on August </w:t>
      </w:r>
      <w:r w:rsidR="000E492B">
        <w:rPr>
          <w:sz w:val="26"/>
          <w:szCs w:val="26"/>
        </w:rPr>
        <w:t>9</w:t>
      </w:r>
      <w:r w:rsidR="00492787">
        <w:rPr>
          <w:sz w:val="26"/>
          <w:szCs w:val="26"/>
        </w:rPr>
        <w:t>,</w:t>
      </w:r>
      <w:r w:rsidR="000E492B">
        <w:rPr>
          <w:sz w:val="26"/>
          <w:szCs w:val="26"/>
        </w:rPr>
        <w:t xml:space="preserve"> 2010.  Initially, PGW averred that it understood that Mr.</w:t>
      </w:r>
      <w:r w:rsidR="00AD22B6">
        <w:rPr>
          <w:sz w:val="26"/>
          <w:szCs w:val="26"/>
        </w:rPr>
        <w:t xml:space="preserve"> </w:t>
      </w:r>
      <w:proofErr w:type="spellStart"/>
      <w:r w:rsidR="000E492B">
        <w:rPr>
          <w:sz w:val="26"/>
          <w:szCs w:val="26"/>
        </w:rPr>
        <w:t>Petravich</w:t>
      </w:r>
      <w:proofErr w:type="spellEnd"/>
      <w:r w:rsidR="000E492B">
        <w:rPr>
          <w:sz w:val="26"/>
          <w:szCs w:val="26"/>
        </w:rPr>
        <w:t xml:space="preserve"> </w:t>
      </w:r>
      <w:r w:rsidR="006D590F">
        <w:rPr>
          <w:sz w:val="26"/>
          <w:szCs w:val="26"/>
        </w:rPr>
        <w:t>i</w:t>
      </w:r>
      <w:r w:rsidR="000E492B">
        <w:rPr>
          <w:sz w:val="26"/>
          <w:szCs w:val="26"/>
        </w:rPr>
        <w:t xml:space="preserve">s the son-in-law of Ms. Evans and </w:t>
      </w:r>
      <w:r w:rsidR="006D590F">
        <w:rPr>
          <w:sz w:val="26"/>
          <w:szCs w:val="26"/>
        </w:rPr>
        <w:t>i</w:t>
      </w:r>
      <w:r w:rsidR="000E492B">
        <w:rPr>
          <w:sz w:val="26"/>
          <w:szCs w:val="26"/>
        </w:rPr>
        <w:t>s in no other way connected to the service address.  PGW also</w:t>
      </w:r>
      <w:r w:rsidR="00492787">
        <w:rPr>
          <w:sz w:val="26"/>
          <w:szCs w:val="26"/>
        </w:rPr>
        <w:t xml:space="preserve"> stat</w:t>
      </w:r>
      <w:r w:rsidR="000E492B">
        <w:rPr>
          <w:sz w:val="26"/>
          <w:szCs w:val="26"/>
        </w:rPr>
        <w:t>ed</w:t>
      </w:r>
      <w:r w:rsidR="00492787">
        <w:rPr>
          <w:sz w:val="26"/>
          <w:szCs w:val="26"/>
        </w:rPr>
        <w:t xml:space="preserve">, among other things, that when Ms. Evans’ house was sold, Northeast Executive Abstract Agency, a title company, withheld $1,231.25 from the proceeds of the sale to satisfy a lien </w:t>
      </w:r>
      <w:r w:rsidR="00243D31">
        <w:rPr>
          <w:sz w:val="26"/>
          <w:szCs w:val="26"/>
        </w:rPr>
        <w:t>on the property.  PGW further stated that</w:t>
      </w:r>
      <w:r w:rsidR="00F60984">
        <w:rPr>
          <w:sz w:val="26"/>
          <w:szCs w:val="26"/>
        </w:rPr>
        <w:t>, pursuant to the Municipal Claim and Tax Lien Law, 53 P.S. §</w:t>
      </w:r>
      <w:r w:rsidR="00D94DB6">
        <w:rPr>
          <w:sz w:val="26"/>
          <w:szCs w:val="26"/>
        </w:rPr>
        <w:t>§</w:t>
      </w:r>
      <w:r w:rsidR="00F60984">
        <w:rPr>
          <w:sz w:val="26"/>
          <w:szCs w:val="26"/>
        </w:rPr>
        <w:t xml:space="preserve"> 7</w:t>
      </w:r>
      <w:r w:rsidR="00D94DB6">
        <w:rPr>
          <w:sz w:val="26"/>
          <w:szCs w:val="26"/>
        </w:rPr>
        <w:t>1</w:t>
      </w:r>
      <w:r w:rsidR="00F60984">
        <w:rPr>
          <w:sz w:val="26"/>
          <w:szCs w:val="26"/>
        </w:rPr>
        <w:t xml:space="preserve">01, </w:t>
      </w:r>
      <w:r w:rsidR="00D94DB6" w:rsidRPr="00D94DB6">
        <w:rPr>
          <w:i/>
          <w:sz w:val="26"/>
          <w:szCs w:val="26"/>
        </w:rPr>
        <w:t>et seq</w:t>
      </w:r>
      <w:r w:rsidR="00D94DB6">
        <w:rPr>
          <w:sz w:val="26"/>
          <w:szCs w:val="26"/>
        </w:rPr>
        <w:t xml:space="preserve">., </w:t>
      </w:r>
      <w:r w:rsidR="00243D31">
        <w:rPr>
          <w:sz w:val="26"/>
          <w:szCs w:val="26"/>
        </w:rPr>
        <w:t xml:space="preserve">the City of Philadelphia </w:t>
      </w:r>
      <w:r w:rsidR="00033CB2">
        <w:rPr>
          <w:sz w:val="26"/>
          <w:szCs w:val="26"/>
        </w:rPr>
        <w:t xml:space="preserve">(City) </w:t>
      </w:r>
      <w:r w:rsidR="00243D31">
        <w:rPr>
          <w:sz w:val="26"/>
          <w:szCs w:val="26"/>
        </w:rPr>
        <w:t>ha</w:t>
      </w:r>
      <w:r w:rsidR="00D94DB6">
        <w:rPr>
          <w:sz w:val="26"/>
          <w:szCs w:val="26"/>
        </w:rPr>
        <w:t>d</w:t>
      </w:r>
      <w:r w:rsidR="00243D31">
        <w:rPr>
          <w:sz w:val="26"/>
          <w:szCs w:val="26"/>
        </w:rPr>
        <w:t xml:space="preserve"> </w:t>
      </w:r>
      <w:r w:rsidR="00D94DB6">
        <w:rPr>
          <w:sz w:val="26"/>
          <w:szCs w:val="26"/>
        </w:rPr>
        <w:t xml:space="preserve">the right to </w:t>
      </w:r>
      <w:r w:rsidR="00243D31">
        <w:rPr>
          <w:sz w:val="26"/>
          <w:szCs w:val="26"/>
        </w:rPr>
        <w:t xml:space="preserve">file the lien on behalf of PGW for unpaid gas service to a tenant at the </w:t>
      </w:r>
      <w:r w:rsidR="00DF6AC2">
        <w:rPr>
          <w:sz w:val="26"/>
          <w:szCs w:val="26"/>
        </w:rPr>
        <w:t>service address</w:t>
      </w:r>
      <w:r w:rsidR="00243D31">
        <w:rPr>
          <w:sz w:val="26"/>
          <w:szCs w:val="26"/>
        </w:rPr>
        <w:t>.</w:t>
      </w:r>
      <w:r w:rsidR="007D0FC5">
        <w:rPr>
          <w:sz w:val="26"/>
          <w:szCs w:val="26"/>
        </w:rPr>
        <w:t xml:space="preserve">  </w:t>
      </w:r>
      <w:proofErr w:type="gramStart"/>
      <w:r w:rsidR="007D0FC5">
        <w:rPr>
          <w:sz w:val="26"/>
          <w:szCs w:val="26"/>
        </w:rPr>
        <w:t>Answer at 1.</w:t>
      </w:r>
      <w:proofErr w:type="gramEnd"/>
      <w:r w:rsidR="007D0FC5">
        <w:rPr>
          <w:sz w:val="26"/>
          <w:szCs w:val="26"/>
        </w:rPr>
        <w:t xml:space="preserve">  </w:t>
      </w:r>
      <w:r w:rsidR="00243D31">
        <w:rPr>
          <w:sz w:val="26"/>
          <w:szCs w:val="26"/>
        </w:rPr>
        <w:t xml:space="preserve"> </w:t>
      </w:r>
      <w:r w:rsidR="00492787">
        <w:rPr>
          <w:sz w:val="26"/>
          <w:szCs w:val="26"/>
        </w:rPr>
        <w:t xml:space="preserve"> </w:t>
      </w:r>
    </w:p>
    <w:p w:rsidR="00F60984" w:rsidRPr="0021115D" w:rsidRDefault="00F60984" w:rsidP="002723CB">
      <w:pPr>
        <w:spacing w:line="360" w:lineRule="auto"/>
        <w:ind w:firstLine="1440"/>
      </w:pPr>
    </w:p>
    <w:p w:rsidR="00D66F4D" w:rsidRDefault="002723CB" w:rsidP="002723CB">
      <w:pPr>
        <w:spacing w:line="360" w:lineRule="auto"/>
        <w:ind w:firstLine="1440"/>
        <w:rPr>
          <w:sz w:val="26"/>
          <w:szCs w:val="26"/>
        </w:rPr>
      </w:pPr>
      <w:r w:rsidRPr="00CE3041">
        <w:rPr>
          <w:sz w:val="26"/>
          <w:szCs w:val="26"/>
        </w:rPr>
        <w:t>Also</w:t>
      </w:r>
      <w:r w:rsidR="00E34401">
        <w:rPr>
          <w:sz w:val="26"/>
          <w:szCs w:val="26"/>
        </w:rPr>
        <w:t>,</w:t>
      </w:r>
      <w:r w:rsidRPr="00CE3041">
        <w:rPr>
          <w:sz w:val="26"/>
          <w:szCs w:val="26"/>
        </w:rPr>
        <w:t xml:space="preserve"> on </w:t>
      </w:r>
      <w:r w:rsidR="00AB5020">
        <w:rPr>
          <w:sz w:val="26"/>
          <w:szCs w:val="26"/>
        </w:rPr>
        <w:t xml:space="preserve">August </w:t>
      </w:r>
      <w:r w:rsidRPr="00CE3041">
        <w:rPr>
          <w:sz w:val="26"/>
          <w:szCs w:val="26"/>
        </w:rPr>
        <w:t xml:space="preserve">9, 2010, </w:t>
      </w:r>
      <w:r w:rsidR="00164C98">
        <w:rPr>
          <w:sz w:val="26"/>
          <w:szCs w:val="26"/>
        </w:rPr>
        <w:t>PGW</w:t>
      </w:r>
      <w:r w:rsidRPr="00CE3041">
        <w:rPr>
          <w:sz w:val="26"/>
          <w:szCs w:val="26"/>
        </w:rPr>
        <w:t xml:space="preserve"> filed and served Preliminary Objections</w:t>
      </w:r>
      <w:r w:rsidR="00FB29D2">
        <w:rPr>
          <w:sz w:val="26"/>
          <w:szCs w:val="26"/>
        </w:rPr>
        <w:t xml:space="preserve"> and a Motion to Strike</w:t>
      </w:r>
      <w:r w:rsidR="00297040">
        <w:rPr>
          <w:sz w:val="26"/>
          <w:szCs w:val="26"/>
        </w:rPr>
        <w:t xml:space="preserve"> Impertinent Matter</w:t>
      </w:r>
      <w:r w:rsidRPr="00CE3041">
        <w:rPr>
          <w:sz w:val="26"/>
          <w:szCs w:val="26"/>
        </w:rPr>
        <w:t xml:space="preserve">, endorsed with a </w:t>
      </w:r>
      <w:r w:rsidR="00FB29D2">
        <w:rPr>
          <w:sz w:val="26"/>
          <w:szCs w:val="26"/>
        </w:rPr>
        <w:t>N</w:t>
      </w:r>
      <w:r w:rsidRPr="00CE3041">
        <w:rPr>
          <w:sz w:val="26"/>
          <w:szCs w:val="26"/>
        </w:rPr>
        <w:t xml:space="preserve">otice to </w:t>
      </w:r>
      <w:r w:rsidR="00FB29D2">
        <w:rPr>
          <w:sz w:val="26"/>
          <w:szCs w:val="26"/>
        </w:rPr>
        <w:t>P</w:t>
      </w:r>
      <w:r w:rsidRPr="00CE3041">
        <w:rPr>
          <w:sz w:val="26"/>
          <w:szCs w:val="26"/>
        </w:rPr>
        <w:t xml:space="preserve">lead, averring that </w:t>
      </w:r>
      <w:r w:rsidR="00FB29D2">
        <w:rPr>
          <w:sz w:val="26"/>
          <w:szCs w:val="26"/>
        </w:rPr>
        <w:lastRenderedPageBreak/>
        <w:t xml:space="preserve">between January 2009 and June 2009, Ms. Evans’ tenant owed PGW </w:t>
      </w:r>
      <w:r w:rsidR="009B0DF1">
        <w:rPr>
          <w:sz w:val="26"/>
          <w:szCs w:val="26"/>
        </w:rPr>
        <w:t xml:space="preserve">$1,231.25 for unpaid gas service </w:t>
      </w:r>
      <w:r w:rsidR="00E74D5E">
        <w:rPr>
          <w:sz w:val="26"/>
          <w:szCs w:val="26"/>
        </w:rPr>
        <w:t>at the service address, a</w:t>
      </w:r>
      <w:r w:rsidR="009B0DF1">
        <w:rPr>
          <w:sz w:val="26"/>
          <w:szCs w:val="26"/>
        </w:rPr>
        <w:t>nd the City, as PGW’s owner, filed a municipal lien on the property on behalf of PGW to satisfy the unpaid debt.</w:t>
      </w:r>
      <w:r w:rsidR="00FB29D2">
        <w:rPr>
          <w:sz w:val="26"/>
          <w:szCs w:val="26"/>
        </w:rPr>
        <w:t xml:space="preserve"> </w:t>
      </w:r>
      <w:r w:rsidR="009B0DF1">
        <w:rPr>
          <w:sz w:val="26"/>
          <w:szCs w:val="26"/>
        </w:rPr>
        <w:t xml:space="preserve"> </w:t>
      </w:r>
      <w:r w:rsidR="008254AB">
        <w:rPr>
          <w:sz w:val="26"/>
          <w:szCs w:val="26"/>
        </w:rPr>
        <w:t xml:space="preserve">Preliminary Objections at 2-3.  </w:t>
      </w:r>
      <w:r w:rsidR="00367224">
        <w:rPr>
          <w:sz w:val="26"/>
          <w:szCs w:val="26"/>
        </w:rPr>
        <w:t xml:space="preserve">PGW further averred that the </w:t>
      </w:r>
      <w:r w:rsidRPr="00CE3041">
        <w:rPr>
          <w:sz w:val="26"/>
          <w:szCs w:val="26"/>
        </w:rPr>
        <w:t>Commission lack</w:t>
      </w:r>
      <w:r w:rsidR="00367224">
        <w:rPr>
          <w:sz w:val="26"/>
          <w:szCs w:val="26"/>
        </w:rPr>
        <w:t>ed</w:t>
      </w:r>
      <w:r w:rsidRPr="00CE3041">
        <w:rPr>
          <w:sz w:val="26"/>
          <w:szCs w:val="26"/>
        </w:rPr>
        <w:t xml:space="preserve"> jurisdiction over the subject matter of the Complaint</w:t>
      </w:r>
      <w:r w:rsidR="00F60984">
        <w:rPr>
          <w:sz w:val="26"/>
          <w:szCs w:val="26"/>
        </w:rPr>
        <w:t xml:space="preserve"> because a municipal lien was involved</w:t>
      </w:r>
      <w:r w:rsidR="00E34401">
        <w:rPr>
          <w:sz w:val="26"/>
          <w:szCs w:val="26"/>
        </w:rPr>
        <w:t>.</w:t>
      </w:r>
      <w:r w:rsidR="00D66F4D">
        <w:rPr>
          <w:sz w:val="26"/>
          <w:szCs w:val="26"/>
        </w:rPr>
        <w:t xml:space="preserve">  </w:t>
      </w:r>
      <w:proofErr w:type="gramStart"/>
      <w:r w:rsidR="008254AB" w:rsidRPr="008254AB">
        <w:rPr>
          <w:i/>
          <w:sz w:val="26"/>
          <w:szCs w:val="26"/>
        </w:rPr>
        <w:t>Id</w:t>
      </w:r>
      <w:r w:rsidR="008254AB">
        <w:rPr>
          <w:sz w:val="26"/>
          <w:szCs w:val="26"/>
        </w:rPr>
        <w:t>. at 3.</w:t>
      </w:r>
      <w:proofErr w:type="gramEnd"/>
      <w:r w:rsidR="008254AB">
        <w:rPr>
          <w:sz w:val="26"/>
          <w:szCs w:val="26"/>
        </w:rPr>
        <w:t xml:space="preserve">  </w:t>
      </w:r>
      <w:r w:rsidR="00817DA7">
        <w:rPr>
          <w:sz w:val="26"/>
          <w:szCs w:val="26"/>
        </w:rPr>
        <w:t>PGW therefore requested the Commission to dismiss the Complaint and strike off the requested relief as impertinent matter.</w:t>
      </w:r>
      <w:r w:rsidR="00996FC8">
        <w:rPr>
          <w:sz w:val="26"/>
          <w:szCs w:val="26"/>
        </w:rPr>
        <w:t xml:space="preserve">  </w:t>
      </w:r>
      <w:proofErr w:type="gramStart"/>
      <w:r w:rsidR="00B55B97" w:rsidRPr="00B55B97">
        <w:rPr>
          <w:i/>
          <w:sz w:val="26"/>
          <w:szCs w:val="26"/>
        </w:rPr>
        <w:t>Id</w:t>
      </w:r>
      <w:r w:rsidR="00996FC8">
        <w:rPr>
          <w:sz w:val="26"/>
          <w:szCs w:val="26"/>
        </w:rPr>
        <w:t>. at 5.</w:t>
      </w:r>
      <w:proofErr w:type="gramEnd"/>
      <w:r w:rsidR="00A20575">
        <w:rPr>
          <w:sz w:val="26"/>
          <w:szCs w:val="26"/>
        </w:rPr>
        <w:t xml:space="preserve">  </w:t>
      </w:r>
      <w:r w:rsidR="00D66F4D" w:rsidRPr="008254AB">
        <w:rPr>
          <w:sz w:val="26"/>
          <w:szCs w:val="26"/>
        </w:rPr>
        <w:t>The</w:t>
      </w:r>
      <w:r w:rsidR="00D66F4D">
        <w:rPr>
          <w:sz w:val="26"/>
          <w:szCs w:val="26"/>
        </w:rPr>
        <w:t xml:space="preserve"> Complainant did not file a response to PGW’s Preliminary Objections and Motion to Strike.  </w:t>
      </w:r>
    </w:p>
    <w:p w:rsidR="00D66F4D" w:rsidRDefault="00D66F4D" w:rsidP="002723CB">
      <w:pPr>
        <w:spacing w:line="360" w:lineRule="auto"/>
        <w:ind w:firstLine="1440"/>
        <w:rPr>
          <w:sz w:val="26"/>
          <w:szCs w:val="26"/>
        </w:rPr>
      </w:pPr>
    </w:p>
    <w:p w:rsidR="0026312F" w:rsidRDefault="005E6754" w:rsidP="002723CB">
      <w:pPr>
        <w:spacing w:line="360" w:lineRule="auto"/>
        <w:ind w:firstLine="1440"/>
        <w:rPr>
          <w:sz w:val="26"/>
          <w:szCs w:val="26"/>
        </w:rPr>
      </w:pPr>
      <w:r>
        <w:rPr>
          <w:sz w:val="26"/>
          <w:szCs w:val="26"/>
        </w:rPr>
        <w:t xml:space="preserve">On </w:t>
      </w:r>
      <w:r w:rsidR="00254560">
        <w:rPr>
          <w:sz w:val="26"/>
          <w:szCs w:val="26"/>
        </w:rPr>
        <w:t>October 28</w:t>
      </w:r>
      <w:r>
        <w:rPr>
          <w:sz w:val="26"/>
          <w:szCs w:val="26"/>
        </w:rPr>
        <w:t xml:space="preserve">, 2010, </w:t>
      </w:r>
      <w:r w:rsidR="000E09BE">
        <w:rPr>
          <w:sz w:val="26"/>
          <w:szCs w:val="26"/>
        </w:rPr>
        <w:t xml:space="preserve">the </w:t>
      </w:r>
      <w:r>
        <w:rPr>
          <w:sz w:val="26"/>
          <w:szCs w:val="26"/>
        </w:rPr>
        <w:t xml:space="preserve">ALJ issued an Initial Decision </w:t>
      </w:r>
      <w:r w:rsidR="002C61A7">
        <w:rPr>
          <w:sz w:val="26"/>
          <w:szCs w:val="26"/>
        </w:rPr>
        <w:t xml:space="preserve">granting the Preliminary Objections and </w:t>
      </w:r>
      <w:r>
        <w:rPr>
          <w:sz w:val="26"/>
          <w:szCs w:val="26"/>
        </w:rPr>
        <w:t>dismissing the Complaint</w:t>
      </w:r>
      <w:r w:rsidR="00397F28">
        <w:rPr>
          <w:sz w:val="26"/>
          <w:szCs w:val="26"/>
        </w:rPr>
        <w:t xml:space="preserve"> on the basis that </w:t>
      </w:r>
      <w:r w:rsidR="00B513A5">
        <w:rPr>
          <w:sz w:val="26"/>
          <w:szCs w:val="26"/>
        </w:rPr>
        <w:t xml:space="preserve">the Commission </w:t>
      </w:r>
      <w:r w:rsidR="00996FC8">
        <w:rPr>
          <w:sz w:val="26"/>
          <w:szCs w:val="26"/>
        </w:rPr>
        <w:t xml:space="preserve">does </w:t>
      </w:r>
      <w:r w:rsidR="00B513A5">
        <w:rPr>
          <w:sz w:val="26"/>
          <w:szCs w:val="26"/>
        </w:rPr>
        <w:t xml:space="preserve">not have jurisdiction to adjudicate a lien imposed by PGW for unpaid gas service.  </w:t>
      </w:r>
      <w:r w:rsidR="000E09BE">
        <w:rPr>
          <w:sz w:val="26"/>
          <w:szCs w:val="26"/>
        </w:rPr>
        <w:t xml:space="preserve">  Based on his determination that the Commission d</w:t>
      </w:r>
      <w:r w:rsidR="00996FC8">
        <w:rPr>
          <w:sz w:val="26"/>
          <w:szCs w:val="26"/>
        </w:rPr>
        <w:t>oes</w:t>
      </w:r>
      <w:r w:rsidR="000E09BE">
        <w:rPr>
          <w:sz w:val="26"/>
          <w:szCs w:val="26"/>
        </w:rPr>
        <w:t xml:space="preserve"> not have jurisdiction </w:t>
      </w:r>
      <w:r w:rsidR="00B61727">
        <w:rPr>
          <w:sz w:val="26"/>
          <w:szCs w:val="26"/>
        </w:rPr>
        <w:t>to adjudicate the lien, t</w:t>
      </w:r>
      <w:r w:rsidR="000E09BE">
        <w:rPr>
          <w:sz w:val="26"/>
          <w:szCs w:val="26"/>
        </w:rPr>
        <w:t>he ALJ did not find it necessary to rule on the Motion to Strike</w:t>
      </w:r>
      <w:r w:rsidR="00B61727">
        <w:rPr>
          <w:sz w:val="26"/>
          <w:szCs w:val="26"/>
        </w:rPr>
        <w:t>.</w:t>
      </w:r>
      <w:r w:rsidR="00B61727" w:rsidRPr="00B61727">
        <w:rPr>
          <w:sz w:val="26"/>
          <w:szCs w:val="26"/>
        </w:rPr>
        <w:t xml:space="preserve"> </w:t>
      </w:r>
      <w:r w:rsidR="00B61727">
        <w:rPr>
          <w:sz w:val="26"/>
          <w:szCs w:val="26"/>
        </w:rPr>
        <w:t xml:space="preserve"> </w:t>
      </w:r>
      <w:proofErr w:type="gramStart"/>
      <w:r w:rsidR="00B61727">
        <w:rPr>
          <w:sz w:val="26"/>
          <w:szCs w:val="26"/>
        </w:rPr>
        <w:t>I.D. at 5.</w:t>
      </w:r>
      <w:proofErr w:type="gramEnd"/>
      <w:r w:rsidR="00B61727">
        <w:rPr>
          <w:sz w:val="26"/>
          <w:szCs w:val="26"/>
        </w:rPr>
        <w:t xml:space="preserve"> </w:t>
      </w:r>
    </w:p>
    <w:p w:rsidR="0026312F" w:rsidRDefault="0026312F" w:rsidP="002723CB">
      <w:pPr>
        <w:spacing w:line="360" w:lineRule="auto"/>
        <w:ind w:firstLine="1440"/>
        <w:rPr>
          <w:sz w:val="26"/>
          <w:szCs w:val="26"/>
        </w:rPr>
      </w:pPr>
    </w:p>
    <w:p w:rsidR="00BE1985" w:rsidRDefault="0026312F" w:rsidP="002723CB">
      <w:pPr>
        <w:spacing w:line="360" w:lineRule="auto"/>
        <w:ind w:firstLine="1440"/>
        <w:rPr>
          <w:sz w:val="26"/>
          <w:szCs w:val="26"/>
        </w:rPr>
      </w:pPr>
      <w:r>
        <w:rPr>
          <w:sz w:val="26"/>
          <w:szCs w:val="26"/>
        </w:rPr>
        <w:t>The Complainant filed Exceptions to the Initial Decision on November 8, 2010.</w:t>
      </w:r>
      <w:r w:rsidR="00AD22B6">
        <w:rPr>
          <w:rStyle w:val="FootnoteReference"/>
        </w:rPr>
        <w:footnoteReference w:id="3"/>
      </w:r>
      <w:r>
        <w:rPr>
          <w:sz w:val="26"/>
          <w:szCs w:val="26"/>
        </w:rPr>
        <w:t xml:space="preserve">  PGW filed Reply Exceptions on November 29, 2010.  </w:t>
      </w:r>
      <w:r w:rsidR="00B61727">
        <w:rPr>
          <w:sz w:val="26"/>
          <w:szCs w:val="26"/>
        </w:rPr>
        <w:t xml:space="preserve"> </w:t>
      </w:r>
      <w:r w:rsidR="000E09BE">
        <w:rPr>
          <w:sz w:val="26"/>
          <w:szCs w:val="26"/>
        </w:rPr>
        <w:t xml:space="preserve">     </w:t>
      </w:r>
      <w:r w:rsidR="00E4139F">
        <w:rPr>
          <w:sz w:val="26"/>
          <w:szCs w:val="26"/>
        </w:rPr>
        <w:t xml:space="preserve">  </w:t>
      </w:r>
      <w:r w:rsidR="00B513A5">
        <w:rPr>
          <w:sz w:val="26"/>
          <w:szCs w:val="26"/>
        </w:rPr>
        <w:t xml:space="preserve">   </w:t>
      </w:r>
    </w:p>
    <w:p w:rsidR="00BE1985" w:rsidRDefault="00BE1985" w:rsidP="002723CB">
      <w:pPr>
        <w:spacing w:line="360" w:lineRule="auto"/>
        <w:ind w:firstLine="1440"/>
        <w:rPr>
          <w:sz w:val="26"/>
          <w:szCs w:val="26"/>
        </w:rPr>
      </w:pPr>
    </w:p>
    <w:p w:rsidR="001A1AD3" w:rsidRDefault="004419DA" w:rsidP="004419DA">
      <w:pPr>
        <w:tabs>
          <w:tab w:val="left" w:pos="0"/>
        </w:tabs>
        <w:spacing w:line="360" w:lineRule="auto"/>
        <w:jc w:val="center"/>
        <w:rPr>
          <w:b/>
          <w:sz w:val="26"/>
          <w:szCs w:val="26"/>
        </w:rPr>
      </w:pPr>
      <w:r>
        <w:rPr>
          <w:b/>
          <w:sz w:val="26"/>
          <w:szCs w:val="26"/>
        </w:rPr>
        <w:t xml:space="preserve">Discussion </w:t>
      </w:r>
    </w:p>
    <w:p w:rsidR="00D5673B" w:rsidRDefault="00D5673B" w:rsidP="001A1AD3">
      <w:pPr>
        <w:spacing w:line="360" w:lineRule="auto"/>
        <w:jc w:val="center"/>
        <w:rPr>
          <w:sz w:val="26"/>
          <w:szCs w:val="26"/>
        </w:rPr>
      </w:pPr>
    </w:p>
    <w:p w:rsidR="0027458E" w:rsidRDefault="003440BD" w:rsidP="003440BD">
      <w:pPr>
        <w:spacing w:line="360" w:lineRule="auto"/>
        <w:ind w:firstLine="1440"/>
        <w:rPr>
          <w:sz w:val="26"/>
          <w:szCs w:val="26"/>
        </w:rPr>
      </w:pPr>
      <w:r w:rsidRPr="002E740E">
        <w:rPr>
          <w:sz w:val="26"/>
          <w:szCs w:val="26"/>
        </w:rPr>
        <w:t xml:space="preserve">In </w:t>
      </w:r>
      <w:r>
        <w:rPr>
          <w:sz w:val="26"/>
          <w:szCs w:val="26"/>
        </w:rPr>
        <w:t>his</w:t>
      </w:r>
      <w:r w:rsidRPr="002E740E">
        <w:rPr>
          <w:sz w:val="26"/>
          <w:szCs w:val="26"/>
        </w:rPr>
        <w:t xml:space="preserve"> Initial Decision, the ALJ made </w:t>
      </w:r>
      <w:r w:rsidR="00A02F3C">
        <w:rPr>
          <w:sz w:val="26"/>
          <w:szCs w:val="26"/>
        </w:rPr>
        <w:t>five</w:t>
      </w:r>
      <w:r>
        <w:rPr>
          <w:sz w:val="26"/>
          <w:szCs w:val="26"/>
        </w:rPr>
        <w:t xml:space="preserve"> Findings of Fact</w:t>
      </w:r>
      <w:r w:rsidRPr="002E740E">
        <w:rPr>
          <w:sz w:val="26"/>
          <w:szCs w:val="26"/>
        </w:rPr>
        <w:t xml:space="preserve"> and </w:t>
      </w:r>
      <w:r>
        <w:rPr>
          <w:sz w:val="26"/>
          <w:szCs w:val="26"/>
        </w:rPr>
        <w:t>tw</w:t>
      </w:r>
      <w:r w:rsidR="00A02F3C">
        <w:rPr>
          <w:sz w:val="26"/>
          <w:szCs w:val="26"/>
        </w:rPr>
        <w:t>o</w:t>
      </w:r>
      <w:r w:rsidRPr="002E740E">
        <w:rPr>
          <w:sz w:val="26"/>
          <w:szCs w:val="26"/>
        </w:rPr>
        <w:t xml:space="preserve"> Conclusions of Law</w:t>
      </w:r>
      <w:r>
        <w:rPr>
          <w:sz w:val="26"/>
          <w:szCs w:val="26"/>
        </w:rPr>
        <w:t xml:space="preserve">.  </w:t>
      </w:r>
      <w:proofErr w:type="gramStart"/>
      <w:r w:rsidRPr="002E740E">
        <w:rPr>
          <w:sz w:val="26"/>
          <w:szCs w:val="26"/>
        </w:rPr>
        <w:t xml:space="preserve">I.D. at </w:t>
      </w:r>
      <w:r>
        <w:rPr>
          <w:sz w:val="26"/>
          <w:szCs w:val="26"/>
        </w:rPr>
        <w:t xml:space="preserve">2-3, </w:t>
      </w:r>
      <w:r w:rsidR="00A02F3C">
        <w:rPr>
          <w:sz w:val="26"/>
          <w:szCs w:val="26"/>
        </w:rPr>
        <w:t>5</w:t>
      </w:r>
      <w:r>
        <w:rPr>
          <w:sz w:val="26"/>
          <w:szCs w:val="26"/>
        </w:rPr>
        <w:t>.</w:t>
      </w:r>
      <w:proofErr w:type="gramEnd"/>
      <w:r>
        <w:rPr>
          <w:sz w:val="26"/>
          <w:szCs w:val="26"/>
        </w:rPr>
        <w:t xml:space="preserve">  </w:t>
      </w:r>
      <w:r w:rsidRPr="002E740E">
        <w:rPr>
          <w:sz w:val="26"/>
          <w:szCs w:val="26"/>
        </w:rPr>
        <w:t xml:space="preserve">We shall adopt and incorporate herein by reference </w:t>
      </w:r>
      <w:r w:rsidRPr="002E740E">
        <w:rPr>
          <w:sz w:val="26"/>
          <w:szCs w:val="26"/>
        </w:rPr>
        <w:lastRenderedPageBreak/>
        <w:t>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3440BD" w:rsidRDefault="003440BD" w:rsidP="003440BD">
      <w:pPr>
        <w:spacing w:line="360" w:lineRule="auto"/>
        <w:rPr>
          <w:sz w:val="26"/>
          <w:szCs w:val="26"/>
        </w:rPr>
      </w:pPr>
      <w:r w:rsidRPr="004A753B">
        <w:rPr>
          <w:sz w:val="26"/>
          <w:szCs w:val="26"/>
        </w:rPr>
        <w:tab/>
      </w:r>
      <w:r w:rsidRPr="004A753B">
        <w:rPr>
          <w:sz w:val="26"/>
          <w:szCs w:val="26"/>
        </w:rPr>
        <w:tab/>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(Pa. </w:t>
      </w:r>
      <w:proofErr w:type="spellStart"/>
      <w:r w:rsidRPr="004A753B">
        <w:rPr>
          <w:sz w:val="26"/>
          <w:szCs w:val="26"/>
        </w:rPr>
        <w:t>Cmwlth</w:t>
      </w:r>
      <w:proofErr w:type="spellEnd"/>
      <w:r w:rsidRPr="004A753B">
        <w:rPr>
          <w:sz w:val="26"/>
          <w:szCs w:val="26"/>
        </w:rPr>
        <w:t xml:space="preserve">.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xml:space="preserve">, 485 A.2d 1217 (Pa. </w:t>
      </w:r>
      <w:proofErr w:type="spellStart"/>
      <w:r w:rsidRPr="004A753B">
        <w:rPr>
          <w:sz w:val="26"/>
          <w:szCs w:val="26"/>
        </w:rPr>
        <w:t>Cmwlth</w:t>
      </w:r>
      <w:proofErr w:type="spellEnd"/>
      <w:r w:rsidRPr="004A753B">
        <w:rPr>
          <w:sz w:val="26"/>
          <w:szCs w:val="26"/>
        </w:rPr>
        <w:t>. 1984</w:t>
      </w:r>
      <w:r>
        <w:rPr>
          <w:sz w:val="26"/>
          <w:szCs w:val="26"/>
        </w:rPr>
        <w:t>).</w:t>
      </w:r>
      <w:proofErr w:type="gramEnd"/>
      <w:r w:rsidR="00C96027" w:rsidRPr="00C96027">
        <w:rPr>
          <w:i/>
          <w:sz w:val="26"/>
          <w:szCs w:val="26"/>
        </w:rPr>
        <w:t xml:space="preserve"> </w:t>
      </w:r>
    </w:p>
    <w:p w:rsidR="006E19CA" w:rsidRDefault="006E19CA" w:rsidP="00433F60">
      <w:pPr>
        <w:pStyle w:val="BodyText"/>
        <w:ind w:firstLine="1440"/>
        <w:rPr>
          <w:szCs w:val="26"/>
        </w:rPr>
      </w:pPr>
    </w:p>
    <w:p w:rsidR="00D80A47" w:rsidRDefault="001704F7" w:rsidP="00433F60">
      <w:pPr>
        <w:pStyle w:val="BodyText"/>
        <w:ind w:firstLine="1440"/>
        <w:rPr>
          <w:szCs w:val="26"/>
        </w:rPr>
      </w:pPr>
      <w:r>
        <w:rPr>
          <w:szCs w:val="26"/>
        </w:rPr>
        <w:t>T</w:t>
      </w:r>
      <w:r w:rsidR="006E19CA">
        <w:rPr>
          <w:szCs w:val="26"/>
        </w:rPr>
        <w:t>he Complainant</w:t>
      </w:r>
      <w:r>
        <w:rPr>
          <w:szCs w:val="26"/>
        </w:rPr>
        <w:t xml:space="preserve"> advances two arguments in his Exceptions.  First, the Complainant avers that PGW improperly allowed Ms. Evans’ tenant to obtain gas service at the service address</w:t>
      </w:r>
      <w:r w:rsidR="00E74D5E">
        <w:rPr>
          <w:szCs w:val="26"/>
        </w:rPr>
        <w:t xml:space="preserve"> because the tenant owed a balance on her PGW account from service provided at two previous addresses</w:t>
      </w:r>
      <w:r>
        <w:rPr>
          <w:szCs w:val="26"/>
        </w:rPr>
        <w:t>.</w:t>
      </w:r>
      <w:r w:rsidR="008B6F4B">
        <w:rPr>
          <w:szCs w:val="26"/>
        </w:rPr>
        <w:t xml:space="preserve">  Second, the Complainant appears to aver that the municipal lien was placed on Ms. Evans’ property in an effort to cover up mistakes that PGW made</w:t>
      </w:r>
      <w:r w:rsidR="00D80A47">
        <w:rPr>
          <w:szCs w:val="26"/>
        </w:rPr>
        <w:t xml:space="preserve"> and that the Initial Decision’s dismissal of the Complaint, based on PGW’s Preliminary Objections, was the result of dirty politics conducted by the City.  </w:t>
      </w:r>
    </w:p>
    <w:p w:rsidR="00D80A47" w:rsidRDefault="00D80A47" w:rsidP="00433F60">
      <w:pPr>
        <w:pStyle w:val="BodyText"/>
        <w:ind w:firstLine="1440"/>
        <w:rPr>
          <w:szCs w:val="26"/>
        </w:rPr>
      </w:pPr>
    </w:p>
    <w:p w:rsidR="006E19CA" w:rsidRDefault="00D41FF6" w:rsidP="00433F60">
      <w:pPr>
        <w:pStyle w:val="BodyText"/>
        <w:ind w:firstLine="1440"/>
        <w:rPr>
          <w:szCs w:val="26"/>
        </w:rPr>
      </w:pPr>
      <w:r>
        <w:rPr>
          <w:szCs w:val="26"/>
        </w:rPr>
        <w:t>In its Reply Exceptions, PGW asserts that the Complainant failed to point to any error of law or fact contained in the Initial Decision.  PGW state</w:t>
      </w:r>
      <w:r w:rsidR="00BC3F05">
        <w:rPr>
          <w:szCs w:val="26"/>
        </w:rPr>
        <w:t>s</w:t>
      </w:r>
      <w:r>
        <w:rPr>
          <w:szCs w:val="26"/>
        </w:rPr>
        <w:t xml:space="preserve"> that it properly provided gas service to Ms. Evans’ tenant because</w:t>
      </w:r>
      <w:r w:rsidR="00B72736">
        <w:rPr>
          <w:szCs w:val="26"/>
        </w:rPr>
        <w:t>,</w:t>
      </w:r>
      <w:r>
        <w:rPr>
          <w:szCs w:val="26"/>
        </w:rPr>
        <w:t xml:space="preserve"> prior to turning on service to the tenant</w:t>
      </w:r>
      <w:r w:rsidR="000234F5">
        <w:rPr>
          <w:szCs w:val="26"/>
        </w:rPr>
        <w:t>,</w:t>
      </w:r>
      <w:r>
        <w:rPr>
          <w:szCs w:val="26"/>
        </w:rPr>
        <w:t xml:space="preserve"> PGW would have arranged a payment agreement with the tenant</w:t>
      </w:r>
      <w:r w:rsidR="000234F5">
        <w:rPr>
          <w:szCs w:val="26"/>
        </w:rPr>
        <w:t xml:space="preserve"> in conformance with the Public Utility Code (Code) and PGW’s Commission-approved tariff.  </w:t>
      </w:r>
      <w:r w:rsidR="00AE2494">
        <w:rPr>
          <w:szCs w:val="26"/>
        </w:rPr>
        <w:t xml:space="preserve">Reply Exceptions at 2.  </w:t>
      </w:r>
      <w:r w:rsidR="000234F5">
        <w:rPr>
          <w:szCs w:val="26"/>
        </w:rPr>
        <w:t>PGW d</w:t>
      </w:r>
      <w:r w:rsidR="00BC3F05">
        <w:rPr>
          <w:szCs w:val="26"/>
        </w:rPr>
        <w:t>oes</w:t>
      </w:r>
      <w:r w:rsidR="000234F5">
        <w:rPr>
          <w:szCs w:val="26"/>
        </w:rPr>
        <w:t xml:space="preserve"> not address the Complainant’s argument regarding the City</w:t>
      </w:r>
      <w:r w:rsidR="00033CB2">
        <w:rPr>
          <w:szCs w:val="26"/>
        </w:rPr>
        <w:t xml:space="preserve">’s politics because </w:t>
      </w:r>
      <w:r w:rsidR="00DA1938">
        <w:rPr>
          <w:szCs w:val="26"/>
        </w:rPr>
        <w:t>the argument d</w:t>
      </w:r>
      <w:r w:rsidR="00BC3F05">
        <w:rPr>
          <w:szCs w:val="26"/>
        </w:rPr>
        <w:t>oes</w:t>
      </w:r>
      <w:r w:rsidR="00DA1938">
        <w:rPr>
          <w:szCs w:val="26"/>
        </w:rPr>
        <w:t xml:space="preserve"> not pertain to the applicable law in this matter.  </w:t>
      </w:r>
      <w:r w:rsidR="00CE1FF3">
        <w:rPr>
          <w:szCs w:val="26"/>
        </w:rPr>
        <w:t xml:space="preserve">The main focus of PGW’s response </w:t>
      </w:r>
      <w:r w:rsidR="00BC3F05">
        <w:rPr>
          <w:szCs w:val="26"/>
        </w:rPr>
        <w:t>i</w:t>
      </w:r>
      <w:r w:rsidR="00CE1FF3">
        <w:rPr>
          <w:szCs w:val="26"/>
        </w:rPr>
        <w:t xml:space="preserve">s that the ALJ correctly found that the Commission </w:t>
      </w:r>
      <w:r w:rsidR="00BC3F05">
        <w:rPr>
          <w:szCs w:val="26"/>
        </w:rPr>
        <w:t xml:space="preserve">lacks jurisdiction over </w:t>
      </w:r>
      <w:r w:rsidR="00AE2494">
        <w:rPr>
          <w:szCs w:val="26"/>
        </w:rPr>
        <w:t>the imposition of municipal liens</w:t>
      </w:r>
      <w:r w:rsidR="00BD1F85">
        <w:rPr>
          <w:szCs w:val="26"/>
        </w:rPr>
        <w:t xml:space="preserve"> pursuant </w:t>
      </w:r>
      <w:r w:rsidR="00AE2494">
        <w:rPr>
          <w:szCs w:val="26"/>
        </w:rPr>
        <w:t xml:space="preserve">to Sections </w:t>
      </w:r>
      <w:r w:rsidR="00BD1F85">
        <w:rPr>
          <w:szCs w:val="26"/>
        </w:rPr>
        <w:t xml:space="preserve">1414(a) and </w:t>
      </w:r>
      <w:r w:rsidR="00AE2494">
        <w:rPr>
          <w:szCs w:val="26"/>
        </w:rPr>
        <w:t xml:space="preserve">2212(n) </w:t>
      </w:r>
      <w:r w:rsidR="00BD1F85">
        <w:rPr>
          <w:szCs w:val="26"/>
        </w:rPr>
        <w:t xml:space="preserve">of the Code, 66 Pa. C.S. </w:t>
      </w:r>
      <w:r w:rsidR="009A23A4">
        <w:rPr>
          <w:szCs w:val="26"/>
        </w:rPr>
        <w:t>§§ 1414(a) and 2212(n).</w:t>
      </w:r>
      <w:r w:rsidR="00383585">
        <w:rPr>
          <w:szCs w:val="26"/>
        </w:rPr>
        <w:t xml:space="preserve">  </w:t>
      </w:r>
      <w:r w:rsidR="00383585" w:rsidRPr="00383585">
        <w:rPr>
          <w:i/>
          <w:szCs w:val="26"/>
        </w:rPr>
        <w:t>Id</w:t>
      </w:r>
      <w:r w:rsidR="00383585">
        <w:rPr>
          <w:szCs w:val="26"/>
        </w:rPr>
        <w:t xml:space="preserve">. at 3-4.  </w:t>
      </w:r>
      <w:r w:rsidR="009A23A4">
        <w:rPr>
          <w:szCs w:val="26"/>
        </w:rPr>
        <w:t xml:space="preserve">  </w:t>
      </w:r>
      <w:r w:rsidR="00BD1F85">
        <w:rPr>
          <w:szCs w:val="26"/>
        </w:rPr>
        <w:t xml:space="preserve">  </w:t>
      </w:r>
      <w:r w:rsidR="00AE2494">
        <w:rPr>
          <w:szCs w:val="26"/>
        </w:rPr>
        <w:t xml:space="preserve"> </w:t>
      </w:r>
      <w:r w:rsidR="00E74D5E">
        <w:rPr>
          <w:szCs w:val="26"/>
        </w:rPr>
        <w:t xml:space="preserve">    </w:t>
      </w:r>
      <w:r w:rsidR="001704F7">
        <w:rPr>
          <w:szCs w:val="26"/>
        </w:rPr>
        <w:t xml:space="preserve"> </w:t>
      </w:r>
      <w:r w:rsidR="006E19CA">
        <w:rPr>
          <w:szCs w:val="26"/>
        </w:rPr>
        <w:t xml:space="preserve"> </w:t>
      </w:r>
    </w:p>
    <w:p w:rsidR="006E19CA" w:rsidRDefault="006E19CA" w:rsidP="00433F60">
      <w:pPr>
        <w:pStyle w:val="BodyText"/>
        <w:ind w:firstLine="1440"/>
        <w:rPr>
          <w:szCs w:val="26"/>
        </w:rPr>
      </w:pPr>
    </w:p>
    <w:p w:rsidR="00344E04" w:rsidRDefault="00B55B97">
      <w:pPr>
        <w:spacing w:line="360" w:lineRule="auto"/>
        <w:ind w:firstLine="1440"/>
        <w:rPr>
          <w:sz w:val="26"/>
          <w:szCs w:val="26"/>
        </w:rPr>
      </w:pPr>
      <w:r w:rsidRPr="00B55B97">
        <w:rPr>
          <w:sz w:val="26"/>
          <w:szCs w:val="26"/>
        </w:rPr>
        <w:lastRenderedPageBreak/>
        <w:t xml:space="preserve">We begin by noting that this case is before us on preliminary objections.  </w:t>
      </w:r>
      <w:r w:rsidR="009B5E0E" w:rsidRPr="009B5E0E">
        <w:rPr>
          <w:color w:val="000000"/>
          <w:sz w:val="26"/>
          <w:szCs w:val="26"/>
        </w:rPr>
        <w:t xml:space="preserve">Commission procedure </w:t>
      </w:r>
      <w:r w:rsidR="009B5E0E" w:rsidRPr="009B5E0E">
        <w:rPr>
          <w:sz w:val="26"/>
          <w:szCs w:val="26"/>
        </w:rPr>
        <w:t>regarding the disposition of preliminary objections</w:t>
      </w:r>
      <w:r w:rsidR="009B5E0E">
        <w:rPr>
          <w:sz w:val="26"/>
          <w:szCs w:val="26"/>
        </w:rPr>
        <w:t xml:space="preserve"> </w:t>
      </w:r>
      <w:r w:rsidR="009B5E0E" w:rsidRPr="009B5E0E">
        <w:rPr>
          <w:sz w:val="26"/>
          <w:szCs w:val="26"/>
        </w:rPr>
        <w:t xml:space="preserve">is similar to the procedure utilized in Pennsylvania civil practice.  </w:t>
      </w:r>
      <w:r w:rsidR="00963876" w:rsidRPr="00AD4B12">
        <w:rPr>
          <w:sz w:val="26"/>
          <w:szCs w:val="26"/>
        </w:rPr>
        <w:t xml:space="preserve">A preliminary objection in civil practice seeking dismissal of a pleading will be granted only where relief is clearly warranted and free from doubt.  </w:t>
      </w:r>
      <w:proofErr w:type="gramStart"/>
      <w:r w:rsidR="00963876" w:rsidRPr="006679E2">
        <w:rPr>
          <w:i/>
          <w:sz w:val="26"/>
          <w:szCs w:val="26"/>
        </w:rPr>
        <w:t xml:space="preserve">Interstate </w:t>
      </w:r>
      <w:proofErr w:type="spellStart"/>
      <w:r w:rsidR="00963876" w:rsidRPr="006679E2">
        <w:rPr>
          <w:i/>
          <w:sz w:val="26"/>
          <w:szCs w:val="26"/>
        </w:rPr>
        <w:t>Traveller</w:t>
      </w:r>
      <w:proofErr w:type="spellEnd"/>
      <w:r w:rsidR="00963876" w:rsidRPr="006679E2">
        <w:rPr>
          <w:i/>
          <w:sz w:val="26"/>
          <w:szCs w:val="26"/>
        </w:rPr>
        <w:t xml:space="preserve"> Services, Inc. v. Pa. Dep</w:t>
      </w:r>
      <w:r w:rsidR="00963876">
        <w:rPr>
          <w:i/>
          <w:sz w:val="26"/>
          <w:szCs w:val="26"/>
        </w:rPr>
        <w:t>’</w:t>
      </w:r>
      <w:r w:rsidR="00963876" w:rsidRPr="006679E2">
        <w:rPr>
          <w:i/>
          <w:sz w:val="26"/>
          <w:szCs w:val="26"/>
        </w:rPr>
        <w:t>t of Environmental Resources</w:t>
      </w:r>
      <w:r w:rsidR="00963876" w:rsidRPr="00AD4B12">
        <w:rPr>
          <w:sz w:val="26"/>
          <w:szCs w:val="26"/>
        </w:rPr>
        <w:t>, 406 A.2d 1020 (Pa. 1979)</w:t>
      </w:r>
      <w:r w:rsidR="00963876">
        <w:rPr>
          <w:sz w:val="26"/>
          <w:szCs w:val="26"/>
        </w:rPr>
        <w:t>.</w:t>
      </w:r>
      <w:proofErr w:type="gramEnd"/>
      <w:r w:rsidR="00963876">
        <w:rPr>
          <w:sz w:val="26"/>
          <w:szCs w:val="26"/>
        </w:rPr>
        <w:t xml:space="preserve">  </w:t>
      </w:r>
      <w:r w:rsidR="00963876" w:rsidRPr="00AD4B12">
        <w:rPr>
          <w:sz w:val="26"/>
          <w:szCs w:val="26"/>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00963876" w:rsidRPr="006679E2">
        <w:rPr>
          <w:i/>
          <w:sz w:val="26"/>
          <w:szCs w:val="26"/>
        </w:rPr>
        <w:t>County of Allegheny v. Comm</w:t>
      </w:r>
      <w:r w:rsidR="00963876">
        <w:rPr>
          <w:i/>
          <w:sz w:val="26"/>
          <w:szCs w:val="26"/>
        </w:rPr>
        <w:t>on</w:t>
      </w:r>
      <w:r w:rsidR="00963876" w:rsidRPr="006679E2">
        <w:rPr>
          <w:i/>
          <w:sz w:val="26"/>
          <w:szCs w:val="26"/>
        </w:rPr>
        <w:t>w</w:t>
      </w:r>
      <w:r w:rsidR="00963876">
        <w:rPr>
          <w:i/>
          <w:sz w:val="26"/>
          <w:szCs w:val="26"/>
        </w:rPr>
        <w:t>ealth</w:t>
      </w:r>
      <w:r w:rsidR="00963876">
        <w:rPr>
          <w:sz w:val="26"/>
          <w:szCs w:val="26"/>
        </w:rPr>
        <w:t xml:space="preserve"> </w:t>
      </w:r>
      <w:r w:rsidR="00963876" w:rsidRPr="00726E97">
        <w:rPr>
          <w:i/>
          <w:sz w:val="26"/>
          <w:szCs w:val="26"/>
        </w:rPr>
        <w:t>of P</w:t>
      </w:r>
      <w:r w:rsidR="00963876">
        <w:rPr>
          <w:i/>
          <w:sz w:val="26"/>
          <w:szCs w:val="26"/>
        </w:rPr>
        <w:t>ennsylvania</w:t>
      </w:r>
      <w:r w:rsidR="00963876" w:rsidRPr="00AD4B12">
        <w:rPr>
          <w:sz w:val="26"/>
          <w:szCs w:val="26"/>
        </w:rPr>
        <w:t>, 490 A.2d 402 (Pa. 1985).</w:t>
      </w:r>
      <w:proofErr w:type="gramEnd"/>
      <w:r w:rsidR="00963876" w:rsidRPr="00AD4B12">
        <w:rPr>
          <w:sz w:val="26"/>
          <w:szCs w:val="26"/>
        </w:rPr>
        <w:t xml:space="preserve">  Therefore, in ruling on a preliminary objection, the Commission must assume, for decisional purposes only, that the factual allegations of the Complaint are true.  </w:t>
      </w:r>
      <w:r w:rsidR="00963876" w:rsidRPr="006679E2">
        <w:rPr>
          <w:i/>
          <w:sz w:val="26"/>
          <w:szCs w:val="26"/>
        </w:rPr>
        <w:t>Id</w:t>
      </w:r>
      <w:r w:rsidR="00963876" w:rsidRPr="00AD4B12">
        <w:rPr>
          <w:sz w:val="26"/>
          <w:szCs w:val="26"/>
        </w:rPr>
        <w:t xml:space="preserve">.  The preliminary objection may be granted only if the moving party prevails as a matter of law.  </w:t>
      </w:r>
      <w:proofErr w:type="gramStart"/>
      <w:r w:rsidR="00963876" w:rsidRPr="006679E2">
        <w:rPr>
          <w:i/>
          <w:sz w:val="26"/>
          <w:szCs w:val="26"/>
        </w:rPr>
        <w:t>Roc v. Flaherty</w:t>
      </w:r>
      <w:r w:rsidR="00963876" w:rsidRPr="00AD4B12">
        <w:rPr>
          <w:sz w:val="26"/>
          <w:szCs w:val="26"/>
        </w:rPr>
        <w:t>, 527 A.2d 211 (Pa.</w:t>
      </w:r>
      <w:r w:rsidR="00963876">
        <w:rPr>
          <w:sz w:val="26"/>
          <w:szCs w:val="26"/>
        </w:rPr>
        <w:t xml:space="preserve"> </w:t>
      </w:r>
      <w:proofErr w:type="spellStart"/>
      <w:r w:rsidR="00963876" w:rsidRPr="00AD4B12">
        <w:rPr>
          <w:sz w:val="26"/>
          <w:szCs w:val="26"/>
        </w:rPr>
        <w:t>Cmwlth</w:t>
      </w:r>
      <w:proofErr w:type="spellEnd"/>
      <w:r w:rsidR="00963876" w:rsidRPr="00AD4B12">
        <w:rPr>
          <w:sz w:val="26"/>
          <w:szCs w:val="26"/>
        </w:rPr>
        <w:t>. 1985).</w:t>
      </w:r>
      <w:proofErr w:type="gramEnd"/>
      <w:r w:rsidR="00963876" w:rsidRPr="00AD4B12">
        <w:rPr>
          <w:sz w:val="26"/>
          <w:szCs w:val="26"/>
        </w:rPr>
        <w:t xml:space="preserve">  Any doubt must be resolved in favor of the non-moving party by refusing to sustain the preliminary objections.  </w:t>
      </w:r>
      <w:r w:rsidR="00963876" w:rsidRPr="006679E2">
        <w:rPr>
          <w:i/>
          <w:sz w:val="26"/>
          <w:szCs w:val="26"/>
        </w:rPr>
        <w:t>Dep</w:t>
      </w:r>
      <w:r w:rsidR="00963876">
        <w:rPr>
          <w:i/>
          <w:sz w:val="26"/>
          <w:szCs w:val="26"/>
        </w:rPr>
        <w:t>’</w:t>
      </w:r>
      <w:r w:rsidR="00963876" w:rsidRPr="006679E2">
        <w:rPr>
          <w:i/>
          <w:sz w:val="26"/>
          <w:szCs w:val="26"/>
        </w:rPr>
        <w:t>t of Auditor General, et al. v. State Employees’ Retirement System, et al.</w:t>
      </w:r>
      <w:r w:rsidR="00963876" w:rsidRPr="00AD4B12">
        <w:rPr>
          <w:sz w:val="26"/>
          <w:szCs w:val="26"/>
        </w:rPr>
        <w:t>, 836 A.2d 1053, 1064 (Pa.</w:t>
      </w:r>
      <w:r w:rsidR="00963876">
        <w:rPr>
          <w:sz w:val="26"/>
          <w:szCs w:val="26"/>
        </w:rPr>
        <w:t xml:space="preserve"> </w:t>
      </w:r>
      <w:proofErr w:type="spellStart"/>
      <w:r w:rsidR="00963876" w:rsidRPr="00AD4B12">
        <w:rPr>
          <w:sz w:val="26"/>
          <w:szCs w:val="26"/>
        </w:rPr>
        <w:t>Cmwlth</w:t>
      </w:r>
      <w:proofErr w:type="spellEnd"/>
      <w:r w:rsidR="00963876" w:rsidRPr="00AD4B12">
        <w:rPr>
          <w:sz w:val="26"/>
          <w:szCs w:val="26"/>
        </w:rPr>
        <w:t xml:space="preserve">. 2003) </w:t>
      </w:r>
      <w:r w:rsidR="00963876">
        <w:rPr>
          <w:sz w:val="26"/>
          <w:szCs w:val="26"/>
        </w:rPr>
        <w:t>(citing</w:t>
      </w:r>
      <w:r w:rsidR="00963876" w:rsidRPr="006679E2">
        <w:rPr>
          <w:i/>
          <w:sz w:val="26"/>
          <w:szCs w:val="26"/>
        </w:rPr>
        <w:t xml:space="preserve"> Boyd v. Ward</w:t>
      </w:r>
      <w:r w:rsidR="00963876" w:rsidRPr="00AD4B12">
        <w:rPr>
          <w:sz w:val="26"/>
          <w:szCs w:val="26"/>
        </w:rPr>
        <w:t>, 802 A.2d 705 (Pa.</w:t>
      </w:r>
      <w:r w:rsidR="00963876">
        <w:rPr>
          <w:sz w:val="26"/>
          <w:szCs w:val="26"/>
        </w:rPr>
        <w:t xml:space="preserve"> </w:t>
      </w:r>
      <w:proofErr w:type="spellStart"/>
      <w:r w:rsidR="00963876" w:rsidRPr="00AD4B12">
        <w:rPr>
          <w:sz w:val="26"/>
          <w:szCs w:val="26"/>
        </w:rPr>
        <w:t>Cmwlth</w:t>
      </w:r>
      <w:proofErr w:type="spellEnd"/>
      <w:r w:rsidR="00963876" w:rsidRPr="00AD4B12">
        <w:rPr>
          <w:sz w:val="26"/>
          <w:szCs w:val="26"/>
        </w:rPr>
        <w:t>. 2002)</w:t>
      </w:r>
      <w:r w:rsidR="00963876">
        <w:rPr>
          <w:sz w:val="26"/>
          <w:szCs w:val="26"/>
        </w:rPr>
        <w:t>)</w:t>
      </w:r>
      <w:r w:rsidR="00963876" w:rsidRPr="00AD4B12">
        <w:rPr>
          <w:sz w:val="26"/>
          <w:szCs w:val="26"/>
        </w:rPr>
        <w:t xml:space="preserve">.  </w:t>
      </w:r>
    </w:p>
    <w:p w:rsidR="00344E04" w:rsidRDefault="00344E04">
      <w:pPr>
        <w:spacing w:line="360" w:lineRule="auto"/>
        <w:ind w:firstLine="1440"/>
        <w:rPr>
          <w:sz w:val="26"/>
          <w:szCs w:val="26"/>
        </w:rPr>
      </w:pPr>
    </w:p>
    <w:p w:rsidR="00283433" w:rsidRDefault="00123068" w:rsidP="001E1A53">
      <w:pPr>
        <w:spacing w:line="360" w:lineRule="auto"/>
        <w:ind w:firstLine="1440"/>
        <w:rPr>
          <w:sz w:val="26"/>
          <w:szCs w:val="26"/>
        </w:rPr>
      </w:pPr>
      <w:r>
        <w:rPr>
          <w:sz w:val="26"/>
          <w:szCs w:val="26"/>
        </w:rPr>
        <w:t>B</w:t>
      </w:r>
      <w:r w:rsidR="00A84536">
        <w:rPr>
          <w:sz w:val="26"/>
          <w:szCs w:val="26"/>
        </w:rPr>
        <w:t>efore we address the merits of the Exceptions, we must address</w:t>
      </w:r>
      <w:r w:rsidR="0061563D">
        <w:rPr>
          <w:sz w:val="26"/>
          <w:szCs w:val="26"/>
        </w:rPr>
        <w:t xml:space="preserve"> whether Mr. </w:t>
      </w:r>
      <w:proofErr w:type="spellStart"/>
      <w:r w:rsidR="0061563D">
        <w:rPr>
          <w:sz w:val="26"/>
          <w:szCs w:val="26"/>
        </w:rPr>
        <w:t>Petravich</w:t>
      </w:r>
      <w:proofErr w:type="spellEnd"/>
      <w:r w:rsidR="0061563D">
        <w:rPr>
          <w:sz w:val="26"/>
          <w:szCs w:val="26"/>
        </w:rPr>
        <w:t xml:space="preserve"> is a proper Complainant in this proceeding.  </w:t>
      </w:r>
      <w:r w:rsidR="001026AA">
        <w:rPr>
          <w:sz w:val="26"/>
          <w:szCs w:val="26"/>
        </w:rPr>
        <w:t xml:space="preserve">In his Initial Decision, </w:t>
      </w:r>
      <w:r w:rsidR="006A5CFC">
        <w:rPr>
          <w:sz w:val="26"/>
          <w:szCs w:val="26"/>
        </w:rPr>
        <w:t xml:space="preserve">the ALJ considered </w:t>
      </w:r>
      <w:r w:rsidR="00094D6F">
        <w:rPr>
          <w:sz w:val="26"/>
          <w:szCs w:val="26"/>
        </w:rPr>
        <w:t xml:space="preserve">Mr. </w:t>
      </w:r>
      <w:proofErr w:type="spellStart"/>
      <w:r w:rsidR="00094D6F">
        <w:rPr>
          <w:sz w:val="26"/>
          <w:szCs w:val="26"/>
        </w:rPr>
        <w:t>Petravich</w:t>
      </w:r>
      <w:proofErr w:type="spellEnd"/>
      <w:r w:rsidR="00094D6F">
        <w:rPr>
          <w:sz w:val="26"/>
          <w:szCs w:val="26"/>
        </w:rPr>
        <w:t xml:space="preserve"> and Ms. Evans </w:t>
      </w:r>
      <w:r w:rsidR="003C7FAE">
        <w:rPr>
          <w:sz w:val="26"/>
          <w:szCs w:val="26"/>
        </w:rPr>
        <w:t xml:space="preserve">to be </w:t>
      </w:r>
      <w:r w:rsidR="00094D6F">
        <w:rPr>
          <w:sz w:val="26"/>
          <w:szCs w:val="26"/>
        </w:rPr>
        <w:t xml:space="preserve">joint Complainants because both of their names appeared on the Formal Complaint.  </w:t>
      </w:r>
      <w:proofErr w:type="gramStart"/>
      <w:r w:rsidR="00094D6F">
        <w:rPr>
          <w:sz w:val="26"/>
          <w:szCs w:val="26"/>
        </w:rPr>
        <w:t>I.D. at 1.</w:t>
      </w:r>
      <w:proofErr w:type="gramEnd"/>
      <w:r w:rsidR="00094D6F">
        <w:rPr>
          <w:sz w:val="26"/>
          <w:szCs w:val="26"/>
        </w:rPr>
        <w:t xml:space="preserve">  In its Answer, PGW</w:t>
      </w:r>
      <w:r w:rsidR="00094D6F" w:rsidRPr="00094D6F">
        <w:rPr>
          <w:sz w:val="26"/>
          <w:szCs w:val="26"/>
        </w:rPr>
        <w:t xml:space="preserve"> </w:t>
      </w:r>
      <w:r w:rsidR="00094D6F">
        <w:rPr>
          <w:sz w:val="26"/>
          <w:szCs w:val="26"/>
        </w:rPr>
        <w:t xml:space="preserve">averred that Mr. </w:t>
      </w:r>
      <w:proofErr w:type="spellStart"/>
      <w:r w:rsidR="00094D6F">
        <w:rPr>
          <w:sz w:val="26"/>
          <w:szCs w:val="26"/>
        </w:rPr>
        <w:t>Petravich</w:t>
      </w:r>
      <w:proofErr w:type="spellEnd"/>
      <w:r w:rsidR="00094D6F">
        <w:rPr>
          <w:sz w:val="26"/>
          <w:szCs w:val="26"/>
        </w:rPr>
        <w:t xml:space="preserve"> </w:t>
      </w:r>
      <w:r w:rsidR="000A6EB3">
        <w:rPr>
          <w:sz w:val="26"/>
          <w:szCs w:val="26"/>
        </w:rPr>
        <w:t>i</w:t>
      </w:r>
      <w:r w:rsidR="00094D6F">
        <w:rPr>
          <w:sz w:val="26"/>
          <w:szCs w:val="26"/>
        </w:rPr>
        <w:t xml:space="preserve">s the son-in-law of Ms. Evans and </w:t>
      </w:r>
      <w:r w:rsidR="000A6EB3">
        <w:rPr>
          <w:sz w:val="26"/>
          <w:szCs w:val="26"/>
        </w:rPr>
        <w:t>i</w:t>
      </w:r>
      <w:r w:rsidR="00094D6F">
        <w:rPr>
          <w:sz w:val="26"/>
          <w:szCs w:val="26"/>
        </w:rPr>
        <w:t xml:space="preserve">s in no other way connected to the service address.  </w:t>
      </w:r>
      <w:proofErr w:type="gramStart"/>
      <w:r w:rsidR="00094D6F">
        <w:rPr>
          <w:sz w:val="26"/>
          <w:szCs w:val="26"/>
        </w:rPr>
        <w:t>Answer at 1.</w:t>
      </w:r>
      <w:proofErr w:type="gramEnd"/>
      <w:r w:rsidR="00094D6F">
        <w:rPr>
          <w:sz w:val="26"/>
          <w:szCs w:val="26"/>
        </w:rPr>
        <w:t xml:space="preserve">  </w:t>
      </w:r>
      <w:r w:rsidR="000D6C35">
        <w:rPr>
          <w:sz w:val="26"/>
          <w:szCs w:val="26"/>
        </w:rPr>
        <w:t>As stated above, b</w:t>
      </w:r>
      <w:r w:rsidR="00E60D4F">
        <w:rPr>
          <w:sz w:val="26"/>
          <w:szCs w:val="26"/>
        </w:rPr>
        <w:t>ecause the ALJ</w:t>
      </w:r>
      <w:r w:rsidR="003C7FAE">
        <w:rPr>
          <w:sz w:val="26"/>
          <w:szCs w:val="26"/>
        </w:rPr>
        <w:t>’s</w:t>
      </w:r>
      <w:r w:rsidR="00E60D4F">
        <w:rPr>
          <w:sz w:val="26"/>
          <w:szCs w:val="26"/>
        </w:rPr>
        <w:t xml:space="preserve"> determination </w:t>
      </w:r>
      <w:r w:rsidR="0053271E">
        <w:rPr>
          <w:sz w:val="26"/>
          <w:szCs w:val="26"/>
        </w:rPr>
        <w:t>was</w:t>
      </w:r>
      <w:r w:rsidR="00E60D4F">
        <w:rPr>
          <w:sz w:val="26"/>
          <w:szCs w:val="26"/>
        </w:rPr>
        <w:t xml:space="preserve"> </w:t>
      </w:r>
      <w:r w:rsidR="003C7FAE">
        <w:rPr>
          <w:sz w:val="26"/>
          <w:szCs w:val="26"/>
        </w:rPr>
        <w:t xml:space="preserve">based on </w:t>
      </w:r>
      <w:r w:rsidR="000E7110">
        <w:rPr>
          <w:sz w:val="26"/>
          <w:szCs w:val="26"/>
        </w:rPr>
        <w:t xml:space="preserve">Preliminary Objections, the Commission </w:t>
      </w:r>
      <w:r w:rsidR="000D6C35">
        <w:rPr>
          <w:sz w:val="26"/>
          <w:szCs w:val="26"/>
        </w:rPr>
        <w:t xml:space="preserve">cannot accept the factual assertions of PGW.  Instead, it </w:t>
      </w:r>
      <w:r w:rsidR="000E7110">
        <w:rPr>
          <w:sz w:val="26"/>
          <w:szCs w:val="26"/>
        </w:rPr>
        <w:t>must</w:t>
      </w:r>
      <w:r w:rsidR="00E60D4F">
        <w:rPr>
          <w:sz w:val="26"/>
          <w:szCs w:val="26"/>
        </w:rPr>
        <w:t xml:space="preserve"> </w:t>
      </w:r>
      <w:r w:rsidR="000E7110">
        <w:rPr>
          <w:sz w:val="26"/>
          <w:szCs w:val="26"/>
        </w:rPr>
        <w:t xml:space="preserve">view the Complaint in the light most favorable to the Complainant and must </w:t>
      </w:r>
      <w:r w:rsidR="009F4C44">
        <w:rPr>
          <w:sz w:val="26"/>
          <w:szCs w:val="26"/>
        </w:rPr>
        <w:t>assume that the factual allegations in the Complaint are true.</w:t>
      </w:r>
      <w:r w:rsidR="00C96027">
        <w:rPr>
          <w:sz w:val="26"/>
          <w:szCs w:val="26"/>
        </w:rPr>
        <w:t xml:space="preserve">  </w:t>
      </w:r>
      <w:r w:rsidR="00383585">
        <w:rPr>
          <w:sz w:val="26"/>
          <w:szCs w:val="26"/>
        </w:rPr>
        <w:t xml:space="preserve">Because </w:t>
      </w:r>
      <w:r w:rsidR="00E028C2">
        <w:rPr>
          <w:sz w:val="26"/>
          <w:szCs w:val="26"/>
        </w:rPr>
        <w:t>Mr. </w:t>
      </w:r>
      <w:proofErr w:type="spellStart"/>
      <w:r w:rsidR="001E1A53">
        <w:rPr>
          <w:sz w:val="26"/>
          <w:szCs w:val="26"/>
        </w:rPr>
        <w:t>Petravich</w:t>
      </w:r>
      <w:proofErr w:type="spellEnd"/>
      <w:r w:rsidR="001E1A53">
        <w:rPr>
          <w:sz w:val="26"/>
          <w:szCs w:val="26"/>
        </w:rPr>
        <w:t xml:space="preserve"> included his name and signature on the Complaint form,</w:t>
      </w:r>
      <w:r w:rsidR="00DD5FC9">
        <w:rPr>
          <w:sz w:val="26"/>
          <w:szCs w:val="26"/>
        </w:rPr>
        <w:t xml:space="preserve"> we will </w:t>
      </w:r>
      <w:r w:rsidR="00383585">
        <w:rPr>
          <w:sz w:val="26"/>
          <w:szCs w:val="26"/>
        </w:rPr>
        <w:t>accept as true that he is</w:t>
      </w:r>
      <w:r w:rsidR="00DD5FC9">
        <w:rPr>
          <w:sz w:val="26"/>
          <w:szCs w:val="26"/>
        </w:rPr>
        <w:t xml:space="preserve"> </w:t>
      </w:r>
      <w:r w:rsidR="00383585">
        <w:rPr>
          <w:sz w:val="26"/>
          <w:szCs w:val="26"/>
        </w:rPr>
        <w:t xml:space="preserve">a </w:t>
      </w:r>
      <w:r w:rsidR="00DD5FC9">
        <w:rPr>
          <w:sz w:val="26"/>
          <w:szCs w:val="26"/>
        </w:rPr>
        <w:t xml:space="preserve">proper Complainant for purposes of our determination in this proceeding.    </w:t>
      </w:r>
      <w:r w:rsidR="001E1A53">
        <w:rPr>
          <w:sz w:val="26"/>
          <w:szCs w:val="26"/>
        </w:rPr>
        <w:t xml:space="preserve">  </w:t>
      </w:r>
      <w:r w:rsidR="00283433">
        <w:rPr>
          <w:sz w:val="26"/>
          <w:szCs w:val="26"/>
        </w:rPr>
        <w:t xml:space="preserve">  </w:t>
      </w:r>
    </w:p>
    <w:p w:rsidR="00344E04" w:rsidRDefault="00525715">
      <w:pPr>
        <w:tabs>
          <w:tab w:val="left" w:pos="1440"/>
        </w:tabs>
        <w:spacing w:line="360" w:lineRule="auto"/>
        <w:rPr>
          <w:sz w:val="26"/>
        </w:rPr>
      </w:pPr>
      <w:r>
        <w:rPr>
          <w:sz w:val="26"/>
          <w:szCs w:val="26"/>
        </w:rPr>
        <w:lastRenderedPageBreak/>
        <w:tab/>
      </w:r>
      <w:r w:rsidR="007F2683">
        <w:rPr>
          <w:sz w:val="26"/>
          <w:szCs w:val="26"/>
        </w:rPr>
        <w:t xml:space="preserve">In addressing the merits of the Exceptions and the Reply Exceptions, we will limit our consideration to the issue of whether the ALJ properly </w:t>
      </w:r>
      <w:r w:rsidR="00B57E11">
        <w:rPr>
          <w:sz w:val="26"/>
          <w:szCs w:val="26"/>
        </w:rPr>
        <w:t xml:space="preserve">granted the Preliminary Objections and </w:t>
      </w:r>
      <w:r w:rsidR="007F2683">
        <w:rPr>
          <w:sz w:val="26"/>
          <w:szCs w:val="26"/>
        </w:rPr>
        <w:t xml:space="preserve">dismissed the Complaint based on the Commission’s lack of jurisdiction over </w:t>
      </w:r>
      <w:r w:rsidR="00FE63DF">
        <w:rPr>
          <w:sz w:val="26"/>
          <w:szCs w:val="26"/>
        </w:rPr>
        <w:t xml:space="preserve">the imposition of municipal liens.  </w:t>
      </w:r>
      <w:r w:rsidR="00663DDD">
        <w:rPr>
          <w:sz w:val="26"/>
          <w:szCs w:val="26"/>
        </w:rPr>
        <w:t>T</w:t>
      </w:r>
      <w:r>
        <w:rPr>
          <w:sz w:val="26"/>
        </w:rPr>
        <w:t xml:space="preserve">he </w:t>
      </w:r>
      <w:r w:rsidR="004C5B03">
        <w:rPr>
          <w:sz w:val="26"/>
        </w:rPr>
        <w:t xml:space="preserve">information in the </w:t>
      </w:r>
      <w:r>
        <w:rPr>
          <w:sz w:val="26"/>
        </w:rPr>
        <w:t>record before us and the ALJ’s Initial Decision pertain</w:t>
      </w:r>
      <w:r w:rsidR="004C5B03">
        <w:rPr>
          <w:sz w:val="26"/>
        </w:rPr>
        <w:t>s</w:t>
      </w:r>
      <w:r>
        <w:rPr>
          <w:sz w:val="26"/>
        </w:rPr>
        <w:t xml:space="preserve"> </w:t>
      </w:r>
      <w:r w:rsidR="004C5B03">
        <w:rPr>
          <w:sz w:val="26"/>
        </w:rPr>
        <w:t xml:space="preserve">only </w:t>
      </w:r>
      <w:r>
        <w:rPr>
          <w:sz w:val="26"/>
        </w:rPr>
        <w:t xml:space="preserve">to </w:t>
      </w:r>
      <w:r w:rsidR="004C5B03">
        <w:rPr>
          <w:sz w:val="26"/>
        </w:rPr>
        <w:t>this</w:t>
      </w:r>
      <w:r>
        <w:rPr>
          <w:sz w:val="26"/>
        </w:rPr>
        <w:t xml:space="preserve"> jurisdiction</w:t>
      </w:r>
      <w:r w:rsidR="004C5B03">
        <w:rPr>
          <w:sz w:val="26"/>
        </w:rPr>
        <w:t>al issue.</w:t>
      </w:r>
      <w:r>
        <w:rPr>
          <w:sz w:val="26"/>
        </w:rPr>
        <w:t xml:space="preserve">  </w:t>
      </w:r>
      <w:r>
        <w:rPr>
          <w:rFonts w:ascii="Times New (W1)" w:hAnsi="Times New (W1)"/>
          <w:sz w:val="26"/>
        </w:rPr>
        <w:t>It is axiomatic that this Commission must base its decisions on the evidence of record</w:t>
      </w:r>
      <w:r w:rsidR="004C5B03">
        <w:rPr>
          <w:rFonts w:ascii="Times New (W1)" w:hAnsi="Times New (W1)"/>
          <w:sz w:val="26"/>
        </w:rPr>
        <w:t>, and w</w:t>
      </w:r>
      <w:r>
        <w:rPr>
          <w:rFonts w:ascii="Times New (W1)" w:hAnsi="Times New (W1)"/>
          <w:sz w:val="26"/>
        </w:rPr>
        <w:t>e are prohibited from looking beyond the record for evidence not previously supplied to support a desired finding of fact and/or conclusion of law.</w:t>
      </w:r>
      <w:r w:rsidR="004C5B03">
        <w:rPr>
          <w:rFonts w:ascii="Times New (W1)" w:hAnsi="Times New (W1)"/>
          <w:sz w:val="26"/>
        </w:rPr>
        <w:t xml:space="preserve">  </w:t>
      </w:r>
      <w:r w:rsidRPr="00EF095C">
        <w:rPr>
          <w:sz w:val="26"/>
        </w:rPr>
        <w:t xml:space="preserve">  </w:t>
      </w:r>
      <w:r w:rsidRPr="00EF095C">
        <w:rPr>
          <w:sz w:val="26"/>
        </w:rPr>
        <w:tab/>
      </w:r>
    </w:p>
    <w:p w:rsidR="00525715" w:rsidRDefault="00525715" w:rsidP="00C609DF">
      <w:pPr>
        <w:spacing w:line="360" w:lineRule="auto"/>
        <w:ind w:firstLine="1440"/>
        <w:rPr>
          <w:sz w:val="26"/>
          <w:szCs w:val="26"/>
        </w:rPr>
      </w:pPr>
    </w:p>
    <w:p w:rsidR="00C609DF" w:rsidRDefault="00A7422E" w:rsidP="00C609DF">
      <w:pPr>
        <w:spacing w:line="360" w:lineRule="auto"/>
        <w:ind w:firstLine="1440"/>
        <w:rPr>
          <w:sz w:val="26"/>
          <w:szCs w:val="26"/>
        </w:rPr>
      </w:pPr>
      <w:r>
        <w:rPr>
          <w:sz w:val="26"/>
          <w:szCs w:val="26"/>
        </w:rPr>
        <w:t xml:space="preserve">We </w:t>
      </w:r>
      <w:r w:rsidR="00514497">
        <w:rPr>
          <w:sz w:val="26"/>
          <w:szCs w:val="26"/>
        </w:rPr>
        <w:t>have</w:t>
      </w:r>
      <w:r>
        <w:rPr>
          <w:sz w:val="26"/>
          <w:szCs w:val="26"/>
        </w:rPr>
        <w:t xml:space="preserve"> </w:t>
      </w:r>
      <w:r w:rsidR="004760F2">
        <w:rPr>
          <w:sz w:val="26"/>
          <w:szCs w:val="26"/>
        </w:rPr>
        <w:t>examine</w:t>
      </w:r>
      <w:r w:rsidR="00514497">
        <w:rPr>
          <w:sz w:val="26"/>
          <w:szCs w:val="26"/>
        </w:rPr>
        <w:t>d</w:t>
      </w:r>
      <w:r w:rsidR="004760F2">
        <w:rPr>
          <w:sz w:val="26"/>
          <w:szCs w:val="26"/>
        </w:rPr>
        <w:t xml:space="preserve"> the ALJ’s decision to grant the Preliminary Objections</w:t>
      </w:r>
      <w:r w:rsidR="005F05CF">
        <w:rPr>
          <w:sz w:val="26"/>
          <w:szCs w:val="26"/>
        </w:rPr>
        <w:t xml:space="preserve"> </w:t>
      </w:r>
      <w:r w:rsidR="00AC4230">
        <w:rPr>
          <w:sz w:val="26"/>
          <w:szCs w:val="26"/>
        </w:rPr>
        <w:t xml:space="preserve">in light of the fact that </w:t>
      </w:r>
      <w:r w:rsidR="00F6694C">
        <w:rPr>
          <w:sz w:val="26"/>
          <w:szCs w:val="26"/>
        </w:rPr>
        <w:t xml:space="preserve">Mr. </w:t>
      </w:r>
      <w:proofErr w:type="spellStart"/>
      <w:r w:rsidR="00F6694C">
        <w:rPr>
          <w:sz w:val="26"/>
          <w:szCs w:val="26"/>
        </w:rPr>
        <w:t>Petravich</w:t>
      </w:r>
      <w:proofErr w:type="spellEnd"/>
      <w:r w:rsidR="00F6694C">
        <w:rPr>
          <w:sz w:val="26"/>
          <w:szCs w:val="26"/>
        </w:rPr>
        <w:t xml:space="preserve"> is a </w:t>
      </w:r>
      <w:r w:rsidR="00337C48" w:rsidRPr="00C100E8">
        <w:rPr>
          <w:i/>
          <w:sz w:val="26"/>
          <w:szCs w:val="26"/>
        </w:rPr>
        <w:t>pro se</w:t>
      </w:r>
      <w:r w:rsidR="00F6694C">
        <w:rPr>
          <w:i/>
          <w:sz w:val="26"/>
          <w:szCs w:val="26"/>
        </w:rPr>
        <w:t xml:space="preserve"> </w:t>
      </w:r>
      <w:r w:rsidR="00F6694C">
        <w:rPr>
          <w:sz w:val="26"/>
          <w:szCs w:val="26"/>
        </w:rPr>
        <w:t>Complainant</w:t>
      </w:r>
      <w:r w:rsidR="00337C48">
        <w:rPr>
          <w:sz w:val="26"/>
          <w:szCs w:val="26"/>
        </w:rPr>
        <w:t xml:space="preserve">.  </w:t>
      </w:r>
      <w:proofErr w:type="gramStart"/>
      <w:r w:rsidR="00C609DF">
        <w:rPr>
          <w:sz w:val="26"/>
          <w:szCs w:val="26"/>
        </w:rPr>
        <w:t xml:space="preserve">In </w:t>
      </w:r>
      <w:proofErr w:type="spellStart"/>
      <w:r w:rsidR="00C609DF" w:rsidRPr="007A0AC1">
        <w:rPr>
          <w:i/>
          <w:sz w:val="26"/>
          <w:szCs w:val="26"/>
        </w:rPr>
        <w:t>Carlock</w:t>
      </w:r>
      <w:proofErr w:type="spellEnd"/>
      <w:r w:rsidR="0037549D">
        <w:rPr>
          <w:i/>
          <w:sz w:val="26"/>
          <w:szCs w:val="26"/>
        </w:rPr>
        <w:t xml:space="preserve"> </w:t>
      </w:r>
      <w:r w:rsidR="00C609DF" w:rsidRPr="007A0AC1">
        <w:rPr>
          <w:i/>
          <w:sz w:val="26"/>
          <w:szCs w:val="26"/>
        </w:rPr>
        <w:t>v.</w:t>
      </w:r>
      <w:proofErr w:type="gramEnd"/>
      <w:r w:rsidR="00C609DF" w:rsidRPr="007A0AC1">
        <w:rPr>
          <w:i/>
          <w:sz w:val="26"/>
          <w:szCs w:val="26"/>
        </w:rPr>
        <w:t xml:space="preserve"> The United Telephone Company of Pennsylvania</w:t>
      </w:r>
      <w:r w:rsidR="00C609DF">
        <w:rPr>
          <w:sz w:val="26"/>
          <w:szCs w:val="26"/>
        </w:rPr>
        <w:t>, Docket No. F-00163617 (Order entered July 14, 1993), we held that</w:t>
      </w:r>
      <w:r w:rsidR="00214C25">
        <w:rPr>
          <w:sz w:val="26"/>
          <w:szCs w:val="26"/>
        </w:rPr>
        <w:t>,</w:t>
      </w:r>
      <w:r w:rsidR="00C609DF">
        <w:rPr>
          <w:sz w:val="26"/>
          <w:szCs w:val="26"/>
        </w:rPr>
        <w:t xml:space="preserve"> in the normal course, we would not dismiss a </w:t>
      </w:r>
      <w:r w:rsidR="00C609DF" w:rsidRPr="007A0AC1">
        <w:rPr>
          <w:i/>
          <w:sz w:val="26"/>
          <w:szCs w:val="26"/>
        </w:rPr>
        <w:t>pro se</w:t>
      </w:r>
      <w:r w:rsidR="00C609DF">
        <w:rPr>
          <w:sz w:val="26"/>
          <w:szCs w:val="26"/>
        </w:rPr>
        <w:t xml:space="preserve"> complaint without first providing a hearing during which the </w:t>
      </w:r>
      <w:r w:rsidR="00C609DF" w:rsidRPr="007A0AC1">
        <w:rPr>
          <w:i/>
          <w:sz w:val="26"/>
          <w:szCs w:val="26"/>
        </w:rPr>
        <w:t>pro se</w:t>
      </w:r>
      <w:r w:rsidR="00C609DF">
        <w:rPr>
          <w:sz w:val="26"/>
          <w:szCs w:val="26"/>
        </w:rPr>
        <w:t xml:space="preserve"> complainant could further explain his or her position and the factual basis for the complaint.  </w:t>
      </w:r>
      <w:r w:rsidR="00E64049">
        <w:rPr>
          <w:sz w:val="26"/>
          <w:szCs w:val="26"/>
        </w:rPr>
        <w:t>Our</w:t>
      </w:r>
      <w:r w:rsidR="00C609DF">
        <w:rPr>
          <w:sz w:val="26"/>
          <w:szCs w:val="26"/>
        </w:rPr>
        <w:t xml:space="preserve"> concern was that, in general, </w:t>
      </w:r>
      <w:r w:rsidR="00C609DF" w:rsidRPr="0073785E">
        <w:rPr>
          <w:i/>
          <w:sz w:val="26"/>
          <w:szCs w:val="26"/>
        </w:rPr>
        <w:t>pro se</w:t>
      </w:r>
      <w:r w:rsidR="00C609DF">
        <w:rPr>
          <w:sz w:val="26"/>
          <w:szCs w:val="26"/>
        </w:rPr>
        <w:t xml:space="preserve"> complainants may find it difficult to navigate through pre-hearing motions and should be given the chance to orally describe their basic issue and supporting facts.  </w:t>
      </w:r>
      <w:r w:rsidR="00BE6B92">
        <w:rPr>
          <w:sz w:val="26"/>
          <w:szCs w:val="26"/>
        </w:rPr>
        <w:t>Nevertheless, t</w:t>
      </w:r>
      <w:r w:rsidR="00C609DF">
        <w:rPr>
          <w:sz w:val="26"/>
          <w:szCs w:val="26"/>
        </w:rPr>
        <w:t xml:space="preserve">here are some cases, such as this one, where we find that a hearing would not enable the Complainant to better explain his </w:t>
      </w:r>
      <w:r w:rsidR="00BE6B92">
        <w:rPr>
          <w:sz w:val="26"/>
          <w:szCs w:val="26"/>
        </w:rPr>
        <w:t xml:space="preserve">or her </w:t>
      </w:r>
      <w:r w:rsidR="00C609DF">
        <w:rPr>
          <w:sz w:val="26"/>
          <w:szCs w:val="26"/>
        </w:rPr>
        <w:t xml:space="preserve">position or provide additional facts that would alter the inevitable conclusion that this Commission lacks jurisdiction to entertain the Complaint in the first instance.  </w:t>
      </w:r>
      <w:r w:rsidR="00B55B97" w:rsidRPr="00B55B97">
        <w:rPr>
          <w:i/>
          <w:sz w:val="26"/>
          <w:szCs w:val="26"/>
        </w:rPr>
        <w:t>See, e.g.,</w:t>
      </w:r>
      <w:r w:rsidR="007B1F99">
        <w:rPr>
          <w:i/>
          <w:sz w:val="26"/>
          <w:szCs w:val="26"/>
        </w:rPr>
        <w:t xml:space="preserve"> </w:t>
      </w:r>
      <w:r w:rsidR="0097493A">
        <w:rPr>
          <w:i/>
          <w:sz w:val="26"/>
          <w:szCs w:val="26"/>
        </w:rPr>
        <w:t xml:space="preserve">Guy and Virginia </w:t>
      </w:r>
      <w:r w:rsidR="007B1F99">
        <w:rPr>
          <w:i/>
          <w:sz w:val="26"/>
          <w:szCs w:val="26"/>
        </w:rPr>
        <w:t>Mauro v. Pennsylvania Electric Company</w:t>
      </w:r>
      <w:r w:rsidR="00B55B97" w:rsidRPr="00B55B97">
        <w:rPr>
          <w:sz w:val="26"/>
          <w:szCs w:val="26"/>
        </w:rPr>
        <w:t xml:space="preserve">, Docket No. </w:t>
      </w:r>
      <w:r w:rsidR="007B1F99" w:rsidRPr="007B1F99">
        <w:rPr>
          <w:sz w:val="26"/>
          <w:szCs w:val="26"/>
        </w:rPr>
        <w:t>C-200</w:t>
      </w:r>
      <w:r w:rsidR="007B1F99">
        <w:rPr>
          <w:sz w:val="26"/>
          <w:szCs w:val="26"/>
        </w:rPr>
        <w:t xml:space="preserve">9-2114087 (Opinion and Order entered July 16, 2010).  </w:t>
      </w:r>
      <w:r w:rsidR="00B55B97" w:rsidRPr="00B55B97">
        <w:rPr>
          <w:i/>
          <w:sz w:val="26"/>
          <w:szCs w:val="26"/>
        </w:rPr>
        <w:t xml:space="preserve"> </w:t>
      </w:r>
      <w:r w:rsidR="00C609DF">
        <w:rPr>
          <w:sz w:val="26"/>
          <w:szCs w:val="26"/>
        </w:rPr>
        <w:t xml:space="preserve">On this basis, we distinguish </w:t>
      </w:r>
      <w:proofErr w:type="spellStart"/>
      <w:r w:rsidR="00C609DF">
        <w:rPr>
          <w:i/>
          <w:sz w:val="26"/>
          <w:szCs w:val="26"/>
        </w:rPr>
        <w:t>Carlock</w:t>
      </w:r>
      <w:proofErr w:type="spellEnd"/>
      <w:r w:rsidR="00C609DF">
        <w:rPr>
          <w:sz w:val="26"/>
          <w:szCs w:val="26"/>
        </w:rPr>
        <w:t xml:space="preserve"> from the case now before us.  </w:t>
      </w:r>
    </w:p>
    <w:p w:rsidR="003D4D1D" w:rsidRDefault="00BD720D" w:rsidP="00D5673B">
      <w:pPr>
        <w:spacing w:line="360" w:lineRule="auto"/>
        <w:ind w:firstLine="1440"/>
        <w:rPr>
          <w:sz w:val="26"/>
          <w:szCs w:val="26"/>
        </w:rPr>
      </w:pPr>
      <w:r>
        <w:rPr>
          <w:sz w:val="26"/>
          <w:szCs w:val="26"/>
        </w:rPr>
        <w:t xml:space="preserve">  </w:t>
      </w:r>
      <w:r w:rsidR="00B547FB">
        <w:rPr>
          <w:sz w:val="26"/>
          <w:szCs w:val="26"/>
        </w:rPr>
        <w:t xml:space="preserve">   </w:t>
      </w:r>
    </w:p>
    <w:p w:rsidR="00344E04" w:rsidRDefault="008957C4">
      <w:pPr>
        <w:spacing w:line="360" w:lineRule="auto"/>
        <w:ind w:firstLine="1440"/>
        <w:rPr>
          <w:sz w:val="26"/>
          <w:szCs w:val="26"/>
        </w:rPr>
      </w:pPr>
      <w:r>
        <w:rPr>
          <w:sz w:val="26"/>
          <w:szCs w:val="26"/>
        </w:rPr>
        <w:t xml:space="preserve">Based on </w:t>
      </w:r>
      <w:r w:rsidR="00C07AD3">
        <w:rPr>
          <w:sz w:val="26"/>
          <w:szCs w:val="26"/>
        </w:rPr>
        <w:t xml:space="preserve">our review of the applicable law and the record </w:t>
      </w:r>
      <w:r w:rsidR="00BE6B92">
        <w:rPr>
          <w:sz w:val="26"/>
          <w:szCs w:val="26"/>
        </w:rPr>
        <w:t>in this proceeding</w:t>
      </w:r>
      <w:r w:rsidR="00C07AD3">
        <w:rPr>
          <w:sz w:val="26"/>
          <w:szCs w:val="26"/>
        </w:rPr>
        <w:t xml:space="preserve">, we find that the ALJ properly </w:t>
      </w:r>
      <w:r>
        <w:rPr>
          <w:sz w:val="26"/>
          <w:szCs w:val="26"/>
        </w:rPr>
        <w:t>granted the</w:t>
      </w:r>
      <w:r w:rsidR="000B71E3">
        <w:rPr>
          <w:sz w:val="26"/>
          <w:szCs w:val="26"/>
        </w:rPr>
        <w:t xml:space="preserve"> Preliminary Objections</w:t>
      </w:r>
      <w:r w:rsidR="00C07AD3">
        <w:rPr>
          <w:sz w:val="26"/>
          <w:szCs w:val="26"/>
        </w:rPr>
        <w:t xml:space="preserve">.  </w:t>
      </w:r>
      <w:r w:rsidR="00D5673B" w:rsidRPr="00DD605C">
        <w:rPr>
          <w:sz w:val="26"/>
          <w:szCs w:val="26"/>
        </w:rPr>
        <w:t xml:space="preserve">The grounds for </w:t>
      </w:r>
      <w:r w:rsidR="0097493A">
        <w:rPr>
          <w:sz w:val="26"/>
          <w:szCs w:val="26"/>
        </w:rPr>
        <w:t>P</w:t>
      </w:r>
      <w:r w:rsidR="00D5673B" w:rsidRPr="00DD605C">
        <w:rPr>
          <w:sz w:val="26"/>
          <w:szCs w:val="26"/>
        </w:rPr>
        <w:t xml:space="preserve">reliminary </w:t>
      </w:r>
      <w:r w:rsidR="0097493A">
        <w:rPr>
          <w:sz w:val="26"/>
          <w:szCs w:val="26"/>
        </w:rPr>
        <w:t>O</w:t>
      </w:r>
      <w:r w:rsidR="00D5673B" w:rsidRPr="00DD605C">
        <w:rPr>
          <w:sz w:val="26"/>
          <w:szCs w:val="26"/>
        </w:rPr>
        <w:t xml:space="preserve">bjections are limited to those set forth in </w:t>
      </w:r>
      <w:r w:rsidR="00D5673B">
        <w:rPr>
          <w:sz w:val="26"/>
          <w:szCs w:val="26"/>
        </w:rPr>
        <w:t xml:space="preserve">the Commission’s </w:t>
      </w:r>
      <w:r w:rsidR="00D5673B">
        <w:rPr>
          <w:sz w:val="26"/>
          <w:szCs w:val="26"/>
        </w:rPr>
        <w:lastRenderedPageBreak/>
        <w:t xml:space="preserve">Regulations at </w:t>
      </w:r>
      <w:r w:rsidR="00D5673B" w:rsidRPr="00DD605C">
        <w:rPr>
          <w:sz w:val="26"/>
          <w:szCs w:val="26"/>
        </w:rPr>
        <w:t>52 Pa</w:t>
      </w:r>
      <w:r w:rsidR="00E72523">
        <w:rPr>
          <w:sz w:val="26"/>
          <w:szCs w:val="26"/>
        </w:rPr>
        <w:t>.</w:t>
      </w:r>
      <w:r w:rsidR="00D5673B" w:rsidRPr="00DD605C">
        <w:rPr>
          <w:sz w:val="26"/>
          <w:szCs w:val="26"/>
        </w:rPr>
        <w:t xml:space="preserve"> Code § 5.101(a)</w:t>
      </w:r>
      <w:r w:rsidR="0020784E">
        <w:rPr>
          <w:sz w:val="26"/>
          <w:szCs w:val="26"/>
        </w:rPr>
        <w:t xml:space="preserve">.  These grounds include lack of Commission jurisdiction.  </w:t>
      </w:r>
    </w:p>
    <w:p w:rsidR="00543297" w:rsidRDefault="00543297">
      <w:pPr>
        <w:spacing w:line="360" w:lineRule="auto"/>
        <w:ind w:firstLine="1440"/>
      </w:pPr>
    </w:p>
    <w:p w:rsidR="003D7753" w:rsidRDefault="001A0516" w:rsidP="0037549D">
      <w:pPr>
        <w:spacing w:line="360" w:lineRule="auto"/>
        <w:rPr>
          <w:sz w:val="26"/>
          <w:szCs w:val="26"/>
        </w:rPr>
      </w:pPr>
      <w:r>
        <w:rPr>
          <w:sz w:val="26"/>
          <w:szCs w:val="26"/>
        </w:rPr>
        <w:tab/>
      </w:r>
      <w:r>
        <w:rPr>
          <w:sz w:val="26"/>
          <w:szCs w:val="26"/>
        </w:rPr>
        <w:tab/>
      </w:r>
      <w:r w:rsidR="00B72D9A">
        <w:rPr>
          <w:sz w:val="26"/>
          <w:szCs w:val="26"/>
        </w:rPr>
        <w:t xml:space="preserve">Consistent with the above </w:t>
      </w:r>
      <w:r w:rsidR="008835E3">
        <w:rPr>
          <w:sz w:val="26"/>
          <w:szCs w:val="26"/>
        </w:rPr>
        <w:t>discussion</w:t>
      </w:r>
      <w:r w:rsidR="00B72D9A">
        <w:rPr>
          <w:sz w:val="26"/>
          <w:szCs w:val="26"/>
        </w:rPr>
        <w:t xml:space="preserve">, the ALJ </w:t>
      </w:r>
      <w:r w:rsidR="00C7149A">
        <w:rPr>
          <w:sz w:val="26"/>
          <w:szCs w:val="26"/>
        </w:rPr>
        <w:t>correctly</w:t>
      </w:r>
      <w:r w:rsidR="00B72D9A">
        <w:rPr>
          <w:sz w:val="26"/>
          <w:szCs w:val="26"/>
        </w:rPr>
        <w:t xml:space="preserve"> </w:t>
      </w:r>
      <w:r w:rsidR="008835E3">
        <w:rPr>
          <w:sz w:val="26"/>
          <w:szCs w:val="26"/>
        </w:rPr>
        <w:t>granted the</w:t>
      </w:r>
      <w:r w:rsidR="00B72D9A">
        <w:rPr>
          <w:sz w:val="26"/>
          <w:szCs w:val="26"/>
        </w:rPr>
        <w:t xml:space="preserve"> Preliminary Objections</w:t>
      </w:r>
      <w:r w:rsidR="008835E3">
        <w:rPr>
          <w:sz w:val="26"/>
          <w:szCs w:val="26"/>
        </w:rPr>
        <w:t xml:space="preserve"> and dismissed the Complaint on jurisdictional grounds</w:t>
      </w:r>
      <w:r w:rsidR="00B72D9A">
        <w:rPr>
          <w:sz w:val="26"/>
          <w:szCs w:val="26"/>
        </w:rPr>
        <w:t xml:space="preserve">.  </w:t>
      </w:r>
      <w:r w:rsidR="00D45FDF">
        <w:rPr>
          <w:sz w:val="26"/>
          <w:szCs w:val="26"/>
        </w:rPr>
        <w:t>T</w:t>
      </w:r>
      <w:r w:rsidR="007D1913" w:rsidRPr="008975E7">
        <w:rPr>
          <w:sz w:val="26"/>
          <w:szCs w:val="26"/>
        </w:rPr>
        <w:t xml:space="preserve">his case is </w:t>
      </w:r>
      <w:r w:rsidR="00D45FDF">
        <w:rPr>
          <w:sz w:val="26"/>
          <w:szCs w:val="26"/>
        </w:rPr>
        <w:t xml:space="preserve">factually similar to several </w:t>
      </w:r>
      <w:r w:rsidR="007D1913" w:rsidRPr="008975E7">
        <w:rPr>
          <w:sz w:val="26"/>
          <w:szCs w:val="26"/>
        </w:rPr>
        <w:t xml:space="preserve">recent cases in which </w:t>
      </w:r>
      <w:r w:rsidR="00D45FDF">
        <w:rPr>
          <w:sz w:val="26"/>
          <w:szCs w:val="26"/>
        </w:rPr>
        <w:t>w</w:t>
      </w:r>
      <w:r w:rsidR="00E04197">
        <w:rPr>
          <w:sz w:val="26"/>
          <w:szCs w:val="26"/>
        </w:rPr>
        <w:t xml:space="preserve">e have held that the Commission does not have jurisdiction in proceedings involving municipal liens.  </w:t>
      </w:r>
      <w:r w:rsidR="00E04197">
        <w:rPr>
          <w:i/>
          <w:sz w:val="26"/>
          <w:szCs w:val="26"/>
        </w:rPr>
        <w:t>See</w:t>
      </w:r>
      <w:r w:rsidR="0097493A">
        <w:rPr>
          <w:i/>
          <w:sz w:val="26"/>
          <w:szCs w:val="26"/>
        </w:rPr>
        <w:t>, e.g.,</w:t>
      </w:r>
      <w:r w:rsidR="00E04197">
        <w:rPr>
          <w:i/>
          <w:sz w:val="26"/>
          <w:szCs w:val="26"/>
        </w:rPr>
        <w:t xml:space="preserve"> </w:t>
      </w:r>
      <w:proofErr w:type="spellStart"/>
      <w:r w:rsidR="00E04197">
        <w:rPr>
          <w:i/>
          <w:sz w:val="26"/>
          <w:szCs w:val="26"/>
        </w:rPr>
        <w:t>Agron</w:t>
      </w:r>
      <w:proofErr w:type="spellEnd"/>
      <w:r w:rsidR="00E04197">
        <w:rPr>
          <w:i/>
          <w:sz w:val="26"/>
          <w:szCs w:val="26"/>
        </w:rPr>
        <w:t xml:space="preserve"> </w:t>
      </w:r>
      <w:proofErr w:type="spellStart"/>
      <w:r w:rsidR="00E04197">
        <w:rPr>
          <w:i/>
          <w:sz w:val="26"/>
          <w:szCs w:val="26"/>
        </w:rPr>
        <w:t>Vata</w:t>
      </w:r>
      <w:proofErr w:type="spellEnd"/>
      <w:r w:rsidR="00E04197">
        <w:rPr>
          <w:i/>
          <w:sz w:val="26"/>
          <w:szCs w:val="26"/>
        </w:rPr>
        <w:t xml:space="preserve"> v. Philadelphia Gas </w:t>
      </w:r>
      <w:r w:rsidR="00E04197" w:rsidRPr="00E04197">
        <w:rPr>
          <w:i/>
          <w:sz w:val="26"/>
          <w:szCs w:val="26"/>
        </w:rPr>
        <w:t>Works</w:t>
      </w:r>
      <w:r w:rsidR="00E04197">
        <w:rPr>
          <w:sz w:val="26"/>
          <w:szCs w:val="26"/>
        </w:rPr>
        <w:t xml:space="preserve">, </w:t>
      </w:r>
      <w:r w:rsidR="00BC0BCB">
        <w:rPr>
          <w:sz w:val="26"/>
          <w:szCs w:val="26"/>
        </w:rPr>
        <w:t xml:space="preserve">Docket No. C-2009-2149960 (Order entered August 24, 2010); </w:t>
      </w:r>
      <w:r w:rsidR="00BC0BCB" w:rsidRPr="00BC0BCB">
        <w:rPr>
          <w:i/>
          <w:sz w:val="26"/>
          <w:szCs w:val="26"/>
        </w:rPr>
        <w:t>Jean Charles v. Philadelphia Gas Works</w:t>
      </w:r>
      <w:r w:rsidR="00BC0BCB">
        <w:rPr>
          <w:sz w:val="26"/>
          <w:szCs w:val="26"/>
        </w:rPr>
        <w:t xml:space="preserve">, Docket No. C-2009-2138638 (Order entered February 5, 2010); </w:t>
      </w:r>
      <w:r w:rsidR="006A5DB1" w:rsidRPr="00C7149A">
        <w:rPr>
          <w:i/>
          <w:sz w:val="26"/>
          <w:szCs w:val="26"/>
        </w:rPr>
        <w:t>David Golan v. Philadelphia Gas Works</w:t>
      </w:r>
      <w:r w:rsidR="006A5DB1">
        <w:rPr>
          <w:sz w:val="26"/>
          <w:szCs w:val="26"/>
        </w:rPr>
        <w:t xml:space="preserve">, Docket No. </w:t>
      </w:r>
      <w:r w:rsidR="00D222D0">
        <w:rPr>
          <w:sz w:val="26"/>
          <w:szCs w:val="26"/>
        </w:rPr>
        <w:br/>
      </w:r>
      <w:r w:rsidR="006A5DB1">
        <w:rPr>
          <w:sz w:val="26"/>
          <w:szCs w:val="26"/>
        </w:rPr>
        <w:t>C-2009-2138115 (Order entered February 4, 2010)</w:t>
      </w:r>
      <w:r w:rsidR="00BC0BCB">
        <w:rPr>
          <w:sz w:val="26"/>
          <w:szCs w:val="26"/>
        </w:rPr>
        <w:t xml:space="preserve">.  </w:t>
      </w:r>
      <w:r w:rsidR="003D7753">
        <w:rPr>
          <w:sz w:val="26"/>
          <w:szCs w:val="26"/>
        </w:rPr>
        <w:t>In each of these cases, the complainants contested liens that were placed on their property by the City on behalf of PGW.  Here, t</w:t>
      </w:r>
      <w:r w:rsidR="006A5DB1">
        <w:rPr>
          <w:sz w:val="26"/>
          <w:szCs w:val="26"/>
        </w:rPr>
        <w:t xml:space="preserve">he Complainant </w:t>
      </w:r>
      <w:r w:rsidR="009C07DF">
        <w:rPr>
          <w:sz w:val="26"/>
          <w:szCs w:val="26"/>
        </w:rPr>
        <w:t>request</w:t>
      </w:r>
      <w:r w:rsidR="006A5DB1">
        <w:rPr>
          <w:sz w:val="26"/>
          <w:szCs w:val="26"/>
        </w:rPr>
        <w:t>s</w:t>
      </w:r>
      <w:r w:rsidR="009C07DF">
        <w:rPr>
          <w:sz w:val="26"/>
          <w:szCs w:val="26"/>
        </w:rPr>
        <w:t xml:space="preserve"> that the Commission</w:t>
      </w:r>
      <w:r w:rsidR="006A5DB1">
        <w:rPr>
          <w:sz w:val="26"/>
          <w:szCs w:val="26"/>
        </w:rPr>
        <w:t xml:space="preserve"> </w:t>
      </w:r>
      <w:r w:rsidR="00120C2F">
        <w:rPr>
          <w:sz w:val="26"/>
          <w:szCs w:val="26"/>
        </w:rPr>
        <w:t>order that the money withheld for PGW at settlement on Mrs. Evans’ house be paid to her</w:t>
      </w:r>
      <w:r w:rsidR="009C07DF">
        <w:rPr>
          <w:sz w:val="26"/>
          <w:szCs w:val="26"/>
        </w:rPr>
        <w:t xml:space="preserve">.  However, the Commission </w:t>
      </w:r>
      <w:r w:rsidR="003D7753">
        <w:rPr>
          <w:sz w:val="26"/>
          <w:szCs w:val="26"/>
        </w:rPr>
        <w:t xml:space="preserve">does not have the authority to review this matter as the Commission </w:t>
      </w:r>
      <w:r w:rsidR="009C07DF">
        <w:rPr>
          <w:sz w:val="26"/>
          <w:szCs w:val="26"/>
        </w:rPr>
        <w:t>must act within, and cannot exceed</w:t>
      </w:r>
      <w:r w:rsidR="001112D8">
        <w:rPr>
          <w:sz w:val="26"/>
          <w:szCs w:val="26"/>
        </w:rPr>
        <w:t>,</w:t>
      </w:r>
      <w:r w:rsidR="009C07DF">
        <w:rPr>
          <w:sz w:val="26"/>
          <w:szCs w:val="26"/>
        </w:rPr>
        <w:t xml:space="preserve"> its</w:t>
      </w:r>
      <w:r w:rsidR="009C07DF" w:rsidRPr="001D02A2">
        <w:rPr>
          <w:sz w:val="26"/>
          <w:szCs w:val="26"/>
        </w:rPr>
        <w:t xml:space="preserve"> jurisdiction.  </w:t>
      </w:r>
      <w:proofErr w:type="gramStart"/>
      <w:r w:rsidR="009C07DF" w:rsidRPr="001D02A2">
        <w:rPr>
          <w:i/>
          <w:sz w:val="26"/>
          <w:szCs w:val="26"/>
        </w:rPr>
        <w:t>City of Pittsburgh v. Pa. PUC</w:t>
      </w:r>
      <w:r w:rsidR="009C07DF" w:rsidRPr="001D02A2">
        <w:rPr>
          <w:sz w:val="26"/>
          <w:szCs w:val="26"/>
        </w:rPr>
        <w:t>, 43 A.2d 348 (</w:t>
      </w:r>
      <w:r w:rsidR="001112D8">
        <w:rPr>
          <w:sz w:val="26"/>
          <w:szCs w:val="26"/>
        </w:rPr>
        <w:t>Pa. Super.</w:t>
      </w:r>
      <w:proofErr w:type="gramEnd"/>
      <w:r w:rsidR="001112D8">
        <w:rPr>
          <w:sz w:val="26"/>
          <w:szCs w:val="26"/>
        </w:rPr>
        <w:t xml:space="preserve"> </w:t>
      </w:r>
      <w:proofErr w:type="gramStart"/>
      <w:r w:rsidR="001112D8">
        <w:rPr>
          <w:sz w:val="26"/>
          <w:szCs w:val="26"/>
        </w:rPr>
        <w:t xml:space="preserve">Ct. </w:t>
      </w:r>
      <w:r w:rsidR="009C07DF" w:rsidRPr="001D02A2">
        <w:rPr>
          <w:sz w:val="26"/>
          <w:szCs w:val="26"/>
        </w:rPr>
        <w:t>1945).</w:t>
      </w:r>
      <w:proofErr w:type="gramEnd"/>
      <w:r w:rsidR="003D7753">
        <w:rPr>
          <w:sz w:val="26"/>
          <w:szCs w:val="26"/>
        </w:rPr>
        <w:t xml:space="preserve">    </w:t>
      </w:r>
    </w:p>
    <w:p w:rsidR="00DD479B" w:rsidRDefault="009C07DF" w:rsidP="0037549D">
      <w:pPr>
        <w:spacing w:line="360" w:lineRule="auto"/>
        <w:rPr>
          <w:sz w:val="26"/>
          <w:szCs w:val="26"/>
        </w:rPr>
      </w:pPr>
      <w:r>
        <w:rPr>
          <w:sz w:val="26"/>
          <w:szCs w:val="26"/>
        </w:rPr>
        <w:t xml:space="preserve">  </w:t>
      </w:r>
      <w:r w:rsidR="007D1913">
        <w:rPr>
          <w:sz w:val="26"/>
          <w:szCs w:val="26"/>
        </w:rPr>
        <w:t xml:space="preserve"> </w:t>
      </w:r>
    </w:p>
    <w:p w:rsidR="00B001CE" w:rsidRDefault="00503295" w:rsidP="000510FD">
      <w:pPr>
        <w:spacing w:line="360" w:lineRule="auto"/>
        <w:ind w:firstLine="1440"/>
        <w:rPr>
          <w:sz w:val="26"/>
          <w:szCs w:val="26"/>
        </w:rPr>
      </w:pPr>
      <w:r>
        <w:rPr>
          <w:sz w:val="26"/>
          <w:szCs w:val="26"/>
        </w:rPr>
        <w:t>In addition to th</w:t>
      </w:r>
      <w:r w:rsidR="00120C2F">
        <w:rPr>
          <w:sz w:val="26"/>
          <w:szCs w:val="26"/>
        </w:rPr>
        <w:t>e above-referenced</w:t>
      </w:r>
      <w:r>
        <w:rPr>
          <w:sz w:val="26"/>
          <w:szCs w:val="26"/>
        </w:rPr>
        <w:t xml:space="preserve"> case law, t</w:t>
      </w:r>
      <w:r w:rsidR="00B42ABB">
        <w:rPr>
          <w:sz w:val="26"/>
          <w:szCs w:val="26"/>
        </w:rPr>
        <w:t>he ALJ’s decision is supported by two provisions of the Code.  First,</w:t>
      </w:r>
      <w:r w:rsidR="00B001CE">
        <w:rPr>
          <w:sz w:val="26"/>
          <w:szCs w:val="26"/>
        </w:rPr>
        <w:t xml:space="preserve"> Section 1414(a) provides the following:  </w:t>
      </w:r>
      <w:r w:rsidR="00B42ABB">
        <w:rPr>
          <w:sz w:val="26"/>
          <w:szCs w:val="26"/>
        </w:rPr>
        <w:t xml:space="preserve"> </w:t>
      </w:r>
    </w:p>
    <w:p w:rsidR="00D222D0" w:rsidRDefault="00D222D0" w:rsidP="00B001CE">
      <w:pPr>
        <w:widowControl w:val="0"/>
        <w:adjustRightInd w:val="0"/>
        <w:ind w:left="1440" w:right="1440"/>
        <w:jc w:val="both"/>
        <w:rPr>
          <w:b/>
          <w:bCs/>
          <w:color w:val="000000"/>
          <w:sz w:val="26"/>
        </w:rPr>
      </w:pPr>
    </w:p>
    <w:p w:rsidR="00B55B97" w:rsidRDefault="00120C2F" w:rsidP="00B55B97">
      <w:pPr>
        <w:adjustRightInd w:val="0"/>
        <w:ind w:left="1440" w:right="1440"/>
        <w:jc w:val="both"/>
        <w:rPr>
          <w:color w:val="000000"/>
          <w:sz w:val="26"/>
        </w:rPr>
      </w:pPr>
      <w:r>
        <w:rPr>
          <w:b/>
          <w:bCs/>
          <w:color w:val="000000"/>
          <w:sz w:val="26"/>
        </w:rPr>
        <w:tab/>
      </w:r>
      <w:r w:rsidR="00B001CE" w:rsidRPr="00B001CE">
        <w:rPr>
          <w:b/>
          <w:bCs/>
          <w:color w:val="000000"/>
          <w:sz w:val="26"/>
        </w:rPr>
        <w:t>(a) General rule.--</w:t>
      </w:r>
      <w:r w:rsidR="00B001CE" w:rsidRPr="00B001CE">
        <w:rPr>
          <w:color w:val="000000"/>
          <w:sz w:val="26"/>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w:t>
      </w:r>
      <w:r w:rsidR="00B001CE" w:rsidRPr="00B001CE">
        <w:rPr>
          <w:color w:val="000000"/>
          <w:sz w:val="26"/>
        </w:rPr>
        <w:lastRenderedPageBreak/>
        <w:t xml:space="preserve">153), </w:t>
      </w:r>
      <w:bookmarkStart w:id="0" w:name="Document1zz[FN1]"/>
      <w:bookmarkEnd w:id="0"/>
      <w:r w:rsidR="00B001CE" w:rsidRPr="00B001CE">
        <w:rPr>
          <w:color w:val="000000"/>
          <w:sz w:val="26"/>
        </w:rPr>
        <w:t xml:space="preserve">referred to as the Municipal Claim and Tax Lien Law, and chapter 22 </w:t>
      </w:r>
      <w:bookmarkStart w:id="1" w:name="Document1zz[FN2]"/>
      <w:bookmarkEnd w:id="1"/>
      <w:r w:rsidR="00B001CE" w:rsidRPr="00B001CE">
        <w:rPr>
          <w:color w:val="000000"/>
          <w:sz w:val="26"/>
        </w:rPr>
        <w:t>(relating to natural gas competition).</w:t>
      </w:r>
    </w:p>
    <w:p w:rsidR="00B55B97" w:rsidRDefault="00B55B97" w:rsidP="00B55B97">
      <w:pPr>
        <w:widowControl w:val="0"/>
        <w:adjustRightInd w:val="0"/>
        <w:spacing w:line="360" w:lineRule="auto"/>
        <w:ind w:left="1440" w:right="1440"/>
        <w:jc w:val="both"/>
        <w:rPr>
          <w:bCs/>
          <w:color w:val="000000"/>
          <w:sz w:val="26"/>
        </w:rPr>
      </w:pPr>
    </w:p>
    <w:p w:rsidR="009E44D4" w:rsidRDefault="00B001CE" w:rsidP="009E44D4">
      <w:pPr>
        <w:widowControl w:val="0"/>
        <w:adjustRightInd w:val="0"/>
        <w:spacing w:line="360" w:lineRule="auto"/>
        <w:rPr>
          <w:color w:val="000000"/>
          <w:sz w:val="26"/>
        </w:rPr>
      </w:pPr>
      <w:proofErr w:type="gramStart"/>
      <w:r w:rsidRPr="00B001CE">
        <w:rPr>
          <w:bCs/>
          <w:color w:val="000000"/>
          <w:sz w:val="26"/>
        </w:rPr>
        <w:t>66 Pa.</w:t>
      </w:r>
      <w:r w:rsidR="004B1011">
        <w:rPr>
          <w:bCs/>
          <w:color w:val="000000"/>
          <w:sz w:val="26"/>
        </w:rPr>
        <w:t xml:space="preserve"> </w:t>
      </w:r>
      <w:r w:rsidRPr="00B001CE">
        <w:rPr>
          <w:color w:val="000000"/>
          <w:sz w:val="26"/>
        </w:rPr>
        <w:t>C.S. § 1414(a)</w:t>
      </w:r>
      <w:r w:rsidR="00B72A2A">
        <w:rPr>
          <w:color w:val="000000"/>
          <w:sz w:val="26"/>
        </w:rPr>
        <w:t>.</w:t>
      </w:r>
      <w:proofErr w:type="gramEnd"/>
      <w:r w:rsidR="00B72A2A">
        <w:rPr>
          <w:color w:val="000000"/>
          <w:sz w:val="26"/>
        </w:rPr>
        <w:t xml:space="preserve">  This </w:t>
      </w:r>
      <w:r w:rsidR="004B1011">
        <w:rPr>
          <w:color w:val="000000"/>
          <w:sz w:val="26"/>
        </w:rPr>
        <w:t>s</w:t>
      </w:r>
      <w:r w:rsidR="00B72A2A">
        <w:rPr>
          <w:color w:val="000000"/>
          <w:sz w:val="26"/>
        </w:rPr>
        <w:t xml:space="preserve">ection </w:t>
      </w:r>
      <w:r w:rsidR="003100C8">
        <w:rPr>
          <w:color w:val="000000"/>
          <w:sz w:val="26"/>
        </w:rPr>
        <w:t xml:space="preserve">affirms that PGW is authorized to impose liens on property for unpaid natural gas service and further </w:t>
      </w:r>
      <w:r w:rsidR="007564AB">
        <w:rPr>
          <w:color w:val="000000"/>
          <w:sz w:val="26"/>
        </w:rPr>
        <w:t>provides</w:t>
      </w:r>
      <w:r w:rsidR="00AC1E64">
        <w:rPr>
          <w:color w:val="000000"/>
          <w:sz w:val="26"/>
        </w:rPr>
        <w:t xml:space="preserve"> that </w:t>
      </w:r>
      <w:r w:rsidR="003100C8">
        <w:rPr>
          <w:color w:val="000000"/>
          <w:sz w:val="26"/>
        </w:rPr>
        <w:t xml:space="preserve">such </w:t>
      </w:r>
      <w:r w:rsidR="00AC1E64">
        <w:rPr>
          <w:color w:val="000000"/>
          <w:sz w:val="26"/>
        </w:rPr>
        <w:t>municipal liens</w:t>
      </w:r>
      <w:r w:rsidR="00372E6D">
        <w:rPr>
          <w:color w:val="000000"/>
          <w:sz w:val="26"/>
        </w:rPr>
        <w:t xml:space="preserve"> are to be filed either in the court of common pleas of Philadelphia County or in the Municipal Court of Philadelphia.</w:t>
      </w:r>
      <w:r w:rsidR="003100C8">
        <w:rPr>
          <w:color w:val="000000"/>
          <w:sz w:val="26"/>
        </w:rPr>
        <w:t xml:space="preserve">  </w:t>
      </w:r>
      <w:r w:rsidR="00372E6D">
        <w:rPr>
          <w:color w:val="000000"/>
          <w:sz w:val="26"/>
        </w:rPr>
        <w:t xml:space="preserve">     </w:t>
      </w:r>
      <w:r w:rsidR="00AC1E64">
        <w:rPr>
          <w:color w:val="000000"/>
          <w:sz w:val="26"/>
        </w:rPr>
        <w:t xml:space="preserve">  </w:t>
      </w:r>
      <w:r w:rsidR="00B72A2A">
        <w:rPr>
          <w:color w:val="000000"/>
          <w:sz w:val="26"/>
        </w:rPr>
        <w:t xml:space="preserve">  </w:t>
      </w:r>
    </w:p>
    <w:p w:rsidR="009E44D4" w:rsidRDefault="009E44D4" w:rsidP="009E44D4">
      <w:pPr>
        <w:widowControl w:val="0"/>
        <w:adjustRightInd w:val="0"/>
        <w:spacing w:line="360" w:lineRule="auto"/>
        <w:rPr>
          <w:color w:val="000000"/>
          <w:sz w:val="26"/>
        </w:rPr>
      </w:pPr>
    </w:p>
    <w:p w:rsidR="00B001CE" w:rsidRPr="00372E6D" w:rsidRDefault="003967A2" w:rsidP="003967A2">
      <w:pPr>
        <w:widowControl w:val="0"/>
        <w:adjustRightInd w:val="0"/>
        <w:spacing w:line="360" w:lineRule="auto"/>
        <w:ind w:firstLine="1440"/>
        <w:rPr>
          <w:color w:val="000000"/>
          <w:sz w:val="26"/>
        </w:rPr>
      </w:pPr>
      <w:r>
        <w:rPr>
          <w:color w:val="000000"/>
          <w:sz w:val="26"/>
        </w:rPr>
        <w:t>The s</w:t>
      </w:r>
      <w:r w:rsidR="007052E1">
        <w:rPr>
          <w:color w:val="000000"/>
          <w:sz w:val="26"/>
        </w:rPr>
        <w:t>econd</w:t>
      </w:r>
      <w:r>
        <w:rPr>
          <w:color w:val="000000"/>
          <w:sz w:val="26"/>
        </w:rPr>
        <w:t xml:space="preserve"> statutory provision</w:t>
      </w:r>
      <w:r w:rsidR="007052E1">
        <w:rPr>
          <w:color w:val="000000"/>
          <w:sz w:val="26"/>
        </w:rPr>
        <w:t xml:space="preserve">, Section 2212(n) </w:t>
      </w:r>
      <w:r w:rsidR="00B74F9D">
        <w:rPr>
          <w:color w:val="000000"/>
          <w:sz w:val="26"/>
        </w:rPr>
        <w:t>of the Code</w:t>
      </w:r>
      <w:r>
        <w:rPr>
          <w:color w:val="000000"/>
          <w:sz w:val="26"/>
        </w:rPr>
        <w:t>,</w:t>
      </w:r>
      <w:r w:rsidR="00B74F9D">
        <w:rPr>
          <w:color w:val="000000"/>
          <w:sz w:val="26"/>
        </w:rPr>
        <w:t xml:space="preserve"> </w:t>
      </w:r>
      <w:r w:rsidR="007052E1">
        <w:rPr>
          <w:color w:val="000000"/>
          <w:sz w:val="26"/>
        </w:rPr>
        <w:t xml:space="preserve">states as </w:t>
      </w:r>
      <w:r>
        <w:rPr>
          <w:color w:val="000000"/>
          <w:sz w:val="26"/>
        </w:rPr>
        <w:t xml:space="preserve">follows:  </w:t>
      </w:r>
      <w:r w:rsidR="007052E1">
        <w:rPr>
          <w:color w:val="000000"/>
          <w:sz w:val="26"/>
        </w:rPr>
        <w:t xml:space="preserve">  </w:t>
      </w:r>
      <w:r w:rsidR="009E44D4">
        <w:rPr>
          <w:color w:val="000000"/>
          <w:sz w:val="26"/>
        </w:rPr>
        <w:t xml:space="preserve">  </w:t>
      </w:r>
    </w:p>
    <w:p w:rsidR="00B001CE" w:rsidRDefault="00120C2F" w:rsidP="00B001CE">
      <w:pPr>
        <w:widowControl w:val="0"/>
        <w:adjustRightInd w:val="0"/>
        <w:ind w:left="1440" w:right="1440"/>
        <w:jc w:val="both"/>
        <w:rPr>
          <w:color w:val="000000"/>
          <w:sz w:val="26"/>
        </w:rPr>
      </w:pPr>
      <w:r>
        <w:rPr>
          <w:b/>
          <w:bCs/>
          <w:color w:val="000000"/>
          <w:sz w:val="26"/>
        </w:rPr>
        <w:tab/>
      </w:r>
      <w:r w:rsidR="00B001CE" w:rsidRPr="00372E6D">
        <w:rPr>
          <w:b/>
          <w:bCs/>
          <w:color w:val="000000"/>
          <w:sz w:val="26"/>
        </w:rPr>
        <w:t>(n) Collections.--</w:t>
      </w:r>
      <w:r w:rsidR="00B001CE" w:rsidRPr="00372E6D">
        <w:rPr>
          <w:color w:val="000000"/>
          <w:sz w:val="26"/>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00B001CE" w:rsidRPr="00372E6D">
        <w:rPr>
          <w:color w:val="000000"/>
          <w:sz w:val="26"/>
        </w:rPr>
        <w:t xml:space="preserve"> referred to as the Municipal Claim and Tax Lien Law, or otherwise.</w:t>
      </w:r>
    </w:p>
    <w:p w:rsidR="00B55B97" w:rsidRDefault="00B55B97" w:rsidP="00B55B97">
      <w:pPr>
        <w:widowControl w:val="0"/>
        <w:adjustRightInd w:val="0"/>
        <w:spacing w:line="360" w:lineRule="auto"/>
        <w:ind w:left="1440" w:right="1440"/>
        <w:jc w:val="both"/>
        <w:rPr>
          <w:color w:val="000000"/>
          <w:sz w:val="26"/>
        </w:rPr>
      </w:pPr>
    </w:p>
    <w:p w:rsidR="00B001CE" w:rsidRPr="00372E6D" w:rsidRDefault="00B001CE" w:rsidP="00F45DB2">
      <w:pPr>
        <w:widowControl w:val="0"/>
        <w:adjustRightInd w:val="0"/>
        <w:spacing w:line="360" w:lineRule="auto"/>
        <w:rPr>
          <w:color w:val="000000"/>
          <w:sz w:val="26"/>
        </w:rPr>
      </w:pPr>
      <w:proofErr w:type="gramStart"/>
      <w:r w:rsidRPr="00372E6D">
        <w:rPr>
          <w:color w:val="000000"/>
          <w:sz w:val="26"/>
        </w:rPr>
        <w:t xml:space="preserve">66 </w:t>
      </w:r>
      <w:proofErr w:type="spellStart"/>
      <w:r w:rsidRPr="00372E6D">
        <w:rPr>
          <w:color w:val="000000"/>
          <w:sz w:val="26"/>
        </w:rPr>
        <w:t>Pa.C.S</w:t>
      </w:r>
      <w:proofErr w:type="spellEnd"/>
      <w:r w:rsidRPr="00372E6D">
        <w:rPr>
          <w:color w:val="000000"/>
          <w:sz w:val="26"/>
        </w:rPr>
        <w:t>.</w:t>
      </w:r>
      <w:proofErr w:type="gramEnd"/>
      <w:r w:rsidRPr="00372E6D">
        <w:rPr>
          <w:color w:val="000000"/>
          <w:sz w:val="26"/>
        </w:rPr>
        <w:t xml:space="preserve"> § 2212(n)</w:t>
      </w:r>
      <w:r w:rsidR="00B74F9D">
        <w:rPr>
          <w:color w:val="000000"/>
          <w:sz w:val="26"/>
        </w:rPr>
        <w:t>.</w:t>
      </w:r>
      <w:r w:rsidR="00F45DB2">
        <w:rPr>
          <w:color w:val="000000"/>
          <w:sz w:val="26"/>
        </w:rPr>
        <w:t xml:space="preserve">  The </w:t>
      </w:r>
      <w:r w:rsidR="00145EDC">
        <w:rPr>
          <w:color w:val="000000"/>
          <w:sz w:val="26"/>
        </w:rPr>
        <w:t>language of</w:t>
      </w:r>
      <w:r w:rsidR="00F45DB2">
        <w:rPr>
          <w:color w:val="000000"/>
          <w:sz w:val="26"/>
        </w:rPr>
        <w:t xml:space="preserve"> this provision</w:t>
      </w:r>
      <w:r w:rsidR="00145EDC">
        <w:rPr>
          <w:color w:val="000000"/>
          <w:sz w:val="26"/>
        </w:rPr>
        <w:t xml:space="preserve"> strengthens the l</w:t>
      </w:r>
      <w:r w:rsidR="003967A2">
        <w:rPr>
          <w:color w:val="000000"/>
          <w:sz w:val="26"/>
        </w:rPr>
        <w:t xml:space="preserve">egal </w:t>
      </w:r>
      <w:r w:rsidR="00941138">
        <w:rPr>
          <w:color w:val="000000"/>
          <w:sz w:val="26"/>
        </w:rPr>
        <w:t>conclusion</w:t>
      </w:r>
      <w:r w:rsidR="003967A2">
        <w:rPr>
          <w:color w:val="000000"/>
          <w:sz w:val="26"/>
        </w:rPr>
        <w:t xml:space="preserve"> </w:t>
      </w:r>
      <w:r w:rsidR="00145EDC">
        <w:rPr>
          <w:color w:val="000000"/>
          <w:sz w:val="26"/>
        </w:rPr>
        <w:t xml:space="preserve">that claims involving municipal liens are </w:t>
      </w:r>
      <w:r w:rsidR="00BC2DF0">
        <w:rPr>
          <w:color w:val="000000"/>
          <w:sz w:val="26"/>
        </w:rPr>
        <w:t>not properly withi</w:t>
      </w:r>
      <w:r w:rsidR="00145EDC">
        <w:rPr>
          <w:color w:val="000000"/>
          <w:sz w:val="26"/>
        </w:rPr>
        <w:t>n the jurisdiction</w:t>
      </w:r>
      <w:r w:rsidR="00BC2DF0">
        <w:rPr>
          <w:color w:val="000000"/>
          <w:sz w:val="26"/>
        </w:rPr>
        <w:t xml:space="preserve"> of the Commission.   </w:t>
      </w:r>
      <w:r w:rsidR="00145EDC">
        <w:rPr>
          <w:color w:val="000000"/>
          <w:sz w:val="26"/>
        </w:rPr>
        <w:t xml:space="preserve">   </w:t>
      </w:r>
      <w:r w:rsidR="00F45DB2">
        <w:rPr>
          <w:color w:val="000000"/>
          <w:sz w:val="26"/>
        </w:rPr>
        <w:t xml:space="preserve">   </w:t>
      </w:r>
      <w:r w:rsidRPr="00372E6D">
        <w:rPr>
          <w:color w:val="000000"/>
          <w:sz w:val="26"/>
        </w:rPr>
        <w:t xml:space="preserve"> </w:t>
      </w:r>
    </w:p>
    <w:p w:rsidR="00B001CE" w:rsidRPr="00372E6D" w:rsidRDefault="00B001CE" w:rsidP="00B001CE">
      <w:pPr>
        <w:spacing w:line="360" w:lineRule="auto"/>
        <w:ind w:firstLine="1440"/>
        <w:rPr>
          <w:sz w:val="26"/>
        </w:rPr>
      </w:pPr>
    </w:p>
    <w:p w:rsidR="00120C2F" w:rsidRDefault="00B001CE" w:rsidP="00BC2DF0">
      <w:pPr>
        <w:spacing w:line="360" w:lineRule="auto"/>
        <w:ind w:firstLine="1440"/>
        <w:rPr>
          <w:sz w:val="26"/>
        </w:rPr>
      </w:pPr>
      <w:r>
        <w:rPr>
          <w:sz w:val="26"/>
          <w:szCs w:val="26"/>
        </w:rPr>
        <w:t>Because th</w:t>
      </w:r>
      <w:r w:rsidR="00D5616B">
        <w:rPr>
          <w:sz w:val="26"/>
          <w:szCs w:val="26"/>
        </w:rPr>
        <w:t>is</w:t>
      </w:r>
      <w:r>
        <w:rPr>
          <w:sz w:val="26"/>
          <w:szCs w:val="26"/>
        </w:rPr>
        <w:t xml:space="preserve"> proceeding involves</w:t>
      </w:r>
      <w:r w:rsidRPr="005D090E">
        <w:rPr>
          <w:sz w:val="26"/>
          <w:szCs w:val="26"/>
        </w:rPr>
        <w:t xml:space="preserve"> </w:t>
      </w:r>
      <w:r w:rsidR="00F12DC2">
        <w:rPr>
          <w:sz w:val="26"/>
          <w:szCs w:val="26"/>
        </w:rPr>
        <w:t>a</w:t>
      </w:r>
      <w:r w:rsidRPr="005D090E">
        <w:rPr>
          <w:sz w:val="26"/>
          <w:szCs w:val="26"/>
        </w:rPr>
        <w:t xml:space="preserve"> statutory lien of the City </w:t>
      </w:r>
      <w:r>
        <w:rPr>
          <w:sz w:val="26"/>
          <w:szCs w:val="26"/>
        </w:rPr>
        <w:t xml:space="preserve">of Philadelphia, and the Complainant did not raise any issues in </w:t>
      </w:r>
      <w:r w:rsidR="00661965">
        <w:rPr>
          <w:sz w:val="26"/>
          <w:szCs w:val="26"/>
        </w:rPr>
        <w:t>the</w:t>
      </w:r>
      <w:r>
        <w:rPr>
          <w:sz w:val="26"/>
          <w:szCs w:val="26"/>
        </w:rPr>
        <w:t xml:space="preserve"> Complaint that are within our jurisdiction,</w:t>
      </w:r>
      <w:r w:rsidRPr="005D090E">
        <w:rPr>
          <w:sz w:val="26"/>
          <w:szCs w:val="26"/>
        </w:rPr>
        <w:t xml:space="preserve"> the Court of Common Pleas of Philadelphia County</w:t>
      </w:r>
      <w:r>
        <w:rPr>
          <w:sz w:val="26"/>
          <w:szCs w:val="26"/>
        </w:rPr>
        <w:t>,</w:t>
      </w:r>
      <w:r w:rsidRPr="003A76DB">
        <w:rPr>
          <w:sz w:val="26"/>
          <w:szCs w:val="26"/>
        </w:rPr>
        <w:t xml:space="preserve"> </w:t>
      </w:r>
      <w:r>
        <w:rPr>
          <w:sz w:val="26"/>
          <w:szCs w:val="26"/>
        </w:rPr>
        <w:t>o</w:t>
      </w:r>
      <w:r w:rsidRPr="005D090E">
        <w:rPr>
          <w:sz w:val="26"/>
          <w:szCs w:val="26"/>
        </w:rPr>
        <w:t>r the Municipal Court of Philadelphia</w:t>
      </w:r>
      <w:r w:rsidR="00661965">
        <w:rPr>
          <w:sz w:val="26"/>
          <w:szCs w:val="26"/>
        </w:rPr>
        <w:t>,</w:t>
      </w:r>
      <w:r w:rsidRPr="005D090E">
        <w:rPr>
          <w:sz w:val="26"/>
          <w:szCs w:val="26"/>
        </w:rPr>
        <w:t xml:space="preserve"> </w:t>
      </w:r>
      <w:r>
        <w:rPr>
          <w:sz w:val="26"/>
          <w:szCs w:val="26"/>
        </w:rPr>
        <w:t>has jurisdiction over this matter.</w:t>
      </w:r>
      <w:r w:rsidR="00BC2DF0">
        <w:rPr>
          <w:sz w:val="26"/>
          <w:szCs w:val="26"/>
        </w:rPr>
        <w:t xml:space="preserve">  </w:t>
      </w:r>
      <w:r w:rsidR="00207453">
        <w:rPr>
          <w:sz w:val="26"/>
        </w:rPr>
        <w:t xml:space="preserve">We believe the provisions </w:t>
      </w:r>
      <w:r w:rsidR="00FD3549">
        <w:rPr>
          <w:sz w:val="26"/>
        </w:rPr>
        <w:t xml:space="preserve">cited above </w:t>
      </w:r>
      <w:r w:rsidR="00207453">
        <w:rPr>
          <w:sz w:val="26"/>
        </w:rPr>
        <w:t xml:space="preserve">were intended to preserve a statutory right that PGW had before the Commission was given </w:t>
      </w:r>
      <w:r w:rsidR="00F12DC2">
        <w:rPr>
          <w:sz w:val="26"/>
        </w:rPr>
        <w:t xml:space="preserve">the </w:t>
      </w:r>
      <w:r w:rsidR="00207453">
        <w:rPr>
          <w:sz w:val="26"/>
        </w:rPr>
        <w:t xml:space="preserve">authority to regulate PGW.  We do not believe the above provisions were intended to give this Commission authority to adjudicate disputes over the validity and enforceability of PGW’s </w:t>
      </w:r>
      <w:r w:rsidR="00F12DC2">
        <w:rPr>
          <w:sz w:val="26"/>
        </w:rPr>
        <w:t xml:space="preserve">municipal </w:t>
      </w:r>
      <w:r w:rsidR="00207453">
        <w:rPr>
          <w:sz w:val="26"/>
        </w:rPr>
        <w:t xml:space="preserve">liens.  Such authority remains with the courts.  </w:t>
      </w:r>
      <w:r w:rsidR="00D5616B">
        <w:rPr>
          <w:sz w:val="26"/>
        </w:rPr>
        <w:t>T</w:t>
      </w:r>
      <w:r w:rsidR="00207453">
        <w:rPr>
          <w:sz w:val="26"/>
        </w:rPr>
        <w:t>herefore</w:t>
      </w:r>
      <w:r w:rsidR="00D5616B">
        <w:rPr>
          <w:sz w:val="26"/>
        </w:rPr>
        <w:t>,</w:t>
      </w:r>
      <w:r w:rsidR="00207453">
        <w:rPr>
          <w:sz w:val="26"/>
        </w:rPr>
        <w:t xml:space="preserve"> </w:t>
      </w:r>
      <w:r w:rsidR="00D5616B">
        <w:rPr>
          <w:sz w:val="26"/>
        </w:rPr>
        <w:t xml:space="preserve">we </w:t>
      </w:r>
      <w:r w:rsidR="00207453">
        <w:rPr>
          <w:sz w:val="26"/>
        </w:rPr>
        <w:t xml:space="preserve">find that the Commission lacks jurisdiction over the </w:t>
      </w:r>
      <w:r w:rsidR="00E05189">
        <w:rPr>
          <w:sz w:val="26"/>
        </w:rPr>
        <w:t>subject matter in this proceeding</w:t>
      </w:r>
      <w:r w:rsidR="00207453">
        <w:rPr>
          <w:sz w:val="26"/>
        </w:rPr>
        <w:t>.</w:t>
      </w:r>
    </w:p>
    <w:p w:rsidR="00956972" w:rsidRPr="00956972" w:rsidRDefault="00956972" w:rsidP="00543297">
      <w:pPr>
        <w:spacing w:line="360" w:lineRule="auto"/>
        <w:jc w:val="center"/>
        <w:rPr>
          <w:b/>
          <w:sz w:val="26"/>
          <w:szCs w:val="26"/>
        </w:rPr>
      </w:pPr>
      <w:r>
        <w:rPr>
          <w:b/>
          <w:sz w:val="26"/>
          <w:szCs w:val="26"/>
        </w:rPr>
        <w:lastRenderedPageBreak/>
        <w:t>Conclusion</w:t>
      </w:r>
    </w:p>
    <w:p w:rsidR="006C56A5" w:rsidRDefault="006C56A5"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deny Mr. </w:t>
      </w:r>
      <w:proofErr w:type="spellStart"/>
      <w:r w:rsidR="008E45DB">
        <w:rPr>
          <w:sz w:val="26"/>
          <w:szCs w:val="26"/>
        </w:rPr>
        <w:t>Petravich’s</w:t>
      </w:r>
      <w:proofErr w:type="spellEnd"/>
      <w:r w:rsidR="0019318F">
        <w:rPr>
          <w:sz w:val="26"/>
          <w:szCs w:val="26"/>
        </w:rPr>
        <w:t xml:space="preserve"> Exceptions and ado</w:t>
      </w:r>
      <w:r w:rsidR="00DE3207">
        <w:rPr>
          <w:sz w:val="26"/>
          <w:szCs w:val="26"/>
        </w:rPr>
        <w:t>pt the ALJ’s Initial Decision</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1A1AD3" w:rsidRPr="00E028C2" w:rsidRDefault="00FB37EA" w:rsidP="00E028C2">
      <w:pPr>
        <w:pStyle w:val="ListParagraph"/>
        <w:numPr>
          <w:ilvl w:val="0"/>
          <w:numId w:val="4"/>
        </w:numPr>
        <w:spacing w:line="360" w:lineRule="auto"/>
        <w:rPr>
          <w:sz w:val="26"/>
          <w:szCs w:val="26"/>
        </w:rPr>
      </w:pPr>
      <w:r w:rsidRPr="00E028C2">
        <w:rPr>
          <w:sz w:val="26"/>
          <w:szCs w:val="26"/>
        </w:rPr>
        <w:t>That the Exceptions of</w:t>
      </w:r>
      <w:r w:rsidR="00AC3473" w:rsidRPr="00E028C2">
        <w:rPr>
          <w:sz w:val="26"/>
          <w:szCs w:val="26"/>
        </w:rPr>
        <w:t xml:space="preserve"> </w:t>
      </w:r>
      <w:r w:rsidR="008E45DB" w:rsidRPr="00E028C2">
        <w:rPr>
          <w:sz w:val="26"/>
          <w:szCs w:val="26"/>
        </w:rPr>
        <w:t xml:space="preserve">William </w:t>
      </w:r>
      <w:proofErr w:type="spellStart"/>
      <w:r w:rsidR="008E45DB" w:rsidRPr="00E028C2">
        <w:rPr>
          <w:sz w:val="26"/>
          <w:szCs w:val="26"/>
        </w:rPr>
        <w:t>Petravich</w:t>
      </w:r>
      <w:proofErr w:type="spellEnd"/>
      <w:r w:rsidR="00D556A2" w:rsidRPr="00E028C2">
        <w:rPr>
          <w:sz w:val="26"/>
          <w:szCs w:val="26"/>
        </w:rPr>
        <w:t xml:space="preserve"> are </w:t>
      </w:r>
      <w:r w:rsidR="00B265B1" w:rsidRPr="00E028C2">
        <w:rPr>
          <w:sz w:val="26"/>
          <w:szCs w:val="26"/>
        </w:rPr>
        <w:t>denied.</w:t>
      </w:r>
      <w:r w:rsidR="00924F4A" w:rsidRPr="00E028C2">
        <w:rPr>
          <w:sz w:val="26"/>
          <w:szCs w:val="26"/>
        </w:rPr>
        <w:t xml:space="preserve">    </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sidR="00E028C2">
        <w:rPr>
          <w:b/>
          <w:sz w:val="26"/>
          <w:szCs w:val="26"/>
        </w:rPr>
        <w:t xml:space="preserve">   </w:t>
      </w:r>
      <w:r>
        <w:rPr>
          <w:sz w:val="26"/>
          <w:szCs w:val="26"/>
        </w:rPr>
        <w:t xml:space="preserve">That the </w:t>
      </w:r>
      <w:r w:rsidR="00527A20">
        <w:rPr>
          <w:sz w:val="26"/>
          <w:szCs w:val="26"/>
        </w:rPr>
        <w:t xml:space="preserve">Initial Decision of </w:t>
      </w:r>
      <w:r w:rsidR="00C05103">
        <w:rPr>
          <w:sz w:val="26"/>
          <w:szCs w:val="26"/>
        </w:rPr>
        <w:t xml:space="preserve">Administrative Law Judge </w:t>
      </w:r>
      <w:proofErr w:type="spellStart"/>
      <w:proofErr w:type="gramStart"/>
      <w:r w:rsidR="008E45DB">
        <w:rPr>
          <w:sz w:val="26"/>
          <w:szCs w:val="26"/>
        </w:rPr>
        <w:t>Ky</w:t>
      </w:r>
      <w:proofErr w:type="spellEnd"/>
      <w:proofErr w:type="gramEnd"/>
      <w:r w:rsidR="008E45DB">
        <w:rPr>
          <w:sz w:val="26"/>
          <w:szCs w:val="26"/>
        </w:rPr>
        <w:t xml:space="preserve"> Van Nguyen </w:t>
      </w:r>
      <w:r w:rsidR="005154BC">
        <w:rPr>
          <w:sz w:val="26"/>
          <w:szCs w:val="26"/>
        </w:rPr>
        <w:t xml:space="preserve">is </w:t>
      </w:r>
      <w:r w:rsidR="00B265B1">
        <w:rPr>
          <w:sz w:val="26"/>
          <w:szCs w:val="26"/>
        </w:rPr>
        <w:t>adopted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B55B97" w:rsidRDefault="00E028C2" w:rsidP="00B55B97">
      <w:pPr>
        <w:spacing w:line="360" w:lineRule="auto"/>
        <w:ind w:firstLine="1440"/>
        <w:rPr>
          <w:sz w:val="26"/>
          <w:szCs w:val="26"/>
        </w:rPr>
      </w:pPr>
      <w:r>
        <w:rPr>
          <w:sz w:val="26"/>
          <w:szCs w:val="26"/>
        </w:rPr>
        <w:t xml:space="preserve">3.   </w:t>
      </w:r>
      <w:r w:rsidR="00120C2F">
        <w:rPr>
          <w:sz w:val="26"/>
          <w:szCs w:val="26"/>
        </w:rPr>
        <w:t xml:space="preserve">That the Complaint filed by William </w:t>
      </w:r>
      <w:proofErr w:type="spellStart"/>
      <w:r w:rsidR="00120C2F">
        <w:rPr>
          <w:sz w:val="26"/>
          <w:szCs w:val="26"/>
        </w:rPr>
        <w:t>Petravich</w:t>
      </w:r>
      <w:proofErr w:type="spellEnd"/>
      <w:r w:rsidR="00120C2F">
        <w:rPr>
          <w:sz w:val="26"/>
          <w:szCs w:val="26"/>
        </w:rPr>
        <w:t xml:space="preserve"> and Martha Evans is dismissed.</w:t>
      </w:r>
    </w:p>
    <w:p w:rsidR="00027EE5" w:rsidRDefault="00027EE5" w:rsidP="00027EE5">
      <w:pPr>
        <w:tabs>
          <w:tab w:val="left" w:pos="-720"/>
          <w:tab w:val="left" w:pos="0"/>
        </w:tabs>
        <w:suppressAutoHyphens/>
        <w:rPr>
          <w:sz w:val="26"/>
          <w:szCs w:val="26"/>
        </w:rPr>
      </w:pPr>
    </w:p>
    <w:p w:rsidR="00B55B97" w:rsidRDefault="00F97807" w:rsidP="00B55B97">
      <w:pPr>
        <w:tabs>
          <w:tab w:val="left" w:pos="-720"/>
          <w:tab w:val="left" w:pos="0"/>
        </w:tabs>
        <w:suppressAutoHyphens/>
        <w:spacing w:line="360" w:lineRule="auto"/>
        <w:rPr>
          <w:sz w:val="26"/>
          <w:szCs w:val="26"/>
        </w:rPr>
      </w:pPr>
      <w:r>
        <w:rPr>
          <w:sz w:val="26"/>
          <w:szCs w:val="26"/>
        </w:rPr>
        <w:tab/>
      </w:r>
      <w:r>
        <w:rPr>
          <w:sz w:val="26"/>
          <w:szCs w:val="26"/>
        </w:rPr>
        <w:tab/>
      </w:r>
      <w:r w:rsidR="00120C2F">
        <w:rPr>
          <w:sz w:val="26"/>
          <w:szCs w:val="26"/>
        </w:rPr>
        <w:t>4</w:t>
      </w:r>
      <w:r w:rsidR="00E028C2">
        <w:rPr>
          <w:sz w:val="26"/>
          <w:szCs w:val="26"/>
        </w:rPr>
        <w:t xml:space="preserve">.  </w:t>
      </w:r>
      <w:r w:rsidR="00F24526">
        <w:rPr>
          <w:sz w:val="26"/>
          <w:szCs w:val="26"/>
        </w:rPr>
        <w:t xml:space="preserve">That the proceeding docketed at </w:t>
      </w:r>
      <w:r w:rsidR="008E45DB">
        <w:rPr>
          <w:sz w:val="26"/>
          <w:szCs w:val="26"/>
        </w:rPr>
        <w:t xml:space="preserve">C-2010-2188984 </w:t>
      </w:r>
      <w:r w:rsidR="00F24526">
        <w:rPr>
          <w:sz w:val="26"/>
          <w:szCs w:val="26"/>
        </w:rPr>
        <w:t xml:space="preserve">shall be </w:t>
      </w:r>
      <w:r>
        <w:rPr>
          <w:sz w:val="26"/>
          <w:szCs w:val="26"/>
        </w:rPr>
        <w:t xml:space="preserve">marked closed. </w:t>
      </w:r>
    </w:p>
    <w:p w:rsidR="00F24526" w:rsidRDefault="00F24526" w:rsidP="001A1AD3">
      <w:pPr>
        <w:spacing w:line="360" w:lineRule="auto"/>
        <w:rPr>
          <w:sz w:val="26"/>
          <w:szCs w:val="26"/>
        </w:rPr>
      </w:pPr>
    </w:p>
    <w:p w:rsidR="00503B2F" w:rsidRPr="003C63B1" w:rsidRDefault="002F429C" w:rsidP="00503B2F">
      <w:pPr>
        <w:tabs>
          <w:tab w:val="left" w:pos="-720"/>
        </w:tabs>
        <w:suppressAutoHyphens/>
        <w:rPr>
          <w:sz w:val="26"/>
        </w:rPr>
      </w:pPr>
      <w:r>
        <w:rPr>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102870</wp:posOffset>
            </wp:positionV>
            <wp:extent cx="2200275" cy="838200"/>
            <wp:effectExtent l="19050" t="0" r="9525" b="0"/>
            <wp:wrapNone/>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A31FAC">
        <w:rPr>
          <w:sz w:val="26"/>
        </w:rPr>
        <w:t>February 10</w:t>
      </w:r>
      <w:r>
        <w:rPr>
          <w:sz w:val="26"/>
        </w:rPr>
        <w:t xml:space="preserve">, 2011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2F429C">
        <w:rPr>
          <w:sz w:val="26"/>
        </w:rPr>
        <w:t xml:space="preserve"> February 10, 2011</w:t>
      </w:r>
    </w:p>
    <w:p w:rsidR="009304FE" w:rsidRDefault="009304FE" w:rsidP="00503B2F">
      <w:pPr>
        <w:spacing w:line="360" w:lineRule="auto"/>
      </w:pP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6FE" w:rsidRDefault="00C276FE">
      <w:r>
        <w:separator/>
      </w:r>
    </w:p>
  </w:endnote>
  <w:endnote w:type="continuationSeparator" w:id="0">
    <w:p w:rsidR="00C276FE" w:rsidRDefault="00C27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810FAF"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810FAF"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2F429C">
      <w:rPr>
        <w:rStyle w:val="PageNumber"/>
        <w:noProof/>
      </w:rPr>
      <w:t>9</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6FE" w:rsidRDefault="00C276FE">
      <w:r>
        <w:separator/>
      </w:r>
    </w:p>
  </w:footnote>
  <w:footnote w:type="continuationSeparator" w:id="0">
    <w:p w:rsidR="00C276FE" w:rsidRDefault="00C276FE">
      <w:r>
        <w:continuationSeparator/>
      </w:r>
    </w:p>
  </w:footnote>
  <w:footnote w:id="1">
    <w:p w:rsidR="00655AC4" w:rsidRDefault="00655AC4" w:rsidP="00655AC4">
      <w:pPr>
        <w:pStyle w:val="FootnoteText"/>
      </w:pPr>
      <w:r>
        <w:tab/>
      </w:r>
      <w:r>
        <w:rPr>
          <w:rStyle w:val="FootnoteReference"/>
        </w:rPr>
        <w:footnoteRef/>
      </w:r>
      <w:r>
        <w:tab/>
      </w:r>
      <w:r w:rsidR="002723CB" w:rsidRPr="002723CB">
        <w:rPr>
          <w:rFonts w:ascii="Times New Roman" w:hAnsi="Times New Roman"/>
          <w:sz w:val="26"/>
          <w:szCs w:val="26"/>
        </w:rPr>
        <w:t xml:space="preserve">Mr. </w:t>
      </w:r>
      <w:proofErr w:type="spellStart"/>
      <w:r w:rsidR="00B30A47">
        <w:rPr>
          <w:rFonts w:ascii="Times New Roman" w:hAnsi="Times New Roman"/>
          <w:sz w:val="26"/>
          <w:szCs w:val="26"/>
        </w:rPr>
        <w:t>Petravich’s</w:t>
      </w:r>
      <w:proofErr w:type="spellEnd"/>
      <w:r w:rsidRPr="00515110">
        <w:rPr>
          <w:rFonts w:ascii="Times New Roman" w:hAnsi="Times New Roman"/>
          <w:sz w:val="26"/>
          <w:szCs w:val="26"/>
        </w:rPr>
        <w:t xml:space="preserve"> </w:t>
      </w:r>
      <w:r>
        <w:rPr>
          <w:rFonts w:ascii="Times New Roman" w:hAnsi="Times New Roman"/>
          <w:sz w:val="26"/>
          <w:szCs w:val="26"/>
        </w:rPr>
        <w:t>E</w:t>
      </w:r>
      <w:r w:rsidRPr="00515110">
        <w:rPr>
          <w:rFonts w:ascii="Times New Roman" w:hAnsi="Times New Roman"/>
          <w:sz w:val="26"/>
          <w:szCs w:val="26"/>
        </w:rPr>
        <w:t xml:space="preserve">xceptions </w:t>
      </w:r>
      <w:r>
        <w:rPr>
          <w:rFonts w:ascii="Times New Roman" w:hAnsi="Times New Roman"/>
          <w:sz w:val="26"/>
          <w:szCs w:val="26"/>
        </w:rPr>
        <w:t xml:space="preserve">were </w:t>
      </w:r>
      <w:r w:rsidR="00B30A47">
        <w:rPr>
          <w:rFonts w:ascii="Times New Roman" w:hAnsi="Times New Roman"/>
          <w:sz w:val="26"/>
          <w:szCs w:val="26"/>
        </w:rPr>
        <w:t>filed with</w:t>
      </w:r>
      <w:r>
        <w:rPr>
          <w:rFonts w:ascii="Times New Roman" w:hAnsi="Times New Roman"/>
          <w:sz w:val="26"/>
          <w:szCs w:val="26"/>
        </w:rPr>
        <w:t xml:space="preserve"> th</w:t>
      </w:r>
      <w:r w:rsidR="00EB52D7">
        <w:rPr>
          <w:rFonts w:ascii="Times New Roman" w:hAnsi="Times New Roman"/>
          <w:sz w:val="26"/>
          <w:szCs w:val="26"/>
        </w:rPr>
        <w:t xml:space="preserve">e </w:t>
      </w:r>
      <w:r w:rsidR="00E53916">
        <w:rPr>
          <w:rFonts w:ascii="Times New Roman" w:hAnsi="Times New Roman"/>
          <w:sz w:val="26"/>
          <w:szCs w:val="26"/>
        </w:rPr>
        <w:t xml:space="preserve">Commission’s </w:t>
      </w:r>
      <w:r w:rsidR="00EB52D7">
        <w:rPr>
          <w:rFonts w:ascii="Times New Roman" w:hAnsi="Times New Roman"/>
          <w:sz w:val="26"/>
          <w:szCs w:val="26"/>
        </w:rPr>
        <w:t xml:space="preserve">Secretary’s Bureau </w:t>
      </w:r>
      <w:r w:rsidR="00BB4228">
        <w:rPr>
          <w:rFonts w:ascii="Times New Roman" w:hAnsi="Times New Roman"/>
          <w:sz w:val="26"/>
          <w:szCs w:val="26"/>
        </w:rPr>
        <w:t xml:space="preserve">on November 8, 2010, and did not include </w:t>
      </w:r>
      <w:r w:rsidR="00EB52D7">
        <w:rPr>
          <w:rFonts w:ascii="Times New Roman" w:hAnsi="Times New Roman"/>
          <w:sz w:val="26"/>
          <w:szCs w:val="26"/>
        </w:rPr>
        <w:t>a C</w:t>
      </w:r>
      <w:r>
        <w:rPr>
          <w:rFonts w:ascii="Times New Roman" w:hAnsi="Times New Roman"/>
          <w:sz w:val="26"/>
          <w:szCs w:val="26"/>
        </w:rPr>
        <w:t xml:space="preserve">ertificate of Service.  The Secretary’s Bureau sent a copy of the Exceptions to </w:t>
      </w:r>
      <w:r w:rsidR="002723CB">
        <w:rPr>
          <w:rFonts w:ascii="Times New Roman" w:hAnsi="Times New Roman"/>
          <w:sz w:val="26"/>
          <w:szCs w:val="26"/>
        </w:rPr>
        <w:t xml:space="preserve">PGW </w:t>
      </w:r>
      <w:r>
        <w:rPr>
          <w:rFonts w:ascii="Times New Roman" w:hAnsi="Times New Roman"/>
          <w:sz w:val="26"/>
          <w:szCs w:val="26"/>
        </w:rPr>
        <w:t xml:space="preserve">on </w:t>
      </w:r>
      <w:r w:rsidR="009B4416">
        <w:rPr>
          <w:rFonts w:ascii="Times New Roman" w:hAnsi="Times New Roman"/>
          <w:sz w:val="26"/>
          <w:szCs w:val="26"/>
        </w:rPr>
        <w:t>November 16</w:t>
      </w:r>
      <w:r>
        <w:rPr>
          <w:rFonts w:ascii="Times New Roman" w:hAnsi="Times New Roman"/>
          <w:sz w:val="26"/>
          <w:szCs w:val="26"/>
        </w:rPr>
        <w:t>,</w:t>
      </w:r>
      <w:r w:rsidR="009B4416">
        <w:rPr>
          <w:rFonts w:ascii="Times New Roman" w:hAnsi="Times New Roman"/>
          <w:sz w:val="26"/>
          <w:szCs w:val="26"/>
        </w:rPr>
        <w:t xml:space="preserve"> 2010,</w:t>
      </w:r>
      <w:r>
        <w:rPr>
          <w:rFonts w:ascii="Times New Roman" w:hAnsi="Times New Roman"/>
          <w:sz w:val="26"/>
          <w:szCs w:val="26"/>
        </w:rPr>
        <w:t xml:space="preserve"> the date which was then deemed to be the filing date for the Exceptions in order to avoid prejudice to either Party. </w:t>
      </w:r>
      <w:r w:rsidRPr="00515110">
        <w:rPr>
          <w:rFonts w:ascii="Times New Roman" w:hAnsi="Times New Roman"/>
          <w:sz w:val="26"/>
          <w:szCs w:val="26"/>
        </w:rPr>
        <w:t xml:space="preserve"> </w:t>
      </w:r>
    </w:p>
  </w:footnote>
  <w:footnote w:id="2">
    <w:p w:rsidR="009B4416" w:rsidRDefault="009B4416">
      <w:pPr>
        <w:pStyle w:val="FootnoteText"/>
      </w:pPr>
      <w:r>
        <w:tab/>
      </w:r>
      <w:r>
        <w:rPr>
          <w:rStyle w:val="FootnoteReference"/>
        </w:rPr>
        <w:footnoteRef/>
      </w:r>
      <w:r>
        <w:t xml:space="preserve"> </w:t>
      </w:r>
      <w:r>
        <w:tab/>
      </w:r>
      <w:r w:rsidR="00013B94">
        <w:rPr>
          <w:rFonts w:ascii="Times New (W1)" w:hAnsi="Times New (W1)"/>
          <w:sz w:val="26"/>
        </w:rPr>
        <w:t>PGW electronically filed the Reply Exceptions on November 26, 2010</w:t>
      </w:r>
      <w:r w:rsidR="00A20575">
        <w:rPr>
          <w:rFonts w:ascii="Times New (W1)" w:hAnsi="Times New (W1)"/>
          <w:sz w:val="26"/>
        </w:rPr>
        <w:t>,</w:t>
      </w:r>
      <w:r w:rsidR="00BB4228">
        <w:rPr>
          <w:rFonts w:ascii="Times New (W1)" w:hAnsi="Times New (W1)"/>
          <w:sz w:val="26"/>
        </w:rPr>
        <w:t xml:space="preserve"> however,</w:t>
      </w:r>
      <w:r w:rsidR="00013B94">
        <w:rPr>
          <w:rFonts w:ascii="Times New (W1)" w:hAnsi="Times New (W1)"/>
          <w:sz w:val="26"/>
        </w:rPr>
        <w:t xml:space="preserve"> because the Commission’s offices were closed that day, the </w:t>
      </w:r>
      <w:r w:rsidR="00417CCE">
        <w:rPr>
          <w:rFonts w:ascii="Times New (W1)" w:hAnsi="Times New (W1)"/>
          <w:sz w:val="26"/>
        </w:rPr>
        <w:t xml:space="preserve">Reply Exceptions were deemed to be filed on November 29, 2010.  </w:t>
      </w:r>
      <w:r w:rsidR="00417CCE">
        <w:rPr>
          <w:rFonts w:ascii="Times New (W1)" w:hAnsi="Times New (W1)"/>
          <w:i/>
          <w:sz w:val="26"/>
        </w:rPr>
        <w:t xml:space="preserve">See </w:t>
      </w:r>
      <w:r w:rsidR="00417CCE">
        <w:rPr>
          <w:rFonts w:ascii="Times New (W1)" w:hAnsi="Times New (W1)"/>
          <w:sz w:val="26"/>
        </w:rPr>
        <w:t xml:space="preserve">52 Pa. Code § 1.11(4).  </w:t>
      </w:r>
      <w:r w:rsidR="00013B94">
        <w:rPr>
          <w:rFonts w:ascii="Times New (W1)" w:hAnsi="Times New (W1)"/>
          <w:sz w:val="26"/>
        </w:rPr>
        <w:t xml:space="preserve">   </w:t>
      </w:r>
    </w:p>
  </w:footnote>
  <w:footnote w:id="3">
    <w:p w:rsidR="00AD22B6" w:rsidRPr="00092384" w:rsidRDefault="00AD22B6">
      <w:pPr>
        <w:pStyle w:val="FootnoteText"/>
        <w:rPr>
          <w:rFonts w:ascii="Times New Roman" w:hAnsi="Times New Roman"/>
          <w:sz w:val="26"/>
        </w:rPr>
      </w:pPr>
      <w:r>
        <w:tab/>
      </w:r>
      <w:r>
        <w:rPr>
          <w:rStyle w:val="FootnoteReference"/>
        </w:rPr>
        <w:footnoteRef/>
      </w:r>
      <w:r>
        <w:t xml:space="preserve"> </w:t>
      </w:r>
      <w:r>
        <w:tab/>
      </w:r>
      <w:r w:rsidR="00092384" w:rsidRPr="00092384">
        <w:rPr>
          <w:rFonts w:ascii="Times New Roman" w:hAnsi="Times New Roman"/>
          <w:sz w:val="26"/>
        </w:rPr>
        <w:t xml:space="preserve">We acknowledge that the format of the Complainant’s Exceptions does not </w:t>
      </w:r>
      <w:r w:rsidR="00E91896">
        <w:rPr>
          <w:rFonts w:ascii="Times New Roman" w:hAnsi="Times New Roman"/>
          <w:sz w:val="26"/>
        </w:rPr>
        <w:t xml:space="preserve">strictly </w:t>
      </w:r>
      <w:r w:rsidR="00092384" w:rsidRPr="00092384">
        <w:rPr>
          <w:rFonts w:ascii="Times New Roman" w:hAnsi="Times New Roman"/>
          <w:sz w:val="26"/>
        </w:rPr>
        <w:t>comply with</w:t>
      </w:r>
      <w:r w:rsidR="00092384">
        <w:rPr>
          <w:rFonts w:ascii="Times New Roman" w:hAnsi="Times New Roman"/>
          <w:sz w:val="26"/>
        </w:rPr>
        <w:t xml:space="preserve"> </w:t>
      </w:r>
      <w:r w:rsidR="00D942D5">
        <w:rPr>
          <w:rFonts w:ascii="Times New Roman" w:hAnsi="Times New Roman"/>
          <w:sz w:val="26"/>
        </w:rPr>
        <w:t xml:space="preserve">Section 5.533(b) </w:t>
      </w:r>
      <w:r w:rsidR="00CA574C">
        <w:rPr>
          <w:rFonts w:ascii="Times New Roman" w:hAnsi="Times New Roman"/>
          <w:sz w:val="26"/>
        </w:rPr>
        <w:t xml:space="preserve">of </w:t>
      </w:r>
      <w:r w:rsidR="00092384">
        <w:rPr>
          <w:rFonts w:ascii="Times New Roman" w:hAnsi="Times New Roman"/>
          <w:sz w:val="26"/>
        </w:rPr>
        <w:t>our Regulation</w:t>
      </w:r>
      <w:r w:rsidR="001B5CD3">
        <w:rPr>
          <w:rFonts w:ascii="Times New Roman" w:hAnsi="Times New Roman"/>
          <w:sz w:val="26"/>
        </w:rPr>
        <w:t>s</w:t>
      </w:r>
      <w:r w:rsidR="00D942D5">
        <w:rPr>
          <w:rFonts w:ascii="Times New Roman" w:hAnsi="Times New Roman"/>
          <w:sz w:val="26"/>
        </w:rPr>
        <w:t>,</w:t>
      </w:r>
      <w:r w:rsidR="00092384">
        <w:rPr>
          <w:rFonts w:ascii="Times New Roman" w:hAnsi="Times New Roman"/>
          <w:sz w:val="26"/>
        </w:rPr>
        <w:t xml:space="preserve"> 52 Pa. Code § 5.533(b), which requires </w:t>
      </w:r>
      <w:r w:rsidR="00FD286B">
        <w:rPr>
          <w:rFonts w:ascii="Times New Roman" w:hAnsi="Times New Roman"/>
          <w:sz w:val="26"/>
        </w:rPr>
        <w:t xml:space="preserve">that exceptions be numbered, </w:t>
      </w:r>
      <w:proofErr w:type="gramStart"/>
      <w:r w:rsidR="00FD286B">
        <w:rPr>
          <w:rFonts w:ascii="Times New Roman" w:hAnsi="Times New Roman"/>
          <w:sz w:val="26"/>
        </w:rPr>
        <w:t>identify</w:t>
      </w:r>
      <w:proofErr w:type="gramEnd"/>
      <w:r w:rsidR="00FD286B">
        <w:rPr>
          <w:rFonts w:ascii="Times New Roman" w:hAnsi="Times New Roman"/>
          <w:sz w:val="26"/>
        </w:rPr>
        <w:t xml:space="preserve"> the finding of fact and conclusion of law to which exception is taken, and cite to the relevant pages of the Initial Decision.  Nevertheless, particularly because the Complain</w:t>
      </w:r>
      <w:r w:rsidR="00383585">
        <w:rPr>
          <w:rFonts w:ascii="Times New Roman" w:hAnsi="Times New Roman"/>
          <w:sz w:val="26"/>
        </w:rPr>
        <w:t>an</w:t>
      </w:r>
      <w:r w:rsidR="00FD286B">
        <w:rPr>
          <w:rFonts w:ascii="Times New Roman" w:hAnsi="Times New Roman"/>
          <w:sz w:val="26"/>
        </w:rPr>
        <w:t xml:space="preserve">t is appearing </w:t>
      </w:r>
      <w:r w:rsidR="00FD286B" w:rsidRPr="00FD286B">
        <w:rPr>
          <w:rFonts w:ascii="Times New Roman" w:hAnsi="Times New Roman"/>
          <w:i/>
          <w:sz w:val="26"/>
        </w:rPr>
        <w:t>pro se</w:t>
      </w:r>
      <w:r w:rsidR="00FD286B">
        <w:rPr>
          <w:rFonts w:ascii="Times New Roman" w:hAnsi="Times New Roman"/>
          <w:sz w:val="26"/>
        </w:rPr>
        <w:t xml:space="preserve">, we will </w:t>
      </w:r>
      <w:r w:rsidR="00D32B20">
        <w:rPr>
          <w:rFonts w:ascii="Times New Roman" w:hAnsi="Times New Roman"/>
          <w:sz w:val="26"/>
        </w:rPr>
        <w:t xml:space="preserve">accept the </w:t>
      </w:r>
      <w:r w:rsidR="005A6C7B">
        <w:rPr>
          <w:rFonts w:ascii="Times New Roman" w:hAnsi="Times New Roman"/>
          <w:sz w:val="26"/>
        </w:rPr>
        <w:t xml:space="preserve">Exceptions as filed pursuant to Section 1.2(c) of our Regulations, 52 Pa. Code            § 1.2(c).  </w:t>
      </w:r>
      <w:proofErr w:type="gramStart"/>
      <w:r w:rsidR="001B5CD3">
        <w:rPr>
          <w:rFonts w:ascii="Times New Roman" w:hAnsi="Times New Roman"/>
          <w:i/>
          <w:sz w:val="26"/>
        </w:rPr>
        <w:t xml:space="preserve">See </w:t>
      </w:r>
      <w:r w:rsidR="005A6C7B">
        <w:rPr>
          <w:rFonts w:ascii="Times New Roman" w:hAnsi="Times New Roman"/>
          <w:i/>
          <w:sz w:val="26"/>
        </w:rPr>
        <w:t xml:space="preserve">also </w:t>
      </w:r>
      <w:r w:rsidR="001B5CD3">
        <w:rPr>
          <w:rFonts w:ascii="Times New Roman" w:hAnsi="Times New Roman"/>
          <w:i/>
          <w:sz w:val="26"/>
        </w:rPr>
        <w:t>Info Connections, Inc. v. P</w:t>
      </w:r>
      <w:r w:rsidR="00736CA8">
        <w:rPr>
          <w:rFonts w:ascii="Times New Roman" w:hAnsi="Times New Roman"/>
          <w:i/>
          <w:sz w:val="26"/>
        </w:rPr>
        <w:t>a.</w:t>
      </w:r>
      <w:r w:rsidR="00044438">
        <w:rPr>
          <w:rFonts w:ascii="Times New Roman" w:hAnsi="Times New Roman"/>
          <w:i/>
          <w:sz w:val="26"/>
        </w:rPr>
        <w:t xml:space="preserve"> PUC</w:t>
      </w:r>
      <w:r w:rsidR="00044438">
        <w:rPr>
          <w:rFonts w:ascii="Times New Roman" w:hAnsi="Times New Roman"/>
          <w:sz w:val="26"/>
        </w:rPr>
        <w:t>,</w:t>
      </w:r>
      <w:r w:rsidR="00736CA8">
        <w:rPr>
          <w:rFonts w:ascii="Times New Roman" w:hAnsi="Times New Roman"/>
          <w:sz w:val="26"/>
        </w:rPr>
        <w:t xml:space="preserve"> 630 A.2d 498 (Pa. </w:t>
      </w:r>
      <w:proofErr w:type="spellStart"/>
      <w:r w:rsidR="00736CA8">
        <w:rPr>
          <w:rFonts w:ascii="Times New Roman" w:hAnsi="Times New Roman"/>
          <w:sz w:val="26"/>
        </w:rPr>
        <w:t>Cmwlth</w:t>
      </w:r>
      <w:proofErr w:type="spellEnd"/>
      <w:r w:rsidR="00736CA8">
        <w:rPr>
          <w:rFonts w:ascii="Times New Roman" w:hAnsi="Times New Roman"/>
          <w:sz w:val="26"/>
        </w:rPr>
        <w:t>. 1993).</w:t>
      </w:r>
      <w:proofErr w:type="gramEnd"/>
      <w:r w:rsidR="00736CA8">
        <w:rPr>
          <w:rFonts w:ascii="Times New Roman" w:hAnsi="Times New Roman"/>
          <w:sz w:val="26"/>
        </w:rPr>
        <w:t xml:space="preserve">  </w:t>
      </w:r>
      <w:r w:rsidR="00044438">
        <w:rPr>
          <w:rFonts w:ascii="Times New Roman" w:hAnsi="Times New Roman"/>
          <w:sz w:val="26"/>
        </w:rPr>
        <w:t xml:space="preserve"> </w:t>
      </w:r>
      <w:r w:rsidR="001B5CD3">
        <w:rPr>
          <w:rFonts w:ascii="Times New Roman" w:hAnsi="Times New Roman"/>
          <w:i/>
          <w:sz w:val="26"/>
        </w:rPr>
        <w:t xml:space="preserve"> </w:t>
      </w:r>
      <w:r w:rsidR="001B5CD3">
        <w:rPr>
          <w:rFonts w:ascii="Times New Roman" w:hAnsi="Times New Roman"/>
          <w:sz w:val="26"/>
        </w:rPr>
        <w:t xml:space="preserve"> </w:t>
      </w:r>
      <w:r w:rsidR="00FD286B">
        <w:rPr>
          <w:rFonts w:ascii="Times New Roman" w:hAnsi="Times New Roman"/>
          <w:sz w:val="26"/>
        </w:rPr>
        <w:t xml:space="preserve">   </w:t>
      </w:r>
      <w:r w:rsidR="00092384" w:rsidRPr="00092384">
        <w:rPr>
          <w:rFonts w:ascii="Times New Roman" w:hAnsi="Times New Roman"/>
          <w:sz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1900E6"/>
    <w:multiLevelType w:val="hybridMultilevel"/>
    <w:tmpl w:val="D29083A6"/>
    <w:lvl w:ilvl="0" w:tplc="86D05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15"/>
    <w:rsid w:val="00001139"/>
    <w:rsid w:val="0000209B"/>
    <w:rsid w:val="00002F2A"/>
    <w:rsid w:val="000063E9"/>
    <w:rsid w:val="00007106"/>
    <w:rsid w:val="000074DC"/>
    <w:rsid w:val="00010322"/>
    <w:rsid w:val="0001099D"/>
    <w:rsid w:val="00013B94"/>
    <w:rsid w:val="0001411C"/>
    <w:rsid w:val="000148F5"/>
    <w:rsid w:val="00015969"/>
    <w:rsid w:val="00015A01"/>
    <w:rsid w:val="00016CE0"/>
    <w:rsid w:val="00017033"/>
    <w:rsid w:val="00020E43"/>
    <w:rsid w:val="00020F8F"/>
    <w:rsid w:val="000234F5"/>
    <w:rsid w:val="00024987"/>
    <w:rsid w:val="00024DD1"/>
    <w:rsid w:val="00025686"/>
    <w:rsid w:val="0002585B"/>
    <w:rsid w:val="00025B28"/>
    <w:rsid w:val="000261D5"/>
    <w:rsid w:val="00026E4B"/>
    <w:rsid w:val="0002723A"/>
    <w:rsid w:val="0002744F"/>
    <w:rsid w:val="00027EE5"/>
    <w:rsid w:val="000310BE"/>
    <w:rsid w:val="00031E93"/>
    <w:rsid w:val="00033CB2"/>
    <w:rsid w:val="000378DC"/>
    <w:rsid w:val="00044438"/>
    <w:rsid w:val="000510D0"/>
    <w:rsid w:val="000510FD"/>
    <w:rsid w:val="000524CC"/>
    <w:rsid w:val="00053CED"/>
    <w:rsid w:val="00054407"/>
    <w:rsid w:val="00054F7A"/>
    <w:rsid w:val="00057057"/>
    <w:rsid w:val="000610F9"/>
    <w:rsid w:val="00061284"/>
    <w:rsid w:val="00061850"/>
    <w:rsid w:val="000629CD"/>
    <w:rsid w:val="000634BD"/>
    <w:rsid w:val="0006405C"/>
    <w:rsid w:val="00065DB6"/>
    <w:rsid w:val="000673D1"/>
    <w:rsid w:val="00070FF8"/>
    <w:rsid w:val="00070FFD"/>
    <w:rsid w:val="000711D9"/>
    <w:rsid w:val="00072883"/>
    <w:rsid w:val="00073C25"/>
    <w:rsid w:val="00075161"/>
    <w:rsid w:val="00075677"/>
    <w:rsid w:val="0007596A"/>
    <w:rsid w:val="000777D8"/>
    <w:rsid w:val="00080C6A"/>
    <w:rsid w:val="0008328F"/>
    <w:rsid w:val="0008445E"/>
    <w:rsid w:val="00085FFB"/>
    <w:rsid w:val="00086411"/>
    <w:rsid w:val="00086D0B"/>
    <w:rsid w:val="0008768F"/>
    <w:rsid w:val="00087C06"/>
    <w:rsid w:val="00087D18"/>
    <w:rsid w:val="00092384"/>
    <w:rsid w:val="00092ABD"/>
    <w:rsid w:val="00094D6F"/>
    <w:rsid w:val="00096187"/>
    <w:rsid w:val="000966DC"/>
    <w:rsid w:val="0009781B"/>
    <w:rsid w:val="000A2F11"/>
    <w:rsid w:val="000A35F4"/>
    <w:rsid w:val="000A6EB3"/>
    <w:rsid w:val="000A770A"/>
    <w:rsid w:val="000A7F96"/>
    <w:rsid w:val="000B2B80"/>
    <w:rsid w:val="000B3FB4"/>
    <w:rsid w:val="000B4F29"/>
    <w:rsid w:val="000B5487"/>
    <w:rsid w:val="000B5DF8"/>
    <w:rsid w:val="000B71E3"/>
    <w:rsid w:val="000B77E2"/>
    <w:rsid w:val="000C4BFD"/>
    <w:rsid w:val="000C742F"/>
    <w:rsid w:val="000D0D75"/>
    <w:rsid w:val="000D6C35"/>
    <w:rsid w:val="000E0050"/>
    <w:rsid w:val="000E0311"/>
    <w:rsid w:val="000E09BE"/>
    <w:rsid w:val="000E24DE"/>
    <w:rsid w:val="000E3FDA"/>
    <w:rsid w:val="000E492B"/>
    <w:rsid w:val="000E4BED"/>
    <w:rsid w:val="000E7110"/>
    <w:rsid w:val="000F2540"/>
    <w:rsid w:val="000F292B"/>
    <w:rsid w:val="000F34DC"/>
    <w:rsid w:val="000F34FC"/>
    <w:rsid w:val="000F4144"/>
    <w:rsid w:val="000F6D5A"/>
    <w:rsid w:val="0010013C"/>
    <w:rsid w:val="001006F0"/>
    <w:rsid w:val="00100B90"/>
    <w:rsid w:val="00100BF3"/>
    <w:rsid w:val="00101745"/>
    <w:rsid w:val="001026AA"/>
    <w:rsid w:val="00103A52"/>
    <w:rsid w:val="001048B3"/>
    <w:rsid w:val="00105084"/>
    <w:rsid w:val="00105104"/>
    <w:rsid w:val="00105193"/>
    <w:rsid w:val="00106537"/>
    <w:rsid w:val="001112D8"/>
    <w:rsid w:val="0011244B"/>
    <w:rsid w:val="001133C8"/>
    <w:rsid w:val="00114D80"/>
    <w:rsid w:val="00115FD9"/>
    <w:rsid w:val="00116D79"/>
    <w:rsid w:val="00120C2F"/>
    <w:rsid w:val="00123068"/>
    <w:rsid w:val="00124A50"/>
    <w:rsid w:val="00126152"/>
    <w:rsid w:val="0012697D"/>
    <w:rsid w:val="00127623"/>
    <w:rsid w:val="00127C7C"/>
    <w:rsid w:val="00130D74"/>
    <w:rsid w:val="00131B43"/>
    <w:rsid w:val="00132429"/>
    <w:rsid w:val="00133878"/>
    <w:rsid w:val="00137A60"/>
    <w:rsid w:val="001401EC"/>
    <w:rsid w:val="00141882"/>
    <w:rsid w:val="00141DF0"/>
    <w:rsid w:val="0014205C"/>
    <w:rsid w:val="00143F43"/>
    <w:rsid w:val="00144166"/>
    <w:rsid w:val="00144E09"/>
    <w:rsid w:val="00145EDC"/>
    <w:rsid w:val="00147415"/>
    <w:rsid w:val="00150989"/>
    <w:rsid w:val="001509E0"/>
    <w:rsid w:val="0015662E"/>
    <w:rsid w:val="001572C5"/>
    <w:rsid w:val="0016005F"/>
    <w:rsid w:val="001606BC"/>
    <w:rsid w:val="00163AA3"/>
    <w:rsid w:val="0016441E"/>
    <w:rsid w:val="00164715"/>
    <w:rsid w:val="00164C98"/>
    <w:rsid w:val="001679F1"/>
    <w:rsid w:val="001701B3"/>
    <w:rsid w:val="001704F7"/>
    <w:rsid w:val="00177A43"/>
    <w:rsid w:val="001811B8"/>
    <w:rsid w:val="001827DB"/>
    <w:rsid w:val="00183D96"/>
    <w:rsid w:val="00185B5E"/>
    <w:rsid w:val="00186887"/>
    <w:rsid w:val="0019214E"/>
    <w:rsid w:val="0019318F"/>
    <w:rsid w:val="00193EF0"/>
    <w:rsid w:val="00197920"/>
    <w:rsid w:val="00197C2F"/>
    <w:rsid w:val="00197F3D"/>
    <w:rsid w:val="001A0516"/>
    <w:rsid w:val="001A1AD3"/>
    <w:rsid w:val="001A4A0C"/>
    <w:rsid w:val="001A4C6C"/>
    <w:rsid w:val="001A5756"/>
    <w:rsid w:val="001A6FD4"/>
    <w:rsid w:val="001A75AA"/>
    <w:rsid w:val="001B423C"/>
    <w:rsid w:val="001B5CD3"/>
    <w:rsid w:val="001B7A05"/>
    <w:rsid w:val="001C396E"/>
    <w:rsid w:val="001C42FD"/>
    <w:rsid w:val="001C4B37"/>
    <w:rsid w:val="001C53B1"/>
    <w:rsid w:val="001C7E91"/>
    <w:rsid w:val="001C7F88"/>
    <w:rsid w:val="001D01F1"/>
    <w:rsid w:val="001D02A2"/>
    <w:rsid w:val="001D0E29"/>
    <w:rsid w:val="001D2BAD"/>
    <w:rsid w:val="001D491F"/>
    <w:rsid w:val="001D70A6"/>
    <w:rsid w:val="001D7137"/>
    <w:rsid w:val="001E05C6"/>
    <w:rsid w:val="001E0B29"/>
    <w:rsid w:val="001E19BC"/>
    <w:rsid w:val="001E1A53"/>
    <w:rsid w:val="001E2CFB"/>
    <w:rsid w:val="001E3574"/>
    <w:rsid w:val="001E4225"/>
    <w:rsid w:val="001E5B8E"/>
    <w:rsid w:val="001F0488"/>
    <w:rsid w:val="001F55D5"/>
    <w:rsid w:val="001F5F40"/>
    <w:rsid w:val="001F75D6"/>
    <w:rsid w:val="001F79C6"/>
    <w:rsid w:val="001F7B55"/>
    <w:rsid w:val="00203F27"/>
    <w:rsid w:val="00205242"/>
    <w:rsid w:val="00205B95"/>
    <w:rsid w:val="00206D03"/>
    <w:rsid w:val="00207453"/>
    <w:rsid w:val="0020784E"/>
    <w:rsid w:val="00210868"/>
    <w:rsid w:val="00213B95"/>
    <w:rsid w:val="00214C25"/>
    <w:rsid w:val="002170BF"/>
    <w:rsid w:val="00217C4E"/>
    <w:rsid w:val="00223564"/>
    <w:rsid w:val="002242F7"/>
    <w:rsid w:val="00225BD2"/>
    <w:rsid w:val="00230396"/>
    <w:rsid w:val="0023097E"/>
    <w:rsid w:val="00230BAB"/>
    <w:rsid w:val="00232A03"/>
    <w:rsid w:val="0023535F"/>
    <w:rsid w:val="00237CE3"/>
    <w:rsid w:val="0024349F"/>
    <w:rsid w:val="00243CC9"/>
    <w:rsid w:val="00243D31"/>
    <w:rsid w:val="002450F3"/>
    <w:rsid w:val="00245B0C"/>
    <w:rsid w:val="002469C9"/>
    <w:rsid w:val="00247332"/>
    <w:rsid w:val="00250E63"/>
    <w:rsid w:val="00252313"/>
    <w:rsid w:val="00252626"/>
    <w:rsid w:val="00253CC7"/>
    <w:rsid w:val="00254560"/>
    <w:rsid w:val="002556E9"/>
    <w:rsid w:val="002564D7"/>
    <w:rsid w:val="00256A4C"/>
    <w:rsid w:val="0025718D"/>
    <w:rsid w:val="0026312F"/>
    <w:rsid w:val="00264ABB"/>
    <w:rsid w:val="002652DF"/>
    <w:rsid w:val="00265BD8"/>
    <w:rsid w:val="00271322"/>
    <w:rsid w:val="002723CB"/>
    <w:rsid w:val="00273450"/>
    <w:rsid w:val="0027458E"/>
    <w:rsid w:val="00274EC0"/>
    <w:rsid w:val="00282019"/>
    <w:rsid w:val="00283433"/>
    <w:rsid w:val="002838E3"/>
    <w:rsid w:val="002851CE"/>
    <w:rsid w:val="002854BF"/>
    <w:rsid w:val="00285856"/>
    <w:rsid w:val="00287BE6"/>
    <w:rsid w:val="00291657"/>
    <w:rsid w:val="002919FB"/>
    <w:rsid w:val="00296493"/>
    <w:rsid w:val="00297040"/>
    <w:rsid w:val="002A0E82"/>
    <w:rsid w:val="002A3A6E"/>
    <w:rsid w:val="002A3AC8"/>
    <w:rsid w:val="002A5399"/>
    <w:rsid w:val="002A740E"/>
    <w:rsid w:val="002A782B"/>
    <w:rsid w:val="002B0089"/>
    <w:rsid w:val="002B31AD"/>
    <w:rsid w:val="002B3767"/>
    <w:rsid w:val="002B4B0D"/>
    <w:rsid w:val="002C011D"/>
    <w:rsid w:val="002C4311"/>
    <w:rsid w:val="002C61A7"/>
    <w:rsid w:val="002D08E2"/>
    <w:rsid w:val="002D0BD9"/>
    <w:rsid w:val="002D33E8"/>
    <w:rsid w:val="002D5216"/>
    <w:rsid w:val="002D5C5B"/>
    <w:rsid w:val="002D650D"/>
    <w:rsid w:val="002E00A3"/>
    <w:rsid w:val="002E0503"/>
    <w:rsid w:val="002E4908"/>
    <w:rsid w:val="002E6F2D"/>
    <w:rsid w:val="002F0238"/>
    <w:rsid w:val="002F3B92"/>
    <w:rsid w:val="002F429C"/>
    <w:rsid w:val="002F4D5E"/>
    <w:rsid w:val="002F50FB"/>
    <w:rsid w:val="002F6563"/>
    <w:rsid w:val="00300C9D"/>
    <w:rsid w:val="00301857"/>
    <w:rsid w:val="00303915"/>
    <w:rsid w:val="00304ABF"/>
    <w:rsid w:val="0030541E"/>
    <w:rsid w:val="003054A6"/>
    <w:rsid w:val="00305684"/>
    <w:rsid w:val="00306411"/>
    <w:rsid w:val="003077A3"/>
    <w:rsid w:val="003100C8"/>
    <w:rsid w:val="00310CE1"/>
    <w:rsid w:val="0031247C"/>
    <w:rsid w:val="0031278E"/>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7C48"/>
    <w:rsid w:val="00337DFD"/>
    <w:rsid w:val="003440BD"/>
    <w:rsid w:val="00344581"/>
    <w:rsid w:val="00344E04"/>
    <w:rsid w:val="003459E2"/>
    <w:rsid w:val="00346964"/>
    <w:rsid w:val="00350442"/>
    <w:rsid w:val="00350B3E"/>
    <w:rsid w:val="00352BC7"/>
    <w:rsid w:val="00353BBC"/>
    <w:rsid w:val="00353F42"/>
    <w:rsid w:val="0035474E"/>
    <w:rsid w:val="00354EEE"/>
    <w:rsid w:val="003573EB"/>
    <w:rsid w:val="00357B6E"/>
    <w:rsid w:val="00362AC9"/>
    <w:rsid w:val="003669C8"/>
    <w:rsid w:val="00366C32"/>
    <w:rsid w:val="00367224"/>
    <w:rsid w:val="00370193"/>
    <w:rsid w:val="003704B1"/>
    <w:rsid w:val="003708CD"/>
    <w:rsid w:val="00372E6D"/>
    <w:rsid w:val="003742CF"/>
    <w:rsid w:val="0037549D"/>
    <w:rsid w:val="0037692B"/>
    <w:rsid w:val="003807E7"/>
    <w:rsid w:val="00381C7A"/>
    <w:rsid w:val="00383585"/>
    <w:rsid w:val="0039007A"/>
    <w:rsid w:val="00390FB3"/>
    <w:rsid w:val="00391B6F"/>
    <w:rsid w:val="00392B85"/>
    <w:rsid w:val="003943C4"/>
    <w:rsid w:val="00394901"/>
    <w:rsid w:val="003967A2"/>
    <w:rsid w:val="00397F28"/>
    <w:rsid w:val="003A07CB"/>
    <w:rsid w:val="003A2FF8"/>
    <w:rsid w:val="003A37DD"/>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29B"/>
    <w:rsid w:val="003C7FAE"/>
    <w:rsid w:val="003D4446"/>
    <w:rsid w:val="003D4638"/>
    <w:rsid w:val="003D4D1D"/>
    <w:rsid w:val="003D6E02"/>
    <w:rsid w:val="003D70DF"/>
    <w:rsid w:val="003D7753"/>
    <w:rsid w:val="003D7B97"/>
    <w:rsid w:val="003E07E5"/>
    <w:rsid w:val="003E0C89"/>
    <w:rsid w:val="003E22D4"/>
    <w:rsid w:val="003E2B94"/>
    <w:rsid w:val="003E3836"/>
    <w:rsid w:val="003E4B1D"/>
    <w:rsid w:val="003E4CD9"/>
    <w:rsid w:val="003E73BC"/>
    <w:rsid w:val="003F07AF"/>
    <w:rsid w:val="003F0ABA"/>
    <w:rsid w:val="003F1C7C"/>
    <w:rsid w:val="003F27D1"/>
    <w:rsid w:val="003F287E"/>
    <w:rsid w:val="003F3939"/>
    <w:rsid w:val="004023F4"/>
    <w:rsid w:val="00402479"/>
    <w:rsid w:val="004051BE"/>
    <w:rsid w:val="00406D11"/>
    <w:rsid w:val="00411FED"/>
    <w:rsid w:val="004140BA"/>
    <w:rsid w:val="004144EB"/>
    <w:rsid w:val="004144EE"/>
    <w:rsid w:val="004146BE"/>
    <w:rsid w:val="00414855"/>
    <w:rsid w:val="00415460"/>
    <w:rsid w:val="00415483"/>
    <w:rsid w:val="00415A5E"/>
    <w:rsid w:val="00417CCE"/>
    <w:rsid w:val="00421E3B"/>
    <w:rsid w:val="004246D3"/>
    <w:rsid w:val="00427697"/>
    <w:rsid w:val="00430570"/>
    <w:rsid w:val="00431621"/>
    <w:rsid w:val="00431969"/>
    <w:rsid w:val="00431F78"/>
    <w:rsid w:val="00433F60"/>
    <w:rsid w:val="00435582"/>
    <w:rsid w:val="0044114D"/>
    <w:rsid w:val="00441920"/>
    <w:rsid w:val="004419DA"/>
    <w:rsid w:val="00442945"/>
    <w:rsid w:val="00443198"/>
    <w:rsid w:val="00446BCB"/>
    <w:rsid w:val="00447592"/>
    <w:rsid w:val="00455C99"/>
    <w:rsid w:val="004572B4"/>
    <w:rsid w:val="00457386"/>
    <w:rsid w:val="004610A5"/>
    <w:rsid w:val="00461E0C"/>
    <w:rsid w:val="004622AF"/>
    <w:rsid w:val="004715B6"/>
    <w:rsid w:val="0047307A"/>
    <w:rsid w:val="00473CA5"/>
    <w:rsid w:val="00474F36"/>
    <w:rsid w:val="00474FC8"/>
    <w:rsid w:val="004760F2"/>
    <w:rsid w:val="004761B9"/>
    <w:rsid w:val="004854BF"/>
    <w:rsid w:val="0048674B"/>
    <w:rsid w:val="0048747D"/>
    <w:rsid w:val="00492432"/>
    <w:rsid w:val="00492787"/>
    <w:rsid w:val="004938FA"/>
    <w:rsid w:val="004949D0"/>
    <w:rsid w:val="0049771B"/>
    <w:rsid w:val="0049798B"/>
    <w:rsid w:val="00497BCA"/>
    <w:rsid w:val="004A2A28"/>
    <w:rsid w:val="004A41B7"/>
    <w:rsid w:val="004A5287"/>
    <w:rsid w:val="004A572B"/>
    <w:rsid w:val="004A6496"/>
    <w:rsid w:val="004A7831"/>
    <w:rsid w:val="004B1011"/>
    <w:rsid w:val="004B14C4"/>
    <w:rsid w:val="004B30C3"/>
    <w:rsid w:val="004C40E8"/>
    <w:rsid w:val="004C4F45"/>
    <w:rsid w:val="004C54A0"/>
    <w:rsid w:val="004C5B03"/>
    <w:rsid w:val="004C749A"/>
    <w:rsid w:val="004C7AC4"/>
    <w:rsid w:val="004D08F5"/>
    <w:rsid w:val="004D362A"/>
    <w:rsid w:val="004D5A16"/>
    <w:rsid w:val="004D5B29"/>
    <w:rsid w:val="004D5E02"/>
    <w:rsid w:val="004D5F70"/>
    <w:rsid w:val="004D75D8"/>
    <w:rsid w:val="004E05E7"/>
    <w:rsid w:val="004E1757"/>
    <w:rsid w:val="004E2F35"/>
    <w:rsid w:val="004E3204"/>
    <w:rsid w:val="004E3FFF"/>
    <w:rsid w:val="004E58C3"/>
    <w:rsid w:val="004E75A8"/>
    <w:rsid w:val="004E79BD"/>
    <w:rsid w:val="004F2383"/>
    <w:rsid w:val="004F23E9"/>
    <w:rsid w:val="004F2FF1"/>
    <w:rsid w:val="004F5854"/>
    <w:rsid w:val="004F72E9"/>
    <w:rsid w:val="00500EDA"/>
    <w:rsid w:val="00502D50"/>
    <w:rsid w:val="00503295"/>
    <w:rsid w:val="00503571"/>
    <w:rsid w:val="00503A81"/>
    <w:rsid w:val="00503B2F"/>
    <w:rsid w:val="00503E65"/>
    <w:rsid w:val="00504CED"/>
    <w:rsid w:val="00504D5D"/>
    <w:rsid w:val="00505BA0"/>
    <w:rsid w:val="00505E50"/>
    <w:rsid w:val="00512C92"/>
    <w:rsid w:val="00514497"/>
    <w:rsid w:val="00514988"/>
    <w:rsid w:val="00515110"/>
    <w:rsid w:val="005154BC"/>
    <w:rsid w:val="00517839"/>
    <w:rsid w:val="00523193"/>
    <w:rsid w:val="00523347"/>
    <w:rsid w:val="00524898"/>
    <w:rsid w:val="00525715"/>
    <w:rsid w:val="00525DBB"/>
    <w:rsid w:val="005262C2"/>
    <w:rsid w:val="00527A20"/>
    <w:rsid w:val="00530F5B"/>
    <w:rsid w:val="005310AE"/>
    <w:rsid w:val="005318B9"/>
    <w:rsid w:val="00531E07"/>
    <w:rsid w:val="005321F4"/>
    <w:rsid w:val="0053271E"/>
    <w:rsid w:val="005332F5"/>
    <w:rsid w:val="00534585"/>
    <w:rsid w:val="00534A1D"/>
    <w:rsid w:val="00535011"/>
    <w:rsid w:val="00535439"/>
    <w:rsid w:val="00540F72"/>
    <w:rsid w:val="00543297"/>
    <w:rsid w:val="00543DB7"/>
    <w:rsid w:val="00545FB5"/>
    <w:rsid w:val="005460F4"/>
    <w:rsid w:val="005469D0"/>
    <w:rsid w:val="00551BEE"/>
    <w:rsid w:val="00555069"/>
    <w:rsid w:val="00555CA0"/>
    <w:rsid w:val="00560E96"/>
    <w:rsid w:val="005611AB"/>
    <w:rsid w:val="0056564F"/>
    <w:rsid w:val="005673FC"/>
    <w:rsid w:val="00572F46"/>
    <w:rsid w:val="005850E9"/>
    <w:rsid w:val="00590A8E"/>
    <w:rsid w:val="005921ED"/>
    <w:rsid w:val="00592CAB"/>
    <w:rsid w:val="00593628"/>
    <w:rsid w:val="0059500A"/>
    <w:rsid w:val="005A08BE"/>
    <w:rsid w:val="005A4358"/>
    <w:rsid w:val="005A5F10"/>
    <w:rsid w:val="005A6378"/>
    <w:rsid w:val="005A69E2"/>
    <w:rsid w:val="005A6C7B"/>
    <w:rsid w:val="005B01F2"/>
    <w:rsid w:val="005B4F29"/>
    <w:rsid w:val="005B5378"/>
    <w:rsid w:val="005B5F54"/>
    <w:rsid w:val="005C3D9A"/>
    <w:rsid w:val="005D090E"/>
    <w:rsid w:val="005D40C7"/>
    <w:rsid w:val="005D4382"/>
    <w:rsid w:val="005D4D4F"/>
    <w:rsid w:val="005D5B48"/>
    <w:rsid w:val="005D60FF"/>
    <w:rsid w:val="005D6922"/>
    <w:rsid w:val="005D75C3"/>
    <w:rsid w:val="005E0C51"/>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7554"/>
    <w:rsid w:val="00607CD1"/>
    <w:rsid w:val="00613C23"/>
    <w:rsid w:val="00613EA0"/>
    <w:rsid w:val="0061492A"/>
    <w:rsid w:val="0061524E"/>
    <w:rsid w:val="00615576"/>
    <w:rsid w:val="0061563D"/>
    <w:rsid w:val="006158BA"/>
    <w:rsid w:val="00617175"/>
    <w:rsid w:val="006172CD"/>
    <w:rsid w:val="006207F3"/>
    <w:rsid w:val="006216D9"/>
    <w:rsid w:val="00621F3C"/>
    <w:rsid w:val="00623C44"/>
    <w:rsid w:val="00625C7F"/>
    <w:rsid w:val="006301EB"/>
    <w:rsid w:val="00631505"/>
    <w:rsid w:val="006327F5"/>
    <w:rsid w:val="0063491D"/>
    <w:rsid w:val="00640D08"/>
    <w:rsid w:val="00642706"/>
    <w:rsid w:val="00642A13"/>
    <w:rsid w:val="00642A8F"/>
    <w:rsid w:val="006437DA"/>
    <w:rsid w:val="00643ECB"/>
    <w:rsid w:val="0064401B"/>
    <w:rsid w:val="0064422C"/>
    <w:rsid w:val="00645170"/>
    <w:rsid w:val="0065242B"/>
    <w:rsid w:val="00652638"/>
    <w:rsid w:val="0065458B"/>
    <w:rsid w:val="00654A2F"/>
    <w:rsid w:val="00654DC2"/>
    <w:rsid w:val="00655AC4"/>
    <w:rsid w:val="0065707C"/>
    <w:rsid w:val="006574BB"/>
    <w:rsid w:val="00660C81"/>
    <w:rsid w:val="00661965"/>
    <w:rsid w:val="00662E16"/>
    <w:rsid w:val="00662E83"/>
    <w:rsid w:val="00663DDD"/>
    <w:rsid w:val="00664F45"/>
    <w:rsid w:val="00666BF3"/>
    <w:rsid w:val="006706A5"/>
    <w:rsid w:val="006709E7"/>
    <w:rsid w:val="0067116A"/>
    <w:rsid w:val="00671A52"/>
    <w:rsid w:val="00671D61"/>
    <w:rsid w:val="00672851"/>
    <w:rsid w:val="00680324"/>
    <w:rsid w:val="006811E0"/>
    <w:rsid w:val="006836BF"/>
    <w:rsid w:val="00685438"/>
    <w:rsid w:val="00685C47"/>
    <w:rsid w:val="00686195"/>
    <w:rsid w:val="0068734F"/>
    <w:rsid w:val="006873CB"/>
    <w:rsid w:val="006878D9"/>
    <w:rsid w:val="00690B33"/>
    <w:rsid w:val="00690F25"/>
    <w:rsid w:val="00693910"/>
    <w:rsid w:val="00694B21"/>
    <w:rsid w:val="00695654"/>
    <w:rsid w:val="006A0461"/>
    <w:rsid w:val="006A0550"/>
    <w:rsid w:val="006A0B82"/>
    <w:rsid w:val="006A29BE"/>
    <w:rsid w:val="006A4113"/>
    <w:rsid w:val="006A5CFC"/>
    <w:rsid w:val="006A5DB1"/>
    <w:rsid w:val="006A780B"/>
    <w:rsid w:val="006A7DB6"/>
    <w:rsid w:val="006B1632"/>
    <w:rsid w:val="006B247F"/>
    <w:rsid w:val="006B460D"/>
    <w:rsid w:val="006C56A5"/>
    <w:rsid w:val="006C58A2"/>
    <w:rsid w:val="006C5BFF"/>
    <w:rsid w:val="006C5D46"/>
    <w:rsid w:val="006C5DAF"/>
    <w:rsid w:val="006D0207"/>
    <w:rsid w:val="006D04EE"/>
    <w:rsid w:val="006D3169"/>
    <w:rsid w:val="006D590F"/>
    <w:rsid w:val="006D6E56"/>
    <w:rsid w:val="006E0ACD"/>
    <w:rsid w:val="006E19CA"/>
    <w:rsid w:val="006E270D"/>
    <w:rsid w:val="006E3777"/>
    <w:rsid w:val="006E50F1"/>
    <w:rsid w:val="006F0018"/>
    <w:rsid w:val="006F32C7"/>
    <w:rsid w:val="006F381F"/>
    <w:rsid w:val="006F4482"/>
    <w:rsid w:val="006F59DE"/>
    <w:rsid w:val="00700664"/>
    <w:rsid w:val="00701FAC"/>
    <w:rsid w:val="00702EF7"/>
    <w:rsid w:val="00704460"/>
    <w:rsid w:val="00704A66"/>
    <w:rsid w:val="007052E1"/>
    <w:rsid w:val="0070698C"/>
    <w:rsid w:val="00706A32"/>
    <w:rsid w:val="007078B7"/>
    <w:rsid w:val="00710EAE"/>
    <w:rsid w:val="007132B5"/>
    <w:rsid w:val="00715A44"/>
    <w:rsid w:val="00715D19"/>
    <w:rsid w:val="00716DBB"/>
    <w:rsid w:val="00717887"/>
    <w:rsid w:val="00717AA6"/>
    <w:rsid w:val="00720090"/>
    <w:rsid w:val="0072487D"/>
    <w:rsid w:val="007258B9"/>
    <w:rsid w:val="00732C4E"/>
    <w:rsid w:val="00733D05"/>
    <w:rsid w:val="00736CA8"/>
    <w:rsid w:val="00737C3A"/>
    <w:rsid w:val="00737F05"/>
    <w:rsid w:val="007431F5"/>
    <w:rsid w:val="00745223"/>
    <w:rsid w:val="00745908"/>
    <w:rsid w:val="007477F4"/>
    <w:rsid w:val="00752178"/>
    <w:rsid w:val="0075282E"/>
    <w:rsid w:val="00752F02"/>
    <w:rsid w:val="00754881"/>
    <w:rsid w:val="00754AB5"/>
    <w:rsid w:val="0075617D"/>
    <w:rsid w:val="007564AB"/>
    <w:rsid w:val="00756930"/>
    <w:rsid w:val="00756DFA"/>
    <w:rsid w:val="00757C4B"/>
    <w:rsid w:val="00761B0B"/>
    <w:rsid w:val="007631E0"/>
    <w:rsid w:val="00765781"/>
    <w:rsid w:val="00766353"/>
    <w:rsid w:val="00774460"/>
    <w:rsid w:val="00780296"/>
    <w:rsid w:val="00780707"/>
    <w:rsid w:val="00780972"/>
    <w:rsid w:val="00787B2C"/>
    <w:rsid w:val="00787D24"/>
    <w:rsid w:val="007A1DC5"/>
    <w:rsid w:val="007A20AD"/>
    <w:rsid w:val="007A5D05"/>
    <w:rsid w:val="007A7331"/>
    <w:rsid w:val="007A7415"/>
    <w:rsid w:val="007B0CB0"/>
    <w:rsid w:val="007B1F99"/>
    <w:rsid w:val="007B3A86"/>
    <w:rsid w:val="007B3DF4"/>
    <w:rsid w:val="007B54ED"/>
    <w:rsid w:val="007B596C"/>
    <w:rsid w:val="007C31CC"/>
    <w:rsid w:val="007C3E46"/>
    <w:rsid w:val="007C6751"/>
    <w:rsid w:val="007D0E00"/>
    <w:rsid w:val="007D0FC5"/>
    <w:rsid w:val="007D1913"/>
    <w:rsid w:val="007D298C"/>
    <w:rsid w:val="007D3420"/>
    <w:rsid w:val="007D5362"/>
    <w:rsid w:val="007D6110"/>
    <w:rsid w:val="007D6C48"/>
    <w:rsid w:val="007D71F7"/>
    <w:rsid w:val="007E000F"/>
    <w:rsid w:val="007E156E"/>
    <w:rsid w:val="007E2E70"/>
    <w:rsid w:val="007E3501"/>
    <w:rsid w:val="007E4C3F"/>
    <w:rsid w:val="007F2683"/>
    <w:rsid w:val="007F2956"/>
    <w:rsid w:val="007F2E32"/>
    <w:rsid w:val="007F6A11"/>
    <w:rsid w:val="008002AA"/>
    <w:rsid w:val="0080230D"/>
    <w:rsid w:val="00810827"/>
    <w:rsid w:val="00810FAF"/>
    <w:rsid w:val="008127D6"/>
    <w:rsid w:val="00814E45"/>
    <w:rsid w:val="00817DA7"/>
    <w:rsid w:val="00821B16"/>
    <w:rsid w:val="00824CEF"/>
    <w:rsid w:val="008254AB"/>
    <w:rsid w:val="00826480"/>
    <w:rsid w:val="00830148"/>
    <w:rsid w:val="008316AD"/>
    <w:rsid w:val="00831855"/>
    <w:rsid w:val="00835315"/>
    <w:rsid w:val="00835AEB"/>
    <w:rsid w:val="00840D0F"/>
    <w:rsid w:val="0084200E"/>
    <w:rsid w:val="00842A84"/>
    <w:rsid w:val="00842FDE"/>
    <w:rsid w:val="008445D4"/>
    <w:rsid w:val="008446F1"/>
    <w:rsid w:val="00846FF0"/>
    <w:rsid w:val="00854B56"/>
    <w:rsid w:val="0085728C"/>
    <w:rsid w:val="00857A42"/>
    <w:rsid w:val="008611A4"/>
    <w:rsid w:val="00861FD7"/>
    <w:rsid w:val="0086363F"/>
    <w:rsid w:val="008639C9"/>
    <w:rsid w:val="008667AD"/>
    <w:rsid w:val="00866D13"/>
    <w:rsid w:val="00874DEF"/>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92A"/>
    <w:rsid w:val="00896F35"/>
    <w:rsid w:val="008975E7"/>
    <w:rsid w:val="008A08D2"/>
    <w:rsid w:val="008A0DE1"/>
    <w:rsid w:val="008A2E7B"/>
    <w:rsid w:val="008A3EA4"/>
    <w:rsid w:val="008A7133"/>
    <w:rsid w:val="008B1D85"/>
    <w:rsid w:val="008B3920"/>
    <w:rsid w:val="008B5B9D"/>
    <w:rsid w:val="008B68C6"/>
    <w:rsid w:val="008B6F16"/>
    <w:rsid w:val="008B6F4B"/>
    <w:rsid w:val="008C0189"/>
    <w:rsid w:val="008C12FB"/>
    <w:rsid w:val="008C465E"/>
    <w:rsid w:val="008C4CE4"/>
    <w:rsid w:val="008C6787"/>
    <w:rsid w:val="008C73D6"/>
    <w:rsid w:val="008D0C62"/>
    <w:rsid w:val="008D2CD6"/>
    <w:rsid w:val="008D4939"/>
    <w:rsid w:val="008D50C8"/>
    <w:rsid w:val="008D7FC7"/>
    <w:rsid w:val="008E3D60"/>
    <w:rsid w:val="008E45DB"/>
    <w:rsid w:val="008E7390"/>
    <w:rsid w:val="008F05C2"/>
    <w:rsid w:val="008F1F00"/>
    <w:rsid w:val="008F42BB"/>
    <w:rsid w:val="008F47D1"/>
    <w:rsid w:val="00905434"/>
    <w:rsid w:val="00905C39"/>
    <w:rsid w:val="009072F6"/>
    <w:rsid w:val="00907697"/>
    <w:rsid w:val="009113AE"/>
    <w:rsid w:val="009116CC"/>
    <w:rsid w:val="00912262"/>
    <w:rsid w:val="00912A52"/>
    <w:rsid w:val="00912BE1"/>
    <w:rsid w:val="00921F3C"/>
    <w:rsid w:val="00923A05"/>
    <w:rsid w:val="00924F4A"/>
    <w:rsid w:val="009259EF"/>
    <w:rsid w:val="00927725"/>
    <w:rsid w:val="00927DC4"/>
    <w:rsid w:val="009304FE"/>
    <w:rsid w:val="00930782"/>
    <w:rsid w:val="009310F0"/>
    <w:rsid w:val="0093422B"/>
    <w:rsid w:val="0093570A"/>
    <w:rsid w:val="009363C8"/>
    <w:rsid w:val="00936C3C"/>
    <w:rsid w:val="00936EC8"/>
    <w:rsid w:val="00941138"/>
    <w:rsid w:val="00942DAE"/>
    <w:rsid w:val="00943F6E"/>
    <w:rsid w:val="00945D59"/>
    <w:rsid w:val="00947F9D"/>
    <w:rsid w:val="00951D24"/>
    <w:rsid w:val="00952049"/>
    <w:rsid w:val="00953BC2"/>
    <w:rsid w:val="009564F3"/>
    <w:rsid w:val="009565E3"/>
    <w:rsid w:val="00956972"/>
    <w:rsid w:val="00961E91"/>
    <w:rsid w:val="00963876"/>
    <w:rsid w:val="00966051"/>
    <w:rsid w:val="00974568"/>
    <w:rsid w:val="0097493A"/>
    <w:rsid w:val="00977973"/>
    <w:rsid w:val="00981F79"/>
    <w:rsid w:val="009834E9"/>
    <w:rsid w:val="009850EF"/>
    <w:rsid w:val="009868FC"/>
    <w:rsid w:val="00991A16"/>
    <w:rsid w:val="00993BEE"/>
    <w:rsid w:val="009961EE"/>
    <w:rsid w:val="00996FC8"/>
    <w:rsid w:val="009A0BF1"/>
    <w:rsid w:val="009A23A4"/>
    <w:rsid w:val="009A43AF"/>
    <w:rsid w:val="009B0086"/>
    <w:rsid w:val="009B0DF1"/>
    <w:rsid w:val="009B4416"/>
    <w:rsid w:val="009B4E8F"/>
    <w:rsid w:val="009B5E0E"/>
    <w:rsid w:val="009B75B8"/>
    <w:rsid w:val="009B7FCB"/>
    <w:rsid w:val="009C07DF"/>
    <w:rsid w:val="009C0E2E"/>
    <w:rsid w:val="009C190C"/>
    <w:rsid w:val="009C2436"/>
    <w:rsid w:val="009C77A0"/>
    <w:rsid w:val="009C79CB"/>
    <w:rsid w:val="009D1640"/>
    <w:rsid w:val="009D21D0"/>
    <w:rsid w:val="009D2FBA"/>
    <w:rsid w:val="009D351E"/>
    <w:rsid w:val="009D7787"/>
    <w:rsid w:val="009E02C9"/>
    <w:rsid w:val="009E2A96"/>
    <w:rsid w:val="009E39DC"/>
    <w:rsid w:val="009E44D4"/>
    <w:rsid w:val="009E455F"/>
    <w:rsid w:val="009E5645"/>
    <w:rsid w:val="009E56B4"/>
    <w:rsid w:val="009E67DD"/>
    <w:rsid w:val="009F43C3"/>
    <w:rsid w:val="009F4C44"/>
    <w:rsid w:val="00A020B4"/>
    <w:rsid w:val="00A02F3C"/>
    <w:rsid w:val="00A043FE"/>
    <w:rsid w:val="00A05916"/>
    <w:rsid w:val="00A05AA6"/>
    <w:rsid w:val="00A06192"/>
    <w:rsid w:val="00A07065"/>
    <w:rsid w:val="00A10886"/>
    <w:rsid w:val="00A11861"/>
    <w:rsid w:val="00A1266A"/>
    <w:rsid w:val="00A1389B"/>
    <w:rsid w:val="00A1622A"/>
    <w:rsid w:val="00A16EEB"/>
    <w:rsid w:val="00A20575"/>
    <w:rsid w:val="00A2114F"/>
    <w:rsid w:val="00A2216E"/>
    <w:rsid w:val="00A22F5A"/>
    <w:rsid w:val="00A2370B"/>
    <w:rsid w:val="00A23F13"/>
    <w:rsid w:val="00A26956"/>
    <w:rsid w:val="00A27ACC"/>
    <w:rsid w:val="00A27C20"/>
    <w:rsid w:val="00A30EA6"/>
    <w:rsid w:val="00A31523"/>
    <w:rsid w:val="00A31536"/>
    <w:rsid w:val="00A31FAC"/>
    <w:rsid w:val="00A346FE"/>
    <w:rsid w:val="00A3596C"/>
    <w:rsid w:val="00A36B1D"/>
    <w:rsid w:val="00A36E14"/>
    <w:rsid w:val="00A40446"/>
    <w:rsid w:val="00A437BB"/>
    <w:rsid w:val="00A4716C"/>
    <w:rsid w:val="00A52978"/>
    <w:rsid w:val="00A53130"/>
    <w:rsid w:val="00A5412B"/>
    <w:rsid w:val="00A6042C"/>
    <w:rsid w:val="00A628DE"/>
    <w:rsid w:val="00A64735"/>
    <w:rsid w:val="00A64AC6"/>
    <w:rsid w:val="00A666B7"/>
    <w:rsid w:val="00A66B50"/>
    <w:rsid w:val="00A72556"/>
    <w:rsid w:val="00A7322E"/>
    <w:rsid w:val="00A73601"/>
    <w:rsid w:val="00A7422E"/>
    <w:rsid w:val="00A746B4"/>
    <w:rsid w:val="00A80B08"/>
    <w:rsid w:val="00A84536"/>
    <w:rsid w:val="00A8510A"/>
    <w:rsid w:val="00A85226"/>
    <w:rsid w:val="00A857A7"/>
    <w:rsid w:val="00A860D4"/>
    <w:rsid w:val="00A92240"/>
    <w:rsid w:val="00A944A8"/>
    <w:rsid w:val="00A973D1"/>
    <w:rsid w:val="00AA5C5A"/>
    <w:rsid w:val="00AA72B5"/>
    <w:rsid w:val="00AB2C4F"/>
    <w:rsid w:val="00AB5020"/>
    <w:rsid w:val="00AB5F73"/>
    <w:rsid w:val="00AB6968"/>
    <w:rsid w:val="00AB699B"/>
    <w:rsid w:val="00AB6EAA"/>
    <w:rsid w:val="00AC113A"/>
    <w:rsid w:val="00AC1E64"/>
    <w:rsid w:val="00AC2919"/>
    <w:rsid w:val="00AC3473"/>
    <w:rsid w:val="00AC4230"/>
    <w:rsid w:val="00AC4746"/>
    <w:rsid w:val="00AC5FB9"/>
    <w:rsid w:val="00AC6F04"/>
    <w:rsid w:val="00AC7204"/>
    <w:rsid w:val="00AD07F3"/>
    <w:rsid w:val="00AD1FB6"/>
    <w:rsid w:val="00AD22B6"/>
    <w:rsid w:val="00AD5C38"/>
    <w:rsid w:val="00AE2494"/>
    <w:rsid w:val="00AE2D37"/>
    <w:rsid w:val="00AE2D7B"/>
    <w:rsid w:val="00AE655A"/>
    <w:rsid w:val="00AF0AC1"/>
    <w:rsid w:val="00AF16AA"/>
    <w:rsid w:val="00AF41FA"/>
    <w:rsid w:val="00AF4B50"/>
    <w:rsid w:val="00AF4E66"/>
    <w:rsid w:val="00AF6DD9"/>
    <w:rsid w:val="00B001CE"/>
    <w:rsid w:val="00B01F47"/>
    <w:rsid w:val="00B021F9"/>
    <w:rsid w:val="00B03703"/>
    <w:rsid w:val="00B044F4"/>
    <w:rsid w:val="00B05C76"/>
    <w:rsid w:val="00B07E37"/>
    <w:rsid w:val="00B101A9"/>
    <w:rsid w:val="00B106F6"/>
    <w:rsid w:val="00B10F4E"/>
    <w:rsid w:val="00B11E5B"/>
    <w:rsid w:val="00B146AF"/>
    <w:rsid w:val="00B1511A"/>
    <w:rsid w:val="00B15D08"/>
    <w:rsid w:val="00B16E7E"/>
    <w:rsid w:val="00B20655"/>
    <w:rsid w:val="00B20AC4"/>
    <w:rsid w:val="00B2631A"/>
    <w:rsid w:val="00B265B1"/>
    <w:rsid w:val="00B26D8F"/>
    <w:rsid w:val="00B301A2"/>
    <w:rsid w:val="00B303F0"/>
    <w:rsid w:val="00B30A47"/>
    <w:rsid w:val="00B312A4"/>
    <w:rsid w:val="00B32D74"/>
    <w:rsid w:val="00B3348E"/>
    <w:rsid w:val="00B35695"/>
    <w:rsid w:val="00B40231"/>
    <w:rsid w:val="00B40C7A"/>
    <w:rsid w:val="00B419E0"/>
    <w:rsid w:val="00B4266C"/>
    <w:rsid w:val="00B42ABB"/>
    <w:rsid w:val="00B42F5F"/>
    <w:rsid w:val="00B45042"/>
    <w:rsid w:val="00B508E9"/>
    <w:rsid w:val="00B513A5"/>
    <w:rsid w:val="00B52B1B"/>
    <w:rsid w:val="00B531F1"/>
    <w:rsid w:val="00B547FB"/>
    <w:rsid w:val="00B555ED"/>
    <w:rsid w:val="00B55B97"/>
    <w:rsid w:val="00B56E5D"/>
    <w:rsid w:val="00B5729D"/>
    <w:rsid w:val="00B57E11"/>
    <w:rsid w:val="00B61727"/>
    <w:rsid w:val="00B6173F"/>
    <w:rsid w:val="00B64C58"/>
    <w:rsid w:val="00B66BAE"/>
    <w:rsid w:val="00B70517"/>
    <w:rsid w:val="00B7181E"/>
    <w:rsid w:val="00B72736"/>
    <w:rsid w:val="00B72809"/>
    <w:rsid w:val="00B72A2A"/>
    <w:rsid w:val="00B72D9A"/>
    <w:rsid w:val="00B74F9D"/>
    <w:rsid w:val="00B751FF"/>
    <w:rsid w:val="00B75BB3"/>
    <w:rsid w:val="00B8045B"/>
    <w:rsid w:val="00B80D03"/>
    <w:rsid w:val="00B8177E"/>
    <w:rsid w:val="00B81FD1"/>
    <w:rsid w:val="00B866CA"/>
    <w:rsid w:val="00B9185F"/>
    <w:rsid w:val="00B918B1"/>
    <w:rsid w:val="00B92D56"/>
    <w:rsid w:val="00B951C0"/>
    <w:rsid w:val="00B95A7D"/>
    <w:rsid w:val="00B96A3D"/>
    <w:rsid w:val="00BA4EA6"/>
    <w:rsid w:val="00BA657A"/>
    <w:rsid w:val="00BA7BD2"/>
    <w:rsid w:val="00BB1257"/>
    <w:rsid w:val="00BB25C7"/>
    <w:rsid w:val="00BB276B"/>
    <w:rsid w:val="00BB354F"/>
    <w:rsid w:val="00BB36A8"/>
    <w:rsid w:val="00BB4228"/>
    <w:rsid w:val="00BB4825"/>
    <w:rsid w:val="00BB5B0A"/>
    <w:rsid w:val="00BB700A"/>
    <w:rsid w:val="00BB7187"/>
    <w:rsid w:val="00BC0BCB"/>
    <w:rsid w:val="00BC108B"/>
    <w:rsid w:val="00BC12B6"/>
    <w:rsid w:val="00BC2DCC"/>
    <w:rsid w:val="00BC2DF0"/>
    <w:rsid w:val="00BC321A"/>
    <w:rsid w:val="00BC3F05"/>
    <w:rsid w:val="00BC45CB"/>
    <w:rsid w:val="00BC5C7E"/>
    <w:rsid w:val="00BD1E93"/>
    <w:rsid w:val="00BD1F85"/>
    <w:rsid w:val="00BD27A4"/>
    <w:rsid w:val="00BD57BE"/>
    <w:rsid w:val="00BD720D"/>
    <w:rsid w:val="00BE1981"/>
    <w:rsid w:val="00BE1985"/>
    <w:rsid w:val="00BE2DFC"/>
    <w:rsid w:val="00BE37E1"/>
    <w:rsid w:val="00BE448A"/>
    <w:rsid w:val="00BE6B92"/>
    <w:rsid w:val="00BE6BBF"/>
    <w:rsid w:val="00BF335C"/>
    <w:rsid w:val="00BF48C1"/>
    <w:rsid w:val="00BF5828"/>
    <w:rsid w:val="00BF6C75"/>
    <w:rsid w:val="00C00570"/>
    <w:rsid w:val="00C00AE5"/>
    <w:rsid w:val="00C03981"/>
    <w:rsid w:val="00C04218"/>
    <w:rsid w:val="00C05103"/>
    <w:rsid w:val="00C0704F"/>
    <w:rsid w:val="00C07844"/>
    <w:rsid w:val="00C07AD3"/>
    <w:rsid w:val="00C100E8"/>
    <w:rsid w:val="00C1369E"/>
    <w:rsid w:val="00C13ED1"/>
    <w:rsid w:val="00C1408E"/>
    <w:rsid w:val="00C14801"/>
    <w:rsid w:val="00C14D24"/>
    <w:rsid w:val="00C15225"/>
    <w:rsid w:val="00C152B8"/>
    <w:rsid w:val="00C16966"/>
    <w:rsid w:val="00C16E1E"/>
    <w:rsid w:val="00C26422"/>
    <w:rsid w:val="00C26763"/>
    <w:rsid w:val="00C26C7C"/>
    <w:rsid w:val="00C276FE"/>
    <w:rsid w:val="00C32484"/>
    <w:rsid w:val="00C3269F"/>
    <w:rsid w:val="00C33C89"/>
    <w:rsid w:val="00C34D03"/>
    <w:rsid w:val="00C41F4A"/>
    <w:rsid w:val="00C45358"/>
    <w:rsid w:val="00C45513"/>
    <w:rsid w:val="00C4681F"/>
    <w:rsid w:val="00C51391"/>
    <w:rsid w:val="00C56CDC"/>
    <w:rsid w:val="00C577BF"/>
    <w:rsid w:val="00C609DF"/>
    <w:rsid w:val="00C6107C"/>
    <w:rsid w:val="00C6111C"/>
    <w:rsid w:val="00C65A7D"/>
    <w:rsid w:val="00C65E9D"/>
    <w:rsid w:val="00C70497"/>
    <w:rsid w:val="00C704B8"/>
    <w:rsid w:val="00C7149A"/>
    <w:rsid w:val="00C74E95"/>
    <w:rsid w:val="00C74FDD"/>
    <w:rsid w:val="00C81097"/>
    <w:rsid w:val="00C81704"/>
    <w:rsid w:val="00C848D1"/>
    <w:rsid w:val="00C869F3"/>
    <w:rsid w:val="00C86F0C"/>
    <w:rsid w:val="00C87880"/>
    <w:rsid w:val="00C918DF"/>
    <w:rsid w:val="00C93939"/>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B73"/>
    <w:rsid w:val="00CA6BAF"/>
    <w:rsid w:val="00CB0B66"/>
    <w:rsid w:val="00CB1C25"/>
    <w:rsid w:val="00CB6336"/>
    <w:rsid w:val="00CC14C4"/>
    <w:rsid w:val="00CC4EB1"/>
    <w:rsid w:val="00CC54C3"/>
    <w:rsid w:val="00CC5812"/>
    <w:rsid w:val="00CC6BD1"/>
    <w:rsid w:val="00CC714E"/>
    <w:rsid w:val="00CD1C84"/>
    <w:rsid w:val="00CD24A8"/>
    <w:rsid w:val="00CD32A8"/>
    <w:rsid w:val="00CD38B6"/>
    <w:rsid w:val="00CD5D7F"/>
    <w:rsid w:val="00CD7494"/>
    <w:rsid w:val="00CD7578"/>
    <w:rsid w:val="00CD7D3D"/>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D01C1F"/>
    <w:rsid w:val="00D025A0"/>
    <w:rsid w:val="00D04F78"/>
    <w:rsid w:val="00D05704"/>
    <w:rsid w:val="00D12493"/>
    <w:rsid w:val="00D14EF9"/>
    <w:rsid w:val="00D15AE9"/>
    <w:rsid w:val="00D21282"/>
    <w:rsid w:val="00D21CD0"/>
    <w:rsid w:val="00D222D0"/>
    <w:rsid w:val="00D2377A"/>
    <w:rsid w:val="00D23D51"/>
    <w:rsid w:val="00D30E85"/>
    <w:rsid w:val="00D325CD"/>
    <w:rsid w:val="00D32B20"/>
    <w:rsid w:val="00D33BAD"/>
    <w:rsid w:val="00D3501F"/>
    <w:rsid w:val="00D36224"/>
    <w:rsid w:val="00D416AA"/>
    <w:rsid w:val="00D41FF6"/>
    <w:rsid w:val="00D45FDF"/>
    <w:rsid w:val="00D50742"/>
    <w:rsid w:val="00D50EE4"/>
    <w:rsid w:val="00D540B2"/>
    <w:rsid w:val="00D55558"/>
    <w:rsid w:val="00D556A2"/>
    <w:rsid w:val="00D55FDF"/>
    <w:rsid w:val="00D5616B"/>
    <w:rsid w:val="00D5673B"/>
    <w:rsid w:val="00D56769"/>
    <w:rsid w:val="00D56F3D"/>
    <w:rsid w:val="00D63483"/>
    <w:rsid w:val="00D63FC0"/>
    <w:rsid w:val="00D65037"/>
    <w:rsid w:val="00D66349"/>
    <w:rsid w:val="00D66661"/>
    <w:rsid w:val="00D66F4D"/>
    <w:rsid w:val="00D74447"/>
    <w:rsid w:val="00D75B68"/>
    <w:rsid w:val="00D75DD0"/>
    <w:rsid w:val="00D76810"/>
    <w:rsid w:val="00D76EF3"/>
    <w:rsid w:val="00D80A47"/>
    <w:rsid w:val="00D81263"/>
    <w:rsid w:val="00D83927"/>
    <w:rsid w:val="00D85E86"/>
    <w:rsid w:val="00D867A5"/>
    <w:rsid w:val="00D923E5"/>
    <w:rsid w:val="00D942D5"/>
    <w:rsid w:val="00D94DB6"/>
    <w:rsid w:val="00D964B5"/>
    <w:rsid w:val="00DA1938"/>
    <w:rsid w:val="00DA3675"/>
    <w:rsid w:val="00DA4B4A"/>
    <w:rsid w:val="00DA7199"/>
    <w:rsid w:val="00DB07BF"/>
    <w:rsid w:val="00DB56B4"/>
    <w:rsid w:val="00DB61A8"/>
    <w:rsid w:val="00DC07A5"/>
    <w:rsid w:val="00DC0B14"/>
    <w:rsid w:val="00DC134F"/>
    <w:rsid w:val="00DC2DC4"/>
    <w:rsid w:val="00DC2FD3"/>
    <w:rsid w:val="00DC4F0E"/>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3207"/>
    <w:rsid w:val="00DE5D05"/>
    <w:rsid w:val="00DE6CE8"/>
    <w:rsid w:val="00DE6DAB"/>
    <w:rsid w:val="00DE7AB3"/>
    <w:rsid w:val="00DF0036"/>
    <w:rsid w:val="00DF0724"/>
    <w:rsid w:val="00DF4141"/>
    <w:rsid w:val="00DF4AA9"/>
    <w:rsid w:val="00DF6AC2"/>
    <w:rsid w:val="00DF7AAA"/>
    <w:rsid w:val="00E007AE"/>
    <w:rsid w:val="00E028C2"/>
    <w:rsid w:val="00E04197"/>
    <w:rsid w:val="00E05189"/>
    <w:rsid w:val="00E05801"/>
    <w:rsid w:val="00E05C7D"/>
    <w:rsid w:val="00E06113"/>
    <w:rsid w:val="00E064FC"/>
    <w:rsid w:val="00E1053D"/>
    <w:rsid w:val="00E12301"/>
    <w:rsid w:val="00E12922"/>
    <w:rsid w:val="00E12E16"/>
    <w:rsid w:val="00E13CEA"/>
    <w:rsid w:val="00E14272"/>
    <w:rsid w:val="00E1561C"/>
    <w:rsid w:val="00E1648B"/>
    <w:rsid w:val="00E22AF2"/>
    <w:rsid w:val="00E240F1"/>
    <w:rsid w:val="00E25274"/>
    <w:rsid w:val="00E26111"/>
    <w:rsid w:val="00E266C1"/>
    <w:rsid w:val="00E26E0C"/>
    <w:rsid w:val="00E302B8"/>
    <w:rsid w:val="00E31C44"/>
    <w:rsid w:val="00E34401"/>
    <w:rsid w:val="00E34CCD"/>
    <w:rsid w:val="00E3553E"/>
    <w:rsid w:val="00E375A3"/>
    <w:rsid w:val="00E375EE"/>
    <w:rsid w:val="00E37A09"/>
    <w:rsid w:val="00E40E74"/>
    <w:rsid w:val="00E412C8"/>
    <w:rsid w:val="00E4139F"/>
    <w:rsid w:val="00E42464"/>
    <w:rsid w:val="00E442D3"/>
    <w:rsid w:val="00E46C3A"/>
    <w:rsid w:val="00E501E9"/>
    <w:rsid w:val="00E53916"/>
    <w:rsid w:val="00E54B68"/>
    <w:rsid w:val="00E54F24"/>
    <w:rsid w:val="00E5737B"/>
    <w:rsid w:val="00E574E0"/>
    <w:rsid w:val="00E57997"/>
    <w:rsid w:val="00E60D4F"/>
    <w:rsid w:val="00E614A7"/>
    <w:rsid w:val="00E61A27"/>
    <w:rsid w:val="00E62BE3"/>
    <w:rsid w:val="00E63A60"/>
    <w:rsid w:val="00E64049"/>
    <w:rsid w:val="00E64DB9"/>
    <w:rsid w:val="00E72523"/>
    <w:rsid w:val="00E73C65"/>
    <w:rsid w:val="00E741A1"/>
    <w:rsid w:val="00E74D5E"/>
    <w:rsid w:val="00E77ADD"/>
    <w:rsid w:val="00E849FB"/>
    <w:rsid w:val="00E865EA"/>
    <w:rsid w:val="00E91896"/>
    <w:rsid w:val="00E9272A"/>
    <w:rsid w:val="00E93FDD"/>
    <w:rsid w:val="00E9423B"/>
    <w:rsid w:val="00E95165"/>
    <w:rsid w:val="00E966E3"/>
    <w:rsid w:val="00E968B2"/>
    <w:rsid w:val="00E97BC1"/>
    <w:rsid w:val="00EA086B"/>
    <w:rsid w:val="00EA1B47"/>
    <w:rsid w:val="00EA4EBA"/>
    <w:rsid w:val="00EA7014"/>
    <w:rsid w:val="00EB3F2D"/>
    <w:rsid w:val="00EB41FD"/>
    <w:rsid w:val="00EB52D7"/>
    <w:rsid w:val="00EB5DBD"/>
    <w:rsid w:val="00EC0FE8"/>
    <w:rsid w:val="00EC2D4C"/>
    <w:rsid w:val="00EC3530"/>
    <w:rsid w:val="00EC3ED2"/>
    <w:rsid w:val="00EC46A8"/>
    <w:rsid w:val="00EC4AB0"/>
    <w:rsid w:val="00EC4D1C"/>
    <w:rsid w:val="00EC56D6"/>
    <w:rsid w:val="00EC5EF0"/>
    <w:rsid w:val="00EC5F13"/>
    <w:rsid w:val="00EC73B4"/>
    <w:rsid w:val="00ED075D"/>
    <w:rsid w:val="00ED08E4"/>
    <w:rsid w:val="00ED114C"/>
    <w:rsid w:val="00ED3390"/>
    <w:rsid w:val="00ED6560"/>
    <w:rsid w:val="00ED6EB2"/>
    <w:rsid w:val="00ED785A"/>
    <w:rsid w:val="00ED7F27"/>
    <w:rsid w:val="00EE21F4"/>
    <w:rsid w:val="00EF0212"/>
    <w:rsid w:val="00EF095C"/>
    <w:rsid w:val="00EF0F4B"/>
    <w:rsid w:val="00EF1579"/>
    <w:rsid w:val="00EF3738"/>
    <w:rsid w:val="00EF782F"/>
    <w:rsid w:val="00EF7CD6"/>
    <w:rsid w:val="00F02ACE"/>
    <w:rsid w:val="00F061E4"/>
    <w:rsid w:val="00F07424"/>
    <w:rsid w:val="00F07D5F"/>
    <w:rsid w:val="00F12408"/>
    <w:rsid w:val="00F12DC2"/>
    <w:rsid w:val="00F139DD"/>
    <w:rsid w:val="00F147F9"/>
    <w:rsid w:val="00F15AA1"/>
    <w:rsid w:val="00F167EB"/>
    <w:rsid w:val="00F177E3"/>
    <w:rsid w:val="00F24526"/>
    <w:rsid w:val="00F24C1C"/>
    <w:rsid w:val="00F32D74"/>
    <w:rsid w:val="00F332CF"/>
    <w:rsid w:val="00F3684A"/>
    <w:rsid w:val="00F409F0"/>
    <w:rsid w:val="00F40A17"/>
    <w:rsid w:val="00F41CC2"/>
    <w:rsid w:val="00F44E4B"/>
    <w:rsid w:val="00F458CA"/>
    <w:rsid w:val="00F45B85"/>
    <w:rsid w:val="00F45C6F"/>
    <w:rsid w:val="00F45DB2"/>
    <w:rsid w:val="00F47CD9"/>
    <w:rsid w:val="00F50C10"/>
    <w:rsid w:val="00F52C7E"/>
    <w:rsid w:val="00F550EA"/>
    <w:rsid w:val="00F55BED"/>
    <w:rsid w:val="00F5729E"/>
    <w:rsid w:val="00F57956"/>
    <w:rsid w:val="00F60984"/>
    <w:rsid w:val="00F64418"/>
    <w:rsid w:val="00F65036"/>
    <w:rsid w:val="00F65147"/>
    <w:rsid w:val="00F652BB"/>
    <w:rsid w:val="00F6694C"/>
    <w:rsid w:val="00F66AF2"/>
    <w:rsid w:val="00F70645"/>
    <w:rsid w:val="00F8097F"/>
    <w:rsid w:val="00F8178D"/>
    <w:rsid w:val="00F83BAD"/>
    <w:rsid w:val="00F86732"/>
    <w:rsid w:val="00F923D8"/>
    <w:rsid w:val="00F93027"/>
    <w:rsid w:val="00F945B3"/>
    <w:rsid w:val="00F96208"/>
    <w:rsid w:val="00F96664"/>
    <w:rsid w:val="00F97807"/>
    <w:rsid w:val="00FA1E4A"/>
    <w:rsid w:val="00FA2C64"/>
    <w:rsid w:val="00FA4F12"/>
    <w:rsid w:val="00FB0722"/>
    <w:rsid w:val="00FB1D58"/>
    <w:rsid w:val="00FB2808"/>
    <w:rsid w:val="00FB29D2"/>
    <w:rsid w:val="00FB37EA"/>
    <w:rsid w:val="00FB65AC"/>
    <w:rsid w:val="00FB6C98"/>
    <w:rsid w:val="00FB6CD4"/>
    <w:rsid w:val="00FC4BD9"/>
    <w:rsid w:val="00FC4D9A"/>
    <w:rsid w:val="00FC501B"/>
    <w:rsid w:val="00FC5547"/>
    <w:rsid w:val="00FC71E8"/>
    <w:rsid w:val="00FD2521"/>
    <w:rsid w:val="00FD286B"/>
    <w:rsid w:val="00FD2B91"/>
    <w:rsid w:val="00FD3549"/>
    <w:rsid w:val="00FD497B"/>
    <w:rsid w:val="00FD5BB3"/>
    <w:rsid w:val="00FE0478"/>
    <w:rsid w:val="00FE0C89"/>
    <w:rsid w:val="00FE3446"/>
    <w:rsid w:val="00FE4072"/>
    <w:rsid w:val="00FE479B"/>
    <w:rsid w:val="00FE63DF"/>
    <w:rsid w:val="00FE7460"/>
    <w:rsid w:val="00FF0555"/>
    <w:rsid w:val="00FF296D"/>
    <w:rsid w:val="00FF4A2A"/>
    <w:rsid w:val="00FF4F7F"/>
    <w:rsid w:val="00FF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4B09-DFA7-47B1-9BBC-B46761A3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joyce marie farner</cp:lastModifiedBy>
  <cp:revision>5</cp:revision>
  <cp:lastPrinted>2011-02-10T18:55:00Z</cp:lastPrinted>
  <dcterms:created xsi:type="dcterms:W3CDTF">2011-01-27T14:16:00Z</dcterms:created>
  <dcterms:modified xsi:type="dcterms:W3CDTF">2011-02-10T18:55:00Z</dcterms:modified>
</cp:coreProperties>
</file>