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05" w:rsidRPr="00152350" w:rsidRDefault="00DD3605" w:rsidP="00152350">
      <w:pPr>
        <w:jc w:val="center"/>
        <w:rPr>
          <w:b/>
          <w:sz w:val="24"/>
          <w:szCs w:val="24"/>
        </w:rPr>
      </w:pPr>
      <w:r w:rsidRPr="00152350">
        <w:rPr>
          <w:b/>
          <w:sz w:val="24"/>
          <w:szCs w:val="24"/>
        </w:rPr>
        <w:t>BEFORE THE</w:t>
      </w:r>
    </w:p>
    <w:p w:rsidR="00DD3605" w:rsidRPr="00152350" w:rsidRDefault="00DD3605" w:rsidP="00152350">
      <w:pPr>
        <w:jc w:val="center"/>
        <w:rPr>
          <w:b/>
          <w:sz w:val="24"/>
          <w:szCs w:val="24"/>
        </w:rPr>
      </w:pPr>
      <w:r w:rsidRPr="00152350">
        <w:rPr>
          <w:b/>
          <w:sz w:val="24"/>
          <w:szCs w:val="24"/>
        </w:rPr>
        <w:t>PENNSYLVANIA PUBLIC UTILITY COMMISSION</w:t>
      </w:r>
    </w:p>
    <w:p w:rsidR="00DD3605" w:rsidRPr="00152350" w:rsidRDefault="00DD3605" w:rsidP="00152350">
      <w:pPr>
        <w:jc w:val="center"/>
        <w:rPr>
          <w:b/>
          <w:sz w:val="24"/>
          <w:szCs w:val="24"/>
        </w:rPr>
      </w:pPr>
    </w:p>
    <w:p w:rsidR="00DD3605" w:rsidRPr="00152350" w:rsidRDefault="00DD3605" w:rsidP="00152350">
      <w:pPr>
        <w:jc w:val="center"/>
        <w:rPr>
          <w:b/>
          <w:sz w:val="24"/>
          <w:szCs w:val="24"/>
        </w:rPr>
      </w:pPr>
    </w:p>
    <w:p w:rsidR="00DD3605" w:rsidRPr="00152350" w:rsidRDefault="00DD3605" w:rsidP="00152350">
      <w:pPr>
        <w:jc w:val="center"/>
        <w:rPr>
          <w:b/>
          <w:sz w:val="24"/>
          <w:szCs w:val="24"/>
        </w:rPr>
      </w:pPr>
    </w:p>
    <w:p w:rsidR="00DD3605" w:rsidRPr="00152350" w:rsidRDefault="008B565D" w:rsidP="00152350">
      <w:pPr>
        <w:rPr>
          <w:sz w:val="24"/>
          <w:szCs w:val="24"/>
        </w:rPr>
      </w:pPr>
      <w:r w:rsidRPr="00152350">
        <w:rPr>
          <w:sz w:val="24"/>
          <w:szCs w:val="24"/>
        </w:rPr>
        <w:t xml:space="preserve">First Millenium, LLC, </w:t>
      </w:r>
      <w:r w:rsidR="00DD3605" w:rsidRPr="00152350">
        <w:rPr>
          <w:sz w:val="24"/>
          <w:szCs w:val="24"/>
        </w:rPr>
        <w:t>Complainant</w:t>
      </w:r>
      <w:r w:rsidR="00DD3605" w:rsidRPr="00152350">
        <w:rPr>
          <w:sz w:val="24"/>
          <w:szCs w:val="24"/>
        </w:rPr>
        <w:tab/>
      </w:r>
      <w:r w:rsidR="00DD3605" w:rsidRPr="00152350">
        <w:rPr>
          <w:sz w:val="24"/>
          <w:szCs w:val="24"/>
        </w:rPr>
        <w:tab/>
        <w:t>:</w:t>
      </w:r>
    </w:p>
    <w:p w:rsidR="00DD3605" w:rsidRPr="00152350" w:rsidRDefault="00DD3605" w:rsidP="00152350">
      <w:pPr>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t>:</w:t>
      </w:r>
    </w:p>
    <w:p w:rsidR="00DD3605" w:rsidRPr="00152350" w:rsidRDefault="00DD3605" w:rsidP="00152350">
      <w:pPr>
        <w:rPr>
          <w:sz w:val="24"/>
          <w:szCs w:val="24"/>
        </w:rPr>
      </w:pPr>
      <w:r w:rsidRPr="00152350">
        <w:rPr>
          <w:sz w:val="24"/>
          <w:szCs w:val="24"/>
        </w:rPr>
        <w:tab/>
        <w:t>v.</w:t>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t>:</w:t>
      </w:r>
      <w:r w:rsidRPr="00152350">
        <w:rPr>
          <w:sz w:val="24"/>
          <w:szCs w:val="24"/>
        </w:rPr>
        <w:tab/>
        <w:t>Docket No. C-20</w:t>
      </w:r>
      <w:r w:rsidR="00A052F0" w:rsidRPr="00152350">
        <w:rPr>
          <w:sz w:val="24"/>
          <w:szCs w:val="24"/>
        </w:rPr>
        <w:t>10</w:t>
      </w:r>
      <w:r w:rsidRPr="00152350">
        <w:rPr>
          <w:sz w:val="24"/>
          <w:szCs w:val="24"/>
        </w:rPr>
        <w:t>-</w:t>
      </w:r>
      <w:r w:rsidR="00A052F0" w:rsidRPr="00152350">
        <w:rPr>
          <w:sz w:val="24"/>
          <w:szCs w:val="24"/>
        </w:rPr>
        <w:t>220</w:t>
      </w:r>
      <w:r w:rsidR="008B565D" w:rsidRPr="00152350">
        <w:rPr>
          <w:sz w:val="24"/>
          <w:szCs w:val="24"/>
        </w:rPr>
        <w:t>5039</w:t>
      </w:r>
    </w:p>
    <w:p w:rsidR="00DD3605" w:rsidRPr="00152350" w:rsidRDefault="00DD3605" w:rsidP="00152350">
      <w:pPr>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t>:</w:t>
      </w:r>
    </w:p>
    <w:p w:rsidR="00DD3605" w:rsidRPr="00152350" w:rsidRDefault="00DD3605" w:rsidP="00152350">
      <w:pPr>
        <w:rPr>
          <w:sz w:val="24"/>
          <w:szCs w:val="24"/>
        </w:rPr>
      </w:pPr>
      <w:r w:rsidRPr="00152350">
        <w:rPr>
          <w:sz w:val="24"/>
          <w:szCs w:val="24"/>
        </w:rPr>
        <w:t>P</w:t>
      </w:r>
      <w:r w:rsidR="008B565D" w:rsidRPr="00152350">
        <w:rPr>
          <w:sz w:val="24"/>
          <w:szCs w:val="24"/>
        </w:rPr>
        <w:t>ECO Energy Company</w:t>
      </w:r>
      <w:r w:rsidRPr="00152350">
        <w:rPr>
          <w:sz w:val="24"/>
          <w:szCs w:val="24"/>
        </w:rPr>
        <w:t>, Respondent</w:t>
      </w:r>
      <w:r w:rsidRPr="00152350">
        <w:rPr>
          <w:sz w:val="24"/>
          <w:szCs w:val="24"/>
        </w:rPr>
        <w:tab/>
        <w:t>:</w:t>
      </w:r>
    </w:p>
    <w:p w:rsidR="00DD3605" w:rsidRPr="00152350" w:rsidRDefault="00DD3605" w:rsidP="00152350">
      <w:pPr>
        <w:rPr>
          <w:sz w:val="24"/>
          <w:szCs w:val="24"/>
        </w:rPr>
      </w:pPr>
    </w:p>
    <w:p w:rsidR="00DD3605" w:rsidRPr="00152350" w:rsidRDefault="00DD3605" w:rsidP="00152350">
      <w:pPr>
        <w:rPr>
          <w:sz w:val="24"/>
          <w:szCs w:val="24"/>
        </w:rPr>
      </w:pPr>
    </w:p>
    <w:p w:rsidR="00E122C5" w:rsidRPr="00152350" w:rsidRDefault="00E122C5" w:rsidP="00152350">
      <w:pPr>
        <w:rPr>
          <w:sz w:val="24"/>
          <w:szCs w:val="24"/>
        </w:rPr>
      </w:pPr>
    </w:p>
    <w:p w:rsidR="00DD3605" w:rsidRPr="00152350" w:rsidRDefault="00527AE6" w:rsidP="00152350">
      <w:pPr>
        <w:pStyle w:val="Heading1"/>
        <w:rPr>
          <w:rFonts w:ascii="Times New Roman" w:hAnsi="Times New Roman"/>
          <w:szCs w:val="24"/>
        </w:rPr>
      </w:pPr>
      <w:r>
        <w:rPr>
          <w:rFonts w:ascii="Times New Roman" w:hAnsi="Times New Roman"/>
          <w:szCs w:val="24"/>
        </w:rPr>
        <w:t>ORDER DENYING PRELIMINARY OBJECTION</w:t>
      </w:r>
    </w:p>
    <w:p w:rsidR="00DD3605" w:rsidRPr="00152350" w:rsidRDefault="00DD3605" w:rsidP="00152350">
      <w:pPr>
        <w:jc w:val="center"/>
        <w:rPr>
          <w:b/>
          <w:sz w:val="24"/>
          <w:szCs w:val="24"/>
        </w:rPr>
      </w:pPr>
    </w:p>
    <w:p w:rsidR="00DD3605" w:rsidRPr="00152350" w:rsidRDefault="00DD3605" w:rsidP="00152350">
      <w:pPr>
        <w:jc w:val="center"/>
        <w:rPr>
          <w:b/>
          <w:sz w:val="24"/>
          <w:szCs w:val="24"/>
        </w:rPr>
      </w:pPr>
    </w:p>
    <w:p w:rsidR="00DD3605" w:rsidRPr="00152350" w:rsidRDefault="00DD3605" w:rsidP="00152350">
      <w:pPr>
        <w:pStyle w:val="Heading2"/>
        <w:rPr>
          <w:rFonts w:ascii="Times New Roman" w:hAnsi="Times New Roman"/>
          <w:b w:val="0"/>
          <w:szCs w:val="24"/>
        </w:rPr>
      </w:pPr>
      <w:r w:rsidRPr="00152350">
        <w:rPr>
          <w:rFonts w:ascii="Times New Roman" w:hAnsi="Times New Roman"/>
          <w:b w:val="0"/>
          <w:szCs w:val="24"/>
        </w:rPr>
        <w:t>Before</w:t>
      </w:r>
    </w:p>
    <w:p w:rsidR="00DD3605" w:rsidRPr="00152350" w:rsidRDefault="00DD3605" w:rsidP="00152350">
      <w:pPr>
        <w:jc w:val="center"/>
        <w:rPr>
          <w:sz w:val="24"/>
          <w:szCs w:val="24"/>
        </w:rPr>
      </w:pPr>
      <w:r w:rsidRPr="00152350">
        <w:rPr>
          <w:sz w:val="24"/>
          <w:szCs w:val="24"/>
        </w:rPr>
        <w:t>Dennis J. Buckley</w:t>
      </w:r>
    </w:p>
    <w:p w:rsidR="00DD3605" w:rsidRPr="00152350" w:rsidRDefault="00DD3605" w:rsidP="00152350">
      <w:pPr>
        <w:jc w:val="center"/>
        <w:rPr>
          <w:sz w:val="24"/>
          <w:szCs w:val="24"/>
        </w:rPr>
      </w:pPr>
      <w:r w:rsidRPr="00152350">
        <w:rPr>
          <w:sz w:val="24"/>
          <w:szCs w:val="24"/>
        </w:rPr>
        <w:t>Administrative Law Judge</w:t>
      </w:r>
    </w:p>
    <w:p w:rsidR="00DD3605" w:rsidRPr="00152350" w:rsidRDefault="00DD3605" w:rsidP="00152350">
      <w:pPr>
        <w:jc w:val="center"/>
        <w:rPr>
          <w:b/>
          <w:sz w:val="24"/>
          <w:szCs w:val="24"/>
        </w:rPr>
      </w:pPr>
    </w:p>
    <w:p w:rsidR="008F604A" w:rsidRPr="00152350" w:rsidRDefault="008F604A" w:rsidP="00152350">
      <w:pPr>
        <w:rPr>
          <w:b/>
          <w:sz w:val="24"/>
          <w:szCs w:val="24"/>
        </w:rPr>
      </w:pPr>
    </w:p>
    <w:p w:rsidR="00DD3605" w:rsidRPr="00152350" w:rsidRDefault="00DD3605" w:rsidP="00152350">
      <w:pPr>
        <w:pStyle w:val="Heading1"/>
        <w:tabs>
          <w:tab w:val="left" w:pos="1980"/>
        </w:tabs>
        <w:rPr>
          <w:rFonts w:ascii="Times New Roman" w:hAnsi="Times New Roman"/>
          <w:b w:val="0"/>
          <w:szCs w:val="24"/>
        </w:rPr>
      </w:pPr>
      <w:r w:rsidRPr="00152350">
        <w:rPr>
          <w:rFonts w:ascii="Times New Roman" w:hAnsi="Times New Roman"/>
          <w:b w:val="0"/>
          <w:szCs w:val="24"/>
        </w:rPr>
        <w:t>HISTORY OF THE PROCEEDING</w:t>
      </w:r>
    </w:p>
    <w:p w:rsidR="00DD3605" w:rsidRPr="00152350" w:rsidRDefault="00DD3605" w:rsidP="00152350">
      <w:pPr>
        <w:rPr>
          <w:sz w:val="24"/>
          <w:szCs w:val="24"/>
        </w:rPr>
      </w:pPr>
    </w:p>
    <w:p w:rsidR="008F604A" w:rsidRPr="00152350" w:rsidRDefault="008F604A" w:rsidP="00152350">
      <w:pPr>
        <w:rPr>
          <w:sz w:val="24"/>
          <w:szCs w:val="24"/>
        </w:rPr>
      </w:pPr>
    </w:p>
    <w:p w:rsidR="00F8345C" w:rsidRPr="00152350" w:rsidRDefault="00DD3605" w:rsidP="00152350">
      <w:pPr>
        <w:spacing w:line="360" w:lineRule="auto"/>
        <w:rPr>
          <w:sz w:val="24"/>
          <w:szCs w:val="24"/>
        </w:rPr>
      </w:pPr>
      <w:r w:rsidRPr="00152350">
        <w:rPr>
          <w:sz w:val="24"/>
          <w:szCs w:val="24"/>
        </w:rPr>
        <w:tab/>
      </w:r>
      <w:r w:rsidRPr="00152350">
        <w:rPr>
          <w:sz w:val="24"/>
          <w:szCs w:val="24"/>
        </w:rPr>
        <w:tab/>
      </w:r>
      <w:r w:rsidR="00A052F0" w:rsidRPr="00152350">
        <w:rPr>
          <w:sz w:val="24"/>
          <w:szCs w:val="24"/>
        </w:rPr>
        <w:t xml:space="preserve">On </w:t>
      </w:r>
      <w:r w:rsidR="003E34FA" w:rsidRPr="00152350">
        <w:rPr>
          <w:sz w:val="24"/>
          <w:szCs w:val="24"/>
        </w:rPr>
        <w:t>October 8, 2010</w:t>
      </w:r>
      <w:r w:rsidR="00A052F0" w:rsidRPr="00152350">
        <w:rPr>
          <w:sz w:val="24"/>
          <w:szCs w:val="24"/>
        </w:rPr>
        <w:t xml:space="preserve">, </w:t>
      </w:r>
      <w:r w:rsidR="003E34FA" w:rsidRPr="00152350">
        <w:rPr>
          <w:sz w:val="24"/>
          <w:szCs w:val="24"/>
        </w:rPr>
        <w:t>First Millenium, LLC</w:t>
      </w:r>
      <w:r w:rsidR="008D609F" w:rsidRPr="00152350">
        <w:rPr>
          <w:sz w:val="24"/>
          <w:szCs w:val="24"/>
        </w:rPr>
        <w:t>,</w:t>
      </w:r>
      <w:r w:rsidR="007D4157" w:rsidRPr="00152350">
        <w:rPr>
          <w:sz w:val="24"/>
          <w:szCs w:val="24"/>
        </w:rPr>
        <w:t xml:space="preserve"> </w:t>
      </w:r>
      <w:r w:rsidR="00A052F0" w:rsidRPr="00152350">
        <w:rPr>
          <w:sz w:val="24"/>
          <w:szCs w:val="24"/>
        </w:rPr>
        <w:t>(</w:t>
      </w:r>
      <w:r w:rsidR="00EE58D1">
        <w:rPr>
          <w:sz w:val="24"/>
          <w:szCs w:val="24"/>
        </w:rPr>
        <w:t xml:space="preserve">First Millenium or </w:t>
      </w:r>
      <w:r w:rsidR="007D4157" w:rsidRPr="00152350">
        <w:rPr>
          <w:sz w:val="24"/>
          <w:szCs w:val="24"/>
        </w:rPr>
        <w:t>C</w:t>
      </w:r>
      <w:r w:rsidR="00A052F0" w:rsidRPr="00152350">
        <w:rPr>
          <w:sz w:val="24"/>
          <w:szCs w:val="24"/>
        </w:rPr>
        <w:t>omplainant) filed a formal Complaint (Complaint) against P</w:t>
      </w:r>
      <w:r w:rsidR="003E34FA" w:rsidRPr="00152350">
        <w:rPr>
          <w:sz w:val="24"/>
          <w:szCs w:val="24"/>
        </w:rPr>
        <w:t xml:space="preserve">ECO Energy Company </w:t>
      </w:r>
      <w:r w:rsidR="00A052F0" w:rsidRPr="00152350">
        <w:rPr>
          <w:sz w:val="24"/>
          <w:szCs w:val="24"/>
        </w:rPr>
        <w:t>(</w:t>
      </w:r>
      <w:r w:rsidR="007D4157" w:rsidRPr="00152350">
        <w:rPr>
          <w:sz w:val="24"/>
          <w:szCs w:val="24"/>
        </w:rPr>
        <w:t>P</w:t>
      </w:r>
      <w:r w:rsidR="003E34FA" w:rsidRPr="00152350">
        <w:rPr>
          <w:sz w:val="24"/>
          <w:szCs w:val="24"/>
        </w:rPr>
        <w:t>ECO</w:t>
      </w:r>
      <w:r w:rsidR="007D4157" w:rsidRPr="00152350">
        <w:rPr>
          <w:sz w:val="24"/>
          <w:szCs w:val="24"/>
        </w:rPr>
        <w:t xml:space="preserve"> or R</w:t>
      </w:r>
      <w:r w:rsidR="00A052F0" w:rsidRPr="00152350">
        <w:rPr>
          <w:sz w:val="24"/>
          <w:szCs w:val="24"/>
        </w:rPr>
        <w:t xml:space="preserve">espondent) with the Pennsylvania Public Utility Commission (Commission), </w:t>
      </w:r>
      <w:r w:rsidR="00C15F63" w:rsidRPr="00152350">
        <w:rPr>
          <w:sz w:val="24"/>
          <w:szCs w:val="24"/>
        </w:rPr>
        <w:t xml:space="preserve">at </w:t>
      </w:r>
      <w:r w:rsidR="00A052F0" w:rsidRPr="00152350">
        <w:rPr>
          <w:sz w:val="24"/>
          <w:szCs w:val="24"/>
        </w:rPr>
        <w:t>Docket Number C-20</w:t>
      </w:r>
      <w:r w:rsidR="00E95C4C" w:rsidRPr="00152350">
        <w:rPr>
          <w:sz w:val="24"/>
          <w:szCs w:val="24"/>
        </w:rPr>
        <w:t>10</w:t>
      </w:r>
      <w:r w:rsidR="00A052F0" w:rsidRPr="00152350">
        <w:rPr>
          <w:sz w:val="24"/>
          <w:szCs w:val="24"/>
        </w:rPr>
        <w:t>-</w:t>
      </w:r>
      <w:r w:rsidR="00E95C4C" w:rsidRPr="00152350">
        <w:rPr>
          <w:sz w:val="24"/>
          <w:szCs w:val="24"/>
        </w:rPr>
        <w:t>220</w:t>
      </w:r>
      <w:r w:rsidR="003E34FA" w:rsidRPr="00152350">
        <w:rPr>
          <w:sz w:val="24"/>
          <w:szCs w:val="24"/>
        </w:rPr>
        <w:t>5039</w:t>
      </w:r>
      <w:r w:rsidR="00E95C4C" w:rsidRPr="00152350">
        <w:rPr>
          <w:sz w:val="24"/>
          <w:szCs w:val="24"/>
        </w:rPr>
        <w:t xml:space="preserve">. </w:t>
      </w:r>
      <w:r w:rsidR="00EE58D1">
        <w:rPr>
          <w:sz w:val="24"/>
          <w:szCs w:val="24"/>
        </w:rPr>
        <w:t xml:space="preserve"> </w:t>
      </w:r>
      <w:r w:rsidR="00E95C4C" w:rsidRPr="00152350">
        <w:rPr>
          <w:sz w:val="24"/>
          <w:szCs w:val="24"/>
        </w:rPr>
        <w:t xml:space="preserve">The Complaint </w:t>
      </w:r>
      <w:r w:rsidR="003E34FA" w:rsidRPr="00152350">
        <w:rPr>
          <w:sz w:val="24"/>
          <w:szCs w:val="24"/>
        </w:rPr>
        <w:t>disputed charges billed by PECO for electrical service at 1423 S. Napa Street, Philadelphia, P</w:t>
      </w:r>
      <w:r w:rsidR="008051CB">
        <w:rPr>
          <w:sz w:val="24"/>
          <w:szCs w:val="24"/>
        </w:rPr>
        <w:t>ennsylvania</w:t>
      </w:r>
      <w:r w:rsidR="00F8345C" w:rsidRPr="00152350">
        <w:rPr>
          <w:sz w:val="24"/>
          <w:szCs w:val="24"/>
        </w:rPr>
        <w:t>.</w:t>
      </w:r>
    </w:p>
    <w:p w:rsidR="00F8345C" w:rsidRPr="00152350" w:rsidRDefault="00F8345C" w:rsidP="00152350">
      <w:pPr>
        <w:spacing w:line="360" w:lineRule="auto"/>
        <w:rPr>
          <w:sz w:val="24"/>
          <w:szCs w:val="24"/>
        </w:rPr>
      </w:pPr>
    </w:p>
    <w:p w:rsidR="009C78F4" w:rsidRDefault="00E95C4C" w:rsidP="00152350">
      <w:pPr>
        <w:spacing w:line="360" w:lineRule="auto"/>
        <w:rPr>
          <w:sz w:val="24"/>
          <w:szCs w:val="24"/>
        </w:rPr>
      </w:pPr>
      <w:r w:rsidRPr="00152350">
        <w:rPr>
          <w:sz w:val="24"/>
          <w:szCs w:val="24"/>
        </w:rPr>
        <w:tab/>
      </w:r>
      <w:r w:rsidRPr="00152350">
        <w:rPr>
          <w:sz w:val="24"/>
          <w:szCs w:val="24"/>
        </w:rPr>
        <w:tab/>
      </w:r>
      <w:r w:rsidR="00A052F0" w:rsidRPr="00152350">
        <w:rPr>
          <w:sz w:val="24"/>
          <w:szCs w:val="24"/>
        </w:rPr>
        <w:t xml:space="preserve">The Complaint was served on </w:t>
      </w:r>
      <w:r w:rsidRPr="00152350">
        <w:rPr>
          <w:sz w:val="24"/>
          <w:szCs w:val="24"/>
        </w:rPr>
        <w:t>P</w:t>
      </w:r>
      <w:r w:rsidR="00F8345C" w:rsidRPr="00152350">
        <w:rPr>
          <w:sz w:val="24"/>
          <w:szCs w:val="24"/>
        </w:rPr>
        <w:t>ECO October 20, 2010</w:t>
      </w:r>
      <w:r w:rsidR="00A052F0" w:rsidRPr="00152350">
        <w:rPr>
          <w:sz w:val="24"/>
          <w:szCs w:val="24"/>
        </w:rPr>
        <w:t>, by the Commission's Secretary's Bureau.</w:t>
      </w:r>
      <w:r w:rsidR="00A052F0" w:rsidRPr="00152350">
        <w:rPr>
          <w:sz w:val="24"/>
          <w:szCs w:val="24"/>
        </w:rPr>
        <w:br/>
      </w:r>
      <w:r w:rsidR="00A052F0" w:rsidRPr="00152350">
        <w:rPr>
          <w:sz w:val="24"/>
          <w:szCs w:val="24"/>
        </w:rPr>
        <w:br/>
      </w:r>
      <w:r w:rsidRPr="00152350">
        <w:rPr>
          <w:sz w:val="24"/>
          <w:szCs w:val="24"/>
        </w:rPr>
        <w:tab/>
      </w:r>
      <w:r w:rsidRPr="00152350">
        <w:rPr>
          <w:sz w:val="24"/>
          <w:szCs w:val="24"/>
        </w:rPr>
        <w:tab/>
      </w:r>
      <w:r w:rsidR="00A052F0" w:rsidRPr="00152350">
        <w:rPr>
          <w:sz w:val="24"/>
          <w:szCs w:val="24"/>
        </w:rPr>
        <w:t xml:space="preserve">On </w:t>
      </w:r>
      <w:r w:rsidR="00F8345C" w:rsidRPr="00152350">
        <w:rPr>
          <w:sz w:val="24"/>
          <w:szCs w:val="24"/>
        </w:rPr>
        <w:t xml:space="preserve">November 8, 2010, </w:t>
      </w:r>
      <w:r w:rsidRPr="00152350">
        <w:rPr>
          <w:sz w:val="24"/>
          <w:szCs w:val="24"/>
        </w:rPr>
        <w:t>P</w:t>
      </w:r>
      <w:r w:rsidR="00F8345C" w:rsidRPr="00152350">
        <w:rPr>
          <w:sz w:val="24"/>
          <w:szCs w:val="24"/>
        </w:rPr>
        <w:t xml:space="preserve">ECO </w:t>
      </w:r>
      <w:r w:rsidR="00A052F0" w:rsidRPr="00152350">
        <w:rPr>
          <w:sz w:val="24"/>
          <w:szCs w:val="24"/>
        </w:rPr>
        <w:t xml:space="preserve">filed </w:t>
      </w:r>
      <w:r w:rsidR="00A866BF" w:rsidRPr="00152350">
        <w:rPr>
          <w:sz w:val="24"/>
          <w:szCs w:val="24"/>
        </w:rPr>
        <w:t xml:space="preserve">an </w:t>
      </w:r>
      <w:r w:rsidR="00A052F0" w:rsidRPr="00152350">
        <w:rPr>
          <w:sz w:val="24"/>
          <w:szCs w:val="24"/>
        </w:rPr>
        <w:t xml:space="preserve">Answer (Answer) </w:t>
      </w:r>
      <w:r w:rsidR="00A866BF" w:rsidRPr="00152350">
        <w:rPr>
          <w:sz w:val="24"/>
          <w:szCs w:val="24"/>
        </w:rPr>
        <w:t xml:space="preserve">to the Complaint </w:t>
      </w:r>
      <w:r w:rsidR="0057296F" w:rsidRPr="00152350">
        <w:rPr>
          <w:sz w:val="24"/>
          <w:szCs w:val="24"/>
        </w:rPr>
        <w:t>which denied</w:t>
      </w:r>
      <w:r w:rsidR="00F8345C" w:rsidRPr="00152350">
        <w:rPr>
          <w:sz w:val="24"/>
          <w:szCs w:val="24"/>
        </w:rPr>
        <w:t xml:space="preserve"> that there were incorrect charges on Complainant’s bill and averr</w:t>
      </w:r>
      <w:r w:rsidR="0057296F" w:rsidRPr="00152350">
        <w:rPr>
          <w:sz w:val="24"/>
          <w:szCs w:val="24"/>
        </w:rPr>
        <w:t>ed</w:t>
      </w:r>
      <w:r w:rsidR="00F8345C" w:rsidRPr="00152350">
        <w:rPr>
          <w:sz w:val="24"/>
          <w:szCs w:val="24"/>
        </w:rPr>
        <w:t xml:space="preserve"> that Complainant is responsible for the outstanding balance due.  </w:t>
      </w:r>
      <w:r w:rsidR="00401399">
        <w:rPr>
          <w:sz w:val="24"/>
          <w:szCs w:val="24"/>
        </w:rPr>
        <w:t xml:space="preserve">PECO also filed </w:t>
      </w:r>
      <w:r w:rsidR="00F8345C" w:rsidRPr="00152350">
        <w:rPr>
          <w:sz w:val="24"/>
          <w:szCs w:val="24"/>
        </w:rPr>
        <w:t xml:space="preserve">New Matter </w:t>
      </w:r>
      <w:r w:rsidR="0057296F" w:rsidRPr="00152350">
        <w:rPr>
          <w:sz w:val="24"/>
          <w:szCs w:val="24"/>
        </w:rPr>
        <w:t xml:space="preserve">along with </w:t>
      </w:r>
      <w:r w:rsidR="00F8345C" w:rsidRPr="00152350">
        <w:rPr>
          <w:sz w:val="24"/>
          <w:szCs w:val="24"/>
        </w:rPr>
        <w:t xml:space="preserve">a </w:t>
      </w:r>
      <w:r w:rsidR="00A052F0" w:rsidRPr="00152350">
        <w:rPr>
          <w:sz w:val="24"/>
          <w:szCs w:val="24"/>
        </w:rPr>
        <w:t xml:space="preserve">notice to plead, </w:t>
      </w:r>
      <w:r w:rsidR="0057296F" w:rsidRPr="00152350">
        <w:rPr>
          <w:sz w:val="24"/>
          <w:szCs w:val="24"/>
        </w:rPr>
        <w:t xml:space="preserve">which </w:t>
      </w:r>
      <w:r w:rsidR="00A052F0" w:rsidRPr="00152350">
        <w:rPr>
          <w:sz w:val="24"/>
          <w:szCs w:val="24"/>
        </w:rPr>
        <w:t>averr</w:t>
      </w:r>
      <w:r w:rsidR="0057296F" w:rsidRPr="00152350">
        <w:rPr>
          <w:sz w:val="24"/>
          <w:szCs w:val="24"/>
        </w:rPr>
        <w:t>ed</w:t>
      </w:r>
      <w:r w:rsidR="00A052F0" w:rsidRPr="00152350">
        <w:rPr>
          <w:sz w:val="24"/>
          <w:szCs w:val="24"/>
        </w:rPr>
        <w:t xml:space="preserve"> that </w:t>
      </w:r>
      <w:r w:rsidR="009C78F4" w:rsidRPr="00152350">
        <w:rPr>
          <w:sz w:val="24"/>
          <w:szCs w:val="24"/>
        </w:rPr>
        <w:t xml:space="preserve">Complainant </w:t>
      </w:r>
      <w:r w:rsidR="0057296F" w:rsidRPr="00152350">
        <w:rPr>
          <w:sz w:val="24"/>
          <w:szCs w:val="24"/>
        </w:rPr>
        <w:t xml:space="preserve">had </w:t>
      </w:r>
      <w:r w:rsidR="009C78F4" w:rsidRPr="00152350">
        <w:rPr>
          <w:sz w:val="24"/>
          <w:szCs w:val="24"/>
        </w:rPr>
        <w:t xml:space="preserve">previously filed an identical </w:t>
      </w:r>
      <w:r w:rsidR="0057296F" w:rsidRPr="00152350">
        <w:rPr>
          <w:sz w:val="24"/>
          <w:szCs w:val="24"/>
        </w:rPr>
        <w:t xml:space="preserve">informal </w:t>
      </w:r>
      <w:r w:rsidR="009C78F4" w:rsidRPr="00152350">
        <w:rPr>
          <w:sz w:val="24"/>
          <w:szCs w:val="24"/>
        </w:rPr>
        <w:t xml:space="preserve">Complaint with the Commission’s Bureau of Consumer Services (BCS) to dispute charges (Case No. 2501986), and that the BCS </w:t>
      </w:r>
      <w:r w:rsidR="004656C3">
        <w:rPr>
          <w:sz w:val="24"/>
          <w:szCs w:val="24"/>
        </w:rPr>
        <w:t xml:space="preserve">had </w:t>
      </w:r>
      <w:r w:rsidR="009C78F4" w:rsidRPr="00152350">
        <w:rPr>
          <w:sz w:val="24"/>
          <w:szCs w:val="24"/>
        </w:rPr>
        <w:t>determined that there was no basis for that</w:t>
      </w:r>
      <w:r w:rsidR="008051CB">
        <w:rPr>
          <w:sz w:val="24"/>
          <w:szCs w:val="24"/>
        </w:rPr>
        <w:t xml:space="preserve"> informal</w:t>
      </w:r>
      <w:r w:rsidR="009C78F4" w:rsidRPr="00152350">
        <w:rPr>
          <w:sz w:val="24"/>
          <w:szCs w:val="24"/>
        </w:rPr>
        <w:t xml:space="preserve"> Complaint and, </w:t>
      </w:r>
      <w:r w:rsidR="009C78F4" w:rsidRPr="00152350">
        <w:rPr>
          <w:sz w:val="24"/>
          <w:szCs w:val="24"/>
        </w:rPr>
        <w:lastRenderedPageBreak/>
        <w:t>accordingly, dismissed that Complaint.</w:t>
      </w:r>
      <w:r w:rsidR="004656C3">
        <w:rPr>
          <w:rStyle w:val="FootnoteReference"/>
          <w:sz w:val="24"/>
          <w:szCs w:val="24"/>
        </w:rPr>
        <w:footnoteReference w:id="1"/>
      </w:r>
      <w:r w:rsidR="00EE58D1">
        <w:rPr>
          <w:sz w:val="24"/>
          <w:szCs w:val="24"/>
        </w:rPr>
        <w:t xml:space="preserve">  PECO asked that the formal Complaint be dismissed with prejudice.</w:t>
      </w:r>
    </w:p>
    <w:p w:rsidR="00401399" w:rsidRDefault="00401399" w:rsidP="00152350">
      <w:pPr>
        <w:spacing w:line="360" w:lineRule="auto"/>
        <w:rPr>
          <w:sz w:val="24"/>
          <w:szCs w:val="24"/>
        </w:rPr>
      </w:pPr>
    </w:p>
    <w:p w:rsidR="00505439" w:rsidRDefault="00401399" w:rsidP="00152350">
      <w:pPr>
        <w:spacing w:line="360" w:lineRule="auto"/>
        <w:rPr>
          <w:sz w:val="24"/>
          <w:szCs w:val="24"/>
        </w:rPr>
      </w:pPr>
      <w:r>
        <w:rPr>
          <w:sz w:val="24"/>
          <w:szCs w:val="24"/>
        </w:rPr>
        <w:tab/>
      </w:r>
      <w:r>
        <w:rPr>
          <w:sz w:val="24"/>
          <w:szCs w:val="24"/>
        </w:rPr>
        <w:tab/>
        <w:t xml:space="preserve">Also on </w:t>
      </w:r>
      <w:r w:rsidRPr="00152350">
        <w:rPr>
          <w:sz w:val="24"/>
          <w:szCs w:val="24"/>
        </w:rPr>
        <w:t>November 8, 2010, P</w:t>
      </w:r>
      <w:r>
        <w:rPr>
          <w:sz w:val="24"/>
          <w:szCs w:val="24"/>
        </w:rPr>
        <w:t>ECO</w:t>
      </w:r>
      <w:r w:rsidRPr="00152350">
        <w:rPr>
          <w:sz w:val="24"/>
          <w:szCs w:val="24"/>
        </w:rPr>
        <w:t xml:space="preserve"> filed and served its Preliminary Objection (Preliminary Objection), </w:t>
      </w:r>
      <w:r>
        <w:rPr>
          <w:sz w:val="24"/>
          <w:szCs w:val="24"/>
        </w:rPr>
        <w:t xml:space="preserve">arguing that the </w:t>
      </w:r>
      <w:r w:rsidR="008051CB">
        <w:rPr>
          <w:sz w:val="24"/>
          <w:szCs w:val="24"/>
        </w:rPr>
        <w:t xml:space="preserve">present </w:t>
      </w:r>
      <w:r>
        <w:rPr>
          <w:sz w:val="24"/>
          <w:szCs w:val="24"/>
        </w:rPr>
        <w:t xml:space="preserve">Complaint should be dismissed for failure on the part of </w:t>
      </w:r>
      <w:r w:rsidR="00C56B65">
        <w:rPr>
          <w:sz w:val="24"/>
          <w:szCs w:val="24"/>
        </w:rPr>
        <w:t>First</w:t>
      </w:r>
      <w:r>
        <w:rPr>
          <w:sz w:val="24"/>
          <w:szCs w:val="24"/>
        </w:rPr>
        <w:t xml:space="preserve"> Millenium to follow the Commission’s procedural rules </w:t>
      </w:r>
      <w:r w:rsidR="009B2BF3">
        <w:rPr>
          <w:sz w:val="24"/>
          <w:szCs w:val="24"/>
        </w:rPr>
        <w:t xml:space="preserve">in that </w:t>
      </w:r>
      <w:r w:rsidR="00C56B65">
        <w:rPr>
          <w:sz w:val="24"/>
          <w:szCs w:val="24"/>
        </w:rPr>
        <w:t>First</w:t>
      </w:r>
      <w:r w:rsidR="009B2BF3">
        <w:rPr>
          <w:sz w:val="24"/>
          <w:szCs w:val="24"/>
        </w:rPr>
        <w:t xml:space="preserve"> Millenium is not represented by an attorney as required by the Commission’s regulations at 52 Pa. Code </w:t>
      </w:r>
    </w:p>
    <w:p w:rsidR="009C78F4" w:rsidRDefault="009B2BF3" w:rsidP="00152350">
      <w:pPr>
        <w:spacing w:line="360" w:lineRule="auto"/>
        <w:rPr>
          <w:sz w:val="24"/>
          <w:szCs w:val="24"/>
        </w:rPr>
      </w:pPr>
      <w:proofErr w:type="gramStart"/>
      <w:r>
        <w:rPr>
          <w:sz w:val="24"/>
          <w:szCs w:val="24"/>
        </w:rPr>
        <w:t>§§ 1.21-1.22.</w:t>
      </w:r>
      <w:proofErr w:type="gramEnd"/>
    </w:p>
    <w:p w:rsidR="00401399" w:rsidRPr="00152350" w:rsidRDefault="00401399" w:rsidP="00152350">
      <w:pPr>
        <w:spacing w:line="360" w:lineRule="auto"/>
        <w:rPr>
          <w:sz w:val="24"/>
          <w:szCs w:val="24"/>
        </w:rPr>
      </w:pPr>
    </w:p>
    <w:p w:rsidR="009C78F4" w:rsidRPr="00152350" w:rsidRDefault="009C78F4" w:rsidP="00152350">
      <w:pPr>
        <w:spacing w:line="360" w:lineRule="auto"/>
        <w:rPr>
          <w:sz w:val="24"/>
          <w:szCs w:val="24"/>
        </w:rPr>
      </w:pPr>
      <w:r w:rsidRPr="00152350">
        <w:rPr>
          <w:sz w:val="24"/>
          <w:szCs w:val="24"/>
        </w:rPr>
        <w:tab/>
      </w:r>
      <w:r w:rsidRPr="00152350">
        <w:rPr>
          <w:sz w:val="24"/>
          <w:szCs w:val="24"/>
        </w:rPr>
        <w:tab/>
        <w:t xml:space="preserve">The Complainant’s </w:t>
      </w:r>
      <w:r w:rsidR="00EA39DB">
        <w:rPr>
          <w:sz w:val="24"/>
          <w:szCs w:val="24"/>
        </w:rPr>
        <w:t>Reply</w:t>
      </w:r>
      <w:r w:rsidRPr="00152350">
        <w:rPr>
          <w:sz w:val="24"/>
          <w:szCs w:val="24"/>
        </w:rPr>
        <w:t xml:space="preserve"> to New Matter </w:t>
      </w:r>
      <w:r w:rsidR="00B54163">
        <w:rPr>
          <w:sz w:val="24"/>
          <w:szCs w:val="24"/>
        </w:rPr>
        <w:t xml:space="preserve">and </w:t>
      </w:r>
      <w:r w:rsidR="008051CB">
        <w:rPr>
          <w:sz w:val="24"/>
          <w:szCs w:val="24"/>
        </w:rPr>
        <w:t>a</w:t>
      </w:r>
      <w:r w:rsidR="00EA39DB">
        <w:rPr>
          <w:sz w:val="24"/>
          <w:szCs w:val="24"/>
        </w:rPr>
        <w:t>n Answer</w:t>
      </w:r>
      <w:r w:rsidR="00B54163">
        <w:rPr>
          <w:sz w:val="24"/>
          <w:szCs w:val="24"/>
        </w:rPr>
        <w:t xml:space="preserve"> to PECO’s Preliminary Objection </w:t>
      </w:r>
      <w:r w:rsidRPr="00152350">
        <w:rPr>
          <w:sz w:val="24"/>
          <w:szCs w:val="24"/>
        </w:rPr>
        <w:t>w</w:t>
      </w:r>
      <w:r w:rsidR="00EA39DB">
        <w:rPr>
          <w:sz w:val="24"/>
          <w:szCs w:val="24"/>
        </w:rPr>
        <w:t>ere</w:t>
      </w:r>
      <w:r w:rsidRPr="00152350">
        <w:rPr>
          <w:sz w:val="24"/>
          <w:szCs w:val="24"/>
        </w:rPr>
        <w:t xml:space="preserve"> due by </w:t>
      </w:r>
      <w:r w:rsidR="00A866BF" w:rsidRPr="00152350">
        <w:rPr>
          <w:sz w:val="24"/>
          <w:szCs w:val="24"/>
        </w:rPr>
        <w:t>November 29, 2010, as November 28, 2010 was a Sunday.  The Complainant has never filed a</w:t>
      </w:r>
      <w:r w:rsidR="00EA39DB">
        <w:rPr>
          <w:sz w:val="24"/>
          <w:szCs w:val="24"/>
        </w:rPr>
        <w:t xml:space="preserve"> Reply, an</w:t>
      </w:r>
      <w:r w:rsidR="00A866BF" w:rsidRPr="00152350">
        <w:rPr>
          <w:sz w:val="24"/>
          <w:szCs w:val="24"/>
        </w:rPr>
        <w:t xml:space="preserve"> Answer</w:t>
      </w:r>
      <w:r w:rsidR="00B54163">
        <w:rPr>
          <w:sz w:val="24"/>
          <w:szCs w:val="24"/>
        </w:rPr>
        <w:t xml:space="preserve">, </w:t>
      </w:r>
      <w:r w:rsidR="00A866BF" w:rsidRPr="00152350">
        <w:rPr>
          <w:sz w:val="24"/>
          <w:szCs w:val="24"/>
        </w:rPr>
        <w:t>or any responsive pleading to PECO’s New Matter</w:t>
      </w:r>
      <w:r w:rsidR="00B54163">
        <w:rPr>
          <w:sz w:val="24"/>
          <w:szCs w:val="24"/>
        </w:rPr>
        <w:t xml:space="preserve"> and </w:t>
      </w:r>
      <w:r w:rsidR="00B54163" w:rsidRPr="00152350">
        <w:rPr>
          <w:sz w:val="24"/>
          <w:szCs w:val="24"/>
        </w:rPr>
        <w:t>Preliminary Objection</w:t>
      </w:r>
      <w:r w:rsidR="00A866BF" w:rsidRPr="00152350">
        <w:rPr>
          <w:sz w:val="24"/>
          <w:szCs w:val="24"/>
        </w:rPr>
        <w:t>.</w:t>
      </w:r>
      <w:r w:rsidRPr="00152350">
        <w:rPr>
          <w:sz w:val="24"/>
          <w:szCs w:val="24"/>
        </w:rPr>
        <w:t xml:space="preserve"> </w:t>
      </w:r>
    </w:p>
    <w:p w:rsidR="009C78F4" w:rsidRPr="00152350" w:rsidRDefault="009C78F4" w:rsidP="00152350">
      <w:pPr>
        <w:spacing w:line="360" w:lineRule="auto"/>
        <w:rPr>
          <w:sz w:val="24"/>
          <w:szCs w:val="24"/>
        </w:rPr>
      </w:pPr>
    </w:p>
    <w:p w:rsidR="009A5DD5" w:rsidRPr="00152350" w:rsidRDefault="00A866BF" w:rsidP="00152350">
      <w:pPr>
        <w:spacing w:line="360" w:lineRule="auto"/>
        <w:rPr>
          <w:sz w:val="24"/>
          <w:szCs w:val="24"/>
        </w:rPr>
      </w:pPr>
      <w:r w:rsidRPr="00152350">
        <w:rPr>
          <w:sz w:val="24"/>
          <w:szCs w:val="24"/>
        </w:rPr>
        <w:tab/>
      </w:r>
      <w:r w:rsidR="00642625" w:rsidRPr="00152350">
        <w:rPr>
          <w:sz w:val="24"/>
          <w:szCs w:val="24"/>
        </w:rPr>
        <w:tab/>
      </w:r>
      <w:r w:rsidR="00A052F0" w:rsidRPr="00152350">
        <w:rPr>
          <w:sz w:val="24"/>
          <w:szCs w:val="24"/>
        </w:rPr>
        <w:t xml:space="preserve"> By Motion Judge Assignment Notice dated </w:t>
      </w:r>
      <w:r w:rsidRPr="00152350">
        <w:rPr>
          <w:sz w:val="24"/>
          <w:szCs w:val="24"/>
        </w:rPr>
        <w:t xml:space="preserve">January 3, </w:t>
      </w:r>
      <w:proofErr w:type="gramStart"/>
      <w:r w:rsidRPr="00152350">
        <w:rPr>
          <w:sz w:val="24"/>
          <w:szCs w:val="24"/>
        </w:rPr>
        <w:t>2011</w:t>
      </w:r>
      <w:r w:rsidR="00A052F0" w:rsidRPr="00152350">
        <w:rPr>
          <w:sz w:val="24"/>
          <w:szCs w:val="24"/>
        </w:rPr>
        <w:t>,</w:t>
      </w:r>
      <w:proofErr w:type="gramEnd"/>
      <w:r w:rsidR="00A052F0" w:rsidRPr="00152350">
        <w:rPr>
          <w:sz w:val="24"/>
          <w:szCs w:val="24"/>
        </w:rPr>
        <w:t xml:space="preserve"> </w:t>
      </w:r>
      <w:r w:rsidR="00642625" w:rsidRPr="00152350">
        <w:rPr>
          <w:sz w:val="24"/>
          <w:szCs w:val="24"/>
        </w:rPr>
        <w:t>P</w:t>
      </w:r>
      <w:r w:rsidRPr="00152350">
        <w:rPr>
          <w:sz w:val="24"/>
          <w:szCs w:val="24"/>
        </w:rPr>
        <w:t>ECO’</w:t>
      </w:r>
      <w:r w:rsidR="00A052F0" w:rsidRPr="00152350">
        <w:rPr>
          <w:sz w:val="24"/>
          <w:szCs w:val="24"/>
        </w:rPr>
        <w:t>s Preliminary Objection w</w:t>
      </w:r>
      <w:r w:rsidR="00EB06D7">
        <w:rPr>
          <w:sz w:val="24"/>
          <w:szCs w:val="24"/>
        </w:rPr>
        <w:t>as</w:t>
      </w:r>
      <w:r w:rsidR="00A052F0" w:rsidRPr="00152350">
        <w:rPr>
          <w:sz w:val="24"/>
          <w:szCs w:val="24"/>
        </w:rPr>
        <w:t xml:space="preserve"> assigned to me for a ruling.</w:t>
      </w:r>
    </w:p>
    <w:p w:rsidR="009A5DD5" w:rsidRPr="00152350" w:rsidRDefault="009A5DD5" w:rsidP="00152350">
      <w:pPr>
        <w:spacing w:line="360" w:lineRule="auto"/>
        <w:rPr>
          <w:sz w:val="24"/>
          <w:szCs w:val="24"/>
        </w:rPr>
      </w:pPr>
    </w:p>
    <w:p w:rsidR="009A5DD5" w:rsidRPr="00152350" w:rsidRDefault="009A5DD5" w:rsidP="00152350">
      <w:pPr>
        <w:spacing w:line="360" w:lineRule="auto"/>
        <w:jc w:val="center"/>
        <w:rPr>
          <w:sz w:val="24"/>
          <w:szCs w:val="24"/>
          <w:u w:val="single"/>
        </w:rPr>
      </w:pPr>
      <w:r w:rsidRPr="00152350">
        <w:rPr>
          <w:sz w:val="24"/>
          <w:szCs w:val="24"/>
          <w:u w:val="single"/>
        </w:rPr>
        <w:t>FINDINGS OF FACT</w:t>
      </w:r>
    </w:p>
    <w:p w:rsidR="009A5DD5" w:rsidRPr="00152350" w:rsidRDefault="009A5DD5" w:rsidP="00152350">
      <w:pPr>
        <w:spacing w:line="360" w:lineRule="auto"/>
        <w:jc w:val="center"/>
        <w:rPr>
          <w:sz w:val="24"/>
          <w:szCs w:val="24"/>
        </w:rPr>
      </w:pPr>
    </w:p>
    <w:p w:rsidR="005F5C13" w:rsidRPr="00152350" w:rsidRDefault="009A5DD5" w:rsidP="00152350">
      <w:pPr>
        <w:spacing w:line="360" w:lineRule="auto"/>
        <w:rPr>
          <w:sz w:val="24"/>
          <w:szCs w:val="24"/>
        </w:rPr>
      </w:pPr>
      <w:r w:rsidRPr="00152350">
        <w:rPr>
          <w:sz w:val="24"/>
          <w:szCs w:val="24"/>
        </w:rPr>
        <w:tab/>
      </w:r>
      <w:r w:rsidRPr="00152350">
        <w:rPr>
          <w:sz w:val="24"/>
          <w:szCs w:val="24"/>
        </w:rPr>
        <w:tab/>
        <w:t>1.</w:t>
      </w:r>
      <w:r w:rsidRPr="00152350">
        <w:rPr>
          <w:sz w:val="24"/>
          <w:szCs w:val="24"/>
        </w:rPr>
        <w:tab/>
      </w:r>
      <w:r w:rsidR="00345621" w:rsidRPr="00152350">
        <w:rPr>
          <w:sz w:val="24"/>
          <w:szCs w:val="24"/>
        </w:rPr>
        <w:t xml:space="preserve">The Complainant is First Millenium, LLC, </w:t>
      </w:r>
      <w:r w:rsidR="00B8099C">
        <w:rPr>
          <w:sz w:val="24"/>
          <w:szCs w:val="24"/>
        </w:rPr>
        <w:t>a limited liability company registered with the Pennsylvania Department of State</w:t>
      </w:r>
      <w:r w:rsidR="00C50B6B">
        <w:rPr>
          <w:sz w:val="24"/>
          <w:szCs w:val="24"/>
        </w:rPr>
        <w:t xml:space="preserve"> but with a mailing address of P.O. Box 265, Cherry Hill, New Jersey.</w:t>
      </w:r>
      <w:r w:rsidR="00345621" w:rsidRPr="00152350">
        <w:rPr>
          <w:sz w:val="24"/>
          <w:szCs w:val="24"/>
        </w:rPr>
        <w:t xml:space="preserve">  </w:t>
      </w:r>
    </w:p>
    <w:p w:rsidR="005F5C13" w:rsidRPr="00152350" w:rsidRDefault="005F5C13" w:rsidP="00152350">
      <w:pPr>
        <w:spacing w:line="360" w:lineRule="auto"/>
        <w:rPr>
          <w:sz w:val="24"/>
          <w:szCs w:val="24"/>
        </w:rPr>
      </w:pPr>
    </w:p>
    <w:p w:rsidR="005F5C13" w:rsidRPr="00152350" w:rsidRDefault="005F5C13" w:rsidP="00152350">
      <w:pPr>
        <w:spacing w:line="360" w:lineRule="auto"/>
        <w:rPr>
          <w:sz w:val="24"/>
          <w:szCs w:val="24"/>
        </w:rPr>
      </w:pPr>
      <w:r w:rsidRPr="00152350">
        <w:rPr>
          <w:sz w:val="24"/>
          <w:szCs w:val="24"/>
        </w:rPr>
        <w:tab/>
      </w:r>
      <w:r w:rsidRPr="00152350">
        <w:rPr>
          <w:sz w:val="24"/>
          <w:szCs w:val="24"/>
        </w:rPr>
        <w:tab/>
        <w:t>2.</w:t>
      </w:r>
      <w:r w:rsidRPr="00152350">
        <w:rPr>
          <w:sz w:val="24"/>
          <w:szCs w:val="24"/>
        </w:rPr>
        <w:tab/>
        <w:t>The Respondent is PECO Energy Company.</w:t>
      </w:r>
    </w:p>
    <w:p w:rsidR="005F5C13" w:rsidRPr="00152350" w:rsidRDefault="005F5C13" w:rsidP="00152350">
      <w:pPr>
        <w:spacing w:line="360" w:lineRule="auto"/>
        <w:rPr>
          <w:sz w:val="24"/>
          <w:szCs w:val="24"/>
        </w:rPr>
      </w:pPr>
    </w:p>
    <w:p w:rsidR="009F15D3" w:rsidRDefault="005F5C13" w:rsidP="00152350">
      <w:pPr>
        <w:spacing w:line="360" w:lineRule="auto"/>
        <w:rPr>
          <w:sz w:val="24"/>
          <w:szCs w:val="24"/>
        </w:rPr>
      </w:pPr>
      <w:r w:rsidRPr="00152350">
        <w:rPr>
          <w:sz w:val="24"/>
          <w:szCs w:val="24"/>
        </w:rPr>
        <w:tab/>
      </w:r>
      <w:r w:rsidRPr="00152350">
        <w:rPr>
          <w:sz w:val="24"/>
          <w:szCs w:val="24"/>
        </w:rPr>
        <w:tab/>
        <w:t>3.</w:t>
      </w:r>
      <w:r w:rsidRPr="00152350">
        <w:rPr>
          <w:sz w:val="24"/>
          <w:szCs w:val="24"/>
        </w:rPr>
        <w:tab/>
      </w:r>
      <w:r w:rsidR="00127AFC" w:rsidRPr="00152350">
        <w:rPr>
          <w:sz w:val="24"/>
          <w:szCs w:val="24"/>
        </w:rPr>
        <w:t>C</w:t>
      </w:r>
      <w:r w:rsidR="00A052F0" w:rsidRPr="00152350">
        <w:rPr>
          <w:sz w:val="24"/>
          <w:szCs w:val="24"/>
        </w:rPr>
        <w:t>omplainant</w:t>
      </w:r>
      <w:r w:rsidR="00345621" w:rsidRPr="00152350">
        <w:rPr>
          <w:sz w:val="24"/>
          <w:szCs w:val="24"/>
        </w:rPr>
        <w:t xml:space="preserve"> received electric service at 1423 S. Napa Street, Philadelphia, P</w:t>
      </w:r>
      <w:r w:rsidR="00610366">
        <w:rPr>
          <w:sz w:val="24"/>
          <w:szCs w:val="24"/>
        </w:rPr>
        <w:t>ennsylvania</w:t>
      </w:r>
      <w:r w:rsidR="00345621" w:rsidRPr="00152350">
        <w:rPr>
          <w:sz w:val="24"/>
          <w:szCs w:val="24"/>
        </w:rPr>
        <w:t xml:space="preserve">, from the </w:t>
      </w:r>
      <w:r w:rsidR="009331B2" w:rsidRPr="00152350">
        <w:rPr>
          <w:sz w:val="24"/>
          <w:szCs w:val="24"/>
        </w:rPr>
        <w:t>R</w:t>
      </w:r>
      <w:r w:rsidR="00345621" w:rsidRPr="00152350">
        <w:rPr>
          <w:sz w:val="24"/>
          <w:szCs w:val="24"/>
        </w:rPr>
        <w:t>espondent, PECO Energy Company</w:t>
      </w:r>
      <w:r w:rsidR="00A052F0" w:rsidRPr="00152350">
        <w:rPr>
          <w:sz w:val="24"/>
          <w:szCs w:val="24"/>
        </w:rPr>
        <w:t>.</w:t>
      </w:r>
      <w:r w:rsidR="00A052F0" w:rsidRPr="00152350">
        <w:rPr>
          <w:sz w:val="24"/>
          <w:szCs w:val="24"/>
        </w:rPr>
        <w:br/>
      </w:r>
      <w:r w:rsidR="00A052F0" w:rsidRPr="00152350">
        <w:rPr>
          <w:sz w:val="24"/>
          <w:szCs w:val="24"/>
        </w:rPr>
        <w:br/>
      </w:r>
      <w:r w:rsidR="00127AFC" w:rsidRPr="00152350">
        <w:rPr>
          <w:sz w:val="24"/>
          <w:szCs w:val="24"/>
        </w:rPr>
        <w:lastRenderedPageBreak/>
        <w:tab/>
      </w:r>
      <w:r w:rsidR="00127AFC" w:rsidRPr="00152350">
        <w:rPr>
          <w:sz w:val="24"/>
          <w:szCs w:val="24"/>
        </w:rPr>
        <w:tab/>
      </w:r>
      <w:r w:rsidRPr="00152350">
        <w:rPr>
          <w:sz w:val="24"/>
          <w:szCs w:val="24"/>
        </w:rPr>
        <w:t>4</w:t>
      </w:r>
      <w:r w:rsidR="00A052F0" w:rsidRPr="00152350">
        <w:rPr>
          <w:sz w:val="24"/>
          <w:szCs w:val="24"/>
        </w:rPr>
        <w:t xml:space="preserve">. </w:t>
      </w:r>
      <w:r w:rsidR="00127AFC" w:rsidRPr="00152350">
        <w:rPr>
          <w:sz w:val="24"/>
          <w:szCs w:val="24"/>
        </w:rPr>
        <w:tab/>
      </w:r>
      <w:r w:rsidR="007B70DA" w:rsidRPr="00152350">
        <w:rPr>
          <w:sz w:val="24"/>
          <w:szCs w:val="24"/>
        </w:rPr>
        <w:t xml:space="preserve">The Complainant previously filed </w:t>
      </w:r>
      <w:r w:rsidR="00B8099C">
        <w:rPr>
          <w:sz w:val="24"/>
          <w:szCs w:val="24"/>
        </w:rPr>
        <w:t>two</w:t>
      </w:r>
      <w:r w:rsidR="007B70DA" w:rsidRPr="00152350">
        <w:rPr>
          <w:sz w:val="24"/>
          <w:szCs w:val="24"/>
        </w:rPr>
        <w:t xml:space="preserve"> informal Complaint</w:t>
      </w:r>
      <w:r w:rsidR="00B8099C">
        <w:rPr>
          <w:sz w:val="24"/>
          <w:szCs w:val="24"/>
        </w:rPr>
        <w:t>s</w:t>
      </w:r>
      <w:r w:rsidR="007B70DA" w:rsidRPr="00152350">
        <w:rPr>
          <w:sz w:val="24"/>
          <w:szCs w:val="24"/>
        </w:rPr>
        <w:t xml:space="preserve"> with the Commission’s BCS to dispute charges</w:t>
      </w:r>
      <w:r w:rsidR="00610366">
        <w:rPr>
          <w:sz w:val="24"/>
          <w:szCs w:val="24"/>
        </w:rPr>
        <w:t xml:space="preserve"> for electric service </w:t>
      </w:r>
      <w:r w:rsidR="00610366" w:rsidRPr="00152350">
        <w:rPr>
          <w:sz w:val="24"/>
          <w:szCs w:val="24"/>
        </w:rPr>
        <w:t>at 1423 S. Napa Street, Philadelphia, P</w:t>
      </w:r>
      <w:r w:rsidR="00610366">
        <w:rPr>
          <w:sz w:val="24"/>
          <w:szCs w:val="24"/>
        </w:rPr>
        <w:t>ennsylvania</w:t>
      </w:r>
      <w:r w:rsidR="007B70DA" w:rsidRPr="00152350">
        <w:rPr>
          <w:sz w:val="24"/>
          <w:szCs w:val="24"/>
        </w:rPr>
        <w:t xml:space="preserve">, </w:t>
      </w:r>
      <w:r w:rsidR="00C50B6B">
        <w:rPr>
          <w:sz w:val="24"/>
          <w:szCs w:val="24"/>
        </w:rPr>
        <w:t>but</w:t>
      </w:r>
      <w:r w:rsidR="007B70DA" w:rsidRPr="00152350">
        <w:rPr>
          <w:sz w:val="24"/>
          <w:szCs w:val="24"/>
        </w:rPr>
        <w:t xml:space="preserve"> </w:t>
      </w:r>
      <w:r w:rsidR="00E51AA7" w:rsidRPr="00152350">
        <w:rPr>
          <w:sz w:val="24"/>
          <w:szCs w:val="24"/>
        </w:rPr>
        <w:t xml:space="preserve">the </w:t>
      </w:r>
      <w:r w:rsidR="007B70DA" w:rsidRPr="00152350">
        <w:rPr>
          <w:sz w:val="24"/>
          <w:szCs w:val="24"/>
        </w:rPr>
        <w:t xml:space="preserve">BCS determined that </w:t>
      </w:r>
      <w:r w:rsidR="00B8099C">
        <w:rPr>
          <w:sz w:val="24"/>
          <w:szCs w:val="24"/>
        </w:rPr>
        <w:t xml:space="preserve">it did not have the authority to consider the </w:t>
      </w:r>
      <w:r w:rsidR="007B70DA" w:rsidRPr="00152350">
        <w:rPr>
          <w:sz w:val="24"/>
          <w:szCs w:val="24"/>
        </w:rPr>
        <w:t>Complaint</w:t>
      </w:r>
      <w:r w:rsidR="00B8099C">
        <w:rPr>
          <w:sz w:val="24"/>
          <w:szCs w:val="24"/>
        </w:rPr>
        <w:t>s</w:t>
      </w:r>
      <w:r w:rsidR="007B70DA" w:rsidRPr="00152350">
        <w:rPr>
          <w:sz w:val="24"/>
          <w:szCs w:val="24"/>
        </w:rPr>
        <w:t xml:space="preserve">.  </w:t>
      </w:r>
      <w:r w:rsidR="00B8099C">
        <w:rPr>
          <w:sz w:val="24"/>
          <w:szCs w:val="24"/>
        </w:rPr>
        <w:t>By letter dated August 21, 2010, t</w:t>
      </w:r>
      <w:r w:rsidR="007B70DA" w:rsidRPr="00152350">
        <w:rPr>
          <w:sz w:val="24"/>
          <w:szCs w:val="24"/>
        </w:rPr>
        <w:t>he BCS dismissed th</w:t>
      </w:r>
      <w:r w:rsidR="00B8099C">
        <w:rPr>
          <w:sz w:val="24"/>
          <w:szCs w:val="24"/>
        </w:rPr>
        <w:t>e</w:t>
      </w:r>
      <w:r w:rsidR="007B70DA" w:rsidRPr="00152350">
        <w:rPr>
          <w:sz w:val="24"/>
          <w:szCs w:val="24"/>
        </w:rPr>
        <w:t xml:space="preserve"> Complaint</w:t>
      </w:r>
      <w:r w:rsidR="00B8099C">
        <w:rPr>
          <w:sz w:val="24"/>
          <w:szCs w:val="24"/>
        </w:rPr>
        <w:t>s</w:t>
      </w:r>
      <w:r w:rsidR="007B70DA" w:rsidRPr="00152350">
        <w:rPr>
          <w:sz w:val="24"/>
          <w:szCs w:val="24"/>
        </w:rPr>
        <w:t>.</w:t>
      </w:r>
    </w:p>
    <w:p w:rsidR="00505439" w:rsidRDefault="00505439" w:rsidP="00152350">
      <w:pPr>
        <w:spacing w:line="360" w:lineRule="auto"/>
        <w:rPr>
          <w:sz w:val="24"/>
          <w:szCs w:val="24"/>
        </w:rPr>
      </w:pPr>
    </w:p>
    <w:p w:rsidR="00505439" w:rsidRDefault="00505439" w:rsidP="00152350">
      <w:pPr>
        <w:spacing w:line="360" w:lineRule="auto"/>
        <w:rPr>
          <w:sz w:val="24"/>
          <w:szCs w:val="24"/>
        </w:rPr>
      </w:pPr>
      <w:r>
        <w:rPr>
          <w:sz w:val="24"/>
          <w:szCs w:val="24"/>
        </w:rPr>
        <w:tab/>
      </w:r>
      <w:r>
        <w:rPr>
          <w:sz w:val="24"/>
          <w:szCs w:val="24"/>
        </w:rPr>
        <w:tab/>
        <w:t>5.</w:t>
      </w:r>
      <w:r>
        <w:rPr>
          <w:sz w:val="24"/>
          <w:szCs w:val="24"/>
        </w:rPr>
        <w:tab/>
        <w:t>On October 8, 2010, the Complainant filed a formal Complaint against PECO.</w:t>
      </w:r>
    </w:p>
    <w:p w:rsidR="00505439" w:rsidRDefault="00505439" w:rsidP="00152350">
      <w:pPr>
        <w:spacing w:line="360" w:lineRule="auto"/>
        <w:rPr>
          <w:sz w:val="24"/>
          <w:szCs w:val="24"/>
        </w:rPr>
      </w:pPr>
    </w:p>
    <w:p w:rsidR="00505439" w:rsidRPr="00152350" w:rsidRDefault="00505439" w:rsidP="00152350">
      <w:pPr>
        <w:spacing w:line="360" w:lineRule="auto"/>
        <w:rPr>
          <w:sz w:val="24"/>
          <w:szCs w:val="24"/>
        </w:rPr>
      </w:pPr>
      <w:r>
        <w:rPr>
          <w:sz w:val="24"/>
          <w:szCs w:val="24"/>
        </w:rPr>
        <w:tab/>
      </w:r>
      <w:r>
        <w:rPr>
          <w:sz w:val="24"/>
          <w:szCs w:val="24"/>
        </w:rPr>
        <w:tab/>
        <w:t>6.</w:t>
      </w:r>
      <w:r>
        <w:rPr>
          <w:sz w:val="24"/>
          <w:szCs w:val="24"/>
        </w:rPr>
        <w:tab/>
        <w:t>On November 8, 2010, PECO filed an Answer and New Matter to the Complaint and a Preliminary Objection.</w:t>
      </w:r>
    </w:p>
    <w:p w:rsidR="007B70DA" w:rsidRPr="00152350" w:rsidRDefault="007B70DA" w:rsidP="00152350">
      <w:pPr>
        <w:spacing w:line="360" w:lineRule="auto"/>
        <w:rPr>
          <w:sz w:val="24"/>
          <w:szCs w:val="24"/>
        </w:rPr>
      </w:pPr>
    </w:p>
    <w:p w:rsidR="007B70DA" w:rsidRPr="00152350" w:rsidRDefault="007B70DA" w:rsidP="00152350">
      <w:pPr>
        <w:spacing w:line="360" w:lineRule="auto"/>
        <w:rPr>
          <w:sz w:val="24"/>
          <w:szCs w:val="24"/>
        </w:rPr>
      </w:pPr>
      <w:r w:rsidRPr="00152350">
        <w:rPr>
          <w:sz w:val="24"/>
          <w:szCs w:val="24"/>
        </w:rPr>
        <w:tab/>
      </w:r>
      <w:r w:rsidRPr="00152350">
        <w:rPr>
          <w:sz w:val="24"/>
          <w:szCs w:val="24"/>
        </w:rPr>
        <w:tab/>
      </w:r>
      <w:r w:rsidR="00505439">
        <w:rPr>
          <w:sz w:val="24"/>
          <w:szCs w:val="24"/>
        </w:rPr>
        <w:t>7</w:t>
      </w:r>
      <w:r w:rsidRPr="00152350">
        <w:rPr>
          <w:sz w:val="24"/>
          <w:szCs w:val="24"/>
        </w:rPr>
        <w:t>.</w:t>
      </w:r>
      <w:r w:rsidRPr="00152350">
        <w:rPr>
          <w:sz w:val="24"/>
          <w:szCs w:val="24"/>
        </w:rPr>
        <w:tab/>
        <w:t>The Complainant has never filed a</w:t>
      </w:r>
      <w:r w:rsidR="00610366">
        <w:rPr>
          <w:sz w:val="24"/>
          <w:szCs w:val="24"/>
        </w:rPr>
        <w:t xml:space="preserve"> Reply, a</w:t>
      </w:r>
      <w:r w:rsidRPr="00152350">
        <w:rPr>
          <w:sz w:val="24"/>
          <w:szCs w:val="24"/>
        </w:rPr>
        <w:t>n Answer</w:t>
      </w:r>
      <w:r w:rsidR="00610366">
        <w:rPr>
          <w:sz w:val="24"/>
          <w:szCs w:val="24"/>
        </w:rPr>
        <w:t>,</w:t>
      </w:r>
      <w:r w:rsidRPr="00152350">
        <w:rPr>
          <w:sz w:val="24"/>
          <w:szCs w:val="24"/>
        </w:rPr>
        <w:t xml:space="preserve"> or any responsive pleading to PECO’s New Matter</w:t>
      </w:r>
      <w:r w:rsidR="00610366">
        <w:rPr>
          <w:sz w:val="24"/>
          <w:szCs w:val="24"/>
        </w:rPr>
        <w:t xml:space="preserve"> or Preliminary Objection</w:t>
      </w:r>
      <w:r w:rsidRPr="00152350">
        <w:rPr>
          <w:sz w:val="24"/>
          <w:szCs w:val="24"/>
        </w:rPr>
        <w:t>.</w:t>
      </w:r>
    </w:p>
    <w:p w:rsidR="00B42EEC" w:rsidRPr="00152350" w:rsidRDefault="00B42EEC" w:rsidP="00152350">
      <w:pPr>
        <w:spacing w:line="360" w:lineRule="auto"/>
        <w:rPr>
          <w:sz w:val="24"/>
          <w:szCs w:val="24"/>
        </w:rPr>
      </w:pPr>
    </w:p>
    <w:p w:rsidR="009F15D3" w:rsidRPr="00152350" w:rsidRDefault="009F15D3" w:rsidP="00044CC5">
      <w:pPr>
        <w:spacing w:line="360" w:lineRule="auto"/>
        <w:jc w:val="center"/>
        <w:rPr>
          <w:sz w:val="24"/>
          <w:szCs w:val="24"/>
          <w:u w:val="single"/>
        </w:rPr>
      </w:pPr>
      <w:r w:rsidRPr="00152350">
        <w:rPr>
          <w:sz w:val="24"/>
          <w:szCs w:val="24"/>
          <w:u w:val="single"/>
        </w:rPr>
        <w:t>DISCUSSION</w:t>
      </w:r>
    </w:p>
    <w:p w:rsidR="009F15D3" w:rsidRPr="00152350" w:rsidRDefault="009F15D3" w:rsidP="00152350">
      <w:pPr>
        <w:spacing w:line="360" w:lineRule="auto"/>
        <w:rPr>
          <w:sz w:val="24"/>
          <w:szCs w:val="24"/>
        </w:rPr>
      </w:pPr>
    </w:p>
    <w:p w:rsidR="00A158C6" w:rsidRPr="00152350" w:rsidRDefault="00592433" w:rsidP="00152350">
      <w:pPr>
        <w:suppressAutoHyphens/>
        <w:spacing w:line="360" w:lineRule="auto"/>
        <w:rPr>
          <w:sz w:val="24"/>
          <w:szCs w:val="24"/>
        </w:rPr>
      </w:pPr>
      <w:r w:rsidRPr="00152350">
        <w:rPr>
          <w:sz w:val="24"/>
          <w:szCs w:val="24"/>
        </w:rPr>
        <w:tab/>
      </w:r>
      <w:r w:rsidRPr="00152350">
        <w:rPr>
          <w:sz w:val="24"/>
          <w:szCs w:val="24"/>
        </w:rPr>
        <w:tab/>
      </w:r>
      <w:r w:rsidR="00A158C6" w:rsidRPr="00152350">
        <w:rPr>
          <w:sz w:val="24"/>
          <w:szCs w:val="24"/>
        </w:rPr>
        <w:t>The Commission's Rules of Administrative Practice and Procedure permit the filing of preliminary objections. 52 Pa. Code § 5.101.  Commission procedure regarding the disposition of preliminary objections is similar to that utilized in Pennsylvania civil practice.</w:t>
      </w:r>
      <w:r w:rsidR="009331B2" w:rsidRPr="00152350">
        <w:rPr>
          <w:sz w:val="24"/>
          <w:szCs w:val="24"/>
        </w:rPr>
        <w:t xml:space="preserve"> </w:t>
      </w:r>
      <w:r w:rsidR="00A158C6" w:rsidRPr="00152350">
        <w:rPr>
          <w:sz w:val="24"/>
          <w:szCs w:val="24"/>
        </w:rPr>
        <w:t xml:space="preserve"> </w:t>
      </w:r>
      <w:r w:rsidR="00A158C6" w:rsidRPr="00152350">
        <w:rPr>
          <w:i/>
          <w:sz w:val="24"/>
          <w:szCs w:val="24"/>
        </w:rPr>
        <w:t>Equitable Small Transportation Interveners v. Equitable Gas Company</w:t>
      </w:r>
      <w:r w:rsidR="00A158C6" w:rsidRPr="00152350">
        <w:rPr>
          <w:sz w:val="24"/>
          <w:szCs w:val="24"/>
        </w:rPr>
        <w:t>, 1994 Pa. PUC LEXIS 69, Docket No. C-00935435 (July 18, 1994).</w:t>
      </w:r>
      <w:r w:rsidR="00A158C6" w:rsidRPr="00152350">
        <w:rPr>
          <w:sz w:val="24"/>
          <w:szCs w:val="24"/>
        </w:rPr>
        <w:br/>
      </w:r>
      <w:r w:rsidR="00A158C6" w:rsidRPr="00152350">
        <w:rPr>
          <w:sz w:val="24"/>
          <w:szCs w:val="24"/>
        </w:rPr>
        <w:br/>
      </w:r>
      <w:r w:rsidR="00A158C6" w:rsidRPr="00152350">
        <w:rPr>
          <w:sz w:val="24"/>
          <w:szCs w:val="24"/>
        </w:rPr>
        <w:tab/>
      </w:r>
      <w:r w:rsidR="00A158C6" w:rsidRPr="00152350">
        <w:rPr>
          <w:sz w:val="24"/>
          <w:szCs w:val="24"/>
        </w:rPr>
        <w:tab/>
        <w:t>A preliminary objection in civil practice seeking dismissal of a pleading will be granted only where relief is clearly warranted and free from doubt.</w:t>
      </w:r>
      <w:r w:rsidR="001163C7" w:rsidRPr="00152350">
        <w:rPr>
          <w:sz w:val="24"/>
          <w:szCs w:val="24"/>
        </w:rPr>
        <w:t xml:space="preserve"> </w:t>
      </w:r>
      <w:r w:rsidR="00A158C6" w:rsidRPr="00152350">
        <w:rPr>
          <w:sz w:val="24"/>
          <w:szCs w:val="24"/>
        </w:rPr>
        <w:t xml:space="preserve"> </w:t>
      </w:r>
      <w:r w:rsidR="00A158C6" w:rsidRPr="00152350">
        <w:rPr>
          <w:i/>
          <w:sz w:val="24"/>
          <w:szCs w:val="24"/>
        </w:rPr>
        <w:t>Interstate Traveller Services, Inc. v. Pa. Dept. of Environmental Resources</w:t>
      </w:r>
      <w:r w:rsidR="00A158C6" w:rsidRPr="00152350">
        <w:rPr>
          <w:sz w:val="24"/>
          <w:szCs w:val="24"/>
        </w:rPr>
        <w:t xml:space="preserve">, 406 A.2d 1020 (Pa. 1979); </w:t>
      </w:r>
      <w:r w:rsidR="001163C7" w:rsidRPr="00152350">
        <w:rPr>
          <w:sz w:val="24"/>
          <w:szCs w:val="24"/>
        </w:rPr>
        <w:t xml:space="preserve"> </w:t>
      </w:r>
      <w:r w:rsidR="00A158C6" w:rsidRPr="00152350">
        <w:rPr>
          <w:i/>
          <w:sz w:val="24"/>
          <w:szCs w:val="24"/>
        </w:rPr>
        <w:t>Rivera v. Philadelphia Theological Seminary of St. Charles Borromeo, Inc.</w:t>
      </w:r>
      <w:r w:rsidR="00A158C6" w:rsidRPr="00152350">
        <w:rPr>
          <w:sz w:val="24"/>
          <w:szCs w:val="24"/>
        </w:rPr>
        <w:t xml:space="preserve">, 595 A.2d 172 (Pa. Super. 1991). </w:t>
      </w:r>
      <w:r w:rsidR="001163C7" w:rsidRPr="00152350">
        <w:rPr>
          <w:sz w:val="24"/>
          <w:szCs w:val="24"/>
        </w:rPr>
        <w:t xml:space="preserve"> </w:t>
      </w:r>
      <w:r w:rsidR="00A158C6" w:rsidRPr="00152350">
        <w:rPr>
          <w:sz w:val="24"/>
          <w:szCs w:val="24"/>
        </w:rPr>
        <w:t xml:space="preserve">The Commission has adopted this standard. </w:t>
      </w:r>
      <w:r w:rsidR="001163C7" w:rsidRPr="00152350">
        <w:rPr>
          <w:sz w:val="24"/>
          <w:szCs w:val="24"/>
        </w:rPr>
        <w:t xml:space="preserve"> </w:t>
      </w:r>
      <w:r w:rsidR="00A158C6" w:rsidRPr="00152350">
        <w:rPr>
          <w:i/>
          <w:sz w:val="24"/>
          <w:szCs w:val="24"/>
        </w:rPr>
        <w:t>Montague v. Philadelphia Electric Company</w:t>
      </w:r>
      <w:r w:rsidR="00A158C6" w:rsidRPr="00152350">
        <w:rPr>
          <w:sz w:val="24"/>
          <w:szCs w:val="24"/>
        </w:rPr>
        <w:t>, 66 Pa. PUC 24 (1988).</w:t>
      </w:r>
      <w:r w:rsidR="00A158C6" w:rsidRPr="00152350">
        <w:rPr>
          <w:sz w:val="24"/>
          <w:szCs w:val="24"/>
        </w:rPr>
        <w:br/>
      </w:r>
    </w:p>
    <w:p w:rsidR="00A158C6" w:rsidRPr="00152350" w:rsidRDefault="00A158C6" w:rsidP="00152350">
      <w:pPr>
        <w:suppressAutoHyphens/>
        <w:spacing w:line="360" w:lineRule="auto"/>
        <w:rPr>
          <w:sz w:val="24"/>
          <w:szCs w:val="24"/>
        </w:rPr>
      </w:pPr>
      <w:r w:rsidRPr="00152350">
        <w:rPr>
          <w:sz w:val="24"/>
          <w:szCs w:val="24"/>
        </w:rPr>
        <w:tab/>
      </w:r>
      <w:r w:rsidRPr="00152350">
        <w:rPr>
          <w:sz w:val="24"/>
          <w:szCs w:val="24"/>
        </w:rPr>
        <w:tab/>
        <w:t xml:space="preserve">The moving party may not rely on its own factual assertions, but must accept for the purposes of disposition of the preliminary objection, all well-pleaded, material facts of the </w:t>
      </w:r>
      <w:r w:rsidRPr="00152350">
        <w:rPr>
          <w:sz w:val="24"/>
          <w:szCs w:val="24"/>
        </w:rPr>
        <w:lastRenderedPageBreak/>
        <w:t>other party, as well as every inference fairly deducible from those facts.</w:t>
      </w:r>
      <w:r w:rsidR="001163C7" w:rsidRPr="00152350">
        <w:rPr>
          <w:sz w:val="24"/>
          <w:szCs w:val="24"/>
        </w:rPr>
        <w:t xml:space="preserve"> </w:t>
      </w:r>
      <w:r w:rsidRPr="00152350">
        <w:rPr>
          <w:sz w:val="24"/>
          <w:szCs w:val="24"/>
        </w:rPr>
        <w:t xml:space="preserve"> </w:t>
      </w:r>
      <w:r w:rsidRPr="00152350">
        <w:rPr>
          <w:i/>
          <w:sz w:val="24"/>
          <w:szCs w:val="24"/>
        </w:rPr>
        <w:t>County of Allegheny v. Commw. of Pa.</w:t>
      </w:r>
      <w:r w:rsidRPr="00152350">
        <w:rPr>
          <w:sz w:val="24"/>
          <w:szCs w:val="24"/>
        </w:rPr>
        <w:t xml:space="preserve">, 490 A.2d 402 (Pa. 1985).  Therefore, in ruling on a preliminary objection, the Commission must assume, for decisional purposes only, that the factual allegations of the Complaint are true.  Id.  The preliminary objection may be granted only if the moving party prevails as a matter of law.  </w:t>
      </w:r>
      <w:r w:rsidRPr="00152350">
        <w:rPr>
          <w:i/>
          <w:sz w:val="24"/>
          <w:szCs w:val="24"/>
        </w:rPr>
        <w:t>Roc v. Flaherty</w:t>
      </w:r>
      <w:r w:rsidRPr="00152350">
        <w:rPr>
          <w:sz w:val="24"/>
          <w:szCs w:val="24"/>
        </w:rPr>
        <w:t xml:space="preserve">, 527 A.2d 211 (Pa.Cmwlth. 1985).  Any doubt must be resolved in favor of the non-moving party by refusing to sustain the preliminary objections. </w:t>
      </w:r>
      <w:r w:rsidRPr="00152350">
        <w:rPr>
          <w:i/>
          <w:sz w:val="24"/>
          <w:szCs w:val="24"/>
        </w:rPr>
        <w:t>Dept. of Auditor General, et al. v. State Employees' Retirement System, et al</w:t>
      </w:r>
      <w:r w:rsidRPr="00152350">
        <w:rPr>
          <w:sz w:val="24"/>
          <w:szCs w:val="24"/>
        </w:rPr>
        <w:t xml:space="preserve">., 836 A.2d 1053, 1064 (Pa.Cmwlth. 2003) citing, </w:t>
      </w:r>
      <w:r w:rsidRPr="00152350">
        <w:rPr>
          <w:i/>
          <w:sz w:val="24"/>
          <w:szCs w:val="24"/>
        </w:rPr>
        <w:t>Boyd v. Ward</w:t>
      </w:r>
      <w:r w:rsidRPr="00152350">
        <w:rPr>
          <w:sz w:val="24"/>
          <w:szCs w:val="24"/>
        </w:rPr>
        <w:t>, 802 A.2d 705 (Pa.Cmwlth. 2002).</w:t>
      </w:r>
      <w:r w:rsidRPr="00152350">
        <w:rPr>
          <w:sz w:val="24"/>
          <w:szCs w:val="24"/>
        </w:rPr>
        <w:br/>
      </w:r>
    </w:p>
    <w:p w:rsidR="00116F47" w:rsidRDefault="008D609F" w:rsidP="00152350">
      <w:pPr>
        <w:suppressAutoHyphens/>
        <w:spacing w:line="360" w:lineRule="auto"/>
        <w:rPr>
          <w:bCs/>
          <w:sz w:val="24"/>
          <w:szCs w:val="24"/>
        </w:rPr>
      </w:pPr>
      <w:r w:rsidRPr="00152350">
        <w:rPr>
          <w:sz w:val="24"/>
          <w:szCs w:val="24"/>
        </w:rPr>
        <w:tab/>
      </w:r>
      <w:r w:rsidRPr="00152350">
        <w:rPr>
          <w:sz w:val="24"/>
          <w:szCs w:val="24"/>
        </w:rPr>
        <w:tab/>
      </w:r>
      <w:r w:rsidR="005F5C13" w:rsidRPr="00152350">
        <w:rPr>
          <w:sz w:val="24"/>
          <w:szCs w:val="24"/>
        </w:rPr>
        <w:t xml:space="preserve">According to the Commission's regulations at 52 Pa. Code 5.63(b), failure to file a timely Reply to </w:t>
      </w:r>
      <w:r w:rsidR="005F5C13" w:rsidRPr="00152350">
        <w:rPr>
          <w:bCs/>
          <w:sz w:val="24"/>
          <w:szCs w:val="24"/>
        </w:rPr>
        <w:t>New Matter</w:t>
      </w:r>
      <w:r w:rsidR="005F5C13" w:rsidRPr="00152350">
        <w:rPr>
          <w:sz w:val="24"/>
          <w:szCs w:val="24"/>
        </w:rPr>
        <w:t xml:space="preserve"> may be deemed a default, and relevant facts stated in the N</w:t>
      </w:r>
      <w:r w:rsidR="005F5C13" w:rsidRPr="00152350">
        <w:rPr>
          <w:bCs/>
          <w:sz w:val="24"/>
          <w:szCs w:val="24"/>
        </w:rPr>
        <w:t>ew Matter</w:t>
      </w:r>
      <w:r w:rsidR="005F5C13" w:rsidRPr="00152350">
        <w:rPr>
          <w:sz w:val="24"/>
          <w:szCs w:val="24"/>
        </w:rPr>
        <w:t xml:space="preserve"> may be </w:t>
      </w:r>
      <w:r w:rsidR="005F5C13" w:rsidRPr="00152350">
        <w:rPr>
          <w:bCs/>
          <w:sz w:val="24"/>
          <w:szCs w:val="24"/>
        </w:rPr>
        <w:t>admitted.</w:t>
      </w:r>
    </w:p>
    <w:p w:rsidR="00116F47" w:rsidRDefault="00116F47" w:rsidP="00152350">
      <w:pPr>
        <w:suppressAutoHyphens/>
        <w:spacing w:line="360" w:lineRule="auto"/>
        <w:rPr>
          <w:bCs/>
          <w:sz w:val="24"/>
          <w:szCs w:val="24"/>
        </w:rPr>
      </w:pPr>
    </w:p>
    <w:p w:rsidR="00116F47" w:rsidRDefault="00116F47" w:rsidP="00152350">
      <w:pPr>
        <w:suppressAutoHyphens/>
        <w:spacing w:line="360" w:lineRule="auto"/>
        <w:rPr>
          <w:sz w:val="24"/>
          <w:szCs w:val="24"/>
        </w:rPr>
      </w:pPr>
      <w:r>
        <w:rPr>
          <w:bCs/>
          <w:sz w:val="24"/>
          <w:szCs w:val="24"/>
        </w:rPr>
        <w:tab/>
      </w:r>
      <w:r>
        <w:rPr>
          <w:bCs/>
          <w:sz w:val="24"/>
          <w:szCs w:val="24"/>
        </w:rPr>
        <w:tab/>
        <w:t>In its formal Complaint, First Millenium maintains that there are incorrect charges on its bill from PECO.  In the verification of the Complaint, an individual identified as Elaine Luckin has signed as a “Member.</w:t>
      </w:r>
      <w:r w:rsidR="00C50B6B">
        <w:rPr>
          <w:bCs/>
          <w:sz w:val="24"/>
          <w:szCs w:val="24"/>
        </w:rPr>
        <w:t>”  Therefore, it appears that PECO is correct that First Millenium is not represented by an attorney</w:t>
      </w:r>
      <w:r w:rsidR="005F5C13" w:rsidRPr="00152350">
        <w:rPr>
          <w:bCs/>
          <w:sz w:val="24"/>
          <w:szCs w:val="24"/>
        </w:rPr>
        <w:t xml:space="preserve"> </w:t>
      </w:r>
      <w:r w:rsidR="00215C6A" w:rsidRPr="00215C6A">
        <w:rPr>
          <w:bCs/>
          <w:sz w:val="24"/>
          <w:szCs w:val="24"/>
        </w:rPr>
        <w:t>at law admitted to practice before the Supreme Court of Pennsylvania</w:t>
      </w:r>
      <w:r w:rsidR="00215C6A">
        <w:rPr>
          <w:bCs/>
          <w:sz w:val="24"/>
          <w:szCs w:val="24"/>
        </w:rPr>
        <w:t xml:space="preserve"> or by an </w:t>
      </w:r>
      <w:r w:rsidR="00215C6A" w:rsidRPr="00215C6A">
        <w:rPr>
          <w:bCs/>
          <w:sz w:val="24"/>
          <w:szCs w:val="24"/>
        </w:rPr>
        <w:t xml:space="preserve">attorney not licensed in this Commonwealth </w:t>
      </w:r>
      <w:r w:rsidR="00215C6A">
        <w:rPr>
          <w:bCs/>
          <w:sz w:val="24"/>
          <w:szCs w:val="24"/>
        </w:rPr>
        <w:t xml:space="preserve">but who </w:t>
      </w:r>
      <w:r w:rsidR="00215C6A" w:rsidRPr="00215C6A">
        <w:rPr>
          <w:bCs/>
          <w:sz w:val="24"/>
          <w:szCs w:val="24"/>
        </w:rPr>
        <w:t>may appear before the Commission in accordance with the Pennsylvania Bar Admission Rules</w:t>
      </w:r>
      <w:r w:rsidR="00610366">
        <w:rPr>
          <w:bCs/>
          <w:sz w:val="24"/>
          <w:szCs w:val="24"/>
        </w:rPr>
        <w:t xml:space="preserve">.  Thus, First Millenium is not in compliance with </w:t>
      </w:r>
      <w:r w:rsidR="00215C6A">
        <w:rPr>
          <w:bCs/>
          <w:sz w:val="24"/>
          <w:szCs w:val="24"/>
        </w:rPr>
        <w:t xml:space="preserve">the Commission’s regulations </w:t>
      </w:r>
      <w:r w:rsidR="00215C6A">
        <w:rPr>
          <w:sz w:val="24"/>
          <w:szCs w:val="24"/>
        </w:rPr>
        <w:t>at 52 Pa. Code §§ 1.21-1.22.</w:t>
      </w:r>
    </w:p>
    <w:p w:rsidR="00AA1F74" w:rsidRDefault="00AA1F74" w:rsidP="00152350">
      <w:pPr>
        <w:suppressAutoHyphens/>
        <w:spacing w:line="360" w:lineRule="auto"/>
        <w:rPr>
          <w:sz w:val="24"/>
          <w:szCs w:val="24"/>
        </w:rPr>
      </w:pPr>
    </w:p>
    <w:p w:rsidR="00AA1F74" w:rsidRDefault="00AA1F74" w:rsidP="00152350">
      <w:pPr>
        <w:suppressAutoHyphens/>
        <w:spacing w:line="360" w:lineRule="auto"/>
        <w:rPr>
          <w:sz w:val="24"/>
          <w:szCs w:val="24"/>
        </w:rPr>
      </w:pPr>
      <w:r>
        <w:rPr>
          <w:sz w:val="24"/>
          <w:szCs w:val="24"/>
        </w:rPr>
        <w:tab/>
      </w:r>
      <w:r>
        <w:rPr>
          <w:sz w:val="24"/>
          <w:szCs w:val="24"/>
        </w:rPr>
        <w:tab/>
      </w:r>
      <w:r w:rsidR="00BF0309">
        <w:rPr>
          <w:sz w:val="24"/>
          <w:szCs w:val="24"/>
        </w:rPr>
        <w:t>However, w</w:t>
      </w:r>
      <w:r w:rsidR="00E3269D">
        <w:rPr>
          <w:sz w:val="24"/>
          <w:szCs w:val="24"/>
        </w:rPr>
        <w:t xml:space="preserve">hile PECO is correct with respect to </w:t>
      </w:r>
      <w:r>
        <w:rPr>
          <w:sz w:val="24"/>
          <w:szCs w:val="24"/>
        </w:rPr>
        <w:t>First Millenium</w:t>
      </w:r>
      <w:r w:rsidR="00E3269D">
        <w:rPr>
          <w:sz w:val="24"/>
          <w:szCs w:val="24"/>
        </w:rPr>
        <w:t>’s lack of appropriate representation</w:t>
      </w:r>
      <w:r>
        <w:rPr>
          <w:sz w:val="24"/>
          <w:szCs w:val="24"/>
        </w:rPr>
        <w:t xml:space="preserve">, </w:t>
      </w:r>
      <w:r w:rsidR="00E3269D">
        <w:rPr>
          <w:sz w:val="24"/>
          <w:szCs w:val="24"/>
        </w:rPr>
        <w:t xml:space="preserve">I decline to dismiss the Complaint at this point </w:t>
      </w:r>
      <w:r w:rsidR="00044CC5">
        <w:rPr>
          <w:sz w:val="24"/>
          <w:szCs w:val="24"/>
        </w:rPr>
        <w:t xml:space="preserve">solely </w:t>
      </w:r>
      <w:r w:rsidR="00E3269D">
        <w:rPr>
          <w:sz w:val="24"/>
          <w:szCs w:val="24"/>
        </w:rPr>
        <w:t xml:space="preserve">due to a procedural error.  First Millenium, </w:t>
      </w:r>
      <w:r>
        <w:rPr>
          <w:sz w:val="24"/>
          <w:szCs w:val="24"/>
        </w:rPr>
        <w:t xml:space="preserve">though registered as a Pennsylvania limited liability company, has as its mailing address an address in New Jersey.  The underlying </w:t>
      </w:r>
      <w:r w:rsidR="00CB6FA3">
        <w:rPr>
          <w:sz w:val="24"/>
          <w:szCs w:val="24"/>
        </w:rPr>
        <w:t xml:space="preserve">factual </w:t>
      </w:r>
      <w:r>
        <w:rPr>
          <w:sz w:val="24"/>
          <w:szCs w:val="24"/>
        </w:rPr>
        <w:t xml:space="preserve">dispute with respect to the bill for electric service at </w:t>
      </w:r>
      <w:r w:rsidRPr="00152350">
        <w:rPr>
          <w:sz w:val="24"/>
          <w:szCs w:val="24"/>
        </w:rPr>
        <w:t>1423 S. Napa Street, Philadelphia, P</w:t>
      </w:r>
      <w:r w:rsidR="001F1FD8">
        <w:rPr>
          <w:sz w:val="24"/>
          <w:szCs w:val="24"/>
        </w:rPr>
        <w:t>ennsylvania</w:t>
      </w:r>
      <w:r>
        <w:rPr>
          <w:sz w:val="24"/>
          <w:szCs w:val="24"/>
        </w:rPr>
        <w:t xml:space="preserve">, was </w:t>
      </w:r>
      <w:r w:rsidR="00044CC5">
        <w:rPr>
          <w:sz w:val="24"/>
          <w:szCs w:val="24"/>
        </w:rPr>
        <w:t xml:space="preserve">(properly) </w:t>
      </w:r>
      <w:r>
        <w:rPr>
          <w:sz w:val="24"/>
          <w:szCs w:val="24"/>
        </w:rPr>
        <w:t xml:space="preserve">never considered or resolved by the Commission’s BCS.  </w:t>
      </w:r>
      <w:r w:rsidR="001F1FD8">
        <w:rPr>
          <w:sz w:val="24"/>
          <w:szCs w:val="24"/>
        </w:rPr>
        <w:t xml:space="preserve">The Rules of Administrative Practice and Procedure at 52 Pa. Code § 1.21(a) provide that the Commission’s procedural rules </w:t>
      </w:r>
      <w:r w:rsidR="001F1FD8" w:rsidRPr="001F1FD8">
        <w:rPr>
          <w:sz w:val="24"/>
          <w:szCs w:val="24"/>
        </w:rPr>
        <w:t xml:space="preserve">shall be liberally construed to secure the just, speedy and inexpensive determination of every action or proceeding to which it is applicable. </w:t>
      </w:r>
      <w:r w:rsidR="00044CC5">
        <w:rPr>
          <w:sz w:val="24"/>
          <w:szCs w:val="24"/>
        </w:rPr>
        <w:t xml:space="preserve"> </w:t>
      </w:r>
      <w:r w:rsidR="001F1FD8" w:rsidRPr="001F1FD8">
        <w:rPr>
          <w:sz w:val="24"/>
          <w:szCs w:val="24"/>
        </w:rPr>
        <w:t xml:space="preserve">The Commission or presiding officer at any stage of an action or proceeding may disregard an error or defect of procedure which does not affect the </w:t>
      </w:r>
      <w:r w:rsidR="001F1FD8" w:rsidRPr="001F1FD8">
        <w:rPr>
          <w:sz w:val="24"/>
          <w:szCs w:val="24"/>
        </w:rPr>
        <w:lastRenderedPageBreak/>
        <w:t>substantive rights of the parties.</w:t>
      </w:r>
      <w:r w:rsidR="00E3269D">
        <w:rPr>
          <w:sz w:val="24"/>
          <w:szCs w:val="24"/>
        </w:rPr>
        <w:t xml:space="preserve">  </w:t>
      </w:r>
      <w:r w:rsidR="009F0B5D">
        <w:rPr>
          <w:sz w:val="24"/>
          <w:szCs w:val="24"/>
        </w:rPr>
        <w:t>T</w:t>
      </w:r>
      <w:r w:rsidR="009F0B5D" w:rsidRPr="009F0B5D">
        <w:rPr>
          <w:sz w:val="24"/>
          <w:szCs w:val="24"/>
        </w:rPr>
        <w:t>his is an adversarial proceeding</w:t>
      </w:r>
      <w:r w:rsidR="009F0B5D">
        <w:rPr>
          <w:sz w:val="24"/>
          <w:szCs w:val="24"/>
        </w:rPr>
        <w:t>, and the Complainant</w:t>
      </w:r>
      <w:r w:rsidR="009F0B5D" w:rsidRPr="009F0B5D">
        <w:rPr>
          <w:sz w:val="24"/>
          <w:szCs w:val="24"/>
        </w:rPr>
        <w:t xml:space="preserve">, as a corporate entity, is required to be represented by counsel. </w:t>
      </w:r>
      <w:r w:rsidR="009F0B5D">
        <w:rPr>
          <w:sz w:val="24"/>
          <w:szCs w:val="24"/>
        </w:rPr>
        <w:t xml:space="preserve"> By this Order, the Complainant has been made </w:t>
      </w:r>
      <w:r w:rsidR="009F0B5D" w:rsidRPr="009F0B5D">
        <w:rPr>
          <w:sz w:val="24"/>
          <w:szCs w:val="24"/>
        </w:rPr>
        <w:t>aware of this requirement</w:t>
      </w:r>
      <w:r w:rsidR="009F0B5D">
        <w:rPr>
          <w:sz w:val="24"/>
          <w:szCs w:val="24"/>
        </w:rPr>
        <w:t xml:space="preserve">. </w:t>
      </w:r>
      <w:r w:rsidR="009F0B5D" w:rsidRPr="009F0B5D">
        <w:rPr>
          <w:sz w:val="24"/>
          <w:szCs w:val="24"/>
        </w:rPr>
        <w:t xml:space="preserve"> </w:t>
      </w:r>
      <w:r w:rsidR="00E3269D">
        <w:rPr>
          <w:sz w:val="24"/>
          <w:szCs w:val="24"/>
        </w:rPr>
        <w:t>First Millenium sh</w:t>
      </w:r>
      <w:r w:rsidR="009F0B5D">
        <w:rPr>
          <w:sz w:val="24"/>
          <w:szCs w:val="24"/>
        </w:rPr>
        <w:t>all</w:t>
      </w:r>
      <w:r w:rsidR="00E3269D">
        <w:rPr>
          <w:sz w:val="24"/>
          <w:szCs w:val="24"/>
        </w:rPr>
        <w:t xml:space="preserve"> be afforded a reasonable opportunity to cure th</w:t>
      </w:r>
      <w:r w:rsidR="009F0B5D">
        <w:rPr>
          <w:sz w:val="24"/>
          <w:szCs w:val="24"/>
        </w:rPr>
        <w:t>is</w:t>
      </w:r>
      <w:r w:rsidR="00E3269D">
        <w:rPr>
          <w:sz w:val="24"/>
          <w:szCs w:val="24"/>
        </w:rPr>
        <w:t xml:space="preserve"> procedural defect</w:t>
      </w:r>
      <w:r w:rsidR="00CB6FA3">
        <w:rPr>
          <w:sz w:val="24"/>
          <w:szCs w:val="24"/>
        </w:rPr>
        <w:t xml:space="preserve"> and to prosecute its Complaint</w:t>
      </w:r>
      <w:r w:rsidR="00E3269D">
        <w:rPr>
          <w:sz w:val="24"/>
          <w:szCs w:val="24"/>
        </w:rPr>
        <w:t>.</w:t>
      </w:r>
    </w:p>
    <w:p w:rsidR="00044CC5" w:rsidRDefault="00044CC5" w:rsidP="00152350">
      <w:pPr>
        <w:suppressAutoHyphens/>
        <w:spacing w:line="360" w:lineRule="auto"/>
        <w:rPr>
          <w:sz w:val="24"/>
          <w:szCs w:val="24"/>
        </w:rPr>
      </w:pPr>
    </w:p>
    <w:p w:rsidR="00044CC5" w:rsidRDefault="00044CC5" w:rsidP="00152350">
      <w:pPr>
        <w:suppressAutoHyphens/>
        <w:spacing w:line="360" w:lineRule="auto"/>
        <w:rPr>
          <w:sz w:val="24"/>
          <w:szCs w:val="24"/>
        </w:rPr>
      </w:pPr>
    </w:p>
    <w:p w:rsidR="002B53C8" w:rsidRPr="00152350" w:rsidRDefault="00BF0309" w:rsidP="00152350">
      <w:pPr>
        <w:spacing w:line="360" w:lineRule="auto"/>
        <w:jc w:val="center"/>
        <w:rPr>
          <w:sz w:val="24"/>
          <w:szCs w:val="24"/>
        </w:rPr>
      </w:pPr>
      <w:r>
        <w:rPr>
          <w:sz w:val="24"/>
          <w:szCs w:val="24"/>
          <w:u w:val="single"/>
        </w:rPr>
        <w:t>C</w:t>
      </w:r>
      <w:r w:rsidR="002B53C8" w:rsidRPr="00152350">
        <w:rPr>
          <w:sz w:val="24"/>
          <w:szCs w:val="24"/>
          <w:u w:val="single"/>
        </w:rPr>
        <w:t>ONCLUSIONS OF LAW</w:t>
      </w:r>
    </w:p>
    <w:p w:rsidR="00FF3964" w:rsidRPr="00152350" w:rsidRDefault="0095403D" w:rsidP="00152350">
      <w:pPr>
        <w:pStyle w:val="Heading1"/>
        <w:spacing w:line="360" w:lineRule="auto"/>
        <w:jc w:val="left"/>
        <w:rPr>
          <w:rFonts w:ascii="Times New Roman" w:hAnsi="Times New Roman"/>
          <w:b w:val="0"/>
          <w:szCs w:val="24"/>
          <w:u w:val="none"/>
        </w:rPr>
      </w:pPr>
      <w:r w:rsidRPr="00152350">
        <w:rPr>
          <w:rFonts w:ascii="Times New Roman" w:hAnsi="Times New Roman"/>
          <w:szCs w:val="24"/>
          <w:u w:val="none"/>
        </w:rPr>
        <w:br/>
      </w:r>
      <w:r w:rsidR="00D91B13" w:rsidRPr="00152350">
        <w:rPr>
          <w:rFonts w:ascii="Times New Roman" w:hAnsi="Times New Roman"/>
          <w:szCs w:val="24"/>
          <w:u w:val="none"/>
        </w:rPr>
        <w:tab/>
      </w:r>
      <w:r w:rsidR="00D91B13" w:rsidRPr="00152350">
        <w:rPr>
          <w:rFonts w:ascii="Times New Roman" w:hAnsi="Times New Roman"/>
          <w:szCs w:val="24"/>
          <w:u w:val="none"/>
        </w:rPr>
        <w:tab/>
      </w:r>
      <w:r w:rsidR="00B07DF3" w:rsidRPr="00152350">
        <w:rPr>
          <w:rFonts w:ascii="Times New Roman" w:hAnsi="Times New Roman"/>
          <w:b w:val="0"/>
          <w:szCs w:val="24"/>
          <w:u w:val="none"/>
        </w:rPr>
        <w:t>1.</w:t>
      </w:r>
      <w:r w:rsidR="00B07DF3" w:rsidRPr="00152350">
        <w:rPr>
          <w:rFonts w:ascii="Times New Roman" w:hAnsi="Times New Roman"/>
          <w:b w:val="0"/>
          <w:szCs w:val="24"/>
          <w:u w:val="none"/>
        </w:rPr>
        <w:tab/>
        <w:t>The Commission has jurisdiction over the parties and subject matter in this proceeding.</w:t>
      </w:r>
      <w:r w:rsidR="00A237BD" w:rsidRPr="00152350">
        <w:rPr>
          <w:rFonts w:ascii="Times New Roman" w:hAnsi="Times New Roman"/>
          <w:b w:val="0"/>
          <w:spacing w:val="-3"/>
          <w:szCs w:val="24"/>
          <w:u w:val="none"/>
        </w:rPr>
        <w:t xml:space="preserve">   </w:t>
      </w:r>
      <w:r w:rsidR="00A237BD" w:rsidRPr="00152350">
        <w:rPr>
          <w:rFonts w:ascii="Times New Roman" w:hAnsi="Times New Roman"/>
          <w:b w:val="0"/>
          <w:szCs w:val="24"/>
          <w:u w:val="none"/>
        </w:rPr>
        <w:t>66 Pa. C.S. § 701.</w:t>
      </w:r>
    </w:p>
    <w:p w:rsidR="00FF3964" w:rsidRPr="00152350" w:rsidRDefault="00FF3964" w:rsidP="00152350">
      <w:pPr>
        <w:pStyle w:val="Heading1"/>
        <w:spacing w:line="360" w:lineRule="auto"/>
        <w:jc w:val="left"/>
        <w:rPr>
          <w:rFonts w:ascii="Times New Roman" w:hAnsi="Times New Roman"/>
          <w:b w:val="0"/>
          <w:szCs w:val="24"/>
          <w:u w:val="none"/>
        </w:rPr>
      </w:pPr>
    </w:p>
    <w:p w:rsidR="001F1FD8" w:rsidRDefault="009331B2" w:rsidP="00152350">
      <w:pPr>
        <w:spacing w:line="360" w:lineRule="auto"/>
        <w:rPr>
          <w:sz w:val="24"/>
          <w:szCs w:val="24"/>
        </w:rPr>
      </w:pPr>
      <w:r w:rsidRPr="00152350">
        <w:rPr>
          <w:sz w:val="24"/>
          <w:szCs w:val="24"/>
        </w:rPr>
        <w:tab/>
      </w:r>
      <w:r w:rsidRPr="00152350">
        <w:rPr>
          <w:sz w:val="24"/>
          <w:szCs w:val="24"/>
        </w:rPr>
        <w:tab/>
        <w:t>2.</w:t>
      </w:r>
      <w:r w:rsidRPr="00152350">
        <w:rPr>
          <w:sz w:val="24"/>
          <w:szCs w:val="24"/>
        </w:rPr>
        <w:tab/>
      </w:r>
      <w:r w:rsidR="00FF3964" w:rsidRPr="00152350">
        <w:rPr>
          <w:sz w:val="24"/>
          <w:szCs w:val="24"/>
        </w:rPr>
        <w:t>Commission regulations provide for the filing of preliminary objections. 52 Pa. Code § 5.101.</w:t>
      </w:r>
      <w:r w:rsidR="00FF3964" w:rsidRPr="00152350">
        <w:rPr>
          <w:sz w:val="24"/>
          <w:szCs w:val="24"/>
        </w:rPr>
        <w:br/>
      </w:r>
      <w:r w:rsidR="00FF3964" w:rsidRPr="00152350">
        <w:rPr>
          <w:sz w:val="24"/>
          <w:szCs w:val="24"/>
        </w:rPr>
        <w:br/>
      </w:r>
      <w:r w:rsidR="00FF3964" w:rsidRPr="00152350">
        <w:rPr>
          <w:sz w:val="24"/>
          <w:szCs w:val="24"/>
        </w:rPr>
        <w:tab/>
      </w:r>
      <w:r w:rsidR="00FF3964" w:rsidRPr="00152350">
        <w:rPr>
          <w:sz w:val="24"/>
          <w:szCs w:val="24"/>
        </w:rPr>
        <w:tab/>
      </w:r>
      <w:r w:rsidRPr="00152350">
        <w:rPr>
          <w:sz w:val="24"/>
          <w:szCs w:val="24"/>
        </w:rPr>
        <w:t>3</w:t>
      </w:r>
      <w:r w:rsidR="00FF3964" w:rsidRPr="00152350">
        <w:rPr>
          <w:sz w:val="24"/>
          <w:szCs w:val="24"/>
        </w:rPr>
        <w:t>.</w:t>
      </w:r>
      <w:r w:rsidR="00FF3964" w:rsidRPr="00152350">
        <w:rPr>
          <w:sz w:val="24"/>
          <w:szCs w:val="24"/>
        </w:rPr>
        <w:tab/>
        <w:t xml:space="preserve">A preliminary objection in civil practice seeking dismissal of a pleading will be granted only where relief is clearly warranted and free from doubt.  </w:t>
      </w:r>
      <w:r w:rsidR="00FF3964" w:rsidRPr="00152350">
        <w:rPr>
          <w:i/>
          <w:sz w:val="24"/>
          <w:szCs w:val="24"/>
        </w:rPr>
        <w:t>Interstate Traveler Services, Inc. v. Pa. Dept. of Environmental Resources</w:t>
      </w:r>
      <w:r w:rsidR="00FF3964" w:rsidRPr="00152350">
        <w:rPr>
          <w:sz w:val="24"/>
          <w:szCs w:val="24"/>
        </w:rPr>
        <w:t>, 406 A.2d 1020 (Pa. 1979). </w:t>
      </w:r>
      <w:r w:rsidR="00FF3964" w:rsidRPr="00152350">
        <w:rPr>
          <w:sz w:val="24"/>
          <w:szCs w:val="24"/>
        </w:rPr>
        <w:br/>
      </w:r>
      <w:r w:rsidR="00FF3964" w:rsidRPr="00152350">
        <w:rPr>
          <w:sz w:val="24"/>
          <w:szCs w:val="24"/>
        </w:rPr>
        <w:br/>
      </w:r>
      <w:r w:rsidR="00FF3964" w:rsidRPr="00152350">
        <w:rPr>
          <w:sz w:val="24"/>
          <w:szCs w:val="24"/>
        </w:rPr>
        <w:tab/>
      </w:r>
      <w:r w:rsidR="00FF3964" w:rsidRPr="00152350">
        <w:rPr>
          <w:sz w:val="24"/>
          <w:szCs w:val="24"/>
        </w:rPr>
        <w:tab/>
      </w:r>
      <w:r w:rsidRPr="00152350">
        <w:rPr>
          <w:sz w:val="24"/>
          <w:szCs w:val="24"/>
        </w:rPr>
        <w:t>4</w:t>
      </w:r>
      <w:r w:rsidR="00FF3964" w:rsidRPr="00152350">
        <w:rPr>
          <w:sz w:val="24"/>
          <w:szCs w:val="24"/>
        </w:rPr>
        <w:t>.</w:t>
      </w:r>
      <w:r w:rsidR="00FF3964" w:rsidRPr="00152350">
        <w:rPr>
          <w:sz w:val="24"/>
          <w:szCs w:val="24"/>
        </w:rPr>
        <w:tab/>
        <w:t xml:space="preserve">The preliminary objection may be granted only if the moving party prevails as a matter of law.  </w:t>
      </w:r>
      <w:proofErr w:type="gramStart"/>
      <w:r w:rsidR="00FF3964" w:rsidRPr="00152350">
        <w:rPr>
          <w:i/>
          <w:sz w:val="24"/>
          <w:szCs w:val="24"/>
        </w:rPr>
        <w:t>Roc v. Flaherty</w:t>
      </w:r>
      <w:r w:rsidR="00FF3964" w:rsidRPr="00152350">
        <w:rPr>
          <w:sz w:val="24"/>
          <w:szCs w:val="24"/>
        </w:rPr>
        <w:t>, 527 A.2d 211 (Pa.Cmwlth. 1985).</w:t>
      </w:r>
      <w:proofErr w:type="gramEnd"/>
    </w:p>
    <w:p w:rsidR="009331B2" w:rsidRPr="00152350" w:rsidRDefault="00FF3964" w:rsidP="00152350">
      <w:pPr>
        <w:spacing w:line="360" w:lineRule="auto"/>
        <w:rPr>
          <w:sz w:val="24"/>
          <w:szCs w:val="24"/>
        </w:rPr>
      </w:pPr>
      <w:r w:rsidRPr="00152350">
        <w:rPr>
          <w:sz w:val="24"/>
          <w:szCs w:val="24"/>
        </w:rPr>
        <w:br/>
      </w:r>
      <w:r w:rsidRPr="00152350">
        <w:rPr>
          <w:sz w:val="24"/>
          <w:szCs w:val="24"/>
        </w:rPr>
        <w:tab/>
      </w:r>
      <w:r w:rsidRPr="00152350">
        <w:rPr>
          <w:sz w:val="24"/>
          <w:szCs w:val="24"/>
        </w:rPr>
        <w:tab/>
      </w:r>
      <w:r w:rsidR="009331B2" w:rsidRPr="00152350">
        <w:rPr>
          <w:sz w:val="24"/>
          <w:szCs w:val="24"/>
        </w:rPr>
        <w:t>5</w:t>
      </w:r>
      <w:r w:rsidRPr="00152350">
        <w:rPr>
          <w:sz w:val="24"/>
          <w:szCs w:val="24"/>
        </w:rPr>
        <w:t>.</w:t>
      </w:r>
      <w:r w:rsidRPr="00152350">
        <w:rPr>
          <w:sz w:val="24"/>
          <w:szCs w:val="24"/>
        </w:rPr>
        <w:tab/>
        <w:t xml:space="preserve">Any doubt must be resolved in favor of the non-moving party by refusing to sustain the preliminary objections.  </w:t>
      </w:r>
      <w:r w:rsidRPr="00152350">
        <w:rPr>
          <w:i/>
          <w:sz w:val="24"/>
          <w:szCs w:val="24"/>
        </w:rPr>
        <w:t>Dept. of Auditor General, et al. v. State Employees' Retirement System, et al.</w:t>
      </w:r>
      <w:r w:rsidRPr="00152350">
        <w:rPr>
          <w:sz w:val="24"/>
          <w:szCs w:val="24"/>
        </w:rPr>
        <w:t xml:space="preserve">, 836 A.2d 1053, 1064 (Pa. Cmwlth. 2003) citing, </w:t>
      </w:r>
      <w:r w:rsidRPr="00152350">
        <w:rPr>
          <w:i/>
          <w:sz w:val="24"/>
          <w:szCs w:val="24"/>
        </w:rPr>
        <w:t>Boyd v. Ward</w:t>
      </w:r>
      <w:r w:rsidRPr="00152350">
        <w:rPr>
          <w:sz w:val="24"/>
          <w:szCs w:val="24"/>
        </w:rPr>
        <w:t>, 802 A.2d 705 (Pa. Cmwlth. 2002).</w:t>
      </w:r>
    </w:p>
    <w:p w:rsidR="009331B2" w:rsidRPr="00152350" w:rsidRDefault="009331B2" w:rsidP="00152350">
      <w:pPr>
        <w:spacing w:line="360" w:lineRule="auto"/>
        <w:rPr>
          <w:sz w:val="24"/>
          <w:szCs w:val="24"/>
        </w:rPr>
      </w:pPr>
    </w:p>
    <w:p w:rsidR="001F1FD8" w:rsidRDefault="009331B2" w:rsidP="00152350">
      <w:pPr>
        <w:spacing w:line="360" w:lineRule="auto"/>
        <w:rPr>
          <w:bCs/>
          <w:sz w:val="24"/>
          <w:szCs w:val="24"/>
        </w:rPr>
      </w:pPr>
      <w:r w:rsidRPr="00152350">
        <w:rPr>
          <w:sz w:val="24"/>
          <w:szCs w:val="24"/>
        </w:rPr>
        <w:tab/>
      </w:r>
      <w:r w:rsidRPr="00152350">
        <w:rPr>
          <w:sz w:val="24"/>
          <w:szCs w:val="24"/>
        </w:rPr>
        <w:tab/>
        <w:t>6.</w:t>
      </w:r>
      <w:r w:rsidRPr="00152350">
        <w:rPr>
          <w:sz w:val="24"/>
          <w:szCs w:val="24"/>
        </w:rPr>
        <w:tab/>
        <w:t>According to the Commission's regulations</w:t>
      </w:r>
      <w:r w:rsidR="00C01332">
        <w:rPr>
          <w:sz w:val="24"/>
          <w:szCs w:val="24"/>
        </w:rPr>
        <w:t xml:space="preserve"> at 52 Pa. Code §§ 1.21-1.22.</w:t>
      </w:r>
      <w:r w:rsidRPr="00152350">
        <w:rPr>
          <w:sz w:val="24"/>
          <w:szCs w:val="24"/>
        </w:rPr>
        <w:t>,</w:t>
      </w:r>
      <w:r w:rsidR="0013347B">
        <w:rPr>
          <w:sz w:val="24"/>
          <w:szCs w:val="24"/>
        </w:rPr>
        <w:t xml:space="preserve"> persons in a formal, adversarial proceeding must be </w:t>
      </w:r>
      <w:r w:rsidR="0013347B">
        <w:rPr>
          <w:bCs/>
          <w:sz w:val="24"/>
          <w:szCs w:val="24"/>
        </w:rPr>
        <w:t>represented by an attorney</w:t>
      </w:r>
      <w:r w:rsidR="0013347B" w:rsidRPr="00152350">
        <w:rPr>
          <w:bCs/>
          <w:sz w:val="24"/>
          <w:szCs w:val="24"/>
        </w:rPr>
        <w:t xml:space="preserve"> </w:t>
      </w:r>
      <w:r w:rsidR="0013347B" w:rsidRPr="00215C6A">
        <w:rPr>
          <w:bCs/>
          <w:sz w:val="24"/>
          <w:szCs w:val="24"/>
        </w:rPr>
        <w:t>at law admitted to practice before the Supreme Court of Pennsylvania</w:t>
      </w:r>
      <w:r w:rsidR="0013347B">
        <w:rPr>
          <w:bCs/>
          <w:sz w:val="24"/>
          <w:szCs w:val="24"/>
        </w:rPr>
        <w:t xml:space="preserve"> or by an </w:t>
      </w:r>
      <w:r w:rsidR="0013347B" w:rsidRPr="00215C6A">
        <w:rPr>
          <w:bCs/>
          <w:sz w:val="24"/>
          <w:szCs w:val="24"/>
        </w:rPr>
        <w:t xml:space="preserve">attorney not licensed in this Commonwealth </w:t>
      </w:r>
      <w:r w:rsidR="0013347B">
        <w:rPr>
          <w:bCs/>
          <w:sz w:val="24"/>
          <w:szCs w:val="24"/>
        </w:rPr>
        <w:t xml:space="preserve">but who </w:t>
      </w:r>
      <w:r w:rsidR="0013347B" w:rsidRPr="00215C6A">
        <w:rPr>
          <w:bCs/>
          <w:sz w:val="24"/>
          <w:szCs w:val="24"/>
        </w:rPr>
        <w:t>may appear before the Commission in accordance with the Pennsylvania Bar Admission Rules</w:t>
      </w:r>
      <w:r w:rsidRPr="00152350">
        <w:rPr>
          <w:bCs/>
          <w:sz w:val="24"/>
          <w:szCs w:val="24"/>
        </w:rPr>
        <w:t>.</w:t>
      </w:r>
    </w:p>
    <w:p w:rsidR="001F1FD8" w:rsidRDefault="001F1FD8" w:rsidP="00152350">
      <w:pPr>
        <w:spacing w:line="360" w:lineRule="auto"/>
        <w:rPr>
          <w:bCs/>
          <w:sz w:val="24"/>
          <w:szCs w:val="24"/>
        </w:rPr>
      </w:pPr>
    </w:p>
    <w:p w:rsidR="00044CC5" w:rsidRDefault="001F1FD8" w:rsidP="00152350">
      <w:pPr>
        <w:spacing w:line="360" w:lineRule="auto"/>
        <w:rPr>
          <w:sz w:val="24"/>
          <w:szCs w:val="24"/>
        </w:rPr>
      </w:pPr>
      <w:r>
        <w:rPr>
          <w:sz w:val="24"/>
          <w:szCs w:val="24"/>
        </w:rPr>
        <w:tab/>
      </w:r>
      <w:r>
        <w:rPr>
          <w:sz w:val="24"/>
          <w:szCs w:val="24"/>
        </w:rPr>
        <w:tab/>
        <w:t>7.</w:t>
      </w:r>
      <w:r>
        <w:rPr>
          <w:sz w:val="24"/>
          <w:szCs w:val="24"/>
        </w:rPr>
        <w:tab/>
        <w:t xml:space="preserve">The Rules of Administrative Practice and Procedure at 52 Pa. </w:t>
      </w:r>
      <w:proofErr w:type="gramStart"/>
      <w:r>
        <w:rPr>
          <w:sz w:val="24"/>
          <w:szCs w:val="24"/>
        </w:rPr>
        <w:t>Code</w:t>
      </w:r>
      <w:proofErr w:type="gramEnd"/>
      <w:r>
        <w:rPr>
          <w:sz w:val="24"/>
          <w:szCs w:val="24"/>
        </w:rPr>
        <w:t xml:space="preserve"> </w:t>
      </w:r>
    </w:p>
    <w:p w:rsidR="00FF3964" w:rsidRPr="00152350" w:rsidRDefault="001F1FD8" w:rsidP="00152350">
      <w:pPr>
        <w:spacing w:line="360" w:lineRule="auto"/>
        <w:rPr>
          <w:sz w:val="24"/>
          <w:szCs w:val="24"/>
        </w:rPr>
      </w:pPr>
      <w:r>
        <w:rPr>
          <w:sz w:val="24"/>
          <w:szCs w:val="24"/>
        </w:rPr>
        <w:t>§</w:t>
      </w:r>
      <w:r w:rsidR="00044CC5">
        <w:rPr>
          <w:sz w:val="24"/>
          <w:szCs w:val="24"/>
        </w:rPr>
        <w:t>§</w:t>
      </w:r>
      <w:r w:rsidR="00AD6049">
        <w:rPr>
          <w:sz w:val="24"/>
          <w:szCs w:val="24"/>
        </w:rPr>
        <w:t xml:space="preserve"> 1.2</w:t>
      </w:r>
      <w:r>
        <w:rPr>
          <w:sz w:val="24"/>
          <w:szCs w:val="24"/>
        </w:rPr>
        <w:t xml:space="preserve">(a) </w:t>
      </w:r>
      <w:proofErr w:type="gramStart"/>
      <w:r>
        <w:rPr>
          <w:sz w:val="24"/>
          <w:szCs w:val="24"/>
        </w:rPr>
        <w:t>provide</w:t>
      </w:r>
      <w:proofErr w:type="gramEnd"/>
      <w:r>
        <w:rPr>
          <w:sz w:val="24"/>
          <w:szCs w:val="24"/>
        </w:rPr>
        <w:t xml:space="preserve"> that the Commission’s procedural rules </w:t>
      </w:r>
      <w:r w:rsidRPr="001F1FD8">
        <w:rPr>
          <w:sz w:val="24"/>
          <w:szCs w:val="24"/>
        </w:rPr>
        <w:t>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w:t>
      </w:r>
      <w:r w:rsidR="00FF3964" w:rsidRPr="00152350">
        <w:rPr>
          <w:sz w:val="24"/>
          <w:szCs w:val="24"/>
        </w:rPr>
        <w:br/>
      </w:r>
    </w:p>
    <w:p w:rsidR="00152350" w:rsidRDefault="00715F0A" w:rsidP="00AA1F74">
      <w:pPr>
        <w:spacing w:line="360" w:lineRule="auto"/>
        <w:jc w:val="center"/>
        <w:rPr>
          <w:sz w:val="24"/>
          <w:szCs w:val="24"/>
          <w:u w:val="single"/>
        </w:rPr>
      </w:pPr>
      <w:r w:rsidRPr="00152350">
        <w:rPr>
          <w:sz w:val="24"/>
          <w:szCs w:val="24"/>
          <w:u w:val="single"/>
        </w:rPr>
        <w:t>ORDER</w:t>
      </w:r>
    </w:p>
    <w:p w:rsidR="00715F0A" w:rsidRPr="00152350" w:rsidRDefault="00715F0A" w:rsidP="00152350">
      <w:pPr>
        <w:spacing w:line="360" w:lineRule="auto"/>
        <w:rPr>
          <w:sz w:val="24"/>
          <w:szCs w:val="24"/>
        </w:rPr>
      </w:pPr>
    </w:p>
    <w:p w:rsidR="00044CC5" w:rsidRDefault="00715F0A" w:rsidP="00152350">
      <w:pPr>
        <w:spacing w:line="360" w:lineRule="auto"/>
        <w:rPr>
          <w:sz w:val="24"/>
          <w:szCs w:val="24"/>
        </w:rPr>
      </w:pPr>
      <w:r w:rsidRPr="00152350">
        <w:rPr>
          <w:sz w:val="24"/>
          <w:szCs w:val="24"/>
        </w:rPr>
        <w:tab/>
      </w:r>
      <w:r w:rsidRPr="00152350">
        <w:rPr>
          <w:sz w:val="24"/>
          <w:szCs w:val="24"/>
        </w:rPr>
        <w:tab/>
        <w:t>T</w:t>
      </w:r>
      <w:r w:rsidR="0095403D" w:rsidRPr="00152350">
        <w:rPr>
          <w:sz w:val="24"/>
          <w:szCs w:val="24"/>
        </w:rPr>
        <w:t>HEREFORE,</w:t>
      </w:r>
      <w:r w:rsidR="0095403D" w:rsidRPr="00152350">
        <w:rPr>
          <w:sz w:val="24"/>
          <w:szCs w:val="24"/>
        </w:rPr>
        <w:br/>
      </w:r>
      <w:r w:rsidR="0095403D" w:rsidRPr="00152350">
        <w:rPr>
          <w:sz w:val="24"/>
          <w:szCs w:val="24"/>
        </w:rPr>
        <w:br/>
      </w:r>
      <w:r w:rsidRPr="00152350">
        <w:rPr>
          <w:sz w:val="24"/>
          <w:szCs w:val="24"/>
        </w:rPr>
        <w:tab/>
      </w:r>
      <w:r w:rsidRPr="00152350">
        <w:rPr>
          <w:sz w:val="24"/>
          <w:szCs w:val="24"/>
        </w:rPr>
        <w:tab/>
      </w:r>
      <w:r w:rsidR="0095403D" w:rsidRPr="00152350">
        <w:rPr>
          <w:sz w:val="24"/>
          <w:szCs w:val="24"/>
        </w:rPr>
        <w:t>IT IS ORDERED:</w:t>
      </w:r>
      <w:r w:rsidR="0095403D" w:rsidRPr="00152350">
        <w:rPr>
          <w:sz w:val="24"/>
          <w:szCs w:val="24"/>
        </w:rPr>
        <w:br/>
      </w:r>
      <w:r w:rsidR="0095403D" w:rsidRPr="00152350">
        <w:rPr>
          <w:sz w:val="24"/>
          <w:szCs w:val="24"/>
        </w:rPr>
        <w:br/>
      </w:r>
      <w:r w:rsidRPr="00152350">
        <w:rPr>
          <w:sz w:val="24"/>
          <w:szCs w:val="24"/>
        </w:rPr>
        <w:tab/>
      </w:r>
      <w:r w:rsidRPr="00152350">
        <w:rPr>
          <w:sz w:val="24"/>
          <w:szCs w:val="24"/>
        </w:rPr>
        <w:tab/>
      </w:r>
      <w:r w:rsidR="0095403D" w:rsidRPr="00152350">
        <w:rPr>
          <w:sz w:val="24"/>
          <w:szCs w:val="24"/>
        </w:rPr>
        <w:t xml:space="preserve">1. </w:t>
      </w:r>
      <w:r w:rsidRPr="00152350">
        <w:rPr>
          <w:sz w:val="24"/>
          <w:szCs w:val="24"/>
        </w:rPr>
        <w:tab/>
      </w:r>
      <w:proofErr w:type="gramStart"/>
      <w:r w:rsidR="0095403D" w:rsidRPr="00152350">
        <w:rPr>
          <w:sz w:val="24"/>
          <w:szCs w:val="24"/>
        </w:rPr>
        <w:t>That</w:t>
      </w:r>
      <w:proofErr w:type="gramEnd"/>
      <w:r w:rsidR="0095403D" w:rsidRPr="00152350">
        <w:rPr>
          <w:sz w:val="24"/>
          <w:szCs w:val="24"/>
        </w:rPr>
        <w:t xml:space="preserve"> the Preliminary Objection filed on </w:t>
      </w:r>
      <w:r w:rsidR="008D609F" w:rsidRPr="00152350">
        <w:rPr>
          <w:sz w:val="24"/>
          <w:szCs w:val="24"/>
        </w:rPr>
        <w:t>November 8, 2010</w:t>
      </w:r>
      <w:r w:rsidR="0095403D" w:rsidRPr="00152350">
        <w:rPr>
          <w:sz w:val="24"/>
          <w:szCs w:val="24"/>
        </w:rPr>
        <w:t xml:space="preserve">, by </w:t>
      </w:r>
      <w:r w:rsidR="008D609F" w:rsidRPr="00152350">
        <w:rPr>
          <w:sz w:val="24"/>
          <w:szCs w:val="24"/>
        </w:rPr>
        <w:t xml:space="preserve">PECO Energy Company </w:t>
      </w:r>
      <w:r w:rsidR="0095403D" w:rsidRPr="00152350">
        <w:rPr>
          <w:sz w:val="24"/>
          <w:szCs w:val="24"/>
        </w:rPr>
        <w:t xml:space="preserve">in the above-captioned case is </w:t>
      </w:r>
      <w:r w:rsidR="00527AE6">
        <w:rPr>
          <w:sz w:val="24"/>
          <w:szCs w:val="24"/>
        </w:rPr>
        <w:t>denied</w:t>
      </w:r>
      <w:r w:rsidR="0095403D" w:rsidRPr="00152350">
        <w:rPr>
          <w:sz w:val="24"/>
          <w:szCs w:val="24"/>
        </w:rPr>
        <w:t>.</w:t>
      </w:r>
      <w:r w:rsidR="0095403D" w:rsidRPr="00152350">
        <w:rPr>
          <w:sz w:val="24"/>
          <w:szCs w:val="24"/>
        </w:rPr>
        <w:br/>
      </w:r>
      <w:r w:rsidR="0095403D" w:rsidRPr="00152350">
        <w:rPr>
          <w:sz w:val="24"/>
          <w:szCs w:val="24"/>
        </w:rPr>
        <w:br/>
      </w:r>
      <w:r w:rsidRPr="00152350">
        <w:rPr>
          <w:sz w:val="24"/>
          <w:szCs w:val="24"/>
        </w:rPr>
        <w:tab/>
      </w:r>
      <w:r w:rsidRPr="00152350">
        <w:rPr>
          <w:sz w:val="24"/>
          <w:szCs w:val="24"/>
        </w:rPr>
        <w:tab/>
      </w:r>
      <w:r w:rsidR="0095403D" w:rsidRPr="00152350">
        <w:rPr>
          <w:sz w:val="24"/>
          <w:szCs w:val="24"/>
        </w:rPr>
        <w:t xml:space="preserve">2. </w:t>
      </w:r>
      <w:r w:rsidRPr="00152350">
        <w:rPr>
          <w:sz w:val="24"/>
          <w:szCs w:val="24"/>
        </w:rPr>
        <w:tab/>
      </w:r>
      <w:r w:rsidR="0095403D" w:rsidRPr="00152350">
        <w:rPr>
          <w:sz w:val="24"/>
          <w:szCs w:val="24"/>
        </w:rPr>
        <w:t xml:space="preserve">That </w:t>
      </w:r>
      <w:r w:rsidR="008D609F" w:rsidRPr="00152350">
        <w:rPr>
          <w:sz w:val="24"/>
          <w:szCs w:val="24"/>
        </w:rPr>
        <w:t xml:space="preserve">First Millenium, </w:t>
      </w:r>
      <w:r w:rsidR="009D7784" w:rsidRPr="00152350">
        <w:rPr>
          <w:sz w:val="24"/>
          <w:szCs w:val="24"/>
        </w:rPr>
        <w:t xml:space="preserve">LLC, </w:t>
      </w:r>
      <w:r w:rsidR="00527AE6">
        <w:rPr>
          <w:sz w:val="24"/>
          <w:szCs w:val="24"/>
        </w:rPr>
        <w:t xml:space="preserve">shall, within twenty (20) days of the date of issuance of this </w:t>
      </w:r>
      <w:r w:rsidR="00044CC5">
        <w:rPr>
          <w:sz w:val="24"/>
          <w:szCs w:val="24"/>
        </w:rPr>
        <w:t>Order</w:t>
      </w:r>
      <w:r w:rsidR="00BF0309">
        <w:rPr>
          <w:sz w:val="24"/>
          <w:szCs w:val="24"/>
        </w:rPr>
        <w:t>,</w:t>
      </w:r>
      <w:r w:rsidR="00044CC5">
        <w:rPr>
          <w:sz w:val="24"/>
          <w:szCs w:val="24"/>
        </w:rPr>
        <w:t xml:space="preserve"> comply with </w:t>
      </w:r>
      <w:r w:rsidR="00AD6049" w:rsidRPr="00152350">
        <w:rPr>
          <w:sz w:val="24"/>
          <w:szCs w:val="24"/>
        </w:rPr>
        <w:t>the Commission's regulations</w:t>
      </w:r>
      <w:r w:rsidR="00AD6049">
        <w:rPr>
          <w:sz w:val="24"/>
          <w:szCs w:val="24"/>
        </w:rPr>
        <w:t xml:space="preserve"> at 52 Pa. Code §§ 1.21-1.22 by retaining counsel and causing to be filed by counsel responsive pleadings to the New Matter and Preliminary Objection of PECO Energy Company</w:t>
      </w:r>
      <w:r w:rsidR="00CB6FA3">
        <w:rPr>
          <w:sz w:val="24"/>
          <w:szCs w:val="24"/>
        </w:rPr>
        <w:t xml:space="preserve"> </w:t>
      </w:r>
      <w:r w:rsidR="00CB6FA3" w:rsidRPr="00152350">
        <w:rPr>
          <w:sz w:val="24"/>
          <w:szCs w:val="24"/>
        </w:rPr>
        <w:t>at Docket Number C-2010-2205039</w:t>
      </w:r>
      <w:r w:rsidR="00AD6049">
        <w:rPr>
          <w:sz w:val="24"/>
          <w:szCs w:val="24"/>
        </w:rPr>
        <w:t>.</w:t>
      </w:r>
    </w:p>
    <w:p w:rsidR="00044CC5" w:rsidRDefault="00044CC5" w:rsidP="00152350">
      <w:pPr>
        <w:spacing w:line="360" w:lineRule="auto"/>
        <w:rPr>
          <w:sz w:val="24"/>
          <w:szCs w:val="24"/>
        </w:rPr>
      </w:pPr>
    </w:p>
    <w:p w:rsidR="00DD3605" w:rsidRPr="00152350" w:rsidRDefault="00AD6049" w:rsidP="00BF0309">
      <w:pPr>
        <w:spacing w:line="360" w:lineRule="auto"/>
        <w:rPr>
          <w:sz w:val="24"/>
          <w:szCs w:val="24"/>
        </w:rPr>
      </w:pPr>
      <w:r>
        <w:rPr>
          <w:sz w:val="24"/>
          <w:szCs w:val="24"/>
        </w:rPr>
        <w:tab/>
      </w:r>
      <w:r>
        <w:rPr>
          <w:sz w:val="24"/>
          <w:szCs w:val="24"/>
        </w:rPr>
        <w:tab/>
        <w:t>3.</w:t>
      </w:r>
      <w:r>
        <w:rPr>
          <w:sz w:val="24"/>
          <w:szCs w:val="24"/>
        </w:rPr>
        <w:tab/>
        <w:t>In the event that First Millenium, LLC</w:t>
      </w:r>
      <w:r w:rsidR="00CB6FA3">
        <w:rPr>
          <w:sz w:val="24"/>
          <w:szCs w:val="24"/>
        </w:rPr>
        <w:t>,</w:t>
      </w:r>
      <w:r>
        <w:rPr>
          <w:sz w:val="24"/>
          <w:szCs w:val="24"/>
        </w:rPr>
        <w:t xml:space="preserve"> fails to comply with this Order, </w:t>
      </w:r>
      <w:r w:rsidR="0095403D" w:rsidRPr="00152350">
        <w:rPr>
          <w:sz w:val="24"/>
          <w:szCs w:val="24"/>
        </w:rPr>
        <w:t xml:space="preserve">the </w:t>
      </w:r>
      <w:r w:rsidR="00FE1F8C">
        <w:rPr>
          <w:sz w:val="24"/>
          <w:szCs w:val="24"/>
        </w:rPr>
        <w:t xml:space="preserve">formal Complaint filed </w:t>
      </w:r>
      <w:r w:rsidR="009D7784" w:rsidRPr="00152350">
        <w:rPr>
          <w:sz w:val="24"/>
          <w:szCs w:val="24"/>
        </w:rPr>
        <w:t>at</w:t>
      </w:r>
      <w:r w:rsidR="0095403D" w:rsidRPr="00152350">
        <w:rPr>
          <w:sz w:val="24"/>
          <w:szCs w:val="24"/>
        </w:rPr>
        <w:t xml:space="preserve"> Docket Number C-20</w:t>
      </w:r>
      <w:r w:rsidR="00715F0A" w:rsidRPr="00152350">
        <w:rPr>
          <w:sz w:val="24"/>
          <w:szCs w:val="24"/>
        </w:rPr>
        <w:t>10</w:t>
      </w:r>
      <w:r w:rsidR="0095403D" w:rsidRPr="00152350">
        <w:rPr>
          <w:sz w:val="24"/>
          <w:szCs w:val="24"/>
        </w:rPr>
        <w:t>-</w:t>
      </w:r>
      <w:r w:rsidR="00715F0A" w:rsidRPr="00152350">
        <w:rPr>
          <w:sz w:val="24"/>
          <w:szCs w:val="24"/>
        </w:rPr>
        <w:t>220</w:t>
      </w:r>
      <w:r w:rsidR="009D7784" w:rsidRPr="00152350">
        <w:rPr>
          <w:sz w:val="24"/>
          <w:szCs w:val="24"/>
        </w:rPr>
        <w:t>5039</w:t>
      </w:r>
      <w:r w:rsidR="0095403D" w:rsidRPr="00152350">
        <w:rPr>
          <w:sz w:val="24"/>
          <w:szCs w:val="24"/>
        </w:rPr>
        <w:t xml:space="preserve"> </w:t>
      </w:r>
      <w:r w:rsidR="00715BA8">
        <w:rPr>
          <w:sz w:val="24"/>
          <w:szCs w:val="24"/>
        </w:rPr>
        <w:t xml:space="preserve">may be dismissed for failure to prosecute </w:t>
      </w:r>
      <w:r w:rsidR="00BF0309">
        <w:rPr>
          <w:sz w:val="24"/>
          <w:szCs w:val="24"/>
        </w:rPr>
        <w:t>the</w:t>
      </w:r>
      <w:r w:rsidR="00715BA8">
        <w:rPr>
          <w:sz w:val="24"/>
          <w:szCs w:val="24"/>
        </w:rPr>
        <w:t xml:space="preserve"> Complaint</w:t>
      </w:r>
      <w:r w:rsidR="0095403D" w:rsidRPr="00152350">
        <w:rPr>
          <w:sz w:val="24"/>
          <w:szCs w:val="24"/>
        </w:rPr>
        <w:t>.</w:t>
      </w:r>
      <w:r w:rsidR="0095403D" w:rsidRPr="00152350">
        <w:rPr>
          <w:sz w:val="24"/>
          <w:szCs w:val="24"/>
        </w:rPr>
        <w:br/>
      </w:r>
      <w:r w:rsidR="0095403D" w:rsidRPr="00152350">
        <w:rPr>
          <w:sz w:val="24"/>
          <w:szCs w:val="24"/>
        </w:rPr>
        <w:br/>
      </w:r>
      <w:r w:rsidR="00715F0A" w:rsidRPr="00152350">
        <w:rPr>
          <w:sz w:val="24"/>
          <w:szCs w:val="24"/>
        </w:rPr>
        <w:tab/>
      </w:r>
      <w:r w:rsidR="00715F0A" w:rsidRPr="00152350">
        <w:rPr>
          <w:sz w:val="24"/>
          <w:szCs w:val="24"/>
        </w:rPr>
        <w:tab/>
      </w:r>
      <w:r w:rsidR="0095403D" w:rsidRPr="00152350">
        <w:rPr>
          <w:sz w:val="24"/>
          <w:szCs w:val="24"/>
        </w:rPr>
        <w:br/>
      </w:r>
      <w:r w:rsidR="00DD3605" w:rsidRPr="00152350">
        <w:rPr>
          <w:sz w:val="24"/>
          <w:szCs w:val="24"/>
        </w:rPr>
        <w:t>Date:</w:t>
      </w:r>
      <w:r w:rsidR="00DD3605" w:rsidRPr="00152350">
        <w:rPr>
          <w:sz w:val="24"/>
          <w:szCs w:val="24"/>
        </w:rPr>
        <w:tab/>
      </w:r>
      <w:r w:rsidR="00715BA8">
        <w:rPr>
          <w:sz w:val="24"/>
          <w:szCs w:val="24"/>
          <w:u w:val="single"/>
        </w:rPr>
        <w:t xml:space="preserve">February </w:t>
      </w:r>
      <w:r w:rsidR="0023427D">
        <w:rPr>
          <w:sz w:val="24"/>
          <w:szCs w:val="24"/>
          <w:u w:val="single"/>
        </w:rPr>
        <w:t>11</w:t>
      </w:r>
      <w:r w:rsidR="00DD3605" w:rsidRPr="00152350">
        <w:rPr>
          <w:sz w:val="24"/>
          <w:szCs w:val="24"/>
          <w:u w:val="single"/>
        </w:rPr>
        <w:t>, 2011</w:t>
      </w:r>
      <w:r w:rsidR="00DD3605" w:rsidRPr="00152350">
        <w:rPr>
          <w:sz w:val="24"/>
          <w:szCs w:val="24"/>
        </w:rPr>
        <w:tab/>
      </w:r>
      <w:r w:rsidR="00DD3605" w:rsidRPr="00152350">
        <w:rPr>
          <w:sz w:val="24"/>
          <w:szCs w:val="24"/>
        </w:rPr>
        <w:tab/>
      </w:r>
      <w:r w:rsidR="00DD3605" w:rsidRPr="00152350">
        <w:rPr>
          <w:sz w:val="24"/>
          <w:szCs w:val="24"/>
        </w:rPr>
        <w:tab/>
      </w:r>
      <w:r w:rsidR="00DD3605" w:rsidRPr="00152350">
        <w:rPr>
          <w:sz w:val="24"/>
          <w:szCs w:val="24"/>
        </w:rPr>
        <w:tab/>
        <w:t>___________________________________</w:t>
      </w:r>
    </w:p>
    <w:p w:rsidR="00DD3605" w:rsidRPr="00152350" w:rsidRDefault="00DD3605" w:rsidP="00152350">
      <w:pPr>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t>Dennis J. Buckley</w:t>
      </w:r>
    </w:p>
    <w:p w:rsidR="00DC7E1B" w:rsidRDefault="00DD3605" w:rsidP="00152350">
      <w:pPr>
        <w:ind w:hanging="720"/>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00E45B3C" w:rsidRPr="00152350">
        <w:rPr>
          <w:sz w:val="24"/>
          <w:szCs w:val="24"/>
        </w:rPr>
        <w:tab/>
      </w:r>
      <w:r w:rsidRPr="00152350">
        <w:rPr>
          <w:sz w:val="24"/>
          <w:szCs w:val="24"/>
        </w:rPr>
        <w:t>Administrative Law Judge</w:t>
      </w:r>
    </w:p>
    <w:p w:rsidR="00FD2717" w:rsidRDefault="00FD2717" w:rsidP="00152350">
      <w:pPr>
        <w:ind w:hanging="720"/>
        <w:rPr>
          <w:sz w:val="24"/>
          <w:szCs w:val="24"/>
        </w:rPr>
        <w:sectPr w:rsidR="00FD2717" w:rsidSect="00C72CBB">
          <w:footerReference w:type="default" r:id="rId7"/>
          <w:pgSz w:w="12240" w:h="15840"/>
          <w:pgMar w:top="1440" w:right="1440" w:bottom="1440" w:left="1440" w:header="720" w:footer="720" w:gutter="0"/>
          <w:cols w:space="720"/>
          <w:titlePg/>
          <w:docGrid w:linePitch="360"/>
        </w:sectPr>
      </w:pPr>
    </w:p>
    <w:p w:rsidR="00FD2717" w:rsidRPr="00057980" w:rsidRDefault="00FD2717" w:rsidP="00FD2717">
      <w:pPr>
        <w:rPr>
          <w:rFonts w:ascii="Microsoft Sans Serif" w:hAnsi="Microsoft Sans Serif" w:cs="Microsoft Sans Serif"/>
          <w:b/>
          <w:caps/>
          <w:szCs w:val="24"/>
          <w:u w:val="single"/>
        </w:rPr>
      </w:pPr>
      <w:r w:rsidRPr="00EE70B8">
        <w:rPr>
          <w:rFonts w:ascii="Microsoft Sans Serif" w:hAnsi="Microsoft Sans Serif" w:cs="Microsoft Sans Serif"/>
          <w:b/>
          <w:caps/>
          <w:noProof/>
          <w:sz w:val="24"/>
          <w:szCs w:val="24"/>
          <w:u w:val="single"/>
        </w:rPr>
        <w:lastRenderedPageBreak/>
        <w:t>C-2010-2205039</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EE70B8">
        <w:rPr>
          <w:rFonts w:ascii="Microsoft Sans Serif" w:hAnsi="Microsoft Sans Serif" w:cs="Microsoft Sans Serif"/>
          <w:b/>
          <w:caps/>
          <w:noProof/>
          <w:sz w:val="24"/>
          <w:szCs w:val="24"/>
          <w:u w:val="single"/>
        </w:rPr>
        <w:t>First Millenium, LLC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E70B8">
        <w:rPr>
          <w:rFonts w:ascii="Microsoft Sans Serif" w:hAnsi="Microsoft Sans Serif" w:cs="Microsoft Sans Serif"/>
          <w:b/>
          <w:caps/>
          <w:noProof/>
          <w:sz w:val="24"/>
          <w:szCs w:val="24"/>
          <w:u w:val="single"/>
        </w:rPr>
        <w:t xml:space="preserve">PECO Energy Company </w:t>
      </w:r>
    </w:p>
    <w:p w:rsidR="00FD2717" w:rsidRPr="00057980" w:rsidRDefault="00FD2717" w:rsidP="00FD2717">
      <w:pPr>
        <w:rPr>
          <w:rFonts w:ascii="Microsoft Sans Serif" w:hAnsi="Microsoft Sans Serif" w:cs="Microsoft Sans Serif"/>
          <w:caps/>
          <w:szCs w:val="24"/>
        </w:rPr>
      </w:pPr>
    </w:p>
    <w:p w:rsidR="00FD2717" w:rsidRDefault="00FD2717" w:rsidP="00FD2717">
      <w:pPr>
        <w:rPr>
          <w:rFonts w:ascii="Microsoft Sans Serif" w:hAnsi="Microsoft Sans Serif" w:cs="Microsoft Sans Serif"/>
          <w:caps/>
          <w:szCs w:val="24"/>
        </w:rPr>
      </w:pPr>
    </w:p>
    <w:p w:rsidR="00FD2717" w:rsidRPr="00057980" w:rsidRDefault="00FD2717" w:rsidP="00FD2717">
      <w:pPr>
        <w:rPr>
          <w:rFonts w:ascii="Microsoft Sans Serif" w:hAnsi="Microsoft Sans Serif" w:cs="Microsoft Sans Serif"/>
          <w:caps/>
          <w:szCs w:val="24"/>
        </w:rPr>
      </w:pPr>
    </w:p>
    <w:p w:rsidR="00FD2717" w:rsidRPr="00057980" w:rsidRDefault="00FD2717" w:rsidP="00FD2717">
      <w:pPr>
        <w:rPr>
          <w:rFonts w:ascii="Microsoft Sans Serif" w:hAnsi="Microsoft Sans Serif" w:cs="Microsoft Sans Serif"/>
          <w:caps/>
          <w:szCs w:val="24"/>
        </w:rPr>
      </w:pPr>
      <w:r w:rsidRPr="00EE70B8">
        <w:rPr>
          <w:rFonts w:ascii="Microsoft Sans Serif" w:hAnsi="Microsoft Sans Serif" w:cs="Microsoft Sans Serif"/>
          <w:caps/>
          <w:noProof/>
          <w:sz w:val="24"/>
          <w:szCs w:val="24"/>
        </w:rPr>
        <w:t>First Millenium, LLC</w:t>
      </w:r>
      <w:r w:rsidRPr="00057980">
        <w:rPr>
          <w:rFonts w:ascii="Microsoft Sans Serif" w:hAnsi="Microsoft Sans Serif" w:cs="Microsoft Sans Serif"/>
          <w:caps/>
          <w:szCs w:val="24"/>
        </w:rPr>
        <w:t xml:space="preserve">  </w:t>
      </w:r>
    </w:p>
    <w:p w:rsidR="00FD2717" w:rsidRPr="00057980" w:rsidRDefault="00FD2717" w:rsidP="00FD2717">
      <w:pPr>
        <w:rPr>
          <w:rFonts w:ascii="Microsoft Sans Serif" w:hAnsi="Microsoft Sans Serif" w:cs="Microsoft Sans Serif"/>
          <w:caps/>
          <w:szCs w:val="24"/>
        </w:rPr>
      </w:pPr>
      <w:smartTag w:uri="urn:schemas-microsoft-com:office:smarttags" w:element="place">
        <w:r w:rsidRPr="00EE70B8">
          <w:rPr>
            <w:rFonts w:ascii="Microsoft Sans Serif" w:hAnsi="Microsoft Sans Serif" w:cs="Microsoft Sans Serif"/>
            <w:caps/>
            <w:noProof/>
            <w:sz w:val="24"/>
            <w:szCs w:val="24"/>
          </w:rPr>
          <w:t>PO</w:t>
        </w:r>
      </w:smartTag>
      <w:r w:rsidRPr="00EE70B8">
        <w:rPr>
          <w:rFonts w:ascii="Microsoft Sans Serif" w:hAnsi="Microsoft Sans Serif" w:cs="Microsoft Sans Serif"/>
          <w:caps/>
          <w:noProof/>
          <w:sz w:val="24"/>
          <w:szCs w:val="24"/>
        </w:rPr>
        <w:t xml:space="preserve"> Box 265 </w:t>
      </w:r>
    </w:p>
    <w:p w:rsidR="00FD2717" w:rsidRPr="00057980" w:rsidRDefault="00FD2717" w:rsidP="00FD2717">
      <w:pPr>
        <w:rPr>
          <w:rFonts w:ascii="Microsoft Sans Serif" w:hAnsi="Microsoft Sans Serif" w:cs="Microsoft Sans Serif"/>
          <w:caps/>
          <w:szCs w:val="24"/>
        </w:rPr>
      </w:pPr>
      <w:smartTag w:uri="urn:schemas-microsoft-com:office:smarttags" w:element="place">
        <w:smartTag w:uri="urn:schemas-microsoft-com:office:smarttags" w:element="City">
          <w:r w:rsidRPr="00EE70B8">
            <w:rPr>
              <w:rFonts w:ascii="Microsoft Sans Serif" w:hAnsi="Microsoft Sans Serif" w:cs="Microsoft Sans Serif"/>
              <w:caps/>
              <w:noProof/>
              <w:sz w:val="24"/>
              <w:szCs w:val="24"/>
            </w:rPr>
            <w:t>Cherry Hill</w:t>
          </w:r>
        </w:smartTag>
        <w:r w:rsidRPr="00057980">
          <w:rPr>
            <w:rFonts w:ascii="Microsoft Sans Serif" w:hAnsi="Microsoft Sans Serif" w:cs="Microsoft Sans Serif"/>
            <w:caps/>
            <w:szCs w:val="24"/>
          </w:rPr>
          <w:t xml:space="preserve"> </w:t>
        </w:r>
        <w:smartTag w:uri="urn:schemas-microsoft-com:office:smarttags" w:element="State">
          <w:r w:rsidRPr="00EE70B8">
            <w:rPr>
              <w:rFonts w:ascii="Microsoft Sans Serif" w:hAnsi="Microsoft Sans Serif" w:cs="Microsoft Sans Serif"/>
              <w:caps/>
              <w:noProof/>
              <w:sz w:val="24"/>
              <w:szCs w:val="24"/>
            </w:rPr>
            <w:t>NJ</w:t>
          </w:r>
        </w:smartTag>
        <w:r w:rsidRPr="00057980">
          <w:rPr>
            <w:rFonts w:ascii="Microsoft Sans Serif" w:hAnsi="Microsoft Sans Serif" w:cs="Microsoft Sans Serif"/>
            <w:caps/>
            <w:szCs w:val="24"/>
          </w:rPr>
          <w:t xml:space="preserve">  </w:t>
        </w:r>
        <w:smartTag w:uri="urn:schemas-microsoft-com:office:smarttags" w:element="PostalCode">
          <w:r w:rsidRPr="00EE70B8">
            <w:rPr>
              <w:rFonts w:ascii="Microsoft Sans Serif" w:hAnsi="Microsoft Sans Serif" w:cs="Microsoft Sans Serif"/>
              <w:caps/>
              <w:noProof/>
              <w:sz w:val="24"/>
              <w:szCs w:val="24"/>
            </w:rPr>
            <w:t>08003</w:t>
          </w:r>
        </w:smartTag>
      </w:smartTag>
    </w:p>
    <w:p w:rsidR="00FD2717" w:rsidRDefault="00FD2717" w:rsidP="00FD2717">
      <w:pPr>
        <w:rPr>
          <w:rFonts w:ascii="Microsoft Sans Serif" w:hAnsi="Microsoft Sans Serif" w:cs="Microsoft Sans Serif"/>
          <w:b/>
          <w:caps/>
          <w:noProof/>
          <w:szCs w:val="24"/>
        </w:rPr>
      </w:pPr>
      <w:r w:rsidRPr="00EE70B8">
        <w:rPr>
          <w:rFonts w:ascii="Microsoft Sans Serif" w:hAnsi="Microsoft Sans Serif" w:cs="Microsoft Sans Serif"/>
          <w:b/>
          <w:caps/>
          <w:noProof/>
          <w:sz w:val="24"/>
          <w:szCs w:val="24"/>
        </w:rPr>
        <w:t>215.834.9698</w:t>
      </w:r>
    </w:p>
    <w:p w:rsidR="00FD2717" w:rsidRDefault="00FD2717" w:rsidP="00FD2717">
      <w:pPr>
        <w:rPr>
          <w:rFonts w:ascii="Microsoft Sans Serif" w:hAnsi="Microsoft Sans Serif" w:cs="Microsoft Sans Serif"/>
          <w:b/>
          <w:caps/>
          <w:noProof/>
          <w:szCs w:val="24"/>
        </w:rPr>
      </w:pPr>
    </w:p>
    <w:p w:rsidR="00FD2717" w:rsidRDefault="00FD2717" w:rsidP="00FD2717">
      <w:pPr>
        <w:rPr>
          <w:rFonts w:ascii="Microsoft Sans Serif" w:hAnsi="Microsoft Sans Serif" w:cs="Microsoft Sans Serif"/>
          <w:caps/>
          <w:szCs w:val="24"/>
        </w:rPr>
      </w:pPr>
    </w:p>
    <w:p w:rsidR="00FD2717" w:rsidRPr="00057980" w:rsidRDefault="00FD2717" w:rsidP="00FD2717">
      <w:pPr>
        <w:rPr>
          <w:rFonts w:ascii="Microsoft Sans Serif" w:hAnsi="Microsoft Sans Serif" w:cs="Microsoft Sans Serif"/>
          <w:caps/>
          <w:szCs w:val="24"/>
        </w:rPr>
      </w:pPr>
    </w:p>
    <w:p w:rsidR="00FD2717" w:rsidRPr="00057980" w:rsidRDefault="00FD2717" w:rsidP="00FD2717">
      <w:pPr>
        <w:rPr>
          <w:rFonts w:ascii="Microsoft Sans Serif" w:hAnsi="Microsoft Sans Serif" w:cs="Microsoft Sans Serif"/>
          <w:caps/>
          <w:szCs w:val="24"/>
        </w:rPr>
      </w:pPr>
      <w:r w:rsidRPr="00EE70B8">
        <w:rPr>
          <w:rFonts w:ascii="Microsoft Sans Serif" w:hAnsi="Microsoft Sans Serif" w:cs="Microsoft Sans Serif"/>
          <w:caps/>
          <w:noProof/>
          <w:sz w:val="24"/>
          <w:szCs w:val="24"/>
        </w:rPr>
        <w:t xml:space="preserve">Michael A. </w:t>
      </w:r>
      <w:r w:rsidRPr="00057980">
        <w:rPr>
          <w:rFonts w:ascii="Microsoft Sans Serif" w:hAnsi="Microsoft Sans Serif" w:cs="Microsoft Sans Serif"/>
          <w:caps/>
          <w:szCs w:val="24"/>
        </w:rPr>
        <w:t xml:space="preserve"> </w:t>
      </w:r>
      <w:proofErr w:type="gramStart"/>
      <w:r w:rsidRPr="00EE70B8">
        <w:rPr>
          <w:rFonts w:ascii="Microsoft Sans Serif" w:hAnsi="Microsoft Sans Serif" w:cs="Microsoft Sans Serif"/>
          <w:caps/>
          <w:noProof/>
          <w:sz w:val="24"/>
          <w:szCs w:val="24"/>
        </w:rPr>
        <w:t xml:space="preserve">Gruin </w:t>
      </w:r>
      <w:r w:rsidRPr="00057980">
        <w:rPr>
          <w:rFonts w:ascii="Microsoft Sans Serif" w:hAnsi="Microsoft Sans Serif" w:cs="Microsoft Sans Serif"/>
          <w:caps/>
          <w:szCs w:val="24"/>
        </w:rPr>
        <w:t xml:space="preserve"> </w:t>
      </w:r>
      <w:r w:rsidRPr="00EE70B8">
        <w:rPr>
          <w:rFonts w:ascii="Microsoft Sans Serif" w:hAnsi="Microsoft Sans Serif" w:cs="Microsoft Sans Serif"/>
          <w:caps/>
          <w:noProof/>
          <w:sz w:val="24"/>
          <w:szCs w:val="24"/>
        </w:rPr>
        <w:t>Esquire</w:t>
      </w:r>
      <w:proofErr w:type="gramEnd"/>
      <w:r w:rsidRPr="00EE70B8">
        <w:rPr>
          <w:rFonts w:ascii="Microsoft Sans Serif" w:hAnsi="Microsoft Sans Serif" w:cs="Microsoft Sans Serif"/>
          <w:caps/>
          <w:noProof/>
          <w:sz w:val="24"/>
          <w:szCs w:val="24"/>
        </w:rPr>
        <w:t xml:space="preserve"> </w:t>
      </w:r>
    </w:p>
    <w:p w:rsidR="00FD2717" w:rsidRPr="00057980" w:rsidRDefault="00FD2717" w:rsidP="00FD2717">
      <w:pPr>
        <w:rPr>
          <w:rFonts w:ascii="Microsoft Sans Serif" w:hAnsi="Microsoft Sans Serif" w:cs="Microsoft Sans Serif"/>
          <w:caps/>
          <w:szCs w:val="24"/>
        </w:rPr>
      </w:pPr>
      <w:r w:rsidRPr="00EE70B8">
        <w:rPr>
          <w:rFonts w:ascii="Microsoft Sans Serif" w:hAnsi="Microsoft Sans Serif" w:cs="Microsoft Sans Serif"/>
          <w:caps/>
          <w:noProof/>
          <w:sz w:val="24"/>
          <w:szCs w:val="24"/>
        </w:rPr>
        <w:t xml:space="preserve">PECO Energy Company </w:t>
      </w:r>
    </w:p>
    <w:p w:rsidR="00FD2717" w:rsidRPr="00057980" w:rsidRDefault="00FD2717" w:rsidP="00FD2717">
      <w:pPr>
        <w:rPr>
          <w:rFonts w:ascii="Microsoft Sans Serif" w:hAnsi="Microsoft Sans Serif" w:cs="Microsoft Sans Serif"/>
          <w:caps/>
          <w:szCs w:val="24"/>
        </w:rPr>
      </w:pPr>
      <w:r w:rsidRPr="00EE70B8">
        <w:rPr>
          <w:rFonts w:ascii="Microsoft Sans Serif" w:hAnsi="Microsoft Sans Serif" w:cs="Microsoft Sans Serif"/>
          <w:caps/>
          <w:noProof/>
          <w:sz w:val="24"/>
          <w:szCs w:val="24"/>
        </w:rPr>
        <w:t xml:space="preserve">17 North  Second Street </w:t>
      </w:r>
    </w:p>
    <w:p w:rsidR="00FD2717" w:rsidRPr="00057980" w:rsidRDefault="00FD2717" w:rsidP="00FD2717">
      <w:pPr>
        <w:rPr>
          <w:rFonts w:ascii="Microsoft Sans Serif" w:hAnsi="Microsoft Sans Serif" w:cs="Microsoft Sans Serif"/>
          <w:caps/>
          <w:szCs w:val="24"/>
        </w:rPr>
      </w:pPr>
      <w:r w:rsidRPr="00EE70B8">
        <w:rPr>
          <w:rFonts w:ascii="Microsoft Sans Serif" w:hAnsi="Microsoft Sans Serif" w:cs="Microsoft Sans Serif"/>
          <w:caps/>
          <w:noProof/>
          <w:sz w:val="24"/>
          <w:szCs w:val="24"/>
        </w:rPr>
        <w:t>16th Floor</w:t>
      </w:r>
    </w:p>
    <w:p w:rsidR="00FD2717" w:rsidRPr="00057980" w:rsidRDefault="00FD2717" w:rsidP="00FD2717">
      <w:pPr>
        <w:rPr>
          <w:rFonts w:ascii="Microsoft Sans Serif" w:hAnsi="Microsoft Sans Serif" w:cs="Microsoft Sans Serif"/>
          <w:caps/>
          <w:szCs w:val="24"/>
        </w:rPr>
      </w:pPr>
      <w:proofErr w:type="gramStart"/>
      <w:r w:rsidRPr="00EE70B8">
        <w:rPr>
          <w:rFonts w:ascii="Microsoft Sans Serif" w:hAnsi="Microsoft Sans Serif" w:cs="Microsoft Sans Serif"/>
          <w:caps/>
          <w:noProof/>
          <w:sz w:val="24"/>
          <w:szCs w:val="24"/>
        </w:rPr>
        <w:t xml:space="preserve">Harrisburg </w:t>
      </w:r>
      <w:r w:rsidRPr="00057980">
        <w:rPr>
          <w:rFonts w:ascii="Microsoft Sans Serif" w:hAnsi="Microsoft Sans Serif" w:cs="Microsoft Sans Serif"/>
          <w:caps/>
          <w:szCs w:val="24"/>
        </w:rPr>
        <w:t xml:space="preserve"> </w:t>
      </w:r>
      <w:r w:rsidRPr="00EE70B8">
        <w:rPr>
          <w:rFonts w:ascii="Microsoft Sans Serif" w:hAnsi="Microsoft Sans Serif" w:cs="Microsoft Sans Serif"/>
          <w:caps/>
          <w:noProof/>
          <w:sz w:val="24"/>
          <w:szCs w:val="24"/>
        </w:rPr>
        <w:t>PA</w:t>
      </w:r>
      <w:proofErr w:type="gramEnd"/>
      <w:r w:rsidRPr="00057980">
        <w:rPr>
          <w:rFonts w:ascii="Microsoft Sans Serif" w:hAnsi="Microsoft Sans Serif" w:cs="Microsoft Sans Serif"/>
          <w:caps/>
          <w:szCs w:val="24"/>
        </w:rPr>
        <w:t xml:space="preserve">  </w:t>
      </w:r>
      <w:r w:rsidRPr="00EE70B8">
        <w:rPr>
          <w:rFonts w:ascii="Microsoft Sans Serif" w:hAnsi="Microsoft Sans Serif" w:cs="Microsoft Sans Serif"/>
          <w:caps/>
          <w:noProof/>
          <w:sz w:val="24"/>
          <w:szCs w:val="24"/>
        </w:rPr>
        <w:t>17101</w:t>
      </w:r>
    </w:p>
    <w:p w:rsidR="00FD2717" w:rsidRDefault="00FD2717" w:rsidP="00FD2717">
      <w:pPr>
        <w:rPr>
          <w:rFonts w:ascii="Microsoft Sans Serif" w:hAnsi="Microsoft Sans Serif" w:cs="Microsoft Sans Serif"/>
          <w:b/>
          <w:caps/>
          <w:noProof/>
          <w:szCs w:val="24"/>
        </w:rPr>
      </w:pPr>
      <w:r w:rsidRPr="00EE70B8">
        <w:rPr>
          <w:rFonts w:ascii="Microsoft Sans Serif" w:hAnsi="Microsoft Sans Serif" w:cs="Microsoft Sans Serif"/>
          <w:b/>
          <w:caps/>
          <w:noProof/>
          <w:sz w:val="24"/>
          <w:szCs w:val="24"/>
        </w:rPr>
        <w:t>717.234.1099</w:t>
      </w:r>
    </w:p>
    <w:p w:rsidR="00FD2717" w:rsidRDefault="00FD2717" w:rsidP="00FD2717">
      <w:pPr>
        <w:rPr>
          <w:rFonts w:ascii="Microsoft Sans Serif" w:hAnsi="Microsoft Sans Serif" w:cs="Microsoft Sans Serif"/>
          <w:b/>
          <w:caps/>
          <w:noProof/>
          <w:szCs w:val="24"/>
        </w:rPr>
      </w:pPr>
    </w:p>
    <w:p w:rsidR="00FD2717" w:rsidRDefault="00FD2717" w:rsidP="00FD2717">
      <w:pPr>
        <w:rPr>
          <w:rFonts w:ascii="Microsoft Sans Serif" w:hAnsi="Microsoft Sans Serif" w:cs="Microsoft Sans Serif"/>
          <w:caps/>
          <w:szCs w:val="24"/>
        </w:rPr>
      </w:pPr>
    </w:p>
    <w:p w:rsidR="00FD2717" w:rsidRPr="00057980" w:rsidRDefault="00FD2717" w:rsidP="00FD2717">
      <w:pPr>
        <w:rPr>
          <w:rFonts w:ascii="Microsoft Sans Serif" w:hAnsi="Microsoft Sans Serif" w:cs="Microsoft Sans Serif"/>
          <w:caps/>
          <w:szCs w:val="24"/>
        </w:rPr>
      </w:pPr>
    </w:p>
    <w:p w:rsidR="00FD2717" w:rsidRPr="00057980" w:rsidRDefault="00FD2717" w:rsidP="00FD2717">
      <w:pPr>
        <w:rPr>
          <w:rFonts w:ascii="Microsoft Sans Serif" w:hAnsi="Microsoft Sans Serif" w:cs="Microsoft Sans Serif"/>
          <w:caps/>
          <w:szCs w:val="24"/>
        </w:rPr>
      </w:pPr>
      <w:r w:rsidRPr="00EE70B8">
        <w:rPr>
          <w:rFonts w:ascii="Microsoft Sans Serif" w:hAnsi="Microsoft Sans Serif" w:cs="Microsoft Sans Serif"/>
          <w:caps/>
          <w:noProof/>
          <w:sz w:val="24"/>
          <w:szCs w:val="24"/>
        </w:rPr>
        <w:t>Ward L</w:t>
      </w:r>
      <w:r w:rsidRPr="00057980">
        <w:rPr>
          <w:rFonts w:ascii="Microsoft Sans Serif" w:hAnsi="Microsoft Sans Serif" w:cs="Microsoft Sans Serif"/>
          <w:caps/>
          <w:szCs w:val="24"/>
        </w:rPr>
        <w:t xml:space="preserve"> </w:t>
      </w:r>
      <w:proofErr w:type="gramStart"/>
      <w:r w:rsidRPr="00EE70B8">
        <w:rPr>
          <w:rFonts w:ascii="Microsoft Sans Serif" w:hAnsi="Microsoft Sans Serif" w:cs="Microsoft Sans Serif"/>
          <w:caps/>
          <w:noProof/>
          <w:sz w:val="24"/>
          <w:szCs w:val="24"/>
        </w:rPr>
        <w:t xml:space="preserve">Smith </w:t>
      </w:r>
      <w:r w:rsidRPr="00057980">
        <w:rPr>
          <w:rFonts w:ascii="Microsoft Sans Serif" w:hAnsi="Microsoft Sans Serif" w:cs="Microsoft Sans Serif"/>
          <w:caps/>
          <w:szCs w:val="24"/>
        </w:rPr>
        <w:t xml:space="preserve"> </w:t>
      </w:r>
      <w:r w:rsidRPr="00EE70B8">
        <w:rPr>
          <w:rFonts w:ascii="Microsoft Sans Serif" w:hAnsi="Microsoft Sans Serif" w:cs="Microsoft Sans Serif"/>
          <w:caps/>
          <w:noProof/>
          <w:sz w:val="24"/>
          <w:szCs w:val="24"/>
        </w:rPr>
        <w:t>Esquire</w:t>
      </w:r>
      <w:proofErr w:type="gramEnd"/>
      <w:r w:rsidRPr="00EE70B8">
        <w:rPr>
          <w:rFonts w:ascii="Microsoft Sans Serif" w:hAnsi="Microsoft Sans Serif" w:cs="Microsoft Sans Serif"/>
          <w:caps/>
          <w:noProof/>
          <w:sz w:val="24"/>
          <w:szCs w:val="24"/>
        </w:rPr>
        <w:t xml:space="preserve"> </w:t>
      </w:r>
    </w:p>
    <w:p w:rsidR="00FD2717" w:rsidRPr="00057980" w:rsidRDefault="00FD2717" w:rsidP="00FD2717">
      <w:pPr>
        <w:rPr>
          <w:rFonts w:ascii="Microsoft Sans Serif" w:hAnsi="Microsoft Sans Serif" w:cs="Microsoft Sans Serif"/>
          <w:caps/>
          <w:szCs w:val="24"/>
        </w:rPr>
      </w:pPr>
      <w:r w:rsidRPr="00EE70B8">
        <w:rPr>
          <w:rFonts w:ascii="Microsoft Sans Serif" w:hAnsi="Microsoft Sans Serif" w:cs="Microsoft Sans Serif"/>
          <w:caps/>
          <w:noProof/>
          <w:sz w:val="24"/>
          <w:szCs w:val="24"/>
        </w:rPr>
        <w:t>Exelon Business Services Corp</w:t>
      </w:r>
    </w:p>
    <w:p w:rsidR="00FD2717" w:rsidRPr="00057980" w:rsidRDefault="00FD2717" w:rsidP="00FD2717">
      <w:pPr>
        <w:rPr>
          <w:rFonts w:ascii="Microsoft Sans Serif" w:hAnsi="Microsoft Sans Serif" w:cs="Microsoft Sans Serif"/>
          <w:caps/>
          <w:szCs w:val="24"/>
        </w:rPr>
      </w:pPr>
      <w:r w:rsidRPr="00EE70B8">
        <w:rPr>
          <w:rFonts w:ascii="Microsoft Sans Serif" w:hAnsi="Microsoft Sans Serif" w:cs="Microsoft Sans Serif"/>
          <w:caps/>
          <w:noProof/>
          <w:sz w:val="24"/>
          <w:szCs w:val="24"/>
        </w:rPr>
        <w:t xml:space="preserve">2301 Market Street S23-1 </w:t>
      </w:r>
    </w:p>
    <w:p w:rsidR="00FD2717" w:rsidRPr="00057980" w:rsidRDefault="00FD2717" w:rsidP="00FD2717">
      <w:pPr>
        <w:rPr>
          <w:rFonts w:ascii="Microsoft Sans Serif" w:hAnsi="Microsoft Sans Serif" w:cs="Microsoft Sans Serif"/>
          <w:caps/>
          <w:szCs w:val="24"/>
        </w:rPr>
      </w:pPr>
      <w:proofErr w:type="gramStart"/>
      <w:r w:rsidRPr="00EE70B8">
        <w:rPr>
          <w:rFonts w:ascii="Microsoft Sans Serif" w:hAnsi="Microsoft Sans Serif" w:cs="Microsoft Sans Serif"/>
          <w:caps/>
          <w:noProof/>
          <w:sz w:val="24"/>
          <w:szCs w:val="24"/>
        </w:rPr>
        <w:t xml:space="preserve">Philadelphia </w:t>
      </w:r>
      <w:r w:rsidRPr="00057980">
        <w:rPr>
          <w:rFonts w:ascii="Microsoft Sans Serif" w:hAnsi="Microsoft Sans Serif" w:cs="Microsoft Sans Serif"/>
          <w:caps/>
          <w:szCs w:val="24"/>
        </w:rPr>
        <w:t xml:space="preserve"> </w:t>
      </w:r>
      <w:r w:rsidRPr="00EE70B8">
        <w:rPr>
          <w:rFonts w:ascii="Microsoft Sans Serif" w:hAnsi="Microsoft Sans Serif" w:cs="Microsoft Sans Serif"/>
          <w:caps/>
          <w:noProof/>
          <w:sz w:val="24"/>
          <w:szCs w:val="24"/>
        </w:rPr>
        <w:t>PA</w:t>
      </w:r>
      <w:proofErr w:type="gramEnd"/>
      <w:r w:rsidRPr="00057980">
        <w:rPr>
          <w:rFonts w:ascii="Microsoft Sans Serif" w:hAnsi="Microsoft Sans Serif" w:cs="Microsoft Sans Serif"/>
          <w:caps/>
          <w:szCs w:val="24"/>
        </w:rPr>
        <w:t xml:space="preserve">  </w:t>
      </w:r>
      <w:r w:rsidRPr="00EE70B8">
        <w:rPr>
          <w:rFonts w:ascii="Microsoft Sans Serif" w:hAnsi="Microsoft Sans Serif" w:cs="Microsoft Sans Serif"/>
          <w:caps/>
          <w:noProof/>
          <w:sz w:val="24"/>
          <w:szCs w:val="24"/>
        </w:rPr>
        <w:t>19103</w:t>
      </w:r>
    </w:p>
    <w:p w:rsidR="00FD2717" w:rsidRDefault="00FD2717" w:rsidP="00FD2717">
      <w:pPr>
        <w:rPr>
          <w:rFonts w:ascii="Microsoft Sans Serif" w:hAnsi="Microsoft Sans Serif" w:cs="Microsoft Sans Serif"/>
          <w:b/>
          <w:caps/>
          <w:noProof/>
          <w:szCs w:val="24"/>
        </w:rPr>
      </w:pPr>
      <w:r w:rsidRPr="00EE70B8">
        <w:rPr>
          <w:rFonts w:ascii="Microsoft Sans Serif" w:hAnsi="Microsoft Sans Serif" w:cs="Microsoft Sans Serif"/>
          <w:b/>
          <w:caps/>
          <w:noProof/>
          <w:sz w:val="24"/>
          <w:szCs w:val="24"/>
        </w:rPr>
        <w:t>215.841.6863</w:t>
      </w:r>
    </w:p>
    <w:p w:rsidR="00FD2717" w:rsidRDefault="00FD2717" w:rsidP="00FD2717"/>
    <w:p w:rsidR="00FD2717" w:rsidRPr="00152350" w:rsidRDefault="00FD2717" w:rsidP="00152350">
      <w:pPr>
        <w:ind w:hanging="720"/>
        <w:rPr>
          <w:sz w:val="24"/>
          <w:szCs w:val="24"/>
        </w:rPr>
      </w:pPr>
    </w:p>
    <w:sectPr w:rsidR="00FD2717" w:rsidRPr="00152350" w:rsidSect="00FA221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1D5" w:rsidRDefault="00F811D5" w:rsidP="007237C5">
      <w:r>
        <w:separator/>
      </w:r>
    </w:p>
  </w:endnote>
  <w:endnote w:type="continuationSeparator" w:id="0">
    <w:p w:rsidR="00F811D5" w:rsidRDefault="00F811D5" w:rsidP="00723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28889"/>
      <w:docPartObj>
        <w:docPartGallery w:val="Page Numbers (Bottom of Page)"/>
        <w:docPartUnique/>
      </w:docPartObj>
    </w:sdtPr>
    <w:sdtEndPr>
      <w:rPr>
        <w:sz w:val="20"/>
        <w:szCs w:val="20"/>
      </w:rPr>
    </w:sdtEndPr>
    <w:sdtContent>
      <w:p w:rsidR="00610366" w:rsidRDefault="00530CCD">
        <w:pPr>
          <w:pStyle w:val="Footer"/>
          <w:jc w:val="center"/>
        </w:pPr>
        <w:r w:rsidRPr="00C72CBB">
          <w:rPr>
            <w:sz w:val="20"/>
            <w:szCs w:val="20"/>
          </w:rPr>
          <w:fldChar w:fldCharType="begin"/>
        </w:r>
        <w:r w:rsidR="00610366" w:rsidRPr="00C72CBB">
          <w:rPr>
            <w:sz w:val="20"/>
            <w:szCs w:val="20"/>
          </w:rPr>
          <w:instrText xml:space="preserve"> PAGE   \* MERGEFORMAT </w:instrText>
        </w:r>
        <w:r w:rsidRPr="00C72CBB">
          <w:rPr>
            <w:sz w:val="20"/>
            <w:szCs w:val="20"/>
          </w:rPr>
          <w:fldChar w:fldCharType="separate"/>
        </w:r>
        <w:r w:rsidR="00FD2717">
          <w:rPr>
            <w:noProof/>
            <w:sz w:val="20"/>
            <w:szCs w:val="20"/>
          </w:rPr>
          <w:t>6</w:t>
        </w:r>
        <w:r w:rsidRPr="00C72CBB">
          <w:rPr>
            <w:sz w:val="20"/>
            <w:szCs w:val="20"/>
          </w:rPr>
          <w:fldChar w:fldCharType="end"/>
        </w:r>
      </w:p>
    </w:sdtContent>
  </w:sdt>
  <w:p w:rsidR="00610366" w:rsidRDefault="00610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1D5" w:rsidRDefault="00F811D5" w:rsidP="007237C5">
      <w:r>
        <w:separator/>
      </w:r>
    </w:p>
  </w:footnote>
  <w:footnote w:type="continuationSeparator" w:id="0">
    <w:p w:rsidR="00F811D5" w:rsidRDefault="00F811D5" w:rsidP="007237C5">
      <w:r>
        <w:continuationSeparator/>
      </w:r>
    </w:p>
  </w:footnote>
  <w:footnote w:id="1">
    <w:p w:rsidR="00610366" w:rsidRDefault="00610366">
      <w:pPr>
        <w:pStyle w:val="FootnoteText"/>
      </w:pPr>
      <w:r>
        <w:rPr>
          <w:rStyle w:val="FootnoteReference"/>
        </w:rPr>
        <w:footnoteRef/>
      </w:r>
      <w:r>
        <w:t xml:space="preserve"> </w:t>
      </w:r>
      <w:r>
        <w:tab/>
      </w:r>
      <w:r w:rsidRPr="00044CC5">
        <w:rPr>
          <w:sz w:val="24"/>
          <w:szCs w:val="24"/>
        </w:rPr>
        <w:t xml:space="preserve">While this statement is correct, it does not go far enough to explain the action of the BCS.  The BCS identified the Complainant’s account as a commercial account, and by letter dated August 21, 2010, closed </w:t>
      </w:r>
      <w:r w:rsidRPr="00044CC5">
        <w:rPr>
          <w:i/>
          <w:sz w:val="24"/>
          <w:szCs w:val="24"/>
        </w:rPr>
        <w:t>two</w:t>
      </w:r>
      <w:r w:rsidRPr="00044CC5">
        <w:rPr>
          <w:sz w:val="24"/>
          <w:szCs w:val="24"/>
        </w:rPr>
        <w:t xml:space="preserve"> informal Complaints filed by First Millenium and advised the Complainant that its recourse was to file a formal Complaint with the Commission.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D3605"/>
    <w:rsid w:val="00000B68"/>
    <w:rsid w:val="0000764F"/>
    <w:rsid w:val="000172AC"/>
    <w:rsid w:val="00017703"/>
    <w:rsid w:val="00020616"/>
    <w:rsid w:val="00020ACF"/>
    <w:rsid w:val="00031580"/>
    <w:rsid w:val="000361C6"/>
    <w:rsid w:val="00044CC5"/>
    <w:rsid w:val="000453F0"/>
    <w:rsid w:val="00051531"/>
    <w:rsid w:val="00051A42"/>
    <w:rsid w:val="00065E2A"/>
    <w:rsid w:val="00065E73"/>
    <w:rsid w:val="00071466"/>
    <w:rsid w:val="0008097E"/>
    <w:rsid w:val="00081C45"/>
    <w:rsid w:val="00086142"/>
    <w:rsid w:val="000875CF"/>
    <w:rsid w:val="0009315C"/>
    <w:rsid w:val="00093946"/>
    <w:rsid w:val="000B28AF"/>
    <w:rsid w:val="000B615A"/>
    <w:rsid w:val="000B7C4C"/>
    <w:rsid w:val="000E3437"/>
    <w:rsid w:val="000E3C33"/>
    <w:rsid w:val="000E4B75"/>
    <w:rsid w:val="000F4CF0"/>
    <w:rsid w:val="00100967"/>
    <w:rsid w:val="0010462E"/>
    <w:rsid w:val="00110162"/>
    <w:rsid w:val="0011388A"/>
    <w:rsid w:val="001163C7"/>
    <w:rsid w:val="00116F47"/>
    <w:rsid w:val="0012103D"/>
    <w:rsid w:val="00123515"/>
    <w:rsid w:val="00127AFC"/>
    <w:rsid w:val="00131408"/>
    <w:rsid w:val="0013260C"/>
    <w:rsid w:val="00132676"/>
    <w:rsid w:val="0013347B"/>
    <w:rsid w:val="001362F6"/>
    <w:rsid w:val="00150A13"/>
    <w:rsid w:val="00152350"/>
    <w:rsid w:val="00156549"/>
    <w:rsid w:val="00157A98"/>
    <w:rsid w:val="00166EF7"/>
    <w:rsid w:val="00170D92"/>
    <w:rsid w:val="00172CCF"/>
    <w:rsid w:val="00172EB1"/>
    <w:rsid w:val="00175A9B"/>
    <w:rsid w:val="0017718A"/>
    <w:rsid w:val="0018450B"/>
    <w:rsid w:val="0018501E"/>
    <w:rsid w:val="0018624F"/>
    <w:rsid w:val="001A2FF6"/>
    <w:rsid w:val="001A3B11"/>
    <w:rsid w:val="001A4593"/>
    <w:rsid w:val="001A7AE4"/>
    <w:rsid w:val="001B13A4"/>
    <w:rsid w:val="001B327A"/>
    <w:rsid w:val="001C7B8E"/>
    <w:rsid w:val="001E0DF2"/>
    <w:rsid w:val="001E4F6B"/>
    <w:rsid w:val="001E55D8"/>
    <w:rsid w:val="001F1FD8"/>
    <w:rsid w:val="001F3FEC"/>
    <w:rsid w:val="001F7687"/>
    <w:rsid w:val="00203174"/>
    <w:rsid w:val="002036DB"/>
    <w:rsid w:val="0021560B"/>
    <w:rsid w:val="00215C6A"/>
    <w:rsid w:val="002226E1"/>
    <w:rsid w:val="00222CDF"/>
    <w:rsid w:val="00230D85"/>
    <w:rsid w:val="002325DF"/>
    <w:rsid w:val="0023427D"/>
    <w:rsid w:val="002357D9"/>
    <w:rsid w:val="00235F06"/>
    <w:rsid w:val="00243B5A"/>
    <w:rsid w:val="00251461"/>
    <w:rsid w:val="002531EB"/>
    <w:rsid w:val="00253546"/>
    <w:rsid w:val="00257EEB"/>
    <w:rsid w:val="00262889"/>
    <w:rsid w:val="00267C75"/>
    <w:rsid w:val="002870A9"/>
    <w:rsid w:val="00287328"/>
    <w:rsid w:val="00297A4A"/>
    <w:rsid w:val="002A3CF4"/>
    <w:rsid w:val="002A7FA1"/>
    <w:rsid w:val="002B1C21"/>
    <w:rsid w:val="002B1D48"/>
    <w:rsid w:val="002B2079"/>
    <w:rsid w:val="002B2EE6"/>
    <w:rsid w:val="002B42FA"/>
    <w:rsid w:val="002B53C8"/>
    <w:rsid w:val="002C70C0"/>
    <w:rsid w:val="002D12EC"/>
    <w:rsid w:val="002D6A4C"/>
    <w:rsid w:val="002D75C6"/>
    <w:rsid w:val="002E32B5"/>
    <w:rsid w:val="002E4F07"/>
    <w:rsid w:val="002E6958"/>
    <w:rsid w:val="002F019F"/>
    <w:rsid w:val="002F52AF"/>
    <w:rsid w:val="003009DE"/>
    <w:rsid w:val="00304C14"/>
    <w:rsid w:val="003073EE"/>
    <w:rsid w:val="00311384"/>
    <w:rsid w:val="00311460"/>
    <w:rsid w:val="00312033"/>
    <w:rsid w:val="0031226D"/>
    <w:rsid w:val="00313F43"/>
    <w:rsid w:val="00317B1C"/>
    <w:rsid w:val="00323C28"/>
    <w:rsid w:val="00323E8F"/>
    <w:rsid w:val="003277DB"/>
    <w:rsid w:val="00331361"/>
    <w:rsid w:val="003413DF"/>
    <w:rsid w:val="00343410"/>
    <w:rsid w:val="00345621"/>
    <w:rsid w:val="00351AD2"/>
    <w:rsid w:val="00352155"/>
    <w:rsid w:val="003568DB"/>
    <w:rsid w:val="0036195B"/>
    <w:rsid w:val="003627CB"/>
    <w:rsid w:val="0036596E"/>
    <w:rsid w:val="00366A60"/>
    <w:rsid w:val="00367C94"/>
    <w:rsid w:val="00375267"/>
    <w:rsid w:val="0038241E"/>
    <w:rsid w:val="00384FE3"/>
    <w:rsid w:val="00390836"/>
    <w:rsid w:val="003A024E"/>
    <w:rsid w:val="003A15DB"/>
    <w:rsid w:val="003A251A"/>
    <w:rsid w:val="003A3EEB"/>
    <w:rsid w:val="003B28F4"/>
    <w:rsid w:val="003B363D"/>
    <w:rsid w:val="003B48F6"/>
    <w:rsid w:val="003B5F87"/>
    <w:rsid w:val="003E12A9"/>
    <w:rsid w:val="003E34FA"/>
    <w:rsid w:val="003E60C1"/>
    <w:rsid w:val="003E7B2E"/>
    <w:rsid w:val="003F0D0A"/>
    <w:rsid w:val="003F17AC"/>
    <w:rsid w:val="003F480E"/>
    <w:rsid w:val="00400003"/>
    <w:rsid w:val="00401399"/>
    <w:rsid w:val="00402FD8"/>
    <w:rsid w:val="004116D3"/>
    <w:rsid w:val="004132CF"/>
    <w:rsid w:val="00413DFB"/>
    <w:rsid w:val="004161DA"/>
    <w:rsid w:val="004164FE"/>
    <w:rsid w:val="00421719"/>
    <w:rsid w:val="0042367A"/>
    <w:rsid w:val="004337A3"/>
    <w:rsid w:val="004461BA"/>
    <w:rsid w:val="00452DC3"/>
    <w:rsid w:val="00461BE2"/>
    <w:rsid w:val="004629D8"/>
    <w:rsid w:val="004656C3"/>
    <w:rsid w:val="0046613C"/>
    <w:rsid w:val="00466412"/>
    <w:rsid w:val="00472390"/>
    <w:rsid w:val="00476AA5"/>
    <w:rsid w:val="00477308"/>
    <w:rsid w:val="00494177"/>
    <w:rsid w:val="00495A17"/>
    <w:rsid w:val="004A4A92"/>
    <w:rsid w:val="004A55D1"/>
    <w:rsid w:val="004A5D58"/>
    <w:rsid w:val="004B3B38"/>
    <w:rsid w:val="004C07D2"/>
    <w:rsid w:val="004C2794"/>
    <w:rsid w:val="004D4447"/>
    <w:rsid w:val="004E133C"/>
    <w:rsid w:val="004E1A8C"/>
    <w:rsid w:val="004E4202"/>
    <w:rsid w:val="004F51B0"/>
    <w:rsid w:val="004F6C8E"/>
    <w:rsid w:val="005028FF"/>
    <w:rsid w:val="00504287"/>
    <w:rsid w:val="00505439"/>
    <w:rsid w:val="005074C3"/>
    <w:rsid w:val="00523C09"/>
    <w:rsid w:val="00527AE6"/>
    <w:rsid w:val="00530CCD"/>
    <w:rsid w:val="00532616"/>
    <w:rsid w:val="005352D3"/>
    <w:rsid w:val="00540ACE"/>
    <w:rsid w:val="005475EC"/>
    <w:rsid w:val="00552D9B"/>
    <w:rsid w:val="00562738"/>
    <w:rsid w:val="00564484"/>
    <w:rsid w:val="00567509"/>
    <w:rsid w:val="0057296F"/>
    <w:rsid w:val="00582365"/>
    <w:rsid w:val="00582CD8"/>
    <w:rsid w:val="0058784C"/>
    <w:rsid w:val="00590965"/>
    <w:rsid w:val="00592433"/>
    <w:rsid w:val="0059506A"/>
    <w:rsid w:val="005A0C0F"/>
    <w:rsid w:val="005B2D8D"/>
    <w:rsid w:val="005B34B9"/>
    <w:rsid w:val="005B4379"/>
    <w:rsid w:val="005B6B5D"/>
    <w:rsid w:val="005C1F54"/>
    <w:rsid w:val="005C2E38"/>
    <w:rsid w:val="005C319B"/>
    <w:rsid w:val="005D1061"/>
    <w:rsid w:val="005D1CEB"/>
    <w:rsid w:val="005D2D39"/>
    <w:rsid w:val="005E6784"/>
    <w:rsid w:val="005F0C32"/>
    <w:rsid w:val="005F5C13"/>
    <w:rsid w:val="005F659B"/>
    <w:rsid w:val="005F6D34"/>
    <w:rsid w:val="005F6F2D"/>
    <w:rsid w:val="00610366"/>
    <w:rsid w:val="00610B4E"/>
    <w:rsid w:val="00617E46"/>
    <w:rsid w:val="00626705"/>
    <w:rsid w:val="00630B12"/>
    <w:rsid w:val="00632286"/>
    <w:rsid w:val="006339E4"/>
    <w:rsid w:val="006346FB"/>
    <w:rsid w:val="00636C19"/>
    <w:rsid w:val="00641F63"/>
    <w:rsid w:val="00642625"/>
    <w:rsid w:val="00655B19"/>
    <w:rsid w:val="0066186C"/>
    <w:rsid w:val="00672BA8"/>
    <w:rsid w:val="00672D17"/>
    <w:rsid w:val="00676751"/>
    <w:rsid w:val="00676817"/>
    <w:rsid w:val="00676D90"/>
    <w:rsid w:val="006826C5"/>
    <w:rsid w:val="006843A8"/>
    <w:rsid w:val="006900D5"/>
    <w:rsid w:val="0069027E"/>
    <w:rsid w:val="00690843"/>
    <w:rsid w:val="00692368"/>
    <w:rsid w:val="00692CE6"/>
    <w:rsid w:val="006933E4"/>
    <w:rsid w:val="006A41E4"/>
    <w:rsid w:val="006A4608"/>
    <w:rsid w:val="006A7438"/>
    <w:rsid w:val="006B1A38"/>
    <w:rsid w:val="006B4F76"/>
    <w:rsid w:val="006C24A2"/>
    <w:rsid w:val="006D05F2"/>
    <w:rsid w:val="006D3591"/>
    <w:rsid w:val="006D36AC"/>
    <w:rsid w:val="006D4B2A"/>
    <w:rsid w:val="006D6151"/>
    <w:rsid w:val="006F79B1"/>
    <w:rsid w:val="006F7F52"/>
    <w:rsid w:val="00700A03"/>
    <w:rsid w:val="00703DE0"/>
    <w:rsid w:val="0070421D"/>
    <w:rsid w:val="00715BA8"/>
    <w:rsid w:val="00715F0A"/>
    <w:rsid w:val="007237C5"/>
    <w:rsid w:val="007244D1"/>
    <w:rsid w:val="00727658"/>
    <w:rsid w:val="00737842"/>
    <w:rsid w:val="007403C2"/>
    <w:rsid w:val="007408D5"/>
    <w:rsid w:val="007452F3"/>
    <w:rsid w:val="00746E27"/>
    <w:rsid w:val="00767D6F"/>
    <w:rsid w:val="0077715C"/>
    <w:rsid w:val="007774E5"/>
    <w:rsid w:val="00787F88"/>
    <w:rsid w:val="0079158C"/>
    <w:rsid w:val="00793DB4"/>
    <w:rsid w:val="007A477C"/>
    <w:rsid w:val="007A717B"/>
    <w:rsid w:val="007B0837"/>
    <w:rsid w:val="007B0DBB"/>
    <w:rsid w:val="007B49D8"/>
    <w:rsid w:val="007B69CE"/>
    <w:rsid w:val="007B70DA"/>
    <w:rsid w:val="007C2A51"/>
    <w:rsid w:val="007C6B1F"/>
    <w:rsid w:val="007D4157"/>
    <w:rsid w:val="007E2D1F"/>
    <w:rsid w:val="007F0C9F"/>
    <w:rsid w:val="007F1EAC"/>
    <w:rsid w:val="007F5EE7"/>
    <w:rsid w:val="007F6C3C"/>
    <w:rsid w:val="007F6F94"/>
    <w:rsid w:val="00802919"/>
    <w:rsid w:val="0080458B"/>
    <w:rsid w:val="008051CB"/>
    <w:rsid w:val="008104AB"/>
    <w:rsid w:val="008215D0"/>
    <w:rsid w:val="00821A92"/>
    <w:rsid w:val="008424A6"/>
    <w:rsid w:val="00844DBE"/>
    <w:rsid w:val="008605CF"/>
    <w:rsid w:val="0086372C"/>
    <w:rsid w:val="00867164"/>
    <w:rsid w:val="00876810"/>
    <w:rsid w:val="00880C89"/>
    <w:rsid w:val="00881023"/>
    <w:rsid w:val="00882CF9"/>
    <w:rsid w:val="00883BB5"/>
    <w:rsid w:val="00890339"/>
    <w:rsid w:val="008931CE"/>
    <w:rsid w:val="0089738C"/>
    <w:rsid w:val="008A2208"/>
    <w:rsid w:val="008B565D"/>
    <w:rsid w:val="008B5D4A"/>
    <w:rsid w:val="008B6419"/>
    <w:rsid w:val="008B65EE"/>
    <w:rsid w:val="008C09AC"/>
    <w:rsid w:val="008C22D3"/>
    <w:rsid w:val="008C258A"/>
    <w:rsid w:val="008C52E5"/>
    <w:rsid w:val="008C6F9E"/>
    <w:rsid w:val="008C74A6"/>
    <w:rsid w:val="008D041F"/>
    <w:rsid w:val="008D3A8B"/>
    <w:rsid w:val="008D609F"/>
    <w:rsid w:val="008E0524"/>
    <w:rsid w:val="008E0C61"/>
    <w:rsid w:val="008F03F5"/>
    <w:rsid w:val="008F604A"/>
    <w:rsid w:val="008F633F"/>
    <w:rsid w:val="009062E7"/>
    <w:rsid w:val="00911641"/>
    <w:rsid w:val="009167A8"/>
    <w:rsid w:val="00920354"/>
    <w:rsid w:val="00923042"/>
    <w:rsid w:val="00930862"/>
    <w:rsid w:val="009331B2"/>
    <w:rsid w:val="009356A3"/>
    <w:rsid w:val="00946E14"/>
    <w:rsid w:val="00947D3F"/>
    <w:rsid w:val="0095403D"/>
    <w:rsid w:val="00955786"/>
    <w:rsid w:val="00955C2C"/>
    <w:rsid w:val="00957300"/>
    <w:rsid w:val="0096711C"/>
    <w:rsid w:val="0097391A"/>
    <w:rsid w:val="00982D5E"/>
    <w:rsid w:val="0099359B"/>
    <w:rsid w:val="009A0A30"/>
    <w:rsid w:val="009A3A50"/>
    <w:rsid w:val="009A3DCD"/>
    <w:rsid w:val="009A5DD5"/>
    <w:rsid w:val="009A6E84"/>
    <w:rsid w:val="009B2BF3"/>
    <w:rsid w:val="009B56F5"/>
    <w:rsid w:val="009B7E2F"/>
    <w:rsid w:val="009C13ED"/>
    <w:rsid w:val="009C78F4"/>
    <w:rsid w:val="009D5C76"/>
    <w:rsid w:val="009D7784"/>
    <w:rsid w:val="009E434D"/>
    <w:rsid w:val="009E6AAE"/>
    <w:rsid w:val="009F0455"/>
    <w:rsid w:val="009F0B5D"/>
    <w:rsid w:val="009F15D3"/>
    <w:rsid w:val="009F1830"/>
    <w:rsid w:val="009F1C4B"/>
    <w:rsid w:val="009F55FC"/>
    <w:rsid w:val="009F72A1"/>
    <w:rsid w:val="00A00DC5"/>
    <w:rsid w:val="00A052F0"/>
    <w:rsid w:val="00A07865"/>
    <w:rsid w:val="00A07B60"/>
    <w:rsid w:val="00A07DDD"/>
    <w:rsid w:val="00A10BD9"/>
    <w:rsid w:val="00A12D79"/>
    <w:rsid w:val="00A14AF3"/>
    <w:rsid w:val="00A1500A"/>
    <w:rsid w:val="00A158C6"/>
    <w:rsid w:val="00A237BD"/>
    <w:rsid w:val="00A23F46"/>
    <w:rsid w:val="00A36C62"/>
    <w:rsid w:val="00A37544"/>
    <w:rsid w:val="00A37E71"/>
    <w:rsid w:val="00A402ED"/>
    <w:rsid w:val="00A44D00"/>
    <w:rsid w:val="00A46561"/>
    <w:rsid w:val="00A56232"/>
    <w:rsid w:val="00A573E3"/>
    <w:rsid w:val="00A65978"/>
    <w:rsid w:val="00A760BB"/>
    <w:rsid w:val="00A7719B"/>
    <w:rsid w:val="00A83E41"/>
    <w:rsid w:val="00A866BF"/>
    <w:rsid w:val="00A87369"/>
    <w:rsid w:val="00A92073"/>
    <w:rsid w:val="00AA19FC"/>
    <w:rsid w:val="00AA1F74"/>
    <w:rsid w:val="00AA7F1F"/>
    <w:rsid w:val="00AB43D7"/>
    <w:rsid w:val="00AC0097"/>
    <w:rsid w:val="00AC5B63"/>
    <w:rsid w:val="00AC6E42"/>
    <w:rsid w:val="00AD3B56"/>
    <w:rsid w:val="00AD6049"/>
    <w:rsid w:val="00AD74B1"/>
    <w:rsid w:val="00AE253B"/>
    <w:rsid w:val="00AE5977"/>
    <w:rsid w:val="00B030B6"/>
    <w:rsid w:val="00B07DF3"/>
    <w:rsid w:val="00B07E83"/>
    <w:rsid w:val="00B126F5"/>
    <w:rsid w:val="00B207AC"/>
    <w:rsid w:val="00B228F1"/>
    <w:rsid w:val="00B231B1"/>
    <w:rsid w:val="00B23E1A"/>
    <w:rsid w:val="00B25B93"/>
    <w:rsid w:val="00B25E50"/>
    <w:rsid w:val="00B30739"/>
    <w:rsid w:val="00B321B4"/>
    <w:rsid w:val="00B35928"/>
    <w:rsid w:val="00B42EEC"/>
    <w:rsid w:val="00B434EF"/>
    <w:rsid w:val="00B43B71"/>
    <w:rsid w:val="00B43E9A"/>
    <w:rsid w:val="00B50A65"/>
    <w:rsid w:val="00B50E38"/>
    <w:rsid w:val="00B510A7"/>
    <w:rsid w:val="00B54163"/>
    <w:rsid w:val="00B56159"/>
    <w:rsid w:val="00B575FE"/>
    <w:rsid w:val="00B60B06"/>
    <w:rsid w:val="00B61ABD"/>
    <w:rsid w:val="00B64A18"/>
    <w:rsid w:val="00B6796D"/>
    <w:rsid w:val="00B751A6"/>
    <w:rsid w:val="00B8099C"/>
    <w:rsid w:val="00B80C4A"/>
    <w:rsid w:val="00B82999"/>
    <w:rsid w:val="00B83072"/>
    <w:rsid w:val="00B85D7E"/>
    <w:rsid w:val="00B92410"/>
    <w:rsid w:val="00B92D56"/>
    <w:rsid w:val="00BA0462"/>
    <w:rsid w:val="00BA2207"/>
    <w:rsid w:val="00BA51EE"/>
    <w:rsid w:val="00BB0D68"/>
    <w:rsid w:val="00BB0E58"/>
    <w:rsid w:val="00BB2F82"/>
    <w:rsid w:val="00BB3AAC"/>
    <w:rsid w:val="00BD214E"/>
    <w:rsid w:val="00BD2318"/>
    <w:rsid w:val="00BD58D1"/>
    <w:rsid w:val="00BD7FB0"/>
    <w:rsid w:val="00BE0B88"/>
    <w:rsid w:val="00BE21F8"/>
    <w:rsid w:val="00BE2CA6"/>
    <w:rsid w:val="00BE63DD"/>
    <w:rsid w:val="00BF017E"/>
    <w:rsid w:val="00BF0309"/>
    <w:rsid w:val="00BF07E7"/>
    <w:rsid w:val="00BF44C3"/>
    <w:rsid w:val="00BF48D5"/>
    <w:rsid w:val="00C00211"/>
    <w:rsid w:val="00C01332"/>
    <w:rsid w:val="00C034CC"/>
    <w:rsid w:val="00C0579B"/>
    <w:rsid w:val="00C07FAC"/>
    <w:rsid w:val="00C14F0F"/>
    <w:rsid w:val="00C15F63"/>
    <w:rsid w:val="00C20CC2"/>
    <w:rsid w:val="00C27227"/>
    <w:rsid w:val="00C27268"/>
    <w:rsid w:val="00C3217C"/>
    <w:rsid w:val="00C372F6"/>
    <w:rsid w:val="00C50B6B"/>
    <w:rsid w:val="00C56B65"/>
    <w:rsid w:val="00C65744"/>
    <w:rsid w:val="00C65E00"/>
    <w:rsid w:val="00C67449"/>
    <w:rsid w:val="00C71BD5"/>
    <w:rsid w:val="00C72B24"/>
    <w:rsid w:val="00C72CBB"/>
    <w:rsid w:val="00C809F4"/>
    <w:rsid w:val="00C823B3"/>
    <w:rsid w:val="00C838C1"/>
    <w:rsid w:val="00CA0EFC"/>
    <w:rsid w:val="00CA2977"/>
    <w:rsid w:val="00CA6E2E"/>
    <w:rsid w:val="00CB17FD"/>
    <w:rsid w:val="00CB300C"/>
    <w:rsid w:val="00CB327A"/>
    <w:rsid w:val="00CB6FA3"/>
    <w:rsid w:val="00CB7129"/>
    <w:rsid w:val="00CC3BEA"/>
    <w:rsid w:val="00CC4531"/>
    <w:rsid w:val="00CE348B"/>
    <w:rsid w:val="00CE4F5D"/>
    <w:rsid w:val="00CF258C"/>
    <w:rsid w:val="00CF2739"/>
    <w:rsid w:val="00CF4F5C"/>
    <w:rsid w:val="00D01486"/>
    <w:rsid w:val="00D022E5"/>
    <w:rsid w:val="00D0529F"/>
    <w:rsid w:val="00D12866"/>
    <w:rsid w:val="00D20E17"/>
    <w:rsid w:val="00D22CE8"/>
    <w:rsid w:val="00D23841"/>
    <w:rsid w:val="00D26522"/>
    <w:rsid w:val="00D27357"/>
    <w:rsid w:val="00D2744A"/>
    <w:rsid w:val="00D32C84"/>
    <w:rsid w:val="00D466F1"/>
    <w:rsid w:val="00D51800"/>
    <w:rsid w:val="00D533E3"/>
    <w:rsid w:val="00D67EFA"/>
    <w:rsid w:val="00D729E8"/>
    <w:rsid w:val="00D823D4"/>
    <w:rsid w:val="00D85135"/>
    <w:rsid w:val="00D91B13"/>
    <w:rsid w:val="00DA576C"/>
    <w:rsid w:val="00DB0E37"/>
    <w:rsid w:val="00DB2D57"/>
    <w:rsid w:val="00DB3CBF"/>
    <w:rsid w:val="00DB44A1"/>
    <w:rsid w:val="00DB61DB"/>
    <w:rsid w:val="00DB7570"/>
    <w:rsid w:val="00DC1089"/>
    <w:rsid w:val="00DC3FED"/>
    <w:rsid w:val="00DC7E1B"/>
    <w:rsid w:val="00DD3605"/>
    <w:rsid w:val="00DE7AF5"/>
    <w:rsid w:val="00DF0959"/>
    <w:rsid w:val="00DF1607"/>
    <w:rsid w:val="00E03B65"/>
    <w:rsid w:val="00E04D6D"/>
    <w:rsid w:val="00E122C5"/>
    <w:rsid w:val="00E13121"/>
    <w:rsid w:val="00E22B70"/>
    <w:rsid w:val="00E3269D"/>
    <w:rsid w:val="00E32E98"/>
    <w:rsid w:val="00E34F98"/>
    <w:rsid w:val="00E42181"/>
    <w:rsid w:val="00E42B48"/>
    <w:rsid w:val="00E4372B"/>
    <w:rsid w:val="00E45B3C"/>
    <w:rsid w:val="00E46934"/>
    <w:rsid w:val="00E51AA7"/>
    <w:rsid w:val="00E51F3B"/>
    <w:rsid w:val="00E5493C"/>
    <w:rsid w:val="00E54F9C"/>
    <w:rsid w:val="00E577BB"/>
    <w:rsid w:val="00E61AD9"/>
    <w:rsid w:val="00E80B4A"/>
    <w:rsid w:val="00E81240"/>
    <w:rsid w:val="00E82D2D"/>
    <w:rsid w:val="00E87367"/>
    <w:rsid w:val="00E926E2"/>
    <w:rsid w:val="00E94B13"/>
    <w:rsid w:val="00E95C4C"/>
    <w:rsid w:val="00E95C8A"/>
    <w:rsid w:val="00E97D61"/>
    <w:rsid w:val="00EA39DB"/>
    <w:rsid w:val="00EA4BB6"/>
    <w:rsid w:val="00EA70CC"/>
    <w:rsid w:val="00EA7F7A"/>
    <w:rsid w:val="00EB06D7"/>
    <w:rsid w:val="00EC0F19"/>
    <w:rsid w:val="00EE449D"/>
    <w:rsid w:val="00EE58D1"/>
    <w:rsid w:val="00EE7AC4"/>
    <w:rsid w:val="00EF3627"/>
    <w:rsid w:val="00EF6D5D"/>
    <w:rsid w:val="00EF7ECB"/>
    <w:rsid w:val="00F009D8"/>
    <w:rsid w:val="00F03756"/>
    <w:rsid w:val="00F05702"/>
    <w:rsid w:val="00F057B9"/>
    <w:rsid w:val="00F06B35"/>
    <w:rsid w:val="00F1060F"/>
    <w:rsid w:val="00F108E7"/>
    <w:rsid w:val="00F10C4C"/>
    <w:rsid w:val="00F11EC3"/>
    <w:rsid w:val="00F1568B"/>
    <w:rsid w:val="00F1639E"/>
    <w:rsid w:val="00F20E7B"/>
    <w:rsid w:val="00F20F4E"/>
    <w:rsid w:val="00F25D5E"/>
    <w:rsid w:val="00F31EF0"/>
    <w:rsid w:val="00F3603B"/>
    <w:rsid w:val="00F36206"/>
    <w:rsid w:val="00F37196"/>
    <w:rsid w:val="00F37D54"/>
    <w:rsid w:val="00F45224"/>
    <w:rsid w:val="00F565C4"/>
    <w:rsid w:val="00F77F48"/>
    <w:rsid w:val="00F811D5"/>
    <w:rsid w:val="00F8345C"/>
    <w:rsid w:val="00F85F87"/>
    <w:rsid w:val="00F91381"/>
    <w:rsid w:val="00F9221D"/>
    <w:rsid w:val="00F956D6"/>
    <w:rsid w:val="00F9579B"/>
    <w:rsid w:val="00F959F7"/>
    <w:rsid w:val="00F95A13"/>
    <w:rsid w:val="00FA03E2"/>
    <w:rsid w:val="00FA2790"/>
    <w:rsid w:val="00FA5806"/>
    <w:rsid w:val="00FB1DBA"/>
    <w:rsid w:val="00FB27C5"/>
    <w:rsid w:val="00FB508C"/>
    <w:rsid w:val="00FC1752"/>
    <w:rsid w:val="00FC3AA9"/>
    <w:rsid w:val="00FC4372"/>
    <w:rsid w:val="00FD247D"/>
    <w:rsid w:val="00FD2717"/>
    <w:rsid w:val="00FD32F7"/>
    <w:rsid w:val="00FE1A37"/>
    <w:rsid w:val="00FE1F8C"/>
    <w:rsid w:val="00FE2517"/>
    <w:rsid w:val="00FE3969"/>
    <w:rsid w:val="00FE718A"/>
    <w:rsid w:val="00FE7AC8"/>
    <w:rsid w:val="00FE7F0C"/>
    <w:rsid w:val="00FF323A"/>
    <w:rsid w:val="00FF3964"/>
    <w:rsid w:val="00FF4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semiHidden/>
    <w:unhideWhenUsed/>
    <w:rsid w:val="007237C5"/>
    <w:rPr>
      <w:sz w:val="20"/>
      <w:szCs w:val="20"/>
    </w:rPr>
  </w:style>
  <w:style w:type="character" w:customStyle="1" w:styleId="FootnoteTextChar">
    <w:name w:val="Footnote Text Char"/>
    <w:basedOn w:val="DefaultParagraphFont"/>
    <w:link w:val="FootnoteText"/>
    <w:uiPriority w:val="99"/>
    <w:semiHidden/>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semiHidden/>
    <w:unhideWhenUsed/>
    <w:rsid w:val="00C72CBB"/>
    <w:pPr>
      <w:tabs>
        <w:tab w:val="center" w:pos="4680"/>
        <w:tab w:val="right" w:pos="9360"/>
      </w:tabs>
    </w:pPr>
  </w:style>
  <w:style w:type="character" w:customStyle="1" w:styleId="HeaderChar">
    <w:name w:val="Header Char"/>
    <w:basedOn w:val="DefaultParagraphFont"/>
    <w:link w:val="Header"/>
    <w:uiPriority w:val="99"/>
    <w:semiHidden/>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B07DF3"/>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B07DF3"/>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152350"/>
    <w:rPr>
      <w:rFonts w:ascii="Tahoma" w:hAnsi="Tahoma" w:cs="Tahoma"/>
      <w:sz w:val="16"/>
      <w:szCs w:val="16"/>
    </w:rPr>
  </w:style>
  <w:style w:type="character" w:customStyle="1" w:styleId="BalloonTextChar">
    <w:name w:val="Balloon Text Char"/>
    <w:basedOn w:val="DefaultParagraphFont"/>
    <w:link w:val="BalloonText"/>
    <w:uiPriority w:val="99"/>
    <w:semiHidden/>
    <w:rsid w:val="001523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1FCE6-B89B-4457-8167-182AD64F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cp:lastPrinted>2011-02-02T16:04:00Z</cp:lastPrinted>
  <dcterms:created xsi:type="dcterms:W3CDTF">2011-02-14T16:29:00Z</dcterms:created>
  <dcterms:modified xsi:type="dcterms:W3CDTF">2011-02-14T16:29:00Z</dcterms:modified>
</cp:coreProperties>
</file>