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 xml:space="preserve">PENNSYLVANIA PUBLIC UTILITY </w:t>
      </w:r>
      <w:r w:rsidR="00653613">
        <w:rPr>
          <w:b/>
          <w:sz w:val="24"/>
          <w:szCs w:val="24"/>
        </w:rPr>
        <w:t>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EF331B" w:rsidP="00CE43B4">
      <w:pPr>
        <w:tabs>
          <w:tab w:val="left" w:pos="-720"/>
        </w:tabs>
        <w:suppressAutoHyphens/>
        <w:rPr>
          <w:b/>
          <w:bCs/>
          <w:spacing w:val="-3"/>
          <w:sz w:val="24"/>
          <w:szCs w:val="24"/>
        </w:rPr>
      </w:pPr>
      <w:r>
        <w:rPr>
          <w:bCs/>
          <w:spacing w:val="-3"/>
          <w:sz w:val="24"/>
          <w:szCs w:val="24"/>
        </w:rPr>
        <w:t>Robert Dunham</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10316F">
        <w:rPr>
          <w:spacing w:val="-3"/>
          <w:sz w:val="24"/>
          <w:szCs w:val="24"/>
        </w:rPr>
        <w:tab/>
      </w:r>
      <w:r w:rsidR="00EF331B">
        <w:rPr>
          <w:spacing w:val="-3"/>
          <w:sz w:val="24"/>
          <w:szCs w:val="24"/>
        </w:rPr>
        <w:t>C-2010-2155056</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EF331B"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7965B0" w:rsidRPr="007965B0">
        <w:rPr>
          <w:sz w:val="24"/>
          <w:szCs w:val="24"/>
        </w:rPr>
        <w:t xml:space="preserve"> </w:t>
      </w:r>
      <w:r w:rsidR="00EF331B">
        <w:rPr>
          <w:sz w:val="24"/>
          <w:szCs w:val="24"/>
        </w:rPr>
        <w:t>January 25, 2010, Robert Dunham</w:t>
      </w:r>
      <w:r w:rsidR="007965B0" w:rsidRPr="007965B0">
        <w:rPr>
          <w:sz w:val="24"/>
          <w:szCs w:val="24"/>
        </w:rPr>
        <w:t xml:space="preserve"> (Complainant) filed a Formal Complaint with the Pennsylvania Public Utility </w:t>
      </w:r>
      <w:r w:rsidR="00653613">
        <w:rPr>
          <w:sz w:val="24"/>
          <w:szCs w:val="24"/>
        </w:rPr>
        <w:t>Commission</w:t>
      </w:r>
      <w:r w:rsidR="007965B0" w:rsidRPr="007965B0">
        <w:rPr>
          <w:sz w:val="24"/>
          <w:szCs w:val="24"/>
        </w:rPr>
        <w:t xml:space="preserve"> </w:t>
      </w:r>
      <w:r w:rsidR="0041445E">
        <w:rPr>
          <w:sz w:val="24"/>
          <w:szCs w:val="24"/>
        </w:rPr>
        <w:t xml:space="preserve">(Commission) </w:t>
      </w:r>
      <w:r w:rsidR="007965B0" w:rsidRPr="007965B0">
        <w:rPr>
          <w:sz w:val="24"/>
          <w:szCs w:val="24"/>
        </w:rPr>
        <w:t xml:space="preserve">against </w:t>
      </w:r>
      <w:r w:rsidR="00EF331B">
        <w:rPr>
          <w:sz w:val="24"/>
          <w:szCs w:val="24"/>
        </w:rPr>
        <w:t>PPL Electric Utilities Corporation</w:t>
      </w:r>
      <w:r w:rsidR="00DC7F19">
        <w:rPr>
          <w:sz w:val="24"/>
          <w:szCs w:val="24"/>
        </w:rPr>
        <w:t xml:space="preserve"> (PPL or </w:t>
      </w:r>
      <w:r w:rsidR="007965B0" w:rsidRPr="007965B0">
        <w:rPr>
          <w:sz w:val="24"/>
          <w:szCs w:val="24"/>
        </w:rPr>
        <w:t xml:space="preserve">Respondent) alleging </w:t>
      </w:r>
      <w:r w:rsidR="000D7B38">
        <w:rPr>
          <w:sz w:val="24"/>
          <w:szCs w:val="24"/>
        </w:rPr>
        <w:t>that the Respondent improperly discontinued the Residential Thermal Storage (RTS) rate after guaranteeing it would be available for the life of Complainant’s home.</w:t>
      </w:r>
      <w:r w:rsidR="007965B0" w:rsidRPr="007965B0">
        <w:rPr>
          <w:sz w:val="24"/>
          <w:szCs w:val="24"/>
        </w:rPr>
        <w:t xml:space="preserve">  On </w:t>
      </w:r>
      <w:r w:rsidR="000D7B38">
        <w:rPr>
          <w:sz w:val="24"/>
          <w:szCs w:val="24"/>
        </w:rPr>
        <w:t>February 17, 2010</w:t>
      </w:r>
      <w:r w:rsidR="007965B0" w:rsidRPr="007965B0">
        <w:rPr>
          <w:sz w:val="24"/>
          <w:szCs w:val="24"/>
        </w:rPr>
        <w:t xml:space="preserve">, Respondent filed an </w:t>
      </w:r>
      <w:r w:rsidR="007965B0" w:rsidRPr="007965B0">
        <w:rPr>
          <w:spacing w:val="-3"/>
          <w:sz w:val="24"/>
          <w:szCs w:val="24"/>
        </w:rPr>
        <w:t xml:space="preserve">Answer denying the material allegations of the Complaint.  </w:t>
      </w:r>
    </w:p>
    <w:p w:rsidR="007965B0" w:rsidRPr="007965B0" w:rsidRDefault="007965B0" w:rsidP="007965B0">
      <w:pPr>
        <w:tabs>
          <w:tab w:val="left" w:pos="2160"/>
        </w:tabs>
        <w:spacing w:line="360" w:lineRule="auto"/>
        <w:ind w:firstLine="1440"/>
        <w:rPr>
          <w:sz w:val="24"/>
          <w:szCs w:val="24"/>
        </w:rPr>
      </w:pPr>
    </w:p>
    <w:p w:rsidR="007965B0" w:rsidRPr="007965B0" w:rsidRDefault="006E7964" w:rsidP="007965B0">
      <w:pPr>
        <w:tabs>
          <w:tab w:val="left" w:pos="2160"/>
        </w:tabs>
        <w:spacing w:line="360" w:lineRule="auto"/>
        <w:ind w:firstLine="1440"/>
        <w:rPr>
          <w:sz w:val="24"/>
          <w:szCs w:val="24"/>
        </w:rPr>
      </w:pPr>
      <w:r>
        <w:rPr>
          <w:sz w:val="24"/>
          <w:szCs w:val="24"/>
        </w:rPr>
        <w:t>By Hearing Notice dated August 16, 2010</w:t>
      </w:r>
      <w:r w:rsidR="007965B0" w:rsidRPr="007965B0">
        <w:rPr>
          <w:sz w:val="24"/>
          <w:szCs w:val="24"/>
        </w:rPr>
        <w:t xml:space="preserve">, the parties were notified that an Initial Hearing in this case was scheduled for the morning of </w:t>
      </w:r>
      <w:r>
        <w:rPr>
          <w:sz w:val="24"/>
          <w:szCs w:val="24"/>
        </w:rPr>
        <w:t>October 4, 2010</w:t>
      </w:r>
      <w:r w:rsidR="007965B0" w:rsidRPr="007965B0">
        <w:rPr>
          <w:sz w:val="24"/>
          <w:szCs w:val="24"/>
        </w:rPr>
        <w:t xml:space="preserve">.  A Prehearing Order was issued on </w:t>
      </w:r>
      <w:r>
        <w:rPr>
          <w:sz w:val="24"/>
          <w:szCs w:val="24"/>
        </w:rPr>
        <w:t>September 20, 2010</w:t>
      </w:r>
      <w:r w:rsidR="007965B0"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CE43B4" w:rsidRPr="00183FE6" w:rsidRDefault="007965B0" w:rsidP="007965B0">
      <w:pPr>
        <w:spacing w:line="360" w:lineRule="auto"/>
        <w:ind w:firstLine="1440"/>
        <w:rPr>
          <w:sz w:val="24"/>
          <w:szCs w:val="24"/>
        </w:rPr>
      </w:pPr>
      <w:r w:rsidRPr="007965B0">
        <w:rPr>
          <w:sz w:val="24"/>
          <w:szCs w:val="24"/>
        </w:rPr>
        <w:lastRenderedPageBreak/>
        <w:t xml:space="preserve">The hearing convened as scheduled.  </w:t>
      </w:r>
      <w:r w:rsidR="00183FE6">
        <w:rPr>
          <w:sz w:val="24"/>
          <w:szCs w:val="24"/>
        </w:rPr>
        <w:t xml:space="preserve">The Complainant appeared </w:t>
      </w:r>
      <w:r w:rsidR="00183FE6" w:rsidRPr="00183FE6">
        <w:rPr>
          <w:i/>
          <w:sz w:val="24"/>
          <w:szCs w:val="24"/>
        </w:rPr>
        <w:t>pro se</w:t>
      </w:r>
      <w:r w:rsidR="00183FE6">
        <w:rPr>
          <w:sz w:val="24"/>
          <w:szCs w:val="24"/>
        </w:rPr>
        <w:t>.  The Complainant proffered nine (9) exhibits; all were accepted into the record.  The Respondent appeared with counsel.  The Respondent proffered one (1) exhibit that was accepted into the record.</w:t>
      </w:r>
      <w:r w:rsidR="00DC7F19">
        <w:rPr>
          <w:rStyle w:val="FootnoteReference"/>
          <w:sz w:val="24"/>
          <w:szCs w:val="24"/>
        </w:rPr>
        <w:footnoteReference w:id="1"/>
      </w:r>
      <w:r w:rsidR="00183FE6">
        <w:rPr>
          <w:sz w:val="24"/>
          <w:szCs w:val="24"/>
        </w:rPr>
        <w:t xml:space="preserve">  A written transcript of the hearing was produced comprising </w:t>
      </w:r>
      <w:r w:rsidR="00921720">
        <w:rPr>
          <w:sz w:val="24"/>
          <w:szCs w:val="24"/>
        </w:rPr>
        <w:t xml:space="preserve">one hundred three (103) pages.  </w:t>
      </w:r>
      <w:r w:rsidR="00183FE6">
        <w:rPr>
          <w:sz w:val="24"/>
          <w:szCs w:val="24"/>
        </w:rPr>
        <w:t>The record closed on November 4, 2010.</w:t>
      </w:r>
    </w:p>
    <w:p w:rsidR="00223E7E" w:rsidRPr="007965B0"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E06405" w:rsidRPr="00E06405" w:rsidRDefault="00E06405" w:rsidP="00CA65BE">
      <w:pPr>
        <w:pStyle w:val="ListParagraph"/>
        <w:spacing w:line="360" w:lineRule="auto"/>
        <w:ind w:left="0" w:firstLine="1440"/>
        <w:rPr>
          <w:sz w:val="24"/>
          <w:szCs w:val="24"/>
        </w:rPr>
      </w:pPr>
    </w:p>
    <w:p w:rsidR="00E06405" w:rsidRPr="00E06405" w:rsidRDefault="00E06405" w:rsidP="00CA65BE">
      <w:pPr>
        <w:pStyle w:val="ListParagraph"/>
        <w:numPr>
          <w:ilvl w:val="0"/>
          <w:numId w:val="20"/>
        </w:numPr>
        <w:spacing w:line="360" w:lineRule="auto"/>
        <w:ind w:left="0" w:firstLine="1440"/>
        <w:rPr>
          <w:sz w:val="24"/>
          <w:szCs w:val="24"/>
        </w:rPr>
      </w:pPr>
      <w:r w:rsidRPr="00E06405">
        <w:rPr>
          <w:sz w:val="24"/>
          <w:szCs w:val="24"/>
        </w:rPr>
        <w:t>Complainant</w:t>
      </w:r>
      <w:r>
        <w:rPr>
          <w:sz w:val="24"/>
          <w:szCs w:val="24"/>
        </w:rPr>
        <w:t xml:space="preserve"> is Robert Dunham</w:t>
      </w:r>
      <w:r w:rsidR="00EF75BB">
        <w:rPr>
          <w:sz w:val="24"/>
          <w:szCs w:val="24"/>
        </w:rPr>
        <w:t>, 105 Pin Oak Drive, Stroudsburg, Pennsylvania 18360</w:t>
      </w:r>
      <w:r w:rsidRPr="00E06405">
        <w:rPr>
          <w:sz w:val="24"/>
          <w:szCs w:val="24"/>
        </w:rPr>
        <w:t>.</w:t>
      </w:r>
    </w:p>
    <w:p w:rsidR="00E06405" w:rsidRPr="00E06405" w:rsidRDefault="00E06405" w:rsidP="00CA65BE">
      <w:pPr>
        <w:pStyle w:val="ListParagraph"/>
        <w:spacing w:line="360" w:lineRule="auto"/>
        <w:ind w:left="0" w:firstLine="1440"/>
        <w:rPr>
          <w:sz w:val="24"/>
          <w:szCs w:val="24"/>
        </w:rPr>
      </w:pPr>
    </w:p>
    <w:p w:rsidR="00E06405" w:rsidRPr="00E06405" w:rsidRDefault="00E06405" w:rsidP="00CA65BE">
      <w:pPr>
        <w:pStyle w:val="ListParagraph"/>
        <w:numPr>
          <w:ilvl w:val="0"/>
          <w:numId w:val="20"/>
        </w:numPr>
        <w:spacing w:line="360" w:lineRule="auto"/>
        <w:ind w:left="0" w:firstLine="1440"/>
        <w:rPr>
          <w:sz w:val="24"/>
          <w:szCs w:val="24"/>
        </w:rPr>
      </w:pPr>
      <w:r w:rsidRPr="00E06405">
        <w:rPr>
          <w:sz w:val="24"/>
          <w:szCs w:val="24"/>
        </w:rPr>
        <w:t>Respondent is PPL Electric Utilities Corporation, a jurisdictional public utility providing residential electric service in the Commonwealth.</w:t>
      </w:r>
    </w:p>
    <w:p w:rsidR="00E06405" w:rsidRPr="00E06405" w:rsidRDefault="00E06405" w:rsidP="00CA65BE">
      <w:pPr>
        <w:pStyle w:val="ListParagraph"/>
        <w:spacing w:line="360" w:lineRule="auto"/>
        <w:ind w:left="0" w:firstLine="1440"/>
        <w:rPr>
          <w:sz w:val="24"/>
          <w:szCs w:val="24"/>
        </w:rPr>
      </w:pPr>
    </w:p>
    <w:p w:rsidR="00CA65BE" w:rsidRDefault="00E06405" w:rsidP="00CA65BE">
      <w:pPr>
        <w:pStyle w:val="ListParagraph"/>
        <w:numPr>
          <w:ilvl w:val="0"/>
          <w:numId w:val="20"/>
        </w:numPr>
        <w:spacing w:line="360" w:lineRule="auto"/>
        <w:ind w:left="0" w:firstLine="1440"/>
        <w:rPr>
          <w:sz w:val="24"/>
          <w:szCs w:val="24"/>
        </w:rPr>
      </w:pPr>
      <w:r w:rsidRPr="00E06405">
        <w:rPr>
          <w:sz w:val="24"/>
          <w:szCs w:val="24"/>
        </w:rPr>
        <w:t>Complainant</w:t>
      </w:r>
      <w:r w:rsidR="00CA65BE">
        <w:rPr>
          <w:sz w:val="24"/>
          <w:szCs w:val="24"/>
        </w:rPr>
        <w:t>’s</w:t>
      </w:r>
      <w:r w:rsidRPr="00E06405">
        <w:rPr>
          <w:sz w:val="24"/>
          <w:szCs w:val="24"/>
        </w:rPr>
        <w:t xml:space="preserve"> home </w:t>
      </w:r>
      <w:r w:rsidR="00CA65BE">
        <w:rPr>
          <w:sz w:val="24"/>
          <w:szCs w:val="24"/>
        </w:rPr>
        <w:t>was finished in December 1995.</w:t>
      </w:r>
    </w:p>
    <w:p w:rsidR="00CA65BE" w:rsidRDefault="00CA65BE" w:rsidP="00CA65BE">
      <w:pPr>
        <w:pStyle w:val="ListParagraph"/>
        <w:spacing w:line="360" w:lineRule="auto"/>
        <w:ind w:left="0" w:firstLine="1440"/>
        <w:rPr>
          <w:sz w:val="24"/>
          <w:szCs w:val="24"/>
        </w:rPr>
      </w:pPr>
    </w:p>
    <w:p w:rsidR="00CA65BE" w:rsidRDefault="00CA65BE" w:rsidP="00CA65BE">
      <w:pPr>
        <w:pStyle w:val="ListParagraph"/>
        <w:numPr>
          <w:ilvl w:val="0"/>
          <w:numId w:val="20"/>
        </w:numPr>
        <w:spacing w:line="360" w:lineRule="auto"/>
        <w:ind w:left="0" w:firstLine="1440"/>
        <w:rPr>
          <w:sz w:val="24"/>
          <w:szCs w:val="24"/>
        </w:rPr>
      </w:pPr>
      <w:r>
        <w:rPr>
          <w:sz w:val="24"/>
          <w:szCs w:val="24"/>
        </w:rPr>
        <w:t>Complainan</w:t>
      </w:r>
      <w:r w:rsidR="00DC7F19">
        <w:rPr>
          <w:sz w:val="24"/>
          <w:szCs w:val="24"/>
        </w:rPr>
        <w:t xml:space="preserve">t’s home is a “PPL Comfort Home” </w:t>
      </w:r>
      <w:r w:rsidR="00450342">
        <w:rPr>
          <w:sz w:val="24"/>
          <w:szCs w:val="24"/>
        </w:rPr>
        <w:t>–</w:t>
      </w:r>
      <w:r w:rsidR="00DC7F19">
        <w:rPr>
          <w:sz w:val="24"/>
          <w:szCs w:val="24"/>
        </w:rPr>
        <w:t xml:space="preserve"> </w:t>
      </w:r>
      <w:r>
        <w:rPr>
          <w:sz w:val="24"/>
          <w:szCs w:val="24"/>
        </w:rPr>
        <w:t xml:space="preserve">built to the highest standards of thermal integrity.”  RD </w:t>
      </w:r>
      <w:proofErr w:type="spellStart"/>
      <w:r>
        <w:rPr>
          <w:sz w:val="24"/>
          <w:szCs w:val="24"/>
        </w:rPr>
        <w:t>Exh</w:t>
      </w:r>
      <w:proofErr w:type="spellEnd"/>
      <w:r>
        <w:rPr>
          <w:sz w:val="24"/>
          <w:szCs w:val="24"/>
        </w:rPr>
        <w:t>.</w:t>
      </w:r>
      <w:r w:rsidR="00450342">
        <w:rPr>
          <w:sz w:val="24"/>
          <w:szCs w:val="24"/>
        </w:rPr>
        <w:t xml:space="preserve"> </w:t>
      </w:r>
      <w:r>
        <w:rPr>
          <w:sz w:val="24"/>
          <w:szCs w:val="24"/>
        </w:rPr>
        <w:t>1.</w:t>
      </w:r>
    </w:p>
    <w:p w:rsidR="002E30D3" w:rsidRPr="002E30D3" w:rsidRDefault="002E30D3" w:rsidP="002E30D3">
      <w:pPr>
        <w:pStyle w:val="ListParagraph"/>
        <w:rPr>
          <w:sz w:val="24"/>
          <w:szCs w:val="24"/>
        </w:rPr>
      </w:pPr>
    </w:p>
    <w:p w:rsidR="002E30D3" w:rsidRDefault="002E30D3" w:rsidP="00CA65BE">
      <w:pPr>
        <w:pStyle w:val="ListParagraph"/>
        <w:numPr>
          <w:ilvl w:val="0"/>
          <w:numId w:val="20"/>
        </w:numPr>
        <w:spacing w:line="360" w:lineRule="auto"/>
        <w:ind w:left="0" w:firstLine="1440"/>
        <w:rPr>
          <w:sz w:val="24"/>
          <w:szCs w:val="24"/>
        </w:rPr>
      </w:pPr>
      <w:r>
        <w:rPr>
          <w:sz w:val="24"/>
          <w:szCs w:val="24"/>
        </w:rPr>
        <w:t xml:space="preserve">Comfort Home is a corporation with the address 1153 Lititz Pike, Lancaster, Pennsylvania 17601.  RD </w:t>
      </w:r>
      <w:proofErr w:type="spellStart"/>
      <w:r>
        <w:rPr>
          <w:sz w:val="24"/>
          <w:szCs w:val="24"/>
        </w:rPr>
        <w:t>Exh</w:t>
      </w:r>
      <w:proofErr w:type="spellEnd"/>
      <w:r>
        <w:rPr>
          <w:sz w:val="24"/>
          <w:szCs w:val="24"/>
        </w:rPr>
        <w:t>.</w:t>
      </w:r>
      <w:r w:rsidR="00450342">
        <w:rPr>
          <w:sz w:val="24"/>
          <w:szCs w:val="24"/>
        </w:rPr>
        <w:t xml:space="preserve"> </w:t>
      </w:r>
      <w:r>
        <w:rPr>
          <w:sz w:val="24"/>
          <w:szCs w:val="24"/>
        </w:rPr>
        <w:t>1.</w:t>
      </w:r>
    </w:p>
    <w:p w:rsidR="002E30D3" w:rsidRPr="002E30D3" w:rsidRDefault="002E30D3" w:rsidP="002E30D3">
      <w:pPr>
        <w:pStyle w:val="ListParagraph"/>
        <w:rPr>
          <w:sz w:val="24"/>
          <w:szCs w:val="24"/>
        </w:rPr>
      </w:pPr>
    </w:p>
    <w:p w:rsidR="002E30D3" w:rsidRDefault="002E30D3" w:rsidP="00CA65BE">
      <w:pPr>
        <w:pStyle w:val="ListParagraph"/>
        <w:numPr>
          <w:ilvl w:val="0"/>
          <w:numId w:val="20"/>
        </w:numPr>
        <w:spacing w:line="360" w:lineRule="auto"/>
        <w:ind w:left="0" w:firstLine="1440"/>
        <w:rPr>
          <w:sz w:val="24"/>
          <w:szCs w:val="24"/>
        </w:rPr>
      </w:pPr>
      <w:r>
        <w:rPr>
          <w:sz w:val="24"/>
          <w:szCs w:val="24"/>
        </w:rPr>
        <w:t xml:space="preserve">The legal relationship between PPL and Comfort Home </w:t>
      </w:r>
      <w:r w:rsidR="00BE7A3A">
        <w:rPr>
          <w:sz w:val="24"/>
          <w:szCs w:val="24"/>
        </w:rPr>
        <w:t xml:space="preserve">was not clarified at the hearing and thus </w:t>
      </w:r>
      <w:r>
        <w:rPr>
          <w:sz w:val="24"/>
          <w:szCs w:val="24"/>
        </w:rPr>
        <w:t xml:space="preserve">is not known.  Tr. </w:t>
      </w:r>
      <w:r w:rsidR="00BF306B">
        <w:rPr>
          <w:sz w:val="24"/>
          <w:szCs w:val="24"/>
        </w:rPr>
        <w:t>36-</w:t>
      </w:r>
      <w:r>
        <w:rPr>
          <w:sz w:val="24"/>
          <w:szCs w:val="24"/>
        </w:rPr>
        <w:t>37.</w:t>
      </w:r>
    </w:p>
    <w:p w:rsidR="008758A8" w:rsidRPr="008758A8" w:rsidRDefault="008758A8" w:rsidP="008758A8">
      <w:pPr>
        <w:pStyle w:val="ListParagraph"/>
        <w:rPr>
          <w:sz w:val="24"/>
          <w:szCs w:val="24"/>
        </w:rPr>
      </w:pPr>
    </w:p>
    <w:p w:rsidR="008758A8" w:rsidRDefault="005F3FB9" w:rsidP="00CA65BE">
      <w:pPr>
        <w:pStyle w:val="ListParagraph"/>
        <w:numPr>
          <w:ilvl w:val="0"/>
          <w:numId w:val="20"/>
        </w:numPr>
        <w:spacing w:line="360" w:lineRule="auto"/>
        <w:ind w:left="0" w:firstLine="1440"/>
        <w:rPr>
          <w:sz w:val="24"/>
          <w:szCs w:val="24"/>
        </w:rPr>
      </w:pPr>
      <w:r>
        <w:rPr>
          <w:sz w:val="24"/>
          <w:szCs w:val="24"/>
        </w:rPr>
        <w:t>Dave</w:t>
      </w:r>
      <w:r w:rsidR="008758A8">
        <w:rPr>
          <w:sz w:val="24"/>
          <w:szCs w:val="24"/>
        </w:rPr>
        <w:t xml:space="preserve"> Weidman from PPL negotiated with the Complainant regarding the Comfort Home Program.  The Complainant understood that the Program was for the life of the home</w:t>
      </w:r>
      <w:r w:rsidR="00BE7A3A">
        <w:rPr>
          <w:sz w:val="24"/>
          <w:szCs w:val="24"/>
        </w:rPr>
        <w:t xml:space="preserve"> and was transferrable should he sell his home</w:t>
      </w:r>
      <w:r w:rsidR="008758A8">
        <w:rPr>
          <w:sz w:val="24"/>
          <w:szCs w:val="24"/>
        </w:rPr>
        <w:t>.  Tr. 15-16</w:t>
      </w:r>
      <w:r>
        <w:rPr>
          <w:sz w:val="24"/>
          <w:szCs w:val="24"/>
        </w:rPr>
        <w:t>, 43</w:t>
      </w:r>
      <w:r w:rsidR="008758A8">
        <w:rPr>
          <w:sz w:val="24"/>
          <w:szCs w:val="24"/>
        </w:rPr>
        <w:t>.</w:t>
      </w:r>
    </w:p>
    <w:p w:rsidR="00BF306B" w:rsidRPr="00BF306B" w:rsidRDefault="00BF306B" w:rsidP="00BF306B">
      <w:pPr>
        <w:pStyle w:val="ListParagraph"/>
        <w:rPr>
          <w:sz w:val="24"/>
          <w:szCs w:val="24"/>
        </w:rPr>
      </w:pPr>
    </w:p>
    <w:p w:rsidR="00BF306B" w:rsidRDefault="00BF306B" w:rsidP="00CA65BE">
      <w:pPr>
        <w:pStyle w:val="ListParagraph"/>
        <w:numPr>
          <w:ilvl w:val="0"/>
          <w:numId w:val="20"/>
        </w:numPr>
        <w:spacing w:line="360" w:lineRule="auto"/>
        <w:ind w:left="0" w:firstLine="1440"/>
        <w:rPr>
          <w:sz w:val="24"/>
          <w:szCs w:val="24"/>
        </w:rPr>
      </w:pPr>
      <w:r>
        <w:rPr>
          <w:sz w:val="24"/>
          <w:szCs w:val="24"/>
        </w:rPr>
        <w:t>During the decision making process, the Complainant</w:t>
      </w:r>
      <w:r w:rsidR="00A30C4A">
        <w:rPr>
          <w:sz w:val="24"/>
          <w:szCs w:val="24"/>
        </w:rPr>
        <w:t xml:space="preserve"> was never appri</w:t>
      </w:r>
      <w:r>
        <w:rPr>
          <w:sz w:val="24"/>
          <w:szCs w:val="24"/>
        </w:rPr>
        <w:t>sed of the fact that PPL has a tariff</w:t>
      </w:r>
      <w:r w:rsidR="00DC7F19">
        <w:rPr>
          <w:sz w:val="24"/>
          <w:szCs w:val="24"/>
        </w:rPr>
        <w:t xml:space="preserve"> governing the rates it charges</w:t>
      </w:r>
      <w:r>
        <w:rPr>
          <w:sz w:val="24"/>
          <w:szCs w:val="24"/>
        </w:rPr>
        <w:t>.  Tr. 42.</w:t>
      </w:r>
    </w:p>
    <w:p w:rsidR="00E36155" w:rsidRDefault="00E36155" w:rsidP="00CA65BE">
      <w:pPr>
        <w:pStyle w:val="ListParagraph"/>
        <w:numPr>
          <w:ilvl w:val="0"/>
          <w:numId w:val="20"/>
        </w:numPr>
        <w:spacing w:line="360" w:lineRule="auto"/>
        <w:ind w:left="0" w:firstLine="1440"/>
        <w:rPr>
          <w:sz w:val="24"/>
          <w:szCs w:val="24"/>
        </w:rPr>
      </w:pPr>
      <w:r>
        <w:rPr>
          <w:sz w:val="24"/>
          <w:szCs w:val="24"/>
        </w:rPr>
        <w:lastRenderedPageBreak/>
        <w:t>There is no written contract between PPL and the Complainant.  Tr.</w:t>
      </w:r>
      <w:r w:rsidR="00285B55">
        <w:rPr>
          <w:sz w:val="24"/>
          <w:szCs w:val="24"/>
        </w:rPr>
        <w:t> </w:t>
      </w:r>
      <w:r>
        <w:rPr>
          <w:sz w:val="24"/>
          <w:szCs w:val="24"/>
        </w:rPr>
        <w:t>34,</w:t>
      </w:r>
      <w:r w:rsidR="00285B55">
        <w:rPr>
          <w:sz w:val="24"/>
          <w:szCs w:val="24"/>
        </w:rPr>
        <w:t> </w:t>
      </w:r>
      <w:r>
        <w:rPr>
          <w:sz w:val="24"/>
          <w:szCs w:val="24"/>
        </w:rPr>
        <w:t>50.</w:t>
      </w:r>
    </w:p>
    <w:p w:rsidR="00E41030" w:rsidRPr="00E41030" w:rsidRDefault="00E41030" w:rsidP="00E41030">
      <w:pPr>
        <w:pStyle w:val="ListParagraph"/>
        <w:rPr>
          <w:sz w:val="24"/>
          <w:szCs w:val="24"/>
        </w:rPr>
      </w:pPr>
    </w:p>
    <w:p w:rsidR="00E41030" w:rsidRDefault="00E41030" w:rsidP="00CA65BE">
      <w:pPr>
        <w:pStyle w:val="ListParagraph"/>
        <w:numPr>
          <w:ilvl w:val="0"/>
          <w:numId w:val="20"/>
        </w:numPr>
        <w:spacing w:line="360" w:lineRule="auto"/>
        <w:ind w:left="0" w:firstLine="1440"/>
        <w:rPr>
          <w:sz w:val="24"/>
          <w:szCs w:val="24"/>
        </w:rPr>
      </w:pPr>
      <w:r>
        <w:rPr>
          <w:sz w:val="24"/>
          <w:szCs w:val="24"/>
        </w:rPr>
        <w:t xml:space="preserve">The RTS rate is </w:t>
      </w:r>
      <w:r w:rsidR="00A30C4A">
        <w:rPr>
          <w:sz w:val="24"/>
          <w:szCs w:val="24"/>
        </w:rPr>
        <w:t xml:space="preserve">a </w:t>
      </w:r>
      <w:r>
        <w:rPr>
          <w:sz w:val="24"/>
          <w:szCs w:val="24"/>
        </w:rPr>
        <w:t xml:space="preserve">publicly filed PPL tariff, </w:t>
      </w:r>
      <w:r w:rsidR="00653613">
        <w:rPr>
          <w:sz w:val="24"/>
          <w:szCs w:val="24"/>
        </w:rPr>
        <w:t xml:space="preserve">it is </w:t>
      </w:r>
      <w:r>
        <w:rPr>
          <w:sz w:val="24"/>
          <w:szCs w:val="24"/>
        </w:rPr>
        <w:t>not individual contracts.  Tr. 93.</w:t>
      </w:r>
    </w:p>
    <w:p w:rsidR="00DF6DA9" w:rsidRPr="00DF6DA9" w:rsidRDefault="00DF6DA9" w:rsidP="00DF6DA9">
      <w:pPr>
        <w:pStyle w:val="ListParagraph"/>
        <w:rPr>
          <w:sz w:val="24"/>
          <w:szCs w:val="24"/>
        </w:rPr>
      </w:pPr>
    </w:p>
    <w:p w:rsidR="00DF6DA9" w:rsidRDefault="00DF6DA9" w:rsidP="00CA65BE">
      <w:pPr>
        <w:pStyle w:val="ListParagraph"/>
        <w:numPr>
          <w:ilvl w:val="0"/>
          <w:numId w:val="20"/>
        </w:numPr>
        <w:spacing w:line="360" w:lineRule="auto"/>
        <w:ind w:left="0" w:firstLine="1440"/>
        <w:rPr>
          <w:sz w:val="24"/>
          <w:szCs w:val="24"/>
        </w:rPr>
      </w:pPr>
      <w:r>
        <w:rPr>
          <w:sz w:val="24"/>
          <w:szCs w:val="24"/>
        </w:rPr>
        <w:t>Milton McWilliams testified on behalf of the Complainant.  Tr. 58.</w:t>
      </w:r>
    </w:p>
    <w:p w:rsidR="00DF6DA9" w:rsidRPr="00DF6DA9" w:rsidRDefault="00DF6DA9" w:rsidP="00DF6DA9">
      <w:pPr>
        <w:pStyle w:val="ListParagraph"/>
        <w:rPr>
          <w:sz w:val="24"/>
          <w:szCs w:val="24"/>
        </w:rPr>
      </w:pPr>
    </w:p>
    <w:p w:rsidR="00DF6DA9" w:rsidRDefault="00DF6DA9" w:rsidP="00CA65BE">
      <w:pPr>
        <w:pStyle w:val="ListParagraph"/>
        <w:numPr>
          <w:ilvl w:val="0"/>
          <w:numId w:val="20"/>
        </w:numPr>
        <w:spacing w:line="360" w:lineRule="auto"/>
        <w:ind w:left="0" w:firstLine="1440"/>
        <w:rPr>
          <w:sz w:val="24"/>
          <w:szCs w:val="24"/>
        </w:rPr>
      </w:pPr>
      <w:r>
        <w:rPr>
          <w:sz w:val="24"/>
          <w:szCs w:val="24"/>
        </w:rPr>
        <w:t xml:space="preserve">Milton McWilliams responded to television advertisements in September or October 1991, sponsored by PPL.  He telephoned the number provided in the ads and was contacted by Dave Weidman of PPL.  </w:t>
      </w:r>
      <w:r w:rsidR="00534A00">
        <w:rPr>
          <w:sz w:val="24"/>
          <w:szCs w:val="24"/>
        </w:rPr>
        <w:t>Tr.</w:t>
      </w:r>
      <w:r>
        <w:rPr>
          <w:sz w:val="24"/>
          <w:szCs w:val="24"/>
        </w:rPr>
        <w:t xml:space="preserve"> 59.</w:t>
      </w:r>
    </w:p>
    <w:p w:rsidR="00DF6DA9" w:rsidRPr="00DF6DA9" w:rsidRDefault="00DF6DA9" w:rsidP="00DF6DA9">
      <w:pPr>
        <w:pStyle w:val="ListParagraph"/>
        <w:rPr>
          <w:sz w:val="24"/>
          <w:szCs w:val="24"/>
        </w:rPr>
      </w:pPr>
    </w:p>
    <w:p w:rsidR="00DF6DA9" w:rsidRDefault="00DF6DA9" w:rsidP="00CA65BE">
      <w:pPr>
        <w:pStyle w:val="ListParagraph"/>
        <w:numPr>
          <w:ilvl w:val="0"/>
          <w:numId w:val="20"/>
        </w:numPr>
        <w:spacing w:line="360" w:lineRule="auto"/>
        <w:ind w:left="0" w:firstLine="1440"/>
        <w:rPr>
          <w:sz w:val="24"/>
          <w:szCs w:val="24"/>
        </w:rPr>
      </w:pPr>
      <w:r>
        <w:rPr>
          <w:sz w:val="24"/>
          <w:szCs w:val="24"/>
        </w:rPr>
        <w:t xml:space="preserve">Milton McWilliams, like the </w:t>
      </w:r>
      <w:r w:rsidR="00B81D7B">
        <w:rPr>
          <w:sz w:val="24"/>
          <w:szCs w:val="24"/>
        </w:rPr>
        <w:t>Complainant</w:t>
      </w:r>
      <w:r w:rsidR="009E2517">
        <w:rPr>
          <w:sz w:val="24"/>
          <w:szCs w:val="24"/>
        </w:rPr>
        <w:t>,</w:t>
      </w:r>
      <w:r>
        <w:rPr>
          <w:sz w:val="24"/>
          <w:szCs w:val="24"/>
        </w:rPr>
        <w:t xml:space="preserve"> understood that the RTS system was transferrable </w:t>
      </w:r>
      <w:r w:rsidR="00534A00">
        <w:rPr>
          <w:sz w:val="24"/>
          <w:szCs w:val="24"/>
        </w:rPr>
        <w:t xml:space="preserve">and for the life of the home.  </w:t>
      </w:r>
      <w:r>
        <w:rPr>
          <w:sz w:val="24"/>
          <w:szCs w:val="24"/>
        </w:rPr>
        <w:t>T</w:t>
      </w:r>
      <w:r w:rsidR="00534A00">
        <w:rPr>
          <w:sz w:val="24"/>
          <w:szCs w:val="24"/>
        </w:rPr>
        <w:t>r.</w:t>
      </w:r>
      <w:r>
        <w:rPr>
          <w:sz w:val="24"/>
          <w:szCs w:val="24"/>
        </w:rPr>
        <w:t xml:space="preserve"> 59-60.</w:t>
      </w:r>
    </w:p>
    <w:p w:rsidR="00534A00" w:rsidRPr="00534A00" w:rsidRDefault="00534A00" w:rsidP="00534A00">
      <w:pPr>
        <w:pStyle w:val="ListParagraph"/>
        <w:rPr>
          <w:sz w:val="24"/>
          <w:szCs w:val="24"/>
        </w:rPr>
      </w:pPr>
    </w:p>
    <w:p w:rsidR="00534A00" w:rsidRDefault="00534A00" w:rsidP="00CA65BE">
      <w:pPr>
        <w:pStyle w:val="ListParagraph"/>
        <w:numPr>
          <w:ilvl w:val="0"/>
          <w:numId w:val="20"/>
        </w:numPr>
        <w:spacing w:line="360" w:lineRule="auto"/>
        <w:ind w:left="0" w:firstLine="1440"/>
        <w:rPr>
          <w:sz w:val="24"/>
          <w:szCs w:val="24"/>
        </w:rPr>
      </w:pPr>
      <w:r>
        <w:rPr>
          <w:sz w:val="24"/>
          <w:szCs w:val="24"/>
        </w:rPr>
        <w:t xml:space="preserve">Milton </w:t>
      </w:r>
      <w:r w:rsidR="001873F1">
        <w:rPr>
          <w:sz w:val="24"/>
          <w:szCs w:val="24"/>
        </w:rPr>
        <w:t>McWilliams</w:t>
      </w:r>
      <w:r>
        <w:rPr>
          <w:sz w:val="24"/>
          <w:szCs w:val="24"/>
        </w:rPr>
        <w:t xml:space="preserve"> was not told any duration of time in his discussions with PPL representatives.  Tr. 64.</w:t>
      </w:r>
    </w:p>
    <w:p w:rsidR="00DF6DA9" w:rsidRPr="00DF6DA9" w:rsidRDefault="00DF6DA9" w:rsidP="00DF6DA9">
      <w:pPr>
        <w:pStyle w:val="ListParagraph"/>
        <w:rPr>
          <w:sz w:val="24"/>
          <w:szCs w:val="24"/>
        </w:rPr>
      </w:pPr>
    </w:p>
    <w:p w:rsidR="00DF6DA9" w:rsidRDefault="00592493" w:rsidP="00CA65BE">
      <w:pPr>
        <w:pStyle w:val="ListParagraph"/>
        <w:numPr>
          <w:ilvl w:val="0"/>
          <w:numId w:val="20"/>
        </w:numPr>
        <w:spacing w:line="360" w:lineRule="auto"/>
        <w:ind w:left="0" w:firstLine="1440"/>
        <w:rPr>
          <w:sz w:val="24"/>
          <w:szCs w:val="24"/>
        </w:rPr>
      </w:pPr>
      <w:r>
        <w:rPr>
          <w:sz w:val="24"/>
          <w:szCs w:val="24"/>
        </w:rPr>
        <w:t>Milton McWilliams spent additional money constructing his home to meet the RTS requirements.</w:t>
      </w:r>
      <w:r w:rsidR="00534A00">
        <w:rPr>
          <w:sz w:val="24"/>
          <w:szCs w:val="24"/>
        </w:rPr>
        <w:t xml:space="preserve">  </w:t>
      </w:r>
      <w:r>
        <w:rPr>
          <w:sz w:val="24"/>
          <w:szCs w:val="24"/>
        </w:rPr>
        <w:t>T</w:t>
      </w:r>
      <w:r w:rsidR="00534A00">
        <w:rPr>
          <w:sz w:val="24"/>
          <w:szCs w:val="24"/>
        </w:rPr>
        <w:t>r.</w:t>
      </w:r>
      <w:r>
        <w:rPr>
          <w:sz w:val="24"/>
          <w:szCs w:val="24"/>
        </w:rPr>
        <w:t xml:space="preserve"> 59-60.</w:t>
      </w:r>
    </w:p>
    <w:p w:rsidR="00592493" w:rsidRPr="00592493" w:rsidRDefault="00592493" w:rsidP="00592493">
      <w:pPr>
        <w:pStyle w:val="ListParagraph"/>
        <w:rPr>
          <w:sz w:val="24"/>
          <w:szCs w:val="24"/>
        </w:rPr>
      </w:pPr>
    </w:p>
    <w:p w:rsidR="00592493" w:rsidRDefault="00592493" w:rsidP="00CA65BE">
      <w:pPr>
        <w:pStyle w:val="ListParagraph"/>
        <w:numPr>
          <w:ilvl w:val="0"/>
          <w:numId w:val="20"/>
        </w:numPr>
        <w:spacing w:line="360" w:lineRule="auto"/>
        <w:ind w:left="0" w:firstLine="1440"/>
        <w:rPr>
          <w:sz w:val="24"/>
          <w:szCs w:val="24"/>
        </w:rPr>
      </w:pPr>
      <w:r>
        <w:rPr>
          <w:sz w:val="24"/>
          <w:szCs w:val="24"/>
        </w:rPr>
        <w:t xml:space="preserve">Milton McWilliams testified at a </w:t>
      </w:r>
      <w:r w:rsidR="00653613">
        <w:rPr>
          <w:sz w:val="24"/>
          <w:szCs w:val="24"/>
        </w:rPr>
        <w:t>Commission</w:t>
      </w:r>
      <w:r>
        <w:rPr>
          <w:sz w:val="24"/>
          <w:szCs w:val="24"/>
        </w:rPr>
        <w:t xml:space="preserve"> public input hearing held in Bethlehem, Pennsylvania about the RTS rate being available for </w:t>
      </w:r>
      <w:r w:rsidR="00534A00">
        <w:rPr>
          <w:sz w:val="24"/>
          <w:szCs w:val="24"/>
        </w:rPr>
        <w:t xml:space="preserve">the </w:t>
      </w:r>
      <w:r>
        <w:rPr>
          <w:sz w:val="24"/>
          <w:szCs w:val="24"/>
        </w:rPr>
        <w:t>life</w:t>
      </w:r>
      <w:r w:rsidR="00534A00">
        <w:rPr>
          <w:sz w:val="24"/>
          <w:szCs w:val="24"/>
        </w:rPr>
        <w:t xml:space="preserve"> of the system.  Tr. 62.</w:t>
      </w:r>
    </w:p>
    <w:p w:rsidR="00534A00" w:rsidRPr="00534A00" w:rsidRDefault="00534A00" w:rsidP="00534A00">
      <w:pPr>
        <w:pStyle w:val="ListParagraph"/>
        <w:rPr>
          <w:sz w:val="24"/>
          <w:szCs w:val="24"/>
        </w:rPr>
      </w:pPr>
    </w:p>
    <w:p w:rsidR="00E06405" w:rsidRDefault="0034216C" w:rsidP="00CA65BE">
      <w:pPr>
        <w:pStyle w:val="ListParagraph"/>
        <w:numPr>
          <w:ilvl w:val="0"/>
          <w:numId w:val="20"/>
        </w:numPr>
        <w:spacing w:line="360" w:lineRule="auto"/>
        <w:ind w:left="0" w:firstLine="1440"/>
        <w:rPr>
          <w:sz w:val="24"/>
          <w:szCs w:val="24"/>
        </w:rPr>
      </w:pPr>
      <w:r>
        <w:rPr>
          <w:sz w:val="24"/>
          <w:szCs w:val="24"/>
        </w:rPr>
        <w:t>Oliver Kasper</w:t>
      </w:r>
      <w:r w:rsidR="00E06405" w:rsidRPr="00E06405">
        <w:rPr>
          <w:sz w:val="24"/>
          <w:szCs w:val="24"/>
        </w:rPr>
        <w:t xml:space="preserve">, Manager of </w:t>
      </w:r>
      <w:r>
        <w:rPr>
          <w:sz w:val="24"/>
          <w:szCs w:val="24"/>
        </w:rPr>
        <w:t>Pricing and Contract Administration,</w:t>
      </w:r>
      <w:r w:rsidR="00E06405" w:rsidRPr="00E06405">
        <w:rPr>
          <w:sz w:val="24"/>
          <w:szCs w:val="24"/>
        </w:rPr>
        <w:t xml:space="preserve"> for PPL, appeared and testified on behalf of Respondent.  Tr. </w:t>
      </w:r>
      <w:r>
        <w:rPr>
          <w:sz w:val="24"/>
          <w:szCs w:val="24"/>
        </w:rPr>
        <w:t>69</w:t>
      </w:r>
      <w:r w:rsidR="00E06405" w:rsidRPr="00E06405">
        <w:rPr>
          <w:sz w:val="24"/>
          <w:szCs w:val="24"/>
        </w:rPr>
        <w:t>.</w:t>
      </w:r>
    </w:p>
    <w:p w:rsidR="00C84A38" w:rsidRPr="00C84A38" w:rsidRDefault="00C84A38" w:rsidP="00C84A38">
      <w:pPr>
        <w:pStyle w:val="ListParagraph"/>
        <w:rPr>
          <w:sz w:val="24"/>
          <w:szCs w:val="24"/>
        </w:rPr>
      </w:pPr>
    </w:p>
    <w:p w:rsidR="00C84A38" w:rsidRDefault="00C84A38" w:rsidP="00C84A38">
      <w:pPr>
        <w:pStyle w:val="ListParagraph"/>
        <w:numPr>
          <w:ilvl w:val="0"/>
          <w:numId w:val="20"/>
        </w:numPr>
        <w:spacing w:line="360" w:lineRule="auto"/>
        <w:ind w:left="0" w:firstLine="1440"/>
        <w:rPr>
          <w:sz w:val="24"/>
          <w:szCs w:val="24"/>
        </w:rPr>
      </w:pPr>
      <w:r w:rsidRPr="00C84A38">
        <w:rPr>
          <w:sz w:val="24"/>
          <w:szCs w:val="24"/>
        </w:rPr>
        <w:t xml:space="preserve"> </w:t>
      </w:r>
      <w:r w:rsidR="00E06405" w:rsidRPr="00C84A38">
        <w:rPr>
          <w:sz w:val="24"/>
          <w:szCs w:val="24"/>
        </w:rPr>
        <w:t xml:space="preserve">The establishment of the </w:t>
      </w:r>
      <w:r w:rsidR="00E41030">
        <w:rPr>
          <w:sz w:val="24"/>
          <w:szCs w:val="24"/>
        </w:rPr>
        <w:t xml:space="preserve">RTS </w:t>
      </w:r>
      <w:r w:rsidR="001873F1">
        <w:rPr>
          <w:sz w:val="24"/>
          <w:szCs w:val="24"/>
        </w:rPr>
        <w:t>r</w:t>
      </w:r>
      <w:r w:rsidR="00E06405" w:rsidRPr="00C84A38">
        <w:rPr>
          <w:sz w:val="24"/>
          <w:szCs w:val="24"/>
        </w:rPr>
        <w:t>ate was to alleviate the peak load on PPL’s system in the morning hours by d</w:t>
      </w:r>
      <w:r w:rsidR="00687868" w:rsidRPr="00C84A38">
        <w:rPr>
          <w:sz w:val="24"/>
          <w:szCs w:val="24"/>
        </w:rPr>
        <w:t>esigning a system to store heat</w:t>
      </w:r>
      <w:r w:rsidR="00E06405" w:rsidRPr="00C84A38">
        <w:rPr>
          <w:sz w:val="24"/>
          <w:szCs w:val="24"/>
        </w:rPr>
        <w:t xml:space="preserve">.  Tr. </w:t>
      </w:r>
      <w:r w:rsidR="00687868" w:rsidRPr="00C84A38">
        <w:rPr>
          <w:sz w:val="24"/>
          <w:szCs w:val="24"/>
        </w:rPr>
        <w:t>70</w:t>
      </w:r>
      <w:r w:rsidRPr="00C84A38">
        <w:rPr>
          <w:sz w:val="24"/>
          <w:szCs w:val="24"/>
        </w:rPr>
        <w:t>.</w:t>
      </w:r>
    </w:p>
    <w:p w:rsidR="00C84A38" w:rsidRPr="00C84A38" w:rsidRDefault="00C84A38" w:rsidP="00C84A38">
      <w:pPr>
        <w:pStyle w:val="ListParagraph"/>
        <w:rPr>
          <w:sz w:val="24"/>
          <w:szCs w:val="24"/>
        </w:rPr>
      </w:pPr>
    </w:p>
    <w:p w:rsidR="00C84A38" w:rsidRDefault="00C84A38" w:rsidP="00C84A38">
      <w:pPr>
        <w:pStyle w:val="ListParagraph"/>
        <w:numPr>
          <w:ilvl w:val="0"/>
          <w:numId w:val="20"/>
        </w:numPr>
        <w:spacing w:line="360" w:lineRule="auto"/>
        <w:ind w:left="0" w:firstLine="1440"/>
        <w:rPr>
          <w:sz w:val="24"/>
          <w:szCs w:val="24"/>
        </w:rPr>
      </w:pPr>
      <w:r>
        <w:rPr>
          <w:sz w:val="24"/>
          <w:szCs w:val="24"/>
        </w:rPr>
        <w:t xml:space="preserve">In 1995 PPL’s load picture was changing.  </w:t>
      </w:r>
      <w:r w:rsidR="009F642F">
        <w:rPr>
          <w:sz w:val="24"/>
          <w:szCs w:val="24"/>
        </w:rPr>
        <w:t>December 31, 1994 or January</w:t>
      </w:r>
      <w:r w:rsidR="00C5537E">
        <w:rPr>
          <w:sz w:val="24"/>
          <w:szCs w:val="24"/>
        </w:rPr>
        <w:t> </w:t>
      </w:r>
      <w:r w:rsidR="009F642F">
        <w:rPr>
          <w:sz w:val="24"/>
          <w:szCs w:val="24"/>
        </w:rPr>
        <w:t>1, 1995,</w:t>
      </w:r>
      <w:r w:rsidR="009F642F">
        <w:rPr>
          <w:rStyle w:val="FootnoteReference"/>
          <w:sz w:val="24"/>
          <w:szCs w:val="24"/>
        </w:rPr>
        <w:footnoteReference w:id="2"/>
      </w:r>
      <w:r>
        <w:rPr>
          <w:sz w:val="24"/>
          <w:szCs w:val="24"/>
        </w:rPr>
        <w:t xml:space="preserve"> PPL filed a rate case with the </w:t>
      </w:r>
      <w:r w:rsidR="00653613">
        <w:rPr>
          <w:sz w:val="24"/>
          <w:szCs w:val="24"/>
        </w:rPr>
        <w:t>C</w:t>
      </w:r>
      <w:r w:rsidR="009F642F">
        <w:rPr>
          <w:sz w:val="24"/>
          <w:szCs w:val="24"/>
        </w:rPr>
        <w:t>ommission</w:t>
      </w:r>
      <w:r>
        <w:rPr>
          <w:sz w:val="24"/>
          <w:szCs w:val="24"/>
        </w:rPr>
        <w:t xml:space="preserve"> requesting that the RTS rate be discontinued.  The </w:t>
      </w:r>
      <w:r w:rsidR="00653613">
        <w:rPr>
          <w:sz w:val="24"/>
          <w:szCs w:val="24"/>
        </w:rPr>
        <w:t>C</w:t>
      </w:r>
      <w:r w:rsidR="009F642F">
        <w:rPr>
          <w:sz w:val="24"/>
          <w:szCs w:val="24"/>
        </w:rPr>
        <w:t>ommission</w:t>
      </w:r>
      <w:r>
        <w:rPr>
          <w:sz w:val="24"/>
          <w:szCs w:val="24"/>
        </w:rPr>
        <w:t xml:space="preserve"> approved RTS’ discontinuance.  Tr. 76.</w:t>
      </w:r>
    </w:p>
    <w:p w:rsidR="00C84A38" w:rsidRDefault="004B3E42" w:rsidP="00C84A38">
      <w:pPr>
        <w:pStyle w:val="ListParagraph"/>
        <w:numPr>
          <w:ilvl w:val="0"/>
          <w:numId w:val="20"/>
        </w:numPr>
        <w:spacing w:line="360" w:lineRule="auto"/>
        <w:ind w:left="0" w:firstLine="1440"/>
        <w:rPr>
          <w:sz w:val="24"/>
          <w:szCs w:val="24"/>
        </w:rPr>
      </w:pPr>
      <w:r>
        <w:rPr>
          <w:sz w:val="24"/>
          <w:szCs w:val="24"/>
        </w:rPr>
        <w:lastRenderedPageBreak/>
        <w:t>The RTS rate is unprofitable for PPL.  Tr. 76, 80</w:t>
      </w:r>
      <w:r w:rsidR="002C63A0">
        <w:rPr>
          <w:sz w:val="24"/>
          <w:szCs w:val="24"/>
        </w:rPr>
        <w:t>, 90</w:t>
      </w:r>
      <w:r>
        <w:rPr>
          <w:sz w:val="24"/>
          <w:szCs w:val="24"/>
        </w:rPr>
        <w:t>.</w:t>
      </w:r>
    </w:p>
    <w:p w:rsidR="004B3E42" w:rsidRPr="004B3E42" w:rsidRDefault="004B3E42" w:rsidP="004B3E42">
      <w:pPr>
        <w:pStyle w:val="ListParagraph"/>
        <w:rPr>
          <w:sz w:val="24"/>
          <w:szCs w:val="24"/>
        </w:rPr>
      </w:pPr>
    </w:p>
    <w:p w:rsidR="008A7CEA" w:rsidRDefault="009F642F" w:rsidP="008A7CEA">
      <w:pPr>
        <w:pStyle w:val="ListParagraph"/>
        <w:numPr>
          <w:ilvl w:val="0"/>
          <w:numId w:val="20"/>
        </w:numPr>
        <w:spacing w:line="360" w:lineRule="auto"/>
        <w:ind w:left="0" w:firstLine="1440"/>
        <w:rPr>
          <w:sz w:val="24"/>
          <w:szCs w:val="24"/>
        </w:rPr>
      </w:pPr>
      <w:r>
        <w:rPr>
          <w:sz w:val="24"/>
          <w:szCs w:val="24"/>
        </w:rPr>
        <w:t xml:space="preserve">In </w:t>
      </w:r>
      <w:r w:rsidR="008A7CEA">
        <w:rPr>
          <w:sz w:val="24"/>
          <w:szCs w:val="24"/>
        </w:rPr>
        <w:t>April 2010</w:t>
      </w:r>
      <w:r>
        <w:rPr>
          <w:sz w:val="24"/>
          <w:szCs w:val="24"/>
        </w:rPr>
        <w:t>,</w:t>
      </w:r>
      <w:r w:rsidR="008A7CEA">
        <w:rPr>
          <w:sz w:val="24"/>
          <w:szCs w:val="24"/>
        </w:rPr>
        <w:t xml:space="preserve"> “time of use” rates, which allow a customer to adjust their household electrical usage based upon peak and off peak hour, became effective for PPL.  Tr. 84.</w:t>
      </w:r>
    </w:p>
    <w:p w:rsidR="008A7CEA" w:rsidRPr="008A7CEA" w:rsidRDefault="008A7CEA" w:rsidP="008A7CEA">
      <w:pPr>
        <w:pStyle w:val="ListParagraph"/>
        <w:rPr>
          <w:sz w:val="24"/>
          <w:szCs w:val="24"/>
        </w:rPr>
      </w:pPr>
    </w:p>
    <w:p w:rsidR="00E06405" w:rsidRDefault="00E06405" w:rsidP="008A7CEA">
      <w:pPr>
        <w:pStyle w:val="ListParagraph"/>
        <w:numPr>
          <w:ilvl w:val="0"/>
          <w:numId w:val="20"/>
        </w:numPr>
        <w:spacing w:line="360" w:lineRule="auto"/>
        <w:ind w:left="0" w:firstLine="1440"/>
        <w:rPr>
          <w:sz w:val="24"/>
          <w:szCs w:val="24"/>
        </w:rPr>
      </w:pPr>
      <w:r w:rsidRPr="008A7CEA">
        <w:rPr>
          <w:sz w:val="24"/>
          <w:szCs w:val="24"/>
        </w:rPr>
        <w:t xml:space="preserve">PPL Exhibit </w:t>
      </w:r>
      <w:r w:rsidR="008A7CEA">
        <w:rPr>
          <w:sz w:val="24"/>
          <w:szCs w:val="24"/>
        </w:rPr>
        <w:t>1</w:t>
      </w:r>
      <w:r w:rsidRPr="008A7CEA">
        <w:rPr>
          <w:sz w:val="24"/>
          <w:szCs w:val="24"/>
        </w:rPr>
        <w:t xml:space="preserve"> is a timeline listing cases and events affecting the rates st</w:t>
      </w:r>
      <w:r w:rsidR="008A7CEA">
        <w:rPr>
          <w:sz w:val="24"/>
          <w:szCs w:val="24"/>
        </w:rPr>
        <w:t xml:space="preserve">arting in January 1, 1997.  </w:t>
      </w:r>
    </w:p>
    <w:p w:rsidR="008A7CEA" w:rsidRPr="008A7CEA" w:rsidRDefault="008A7CEA" w:rsidP="008A7CEA">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C492E" w:rsidRPr="009D6A48" w:rsidRDefault="00BC492E" w:rsidP="00BC492E">
      <w:pPr>
        <w:spacing w:line="360" w:lineRule="auto"/>
        <w:ind w:firstLine="1440"/>
        <w:contextualSpacing/>
        <w:rPr>
          <w:sz w:val="24"/>
          <w:szCs w:val="24"/>
        </w:rPr>
      </w:pPr>
      <w:r>
        <w:rPr>
          <w:sz w:val="24"/>
          <w:szCs w:val="24"/>
        </w:rPr>
        <w:t xml:space="preserve">The proponent of a rule or order in any </w:t>
      </w:r>
      <w:r w:rsidR="00653613">
        <w:rPr>
          <w:sz w:val="24"/>
          <w:szCs w:val="24"/>
        </w:rPr>
        <w:t>Commission</w:t>
      </w:r>
      <w:r>
        <w:rPr>
          <w:sz w:val="24"/>
          <w:szCs w:val="24"/>
        </w:rPr>
        <w:t xml:space="preserve"> proceeding has the burden of proof, 66 Pa. C.S. § 332</w:t>
      </w:r>
      <w:r w:rsidR="00A73EAB">
        <w:rPr>
          <w:sz w:val="24"/>
          <w:szCs w:val="24"/>
        </w:rPr>
        <w:t>.  The Complainant</w:t>
      </w:r>
      <w:r>
        <w:rPr>
          <w:sz w:val="24"/>
          <w:szCs w:val="24"/>
        </w:rPr>
        <w:t xml:space="preserve"> has the burden o</w:t>
      </w:r>
      <w:r w:rsidR="00A73EAB">
        <w:rPr>
          <w:sz w:val="24"/>
          <w:szCs w:val="24"/>
        </w:rPr>
        <w:t>f proving his</w:t>
      </w:r>
      <w:r>
        <w:rPr>
          <w:sz w:val="24"/>
          <w:szCs w:val="24"/>
        </w:rPr>
        <w:t xml:space="preserve"> case by a preponderance of the evidence, or evidence which is more convincing than the evidence presented by the other parties.  </w:t>
      </w:r>
      <w:r>
        <w:rPr>
          <w:i/>
          <w:sz w:val="24"/>
          <w:szCs w:val="24"/>
        </w:rPr>
        <w:t>Se-Ling Hosiery v. Margulies</w:t>
      </w:r>
      <w:r>
        <w:rPr>
          <w:sz w:val="24"/>
          <w:szCs w:val="24"/>
        </w:rPr>
        <w:t xml:space="preserve">, 364 Pa. 45, 70 A.3d 854 (1950); </w:t>
      </w:r>
      <w:r>
        <w:rPr>
          <w:i/>
          <w:sz w:val="24"/>
          <w:szCs w:val="24"/>
        </w:rPr>
        <w:t>Samuel J. Lansberry, Inc. v. Pa. Publ. Util. Comm’n</w:t>
      </w:r>
      <w:r>
        <w:rPr>
          <w:sz w:val="24"/>
          <w:szCs w:val="24"/>
        </w:rPr>
        <w:t xml:space="preserve">, 578 A.2d 600 (Pa. Cmwlth. 1990).  </w:t>
      </w:r>
      <w:r w:rsidR="009D6A48" w:rsidRPr="009D6A48">
        <w:rPr>
          <w:color w:val="000000" w:themeColor="text1"/>
          <w:sz w:val="24"/>
          <w:szCs w:val="24"/>
        </w:rPr>
        <w:t>To satisfy this burden, the Complainant must demonstrate that the changes to the R</w:t>
      </w:r>
      <w:r w:rsidR="00027990">
        <w:rPr>
          <w:color w:val="000000" w:themeColor="text1"/>
          <w:sz w:val="24"/>
          <w:szCs w:val="24"/>
        </w:rPr>
        <w:t>TS r</w:t>
      </w:r>
      <w:r w:rsidR="009D6A48" w:rsidRPr="009D6A48">
        <w:rPr>
          <w:color w:val="000000" w:themeColor="text1"/>
          <w:sz w:val="24"/>
          <w:szCs w:val="24"/>
        </w:rPr>
        <w:t xml:space="preserve">ate or the customer service provided by PPL are in violation of the </w:t>
      </w:r>
      <w:r w:rsidR="00027990">
        <w:rPr>
          <w:color w:val="000000" w:themeColor="text1"/>
          <w:sz w:val="24"/>
          <w:szCs w:val="24"/>
        </w:rPr>
        <w:t xml:space="preserve">Public Utility </w:t>
      </w:r>
      <w:r w:rsidR="009D6A48" w:rsidRPr="009D6A48">
        <w:rPr>
          <w:color w:val="000000" w:themeColor="text1"/>
          <w:sz w:val="24"/>
          <w:szCs w:val="24"/>
        </w:rPr>
        <w:t>Code</w:t>
      </w:r>
      <w:r w:rsidR="00027990">
        <w:rPr>
          <w:color w:val="000000" w:themeColor="text1"/>
          <w:sz w:val="24"/>
          <w:szCs w:val="24"/>
        </w:rPr>
        <w:t xml:space="preserve"> (Code)</w:t>
      </w:r>
      <w:r w:rsidR="009D6A48" w:rsidRPr="009D6A48">
        <w:rPr>
          <w:color w:val="000000" w:themeColor="text1"/>
          <w:sz w:val="24"/>
          <w:szCs w:val="24"/>
        </w:rPr>
        <w:t xml:space="preserve">, </w:t>
      </w:r>
      <w:r w:rsidR="00653613">
        <w:rPr>
          <w:color w:val="000000" w:themeColor="text1"/>
          <w:sz w:val="24"/>
          <w:szCs w:val="24"/>
        </w:rPr>
        <w:t>C</w:t>
      </w:r>
      <w:r w:rsidR="00027990">
        <w:rPr>
          <w:color w:val="000000" w:themeColor="text1"/>
          <w:sz w:val="24"/>
          <w:szCs w:val="24"/>
        </w:rPr>
        <w:t xml:space="preserve">ommission </w:t>
      </w:r>
      <w:r w:rsidR="009D6A48" w:rsidRPr="009D6A48">
        <w:rPr>
          <w:color w:val="000000" w:themeColor="text1"/>
          <w:sz w:val="24"/>
          <w:szCs w:val="24"/>
        </w:rPr>
        <w:t xml:space="preserve">Regulation or Order of the </w:t>
      </w:r>
      <w:r w:rsidR="00653613">
        <w:rPr>
          <w:color w:val="000000" w:themeColor="text1"/>
          <w:sz w:val="24"/>
          <w:szCs w:val="24"/>
        </w:rPr>
        <w:t>C</w:t>
      </w:r>
      <w:r w:rsidR="00027990">
        <w:rPr>
          <w:color w:val="000000" w:themeColor="text1"/>
          <w:sz w:val="24"/>
          <w:szCs w:val="24"/>
        </w:rPr>
        <w:t>ommission</w:t>
      </w:r>
      <w:r w:rsidR="009D6A48" w:rsidRPr="009D6A48">
        <w:rPr>
          <w:color w:val="000000" w:themeColor="text1"/>
          <w:sz w:val="24"/>
          <w:szCs w:val="24"/>
        </w:rPr>
        <w:t>.</w:t>
      </w:r>
    </w:p>
    <w:p w:rsidR="00BC492E" w:rsidRDefault="00BC492E" w:rsidP="00BC492E">
      <w:pPr>
        <w:spacing w:line="360" w:lineRule="auto"/>
        <w:contextualSpacing/>
        <w:rPr>
          <w:sz w:val="24"/>
          <w:szCs w:val="24"/>
        </w:rPr>
      </w:pPr>
    </w:p>
    <w:p w:rsidR="00BC492E" w:rsidRDefault="00BC492E" w:rsidP="00BC492E">
      <w:pPr>
        <w:spacing w:line="360" w:lineRule="auto"/>
        <w:rPr>
          <w:sz w:val="24"/>
          <w:szCs w:val="24"/>
        </w:rPr>
      </w:pPr>
      <w:r>
        <w:rPr>
          <w:sz w:val="24"/>
          <w:szCs w:val="24"/>
        </w:rPr>
        <w:tab/>
      </w:r>
      <w:r>
        <w:rPr>
          <w:sz w:val="24"/>
          <w:szCs w:val="24"/>
        </w:rPr>
        <w:tab/>
        <w:t xml:space="preserve">Additionally, any finding of fact necessary to support an adjudication of the </w:t>
      </w:r>
      <w:r w:rsidR="00653613">
        <w:rPr>
          <w:sz w:val="24"/>
          <w:szCs w:val="24"/>
        </w:rPr>
        <w:t>Commission</w:t>
      </w:r>
      <w:r>
        <w:rPr>
          <w:sz w:val="24"/>
          <w:szCs w:val="24"/>
        </w:rPr>
        <w:t xml:space="preserve"> must be based upon substantial evidence, which is such relevant evidence as a reasonable mind might accept as adequate to support a conclusion</w:t>
      </w:r>
      <w:r w:rsidRPr="00556362">
        <w:rPr>
          <w:sz w:val="24"/>
          <w:szCs w:val="24"/>
        </w:rPr>
        <w:t xml:space="preserve">.  </w:t>
      </w:r>
      <w:proofErr w:type="gramStart"/>
      <w:r w:rsidRPr="00556362">
        <w:rPr>
          <w:i/>
          <w:sz w:val="24"/>
          <w:szCs w:val="24"/>
        </w:rPr>
        <w:t>Mill v. Comm., Pa. Publ. Util. Comm’n</w:t>
      </w:r>
      <w:r w:rsidRPr="00556362">
        <w:rPr>
          <w:sz w:val="24"/>
          <w:szCs w:val="24"/>
        </w:rPr>
        <w:t>, 447 A.2d 1100 (Pa. Cmwlth. Ct.</w:t>
      </w:r>
      <w:r w:rsidR="00685305">
        <w:rPr>
          <w:sz w:val="24"/>
          <w:szCs w:val="24"/>
        </w:rPr>
        <w:t xml:space="preserve"> </w:t>
      </w:r>
      <w:r w:rsidRPr="00556362">
        <w:rPr>
          <w:sz w:val="24"/>
          <w:szCs w:val="24"/>
        </w:rPr>
        <w:t xml:space="preserve">1982); </w:t>
      </w:r>
      <w:proofErr w:type="spellStart"/>
      <w:r w:rsidRPr="00556362">
        <w:rPr>
          <w:i/>
          <w:sz w:val="24"/>
          <w:szCs w:val="24"/>
        </w:rPr>
        <w:t>Edan</w:t>
      </w:r>
      <w:proofErr w:type="spellEnd"/>
      <w:r w:rsidRPr="00556362">
        <w:rPr>
          <w:i/>
          <w:sz w:val="24"/>
          <w:szCs w:val="24"/>
        </w:rPr>
        <w:t xml:space="preserve"> Transportation Corp. v. Pa. Publ. Util. Comm’n,</w:t>
      </w:r>
      <w:r w:rsidRPr="00556362">
        <w:rPr>
          <w:sz w:val="24"/>
          <w:szCs w:val="24"/>
        </w:rPr>
        <w:t xml:space="preserve"> 623 A.2d 6 (Pa. Cmwlth. Ct.</w:t>
      </w:r>
      <w:r w:rsidR="00685305">
        <w:rPr>
          <w:sz w:val="24"/>
          <w:szCs w:val="24"/>
        </w:rPr>
        <w:t xml:space="preserve"> </w:t>
      </w:r>
      <w:r w:rsidRPr="00556362">
        <w:rPr>
          <w:sz w:val="24"/>
          <w:szCs w:val="24"/>
        </w:rPr>
        <w:t>1993), 2 Pa. C.S. § 704.</w:t>
      </w:r>
      <w:proofErr w:type="gramEnd"/>
      <w:r w:rsidRPr="00556362">
        <w:rPr>
          <w:sz w:val="24"/>
          <w:szCs w:val="24"/>
        </w:rPr>
        <w:t xml:space="preserve">  More is required than a mere trace of evidence or a suspicion of the existence of a fact sought to be established.  </w:t>
      </w:r>
      <w:proofErr w:type="gramStart"/>
      <w:r w:rsidRPr="00556362">
        <w:rPr>
          <w:i/>
          <w:sz w:val="24"/>
          <w:szCs w:val="24"/>
        </w:rPr>
        <w:t xml:space="preserve">Norfolk &amp; Western Ry. </w:t>
      </w:r>
      <w:r w:rsidR="00FF0239">
        <w:rPr>
          <w:i/>
          <w:sz w:val="24"/>
          <w:szCs w:val="24"/>
        </w:rPr>
        <w:t>v</w:t>
      </w:r>
      <w:r w:rsidRPr="00556362">
        <w:rPr>
          <w:i/>
          <w:sz w:val="24"/>
          <w:szCs w:val="24"/>
        </w:rPr>
        <w:t xml:space="preserve">. Pa. Publ. Util. Comm’n, </w:t>
      </w:r>
      <w:r w:rsidRPr="00556362">
        <w:rPr>
          <w:sz w:val="24"/>
          <w:szCs w:val="24"/>
        </w:rPr>
        <w:t xml:space="preserve">489 Pa. 109, 413 A.2d 1037 (1980); </w:t>
      </w:r>
      <w:r w:rsidRPr="00556362">
        <w:rPr>
          <w:i/>
          <w:sz w:val="24"/>
          <w:szCs w:val="24"/>
        </w:rPr>
        <w:t xml:space="preserve">Erie Resistor Corp. </w:t>
      </w:r>
      <w:r>
        <w:rPr>
          <w:i/>
          <w:sz w:val="24"/>
          <w:szCs w:val="24"/>
        </w:rPr>
        <w:t>v</w:t>
      </w:r>
      <w:r w:rsidRPr="00556362">
        <w:rPr>
          <w:i/>
          <w:sz w:val="24"/>
          <w:szCs w:val="24"/>
        </w:rPr>
        <w:t xml:space="preserve">. Unemployment Com. Bd. </w:t>
      </w:r>
      <w:r w:rsidR="005F75CB">
        <w:rPr>
          <w:i/>
          <w:sz w:val="24"/>
          <w:szCs w:val="24"/>
        </w:rPr>
        <w:t>o</w:t>
      </w:r>
      <w:r w:rsidRPr="00556362">
        <w:rPr>
          <w:i/>
          <w:sz w:val="24"/>
          <w:szCs w:val="24"/>
        </w:rPr>
        <w:t>f Review</w:t>
      </w:r>
      <w:r w:rsidRPr="00556362">
        <w:rPr>
          <w:sz w:val="24"/>
          <w:szCs w:val="24"/>
        </w:rPr>
        <w:t>, 166 A.2d 96 (Pa. Super.</w:t>
      </w:r>
      <w:proofErr w:type="gramEnd"/>
      <w:r w:rsidRPr="00556362">
        <w:rPr>
          <w:sz w:val="24"/>
          <w:szCs w:val="24"/>
        </w:rPr>
        <w:t xml:space="preserve"> Ct.</w:t>
      </w:r>
      <w:r w:rsidR="004433E0">
        <w:rPr>
          <w:sz w:val="24"/>
          <w:szCs w:val="24"/>
        </w:rPr>
        <w:t xml:space="preserve"> </w:t>
      </w:r>
      <w:r w:rsidRPr="00556362">
        <w:rPr>
          <w:sz w:val="24"/>
          <w:szCs w:val="24"/>
        </w:rPr>
        <w:t xml:space="preserve">1960); </w:t>
      </w:r>
      <w:r w:rsidRPr="00556362">
        <w:rPr>
          <w:i/>
          <w:sz w:val="24"/>
          <w:szCs w:val="24"/>
        </w:rPr>
        <w:t xml:space="preserve">Murphy v. Comm., Dept. of Public Welfare, White Haven Center, </w:t>
      </w:r>
      <w:r w:rsidRPr="00556362">
        <w:rPr>
          <w:sz w:val="24"/>
          <w:szCs w:val="24"/>
        </w:rPr>
        <w:t>480 A.2d 382 (Pa. Cmwlth. Ct.</w:t>
      </w:r>
      <w:r w:rsidR="004433E0">
        <w:rPr>
          <w:sz w:val="24"/>
          <w:szCs w:val="24"/>
        </w:rPr>
        <w:t xml:space="preserve"> </w:t>
      </w:r>
      <w:r w:rsidRPr="00556362">
        <w:rPr>
          <w:sz w:val="24"/>
          <w:szCs w:val="24"/>
        </w:rPr>
        <w:t>1984).</w:t>
      </w:r>
    </w:p>
    <w:p w:rsidR="00BC492E" w:rsidRDefault="00BC492E" w:rsidP="00BC492E">
      <w:pPr>
        <w:spacing w:line="360" w:lineRule="auto"/>
        <w:contextualSpacing/>
        <w:rPr>
          <w:sz w:val="24"/>
          <w:szCs w:val="24"/>
        </w:rPr>
      </w:pPr>
    </w:p>
    <w:p w:rsidR="009D6A48" w:rsidRPr="009D6A48" w:rsidRDefault="009D6A48" w:rsidP="009D6A48">
      <w:pPr>
        <w:spacing w:line="360" w:lineRule="auto"/>
        <w:ind w:firstLine="1440"/>
        <w:rPr>
          <w:color w:val="000000" w:themeColor="text1"/>
          <w:sz w:val="24"/>
          <w:szCs w:val="24"/>
        </w:rPr>
      </w:pPr>
      <w:r w:rsidRPr="009D6A48">
        <w:rPr>
          <w:color w:val="000000" w:themeColor="text1"/>
          <w:sz w:val="24"/>
          <w:szCs w:val="24"/>
        </w:rPr>
        <w:lastRenderedPageBreak/>
        <w:t xml:space="preserve">Upon the presentation by the Complainant of evidence sufficient to initially satisfy the burden of proof, the burden of going forward with the evidence, to rebut </w:t>
      </w:r>
      <w:r>
        <w:rPr>
          <w:color w:val="000000" w:themeColor="text1"/>
          <w:sz w:val="24"/>
          <w:szCs w:val="24"/>
        </w:rPr>
        <w:t>the evidence of the Complainant</w:t>
      </w:r>
      <w:r w:rsidRPr="009D6A48">
        <w:rPr>
          <w:color w:val="000000" w:themeColor="text1"/>
          <w:sz w:val="24"/>
          <w:szCs w:val="24"/>
        </w:rPr>
        <w:t>, shifts to PPL.  If the evidence presented by PPL is of co-equal weight, the Complainant ha</w:t>
      </w:r>
      <w:r>
        <w:rPr>
          <w:color w:val="000000" w:themeColor="text1"/>
          <w:sz w:val="24"/>
          <w:szCs w:val="24"/>
        </w:rPr>
        <w:t>s</w:t>
      </w:r>
      <w:r w:rsidRPr="009D6A48">
        <w:rPr>
          <w:color w:val="000000" w:themeColor="text1"/>
          <w:sz w:val="24"/>
          <w:szCs w:val="24"/>
        </w:rPr>
        <w:t xml:space="preserve"> not satisfied </w:t>
      </w:r>
      <w:r>
        <w:rPr>
          <w:color w:val="000000" w:themeColor="text1"/>
          <w:sz w:val="24"/>
          <w:szCs w:val="24"/>
        </w:rPr>
        <w:t xml:space="preserve">his </w:t>
      </w:r>
      <w:r w:rsidRPr="009D6A48">
        <w:rPr>
          <w:color w:val="000000" w:themeColor="text1"/>
          <w:sz w:val="24"/>
          <w:szCs w:val="24"/>
        </w:rPr>
        <w:t>burden of proof.  The Complainant now ha</w:t>
      </w:r>
      <w:r>
        <w:rPr>
          <w:color w:val="000000" w:themeColor="text1"/>
          <w:sz w:val="24"/>
          <w:szCs w:val="24"/>
        </w:rPr>
        <w:t>s</w:t>
      </w:r>
      <w:r w:rsidRPr="009D6A48">
        <w:rPr>
          <w:color w:val="000000" w:themeColor="text1"/>
          <w:sz w:val="24"/>
          <w:szCs w:val="24"/>
        </w:rPr>
        <w:t xml:space="preserve"> to provide some additional evidence to rebut that of PPL. </w:t>
      </w:r>
      <w:r w:rsidRPr="009D6A48">
        <w:rPr>
          <w:iCs/>
          <w:color w:val="000000" w:themeColor="text1"/>
          <w:sz w:val="24"/>
          <w:szCs w:val="24"/>
        </w:rPr>
        <w:t xml:space="preserve"> </w:t>
      </w:r>
      <w:hyperlink r:id="rId8" w:history="1">
        <w:r w:rsidRPr="009D6A48">
          <w:rPr>
            <w:rStyle w:val="Hyperlink"/>
            <w:i/>
            <w:iCs/>
            <w:color w:val="000000" w:themeColor="text1"/>
            <w:sz w:val="24"/>
            <w:szCs w:val="24"/>
            <w:u w:val="none"/>
          </w:rPr>
          <w:t xml:space="preserve">Burleson v. Pa. </w:t>
        </w:r>
        <w:r w:rsidR="00653613">
          <w:rPr>
            <w:rStyle w:val="Hyperlink"/>
            <w:i/>
            <w:iCs/>
            <w:color w:val="000000" w:themeColor="text1"/>
            <w:sz w:val="24"/>
            <w:szCs w:val="24"/>
            <w:u w:val="none"/>
          </w:rPr>
          <w:t>C</w:t>
        </w:r>
        <w:r w:rsidR="00336DFC">
          <w:rPr>
            <w:rStyle w:val="Hyperlink"/>
            <w:i/>
            <w:iCs/>
            <w:color w:val="000000" w:themeColor="text1"/>
            <w:sz w:val="24"/>
            <w:szCs w:val="24"/>
            <w:u w:val="none"/>
          </w:rPr>
          <w:t>ommission</w:t>
        </w:r>
        <w:r w:rsidRPr="009D6A48">
          <w:rPr>
            <w:rStyle w:val="Hyperlink"/>
            <w:iCs/>
            <w:color w:val="000000" w:themeColor="text1"/>
            <w:sz w:val="24"/>
            <w:szCs w:val="24"/>
            <w:u w:val="none"/>
          </w:rPr>
          <w:t>, 443 A.2d 1373 (Pa.</w:t>
        </w:r>
        <w:r w:rsidR="00A85B33">
          <w:rPr>
            <w:rStyle w:val="Hyperlink"/>
            <w:iCs/>
            <w:color w:val="000000" w:themeColor="text1"/>
            <w:sz w:val="24"/>
            <w:szCs w:val="24"/>
            <w:u w:val="none"/>
          </w:rPr>
          <w:t> </w:t>
        </w:r>
        <w:proofErr w:type="spellStart"/>
        <w:r w:rsidRPr="009D6A48">
          <w:rPr>
            <w:rStyle w:val="Hyperlink"/>
            <w:iCs/>
            <w:color w:val="000000" w:themeColor="text1"/>
            <w:sz w:val="24"/>
            <w:szCs w:val="24"/>
            <w:u w:val="none"/>
          </w:rPr>
          <w:t>Cmwlth</w:t>
        </w:r>
        <w:proofErr w:type="spellEnd"/>
        <w:r w:rsidRPr="009D6A48">
          <w:rPr>
            <w:rStyle w:val="Hyperlink"/>
            <w:iCs/>
            <w:color w:val="000000" w:themeColor="text1"/>
            <w:sz w:val="24"/>
            <w:szCs w:val="24"/>
            <w:u w:val="none"/>
          </w:rPr>
          <w:t>. 1982),</w:t>
        </w:r>
        <w:r w:rsidRPr="009D6A48">
          <w:rPr>
            <w:rStyle w:val="Hyperlink"/>
            <w:i/>
            <w:iCs/>
            <w:color w:val="000000" w:themeColor="text1"/>
            <w:sz w:val="24"/>
            <w:szCs w:val="24"/>
            <w:u w:val="none"/>
          </w:rPr>
          <w:t xml:space="preserve"> aff’d</w:t>
        </w:r>
        <w:r w:rsidRPr="009D6A48">
          <w:rPr>
            <w:rStyle w:val="Hyperlink"/>
            <w:iCs/>
            <w:color w:val="000000" w:themeColor="text1"/>
            <w:sz w:val="24"/>
            <w:szCs w:val="24"/>
            <w:u w:val="none"/>
          </w:rPr>
          <w:t>, 501 Pa. 433, 461 A.2d 1234 (1983).</w:t>
        </w:r>
      </w:hyperlink>
    </w:p>
    <w:p w:rsidR="009D6A48" w:rsidRPr="009D6A48" w:rsidRDefault="009D6A48" w:rsidP="009D6A48">
      <w:pPr>
        <w:spacing w:line="360" w:lineRule="auto"/>
        <w:rPr>
          <w:color w:val="00B050"/>
          <w:sz w:val="24"/>
          <w:szCs w:val="24"/>
        </w:rPr>
      </w:pPr>
    </w:p>
    <w:p w:rsidR="009D6A48" w:rsidRDefault="009D6A48" w:rsidP="00027990">
      <w:pPr>
        <w:spacing w:line="360" w:lineRule="auto"/>
        <w:ind w:firstLine="1440"/>
        <w:rPr>
          <w:color w:val="000000" w:themeColor="text1"/>
          <w:sz w:val="24"/>
          <w:szCs w:val="24"/>
        </w:rPr>
      </w:pPr>
      <w:r w:rsidRPr="009D6A48">
        <w:rPr>
          <w:color w:val="000000" w:themeColor="text1"/>
          <w:sz w:val="24"/>
          <w:szCs w:val="24"/>
        </w:rPr>
        <w:t xml:space="preserve">While the burden of persuasion may </w:t>
      </w:r>
      <w:r w:rsidRPr="009D6A48">
        <w:rPr>
          <w:rStyle w:val="term1"/>
          <w:b w:val="0"/>
          <w:color w:val="000000" w:themeColor="text1"/>
          <w:sz w:val="24"/>
          <w:szCs w:val="24"/>
        </w:rPr>
        <w:t>shift</w:t>
      </w:r>
      <w:r w:rsidRPr="009D6A48">
        <w:rPr>
          <w:color w:val="000000" w:themeColor="text1"/>
          <w:sz w:val="24"/>
          <w:szCs w:val="24"/>
        </w:rPr>
        <w:t xml:space="preserve"> back and forth during a proceeding, the </w:t>
      </w:r>
      <w:r w:rsidRPr="009D6A48">
        <w:rPr>
          <w:rStyle w:val="term1"/>
          <w:b w:val="0"/>
          <w:color w:val="000000" w:themeColor="text1"/>
          <w:sz w:val="24"/>
          <w:szCs w:val="24"/>
        </w:rPr>
        <w:t>burden of proof</w:t>
      </w:r>
      <w:r w:rsidRPr="009D6A48">
        <w:rPr>
          <w:color w:val="000000" w:themeColor="text1"/>
          <w:sz w:val="24"/>
          <w:szCs w:val="24"/>
        </w:rPr>
        <w:t xml:space="preserve"> never </w:t>
      </w:r>
      <w:r w:rsidRPr="009D6A48">
        <w:rPr>
          <w:rStyle w:val="term1"/>
          <w:b w:val="0"/>
          <w:color w:val="000000" w:themeColor="text1"/>
          <w:sz w:val="24"/>
          <w:szCs w:val="24"/>
        </w:rPr>
        <w:t>shifts.</w:t>
      </w:r>
      <w:r w:rsidRPr="009D6A48">
        <w:rPr>
          <w:rStyle w:val="term1"/>
          <w:color w:val="000000" w:themeColor="text1"/>
          <w:sz w:val="24"/>
          <w:szCs w:val="24"/>
        </w:rPr>
        <w:t xml:space="preserve">  </w:t>
      </w:r>
      <w:r w:rsidRPr="009D6A48">
        <w:rPr>
          <w:rStyle w:val="term1"/>
          <w:b w:val="0"/>
          <w:color w:val="000000" w:themeColor="text1"/>
          <w:sz w:val="24"/>
          <w:szCs w:val="24"/>
        </w:rPr>
        <w:t>The burden of proof</w:t>
      </w:r>
      <w:r w:rsidRPr="009D6A48">
        <w:rPr>
          <w:color w:val="000000" w:themeColor="text1"/>
          <w:sz w:val="24"/>
          <w:szCs w:val="24"/>
        </w:rPr>
        <w:t xml:space="preserve"> always remains on the party seeking affirmative relief from the </w:t>
      </w:r>
      <w:r w:rsidR="00653613">
        <w:rPr>
          <w:color w:val="000000" w:themeColor="text1"/>
          <w:sz w:val="24"/>
          <w:szCs w:val="24"/>
        </w:rPr>
        <w:t>Commission</w:t>
      </w:r>
      <w:r w:rsidRPr="009D6A48">
        <w:rPr>
          <w:color w:val="000000" w:themeColor="text1"/>
          <w:sz w:val="24"/>
          <w:szCs w:val="24"/>
        </w:rPr>
        <w:t xml:space="preserve">.  </w:t>
      </w:r>
      <w:proofErr w:type="gramStart"/>
      <w:r w:rsidRPr="009D6A48">
        <w:rPr>
          <w:i/>
          <w:color w:val="000000" w:themeColor="text1"/>
          <w:sz w:val="24"/>
          <w:szCs w:val="24"/>
        </w:rPr>
        <w:t xml:space="preserve">Milkie v. Pa. </w:t>
      </w:r>
      <w:r w:rsidR="00653613">
        <w:rPr>
          <w:i/>
          <w:color w:val="000000" w:themeColor="text1"/>
          <w:sz w:val="24"/>
          <w:szCs w:val="24"/>
        </w:rPr>
        <w:t>C</w:t>
      </w:r>
      <w:r w:rsidR="006C7163">
        <w:rPr>
          <w:i/>
          <w:color w:val="000000" w:themeColor="text1"/>
          <w:sz w:val="24"/>
          <w:szCs w:val="24"/>
        </w:rPr>
        <w:t>ommission</w:t>
      </w:r>
      <w:r w:rsidRPr="009D6A48">
        <w:rPr>
          <w:i/>
          <w:color w:val="000000" w:themeColor="text1"/>
          <w:sz w:val="24"/>
          <w:szCs w:val="24"/>
        </w:rPr>
        <w:t xml:space="preserve">, </w:t>
      </w:r>
      <w:r w:rsidRPr="009D6A48">
        <w:rPr>
          <w:color w:val="000000" w:themeColor="text1"/>
          <w:sz w:val="24"/>
          <w:szCs w:val="24"/>
        </w:rPr>
        <w:t>768 A.2d 1217 (Pa. Cmwlth. 2001).</w:t>
      </w:r>
      <w:proofErr w:type="gramEnd"/>
    </w:p>
    <w:p w:rsidR="00027990" w:rsidRDefault="00027990" w:rsidP="00027990">
      <w:pPr>
        <w:spacing w:line="360" w:lineRule="auto"/>
        <w:ind w:firstLine="1440"/>
        <w:rPr>
          <w:color w:val="000000" w:themeColor="text1"/>
          <w:sz w:val="24"/>
          <w:szCs w:val="24"/>
        </w:rPr>
      </w:pPr>
    </w:p>
    <w:p w:rsidR="00027990" w:rsidRPr="00027990" w:rsidRDefault="00027990" w:rsidP="00027990">
      <w:pPr>
        <w:spacing w:line="360" w:lineRule="auto"/>
        <w:rPr>
          <w:color w:val="00B050"/>
          <w:spacing w:val="-3"/>
        </w:rPr>
      </w:pPr>
      <w:r w:rsidRPr="00027990">
        <w:rPr>
          <w:color w:val="000000" w:themeColor="text1"/>
          <w:sz w:val="24"/>
          <w:szCs w:val="24"/>
          <w:u w:val="single"/>
        </w:rPr>
        <w:t>RTS Rate</w:t>
      </w:r>
      <w:r>
        <w:rPr>
          <w:color w:val="000000" w:themeColor="text1"/>
          <w:sz w:val="24"/>
          <w:szCs w:val="24"/>
        </w:rPr>
        <w:t>:</w:t>
      </w:r>
    </w:p>
    <w:p w:rsidR="00BC492E" w:rsidRDefault="00BC492E" w:rsidP="00BC492E">
      <w:pPr>
        <w:spacing w:line="360" w:lineRule="auto"/>
        <w:contextualSpacing/>
        <w:rPr>
          <w:sz w:val="24"/>
          <w:szCs w:val="24"/>
        </w:rPr>
      </w:pPr>
    </w:p>
    <w:p w:rsidR="00382B1A" w:rsidRDefault="00BC492E" w:rsidP="00BC492E">
      <w:pPr>
        <w:spacing w:line="360" w:lineRule="auto"/>
        <w:rPr>
          <w:sz w:val="24"/>
          <w:szCs w:val="24"/>
        </w:rPr>
      </w:pPr>
      <w:r>
        <w:rPr>
          <w:b/>
        </w:rPr>
        <w:tab/>
      </w:r>
      <w:r>
        <w:rPr>
          <w:b/>
        </w:rPr>
        <w:tab/>
      </w:r>
      <w:r w:rsidRPr="00F10FFF">
        <w:rPr>
          <w:sz w:val="24"/>
          <w:szCs w:val="24"/>
        </w:rPr>
        <w:t>Complainant ha</w:t>
      </w:r>
      <w:r w:rsidR="007D3E34">
        <w:rPr>
          <w:sz w:val="24"/>
          <w:szCs w:val="24"/>
        </w:rPr>
        <w:t>s</w:t>
      </w:r>
      <w:r w:rsidRPr="00F10FFF">
        <w:rPr>
          <w:sz w:val="24"/>
          <w:szCs w:val="24"/>
        </w:rPr>
        <w:t xml:space="preserve"> the burden of </w:t>
      </w:r>
      <w:r>
        <w:rPr>
          <w:sz w:val="24"/>
          <w:szCs w:val="24"/>
        </w:rPr>
        <w:t xml:space="preserve">proving that PPL has violated a statute, regulation, or order of the </w:t>
      </w:r>
      <w:r w:rsidR="00653613">
        <w:rPr>
          <w:sz w:val="24"/>
          <w:szCs w:val="24"/>
        </w:rPr>
        <w:t>Commission</w:t>
      </w:r>
      <w:r>
        <w:rPr>
          <w:sz w:val="24"/>
          <w:szCs w:val="24"/>
        </w:rPr>
        <w:t>.  In support of hi</w:t>
      </w:r>
      <w:r w:rsidR="007D3E34">
        <w:rPr>
          <w:sz w:val="24"/>
          <w:szCs w:val="24"/>
        </w:rPr>
        <w:t>s</w:t>
      </w:r>
      <w:r>
        <w:rPr>
          <w:sz w:val="24"/>
          <w:szCs w:val="24"/>
        </w:rPr>
        <w:t xml:space="preserve"> claim, Complainant</w:t>
      </w:r>
      <w:r w:rsidR="007D3E34">
        <w:rPr>
          <w:sz w:val="24"/>
          <w:szCs w:val="24"/>
        </w:rPr>
        <w:t xml:space="preserve"> avers that </w:t>
      </w:r>
      <w:r w:rsidR="00BC7237">
        <w:rPr>
          <w:sz w:val="24"/>
          <w:szCs w:val="24"/>
        </w:rPr>
        <w:t xml:space="preserve">in response to television advertisements, </w:t>
      </w:r>
      <w:r w:rsidR="007D3E34">
        <w:rPr>
          <w:sz w:val="24"/>
          <w:szCs w:val="24"/>
        </w:rPr>
        <w:t>he entered into an oral contract with PPL that he would build his home to specific standards, in return for which he would be allowed to pay for electric service under PPL’s RTS rate</w:t>
      </w:r>
      <w:r w:rsidR="00BC7237">
        <w:rPr>
          <w:sz w:val="24"/>
          <w:szCs w:val="24"/>
        </w:rPr>
        <w:t>, at that time substantially lower tha</w:t>
      </w:r>
      <w:r w:rsidR="00B81D7B">
        <w:rPr>
          <w:sz w:val="24"/>
          <w:szCs w:val="24"/>
        </w:rPr>
        <w:t>n</w:t>
      </w:r>
      <w:r w:rsidR="00BC7237">
        <w:rPr>
          <w:sz w:val="24"/>
          <w:szCs w:val="24"/>
        </w:rPr>
        <w:t xml:space="preserve"> the RS (or residential service) rate.</w:t>
      </w:r>
      <w:r w:rsidR="007D3E34">
        <w:rPr>
          <w:sz w:val="24"/>
          <w:szCs w:val="24"/>
        </w:rPr>
        <w:t xml:space="preserve">  </w:t>
      </w:r>
      <w:r w:rsidR="00BC7237">
        <w:rPr>
          <w:sz w:val="24"/>
          <w:szCs w:val="24"/>
        </w:rPr>
        <w:t xml:space="preserve">The Complainant provided a copy of a limited warranty from “PPL Comfort Home” dated April 15, 1996.  (RD </w:t>
      </w:r>
      <w:proofErr w:type="spellStart"/>
      <w:r w:rsidR="00BC7237">
        <w:rPr>
          <w:sz w:val="24"/>
          <w:szCs w:val="24"/>
        </w:rPr>
        <w:t>Exh</w:t>
      </w:r>
      <w:proofErr w:type="spellEnd"/>
      <w:r w:rsidR="00BC7237">
        <w:rPr>
          <w:sz w:val="24"/>
          <w:szCs w:val="24"/>
        </w:rPr>
        <w:t>.</w:t>
      </w:r>
      <w:r w:rsidR="008C3198">
        <w:rPr>
          <w:sz w:val="24"/>
          <w:szCs w:val="24"/>
        </w:rPr>
        <w:t xml:space="preserve"> </w:t>
      </w:r>
      <w:r w:rsidR="00BC7237">
        <w:rPr>
          <w:sz w:val="24"/>
          <w:szCs w:val="24"/>
        </w:rPr>
        <w:t xml:space="preserve">1)  Additionally, the </w:t>
      </w:r>
      <w:r w:rsidR="007D3E34">
        <w:rPr>
          <w:sz w:val="24"/>
          <w:szCs w:val="24"/>
        </w:rPr>
        <w:t xml:space="preserve">Complainant understood that the RTS rate was transferrable if he sold his home.  </w:t>
      </w:r>
      <w:r w:rsidR="00FD27C6">
        <w:rPr>
          <w:sz w:val="24"/>
          <w:szCs w:val="24"/>
        </w:rPr>
        <w:t xml:space="preserve">The implication was that the </w:t>
      </w:r>
      <w:r w:rsidR="00C133EB">
        <w:rPr>
          <w:sz w:val="24"/>
          <w:szCs w:val="24"/>
        </w:rPr>
        <w:t>RTS rate would remain a benefit; the Complainant</w:t>
      </w:r>
      <w:r w:rsidR="007D3E34">
        <w:rPr>
          <w:sz w:val="24"/>
          <w:szCs w:val="24"/>
        </w:rPr>
        <w:t xml:space="preserve"> understood that the rate would change, but still be reasonable.  He avers that the rates are not reasonable, that PPL has violated the oral contract, and that the changes in the RTS rate violate the </w:t>
      </w:r>
      <w:r w:rsidR="002B6E13">
        <w:rPr>
          <w:sz w:val="24"/>
          <w:szCs w:val="24"/>
        </w:rPr>
        <w:t>Pennsylvania Energy Consumer Bill of Rights and that PPL was uncommunicative about upcoming RTS rate changes when the Complainant was making his home building decisions.</w:t>
      </w:r>
      <w:r w:rsidR="00732723">
        <w:rPr>
          <w:sz w:val="24"/>
          <w:szCs w:val="24"/>
        </w:rPr>
        <w:t xml:space="preserve"> </w:t>
      </w:r>
      <w:r w:rsidR="007D3E34">
        <w:rPr>
          <w:sz w:val="24"/>
          <w:szCs w:val="24"/>
        </w:rPr>
        <w:t xml:space="preserve"> </w:t>
      </w:r>
      <w:r w:rsidR="002B6E13">
        <w:rPr>
          <w:sz w:val="24"/>
          <w:szCs w:val="24"/>
        </w:rPr>
        <w:t>The Complainant believes that PPL was deliberately deceptive.</w:t>
      </w:r>
    </w:p>
    <w:p w:rsidR="00341C1C" w:rsidRDefault="00341C1C" w:rsidP="00BC492E">
      <w:pPr>
        <w:spacing w:line="360" w:lineRule="auto"/>
        <w:rPr>
          <w:sz w:val="24"/>
          <w:szCs w:val="24"/>
        </w:rPr>
      </w:pPr>
    </w:p>
    <w:p w:rsidR="00341C1C" w:rsidRDefault="00341C1C" w:rsidP="00C133EB">
      <w:pPr>
        <w:spacing w:line="360" w:lineRule="auto"/>
        <w:ind w:firstLine="1440"/>
        <w:contextualSpacing/>
        <w:rPr>
          <w:sz w:val="24"/>
          <w:szCs w:val="24"/>
        </w:rPr>
      </w:pPr>
      <w:r>
        <w:rPr>
          <w:sz w:val="24"/>
          <w:szCs w:val="24"/>
        </w:rPr>
        <w:t>The Complainant</w:t>
      </w:r>
      <w:r w:rsidR="00C133EB">
        <w:rPr>
          <w:sz w:val="24"/>
          <w:szCs w:val="24"/>
        </w:rPr>
        <w:t>’</w:t>
      </w:r>
      <w:r>
        <w:rPr>
          <w:sz w:val="24"/>
          <w:szCs w:val="24"/>
        </w:rPr>
        <w:t xml:space="preserve">s home was </w:t>
      </w:r>
      <w:r w:rsidR="00C133EB">
        <w:rPr>
          <w:sz w:val="24"/>
          <w:szCs w:val="24"/>
        </w:rPr>
        <w:t>finished in December 1995.  T</w:t>
      </w:r>
      <w:r>
        <w:rPr>
          <w:sz w:val="24"/>
          <w:szCs w:val="24"/>
        </w:rPr>
        <w:t xml:space="preserve">he present thermal storage heating </w:t>
      </w:r>
      <w:r w:rsidR="00027990">
        <w:rPr>
          <w:sz w:val="24"/>
          <w:szCs w:val="24"/>
        </w:rPr>
        <w:t xml:space="preserve">unit </w:t>
      </w:r>
      <w:r>
        <w:rPr>
          <w:sz w:val="24"/>
          <w:szCs w:val="24"/>
        </w:rPr>
        <w:t xml:space="preserve">is the original unit which was designed for the home.  </w:t>
      </w:r>
      <w:r w:rsidR="00C133EB">
        <w:rPr>
          <w:sz w:val="24"/>
          <w:szCs w:val="24"/>
        </w:rPr>
        <w:t xml:space="preserve">Complainant paid a higher price than </w:t>
      </w:r>
      <w:r>
        <w:rPr>
          <w:sz w:val="24"/>
          <w:szCs w:val="24"/>
        </w:rPr>
        <w:t xml:space="preserve">he would have because </w:t>
      </w:r>
      <w:r w:rsidR="00C133EB">
        <w:rPr>
          <w:sz w:val="24"/>
          <w:szCs w:val="24"/>
        </w:rPr>
        <w:t>he was led to believe that the RTS r</w:t>
      </w:r>
      <w:r>
        <w:rPr>
          <w:sz w:val="24"/>
          <w:szCs w:val="24"/>
        </w:rPr>
        <w:t xml:space="preserve">ate would be an </w:t>
      </w:r>
      <w:r>
        <w:rPr>
          <w:sz w:val="24"/>
          <w:szCs w:val="24"/>
        </w:rPr>
        <w:lastRenderedPageBreak/>
        <w:t>available, discounted rate.  Since the rate class was to exist for the life of the facilities for whi</w:t>
      </w:r>
      <w:r w:rsidR="00C133EB">
        <w:rPr>
          <w:sz w:val="24"/>
          <w:szCs w:val="24"/>
        </w:rPr>
        <w:t>ch it was designed, Complainant</w:t>
      </w:r>
      <w:r>
        <w:rPr>
          <w:sz w:val="24"/>
          <w:szCs w:val="24"/>
        </w:rPr>
        <w:t xml:space="preserve"> allege</w:t>
      </w:r>
      <w:r w:rsidR="00C133EB">
        <w:rPr>
          <w:sz w:val="24"/>
          <w:szCs w:val="24"/>
        </w:rPr>
        <w:t>s</w:t>
      </w:r>
      <w:r>
        <w:rPr>
          <w:sz w:val="24"/>
          <w:szCs w:val="24"/>
        </w:rPr>
        <w:t xml:space="preserve"> that PPL’s failure to provide those benefits amounts to a breach of contract and/or inadequate service.</w:t>
      </w:r>
      <w:r w:rsidR="00027990">
        <w:rPr>
          <w:sz w:val="24"/>
          <w:szCs w:val="24"/>
        </w:rPr>
        <w:t xml:space="preserve">  Milton McWilliams</w:t>
      </w:r>
      <w:r w:rsidR="009C512D">
        <w:rPr>
          <w:sz w:val="24"/>
          <w:szCs w:val="24"/>
        </w:rPr>
        <w:t>,</w:t>
      </w:r>
      <w:r w:rsidR="00027990">
        <w:rPr>
          <w:sz w:val="24"/>
          <w:szCs w:val="24"/>
        </w:rPr>
        <w:t xml:space="preserve"> a witness for the Complainant</w:t>
      </w:r>
      <w:r w:rsidR="009C512D">
        <w:rPr>
          <w:sz w:val="24"/>
          <w:szCs w:val="24"/>
        </w:rPr>
        <w:t>,</w:t>
      </w:r>
      <w:r w:rsidR="00027990">
        <w:rPr>
          <w:sz w:val="24"/>
          <w:szCs w:val="24"/>
        </w:rPr>
        <w:t xml:space="preserve"> testified under oath to</w:t>
      </w:r>
      <w:r w:rsidR="00545505">
        <w:rPr>
          <w:sz w:val="24"/>
          <w:szCs w:val="24"/>
        </w:rPr>
        <w:t xml:space="preserve"> experiencing fundamentally the exact scenario </w:t>
      </w:r>
      <w:proofErr w:type="gramStart"/>
      <w:r w:rsidR="00545505">
        <w:rPr>
          <w:sz w:val="24"/>
          <w:szCs w:val="24"/>
        </w:rPr>
        <w:t>himself</w:t>
      </w:r>
      <w:proofErr w:type="gramEnd"/>
      <w:r w:rsidR="00545505">
        <w:rPr>
          <w:sz w:val="24"/>
          <w:szCs w:val="24"/>
        </w:rPr>
        <w:t>.  Mr.</w:t>
      </w:r>
      <w:r w:rsidR="009C512D">
        <w:rPr>
          <w:sz w:val="24"/>
          <w:szCs w:val="24"/>
        </w:rPr>
        <w:t> </w:t>
      </w:r>
      <w:r w:rsidR="00545505">
        <w:rPr>
          <w:sz w:val="24"/>
          <w:szCs w:val="24"/>
        </w:rPr>
        <w:t>McWilliams even testified at a Commission public input hearing held in Bethlehem, Pennsylvania about the availability of the RTS rate for the life of his system.  Both the Complainant and Mr.</w:t>
      </w:r>
      <w:r w:rsidR="00DB32EE">
        <w:rPr>
          <w:sz w:val="24"/>
          <w:szCs w:val="24"/>
        </w:rPr>
        <w:t> </w:t>
      </w:r>
      <w:r w:rsidR="00545505">
        <w:rPr>
          <w:sz w:val="24"/>
          <w:szCs w:val="24"/>
        </w:rPr>
        <w:t>McWilliams worked with the same PPL representative, Dave Weidman, when making their respective RTS decisions.</w:t>
      </w:r>
    </w:p>
    <w:p w:rsidR="00341C1C" w:rsidRDefault="00341C1C" w:rsidP="00341C1C">
      <w:pPr>
        <w:spacing w:line="360" w:lineRule="auto"/>
        <w:contextualSpacing/>
        <w:rPr>
          <w:sz w:val="24"/>
          <w:szCs w:val="24"/>
        </w:rPr>
      </w:pPr>
    </w:p>
    <w:p w:rsidR="00341C1C" w:rsidRDefault="00341C1C" w:rsidP="00341C1C">
      <w:pPr>
        <w:spacing w:line="360" w:lineRule="auto"/>
        <w:contextualSpacing/>
        <w:rPr>
          <w:sz w:val="24"/>
          <w:szCs w:val="24"/>
        </w:rPr>
      </w:pPr>
      <w:r>
        <w:rPr>
          <w:sz w:val="24"/>
          <w:szCs w:val="24"/>
        </w:rPr>
        <w:tab/>
      </w:r>
      <w:r>
        <w:rPr>
          <w:sz w:val="24"/>
          <w:szCs w:val="24"/>
        </w:rPr>
        <w:tab/>
      </w:r>
      <w:r w:rsidR="00C133EB">
        <w:rPr>
          <w:sz w:val="24"/>
          <w:szCs w:val="24"/>
        </w:rPr>
        <w:t>Oliver Kasper, for PPL</w:t>
      </w:r>
      <w:r>
        <w:rPr>
          <w:sz w:val="24"/>
          <w:szCs w:val="24"/>
        </w:rPr>
        <w:t xml:space="preserve"> explained that the transition from a regulated to deregulated electric industry began in 1997 when existing rates were frozen.  Following a restructuring process, PPL filed a distribution rate case in anticipation of the transmission and distribution rate cap expiration on December 31, 2004.  The appellate review of the </w:t>
      </w:r>
      <w:r w:rsidR="00653613">
        <w:rPr>
          <w:sz w:val="24"/>
          <w:szCs w:val="24"/>
        </w:rPr>
        <w:t>C</w:t>
      </w:r>
      <w:r w:rsidR="002C5979">
        <w:rPr>
          <w:sz w:val="24"/>
          <w:szCs w:val="24"/>
        </w:rPr>
        <w:t>ommission</w:t>
      </w:r>
      <w:r>
        <w:rPr>
          <w:sz w:val="24"/>
          <w:szCs w:val="24"/>
        </w:rPr>
        <w:t xml:space="preserve"> decision resulted in the requirement that the rates be brought to the system average rate of return in the next base rate case.</w:t>
      </w:r>
      <w:r>
        <w:rPr>
          <w:rStyle w:val="FootnoteReference"/>
          <w:sz w:val="24"/>
          <w:szCs w:val="24"/>
        </w:rPr>
        <w:footnoteReference w:id="3"/>
      </w:r>
      <w:r>
        <w:rPr>
          <w:sz w:val="24"/>
          <w:szCs w:val="24"/>
        </w:rPr>
        <w:t xml:space="preserve">  In other words, the cost of serving each class of rates </w:t>
      </w:r>
      <w:r w:rsidRPr="002C5979">
        <w:rPr>
          <w:i/>
          <w:sz w:val="24"/>
          <w:szCs w:val="24"/>
        </w:rPr>
        <w:t>would be borne by</w:t>
      </w:r>
      <w:r>
        <w:rPr>
          <w:sz w:val="24"/>
          <w:szCs w:val="24"/>
        </w:rPr>
        <w:t xml:space="preserve"> </w:t>
      </w:r>
      <w:r w:rsidRPr="002C5979">
        <w:rPr>
          <w:i/>
          <w:sz w:val="24"/>
          <w:szCs w:val="24"/>
        </w:rPr>
        <w:t>that class</w:t>
      </w:r>
      <w:r>
        <w:rPr>
          <w:sz w:val="24"/>
          <w:szCs w:val="24"/>
        </w:rPr>
        <w:t xml:space="preserve"> of ratepayers </w:t>
      </w:r>
      <w:r w:rsidRPr="00572302">
        <w:rPr>
          <w:i/>
          <w:sz w:val="24"/>
          <w:szCs w:val="24"/>
        </w:rPr>
        <w:t>without</w:t>
      </w:r>
      <w:r>
        <w:rPr>
          <w:sz w:val="24"/>
          <w:szCs w:val="24"/>
        </w:rPr>
        <w:t xml:space="preserve"> subsidization across rate classes. </w:t>
      </w:r>
      <w:r w:rsidR="00CC5985">
        <w:rPr>
          <w:sz w:val="24"/>
          <w:szCs w:val="24"/>
        </w:rPr>
        <w:t xml:space="preserve"> </w:t>
      </w:r>
      <w:r w:rsidR="00572302">
        <w:rPr>
          <w:sz w:val="24"/>
          <w:szCs w:val="24"/>
        </w:rPr>
        <w:t xml:space="preserve">Each class of service </w:t>
      </w:r>
      <w:r w:rsidR="002C5979">
        <w:rPr>
          <w:sz w:val="24"/>
          <w:szCs w:val="24"/>
        </w:rPr>
        <w:t xml:space="preserve">had to </w:t>
      </w:r>
      <w:r w:rsidR="00572302">
        <w:rPr>
          <w:sz w:val="24"/>
          <w:szCs w:val="24"/>
        </w:rPr>
        <w:t>carr</w:t>
      </w:r>
      <w:r w:rsidR="002C5979">
        <w:rPr>
          <w:sz w:val="24"/>
          <w:szCs w:val="24"/>
        </w:rPr>
        <w:t>y</w:t>
      </w:r>
      <w:r w:rsidR="00572302">
        <w:rPr>
          <w:sz w:val="24"/>
          <w:szCs w:val="24"/>
        </w:rPr>
        <w:t xml:space="preserve"> its own load of getting electricity to them.</w:t>
      </w:r>
    </w:p>
    <w:p w:rsidR="00341C1C" w:rsidRDefault="00341C1C" w:rsidP="00341C1C">
      <w:pPr>
        <w:spacing w:line="360" w:lineRule="auto"/>
        <w:contextualSpacing/>
        <w:rPr>
          <w:sz w:val="24"/>
          <w:szCs w:val="24"/>
        </w:rPr>
      </w:pPr>
    </w:p>
    <w:p w:rsidR="00341C1C" w:rsidRDefault="00341C1C" w:rsidP="00341C1C">
      <w:pPr>
        <w:spacing w:line="360" w:lineRule="auto"/>
        <w:contextualSpacing/>
        <w:rPr>
          <w:sz w:val="24"/>
          <w:szCs w:val="24"/>
        </w:rPr>
      </w:pPr>
      <w:r>
        <w:rPr>
          <w:sz w:val="24"/>
          <w:szCs w:val="24"/>
        </w:rPr>
        <w:tab/>
      </w:r>
      <w:r>
        <w:rPr>
          <w:sz w:val="24"/>
          <w:szCs w:val="24"/>
        </w:rPr>
        <w:tab/>
        <w:t>The result is that after full transition to competition, each customer pay</w:t>
      </w:r>
      <w:r w:rsidR="00572302">
        <w:rPr>
          <w:sz w:val="24"/>
          <w:szCs w:val="24"/>
        </w:rPr>
        <w:t>s</w:t>
      </w:r>
      <w:r>
        <w:rPr>
          <w:sz w:val="24"/>
          <w:szCs w:val="24"/>
        </w:rPr>
        <w:t xml:space="preserve"> for the electricity used, at the price </w:t>
      </w:r>
      <w:r w:rsidR="00572302">
        <w:rPr>
          <w:sz w:val="24"/>
          <w:szCs w:val="24"/>
        </w:rPr>
        <w:t xml:space="preserve">at which </w:t>
      </w:r>
      <w:r>
        <w:rPr>
          <w:sz w:val="24"/>
          <w:szCs w:val="24"/>
        </w:rPr>
        <w:t xml:space="preserve">it was purchased.  Offering reduced rates for thermal storage customers would require other customers to </w:t>
      </w:r>
      <w:r w:rsidR="00572302">
        <w:rPr>
          <w:sz w:val="24"/>
          <w:szCs w:val="24"/>
        </w:rPr>
        <w:t xml:space="preserve">subsidize the RTS customers to </w:t>
      </w:r>
      <w:r>
        <w:rPr>
          <w:sz w:val="24"/>
          <w:szCs w:val="24"/>
        </w:rPr>
        <w:t>cover the difference</w:t>
      </w:r>
      <w:r w:rsidR="002C5979">
        <w:rPr>
          <w:sz w:val="24"/>
          <w:szCs w:val="24"/>
        </w:rPr>
        <w:t>.  To do so would</w:t>
      </w:r>
      <w:r>
        <w:rPr>
          <w:sz w:val="24"/>
          <w:szCs w:val="24"/>
        </w:rPr>
        <w:t xml:space="preserve"> creat</w:t>
      </w:r>
      <w:r w:rsidR="002C5979">
        <w:rPr>
          <w:sz w:val="24"/>
          <w:szCs w:val="24"/>
        </w:rPr>
        <w:t xml:space="preserve">e </w:t>
      </w:r>
      <w:r>
        <w:rPr>
          <w:sz w:val="24"/>
          <w:szCs w:val="24"/>
        </w:rPr>
        <w:t>a discriminat</w:t>
      </w:r>
      <w:r w:rsidR="00572302">
        <w:rPr>
          <w:sz w:val="24"/>
          <w:szCs w:val="24"/>
        </w:rPr>
        <w:t>ory situation</w:t>
      </w:r>
      <w:r w:rsidR="00830FC4">
        <w:rPr>
          <w:sz w:val="24"/>
          <w:szCs w:val="24"/>
        </w:rPr>
        <w:t>,</w:t>
      </w:r>
      <w:r w:rsidR="002C5979">
        <w:rPr>
          <w:sz w:val="24"/>
          <w:szCs w:val="24"/>
        </w:rPr>
        <w:t xml:space="preserve"> and thus a violation of the Code.</w:t>
      </w:r>
      <w:r>
        <w:rPr>
          <w:sz w:val="24"/>
          <w:szCs w:val="24"/>
        </w:rPr>
        <w:t xml:space="preserve">  </w:t>
      </w:r>
    </w:p>
    <w:p w:rsidR="00341C1C" w:rsidRDefault="00341C1C" w:rsidP="00341C1C">
      <w:pPr>
        <w:spacing w:line="360" w:lineRule="auto"/>
        <w:contextualSpacing/>
        <w:rPr>
          <w:sz w:val="24"/>
          <w:szCs w:val="24"/>
        </w:rPr>
      </w:pPr>
    </w:p>
    <w:p w:rsidR="00341C1C" w:rsidRDefault="00341C1C" w:rsidP="0033760A">
      <w:pPr>
        <w:spacing w:line="360" w:lineRule="auto"/>
        <w:contextualSpacing/>
        <w:rPr>
          <w:i/>
          <w:sz w:val="24"/>
          <w:szCs w:val="24"/>
        </w:rPr>
      </w:pPr>
      <w:r>
        <w:rPr>
          <w:sz w:val="24"/>
          <w:szCs w:val="24"/>
        </w:rPr>
        <w:tab/>
      </w:r>
      <w:r>
        <w:rPr>
          <w:sz w:val="24"/>
          <w:szCs w:val="24"/>
        </w:rPr>
        <w:tab/>
      </w:r>
      <w:r w:rsidR="00BF12B8">
        <w:rPr>
          <w:sz w:val="24"/>
          <w:szCs w:val="24"/>
        </w:rPr>
        <w:t xml:space="preserve">Because of </w:t>
      </w:r>
      <w:r w:rsidR="002C5979">
        <w:rPr>
          <w:sz w:val="24"/>
          <w:szCs w:val="24"/>
        </w:rPr>
        <w:t>PPL’s</w:t>
      </w:r>
      <w:r w:rsidR="00BF12B8">
        <w:rPr>
          <w:sz w:val="24"/>
          <w:szCs w:val="24"/>
        </w:rPr>
        <w:t xml:space="preserve"> inducement</w:t>
      </w:r>
      <w:r w:rsidR="00292E29">
        <w:rPr>
          <w:sz w:val="24"/>
          <w:szCs w:val="24"/>
        </w:rPr>
        <w:t xml:space="preserve">, </w:t>
      </w:r>
      <w:r w:rsidR="00BF12B8">
        <w:rPr>
          <w:sz w:val="24"/>
          <w:szCs w:val="24"/>
        </w:rPr>
        <w:t xml:space="preserve">lack of </w:t>
      </w:r>
      <w:r w:rsidR="002C5979">
        <w:rPr>
          <w:sz w:val="24"/>
          <w:szCs w:val="24"/>
        </w:rPr>
        <w:t>communication</w:t>
      </w:r>
      <w:r w:rsidR="00292E29">
        <w:rPr>
          <w:sz w:val="24"/>
          <w:szCs w:val="24"/>
        </w:rPr>
        <w:t xml:space="preserve"> and unexpected changes</w:t>
      </w:r>
      <w:r w:rsidR="00BF12B8">
        <w:rPr>
          <w:sz w:val="24"/>
          <w:szCs w:val="24"/>
        </w:rPr>
        <w:t xml:space="preserve"> </w:t>
      </w:r>
      <w:r w:rsidR="001327D7">
        <w:rPr>
          <w:sz w:val="24"/>
          <w:szCs w:val="24"/>
        </w:rPr>
        <w:t xml:space="preserve">to RTS, </w:t>
      </w:r>
      <w:r w:rsidR="00BF12B8">
        <w:rPr>
          <w:sz w:val="24"/>
          <w:szCs w:val="24"/>
        </w:rPr>
        <w:t>t</w:t>
      </w:r>
      <w:r>
        <w:rPr>
          <w:sz w:val="24"/>
          <w:szCs w:val="24"/>
        </w:rPr>
        <w:t>he Complainant is understandably upset</w:t>
      </w:r>
      <w:r w:rsidR="00292E29">
        <w:rPr>
          <w:sz w:val="24"/>
          <w:szCs w:val="24"/>
        </w:rPr>
        <w:t>.  H</w:t>
      </w:r>
      <w:r w:rsidR="009B5D22">
        <w:rPr>
          <w:sz w:val="24"/>
          <w:szCs w:val="24"/>
        </w:rPr>
        <w:t xml:space="preserve">owever, </w:t>
      </w:r>
      <w:r>
        <w:rPr>
          <w:sz w:val="24"/>
          <w:szCs w:val="24"/>
        </w:rPr>
        <w:t xml:space="preserve">electric deregulation legislation requires </w:t>
      </w:r>
      <w:r w:rsidR="009B5D22">
        <w:rPr>
          <w:sz w:val="24"/>
          <w:szCs w:val="24"/>
        </w:rPr>
        <w:t>PPL</w:t>
      </w:r>
      <w:r>
        <w:rPr>
          <w:sz w:val="24"/>
          <w:szCs w:val="24"/>
        </w:rPr>
        <w:t xml:space="preserve"> and the</w:t>
      </w:r>
      <w:r w:rsidR="009B5D22">
        <w:rPr>
          <w:sz w:val="24"/>
          <w:szCs w:val="24"/>
        </w:rPr>
        <w:t xml:space="preserve"> </w:t>
      </w:r>
      <w:r w:rsidR="00653613">
        <w:rPr>
          <w:sz w:val="24"/>
          <w:szCs w:val="24"/>
        </w:rPr>
        <w:t>C</w:t>
      </w:r>
      <w:r w:rsidR="001327D7">
        <w:rPr>
          <w:sz w:val="24"/>
          <w:szCs w:val="24"/>
        </w:rPr>
        <w:t>ommission</w:t>
      </w:r>
      <w:r>
        <w:rPr>
          <w:sz w:val="24"/>
          <w:szCs w:val="24"/>
        </w:rPr>
        <w:t xml:space="preserve"> to implement its terms:  the utility must purchase the commodity and charge the ratepayers the price that the utility pays.  It cannot do this and maintain the </w:t>
      </w:r>
      <w:r w:rsidR="00292E29">
        <w:rPr>
          <w:sz w:val="24"/>
          <w:szCs w:val="24"/>
        </w:rPr>
        <w:t xml:space="preserve">RTS </w:t>
      </w:r>
      <w:r>
        <w:rPr>
          <w:sz w:val="24"/>
          <w:szCs w:val="24"/>
        </w:rPr>
        <w:t xml:space="preserve">reduced rates.  Therefore, the </w:t>
      </w:r>
      <w:r w:rsidR="001327D7">
        <w:rPr>
          <w:sz w:val="24"/>
          <w:szCs w:val="24"/>
        </w:rPr>
        <w:t>Commission</w:t>
      </w:r>
      <w:r>
        <w:rPr>
          <w:sz w:val="24"/>
          <w:szCs w:val="24"/>
        </w:rPr>
        <w:t xml:space="preserve"> cannot </w:t>
      </w:r>
      <w:r w:rsidR="007149E8">
        <w:rPr>
          <w:sz w:val="24"/>
          <w:szCs w:val="24"/>
        </w:rPr>
        <w:t>order</w:t>
      </w:r>
      <w:r>
        <w:rPr>
          <w:sz w:val="24"/>
          <w:szCs w:val="24"/>
        </w:rPr>
        <w:t xml:space="preserve"> </w:t>
      </w:r>
      <w:r w:rsidR="009B5D22">
        <w:rPr>
          <w:sz w:val="24"/>
          <w:szCs w:val="24"/>
        </w:rPr>
        <w:t>PPL</w:t>
      </w:r>
      <w:r>
        <w:rPr>
          <w:sz w:val="24"/>
          <w:szCs w:val="24"/>
        </w:rPr>
        <w:t xml:space="preserve"> </w:t>
      </w:r>
      <w:r w:rsidR="007149E8">
        <w:rPr>
          <w:sz w:val="24"/>
          <w:szCs w:val="24"/>
        </w:rPr>
        <w:t xml:space="preserve">to provide the Complainant his </w:t>
      </w:r>
      <w:r w:rsidR="001327D7">
        <w:rPr>
          <w:sz w:val="24"/>
          <w:szCs w:val="24"/>
        </w:rPr>
        <w:t xml:space="preserve">former </w:t>
      </w:r>
      <w:r w:rsidR="007149E8">
        <w:rPr>
          <w:sz w:val="24"/>
          <w:szCs w:val="24"/>
        </w:rPr>
        <w:t>reduced rates under RTS.</w:t>
      </w:r>
      <w:r w:rsidR="001327D7">
        <w:rPr>
          <w:sz w:val="24"/>
          <w:szCs w:val="24"/>
        </w:rPr>
        <w:t xml:space="preserve">  The Complainant must pay rates in accordance with PPL’s current tariff.  </w:t>
      </w:r>
      <w:r w:rsidR="001327D7">
        <w:rPr>
          <w:rStyle w:val="term1"/>
          <w:b w:val="0"/>
          <w:sz w:val="24"/>
          <w:szCs w:val="24"/>
        </w:rPr>
        <w:t>Tariffs have the force and effect of law,</w:t>
      </w:r>
      <w:r w:rsidR="001327D7">
        <w:rPr>
          <w:sz w:val="24"/>
          <w:szCs w:val="24"/>
        </w:rPr>
        <w:t xml:space="preserve"> and parties cannot </w:t>
      </w:r>
      <w:r w:rsidR="001327D7">
        <w:rPr>
          <w:sz w:val="24"/>
          <w:szCs w:val="24"/>
        </w:rPr>
        <w:lastRenderedPageBreak/>
        <w:t xml:space="preserve">contractually alter the terms of a tariff.   See </w:t>
      </w:r>
      <w:hyperlink r:id="rId9" w:history="1">
        <w:r w:rsidR="001327D7" w:rsidRPr="001327D7">
          <w:rPr>
            <w:rStyle w:val="Hyperlink"/>
            <w:i/>
            <w:color w:val="auto"/>
            <w:sz w:val="24"/>
            <w:szCs w:val="24"/>
            <w:u w:val="none"/>
          </w:rPr>
          <w:t>Brockway Glass v. Pa. P</w:t>
        </w:r>
        <w:r w:rsidR="001327D7">
          <w:rPr>
            <w:rStyle w:val="Hyperlink"/>
            <w:i/>
            <w:color w:val="auto"/>
            <w:sz w:val="24"/>
            <w:szCs w:val="24"/>
            <w:u w:val="none"/>
          </w:rPr>
          <w:t>ub.</w:t>
        </w:r>
        <w:r w:rsidR="001327D7" w:rsidRPr="001327D7">
          <w:rPr>
            <w:rStyle w:val="Hyperlink"/>
            <w:i/>
            <w:color w:val="auto"/>
            <w:sz w:val="24"/>
            <w:szCs w:val="24"/>
            <w:u w:val="none"/>
          </w:rPr>
          <w:t>U</w:t>
        </w:r>
        <w:r w:rsidR="001327D7">
          <w:rPr>
            <w:rStyle w:val="Hyperlink"/>
            <w:i/>
            <w:color w:val="auto"/>
            <w:sz w:val="24"/>
            <w:szCs w:val="24"/>
            <w:u w:val="none"/>
          </w:rPr>
          <w:t>til</w:t>
        </w:r>
        <w:r w:rsidR="001327D7" w:rsidRPr="001327D7">
          <w:rPr>
            <w:rStyle w:val="Hyperlink"/>
            <w:i/>
            <w:color w:val="auto"/>
            <w:sz w:val="24"/>
            <w:szCs w:val="24"/>
            <w:u w:val="none"/>
          </w:rPr>
          <w:t>.</w:t>
        </w:r>
        <w:r w:rsidR="00D41B9F">
          <w:rPr>
            <w:rStyle w:val="Hyperlink"/>
            <w:i/>
            <w:color w:val="auto"/>
            <w:sz w:val="24"/>
            <w:szCs w:val="24"/>
            <w:u w:val="none"/>
          </w:rPr>
          <w:t xml:space="preserve"> </w:t>
        </w:r>
        <w:r w:rsidR="001327D7" w:rsidRPr="001327D7">
          <w:rPr>
            <w:rStyle w:val="Hyperlink"/>
            <w:i/>
            <w:color w:val="auto"/>
            <w:sz w:val="24"/>
            <w:szCs w:val="24"/>
            <w:u w:val="none"/>
          </w:rPr>
          <w:t>C</w:t>
        </w:r>
        <w:r w:rsidR="001327D7">
          <w:rPr>
            <w:rStyle w:val="Hyperlink"/>
            <w:i/>
            <w:color w:val="auto"/>
            <w:sz w:val="24"/>
            <w:szCs w:val="24"/>
            <w:u w:val="none"/>
          </w:rPr>
          <w:t>omm’n</w:t>
        </w:r>
        <w:r w:rsidR="001327D7" w:rsidRPr="001327D7">
          <w:rPr>
            <w:rStyle w:val="Hyperlink"/>
            <w:i/>
            <w:color w:val="auto"/>
            <w:sz w:val="24"/>
            <w:szCs w:val="24"/>
            <w:u w:val="none"/>
          </w:rPr>
          <w:t xml:space="preserve">., </w:t>
        </w:r>
        <w:r w:rsidR="001327D7" w:rsidRPr="0033760A">
          <w:rPr>
            <w:rStyle w:val="Hyperlink"/>
            <w:color w:val="auto"/>
            <w:sz w:val="24"/>
            <w:szCs w:val="24"/>
            <w:u w:val="none"/>
          </w:rPr>
          <w:t>63 Pa. Commonwealth Ct. 238, 437 A.2d 1067 (1982);</w:t>
        </w:r>
      </w:hyperlink>
      <w:r w:rsidR="001327D7" w:rsidRPr="001327D7">
        <w:rPr>
          <w:i/>
          <w:sz w:val="24"/>
          <w:szCs w:val="24"/>
        </w:rPr>
        <w:t xml:space="preserve"> </w:t>
      </w:r>
      <w:hyperlink r:id="rId10" w:history="1">
        <w:r w:rsidR="001327D7" w:rsidRPr="0033760A">
          <w:rPr>
            <w:rStyle w:val="Hyperlink"/>
            <w:i/>
            <w:color w:val="auto"/>
            <w:sz w:val="24"/>
            <w:szCs w:val="24"/>
            <w:u w:val="none"/>
          </w:rPr>
          <w:t>Stiteler v. Bell Telephone,</w:t>
        </w:r>
        <w:r w:rsidR="001327D7" w:rsidRPr="0033760A">
          <w:rPr>
            <w:rStyle w:val="Hyperlink"/>
            <w:color w:val="auto"/>
            <w:sz w:val="24"/>
            <w:szCs w:val="24"/>
            <w:u w:val="none"/>
          </w:rPr>
          <w:t xml:space="preserve"> 32 Pa. Commonwealth Ct. 319, 379 A.2d 339 (1977</w:t>
        </w:r>
      </w:hyperlink>
      <w:r w:rsidR="001327D7" w:rsidRPr="0033760A">
        <w:rPr>
          <w:sz w:val="24"/>
          <w:szCs w:val="24"/>
        </w:rPr>
        <w:t>).</w:t>
      </w:r>
      <w:r w:rsidR="001327D7" w:rsidRPr="001327D7">
        <w:rPr>
          <w:i/>
          <w:sz w:val="24"/>
          <w:szCs w:val="24"/>
        </w:rPr>
        <w:t xml:space="preserve">  </w:t>
      </w:r>
    </w:p>
    <w:p w:rsidR="00D41B9F" w:rsidRDefault="00D41B9F" w:rsidP="00F710AB">
      <w:pPr>
        <w:spacing w:line="360" w:lineRule="auto"/>
        <w:contextualSpacing/>
        <w:rPr>
          <w:i/>
          <w:sz w:val="24"/>
          <w:szCs w:val="24"/>
        </w:rPr>
      </w:pPr>
    </w:p>
    <w:p w:rsidR="00D41B9F" w:rsidRPr="00D41B9F" w:rsidRDefault="00D41B9F" w:rsidP="00F710AB">
      <w:pPr>
        <w:spacing w:line="360" w:lineRule="auto"/>
        <w:contextualSpacing/>
        <w:rPr>
          <w:sz w:val="24"/>
          <w:szCs w:val="24"/>
        </w:rPr>
      </w:pPr>
      <w:r>
        <w:rPr>
          <w:sz w:val="24"/>
          <w:szCs w:val="24"/>
          <w:u w:val="single"/>
        </w:rPr>
        <w:t>Adequate Service</w:t>
      </w:r>
      <w:r>
        <w:rPr>
          <w:sz w:val="24"/>
          <w:szCs w:val="24"/>
        </w:rPr>
        <w:t>:</w:t>
      </w:r>
    </w:p>
    <w:p w:rsidR="009B5D22" w:rsidRDefault="009B5D22" w:rsidP="009B5D22">
      <w:pPr>
        <w:spacing w:line="360" w:lineRule="auto"/>
        <w:contextualSpacing/>
        <w:rPr>
          <w:sz w:val="24"/>
          <w:szCs w:val="24"/>
        </w:rPr>
      </w:pPr>
    </w:p>
    <w:p w:rsidR="00174984" w:rsidRDefault="009B5D22" w:rsidP="009B5D22">
      <w:pPr>
        <w:spacing w:line="360" w:lineRule="auto"/>
        <w:rPr>
          <w:sz w:val="24"/>
          <w:szCs w:val="24"/>
        </w:rPr>
      </w:pPr>
      <w:r>
        <w:rPr>
          <w:sz w:val="24"/>
          <w:szCs w:val="24"/>
        </w:rPr>
        <w:tab/>
      </w:r>
      <w:r>
        <w:rPr>
          <w:sz w:val="24"/>
          <w:szCs w:val="24"/>
        </w:rPr>
        <w:tab/>
      </w:r>
      <w:r w:rsidR="00174984">
        <w:rPr>
          <w:sz w:val="24"/>
          <w:szCs w:val="24"/>
        </w:rPr>
        <w:t>A</w:t>
      </w:r>
      <w:r w:rsidR="007149E8">
        <w:rPr>
          <w:sz w:val="24"/>
          <w:szCs w:val="24"/>
        </w:rPr>
        <w:t>ll r</w:t>
      </w:r>
      <w:r>
        <w:rPr>
          <w:sz w:val="24"/>
          <w:szCs w:val="24"/>
        </w:rPr>
        <w:t>atepayers have the right to adequate service under the Public Utility Code, 66</w:t>
      </w:r>
      <w:r w:rsidR="00816B2F">
        <w:rPr>
          <w:sz w:val="24"/>
          <w:szCs w:val="24"/>
        </w:rPr>
        <w:t> </w:t>
      </w:r>
      <w:r>
        <w:rPr>
          <w:sz w:val="24"/>
          <w:szCs w:val="24"/>
        </w:rPr>
        <w:t>Pa. C.S. § 1501, which includes all aspects of a utility’s service, not only the distribution of electricity to their home</w:t>
      </w:r>
      <w:r w:rsidR="00E769F1">
        <w:rPr>
          <w:sz w:val="24"/>
          <w:szCs w:val="24"/>
        </w:rPr>
        <w:t xml:space="preserve">.  </w:t>
      </w:r>
      <w:r w:rsidR="007149E8">
        <w:rPr>
          <w:sz w:val="24"/>
          <w:szCs w:val="24"/>
        </w:rPr>
        <w:t xml:space="preserve">According to PPL’s own exhibit as of September 27, 1995, “the </w:t>
      </w:r>
      <w:r w:rsidR="00D41B9F">
        <w:rPr>
          <w:sz w:val="24"/>
          <w:szCs w:val="24"/>
        </w:rPr>
        <w:t>Commission</w:t>
      </w:r>
      <w:r w:rsidR="007149E8">
        <w:rPr>
          <w:sz w:val="24"/>
          <w:szCs w:val="24"/>
        </w:rPr>
        <w:t xml:space="preserve"> granted PPL Electric’s request to close Rate Schedule RTS to new applicants effective December 31, 1995.”  (PPL </w:t>
      </w:r>
      <w:proofErr w:type="spellStart"/>
      <w:r w:rsidR="007149E8">
        <w:rPr>
          <w:sz w:val="24"/>
          <w:szCs w:val="24"/>
        </w:rPr>
        <w:t>Exh</w:t>
      </w:r>
      <w:proofErr w:type="spellEnd"/>
      <w:r w:rsidR="007149E8">
        <w:rPr>
          <w:sz w:val="24"/>
          <w:szCs w:val="24"/>
        </w:rPr>
        <w:t>.</w:t>
      </w:r>
      <w:r w:rsidR="009352CA">
        <w:rPr>
          <w:sz w:val="24"/>
          <w:szCs w:val="24"/>
        </w:rPr>
        <w:t xml:space="preserve"> </w:t>
      </w:r>
      <w:r w:rsidR="007149E8">
        <w:rPr>
          <w:sz w:val="24"/>
          <w:szCs w:val="24"/>
        </w:rPr>
        <w:t xml:space="preserve">1)  </w:t>
      </w:r>
      <w:r w:rsidR="00CB4B88">
        <w:rPr>
          <w:sz w:val="24"/>
          <w:szCs w:val="24"/>
        </w:rPr>
        <w:t xml:space="preserve">PPL’s RTS rate </w:t>
      </w:r>
      <w:r w:rsidR="00D41B9F">
        <w:rPr>
          <w:sz w:val="24"/>
          <w:szCs w:val="24"/>
        </w:rPr>
        <w:t xml:space="preserve">had </w:t>
      </w:r>
      <w:r w:rsidR="00CB4B88">
        <w:rPr>
          <w:sz w:val="24"/>
          <w:szCs w:val="24"/>
        </w:rPr>
        <w:t>attracted approximately 14,000</w:t>
      </w:r>
      <w:r w:rsidR="00C21B5E">
        <w:rPr>
          <w:sz w:val="24"/>
          <w:szCs w:val="24"/>
        </w:rPr>
        <w:t> </w:t>
      </w:r>
      <w:r w:rsidR="00CB4B88">
        <w:rPr>
          <w:sz w:val="24"/>
          <w:szCs w:val="24"/>
        </w:rPr>
        <w:t xml:space="preserve">customers by early 1995.  </w:t>
      </w:r>
      <w:r w:rsidR="00AE331A">
        <w:rPr>
          <w:sz w:val="24"/>
          <w:szCs w:val="24"/>
        </w:rPr>
        <w:t xml:space="preserve">(PPL Exh. 1 at Tab 3, page 215)  Because RTS was not proving profitable for the PPL it began phasing out </w:t>
      </w:r>
      <w:r w:rsidR="00E769F1">
        <w:rPr>
          <w:sz w:val="24"/>
          <w:szCs w:val="24"/>
        </w:rPr>
        <w:t xml:space="preserve">its </w:t>
      </w:r>
      <w:r w:rsidR="00AE331A">
        <w:rPr>
          <w:sz w:val="24"/>
          <w:szCs w:val="24"/>
        </w:rPr>
        <w:t>advertising promotions.  (PPL Exh. 1 at Tab 3, p</w:t>
      </w:r>
      <w:r w:rsidR="00D72398">
        <w:rPr>
          <w:sz w:val="24"/>
          <w:szCs w:val="24"/>
        </w:rPr>
        <w:t>.</w:t>
      </w:r>
      <w:r w:rsidR="00AE331A">
        <w:rPr>
          <w:sz w:val="24"/>
          <w:szCs w:val="24"/>
        </w:rPr>
        <w:t xml:space="preserve"> 216)</w:t>
      </w:r>
      <w:r w:rsidR="00EB7127">
        <w:rPr>
          <w:sz w:val="24"/>
          <w:szCs w:val="24"/>
        </w:rPr>
        <w:t xml:space="preserve">  </w:t>
      </w:r>
    </w:p>
    <w:p w:rsidR="00174984" w:rsidRDefault="00174984" w:rsidP="009B5D22">
      <w:pPr>
        <w:spacing w:line="360" w:lineRule="auto"/>
        <w:rPr>
          <w:sz w:val="24"/>
          <w:szCs w:val="24"/>
        </w:rPr>
      </w:pPr>
    </w:p>
    <w:p w:rsidR="009B5D22" w:rsidRDefault="00D41B9F" w:rsidP="00174984">
      <w:pPr>
        <w:spacing w:line="360" w:lineRule="auto"/>
        <w:ind w:firstLine="1440"/>
        <w:rPr>
          <w:sz w:val="24"/>
          <w:szCs w:val="24"/>
        </w:rPr>
      </w:pPr>
      <w:r>
        <w:rPr>
          <w:sz w:val="24"/>
          <w:szCs w:val="24"/>
        </w:rPr>
        <w:t xml:space="preserve">Between December </w:t>
      </w:r>
      <w:r w:rsidR="00DC4DDD">
        <w:rPr>
          <w:sz w:val="24"/>
          <w:szCs w:val="24"/>
        </w:rPr>
        <w:t xml:space="preserve">30, </w:t>
      </w:r>
      <w:r>
        <w:rPr>
          <w:sz w:val="24"/>
          <w:szCs w:val="24"/>
        </w:rPr>
        <w:t xml:space="preserve">1994 and September 27, 1995, </w:t>
      </w:r>
      <w:r w:rsidR="00EB7127">
        <w:rPr>
          <w:sz w:val="24"/>
          <w:szCs w:val="24"/>
        </w:rPr>
        <w:t>PPL was aware that there was a perceived lack of communication with its RTS customers</w:t>
      </w:r>
      <w:r w:rsidR="00C17A3F">
        <w:rPr>
          <w:sz w:val="24"/>
          <w:szCs w:val="24"/>
        </w:rPr>
        <w:t xml:space="preserve"> and that PPL should “fully inform applicants of the conditions relating to this rate, prior to their signing up for service.”</w:t>
      </w:r>
      <w:r w:rsidR="00EB7127">
        <w:rPr>
          <w:sz w:val="24"/>
          <w:szCs w:val="24"/>
        </w:rPr>
        <w:t xml:space="preserve"> </w:t>
      </w:r>
      <w:r w:rsidR="007149E8">
        <w:rPr>
          <w:sz w:val="24"/>
          <w:szCs w:val="24"/>
        </w:rPr>
        <w:t xml:space="preserve"> </w:t>
      </w:r>
      <w:r w:rsidR="00EB7127">
        <w:rPr>
          <w:sz w:val="24"/>
          <w:szCs w:val="24"/>
        </w:rPr>
        <w:t xml:space="preserve">(PPL Exh. 1 at </w:t>
      </w:r>
      <w:r w:rsidR="006640CC">
        <w:rPr>
          <w:sz w:val="24"/>
          <w:szCs w:val="24"/>
        </w:rPr>
        <w:t>T</w:t>
      </w:r>
      <w:r w:rsidR="00EB7127">
        <w:rPr>
          <w:sz w:val="24"/>
          <w:szCs w:val="24"/>
        </w:rPr>
        <w:t>ab 3, p</w:t>
      </w:r>
      <w:r w:rsidR="00D72398">
        <w:rPr>
          <w:sz w:val="24"/>
          <w:szCs w:val="24"/>
        </w:rPr>
        <w:t>p.</w:t>
      </w:r>
      <w:r w:rsidR="00EB7127">
        <w:rPr>
          <w:sz w:val="24"/>
          <w:szCs w:val="24"/>
        </w:rPr>
        <w:t xml:space="preserve"> 217</w:t>
      </w:r>
      <w:r w:rsidR="00902804">
        <w:rPr>
          <w:sz w:val="24"/>
          <w:szCs w:val="24"/>
        </w:rPr>
        <w:t>–</w:t>
      </w:r>
      <w:r w:rsidR="00EB7127">
        <w:rPr>
          <w:sz w:val="24"/>
          <w:szCs w:val="24"/>
        </w:rPr>
        <w:t>218)</w:t>
      </w:r>
      <w:r w:rsidR="00E769F1">
        <w:rPr>
          <w:sz w:val="24"/>
          <w:szCs w:val="24"/>
        </w:rPr>
        <w:t xml:space="preserve">  PPL knew the RTS rate was closed to new applicants, and it discontinued advertising RTS promotions, and in a rate case</w:t>
      </w:r>
      <w:r>
        <w:rPr>
          <w:sz w:val="24"/>
          <w:szCs w:val="24"/>
        </w:rPr>
        <w:t xml:space="preserve">, </w:t>
      </w:r>
      <w:r w:rsidR="00E769F1">
        <w:rPr>
          <w:sz w:val="24"/>
          <w:szCs w:val="24"/>
        </w:rPr>
        <w:t>the Office of Consumer Advocate suggested PPL communicate the conditions of RTS with its customers</w:t>
      </w:r>
      <w:r>
        <w:rPr>
          <w:sz w:val="24"/>
          <w:szCs w:val="24"/>
        </w:rPr>
        <w:t>.  W</w:t>
      </w:r>
      <w:r w:rsidR="00E769F1">
        <w:rPr>
          <w:sz w:val="24"/>
          <w:szCs w:val="24"/>
        </w:rPr>
        <w:t>hat excuse does PPL prof</w:t>
      </w:r>
      <w:r w:rsidR="009C78F2">
        <w:rPr>
          <w:sz w:val="24"/>
          <w:szCs w:val="24"/>
        </w:rPr>
        <w:t>f</w:t>
      </w:r>
      <w:r w:rsidR="00E769F1">
        <w:rPr>
          <w:sz w:val="24"/>
          <w:szCs w:val="24"/>
        </w:rPr>
        <w:t xml:space="preserve">er for </w:t>
      </w:r>
      <w:r w:rsidR="009C78F2">
        <w:rPr>
          <w:sz w:val="24"/>
          <w:szCs w:val="24"/>
        </w:rPr>
        <w:t>its</w:t>
      </w:r>
      <w:r w:rsidR="00E769F1">
        <w:rPr>
          <w:sz w:val="24"/>
          <w:szCs w:val="24"/>
        </w:rPr>
        <w:t xml:space="preserve"> </w:t>
      </w:r>
      <w:r w:rsidR="009C78F2">
        <w:rPr>
          <w:sz w:val="24"/>
          <w:szCs w:val="24"/>
        </w:rPr>
        <w:t>lack of communication with the Complainant</w:t>
      </w:r>
      <w:r w:rsidR="005757CC">
        <w:rPr>
          <w:sz w:val="24"/>
          <w:szCs w:val="24"/>
        </w:rPr>
        <w:t>, Mr. McWilliams and others similarly situated</w:t>
      </w:r>
      <w:r w:rsidR="00E769F1">
        <w:rPr>
          <w:sz w:val="24"/>
          <w:szCs w:val="24"/>
        </w:rPr>
        <w:t>?</w:t>
      </w:r>
      <w:r w:rsidR="00EB7127">
        <w:rPr>
          <w:sz w:val="24"/>
          <w:szCs w:val="24"/>
        </w:rPr>
        <w:t xml:space="preserve">  </w:t>
      </w:r>
      <w:r w:rsidR="009C78F2">
        <w:rPr>
          <w:sz w:val="24"/>
          <w:szCs w:val="24"/>
        </w:rPr>
        <w:t xml:space="preserve">PPL did not address </w:t>
      </w:r>
      <w:r w:rsidR="00174984">
        <w:rPr>
          <w:sz w:val="24"/>
          <w:szCs w:val="24"/>
        </w:rPr>
        <w:t>its</w:t>
      </w:r>
      <w:r w:rsidR="009C78F2">
        <w:rPr>
          <w:sz w:val="24"/>
          <w:szCs w:val="24"/>
        </w:rPr>
        <w:t xml:space="preserve"> lack of communication</w:t>
      </w:r>
      <w:r w:rsidR="005757CC">
        <w:rPr>
          <w:sz w:val="24"/>
          <w:szCs w:val="24"/>
        </w:rPr>
        <w:t xml:space="preserve"> during this evidentiary hearing despite being asked if they were going to.  (Tr. 67)</w:t>
      </w:r>
      <w:r w:rsidR="009C78F2">
        <w:rPr>
          <w:sz w:val="24"/>
          <w:szCs w:val="24"/>
        </w:rPr>
        <w:t xml:space="preserve">.  </w:t>
      </w:r>
      <w:r w:rsidR="007C2965">
        <w:rPr>
          <w:sz w:val="24"/>
          <w:szCs w:val="24"/>
        </w:rPr>
        <w:t xml:space="preserve">When asked under cross examination about the lack of profitability of the RTS rate PPL witness </w:t>
      </w:r>
      <w:r w:rsidR="00174984">
        <w:rPr>
          <w:sz w:val="24"/>
          <w:szCs w:val="24"/>
        </w:rPr>
        <w:t xml:space="preserve">Oliver </w:t>
      </w:r>
      <w:r w:rsidR="007C2965">
        <w:rPr>
          <w:sz w:val="24"/>
          <w:szCs w:val="24"/>
        </w:rPr>
        <w:t xml:space="preserve">Kasper stated that RTS’ unprofitability was “known before his time.”  </w:t>
      </w:r>
      <w:r w:rsidR="00174984">
        <w:rPr>
          <w:sz w:val="24"/>
          <w:szCs w:val="24"/>
        </w:rPr>
        <w:t xml:space="preserve">(Mr. Kasper testified he had been in his current position </w:t>
      </w:r>
      <w:r w:rsidR="00174984" w:rsidRPr="005757CC">
        <w:rPr>
          <w:i/>
          <w:sz w:val="24"/>
          <w:szCs w:val="24"/>
          <w:u w:val="single"/>
        </w:rPr>
        <w:t>19 years</w:t>
      </w:r>
      <w:r w:rsidR="00174984">
        <w:rPr>
          <w:sz w:val="24"/>
          <w:szCs w:val="24"/>
        </w:rPr>
        <w:t xml:space="preserve">.)  </w:t>
      </w:r>
      <w:r w:rsidR="007C2965">
        <w:rPr>
          <w:sz w:val="24"/>
          <w:szCs w:val="24"/>
        </w:rPr>
        <w:t xml:space="preserve">He was then asked “it’s been known that long, yet you operated and engaged in promoting the program right up to the end of 1995?”  Answer: </w:t>
      </w:r>
      <w:r w:rsidR="00BE446E">
        <w:rPr>
          <w:sz w:val="24"/>
          <w:szCs w:val="24"/>
        </w:rPr>
        <w:t xml:space="preserve"> </w:t>
      </w:r>
      <w:r w:rsidR="007C2965">
        <w:rPr>
          <w:sz w:val="24"/>
          <w:szCs w:val="24"/>
        </w:rPr>
        <w:t>“I would say, yes.”</w:t>
      </w:r>
    </w:p>
    <w:p w:rsidR="00174984" w:rsidRDefault="00174984" w:rsidP="00174984">
      <w:pPr>
        <w:spacing w:line="360" w:lineRule="auto"/>
        <w:ind w:firstLine="1440"/>
        <w:rPr>
          <w:sz w:val="24"/>
          <w:szCs w:val="24"/>
        </w:rPr>
      </w:pPr>
    </w:p>
    <w:p w:rsidR="00642B3A" w:rsidRDefault="00174984" w:rsidP="009B5D22">
      <w:pPr>
        <w:spacing w:line="360" w:lineRule="auto"/>
        <w:ind w:firstLine="1440"/>
        <w:rPr>
          <w:i/>
          <w:sz w:val="24"/>
          <w:szCs w:val="24"/>
        </w:rPr>
      </w:pPr>
      <w:r>
        <w:rPr>
          <w:sz w:val="24"/>
          <w:szCs w:val="24"/>
        </w:rPr>
        <w:lastRenderedPageBreak/>
        <w:t xml:space="preserve">There is no doubt that the Complainant has been financially harmed by PPL’s inducement to build his home in accordance with a certain set of standards to be allowed to pay the RTS rate, </w:t>
      </w:r>
      <w:r w:rsidR="00B43812">
        <w:rPr>
          <w:sz w:val="24"/>
          <w:szCs w:val="24"/>
        </w:rPr>
        <w:t xml:space="preserve">PPL’s </w:t>
      </w:r>
      <w:r>
        <w:rPr>
          <w:sz w:val="24"/>
          <w:szCs w:val="24"/>
        </w:rPr>
        <w:t>lack of communication</w:t>
      </w:r>
      <w:r w:rsidR="00B43812">
        <w:rPr>
          <w:sz w:val="24"/>
          <w:szCs w:val="24"/>
        </w:rPr>
        <w:t xml:space="preserve">, and the changes in the RTS rate itself.  </w:t>
      </w:r>
    </w:p>
    <w:p w:rsidR="00642B3A" w:rsidRDefault="00642B3A" w:rsidP="009B5D22">
      <w:pPr>
        <w:spacing w:line="360" w:lineRule="auto"/>
        <w:ind w:firstLine="1440"/>
        <w:rPr>
          <w:i/>
          <w:sz w:val="24"/>
          <w:szCs w:val="24"/>
        </w:rPr>
      </w:pPr>
    </w:p>
    <w:p w:rsidR="009B5D22" w:rsidRDefault="00037295" w:rsidP="009B5D22">
      <w:pPr>
        <w:spacing w:line="360" w:lineRule="auto"/>
        <w:ind w:firstLine="1440"/>
        <w:rPr>
          <w:sz w:val="24"/>
          <w:szCs w:val="24"/>
        </w:rPr>
      </w:pPr>
      <w:r>
        <w:rPr>
          <w:sz w:val="24"/>
          <w:szCs w:val="24"/>
        </w:rPr>
        <w:t>Notw</w:t>
      </w:r>
      <w:r w:rsidR="00642B3A">
        <w:rPr>
          <w:sz w:val="24"/>
          <w:szCs w:val="24"/>
        </w:rPr>
        <w:t xml:space="preserve">ithstanding the legality of </w:t>
      </w:r>
      <w:r>
        <w:rPr>
          <w:sz w:val="24"/>
          <w:szCs w:val="24"/>
        </w:rPr>
        <w:t>PPL’s</w:t>
      </w:r>
      <w:r w:rsidR="00642B3A">
        <w:rPr>
          <w:sz w:val="24"/>
          <w:szCs w:val="24"/>
        </w:rPr>
        <w:t xml:space="preserve"> RTS rate changes, </w:t>
      </w:r>
      <w:r w:rsidR="00B43812">
        <w:rPr>
          <w:sz w:val="24"/>
          <w:szCs w:val="24"/>
        </w:rPr>
        <w:t xml:space="preserve">PPL was wrong to induce customers </w:t>
      </w:r>
      <w:r w:rsidR="00642B3A">
        <w:rPr>
          <w:sz w:val="24"/>
          <w:szCs w:val="24"/>
        </w:rPr>
        <w:t xml:space="preserve">to the RTS rate </w:t>
      </w:r>
      <w:r w:rsidR="00B43812">
        <w:rPr>
          <w:sz w:val="24"/>
          <w:szCs w:val="24"/>
        </w:rPr>
        <w:t xml:space="preserve">when the timeline presented shows that PPL knew well enough in advance </w:t>
      </w:r>
      <w:r w:rsidR="00642B3A">
        <w:rPr>
          <w:sz w:val="24"/>
          <w:szCs w:val="24"/>
        </w:rPr>
        <w:t xml:space="preserve">that RTS was being phased out </w:t>
      </w:r>
      <w:r w:rsidR="00B43812">
        <w:rPr>
          <w:sz w:val="24"/>
          <w:szCs w:val="24"/>
        </w:rPr>
        <w:t>to have shared explanations of upcoming RTS changes to the Complainant</w:t>
      </w:r>
      <w:r w:rsidR="005757CC">
        <w:rPr>
          <w:sz w:val="24"/>
          <w:szCs w:val="24"/>
        </w:rPr>
        <w:t>, Mr. McWilliams and others similarly situated, t</w:t>
      </w:r>
      <w:r>
        <w:rPr>
          <w:sz w:val="24"/>
          <w:szCs w:val="24"/>
        </w:rPr>
        <w:t>hus</w:t>
      </w:r>
      <w:r w:rsidR="00642B3A">
        <w:rPr>
          <w:sz w:val="24"/>
          <w:szCs w:val="24"/>
        </w:rPr>
        <w:t xml:space="preserve"> allow</w:t>
      </w:r>
      <w:r>
        <w:rPr>
          <w:sz w:val="24"/>
          <w:szCs w:val="24"/>
        </w:rPr>
        <w:t>ing</w:t>
      </w:r>
      <w:r w:rsidR="00642B3A">
        <w:rPr>
          <w:sz w:val="24"/>
          <w:szCs w:val="24"/>
        </w:rPr>
        <w:t xml:space="preserve"> the Complainant </w:t>
      </w:r>
      <w:r w:rsidR="005757CC">
        <w:rPr>
          <w:sz w:val="24"/>
          <w:szCs w:val="24"/>
        </w:rPr>
        <w:t xml:space="preserve">and others </w:t>
      </w:r>
      <w:r w:rsidR="00642B3A">
        <w:rPr>
          <w:sz w:val="24"/>
          <w:szCs w:val="24"/>
        </w:rPr>
        <w:t xml:space="preserve">to make an informed decision about household </w:t>
      </w:r>
      <w:r w:rsidR="002C2079">
        <w:rPr>
          <w:sz w:val="24"/>
          <w:szCs w:val="24"/>
        </w:rPr>
        <w:t xml:space="preserve">current and future </w:t>
      </w:r>
      <w:r w:rsidR="00642B3A">
        <w:rPr>
          <w:sz w:val="24"/>
          <w:szCs w:val="24"/>
        </w:rPr>
        <w:t>needs.</w:t>
      </w:r>
    </w:p>
    <w:p w:rsidR="002C2079" w:rsidRDefault="002C2079" w:rsidP="00F965B5">
      <w:pPr>
        <w:spacing w:line="360" w:lineRule="auto"/>
        <w:ind w:firstLine="1440"/>
        <w:rPr>
          <w:sz w:val="24"/>
          <w:szCs w:val="24"/>
        </w:rPr>
      </w:pPr>
    </w:p>
    <w:p w:rsidR="0060637F" w:rsidRDefault="0060637F" w:rsidP="0060637F">
      <w:pPr>
        <w:spacing w:line="360" w:lineRule="auto"/>
        <w:ind w:firstLine="1440"/>
        <w:rPr>
          <w:sz w:val="24"/>
          <w:szCs w:val="24"/>
        </w:rPr>
      </w:pPr>
      <w:r>
        <w:rPr>
          <w:sz w:val="24"/>
          <w:szCs w:val="24"/>
        </w:rPr>
        <w:t>Section 1501 of the Public Utility Code provides:</w:t>
      </w:r>
    </w:p>
    <w:p w:rsidR="00926B8F" w:rsidRDefault="0060637F" w:rsidP="005757CC">
      <w:pPr>
        <w:ind w:left="2160" w:right="1440"/>
        <w:rPr>
          <w:sz w:val="24"/>
          <w:szCs w:val="24"/>
        </w:rPr>
      </w:pPr>
      <w:r w:rsidRPr="00FE59EF">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w:t>
      </w:r>
      <w:r w:rsidR="00653613">
        <w:rPr>
          <w:sz w:val="24"/>
          <w:szCs w:val="24"/>
        </w:rPr>
        <w:t>Commission</w:t>
      </w:r>
      <w:r w:rsidRPr="00FE59EF">
        <w:rPr>
          <w:sz w:val="24"/>
          <w:szCs w:val="24"/>
        </w:rPr>
        <w:t xml:space="preserve">. Subject to the provisions of this part and the regulations or orders of the </w:t>
      </w:r>
      <w:r w:rsidR="00653613">
        <w:rPr>
          <w:sz w:val="24"/>
          <w:szCs w:val="24"/>
        </w:rPr>
        <w:t>Commission</w:t>
      </w:r>
      <w:r w:rsidRPr="00FE59EF">
        <w:rPr>
          <w:sz w:val="24"/>
          <w:szCs w:val="24"/>
        </w:rPr>
        <w:t xml:space="preserve">, every public utility may have reasonable rules and regulations governing the conditions under which it shall be required to render service. Any public utility service being furnished or rendered by a municipal corporation beyond its corporate limits shall be subject to regulation and control by the </w:t>
      </w:r>
      <w:r w:rsidR="00653613">
        <w:rPr>
          <w:sz w:val="24"/>
          <w:szCs w:val="24"/>
        </w:rPr>
        <w:t>Commission</w:t>
      </w:r>
      <w:r w:rsidRPr="00FE59EF">
        <w:rPr>
          <w:sz w:val="24"/>
          <w:szCs w:val="24"/>
        </w:rPr>
        <w:t xml:space="preserve"> as to service and extensions, with the same force and in like manner as if such service were rendered by a public utility. The </w:t>
      </w:r>
      <w:r w:rsidR="00653613">
        <w:rPr>
          <w:sz w:val="24"/>
          <w:szCs w:val="24"/>
        </w:rPr>
        <w:t>Commission</w:t>
      </w:r>
      <w:r w:rsidRPr="00FE59EF">
        <w:rPr>
          <w:sz w:val="24"/>
          <w:szCs w:val="24"/>
        </w:rPr>
        <w:t xml:space="preserve"> shall have sole and exclusive jurisdiction to promulgate rules and regulations for the allocation of natural or artificial gas supply by a public utility.</w:t>
      </w:r>
      <w:r w:rsidR="00FE59EF">
        <w:rPr>
          <w:sz w:val="24"/>
          <w:szCs w:val="24"/>
        </w:rPr>
        <w:t xml:space="preserve">  66 Pa. C.S. § 1501.</w:t>
      </w:r>
      <w:r w:rsidRPr="00FE59EF">
        <w:rPr>
          <w:sz w:val="24"/>
          <w:szCs w:val="24"/>
        </w:rPr>
        <w:br/>
      </w:r>
    </w:p>
    <w:p w:rsidR="00926B8F" w:rsidRDefault="00926B8F" w:rsidP="009B5D22">
      <w:pPr>
        <w:spacing w:line="360" w:lineRule="auto"/>
        <w:ind w:firstLine="1440"/>
        <w:rPr>
          <w:sz w:val="24"/>
          <w:szCs w:val="24"/>
        </w:rPr>
      </w:pPr>
      <w:r>
        <w:rPr>
          <w:sz w:val="24"/>
          <w:szCs w:val="24"/>
        </w:rPr>
        <w:t>The rate case in which PPL requested and was granted the right to phase out the RTS rate was filed on December</w:t>
      </w:r>
      <w:r w:rsidR="00931431">
        <w:rPr>
          <w:sz w:val="24"/>
          <w:szCs w:val="24"/>
        </w:rPr>
        <w:t xml:space="preserve"> 30, 1994 (PPL Exh. 1 at </w:t>
      </w:r>
      <w:r w:rsidR="00E201B0">
        <w:rPr>
          <w:sz w:val="24"/>
          <w:szCs w:val="24"/>
        </w:rPr>
        <w:t>T</w:t>
      </w:r>
      <w:r w:rsidR="00931431">
        <w:rPr>
          <w:sz w:val="24"/>
          <w:szCs w:val="24"/>
        </w:rPr>
        <w:t xml:space="preserve">ab 3) therefore PPL knew it wanted to phase out the RTS rate well before that filing date.  At that time, the Complainant was building his home.  He had </w:t>
      </w:r>
      <w:r w:rsidR="001E496A">
        <w:rPr>
          <w:sz w:val="24"/>
          <w:szCs w:val="24"/>
        </w:rPr>
        <w:t>already s</w:t>
      </w:r>
      <w:r w:rsidR="00931431">
        <w:rPr>
          <w:sz w:val="24"/>
          <w:szCs w:val="24"/>
        </w:rPr>
        <w:t xml:space="preserve">igned the “PPL Comfort Home” Warranty (RD </w:t>
      </w:r>
      <w:proofErr w:type="spellStart"/>
      <w:r w:rsidR="00931431">
        <w:rPr>
          <w:sz w:val="24"/>
          <w:szCs w:val="24"/>
        </w:rPr>
        <w:t>Exh</w:t>
      </w:r>
      <w:proofErr w:type="spellEnd"/>
      <w:r w:rsidR="00931431">
        <w:rPr>
          <w:sz w:val="24"/>
          <w:szCs w:val="24"/>
        </w:rPr>
        <w:t>.</w:t>
      </w:r>
      <w:r w:rsidR="009813AB">
        <w:rPr>
          <w:sz w:val="24"/>
          <w:szCs w:val="24"/>
        </w:rPr>
        <w:t xml:space="preserve"> </w:t>
      </w:r>
      <w:r w:rsidR="00931431">
        <w:rPr>
          <w:sz w:val="24"/>
          <w:szCs w:val="24"/>
        </w:rPr>
        <w:t xml:space="preserve">1) and </w:t>
      </w:r>
      <w:r w:rsidR="00931431">
        <w:rPr>
          <w:sz w:val="24"/>
          <w:szCs w:val="24"/>
        </w:rPr>
        <w:lastRenderedPageBreak/>
        <w:t xml:space="preserve">received </w:t>
      </w:r>
      <w:r w:rsidR="00734BB9">
        <w:rPr>
          <w:sz w:val="24"/>
          <w:szCs w:val="24"/>
        </w:rPr>
        <w:t xml:space="preserve">strongly worded warranties that his home was being built “for a lifetime of comfort, convenience and energy savings.”  (RD </w:t>
      </w:r>
      <w:proofErr w:type="spellStart"/>
      <w:r w:rsidR="00734BB9">
        <w:rPr>
          <w:sz w:val="24"/>
          <w:szCs w:val="24"/>
        </w:rPr>
        <w:t>Exh</w:t>
      </w:r>
      <w:proofErr w:type="spellEnd"/>
      <w:r w:rsidR="00734BB9">
        <w:rPr>
          <w:sz w:val="24"/>
          <w:szCs w:val="24"/>
        </w:rPr>
        <w:t>.</w:t>
      </w:r>
      <w:r w:rsidR="00283BBC">
        <w:rPr>
          <w:sz w:val="24"/>
          <w:szCs w:val="24"/>
        </w:rPr>
        <w:t xml:space="preserve"> </w:t>
      </w:r>
      <w:r w:rsidR="00734BB9">
        <w:rPr>
          <w:sz w:val="24"/>
          <w:szCs w:val="24"/>
        </w:rPr>
        <w:t xml:space="preserve">1, Certificate)  “PPL Comfort Home” </w:t>
      </w:r>
      <w:r w:rsidR="00DC4DDD">
        <w:rPr>
          <w:sz w:val="24"/>
          <w:szCs w:val="24"/>
        </w:rPr>
        <w:t xml:space="preserve">is </w:t>
      </w:r>
      <w:r w:rsidR="001E496A">
        <w:rPr>
          <w:sz w:val="24"/>
          <w:szCs w:val="24"/>
        </w:rPr>
        <w:t xml:space="preserve">a registered phrase, also </w:t>
      </w:r>
      <w:r w:rsidR="00734BB9">
        <w:rPr>
          <w:sz w:val="24"/>
          <w:szCs w:val="24"/>
        </w:rPr>
        <w:t xml:space="preserve">registered </w:t>
      </w:r>
      <w:r w:rsidR="001E496A">
        <w:rPr>
          <w:sz w:val="24"/>
          <w:szCs w:val="24"/>
        </w:rPr>
        <w:t xml:space="preserve">is </w:t>
      </w:r>
      <w:r w:rsidR="00734BB9">
        <w:rPr>
          <w:sz w:val="24"/>
          <w:szCs w:val="24"/>
        </w:rPr>
        <w:t>the phrase “Award-Winning Comfort Homes.”  T</w:t>
      </w:r>
      <w:r w:rsidR="001E496A">
        <w:rPr>
          <w:sz w:val="24"/>
          <w:szCs w:val="24"/>
        </w:rPr>
        <w:t>hat</w:t>
      </w:r>
      <w:r w:rsidR="00734BB9">
        <w:rPr>
          <w:sz w:val="24"/>
          <w:szCs w:val="24"/>
        </w:rPr>
        <w:t xml:space="preserve"> </w:t>
      </w:r>
      <w:r w:rsidR="001E496A">
        <w:rPr>
          <w:sz w:val="24"/>
          <w:szCs w:val="24"/>
        </w:rPr>
        <w:t>particular flyer states</w:t>
      </w:r>
      <w:r w:rsidR="00734BB9">
        <w:rPr>
          <w:sz w:val="24"/>
          <w:szCs w:val="24"/>
        </w:rPr>
        <w:t>:</w:t>
      </w:r>
    </w:p>
    <w:p w:rsidR="00734BB9" w:rsidRDefault="00734BB9" w:rsidP="009605D9">
      <w:pPr>
        <w:pStyle w:val="ListParagraph"/>
        <w:numPr>
          <w:ilvl w:val="0"/>
          <w:numId w:val="26"/>
        </w:numPr>
        <w:rPr>
          <w:sz w:val="24"/>
          <w:szCs w:val="24"/>
        </w:rPr>
      </w:pPr>
      <w:r>
        <w:rPr>
          <w:sz w:val="24"/>
          <w:szCs w:val="24"/>
        </w:rPr>
        <w:t xml:space="preserve">Honored as a </w:t>
      </w:r>
      <w:r w:rsidR="009605D9">
        <w:rPr>
          <w:sz w:val="24"/>
          <w:szCs w:val="24"/>
        </w:rPr>
        <w:t>“</w:t>
      </w:r>
      <w:r>
        <w:rPr>
          <w:sz w:val="24"/>
          <w:szCs w:val="24"/>
        </w:rPr>
        <w:t xml:space="preserve">Model of Environmental Excellence” </w:t>
      </w:r>
      <w:r w:rsidR="009605D9">
        <w:rPr>
          <w:sz w:val="24"/>
          <w:szCs w:val="24"/>
        </w:rPr>
        <w:t>in the Renew America awards program</w:t>
      </w:r>
    </w:p>
    <w:p w:rsidR="006F177E" w:rsidRDefault="006F177E" w:rsidP="006F177E">
      <w:pPr>
        <w:pStyle w:val="ListParagraph"/>
        <w:ind w:left="2160"/>
        <w:rPr>
          <w:sz w:val="24"/>
          <w:szCs w:val="24"/>
        </w:rPr>
      </w:pPr>
    </w:p>
    <w:p w:rsidR="009605D9" w:rsidRDefault="009605D9" w:rsidP="009605D9">
      <w:pPr>
        <w:pStyle w:val="ListParagraph"/>
        <w:numPr>
          <w:ilvl w:val="0"/>
          <w:numId w:val="26"/>
        </w:numPr>
        <w:rPr>
          <w:sz w:val="24"/>
          <w:szCs w:val="24"/>
        </w:rPr>
      </w:pPr>
      <w:r>
        <w:rPr>
          <w:sz w:val="24"/>
          <w:szCs w:val="24"/>
        </w:rPr>
        <w:t xml:space="preserve">Received the Pennsylvania Governor’s Energy Award for energy efficiency </w:t>
      </w:r>
    </w:p>
    <w:p w:rsidR="006F177E" w:rsidRPr="006F177E" w:rsidRDefault="006F177E" w:rsidP="006F177E">
      <w:pPr>
        <w:rPr>
          <w:sz w:val="24"/>
          <w:szCs w:val="24"/>
        </w:rPr>
      </w:pPr>
    </w:p>
    <w:p w:rsidR="009605D9" w:rsidRDefault="009605D9" w:rsidP="009605D9">
      <w:pPr>
        <w:pStyle w:val="ListParagraph"/>
        <w:numPr>
          <w:ilvl w:val="0"/>
          <w:numId w:val="26"/>
        </w:numPr>
        <w:rPr>
          <w:sz w:val="24"/>
          <w:szCs w:val="24"/>
        </w:rPr>
      </w:pPr>
      <w:r>
        <w:rPr>
          <w:sz w:val="24"/>
          <w:szCs w:val="24"/>
        </w:rPr>
        <w:t xml:space="preserve">Won state and national utility awards for the whole-house approach to energy </w:t>
      </w:r>
      <w:r w:rsidR="00DC4DDD">
        <w:rPr>
          <w:sz w:val="24"/>
          <w:szCs w:val="24"/>
        </w:rPr>
        <w:t xml:space="preserve">efficiency (RD </w:t>
      </w:r>
      <w:proofErr w:type="spellStart"/>
      <w:r w:rsidR="00DC4DDD">
        <w:rPr>
          <w:sz w:val="24"/>
          <w:szCs w:val="24"/>
        </w:rPr>
        <w:t>Exh</w:t>
      </w:r>
      <w:proofErr w:type="spellEnd"/>
      <w:r w:rsidR="00DC4DDD">
        <w:rPr>
          <w:sz w:val="24"/>
          <w:szCs w:val="24"/>
        </w:rPr>
        <w:t>.</w:t>
      </w:r>
      <w:r w:rsidR="002B4EF1">
        <w:rPr>
          <w:sz w:val="24"/>
          <w:szCs w:val="24"/>
        </w:rPr>
        <w:t xml:space="preserve"> </w:t>
      </w:r>
      <w:r w:rsidR="00DC4DDD">
        <w:rPr>
          <w:sz w:val="24"/>
          <w:szCs w:val="24"/>
        </w:rPr>
        <w:t>1).</w:t>
      </w:r>
    </w:p>
    <w:p w:rsidR="009605D9" w:rsidRDefault="009605D9" w:rsidP="009605D9">
      <w:pPr>
        <w:pStyle w:val="ListParagraph"/>
        <w:ind w:left="2160"/>
        <w:rPr>
          <w:sz w:val="24"/>
          <w:szCs w:val="24"/>
        </w:rPr>
      </w:pPr>
    </w:p>
    <w:p w:rsidR="00CD2375" w:rsidRDefault="00CD2375" w:rsidP="009605D9">
      <w:pPr>
        <w:pStyle w:val="ListParagraph"/>
        <w:ind w:left="2160"/>
        <w:rPr>
          <w:sz w:val="24"/>
          <w:szCs w:val="24"/>
        </w:rPr>
      </w:pPr>
    </w:p>
    <w:p w:rsidR="009605D9" w:rsidRDefault="009605D9" w:rsidP="009605D9">
      <w:pPr>
        <w:pStyle w:val="ListParagraph"/>
        <w:spacing w:line="360" w:lineRule="auto"/>
        <w:ind w:left="0" w:firstLine="1440"/>
        <w:rPr>
          <w:sz w:val="24"/>
          <w:szCs w:val="24"/>
        </w:rPr>
      </w:pPr>
      <w:r>
        <w:rPr>
          <w:sz w:val="24"/>
          <w:szCs w:val="24"/>
        </w:rPr>
        <w:t>The flyer further st</w:t>
      </w:r>
      <w:r w:rsidR="001E496A">
        <w:rPr>
          <w:sz w:val="24"/>
          <w:szCs w:val="24"/>
        </w:rPr>
        <w:t>ates</w:t>
      </w:r>
      <w:r>
        <w:rPr>
          <w:sz w:val="24"/>
          <w:szCs w:val="24"/>
        </w:rPr>
        <w:t xml:space="preserve"> that “Comfort Homes are specifically designed and constructed to save energy.”  (RD Exh. 1)  </w:t>
      </w:r>
      <w:r w:rsidR="001E496A">
        <w:rPr>
          <w:sz w:val="24"/>
          <w:szCs w:val="24"/>
        </w:rPr>
        <w:t xml:space="preserve">With such accolades, it is no wonder the Complainant chose to build his home as a “PPL Comfort Home.”  The problem is that all during the time the Complainant is making his home building decisions, PPL knew the RTS rate was not working as hoped and PPL </w:t>
      </w:r>
      <w:r w:rsidR="001A35AD">
        <w:rPr>
          <w:sz w:val="24"/>
          <w:szCs w:val="24"/>
        </w:rPr>
        <w:t xml:space="preserve">decision makers were preparing to request that the </w:t>
      </w:r>
      <w:r w:rsidR="00DC4DDD">
        <w:rPr>
          <w:sz w:val="24"/>
          <w:szCs w:val="24"/>
        </w:rPr>
        <w:t>Commission</w:t>
      </w:r>
      <w:r w:rsidR="001A35AD">
        <w:rPr>
          <w:sz w:val="24"/>
          <w:szCs w:val="24"/>
        </w:rPr>
        <w:t xml:space="preserve"> allow the RTS to be phased out.  It is a significant disservice to its 14,000 RTS customer base for PPL to </w:t>
      </w:r>
      <w:r w:rsidR="00D82013">
        <w:rPr>
          <w:sz w:val="24"/>
          <w:szCs w:val="24"/>
        </w:rPr>
        <w:t xml:space="preserve">plan and execute a rate phase-out without effective notice.  An approximately 14,000 customer base should receive adequate notice that the future </w:t>
      </w:r>
      <w:r w:rsidR="00086E6F">
        <w:rPr>
          <w:sz w:val="24"/>
          <w:szCs w:val="24"/>
        </w:rPr>
        <w:t xml:space="preserve">would change.  Notice of the filing of a rate base change request in the </w:t>
      </w:r>
      <w:r w:rsidR="00086E6F" w:rsidRPr="00E40CBA">
        <w:rPr>
          <w:i/>
          <w:sz w:val="24"/>
          <w:szCs w:val="24"/>
        </w:rPr>
        <w:t>Pennsylvania Bulletin</w:t>
      </w:r>
      <w:r w:rsidR="00086E6F">
        <w:rPr>
          <w:sz w:val="24"/>
          <w:szCs w:val="24"/>
        </w:rPr>
        <w:t xml:space="preserve"> is not effective notice.  The only notice PPL provided was an </w:t>
      </w:r>
      <w:r w:rsidR="00086E6F" w:rsidRPr="00DC4DDD">
        <w:rPr>
          <w:i/>
          <w:sz w:val="24"/>
          <w:szCs w:val="24"/>
        </w:rPr>
        <w:t>undated</w:t>
      </w:r>
      <w:r w:rsidR="00086E6F">
        <w:rPr>
          <w:sz w:val="24"/>
          <w:szCs w:val="24"/>
        </w:rPr>
        <w:t xml:space="preserve"> “Dear Customer” flyer that states “[i]mportant changes will affect your electric bill in 2010.”  </w:t>
      </w:r>
      <w:r w:rsidR="006B7A61">
        <w:rPr>
          <w:sz w:val="24"/>
          <w:szCs w:val="24"/>
        </w:rPr>
        <w:t xml:space="preserve">Because of the phrasing, I can only presume that this flyer went out to customers in late 2009 or early 2010.  </w:t>
      </w:r>
      <w:r w:rsidR="00086E6F">
        <w:rPr>
          <w:sz w:val="24"/>
          <w:szCs w:val="24"/>
        </w:rPr>
        <w:t xml:space="preserve">One line of the flyer addressed RTS.  </w:t>
      </w:r>
      <w:r w:rsidR="00DC4DDD">
        <w:rPr>
          <w:sz w:val="24"/>
          <w:szCs w:val="24"/>
        </w:rPr>
        <w:t>That line</w:t>
      </w:r>
      <w:r w:rsidR="00086E6F">
        <w:rPr>
          <w:sz w:val="24"/>
          <w:szCs w:val="24"/>
        </w:rPr>
        <w:t xml:space="preserve"> states, “[i]f you are currently receiving service as a Residential The</w:t>
      </w:r>
      <w:r w:rsidR="00F12D77">
        <w:rPr>
          <w:sz w:val="24"/>
          <w:szCs w:val="24"/>
        </w:rPr>
        <w:t>r</w:t>
      </w:r>
      <w:r w:rsidR="00086E6F">
        <w:rPr>
          <w:sz w:val="24"/>
          <w:szCs w:val="24"/>
        </w:rPr>
        <w:t>mal Storage (RTS) customer, then you will likely experience higher price increases.”  (RD Exh. 2)</w:t>
      </w:r>
      <w:r w:rsidR="00F12D77">
        <w:rPr>
          <w:sz w:val="24"/>
          <w:szCs w:val="24"/>
        </w:rPr>
        <w:t xml:space="preserve">  PPL provided no documents to show that there was any earlier communication to its RTS customer base.  Such disregard for the welfare of its customers constitutes inadequate service and a violation of Section 1501 of the Public Utility Code.  66 Pa. C.S. § 1501.</w:t>
      </w:r>
      <w:r w:rsidR="00D82013">
        <w:rPr>
          <w:sz w:val="24"/>
          <w:szCs w:val="24"/>
        </w:rPr>
        <w:t xml:space="preserve"> </w:t>
      </w:r>
      <w:r w:rsidR="0060637F">
        <w:rPr>
          <w:sz w:val="24"/>
          <w:szCs w:val="24"/>
        </w:rPr>
        <w:t xml:space="preserve"> </w:t>
      </w:r>
      <w:r w:rsidR="0060637F" w:rsidRPr="0060637F">
        <w:rPr>
          <w:sz w:val="24"/>
          <w:szCs w:val="24"/>
        </w:rPr>
        <w:t>PPL’s failure to provide accurate information regarding the fut</w:t>
      </w:r>
      <w:r w:rsidR="0060637F">
        <w:rPr>
          <w:sz w:val="24"/>
          <w:szCs w:val="24"/>
        </w:rPr>
        <w:t>ure of a rate class which has 14</w:t>
      </w:r>
      <w:r w:rsidR="0060637F" w:rsidRPr="0060637F">
        <w:rPr>
          <w:sz w:val="24"/>
          <w:szCs w:val="24"/>
        </w:rPr>
        <w:t>,000 customers is inadequate service within the meaning of 66 Pa. C.S. § 1501.</w:t>
      </w:r>
    </w:p>
    <w:p w:rsidR="00FE59EF" w:rsidRDefault="00FE59EF" w:rsidP="009F0BA5">
      <w:pPr>
        <w:spacing w:line="360" w:lineRule="auto"/>
        <w:ind w:firstLine="1440"/>
        <w:rPr>
          <w:sz w:val="24"/>
          <w:szCs w:val="24"/>
        </w:rPr>
      </w:pPr>
      <w:r>
        <w:rPr>
          <w:sz w:val="24"/>
          <w:szCs w:val="24"/>
        </w:rPr>
        <w:lastRenderedPageBreak/>
        <w:t xml:space="preserve">Where a utility has been inadequate in its dealing with its customers, the </w:t>
      </w:r>
      <w:r w:rsidR="006B7A61">
        <w:rPr>
          <w:sz w:val="24"/>
          <w:szCs w:val="24"/>
        </w:rPr>
        <w:t>Commission</w:t>
      </w:r>
      <w:r>
        <w:rPr>
          <w:sz w:val="24"/>
          <w:szCs w:val="24"/>
        </w:rPr>
        <w:t xml:space="preserve"> has the authority to assess a civil penalty.  Section 3301 of the Public Utility Code  provides:</w:t>
      </w:r>
      <w:r w:rsidRPr="00BE476D">
        <w:rPr>
          <w:sz w:val="24"/>
          <w:szCs w:val="24"/>
        </w:rPr>
        <w:t> </w:t>
      </w:r>
    </w:p>
    <w:p w:rsidR="00FE59EF" w:rsidRDefault="00FE59EF" w:rsidP="00FE59EF">
      <w:pPr>
        <w:ind w:left="1440" w:right="1440"/>
        <w:rPr>
          <w:sz w:val="24"/>
          <w:szCs w:val="24"/>
        </w:rPr>
      </w:pPr>
    </w:p>
    <w:p w:rsidR="00FE59EF" w:rsidRPr="00BE476D" w:rsidRDefault="00FE59EF" w:rsidP="00FE59EF">
      <w:pPr>
        <w:ind w:left="2160" w:right="1440"/>
        <w:rPr>
          <w:sz w:val="24"/>
          <w:szCs w:val="24"/>
        </w:rPr>
      </w:pPr>
      <w:r w:rsidRPr="00BE476D">
        <w:rPr>
          <w:sz w:val="24"/>
          <w:szCs w:val="24"/>
        </w:rPr>
        <w:t xml:space="preserve">(a) GENERAL RULE.-- If any public utility, or any other person or corporation subject to this part, shall violate any of the provisions of this part, or shall do any matter or thing herein prohibited; or shall fail, omit, neglect, or refuse to perform any duty enjoined upon it by this part; or shall fail, omit, neglect or refuse to obey, observe, and comply with any regulation or final direction, requirement, determination or order made by the </w:t>
      </w:r>
      <w:r w:rsidR="00653613">
        <w:rPr>
          <w:sz w:val="24"/>
          <w:szCs w:val="24"/>
        </w:rPr>
        <w:t>Commission</w:t>
      </w:r>
      <w:r w:rsidRPr="00BE476D">
        <w:rPr>
          <w:sz w:val="24"/>
          <w:szCs w:val="24"/>
        </w:rPr>
        <w:t xml:space="preserve">, or any order of the </w:t>
      </w:r>
      <w:r w:rsidR="00653613">
        <w:rPr>
          <w:sz w:val="24"/>
          <w:szCs w:val="24"/>
        </w:rPr>
        <w:t>Commission</w:t>
      </w:r>
      <w:r w:rsidRPr="00BE476D">
        <w:rPr>
          <w:sz w:val="24"/>
          <w:szCs w:val="24"/>
        </w:rPr>
        <w:t xml:space="preserve"> prescribing temporary rates in any rate proceeding, or to comply with any final judgment, order or decree made by any court, such public utility, person or corporation for such violation, omission, failure, neglect, or refusal, shall forfeit and pay to the Commonwealth a sum not exceeding $ 1,000, to be recovered by an action of assumpsit instituted in the name of the Commonwealth. In construing and enforcing the provisions of this section, the violation, omission, failure, neglect, or refusal of any officer, agent, or employee acting for, or employed by, any such public utility, person or corporation shall, in every case be deemed to be the violation, omission, failure, neglect, or refusal of such public utility, person or corporation.</w:t>
      </w:r>
      <w:r w:rsidRPr="00BE476D">
        <w:rPr>
          <w:sz w:val="24"/>
          <w:szCs w:val="24"/>
        </w:rPr>
        <w:br/>
        <w:t> </w:t>
      </w:r>
      <w:r w:rsidRPr="00BE476D">
        <w:rPr>
          <w:sz w:val="24"/>
          <w:szCs w:val="24"/>
        </w:rPr>
        <w:br/>
        <w:t>(b) CONTINUING OFFENSES.-- Each and every day</w:t>
      </w:r>
      <w:r w:rsidR="00D36D32">
        <w:rPr>
          <w:sz w:val="24"/>
          <w:szCs w:val="24"/>
        </w:rPr>
        <w:t>’</w:t>
      </w:r>
      <w:r w:rsidRPr="00BE476D">
        <w:rPr>
          <w:sz w:val="24"/>
          <w:szCs w:val="24"/>
        </w:rPr>
        <w:t xml:space="preserve">s continuance in the violation of any regulation or final direction, requirement, determination, or order of the </w:t>
      </w:r>
      <w:r w:rsidR="00653613">
        <w:rPr>
          <w:sz w:val="24"/>
          <w:szCs w:val="24"/>
        </w:rPr>
        <w:t>Commission</w:t>
      </w:r>
      <w:r w:rsidRPr="00BE476D">
        <w:rPr>
          <w:sz w:val="24"/>
          <w:szCs w:val="24"/>
        </w:rPr>
        <w:t xml:space="preserve">, or of any order of the </w:t>
      </w:r>
      <w:r w:rsidR="00653613">
        <w:rPr>
          <w:sz w:val="24"/>
          <w:szCs w:val="24"/>
        </w:rPr>
        <w:t>Commission</w:t>
      </w:r>
      <w:r w:rsidRPr="00BE476D">
        <w:rPr>
          <w:sz w:val="24"/>
          <w:szCs w:val="24"/>
        </w:rPr>
        <w:t xml:space="preserve"> prescribing temporary rates in any rate proceeding, or of any final judgment, order or decree made by any court, shall be a separate and distinct offense. If any interlocutory order of supersedeas, or a preliminary injunction be granted, no penalties, shall be incurred or collected for or on account of any act, matter, or thing done in violation of such final direction, requirement, determination, order, or decree, so superseded or enjoined for the period of time such order of supersedeas or injunction is in force.</w:t>
      </w:r>
    </w:p>
    <w:p w:rsidR="00FE59EF" w:rsidRDefault="00FE59EF" w:rsidP="009605D9">
      <w:pPr>
        <w:pStyle w:val="ListParagraph"/>
        <w:spacing w:line="360" w:lineRule="auto"/>
        <w:ind w:left="0" w:firstLine="1440"/>
        <w:rPr>
          <w:sz w:val="24"/>
          <w:szCs w:val="24"/>
        </w:rPr>
      </w:pPr>
    </w:p>
    <w:p w:rsidR="007E6719" w:rsidRPr="007E6719" w:rsidRDefault="007E6719" w:rsidP="007E6719">
      <w:pPr>
        <w:spacing w:line="360" w:lineRule="auto"/>
        <w:ind w:firstLine="1440"/>
        <w:rPr>
          <w:spacing w:val="-3"/>
          <w:sz w:val="24"/>
          <w:szCs w:val="24"/>
        </w:rPr>
      </w:pPr>
      <w:r>
        <w:rPr>
          <w:sz w:val="24"/>
          <w:szCs w:val="24"/>
        </w:rPr>
        <w:t>A</w:t>
      </w:r>
      <w:r w:rsidR="006B7A61">
        <w:rPr>
          <w:sz w:val="24"/>
          <w:szCs w:val="24"/>
        </w:rPr>
        <w:t xml:space="preserve"> $2</w:t>
      </w:r>
      <w:r w:rsidRPr="007E6719">
        <w:rPr>
          <w:sz w:val="24"/>
          <w:szCs w:val="24"/>
        </w:rPr>
        <w:t>,000 fine is warranted in light of PPL’s violation of its duty to provide adequate, efficient and reasonable service under 66 Pa. C.S. § 1501</w:t>
      </w:r>
      <w:r w:rsidR="006B7A61">
        <w:rPr>
          <w:sz w:val="24"/>
          <w:szCs w:val="24"/>
        </w:rPr>
        <w:t xml:space="preserve"> to the Complainant and </w:t>
      </w:r>
      <w:r w:rsidR="006B7A61">
        <w:rPr>
          <w:sz w:val="24"/>
          <w:szCs w:val="24"/>
        </w:rPr>
        <w:lastRenderedPageBreak/>
        <w:t>Mr.</w:t>
      </w:r>
      <w:r w:rsidR="00D36D32">
        <w:rPr>
          <w:sz w:val="24"/>
          <w:szCs w:val="24"/>
        </w:rPr>
        <w:t> </w:t>
      </w:r>
      <w:r w:rsidR="006B7A61">
        <w:rPr>
          <w:sz w:val="24"/>
          <w:szCs w:val="24"/>
        </w:rPr>
        <w:t>McWilliams</w:t>
      </w:r>
      <w:r w:rsidRPr="007E6719">
        <w:rPr>
          <w:sz w:val="24"/>
          <w:szCs w:val="24"/>
        </w:rPr>
        <w:t xml:space="preserve">.  As such, consistent with </w:t>
      </w:r>
      <w:r w:rsidR="002D385D">
        <w:rPr>
          <w:sz w:val="24"/>
          <w:szCs w:val="24"/>
        </w:rPr>
        <w:t>Commission</w:t>
      </w:r>
      <w:r w:rsidRPr="007E6719">
        <w:rPr>
          <w:sz w:val="24"/>
          <w:szCs w:val="24"/>
        </w:rPr>
        <w:t xml:space="preserve"> </w:t>
      </w:r>
      <w:r w:rsidRPr="007E6719">
        <w:rPr>
          <w:spacing w:val="-3"/>
          <w:sz w:val="24"/>
          <w:szCs w:val="24"/>
        </w:rPr>
        <w:t>Statement of Policy at 52 Pa. Code §</w:t>
      </w:r>
      <w:r w:rsidR="00D8679A">
        <w:rPr>
          <w:spacing w:val="-3"/>
          <w:sz w:val="24"/>
          <w:szCs w:val="24"/>
        </w:rPr>
        <w:t> </w:t>
      </w:r>
      <w:r w:rsidRPr="007E6719">
        <w:rPr>
          <w:spacing w:val="-3"/>
          <w:sz w:val="24"/>
          <w:szCs w:val="24"/>
        </w:rPr>
        <w:t xml:space="preserve">69.1201, ten </w:t>
      </w:r>
      <w:r w:rsidRPr="007E6719">
        <w:rPr>
          <w:sz w:val="24"/>
          <w:szCs w:val="24"/>
          <w:u w:color="000000"/>
        </w:rPr>
        <w:t xml:space="preserve">factors set forth in </w:t>
      </w:r>
      <w:r w:rsidRPr="007E6719">
        <w:rPr>
          <w:spacing w:val="-3"/>
          <w:sz w:val="24"/>
          <w:szCs w:val="24"/>
        </w:rPr>
        <w:t xml:space="preserve">52 Pa. Code § 69.1201(c) </w:t>
      </w:r>
      <w:r>
        <w:rPr>
          <w:sz w:val="24"/>
          <w:szCs w:val="24"/>
          <w:u w:color="000000"/>
        </w:rPr>
        <w:t>are</w:t>
      </w:r>
      <w:r w:rsidRPr="007E6719">
        <w:rPr>
          <w:sz w:val="24"/>
          <w:szCs w:val="24"/>
          <w:u w:color="000000"/>
        </w:rPr>
        <w:t xml:space="preserve"> consider</w:t>
      </w:r>
      <w:r>
        <w:rPr>
          <w:sz w:val="24"/>
          <w:szCs w:val="24"/>
          <w:u w:color="000000"/>
        </w:rPr>
        <w:t>ed</w:t>
      </w:r>
      <w:r w:rsidRPr="007E6719">
        <w:rPr>
          <w:sz w:val="24"/>
          <w:szCs w:val="24"/>
          <w:u w:color="000000"/>
        </w:rPr>
        <w:t xml:space="preserve"> in determining whether to impose a civil penalty, and, if so, the amount of that civil penalty.</w:t>
      </w:r>
    </w:p>
    <w:p w:rsidR="007E6719" w:rsidRPr="007E6719" w:rsidRDefault="007E6719" w:rsidP="007E6719">
      <w:pPr>
        <w:suppressAutoHyphens/>
        <w:spacing w:line="360" w:lineRule="auto"/>
        <w:ind w:left="1440" w:right="1440"/>
        <w:rPr>
          <w:spacing w:val="-3"/>
          <w:sz w:val="24"/>
          <w:szCs w:val="24"/>
        </w:rPr>
      </w:pPr>
    </w:p>
    <w:p w:rsidR="007E6719" w:rsidRPr="007E6719" w:rsidRDefault="007E6719" w:rsidP="007E6719">
      <w:pPr>
        <w:suppressAutoHyphens/>
        <w:spacing w:line="360" w:lineRule="auto"/>
        <w:ind w:firstLine="1440"/>
        <w:rPr>
          <w:spacing w:val="-3"/>
          <w:sz w:val="24"/>
          <w:szCs w:val="24"/>
        </w:rPr>
      </w:pPr>
      <w:r w:rsidRPr="007E6719">
        <w:rPr>
          <w:spacing w:val="-3"/>
          <w:sz w:val="24"/>
          <w:szCs w:val="24"/>
        </w:rPr>
        <w:t xml:space="preserve">The first criterion to consider is whether the violation was of a serious nature or whether it was less egregious, such as an administrative or technical error.  PPL’s violation </w:t>
      </w:r>
      <w:r w:rsidR="00530D2F">
        <w:rPr>
          <w:spacing w:val="-3"/>
          <w:sz w:val="24"/>
          <w:szCs w:val="24"/>
        </w:rPr>
        <w:t>is</w:t>
      </w:r>
      <w:r w:rsidR="00236863">
        <w:rPr>
          <w:spacing w:val="-3"/>
          <w:sz w:val="24"/>
          <w:szCs w:val="24"/>
        </w:rPr>
        <w:t xml:space="preserve"> a </w:t>
      </w:r>
      <w:r w:rsidR="002D385D">
        <w:rPr>
          <w:spacing w:val="-3"/>
          <w:sz w:val="24"/>
          <w:szCs w:val="24"/>
        </w:rPr>
        <w:t xml:space="preserve">damaging </w:t>
      </w:r>
      <w:r w:rsidR="00236863">
        <w:rPr>
          <w:spacing w:val="-3"/>
          <w:sz w:val="24"/>
          <w:szCs w:val="24"/>
        </w:rPr>
        <w:t>corporate</w:t>
      </w:r>
      <w:r w:rsidR="002D385D">
        <w:rPr>
          <w:spacing w:val="-3"/>
          <w:sz w:val="24"/>
          <w:szCs w:val="24"/>
        </w:rPr>
        <w:t xml:space="preserve"> </w:t>
      </w:r>
      <w:r w:rsidR="001419A4">
        <w:rPr>
          <w:spacing w:val="-3"/>
          <w:sz w:val="24"/>
          <w:szCs w:val="24"/>
        </w:rPr>
        <w:t>misjudgment.</w:t>
      </w:r>
      <w:r w:rsidR="002D385D">
        <w:rPr>
          <w:spacing w:val="-3"/>
          <w:sz w:val="24"/>
          <w:szCs w:val="24"/>
        </w:rPr>
        <w:t xml:space="preserve">  It was a significant disservice to its customers.  I cannot conclude from the evidence provided that PPL</w:t>
      </w:r>
      <w:r w:rsidR="006316EF">
        <w:rPr>
          <w:spacing w:val="-3"/>
          <w:sz w:val="24"/>
          <w:szCs w:val="24"/>
        </w:rPr>
        <w:t>’s</w:t>
      </w:r>
      <w:r w:rsidR="002D385D">
        <w:rPr>
          <w:spacing w:val="-3"/>
          <w:sz w:val="24"/>
          <w:szCs w:val="24"/>
        </w:rPr>
        <w:t xml:space="preserve"> actions were deceptive as the Complainant believes, but at a minimum PPL’s choice to keep its decisions regarding RTS from the 14,000 customer base damaged customers by foreclosing them from being able to make informed, accurate decisions about their energy needs. </w:t>
      </w:r>
      <w:r w:rsidR="00236863">
        <w:rPr>
          <w:spacing w:val="-3"/>
          <w:sz w:val="24"/>
          <w:szCs w:val="24"/>
        </w:rPr>
        <w:t xml:space="preserve">  </w:t>
      </w:r>
    </w:p>
    <w:p w:rsidR="007E6719" w:rsidRPr="007E6719" w:rsidRDefault="007E6719" w:rsidP="007E6719">
      <w:pPr>
        <w:suppressAutoHyphens/>
        <w:spacing w:line="360" w:lineRule="auto"/>
        <w:rPr>
          <w:spacing w:val="-3"/>
          <w:sz w:val="24"/>
          <w:szCs w:val="24"/>
        </w:rPr>
      </w:pPr>
    </w:p>
    <w:p w:rsidR="007E6719" w:rsidRDefault="007E6719" w:rsidP="005B3545">
      <w:pPr>
        <w:spacing w:line="360" w:lineRule="auto"/>
        <w:ind w:firstLine="1440"/>
        <w:rPr>
          <w:sz w:val="24"/>
          <w:szCs w:val="24"/>
        </w:rPr>
      </w:pPr>
      <w:r w:rsidRPr="007E6719">
        <w:rPr>
          <w:spacing w:val="-3"/>
          <w:sz w:val="24"/>
          <w:szCs w:val="24"/>
        </w:rPr>
        <w:t xml:space="preserve">The second criterion is whether the resulting consequences of the conduct were of a serious nature, such as personal injury or property damage.  </w:t>
      </w:r>
      <w:r w:rsidRPr="007E6719">
        <w:rPr>
          <w:sz w:val="24"/>
          <w:szCs w:val="24"/>
        </w:rPr>
        <w:t>The Complainant</w:t>
      </w:r>
      <w:r>
        <w:rPr>
          <w:sz w:val="24"/>
          <w:szCs w:val="24"/>
        </w:rPr>
        <w:t xml:space="preserve"> averred that if </w:t>
      </w:r>
      <w:r w:rsidRPr="007E6719">
        <w:rPr>
          <w:sz w:val="24"/>
          <w:szCs w:val="24"/>
        </w:rPr>
        <w:t xml:space="preserve">he had known that the RTS </w:t>
      </w:r>
      <w:r>
        <w:rPr>
          <w:sz w:val="24"/>
          <w:szCs w:val="24"/>
        </w:rPr>
        <w:t>rate</w:t>
      </w:r>
      <w:r w:rsidR="000F749C">
        <w:rPr>
          <w:sz w:val="24"/>
          <w:szCs w:val="24"/>
        </w:rPr>
        <w:t xml:space="preserve"> was not going to exist</w:t>
      </w:r>
      <w:r w:rsidRPr="007E6719">
        <w:rPr>
          <w:sz w:val="24"/>
          <w:szCs w:val="24"/>
        </w:rPr>
        <w:t xml:space="preserve"> in the future, </w:t>
      </w:r>
      <w:r>
        <w:rPr>
          <w:sz w:val="24"/>
          <w:szCs w:val="24"/>
        </w:rPr>
        <w:t xml:space="preserve">he could have made different choices </w:t>
      </w:r>
      <w:r w:rsidR="00236863">
        <w:rPr>
          <w:sz w:val="24"/>
          <w:szCs w:val="24"/>
        </w:rPr>
        <w:t>when building his home</w:t>
      </w:r>
      <w:r>
        <w:rPr>
          <w:sz w:val="24"/>
          <w:szCs w:val="24"/>
        </w:rPr>
        <w:t xml:space="preserve">.  </w:t>
      </w:r>
      <w:r w:rsidRPr="007E6719">
        <w:rPr>
          <w:sz w:val="24"/>
          <w:szCs w:val="24"/>
        </w:rPr>
        <w:t>The Complainant</w:t>
      </w:r>
      <w:r>
        <w:rPr>
          <w:sz w:val="24"/>
          <w:szCs w:val="24"/>
        </w:rPr>
        <w:t xml:space="preserve"> at</w:t>
      </w:r>
      <w:r w:rsidRPr="007E6719">
        <w:rPr>
          <w:sz w:val="24"/>
          <w:szCs w:val="24"/>
        </w:rPr>
        <w:t>tempted to make an informed decision regarding the future energy costs of the house he w</w:t>
      </w:r>
      <w:r w:rsidR="00236863">
        <w:rPr>
          <w:sz w:val="24"/>
          <w:szCs w:val="24"/>
        </w:rPr>
        <w:t>as</w:t>
      </w:r>
      <w:r w:rsidRPr="007E6719">
        <w:rPr>
          <w:sz w:val="24"/>
          <w:szCs w:val="24"/>
        </w:rPr>
        <w:t xml:space="preserve"> </w:t>
      </w:r>
      <w:r>
        <w:rPr>
          <w:sz w:val="24"/>
          <w:szCs w:val="24"/>
        </w:rPr>
        <w:t>building</w:t>
      </w:r>
      <w:r w:rsidRPr="007E6719">
        <w:rPr>
          <w:sz w:val="24"/>
          <w:szCs w:val="24"/>
        </w:rPr>
        <w:t xml:space="preserve"> and PPL </w:t>
      </w:r>
      <w:r>
        <w:rPr>
          <w:sz w:val="24"/>
          <w:szCs w:val="24"/>
        </w:rPr>
        <w:t xml:space="preserve">failed </w:t>
      </w:r>
      <w:r w:rsidRPr="007E6719">
        <w:rPr>
          <w:sz w:val="24"/>
          <w:szCs w:val="24"/>
        </w:rPr>
        <w:t>to convey a</w:t>
      </w:r>
      <w:r w:rsidR="005B3545">
        <w:rPr>
          <w:sz w:val="24"/>
          <w:szCs w:val="24"/>
        </w:rPr>
        <w:t>ccurate and a</w:t>
      </w:r>
      <w:r w:rsidRPr="007E6719">
        <w:rPr>
          <w:sz w:val="24"/>
          <w:szCs w:val="24"/>
        </w:rPr>
        <w:t>dequate information</w:t>
      </w:r>
      <w:r w:rsidR="00236863">
        <w:rPr>
          <w:sz w:val="24"/>
          <w:szCs w:val="24"/>
        </w:rPr>
        <w:t xml:space="preserve"> to him about the future of the RTS rate</w:t>
      </w:r>
      <w:r w:rsidRPr="007E6719">
        <w:rPr>
          <w:sz w:val="24"/>
          <w:szCs w:val="24"/>
        </w:rPr>
        <w:t xml:space="preserve">.  </w:t>
      </w:r>
    </w:p>
    <w:p w:rsidR="005B3545" w:rsidRPr="007E6719" w:rsidRDefault="005B3545" w:rsidP="005B3545">
      <w:pPr>
        <w:spacing w:line="360" w:lineRule="auto"/>
        <w:ind w:firstLine="1440"/>
        <w:rPr>
          <w:spacing w:val="-3"/>
          <w:sz w:val="24"/>
          <w:szCs w:val="24"/>
        </w:rPr>
      </w:pPr>
    </w:p>
    <w:p w:rsidR="007E6719" w:rsidRPr="007E6719" w:rsidRDefault="007E6719" w:rsidP="005B3545">
      <w:pPr>
        <w:suppressAutoHyphens/>
        <w:spacing w:line="360" w:lineRule="auto"/>
        <w:ind w:firstLine="1440"/>
        <w:rPr>
          <w:spacing w:val="-3"/>
          <w:sz w:val="24"/>
          <w:szCs w:val="24"/>
        </w:rPr>
      </w:pPr>
      <w:r w:rsidRPr="007E6719">
        <w:rPr>
          <w:spacing w:val="-3"/>
          <w:sz w:val="24"/>
          <w:szCs w:val="24"/>
        </w:rPr>
        <w:t xml:space="preserve">The third criterion is whether the conduct at issue was deemed intentional or negligent.  </w:t>
      </w:r>
      <w:r w:rsidR="005B3545">
        <w:rPr>
          <w:spacing w:val="-3"/>
          <w:sz w:val="24"/>
          <w:szCs w:val="24"/>
        </w:rPr>
        <w:t>PPL provided no documentation to show that they communicated the anticipated phase out of the RTS rate</w:t>
      </w:r>
      <w:r w:rsidR="00236863">
        <w:rPr>
          <w:spacing w:val="-3"/>
          <w:sz w:val="24"/>
          <w:szCs w:val="24"/>
        </w:rPr>
        <w:t xml:space="preserve"> to some 14,000 RTS customers</w:t>
      </w:r>
      <w:r w:rsidR="005B3545">
        <w:rPr>
          <w:spacing w:val="-3"/>
          <w:sz w:val="24"/>
          <w:szCs w:val="24"/>
        </w:rPr>
        <w:t xml:space="preserve">.  The failure to </w:t>
      </w:r>
      <w:r w:rsidR="000F749C">
        <w:rPr>
          <w:spacing w:val="-3"/>
          <w:sz w:val="24"/>
          <w:szCs w:val="24"/>
        </w:rPr>
        <w:t xml:space="preserve">share its decision to phase out RTS </w:t>
      </w:r>
      <w:r w:rsidR="005B3545">
        <w:rPr>
          <w:spacing w:val="-3"/>
          <w:sz w:val="24"/>
          <w:szCs w:val="24"/>
        </w:rPr>
        <w:t>was intentional.</w:t>
      </w:r>
      <w:r w:rsidRPr="007E6719">
        <w:rPr>
          <w:spacing w:val="-3"/>
          <w:sz w:val="24"/>
          <w:szCs w:val="24"/>
        </w:rPr>
        <w:t xml:space="preserve"> </w:t>
      </w:r>
    </w:p>
    <w:p w:rsidR="007E6719" w:rsidRPr="007E6719" w:rsidRDefault="007E6719" w:rsidP="007E6719">
      <w:pPr>
        <w:suppressAutoHyphens/>
        <w:spacing w:line="360" w:lineRule="auto"/>
        <w:rPr>
          <w:spacing w:val="-3"/>
          <w:sz w:val="24"/>
          <w:szCs w:val="24"/>
        </w:rPr>
      </w:pPr>
    </w:p>
    <w:p w:rsidR="007E6719" w:rsidRDefault="007E6719" w:rsidP="005B3545">
      <w:pPr>
        <w:suppressAutoHyphens/>
        <w:spacing w:line="360" w:lineRule="auto"/>
        <w:ind w:firstLine="1440"/>
        <w:rPr>
          <w:spacing w:val="-3"/>
          <w:sz w:val="24"/>
          <w:szCs w:val="24"/>
        </w:rPr>
      </w:pPr>
      <w:r w:rsidRPr="007E6719">
        <w:rPr>
          <w:spacing w:val="-3"/>
          <w:sz w:val="24"/>
          <w:szCs w:val="24"/>
        </w:rPr>
        <w:t xml:space="preserve">The fourth criterion is whether the utility made efforts to modify internal practices and procedures to address the conduct and prevent similar conduct, and the amount of time it took for the implementation of these measures.  </w:t>
      </w:r>
      <w:r w:rsidR="00236863">
        <w:rPr>
          <w:spacing w:val="-3"/>
          <w:sz w:val="24"/>
          <w:szCs w:val="24"/>
        </w:rPr>
        <w:t>PPL did not address any r</w:t>
      </w:r>
      <w:r w:rsidRPr="007E6719">
        <w:rPr>
          <w:spacing w:val="-3"/>
          <w:sz w:val="24"/>
          <w:szCs w:val="24"/>
        </w:rPr>
        <w:t xml:space="preserve">emedial measures in the instant proceeding.  </w:t>
      </w:r>
      <w:r w:rsidR="00236863">
        <w:rPr>
          <w:spacing w:val="-3"/>
          <w:sz w:val="24"/>
          <w:szCs w:val="24"/>
        </w:rPr>
        <w:t xml:space="preserve">In fact, </w:t>
      </w:r>
      <w:r w:rsidR="005B3545">
        <w:rPr>
          <w:spacing w:val="-3"/>
          <w:sz w:val="24"/>
          <w:szCs w:val="24"/>
        </w:rPr>
        <w:t xml:space="preserve">PPL filed a rate case request with the </w:t>
      </w:r>
      <w:r w:rsidR="000F749C">
        <w:rPr>
          <w:sz w:val="24"/>
          <w:szCs w:val="24"/>
        </w:rPr>
        <w:t>Commission</w:t>
      </w:r>
      <w:r w:rsidR="005B3545">
        <w:rPr>
          <w:spacing w:val="-3"/>
          <w:sz w:val="24"/>
          <w:szCs w:val="24"/>
        </w:rPr>
        <w:t xml:space="preserve"> on December </w:t>
      </w:r>
      <w:r w:rsidR="000F749C">
        <w:rPr>
          <w:spacing w:val="-3"/>
          <w:sz w:val="24"/>
          <w:szCs w:val="24"/>
        </w:rPr>
        <w:t>30</w:t>
      </w:r>
      <w:r w:rsidR="005B3545">
        <w:rPr>
          <w:spacing w:val="-3"/>
          <w:sz w:val="24"/>
          <w:szCs w:val="24"/>
        </w:rPr>
        <w:t>, 1994</w:t>
      </w:r>
      <w:r w:rsidR="00757DA7">
        <w:rPr>
          <w:spacing w:val="-3"/>
          <w:sz w:val="24"/>
          <w:szCs w:val="24"/>
        </w:rPr>
        <w:t>,</w:t>
      </w:r>
      <w:r w:rsidR="005B3545">
        <w:rPr>
          <w:spacing w:val="-3"/>
          <w:sz w:val="24"/>
          <w:szCs w:val="24"/>
        </w:rPr>
        <w:t xml:space="preserve"> and yet the only documentation from PPL to RTS customers that their rates were being raised occurred </w:t>
      </w:r>
      <w:r w:rsidR="000C32F1">
        <w:rPr>
          <w:spacing w:val="-3"/>
          <w:sz w:val="24"/>
          <w:szCs w:val="24"/>
        </w:rPr>
        <w:t xml:space="preserve">in late 2009 or early 2010.  (RD Exh. 2)  </w:t>
      </w:r>
      <w:r w:rsidR="00236863">
        <w:rPr>
          <w:spacing w:val="-3"/>
          <w:sz w:val="24"/>
          <w:szCs w:val="24"/>
        </w:rPr>
        <w:t>PPL provided no other documentation of any communication to its 14,000 RTS customers</w:t>
      </w:r>
      <w:r w:rsidR="00501571">
        <w:rPr>
          <w:spacing w:val="-3"/>
          <w:sz w:val="24"/>
          <w:szCs w:val="24"/>
        </w:rPr>
        <w:t>.</w:t>
      </w:r>
    </w:p>
    <w:p w:rsidR="007E6719" w:rsidRPr="007E6719" w:rsidRDefault="007E6719" w:rsidP="000C32F1">
      <w:pPr>
        <w:suppressAutoHyphens/>
        <w:spacing w:line="360" w:lineRule="auto"/>
        <w:ind w:firstLine="1440"/>
        <w:rPr>
          <w:spacing w:val="-3"/>
          <w:sz w:val="24"/>
          <w:szCs w:val="24"/>
        </w:rPr>
      </w:pPr>
      <w:r w:rsidRPr="007E6719">
        <w:rPr>
          <w:spacing w:val="-3"/>
          <w:sz w:val="24"/>
          <w:szCs w:val="24"/>
        </w:rPr>
        <w:lastRenderedPageBreak/>
        <w:t xml:space="preserve">The fifth criterion is the number of customers affected.  </w:t>
      </w:r>
      <w:r w:rsidR="000F749C">
        <w:rPr>
          <w:spacing w:val="-3"/>
          <w:sz w:val="24"/>
          <w:szCs w:val="24"/>
        </w:rPr>
        <w:t xml:space="preserve">This record shows two affected individuals, the </w:t>
      </w:r>
      <w:r w:rsidR="00797C1D">
        <w:rPr>
          <w:spacing w:val="-3"/>
          <w:sz w:val="24"/>
          <w:szCs w:val="24"/>
        </w:rPr>
        <w:t xml:space="preserve">Complainant </w:t>
      </w:r>
      <w:r w:rsidR="000F749C">
        <w:rPr>
          <w:spacing w:val="-3"/>
          <w:sz w:val="24"/>
          <w:szCs w:val="24"/>
        </w:rPr>
        <w:t xml:space="preserve">and Mr. McWilliams. </w:t>
      </w:r>
      <w:r w:rsidRPr="007E6719">
        <w:rPr>
          <w:spacing w:val="-3"/>
          <w:sz w:val="24"/>
          <w:szCs w:val="24"/>
        </w:rPr>
        <w:t xml:space="preserve"> The record evidence did not explore or indicate whether any of PPL’s other </w:t>
      </w:r>
      <w:r w:rsidR="000C32F1">
        <w:rPr>
          <w:spacing w:val="-3"/>
          <w:sz w:val="24"/>
          <w:szCs w:val="24"/>
        </w:rPr>
        <w:t>14</w:t>
      </w:r>
      <w:r w:rsidRPr="007E6719">
        <w:rPr>
          <w:spacing w:val="-3"/>
          <w:sz w:val="24"/>
          <w:szCs w:val="24"/>
        </w:rPr>
        <w:t xml:space="preserve">,000 </w:t>
      </w:r>
      <w:r w:rsidR="000C32F1">
        <w:rPr>
          <w:spacing w:val="-3"/>
          <w:sz w:val="24"/>
          <w:szCs w:val="24"/>
        </w:rPr>
        <w:t>RTS r</w:t>
      </w:r>
      <w:r w:rsidRPr="007E6719">
        <w:rPr>
          <w:spacing w:val="-3"/>
          <w:sz w:val="24"/>
          <w:szCs w:val="24"/>
        </w:rPr>
        <w:t xml:space="preserve">ate customers were impacted by the failure of PPL to provide more complete information about </w:t>
      </w:r>
      <w:r w:rsidR="00501571">
        <w:rPr>
          <w:spacing w:val="-3"/>
          <w:sz w:val="24"/>
          <w:szCs w:val="24"/>
        </w:rPr>
        <w:t xml:space="preserve">the future of the </w:t>
      </w:r>
      <w:r w:rsidR="000C32F1">
        <w:rPr>
          <w:spacing w:val="-3"/>
          <w:sz w:val="24"/>
          <w:szCs w:val="24"/>
        </w:rPr>
        <w:t xml:space="preserve">RTS </w:t>
      </w:r>
      <w:r w:rsidR="00501571">
        <w:rPr>
          <w:spacing w:val="-3"/>
          <w:sz w:val="24"/>
          <w:szCs w:val="24"/>
        </w:rPr>
        <w:t>rate</w:t>
      </w:r>
      <w:r w:rsidRPr="007E6719">
        <w:rPr>
          <w:spacing w:val="-3"/>
          <w:sz w:val="24"/>
          <w:szCs w:val="24"/>
        </w:rPr>
        <w:t>.</w:t>
      </w:r>
    </w:p>
    <w:p w:rsidR="007E6719" w:rsidRPr="007E6719" w:rsidRDefault="007E6719" w:rsidP="007E6719">
      <w:pPr>
        <w:suppressAutoHyphens/>
        <w:spacing w:line="360" w:lineRule="auto"/>
        <w:rPr>
          <w:spacing w:val="-3"/>
          <w:sz w:val="24"/>
          <w:szCs w:val="24"/>
        </w:rPr>
      </w:pPr>
    </w:p>
    <w:p w:rsidR="007E6719" w:rsidRPr="007E6719" w:rsidRDefault="007E6719" w:rsidP="000C32F1">
      <w:pPr>
        <w:suppressAutoHyphens/>
        <w:spacing w:line="360" w:lineRule="auto"/>
        <w:ind w:firstLine="1440"/>
        <w:rPr>
          <w:spacing w:val="-3"/>
          <w:sz w:val="24"/>
          <w:szCs w:val="24"/>
        </w:rPr>
      </w:pPr>
      <w:r w:rsidRPr="007E6719">
        <w:rPr>
          <w:spacing w:val="-3"/>
          <w:sz w:val="24"/>
          <w:szCs w:val="24"/>
        </w:rPr>
        <w:t xml:space="preserve">The sixth criterion is a consideration of the compliance history of PPL.  There was no information on PPL’s compliance history presented on the record of this proceeding.  PPL’s compliance history is not a significant factor in this proceeding. </w:t>
      </w:r>
    </w:p>
    <w:p w:rsidR="007E6719" w:rsidRPr="007E6719" w:rsidRDefault="007E6719" w:rsidP="007E6719">
      <w:pPr>
        <w:suppressAutoHyphens/>
        <w:spacing w:line="360" w:lineRule="auto"/>
        <w:rPr>
          <w:spacing w:val="-3"/>
          <w:sz w:val="24"/>
          <w:szCs w:val="24"/>
        </w:rPr>
      </w:pPr>
    </w:p>
    <w:p w:rsidR="007E6719" w:rsidRPr="007E6719" w:rsidRDefault="007E6719" w:rsidP="000C32F1">
      <w:pPr>
        <w:suppressAutoHyphens/>
        <w:spacing w:line="360" w:lineRule="auto"/>
        <w:ind w:firstLine="1440"/>
        <w:rPr>
          <w:spacing w:val="-3"/>
          <w:sz w:val="24"/>
          <w:szCs w:val="24"/>
        </w:rPr>
      </w:pPr>
      <w:r w:rsidRPr="007E6719">
        <w:rPr>
          <w:spacing w:val="-3"/>
          <w:sz w:val="24"/>
          <w:szCs w:val="24"/>
        </w:rPr>
        <w:t xml:space="preserve">The seventh criterion is whether the regulated entity cooperated with the </w:t>
      </w:r>
      <w:r w:rsidR="00653613">
        <w:rPr>
          <w:spacing w:val="-3"/>
          <w:sz w:val="24"/>
          <w:szCs w:val="24"/>
        </w:rPr>
        <w:t>Commission</w:t>
      </w:r>
      <w:r w:rsidRPr="007E6719">
        <w:rPr>
          <w:spacing w:val="-3"/>
          <w:sz w:val="24"/>
          <w:szCs w:val="24"/>
        </w:rPr>
        <w:t xml:space="preserve">’s investigation.  This case did not involve a </w:t>
      </w:r>
      <w:r w:rsidR="00653613">
        <w:rPr>
          <w:spacing w:val="-3"/>
          <w:sz w:val="24"/>
          <w:szCs w:val="24"/>
        </w:rPr>
        <w:t>Commission</w:t>
      </w:r>
      <w:r w:rsidRPr="007E6719">
        <w:rPr>
          <w:spacing w:val="-3"/>
          <w:sz w:val="24"/>
          <w:szCs w:val="24"/>
        </w:rPr>
        <w:t xml:space="preserve"> investigation.  </w:t>
      </w:r>
      <w:r w:rsidR="000C32F1">
        <w:rPr>
          <w:spacing w:val="-3"/>
          <w:sz w:val="24"/>
          <w:szCs w:val="24"/>
        </w:rPr>
        <w:t>T</w:t>
      </w:r>
      <w:r w:rsidRPr="007E6719">
        <w:rPr>
          <w:spacing w:val="-3"/>
          <w:sz w:val="24"/>
          <w:szCs w:val="24"/>
        </w:rPr>
        <w:t>here is no indication of bad faith or active concealment of a violation.</w:t>
      </w:r>
    </w:p>
    <w:p w:rsidR="007E6719" w:rsidRPr="007E6719" w:rsidRDefault="007E6719" w:rsidP="007E6719">
      <w:pPr>
        <w:suppressAutoHyphens/>
        <w:spacing w:line="360" w:lineRule="auto"/>
        <w:rPr>
          <w:spacing w:val="-3"/>
          <w:sz w:val="24"/>
          <w:szCs w:val="24"/>
        </w:rPr>
      </w:pPr>
    </w:p>
    <w:p w:rsidR="007E6719" w:rsidRPr="007E6719" w:rsidRDefault="007E6719" w:rsidP="000C32F1">
      <w:pPr>
        <w:suppressAutoHyphens/>
        <w:spacing w:line="360" w:lineRule="auto"/>
        <w:ind w:firstLine="1440"/>
        <w:rPr>
          <w:spacing w:val="-3"/>
          <w:sz w:val="24"/>
          <w:szCs w:val="24"/>
        </w:rPr>
      </w:pPr>
      <w:r w:rsidRPr="007E6719">
        <w:rPr>
          <w:spacing w:val="-3"/>
          <w:sz w:val="24"/>
          <w:szCs w:val="24"/>
        </w:rPr>
        <w:t xml:space="preserve">The eighth criterion is the amount of the civil penalty or fine necessary to deter future violations, with consideration of the size of the utility.  </w:t>
      </w:r>
      <w:r w:rsidR="000C32F1">
        <w:rPr>
          <w:spacing w:val="-3"/>
          <w:sz w:val="24"/>
          <w:szCs w:val="24"/>
        </w:rPr>
        <w:t>I</w:t>
      </w:r>
      <w:r w:rsidRPr="007E6719">
        <w:rPr>
          <w:spacing w:val="-3"/>
          <w:sz w:val="24"/>
          <w:szCs w:val="24"/>
        </w:rPr>
        <w:t xml:space="preserve"> believe that a </w:t>
      </w:r>
      <w:r w:rsidR="000F749C">
        <w:rPr>
          <w:spacing w:val="-3"/>
          <w:sz w:val="24"/>
          <w:szCs w:val="24"/>
        </w:rPr>
        <w:t>$2</w:t>
      </w:r>
      <w:r w:rsidRPr="007E6719">
        <w:rPr>
          <w:spacing w:val="-3"/>
          <w:sz w:val="24"/>
          <w:szCs w:val="24"/>
        </w:rPr>
        <w:t xml:space="preserve">,000 fine </w:t>
      </w:r>
      <w:r w:rsidR="0081731B">
        <w:rPr>
          <w:spacing w:val="-3"/>
          <w:sz w:val="24"/>
          <w:szCs w:val="24"/>
        </w:rPr>
        <w:t xml:space="preserve">($1,000 for inadequate service to the Complainant and $1,000 for inadequate service to Mr. McWilliams) </w:t>
      </w:r>
      <w:r w:rsidRPr="007E6719">
        <w:rPr>
          <w:spacing w:val="-3"/>
          <w:sz w:val="24"/>
          <w:szCs w:val="24"/>
        </w:rPr>
        <w:t xml:space="preserve">is </w:t>
      </w:r>
      <w:r w:rsidR="0081731B">
        <w:rPr>
          <w:spacing w:val="-3"/>
          <w:sz w:val="24"/>
          <w:szCs w:val="24"/>
        </w:rPr>
        <w:t>warranted</w:t>
      </w:r>
      <w:r w:rsidR="000F749C">
        <w:rPr>
          <w:spacing w:val="-3"/>
          <w:sz w:val="24"/>
          <w:szCs w:val="24"/>
        </w:rPr>
        <w:t>.</w:t>
      </w:r>
      <w:r w:rsidRPr="007E6719">
        <w:rPr>
          <w:spacing w:val="-3"/>
          <w:sz w:val="24"/>
          <w:szCs w:val="24"/>
        </w:rPr>
        <w:t xml:space="preserve"> </w:t>
      </w:r>
    </w:p>
    <w:p w:rsidR="007E6719" w:rsidRPr="007E6719" w:rsidRDefault="007E6719" w:rsidP="007E6719">
      <w:pPr>
        <w:suppressAutoHyphens/>
        <w:spacing w:line="360" w:lineRule="auto"/>
        <w:rPr>
          <w:spacing w:val="-3"/>
          <w:sz w:val="24"/>
          <w:szCs w:val="24"/>
        </w:rPr>
      </w:pPr>
    </w:p>
    <w:p w:rsidR="007E6719" w:rsidRPr="007E6719" w:rsidRDefault="007E6719" w:rsidP="000C32F1">
      <w:pPr>
        <w:suppressAutoHyphens/>
        <w:spacing w:line="360" w:lineRule="auto"/>
        <w:ind w:firstLine="1440"/>
        <w:rPr>
          <w:spacing w:val="-3"/>
          <w:sz w:val="24"/>
          <w:szCs w:val="24"/>
        </w:rPr>
      </w:pPr>
      <w:r w:rsidRPr="007E6719">
        <w:rPr>
          <w:spacing w:val="-3"/>
          <w:sz w:val="24"/>
          <w:szCs w:val="24"/>
        </w:rPr>
        <w:t xml:space="preserve">The ninth criterion is past </w:t>
      </w:r>
      <w:r w:rsidR="0081731B">
        <w:rPr>
          <w:sz w:val="24"/>
          <w:szCs w:val="24"/>
        </w:rPr>
        <w:t>Commission</w:t>
      </w:r>
      <w:r w:rsidRPr="007E6719">
        <w:rPr>
          <w:spacing w:val="-3"/>
          <w:sz w:val="24"/>
          <w:szCs w:val="24"/>
        </w:rPr>
        <w:t xml:space="preserve"> decisions in similar situations.  </w:t>
      </w:r>
      <w:r w:rsidR="000C32F1">
        <w:rPr>
          <w:spacing w:val="-3"/>
          <w:sz w:val="24"/>
          <w:szCs w:val="24"/>
        </w:rPr>
        <w:t>There have been at least t</w:t>
      </w:r>
      <w:r w:rsidR="00ED0B0C">
        <w:rPr>
          <w:spacing w:val="-3"/>
          <w:sz w:val="24"/>
          <w:szCs w:val="24"/>
        </w:rPr>
        <w:t>hree</w:t>
      </w:r>
      <w:r w:rsidR="000C32F1">
        <w:rPr>
          <w:spacing w:val="-3"/>
          <w:sz w:val="24"/>
          <w:szCs w:val="24"/>
        </w:rPr>
        <w:t xml:space="preserve"> other RTS rate phase out complaints.  </w:t>
      </w:r>
      <w:r w:rsidR="00ED0B0C">
        <w:rPr>
          <w:spacing w:val="-3"/>
          <w:sz w:val="24"/>
          <w:szCs w:val="24"/>
        </w:rPr>
        <w:t>Each ha</w:t>
      </w:r>
      <w:r w:rsidR="00501571">
        <w:rPr>
          <w:spacing w:val="-3"/>
          <w:sz w:val="24"/>
          <w:szCs w:val="24"/>
        </w:rPr>
        <w:t>s</w:t>
      </w:r>
      <w:r w:rsidR="00ED0B0C">
        <w:rPr>
          <w:spacing w:val="-3"/>
          <w:sz w:val="24"/>
          <w:szCs w:val="24"/>
        </w:rPr>
        <w:t xml:space="preserve"> found that the rates in effect have the force of law as have I.  One case warranted a civil penalty as I believe is appropriate here.</w:t>
      </w:r>
    </w:p>
    <w:p w:rsidR="007E6719" w:rsidRPr="007E6719" w:rsidRDefault="007E6719" w:rsidP="007E6719">
      <w:pPr>
        <w:suppressAutoHyphens/>
        <w:spacing w:line="360" w:lineRule="auto"/>
        <w:rPr>
          <w:spacing w:val="-3"/>
          <w:sz w:val="24"/>
          <w:szCs w:val="24"/>
        </w:rPr>
      </w:pPr>
    </w:p>
    <w:p w:rsidR="007E6719" w:rsidRPr="007E6719" w:rsidRDefault="007E6719" w:rsidP="00ED0B0C">
      <w:pPr>
        <w:suppressAutoHyphens/>
        <w:spacing w:line="360" w:lineRule="auto"/>
        <w:ind w:firstLine="1440"/>
        <w:rPr>
          <w:spacing w:val="-3"/>
          <w:sz w:val="24"/>
          <w:szCs w:val="24"/>
        </w:rPr>
      </w:pPr>
      <w:r w:rsidRPr="007E6719">
        <w:rPr>
          <w:spacing w:val="-3"/>
          <w:sz w:val="24"/>
          <w:szCs w:val="24"/>
        </w:rPr>
        <w:t>The tenth criterion is other relevant factors, and none have been suggested or considered other than those previously discussed.</w:t>
      </w:r>
    </w:p>
    <w:p w:rsidR="002B6E13" w:rsidRDefault="002B6E13" w:rsidP="00BC492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0322AE">
      <w:pPr>
        <w:spacing w:line="360" w:lineRule="auto"/>
        <w:ind w:firstLine="1440"/>
        <w:jc w:val="center"/>
        <w:rPr>
          <w:sz w:val="24"/>
          <w:szCs w:val="24"/>
          <w:u w:val="single"/>
        </w:rPr>
      </w:pPr>
    </w:p>
    <w:p w:rsidR="00382B1A" w:rsidRPr="002B6E13" w:rsidRDefault="00382B1A" w:rsidP="00A933C5">
      <w:pPr>
        <w:pStyle w:val="ListParagraph"/>
        <w:numPr>
          <w:ilvl w:val="0"/>
          <w:numId w:val="25"/>
        </w:numPr>
        <w:tabs>
          <w:tab w:val="left" w:pos="0"/>
          <w:tab w:val="left" w:pos="2160"/>
        </w:tabs>
        <w:spacing w:line="360" w:lineRule="auto"/>
        <w:ind w:left="0" w:firstLine="1440"/>
        <w:rPr>
          <w:sz w:val="24"/>
          <w:szCs w:val="24"/>
        </w:rPr>
      </w:pPr>
      <w:r w:rsidRPr="002B6E13">
        <w:rPr>
          <w:sz w:val="24"/>
          <w:szCs w:val="24"/>
        </w:rPr>
        <w:t xml:space="preserve">The </w:t>
      </w:r>
      <w:r w:rsidR="00653613">
        <w:rPr>
          <w:sz w:val="24"/>
          <w:szCs w:val="24"/>
        </w:rPr>
        <w:t>Commission</w:t>
      </w:r>
      <w:r w:rsidRPr="002B6E13">
        <w:rPr>
          <w:sz w:val="24"/>
          <w:szCs w:val="24"/>
        </w:rPr>
        <w:t xml:space="preserve"> has jurisdiction over the subject matter and parties to this Complaint.  66 Pa. C.S. § 701.</w:t>
      </w:r>
    </w:p>
    <w:p w:rsidR="00382B1A" w:rsidRPr="007934E4" w:rsidRDefault="00382B1A" w:rsidP="00A933C5">
      <w:pPr>
        <w:tabs>
          <w:tab w:val="left" w:pos="0"/>
          <w:tab w:val="left" w:pos="2160"/>
        </w:tabs>
        <w:spacing w:line="360" w:lineRule="auto"/>
        <w:ind w:firstLine="1440"/>
        <w:rPr>
          <w:sz w:val="24"/>
          <w:szCs w:val="24"/>
        </w:rPr>
      </w:pPr>
    </w:p>
    <w:p w:rsidR="00382B1A" w:rsidRPr="002B6E13" w:rsidRDefault="00382B1A" w:rsidP="00A933C5">
      <w:pPr>
        <w:pStyle w:val="ListParagraph"/>
        <w:numPr>
          <w:ilvl w:val="0"/>
          <w:numId w:val="25"/>
        </w:numPr>
        <w:tabs>
          <w:tab w:val="left" w:pos="0"/>
          <w:tab w:val="left" w:pos="2160"/>
        </w:tabs>
        <w:spacing w:line="360" w:lineRule="auto"/>
        <w:ind w:left="0" w:firstLine="1440"/>
        <w:rPr>
          <w:sz w:val="24"/>
          <w:szCs w:val="24"/>
        </w:rPr>
      </w:pPr>
      <w:r w:rsidRPr="002B6E13">
        <w:rPr>
          <w:sz w:val="24"/>
          <w:szCs w:val="24"/>
        </w:rPr>
        <w:lastRenderedPageBreak/>
        <w:t xml:space="preserve">As the party seeking affirmative relief from the </w:t>
      </w:r>
      <w:r w:rsidR="00653613">
        <w:rPr>
          <w:sz w:val="24"/>
          <w:szCs w:val="24"/>
        </w:rPr>
        <w:t>Commission</w:t>
      </w:r>
      <w:r w:rsidRPr="002B6E13">
        <w:rPr>
          <w:sz w:val="24"/>
          <w:szCs w:val="24"/>
        </w:rPr>
        <w:t xml:space="preserve">, </w:t>
      </w:r>
      <w:r w:rsidR="00C1140C" w:rsidRPr="002B6E13">
        <w:rPr>
          <w:sz w:val="24"/>
          <w:szCs w:val="24"/>
        </w:rPr>
        <w:t>Complainant</w:t>
      </w:r>
      <w:r w:rsidRPr="002B6E13">
        <w:rPr>
          <w:sz w:val="24"/>
          <w:szCs w:val="24"/>
        </w:rPr>
        <w:t xml:space="preserve"> bears the burden of proof.  66 Pa. C.S. § 332(a).</w:t>
      </w:r>
    </w:p>
    <w:p w:rsidR="00382B1A" w:rsidRPr="007934E4" w:rsidRDefault="00382B1A" w:rsidP="00A933C5">
      <w:pPr>
        <w:tabs>
          <w:tab w:val="left" w:pos="0"/>
          <w:tab w:val="left" w:pos="2160"/>
        </w:tabs>
        <w:spacing w:line="360" w:lineRule="auto"/>
        <w:ind w:firstLine="1440"/>
        <w:rPr>
          <w:sz w:val="24"/>
          <w:szCs w:val="24"/>
        </w:rPr>
      </w:pPr>
    </w:p>
    <w:p w:rsidR="00382B1A" w:rsidRDefault="00382B1A" w:rsidP="00A933C5">
      <w:pPr>
        <w:pStyle w:val="ListParagraph"/>
        <w:numPr>
          <w:ilvl w:val="0"/>
          <w:numId w:val="25"/>
        </w:numPr>
        <w:tabs>
          <w:tab w:val="left" w:pos="0"/>
          <w:tab w:val="left" w:pos="2160"/>
        </w:tabs>
        <w:spacing w:line="360" w:lineRule="auto"/>
        <w:ind w:left="0" w:firstLine="1440"/>
        <w:rPr>
          <w:spacing w:val="-3"/>
          <w:sz w:val="24"/>
          <w:szCs w:val="24"/>
        </w:rPr>
      </w:pPr>
      <w:r w:rsidRPr="002B6E13">
        <w:rPr>
          <w:spacing w:val="-3"/>
          <w:sz w:val="24"/>
          <w:szCs w:val="24"/>
        </w:rPr>
        <w:t xml:space="preserve">As a matter of general principle, a complainant must show that the named utility is responsible or accountable for the problem described in the </w:t>
      </w:r>
      <w:r w:rsidR="0008498B">
        <w:rPr>
          <w:spacing w:val="-3"/>
          <w:sz w:val="24"/>
          <w:szCs w:val="24"/>
        </w:rPr>
        <w:t>c</w:t>
      </w:r>
      <w:r w:rsidRPr="002B6E13">
        <w:rPr>
          <w:spacing w:val="-3"/>
          <w:sz w:val="24"/>
          <w:szCs w:val="24"/>
        </w:rPr>
        <w:t xml:space="preserve">omplaint in order to prevail.  </w:t>
      </w:r>
      <w:r w:rsidRPr="002B6E13">
        <w:rPr>
          <w:i/>
          <w:spacing w:val="-3"/>
          <w:sz w:val="24"/>
          <w:szCs w:val="24"/>
        </w:rPr>
        <w:t>Patterson v. Bell Telephone Company of Pennsylvania</w:t>
      </w:r>
      <w:r w:rsidRPr="002B6E13">
        <w:rPr>
          <w:spacing w:val="-3"/>
          <w:sz w:val="24"/>
          <w:szCs w:val="24"/>
        </w:rPr>
        <w:t>, 72 Pa. P</w:t>
      </w:r>
      <w:r w:rsidR="003E594B" w:rsidRPr="002B6E13">
        <w:rPr>
          <w:spacing w:val="-3"/>
          <w:sz w:val="24"/>
          <w:szCs w:val="24"/>
        </w:rPr>
        <w:t xml:space="preserve">ub. </w:t>
      </w:r>
      <w:r w:rsidRPr="002B6E13">
        <w:rPr>
          <w:spacing w:val="-3"/>
          <w:sz w:val="24"/>
          <w:szCs w:val="24"/>
        </w:rPr>
        <w:t>U</w:t>
      </w:r>
      <w:r w:rsidR="003E594B" w:rsidRPr="002B6E13">
        <w:rPr>
          <w:spacing w:val="-3"/>
          <w:sz w:val="24"/>
          <w:szCs w:val="24"/>
        </w:rPr>
        <w:t xml:space="preserve">til. </w:t>
      </w:r>
      <w:r w:rsidRPr="002B6E13">
        <w:rPr>
          <w:spacing w:val="-3"/>
          <w:sz w:val="24"/>
          <w:szCs w:val="24"/>
        </w:rPr>
        <w:t>C</w:t>
      </w:r>
      <w:r w:rsidR="003E594B" w:rsidRPr="002B6E13">
        <w:rPr>
          <w:spacing w:val="-3"/>
          <w:sz w:val="24"/>
          <w:szCs w:val="24"/>
        </w:rPr>
        <w:t>omm’n</w:t>
      </w:r>
      <w:r w:rsidRPr="002B6E13">
        <w:rPr>
          <w:spacing w:val="-3"/>
          <w:sz w:val="24"/>
          <w:szCs w:val="24"/>
        </w:rPr>
        <w:t xml:space="preserve"> 196 (1990); </w:t>
      </w:r>
      <w:r w:rsidRPr="002B6E13">
        <w:rPr>
          <w:i/>
          <w:spacing w:val="-3"/>
          <w:sz w:val="24"/>
          <w:szCs w:val="24"/>
        </w:rPr>
        <w:t>Feinstein v. Philadelphia Suburban Water Company</w:t>
      </w:r>
      <w:r w:rsidRPr="002B6E13">
        <w:rPr>
          <w:spacing w:val="-3"/>
          <w:sz w:val="24"/>
          <w:szCs w:val="24"/>
        </w:rPr>
        <w:t>, 50 Pa. P</w:t>
      </w:r>
      <w:r w:rsidR="003E594B" w:rsidRPr="002B6E13">
        <w:rPr>
          <w:spacing w:val="-3"/>
          <w:sz w:val="24"/>
          <w:szCs w:val="24"/>
        </w:rPr>
        <w:t xml:space="preserve">ub. </w:t>
      </w:r>
      <w:r w:rsidRPr="002B6E13">
        <w:rPr>
          <w:spacing w:val="-3"/>
          <w:sz w:val="24"/>
          <w:szCs w:val="24"/>
        </w:rPr>
        <w:t>U</w:t>
      </w:r>
      <w:r w:rsidR="003E594B" w:rsidRPr="002B6E13">
        <w:rPr>
          <w:spacing w:val="-3"/>
          <w:sz w:val="24"/>
          <w:szCs w:val="24"/>
        </w:rPr>
        <w:t xml:space="preserve">til. </w:t>
      </w:r>
      <w:r w:rsidRPr="002B6E13">
        <w:rPr>
          <w:spacing w:val="-3"/>
          <w:sz w:val="24"/>
          <w:szCs w:val="24"/>
        </w:rPr>
        <w:t>C</w:t>
      </w:r>
      <w:r w:rsidR="003E594B" w:rsidRPr="002B6E13">
        <w:rPr>
          <w:spacing w:val="-3"/>
          <w:sz w:val="24"/>
          <w:szCs w:val="24"/>
        </w:rPr>
        <w:t>omm’n</w:t>
      </w:r>
      <w:r w:rsidRPr="002B6E13">
        <w:rPr>
          <w:spacing w:val="-3"/>
          <w:sz w:val="24"/>
          <w:szCs w:val="24"/>
        </w:rPr>
        <w:t xml:space="preserve"> 300 (1976).  This must be shown by a preponderance of the evidence.  </w:t>
      </w:r>
      <w:r w:rsidR="003E594B" w:rsidRPr="002B6E13">
        <w:rPr>
          <w:i/>
          <w:spacing w:val="-3"/>
          <w:sz w:val="24"/>
          <w:szCs w:val="24"/>
        </w:rPr>
        <w:t>Samuel J. Lansberry, Inc. v. Pa.</w:t>
      </w:r>
      <w:r w:rsidRPr="002B6E13">
        <w:rPr>
          <w:i/>
          <w:spacing w:val="-3"/>
          <w:sz w:val="24"/>
          <w:szCs w:val="24"/>
        </w:rPr>
        <w:t xml:space="preserve"> Pub</w:t>
      </w:r>
      <w:r w:rsidR="003E594B" w:rsidRPr="002B6E13">
        <w:rPr>
          <w:i/>
          <w:spacing w:val="-3"/>
          <w:sz w:val="24"/>
          <w:szCs w:val="24"/>
        </w:rPr>
        <w:t>.</w:t>
      </w:r>
      <w:r w:rsidRPr="002B6E13">
        <w:rPr>
          <w:i/>
          <w:spacing w:val="-3"/>
          <w:sz w:val="24"/>
          <w:szCs w:val="24"/>
        </w:rPr>
        <w:t xml:space="preserve"> Util</w:t>
      </w:r>
      <w:r w:rsidR="003E594B" w:rsidRPr="002B6E13">
        <w:rPr>
          <w:i/>
          <w:spacing w:val="-3"/>
          <w:sz w:val="24"/>
          <w:szCs w:val="24"/>
        </w:rPr>
        <w:t>.</w:t>
      </w:r>
      <w:r w:rsidRPr="002B6E13">
        <w:rPr>
          <w:i/>
          <w:spacing w:val="-3"/>
          <w:sz w:val="24"/>
          <w:szCs w:val="24"/>
        </w:rPr>
        <w:t xml:space="preserve"> Comm’n</w:t>
      </w:r>
      <w:r w:rsidRPr="002B6E13">
        <w:rPr>
          <w:spacing w:val="-3"/>
          <w:sz w:val="24"/>
          <w:szCs w:val="24"/>
        </w:rPr>
        <w:t xml:space="preserve">, 578 A.2d 600 (1990), </w:t>
      </w:r>
      <w:r w:rsidRPr="002B6E13">
        <w:rPr>
          <w:i/>
          <w:spacing w:val="-3"/>
          <w:sz w:val="24"/>
          <w:szCs w:val="24"/>
        </w:rPr>
        <w:t>alloc. den.</w:t>
      </w:r>
      <w:r w:rsidR="003E594B" w:rsidRPr="002B6E13">
        <w:rPr>
          <w:spacing w:val="-3"/>
          <w:sz w:val="24"/>
          <w:szCs w:val="24"/>
        </w:rPr>
        <w:t xml:space="preserve">, 602 A.2d </w:t>
      </w:r>
      <w:r w:rsidRPr="002B6E13">
        <w:rPr>
          <w:spacing w:val="-3"/>
          <w:sz w:val="24"/>
          <w:szCs w:val="24"/>
        </w:rPr>
        <w:t>863 (1992).</w:t>
      </w:r>
    </w:p>
    <w:p w:rsidR="000322AE" w:rsidRPr="000322AE" w:rsidRDefault="000322AE" w:rsidP="00A933C5">
      <w:pPr>
        <w:pStyle w:val="ListParagraph"/>
        <w:tabs>
          <w:tab w:val="left" w:pos="0"/>
          <w:tab w:val="left" w:pos="2160"/>
        </w:tabs>
        <w:ind w:left="0" w:firstLine="1440"/>
        <w:rPr>
          <w:spacing w:val="-3"/>
          <w:sz w:val="24"/>
          <w:szCs w:val="24"/>
        </w:rPr>
      </w:pPr>
    </w:p>
    <w:p w:rsidR="000322AE" w:rsidRDefault="000322AE" w:rsidP="00A933C5">
      <w:pPr>
        <w:pStyle w:val="ListParagraph"/>
        <w:numPr>
          <w:ilvl w:val="0"/>
          <w:numId w:val="25"/>
        </w:numPr>
        <w:tabs>
          <w:tab w:val="left" w:pos="0"/>
          <w:tab w:val="left" w:pos="2160"/>
        </w:tabs>
        <w:spacing w:line="360" w:lineRule="auto"/>
        <w:ind w:left="0" w:firstLine="1440"/>
        <w:rPr>
          <w:spacing w:val="-3"/>
          <w:sz w:val="24"/>
          <w:szCs w:val="24"/>
        </w:rPr>
      </w:pPr>
      <w:r>
        <w:rPr>
          <w:spacing w:val="-3"/>
          <w:sz w:val="24"/>
          <w:szCs w:val="24"/>
        </w:rPr>
        <w:t>PPL must charge the rates that are approved through the rate making process.  66 Pa. C.S. §</w:t>
      </w:r>
      <w:r w:rsidR="0004449E">
        <w:rPr>
          <w:spacing w:val="-3"/>
          <w:sz w:val="24"/>
          <w:szCs w:val="24"/>
        </w:rPr>
        <w:t xml:space="preserve"> </w:t>
      </w:r>
      <w:r>
        <w:rPr>
          <w:spacing w:val="-3"/>
          <w:sz w:val="24"/>
          <w:szCs w:val="24"/>
        </w:rPr>
        <w:t>1303.</w:t>
      </w:r>
    </w:p>
    <w:p w:rsidR="000322AE" w:rsidRPr="000322AE" w:rsidRDefault="000322AE" w:rsidP="00A933C5">
      <w:pPr>
        <w:pStyle w:val="ListParagraph"/>
        <w:tabs>
          <w:tab w:val="left" w:pos="0"/>
          <w:tab w:val="left" w:pos="2160"/>
        </w:tabs>
        <w:ind w:left="0" w:firstLine="1440"/>
        <w:rPr>
          <w:spacing w:val="-3"/>
          <w:sz w:val="24"/>
          <w:szCs w:val="24"/>
        </w:rPr>
      </w:pPr>
    </w:p>
    <w:p w:rsidR="000322AE" w:rsidRDefault="0004449E" w:rsidP="00A933C5">
      <w:pPr>
        <w:pStyle w:val="ListParagraph"/>
        <w:numPr>
          <w:ilvl w:val="0"/>
          <w:numId w:val="25"/>
        </w:numPr>
        <w:tabs>
          <w:tab w:val="left" w:pos="0"/>
          <w:tab w:val="left" w:pos="2160"/>
        </w:tabs>
        <w:spacing w:line="360" w:lineRule="auto"/>
        <w:ind w:left="0" w:firstLine="1440"/>
        <w:rPr>
          <w:spacing w:val="-3"/>
          <w:sz w:val="24"/>
          <w:szCs w:val="24"/>
        </w:rPr>
      </w:pPr>
      <w:r>
        <w:rPr>
          <w:spacing w:val="-3"/>
          <w:sz w:val="24"/>
          <w:szCs w:val="24"/>
        </w:rPr>
        <w:t>PPL may not discriminate in its rates.  66 Pa. C.S. § 1304.</w:t>
      </w:r>
    </w:p>
    <w:p w:rsidR="00F0613F" w:rsidRPr="00F0613F" w:rsidRDefault="00F0613F" w:rsidP="00F0613F">
      <w:pPr>
        <w:pStyle w:val="ListParagraph"/>
        <w:rPr>
          <w:spacing w:val="-3"/>
          <w:sz w:val="24"/>
          <w:szCs w:val="24"/>
        </w:rPr>
      </w:pPr>
    </w:p>
    <w:p w:rsidR="0004449E" w:rsidRPr="008E260D" w:rsidRDefault="00037295" w:rsidP="00F0613F">
      <w:pPr>
        <w:pStyle w:val="ListParagraph"/>
        <w:numPr>
          <w:ilvl w:val="0"/>
          <w:numId w:val="25"/>
        </w:numPr>
        <w:tabs>
          <w:tab w:val="left" w:pos="0"/>
          <w:tab w:val="left" w:pos="2160"/>
        </w:tabs>
        <w:spacing w:line="360" w:lineRule="auto"/>
        <w:ind w:left="0" w:firstLine="1440"/>
        <w:rPr>
          <w:sz w:val="24"/>
          <w:szCs w:val="24"/>
        </w:rPr>
      </w:pPr>
      <w:r w:rsidRPr="00F0613F">
        <w:rPr>
          <w:rStyle w:val="term1"/>
          <w:b w:val="0"/>
          <w:sz w:val="24"/>
          <w:szCs w:val="24"/>
        </w:rPr>
        <w:t>Tariffs have the force and effect of law,</w:t>
      </w:r>
      <w:r w:rsidRPr="00F0613F">
        <w:rPr>
          <w:sz w:val="24"/>
          <w:szCs w:val="24"/>
        </w:rPr>
        <w:t xml:space="preserve"> and parties cannot contractually alter the terms of a tariff.   </w:t>
      </w:r>
      <w:hyperlink r:id="rId11" w:history="1">
        <w:r w:rsidRPr="005034F5">
          <w:rPr>
            <w:rStyle w:val="Hyperlink"/>
            <w:i/>
            <w:color w:val="auto"/>
            <w:sz w:val="24"/>
            <w:szCs w:val="24"/>
            <w:u w:val="none"/>
          </w:rPr>
          <w:t xml:space="preserve">Brockway Glass v. </w:t>
        </w:r>
        <w:r w:rsidR="0081731B" w:rsidRPr="005034F5">
          <w:rPr>
            <w:i/>
            <w:sz w:val="24"/>
            <w:szCs w:val="24"/>
          </w:rPr>
          <w:t xml:space="preserve">Pa. </w:t>
        </w:r>
        <w:proofErr w:type="spellStart"/>
        <w:r w:rsidR="0081731B" w:rsidRPr="005034F5">
          <w:rPr>
            <w:i/>
            <w:sz w:val="24"/>
            <w:szCs w:val="24"/>
          </w:rPr>
          <w:t>Pub.Util</w:t>
        </w:r>
        <w:proofErr w:type="spellEnd"/>
        <w:r w:rsidR="0081731B" w:rsidRPr="005034F5">
          <w:rPr>
            <w:i/>
            <w:sz w:val="24"/>
            <w:szCs w:val="24"/>
          </w:rPr>
          <w:t>.</w:t>
        </w:r>
        <w:r w:rsidR="005034F5" w:rsidRPr="005034F5">
          <w:rPr>
            <w:i/>
            <w:sz w:val="24"/>
            <w:szCs w:val="24"/>
          </w:rPr>
          <w:t xml:space="preserve"> </w:t>
        </w:r>
        <w:proofErr w:type="spellStart"/>
        <w:r w:rsidR="0081731B" w:rsidRPr="005034F5">
          <w:rPr>
            <w:i/>
            <w:sz w:val="24"/>
            <w:szCs w:val="24"/>
          </w:rPr>
          <w:t>Comm’n</w:t>
        </w:r>
        <w:proofErr w:type="spellEnd"/>
        <w:r w:rsidRPr="005034F5">
          <w:rPr>
            <w:rStyle w:val="Hyperlink"/>
            <w:i/>
            <w:color w:val="auto"/>
            <w:sz w:val="24"/>
            <w:szCs w:val="24"/>
            <w:u w:val="none"/>
          </w:rPr>
          <w:t xml:space="preserve">, </w:t>
        </w:r>
        <w:r w:rsidRPr="008E260D">
          <w:rPr>
            <w:rStyle w:val="Hyperlink"/>
            <w:color w:val="auto"/>
            <w:sz w:val="24"/>
            <w:szCs w:val="24"/>
            <w:u w:val="none"/>
          </w:rPr>
          <w:t>63 Pa. Commonwealth Ct. 238, 437 A.2d 1067 (1982);</w:t>
        </w:r>
      </w:hyperlink>
      <w:r w:rsidRPr="005034F5">
        <w:rPr>
          <w:i/>
          <w:sz w:val="24"/>
          <w:szCs w:val="24"/>
        </w:rPr>
        <w:t xml:space="preserve"> </w:t>
      </w:r>
      <w:hyperlink r:id="rId12" w:history="1">
        <w:r w:rsidRPr="008E260D">
          <w:rPr>
            <w:rStyle w:val="Hyperlink"/>
            <w:i/>
            <w:color w:val="auto"/>
            <w:sz w:val="24"/>
            <w:szCs w:val="24"/>
            <w:u w:val="none"/>
          </w:rPr>
          <w:t>Stiteler v. Bell Telephone</w:t>
        </w:r>
        <w:r w:rsidRPr="008E260D">
          <w:rPr>
            <w:rStyle w:val="Hyperlink"/>
            <w:color w:val="auto"/>
            <w:sz w:val="24"/>
            <w:szCs w:val="24"/>
            <w:u w:val="none"/>
          </w:rPr>
          <w:t>, 32 Pa. Commonwealth Ct. 319, 379 A.2d 339 (1977</w:t>
        </w:r>
      </w:hyperlink>
      <w:r w:rsidRPr="008E260D">
        <w:rPr>
          <w:sz w:val="24"/>
          <w:szCs w:val="24"/>
        </w:rPr>
        <w:t>).</w:t>
      </w:r>
    </w:p>
    <w:p w:rsidR="00037295" w:rsidRPr="0004449E" w:rsidRDefault="00037295" w:rsidP="00A933C5">
      <w:pPr>
        <w:pStyle w:val="ListParagraph"/>
        <w:tabs>
          <w:tab w:val="left" w:pos="0"/>
          <w:tab w:val="left" w:pos="2160"/>
        </w:tabs>
        <w:ind w:left="0" w:firstLine="1440"/>
        <w:rPr>
          <w:spacing w:val="-3"/>
          <w:sz w:val="24"/>
          <w:szCs w:val="24"/>
        </w:rPr>
      </w:pPr>
    </w:p>
    <w:p w:rsidR="00A933C5" w:rsidRDefault="004A07C3" w:rsidP="00A933C5">
      <w:pPr>
        <w:pStyle w:val="ListParagraph"/>
        <w:numPr>
          <w:ilvl w:val="0"/>
          <w:numId w:val="25"/>
        </w:numPr>
        <w:tabs>
          <w:tab w:val="left" w:pos="0"/>
          <w:tab w:val="left" w:pos="2160"/>
        </w:tabs>
        <w:spacing w:line="360" w:lineRule="auto"/>
        <w:ind w:left="0" w:firstLine="1440"/>
        <w:rPr>
          <w:spacing w:val="-3"/>
          <w:sz w:val="24"/>
          <w:szCs w:val="24"/>
        </w:rPr>
      </w:pPr>
      <w:r>
        <w:rPr>
          <w:spacing w:val="-3"/>
          <w:sz w:val="24"/>
          <w:szCs w:val="24"/>
        </w:rPr>
        <w:t xml:space="preserve">PPL is </w:t>
      </w:r>
      <w:r w:rsidR="00A933C5" w:rsidRPr="00A933C5">
        <w:rPr>
          <w:spacing w:val="-3"/>
          <w:sz w:val="24"/>
          <w:szCs w:val="24"/>
        </w:rPr>
        <w:t>required to provide adequate, efficient, safe and reasonable service.  66 Pa. C.S. § 1501.</w:t>
      </w:r>
    </w:p>
    <w:p w:rsidR="00A933C5" w:rsidRPr="00A933C5" w:rsidRDefault="00A933C5" w:rsidP="00A933C5">
      <w:pPr>
        <w:pStyle w:val="ListParagraph"/>
        <w:rPr>
          <w:sz w:val="24"/>
          <w:szCs w:val="24"/>
        </w:rPr>
      </w:pPr>
    </w:p>
    <w:p w:rsidR="00A933C5" w:rsidRPr="00A933C5" w:rsidRDefault="00A933C5" w:rsidP="00A933C5">
      <w:pPr>
        <w:pStyle w:val="ListParagraph"/>
        <w:numPr>
          <w:ilvl w:val="0"/>
          <w:numId w:val="25"/>
        </w:numPr>
        <w:tabs>
          <w:tab w:val="left" w:pos="0"/>
          <w:tab w:val="left" w:pos="2160"/>
        </w:tabs>
        <w:spacing w:line="360" w:lineRule="auto"/>
        <w:ind w:left="0" w:firstLine="1440"/>
        <w:rPr>
          <w:spacing w:val="-3"/>
          <w:sz w:val="24"/>
          <w:szCs w:val="24"/>
        </w:rPr>
      </w:pPr>
      <w:r w:rsidRPr="00A933C5">
        <w:rPr>
          <w:sz w:val="24"/>
          <w:szCs w:val="24"/>
        </w:rPr>
        <w:t xml:space="preserve">Service, used in its broadest and most inclusive sense, includes any and all acts done, rendered, or performed, and any and all things furnished or supplied, and any and all facilities used, furnished, or supplied by public utilities, in the performance of their duties under this part to their patrons, employees, other public utilities, and the public. </w:t>
      </w:r>
      <w:r w:rsidR="005D1785">
        <w:rPr>
          <w:sz w:val="24"/>
          <w:szCs w:val="24"/>
        </w:rPr>
        <w:t xml:space="preserve"> </w:t>
      </w:r>
      <w:r w:rsidRPr="00A933C5">
        <w:rPr>
          <w:sz w:val="24"/>
          <w:szCs w:val="24"/>
        </w:rPr>
        <w:t>66 Pa. C.S. § 102.</w:t>
      </w:r>
    </w:p>
    <w:p w:rsidR="00A933C5" w:rsidRPr="00A933C5" w:rsidRDefault="00A933C5" w:rsidP="00A933C5">
      <w:pPr>
        <w:pStyle w:val="ListParagraph"/>
        <w:tabs>
          <w:tab w:val="left" w:pos="0"/>
          <w:tab w:val="left" w:pos="2160"/>
        </w:tabs>
        <w:spacing w:line="360" w:lineRule="auto"/>
        <w:ind w:left="0" w:firstLine="1440"/>
        <w:rPr>
          <w:spacing w:val="-3"/>
          <w:sz w:val="24"/>
          <w:szCs w:val="24"/>
        </w:rPr>
      </w:pPr>
    </w:p>
    <w:p w:rsidR="00A933C5" w:rsidRPr="00A933C5" w:rsidRDefault="00A933C5" w:rsidP="00A933C5">
      <w:pPr>
        <w:pStyle w:val="ListParagraph"/>
        <w:numPr>
          <w:ilvl w:val="0"/>
          <w:numId w:val="25"/>
        </w:numPr>
        <w:tabs>
          <w:tab w:val="left" w:pos="0"/>
          <w:tab w:val="left" w:pos="2160"/>
        </w:tabs>
        <w:spacing w:line="360" w:lineRule="auto"/>
        <w:ind w:left="0" w:firstLine="1440"/>
        <w:rPr>
          <w:sz w:val="24"/>
          <w:szCs w:val="24"/>
        </w:rPr>
      </w:pPr>
      <w:r w:rsidRPr="00A933C5">
        <w:rPr>
          <w:sz w:val="24"/>
          <w:szCs w:val="24"/>
        </w:rPr>
        <w:t xml:space="preserve">Failure of </w:t>
      </w:r>
      <w:r w:rsidR="004A07C3">
        <w:rPr>
          <w:sz w:val="24"/>
          <w:szCs w:val="24"/>
        </w:rPr>
        <w:t>PPL</w:t>
      </w:r>
      <w:r w:rsidRPr="00A933C5">
        <w:rPr>
          <w:sz w:val="24"/>
          <w:szCs w:val="24"/>
        </w:rPr>
        <w:t xml:space="preserve"> to provide accurate information regarding the future of a rate class </w:t>
      </w:r>
      <w:r w:rsidR="00F0613F">
        <w:rPr>
          <w:sz w:val="24"/>
          <w:szCs w:val="24"/>
        </w:rPr>
        <w:t xml:space="preserve">comprising approximately 14,000 users, and </w:t>
      </w:r>
      <w:r w:rsidR="004A07C3">
        <w:rPr>
          <w:sz w:val="24"/>
          <w:szCs w:val="24"/>
        </w:rPr>
        <w:t xml:space="preserve">where PPL has conducted television advertisements to induce its customers to use that rate class </w:t>
      </w:r>
      <w:r w:rsidRPr="00A933C5">
        <w:rPr>
          <w:sz w:val="24"/>
          <w:szCs w:val="24"/>
        </w:rPr>
        <w:t xml:space="preserve">is inadequate service within the meaning of Section 1501.  66 Pa. C.S. § 1501.  </w:t>
      </w:r>
    </w:p>
    <w:p w:rsidR="003809D0" w:rsidRDefault="003809D0" w:rsidP="003809D0">
      <w:pPr>
        <w:tabs>
          <w:tab w:val="left" w:pos="0"/>
          <w:tab w:val="left" w:pos="2160"/>
        </w:tabs>
        <w:spacing w:line="360" w:lineRule="auto"/>
        <w:rPr>
          <w:sz w:val="24"/>
          <w:szCs w:val="24"/>
        </w:rPr>
      </w:pPr>
    </w:p>
    <w:p w:rsidR="009649FC" w:rsidRDefault="009649FC" w:rsidP="003809D0">
      <w:pPr>
        <w:tabs>
          <w:tab w:val="left" w:pos="0"/>
          <w:tab w:val="left" w:pos="2160"/>
        </w:tabs>
        <w:spacing w:line="360" w:lineRule="auto"/>
        <w:jc w:val="center"/>
        <w:rPr>
          <w:sz w:val="24"/>
          <w:szCs w:val="24"/>
          <w:u w:val="single"/>
        </w:rPr>
      </w:pPr>
      <w:r w:rsidRPr="003809D0">
        <w:rPr>
          <w:sz w:val="24"/>
          <w:szCs w:val="24"/>
          <w:u w:val="single"/>
        </w:rPr>
        <w:lastRenderedPageBreak/>
        <w:t>ORDER</w:t>
      </w:r>
    </w:p>
    <w:p w:rsidR="00771809" w:rsidRPr="003809D0" w:rsidRDefault="00771809" w:rsidP="003809D0">
      <w:pPr>
        <w:tabs>
          <w:tab w:val="left" w:pos="0"/>
          <w:tab w:val="left" w:pos="2160"/>
        </w:tabs>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3727C9" w:rsidRDefault="003727C9" w:rsidP="003727C9">
      <w:pPr>
        <w:spacing w:line="360" w:lineRule="auto"/>
        <w:ind w:left="1440"/>
        <w:rPr>
          <w:sz w:val="24"/>
          <w:szCs w:val="24"/>
        </w:rPr>
      </w:pPr>
    </w:p>
    <w:p w:rsidR="002D554B" w:rsidRDefault="003809D0" w:rsidP="002D554B">
      <w:pPr>
        <w:numPr>
          <w:ilvl w:val="0"/>
          <w:numId w:val="15"/>
        </w:numPr>
        <w:tabs>
          <w:tab w:val="clear" w:pos="2160"/>
        </w:tabs>
        <w:spacing w:line="360" w:lineRule="auto"/>
        <w:ind w:left="0" w:firstLine="1440"/>
        <w:rPr>
          <w:sz w:val="24"/>
          <w:szCs w:val="24"/>
        </w:rPr>
      </w:pPr>
      <w:r>
        <w:rPr>
          <w:sz w:val="24"/>
          <w:szCs w:val="24"/>
        </w:rPr>
        <w:t>That the Formal Complaint of Robert Dunham at Docket No. C-2010-2155056 against PPL Electric Utilities Corporation is sustaine</w:t>
      </w:r>
      <w:r w:rsidR="0081731B">
        <w:rPr>
          <w:sz w:val="24"/>
          <w:szCs w:val="24"/>
        </w:rPr>
        <w:t>d to the extent that the action</w:t>
      </w:r>
      <w:r>
        <w:rPr>
          <w:sz w:val="24"/>
          <w:szCs w:val="24"/>
        </w:rPr>
        <w:t>s</w:t>
      </w:r>
      <w:r w:rsidR="0081731B">
        <w:rPr>
          <w:sz w:val="24"/>
          <w:szCs w:val="24"/>
        </w:rPr>
        <w:t xml:space="preserve"> </w:t>
      </w:r>
      <w:r>
        <w:rPr>
          <w:sz w:val="24"/>
          <w:szCs w:val="24"/>
        </w:rPr>
        <w:t xml:space="preserve">of PPL constitute inadequate service and is dismissed in all other respects. </w:t>
      </w:r>
    </w:p>
    <w:p w:rsidR="003809D0" w:rsidRDefault="003809D0" w:rsidP="003809D0">
      <w:pPr>
        <w:spacing w:line="360" w:lineRule="auto"/>
        <w:ind w:left="1440"/>
        <w:rPr>
          <w:sz w:val="24"/>
          <w:szCs w:val="24"/>
        </w:rPr>
      </w:pPr>
      <w:r>
        <w:rPr>
          <w:sz w:val="24"/>
          <w:szCs w:val="24"/>
        </w:rPr>
        <w:t xml:space="preserve"> </w:t>
      </w:r>
    </w:p>
    <w:p w:rsidR="003809D0" w:rsidRDefault="003809D0" w:rsidP="002D554B">
      <w:pPr>
        <w:numPr>
          <w:ilvl w:val="0"/>
          <w:numId w:val="15"/>
        </w:numPr>
        <w:tabs>
          <w:tab w:val="clear" w:pos="2160"/>
        </w:tabs>
        <w:spacing w:line="360" w:lineRule="auto"/>
        <w:ind w:left="0" w:firstLine="1440"/>
        <w:rPr>
          <w:sz w:val="24"/>
          <w:szCs w:val="24"/>
        </w:rPr>
      </w:pPr>
      <w:r>
        <w:rPr>
          <w:sz w:val="24"/>
          <w:szCs w:val="24"/>
        </w:rPr>
        <w:t xml:space="preserve">That PPL Electric Utilities Corporation shall within twenty (20) days of the date of this Initial Decision pay a civil penalty in the amount of </w:t>
      </w:r>
      <w:r w:rsidR="0081731B">
        <w:rPr>
          <w:sz w:val="24"/>
          <w:szCs w:val="24"/>
        </w:rPr>
        <w:t>$2</w:t>
      </w:r>
      <w:r>
        <w:rPr>
          <w:sz w:val="24"/>
          <w:szCs w:val="24"/>
        </w:rPr>
        <w:t xml:space="preserve">,000 payable to the Pennsylvania Public Utility </w:t>
      </w:r>
      <w:r w:rsidR="00653613">
        <w:rPr>
          <w:sz w:val="24"/>
          <w:szCs w:val="24"/>
        </w:rPr>
        <w:t>Commission</w:t>
      </w:r>
      <w:r>
        <w:rPr>
          <w:sz w:val="24"/>
          <w:szCs w:val="24"/>
        </w:rPr>
        <w:t xml:space="preserve"> by submitting a certified check for that amount to:</w:t>
      </w:r>
    </w:p>
    <w:p w:rsidR="00D7604A" w:rsidRDefault="00D7604A" w:rsidP="003727C9">
      <w:pPr>
        <w:ind w:left="1440"/>
        <w:rPr>
          <w:sz w:val="24"/>
          <w:szCs w:val="24"/>
        </w:rPr>
      </w:pPr>
    </w:p>
    <w:p w:rsidR="003809D0" w:rsidRDefault="003809D0" w:rsidP="00B81D7B">
      <w:pPr>
        <w:ind w:left="1440" w:firstLine="720"/>
        <w:rPr>
          <w:sz w:val="24"/>
          <w:szCs w:val="24"/>
        </w:rPr>
      </w:pPr>
      <w:r>
        <w:rPr>
          <w:sz w:val="24"/>
          <w:szCs w:val="24"/>
        </w:rPr>
        <w:t>Rosemary Chiavetta, Secretary</w:t>
      </w:r>
    </w:p>
    <w:p w:rsidR="003809D0" w:rsidRDefault="003727C9" w:rsidP="00B81D7B">
      <w:pPr>
        <w:ind w:left="1440" w:firstLine="720"/>
        <w:rPr>
          <w:sz w:val="24"/>
          <w:szCs w:val="24"/>
        </w:rPr>
      </w:pPr>
      <w:r>
        <w:rPr>
          <w:sz w:val="24"/>
          <w:szCs w:val="24"/>
        </w:rPr>
        <w:t>Pennsylvania</w:t>
      </w:r>
      <w:r w:rsidR="003809D0">
        <w:rPr>
          <w:sz w:val="24"/>
          <w:szCs w:val="24"/>
        </w:rPr>
        <w:t xml:space="preserve"> </w:t>
      </w:r>
      <w:r>
        <w:rPr>
          <w:sz w:val="24"/>
          <w:szCs w:val="24"/>
        </w:rPr>
        <w:t xml:space="preserve">Public Utility </w:t>
      </w:r>
      <w:r w:rsidR="00653613">
        <w:rPr>
          <w:sz w:val="24"/>
          <w:szCs w:val="24"/>
        </w:rPr>
        <w:t>Commission</w:t>
      </w:r>
    </w:p>
    <w:p w:rsidR="003727C9" w:rsidRDefault="003727C9" w:rsidP="00B81D7B">
      <w:pPr>
        <w:ind w:left="1440" w:firstLine="720"/>
        <w:rPr>
          <w:sz w:val="24"/>
          <w:szCs w:val="24"/>
        </w:rPr>
      </w:pPr>
      <w:r>
        <w:rPr>
          <w:sz w:val="24"/>
          <w:szCs w:val="24"/>
        </w:rPr>
        <w:t>P.O. Box 3265</w:t>
      </w:r>
    </w:p>
    <w:p w:rsidR="003727C9" w:rsidRDefault="003727C9" w:rsidP="00B81D7B">
      <w:pPr>
        <w:ind w:left="1440" w:firstLine="720"/>
        <w:rPr>
          <w:sz w:val="24"/>
          <w:szCs w:val="24"/>
        </w:rPr>
      </w:pPr>
      <w:r>
        <w:rPr>
          <w:sz w:val="24"/>
          <w:szCs w:val="24"/>
        </w:rPr>
        <w:t>Harrisburg, PA 17105-3265</w:t>
      </w:r>
    </w:p>
    <w:p w:rsidR="00D7604A" w:rsidRDefault="00D7604A" w:rsidP="003727C9">
      <w:pPr>
        <w:ind w:left="1440"/>
        <w:rPr>
          <w:sz w:val="24"/>
          <w:szCs w:val="24"/>
        </w:rPr>
      </w:pPr>
    </w:p>
    <w:p w:rsidR="003727C9" w:rsidRDefault="003727C9" w:rsidP="003727C9">
      <w:pPr>
        <w:ind w:left="1440"/>
        <w:rPr>
          <w:sz w:val="24"/>
          <w:szCs w:val="24"/>
        </w:rPr>
      </w:pPr>
    </w:p>
    <w:p w:rsidR="003727C9" w:rsidRPr="003727C9" w:rsidRDefault="003727C9" w:rsidP="00DE07C1">
      <w:pPr>
        <w:pStyle w:val="ListParagraph"/>
        <w:numPr>
          <w:ilvl w:val="0"/>
          <w:numId w:val="15"/>
        </w:numPr>
        <w:tabs>
          <w:tab w:val="clear" w:pos="2160"/>
        </w:tabs>
        <w:spacing w:line="360" w:lineRule="auto"/>
        <w:ind w:left="0" w:firstLine="1440"/>
        <w:rPr>
          <w:sz w:val="24"/>
          <w:szCs w:val="24"/>
        </w:rPr>
      </w:pPr>
      <w:r>
        <w:rPr>
          <w:sz w:val="24"/>
          <w:szCs w:val="24"/>
        </w:rPr>
        <w:t>That upon payment of the civil penalty the record in this proceeding shall be marked closed.</w:t>
      </w:r>
    </w:p>
    <w:p w:rsidR="003727C9" w:rsidRDefault="003727C9" w:rsidP="00DE562E">
      <w:pPr>
        <w:jc w:val="both"/>
        <w:rPr>
          <w:sz w:val="24"/>
          <w:szCs w:val="24"/>
        </w:rPr>
      </w:pPr>
    </w:p>
    <w:p w:rsidR="003727C9" w:rsidRDefault="003727C9" w:rsidP="00DE562E">
      <w:pPr>
        <w:jc w:val="both"/>
        <w:rPr>
          <w:sz w:val="24"/>
          <w:szCs w:val="24"/>
        </w:rPr>
      </w:pPr>
    </w:p>
    <w:p w:rsidR="003727C9" w:rsidRDefault="003727C9" w:rsidP="00DE562E">
      <w:pPr>
        <w:jc w:val="both"/>
        <w:rPr>
          <w:sz w:val="24"/>
          <w:szCs w:val="24"/>
        </w:rPr>
      </w:pPr>
    </w:p>
    <w:p w:rsidR="003727C9" w:rsidRDefault="003727C9" w:rsidP="00DE562E">
      <w:pPr>
        <w:jc w:val="both"/>
        <w:rPr>
          <w:sz w:val="24"/>
          <w:szCs w:val="24"/>
        </w:rPr>
      </w:pPr>
    </w:p>
    <w:p w:rsidR="001F7F73" w:rsidRDefault="00DE562E" w:rsidP="00DE562E">
      <w:pPr>
        <w:jc w:val="both"/>
        <w:rPr>
          <w:sz w:val="24"/>
          <w:szCs w:val="24"/>
        </w:rPr>
      </w:pPr>
      <w:r w:rsidRPr="00DE562E">
        <w:rPr>
          <w:sz w:val="24"/>
          <w:szCs w:val="24"/>
        </w:rPr>
        <w:t>Date:</w:t>
      </w:r>
      <w:r w:rsidR="00830678">
        <w:rPr>
          <w:sz w:val="24"/>
          <w:szCs w:val="24"/>
        </w:rPr>
        <w:t xml:space="preserve">  </w:t>
      </w:r>
      <w:r w:rsidR="003727C9">
        <w:rPr>
          <w:sz w:val="24"/>
          <w:szCs w:val="24"/>
          <w:u w:val="single"/>
        </w:rPr>
        <w:t>January 26, 2011</w:t>
      </w:r>
      <w:r w:rsidR="001F7F73">
        <w:rPr>
          <w:sz w:val="24"/>
          <w:szCs w:val="24"/>
        </w:rPr>
        <w:tab/>
      </w:r>
      <w:r w:rsidR="001F7F73">
        <w:rPr>
          <w:sz w:val="24"/>
          <w:szCs w:val="24"/>
        </w:rPr>
        <w:tab/>
      </w:r>
      <w:r w:rsidR="001F7F73">
        <w:rPr>
          <w:sz w:val="24"/>
          <w:szCs w:val="24"/>
        </w:rPr>
        <w:tab/>
      </w:r>
      <w:r w:rsidR="001F7F73">
        <w:rPr>
          <w:sz w:val="24"/>
          <w:szCs w:val="24"/>
        </w:rPr>
        <w:tab/>
      </w:r>
      <w:r w:rsidR="00166741">
        <w:rPr>
          <w:sz w:val="24"/>
          <w:szCs w:val="24"/>
        </w:rPr>
        <w:tab/>
      </w:r>
      <w:r w:rsidR="00166741">
        <w:rPr>
          <w:sz w:val="24"/>
          <w:szCs w:val="24"/>
        </w:rPr>
        <w:tab/>
      </w:r>
      <w:r w:rsidR="001F7F73">
        <w:rPr>
          <w:sz w:val="24"/>
          <w:szCs w:val="24"/>
        </w:rPr>
        <w:t>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166741">
        <w:rPr>
          <w:sz w:val="24"/>
          <w:szCs w:val="24"/>
        </w:rPr>
        <w:tab/>
      </w:r>
      <w:r w:rsidR="00166741">
        <w:rPr>
          <w:sz w:val="24"/>
          <w:szCs w:val="24"/>
        </w:rPr>
        <w:tab/>
      </w:r>
      <w:r>
        <w:rPr>
          <w:sz w:val="24"/>
          <w:szCs w:val="24"/>
        </w:rPr>
        <w:t>Ember S. Jandebeur</w:t>
      </w:r>
    </w:p>
    <w:p w:rsidR="002B19D4" w:rsidRPr="001027AA" w:rsidRDefault="00DE562E" w:rsidP="00B81D7B">
      <w:pPr>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166741">
        <w:rPr>
          <w:sz w:val="24"/>
          <w:szCs w:val="24"/>
        </w:rPr>
        <w:tab/>
      </w:r>
      <w:r w:rsidR="00166741">
        <w:rPr>
          <w:sz w:val="24"/>
          <w:szCs w:val="24"/>
        </w:rPr>
        <w:tab/>
      </w:r>
      <w:r w:rsidRPr="00DE562E">
        <w:rPr>
          <w:sz w:val="24"/>
          <w:szCs w:val="24"/>
        </w:rPr>
        <w:t>Administrative Law Judge</w:t>
      </w:r>
    </w:p>
    <w:sectPr w:rsidR="002B19D4" w:rsidRPr="001027AA" w:rsidSect="005F452A">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17E" w:rsidRDefault="00EF517E">
      <w:r>
        <w:separator/>
      </w:r>
    </w:p>
  </w:endnote>
  <w:endnote w:type="continuationSeparator" w:id="0">
    <w:p w:rsidR="00EF517E" w:rsidRDefault="00EF5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A48" w:rsidRDefault="003C493D" w:rsidP="0028114B">
    <w:pPr>
      <w:pStyle w:val="Footer"/>
      <w:framePr w:wrap="around" w:vAnchor="text" w:hAnchor="margin" w:xAlign="center" w:y="1"/>
      <w:rPr>
        <w:rStyle w:val="PageNumber"/>
      </w:rPr>
    </w:pPr>
    <w:r>
      <w:rPr>
        <w:rStyle w:val="PageNumber"/>
      </w:rPr>
      <w:fldChar w:fldCharType="begin"/>
    </w:r>
    <w:r w:rsidR="009D6A48">
      <w:rPr>
        <w:rStyle w:val="PageNumber"/>
      </w:rPr>
      <w:instrText xml:space="preserve">PAGE  </w:instrText>
    </w:r>
    <w:r>
      <w:rPr>
        <w:rStyle w:val="PageNumber"/>
      </w:rPr>
      <w:fldChar w:fldCharType="end"/>
    </w:r>
  </w:p>
  <w:p w:rsidR="009D6A48" w:rsidRDefault="009D6A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A48" w:rsidRPr="00BA7E32" w:rsidRDefault="003C493D" w:rsidP="0028114B">
    <w:pPr>
      <w:pStyle w:val="Footer"/>
      <w:framePr w:wrap="around" w:vAnchor="text" w:hAnchor="margin" w:xAlign="center" w:y="1"/>
      <w:rPr>
        <w:rStyle w:val="PageNumber"/>
        <w:sz w:val="24"/>
        <w:szCs w:val="24"/>
      </w:rPr>
    </w:pPr>
    <w:r w:rsidRPr="00BA7E32">
      <w:rPr>
        <w:rStyle w:val="PageNumber"/>
        <w:sz w:val="24"/>
        <w:szCs w:val="24"/>
      </w:rPr>
      <w:fldChar w:fldCharType="begin"/>
    </w:r>
    <w:r w:rsidR="009D6A48" w:rsidRPr="00BA7E32">
      <w:rPr>
        <w:rStyle w:val="PageNumber"/>
        <w:sz w:val="24"/>
        <w:szCs w:val="24"/>
      </w:rPr>
      <w:instrText xml:space="preserve">PAGE  </w:instrText>
    </w:r>
    <w:r w:rsidRPr="00BA7E32">
      <w:rPr>
        <w:rStyle w:val="PageNumber"/>
        <w:sz w:val="24"/>
        <w:szCs w:val="24"/>
      </w:rPr>
      <w:fldChar w:fldCharType="separate"/>
    </w:r>
    <w:r w:rsidR="00B81D7B">
      <w:rPr>
        <w:rStyle w:val="PageNumber"/>
        <w:noProof/>
        <w:sz w:val="24"/>
        <w:szCs w:val="24"/>
      </w:rPr>
      <w:t>14</w:t>
    </w:r>
    <w:r w:rsidRPr="00BA7E32">
      <w:rPr>
        <w:rStyle w:val="PageNumber"/>
        <w:sz w:val="24"/>
        <w:szCs w:val="24"/>
      </w:rPr>
      <w:fldChar w:fldCharType="end"/>
    </w:r>
  </w:p>
  <w:p w:rsidR="009D6A48" w:rsidRDefault="009D6A48"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17E" w:rsidRDefault="00EF517E">
      <w:r>
        <w:separator/>
      </w:r>
    </w:p>
  </w:footnote>
  <w:footnote w:type="continuationSeparator" w:id="0">
    <w:p w:rsidR="00EF517E" w:rsidRDefault="00EF517E">
      <w:r>
        <w:continuationSeparator/>
      </w:r>
    </w:p>
  </w:footnote>
  <w:footnote w:id="1">
    <w:p w:rsidR="00DC7F19" w:rsidRDefault="00DC7F19">
      <w:pPr>
        <w:pStyle w:val="FootnoteText"/>
      </w:pPr>
      <w:r>
        <w:rPr>
          <w:rStyle w:val="FootnoteReference"/>
        </w:rPr>
        <w:footnoteRef/>
      </w:r>
      <w:r>
        <w:t xml:space="preserve"> At the conclusion of the Complainant’s case, counsel for PPL moved for a directed verdict.  The motion was considered and is denied for reasons that are clear in this Initial Decision.</w:t>
      </w:r>
    </w:p>
  </w:footnote>
  <w:footnote w:id="2">
    <w:p w:rsidR="009F642F" w:rsidRDefault="009F642F">
      <w:pPr>
        <w:pStyle w:val="FootnoteText"/>
      </w:pPr>
      <w:r>
        <w:rPr>
          <w:rStyle w:val="FootnoteReference"/>
        </w:rPr>
        <w:footnoteRef/>
      </w:r>
      <w:r>
        <w:t xml:space="preserve"> The record shows conflicting dates</w:t>
      </w:r>
      <w:r w:rsidR="003312E2">
        <w:t xml:space="preserve"> – </w:t>
      </w:r>
      <w:r>
        <w:t>by one day.</w:t>
      </w:r>
    </w:p>
  </w:footnote>
  <w:footnote w:id="3">
    <w:p w:rsidR="009D6A48" w:rsidRPr="005D6DC0" w:rsidRDefault="009D6A48" w:rsidP="00341C1C">
      <w:pPr>
        <w:pStyle w:val="FootnoteText"/>
      </w:pPr>
      <w:r>
        <w:rPr>
          <w:rStyle w:val="FootnoteReference"/>
        </w:rPr>
        <w:footnoteRef/>
      </w:r>
      <w:r>
        <w:t xml:space="preserve"> </w:t>
      </w:r>
      <w:proofErr w:type="gramStart"/>
      <w:r w:rsidRPr="009A1862">
        <w:rPr>
          <w:i/>
        </w:rPr>
        <w:t xml:space="preserve">Lloyd v. Pa. Publ. Util. Comm’n, </w:t>
      </w:r>
      <w:r w:rsidRPr="005D6DC0">
        <w:t>904 A.2d 1010 (2005).</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0A11747"/>
    <w:multiLevelType w:val="hybridMultilevel"/>
    <w:tmpl w:val="D61CA2E4"/>
    <w:lvl w:ilvl="0" w:tplc="69707E6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6074F7"/>
    <w:multiLevelType w:val="hybridMultilevel"/>
    <w:tmpl w:val="EF8C7C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9315C3"/>
    <w:multiLevelType w:val="hybridMultilevel"/>
    <w:tmpl w:val="13561F90"/>
    <w:lvl w:ilvl="0" w:tplc="E952896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DC19F3"/>
    <w:multiLevelType w:val="hybridMultilevel"/>
    <w:tmpl w:val="83B2B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F7D5D09"/>
    <w:multiLevelType w:val="hybridMultilevel"/>
    <w:tmpl w:val="D9121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8">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394B39"/>
    <w:multiLevelType w:val="hybridMultilevel"/>
    <w:tmpl w:val="17B8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75296CCC"/>
    <w:multiLevelType w:val="hybridMultilevel"/>
    <w:tmpl w:val="247E3E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8DA1C3F"/>
    <w:multiLevelType w:val="hybridMultilevel"/>
    <w:tmpl w:val="C69844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7"/>
  </w:num>
  <w:num w:numId="4">
    <w:abstractNumId w:val="2"/>
  </w:num>
  <w:num w:numId="5">
    <w:abstractNumId w:val="13"/>
  </w:num>
  <w:num w:numId="6">
    <w:abstractNumId w:val="7"/>
  </w:num>
  <w:num w:numId="7">
    <w:abstractNumId w:val="5"/>
  </w:num>
  <w:num w:numId="8">
    <w:abstractNumId w:val="0"/>
  </w:num>
  <w:num w:numId="9">
    <w:abstractNumId w:val="14"/>
  </w:num>
  <w:num w:numId="10">
    <w:abstractNumId w:val="18"/>
  </w:num>
  <w:num w:numId="11">
    <w:abstractNumId w:val="16"/>
  </w:num>
  <w:num w:numId="12">
    <w:abstractNumId w:val="25"/>
  </w:num>
  <w:num w:numId="13">
    <w:abstractNumId w:val="1"/>
  </w:num>
  <w:num w:numId="14">
    <w:abstractNumId w:val="6"/>
  </w:num>
  <w:num w:numId="15">
    <w:abstractNumId w:val="21"/>
  </w:num>
  <w:num w:numId="16">
    <w:abstractNumId w:val="22"/>
  </w:num>
  <w:num w:numId="17">
    <w:abstractNumId w:val="9"/>
  </w:num>
  <w:num w:numId="18">
    <w:abstractNumId w:val="4"/>
  </w:num>
  <w:num w:numId="19">
    <w:abstractNumId w:val="24"/>
  </w:num>
  <w:num w:numId="20">
    <w:abstractNumId w:val="19"/>
  </w:num>
  <w:num w:numId="21">
    <w:abstractNumId w:val="3"/>
  </w:num>
  <w:num w:numId="22">
    <w:abstractNumId w:val="12"/>
  </w:num>
  <w:num w:numId="23">
    <w:abstractNumId w:val="11"/>
  </w:num>
  <w:num w:numId="24">
    <w:abstractNumId w:val="23"/>
  </w:num>
  <w:num w:numId="25">
    <w:abstractNumId w:val="15"/>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6626"/>
  </w:hdrShapeDefaults>
  <w:footnotePr>
    <w:footnote w:id="-1"/>
    <w:footnote w:id="0"/>
  </w:footnotePr>
  <w:endnotePr>
    <w:endnote w:id="-1"/>
    <w:endnote w:id="0"/>
  </w:endnotePr>
  <w:compat/>
  <w:rsids>
    <w:rsidRoot w:val="008F6AC3"/>
    <w:rsid w:val="000039F4"/>
    <w:rsid w:val="00020AB1"/>
    <w:rsid w:val="00022997"/>
    <w:rsid w:val="00022D67"/>
    <w:rsid w:val="00024C08"/>
    <w:rsid w:val="0002512E"/>
    <w:rsid w:val="00027990"/>
    <w:rsid w:val="000322AE"/>
    <w:rsid w:val="00034A86"/>
    <w:rsid w:val="00035C05"/>
    <w:rsid w:val="00035E78"/>
    <w:rsid w:val="00037295"/>
    <w:rsid w:val="000376EF"/>
    <w:rsid w:val="00042626"/>
    <w:rsid w:val="0004449E"/>
    <w:rsid w:val="00055A89"/>
    <w:rsid w:val="00064F92"/>
    <w:rsid w:val="0006610A"/>
    <w:rsid w:val="00070E25"/>
    <w:rsid w:val="0007126E"/>
    <w:rsid w:val="000728A4"/>
    <w:rsid w:val="00075A22"/>
    <w:rsid w:val="00082976"/>
    <w:rsid w:val="0008498B"/>
    <w:rsid w:val="00086E6F"/>
    <w:rsid w:val="00091672"/>
    <w:rsid w:val="00091CE2"/>
    <w:rsid w:val="000967DB"/>
    <w:rsid w:val="000A001F"/>
    <w:rsid w:val="000A1CB9"/>
    <w:rsid w:val="000A20A3"/>
    <w:rsid w:val="000C32F1"/>
    <w:rsid w:val="000C6F32"/>
    <w:rsid w:val="000D7B38"/>
    <w:rsid w:val="000E0BD8"/>
    <w:rsid w:val="000E277A"/>
    <w:rsid w:val="000E2934"/>
    <w:rsid w:val="000E6B17"/>
    <w:rsid w:val="000F0833"/>
    <w:rsid w:val="000F1894"/>
    <w:rsid w:val="000F1F62"/>
    <w:rsid w:val="000F2F0A"/>
    <w:rsid w:val="000F749C"/>
    <w:rsid w:val="001027AA"/>
    <w:rsid w:val="0010316F"/>
    <w:rsid w:val="00110C23"/>
    <w:rsid w:val="001122A9"/>
    <w:rsid w:val="001155B6"/>
    <w:rsid w:val="00116136"/>
    <w:rsid w:val="00125871"/>
    <w:rsid w:val="00126207"/>
    <w:rsid w:val="001312A6"/>
    <w:rsid w:val="001327D7"/>
    <w:rsid w:val="00134E8D"/>
    <w:rsid w:val="001419A4"/>
    <w:rsid w:val="00141DF5"/>
    <w:rsid w:val="00143C49"/>
    <w:rsid w:val="00147DEE"/>
    <w:rsid w:val="00152C6B"/>
    <w:rsid w:val="0015646C"/>
    <w:rsid w:val="001620CA"/>
    <w:rsid w:val="00166724"/>
    <w:rsid w:val="00166741"/>
    <w:rsid w:val="00174984"/>
    <w:rsid w:val="00176F82"/>
    <w:rsid w:val="0018160C"/>
    <w:rsid w:val="00183FE6"/>
    <w:rsid w:val="001873F1"/>
    <w:rsid w:val="00187B87"/>
    <w:rsid w:val="001930DE"/>
    <w:rsid w:val="00193B6C"/>
    <w:rsid w:val="001A35AD"/>
    <w:rsid w:val="001A45C6"/>
    <w:rsid w:val="001A4CC0"/>
    <w:rsid w:val="001A6B8D"/>
    <w:rsid w:val="001A721E"/>
    <w:rsid w:val="001B123C"/>
    <w:rsid w:val="001B3235"/>
    <w:rsid w:val="001C20B7"/>
    <w:rsid w:val="001C715B"/>
    <w:rsid w:val="001D3206"/>
    <w:rsid w:val="001D6FCF"/>
    <w:rsid w:val="001E496A"/>
    <w:rsid w:val="001E4FAC"/>
    <w:rsid w:val="001F0787"/>
    <w:rsid w:val="001F08B4"/>
    <w:rsid w:val="001F2116"/>
    <w:rsid w:val="001F3036"/>
    <w:rsid w:val="001F6FC1"/>
    <w:rsid w:val="001F7F73"/>
    <w:rsid w:val="0020095D"/>
    <w:rsid w:val="00220C5E"/>
    <w:rsid w:val="00223E7E"/>
    <w:rsid w:val="00234619"/>
    <w:rsid w:val="0023520D"/>
    <w:rsid w:val="00235C44"/>
    <w:rsid w:val="00236863"/>
    <w:rsid w:val="00236FF7"/>
    <w:rsid w:val="002416AB"/>
    <w:rsid w:val="0024496F"/>
    <w:rsid w:val="00244D86"/>
    <w:rsid w:val="0025370D"/>
    <w:rsid w:val="00256F58"/>
    <w:rsid w:val="00260D19"/>
    <w:rsid w:val="002732DC"/>
    <w:rsid w:val="0028114B"/>
    <w:rsid w:val="0028185A"/>
    <w:rsid w:val="00283BBC"/>
    <w:rsid w:val="00285B55"/>
    <w:rsid w:val="00290918"/>
    <w:rsid w:val="002919C6"/>
    <w:rsid w:val="00292E29"/>
    <w:rsid w:val="00293557"/>
    <w:rsid w:val="00293A63"/>
    <w:rsid w:val="002959E3"/>
    <w:rsid w:val="002A7C1C"/>
    <w:rsid w:val="002B1213"/>
    <w:rsid w:val="002B19D4"/>
    <w:rsid w:val="002B3489"/>
    <w:rsid w:val="002B4EAE"/>
    <w:rsid w:val="002B4EF1"/>
    <w:rsid w:val="002B6E13"/>
    <w:rsid w:val="002C2079"/>
    <w:rsid w:val="002C3FDE"/>
    <w:rsid w:val="002C5979"/>
    <w:rsid w:val="002C63A0"/>
    <w:rsid w:val="002D13C5"/>
    <w:rsid w:val="002D385D"/>
    <w:rsid w:val="002D554B"/>
    <w:rsid w:val="002E30D3"/>
    <w:rsid w:val="002F452F"/>
    <w:rsid w:val="002F66F9"/>
    <w:rsid w:val="002F6BC1"/>
    <w:rsid w:val="00300A0A"/>
    <w:rsid w:val="00300CB7"/>
    <w:rsid w:val="00300F91"/>
    <w:rsid w:val="0030207C"/>
    <w:rsid w:val="003129F7"/>
    <w:rsid w:val="00317B5C"/>
    <w:rsid w:val="00323AAE"/>
    <w:rsid w:val="00324F3E"/>
    <w:rsid w:val="003268F9"/>
    <w:rsid w:val="0033043C"/>
    <w:rsid w:val="003312E2"/>
    <w:rsid w:val="0033647C"/>
    <w:rsid w:val="00336DFC"/>
    <w:rsid w:val="0033760A"/>
    <w:rsid w:val="00337C53"/>
    <w:rsid w:val="00340AB8"/>
    <w:rsid w:val="00341C1C"/>
    <w:rsid w:val="00341FB8"/>
    <w:rsid w:val="0034216C"/>
    <w:rsid w:val="0034312D"/>
    <w:rsid w:val="00346E30"/>
    <w:rsid w:val="003539D2"/>
    <w:rsid w:val="0035737A"/>
    <w:rsid w:val="003657A8"/>
    <w:rsid w:val="003727C9"/>
    <w:rsid w:val="003809D0"/>
    <w:rsid w:val="00380AD7"/>
    <w:rsid w:val="00382B1A"/>
    <w:rsid w:val="00386CDC"/>
    <w:rsid w:val="00392382"/>
    <w:rsid w:val="00394493"/>
    <w:rsid w:val="003959AC"/>
    <w:rsid w:val="00395E03"/>
    <w:rsid w:val="00396DE1"/>
    <w:rsid w:val="003A167D"/>
    <w:rsid w:val="003B715B"/>
    <w:rsid w:val="003C050F"/>
    <w:rsid w:val="003C0716"/>
    <w:rsid w:val="003C29B4"/>
    <w:rsid w:val="003C493D"/>
    <w:rsid w:val="003D02BB"/>
    <w:rsid w:val="003D139F"/>
    <w:rsid w:val="003D15FA"/>
    <w:rsid w:val="003D7EC6"/>
    <w:rsid w:val="003E292B"/>
    <w:rsid w:val="003E594B"/>
    <w:rsid w:val="003F5796"/>
    <w:rsid w:val="003F69BF"/>
    <w:rsid w:val="00402359"/>
    <w:rsid w:val="004064A8"/>
    <w:rsid w:val="0041445E"/>
    <w:rsid w:val="0042160A"/>
    <w:rsid w:val="00422E29"/>
    <w:rsid w:val="00424A76"/>
    <w:rsid w:val="00427E73"/>
    <w:rsid w:val="004312BE"/>
    <w:rsid w:val="00442854"/>
    <w:rsid w:val="004433E0"/>
    <w:rsid w:val="00450342"/>
    <w:rsid w:val="004628D3"/>
    <w:rsid w:val="0046339D"/>
    <w:rsid w:val="00476C8A"/>
    <w:rsid w:val="00486535"/>
    <w:rsid w:val="00490174"/>
    <w:rsid w:val="004917C1"/>
    <w:rsid w:val="00491C99"/>
    <w:rsid w:val="00495450"/>
    <w:rsid w:val="004A07C3"/>
    <w:rsid w:val="004A1805"/>
    <w:rsid w:val="004A5AD6"/>
    <w:rsid w:val="004B3E42"/>
    <w:rsid w:val="004C3EFA"/>
    <w:rsid w:val="004D1B54"/>
    <w:rsid w:val="004D3108"/>
    <w:rsid w:val="004D46FD"/>
    <w:rsid w:val="004E20CB"/>
    <w:rsid w:val="004E2912"/>
    <w:rsid w:val="004E533F"/>
    <w:rsid w:val="004F2D3D"/>
    <w:rsid w:val="00501571"/>
    <w:rsid w:val="005032B5"/>
    <w:rsid w:val="005034F5"/>
    <w:rsid w:val="00515937"/>
    <w:rsid w:val="00517AD1"/>
    <w:rsid w:val="00520ADD"/>
    <w:rsid w:val="005234AA"/>
    <w:rsid w:val="00523780"/>
    <w:rsid w:val="00530D1B"/>
    <w:rsid w:val="00530D2F"/>
    <w:rsid w:val="00531226"/>
    <w:rsid w:val="00531409"/>
    <w:rsid w:val="00534A00"/>
    <w:rsid w:val="00535DF7"/>
    <w:rsid w:val="005361AA"/>
    <w:rsid w:val="00542107"/>
    <w:rsid w:val="00545505"/>
    <w:rsid w:val="00553EEB"/>
    <w:rsid w:val="00564C41"/>
    <w:rsid w:val="00572302"/>
    <w:rsid w:val="005757CC"/>
    <w:rsid w:val="00582896"/>
    <w:rsid w:val="00584798"/>
    <w:rsid w:val="00584FCC"/>
    <w:rsid w:val="0059070D"/>
    <w:rsid w:val="00592493"/>
    <w:rsid w:val="00592C86"/>
    <w:rsid w:val="005A33D0"/>
    <w:rsid w:val="005B250B"/>
    <w:rsid w:val="005B3545"/>
    <w:rsid w:val="005B6749"/>
    <w:rsid w:val="005B7834"/>
    <w:rsid w:val="005C28EC"/>
    <w:rsid w:val="005D1785"/>
    <w:rsid w:val="005D19C4"/>
    <w:rsid w:val="005D2DEE"/>
    <w:rsid w:val="005D6DC0"/>
    <w:rsid w:val="005E2068"/>
    <w:rsid w:val="005E3007"/>
    <w:rsid w:val="005E6321"/>
    <w:rsid w:val="005E6C27"/>
    <w:rsid w:val="005F17F5"/>
    <w:rsid w:val="005F38EC"/>
    <w:rsid w:val="005F3B50"/>
    <w:rsid w:val="005F3FB9"/>
    <w:rsid w:val="005F452A"/>
    <w:rsid w:val="005F75CB"/>
    <w:rsid w:val="006034D3"/>
    <w:rsid w:val="0060637F"/>
    <w:rsid w:val="0062087D"/>
    <w:rsid w:val="006215E0"/>
    <w:rsid w:val="006306EB"/>
    <w:rsid w:val="006316EF"/>
    <w:rsid w:val="00634A5C"/>
    <w:rsid w:val="006352B9"/>
    <w:rsid w:val="00641596"/>
    <w:rsid w:val="00642B3A"/>
    <w:rsid w:val="0064329B"/>
    <w:rsid w:val="00644E60"/>
    <w:rsid w:val="00645B55"/>
    <w:rsid w:val="00652C21"/>
    <w:rsid w:val="00653613"/>
    <w:rsid w:val="0065436C"/>
    <w:rsid w:val="006577C8"/>
    <w:rsid w:val="0066237B"/>
    <w:rsid w:val="006640CC"/>
    <w:rsid w:val="006656FC"/>
    <w:rsid w:val="00675607"/>
    <w:rsid w:val="00675986"/>
    <w:rsid w:val="00685305"/>
    <w:rsid w:val="00687868"/>
    <w:rsid w:val="00695694"/>
    <w:rsid w:val="006A21C2"/>
    <w:rsid w:val="006A3B47"/>
    <w:rsid w:val="006A7A0A"/>
    <w:rsid w:val="006B7A61"/>
    <w:rsid w:val="006C1047"/>
    <w:rsid w:val="006C3226"/>
    <w:rsid w:val="006C7163"/>
    <w:rsid w:val="006D4BB7"/>
    <w:rsid w:val="006D75BD"/>
    <w:rsid w:val="006E4407"/>
    <w:rsid w:val="006E7964"/>
    <w:rsid w:val="006F177E"/>
    <w:rsid w:val="006F44F9"/>
    <w:rsid w:val="007114E7"/>
    <w:rsid w:val="007149E8"/>
    <w:rsid w:val="0071588F"/>
    <w:rsid w:val="00730C57"/>
    <w:rsid w:val="0073239A"/>
    <w:rsid w:val="00732723"/>
    <w:rsid w:val="00734BB9"/>
    <w:rsid w:val="00735C61"/>
    <w:rsid w:val="0073727C"/>
    <w:rsid w:val="0074327B"/>
    <w:rsid w:val="00744AF3"/>
    <w:rsid w:val="00747E56"/>
    <w:rsid w:val="00751672"/>
    <w:rsid w:val="0075510C"/>
    <w:rsid w:val="00757DA7"/>
    <w:rsid w:val="00771809"/>
    <w:rsid w:val="00775593"/>
    <w:rsid w:val="00782A08"/>
    <w:rsid w:val="00786153"/>
    <w:rsid w:val="00792C70"/>
    <w:rsid w:val="007965B0"/>
    <w:rsid w:val="00797C1D"/>
    <w:rsid w:val="007A49B5"/>
    <w:rsid w:val="007B1672"/>
    <w:rsid w:val="007B1D2D"/>
    <w:rsid w:val="007B46F9"/>
    <w:rsid w:val="007B6CFE"/>
    <w:rsid w:val="007B7F94"/>
    <w:rsid w:val="007C2965"/>
    <w:rsid w:val="007C74E3"/>
    <w:rsid w:val="007D3E34"/>
    <w:rsid w:val="007D3E3E"/>
    <w:rsid w:val="007D6063"/>
    <w:rsid w:val="007E09E5"/>
    <w:rsid w:val="007E31DB"/>
    <w:rsid w:val="007E6719"/>
    <w:rsid w:val="007E7871"/>
    <w:rsid w:val="00801706"/>
    <w:rsid w:val="00803141"/>
    <w:rsid w:val="0081070B"/>
    <w:rsid w:val="008142EB"/>
    <w:rsid w:val="0081669B"/>
    <w:rsid w:val="0081696C"/>
    <w:rsid w:val="00816B2F"/>
    <w:rsid w:val="0081731B"/>
    <w:rsid w:val="0082102F"/>
    <w:rsid w:val="008228F3"/>
    <w:rsid w:val="00823F91"/>
    <w:rsid w:val="00824683"/>
    <w:rsid w:val="008251A9"/>
    <w:rsid w:val="00830678"/>
    <w:rsid w:val="00830FC4"/>
    <w:rsid w:val="008354C5"/>
    <w:rsid w:val="0083691D"/>
    <w:rsid w:val="00840FD3"/>
    <w:rsid w:val="00841779"/>
    <w:rsid w:val="008506A0"/>
    <w:rsid w:val="00851A4F"/>
    <w:rsid w:val="00866264"/>
    <w:rsid w:val="008663C0"/>
    <w:rsid w:val="008746E1"/>
    <w:rsid w:val="008758A8"/>
    <w:rsid w:val="008803F7"/>
    <w:rsid w:val="00881C76"/>
    <w:rsid w:val="00884E53"/>
    <w:rsid w:val="0088763C"/>
    <w:rsid w:val="00893B0E"/>
    <w:rsid w:val="00893F0B"/>
    <w:rsid w:val="00894839"/>
    <w:rsid w:val="0089761B"/>
    <w:rsid w:val="008A60E2"/>
    <w:rsid w:val="008A7CEA"/>
    <w:rsid w:val="008B1A8B"/>
    <w:rsid w:val="008B282A"/>
    <w:rsid w:val="008B2B8B"/>
    <w:rsid w:val="008C3198"/>
    <w:rsid w:val="008C7659"/>
    <w:rsid w:val="008D6D09"/>
    <w:rsid w:val="008D761F"/>
    <w:rsid w:val="008E260D"/>
    <w:rsid w:val="008E348D"/>
    <w:rsid w:val="008E5A53"/>
    <w:rsid w:val="008F013A"/>
    <w:rsid w:val="008F22F9"/>
    <w:rsid w:val="008F554F"/>
    <w:rsid w:val="008F6AC3"/>
    <w:rsid w:val="00902804"/>
    <w:rsid w:val="009077E3"/>
    <w:rsid w:val="00910EF2"/>
    <w:rsid w:val="00913B17"/>
    <w:rsid w:val="009166DD"/>
    <w:rsid w:val="0091672D"/>
    <w:rsid w:val="00921720"/>
    <w:rsid w:val="00926B8F"/>
    <w:rsid w:val="00931431"/>
    <w:rsid w:val="00931CC2"/>
    <w:rsid w:val="00932D8D"/>
    <w:rsid w:val="009342E4"/>
    <w:rsid w:val="009352CA"/>
    <w:rsid w:val="009445E9"/>
    <w:rsid w:val="009605D9"/>
    <w:rsid w:val="009634B4"/>
    <w:rsid w:val="009643E3"/>
    <w:rsid w:val="009649FC"/>
    <w:rsid w:val="00965F82"/>
    <w:rsid w:val="009813AB"/>
    <w:rsid w:val="0098237A"/>
    <w:rsid w:val="00982B8E"/>
    <w:rsid w:val="009830C8"/>
    <w:rsid w:val="00983702"/>
    <w:rsid w:val="00983B9A"/>
    <w:rsid w:val="009877CF"/>
    <w:rsid w:val="00987B98"/>
    <w:rsid w:val="00995E0A"/>
    <w:rsid w:val="009B1C06"/>
    <w:rsid w:val="009B3BC7"/>
    <w:rsid w:val="009B5D22"/>
    <w:rsid w:val="009C22D0"/>
    <w:rsid w:val="009C512D"/>
    <w:rsid w:val="009C78F2"/>
    <w:rsid w:val="009D5A08"/>
    <w:rsid w:val="009D6A48"/>
    <w:rsid w:val="009E2517"/>
    <w:rsid w:val="009E69A1"/>
    <w:rsid w:val="009F0BA5"/>
    <w:rsid w:val="009F24FB"/>
    <w:rsid w:val="009F4939"/>
    <w:rsid w:val="009F642F"/>
    <w:rsid w:val="009F7BD8"/>
    <w:rsid w:val="00A022C7"/>
    <w:rsid w:val="00A02D20"/>
    <w:rsid w:val="00A0627A"/>
    <w:rsid w:val="00A22653"/>
    <w:rsid w:val="00A23BC5"/>
    <w:rsid w:val="00A24F45"/>
    <w:rsid w:val="00A271B4"/>
    <w:rsid w:val="00A30C4A"/>
    <w:rsid w:val="00A345AE"/>
    <w:rsid w:val="00A409B8"/>
    <w:rsid w:val="00A4383B"/>
    <w:rsid w:val="00A475EE"/>
    <w:rsid w:val="00A523A9"/>
    <w:rsid w:val="00A52E9C"/>
    <w:rsid w:val="00A67786"/>
    <w:rsid w:val="00A67C1E"/>
    <w:rsid w:val="00A73EAB"/>
    <w:rsid w:val="00A7456E"/>
    <w:rsid w:val="00A761ED"/>
    <w:rsid w:val="00A76B1D"/>
    <w:rsid w:val="00A85B33"/>
    <w:rsid w:val="00A86505"/>
    <w:rsid w:val="00A91569"/>
    <w:rsid w:val="00A933C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31A"/>
    <w:rsid w:val="00AE3E93"/>
    <w:rsid w:val="00AE6D1F"/>
    <w:rsid w:val="00AF2068"/>
    <w:rsid w:val="00AF7579"/>
    <w:rsid w:val="00AF7EAE"/>
    <w:rsid w:val="00B03092"/>
    <w:rsid w:val="00B0541E"/>
    <w:rsid w:val="00B13849"/>
    <w:rsid w:val="00B20EBF"/>
    <w:rsid w:val="00B23067"/>
    <w:rsid w:val="00B2590D"/>
    <w:rsid w:val="00B32E66"/>
    <w:rsid w:val="00B33E92"/>
    <w:rsid w:val="00B34848"/>
    <w:rsid w:val="00B40E21"/>
    <w:rsid w:val="00B43812"/>
    <w:rsid w:val="00B45676"/>
    <w:rsid w:val="00B45F71"/>
    <w:rsid w:val="00B5018B"/>
    <w:rsid w:val="00B55309"/>
    <w:rsid w:val="00B625D9"/>
    <w:rsid w:val="00B665D7"/>
    <w:rsid w:val="00B70860"/>
    <w:rsid w:val="00B71D02"/>
    <w:rsid w:val="00B8117C"/>
    <w:rsid w:val="00B81D7B"/>
    <w:rsid w:val="00B922CF"/>
    <w:rsid w:val="00BA47D2"/>
    <w:rsid w:val="00BA61F7"/>
    <w:rsid w:val="00BA7E32"/>
    <w:rsid w:val="00BB3104"/>
    <w:rsid w:val="00BB352A"/>
    <w:rsid w:val="00BC287E"/>
    <w:rsid w:val="00BC2D8F"/>
    <w:rsid w:val="00BC2DE6"/>
    <w:rsid w:val="00BC492E"/>
    <w:rsid w:val="00BC7237"/>
    <w:rsid w:val="00BC7240"/>
    <w:rsid w:val="00BD42F1"/>
    <w:rsid w:val="00BE1D82"/>
    <w:rsid w:val="00BE446E"/>
    <w:rsid w:val="00BE6352"/>
    <w:rsid w:val="00BE7A3A"/>
    <w:rsid w:val="00BF12B8"/>
    <w:rsid w:val="00BF306B"/>
    <w:rsid w:val="00BF5F04"/>
    <w:rsid w:val="00C052E4"/>
    <w:rsid w:val="00C1140C"/>
    <w:rsid w:val="00C1195C"/>
    <w:rsid w:val="00C11FD0"/>
    <w:rsid w:val="00C133EB"/>
    <w:rsid w:val="00C136F0"/>
    <w:rsid w:val="00C150A5"/>
    <w:rsid w:val="00C17A3F"/>
    <w:rsid w:val="00C21B5E"/>
    <w:rsid w:val="00C21F78"/>
    <w:rsid w:val="00C224B0"/>
    <w:rsid w:val="00C25C02"/>
    <w:rsid w:val="00C27A38"/>
    <w:rsid w:val="00C322C5"/>
    <w:rsid w:val="00C34D87"/>
    <w:rsid w:val="00C37F96"/>
    <w:rsid w:val="00C419F9"/>
    <w:rsid w:val="00C426F5"/>
    <w:rsid w:val="00C45D4C"/>
    <w:rsid w:val="00C546D2"/>
    <w:rsid w:val="00C5537E"/>
    <w:rsid w:val="00C572FF"/>
    <w:rsid w:val="00C61510"/>
    <w:rsid w:val="00C61561"/>
    <w:rsid w:val="00C6634A"/>
    <w:rsid w:val="00C7068E"/>
    <w:rsid w:val="00C769EE"/>
    <w:rsid w:val="00C84A38"/>
    <w:rsid w:val="00C86201"/>
    <w:rsid w:val="00C908AD"/>
    <w:rsid w:val="00C920E5"/>
    <w:rsid w:val="00C94BB9"/>
    <w:rsid w:val="00C96CBA"/>
    <w:rsid w:val="00CA1E0E"/>
    <w:rsid w:val="00CA5BA3"/>
    <w:rsid w:val="00CA65BE"/>
    <w:rsid w:val="00CB0D2B"/>
    <w:rsid w:val="00CB4B88"/>
    <w:rsid w:val="00CB4F5E"/>
    <w:rsid w:val="00CB66F3"/>
    <w:rsid w:val="00CC49DA"/>
    <w:rsid w:val="00CC5985"/>
    <w:rsid w:val="00CC5E96"/>
    <w:rsid w:val="00CC65CE"/>
    <w:rsid w:val="00CD2375"/>
    <w:rsid w:val="00CD4A78"/>
    <w:rsid w:val="00CD6B6A"/>
    <w:rsid w:val="00CE3B13"/>
    <w:rsid w:val="00CE43B4"/>
    <w:rsid w:val="00CE68C6"/>
    <w:rsid w:val="00CF3BB0"/>
    <w:rsid w:val="00CF7138"/>
    <w:rsid w:val="00D02084"/>
    <w:rsid w:val="00D050DE"/>
    <w:rsid w:val="00D077EC"/>
    <w:rsid w:val="00D13B06"/>
    <w:rsid w:val="00D1524D"/>
    <w:rsid w:val="00D1728D"/>
    <w:rsid w:val="00D21BFC"/>
    <w:rsid w:val="00D21D55"/>
    <w:rsid w:val="00D21EF9"/>
    <w:rsid w:val="00D22F4A"/>
    <w:rsid w:val="00D23330"/>
    <w:rsid w:val="00D32326"/>
    <w:rsid w:val="00D34B76"/>
    <w:rsid w:val="00D35F74"/>
    <w:rsid w:val="00D36D32"/>
    <w:rsid w:val="00D4029A"/>
    <w:rsid w:val="00D416A5"/>
    <w:rsid w:val="00D41B9F"/>
    <w:rsid w:val="00D50C56"/>
    <w:rsid w:val="00D5488B"/>
    <w:rsid w:val="00D55074"/>
    <w:rsid w:val="00D55AA4"/>
    <w:rsid w:val="00D6261D"/>
    <w:rsid w:val="00D6598A"/>
    <w:rsid w:val="00D65F4B"/>
    <w:rsid w:val="00D71653"/>
    <w:rsid w:val="00D72398"/>
    <w:rsid w:val="00D72436"/>
    <w:rsid w:val="00D7604A"/>
    <w:rsid w:val="00D8063C"/>
    <w:rsid w:val="00D82013"/>
    <w:rsid w:val="00D83335"/>
    <w:rsid w:val="00D8679A"/>
    <w:rsid w:val="00D926F9"/>
    <w:rsid w:val="00D93182"/>
    <w:rsid w:val="00D961B5"/>
    <w:rsid w:val="00DA7FD6"/>
    <w:rsid w:val="00DB1328"/>
    <w:rsid w:val="00DB32EE"/>
    <w:rsid w:val="00DB7EE0"/>
    <w:rsid w:val="00DC4DDD"/>
    <w:rsid w:val="00DC7F19"/>
    <w:rsid w:val="00DD3E7F"/>
    <w:rsid w:val="00DE07C1"/>
    <w:rsid w:val="00DE0ECC"/>
    <w:rsid w:val="00DE2348"/>
    <w:rsid w:val="00DE3943"/>
    <w:rsid w:val="00DE562E"/>
    <w:rsid w:val="00DE77F8"/>
    <w:rsid w:val="00DF0138"/>
    <w:rsid w:val="00DF294A"/>
    <w:rsid w:val="00DF6DA9"/>
    <w:rsid w:val="00E00EAF"/>
    <w:rsid w:val="00E0236A"/>
    <w:rsid w:val="00E06405"/>
    <w:rsid w:val="00E11739"/>
    <w:rsid w:val="00E12F72"/>
    <w:rsid w:val="00E15A2D"/>
    <w:rsid w:val="00E15B2B"/>
    <w:rsid w:val="00E201B0"/>
    <w:rsid w:val="00E267A5"/>
    <w:rsid w:val="00E35AC9"/>
    <w:rsid w:val="00E36155"/>
    <w:rsid w:val="00E40CBA"/>
    <w:rsid w:val="00E41030"/>
    <w:rsid w:val="00E413A9"/>
    <w:rsid w:val="00E5003A"/>
    <w:rsid w:val="00E50A16"/>
    <w:rsid w:val="00E514FA"/>
    <w:rsid w:val="00E56529"/>
    <w:rsid w:val="00E6135C"/>
    <w:rsid w:val="00E67591"/>
    <w:rsid w:val="00E67A2A"/>
    <w:rsid w:val="00E728B0"/>
    <w:rsid w:val="00E75758"/>
    <w:rsid w:val="00E75BC0"/>
    <w:rsid w:val="00E769F1"/>
    <w:rsid w:val="00E85ECC"/>
    <w:rsid w:val="00E9292D"/>
    <w:rsid w:val="00EA2B0E"/>
    <w:rsid w:val="00EA56F6"/>
    <w:rsid w:val="00EA77CE"/>
    <w:rsid w:val="00EB1DAB"/>
    <w:rsid w:val="00EB1EEE"/>
    <w:rsid w:val="00EB7127"/>
    <w:rsid w:val="00EC15BD"/>
    <w:rsid w:val="00EC38D5"/>
    <w:rsid w:val="00EC477B"/>
    <w:rsid w:val="00ED0B0C"/>
    <w:rsid w:val="00ED0F47"/>
    <w:rsid w:val="00EE34BE"/>
    <w:rsid w:val="00EF331B"/>
    <w:rsid w:val="00EF517E"/>
    <w:rsid w:val="00EF6C7F"/>
    <w:rsid w:val="00EF75BB"/>
    <w:rsid w:val="00F0613F"/>
    <w:rsid w:val="00F12D77"/>
    <w:rsid w:val="00F2180F"/>
    <w:rsid w:val="00F31732"/>
    <w:rsid w:val="00F31F04"/>
    <w:rsid w:val="00F327E2"/>
    <w:rsid w:val="00F34A38"/>
    <w:rsid w:val="00F375FF"/>
    <w:rsid w:val="00F50C2B"/>
    <w:rsid w:val="00F566E6"/>
    <w:rsid w:val="00F702DD"/>
    <w:rsid w:val="00F710AB"/>
    <w:rsid w:val="00F721A2"/>
    <w:rsid w:val="00F72B51"/>
    <w:rsid w:val="00F734B6"/>
    <w:rsid w:val="00F76C50"/>
    <w:rsid w:val="00F84427"/>
    <w:rsid w:val="00F85050"/>
    <w:rsid w:val="00F86303"/>
    <w:rsid w:val="00F95BD7"/>
    <w:rsid w:val="00F965B5"/>
    <w:rsid w:val="00FA1741"/>
    <w:rsid w:val="00FA6242"/>
    <w:rsid w:val="00FA643C"/>
    <w:rsid w:val="00FA7894"/>
    <w:rsid w:val="00FC2FFA"/>
    <w:rsid w:val="00FC4DCA"/>
    <w:rsid w:val="00FC4DD1"/>
    <w:rsid w:val="00FD1DCC"/>
    <w:rsid w:val="00FD27C6"/>
    <w:rsid w:val="00FD2E3D"/>
    <w:rsid w:val="00FE59EF"/>
    <w:rsid w:val="00FE5CAF"/>
    <w:rsid w:val="00FE6157"/>
    <w:rsid w:val="00FE74BE"/>
    <w:rsid w:val="00FF0239"/>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rsid w:val="00E85ECC"/>
    <w:rPr>
      <w:sz w:val="20"/>
      <w:szCs w:val="20"/>
    </w:rPr>
  </w:style>
  <w:style w:type="character" w:styleId="FootnoteReference">
    <w:name w:val="footnote reference"/>
    <w:aliases w:val="o,fr"/>
    <w:basedOn w:val="DefaultParagraphFont"/>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06405"/>
    <w:pPr>
      <w:ind w:left="720"/>
      <w:contextualSpacing/>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BC492E"/>
  </w:style>
  <w:style w:type="character" w:styleId="Hyperlink">
    <w:name w:val="Hyperlink"/>
    <w:basedOn w:val="DefaultParagraphFont"/>
    <w:uiPriority w:val="99"/>
    <w:unhideWhenUsed/>
    <w:rsid w:val="00642B3A"/>
    <w:rPr>
      <w:color w:val="0000FF"/>
      <w:u w:val="single"/>
    </w:rPr>
  </w:style>
  <w:style w:type="character" w:customStyle="1" w:styleId="term1">
    <w:name w:val="term1"/>
    <w:basedOn w:val="DefaultParagraphFont"/>
    <w:rsid w:val="00642B3A"/>
    <w:rPr>
      <w:b/>
      <w:bCs/>
    </w:r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xis.com/research/buttonTFLink?_m=affdf6417ebd5fd97ea09a01350dfa3a&amp;_xfercite=%3ccite%20cc%3d%22USA%22%3e%3c%21%5bCDATA%5b67%20Pa.%20PUC%20344%5d%5d%3e%3c%2fcite%3e&amp;_butType=3&amp;_butStat=2&amp;_butNum=8&amp;_butInline=1&amp;_butinfo=%3ccite%20cc%3d%22USA%22%3e%3c%21%5bCDATA%5b32%20Pa.%20Commw.%20319%5d%5d%3e%3c%2fcite%3e&amp;_fmtstr=FULL&amp;docnum=11&amp;_startdoc=1&amp;wchp=dGLzVtb-zSkAB&amp;_md5=3969399583988e24a34f2f73fe94eb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affdf6417ebd5fd97ea09a01350dfa3a&amp;_xfercite=%3ccite%20cc%3d%22USA%22%3e%3c%21%5bCDATA%5b67%20Pa.%20PUC%20344%5d%5d%3e%3c%2fcite%3e&amp;_butType=3&amp;_butStat=2&amp;_butNum=7&amp;_butInline=1&amp;_butinfo=%3ccite%20cc%3d%22USA%22%3e%3c%21%5bCDATA%5b63%20Pa.%20Commw.%20238%5d%5d%3e%3c%2fcite%3e&amp;_fmtstr=FULL&amp;docnum=11&amp;_startdoc=1&amp;wchp=dGLzVtb-zSkAB&amp;_md5=671981cb4b05ac55628faf6e231d6ae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xis.com/research/buttonTFLink?_m=affdf6417ebd5fd97ea09a01350dfa3a&amp;_xfercite=%3ccite%20cc%3d%22USA%22%3e%3c%21%5bCDATA%5b67%20Pa.%20PUC%20344%5d%5d%3e%3c%2fcite%3e&amp;_butType=3&amp;_butStat=2&amp;_butNum=8&amp;_butInline=1&amp;_butinfo=%3ccite%20cc%3d%22USA%22%3e%3c%21%5bCDATA%5b32%20Pa.%20Commw.%20319%5d%5d%3e%3c%2fcite%3e&amp;_fmtstr=FULL&amp;docnum=11&amp;_startdoc=1&amp;wchp=dGLzVtb-zSkAB&amp;_md5=3969399583988e24a34f2f73fe94ebbe" TargetMode="External"/><Relationship Id="rId4" Type="http://schemas.openxmlformats.org/officeDocument/2006/relationships/settings" Target="settings.xml"/><Relationship Id="rId9" Type="http://schemas.openxmlformats.org/officeDocument/2006/relationships/hyperlink" Target="https://www.lexis.com/research/buttonTFLink?_m=affdf6417ebd5fd97ea09a01350dfa3a&amp;_xfercite=%3ccite%20cc%3d%22USA%22%3e%3c%21%5bCDATA%5b67%20Pa.%20PUC%20344%5d%5d%3e%3c%2fcite%3e&amp;_butType=3&amp;_butStat=2&amp;_butNum=7&amp;_butInline=1&amp;_butinfo=%3ccite%20cc%3d%22USA%22%3e%3c%21%5bCDATA%5b63%20Pa.%20Commw.%20238%5d%5d%3e%3c%2fcite%3e&amp;_fmtstr=FULL&amp;docnum=11&amp;_startdoc=1&amp;wchp=dGLzVtb-zSkAB&amp;_md5=671981cb4b05ac55628faf6e231d6ae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05B2-D5E5-4079-9840-F0FBE2E5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4239</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shoffner</cp:lastModifiedBy>
  <cp:revision>83</cp:revision>
  <cp:lastPrinted>2011-02-15T14:02:00Z</cp:lastPrinted>
  <dcterms:created xsi:type="dcterms:W3CDTF">2011-01-26T18:42:00Z</dcterms:created>
  <dcterms:modified xsi:type="dcterms:W3CDTF">2011-02-15T14:03:00Z</dcterms:modified>
</cp:coreProperties>
</file>