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378" w:rsidRPr="00885A23" w:rsidRDefault="00AC0378" w:rsidP="00E82552">
      <w:pPr>
        <w:jc w:val="center"/>
        <w:rPr>
          <w:b/>
          <w:sz w:val="24"/>
          <w:szCs w:val="24"/>
        </w:rPr>
      </w:pPr>
      <w:r w:rsidRPr="00885A23">
        <w:rPr>
          <w:b/>
          <w:sz w:val="24"/>
          <w:szCs w:val="24"/>
        </w:rPr>
        <w:t>BEFORE THE</w:t>
      </w:r>
    </w:p>
    <w:p w:rsidR="00AC0378" w:rsidRPr="00885A23" w:rsidRDefault="00AC0378" w:rsidP="00E82552">
      <w:pPr>
        <w:pStyle w:val="TxBrc2"/>
        <w:spacing w:line="240" w:lineRule="auto"/>
        <w:rPr>
          <w:b/>
          <w:bCs/>
        </w:rPr>
      </w:pPr>
      <w:r w:rsidRPr="00885A23">
        <w:rPr>
          <w:b/>
          <w:bCs/>
        </w:rPr>
        <w:t>PENNSYLVANIA PUBLIC UTILITY COMMISSION</w:t>
      </w:r>
    </w:p>
    <w:p w:rsidR="00AC0378" w:rsidRPr="00885A23" w:rsidRDefault="00AC0378" w:rsidP="00E82552">
      <w:pPr>
        <w:rPr>
          <w:b/>
          <w:bCs/>
          <w:sz w:val="24"/>
          <w:szCs w:val="24"/>
        </w:rPr>
      </w:pPr>
    </w:p>
    <w:p w:rsidR="00AC0378" w:rsidRPr="00885A23" w:rsidRDefault="00AC0378" w:rsidP="00E82552">
      <w:pPr>
        <w:rPr>
          <w:b/>
          <w:bCs/>
          <w:sz w:val="24"/>
          <w:szCs w:val="24"/>
        </w:rPr>
      </w:pPr>
    </w:p>
    <w:p w:rsidR="00AC0378" w:rsidRPr="00885A23" w:rsidRDefault="00AC0378" w:rsidP="00E82552">
      <w:pPr>
        <w:rPr>
          <w:b/>
          <w:bCs/>
          <w:sz w:val="24"/>
          <w:szCs w:val="24"/>
        </w:rPr>
      </w:pPr>
    </w:p>
    <w:p w:rsidR="00AC0378" w:rsidRPr="00885A23" w:rsidRDefault="0081305F" w:rsidP="00E82552">
      <w:pPr>
        <w:pStyle w:val="TxBrp3"/>
        <w:spacing w:line="240" w:lineRule="auto"/>
      </w:pPr>
      <w:r>
        <w:t>Frank DeNunzi</w:t>
      </w:r>
      <w:r w:rsidR="006266F7">
        <w:t>o</w:t>
      </w:r>
      <w:r w:rsidR="00AC0378" w:rsidRPr="00885A23">
        <w:t xml:space="preserve"> </w:t>
      </w:r>
      <w:r w:rsidR="00AC0378" w:rsidRPr="00885A23">
        <w:tab/>
      </w:r>
      <w:r w:rsidR="00AC0378" w:rsidRPr="00885A23">
        <w:tab/>
      </w:r>
      <w:r w:rsidR="00AC0378" w:rsidRPr="00885A23">
        <w:tab/>
      </w:r>
      <w:r w:rsidR="00AC0378" w:rsidRPr="00885A23">
        <w:tab/>
      </w:r>
      <w:r w:rsidR="00AC0378" w:rsidRPr="00885A23">
        <w:tab/>
        <w:t>:</w:t>
      </w:r>
    </w:p>
    <w:p w:rsidR="00AC0378" w:rsidRPr="00885A23" w:rsidRDefault="00AC0378" w:rsidP="00E82552">
      <w:pPr>
        <w:pStyle w:val="TxBrp3"/>
        <w:spacing w:line="240" w:lineRule="auto"/>
      </w:pPr>
      <w:r w:rsidRPr="00885A23">
        <w:tab/>
      </w:r>
      <w:r w:rsidRPr="00885A23">
        <w:tab/>
      </w:r>
      <w:r w:rsidRPr="00885A23">
        <w:tab/>
      </w:r>
      <w:r w:rsidRPr="00885A23">
        <w:tab/>
      </w:r>
      <w:r w:rsidRPr="00885A23">
        <w:tab/>
      </w:r>
      <w:r w:rsidRPr="00885A23">
        <w:tab/>
      </w:r>
      <w:r w:rsidRPr="00885A23">
        <w:tab/>
      </w:r>
      <w:r w:rsidRPr="00885A23">
        <w:tab/>
        <w:t>:</w:t>
      </w:r>
    </w:p>
    <w:p w:rsidR="00AC0378" w:rsidRPr="00885A23" w:rsidRDefault="00AC0378" w:rsidP="00E82552">
      <w:pPr>
        <w:pStyle w:val="TxBrt1"/>
        <w:tabs>
          <w:tab w:val="left" w:pos="720"/>
          <w:tab w:val="left" w:pos="5040"/>
          <w:tab w:val="left" w:pos="6480"/>
        </w:tabs>
        <w:spacing w:line="240" w:lineRule="auto"/>
      </w:pPr>
      <w:r w:rsidRPr="00885A23">
        <w:tab/>
        <w:t>v.</w:t>
      </w:r>
      <w:r w:rsidRPr="00885A23">
        <w:tab/>
        <w:t>:</w:t>
      </w:r>
      <w:r w:rsidRPr="00885A23">
        <w:tab/>
      </w:r>
      <w:r w:rsidR="006266F7">
        <w:t>F-20</w:t>
      </w:r>
      <w:r w:rsidR="00083E76">
        <w:t>09</w:t>
      </w:r>
      <w:r w:rsidR="006266F7">
        <w:t>-2134636</w:t>
      </w:r>
    </w:p>
    <w:p w:rsidR="00AC0378" w:rsidRPr="00885A23" w:rsidRDefault="00AC0378" w:rsidP="00E82552">
      <w:pPr>
        <w:pStyle w:val="TxBrt1"/>
        <w:tabs>
          <w:tab w:val="left" w:pos="720"/>
          <w:tab w:val="left" w:pos="5040"/>
          <w:tab w:val="left" w:pos="6514"/>
        </w:tabs>
        <w:spacing w:line="240" w:lineRule="auto"/>
      </w:pPr>
      <w:r w:rsidRPr="00885A23">
        <w:tab/>
      </w:r>
      <w:r w:rsidRPr="00885A23">
        <w:tab/>
        <w:t>:</w:t>
      </w:r>
    </w:p>
    <w:p w:rsidR="00AC0378" w:rsidRPr="00885A23" w:rsidRDefault="006266F7" w:rsidP="00E82552">
      <w:pPr>
        <w:pStyle w:val="TxBrp3"/>
        <w:spacing w:line="240" w:lineRule="auto"/>
      </w:pPr>
      <w:r>
        <w:t>PPL Electric Utilities Corporation</w:t>
      </w:r>
      <w:r w:rsidR="00AC0378" w:rsidRPr="00885A23">
        <w:tab/>
      </w:r>
      <w:r w:rsidR="00AC0378" w:rsidRPr="00885A23">
        <w:tab/>
      </w:r>
      <w:r w:rsidR="00AC0378" w:rsidRPr="00885A23">
        <w:tab/>
        <w:t>:</w:t>
      </w:r>
    </w:p>
    <w:p w:rsidR="00AC0378" w:rsidRPr="00885A23" w:rsidRDefault="00AC0378" w:rsidP="00E82552">
      <w:pPr>
        <w:tabs>
          <w:tab w:val="left" w:pos="204"/>
        </w:tabs>
        <w:rPr>
          <w:sz w:val="24"/>
          <w:szCs w:val="24"/>
        </w:rPr>
      </w:pPr>
    </w:p>
    <w:p w:rsidR="00AC0378" w:rsidRPr="00885A23" w:rsidRDefault="00AC0378" w:rsidP="00E82552">
      <w:pPr>
        <w:tabs>
          <w:tab w:val="left" w:pos="204"/>
        </w:tabs>
        <w:rPr>
          <w:sz w:val="24"/>
          <w:szCs w:val="24"/>
        </w:rPr>
      </w:pPr>
    </w:p>
    <w:p w:rsidR="00AC0378" w:rsidRPr="00885A23" w:rsidRDefault="00AC0378" w:rsidP="00E82552">
      <w:pPr>
        <w:rPr>
          <w:sz w:val="24"/>
          <w:szCs w:val="24"/>
        </w:rPr>
      </w:pPr>
    </w:p>
    <w:p w:rsidR="00AC0378" w:rsidRPr="00885A23" w:rsidRDefault="00AC0378" w:rsidP="00E82552">
      <w:pPr>
        <w:jc w:val="center"/>
        <w:rPr>
          <w:b/>
          <w:sz w:val="24"/>
          <w:szCs w:val="24"/>
          <w:u w:val="single"/>
        </w:rPr>
      </w:pPr>
      <w:r w:rsidRPr="00885A23">
        <w:rPr>
          <w:b/>
          <w:sz w:val="24"/>
          <w:szCs w:val="24"/>
          <w:u w:val="single"/>
        </w:rPr>
        <w:t>INITIAL DECISION</w:t>
      </w:r>
    </w:p>
    <w:p w:rsidR="00AC0378" w:rsidRPr="00885A23" w:rsidRDefault="00AC0378" w:rsidP="00E82552">
      <w:pPr>
        <w:jc w:val="center"/>
        <w:rPr>
          <w:b/>
          <w:sz w:val="24"/>
          <w:szCs w:val="24"/>
          <w:u w:val="single"/>
        </w:rPr>
      </w:pPr>
    </w:p>
    <w:p w:rsidR="00AC0378" w:rsidRPr="00885A23" w:rsidRDefault="00AC0378" w:rsidP="00E82552">
      <w:pPr>
        <w:jc w:val="center"/>
        <w:rPr>
          <w:b/>
          <w:sz w:val="24"/>
          <w:szCs w:val="24"/>
          <w:u w:val="single"/>
        </w:rPr>
      </w:pPr>
    </w:p>
    <w:p w:rsidR="00AC0378" w:rsidRPr="00885A23" w:rsidRDefault="00AC0378" w:rsidP="00E82552">
      <w:pPr>
        <w:jc w:val="center"/>
        <w:rPr>
          <w:sz w:val="24"/>
          <w:szCs w:val="24"/>
        </w:rPr>
      </w:pPr>
      <w:r w:rsidRPr="00885A23">
        <w:rPr>
          <w:sz w:val="24"/>
          <w:szCs w:val="24"/>
        </w:rPr>
        <w:t>Before</w:t>
      </w:r>
    </w:p>
    <w:p w:rsidR="00AC0378" w:rsidRPr="00885A23" w:rsidRDefault="00AC0378" w:rsidP="00E82552">
      <w:pPr>
        <w:jc w:val="center"/>
        <w:rPr>
          <w:sz w:val="24"/>
          <w:szCs w:val="24"/>
        </w:rPr>
      </w:pPr>
      <w:r w:rsidRPr="00885A23">
        <w:rPr>
          <w:sz w:val="24"/>
          <w:szCs w:val="24"/>
        </w:rPr>
        <w:t>David A. Alexander</w:t>
      </w:r>
    </w:p>
    <w:p w:rsidR="00AC0378" w:rsidRPr="00885A23" w:rsidRDefault="00AC0378" w:rsidP="00E82552">
      <w:pPr>
        <w:jc w:val="center"/>
        <w:rPr>
          <w:sz w:val="24"/>
          <w:szCs w:val="24"/>
        </w:rPr>
      </w:pPr>
      <w:r w:rsidRPr="00885A23">
        <w:rPr>
          <w:sz w:val="24"/>
          <w:szCs w:val="24"/>
        </w:rPr>
        <w:t>Special Agent</w:t>
      </w:r>
    </w:p>
    <w:p w:rsidR="00AC0378" w:rsidRPr="00885A23" w:rsidRDefault="00AC0378" w:rsidP="00E82552">
      <w:pPr>
        <w:jc w:val="center"/>
        <w:rPr>
          <w:sz w:val="24"/>
          <w:szCs w:val="24"/>
          <w:u w:val="single"/>
        </w:rPr>
      </w:pPr>
    </w:p>
    <w:p w:rsidR="00AC0378" w:rsidRPr="00885A23" w:rsidRDefault="00AC0378" w:rsidP="00E82552">
      <w:pPr>
        <w:jc w:val="center"/>
        <w:rPr>
          <w:sz w:val="24"/>
          <w:szCs w:val="24"/>
          <w:u w:val="single"/>
        </w:rPr>
      </w:pPr>
    </w:p>
    <w:p w:rsidR="00AC0378" w:rsidRPr="00885A23" w:rsidRDefault="00AC0378" w:rsidP="00E82552">
      <w:pPr>
        <w:jc w:val="center"/>
        <w:rPr>
          <w:sz w:val="24"/>
          <w:szCs w:val="24"/>
          <w:u w:val="single"/>
        </w:rPr>
      </w:pPr>
      <w:r w:rsidRPr="00885A23">
        <w:rPr>
          <w:sz w:val="24"/>
          <w:szCs w:val="24"/>
          <w:u w:val="single"/>
        </w:rPr>
        <w:t>HISTORY OF THE PROCEEDING</w:t>
      </w:r>
    </w:p>
    <w:p w:rsidR="00AC0378" w:rsidRPr="00885A23" w:rsidRDefault="00AC0378" w:rsidP="00E82552">
      <w:pPr>
        <w:jc w:val="center"/>
        <w:rPr>
          <w:sz w:val="24"/>
          <w:szCs w:val="24"/>
          <w:u w:val="single"/>
        </w:rPr>
      </w:pPr>
    </w:p>
    <w:p w:rsidR="00AC0378" w:rsidRPr="00885A23" w:rsidRDefault="00AC0378" w:rsidP="00E82552">
      <w:pPr>
        <w:jc w:val="center"/>
        <w:rPr>
          <w:sz w:val="24"/>
          <w:szCs w:val="24"/>
          <w:u w:val="single"/>
        </w:rPr>
      </w:pPr>
    </w:p>
    <w:p w:rsidR="00AC0378" w:rsidRPr="00885A23" w:rsidRDefault="00AC0378" w:rsidP="00AC0378">
      <w:pPr>
        <w:spacing w:line="360" w:lineRule="auto"/>
        <w:ind w:firstLine="1440"/>
        <w:rPr>
          <w:sz w:val="24"/>
          <w:szCs w:val="24"/>
        </w:rPr>
      </w:pPr>
      <w:r w:rsidRPr="00885A23">
        <w:rPr>
          <w:sz w:val="24"/>
          <w:szCs w:val="24"/>
        </w:rPr>
        <w:t xml:space="preserve">On </w:t>
      </w:r>
      <w:r w:rsidR="00FA09D6">
        <w:rPr>
          <w:sz w:val="24"/>
          <w:szCs w:val="24"/>
        </w:rPr>
        <w:t>September 28, 2009</w:t>
      </w:r>
      <w:r w:rsidRPr="00885A23">
        <w:rPr>
          <w:sz w:val="24"/>
          <w:szCs w:val="24"/>
        </w:rPr>
        <w:t xml:space="preserve">, </w:t>
      </w:r>
      <w:r w:rsidR="0081305F">
        <w:rPr>
          <w:sz w:val="24"/>
          <w:szCs w:val="24"/>
        </w:rPr>
        <w:t>Frank DeNun</w:t>
      </w:r>
      <w:r w:rsidR="006266F7">
        <w:rPr>
          <w:sz w:val="24"/>
          <w:szCs w:val="24"/>
        </w:rPr>
        <w:t>z</w:t>
      </w:r>
      <w:r w:rsidR="0081305F">
        <w:rPr>
          <w:sz w:val="24"/>
          <w:szCs w:val="24"/>
        </w:rPr>
        <w:t>i</w:t>
      </w:r>
      <w:r w:rsidR="006266F7">
        <w:rPr>
          <w:sz w:val="24"/>
          <w:szCs w:val="24"/>
        </w:rPr>
        <w:t>o</w:t>
      </w:r>
      <w:r w:rsidRPr="00885A23">
        <w:rPr>
          <w:sz w:val="24"/>
          <w:szCs w:val="24"/>
        </w:rPr>
        <w:t xml:space="preserve"> (</w:t>
      </w:r>
      <w:r w:rsidR="006266F7">
        <w:rPr>
          <w:sz w:val="24"/>
          <w:szCs w:val="24"/>
        </w:rPr>
        <w:t xml:space="preserve">Mr. </w:t>
      </w:r>
      <w:r w:rsidR="0081305F">
        <w:rPr>
          <w:sz w:val="24"/>
          <w:szCs w:val="24"/>
        </w:rPr>
        <w:t>DeNunzi</w:t>
      </w:r>
      <w:r w:rsidR="00B75337">
        <w:rPr>
          <w:sz w:val="24"/>
          <w:szCs w:val="24"/>
        </w:rPr>
        <w:t>o</w:t>
      </w:r>
      <w:r w:rsidRPr="00885A23">
        <w:rPr>
          <w:sz w:val="24"/>
          <w:szCs w:val="24"/>
        </w:rPr>
        <w:t xml:space="preserve"> or Complainant) filed a Formal Complaint with the Pennsylvania Public Utility Commission (Commission) against </w:t>
      </w:r>
      <w:r w:rsidR="006266F7">
        <w:rPr>
          <w:sz w:val="24"/>
          <w:szCs w:val="24"/>
        </w:rPr>
        <w:t>PPL Electric Utilities Corporation</w:t>
      </w:r>
      <w:r w:rsidRPr="00885A23">
        <w:rPr>
          <w:sz w:val="24"/>
          <w:szCs w:val="24"/>
        </w:rPr>
        <w:t xml:space="preserve"> (Respondent or </w:t>
      </w:r>
      <w:r w:rsidR="006266F7">
        <w:rPr>
          <w:sz w:val="24"/>
          <w:szCs w:val="24"/>
        </w:rPr>
        <w:t>PPL</w:t>
      </w:r>
      <w:r w:rsidRPr="00885A23">
        <w:rPr>
          <w:sz w:val="24"/>
          <w:szCs w:val="24"/>
        </w:rPr>
        <w:t>) which alleged h</w:t>
      </w:r>
      <w:r w:rsidR="00FA09D6">
        <w:rPr>
          <w:sz w:val="24"/>
          <w:szCs w:val="24"/>
        </w:rPr>
        <w:t>is</w:t>
      </w:r>
      <w:r w:rsidRPr="00885A23">
        <w:rPr>
          <w:sz w:val="24"/>
          <w:szCs w:val="24"/>
        </w:rPr>
        <w:t xml:space="preserve"> inability to pay </w:t>
      </w:r>
      <w:r w:rsidR="00FA09D6">
        <w:rPr>
          <w:sz w:val="24"/>
          <w:szCs w:val="24"/>
        </w:rPr>
        <w:t>his</w:t>
      </w:r>
      <w:r w:rsidRPr="00885A23">
        <w:rPr>
          <w:sz w:val="24"/>
          <w:szCs w:val="24"/>
        </w:rPr>
        <w:t xml:space="preserve"> </w:t>
      </w:r>
      <w:r w:rsidR="006266F7">
        <w:rPr>
          <w:sz w:val="24"/>
          <w:szCs w:val="24"/>
        </w:rPr>
        <w:t>electric</w:t>
      </w:r>
      <w:r w:rsidR="00FA09D6">
        <w:rPr>
          <w:sz w:val="24"/>
          <w:szCs w:val="24"/>
        </w:rPr>
        <w:t xml:space="preserve"> </w:t>
      </w:r>
      <w:r w:rsidRPr="00885A23">
        <w:rPr>
          <w:sz w:val="24"/>
          <w:szCs w:val="24"/>
        </w:rPr>
        <w:t xml:space="preserve">bills and requested that the Commission establish a lower payment arrangement.  Complaint </w:t>
      </w:r>
      <w:r w:rsidR="00A80668">
        <w:rPr>
          <w:sz w:val="24"/>
          <w:szCs w:val="24"/>
        </w:rPr>
        <w:t>¶</w:t>
      </w:r>
      <w:r w:rsidRPr="00885A23">
        <w:rPr>
          <w:sz w:val="24"/>
          <w:szCs w:val="24"/>
        </w:rPr>
        <w:t xml:space="preserve">4(A).  </w:t>
      </w:r>
      <w:r w:rsidR="00FA09D6">
        <w:rPr>
          <w:sz w:val="24"/>
          <w:szCs w:val="24"/>
        </w:rPr>
        <w:t xml:space="preserve">As relief, </w:t>
      </w:r>
      <w:r w:rsidRPr="00885A23">
        <w:rPr>
          <w:sz w:val="24"/>
          <w:szCs w:val="24"/>
        </w:rPr>
        <w:t xml:space="preserve">he wanted </w:t>
      </w:r>
      <w:r w:rsidR="00FA09D6">
        <w:rPr>
          <w:sz w:val="24"/>
          <w:szCs w:val="24"/>
        </w:rPr>
        <w:t>a “payment based upon my current income and housing expenses</w:t>
      </w:r>
      <w:r w:rsidRPr="00885A23">
        <w:rPr>
          <w:sz w:val="24"/>
          <w:szCs w:val="24"/>
        </w:rPr>
        <w:t xml:space="preserve">.”  Complaint ¶5. </w:t>
      </w:r>
    </w:p>
    <w:p w:rsidR="00AC0378" w:rsidRPr="00885A23" w:rsidRDefault="00AC0378" w:rsidP="00AC0378">
      <w:pPr>
        <w:spacing w:line="360" w:lineRule="auto"/>
        <w:ind w:firstLine="1440"/>
        <w:rPr>
          <w:sz w:val="24"/>
          <w:szCs w:val="24"/>
        </w:rPr>
      </w:pPr>
    </w:p>
    <w:p w:rsidR="004C09C5" w:rsidRDefault="00CA34F4" w:rsidP="00AC0378">
      <w:pPr>
        <w:spacing w:line="360" w:lineRule="auto"/>
        <w:ind w:firstLine="1440"/>
        <w:rPr>
          <w:sz w:val="24"/>
          <w:szCs w:val="24"/>
        </w:rPr>
      </w:pPr>
      <w:r>
        <w:rPr>
          <w:sz w:val="24"/>
          <w:szCs w:val="24"/>
        </w:rPr>
        <w:t>This Complaint is a timely appeal of the informal decision issued by the C</w:t>
      </w:r>
      <w:r w:rsidR="00E1316E">
        <w:rPr>
          <w:sz w:val="24"/>
          <w:szCs w:val="24"/>
        </w:rPr>
        <w:t>ommission’s Bureau of Consumer S</w:t>
      </w:r>
      <w:r>
        <w:rPr>
          <w:sz w:val="24"/>
          <w:szCs w:val="24"/>
        </w:rPr>
        <w:t xml:space="preserve">ervices (BCS) on </w:t>
      </w:r>
      <w:r w:rsidR="004C09C5">
        <w:rPr>
          <w:sz w:val="24"/>
          <w:szCs w:val="24"/>
        </w:rPr>
        <w:t>August 24, 2009</w:t>
      </w:r>
      <w:r>
        <w:rPr>
          <w:sz w:val="24"/>
          <w:szCs w:val="24"/>
        </w:rPr>
        <w:t xml:space="preserve"> at </w:t>
      </w:r>
      <w:r w:rsidR="004C09C5">
        <w:rPr>
          <w:sz w:val="24"/>
          <w:szCs w:val="24"/>
        </w:rPr>
        <w:t>BCS Case No. 2577202.</w:t>
      </w:r>
    </w:p>
    <w:p w:rsidR="00BD55CF" w:rsidRDefault="00BD55CF" w:rsidP="00AC0378">
      <w:pPr>
        <w:spacing w:line="360" w:lineRule="auto"/>
        <w:ind w:firstLine="1440"/>
        <w:rPr>
          <w:sz w:val="24"/>
          <w:szCs w:val="24"/>
        </w:rPr>
      </w:pPr>
    </w:p>
    <w:p w:rsidR="00AC0378" w:rsidRPr="00885A23" w:rsidRDefault="00AC0378" w:rsidP="00AC0378">
      <w:pPr>
        <w:spacing w:line="360" w:lineRule="auto"/>
        <w:ind w:firstLine="1440"/>
        <w:rPr>
          <w:sz w:val="24"/>
          <w:szCs w:val="24"/>
        </w:rPr>
      </w:pPr>
      <w:r w:rsidRPr="00885A23">
        <w:rPr>
          <w:sz w:val="24"/>
          <w:szCs w:val="24"/>
        </w:rPr>
        <w:t xml:space="preserve">On </w:t>
      </w:r>
      <w:r w:rsidR="006D5703">
        <w:rPr>
          <w:sz w:val="24"/>
          <w:szCs w:val="24"/>
        </w:rPr>
        <w:t>October 28, 2009</w:t>
      </w:r>
      <w:r w:rsidRPr="00885A23">
        <w:rPr>
          <w:sz w:val="24"/>
          <w:szCs w:val="24"/>
        </w:rPr>
        <w:t xml:space="preserve">, Respondent filed an Answer to the Complaint.  </w:t>
      </w:r>
    </w:p>
    <w:p w:rsidR="00AC0378" w:rsidRPr="00885A23" w:rsidRDefault="00AC0378" w:rsidP="00AC0378">
      <w:pPr>
        <w:spacing w:line="360" w:lineRule="auto"/>
        <w:rPr>
          <w:sz w:val="24"/>
          <w:szCs w:val="24"/>
        </w:rPr>
      </w:pPr>
    </w:p>
    <w:p w:rsidR="00AC0378" w:rsidRPr="00885A23" w:rsidRDefault="00AC0378" w:rsidP="00AC0378">
      <w:pPr>
        <w:tabs>
          <w:tab w:val="left" w:pos="2160"/>
        </w:tabs>
        <w:spacing w:line="360" w:lineRule="auto"/>
        <w:ind w:firstLine="1440"/>
        <w:rPr>
          <w:spacing w:val="-3"/>
          <w:sz w:val="24"/>
          <w:szCs w:val="24"/>
        </w:rPr>
      </w:pPr>
      <w:r w:rsidRPr="00885A23">
        <w:rPr>
          <w:sz w:val="24"/>
          <w:szCs w:val="24"/>
        </w:rPr>
        <w:t xml:space="preserve">An Initial Telephone Hearing Notice dated </w:t>
      </w:r>
      <w:r w:rsidR="006D5703">
        <w:rPr>
          <w:sz w:val="24"/>
          <w:szCs w:val="24"/>
        </w:rPr>
        <w:t>April 15, 2010</w:t>
      </w:r>
      <w:r w:rsidRPr="00885A23">
        <w:rPr>
          <w:sz w:val="24"/>
          <w:szCs w:val="24"/>
        </w:rPr>
        <w:t xml:space="preserve">, advised the parties that an initial telephonic hearing was scheduled for Monday, </w:t>
      </w:r>
      <w:r w:rsidR="006D5703">
        <w:rPr>
          <w:sz w:val="24"/>
          <w:szCs w:val="24"/>
        </w:rPr>
        <w:t>May 17, 2010</w:t>
      </w:r>
      <w:r w:rsidRPr="00885A23">
        <w:rPr>
          <w:sz w:val="24"/>
          <w:szCs w:val="24"/>
        </w:rPr>
        <w:t xml:space="preserve">, and that they could lose </w:t>
      </w:r>
      <w:r w:rsidRPr="00885A23">
        <w:rPr>
          <w:sz w:val="24"/>
          <w:szCs w:val="24"/>
        </w:rPr>
        <w:lastRenderedPageBreak/>
        <w:t xml:space="preserve">the case if they failed to appear for the hearing.  </w:t>
      </w:r>
      <w:r w:rsidRPr="00885A23">
        <w:rPr>
          <w:spacing w:val="-3"/>
          <w:sz w:val="24"/>
          <w:szCs w:val="24"/>
        </w:rPr>
        <w:t xml:space="preserve">The case was assigned to me, pursuant to 52 Pa. Code § 56.174.  </w:t>
      </w:r>
    </w:p>
    <w:p w:rsidR="00083E76" w:rsidRDefault="00083E76" w:rsidP="00AC0378">
      <w:pPr>
        <w:tabs>
          <w:tab w:val="left" w:pos="2160"/>
        </w:tabs>
        <w:spacing w:line="360" w:lineRule="auto"/>
        <w:ind w:firstLine="1440"/>
        <w:rPr>
          <w:sz w:val="24"/>
          <w:szCs w:val="24"/>
        </w:rPr>
      </w:pPr>
    </w:p>
    <w:p w:rsidR="00AC0378" w:rsidRPr="00885A23" w:rsidRDefault="00AC0378" w:rsidP="00AC0378">
      <w:pPr>
        <w:tabs>
          <w:tab w:val="left" w:pos="2160"/>
        </w:tabs>
        <w:spacing w:line="360" w:lineRule="auto"/>
        <w:ind w:firstLine="1440"/>
        <w:rPr>
          <w:sz w:val="24"/>
          <w:szCs w:val="24"/>
        </w:rPr>
      </w:pPr>
      <w:r w:rsidRPr="00885A23">
        <w:rPr>
          <w:sz w:val="24"/>
          <w:szCs w:val="24"/>
        </w:rPr>
        <w:t xml:space="preserve">A Prehearing Order dated </w:t>
      </w:r>
      <w:r w:rsidR="006D5703">
        <w:rPr>
          <w:sz w:val="24"/>
          <w:szCs w:val="24"/>
        </w:rPr>
        <w:t>April 19, 2010</w:t>
      </w:r>
      <w:r w:rsidRPr="00885A23">
        <w:rPr>
          <w:sz w:val="24"/>
          <w:szCs w:val="24"/>
        </w:rPr>
        <w:t xml:space="preserve">, was issued which advised the parties of the date and time of the scheduled hearing and informed them of the procedures applicable to this proceeding which included directions on how to submit documents prior to the hearing.  The Prehearing Order reminded the parties of their responsibility to advise the presiding officer of any change in the telephone number at which they were to be contacted. </w:t>
      </w:r>
    </w:p>
    <w:p w:rsidR="00AC0378" w:rsidRPr="00885A23" w:rsidRDefault="00AC0378" w:rsidP="00AC0378">
      <w:pPr>
        <w:tabs>
          <w:tab w:val="left" w:pos="2160"/>
        </w:tabs>
        <w:spacing w:line="360" w:lineRule="auto"/>
        <w:ind w:firstLine="1440"/>
        <w:rPr>
          <w:sz w:val="24"/>
          <w:szCs w:val="24"/>
        </w:rPr>
      </w:pPr>
    </w:p>
    <w:p w:rsidR="00AC0378" w:rsidRPr="00885A23" w:rsidRDefault="00AC0378" w:rsidP="00AC0378">
      <w:pPr>
        <w:spacing w:line="360" w:lineRule="auto"/>
        <w:ind w:firstLine="1440"/>
        <w:rPr>
          <w:sz w:val="24"/>
          <w:szCs w:val="24"/>
        </w:rPr>
      </w:pPr>
      <w:r w:rsidRPr="00885A23">
        <w:rPr>
          <w:sz w:val="24"/>
          <w:szCs w:val="24"/>
        </w:rPr>
        <w:t xml:space="preserve">In accordance with the provisions of the Prehearing Order, Respondent submitted three copies of two (2) proposed exhibits for possible use at the hearing. </w:t>
      </w:r>
    </w:p>
    <w:p w:rsidR="00AC0378" w:rsidRPr="00885A23" w:rsidRDefault="00AC0378" w:rsidP="00AC0378">
      <w:pPr>
        <w:tabs>
          <w:tab w:val="left" w:pos="2160"/>
        </w:tabs>
        <w:spacing w:line="360" w:lineRule="auto"/>
        <w:rPr>
          <w:sz w:val="24"/>
          <w:szCs w:val="24"/>
        </w:rPr>
      </w:pPr>
    </w:p>
    <w:p w:rsidR="0006130B" w:rsidRDefault="00AF07B6" w:rsidP="00AC0378">
      <w:pPr>
        <w:tabs>
          <w:tab w:val="left" w:pos="-1440"/>
          <w:tab w:val="left" w:pos="-720"/>
        </w:tabs>
        <w:suppressAutoHyphens/>
        <w:spacing w:line="360" w:lineRule="auto"/>
        <w:ind w:firstLine="1440"/>
        <w:rPr>
          <w:sz w:val="24"/>
          <w:szCs w:val="24"/>
        </w:rPr>
      </w:pPr>
      <w:r>
        <w:rPr>
          <w:sz w:val="24"/>
          <w:szCs w:val="24"/>
        </w:rPr>
        <w:t xml:space="preserve">Prior to the commencement of the </w:t>
      </w:r>
      <w:r w:rsidR="00AC0378" w:rsidRPr="00885A23">
        <w:rPr>
          <w:sz w:val="24"/>
          <w:szCs w:val="24"/>
        </w:rPr>
        <w:t xml:space="preserve">scheduled </w:t>
      </w:r>
      <w:r>
        <w:rPr>
          <w:sz w:val="24"/>
          <w:szCs w:val="24"/>
        </w:rPr>
        <w:t xml:space="preserve">telephonic hearing </w:t>
      </w:r>
      <w:r w:rsidR="00AC0378" w:rsidRPr="00885A23">
        <w:rPr>
          <w:sz w:val="24"/>
          <w:szCs w:val="24"/>
        </w:rPr>
        <w:t xml:space="preserve">on Monday, </w:t>
      </w:r>
      <w:r w:rsidR="00A80668">
        <w:rPr>
          <w:sz w:val="24"/>
          <w:szCs w:val="24"/>
        </w:rPr>
        <w:t>May </w:t>
      </w:r>
      <w:r w:rsidR="007A4EDD">
        <w:rPr>
          <w:sz w:val="24"/>
          <w:szCs w:val="24"/>
        </w:rPr>
        <w:t>17</w:t>
      </w:r>
      <w:r w:rsidR="00AC0378" w:rsidRPr="00885A23">
        <w:rPr>
          <w:sz w:val="24"/>
          <w:szCs w:val="24"/>
        </w:rPr>
        <w:t>, 2010</w:t>
      </w:r>
      <w:r w:rsidR="0006130B">
        <w:rPr>
          <w:sz w:val="24"/>
          <w:szCs w:val="24"/>
        </w:rPr>
        <w:t>,</w:t>
      </w:r>
      <w:r w:rsidR="007A4EDD">
        <w:rPr>
          <w:sz w:val="24"/>
          <w:szCs w:val="24"/>
        </w:rPr>
        <w:t xml:space="preserve"> I allowed the parties an opportunity to discuss settlement</w:t>
      </w:r>
      <w:r w:rsidR="00E1316E">
        <w:rPr>
          <w:sz w:val="24"/>
          <w:szCs w:val="24"/>
        </w:rPr>
        <w:t xml:space="preserve"> of the matter</w:t>
      </w:r>
      <w:r w:rsidR="007A4EDD">
        <w:rPr>
          <w:sz w:val="24"/>
          <w:szCs w:val="24"/>
        </w:rPr>
        <w:t xml:space="preserve">. </w:t>
      </w:r>
      <w:r w:rsidR="005F6885">
        <w:rPr>
          <w:sz w:val="24"/>
          <w:szCs w:val="24"/>
        </w:rPr>
        <w:t xml:space="preserve"> </w:t>
      </w:r>
      <w:r w:rsidR="0006130B">
        <w:rPr>
          <w:sz w:val="24"/>
          <w:szCs w:val="24"/>
        </w:rPr>
        <w:t>It was a</w:t>
      </w:r>
      <w:r w:rsidR="0081305F">
        <w:rPr>
          <w:sz w:val="24"/>
          <w:szCs w:val="24"/>
        </w:rPr>
        <w:t>t that time Mr. DeNunzi</w:t>
      </w:r>
      <w:r w:rsidR="007A4EDD">
        <w:rPr>
          <w:sz w:val="24"/>
          <w:szCs w:val="24"/>
        </w:rPr>
        <w:t xml:space="preserve">o </w:t>
      </w:r>
      <w:r w:rsidR="005F6885">
        <w:rPr>
          <w:sz w:val="24"/>
          <w:szCs w:val="24"/>
        </w:rPr>
        <w:t>informed</w:t>
      </w:r>
      <w:r w:rsidR="0006130B">
        <w:rPr>
          <w:sz w:val="24"/>
          <w:szCs w:val="24"/>
        </w:rPr>
        <w:t xml:space="preserve"> R</w:t>
      </w:r>
      <w:r w:rsidR="007A4EDD">
        <w:rPr>
          <w:sz w:val="24"/>
          <w:szCs w:val="24"/>
        </w:rPr>
        <w:t>espondent’s counsel</w:t>
      </w:r>
      <w:r w:rsidR="0006130B">
        <w:rPr>
          <w:sz w:val="24"/>
          <w:szCs w:val="24"/>
        </w:rPr>
        <w:t xml:space="preserve">, Andrew Ralston Jr., </w:t>
      </w:r>
      <w:r w:rsidR="007A4EDD">
        <w:rPr>
          <w:sz w:val="24"/>
          <w:szCs w:val="24"/>
        </w:rPr>
        <w:t xml:space="preserve">about a possible high bill </w:t>
      </w:r>
      <w:r w:rsidR="00BD55CF">
        <w:rPr>
          <w:sz w:val="24"/>
          <w:szCs w:val="24"/>
        </w:rPr>
        <w:t xml:space="preserve">problem or foreign </w:t>
      </w:r>
      <w:r w:rsidR="00CB2D9D">
        <w:rPr>
          <w:sz w:val="24"/>
          <w:szCs w:val="24"/>
        </w:rPr>
        <w:t>load</w:t>
      </w:r>
      <w:r w:rsidR="00BD55CF">
        <w:rPr>
          <w:sz w:val="24"/>
          <w:szCs w:val="24"/>
        </w:rPr>
        <w:t xml:space="preserve"> issue</w:t>
      </w:r>
      <w:r w:rsidR="007A4EDD">
        <w:rPr>
          <w:sz w:val="24"/>
          <w:szCs w:val="24"/>
        </w:rPr>
        <w:t>.</w:t>
      </w:r>
      <w:r w:rsidR="0006130B">
        <w:rPr>
          <w:sz w:val="24"/>
          <w:szCs w:val="24"/>
        </w:rPr>
        <w:t xml:space="preserve">  </w:t>
      </w:r>
      <w:r w:rsidR="003E35DD">
        <w:rPr>
          <w:sz w:val="24"/>
          <w:szCs w:val="24"/>
        </w:rPr>
        <w:t>By Order dated M</w:t>
      </w:r>
      <w:r w:rsidR="005F6885">
        <w:rPr>
          <w:sz w:val="24"/>
          <w:szCs w:val="24"/>
        </w:rPr>
        <w:t>ay 20, 2010, a</w:t>
      </w:r>
      <w:r w:rsidR="00D8224E">
        <w:rPr>
          <w:sz w:val="24"/>
          <w:szCs w:val="24"/>
        </w:rPr>
        <w:t xml:space="preserve"> continuance was granted in order to allow Respondent to investigate Complainant’s concern about </w:t>
      </w:r>
      <w:r w:rsidR="00BD55CF">
        <w:rPr>
          <w:sz w:val="24"/>
          <w:szCs w:val="24"/>
        </w:rPr>
        <w:t>those concerns</w:t>
      </w:r>
      <w:r w:rsidR="00D8224E">
        <w:rPr>
          <w:sz w:val="24"/>
          <w:szCs w:val="24"/>
        </w:rPr>
        <w:t xml:space="preserve">.  </w:t>
      </w:r>
    </w:p>
    <w:p w:rsidR="0006130B" w:rsidRDefault="0006130B" w:rsidP="00AC0378">
      <w:pPr>
        <w:tabs>
          <w:tab w:val="left" w:pos="-1440"/>
          <w:tab w:val="left" w:pos="-720"/>
        </w:tabs>
        <w:suppressAutoHyphens/>
        <w:spacing w:line="360" w:lineRule="auto"/>
        <w:ind w:firstLine="1440"/>
        <w:rPr>
          <w:sz w:val="24"/>
          <w:szCs w:val="24"/>
        </w:rPr>
      </w:pPr>
    </w:p>
    <w:p w:rsidR="00B22686" w:rsidRDefault="00B22686" w:rsidP="00AC0378">
      <w:pPr>
        <w:tabs>
          <w:tab w:val="left" w:pos="-1440"/>
          <w:tab w:val="left" w:pos="-720"/>
        </w:tabs>
        <w:suppressAutoHyphens/>
        <w:spacing w:line="360" w:lineRule="auto"/>
        <w:ind w:firstLine="1440"/>
        <w:rPr>
          <w:sz w:val="24"/>
          <w:szCs w:val="24"/>
        </w:rPr>
      </w:pPr>
      <w:r>
        <w:rPr>
          <w:sz w:val="24"/>
          <w:szCs w:val="24"/>
        </w:rPr>
        <w:t>A Hearing Cancellation/Rescheduled Notice dated August 5, 2010</w:t>
      </w:r>
      <w:r w:rsidR="00E1316E">
        <w:rPr>
          <w:sz w:val="24"/>
          <w:szCs w:val="24"/>
        </w:rPr>
        <w:t>,</w:t>
      </w:r>
      <w:r>
        <w:rPr>
          <w:sz w:val="24"/>
          <w:szCs w:val="24"/>
        </w:rPr>
        <w:t xml:space="preserve"> notified the parties that the hearing was rescheduled for Wednesday</w:t>
      </w:r>
      <w:r w:rsidR="00BD55CF">
        <w:rPr>
          <w:sz w:val="24"/>
          <w:szCs w:val="24"/>
        </w:rPr>
        <w:t>,</w:t>
      </w:r>
      <w:r>
        <w:rPr>
          <w:sz w:val="24"/>
          <w:szCs w:val="24"/>
        </w:rPr>
        <w:t xml:space="preserve"> September 8, 2010.</w:t>
      </w:r>
    </w:p>
    <w:p w:rsidR="00B22686" w:rsidRDefault="00B22686" w:rsidP="00AC0378">
      <w:pPr>
        <w:tabs>
          <w:tab w:val="left" w:pos="-1440"/>
          <w:tab w:val="left" w:pos="-720"/>
        </w:tabs>
        <w:suppressAutoHyphens/>
        <w:spacing w:line="360" w:lineRule="auto"/>
        <w:ind w:firstLine="1440"/>
        <w:rPr>
          <w:sz w:val="24"/>
          <w:szCs w:val="24"/>
        </w:rPr>
      </w:pPr>
    </w:p>
    <w:p w:rsidR="00B22686" w:rsidRDefault="00B22686" w:rsidP="00AC0378">
      <w:pPr>
        <w:tabs>
          <w:tab w:val="left" w:pos="-1440"/>
          <w:tab w:val="left" w:pos="-720"/>
        </w:tabs>
        <w:suppressAutoHyphens/>
        <w:spacing w:line="360" w:lineRule="auto"/>
        <w:ind w:firstLine="1440"/>
        <w:rPr>
          <w:sz w:val="24"/>
          <w:szCs w:val="24"/>
        </w:rPr>
      </w:pPr>
      <w:r>
        <w:rPr>
          <w:sz w:val="24"/>
          <w:szCs w:val="24"/>
        </w:rPr>
        <w:t xml:space="preserve">On or about August 31, 2010, Respondent submitted three copies of </w:t>
      </w:r>
      <w:r w:rsidR="00E1316E">
        <w:rPr>
          <w:sz w:val="24"/>
          <w:szCs w:val="24"/>
        </w:rPr>
        <w:t>four (</w:t>
      </w:r>
      <w:r>
        <w:rPr>
          <w:sz w:val="24"/>
          <w:szCs w:val="24"/>
        </w:rPr>
        <w:t>4</w:t>
      </w:r>
      <w:r w:rsidR="00E1316E">
        <w:rPr>
          <w:sz w:val="24"/>
          <w:szCs w:val="24"/>
        </w:rPr>
        <w:t>)</w:t>
      </w:r>
      <w:r>
        <w:rPr>
          <w:sz w:val="24"/>
          <w:szCs w:val="24"/>
        </w:rPr>
        <w:t xml:space="preserve"> exhibits for possible use at </w:t>
      </w:r>
      <w:r w:rsidR="00AF07B6">
        <w:rPr>
          <w:sz w:val="24"/>
          <w:szCs w:val="24"/>
        </w:rPr>
        <w:t>the</w:t>
      </w:r>
      <w:r>
        <w:rPr>
          <w:sz w:val="24"/>
          <w:szCs w:val="24"/>
        </w:rPr>
        <w:t xml:space="preserve"> September 8, 2010 hearing.  </w:t>
      </w:r>
      <w:r w:rsidR="00AB6A58">
        <w:rPr>
          <w:sz w:val="24"/>
          <w:szCs w:val="24"/>
        </w:rPr>
        <w:t xml:space="preserve">On or about September 3, 2010, Respondent submitted </w:t>
      </w:r>
      <w:r>
        <w:rPr>
          <w:sz w:val="24"/>
          <w:szCs w:val="24"/>
        </w:rPr>
        <w:t xml:space="preserve">three copies of a </w:t>
      </w:r>
      <w:r w:rsidR="00AB6A58">
        <w:rPr>
          <w:sz w:val="24"/>
          <w:szCs w:val="24"/>
        </w:rPr>
        <w:t>supplement</w:t>
      </w:r>
      <w:r>
        <w:rPr>
          <w:sz w:val="24"/>
          <w:szCs w:val="24"/>
        </w:rPr>
        <w:t xml:space="preserve">al </w:t>
      </w:r>
      <w:r w:rsidR="00AB6A58">
        <w:rPr>
          <w:sz w:val="24"/>
          <w:szCs w:val="24"/>
        </w:rPr>
        <w:t>exhibit</w:t>
      </w:r>
      <w:r>
        <w:rPr>
          <w:sz w:val="24"/>
          <w:szCs w:val="24"/>
        </w:rPr>
        <w:t xml:space="preserve"> for possible use at the hearing.  The supplemental exhibit </w:t>
      </w:r>
      <w:r w:rsidR="00E1316E">
        <w:rPr>
          <w:sz w:val="24"/>
          <w:szCs w:val="24"/>
        </w:rPr>
        <w:t>contained the results of the high bill investigation R</w:t>
      </w:r>
      <w:r>
        <w:rPr>
          <w:sz w:val="24"/>
          <w:szCs w:val="24"/>
        </w:rPr>
        <w:t xml:space="preserve">espondent conducted at the residence of the Complainant.  </w:t>
      </w:r>
    </w:p>
    <w:p w:rsidR="00B22686" w:rsidRDefault="00B22686" w:rsidP="00AC0378">
      <w:pPr>
        <w:tabs>
          <w:tab w:val="left" w:pos="-1440"/>
          <w:tab w:val="left" w:pos="-720"/>
        </w:tabs>
        <w:suppressAutoHyphens/>
        <w:spacing w:line="360" w:lineRule="auto"/>
        <w:ind w:firstLine="1440"/>
        <w:rPr>
          <w:sz w:val="24"/>
          <w:szCs w:val="24"/>
        </w:rPr>
      </w:pPr>
    </w:p>
    <w:p w:rsidR="00AC0378" w:rsidRPr="00885A23" w:rsidRDefault="00AB6A58" w:rsidP="00AC0378">
      <w:pPr>
        <w:tabs>
          <w:tab w:val="left" w:pos="-1440"/>
          <w:tab w:val="left" w:pos="-720"/>
        </w:tabs>
        <w:suppressAutoHyphens/>
        <w:spacing w:line="360" w:lineRule="auto"/>
        <w:ind w:firstLine="1440"/>
        <w:rPr>
          <w:sz w:val="24"/>
          <w:szCs w:val="24"/>
        </w:rPr>
      </w:pPr>
      <w:r>
        <w:rPr>
          <w:sz w:val="24"/>
          <w:szCs w:val="24"/>
        </w:rPr>
        <w:t>The hearing convened as schedule on September 8, 2010</w:t>
      </w:r>
      <w:r w:rsidR="00AF07B6">
        <w:rPr>
          <w:sz w:val="24"/>
          <w:szCs w:val="24"/>
        </w:rPr>
        <w:t xml:space="preserve"> at 2:00 </w:t>
      </w:r>
      <w:r w:rsidR="0081305F">
        <w:rPr>
          <w:sz w:val="24"/>
          <w:szCs w:val="24"/>
        </w:rPr>
        <w:t>p.m.</w:t>
      </w:r>
      <w:r w:rsidR="00AF07B6">
        <w:rPr>
          <w:rStyle w:val="FootnoteReference"/>
          <w:sz w:val="24"/>
          <w:szCs w:val="24"/>
        </w:rPr>
        <w:footnoteReference w:id="1"/>
      </w:r>
      <w:r>
        <w:rPr>
          <w:sz w:val="24"/>
          <w:szCs w:val="24"/>
        </w:rPr>
        <w:t xml:space="preserve">  Mr. </w:t>
      </w:r>
      <w:r w:rsidR="00B75337">
        <w:rPr>
          <w:sz w:val="24"/>
          <w:szCs w:val="24"/>
        </w:rPr>
        <w:t>DeNun</w:t>
      </w:r>
      <w:r w:rsidR="003E35DD">
        <w:rPr>
          <w:sz w:val="24"/>
          <w:szCs w:val="24"/>
        </w:rPr>
        <w:t>z</w:t>
      </w:r>
      <w:r w:rsidR="00B75337">
        <w:rPr>
          <w:sz w:val="24"/>
          <w:szCs w:val="24"/>
        </w:rPr>
        <w:t>io</w:t>
      </w:r>
      <w:r>
        <w:rPr>
          <w:sz w:val="24"/>
          <w:szCs w:val="24"/>
        </w:rPr>
        <w:t xml:space="preserve"> testified on behalf of the complaint.  He presented no witnesses</w:t>
      </w:r>
      <w:r w:rsidR="00AC0378" w:rsidRPr="00885A23">
        <w:rPr>
          <w:sz w:val="24"/>
          <w:szCs w:val="24"/>
        </w:rPr>
        <w:t xml:space="preserve">.  </w:t>
      </w:r>
      <w:r>
        <w:rPr>
          <w:sz w:val="24"/>
          <w:szCs w:val="24"/>
        </w:rPr>
        <w:t>Mr. Ralston</w:t>
      </w:r>
      <w:r w:rsidR="00AC0378" w:rsidRPr="00885A23">
        <w:rPr>
          <w:sz w:val="24"/>
          <w:szCs w:val="24"/>
        </w:rPr>
        <w:t xml:space="preserve">, represented the Respondent which sponsored two (2) exhibits and presented the testimony of </w:t>
      </w:r>
      <w:r w:rsidR="008E18A9">
        <w:rPr>
          <w:sz w:val="24"/>
          <w:szCs w:val="24"/>
        </w:rPr>
        <w:lastRenderedPageBreak/>
        <w:t>Thomas Long</w:t>
      </w:r>
      <w:r w:rsidR="00AC0378" w:rsidRPr="00885A23">
        <w:rPr>
          <w:sz w:val="24"/>
          <w:szCs w:val="24"/>
        </w:rPr>
        <w:t xml:space="preserve">, who is a Customer Relations Specialist with Respondent.  </w:t>
      </w:r>
      <w:r w:rsidR="008E18A9">
        <w:rPr>
          <w:sz w:val="24"/>
          <w:szCs w:val="24"/>
        </w:rPr>
        <w:t>At the time of the hearing, Complainant did not have the exhibits with him.  I allowed him the opportunity to examine the exhibits and to inform me by close of business on Friday</w:t>
      </w:r>
      <w:r w:rsidR="00191873">
        <w:rPr>
          <w:sz w:val="24"/>
          <w:szCs w:val="24"/>
        </w:rPr>
        <w:t>,</w:t>
      </w:r>
      <w:r w:rsidR="008E18A9">
        <w:rPr>
          <w:sz w:val="24"/>
          <w:szCs w:val="24"/>
        </w:rPr>
        <w:t xml:space="preserve"> September 24, 20</w:t>
      </w:r>
      <w:r w:rsidR="005F6885">
        <w:rPr>
          <w:sz w:val="24"/>
          <w:szCs w:val="24"/>
        </w:rPr>
        <w:t>1</w:t>
      </w:r>
      <w:r w:rsidR="008E18A9">
        <w:rPr>
          <w:sz w:val="24"/>
          <w:szCs w:val="24"/>
        </w:rPr>
        <w:t>0</w:t>
      </w:r>
      <w:r w:rsidR="005F6885">
        <w:rPr>
          <w:sz w:val="24"/>
          <w:szCs w:val="24"/>
        </w:rPr>
        <w:t>,</w:t>
      </w:r>
      <w:r w:rsidR="008E18A9">
        <w:rPr>
          <w:sz w:val="24"/>
          <w:szCs w:val="24"/>
        </w:rPr>
        <w:t xml:space="preserve"> if he objected to the exhibits.</w:t>
      </w:r>
      <w:r w:rsidR="008E18A9">
        <w:rPr>
          <w:rStyle w:val="FootnoteReference"/>
          <w:sz w:val="24"/>
          <w:szCs w:val="24"/>
        </w:rPr>
        <w:footnoteReference w:id="2"/>
      </w:r>
      <w:r w:rsidR="0081305F">
        <w:rPr>
          <w:sz w:val="24"/>
          <w:szCs w:val="24"/>
        </w:rPr>
        <w:t xml:space="preserve">  To date Mr. DeNunzi</w:t>
      </w:r>
      <w:r w:rsidR="008E18A9">
        <w:rPr>
          <w:sz w:val="24"/>
          <w:szCs w:val="24"/>
        </w:rPr>
        <w:t xml:space="preserve">o </w:t>
      </w:r>
      <w:r w:rsidR="003E35DD">
        <w:rPr>
          <w:sz w:val="24"/>
          <w:szCs w:val="24"/>
        </w:rPr>
        <w:t>has not filed any objection</w:t>
      </w:r>
      <w:r w:rsidR="00437E32">
        <w:rPr>
          <w:sz w:val="24"/>
          <w:szCs w:val="24"/>
        </w:rPr>
        <w:t>s</w:t>
      </w:r>
      <w:r w:rsidR="003E35DD">
        <w:rPr>
          <w:sz w:val="24"/>
          <w:szCs w:val="24"/>
        </w:rPr>
        <w:t xml:space="preserve"> to the exhibits </w:t>
      </w:r>
      <w:r w:rsidR="008E18A9">
        <w:rPr>
          <w:sz w:val="24"/>
          <w:szCs w:val="24"/>
        </w:rPr>
        <w:t xml:space="preserve">and </w:t>
      </w:r>
      <w:r w:rsidR="006266F7">
        <w:rPr>
          <w:sz w:val="24"/>
          <w:szCs w:val="24"/>
        </w:rPr>
        <w:t>PPL</w:t>
      </w:r>
      <w:r w:rsidR="00AC0378" w:rsidRPr="00885A23">
        <w:rPr>
          <w:sz w:val="24"/>
          <w:szCs w:val="24"/>
        </w:rPr>
        <w:t xml:space="preserve">’s Exhibits </w:t>
      </w:r>
      <w:r w:rsidR="008E18A9">
        <w:rPr>
          <w:sz w:val="24"/>
          <w:szCs w:val="24"/>
        </w:rPr>
        <w:t>1</w:t>
      </w:r>
      <w:r w:rsidR="00AC0378" w:rsidRPr="00885A23">
        <w:rPr>
          <w:sz w:val="24"/>
          <w:szCs w:val="24"/>
        </w:rPr>
        <w:t xml:space="preserve"> and </w:t>
      </w:r>
      <w:r w:rsidR="008E18A9">
        <w:rPr>
          <w:sz w:val="24"/>
          <w:szCs w:val="24"/>
        </w:rPr>
        <w:t>4</w:t>
      </w:r>
      <w:r w:rsidR="00AC0378" w:rsidRPr="00885A23">
        <w:rPr>
          <w:sz w:val="24"/>
          <w:szCs w:val="24"/>
        </w:rPr>
        <w:t xml:space="preserve"> </w:t>
      </w:r>
      <w:r w:rsidR="008E18A9">
        <w:rPr>
          <w:sz w:val="24"/>
          <w:szCs w:val="24"/>
        </w:rPr>
        <w:t>are hereby</w:t>
      </w:r>
      <w:r w:rsidR="00AC0378" w:rsidRPr="00885A23">
        <w:rPr>
          <w:sz w:val="24"/>
          <w:szCs w:val="24"/>
        </w:rPr>
        <w:t xml:space="preserve"> admitted into the record of this case</w:t>
      </w:r>
      <w:r w:rsidR="008E18A9">
        <w:rPr>
          <w:sz w:val="24"/>
          <w:szCs w:val="24"/>
        </w:rPr>
        <w:t>.  The record</w:t>
      </w:r>
      <w:r w:rsidR="00AC0378" w:rsidRPr="00885A23">
        <w:rPr>
          <w:sz w:val="24"/>
          <w:szCs w:val="24"/>
        </w:rPr>
        <w:t xml:space="preserve"> closed on </w:t>
      </w:r>
      <w:r w:rsidR="005F6885">
        <w:rPr>
          <w:sz w:val="24"/>
          <w:szCs w:val="24"/>
        </w:rPr>
        <w:t>September 24</w:t>
      </w:r>
      <w:r w:rsidR="00AC0378" w:rsidRPr="00885A23">
        <w:rPr>
          <w:sz w:val="24"/>
          <w:szCs w:val="24"/>
        </w:rPr>
        <w:t xml:space="preserve">, 2010. </w:t>
      </w:r>
    </w:p>
    <w:p w:rsidR="00AC0378" w:rsidRPr="00885A23" w:rsidRDefault="00AC0378" w:rsidP="00AC0378">
      <w:pPr>
        <w:spacing w:line="360" w:lineRule="auto"/>
        <w:jc w:val="center"/>
        <w:rPr>
          <w:sz w:val="24"/>
          <w:szCs w:val="24"/>
          <w:u w:val="single"/>
        </w:rPr>
      </w:pPr>
    </w:p>
    <w:p w:rsidR="00AC0378" w:rsidRPr="00885A23" w:rsidRDefault="00AC0378" w:rsidP="00AC0378">
      <w:pPr>
        <w:spacing w:line="360" w:lineRule="auto"/>
        <w:jc w:val="center"/>
        <w:rPr>
          <w:sz w:val="24"/>
          <w:szCs w:val="24"/>
          <w:u w:val="single"/>
        </w:rPr>
      </w:pPr>
      <w:r w:rsidRPr="00885A23">
        <w:rPr>
          <w:sz w:val="24"/>
          <w:szCs w:val="24"/>
          <w:u w:val="single"/>
        </w:rPr>
        <w:t>FINDINGS OF FACT</w:t>
      </w:r>
    </w:p>
    <w:p w:rsidR="00AC0378" w:rsidRPr="00885A23" w:rsidRDefault="00AC0378" w:rsidP="00AC0378">
      <w:pPr>
        <w:spacing w:line="360" w:lineRule="auto"/>
        <w:jc w:val="center"/>
        <w:rPr>
          <w:sz w:val="24"/>
          <w:szCs w:val="24"/>
          <w:u w:val="single"/>
        </w:rPr>
      </w:pPr>
    </w:p>
    <w:p w:rsidR="00AC0378" w:rsidRPr="00885A23" w:rsidRDefault="00AC0378" w:rsidP="00AC0378">
      <w:pPr>
        <w:spacing w:line="360" w:lineRule="auto"/>
        <w:ind w:firstLine="1440"/>
        <w:rPr>
          <w:sz w:val="24"/>
          <w:szCs w:val="24"/>
        </w:rPr>
      </w:pPr>
      <w:r w:rsidRPr="00885A23">
        <w:rPr>
          <w:sz w:val="24"/>
          <w:szCs w:val="24"/>
        </w:rPr>
        <w:t>1.</w:t>
      </w:r>
      <w:r w:rsidRPr="00885A23">
        <w:rPr>
          <w:sz w:val="24"/>
          <w:szCs w:val="24"/>
        </w:rPr>
        <w:tab/>
        <w:t xml:space="preserve">Complainant is </w:t>
      </w:r>
      <w:r w:rsidR="0081305F">
        <w:rPr>
          <w:sz w:val="24"/>
          <w:szCs w:val="24"/>
        </w:rPr>
        <w:t>Frank DeNunzi</w:t>
      </w:r>
      <w:r w:rsidR="006266F7">
        <w:rPr>
          <w:sz w:val="24"/>
          <w:szCs w:val="24"/>
        </w:rPr>
        <w:t>o</w:t>
      </w:r>
      <w:r w:rsidRPr="00885A23">
        <w:rPr>
          <w:sz w:val="24"/>
          <w:szCs w:val="24"/>
        </w:rPr>
        <w:t xml:space="preserve">, who receives </w:t>
      </w:r>
      <w:r w:rsidR="006266F7">
        <w:rPr>
          <w:sz w:val="24"/>
          <w:szCs w:val="24"/>
        </w:rPr>
        <w:t xml:space="preserve">electric utility </w:t>
      </w:r>
      <w:r w:rsidRPr="00885A23">
        <w:rPr>
          <w:sz w:val="24"/>
          <w:szCs w:val="24"/>
        </w:rPr>
        <w:t xml:space="preserve">service at </w:t>
      </w:r>
      <w:r w:rsidR="005F6885">
        <w:rPr>
          <w:sz w:val="24"/>
          <w:szCs w:val="24"/>
        </w:rPr>
        <w:t>1246 The Hideout, Lake Ariel, PA 18436</w:t>
      </w:r>
      <w:r w:rsidRPr="00885A23">
        <w:rPr>
          <w:sz w:val="24"/>
          <w:szCs w:val="24"/>
        </w:rPr>
        <w:t xml:space="preserve"> (Service Address).</w:t>
      </w:r>
    </w:p>
    <w:p w:rsidR="00AC0378" w:rsidRPr="00885A23" w:rsidRDefault="00AC0378" w:rsidP="00AC0378">
      <w:pPr>
        <w:spacing w:line="360" w:lineRule="auto"/>
        <w:ind w:firstLine="1440"/>
        <w:rPr>
          <w:sz w:val="24"/>
          <w:szCs w:val="24"/>
        </w:rPr>
      </w:pPr>
    </w:p>
    <w:p w:rsidR="00AC0378" w:rsidRPr="00885A23" w:rsidRDefault="00AC0378" w:rsidP="00AC0378">
      <w:pPr>
        <w:spacing w:line="360" w:lineRule="auto"/>
        <w:ind w:firstLine="1440"/>
        <w:rPr>
          <w:sz w:val="24"/>
          <w:szCs w:val="24"/>
        </w:rPr>
      </w:pPr>
      <w:r w:rsidRPr="00885A23">
        <w:rPr>
          <w:sz w:val="24"/>
          <w:szCs w:val="24"/>
        </w:rPr>
        <w:t>2.</w:t>
      </w:r>
      <w:r w:rsidRPr="00885A23">
        <w:rPr>
          <w:sz w:val="24"/>
          <w:szCs w:val="24"/>
        </w:rPr>
        <w:tab/>
        <w:t xml:space="preserve">Respondent is </w:t>
      </w:r>
      <w:r w:rsidR="006266F7">
        <w:rPr>
          <w:sz w:val="24"/>
          <w:szCs w:val="24"/>
        </w:rPr>
        <w:t>PPL Electric Utilities Corporation</w:t>
      </w:r>
      <w:r w:rsidRPr="00885A23">
        <w:rPr>
          <w:sz w:val="24"/>
          <w:szCs w:val="24"/>
        </w:rPr>
        <w:t>.</w:t>
      </w:r>
    </w:p>
    <w:p w:rsidR="00AC0378" w:rsidRPr="00885A23" w:rsidRDefault="00AC0378" w:rsidP="00AC0378">
      <w:pPr>
        <w:spacing w:line="360" w:lineRule="auto"/>
        <w:rPr>
          <w:sz w:val="24"/>
          <w:szCs w:val="24"/>
        </w:rPr>
      </w:pPr>
      <w:r>
        <w:rPr>
          <w:sz w:val="24"/>
          <w:szCs w:val="24"/>
        </w:rPr>
        <w:tab/>
      </w:r>
      <w:r>
        <w:rPr>
          <w:sz w:val="24"/>
          <w:szCs w:val="24"/>
        </w:rPr>
        <w:tab/>
      </w:r>
    </w:p>
    <w:p w:rsidR="00AC0378" w:rsidRPr="00885A23" w:rsidRDefault="00AC0378" w:rsidP="00AC0378">
      <w:pPr>
        <w:spacing w:line="360" w:lineRule="auto"/>
        <w:ind w:firstLine="1440"/>
        <w:rPr>
          <w:sz w:val="24"/>
          <w:szCs w:val="24"/>
        </w:rPr>
      </w:pPr>
      <w:r w:rsidRPr="00885A23">
        <w:rPr>
          <w:sz w:val="24"/>
          <w:szCs w:val="24"/>
        </w:rPr>
        <w:t>3.</w:t>
      </w:r>
      <w:r w:rsidRPr="00885A23">
        <w:rPr>
          <w:sz w:val="24"/>
          <w:szCs w:val="24"/>
        </w:rPr>
        <w:tab/>
        <w:t xml:space="preserve">On </w:t>
      </w:r>
      <w:r w:rsidR="00284830">
        <w:rPr>
          <w:sz w:val="24"/>
          <w:szCs w:val="24"/>
        </w:rPr>
        <w:t>September 28, 2010</w:t>
      </w:r>
      <w:r w:rsidRPr="00885A23">
        <w:rPr>
          <w:sz w:val="24"/>
          <w:szCs w:val="24"/>
        </w:rPr>
        <w:t xml:space="preserve">, Complainant filed a formal complaint with the Commission which alleged an inability to pay </w:t>
      </w:r>
      <w:r w:rsidR="00FA09D6">
        <w:rPr>
          <w:sz w:val="24"/>
          <w:szCs w:val="24"/>
        </w:rPr>
        <w:t>his</w:t>
      </w:r>
      <w:r w:rsidRPr="00885A23">
        <w:rPr>
          <w:sz w:val="24"/>
          <w:szCs w:val="24"/>
        </w:rPr>
        <w:t xml:space="preserve"> </w:t>
      </w:r>
      <w:r w:rsidR="006266F7">
        <w:rPr>
          <w:sz w:val="24"/>
          <w:szCs w:val="24"/>
        </w:rPr>
        <w:t>electric</w:t>
      </w:r>
      <w:r w:rsidR="00284830">
        <w:rPr>
          <w:sz w:val="24"/>
          <w:szCs w:val="24"/>
        </w:rPr>
        <w:t xml:space="preserve"> </w:t>
      </w:r>
      <w:r w:rsidRPr="00885A23">
        <w:rPr>
          <w:sz w:val="24"/>
          <w:szCs w:val="24"/>
        </w:rPr>
        <w:t>bills and that he would like a payment arrangement with Respondent. Complaint ¶4(A).</w:t>
      </w:r>
    </w:p>
    <w:p w:rsidR="00AC0378" w:rsidRPr="00885A23" w:rsidRDefault="00AC0378" w:rsidP="00AC0378">
      <w:pPr>
        <w:spacing w:line="360" w:lineRule="auto"/>
        <w:ind w:firstLine="1440"/>
        <w:rPr>
          <w:sz w:val="24"/>
          <w:szCs w:val="24"/>
        </w:rPr>
      </w:pPr>
    </w:p>
    <w:p w:rsidR="00AC0378" w:rsidRDefault="00AC0378" w:rsidP="00AC0378">
      <w:pPr>
        <w:spacing w:line="360" w:lineRule="auto"/>
        <w:ind w:firstLine="1440"/>
        <w:rPr>
          <w:sz w:val="24"/>
          <w:szCs w:val="24"/>
        </w:rPr>
      </w:pPr>
      <w:r w:rsidRPr="00885A23">
        <w:rPr>
          <w:sz w:val="24"/>
          <w:szCs w:val="24"/>
        </w:rPr>
        <w:t>4.</w:t>
      </w:r>
      <w:r w:rsidRPr="00885A23">
        <w:rPr>
          <w:sz w:val="24"/>
          <w:szCs w:val="24"/>
        </w:rPr>
        <w:tab/>
        <w:t xml:space="preserve">On or about </w:t>
      </w:r>
      <w:r w:rsidR="00284830">
        <w:rPr>
          <w:sz w:val="24"/>
          <w:szCs w:val="24"/>
        </w:rPr>
        <w:t>October 28, 2010</w:t>
      </w:r>
      <w:r w:rsidRPr="00885A23">
        <w:rPr>
          <w:sz w:val="24"/>
          <w:szCs w:val="24"/>
        </w:rPr>
        <w:t xml:space="preserve">, Respondent filed an Answer </w:t>
      </w:r>
      <w:r w:rsidR="00E1316E">
        <w:rPr>
          <w:sz w:val="24"/>
          <w:szCs w:val="24"/>
        </w:rPr>
        <w:t xml:space="preserve">to </w:t>
      </w:r>
      <w:r w:rsidRPr="00885A23">
        <w:rPr>
          <w:sz w:val="24"/>
          <w:szCs w:val="24"/>
        </w:rPr>
        <w:t>the Complaint.</w:t>
      </w:r>
    </w:p>
    <w:p w:rsidR="00284830" w:rsidRDefault="00284830" w:rsidP="00AC0378">
      <w:pPr>
        <w:spacing w:line="360" w:lineRule="auto"/>
        <w:ind w:firstLine="1440"/>
        <w:rPr>
          <w:sz w:val="24"/>
          <w:szCs w:val="24"/>
        </w:rPr>
      </w:pPr>
    </w:p>
    <w:p w:rsidR="00AC0378" w:rsidRPr="00885A23" w:rsidRDefault="00AC0378" w:rsidP="00AC0378">
      <w:pPr>
        <w:tabs>
          <w:tab w:val="left" w:pos="-1440"/>
          <w:tab w:val="left" w:pos="-720"/>
        </w:tabs>
        <w:suppressAutoHyphens/>
        <w:spacing w:line="360" w:lineRule="auto"/>
        <w:ind w:firstLine="1440"/>
        <w:rPr>
          <w:sz w:val="24"/>
          <w:szCs w:val="24"/>
        </w:rPr>
      </w:pPr>
      <w:r>
        <w:rPr>
          <w:sz w:val="24"/>
          <w:szCs w:val="24"/>
        </w:rPr>
        <w:t>5.</w:t>
      </w:r>
      <w:r w:rsidRPr="00885A23">
        <w:rPr>
          <w:sz w:val="24"/>
          <w:szCs w:val="24"/>
        </w:rPr>
        <w:tab/>
      </w:r>
      <w:r w:rsidR="003E35DD">
        <w:rPr>
          <w:sz w:val="24"/>
          <w:szCs w:val="24"/>
        </w:rPr>
        <w:t>Complainant</w:t>
      </w:r>
      <w:r w:rsidRPr="00885A23">
        <w:rPr>
          <w:sz w:val="24"/>
          <w:szCs w:val="24"/>
        </w:rPr>
        <w:t xml:space="preserve"> is currently </w:t>
      </w:r>
      <w:r w:rsidR="00284830">
        <w:rPr>
          <w:sz w:val="24"/>
          <w:szCs w:val="24"/>
        </w:rPr>
        <w:t>un</w:t>
      </w:r>
      <w:r w:rsidRPr="00885A23">
        <w:rPr>
          <w:sz w:val="24"/>
          <w:szCs w:val="24"/>
        </w:rPr>
        <w:t xml:space="preserve">employed and </w:t>
      </w:r>
      <w:r w:rsidR="00284830">
        <w:rPr>
          <w:sz w:val="24"/>
          <w:szCs w:val="24"/>
        </w:rPr>
        <w:t>receives Social Security Disability</w:t>
      </w:r>
      <w:r w:rsidR="00350A46">
        <w:rPr>
          <w:sz w:val="24"/>
          <w:szCs w:val="24"/>
        </w:rPr>
        <w:t xml:space="preserve">, SSD, </w:t>
      </w:r>
      <w:r w:rsidR="00284830">
        <w:rPr>
          <w:sz w:val="24"/>
          <w:szCs w:val="24"/>
        </w:rPr>
        <w:t>payments in the amount of $1,635</w:t>
      </w:r>
      <w:r w:rsidR="00E1316E">
        <w:rPr>
          <w:sz w:val="24"/>
          <w:szCs w:val="24"/>
        </w:rPr>
        <w:t>.00</w:t>
      </w:r>
      <w:r w:rsidR="00284830">
        <w:rPr>
          <w:sz w:val="24"/>
          <w:szCs w:val="24"/>
        </w:rPr>
        <w:t xml:space="preserve"> per month</w:t>
      </w:r>
      <w:r w:rsidRPr="00885A23">
        <w:rPr>
          <w:sz w:val="24"/>
          <w:szCs w:val="24"/>
        </w:rPr>
        <w:t>.</w:t>
      </w:r>
    </w:p>
    <w:p w:rsidR="00AC0378" w:rsidRPr="00885A23" w:rsidRDefault="00AC0378" w:rsidP="00AC0378">
      <w:pPr>
        <w:tabs>
          <w:tab w:val="left" w:pos="-1440"/>
          <w:tab w:val="left" w:pos="-720"/>
        </w:tabs>
        <w:suppressAutoHyphens/>
        <w:spacing w:line="360" w:lineRule="auto"/>
        <w:ind w:firstLine="1440"/>
        <w:rPr>
          <w:sz w:val="24"/>
          <w:szCs w:val="24"/>
        </w:rPr>
      </w:pPr>
    </w:p>
    <w:p w:rsidR="00AC0378" w:rsidRPr="00885A23" w:rsidRDefault="00AC0378" w:rsidP="00AC0378">
      <w:pPr>
        <w:tabs>
          <w:tab w:val="left" w:pos="-1440"/>
          <w:tab w:val="left" w:pos="-720"/>
        </w:tabs>
        <w:suppressAutoHyphens/>
        <w:spacing w:line="360" w:lineRule="auto"/>
        <w:ind w:firstLine="1440"/>
        <w:rPr>
          <w:sz w:val="24"/>
          <w:szCs w:val="24"/>
        </w:rPr>
      </w:pPr>
      <w:r w:rsidRPr="00885A23">
        <w:rPr>
          <w:sz w:val="24"/>
          <w:szCs w:val="24"/>
        </w:rPr>
        <w:t>6.</w:t>
      </w:r>
      <w:r w:rsidRPr="00885A23">
        <w:rPr>
          <w:sz w:val="24"/>
          <w:szCs w:val="24"/>
        </w:rPr>
        <w:tab/>
      </w:r>
      <w:r w:rsidR="003E35DD">
        <w:rPr>
          <w:sz w:val="24"/>
          <w:szCs w:val="24"/>
        </w:rPr>
        <w:t>Complainant</w:t>
      </w:r>
      <w:r w:rsidRPr="00885A23">
        <w:rPr>
          <w:sz w:val="24"/>
          <w:szCs w:val="24"/>
        </w:rPr>
        <w:t xml:space="preserve"> lives </w:t>
      </w:r>
      <w:r w:rsidR="00350A46">
        <w:rPr>
          <w:sz w:val="24"/>
          <w:szCs w:val="24"/>
        </w:rPr>
        <w:t xml:space="preserve">alone at </w:t>
      </w:r>
      <w:r w:rsidRPr="00885A23">
        <w:rPr>
          <w:sz w:val="24"/>
          <w:szCs w:val="24"/>
        </w:rPr>
        <w:t>the Service Address.</w:t>
      </w:r>
    </w:p>
    <w:p w:rsidR="00AC0378" w:rsidRPr="00885A23" w:rsidRDefault="00AC0378" w:rsidP="00AC0378">
      <w:pPr>
        <w:tabs>
          <w:tab w:val="left" w:pos="-1440"/>
          <w:tab w:val="left" w:pos="-720"/>
        </w:tabs>
        <w:suppressAutoHyphens/>
        <w:spacing w:line="360" w:lineRule="auto"/>
        <w:ind w:firstLine="1440"/>
        <w:rPr>
          <w:sz w:val="24"/>
          <w:szCs w:val="24"/>
        </w:rPr>
      </w:pPr>
    </w:p>
    <w:p w:rsidR="00AC0378" w:rsidRDefault="00AC0378" w:rsidP="00AC0378">
      <w:pPr>
        <w:tabs>
          <w:tab w:val="left" w:pos="-1440"/>
          <w:tab w:val="left" w:pos="-720"/>
        </w:tabs>
        <w:suppressAutoHyphens/>
        <w:spacing w:line="360" w:lineRule="auto"/>
        <w:ind w:firstLine="1440"/>
        <w:rPr>
          <w:sz w:val="24"/>
          <w:szCs w:val="24"/>
        </w:rPr>
      </w:pPr>
      <w:r w:rsidRPr="00885A23">
        <w:rPr>
          <w:sz w:val="24"/>
          <w:szCs w:val="24"/>
        </w:rPr>
        <w:t>7.</w:t>
      </w:r>
      <w:r w:rsidRPr="00885A23">
        <w:rPr>
          <w:sz w:val="24"/>
          <w:szCs w:val="24"/>
        </w:rPr>
        <w:tab/>
      </w:r>
      <w:r w:rsidR="003E35DD">
        <w:rPr>
          <w:sz w:val="24"/>
          <w:szCs w:val="24"/>
        </w:rPr>
        <w:t>Complainant</w:t>
      </w:r>
      <w:r w:rsidRPr="00885A23">
        <w:rPr>
          <w:sz w:val="24"/>
          <w:szCs w:val="24"/>
        </w:rPr>
        <w:t xml:space="preserve"> </w:t>
      </w:r>
      <w:r w:rsidR="00350A46">
        <w:rPr>
          <w:sz w:val="24"/>
          <w:szCs w:val="24"/>
        </w:rPr>
        <w:t>does not participate in</w:t>
      </w:r>
      <w:r w:rsidRPr="00885A23">
        <w:rPr>
          <w:sz w:val="24"/>
          <w:szCs w:val="24"/>
        </w:rPr>
        <w:t xml:space="preserve"> Respondent’s CAP program due to </w:t>
      </w:r>
      <w:r w:rsidR="00FA09D6">
        <w:rPr>
          <w:sz w:val="24"/>
          <w:szCs w:val="24"/>
        </w:rPr>
        <w:t>his</w:t>
      </w:r>
      <w:r w:rsidRPr="00885A23">
        <w:rPr>
          <w:sz w:val="24"/>
          <w:szCs w:val="24"/>
        </w:rPr>
        <w:t xml:space="preserve"> income level exceeding the parameters of the program.</w:t>
      </w:r>
    </w:p>
    <w:p w:rsidR="00846AD3" w:rsidRDefault="00846AD3" w:rsidP="00AC0378">
      <w:pPr>
        <w:tabs>
          <w:tab w:val="left" w:pos="-1440"/>
          <w:tab w:val="left" w:pos="-720"/>
        </w:tabs>
        <w:suppressAutoHyphens/>
        <w:spacing w:line="360" w:lineRule="auto"/>
        <w:ind w:firstLine="1440"/>
        <w:rPr>
          <w:sz w:val="24"/>
          <w:szCs w:val="24"/>
        </w:rPr>
      </w:pPr>
    </w:p>
    <w:p w:rsidR="00DE3A75" w:rsidRDefault="00846AD3" w:rsidP="00AC0378">
      <w:pPr>
        <w:tabs>
          <w:tab w:val="left" w:pos="-1440"/>
          <w:tab w:val="left" w:pos="-720"/>
        </w:tabs>
        <w:suppressAutoHyphens/>
        <w:spacing w:line="360" w:lineRule="auto"/>
        <w:ind w:firstLine="1440"/>
        <w:rPr>
          <w:sz w:val="24"/>
          <w:szCs w:val="24"/>
        </w:rPr>
      </w:pPr>
      <w:r>
        <w:rPr>
          <w:sz w:val="24"/>
          <w:szCs w:val="24"/>
        </w:rPr>
        <w:lastRenderedPageBreak/>
        <w:t>8.</w:t>
      </w:r>
      <w:r>
        <w:rPr>
          <w:sz w:val="24"/>
          <w:szCs w:val="24"/>
        </w:rPr>
        <w:tab/>
        <w:t>Complainant participated in Respondent’s WRAP Program. WRAP is a weatherization program sponsored by the Responde</w:t>
      </w:r>
      <w:r w:rsidR="00DE3A75">
        <w:rPr>
          <w:sz w:val="24"/>
          <w:szCs w:val="24"/>
        </w:rPr>
        <w:t>nt</w:t>
      </w:r>
      <w:r>
        <w:rPr>
          <w:sz w:val="24"/>
          <w:szCs w:val="24"/>
        </w:rPr>
        <w:t xml:space="preserve"> which</w:t>
      </w:r>
      <w:r w:rsidR="00DE3A75">
        <w:rPr>
          <w:sz w:val="24"/>
          <w:szCs w:val="24"/>
        </w:rPr>
        <w:t xml:space="preserve"> assisted the Complainant in weatherizing his residence.</w:t>
      </w:r>
    </w:p>
    <w:p w:rsidR="00DE3A75" w:rsidRDefault="00DE3A75" w:rsidP="00AC0378">
      <w:pPr>
        <w:tabs>
          <w:tab w:val="left" w:pos="-1440"/>
          <w:tab w:val="left" w:pos="-720"/>
        </w:tabs>
        <w:suppressAutoHyphens/>
        <w:spacing w:line="360" w:lineRule="auto"/>
        <w:ind w:firstLine="1440"/>
        <w:rPr>
          <w:sz w:val="24"/>
          <w:szCs w:val="24"/>
        </w:rPr>
      </w:pPr>
    </w:p>
    <w:p w:rsidR="00393E6B" w:rsidRDefault="00DE3A75" w:rsidP="00AC0378">
      <w:pPr>
        <w:tabs>
          <w:tab w:val="left" w:pos="-1440"/>
          <w:tab w:val="left" w:pos="-720"/>
        </w:tabs>
        <w:suppressAutoHyphens/>
        <w:spacing w:line="360" w:lineRule="auto"/>
        <w:ind w:firstLine="1440"/>
        <w:rPr>
          <w:sz w:val="24"/>
          <w:szCs w:val="24"/>
        </w:rPr>
      </w:pPr>
      <w:r>
        <w:rPr>
          <w:sz w:val="24"/>
          <w:szCs w:val="24"/>
        </w:rPr>
        <w:t xml:space="preserve">9. </w:t>
      </w:r>
      <w:r>
        <w:rPr>
          <w:sz w:val="24"/>
          <w:szCs w:val="24"/>
        </w:rPr>
        <w:tab/>
        <w:t>Respondent’s witness testified that Complainant received $300.00 from Respondent’s Operation Help</w:t>
      </w:r>
      <w:r w:rsidR="003E35DD">
        <w:rPr>
          <w:sz w:val="24"/>
          <w:szCs w:val="24"/>
        </w:rPr>
        <w:t xml:space="preserve"> on August 16, 2010</w:t>
      </w:r>
      <w:r>
        <w:rPr>
          <w:sz w:val="24"/>
          <w:szCs w:val="24"/>
        </w:rPr>
        <w:t xml:space="preserve">.  Operation Help is a program sponsored by Respondent to assist its </w:t>
      </w:r>
      <w:r w:rsidR="00CF64F1">
        <w:rPr>
          <w:sz w:val="24"/>
          <w:szCs w:val="24"/>
        </w:rPr>
        <w:t xml:space="preserve">low income </w:t>
      </w:r>
      <w:r>
        <w:rPr>
          <w:sz w:val="24"/>
          <w:szCs w:val="24"/>
        </w:rPr>
        <w:t>customer</w:t>
      </w:r>
      <w:r w:rsidR="00CF64F1">
        <w:rPr>
          <w:sz w:val="24"/>
          <w:szCs w:val="24"/>
        </w:rPr>
        <w:t xml:space="preserve">s pay their heating bills.  </w:t>
      </w:r>
    </w:p>
    <w:p w:rsidR="00393E6B" w:rsidRDefault="00393E6B" w:rsidP="00AC0378">
      <w:pPr>
        <w:tabs>
          <w:tab w:val="left" w:pos="-1440"/>
          <w:tab w:val="left" w:pos="-720"/>
        </w:tabs>
        <w:suppressAutoHyphens/>
        <w:spacing w:line="360" w:lineRule="auto"/>
        <w:ind w:firstLine="1440"/>
        <w:rPr>
          <w:sz w:val="24"/>
          <w:szCs w:val="24"/>
        </w:rPr>
      </w:pPr>
    </w:p>
    <w:p w:rsidR="00846AD3" w:rsidRPr="00885A23" w:rsidRDefault="00393E6B" w:rsidP="00AC0378">
      <w:pPr>
        <w:tabs>
          <w:tab w:val="left" w:pos="-1440"/>
          <w:tab w:val="left" w:pos="-720"/>
        </w:tabs>
        <w:suppressAutoHyphens/>
        <w:spacing w:line="360" w:lineRule="auto"/>
        <w:ind w:firstLine="1440"/>
        <w:rPr>
          <w:sz w:val="24"/>
          <w:szCs w:val="24"/>
        </w:rPr>
      </w:pPr>
      <w:r>
        <w:rPr>
          <w:sz w:val="24"/>
          <w:szCs w:val="24"/>
        </w:rPr>
        <w:t>10.</w:t>
      </w:r>
      <w:r>
        <w:rPr>
          <w:sz w:val="24"/>
          <w:szCs w:val="24"/>
        </w:rPr>
        <w:tab/>
      </w:r>
      <w:r w:rsidRPr="0006760A">
        <w:rPr>
          <w:sz w:val="24"/>
          <w:szCs w:val="24"/>
        </w:rPr>
        <w:t xml:space="preserve">On </w:t>
      </w:r>
      <w:r>
        <w:rPr>
          <w:sz w:val="24"/>
          <w:szCs w:val="24"/>
        </w:rPr>
        <w:t>August</w:t>
      </w:r>
      <w:r w:rsidRPr="0006760A">
        <w:rPr>
          <w:sz w:val="24"/>
          <w:szCs w:val="24"/>
        </w:rPr>
        <w:t xml:space="preserve"> 11, 2009, Complainant filed an informal complaint </w:t>
      </w:r>
      <w:r w:rsidR="0052683B">
        <w:rPr>
          <w:sz w:val="24"/>
          <w:szCs w:val="24"/>
        </w:rPr>
        <w:t>with the Commission’s BC</w:t>
      </w:r>
      <w:r w:rsidR="00BD55CF">
        <w:rPr>
          <w:sz w:val="24"/>
          <w:szCs w:val="24"/>
        </w:rPr>
        <w:t>S</w:t>
      </w:r>
      <w:r w:rsidR="0052683B">
        <w:rPr>
          <w:sz w:val="24"/>
          <w:szCs w:val="24"/>
        </w:rPr>
        <w:t>, BCS C</w:t>
      </w:r>
      <w:r w:rsidRPr="0006760A">
        <w:rPr>
          <w:sz w:val="24"/>
          <w:szCs w:val="24"/>
        </w:rPr>
        <w:t xml:space="preserve">ase No. 2577202, which alleged an inability to pay his electric bill and requested that the Commission establish a payment arrangement for him.  PPL Exhibit 4.  </w:t>
      </w:r>
    </w:p>
    <w:p w:rsidR="00AC0378" w:rsidRPr="00885A23" w:rsidRDefault="00AC0378" w:rsidP="00AC0378">
      <w:pPr>
        <w:tabs>
          <w:tab w:val="left" w:pos="-1440"/>
          <w:tab w:val="left" w:pos="-720"/>
        </w:tabs>
        <w:suppressAutoHyphens/>
        <w:spacing w:line="360" w:lineRule="auto"/>
        <w:ind w:firstLine="1440"/>
        <w:rPr>
          <w:sz w:val="24"/>
          <w:szCs w:val="24"/>
        </w:rPr>
      </w:pPr>
    </w:p>
    <w:p w:rsidR="00393E6B" w:rsidRDefault="00A95418" w:rsidP="00AC0378">
      <w:pPr>
        <w:tabs>
          <w:tab w:val="left" w:pos="-1440"/>
          <w:tab w:val="left" w:pos="-720"/>
        </w:tabs>
        <w:suppressAutoHyphens/>
        <w:spacing w:line="360" w:lineRule="auto"/>
        <w:ind w:firstLine="1440"/>
        <w:rPr>
          <w:sz w:val="24"/>
          <w:szCs w:val="24"/>
        </w:rPr>
      </w:pPr>
      <w:r>
        <w:rPr>
          <w:sz w:val="24"/>
          <w:szCs w:val="24"/>
        </w:rPr>
        <w:t>1</w:t>
      </w:r>
      <w:r w:rsidR="00393E6B">
        <w:rPr>
          <w:sz w:val="24"/>
          <w:szCs w:val="24"/>
        </w:rPr>
        <w:t>1</w:t>
      </w:r>
      <w:r w:rsidR="00AC0378" w:rsidRPr="00885A23">
        <w:rPr>
          <w:sz w:val="24"/>
          <w:szCs w:val="24"/>
        </w:rPr>
        <w:t xml:space="preserve">. </w:t>
      </w:r>
      <w:r w:rsidR="00AC0378" w:rsidRPr="00885A23">
        <w:rPr>
          <w:sz w:val="24"/>
          <w:szCs w:val="24"/>
        </w:rPr>
        <w:tab/>
      </w:r>
      <w:r w:rsidR="00393E6B" w:rsidRPr="00BD55CF">
        <w:rPr>
          <w:sz w:val="24"/>
          <w:szCs w:val="24"/>
        </w:rPr>
        <w:t xml:space="preserve">On August 24, 2009, </w:t>
      </w:r>
      <w:r w:rsidR="00806D39" w:rsidRPr="00BD55CF">
        <w:rPr>
          <w:sz w:val="24"/>
          <w:szCs w:val="24"/>
        </w:rPr>
        <w:t xml:space="preserve">BCS </w:t>
      </w:r>
      <w:r w:rsidR="00393E6B" w:rsidRPr="00BD55CF">
        <w:rPr>
          <w:sz w:val="24"/>
          <w:szCs w:val="24"/>
        </w:rPr>
        <w:t xml:space="preserve">issued an informal decision in BCS Case No. </w:t>
      </w:r>
      <w:r w:rsidR="00806D39" w:rsidRPr="00BD55CF">
        <w:rPr>
          <w:sz w:val="24"/>
          <w:szCs w:val="24"/>
        </w:rPr>
        <w:t xml:space="preserve"> 2577202</w:t>
      </w:r>
      <w:r w:rsidR="00393E6B" w:rsidRPr="00BD55CF">
        <w:rPr>
          <w:sz w:val="24"/>
          <w:szCs w:val="24"/>
        </w:rPr>
        <w:t xml:space="preserve"> finding that Complainant was a level 2 income customer and established a payment arrangement for him in the amount of $242.00 per month</w:t>
      </w:r>
      <w:r w:rsidR="00806D39" w:rsidRPr="00BD55CF">
        <w:rPr>
          <w:sz w:val="24"/>
          <w:szCs w:val="24"/>
        </w:rPr>
        <w:t>.</w:t>
      </w:r>
    </w:p>
    <w:p w:rsidR="00393E6B" w:rsidRDefault="00393E6B" w:rsidP="00AC0378">
      <w:pPr>
        <w:tabs>
          <w:tab w:val="left" w:pos="-1440"/>
          <w:tab w:val="left" w:pos="-720"/>
        </w:tabs>
        <w:suppressAutoHyphens/>
        <w:spacing w:line="360" w:lineRule="auto"/>
        <w:ind w:firstLine="1440"/>
        <w:rPr>
          <w:sz w:val="24"/>
          <w:szCs w:val="24"/>
        </w:rPr>
      </w:pPr>
    </w:p>
    <w:p w:rsidR="00073828" w:rsidRDefault="00A95418" w:rsidP="00AC0378">
      <w:pPr>
        <w:tabs>
          <w:tab w:val="left" w:pos="-1440"/>
          <w:tab w:val="left" w:pos="-720"/>
        </w:tabs>
        <w:suppressAutoHyphens/>
        <w:spacing w:line="360" w:lineRule="auto"/>
        <w:ind w:firstLine="1440"/>
        <w:rPr>
          <w:sz w:val="24"/>
          <w:szCs w:val="24"/>
        </w:rPr>
      </w:pPr>
      <w:r>
        <w:rPr>
          <w:sz w:val="24"/>
          <w:szCs w:val="24"/>
        </w:rPr>
        <w:t>1</w:t>
      </w:r>
      <w:r w:rsidR="00393E6B">
        <w:rPr>
          <w:sz w:val="24"/>
          <w:szCs w:val="24"/>
        </w:rPr>
        <w:t>2</w:t>
      </w:r>
      <w:r w:rsidR="00073828">
        <w:rPr>
          <w:sz w:val="24"/>
          <w:szCs w:val="24"/>
        </w:rPr>
        <w:t>.</w:t>
      </w:r>
      <w:r w:rsidR="00073828">
        <w:rPr>
          <w:sz w:val="24"/>
          <w:szCs w:val="24"/>
        </w:rPr>
        <w:tab/>
        <w:t xml:space="preserve">Respondent conducted an energy audit </w:t>
      </w:r>
      <w:r w:rsidR="007B0503">
        <w:rPr>
          <w:sz w:val="24"/>
          <w:szCs w:val="24"/>
        </w:rPr>
        <w:t xml:space="preserve">in </w:t>
      </w:r>
      <w:r w:rsidR="00073828">
        <w:rPr>
          <w:sz w:val="24"/>
          <w:szCs w:val="24"/>
        </w:rPr>
        <w:t>response to Complainant’s request</w:t>
      </w:r>
      <w:r w:rsidR="007B0503">
        <w:rPr>
          <w:sz w:val="24"/>
          <w:szCs w:val="24"/>
        </w:rPr>
        <w:t xml:space="preserve"> of May 17, 2010.  Respondent pulled Complainant’s meter and test the meter. It tested as being 100</w:t>
      </w:r>
      <w:r w:rsidR="00367581">
        <w:rPr>
          <w:sz w:val="24"/>
          <w:szCs w:val="24"/>
        </w:rPr>
        <w:t>.21</w:t>
      </w:r>
      <w:r w:rsidR="007B0503">
        <w:rPr>
          <w:sz w:val="24"/>
          <w:szCs w:val="24"/>
        </w:rPr>
        <w:t xml:space="preserve">% accurate. </w:t>
      </w:r>
      <w:r w:rsidR="00073828">
        <w:rPr>
          <w:sz w:val="24"/>
          <w:szCs w:val="24"/>
        </w:rPr>
        <w:t xml:space="preserve"> </w:t>
      </w:r>
    </w:p>
    <w:p w:rsidR="00073828" w:rsidRDefault="00073828" w:rsidP="00AC0378">
      <w:pPr>
        <w:tabs>
          <w:tab w:val="left" w:pos="-1440"/>
          <w:tab w:val="left" w:pos="-720"/>
        </w:tabs>
        <w:suppressAutoHyphens/>
        <w:spacing w:line="360" w:lineRule="auto"/>
        <w:ind w:firstLine="1440"/>
        <w:rPr>
          <w:sz w:val="24"/>
          <w:szCs w:val="24"/>
        </w:rPr>
      </w:pPr>
    </w:p>
    <w:p w:rsidR="00845D35" w:rsidRDefault="00A95418" w:rsidP="00AC0378">
      <w:pPr>
        <w:tabs>
          <w:tab w:val="left" w:pos="-1440"/>
          <w:tab w:val="left" w:pos="-720"/>
        </w:tabs>
        <w:suppressAutoHyphens/>
        <w:spacing w:line="360" w:lineRule="auto"/>
        <w:ind w:firstLine="1440"/>
        <w:rPr>
          <w:sz w:val="24"/>
          <w:szCs w:val="24"/>
        </w:rPr>
      </w:pPr>
      <w:r>
        <w:rPr>
          <w:sz w:val="24"/>
          <w:szCs w:val="24"/>
        </w:rPr>
        <w:t>1</w:t>
      </w:r>
      <w:r w:rsidR="00393E6B">
        <w:rPr>
          <w:sz w:val="24"/>
          <w:szCs w:val="24"/>
        </w:rPr>
        <w:t>3</w:t>
      </w:r>
      <w:r w:rsidR="00845D35">
        <w:rPr>
          <w:sz w:val="24"/>
          <w:szCs w:val="24"/>
        </w:rPr>
        <w:t xml:space="preserve">. </w:t>
      </w:r>
      <w:r w:rsidR="00845D35">
        <w:rPr>
          <w:sz w:val="24"/>
          <w:szCs w:val="24"/>
        </w:rPr>
        <w:tab/>
        <w:t>Complainant heats his house by electricity. Complainant has approximately 52 feet of electric base board heating in his home.</w:t>
      </w:r>
      <w:r w:rsidR="001F5947">
        <w:rPr>
          <w:sz w:val="24"/>
          <w:szCs w:val="24"/>
        </w:rPr>
        <w:t xml:space="preserve">  Complainant’s electrical usage increases in the winter months (November through March) and decreases in the spring, summer and early fall months (April through October). </w:t>
      </w:r>
      <w:r w:rsidR="00050FCE">
        <w:rPr>
          <w:sz w:val="24"/>
          <w:szCs w:val="24"/>
        </w:rPr>
        <w:t xml:space="preserve"> PPL Exhibit 1.</w:t>
      </w:r>
    </w:p>
    <w:p w:rsidR="00845D35" w:rsidRDefault="00845D35" w:rsidP="00AC0378">
      <w:pPr>
        <w:tabs>
          <w:tab w:val="left" w:pos="-1440"/>
          <w:tab w:val="left" w:pos="-720"/>
        </w:tabs>
        <w:suppressAutoHyphens/>
        <w:spacing w:line="360" w:lineRule="auto"/>
        <w:ind w:firstLine="1440"/>
        <w:rPr>
          <w:sz w:val="24"/>
          <w:szCs w:val="24"/>
        </w:rPr>
      </w:pPr>
    </w:p>
    <w:p w:rsidR="00AC0378" w:rsidRPr="00885A23" w:rsidRDefault="00845D35" w:rsidP="00AC0378">
      <w:pPr>
        <w:tabs>
          <w:tab w:val="left" w:pos="-1440"/>
          <w:tab w:val="left" w:pos="-720"/>
        </w:tabs>
        <w:suppressAutoHyphens/>
        <w:spacing w:line="360" w:lineRule="auto"/>
        <w:ind w:firstLine="1440"/>
        <w:rPr>
          <w:sz w:val="24"/>
          <w:szCs w:val="24"/>
        </w:rPr>
      </w:pPr>
      <w:r>
        <w:rPr>
          <w:sz w:val="24"/>
          <w:szCs w:val="24"/>
        </w:rPr>
        <w:t>1</w:t>
      </w:r>
      <w:r w:rsidR="00393E6B">
        <w:rPr>
          <w:sz w:val="24"/>
          <w:szCs w:val="24"/>
        </w:rPr>
        <w:t>4</w:t>
      </w:r>
      <w:r>
        <w:rPr>
          <w:sz w:val="24"/>
          <w:szCs w:val="24"/>
        </w:rPr>
        <w:t>.</w:t>
      </w:r>
      <w:r>
        <w:rPr>
          <w:sz w:val="24"/>
          <w:szCs w:val="24"/>
        </w:rPr>
        <w:tab/>
        <w:t xml:space="preserve">Complainant testified that his home is a ranch style home.  It </w:t>
      </w:r>
      <w:r w:rsidR="0062758C">
        <w:rPr>
          <w:sz w:val="24"/>
          <w:szCs w:val="24"/>
        </w:rPr>
        <w:t xml:space="preserve">is approximately 20 years old.  It has 3 bedrooms, a living room, a kitchen a dining room and a full, unfinished basement.  The electrical appliances in the house are 2 televisions, a refrigerator, </w:t>
      </w:r>
      <w:r w:rsidR="00AB5378">
        <w:rPr>
          <w:sz w:val="24"/>
          <w:szCs w:val="24"/>
        </w:rPr>
        <w:t xml:space="preserve">a various lamps, </w:t>
      </w:r>
      <w:r w:rsidR="0062758C">
        <w:rPr>
          <w:sz w:val="24"/>
          <w:szCs w:val="24"/>
        </w:rPr>
        <w:t>stereo, a washer and dryer, and a</w:t>
      </w:r>
      <w:r w:rsidR="0052683B">
        <w:rPr>
          <w:sz w:val="24"/>
          <w:szCs w:val="24"/>
        </w:rPr>
        <w:t xml:space="preserve"> stove</w:t>
      </w:r>
      <w:r w:rsidR="0062758C">
        <w:rPr>
          <w:sz w:val="24"/>
          <w:szCs w:val="24"/>
        </w:rPr>
        <w:t>.</w:t>
      </w:r>
      <w:r>
        <w:rPr>
          <w:sz w:val="24"/>
          <w:szCs w:val="24"/>
        </w:rPr>
        <w:t xml:space="preserve"> </w:t>
      </w:r>
      <w:r w:rsidR="00AC0378" w:rsidRPr="00885A23">
        <w:rPr>
          <w:sz w:val="24"/>
          <w:szCs w:val="24"/>
        </w:rPr>
        <w:t xml:space="preserve"> </w:t>
      </w:r>
    </w:p>
    <w:p w:rsidR="00AC0378" w:rsidRPr="00885A23" w:rsidRDefault="00AC0378" w:rsidP="00AC0378">
      <w:pPr>
        <w:tabs>
          <w:tab w:val="left" w:pos="-1440"/>
          <w:tab w:val="left" w:pos="-720"/>
        </w:tabs>
        <w:suppressAutoHyphens/>
        <w:spacing w:line="360" w:lineRule="auto"/>
        <w:ind w:firstLine="1440"/>
        <w:rPr>
          <w:sz w:val="24"/>
          <w:szCs w:val="24"/>
        </w:rPr>
      </w:pPr>
    </w:p>
    <w:p w:rsidR="00AC0378" w:rsidRPr="00885A23" w:rsidRDefault="00A95418" w:rsidP="00AC0378">
      <w:pPr>
        <w:spacing w:line="360" w:lineRule="auto"/>
        <w:ind w:firstLine="1440"/>
        <w:rPr>
          <w:sz w:val="24"/>
          <w:szCs w:val="24"/>
        </w:rPr>
      </w:pPr>
      <w:r>
        <w:rPr>
          <w:sz w:val="24"/>
          <w:szCs w:val="24"/>
        </w:rPr>
        <w:lastRenderedPageBreak/>
        <w:t>1</w:t>
      </w:r>
      <w:r w:rsidR="00393E6B">
        <w:rPr>
          <w:sz w:val="24"/>
          <w:szCs w:val="24"/>
        </w:rPr>
        <w:t>5</w:t>
      </w:r>
      <w:r w:rsidR="00AC0378" w:rsidRPr="00885A23">
        <w:rPr>
          <w:sz w:val="24"/>
          <w:szCs w:val="24"/>
        </w:rPr>
        <w:t>.</w:t>
      </w:r>
      <w:r w:rsidR="00AC0378" w:rsidRPr="00885A23">
        <w:rPr>
          <w:sz w:val="24"/>
          <w:szCs w:val="24"/>
        </w:rPr>
        <w:tab/>
        <w:t>As of the day of the hearing, Respondent’s witness testified that Complainant’s account balance with the Respondent was $</w:t>
      </w:r>
      <w:r w:rsidR="00846AD3">
        <w:rPr>
          <w:sz w:val="24"/>
          <w:szCs w:val="24"/>
        </w:rPr>
        <w:t>1,628.00</w:t>
      </w:r>
      <w:r w:rsidR="00AC0378">
        <w:rPr>
          <w:sz w:val="24"/>
          <w:szCs w:val="24"/>
        </w:rPr>
        <w:t xml:space="preserve">.  </w:t>
      </w:r>
    </w:p>
    <w:p w:rsidR="00AC0378" w:rsidRPr="0023549B" w:rsidRDefault="00AC0378" w:rsidP="00AC0378">
      <w:pPr>
        <w:spacing w:line="360" w:lineRule="auto"/>
        <w:rPr>
          <w:sz w:val="24"/>
          <w:szCs w:val="24"/>
        </w:rPr>
      </w:pPr>
    </w:p>
    <w:p w:rsidR="00AC0378" w:rsidRPr="00885A23" w:rsidRDefault="00AC0378" w:rsidP="00AC0378">
      <w:pPr>
        <w:spacing w:line="360" w:lineRule="auto"/>
        <w:jc w:val="center"/>
        <w:rPr>
          <w:sz w:val="24"/>
          <w:szCs w:val="24"/>
          <w:u w:val="single"/>
        </w:rPr>
      </w:pPr>
      <w:r w:rsidRPr="00885A23">
        <w:rPr>
          <w:sz w:val="24"/>
          <w:szCs w:val="24"/>
          <w:u w:val="single"/>
        </w:rPr>
        <w:t>DISCUSSION</w:t>
      </w:r>
    </w:p>
    <w:p w:rsidR="00AC0378" w:rsidRPr="00885A23" w:rsidRDefault="00AC0378" w:rsidP="00AC0378">
      <w:pPr>
        <w:tabs>
          <w:tab w:val="left" w:pos="2160"/>
        </w:tabs>
        <w:spacing w:line="360" w:lineRule="auto"/>
        <w:jc w:val="center"/>
        <w:rPr>
          <w:sz w:val="24"/>
          <w:szCs w:val="24"/>
          <w:u w:val="single"/>
        </w:rPr>
      </w:pPr>
    </w:p>
    <w:p w:rsidR="00AC0378" w:rsidRPr="00885A23" w:rsidRDefault="00AC0378" w:rsidP="00AC0378">
      <w:pPr>
        <w:spacing w:line="360" w:lineRule="auto"/>
        <w:rPr>
          <w:sz w:val="24"/>
          <w:szCs w:val="24"/>
        </w:rPr>
      </w:pPr>
      <w:r w:rsidRPr="00885A23">
        <w:rPr>
          <w:sz w:val="24"/>
          <w:szCs w:val="24"/>
        </w:rPr>
        <w:tab/>
      </w:r>
      <w:r w:rsidRPr="00885A23">
        <w:rPr>
          <w:sz w:val="24"/>
          <w:szCs w:val="24"/>
        </w:rPr>
        <w:tab/>
        <w:t xml:space="preserve">In </w:t>
      </w:r>
      <w:r w:rsidR="00FA09D6">
        <w:rPr>
          <w:sz w:val="24"/>
          <w:szCs w:val="24"/>
        </w:rPr>
        <w:t>his</w:t>
      </w:r>
      <w:r w:rsidRPr="00885A23">
        <w:rPr>
          <w:sz w:val="24"/>
          <w:szCs w:val="24"/>
        </w:rPr>
        <w:t xml:space="preserve"> </w:t>
      </w:r>
      <w:r w:rsidR="000D4F82">
        <w:rPr>
          <w:sz w:val="24"/>
          <w:szCs w:val="24"/>
        </w:rPr>
        <w:t>f</w:t>
      </w:r>
      <w:r w:rsidRPr="00885A23">
        <w:rPr>
          <w:sz w:val="24"/>
          <w:szCs w:val="24"/>
        </w:rPr>
        <w:t xml:space="preserve">ormal Complaint, </w:t>
      </w:r>
      <w:r w:rsidR="006266F7">
        <w:rPr>
          <w:sz w:val="24"/>
          <w:szCs w:val="24"/>
        </w:rPr>
        <w:t xml:space="preserve">Mr. </w:t>
      </w:r>
      <w:r w:rsidR="00B156CE">
        <w:rPr>
          <w:sz w:val="24"/>
          <w:szCs w:val="24"/>
        </w:rPr>
        <w:t>DeNunzio</w:t>
      </w:r>
      <w:r w:rsidR="00204DF3">
        <w:rPr>
          <w:sz w:val="24"/>
          <w:szCs w:val="24"/>
        </w:rPr>
        <w:t xml:space="preserve"> has alleged that </w:t>
      </w:r>
      <w:r w:rsidRPr="00885A23">
        <w:rPr>
          <w:sz w:val="24"/>
          <w:szCs w:val="24"/>
        </w:rPr>
        <w:t xml:space="preserve">he is unable to pay </w:t>
      </w:r>
      <w:r w:rsidR="00FA09D6">
        <w:rPr>
          <w:sz w:val="24"/>
          <w:szCs w:val="24"/>
        </w:rPr>
        <w:t>his</w:t>
      </w:r>
      <w:r w:rsidRPr="00885A23">
        <w:rPr>
          <w:sz w:val="24"/>
          <w:szCs w:val="24"/>
        </w:rPr>
        <w:t xml:space="preserve"> </w:t>
      </w:r>
      <w:r w:rsidR="006266F7">
        <w:rPr>
          <w:sz w:val="24"/>
          <w:szCs w:val="24"/>
        </w:rPr>
        <w:t>electric</w:t>
      </w:r>
      <w:r w:rsidR="00CF64F1">
        <w:rPr>
          <w:sz w:val="24"/>
          <w:szCs w:val="24"/>
        </w:rPr>
        <w:t xml:space="preserve"> </w:t>
      </w:r>
      <w:r w:rsidRPr="00885A23">
        <w:rPr>
          <w:sz w:val="24"/>
          <w:szCs w:val="24"/>
        </w:rPr>
        <w:t xml:space="preserve">bills and has requested the Commission establish a lower payment arrangement for </w:t>
      </w:r>
      <w:r w:rsidR="00FA09D6">
        <w:rPr>
          <w:sz w:val="24"/>
          <w:szCs w:val="24"/>
        </w:rPr>
        <w:t>hi</w:t>
      </w:r>
      <w:r w:rsidR="003F7770">
        <w:rPr>
          <w:sz w:val="24"/>
          <w:szCs w:val="24"/>
        </w:rPr>
        <w:t>m</w:t>
      </w:r>
      <w:r w:rsidRPr="00885A23">
        <w:rPr>
          <w:sz w:val="24"/>
          <w:szCs w:val="24"/>
        </w:rPr>
        <w:t xml:space="preserve">.  As the party seeking affirmative relief from the Commission, Complainant bears the burden of proof.  66 Pa. C.S. § 332(a).  </w:t>
      </w:r>
    </w:p>
    <w:p w:rsidR="00AC0378" w:rsidRPr="00885A23" w:rsidRDefault="00AC0378" w:rsidP="00AC0378">
      <w:pPr>
        <w:spacing w:line="360" w:lineRule="auto"/>
        <w:ind w:firstLine="1440"/>
        <w:rPr>
          <w:spacing w:val="-3"/>
          <w:sz w:val="24"/>
          <w:szCs w:val="24"/>
        </w:rPr>
      </w:pPr>
    </w:p>
    <w:p w:rsidR="00AC0378" w:rsidRPr="00885A23" w:rsidRDefault="00AC0378" w:rsidP="00AC0378">
      <w:pPr>
        <w:spacing w:line="360" w:lineRule="auto"/>
        <w:ind w:firstLine="1440"/>
        <w:rPr>
          <w:spacing w:val="-3"/>
          <w:sz w:val="24"/>
          <w:szCs w:val="24"/>
        </w:rPr>
      </w:pPr>
      <w:r w:rsidRPr="00885A23">
        <w:rPr>
          <w:spacing w:val="-3"/>
          <w:sz w:val="24"/>
          <w:szCs w:val="24"/>
        </w:rPr>
        <w:t xml:space="preserve">To satisfy this burden, Complainant must show that the named utility is responsible or accountable for the problem described in the Complaint.  </w:t>
      </w:r>
      <w:r w:rsidRPr="00885A23">
        <w:rPr>
          <w:spacing w:val="-3"/>
          <w:sz w:val="24"/>
          <w:szCs w:val="24"/>
          <w:u w:val="single"/>
        </w:rPr>
        <w:t>Patterson v. Bell Telephone Co. of Pa.</w:t>
      </w:r>
      <w:r w:rsidRPr="00885A23">
        <w:rPr>
          <w:spacing w:val="-3"/>
          <w:sz w:val="24"/>
          <w:szCs w:val="24"/>
        </w:rPr>
        <w:t xml:space="preserve">, 72 Pa. PUC 196 (1990); </w:t>
      </w:r>
      <w:r w:rsidRPr="00885A23">
        <w:rPr>
          <w:spacing w:val="-3"/>
          <w:sz w:val="24"/>
          <w:szCs w:val="24"/>
          <w:u w:val="single"/>
        </w:rPr>
        <w:t>Feinstein v. Philadelphia Suburban Water Co.</w:t>
      </w:r>
      <w:r w:rsidRPr="00885A23">
        <w:rPr>
          <w:spacing w:val="-3"/>
          <w:sz w:val="24"/>
          <w:szCs w:val="24"/>
        </w:rPr>
        <w:t xml:space="preserve">, 50 Pa. PUC 300 (1976).  This must be shown by a preponderance of the evidence, that is, by presenting evidence more convincing, by even the smallest amount, than that presented by the other party.  </w:t>
      </w:r>
      <w:r w:rsidRPr="00885A23">
        <w:rPr>
          <w:spacing w:val="-3"/>
          <w:sz w:val="24"/>
          <w:szCs w:val="24"/>
          <w:u w:val="single"/>
        </w:rPr>
        <w:t>Samuel J. Lansberry, Inc. v. Pa. Public Utility Comm.</w:t>
      </w:r>
      <w:r w:rsidRPr="00885A23">
        <w:rPr>
          <w:spacing w:val="-3"/>
          <w:sz w:val="24"/>
          <w:szCs w:val="24"/>
        </w:rPr>
        <w:t xml:space="preserve">, 578 A.2d 600 (Pa. Cmwlth. 1990), </w:t>
      </w:r>
      <w:r w:rsidRPr="00885A23">
        <w:rPr>
          <w:spacing w:val="-3"/>
          <w:sz w:val="24"/>
          <w:szCs w:val="24"/>
          <w:u w:val="single"/>
        </w:rPr>
        <w:t>alloc. den.</w:t>
      </w:r>
      <w:r w:rsidRPr="00885A23">
        <w:rPr>
          <w:spacing w:val="-3"/>
          <w:sz w:val="24"/>
          <w:szCs w:val="24"/>
        </w:rPr>
        <w:t xml:space="preserve">, 602 A.2d 863 (Pa. 1992); </w:t>
      </w:r>
      <w:r w:rsidRPr="00885A23">
        <w:rPr>
          <w:spacing w:val="-3"/>
          <w:sz w:val="24"/>
          <w:szCs w:val="24"/>
          <w:u w:val="single"/>
        </w:rPr>
        <w:t>Se-Ling Hosiery v. Margulies</w:t>
      </w:r>
      <w:r w:rsidRPr="00885A23">
        <w:rPr>
          <w:spacing w:val="-3"/>
          <w:sz w:val="24"/>
          <w:szCs w:val="24"/>
        </w:rPr>
        <w:t xml:space="preserve">, 70 A.2d 854 (Pa. 1950).  Additionally, any finding of fact necessary to support the Commission’s adjudication must be based upon substantial evidence.  </w:t>
      </w:r>
      <w:r w:rsidRPr="00885A23">
        <w:rPr>
          <w:spacing w:val="-3"/>
          <w:sz w:val="24"/>
          <w:szCs w:val="24"/>
          <w:u w:val="single"/>
        </w:rPr>
        <w:t>Mill v. Pa. Public Utility Comm.</w:t>
      </w:r>
      <w:r w:rsidRPr="00885A23">
        <w:rPr>
          <w:spacing w:val="-3"/>
          <w:sz w:val="24"/>
          <w:szCs w:val="24"/>
        </w:rPr>
        <w:t xml:space="preserve">, 447 A.2d 1100 (Pa. Cmwlth. 1982); </w:t>
      </w:r>
      <w:r w:rsidRPr="00885A23">
        <w:rPr>
          <w:spacing w:val="-3"/>
          <w:sz w:val="24"/>
          <w:szCs w:val="24"/>
          <w:u w:val="single"/>
        </w:rPr>
        <w:t>Edan Transportation Corp. v. Pa. Public Utility Comm.</w:t>
      </w:r>
      <w:r w:rsidRPr="00885A23">
        <w:rPr>
          <w:spacing w:val="-3"/>
          <w:sz w:val="24"/>
          <w:szCs w:val="24"/>
        </w:rPr>
        <w:t>, 623 A.2d 6 (Pa. Cmwlth. 1993); 2 Pa. C.S. §</w:t>
      </w:r>
      <w:r>
        <w:rPr>
          <w:spacing w:val="-3"/>
          <w:sz w:val="24"/>
          <w:szCs w:val="24"/>
        </w:rPr>
        <w:t> </w:t>
      </w:r>
      <w:r w:rsidRPr="00885A23">
        <w:rPr>
          <w:spacing w:val="-3"/>
          <w:sz w:val="24"/>
          <w:szCs w:val="24"/>
        </w:rPr>
        <w:t xml:space="preserve">704.  More is required than a mere trace of evidence or a suspicion of the existence of a fact sought to be established.  </w:t>
      </w:r>
      <w:r w:rsidRPr="00885A23">
        <w:rPr>
          <w:spacing w:val="-3"/>
          <w:sz w:val="24"/>
          <w:szCs w:val="24"/>
          <w:u w:val="single"/>
        </w:rPr>
        <w:t>Norfolk and Western Ry. v. Pa. Public Utility Comm.</w:t>
      </w:r>
      <w:r w:rsidRPr="00885A23">
        <w:rPr>
          <w:spacing w:val="-3"/>
          <w:sz w:val="24"/>
          <w:szCs w:val="24"/>
        </w:rPr>
        <w:t xml:space="preserve">, 413 A.2d 1037 (Pa. 1980); </w:t>
      </w:r>
      <w:r w:rsidRPr="00885A23">
        <w:rPr>
          <w:spacing w:val="-3"/>
          <w:sz w:val="24"/>
          <w:szCs w:val="24"/>
          <w:u w:val="single"/>
        </w:rPr>
        <w:t>Erie Resistor Corp. v. Unemployment Compensation Bd. of Review</w:t>
      </w:r>
      <w:r w:rsidRPr="00885A23">
        <w:rPr>
          <w:spacing w:val="-3"/>
          <w:sz w:val="24"/>
          <w:szCs w:val="24"/>
        </w:rPr>
        <w:t xml:space="preserve">, 166 A.2d 96 (Pa. Super. 1960); </w:t>
      </w:r>
      <w:r w:rsidRPr="00885A23">
        <w:rPr>
          <w:spacing w:val="-3"/>
          <w:sz w:val="24"/>
          <w:szCs w:val="24"/>
          <w:u w:val="single"/>
        </w:rPr>
        <w:t>Murphy v. Dep’t. of Public Welfare, White Haven Center</w:t>
      </w:r>
      <w:r w:rsidRPr="00885A23">
        <w:rPr>
          <w:spacing w:val="-3"/>
          <w:sz w:val="24"/>
          <w:szCs w:val="24"/>
        </w:rPr>
        <w:t>, 480 A.2d 382 (Pa. Cmwlth. 1984).</w:t>
      </w:r>
    </w:p>
    <w:p w:rsidR="00AC0378" w:rsidRPr="00885A23" w:rsidRDefault="00AC0378" w:rsidP="00AC0378">
      <w:pPr>
        <w:spacing w:line="360" w:lineRule="auto"/>
        <w:ind w:firstLine="1440"/>
        <w:rPr>
          <w:spacing w:val="-3"/>
          <w:sz w:val="24"/>
          <w:szCs w:val="24"/>
        </w:rPr>
      </w:pPr>
    </w:p>
    <w:p w:rsidR="003B5F02" w:rsidRPr="00BB4F7A" w:rsidRDefault="003B5F02" w:rsidP="003B5F02">
      <w:pPr>
        <w:spacing w:line="360" w:lineRule="auto"/>
        <w:ind w:firstLine="1440"/>
        <w:rPr>
          <w:sz w:val="24"/>
          <w:szCs w:val="24"/>
        </w:rPr>
      </w:pPr>
      <w:r w:rsidRPr="00BB4F7A">
        <w:rPr>
          <w:sz w:val="24"/>
          <w:szCs w:val="24"/>
        </w:rPr>
        <w:t xml:space="preserve">The Responsible Utility Customer Protection Act, 66 </w:t>
      </w:r>
      <w:smartTag w:uri="urn:schemas-microsoft-com:office:smarttags" w:element="place">
        <w:smartTag w:uri="urn:schemas-microsoft-com:office:smarttags" w:element="State">
          <w:r w:rsidRPr="00BB4F7A">
            <w:rPr>
              <w:sz w:val="24"/>
              <w:szCs w:val="24"/>
            </w:rPr>
            <w:t>Pa.</w:t>
          </w:r>
        </w:smartTag>
      </w:smartTag>
      <w:r>
        <w:rPr>
          <w:sz w:val="24"/>
          <w:szCs w:val="24"/>
        </w:rPr>
        <w:t xml:space="preserve"> C.S. §</w:t>
      </w:r>
      <w:r w:rsidRPr="00BB4F7A">
        <w:rPr>
          <w:sz w:val="24"/>
          <w:szCs w:val="24"/>
        </w:rPr>
        <w:t xml:space="preserve"> 1401</w:t>
      </w:r>
      <w:r w:rsidRPr="00F717AF">
        <w:rPr>
          <w:sz w:val="24"/>
          <w:szCs w:val="24"/>
        </w:rPr>
        <w:t>, et seq.</w:t>
      </w:r>
      <w:r w:rsidRPr="00BB4F7A">
        <w:rPr>
          <w:sz w:val="24"/>
          <w:szCs w:val="24"/>
        </w:rPr>
        <w:t xml:space="preserve"> (the Act or Chapter 14) applies to complaints alleging inability to pay and requesting a Commission-issued payment arrangement.  This law provides strict guidelines that the Commission must follow in handling customer complaints.  Section 1403 of the Public Utility Code defines “Payment Agreement” as follows:</w:t>
      </w:r>
    </w:p>
    <w:p w:rsidR="003B5F02" w:rsidRPr="00BB4F7A" w:rsidRDefault="003B5F02" w:rsidP="003B5F02">
      <w:pPr>
        <w:rPr>
          <w:sz w:val="24"/>
          <w:szCs w:val="24"/>
        </w:rPr>
      </w:pPr>
    </w:p>
    <w:p w:rsidR="003B5F02" w:rsidRPr="00AE6DB2" w:rsidRDefault="003B5F02" w:rsidP="003952A7">
      <w:pPr>
        <w:ind w:left="1440" w:right="1440"/>
        <w:rPr>
          <w:sz w:val="24"/>
          <w:szCs w:val="24"/>
        </w:rPr>
      </w:pPr>
      <w:r w:rsidRPr="00BB4F7A">
        <w:rPr>
          <w:sz w:val="24"/>
          <w:szCs w:val="24"/>
        </w:rPr>
        <w:lastRenderedPageBreak/>
        <w:t>An agreement whereby a customer who admits liability for billed service is permitted to amortize or pay the unpaid balance of the account in one or more paymen</w:t>
      </w:r>
      <w:r w:rsidRPr="00AE6DB2">
        <w:rPr>
          <w:sz w:val="24"/>
          <w:szCs w:val="24"/>
        </w:rPr>
        <w:t>ts.</w:t>
      </w:r>
    </w:p>
    <w:p w:rsidR="003B5F02" w:rsidRPr="00AE6DB2" w:rsidRDefault="003B5F02" w:rsidP="003B5F02">
      <w:pPr>
        <w:spacing w:line="360" w:lineRule="auto"/>
        <w:ind w:left="1440" w:right="1440"/>
        <w:rPr>
          <w:sz w:val="24"/>
          <w:szCs w:val="24"/>
        </w:rPr>
      </w:pPr>
    </w:p>
    <w:p w:rsidR="003B5F02" w:rsidRPr="00AE6DB2" w:rsidRDefault="003B5F02" w:rsidP="003B5F02">
      <w:pPr>
        <w:tabs>
          <w:tab w:val="left" w:pos="8640"/>
        </w:tabs>
        <w:spacing w:line="360" w:lineRule="auto"/>
        <w:rPr>
          <w:sz w:val="24"/>
          <w:szCs w:val="24"/>
        </w:rPr>
      </w:pPr>
      <w:r w:rsidRPr="00AE6DB2">
        <w:rPr>
          <w:sz w:val="24"/>
          <w:szCs w:val="24"/>
        </w:rPr>
        <w:t>66 Pa. C.S. § 1403 (Definition of “Payment Agreement”).  Section 1405 of the Public Utility Code regarding payment arrangement reads in pertinent part:</w:t>
      </w:r>
    </w:p>
    <w:p w:rsidR="003952A7" w:rsidRDefault="003952A7" w:rsidP="00255710">
      <w:pPr>
        <w:spacing w:line="360" w:lineRule="auto"/>
        <w:ind w:left="2160" w:right="1440"/>
        <w:rPr>
          <w:sz w:val="24"/>
          <w:szCs w:val="24"/>
        </w:rPr>
      </w:pPr>
    </w:p>
    <w:p w:rsidR="003952A7" w:rsidRDefault="00255710" w:rsidP="00255710">
      <w:pPr>
        <w:ind w:left="1440" w:right="1440"/>
        <w:rPr>
          <w:sz w:val="24"/>
          <w:szCs w:val="24"/>
        </w:rPr>
      </w:pPr>
      <w:r>
        <w:rPr>
          <w:sz w:val="24"/>
          <w:szCs w:val="24"/>
        </w:rPr>
        <w:t>(b)</w:t>
      </w:r>
      <w:r>
        <w:rPr>
          <w:sz w:val="24"/>
          <w:szCs w:val="24"/>
        </w:rPr>
        <w:tab/>
      </w:r>
      <w:r w:rsidR="003B5F02" w:rsidRPr="00AE6DB2">
        <w:rPr>
          <w:sz w:val="24"/>
          <w:szCs w:val="24"/>
        </w:rPr>
        <w:t>LENGTH OF PAYMENT AGREEMENTS-- The length of time for a customer to resolve an unpaid balance on an account that is subject to a payment agreement that is investigated by the commission and is entered into by a public utility and a cus</w:t>
      </w:r>
      <w:r w:rsidR="003952A7">
        <w:rPr>
          <w:sz w:val="24"/>
          <w:szCs w:val="24"/>
        </w:rPr>
        <w:t>tomer shall not extend beyond:</w:t>
      </w:r>
    </w:p>
    <w:p w:rsidR="003952A7" w:rsidRDefault="003952A7" w:rsidP="00255710">
      <w:pPr>
        <w:ind w:left="1440" w:right="1440"/>
        <w:rPr>
          <w:sz w:val="24"/>
          <w:szCs w:val="24"/>
        </w:rPr>
      </w:pPr>
      <w:r>
        <w:rPr>
          <w:sz w:val="24"/>
          <w:szCs w:val="24"/>
        </w:rPr>
        <w:tab/>
      </w:r>
    </w:p>
    <w:p w:rsidR="003952A7" w:rsidRPr="003952A7" w:rsidRDefault="003B5F02" w:rsidP="00255710">
      <w:pPr>
        <w:pStyle w:val="ListParagraph"/>
        <w:numPr>
          <w:ilvl w:val="0"/>
          <w:numId w:val="2"/>
        </w:numPr>
        <w:ind w:left="2880" w:right="1440" w:hanging="720"/>
        <w:rPr>
          <w:sz w:val="24"/>
          <w:szCs w:val="24"/>
        </w:rPr>
      </w:pPr>
      <w:r w:rsidRPr="003952A7">
        <w:rPr>
          <w:sz w:val="24"/>
          <w:szCs w:val="24"/>
        </w:rPr>
        <w:t xml:space="preserve">Five years for customers with a gross monthly household income level not exceeding 150% of the Federal poverty level. </w:t>
      </w:r>
    </w:p>
    <w:p w:rsidR="003952A7" w:rsidRPr="003952A7" w:rsidRDefault="003952A7" w:rsidP="00255710">
      <w:pPr>
        <w:ind w:left="2160" w:right="1440"/>
        <w:rPr>
          <w:sz w:val="24"/>
          <w:szCs w:val="24"/>
        </w:rPr>
      </w:pPr>
    </w:p>
    <w:p w:rsidR="003952A7" w:rsidRPr="003952A7" w:rsidRDefault="003B5F02" w:rsidP="00255710">
      <w:pPr>
        <w:pStyle w:val="ListParagraph"/>
        <w:numPr>
          <w:ilvl w:val="0"/>
          <w:numId w:val="2"/>
        </w:numPr>
        <w:ind w:left="2880" w:right="1440" w:hanging="720"/>
        <w:rPr>
          <w:sz w:val="24"/>
          <w:szCs w:val="24"/>
        </w:rPr>
      </w:pPr>
      <w:r w:rsidRPr="003952A7">
        <w:rPr>
          <w:sz w:val="24"/>
          <w:szCs w:val="24"/>
        </w:rPr>
        <w:t>Two years for customers with a gross monthly household income level exceeding 150% and not more than 250% of the Federal poverty level.</w:t>
      </w:r>
    </w:p>
    <w:p w:rsidR="003952A7" w:rsidRPr="003952A7" w:rsidRDefault="003952A7" w:rsidP="00255710">
      <w:pPr>
        <w:pStyle w:val="ListParagraph"/>
        <w:ind w:left="2160"/>
        <w:rPr>
          <w:sz w:val="24"/>
          <w:szCs w:val="24"/>
        </w:rPr>
      </w:pPr>
    </w:p>
    <w:p w:rsidR="003952A7" w:rsidRPr="003952A7" w:rsidRDefault="003B5F02" w:rsidP="00255710">
      <w:pPr>
        <w:pStyle w:val="ListParagraph"/>
        <w:numPr>
          <w:ilvl w:val="0"/>
          <w:numId w:val="2"/>
        </w:numPr>
        <w:ind w:left="2880" w:right="1440" w:hanging="720"/>
        <w:rPr>
          <w:sz w:val="24"/>
          <w:szCs w:val="24"/>
        </w:rPr>
      </w:pPr>
      <w:r w:rsidRPr="003952A7">
        <w:rPr>
          <w:sz w:val="24"/>
          <w:szCs w:val="24"/>
        </w:rPr>
        <w:t>One year for customers with a gross monthly household income level exceeding 250% of the Federal poverty level and not more than 300% of</w:t>
      </w:r>
      <w:r w:rsidR="003952A7" w:rsidRPr="003952A7">
        <w:rPr>
          <w:sz w:val="24"/>
          <w:szCs w:val="24"/>
        </w:rPr>
        <w:t xml:space="preserve"> </w:t>
      </w:r>
      <w:r w:rsidRPr="003952A7">
        <w:rPr>
          <w:sz w:val="24"/>
          <w:szCs w:val="24"/>
        </w:rPr>
        <w:t>the Federal poverty level.</w:t>
      </w:r>
    </w:p>
    <w:p w:rsidR="003952A7" w:rsidRPr="003952A7" w:rsidRDefault="003952A7" w:rsidP="00255710">
      <w:pPr>
        <w:ind w:left="2160" w:right="1440"/>
        <w:rPr>
          <w:sz w:val="24"/>
          <w:szCs w:val="24"/>
        </w:rPr>
      </w:pPr>
    </w:p>
    <w:p w:rsidR="003952A7" w:rsidRDefault="003B5F02" w:rsidP="00255710">
      <w:pPr>
        <w:pStyle w:val="ListParagraph"/>
        <w:numPr>
          <w:ilvl w:val="0"/>
          <w:numId w:val="2"/>
        </w:numPr>
        <w:ind w:left="2880" w:right="1440" w:hanging="720"/>
        <w:rPr>
          <w:sz w:val="24"/>
          <w:szCs w:val="24"/>
        </w:rPr>
      </w:pPr>
      <w:r w:rsidRPr="003952A7">
        <w:rPr>
          <w:sz w:val="24"/>
          <w:szCs w:val="24"/>
        </w:rPr>
        <w:t>Six months for customers with a gross monthly household income level exceeding 300% of the Federal poverty level.</w:t>
      </w:r>
    </w:p>
    <w:p w:rsidR="003952A7" w:rsidRPr="003952A7" w:rsidRDefault="003952A7" w:rsidP="00255710">
      <w:pPr>
        <w:ind w:left="2160" w:right="1440"/>
        <w:rPr>
          <w:sz w:val="24"/>
          <w:szCs w:val="24"/>
        </w:rPr>
      </w:pPr>
    </w:p>
    <w:p w:rsidR="003B5F02" w:rsidRPr="00AE6DB2" w:rsidRDefault="003B5F02" w:rsidP="00255710">
      <w:pPr>
        <w:ind w:left="2160" w:right="1440"/>
        <w:jc w:val="center"/>
        <w:rPr>
          <w:sz w:val="24"/>
          <w:szCs w:val="24"/>
        </w:rPr>
      </w:pPr>
      <w:r w:rsidRPr="00AE6DB2">
        <w:rPr>
          <w:sz w:val="24"/>
          <w:szCs w:val="24"/>
        </w:rPr>
        <w:t>*</w:t>
      </w:r>
      <w:r w:rsidRPr="00AE6DB2">
        <w:rPr>
          <w:sz w:val="24"/>
          <w:szCs w:val="24"/>
        </w:rPr>
        <w:tab/>
        <w:t>*</w:t>
      </w:r>
      <w:r w:rsidRPr="00AE6DB2">
        <w:rPr>
          <w:sz w:val="24"/>
          <w:szCs w:val="24"/>
        </w:rPr>
        <w:tab/>
        <w:t>*</w:t>
      </w:r>
    </w:p>
    <w:p w:rsidR="003B5F02" w:rsidRPr="00AE6DB2" w:rsidRDefault="003B5F02" w:rsidP="00255710">
      <w:pPr>
        <w:ind w:left="2160" w:right="1440"/>
        <w:rPr>
          <w:sz w:val="24"/>
          <w:szCs w:val="24"/>
        </w:rPr>
      </w:pPr>
    </w:p>
    <w:p w:rsidR="003B5F02" w:rsidRPr="00AE6DB2" w:rsidRDefault="00255710" w:rsidP="00255710">
      <w:pPr>
        <w:ind w:left="1440" w:right="1440"/>
        <w:rPr>
          <w:sz w:val="24"/>
          <w:szCs w:val="24"/>
        </w:rPr>
      </w:pPr>
      <w:r>
        <w:rPr>
          <w:sz w:val="24"/>
          <w:szCs w:val="24"/>
        </w:rPr>
        <w:t>(d)</w:t>
      </w:r>
      <w:r>
        <w:rPr>
          <w:sz w:val="24"/>
          <w:szCs w:val="24"/>
        </w:rPr>
        <w:tab/>
      </w:r>
      <w:r w:rsidR="003B5F02" w:rsidRPr="00AE6DB2">
        <w:rPr>
          <w:sz w:val="24"/>
          <w:szCs w:val="24"/>
        </w:rPr>
        <w:t>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3B5F02" w:rsidRPr="00AE6DB2" w:rsidRDefault="003B5F02" w:rsidP="00255710">
      <w:pPr>
        <w:ind w:left="1440" w:right="1440"/>
        <w:rPr>
          <w:sz w:val="24"/>
          <w:szCs w:val="24"/>
        </w:rPr>
      </w:pPr>
    </w:p>
    <w:p w:rsidR="003B5F02" w:rsidRDefault="003B5F02" w:rsidP="00255710">
      <w:pPr>
        <w:tabs>
          <w:tab w:val="left" w:pos="9360"/>
        </w:tabs>
        <w:ind w:left="1440"/>
        <w:rPr>
          <w:sz w:val="24"/>
          <w:szCs w:val="24"/>
        </w:rPr>
      </w:pPr>
      <w:r w:rsidRPr="00AE6DB2">
        <w:rPr>
          <w:sz w:val="24"/>
          <w:szCs w:val="24"/>
        </w:rPr>
        <w:t xml:space="preserve">66 Pa. C.S. § 1405(b) and (d).  </w:t>
      </w:r>
    </w:p>
    <w:p w:rsidR="003B5F02" w:rsidRDefault="003B5F02" w:rsidP="00255710">
      <w:pPr>
        <w:tabs>
          <w:tab w:val="left" w:pos="9360"/>
        </w:tabs>
        <w:spacing w:line="360" w:lineRule="auto"/>
        <w:rPr>
          <w:sz w:val="24"/>
          <w:szCs w:val="24"/>
        </w:rPr>
      </w:pPr>
    </w:p>
    <w:p w:rsidR="003B5F02" w:rsidRPr="00F3231B" w:rsidRDefault="003B5F02" w:rsidP="003B5F02">
      <w:pPr>
        <w:spacing w:line="360" w:lineRule="auto"/>
        <w:ind w:firstLine="1440"/>
        <w:rPr>
          <w:sz w:val="24"/>
          <w:szCs w:val="24"/>
        </w:rPr>
      </w:pPr>
      <w:r w:rsidRPr="00D022AD">
        <w:rPr>
          <w:sz w:val="24"/>
          <w:szCs w:val="24"/>
        </w:rPr>
        <w:t>As stated above, while the Commission has the authority to review a payment arrangement to ensure compliance with Chapter 14 of the Public Utility Code,</w:t>
      </w:r>
      <w:r w:rsidRPr="00F3231B">
        <w:rPr>
          <w:sz w:val="24"/>
          <w:szCs w:val="24"/>
        </w:rPr>
        <w:t xml:space="preserve"> it lacks the </w:t>
      </w:r>
      <w:r w:rsidRPr="00F3231B">
        <w:rPr>
          <w:sz w:val="24"/>
          <w:szCs w:val="24"/>
        </w:rPr>
        <w:lastRenderedPageBreak/>
        <w:t>authority to establish a second or subsequent payment arrangement, absent a change in a customer’s household income.  A “Change in Income” is defined in Section 1403 of the Public Utility Code as follows:</w:t>
      </w:r>
    </w:p>
    <w:p w:rsidR="003B5F02" w:rsidRPr="00F3231B" w:rsidRDefault="003B5F02" w:rsidP="003B5F02">
      <w:pPr>
        <w:rPr>
          <w:sz w:val="24"/>
          <w:szCs w:val="24"/>
        </w:rPr>
      </w:pPr>
    </w:p>
    <w:p w:rsidR="003B5F02" w:rsidRPr="00F3231B" w:rsidRDefault="003B5F02" w:rsidP="003B5F02">
      <w:pPr>
        <w:ind w:left="1440" w:right="1440"/>
        <w:rPr>
          <w:sz w:val="24"/>
          <w:szCs w:val="24"/>
        </w:rPr>
      </w:pPr>
      <w:r w:rsidRPr="00F3231B">
        <w:rPr>
          <w:sz w:val="24"/>
          <w:szCs w:val="24"/>
        </w:rPr>
        <w:t>A decrease in household income of 20% or more if the customer’s household income level exceeds 200% of the federal poverty level or a decrease in household income of 10% or more if the customer’s household income level is 200% or less of the federal poverty level.</w:t>
      </w:r>
    </w:p>
    <w:p w:rsidR="003B5F02" w:rsidRPr="00F3231B" w:rsidRDefault="003B5F02" w:rsidP="003B5F02">
      <w:pPr>
        <w:spacing w:line="360" w:lineRule="auto"/>
        <w:ind w:left="1440" w:right="1440"/>
        <w:rPr>
          <w:sz w:val="24"/>
          <w:szCs w:val="24"/>
        </w:rPr>
      </w:pPr>
    </w:p>
    <w:p w:rsidR="003B5F02" w:rsidRDefault="003B5F02" w:rsidP="003B5F02">
      <w:pPr>
        <w:spacing w:line="360" w:lineRule="auto"/>
        <w:rPr>
          <w:sz w:val="24"/>
          <w:szCs w:val="24"/>
        </w:rPr>
      </w:pPr>
      <w:r w:rsidRPr="00F3231B">
        <w:rPr>
          <w:sz w:val="24"/>
          <w:szCs w:val="24"/>
        </w:rPr>
        <w:t xml:space="preserve">66 Pa. C.S. § 1403 (Definition of “Change in Income”).  “Household Income” is defined in Section 1403 as </w:t>
      </w:r>
      <w:r w:rsidRPr="000A4574">
        <w:rPr>
          <w:sz w:val="24"/>
          <w:szCs w:val="24"/>
        </w:rPr>
        <w:t>“[t]he combined gross income of all adults in a residential household who benefit from the public utility service.”</w:t>
      </w:r>
      <w:r w:rsidRPr="00F3231B">
        <w:rPr>
          <w:sz w:val="24"/>
          <w:szCs w:val="24"/>
        </w:rPr>
        <w:t xml:space="preserve"> 66 Pa. C.S. § 1403 (Definition of “Household Income”).</w:t>
      </w:r>
    </w:p>
    <w:p w:rsidR="003B5F02" w:rsidRDefault="003B5F02" w:rsidP="003B5F02">
      <w:pPr>
        <w:spacing w:line="360" w:lineRule="auto"/>
        <w:ind w:firstLine="1440"/>
        <w:rPr>
          <w:sz w:val="24"/>
          <w:szCs w:val="24"/>
        </w:rPr>
      </w:pPr>
    </w:p>
    <w:p w:rsidR="00AC0378" w:rsidRPr="00885A23" w:rsidRDefault="00AC0378" w:rsidP="00AC0378">
      <w:pPr>
        <w:spacing w:line="360" w:lineRule="auto"/>
        <w:ind w:firstLine="1440"/>
        <w:rPr>
          <w:sz w:val="24"/>
          <w:szCs w:val="24"/>
        </w:rPr>
      </w:pPr>
      <w:r w:rsidRPr="00885A23">
        <w:rPr>
          <w:sz w:val="24"/>
          <w:szCs w:val="24"/>
        </w:rPr>
        <w:t xml:space="preserve">Complainant testified that he resides at the Service Address </w:t>
      </w:r>
      <w:r w:rsidR="00CF64F1">
        <w:rPr>
          <w:sz w:val="24"/>
          <w:szCs w:val="24"/>
        </w:rPr>
        <w:t>alone</w:t>
      </w:r>
      <w:r w:rsidRPr="00885A23">
        <w:rPr>
          <w:sz w:val="24"/>
          <w:szCs w:val="24"/>
        </w:rPr>
        <w:t xml:space="preserve">.  </w:t>
      </w:r>
      <w:r w:rsidR="006266F7">
        <w:rPr>
          <w:sz w:val="24"/>
          <w:szCs w:val="24"/>
        </w:rPr>
        <w:t xml:space="preserve">Mr. </w:t>
      </w:r>
      <w:r w:rsidR="00B75337">
        <w:rPr>
          <w:sz w:val="24"/>
          <w:szCs w:val="24"/>
        </w:rPr>
        <w:t>DeNun</w:t>
      </w:r>
      <w:r w:rsidR="003B5F02">
        <w:rPr>
          <w:sz w:val="24"/>
          <w:szCs w:val="24"/>
        </w:rPr>
        <w:t>zio</w:t>
      </w:r>
      <w:r w:rsidRPr="00885A23">
        <w:rPr>
          <w:sz w:val="24"/>
          <w:szCs w:val="24"/>
        </w:rPr>
        <w:t xml:space="preserve"> is currently </w:t>
      </w:r>
      <w:r w:rsidR="00CF64F1">
        <w:rPr>
          <w:sz w:val="24"/>
          <w:szCs w:val="24"/>
        </w:rPr>
        <w:t>un</w:t>
      </w:r>
      <w:r w:rsidRPr="00885A23">
        <w:rPr>
          <w:sz w:val="24"/>
          <w:szCs w:val="24"/>
        </w:rPr>
        <w:t xml:space="preserve">employed and </w:t>
      </w:r>
      <w:r w:rsidR="00CF64F1">
        <w:rPr>
          <w:sz w:val="24"/>
          <w:szCs w:val="24"/>
        </w:rPr>
        <w:t>his only means of fina</w:t>
      </w:r>
      <w:r w:rsidR="00B75337">
        <w:rPr>
          <w:sz w:val="24"/>
          <w:szCs w:val="24"/>
        </w:rPr>
        <w:t>n</w:t>
      </w:r>
      <w:r w:rsidR="00CF64F1">
        <w:rPr>
          <w:sz w:val="24"/>
          <w:szCs w:val="24"/>
        </w:rPr>
        <w:t xml:space="preserve">cial </w:t>
      </w:r>
      <w:r w:rsidR="00B75337">
        <w:rPr>
          <w:sz w:val="24"/>
          <w:szCs w:val="24"/>
        </w:rPr>
        <w:t>support</w:t>
      </w:r>
      <w:r w:rsidR="00CF64F1">
        <w:rPr>
          <w:sz w:val="24"/>
          <w:szCs w:val="24"/>
        </w:rPr>
        <w:t xml:space="preserve"> is in the form of SSD monthly </w:t>
      </w:r>
      <w:r w:rsidR="00B75337">
        <w:rPr>
          <w:sz w:val="24"/>
          <w:szCs w:val="24"/>
        </w:rPr>
        <w:t>allotment</w:t>
      </w:r>
      <w:r w:rsidR="00CF64F1">
        <w:rPr>
          <w:sz w:val="24"/>
          <w:szCs w:val="24"/>
        </w:rPr>
        <w:t xml:space="preserve"> of $1,6</w:t>
      </w:r>
      <w:r w:rsidR="0052683B">
        <w:rPr>
          <w:sz w:val="24"/>
          <w:szCs w:val="24"/>
        </w:rPr>
        <w:t>35</w:t>
      </w:r>
      <w:r w:rsidR="00B75337">
        <w:rPr>
          <w:sz w:val="24"/>
          <w:szCs w:val="24"/>
        </w:rPr>
        <w:t>.00.</w:t>
      </w:r>
      <w:r w:rsidRPr="00885A23">
        <w:rPr>
          <w:sz w:val="24"/>
          <w:szCs w:val="24"/>
        </w:rPr>
        <w:t xml:space="preserve">  </w:t>
      </w:r>
      <w:r w:rsidR="006266F7">
        <w:rPr>
          <w:sz w:val="24"/>
          <w:szCs w:val="24"/>
        </w:rPr>
        <w:t xml:space="preserve">Mr. </w:t>
      </w:r>
      <w:r w:rsidR="00B75337">
        <w:rPr>
          <w:sz w:val="24"/>
          <w:szCs w:val="24"/>
        </w:rPr>
        <w:t>DeNun</w:t>
      </w:r>
      <w:r w:rsidR="003B5F02">
        <w:rPr>
          <w:sz w:val="24"/>
          <w:szCs w:val="24"/>
        </w:rPr>
        <w:t>zio</w:t>
      </w:r>
      <w:r w:rsidRPr="00885A23">
        <w:rPr>
          <w:sz w:val="24"/>
          <w:szCs w:val="24"/>
        </w:rPr>
        <w:t xml:space="preserve"> did not testify as to whether he has experienced a reduction in household income within the past year.</w:t>
      </w:r>
    </w:p>
    <w:p w:rsidR="00AC0378" w:rsidRPr="00885A23" w:rsidRDefault="00AC0378" w:rsidP="00AC0378">
      <w:pPr>
        <w:spacing w:line="360" w:lineRule="auto"/>
        <w:rPr>
          <w:sz w:val="24"/>
          <w:szCs w:val="24"/>
        </w:rPr>
      </w:pPr>
      <w:r>
        <w:rPr>
          <w:sz w:val="24"/>
          <w:szCs w:val="24"/>
        </w:rPr>
        <w:tab/>
      </w:r>
      <w:r>
        <w:rPr>
          <w:sz w:val="24"/>
          <w:szCs w:val="24"/>
        </w:rPr>
        <w:tab/>
      </w:r>
    </w:p>
    <w:p w:rsidR="00AC0378" w:rsidRPr="00885A23" w:rsidRDefault="00AC0378" w:rsidP="00AC0378">
      <w:pPr>
        <w:spacing w:line="360" w:lineRule="auto"/>
        <w:ind w:firstLine="1440"/>
        <w:rPr>
          <w:sz w:val="24"/>
          <w:szCs w:val="24"/>
        </w:rPr>
      </w:pPr>
      <w:r w:rsidRPr="00885A23">
        <w:rPr>
          <w:sz w:val="24"/>
          <w:szCs w:val="24"/>
        </w:rPr>
        <w:t xml:space="preserve">Respondent’s witness and </w:t>
      </w:r>
      <w:r w:rsidR="006266F7">
        <w:rPr>
          <w:sz w:val="24"/>
          <w:szCs w:val="24"/>
        </w:rPr>
        <w:t xml:space="preserve">Mr. </w:t>
      </w:r>
      <w:r w:rsidR="00B75337">
        <w:rPr>
          <w:sz w:val="24"/>
          <w:szCs w:val="24"/>
        </w:rPr>
        <w:t>DeNun</w:t>
      </w:r>
      <w:r w:rsidR="003B5F02">
        <w:rPr>
          <w:sz w:val="24"/>
          <w:szCs w:val="24"/>
        </w:rPr>
        <w:t>zio</w:t>
      </w:r>
      <w:r w:rsidRPr="00885A23">
        <w:rPr>
          <w:sz w:val="24"/>
          <w:szCs w:val="24"/>
        </w:rPr>
        <w:t xml:space="preserve"> both testified that Complainant was </w:t>
      </w:r>
      <w:r w:rsidR="00B75337">
        <w:rPr>
          <w:sz w:val="24"/>
          <w:szCs w:val="24"/>
        </w:rPr>
        <w:t xml:space="preserve">not </w:t>
      </w:r>
      <w:r w:rsidRPr="00885A23">
        <w:rPr>
          <w:sz w:val="24"/>
          <w:szCs w:val="24"/>
        </w:rPr>
        <w:t xml:space="preserve">a participant of Respondent’s CAP Program due to </w:t>
      </w:r>
      <w:r w:rsidR="00FA09D6">
        <w:rPr>
          <w:sz w:val="24"/>
          <w:szCs w:val="24"/>
        </w:rPr>
        <w:t>his</w:t>
      </w:r>
      <w:r w:rsidRPr="00885A23">
        <w:rPr>
          <w:sz w:val="24"/>
          <w:szCs w:val="24"/>
        </w:rPr>
        <w:t xml:space="preserve"> income level has exceeded the parameters of the program. </w:t>
      </w:r>
    </w:p>
    <w:p w:rsidR="00AC0378" w:rsidRPr="00885A23" w:rsidRDefault="00AC0378" w:rsidP="00AC0378">
      <w:pPr>
        <w:spacing w:line="360" w:lineRule="auto"/>
        <w:ind w:firstLine="1440"/>
        <w:rPr>
          <w:sz w:val="24"/>
          <w:szCs w:val="24"/>
        </w:rPr>
      </w:pPr>
    </w:p>
    <w:p w:rsidR="007B0503" w:rsidRDefault="00AC0378" w:rsidP="00AB5378">
      <w:pPr>
        <w:spacing w:line="360" w:lineRule="auto"/>
        <w:ind w:firstLine="1440"/>
        <w:rPr>
          <w:sz w:val="24"/>
          <w:szCs w:val="24"/>
        </w:rPr>
      </w:pPr>
      <w:r w:rsidRPr="00885A23">
        <w:rPr>
          <w:sz w:val="24"/>
          <w:szCs w:val="24"/>
        </w:rPr>
        <w:t xml:space="preserve">A review of the record has indicated that Complainant has, what can be described as a </w:t>
      </w:r>
      <w:r w:rsidR="003B5F02">
        <w:rPr>
          <w:sz w:val="24"/>
          <w:szCs w:val="24"/>
        </w:rPr>
        <w:t>unique</w:t>
      </w:r>
      <w:r w:rsidRPr="00885A23">
        <w:rPr>
          <w:sz w:val="24"/>
          <w:szCs w:val="24"/>
        </w:rPr>
        <w:t xml:space="preserve"> payment history with Respondent.  </w:t>
      </w:r>
      <w:r w:rsidR="003B5F02">
        <w:rPr>
          <w:sz w:val="24"/>
          <w:szCs w:val="24"/>
        </w:rPr>
        <w:t>B</w:t>
      </w:r>
      <w:r w:rsidR="00B75337">
        <w:rPr>
          <w:sz w:val="24"/>
          <w:szCs w:val="24"/>
        </w:rPr>
        <w:t>y his own testimony and by Respondent’s Exhibit 1</w:t>
      </w:r>
      <w:r w:rsidR="005D438C">
        <w:rPr>
          <w:sz w:val="24"/>
          <w:szCs w:val="24"/>
        </w:rPr>
        <w:t xml:space="preserve">, Complainant </w:t>
      </w:r>
      <w:r w:rsidR="00B75337">
        <w:rPr>
          <w:sz w:val="24"/>
          <w:szCs w:val="24"/>
        </w:rPr>
        <w:t xml:space="preserve">makes a monthly payment toward his electric bill. </w:t>
      </w:r>
      <w:r w:rsidR="001E7EF6">
        <w:rPr>
          <w:sz w:val="24"/>
          <w:szCs w:val="24"/>
        </w:rPr>
        <w:t>While the dollar amo</w:t>
      </w:r>
      <w:r w:rsidR="00A6506B">
        <w:rPr>
          <w:sz w:val="24"/>
          <w:szCs w:val="24"/>
        </w:rPr>
        <w:t>u</w:t>
      </w:r>
      <w:r w:rsidR="001E7EF6">
        <w:rPr>
          <w:sz w:val="24"/>
          <w:szCs w:val="24"/>
        </w:rPr>
        <w:t xml:space="preserve">nt may vary from month to month, Complainant is consistent in paying </w:t>
      </w:r>
      <w:r w:rsidR="00A6506B" w:rsidRPr="00A6506B">
        <w:rPr>
          <w:i/>
          <w:sz w:val="24"/>
          <w:szCs w:val="24"/>
        </w:rPr>
        <w:t>something</w:t>
      </w:r>
      <w:r w:rsidR="00A6506B">
        <w:rPr>
          <w:sz w:val="24"/>
          <w:szCs w:val="24"/>
        </w:rPr>
        <w:t xml:space="preserve"> </w:t>
      </w:r>
      <w:r w:rsidR="001E7EF6">
        <w:rPr>
          <w:sz w:val="24"/>
          <w:szCs w:val="24"/>
        </w:rPr>
        <w:t xml:space="preserve">towards his bill.  </w:t>
      </w:r>
      <w:r w:rsidR="003B5F02">
        <w:rPr>
          <w:sz w:val="24"/>
          <w:szCs w:val="24"/>
        </w:rPr>
        <w:t>However,</w:t>
      </w:r>
      <w:r w:rsidR="001E7EF6">
        <w:rPr>
          <w:sz w:val="24"/>
          <w:szCs w:val="24"/>
        </w:rPr>
        <w:t xml:space="preserve"> by Complainant’s own testimony</w:t>
      </w:r>
      <w:r w:rsidR="00A6506B">
        <w:rPr>
          <w:sz w:val="24"/>
          <w:szCs w:val="24"/>
        </w:rPr>
        <w:t>, R</w:t>
      </w:r>
      <w:r w:rsidR="001E7EF6">
        <w:rPr>
          <w:sz w:val="24"/>
          <w:szCs w:val="24"/>
        </w:rPr>
        <w:t>espondent’s wit</w:t>
      </w:r>
      <w:r w:rsidR="00A6506B">
        <w:rPr>
          <w:sz w:val="24"/>
          <w:szCs w:val="24"/>
        </w:rPr>
        <w:t>n</w:t>
      </w:r>
      <w:r w:rsidR="001E7EF6">
        <w:rPr>
          <w:sz w:val="24"/>
          <w:szCs w:val="24"/>
        </w:rPr>
        <w:t>ess testimony and by examination of Respondent’s Exhibit 1 Complaina</w:t>
      </w:r>
      <w:r w:rsidR="00A6506B">
        <w:rPr>
          <w:sz w:val="24"/>
          <w:szCs w:val="24"/>
        </w:rPr>
        <w:t>n</w:t>
      </w:r>
      <w:r w:rsidR="001E7EF6">
        <w:rPr>
          <w:sz w:val="24"/>
          <w:szCs w:val="24"/>
        </w:rPr>
        <w:t>t does not pay his total monthly bill</w:t>
      </w:r>
      <w:r w:rsidR="005D438C">
        <w:rPr>
          <w:sz w:val="24"/>
          <w:szCs w:val="24"/>
        </w:rPr>
        <w:t xml:space="preserve"> in some months</w:t>
      </w:r>
      <w:r w:rsidR="001E7EF6">
        <w:rPr>
          <w:sz w:val="24"/>
          <w:szCs w:val="24"/>
        </w:rPr>
        <w:t>.</w:t>
      </w:r>
      <w:r w:rsidR="005D438C">
        <w:rPr>
          <w:sz w:val="24"/>
          <w:szCs w:val="24"/>
        </w:rPr>
        <w:t xml:space="preserve"> </w:t>
      </w:r>
      <w:r w:rsidR="00A20789">
        <w:rPr>
          <w:sz w:val="24"/>
          <w:szCs w:val="24"/>
        </w:rPr>
        <w:t xml:space="preserve"> </w:t>
      </w:r>
      <w:r w:rsidR="005D438C">
        <w:rPr>
          <w:sz w:val="24"/>
          <w:szCs w:val="24"/>
        </w:rPr>
        <w:t>For example</w:t>
      </w:r>
      <w:r w:rsidR="00845D35">
        <w:rPr>
          <w:sz w:val="24"/>
          <w:szCs w:val="24"/>
        </w:rPr>
        <w:t>,</w:t>
      </w:r>
      <w:r w:rsidR="00095503">
        <w:rPr>
          <w:sz w:val="24"/>
          <w:szCs w:val="24"/>
        </w:rPr>
        <w:t xml:space="preserve"> in August 2009, Mr. DeNun</w:t>
      </w:r>
      <w:r w:rsidR="00204DF3">
        <w:rPr>
          <w:sz w:val="24"/>
          <w:szCs w:val="24"/>
        </w:rPr>
        <w:t>zio</w:t>
      </w:r>
      <w:r w:rsidR="00095503">
        <w:rPr>
          <w:sz w:val="24"/>
          <w:szCs w:val="24"/>
        </w:rPr>
        <w:t xml:space="preserve"> paid $150.00 on his $550.00 electric bill, leaving a forward balance of $</w:t>
      </w:r>
      <w:r w:rsidR="0039716F">
        <w:rPr>
          <w:sz w:val="24"/>
          <w:szCs w:val="24"/>
        </w:rPr>
        <w:t>3</w:t>
      </w:r>
      <w:r w:rsidR="0081305F">
        <w:rPr>
          <w:sz w:val="24"/>
          <w:szCs w:val="24"/>
        </w:rPr>
        <w:t>00.00.</w:t>
      </w:r>
      <w:r w:rsidR="0039716F">
        <w:rPr>
          <w:sz w:val="24"/>
          <w:szCs w:val="24"/>
        </w:rPr>
        <w:t xml:space="preserve">  I</w:t>
      </w:r>
      <w:r w:rsidR="00095503">
        <w:rPr>
          <w:sz w:val="24"/>
          <w:szCs w:val="24"/>
        </w:rPr>
        <w:t>n S</w:t>
      </w:r>
      <w:r w:rsidR="0039716F">
        <w:rPr>
          <w:sz w:val="24"/>
          <w:szCs w:val="24"/>
        </w:rPr>
        <w:t>e</w:t>
      </w:r>
      <w:r w:rsidR="00095503">
        <w:rPr>
          <w:sz w:val="24"/>
          <w:szCs w:val="24"/>
        </w:rPr>
        <w:t xml:space="preserve">ptember of 2009, </w:t>
      </w:r>
      <w:r w:rsidR="0039716F">
        <w:rPr>
          <w:sz w:val="24"/>
          <w:szCs w:val="24"/>
        </w:rPr>
        <w:t>Complainant paid $150.00 on a $650.00 monthly electric bill, thus</w:t>
      </w:r>
      <w:r w:rsidR="007B0503">
        <w:rPr>
          <w:sz w:val="24"/>
          <w:szCs w:val="24"/>
        </w:rPr>
        <w:t xml:space="preserve"> over time, while Complain</w:t>
      </w:r>
      <w:r w:rsidR="003B5F02">
        <w:rPr>
          <w:sz w:val="24"/>
          <w:szCs w:val="24"/>
        </w:rPr>
        <w:t>an</w:t>
      </w:r>
      <w:r w:rsidR="007B0503">
        <w:rPr>
          <w:sz w:val="24"/>
          <w:szCs w:val="24"/>
        </w:rPr>
        <w:t xml:space="preserve">t </w:t>
      </w:r>
      <w:r w:rsidR="003B5F02">
        <w:rPr>
          <w:sz w:val="24"/>
          <w:szCs w:val="24"/>
        </w:rPr>
        <w:t>makes monthly payments</w:t>
      </w:r>
      <w:r w:rsidR="007B0503">
        <w:rPr>
          <w:sz w:val="24"/>
          <w:szCs w:val="24"/>
        </w:rPr>
        <w:t xml:space="preserve"> </w:t>
      </w:r>
      <w:r w:rsidR="0052683B">
        <w:rPr>
          <w:sz w:val="24"/>
          <w:szCs w:val="24"/>
        </w:rPr>
        <w:t xml:space="preserve">for </w:t>
      </w:r>
      <w:r w:rsidR="0052683B">
        <w:rPr>
          <w:sz w:val="24"/>
          <w:szCs w:val="24"/>
        </w:rPr>
        <w:lastRenderedPageBreak/>
        <w:t>his electric service</w:t>
      </w:r>
      <w:r w:rsidR="007B0503">
        <w:rPr>
          <w:sz w:val="24"/>
          <w:szCs w:val="24"/>
        </w:rPr>
        <w:t xml:space="preserve">, </w:t>
      </w:r>
      <w:r w:rsidR="0052683B">
        <w:rPr>
          <w:sz w:val="24"/>
          <w:szCs w:val="24"/>
        </w:rPr>
        <w:t>when</w:t>
      </w:r>
      <w:r w:rsidR="007B0503">
        <w:rPr>
          <w:sz w:val="24"/>
          <w:szCs w:val="24"/>
        </w:rPr>
        <w:t xml:space="preserve"> he does not pay </w:t>
      </w:r>
      <w:r w:rsidR="0052683B">
        <w:rPr>
          <w:sz w:val="24"/>
          <w:szCs w:val="24"/>
        </w:rPr>
        <w:t>the</w:t>
      </w:r>
      <w:r w:rsidR="007B0503">
        <w:rPr>
          <w:sz w:val="24"/>
          <w:szCs w:val="24"/>
        </w:rPr>
        <w:t xml:space="preserve"> full balance, his arrearage increases.  </w:t>
      </w:r>
      <w:r w:rsidR="006B0806">
        <w:rPr>
          <w:sz w:val="24"/>
          <w:szCs w:val="24"/>
        </w:rPr>
        <w:t xml:space="preserve">PPL Exhibit 1.  </w:t>
      </w:r>
      <w:r w:rsidR="007B0503">
        <w:rPr>
          <w:sz w:val="24"/>
          <w:szCs w:val="24"/>
        </w:rPr>
        <w:t>As of the date of the hearing, Complainant arrearage was $1,628.00.</w:t>
      </w:r>
    </w:p>
    <w:p w:rsidR="006B0806" w:rsidRDefault="006B0806" w:rsidP="00AB5378">
      <w:pPr>
        <w:spacing w:line="360" w:lineRule="auto"/>
        <w:ind w:firstLine="1440"/>
        <w:rPr>
          <w:sz w:val="24"/>
          <w:szCs w:val="24"/>
        </w:rPr>
      </w:pPr>
    </w:p>
    <w:p w:rsidR="007C02B2" w:rsidRDefault="00FE7313" w:rsidP="00AC0378">
      <w:pPr>
        <w:spacing w:line="360" w:lineRule="auto"/>
        <w:ind w:firstLine="1440"/>
        <w:rPr>
          <w:sz w:val="24"/>
          <w:szCs w:val="24"/>
        </w:rPr>
      </w:pPr>
      <w:r>
        <w:rPr>
          <w:sz w:val="24"/>
          <w:szCs w:val="24"/>
        </w:rPr>
        <w:t>As was previously</w:t>
      </w:r>
      <w:r w:rsidR="006425C1">
        <w:rPr>
          <w:sz w:val="24"/>
          <w:szCs w:val="24"/>
        </w:rPr>
        <w:t xml:space="preserve"> mentioned</w:t>
      </w:r>
      <w:r>
        <w:rPr>
          <w:sz w:val="24"/>
          <w:szCs w:val="24"/>
        </w:rPr>
        <w:t>, p</w:t>
      </w:r>
      <w:r w:rsidR="00191873">
        <w:rPr>
          <w:sz w:val="24"/>
          <w:szCs w:val="24"/>
        </w:rPr>
        <w:t xml:space="preserve">rior to the commencement of the </w:t>
      </w:r>
      <w:r w:rsidR="00191873" w:rsidRPr="00885A23">
        <w:rPr>
          <w:sz w:val="24"/>
          <w:szCs w:val="24"/>
        </w:rPr>
        <w:t xml:space="preserve">scheduled </w:t>
      </w:r>
      <w:r w:rsidR="00191873">
        <w:rPr>
          <w:sz w:val="24"/>
          <w:szCs w:val="24"/>
        </w:rPr>
        <w:t xml:space="preserve">telephonic hearing </w:t>
      </w:r>
      <w:r w:rsidR="00191873" w:rsidRPr="00885A23">
        <w:rPr>
          <w:sz w:val="24"/>
          <w:szCs w:val="24"/>
        </w:rPr>
        <w:t xml:space="preserve">on Monday, </w:t>
      </w:r>
      <w:r w:rsidR="00191873">
        <w:rPr>
          <w:sz w:val="24"/>
          <w:szCs w:val="24"/>
        </w:rPr>
        <w:t>May 17</w:t>
      </w:r>
      <w:r w:rsidR="00191873" w:rsidRPr="00885A23">
        <w:rPr>
          <w:sz w:val="24"/>
          <w:szCs w:val="24"/>
        </w:rPr>
        <w:t>, 2010</w:t>
      </w:r>
      <w:r w:rsidR="00191873">
        <w:rPr>
          <w:sz w:val="24"/>
          <w:szCs w:val="24"/>
        </w:rPr>
        <w:t xml:space="preserve">, I allowed the parties an opportunity to discuss settlement of the matter.  It was at that time Mr. DeNunzio informed Respondent’s counsel, Andrew Ralston Jr., about a possible high bill problem or </w:t>
      </w:r>
      <w:r w:rsidR="00C024AB">
        <w:rPr>
          <w:sz w:val="24"/>
          <w:szCs w:val="24"/>
        </w:rPr>
        <w:t xml:space="preserve">a </w:t>
      </w:r>
      <w:r w:rsidR="00191873">
        <w:rPr>
          <w:sz w:val="24"/>
          <w:szCs w:val="24"/>
        </w:rPr>
        <w:t xml:space="preserve">foreign </w:t>
      </w:r>
      <w:r w:rsidR="00CB2D9D">
        <w:rPr>
          <w:sz w:val="24"/>
          <w:szCs w:val="24"/>
        </w:rPr>
        <w:t>load</w:t>
      </w:r>
      <w:r w:rsidR="00191873">
        <w:rPr>
          <w:sz w:val="24"/>
          <w:szCs w:val="24"/>
        </w:rPr>
        <w:t xml:space="preserve"> issue.  In response to Mr. De</w:t>
      </w:r>
      <w:r w:rsidR="00805698">
        <w:rPr>
          <w:sz w:val="24"/>
          <w:szCs w:val="24"/>
        </w:rPr>
        <w:t>N</w:t>
      </w:r>
      <w:r w:rsidR="00191873">
        <w:rPr>
          <w:sz w:val="24"/>
          <w:szCs w:val="24"/>
        </w:rPr>
        <w:t xml:space="preserve">unzio’s statements PPL </w:t>
      </w:r>
      <w:r w:rsidR="00C024AB">
        <w:rPr>
          <w:sz w:val="24"/>
          <w:szCs w:val="24"/>
        </w:rPr>
        <w:t xml:space="preserve">instituted an investigation into the possibility of a foreign load issue.  </w:t>
      </w:r>
      <w:r w:rsidR="005B33A1">
        <w:rPr>
          <w:sz w:val="24"/>
          <w:szCs w:val="24"/>
        </w:rPr>
        <w:t xml:space="preserve">In accordance to Commission statutes and regulations, </w:t>
      </w:r>
      <w:r w:rsidR="00C024AB">
        <w:rPr>
          <w:sz w:val="24"/>
          <w:szCs w:val="24"/>
        </w:rPr>
        <w:t xml:space="preserve">PPL </w:t>
      </w:r>
      <w:r w:rsidR="00F004D4">
        <w:rPr>
          <w:sz w:val="24"/>
          <w:szCs w:val="24"/>
        </w:rPr>
        <w:t>investigated the Service A</w:t>
      </w:r>
      <w:r w:rsidR="00191873">
        <w:rPr>
          <w:sz w:val="24"/>
          <w:szCs w:val="24"/>
        </w:rPr>
        <w:t>ddress</w:t>
      </w:r>
      <w:r>
        <w:rPr>
          <w:sz w:val="24"/>
          <w:szCs w:val="24"/>
        </w:rPr>
        <w:t xml:space="preserve"> and found no evidence of a foreign </w:t>
      </w:r>
      <w:r w:rsidR="00CB2D9D">
        <w:rPr>
          <w:sz w:val="24"/>
          <w:szCs w:val="24"/>
        </w:rPr>
        <w:t>load</w:t>
      </w:r>
      <w:r>
        <w:rPr>
          <w:sz w:val="24"/>
          <w:szCs w:val="24"/>
        </w:rPr>
        <w:t xml:space="preserve"> issue.  PPL officials tested the Complainant’s meter and found that it tested accurately</w:t>
      </w:r>
      <w:r w:rsidR="00805698">
        <w:rPr>
          <w:sz w:val="24"/>
          <w:szCs w:val="24"/>
        </w:rPr>
        <w:t xml:space="preserve"> (100.21%)</w:t>
      </w:r>
      <w:r>
        <w:rPr>
          <w:sz w:val="24"/>
          <w:szCs w:val="24"/>
        </w:rPr>
        <w:t>.</w:t>
      </w:r>
      <w:r w:rsidR="007C02B2">
        <w:rPr>
          <w:sz w:val="24"/>
          <w:szCs w:val="24"/>
        </w:rPr>
        <w:t xml:space="preserve">  It should be noted that Complainant heats his house by electricity</w:t>
      </w:r>
      <w:r w:rsidR="00321013">
        <w:rPr>
          <w:sz w:val="24"/>
          <w:szCs w:val="24"/>
        </w:rPr>
        <w:t xml:space="preserve"> and </w:t>
      </w:r>
      <w:r w:rsidR="007C02B2">
        <w:rPr>
          <w:sz w:val="24"/>
          <w:szCs w:val="24"/>
        </w:rPr>
        <w:t>has approximately 52 feet of electric base board heating in his home.</w:t>
      </w:r>
      <w:r w:rsidR="00321013">
        <w:rPr>
          <w:rStyle w:val="FootnoteReference"/>
          <w:sz w:val="24"/>
          <w:szCs w:val="24"/>
        </w:rPr>
        <w:footnoteReference w:id="3"/>
      </w:r>
      <w:r w:rsidR="007C02B2">
        <w:rPr>
          <w:sz w:val="24"/>
          <w:szCs w:val="24"/>
        </w:rPr>
        <w:t xml:space="preserve">  Respondent’s witness testified credibly that Complainant’s electrical usage increases in the winter months (November through March) and decreases in the spring, summer and early fall months (April through October).  PPL Exhibit 1.  Respondent alleged that the electricity consumption assessed against Complainant is accurate and </w:t>
      </w:r>
      <w:r w:rsidR="00321013">
        <w:rPr>
          <w:sz w:val="24"/>
          <w:szCs w:val="24"/>
        </w:rPr>
        <w:t>R</w:t>
      </w:r>
      <w:r w:rsidR="007C02B2">
        <w:rPr>
          <w:sz w:val="24"/>
          <w:szCs w:val="24"/>
        </w:rPr>
        <w:t>espondent appropriately issued the bills as listed in PPL Exhibit 1.</w:t>
      </w:r>
      <w:r>
        <w:rPr>
          <w:sz w:val="24"/>
          <w:szCs w:val="24"/>
        </w:rPr>
        <w:t xml:space="preserve">  </w:t>
      </w:r>
    </w:p>
    <w:p w:rsidR="007C02B2" w:rsidRDefault="007C02B2" w:rsidP="00AC0378">
      <w:pPr>
        <w:spacing w:line="360" w:lineRule="auto"/>
        <w:ind w:firstLine="1440"/>
        <w:rPr>
          <w:sz w:val="24"/>
          <w:szCs w:val="24"/>
        </w:rPr>
      </w:pPr>
    </w:p>
    <w:p w:rsidR="00E77C95" w:rsidRDefault="00E77C95" w:rsidP="00AC0378">
      <w:pPr>
        <w:spacing w:line="360" w:lineRule="auto"/>
        <w:ind w:firstLine="1440"/>
        <w:rPr>
          <w:sz w:val="24"/>
          <w:szCs w:val="24"/>
        </w:rPr>
      </w:pPr>
      <w:r>
        <w:rPr>
          <w:sz w:val="24"/>
          <w:szCs w:val="24"/>
        </w:rPr>
        <w:t xml:space="preserve">When a utility consumer complains about an unusually high bill during a billing period, the consumer must establish a </w:t>
      </w:r>
      <w:r w:rsidRPr="002963D4">
        <w:rPr>
          <w:i/>
          <w:sz w:val="24"/>
          <w:szCs w:val="24"/>
        </w:rPr>
        <w:t>prima facie</w:t>
      </w:r>
      <w:r>
        <w:rPr>
          <w:sz w:val="24"/>
          <w:szCs w:val="24"/>
        </w:rPr>
        <w:t xml:space="preserve"> case that no other factors are present which would explain the high bills.  Those factors could include: no change in the number of occupants, low potential for energy usage, prior billing history lacked any previous billing abnormalities, or any other relevant fact or circumstance which shows the bill in dispute is out of the ordinary for this consumer.  Once the </w:t>
      </w:r>
      <w:r w:rsidRPr="002963D4">
        <w:rPr>
          <w:i/>
          <w:sz w:val="24"/>
          <w:szCs w:val="24"/>
        </w:rPr>
        <w:t>prima facie</w:t>
      </w:r>
      <w:r>
        <w:rPr>
          <w:sz w:val="24"/>
          <w:szCs w:val="24"/>
        </w:rPr>
        <w:t xml:space="preserve"> evidence is presented, the burden of rebutting the case shifts to the utility company.  If the utility company fails to rebut the consumer’s evidence, then the consumer is entitled to prevail.</w:t>
      </w:r>
      <w:r>
        <w:rPr>
          <w:rStyle w:val="FootnoteReference"/>
          <w:sz w:val="24"/>
          <w:szCs w:val="24"/>
        </w:rPr>
        <w:footnoteReference w:id="4"/>
      </w:r>
    </w:p>
    <w:p w:rsidR="007C02B2" w:rsidRDefault="007C02B2" w:rsidP="00AC0378">
      <w:pPr>
        <w:spacing w:line="360" w:lineRule="auto"/>
        <w:ind w:firstLine="1440"/>
        <w:rPr>
          <w:sz w:val="24"/>
          <w:szCs w:val="24"/>
        </w:rPr>
      </w:pPr>
    </w:p>
    <w:p w:rsidR="00805698" w:rsidRDefault="00E77C95" w:rsidP="00AC0378">
      <w:pPr>
        <w:spacing w:line="360" w:lineRule="auto"/>
        <w:ind w:firstLine="1440"/>
        <w:rPr>
          <w:sz w:val="24"/>
          <w:szCs w:val="24"/>
        </w:rPr>
      </w:pPr>
      <w:r>
        <w:rPr>
          <w:sz w:val="24"/>
          <w:szCs w:val="24"/>
        </w:rPr>
        <w:lastRenderedPageBreak/>
        <w:t xml:space="preserve">In this proceeding, Complainant failed to show that the usage noted in PPL Exhibit 1 was incorrectly measured by Respondent.  The consumption noted by Respondent’s equipment is consistent with the amount of electricity that would be used </w:t>
      </w:r>
      <w:r w:rsidR="00E92012">
        <w:rPr>
          <w:sz w:val="24"/>
          <w:szCs w:val="24"/>
        </w:rPr>
        <w:t xml:space="preserve">by the Complainant in </w:t>
      </w:r>
      <w:r>
        <w:rPr>
          <w:sz w:val="24"/>
          <w:szCs w:val="24"/>
        </w:rPr>
        <w:t xml:space="preserve"> the period </w:t>
      </w:r>
      <w:r w:rsidR="00E92012">
        <w:rPr>
          <w:sz w:val="24"/>
          <w:szCs w:val="24"/>
        </w:rPr>
        <w:t>measured</w:t>
      </w:r>
      <w:r>
        <w:rPr>
          <w:sz w:val="24"/>
          <w:szCs w:val="24"/>
        </w:rPr>
        <w:t xml:space="preserve">. </w:t>
      </w:r>
      <w:r w:rsidR="00E92012">
        <w:rPr>
          <w:sz w:val="24"/>
          <w:szCs w:val="24"/>
        </w:rPr>
        <w:t xml:space="preserve">  There was no change in the number </w:t>
      </w:r>
      <w:r w:rsidR="003F0808">
        <w:rPr>
          <w:sz w:val="24"/>
          <w:szCs w:val="24"/>
        </w:rPr>
        <w:t>of occupants that lived at the S</w:t>
      </w:r>
      <w:r w:rsidR="00E92012">
        <w:rPr>
          <w:sz w:val="24"/>
          <w:szCs w:val="24"/>
        </w:rPr>
        <w:t xml:space="preserve">ervice </w:t>
      </w:r>
      <w:r w:rsidR="003F0808">
        <w:rPr>
          <w:sz w:val="24"/>
          <w:szCs w:val="24"/>
        </w:rPr>
        <w:t>A</w:t>
      </w:r>
      <w:r w:rsidR="00E92012">
        <w:rPr>
          <w:sz w:val="24"/>
          <w:szCs w:val="24"/>
        </w:rPr>
        <w:t xml:space="preserve">ddress. </w:t>
      </w:r>
      <w:r w:rsidR="00A3596C">
        <w:rPr>
          <w:sz w:val="24"/>
          <w:szCs w:val="24"/>
        </w:rPr>
        <w:t xml:space="preserve"> </w:t>
      </w:r>
      <w:r w:rsidR="00E92012">
        <w:rPr>
          <w:sz w:val="24"/>
          <w:szCs w:val="24"/>
        </w:rPr>
        <w:t xml:space="preserve">In addition, </w:t>
      </w:r>
      <w:r w:rsidR="00CB2D9D">
        <w:rPr>
          <w:sz w:val="24"/>
          <w:szCs w:val="24"/>
        </w:rPr>
        <w:t>Mr. De</w:t>
      </w:r>
      <w:r w:rsidR="00805698">
        <w:rPr>
          <w:sz w:val="24"/>
          <w:szCs w:val="24"/>
        </w:rPr>
        <w:t>N</w:t>
      </w:r>
      <w:r w:rsidR="00CB2D9D">
        <w:rPr>
          <w:sz w:val="24"/>
          <w:szCs w:val="24"/>
        </w:rPr>
        <w:t xml:space="preserve">unzio averred </w:t>
      </w:r>
      <w:r w:rsidR="005B33A1">
        <w:rPr>
          <w:sz w:val="24"/>
          <w:szCs w:val="24"/>
        </w:rPr>
        <w:t xml:space="preserve">during the hearing </w:t>
      </w:r>
      <w:r w:rsidR="00CB2D9D">
        <w:rPr>
          <w:sz w:val="24"/>
          <w:szCs w:val="24"/>
        </w:rPr>
        <w:t xml:space="preserve">that his reason </w:t>
      </w:r>
      <w:r w:rsidR="005B33A1">
        <w:rPr>
          <w:sz w:val="24"/>
          <w:szCs w:val="24"/>
        </w:rPr>
        <w:t xml:space="preserve">he made his statement </w:t>
      </w:r>
      <w:r w:rsidR="00CB2D9D">
        <w:rPr>
          <w:sz w:val="24"/>
          <w:szCs w:val="24"/>
        </w:rPr>
        <w:t xml:space="preserve">about a possible foreign load </w:t>
      </w:r>
      <w:r w:rsidR="005B33A1">
        <w:rPr>
          <w:sz w:val="24"/>
          <w:szCs w:val="24"/>
        </w:rPr>
        <w:t xml:space="preserve">concern </w:t>
      </w:r>
      <w:r w:rsidR="00CB2D9D">
        <w:rPr>
          <w:sz w:val="24"/>
          <w:szCs w:val="24"/>
        </w:rPr>
        <w:t xml:space="preserve">was that he </w:t>
      </w:r>
      <w:r w:rsidR="00437E32">
        <w:rPr>
          <w:sz w:val="24"/>
          <w:szCs w:val="24"/>
        </w:rPr>
        <w:t xml:space="preserve">believed that he </w:t>
      </w:r>
      <w:r w:rsidR="00CB2D9D">
        <w:rPr>
          <w:sz w:val="24"/>
          <w:szCs w:val="24"/>
        </w:rPr>
        <w:t>could not be using the amount of electricity that PPL says he is using</w:t>
      </w:r>
      <w:r w:rsidR="005B33A1">
        <w:rPr>
          <w:sz w:val="24"/>
          <w:szCs w:val="24"/>
        </w:rPr>
        <w:t xml:space="preserve"> and</w:t>
      </w:r>
      <w:r w:rsidR="00CB2D9D">
        <w:rPr>
          <w:sz w:val="24"/>
          <w:szCs w:val="24"/>
        </w:rPr>
        <w:t xml:space="preserve"> that his </w:t>
      </w:r>
      <w:r w:rsidR="00437E32">
        <w:rPr>
          <w:sz w:val="24"/>
          <w:szCs w:val="24"/>
        </w:rPr>
        <w:t>neighbor’s</w:t>
      </w:r>
      <w:r w:rsidR="00CB2D9D">
        <w:rPr>
          <w:sz w:val="24"/>
          <w:szCs w:val="24"/>
        </w:rPr>
        <w:t xml:space="preserve"> </w:t>
      </w:r>
      <w:r w:rsidR="00437E32">
        <w:rPr>
          <w:sz w:val="24"/>
          <w:szCs w:val="24"/>
        </w:rPr>
        <w:t xml:space="preserve">bills are lower than his so </w:t>
      </w:r>
      <w:r w:rsidR="00CB2D9D">
        <w:rPr>
          <w:sz w:val="24"/>
          <w:szCs w:val="24"/>
        </w:rPr>
        <w:t xml:space="preserve">something else is going </w:t>
      </w:r>
      <w:r w:rsidR="00437E32">
        <w:rPr>
          <w:sz w:val="24"/>
          <w:szCs w:val="24"/>
        </w:rPr>
        <w:t>on regarding his energy usage.</w:t>
      </w:r>
      <w:r w:rsidR="00CB2D9D">
        <w:rPr>
          <w:sz w:val="24"/>
          <w:szCs w:val="24"/>
        </w:rPr>
        <w:t xml:space="preserve">  </w:t>
      </w:r>
    </w:p>
    <w:p w:rsidR="00805698" w:rsidRDefault="00805698" w:rsidP="00AC0378">
      <w:pPr>
        <w:spacing w:line="360" w:lineRule="auto"/>
        <w:ind w:firstLine="1440"/>
        <w:rPr>
          <w:sz w:val="24"/>
          <w:szCs w:val="24"/>
        </w:rPr>
      </w:pPr>
    </w:p>
    <w:p w:rsidR="009F4D2A" w:rsidRDefault="00367581" w:rsidP="00AC0378">
      <w:pPr>
        <w:spacing w:line="360" w:lineRule="auto"/>
        <w:ind w:firstLine="1440"/>
        <w:rPr>
          <w:sz w:val="24"/>
          <w:szCs w:val="24"/>
        </w:rPr>
      </w:pPr>
      <w:r>
        <w:rPr>
          <w:sz w:val="24"/>
          <w:szCs w:val="24"/>
        </w:rPr>
        <w:t xml:space="preserve">  </w:t>
      </w:r>
      <w:r w:rsidR="00A95418" w:rsidRPr="0006760A">
        <w:rPr>
          <w:sz w:val="24"/>
          <w:szCs w:val="24"/>
        </w:rPr>
        <w:t>On</w:t>
      </w:r>
      <w:r w:rsidR="002B6C2A" w:rsidRPr="0006760A">
        <w:rPr>
          <w:sz w:val="24"/>
          <w:szCs w:val="24"/>
        </w:rPr>
        <w:t xml:space="preserve"> October 11, 2009,</w:t>
      </w:r>
      <w:r w:rsidR="00A95418" w:rsidRPr="0006760A">
        <w:rPr>
          <w:sz w:val="24"/>
          <w:szCs w:val="24"/>
        </w:rPr>
        <w:t xml:space="preserve"> </w:t>
      </w:r>
      <w:r w:rsidR="002B6C2A" w:rsidRPr="0006760A">
        <w:rPr>
          <w:sz w:val="24"/>
          <w:szCs w:val="24"/>
        </w:rPr>
        <w:t>Complainant filed an informal complaint with the Commission’s B</w:t>
      </w:r>
      <w:r w:rsidR="00D52320">
        <w:rPr>
          <w:sz w:val="24"/>
          <w:szCs w:val="24"/>
        </w:rPr>
        <w:t>CS</w:t>
      </w:r>
      <w:r w:rsidR="002B6C2A" w:rsidRPr="0006760A">
        <w:rPr>
          <w:sz w:val="24"/>
          <w:szCs w:val="24"/>
        </w:rPr>
        <w:t xml:space="preserve">, BCS </w:t>
      </w:r>
      <w:r w:rsidR="000D4F82">
        <w:rPr>
          <w:sz w:val="24"/>
          <w:szCs w:val="24"/>
        </w:rPr>
        <w:t>C</w:t>
      </w:r>
      <w:r w:rsidR="002B6C2A" w:rsidRPr="0006760A">
        <w:rPr>
          <w:sz w:val="24"/>
          <w:szCs w:val="24"/>
        </w:rPr>
        <w:t>ase No. 2577202, which alleged an inability to pay his electric bill and requested that the Commission establish a payment arrangement for him.  PPL Exhibit 4.  O</w:t>
      </w:r>
      <w:r w:rsidR="00AC0378" w:rsidRPr="0006760A">
        <w:rPr>
          <w:sz w:val="24"/>
          <w:szCs w:val="24"/>
        </w:rPr>
        <w:t xml:space="preserve">n October </w:t>
      </w:r>
      <w:r w:rsidR="003B4D38" w:rsidRPr="0006760A">
        <w:rPr>
          <w:sz w:val="24"/>
          <w:szCs w:val="24"/>
        </w:rPr>
        <w:t>24,</w:t>
      </w:r>
      <w:r w:rsidR="00AC0378" w:rsidRPr="0006760A">
        <w:rPr>
          <w:sz w:val="24"/>
          <w:szCs w:val="24"/>
        </w:rPr>
        <w:t xml:space="preserve"> 2009, BCS issued an informal decision in BCS Case No. </w:t>
      </w:r>
      <w:r w:rsidR="003B4D38" w:rsidRPr="0006760A">
        <w:rPr>
          <w:sz w:val="24"/>
          <w:szCs w:val="24"/>
        </w:rPr>
        <w:t>2577202.</w:t>
      </w:r>
      <w:r w:rsidR="00AC0378" w:rsidRPr="0006760A">
        <w:rPr>
          <w:sz w:val="24"/>
          <w:szCs w:val="24"/>
        </w:rPr>
        <w:t xml:space="preserve">  </w:t>
      </w:r>
      <w:r w:rsidR="00A95418" w:rsidRPr="0006760A">
        <w:rPr>
          <w:sz w:val="24"/>
          <w:szCs w:val="24"/>
        </w:rPr>
        <w:t>BCS found that Complainant was a level 2 income customer and established a payment arrangement which required Mr. DeNunzio to pay a budget amount of $242.00</w:t>
      </w:r>
      <w:r w:rsidR="003B4D38" w:rsidRPr="0006760A">
        <w:rPr>
          <w:sz w:val="24"/>
          <w:szCs w:val="24"/>
        </w:rPr>
        <w:t xml:space="preserve"> a month.</w:t>
      </w:r>
      <w:r w:rsidR="00C633C1" w:rsidRPr="0006760A">
        <w:rPr>
          <w:rStyle w:val="FootnoteReference"/>
          <w:sz w:val="24"/>
          <w:szCs w:val="24"/>
        </w:rPr>
        <w:footnoteReference w:id="5"/>
      </w:r>
      <w:r w:rsidR="003B4D38" w:rsidRPr="0006760A">
        <w:rPr>
          <w:sz w:val="24"/>
          <w:szCs w:val="24"/>
        </w:rPr>
        <w:t xml:space="preserve">  </w:t>
      </w:r>
      <w:r w:rsidR="0051066D">
        <w:rPr>
          <w:sz w:val="24"/>
          <w:szCs w:val="24"/>
        </w:rPr>
        <w:t xml:space="preserve">The payment arrangement established by BCS required Complainant to pay his budget bill plus an amount towards his account arrearage.  Based upon Complainant’s reported income and account balance, </w:t>
      </w:r>
      <w:r w:rsidR="0051066D" w:rsidRPr="003F0808">
        <w:rPr>
          <w:sz w:val="24"/>
          <w:szCs w:val="24"/>
        </w:rPr>
        <w:t>at that</w:t>
      </w:r>
      <w:r w:rsidR="00E36652" w:rsidRPr="003F0808">
        <w:rPr>
          <w:sz w:val="24"/>
          <w:szCs w:val="24"/>
        </w:rPr>
        <w:t xml:space="preserve"> </w:t>
      </w:r>
      <w:r w:rsidR="0051066D" w:rsidRPr="003F0808">
        <w:rPr>
          <w:sz w:val="24"/>
          <w:szCs w:val="24"/>
        </w:rPr>
        <w:t>time</w:t>
      </w:r>
      <w:r w:rsidR="0051066D">
        <w:rPr>
          <w:sz w:val="24"/>
          <w:szCs w:val="24"/>
        </w:rPr>
        <w:t xml:space="preserve">, </w:t>
      </w:r>
      <w:r w:rsidR="00E36652">
        <w:rPr>
          <w:sz w:val="24"/>
          <w:szCs w:val="24"/>
        </w:rPr>
        <w:t xml:space="preserve">the payment arrangement satisfied the requirements of </w:t>
      </w:r>
      <w:r w:rsidR="00F555B3">
        <w:rPr>
          <w:sz w:val="24"/>
          <w:szCs w:val="24"/>
        </w:rPr>
        <w:t>66 Pa. C.S. §</w:t>
      </w:r>
      <w:r w:rsidR="00E36652" w:rsidRPr="00E36652">
        <w:rPr>
          <w:b/>
          <w:sz w:val="24"/>
          <w:szCs w:val="24"/>
        </w:rPr>
        <w:t xml:space="preserve"> </w:t>
      </w:r>
      <w:r w:rsidR="00E36652" w:rsidRPr="00F555B3">
        <w:rPr>
          <w:sz w:val="24"/>
          <w:szCs w:val="24"/>
        </w:rPr>
        <w:t>14</w:t>
      </w:r>
      <w:r w:rsidR="00F555B3" w:rsidRPr="00F555B3">
        <w:rPr>
          <w:sz w:val="24"/>
          <w:szCs w:val="24"/>
        </w:rPr>
        <w:t>03 (b)(1)</w:t>
      </w:r>
      <w:r w:rsidR="00E36652">
        <w:rPr>
          <w:sz w:val="24"/>
          <w:szCs w:val="24"/>
        </w:rPr>
        <w:t xml:space="preserve"> and provided for the liquidation of the account balance within 60 months.  </w:t>
      </w:r>
      <w:r w:rsidR="009F4D2A">
        <w:rPr>
          <w:sz w:val="24"/>
          <w:szCs w:val="24"/>
        </w:rPr>
        <w:t>Complainant has failed to carry his burden of proving that he is entitled to a lower payment arrangement than the one established by BCS.  He has failed to show that he has experienced the decrease income as required by Sections 1403 and 1405(d) of the Public Utility Code.</w:t>
      </w:r>
    </w:p>
    <w:p w:rsidR="009F4D2A" w:rsidRDefault="009F4D2A" w:rsidP="00AC0378">
      <w:pPr>
        <w:spacing w:line="360" w:lineRule="auto"/>
        <w:ind w:firstLine="1440"/>
        <w:rPr>
          <w:sz w:val="24"/>
          <w:szCs w:val="24"/>
        </w:rPr>
      </w:pPr>
    </w:p>
    <w:p w:rsidR="003B4D38" w:rsidRPr="0006760A" w:rsidRDefault="003B4D38" w:rsidP="00AC0378">
      <w:pPr>
        <w:spacing w:line="360" w:lineRule="auto"/>
        <w:ind w:firstLine="1440"/>
        <w:rPr>
          <w:sz w:val="24"/>
          <w:szCs w:val="24"/>
        </w:rPr>
      </w:pPr>
      <w:r w:rsidRPr="0006760A">
        <w:rPr>
          <w:sz w:val="24"/>
          <w:szCs w:val="24"/>
        </w:rPr>
        <w:t>On September 28, 2009, Mr. DeNunzio filed the present formal Complaint with the Commission appealing the BCS informal decision and requesting that the Commission establish a lower payment arrangement for him.</w:t>
      </w:r>
    </w:p>
    <w:p w:rsidR="003B4D38" w:rsidRDefault="003B4D38" w:rsidP="00AC0378">
      <w:pPr>
        <w:spacing w:line="360" w:lineRule="auto"/>
        <w:ind w:firstLine="1440"/>
        <w:rPr>
          <w:i/>
          <w:sz w:val="24"/>
          <w:szCs w:val="24"/>
        </w:rPr>
      </w:pPr>
    </w:p>
    <w:p w:rsidR="00AC0378" w:rsidRPr="00C633C1" w:rsidRDefault="009E04EF" w:rsidP="00AC0378">
      <w:pPr>
        <w:spacing w:line="360" w:lineRule="auto"/>
        <w:ind w:firstLine="1440"/>
        <w:rPr>
          <w:sz w:val="24"/>
          <w:szCs w:val="24"/>
        </w:rPr>
      </w:pPr>
      <w:r>
        <w:rPr>
          <w:sz w:val="24"/>
          <w:szCs w:val="24"/>
        </w:rPr>
        <w:t xml:space="preserve">In this </w:t>
      </w:r>
      <w:r w:rsidR="003F0808">
        <w:rPr>
          <w:sz w:val="24"/>
          <w:szCs w:val="24"/>
        </w:rPr>
        <w:t>matter</w:t>
      </w:r>
      <w:r>
        <w:rPr>
          <w:sz w:val="24"/>
          <w:szCs w:val="24"/>
        </w:rPr>
        <w:t xml:space="preserve">, Complainant </w:t>
      </w:r>
      <w:r w:rsidR="003F0808">
        <w:rPr>
          <w:sz w:val="24"/>
          <w:szCs w:val="24"/>
        </w:rPr>
        <w:t xml:space="preserve">has </w:t>
      </w:r>
      <w:r>
        <w:rPr>
          <w:sz w:val="24"/>
          <w:szCs w:val="24"/>
        </w:rPr>
        <w:t xml:space="preserve">failed to show that he is entitled to a lower payment arrangement.  He is hereby directed to pay that amount directed to him in BCS </w:t>
      </w:r>
      <w:r w:rsidR="000D4F82">
        <w:rPr>
          <w:sz w:val="24"/>
          <w:szCs w:val="24"/>
        </w:rPr>
        <w:t>C</w:t>
      </w:r>
      <w:r>
        <w:rPr>
          <w:sz w:val="24"/>
          <w:szCs w:val="24"/>
        </w:rPr>
        <w:t xml:space="preserve">ase </w:t>
      </w:r>
      <w:r w:rsidR="000D4F82">
        <w:rPr>
          <w:sz w:val="24"/>
          <w:szCs w:val="24"/>
        </w:rPr>
        <w:lastRenderedPageBreak/>
        <w:t xml:space="preserve">No.  </w:t>
      </w:r>
      <w:r w:rsidR="000D4F82" w:rsidRPr="0006760A">
        <w:rPr>
          <w:sz w:val="24"/>
          <w:szCs w:val="24"/>
        </w:rPr>
        <w:t>2577202</w:t>
      </w:r>
      <w:r w:rsidR="000D4F82">
        <w:rPr>
          <w:sz w:val="24"/>
          <w:szCs w:val="24"/>
        </w:rPr>
        <w:t xml:space="preserve"> which </w:t>
      </w:r>
      <w:r w:rsidR="000D4F82" w:rsidRPr="0006760A">
        <w:rPr>
          <w:sz w:val="24"/>
          <w:szCs w:val="24"/>
        </w:rPr>
        <w:t xml:space="preserve">found that Complainant was a level 2 income customer and established a payment arrangement which required Mr. </w:t>
      </w:r>
      <w:proofErr w:type="spellStart"/>
      <w:r w:rsidR="000D4F82" w:rsidRPr="0006760A">
        <w:rPr>
          <w:sz w:val="24"/>
          <w:szCs w:val="24"/>
        </w:rPr>
        <w:t>DeNunzio</w:t>
      </w:r>
      <w:proofErr w:type="spellEnd"/>
      <w:r w:rsidR="000D4F82" w:rsidRPr="0006760A">
        <w:rPr>
          <w:sz w:val="24"/>
          <w:szCs w:val="24"/>
        </w:rPr>
        <w:t xml:space="preserve"> to pay a budget amount of $242.00 a month.</w:t>
      </w:r>
      <w:r>
        <w:rPr>
          <w:sz w:val="24"/>
          <w:szCs w:val="24"/>
        </w:rPr>
        <w:t xml:space="preserve"> </w:t>
      </w:r>
    </w:p>
    <w:p w:rsidR="00AC0378" w:rsidRDefault="00AC0378" w:rsidP="00AC0378">
      <w:pPr>
        <w:spacing w:line="360" w:lineRule="auto"/>
        <w:jc w:val="center"/>
        <w:rPr>
          <w:sz w:val="24"/>
          <w:szCs w:val="24"/>
          <w:u w:val="single"/>
        </w:rPr>
      </w:pPr>
    </w:p>
    <w:p w:rsidR="00A20789" w:rsidRPr="00A20789" w:rsidRDefault="00A20789" w:rsidP="00A20789">
      <w:pPr>
        <w:spacing w:line="360" w:lineRule="auto"/>
        <w:ind w:firstLine="1440"/>
        <w:rPr>
          <w:sz w:val="24"/>
          <w:szCs w:val="24"/>
        </w:rPr>
      </w:pPr>
      <w:r w:rsidRPr="00A20789">
        <w:rPr>
          <w:sz w:val="24"/>
          <w:szCs w:val="24"/>
        </w:rPr>
        <w:t>If Mr. DeNunzio fails to keep his payment schedule, PPL is auth</w:t>
      </w:r>
      <w:r>
        <w:rPr>
          <w:sz w:val="24"/>
          <w:szCs w:val="24"/>
        </w:rPr>
        <w:t>orized to suspend or terminate his electric service in accordance with the Commission’s statute and regulations.</w:t>
      </w:r>
    </w:p>
    <w:p w:rsidR="00A20789" w:rsidRPr="00885A23" w:rsidRDefault="00A20789" w:rsidP="00AC0378">
      <w:pPr>
        <w:spacing w:line="360" w:lineRule="auto"/>
        <w:jc w:val="center"/>
        <w:rPr>
          <w:sz w:val="24"/>
          <w:szCs w:val="24"/>
          <w:u w:val="single"/>
        </w:rPr>
      </w:pPr>
    </w:p>
    <w:p w:rsidR="00AC0378" w:rsidRPr="00885A23" w:rsidRDefault="00AC0378" w:rsidP="00AC0378">
      <w:pPr>
        <w:spacing w:line="360" w:lineRule="auto"/>
        <w:jc w:val="center"/>
        <w:rPr>
          <w:sz w:val="24"/>
          <w:szCs w:val="24"/>
          <w:u w:val="single"/>
        </w:rPr>
      </w:pPr>
      <w:r w:rsidRPr="00885A23">
        <w:rPr>
          <w:sz w:val="24"/>
          <w:szCs w:val="24"/>
          <w:u w:val="single"/>
        </w:rPr>
        <w:t>CONCLUSIONS OF LAW</w:t>
      </w:r>
    </w:p>
    <w:p w:rsidR="00AC0378" w:rsidRPr="00885A23" w:rsidRDefault="00AC0378" w:rsidP="00AC0378">
      <w:pPr>
        <w:spacing w:line="360" w:lineRule="auto"/>
        <w:ind w:firstLine="1440"/>
        <w:rPr>
          <w:sz w:val="24"/>
          <w:szCs w:val="24"/>
        </w:rPr>
      </w:pPr>
    </w:p>
    <w:p w:rsidR="00AC0378" w:rsidRPr="00885A23" w:rsidRDefault="00AC0378" w:rsidP="00AC0378">
      <w:pPr>
        <w:numPr>
          <w:ilvl w:val="0"/>
          <w:numId w:val="1"/>
        </w:numPr>
        <w:tabs>
          <w:tab w:val="clear" w:pos="900"/>
          <w:tab w:val="num" w:pos="2160"/>
        </w:tabs>
        <w:spacing w:line="360" w:lineRule="auto"/>
        <w:ind w:left="0" w:firstLine="1440"/>
        <w:rPr>
          <w:sz w:val="24"/>
          <w:szCs w:val="24"/>
        </w:rPr>
      </w:pPr>
      <w:r w:rsidRPr="00885A23">
        <w:rPr>
          <w:sz w:val="24"/>
          <w:szCs w:val="24"/>
        </w:rPr>
        <w:t>The Commission has jurisdiction over the parties and the subject matter of this proceeding.  66 Pa. C.S. § 701.</w:t>
      </w:r>
    </w:p>
    <w:p w:rsidR="00AC0378" w:rsidRPr="00885A23" w:rsidRDefault="00AC0378" w:rsidP="00AC0378">
      <w:pPr>
        <w:tabs>
          <w:tab w:val="num" w:pos="2160"/>
        </w:tabs>
        <w:spacing w:line="360" w:lineRule="auto"/>
        <w:ind w:firstLine="1260"/>
        <w:rPr>
          <w:sz w:val="24"/>
          <w:szCs w:val="24"/>
        </w:rPr>
      </w:pPr>
    </w:p>
    <w:p w:rsidR="00AC0378" w:rsidRPr="00255710" w:rsidRDefault="00AC0378" w:rsidP="00AC0378">
      <w:pPr>
        <w:numPr>
          <w:ilvl w:val="0"/>
          <w:numId w:val="1"/>
        </w:numPr>
        <w:tabs>
          <w:tab w:val="clear" w:pos="900"/>
          <w:tab w:val="num" w:pos="2160"/>
        </w:tabs>
        <w:spacing w:after="200" w:line="360" w:lineRule="auto"/>
        <w:ind w:left="0" w:firstLine="1440"/>
        <w:rPr>
          <w:sz w:val="24"/>
          <w:szCs w:val="24"/>
        </w:rPr>
      </w:pPr>
      <w:r w:rsidRPr="00255710">
        <w:rPr>
          <w:sz w:val="24"/>
          <w:szCs w:val="24"/>
        </w:rPr>
        <w:t xml:space="preserve">Complainants had the burden of proof and failed to carry that burden.  </w:t>
      </w:r>
      <w:r w:rsidR="00255710" w:rsidRPr="00255710">
        <w:rPr>
          <w:sz w:val="24"/>
          <w:szCs w:val="24"/>
        </w:rPr>
        <w:t>66 </w:t>
      </w:r>
      <w:r w:rsidRPr="00255710">
        <w:rPr>
          <w:sz w:val="24"/>
          <w:szCs w:val="24"/>
        </w:rPr>
        <w:t>Pa. C.S. § 332(a).</w:t>
      </w:r>
    </w:p>
    <w:p w:rsidR="00AC0378" w:rsidRPr="00885A23" w:rsidRDefault="00AC0378" w:rsidP="00AC0378">
      <w:pPr>
        <w:spacing w:line="360" w:lineRule="auto"/>
        <w:ind w:firstLine="1440"/>
        <w:rPr>
          <w:sz w:val="24"/>
          <w:szCs w:val="24"/>
        </w:rPr>
      </w:pPr>
      <w:r w:rsidRPr="00885A23">
        <w:rPr>
          <w:sz w:val="24"/>
          <w:szCs w:val="24"/>
        </w:rPr>
        <w:t>3.</w:t>
      </w:r>
      <w:r w:rsidRPr="00885A23">
        <w:rPr>
          <w:sz w:val="24"/>
          <w:szCs w:val="24"/>
        </w:rPr>
        <w:tab/>
        <w:t xml:space="preserve">The Responsible Utility Customer Protection Act, 66 Pa. C.S. § 1401, </w:t>
      </w:r>
      <w:r w:rsidRPr="00885A23">
        <w:rPr>
          <w:i/>
          <w:sz w:val="24"/>
          <w:szCs w:val="24"/>
        </w:rPr>
        <w:t>et seq.</w:t>
      </w:r>
      <w:r w:rsidRPr="00885A23">
        <w:rPr>
          <w:sz w:val="24"/>
          <w:szCs w:val="24"/>
        </w:rPr>
        <w:t>, applies to this proceeding.</w:t>
      </w:r>
    </w:p>
    <w:p w:rsidR="00AC0378" w:rsidRPr="00885A23" w:rsidRDefault="00AC0378" w:rsidP="00AC0378">
      <w:pPr>
        <w:spacing w:line="360" w:lineRule="auto"/>
        <w:ind w:firstLine="1440"/>
        <w:rPr>
          <w:sz w:val="24"/>
          <w:szCs w:val="24"/>
        </w:rPr>
      </w:pPr>
    </w:p>
    <w:p w:rsidR="00AC0378" w:rsidRDefault="00AC0378" w:rsidP="00AC0378">
      <w:pPr>
        <w:spacing w:line="360" w:lineRule="auto"/>
        <w:ind w:firstLine="1440"/>
        <w:rPr>
          <w:sz w:val="24"/>
          <w:szCs w:val="24"/>
        </w:rPr>
      </w:pPr>
      <w:r w:rsidRPr="00885A23">
        <w:rPr>
          <w:sz w:val="24"/>
          <w:szCs w:val="24"/>
        </w:rPr>
        <w:t xml:space="preserve">4. </w:t>
      </w:r>
      <w:r w:rsidRPr="00885A23">
        <w:rPr>
          <w:sz w:val="24"/>
          <w:szCs w:val="24"/>
        </w:rPr>
        <w:tab/>
        <w:t xml:space="preserve">The Commission has the authority to review a payment arrangement to ensure compliance with the provisions of Chapter 14.  </w:t>
      </w:r>
    </w:p>
    <w:p w:rsidR="00AC0378" w:rsidRDefault="00AC0378" w:rsidP="00AC0378">
      <w:pPr>
        <w:spacing w:line="360" w:lineRule="auto"/>
        <w:ind w:firstLine="1440"/>
        <w:rPr>
          <w:sz w:val="24"/>
          <w:szCs w:val="24"/>
        </w:rPr>
      </w:pPr>
    </w:p>
    <w:p w:rsidR="00437E32" w:rsidRDefault="00437E32">
      <w:pPr>
        <w:spacing w:after="200" w:line="276" w:lineRule="auto"/>
        <w:rPr>
          <w:sz w:val="24"/>
          <w:szCs w:val="24"/>
          <w:u w:val="single"/>
        </w:rPr>
      </w:pPr>
      <w:r>
        <w:rPr>
          <w:sz w:val="24"/>
          <w:szCs w:val="24"/>
          <w:u w:val="single"/>
        </w:rPr>
        <w:br w:type="page"/>
      </w:r>
    </w:p>
    <w:p w:rsidR="00AC0378" w:rsidRPr="00885A23" w:rsidRDefault="00AC0378" w:rsidP="00AC0378">
      <w:pPr>
        <w:tabs>
          <w:tab w:val="num" w:pos="2160"/>
        </w:tabs>
        <w:spacing w:line="360" w:lineRule="auto"/>
        <w:jc w:val="center"/>
        <w:rPr>
          <w:sz w:val="24"/>
          <w:szCs w:val="24"/>
          <w:u w:val="single"/>
        </w:rPr>
      </w:pPr>
      <w:r w:rsidRPr="00885A23">
        <w:rPr>
          <w:sz w:val="24"/>
          <w:szCs w:val="24"/>
          <w:u w:val="single"/>
        </w:rPr>
        <w:lastRenderedPageBreak/>
        <w:t>ORDER</w:t>
      </w:r>
    </w:p>
    <w:p w:rsidR="00AC0378" w:rsidRPr="00885A23" w:rsidRDefault="00AC0378" w:rsidP="00AC0378">
      <w:pPr>
        <w:tabs>
          <w:tab w:val="num" w:pos="2160"/>
        </w:tabs>
        <w:spacing w:line="360" w:lineRule="auto"/>
        <w:jc w:val="center"/>
        <w:rPr>
          <w:sz w:val="24"/>
          <w:szCs w:val="24"/>
          <w:u w:val="single"/>
        </w:rPr>
      </w:pPr>
    </w:p>
    <w:p w:rsidR="00AC0378" w:rsidRPr="00885A23" w:rsidRDefault="00AC0378" w:rsidP="00AC0378">
      <w:pPr>
        <w:tabs>
          <w:tab w:val="num" w:pos="2160"/>
        </w:tabs>
        <w:spacing w:line="360" w:lineRule="auto"/>
        <w:jc w:val="center"/>
        <w:rPr>
          <w:sz w:val="24"/>
          <w:szCs w:val="24"/>
          <w:u w:val="single"/>
        </w:rPr>
      </w:pPr>
    </w:p>
    <w:p w:rsidR="00AC0378" w:rsidRPr="00885A23" w:rsidRDefault="0081305F" w:rsidP="00AC0378">
      <w:pPr>
        <w:tabs>
          <w:tab w:val="num" w:pos="2160"/>
        </w:tabs>
        <w:spacing w:line="360" w:lineRule="auto"/>
        <w:ind w:firstLine="1440"/>
        <w:rPr>
          <w:sz w:val="24"/>
          <w:szCs w:val="24"/>
        </w:rPr>
      </w:pPr>
      <w:r>
        <w:rPr>
          <w:sz w:val="24"/>
          <w:szCs w:val="24"/>
        </w:rPr>
        <w:t>THEREFORE,</w:t>
      </w:r>
    </w:p>
    <w:p w:rsidR="00AC0378" w:rsidRPr="00885A23" w:rsidRDefault="00AC0378" w:rsidP="00AC0378">
      <w:pPr>
        <w:tabs>
          <w:tab w:val="num" w:pos="2160"/>
        </w:tabs>
        <w:spacing w:line="360" w:lineRule="auto"/>
        <w:rPr>
          <w:sz w:val="24"/>
          <w:szCs w:val="24"/>
        </w:rPr>
      </w:pPr>
    </w:p>
    <w:p w:rsidR="00AC0378" w:rsidRPr="00885A23" w:rsidRDefault="00AC0378" w:rsidP="00AC0378">
      <w:pPr>
        <w:tabs>
          <w:tab w:val="num" w:pos="2160"/>
        </w:tabs>
        <w:spacing w:line="360" w:lineRule="auto"/>
        <w:ind w:firstLine="1440"/>
        <w:rPr>
          <w:sz w:val="24"/>
          <w:szCs w:val="24"/>
        </w:rPr>
      </w:pPr>
      <w:r w:rsidRPr="00885A23">
        <w:rPr>
          <w:sz w:val="24"/>
          <w:szCs w:val="24"/>
        </w:rPr>
        <w:t>IT IS ORDERED:</w:t>
      </w:r>
    </w:p>
    <w:p w:rsidR="00AC0378" w:rsidRPr="00885A23" w:rsidRDefault="00AC0378" w:rsidP="00AC0378">
      <w:pPr>
        <w:tabs>
          <w:tab w:val="num" w:pos="2160"/>
        </w:tabs>
        <w:spacing w:line="360" w:lineRule="auto"/>
        <w:rPr>
          <w:b/>
          <w:sz w:val="24"/>
          <w:szCs w:val="24"/>
        </w:rPr>
      </w:pPr>
    </w:p>
    <w:p w:rsidR="00AC0378" w:rsidRPr="00885A23" w:rsidRDefault="00AC0378" w:rsidP="00AC0378">
      <w:pPr>
        <w:tabs>
          <w:tab w:val="num" w:pos="2160"/>
        </w:tabs>
        <w:spacing w:line="360" w:lineRule="auto"/>
        <w:ind w:firstLine="1440"/>
        <w:rPr>
          <w:sz w:val="24"/>
          <w:szCs w:val="24"/>
        </w:rPr>
      </w:pPr>
      <w:r w:rsidRPr="00885A23">
        <w:rPr>
          <w:sz w:val="24"/>
          <w:szCs w:val="24"/>
        </w:rPr>
        <w:t>1.</w:t>
      </w:r>
      <w:r w:rsidRPr="00885A23">
        <w:rPr>
          <w:sz w:val="24"/>
          <w:szCs w:val="24"/>
        </w:rPr>
        <w:tab/>
        <w:t xml:space="preserve">That the </w:t>
      </w:r>
      <w:r w:rsidR="00F004D4">
        <w:rPr>
          <w:sz w:val="24"/>
          <w:szCs w:val="24"/>
        </w:rPr>
        <w:t>f</w:t>
      </w:r>
      <w:r w:rsidRPr="00885A23">
        <w:rPr>
          <w:sz w:val="24"/>
          <w:szCs w:val="24"/>
        </w:rPr>
        <w:t xml:space="preserve">ormal Complaint filed by </w:t>
      </w:r>
      <w:r w:rsidR="006266F7">
        <w:rPr>
          <w:sz w:val="24"/>
          <w:szCs w:val="24"/>
        </w:rPr>
        <w:t>Frank DeNun</w:t>
      </w:r>
      <w:r w:rsidR="000360D5">
        <w:rPr>
          <w:sz w:val="24"/>
          <w:szCs w:val="24"/>
        </w:rPr>
        <w:t>zio</w:t>
      </w:r>
      <w:r w:rsidRPr="00885A23">
        <w:rPr>
          <w:sz w:val="24"/>
          <w:szCs w:val="24"/>
        </w:rPr>
        <w:t xml:space="preserve"> against </w:t>
      </w:r>
      <w:r w:rsidR="006266F7">
        <w:rPr>
          <w:sz w:val="24"/>
          <w:szCs w:val="24"/>
        </w:rPr>
        <w:t>PPL Electric Utilities Corporation</w:t>
      </w:r>
      <w:r w:rsidRPr="00885A23">
        <w:rPr>
          <w:sz w:val="24"/>
          <w:szCs w:val="24"/>
        </w:rPr>
        <w:t xml:space="preserve"> at Docket No. </w:t>
      </w:r>
      <w:r w:rsidR="006266F7">
        <w:rPr>
          <w:sz w:val="24"/>
          <w:szCs w:val="24"/>
        </w:rPr>
        <w:t>F-20</w:t>
      </w:r>
      <w:r w:rsidR="002E63EE">
        <w:rPr>
          <w:sz w:val="24"/>
          <w:szCs w:val="24"/>
        </w:rPr>
        <w:t>09</w:t>
      </w:r>
      <w:r w:rsidR="006266F7">
        <w:rPr>
          <w:sz w:val="24"/>
          <w:szCs w:val="24"/>
        </w:rPr>
        <w:t>-2134636</w:t>
      </w:r>
      <w:r w:rsidRPr="00885A23">
        <w:rPr>
          <w:sz w:val="24"/>
          <w:szCs w:val="24"/>
        </w:rPr>
        <w:t xml:space="preserve"> is denied.</w:t>
      </w:r>
    </w:p>
    <w:p w:rsidR="00AC0378" w:rsidRPr="00885A23" w:rsidRDefault="00AC0378" w:rsidP="00AC0378">
      <w:pPr>
        <w:spacing w:line="360" w:lineRule="auto"/>
        <w:rPr>
          <w:sz w:val="24"/>
          <w:szCs w:val="24"/>
        </w:rPr>
      </w:pPr>
    </w:p>
    <w:p w:rsidR="00AC0378" w:rsidRPr="00885A23" w:rsidRDefault="00AC0378" w:rsidP="0081305F">
      <w:pPr>
        <w:spacing w:line="360" w:lineRule="auto"/>
        <w:ind w:firstLine="1440"/>
        <w:rPr>
          <w:sz w:val="24"/>
          <w:szCs w:val="24"/>
        </w:rPr>
      </w:pPr>
      <w:r w:rsidRPr="00885A23">
        <w:rPr>
          <w:sz w:val="24"/>
          <w:szCs w:val="24"/>
        </w:rPr>
        <w:t>2.</w:t>
      </w:r>
      <w:r w:rsidRPr="00885A23">
        <w:rPr>
          <w:sz w:val="24"/>
          <w:szCs w:val="24"/>
        </w:rPr>
        <w:tab/>
        <w:t xml:space="preserve">That the record at Docket No. </w:t>
      </w:r>
      <w:r w:rsidR="006266F7">
        <w:rPr>
          <w:sz w:val="24"/>
          <w:szCs w:val="24"/>
        </w:rPr>
        <w:t>F-20</w:t>
      </w:r>
      <w:r w:rsidR="002E63EE">
        <w:rPr>
          <w:sz w:val="24"/>
          <w:szCs w:val="24"/>
        </w:rPr>
        <w:t>09</w:t>
      </w:r>
      <w:r w:rsidR="006266F7">
        <w:rPr>
          <w:sz w:val="24"/>
          <w:szCs w:val="24"/>
        </w:rPr>
        <w:t>-2134636</w:t>
      </w:r>
      <w:r w:rsidRPr="00885A23">
        <w:rPr>
          <w:sz w:val="24"/>
          <w:szCs w:val="24"/>
        </w:rPr>
        <w:t xml:space="preserve"> is marked closed.</w:t>
      </w:r>
    </w:p>
    <w:p w:rsidR="00AC0378" w:rsidRPr="00885A23" w:rsidRDefault="00AC0378" w:rsidP="0081305F">
      <w:pPr>
        <w:spacing w:line="360" w:lineRule="auto"/>
        <w:rPr>
          <w:sz w:val="24"/>
          <w:szCs w:val="24"/>
        </w:rPr>
      </w:pPr>
    </w:p>
    <w:p w:rsidR="00AC0378" w:rsidRPr="00885A23" w:rsidRDefault="00AC0378" w:rsidP="0081305F">
      <w:pPr>
        <w:spacing w:line="360" w:lineRule="auto"/>
        <w:rPr>
          <w:sz w:val="24"/>
          <w:szCs w:val="24"/>
        </w:rPr>
      </w:pPr>
    </w:p>
    <w:p w:rsidR="00AC0378" w:rsidRPr="00885A23" w:rsidRDefault="00AC0378" w:rsidP="00AC0378">
      <w:pPr>
        <w:rPr>
          <w:sz w:val="24"/>
          <w:szCs w:val="24"/>
        </w:rPr>
      </w:pPr>
      <w:r w:rsidRPr="00885A23">
        <w:rPr>
          <w:sz w:val="24"/>
          <w:szCs w:val="24"/>
        </w:rPr>
        <w:t>Dated:</w:t>
      </w:r>
      <w:r w:rsidRPr="00885A23">
        <w:rPr>
          <w:sz w:val="24"/>
          <w:szCs w:val="24"/>
        </w:rPr>
        <w:tab/>
        <w:t xml:space="preserve"> </w:t>
      </w:r>
      <w:r w:rsidR="008B231F" w:rsidRPr="008B231F">
        <w:rPr>
          <w:sz w:val="24"/>
          <w:szCs w:val="24"/>
          <w:u w:val="single"/>
        </w:rPr>
        <w:t xml:space="preserve">February </w:t>
      </w:r>
      <w:r w:rsidR="008B231F">
        <w:rPr>
          <w:sz w:val="24"/>
          <w:szCs w:val="24"/>
          <w:u w:val="single"/>
        </w:rPr>
        <w:t>4</w:t>
      </w:r>
      <w:r w:rsidR="008B231F" w:rsidRPr="008B231F">
        <w:rPr>
          <w:sz w:val="24"/>
          <w:szCs w:val="24"/>
          <w:u w:val="single"/>
        </w:rPr>
        <w:t>, 2011</w:t>
      </w:r>
      <w:r w:rsidRPr="00885A23">
        <w:rPr>
          <w:sz w:val="24"/>
          <w:szCs w:val="24"/>
        </w:rPr>
        <w:tab/>
      </w:r>
      <w:r w:rsidRPr="00885A23">
        <w:rPr>
          <w:sz w:val="24"/>
          <w:szCs w:val="24"/>
        </w:rPr>
        <w:tab/>
      </w:r>
      <w:r w:rsidRPr="00885A23">
        <w:rPr>
          <w:sz w:val="24"/>
          <w:szCs w:val="24"/>
        </w:rPr>
        <w:tab/>
      </w:r>
      <w:r w:rsidRPr="00885A23">
        <w:rPr>
          <w:sz w:val="24"/>
          <w:szCs w:val="24"/>
        </w:rPr>
        <w:tab/>
        <w:t>____________________________________</w:t>
      </w:r>
    </w:p>
    <w:p w:rsidR="00AC0378" w:rsidRPr="00885A23" w:rsidRDefault="00AC0378" w:rsidP="00AC0378">
      <w:pPr>
        <w:rPr>
          <w:sz w:val="24"/>
          <w:szCs w:val="24"/>
        </w:rPr>
      </w:pPr>
      <w:r w:rsidRPr="00885A23">
        <w:rPr>
          <w:sz w:val="24"/>
          <w:szCs w:val="24"/>
        </w:rPr>
        <w:tab/>
      </w:r>
      <w:r w:rsidRPr="00885A23">
        <w:rPr>
          <w:sz w:val="24"/>
          <w:szCs w:val="24"/>
        </w:rPr>
        <w:tab/>
      </w:r>
      <w:r w:rsidRPr="00885A23">
        <w:rPr>
          <w:sz w:val="24"/>
          <w:szCs w:val="24"/>
        </w:rPr>
        <w:tab/>
      </w:r>
      <w:r w:rsidRPr="00885A23">
        <w:rPr>
          <w:sz w:val="24"/>
          <w:szCs w:val="24"/>
        </w:rPr>
        <w:tab/>
      </w:r>
      <w:r w:rsidRPr="00885A23">
        <w:rPr>
          <w:sz w:val="24"/>
          <w:szCs w:val="24"/>
        </w:rPr>
        <w:tab/>
      </w:r>
      <w:r w:rsidRPr="00885A23">
        <w:rPr>
          <w:sz w:val="24"/>
          <w:szCs w:val="24"/>
        </w:rPr>
        <w:tab/>
      </w:r>
      <w:r w:rsidRPr="00885A23">
        <w:rPr>
          <w:sz w:val="24"/>
          <w:szCs w:val="24"/>
        </w:rPr>
        <w:tab/>
        <w:t>David A. Alexander</w:t>
      </w:r>
      <w:r w:rsidRPr="00885A23">
        <w:rPr>
          <w:sz w:val="24"/>
          <w:szCs w:val="24"/>
        </w:rPr>
        <w:tab/>
      </w:r>
    </w:p>
    <w:p w:rsidR="00AC0378" w:rsidRPr="00885A23" w:rsidRDefault="00AC0378" w:rsidP="00AC0378">
      <w:pPr>
        <w:rPr>
          <w:sz w:val="24"/>
          <w:szCs w:val="24"/>
        </w:rPr>
      </w:pPr>
      <w:r w:rsidRPr="00885A23">
        <w:rPr>
          <w:sz w:val="24"/>
          <w:szCs w:val="24"/>
        </w:rPr>
        <w:tab/>
      </w:r>
      <w:r w:rsidRPr="00885A23">
        <w:rPr>
          <w:sz w:val="24"/>
          <w:szCs w:val="24"/>
        </w:rPr>
        <w:tab/>
      </w:r>
      <w:r w:rsidRPr="00885A23">
        <w:rPr>
          <w:sz w:val="24"/>
          <w:szCs w:val="24"/>
        </w:rPr>
        <w:tab/>
      </w:r>
      <w:r w:rsidRPr="00885A23">
        <w:rPr>
          <w:sz w:val="24"/>
          <w:szCs w:val="24"/>
        </w:rPr>
        <w:tab/>
      </w:r>
      <w:r w:rsidRPr="00885A23">
        <w:rPr>
          <w:sz w:val="24"/>
          <w:szCs w:val="24"/>
        </w:rPr>
        <w:tab/>
      </w:r>
      <w:r w:rsidRPr="00885A23">
        <w:rPr>
          <w:sz w:val="24"/>
          <w:szCs w:val="24"/>
        </w:rPr>
        <w:tab/>
      </w:r>
      <w:r w:rsidRPr="00885A23">
        <w:rPr>
          <w:sz w:val="24"/>
          <w:szCs w:val="24"/>
        </w:rPr>
        <w:tab/>
        <w:t>Special Agent</w:t>
      </w:r>
    </w:p>
    <w:p w:rsidR="000545ED" w:rsidRDefault="000545ED"/>
    <w:sectPr w:rsidR="000545ED" w:rsidSect="00C63030">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3E7" w:rsidRDefault="005803E7" w:rsidP="00AC0378">
      <w:r>
        <w:separator/>
      </w:r>
    </w:p>
  </w:endnote>
  <w:endnote w:type="continuationSeparator" w:id="0">
    <w:p w:rsidR="005803E7" w:rsidRDefault="005803E7" w:rsidP="00AC0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030" w:rsidRDefault="00083774" w:rsidP="00C63030">
    <w:pPr>
      <w:pStyle w:val="Footer"/>
      <w:framePr w:wrap="around" w:vAnchor="text" w:hAnchor="margin" w:xAlign="center" w:y="1"/>
      <w:rPr>
        <w:rStyle w:val="PageNumber"/>
      </w:rPr>
    </w:pPr>
    <w:r>
      <w:rPr>
        <w:rStyle w:val="PageNumber"/>
      </w:rPr>
      <w:fldChar w:fldCharType="begin"/>
    </w:r>
    <w:r w:rsidR="00EC2DE9">
      <w:rPr>
        <w:rStyle w:val="PageNumber"/>
      </w:rPr>
      <w:instrText xml:space="preserve">PAGE  </w:instrText>
    </w:r>
    <w:r>
      <w:rPr>
        <w:rStyle w:val="PageNumber"/>
      </w:rPr>
      <w:fldChar w:fldCharType="end"/>
    </w:r>
  </w:p>
  <w:p w:rsidR="00C63030" w:rsidRDefault="005803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030" w:rsidRPr="00D521F9" w:rsidRDefault="00083774" w:rsidP="00965152">
    <w:pPr>
      <w:pStyle w:val="Footer"/>
      <w:framePr w:wrap="around" w:vAnchor="text" w:hAnchor="margin" w:xAlign="center" w:y="81"/>
      <w:rPr>
        <w:rStyle w:val="PageNumber"/>
        <w:sz w:val="20"/>
        <w:szCs w:val="20"/>
      </w:rPr>
    </w:pPr>
    <w:r w:rsidRPr="00D521F9">
      <w:rPr>
        <w:rStyle w:val="PageNumber"/>
        <w:sz w:val="20"/>
        <w:szCs w:val="20"/>
      </w:rPr>
      <w:fldChar w:fldCharType="begin"/>
    </w:r>
    <w:r w:rsidR="00EC2DE9" w:rsidRPr="00D521F9">
      <w:rPr>
        <w:rStyle w:val="PageNumber"/>
        <w:sz w:val="20"/>
        <w:szCs w:val="20"/>
      </w:rPr>
      <w:instrText xml:space="preserve">PAGE  </w:instrText>
    </w:r>
    <w:r w:rsidRPr="00D521F9">
      <w:rPr>
        <w:rStyle w:val="PageNumber"/>
        <w:sz w:val="20"/>
        <w:szCs w:val="20"/>
      </w:rPr>
      <w:fldChar w:fldCharType="separate"/>
    </w:r>
    <w:r w:rsidR="003B57B8">
      <w:rPr>
        <w:rStyle w:val="PageNumber"/>
        <w:noProof/>
        <w:sz w:val="20"/>
        <w:szCs w:val="20"/>
      </w:rPr>
      <w:t>10</w:t>
    </w:r>
    <w:r w:rsidRPr="00D521F9">
      <w:rPr>
        <w:rStyle w:val="PageNumber"/>
        <w:sz w:val="20"/>
        <w:szCs w:val="20"/>
      </w:rPr>
      <w:fldChar w:fldCharType="end"/>
    </w:r>
  </w:p>
  <w:p w:rsidR="00C63030" w:rsidRPr="00D521F9" w:rsidRDefault="005803E7" w:rsidP="00965152">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3E7" w:rsidRDefault="005803E7" w:rsidP="00AC0378">
      <w:r>
        <w:separator/>
      </w:r>
    </w:p>
  </w:footnote>
  <w:footnote w:type="continuationSeparator" w:id="0">
    <w:p w:rsidR="005803E7" w:rsidRDefault="005803E7" w:rsidP="00AC0378">
      <w:r>
        <w:continuationSeparator/>
      </w:r>
    </w:p>
  </w:footnote>
  <w:footnote w:id="1">
    <w:p w:rsidR="00AF07B6" w:rsidRDefault="00AF07B6">
      <w:pPr>
        <w:pStyle w:val="FootnoteText"/>
      </w:pPr>
      <w:r>
        <w:rPr>
          <w:rStyle w:val="FootnoteReference"/>
        </w:rPr>
        <w:footnoteRef/>
      </w:r>
      <w:r>
        <w:t xml:space="preserve"> </w:t>
      </w:r>
      <w:r w:rsidR="00A80668">
        <w:tab/>
      </w:r>
      <w:r>
        <w:t>The hearing was recorded on tape, no court reporter being present.</w:t>
      </w:r>
    </w:p>
  </w:footnote>
  <w:footnote w:id="2">
    <w:p w:rsidR="008E18A9" w:rsidRDefault="008E18A9">
      <w:pPr>
        <w:pStyle w:val="FootnoteText"/>
      </w:pPr>
      <w:r>
        <w:rPr>
          <w:rStyle w:val="FootnoteReference"/>
        </w:rPr>
        <w:footnoteRef/>
      </w:r>
      <w:r>
        <w:t xml:space="preserve"> </w:t>
      </w:r>
      <w:r w:rsidR="00A80668">
        <w:tab/>
      </w:r>
      <w:r w:rsidR="0081305F">
        <w:t xml:space="preserve">In addition, </w:t>
      </w:r>
      <w:r>
        <w:t>Mr. DeNunizo testified that due to poor eye sight he would need someone to assist him in looking over the exhibits.</w:t>
      </w:r>
    </w:p>
  </w:footnote>
  <w:footnote w:id="3">
    <w:p w:rsidR="00321013" w:rsidRDefault="00321013">
      <w:pPr>
        <w:pStyle w:val="FootnoteText"/>
      </w:pPr>
      <w:r>
        <w:rPr>
          <w:rStyle w:val="FootnoteReference"/>
        </w:rPr>
        <w:footnoteRef/>
      </w:r>
      <w:r>
        <w:t xml:space="preserve">  </w:t>
      </w:r>
      <w:r w:rsidR="00A3596C">
        <w:tab/>
      </w:r>
      <w:r>
        <w:t xml:space="preserve">Complainant’s house is a </w:t>
      </w:r>
      <w:r w:rsidR="003F0808">
        <w:t xml:space="preserve">20 year old </w:t>
      </w:r>
      <w:r>
        <w:t xml:space="preserve">ranch style and consists of </w:t>
      </w:r>
      <w:r w:rsidR="00632812" w:rsidRPr="00632812">
        <w:t>3 bedrooms, a living room, a kitchen a dining room and a full, unfinished basement.  The electrical appliances in the house are 2 televisions, a refrigerator, a various lamps, stereo, a washer and dryer, and a stove.</w:t>
      </w:r>
      <w:r w:rsidR="00632812">
        <w:rPr>
          <w:sz w:val="24"/>
          <w:szCs w:val="24"/>
        </w:rPr>
        <w:t xml:space="preserve"> </w:t>
      </w:r>
      <w:r w:rsidR="00632812" w:rsidRPr="00885A23">
        <w:rPr>
          <w:sz w:val="24"/>
          <w:szCs w:val="24"/>
        </w:rPr>
        <w:t xml:space="preserve"> </w:t>
      </w:r>
    </w:p>
  </w:footnote>
  <w:footnote w:id="4">
    <w:p w:rsidR="00E77C95" w:rsidRDefault="00E77C95" w:rsidP="00E77C95">
      <w:pPr>
        <w:pStyle w:val="FootnoteText"/>
      </w:pPr>
      <w:r>
        <w:rPr>
          <w:rStyle w:val="FootnoteReference"/>
        </w:rPr>
        <w:footnoteRef/>
      </w:r>
      <w:r>
        <w:t xml:space="preserve">  </w:t>
      </w:r>
      <w:r>
        <w:tab/>
      </w:r>
      <w:r w:rsidRPr="000D74CE">
        <w:t xml:space="preserve">See </w:t>
      </w:r>
      <w:proofErr w:type="spellStart"/>
      <w:r w:rsidRPr="000D74CE">
        <w:rPr>
          <w:u w:val="single"/>
        </w:rPr>
        <w:t>Replogle</w:t>
      </w:r>
      <w:proofErr w:type="spellEnd"/>
      <w:r w:rsidRPr="000D74CE">
        <w:rPr>
          <w:u w:val="single"/>
        </w:rPr>
        <w:t xml:space="preserve"> v Pennsylvania Electric Company</w:t>
      </w:r>
      <w:r w:rsidRPr="000D74CE">
        <w:t xml:space="preserve">, 54 Pa. PUC 528 (1980).  See also </w:t>
      </w:r>
      <w:r w:rsidRPr="000D74CE">
        <w:rPr>
          <w:u w:val="single"/>
        </w:rPr>
        <w:t>Waldron v. Philadelphia Electric Co.</w:t>
      </w:r>
      <w:r w:rsidRPr="000D74CE">
        <w:t>, 54 Pa. PUC 98 (1980).</w:t>
      </w:r>
    </w:p>
  </w:footnote>
  <w:footnote w:id="5">
    <w:p w:rsidR="00C633C1" w:rsidRDefault="00C633C1">
      <w:pPr>
        <w:pStyle w:val="FootnoteText"/>
      </w:pPr>
      <w:r>
        <w:rPr>
          <w:rStyle w:val="FootnoteReference"/>
        </w:rPr>
        <w:footnoteRef/>
      </w:r>
      <w:r>
        <w:t xml:space="preserve"> </w:t>
      </w:r>
      <w:r w:rsidR="00E77C95">
        <w:tab/>
      </w:r>
      <w:r>
        <w:t xml:space="preserve">Complainant stated that he believed that his payment arrangement was $237.00 per month </w:t>
      </w:r>
      <w:r w:rsidR="0051066D">
        <w:t>plus</w:t>
      </w:r>
      <w:r>
        <w:t xml:space="preserve"> “$13 or $14 a month” for the arrearage for a total amount of $250.00.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A10939"/>
    <w:multiLevelType w:val="hybridMultilevel"/>
    <w:tmpl w:val="FA16DC96"/>
    <w:lvl w:ilvl="0" w:tplc="229040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0378"/>
    <w:rsid w:val="00015C81"/>
    <w:rsid w:val="00016725"/>
    <w:rsid w:val="00027DB5"/>
    <w:rsid w:val="000360D5"/>
    <w:rsid w:val="00042B57"/>
    <w:rsid w:val="00050FCE"/>
    <w:rsid w:val="000545ED"/>
    <w:rsid w:val="0006130B"/>
    <w:rsid w:val="0006760A"/>
    <w:rsid w:val="00073828"/>
    <w:rsid w:val="00083774"/>
    <w:rsid w:val="00083E76"/>
    <w:rsid w:val="00086F50"/>
    <w:rsid w:val="00087EC1"/>
    <w:rsid w:val="00095503"/>
    <w:rsid w:val="000A22F7"/>
    <w:rsid w:val="000A50AE"/>
    <w:rsid w:val="000B5361"/>
    <w:rsid w:val="000D4F82"/>
    <w:rsid w:val="001071B6"/>
    <w:rsid w:val="001333BB"/>
    <w:rsid w:val="001446FE"/>
    <w:rsid w:val="00156933"/>
    <w:rsid w:val="0017674C"/>
    <w:rsid w:val="00186B3D"/>
    <w:rsid w:val="00191873"/>
    <w:rsid w:val="001C0383"/>
    <w:rsid w:val="001C3014"/>
    <w:rsid w:val="001C5732"/>
    <w:rsid w:val="001E31DC"/>
    <w:rsid w:val="001E3FCA"/>
    <w:rsid w:val="001E7EF6"/>
    <w:rsid w:val="001F5947"/>
    <w:rsid w:val="00200411"/>
    <w:rsid w:val="0020063F"/>
    <w:rsid w:val="00204DF3"/>
    <w:rsid w:val="002365AB"/>
    <w:rsid w:val="00236661"/>
    <w:rsid w:val="00243047"/>
    <w:rsid w:val="00250EEF"/>
    <w:rsid w:val="00252607"/>
    <w:rsid w:val="00255710"/>
    <w:rsid w:val="00256AAC"/>
    <w:rsid w:val="00284830"/>
    <w:rsid w:val="002921AF"/>
    <w:rsid w:val="002A0263"/>
    <w:rsid w:val="002B6C2A"/>
    <w:rsid w:val="002B6ED4"/>
    <w:rsid w:val="002D023E"/>
    <w:rsid w:val="002E63EE"/>
    <w:rsid w:val="003116CA"/>
    <w:rsid w:val="00315473"/>
    <w:rsid w:val="00315910"/>
    <w:rsid w:val="003167E4"/>
    <w:rsid w:val="00321013"/>
    <w:rsid w:val="00350A46"/>
    <w:rsid w:val="00367581"/>
    <w:rsid w:val="00375AF3"/>
    <w:rsid w:val="00393E6B"/>
    <w:rsid w:val="00394B97"/>
    <w:rsid w:val="003952A7"/>
    <w:rsid w:val="0039716F"/>
    <w:rsid w:val="003B4D38"/>
    <w:rsid w:val="003B57B8"/>
    <w:rsid w:val="003B5F02"/>
    <w:rsid w:val="003C58CA"/>
    <w:rsid w:val="003D16B5"/>
    <w:rsid w:val="003D646F"/>
    <w:rsid w:val="003E31CF"/>
    <w:rsid w:val="003E35DD"/>
    <w:rsid w:val="003F0808"/>
    <w:rsid w:val="003F7770"/>
    <w:rsid w:val="0040235A"/>
    <w:rsid w:val="004263CC"/>
    <w:rsid w:val="004359F9"/>
    <w:rsid w:val="00437E32"/>
    <w:rsid w:val="00443FFF"/>
    <w:rsid w:val="00444553"/>
    <w:rsid w:val="004500C9"/>
    <w:rsid w:val="00454DE3"/>
    <w:rsid w:val="004775E5"/>
    <w:rsid w:val="00496B1C"/>
    <w:rsid w:val="004A07FA"/>
    <w:rsid w:val="004A5347"/>
    <w:rsid w:val="004A596B"/>
    <w:rsid w:val="004A6954"/>
    <w:rsid w:val="004C09C5"/>
    <w:rsid w:val="004D0524"/>
    <w:rsid w:val="004D0BB4"/>
    <w:rsid w:val="004E016F"/>
    <w:rsid w:val="004F4388"/>
    <w:rsid w:val="0051061B"/>
    <w:rsid w:val="0051066D"/>
    <w:rsid w:val="0052099F"/>
    <w:rsid w:val="0052447B"/>
    <w:rsid w:val="00526496"/>
    <w:rsid w:val="0052683B"/>
    <w:rsid w:val="0053454A"/>
    <w:rsid w:val="00553733"/>
    <w:rsid w:val="0057631D"/>
    <w:rsid w:val="005803E7"/>
    <w:rsid w:val="005814BA"/>
    <w:rsid w:val="005B12B0"/>
    <w:rsid w:val="005B33A1"/>
    <w:rsid w:val="005C6575"/>
    <w:rsid w:val="005D438C"/>
    <w:rsid w:val="005D5E22"/>
    <w:rsid w:val="005F6885"/>
    <w:rsid w:val="00601537"/>
    <w:rsid w:val="00624947"/>
    <w:rsid w:val="006253F0"/>
    <w:rsid w:val="006266F7"/>
    <w:rsid w:val="0062758C"/>
    <w:rsid w:val="00632812"/>
    <w:rsid w:val="006425C1"/>
    <w:rsid w:val="006762DA"/>
    <w:rsid w:val="006820D5"/>
    <w:rsid w:val="00694D6A"/>
    <w:rsid w:val="006A38F1"/>
    <w:rsid w:val="006B0806"/>
    <w:rsid w:val="006B5C8A"/>
    <w:rsid w:val="006B5EBE"/>
    <w:rsid w:val="006C7954"/>
    <w:rsid w:val="006D2E6E"/>
    <w:rsid w:val="006D5703"/>
    <w:rsid w:val="006E2576"/>
    <w:rsid w:val="00704A29"/>
    <w:rsid w:val="00714805"/>
    <w:rsid w:val="007207BF"/>
    <w:rsid w:val="007225A1"/>
    <w:rsid w:val="007476CB"/>
    <w:rsid w:val="00764273"/>
    <w:rsid w:val="00790D57"/>
    <w:rsid w:val="007A3426"/>
    <w:rsid w:val="007A4EDD"/>
    <w:rsid w:val="007B0503"/>
    <w:rsid w:val="007B541A"/>
    <w:rsid w:val="007B6C4C"/>
    <w:rsid w:val="007C02B2"/>
    <w:rsid w:val="007C6FAF"/>
    <w:rsid w:val="007F657B"/>
    <w:rsid w:val="00803299"/>
    <w:rsid w:val="00805698"/>
    <w:rsid w:val="00806D39"/>
    <w:rsid w:val="008114F5"/>
    <w:rsid w:val="0081305F"/>
    <w:rsid w:val="00845D35"/>
    <w:rsid w:val="00846AD3"/>
    <w:rsid w:val="00852514"/>
    <w:rsid w:val="00864AFA"/>
    <w:rsid w:val="00880268"/>
    <w:rsid w:val="008873BB"/>
    <w:rsid w:val="00897ED1"/>
    <w:rsid w:val="008B231F"/>
    <w:rsid w:val="008C0D63"/>
    <w:rsid w:val="008E18A9"/>
    <w:rsid w:val="008E4941"/>
    <w:rsid w:val="008E5A05"/>
    <w:rsid w:val="009007B3"/>
    <w:rsid w:val="00906ABF"/>
    <w:rsid w:val="00930190"/>
    <w:rsid w:val="0094745A"/>
    <w:rsid w:val="00974EB9"/>
    <w:rsid w:val="009821D9"/>
    <w:rsid w:val="009B1609"/>
    <w:rsid w:val="009B55FD"/>
    <w:rsid w:val="009D2F5B"/>
    <w:rsid w:val="009D6DB7"/>
    <w:rsid w:val="009E04EF"/>
    <w:rsid w:val="009E5001"/>
    <w:rsid w:val="009F4D2A"/>
    <w:rsid w:val="00A1151A"/>
    <w:rsid w:val="00A20789"/>
    <w:rsid w:val="00A229A7"/>
    <w:rsid w:val="00A3596C"/>
    <w:rsid w:val="00A6270A"/>
    <w:rsid w:val="00A6506B"/>
    <w:rsid w:val="00A65616"/>
    <w:rsid w:val="00A70B32"/>
    <w:rsid w:val="00A725CE"/>
    <w:rsid w:val="00A80668"/>
    <w:rsid w:val="00A95418"/>
    <w:rsid w:val="00AB0C21"/>
    <w:rsid w:val="00AB5378"/>
    <w:rsid w:val="00AB6A58"/>
    <w:rsid w:val="00AC0378"/>
    <w:rsid w:val="00AF07B6"/>
    <w:rsid w:val="00B05767"/>
    <w:rsid w:val="00B156CE"/>
    <w:rsid w:val="00B20BA1"/>
    <w:rsid w:val="00B22686"/>
    <w:rsid w:val="00B46F17"/>
    <w:rsid w:val="00B552D4"/>
    <w:rsid w:val="00B75337"/>
    <w:rsid w:val="00B9601C"/>
    <w:rsid w:val="00BB4BDA"/>
    <w:rsid w:val="00BD55CF"/>
    <w:rsid w:val="00BE50BD"/>
    <w:rsid w:val="00BE7D22"/>
    <w:rsid w:val="00BF0F73"/>
    <w:rsid w:val="00BF3CDD"/>
    <w:rsid w:val="00BF54F7"/>
    <w:rsid w:val="00BF76B1"/>
    <w:rsid w:val="00C024AB"/>
    <w:rsid w:val="00C07627"/>
    <w:rsid w:val="00C1294E"/>
    <w:rsid w:val="00C14D44"/>
    <w:rsid w:val="00C175F1"/>
    <w:rsid w:val="00C46C96"/>
    <w:rsid w:val="00C633C1"/>
    <w:rsid w:val="00C912FA"/>
    <w:rsid w:val="00CA34F4"/>
    <w:rsid w:val="00CB2D9D"/>
    <w:rsid w:val="00CD2D89"/>
    <w:rsid w:val="00CF64F1"/>
    <w:rsid w:val="00D025C4"/>
    <w:rsid w:val="00D06209"/>
    <w:rsid w:val="00D12879"/>
    <w:rsid w:val="00D158B0"/>
    <w:rsid w:val="00D52320"/>
    <w:rsid w:val="00D7603A"/>
    <w:rsid w:val="00D8224E"/>
    <w:rsid w:val="00D8552C"/>
    <w:rsid w:val="00D971EB"/>
    <w:rsid w:val="00DB0CDD"/>
    <w:rsid w:val="00DD3409"/>
    <w:rsid w:val="00DE3A75"/>
    <w:rsid w:val="00DE6C9C"/>
    <w:rsid w:val="00DF476C"/>
    <w:rsid w:val="00E01CF5"/>
    <w:rsid w:val="00E1316E"/>
    <w:rsid w:val="00E16390"/>
    <w:rsid w:val="00E168C7"/>
    <w:rsid w:val="00E2066A"/>
    <w:rsid w:val="00E21CAA"/>
    <w:rsid w:val="00E32D62"/>
    <w:rsid w:val="00E36652"/>
    <w:rsid w:val="00E37580"/>
    <w:rsid w:val="00E413DF"/>
    <w:rsid w:val="00E57C5E"/>
    <w:rsid w:val="00E61CEB"/>
    <w:rsid w:val="00E734AF"/>
    <w:rsid w:val="00E74899"/>
    <w:rsid w:val="00E77BA3"/>
    <w:rsid w:val="00E77C95"/>
    <w:rsid w:val="00E82552"/>
    <w:rsid w:val="00E92012"/>
    <w:rsid w:val="00EC2DE9"/>
    <w:rsid w:val="00EE3480"/>
    <w:rsid w:val="00F004D4"/>
    <w:rsid w:val="00F174AB"/>
    <w:rsid w:val="00F2481B"/>
    <w:rsid w:val="00F37763"/>
    <w:rsid w:val="00F40EBD"/>
    <w:rsid w:val="00F47AF3"/>
    <w:rsid w:val="00F54588"/>
    <w:rsid w:val="00F555B3"/>
    <w:rsid w:val="00F6145E"/>
    <w:rsid w:val="00FA09D6"/>
    <w:rsid w:val="00FB5AF9"/>
    <w:rsid w:val="00FD03D0"/>
    <w:rsid w:val="00FE7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378"/>
    <w:pPr>
      <w:spacing w:after="0"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C0378"/>
    <w:rPr>
      <w:sz w:val="20"/>
      <w:szCs w:val="20"/>
    </w:rPr>
  </w:style>
  <w:style w:type="character" w:customStyle="1" w:styleId="FootnoteTextChar">
    <w:name w:val="Footnote Text Char"/>
    <w:basedOn w:val="DefaultParagraphFont"/>
    <w:link w:val="FootnoteText"/>
    <w:semiHidden/>
    <w:rsid w:val="00AC0378"/>
    <w:rPr>
      <w:rFonts w:ascii="Times New Roman" w:eastAsia="Calibri" w:hAnsi="Times New Roman" w:cs="Times New Roman"/>
      <w:sz w:val="20"/>
      <w:szCs w:val="20"/>
    </w:rPr>
  </w:style>
  <w:style w:type="character" w:styleId="FootnoteReference">
    <w:name w:val="footnote reference"/>
    <w:basedOn w:val="DefaultParagraphFont"/>
    <w:semiHidden/>
    <w:rsid w:val="00AC0378"/>
    <w:rPr>
      <w:rFonts w:cs="Times New Roman"/>
      <w:vertAlign w:val="superscript"/>
    </w:rPr>
  </w:style>
  <w:style w:type="paragraph" w:styleId="Footer">
    <w:name w:val="footer"/>
    <w:basedOn w:val="Normal"/>
    <w:link w:val="FooterChar"/>
    <w:rsid w:val="00AC0378"/>
    <w:pPr>
      <w:tabs>
        <w:tab w:val="center" w:pos="4320"/>
        <w:tab w:val="right" w:pos="8640"/>
      </w:tabs>
    </w:pPr>
  </w:style>
  <w:style w:type="character" w:customStyle="1" w:styleId="FooterChar">
    <w:name w:val="Footer Char"/>
    <w:basedOn w:val="DefaultParagraphFont"/>
    <w:link w:val="Footer"/>
    <w:rsid w:val="00AC0378"/>
    <w:rPr>
      <w:rFonts w:ascii="Times New Roman" w:eastAsia="Calibri" w:hAnsi="Times New Roman" w:cs="Times New Roman"/>
      <w:sz w:val="26"/>
      <w:szCs w:val="26"/>
    </w:rPr>
  </w:style>
  <w:style w:type="character" w:styleId="PageNumber">
    <w:name w:val="page number"/>
    <w:basedOn w:val="DefaultParagraphFont"/>
    <w:rsid w:val="00AC0378"/>
    <w:rPr>
      <w:rFonts w:cs="Times New Roman"/>
    </w:rPr>
  </w:style>
  <w:style w:type="paragraph" w:customStyle="1" w:styleId="TxBrt1">
    <w:name w:val="TxBr_t1"/>
    <w:basedOn w:val="Normal"/>
    <w:rsid w:val="00AC0378"/>
    <w:pPr>
      <w:widowControl w:val="0"/>
      <w:autoSpaceDE w:val="0"/>
      <w:autoSpaceDN w:val="0"/>
      <w:adjustRightInd w:val="0"/>
      <w:spacing w:line="240" w:lineRule="atLeast"/>
    </w:pPr>
    <w:rPr>
      <w:sz w:val="24"/>
      <w:szCs w:val="24"/>
    </w:rPr>
  </w:style>
  <w:style w:type="paragraph" w:customStyle="1" w:styleId="TxBrc2">
    <w:name w:val="TxBr_c2"/>
    <w:basedOn w:val="Normal"/>
    <w:rsid w:val="00AC0378"/>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AC0378"/>
    <w:pPr>
      <w:widowControl w:val="0"/>
      <w:tabs>
        <w:tab w:val="left" w:pos="204"/>
      </w:tabs>
      <w:autoSpaceDE w:val="0"/>
      <w:autoSpaceDN w:val="0"/>
      <w:adjustRightInd w:val="0"/>
      <w:spacing w:line="419" w:lineRule="atLeast"/>
    </w:pPr>
    <w:rPr>
      <w:sz w:val="24"/>
      <w:szCs w:val="24"/>
    </w:rPr>
  </w:style>
  <w:style w:type="paragraph" w:styleId="BalloonText">
    <w:name w:val="Balloon Text"/>
    <w:basedOn w:val="Normal"/>
    <w:link w:val="BalloonTextChar"/>
    <w:uiPriority w:val="99"/>
    <w:semiHidden/>
    <w:unhideWhenUsed/>
    <w:rsid w:val="00C46C96"/>
    <w:rPr>
      <w:rFonts w:ascii="Tahoma" w:hAnsi="Tahoma" w:cs="Tahoma"/>
      <w:sz w:val="16"/>
      <w:szCs w:val="16"/>
    </w:rPr>
  </w:style>
  <w:style w:type="character" w:customStyle="1" w:styleId="BalloonTextChar">
    <w:name w:val="Balloon Text Char"/>
    <w:basedOn w:val="DefaultParagraphFont"/>
    <w:link w:val="BalloonText"/>
    <w:uiPriority w:val="99"/>
    <w:semiHidden/>
    <w:rsid w:val="00C46C96"/>
    <w:rPr>
      <w:rFonts w:ascii="Tahoma" w:eastAsia="Calibri" w:hAnsi="Tahoma" w:cs="Tahoma"/>
      <w:sz w:val="16"/>
      <w:szCs w:val="16"/>
    </w:rPr>
  </w:style>
  <w:style w:type="paragraph" w:styleId="Header">
    <w:name w:val="header"/>
    <w:basedOn w:val="Normal"/>
    <w:link w:val="HeaderChar"/>
    <w:uiPriority w:val="99"/>
    <w:semiHidden/>
    <w:unhideWhenUsed/>
    <w:rsid w:val="003952A7"/>
    <w:pPr>
      <w:tabs>
        <w:tab w:val="center" w:pos="4680"/>
        <w:tab w:val="right" w:pos="9360"/>
      </w:tabs>
    </w:pPr>
  </w:style>
  <w:style w:type="character" w:customStyle="1" w:styleId="HeaderChar">
    <w:name w:val="Header Char"/>
    <w:basedOn w:val="DefaultParagraphFont"/>
    <w:link w:val="Header"/>
    <w:uiPriority w:val="99"/>
    <w:semiHidden/>
    <w:rsid w:val="003952A7"/>
    <w:rPr>
      <w:rFonts w:ascii="Times New Roman" w:eastAsia="Calibri" w:hAnsi="Times New Roman" w:cs="Times New Roman"/>
      <w:sz w:val="26"/>
      <w:szCs w:val="26"/>
    </w:rPr>
  </w:style>
  <w:style w:type="paragraph" w:styleId="ListParagraph">
    <w:name w:val="List Paragraph"/>
    <w:basedOn w:val="Normal"/>
    <w:uiPriority w:val="34"/>
    <w:qFormat/>
    <w:rsid w:val="003952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27D9D-4889-4BA4-B36C-48214883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2621</Words>
  <Characters>14941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2</cp:revision>
  <cp:lastPrinted>2011-02-09T20:13:00Z</cp:lastPrinted>
  <dcterms:created xsi:type="dcterms:W3CDTF">2011-02-16T14:00:00Z</dcterms:created>
  <dcterms:modified xsi:type="dcterms:W3CDTF">2011-02-16T14:00:00Z</dcterms:modified>
</cp:coreProperties>
</file>