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88C" w:rsidRDefault="003A388C" w:rsidP="003A388C">
      <w:pPr>
        <w:jc w:val="center"/>
        <w:rPr>
          <w:b/>
          <w:bCs/>
        </w:rPr>
      </w:pPr>
      <w:r>
        <w:rPr>
          <w:b/>
          <w:bCs/>
        </w:rPr>
        <w:t>BEFORE THE</w:t>
      </w:r>
    </w:p>
    <w:p w:rsidR="003A388C" w:rsidRDefault="003A388C" w:rsidP="003A388C">
      <w:pPr>
        <w:jc w:val="center"/>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rsidR="003A388C" w:rsidRDefault="003A388C" w:rsidP="003A388C"/>
    <w:p w:rsidR="003A388C" w:rsidRDefault="003A388C" w:rsidP="003A388C"/>
    <w:p w:rsidR="003A388C" w:rsidRDefault="00092A30" w:rsidP="003A388C">
      <w:r>
        <w:t>Lula Stokes</w:t>
      </w:r>
      <w:r>
        <w:tab/>
      </w:r>
      <w:r>
        <w:tab/>
      </w:r>
      <w:r w:rsidR="003A388C">
        <w:tab/>
      </w:r>
      <w:r w:rsidR="003A388C">
        <w:fldChar w:fldCharType="begin"/>
      </w:r>
      <w:r w:rsidR="003A388C">
        <w:instrText>fillin "Complainant's name" \d ""</w:instrText>
      </w:r>
      <w:r w:rsidR="003A388C">
        <w:fldChar w:fldCharType="end"/>
      </w:r>
      <w:r w:rsidR="003A388C">
        <w:tab/>
      </w:r>
      <w:r w:rsidR="003A388C">
        <w:tab/>
      </w:r>
      <w:r w:rsidR="003A388C">
        <w:tab/>
        <w:t>:</w:t>
      </w:r>
    </w:p>
    <w:p w:rsidR="003A388C" w:rsidRDefault="003A388C" w:rsidP="003A388C">
      <w:r>
        <w:tab/>
      </w:r>
      <w:r>
        <w:tab/>
      </w:r>
      <w:r>
        <w:tab/>
      </w:r>
      <w:r>
        <w:tab/>
      </w:r>
      <w:r>
        <w:tab/>
      </w:r>
      <w:r>
        <w:tab/>
      </w:r>
      <w:r>
        <w:tab/>
        <w:t>:</w:t>
      </w:r>
    </w:p>
    <w:p w:rsidR="003A388C" w:rsidRDefault="003A388C" w:rsidP="003A388C">
      <w:r>
        <w:tab/>
        <w:t>v.</w:t>
      </w:r>
      <w:r>
        <w:tab/>
      </w:r>
      <w:r>
        <w:tab/>
      </w:r>
      <w:r>
        <w:tab/>
      </w:r>
      <w:r>
        <w:tab/>
      </w:r>
      <w:r>
        <w:tab/>
      </w:r>
      <w:r>
        <w:tab/>
        <w:t>:</w:t>
      </w:r>
      <w:r>
        <w:tab/>
      </w:r>
      <w:r>
        <w:tab/>
      </w:r>
      <w:r w:rsidR="007B5326">
        <w:t>C</w:t>
      </w:r>
      <w:r>
        <w:t>-2010-21</w:t>
      </w:r>
      <w:r w:rsidR="007B5326">
        <w:t>9</w:t>
      </w:r>
      <w:r w:rsidR="00092A30">
        <w:t>6471</w:t>
      </w:r>
    </w:p>
    <w:p w:rsidR="003A388C" w:rsidRDefault="003A388C" w:rsidP="003A388C">
      <w:r>
        <w:tab/>
      </w:r>
      <w:r>
        <w:tab/>
      </w:r>
      <w:r>
        <w:tab/>
      </w:r>
      <w:r>
        <w:tab/>
      </w:r>
      <w:r>
        <w:tab/>
      </w:r>
      <w:r>
        <w:tab/>
      </w:r>
      <w:r>
        <w:tab/>
        <w:t>:</w:t>
      </w:r>
      <w:r>
        <w:tab/>
      </w:r>
      <w:r>
        <w:tab/>
      </w:r>
      <w:r>
        <w:fldChar w:fldCharType="begin"/>
      </w:r>
      <w:r>
        <w:instrText>fillin "Docket No." \d ""</w:instrText>
      </w:r>
      <w:r>
        <w:fldChar w:fldCharType="end"/>
      </w:r>
    </w:p>
    <w:p w:rsidR="003A388C" w:rsidRDefault="007B5326" w:rsidP="003A388C">
      <w:r>
        <w:t>P</w:t>
      </w:r>
      <w:r w:rsidR="00092A30">
        <w:t>hiladelphia Gas Works</w:t>
      </w:r>
      <w:r w:rsidR="003A388C">
        <w:tab/>
      </w:r>
      <w:r w:rsidR="003A388C">
        <w:tab/>
      </w:r>
      <w:r w:rsidR="003A388C">
        <w:tab/>
      </w:r>
      <w:r w:rsidR="003A388C">
        <w:fldChar w:fldCharType="begin"/>
      </w:r>
      <w:r w:rsidR="003A388C">
        <w:instrText>fillin "Respondent's name" \d ""</w:instrText>
      </w:r>
      <w:r w:rsidR="003A388C">
        <w:fldChar w:fldCharType="end"/>
      </w:r>
      <w:r w:rsidR="003A388C">
        <w:tab/>
        <w:t>:</w:t>
      </w:r>
    </w:p>
    <w:p w:rsidR="003A388C" w:rsidRDefault="003A388C" w:rsidP="003A388C"/>
    <w:p w:rsidR="003A388C" w:rsidRDefault="003A388C" w:rsidP="003A388C"/>
    <w:p w:rsidR="003A388C" w:rsidRDefault="005A56BE" w:rsidP="003A388C">
      <w:pPr>
        <w:jc w:val="center"/>
        <w:rPr>
          <w:b/>
          <w:u w:val="single"/>
        </w:rPr>
      </w:pPr>
      <w:r>
        <w:rPr>
          <w:b/>
          <w:u w:val="single"/>
        </w:rPr>
        <w:t>IN</w:t>
      </w:r>
      <w:r w:rsidR="00C571F8">
        <w:rPr>
          <w:b/>
          <w:u w:val="single"/>
        </w:rPr>
        <w:t>ITIAL DECISION</w:t>
      </w:r>
    </w:p>
    <w:p w:rsidR="003A388C" w:rsidRDefault="003A388C" w:rsidP="003A388C">
      <w:pPr>
        <w:jc w:val="center"/>
        <w:rPr>
          <w:b/>
          <w:u w:val="single"/>
        </w:rPr>
      </w:pPr>
    </w:p>
    <w:p w:rsidR="003A388C" w:rsidRDefault="003A388C" w:rsidP="003A388C">
      <w:pPr>
        <w:jc w:val="center"/>
      </w:pPr>
      <w:r>
        <w:t>Before</w:t>
      </w:r>
    </w:p>
    <w:p w:rsidR="003A388C" w:rsidRDefault="003A388C" w:rsidP="003A388C">
      <w:pPr>
        <w:jc w:val="center"/>
      </w:pPr>
      <w:r>
        <w:t>Angela T. Jones</w:t>
      </w:r>
    </w:p>
    <w:p w:rsidR="003A388C" w:rsidRDefault="003A388C" w:rsidP="003A388C">
      <w:pPr>
        <w:jc w:val="center"/>
      </w:pPr>
      <w:r>
        <w:t>Administrative Law Judge</w:t>
      </w:r>
    </w:p>
    <w:p w:rsidR="003A388C" w:rsidRDefault="003A388C" w:rsidP="003A388C">
      <w:pPr>
        <w:jc w:val="center"/>
      </w:pPr>
    </w:p>
    <w:p w:rsidR="003A388C" w:rsidRDefault="003A388C" w:rsidP="003A388C">
      <w:pPr>
        <w:jc w:val="center"/>
        <w:rPr>
          <w:u w:val="single"/>
        </w:rPr>
      </w:pPr>
    </w:p>
    <w:p w:rsidR="003A388C" w:rsidRDefault="003A388C" w:rsidP="003A388C">
      <w:pPr>
        <w:jc w:val="center"/>
        <w:rPr>
          <w:u w:val="single"/>
        </w:rPr>
      </w:pPr>
      <w:r>
        <w:rPr>
          <w:u w:val="single"/>
        </w:rPr>
        <w:t>HISTORY OF THE PROCEEDING</w:t>
      </w:r>
    </w:p>
    <w:p w:rsidR="003A388C" w:rsidRDefault="003A388C" w:rsidP="003A388C">
      <w:pPr>
        <w:jc w:val="center"/>
        <w:rPr>
          <w:u w:val="single"/>
        </w:rPr>
      </w:pPr>
    </w:p>
    <w:p w:rsidR="003A388C" w:rsidRDefault="003A388C" w:rsidP="003A388C">
      <w:pPr>
        <w:jc w:val="center"/>
        <w:rPr>
          <w:u w:val="single"/>
        </w:rPr>
      </w:pPr>
    </w:p>
    <w:p w:rsidR="00CA6FE1" w:rsidRDefault="00CA6FE1" w:rsidP="00CA6FE1">
      <w:pPr>
        <w:tabs>
          <w:tab w:val="left" w:pos="2160"/>
        </w:tabs>
        <w:spacing w:line="360" w:lineRule="auto"/>
        <w:ind w:firstLine="1440"/>
      </w:pPr>
      <w:r>
        <w:t>On August 26, 2010, Ms. Lula Stokes (“Complainant”) filed a formal complaint (“complaint”) against Philadelphia Gas Works (“PGW” or “Company” or “Respondent”) with the Pennsylvania Public Utility Commission (“Commission” or “PUC”).  Complainant claimed PGW was in front of her property at 2163 N. 15</w:t>
      </w:r>
      <w:r>
        <w:rPr>
          <w:vertAlign w:val="superscript"/>
        </w:rPr>
        <w:t>th</w:t>
      </w:r>
      <w:r>
        <w:t xml:space="preserve"> Street, Philadelphia, Pennsylvania (“service address”) conducting a dig on June 22, 2010.  Complainant contended that a water pipe began leaking while she observed PGW’s dig which was not leaking previously.  Complainant requested that PGW pay all expenses to resolve the leaking water pipe at her property.</w:t>
      </w:r>
    </w:p>
    <w:p w:rsidR="00CA6FE1" w:rsidRDefault="00CA6FE1" w:rsidP="00CA6FE1">
      <w:pPr>
        <w:tabs>
          <w:tab w:val="left" w:pos="2160"/>
        </w:tabs>
        <w:spacing w:line="360" w:lineRule="auto"/>
        <w:ind w:firstLine="1440"/>
      </w:pPr>
    </w:p>
    <w:p w:rsidR="00CA6FE1" w:rsidRDefault="00CA6FE1" w:rsidP="00CA6FE1">
      <w:pPr>
        <w:tabs>
          <w:tab w:val="left" w:pos="2160"/>
        </w:tabs>
        <w:spacing w:line="360" w:lineRule="auto"/>
        <w:ind w:firstLine="1440"/>
      </w:pPr>
      <w:r>
        <w:t xml:space="preserve">On September 21, 2010, Laureto Farinas, Esquire, attorney for PGW, filed concurrently an Answer and Preliminary Objections against this dispute.  PGW denied that there was excavation in front of the service address on June 22, 2010.  PGW affirmed that excavation took place in front of the service address on May 24, 2010.  PGW communicated to the Complainant’s representative that PGW had no evidence that its contractor’s work caused a problem at the service address.  PGW instructed the Complainant’s representative to arrange a date and time to observe with a plumber selected by the Complainant an investigation of the cause of the leak.  PGW communicated its policy to the Complainant regarding liability claims </w:t>
      </w:r>
      <w:r>
        <w:lastRenderedPageBreak/>
        <w:t>by letter.  PGW requested that the Commission find against the Complainant because the Commission does not have the authority to award damages.</w:t>
      </w:r>
    </w:p>
    <w:p w:rsidR="00CA6FE1" w:rsidRDefault="00CA6FE1" w:rsidP="00CA6FE1">
      <w:pPr>
        <w:tabs>
          <w:tab w:val="left" w:pos="-720"/>
        </w:tabs>
        <w:suppressAutoHyphens/>
        <w:spacing w:line="360" w:lineRule="auto"/>
        <w:ind w:firstLine="1440"/>
        <w:rPr>
          <w:spacing w:val="-3"/>
        </w:rPr>
      </w:pPr>
    </w:p>
    <w:p w:rsidR="00CA6FE1" w:rsidRDefault="00CA6FE1" w:rsidP="00CA6FE1">
      <w:pPr>
        <w:tabs>
          <w:tab w:val="left" w:pos="-720"/>
        </w:tabs>
        <w:suppressAutoHyphens/>
        <w:spacing w:line="360" w:lineRule="auto"/>
        <w:ind w:firstLine="1440"/>
        <w:rPr>
          <w:spacing w:val="-3"/>
        </w:rPr>
      </w:pPr>
      <w:r>
        <w:rPr>
          <w:spacing w:val="-3"/>
        </w:rPr>
        <w:t>The Preliminary Objections were endorsed with a Notice to Plead.</w:t>
      </w:r>
    </w:p>
    <w:p w:rsidR="00CA6FE1" w:rsidRDefault="00CA6FE1" w:rsidP="00CA6FE1">
      <w:pPr>
        <w:tabs>
          <w:tab w:val="left" w:pos="-720"/>
        </w:tabs>
        <w:suppressAutoHyphens/>
        <w:spacing w:line="360" w:lineRule="auto"/>
        <w:ind w:firstLine="1440"/>
        <w:rPr>
          <w:spacing w:val="-3"/>
        </w:rPr>
      </w:pPr>
    </w:p>
    <w:p w:rsidR="00CA6FE1" w:rsidRDefault="00CA6FE1" w:rsidP="00CA6FE1">
      <w:pPr>
        <w:tabs>
          <w:tab w:val="left" w:pos="-720"/>
        </w:tabs>
        <w:suppressAutoHyphens/>
        <w:spacing w:line="360" w:lineRule="auto"/>
        <w:ind w:firstLine="1440"/>
        <w:rPr>
          <w:spacing w:val="-3"/>
        </w:rPr>
      </w:pPr>
      <w:r>
        <w:rPr>
          <w:spacing w:val="-3"/>
        </w:rPr>
        <w:t xml:space="preserve">Pursuant to 52 Pa.Code §§ 1.12(a) and 5.101(f), Complainant’s response to Respondent’s Preliminary Objections was due no later than October 1, 2010.  Complainant failed to respond to the Preliminary Objections.  </w:t>
      </w:r>
    </w:p>
    <w:p w:rsidR="00CA6FE1" w:rsidRDefault="00CA6FE1" w:rsidP="00CA6FE1">
      <w:pPr>
        <w:spacing w:line="360" w:lineRule="auto"/>
        <w:ind w:firstLine="1440"/>
      </w:pPr>
    </w:p>
    <w:p w:rsidR="00CA6FE1" w:rsidRDefault="00CA6FE1" w:rsidP="00CA6FE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Respondent’s Preliminary Objections are procedurally ready to be ruled upon.</w:t>
      </w:r>
    </w:p>
    <w:p w:rsidR="00CA6FE1" w:rsidRDefault="00CA6FE1" w:rsidP="00CA6FE1">
      <w:pPr>
        <w:pStyle w:val="ParaTab1"/>
        <w:spacing w:line="360" w:lineRule="auto"/>
        <w:ind w:firstLine="0"/>
        <w:rPr>
          <w:rFonts w:ascii="Times New Roman" w:hAnsi="Times New Roman" w:cs="Times New Roman"/>
          <w:spacing w:val="-3"/>
        </w:rPr>
      </w:pPr>
    </w:p>
    <w:p w:rsidR="00CA6FE1" w:rsidRDefault="00CA6FE1" w:rsidP="00CA6FE1">
      <w:pPr>
        <w:spacing w:line="360" w:lineRule="auto"/>
        <w:jc w:val="center"/>
        <w:rPr>
          <w:u w:val="single"/>
        </w:rPr>
      </w:pPr>
      <w:r>
        <w:rPr>
          <w:u w:val="single"/>
        </w:rPr>
        <w:t>DISCUSSION</w:t>
      </w:r>
    </w:p>
    <w:p w:rsidR="00CA6FE1" w:rsidRDefault="00CA6FE1" w:rsidP="00CA6FE1">
      <w:pPr>
        <w:tabs>
          <w:tab w:val="left" w:pos="2160"/>
        </w:tabs>
        <w:spacing w:line="360" w:lineRule="auto"/>
        <w:jc w:val="center"/>
        <w:rPr>
          <w:u w:val="single"/>
        </w:rPr>
      </w:pPr>
    </w:p>
    <w:p w:rsidR="00CA6FE1" w:rsidRDefault="00CA6FE1" w:rsidP="00CA6FE1">
      <w:pPr>
        <w:spacing w:line="360" w:lineRule="auto"/>
        <w:ind w:firstLine="1440"/>
      </w:pPr>
      <w:r>
        <w:rPr>
          <w:spacing w:val="-3"/>
        </w:rPr>
        <w:t xml:space="preserve">The Commission’s Rules of Administrative Practice and Procedure, 52 Pa.Code Chapters 1, 3 and 5, provide for the filing of preliminary objections.  </w:t>
      </w:r>
      <w:r w:rsidR="0017697F">
        <w:rPr>
          <w:spacing w:val="-3"/>
        </w:rPr>
        <w:t xml:space="preserve">See specifically, </w:t>
      </w:r>
      <w:r>
        <w:rPr>
          <w:spacing w:val="-3"/>
        </w:rPr>
        <w:t xml:space="preserve">52 </w:t>
      </w:r>
      <w:proofErr w:type="spellStart"/>
      <w:r>
        <w:rPr>
          <w:spacing w:val="-3"/>
        </w:rPr>
        <w:t>Pa.Code</w:t>
      </w:r>
      <w:proofErr w:type="spellEnd"/>
      <w:r>
        <w:rPr>
          <w:spacing w:val="-3"/>
        </w:rPr>
        <w:t xml:space="preserve"> § 5.101.  </w:t>
      </w:r>
      <w:r>
        <w:t xml:space="preserve">Commission preliminary objection practice is comparable to Pennsylvania civil practice respecting the filing of preliminary objections.  </w:t>
      </w:r>
      <w:r>
        <w:rPr>
          <w:i/>
        </w:rPr>
        <w:t>Equitable Small Transportation Intervenors v. Equitable Gas Company</w:t>
      </w:r>
      <w:r>
        <w:t xml:space="preserve">, 1994 Pa PUC LEXIS 69, Docket No. </w:t>
      </w:r>
      <w:proofErr w:type="gramStart"/>
      <w:r>
        <w:t>C-00935435 (July 18, 1994).</w:t>
      </w:r>
      <w:proofErr w:type="gramEnd"/>
      <w:r>
        <w:t xml:space="preserve"> </w:t>
      </w:r>
      <w:r>
        <w:rPr>
          <w:spacing w:val="-3"/>
        </w:rPr>
        <w:t xml:space="preserve"> Respondent has filed preliminary objections averring that the requested relief includes impertinent matter and therefore the relief should be stricken.  52 Pa.Code § 5.101(a</w:t>
      </w:r>
      <w:proofErr w:type="gramStart"/>
      <w:r>
        <w:rPr>
          <w:spacing w:val="-3"/>
        </w:rPr>
        <w:t>)(</w:t>
      </w:r>
      <w:proofErr w:type="gramEnd"/>
      <w:r>
        <w:rPr>
          <w:spacing w:val="-3"/>
        </w:rPr>
        <w:t>2).</w:t>
      </w:r>
    </w:p>
    <w:p w:rsidR="00CA6FE1" w:rsidRDefault="00CA6FE1" w:rsidP="00CA6FE1">
      <w:pPr>
        <w:tabs>
          <w:tab w:val="left" w:pos="2160"/>
        </w:tabs>
        <w:spacing w:line="360" w:lineRule="auto"/>
        <w:rPr>
          <w:u w:val="single"/>
        </w:rPr>
      </w:pPr>
    </w:p>
    <w:p w:rsidR="00CA6FE1" w:rsidRDefault="00CA6FE1" w:rsidP="00CA6FE1">
      <w:pPr>
        <w:spacing w:line="360" w:lineRule="auto"/>
        <w:ind w:firstLine="1440"/>
      </w:pPr>
      <w:r>
        <w:t>52 Pa.Code § 5.101(a) states,</w:t>
      </w:r>
    </w:p>
    <w:p w:rsidR="00CA6FE1" w:rsidRPr="00D17FAA" w:rsidRDefault="00CA6FE1" w:rsidP="00CA6FE1">
      <w:pPr>
        <w:tabs>
          <w:tab w:val="left" w:pos="7920"/>
        </w:tabs>
        <w:spacing w:beforeAutospacing="1" w:after="100" w:afterAutospacing="1"/>
        <w:ind w:left="1440" w:right="1440"/>
        <w:outlineLvl w:val="3"/>
        <w:rPr>
          <w:b/>
          <w:bCs/>
        </w:rPr>
      </w:pPr>
      <w:r w:rsidRPr="00D17FAA">
        <w:rPr>
          <w:b/>
          <w:bCs/>
          <w:sz w:val="27"/>
          <w:szCs w:val="27"/>
        </w:rPr>
        <w:t>§ 5.101. </w:t>
      </w:r>
      <w:proofErr w:type="gramStart"/>
      <w:r w:rsidRPr="00D17FAA">
        <w:rPr>
          <w:b/>
          <w:bCs/>
        </w:rPr>
        <w:t>Preliminary objections.</w:t>
      </w:r>
      <w:proofErr w:type="gramEnd"/>
    </w:p>
    <w:p w:rsidR="00CA6FE1" w:rsidRPr="00D17FAA" w:rsidRDefault="00CA6FE1" w:rsidP="00CA6FE1">
      <w:pPr>
        <w:tabs>
          <w:tab w:val="left" w:pos="7920"/>
        </w:tabs>
        <w:spacing w:before="100" w:beforeAutospacing="1" w:after="100" w:afterAutospacing="1"/>
        <w:ind w:left="1440" w:right="1440"/>
      </w:pPr>
      <w:r w:rsidRPr="00D17FAA">
        <w:t> (a)  </w:t>
      </w:r>
      <w:r w:rsidRPr="00D17FAA">
        <w:rPr>
          <w:i/>
          <w:iCs/>
        </w:rPr>
        <w:t>Grounds</w:t>
      </w:r>
      <w:r w:rsidRPr="00D17FAA">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w:t>
      </w:r>
    </w:p>
    <w:p w:rsidR="00CA6FE1" w:rsidRPr="00D17FAA" w:rsidRDefault="00CA6FE1" w:rsidP="003F11E2">
      <w:pPr>
        <w:tabs>
          <w:tab w:val="left" w:pos="7920"/>
        </w:tabs>
        <w:spacing w:before="100" w:beforeAutospacing="1" w:after="100" w:afterAutospacing="1"/>
        <w:ind w:left="2340" w:right="1728" w:hanging="612"/>
      </w:pPr>
      <w:r w:rsidRPr="00D17FAA">
        <w:t xml:space="preserve">   (1)  Lack of Commission jurisdiction or improper service of the pleading initiating the proceeding. </w:t>
      </w:r>
    </w:p>
    <w:p w:rsidR="00CA6FE1" w:rsidRPr="00D17FAA" w:rsidRDefault="00CA6FE1" w:rsidP="003F11E2">
      <w:pPr>
        <w:tabs>
          <w:tab w:val="left" w:pos="7920"/>
        </w:tabs>
        <w:spacing w:before="100" w:beforeAutospacing="1" w:after="100" w:afterAutospacing="1"/>
        <w:ind w:left="2340" w:right="1728" w:hanging="612"/>
      </w:pPr>
      <w:r w:rsidRPr="00D17FAA">
        <w:lastRenderedPageBreak/>
        <w:t xml:space="preserve">   (2)  Failure of a pleading to conform to this chapter or the inclusion of scandalous or impertinent matter. </w:t>
      </w:r>
    </w:p>
    <w:p w:rsidR="00CA6FE1" w:rsidRPr="00D17FAA" w:rsidRDefault="00CA6FE1" w:rsidP="003F11E2">
      <w:pPr>
        <w:tabs>
          <w:tab w:val="left" w:pos="7920"/>
        </w:tabs>
        <w:spacing w:before="100" w:beforeAutospacing="1" w:after="100" w:afterAutospacing="1"/>
        <w:ind w:left="2340" w:right="1728" w:hanging="612"/>
      </w:pPr>
      <w:r w:rsidRPr="00D17FAA">
        <w:t xml:space="preserve">   (3)  Insufficient specificity of a pleading. </w:t>
      </w:r>
    </w:p>
    <w:p w:rsidR="00CA6FE1" w:rsidRPr="00D17FAA" w:rsidRDefault="00CA6FE1" w:rsidP="003F11E2">
      <w:pPr>
        <w:tabs>
          <w:tab w:val="left" w:pos="7920"/>
        </w:tabs>
        <w:spacing w:before="100" w:beforeAutospacing="1" w:after="100" w:afterAutospacing="1"/>
        <w:ind w:left="2340" w:right="1728" w:hanging="612"/>
      </w:pPr>
      <w:r w:rsidRPr="00D17FAA">
        <w:t xml:space="preserve">   (4)  Legal insufficiency of a pleading. </w:t>
      </w:r>
    </w:p>
    <w:p w:rsidR="00CA6FE1" w:rsidRPr="00D17FAA" w:rsidRDefault="00CA6FE1" w:rsidP="003F11E2">
      <w:pPr>
        <w:tabs>
          <w:tab w:val="left" w:pos="7920"/>
        </w:tabs>
        <w:spacing w:before="100" w:beforeAutospacing="1" w:after="100" w:afterAutospacing="1"/>
        <w:ind w:left="2340" w:right="1728" w:hanging="612"/>
      </w:pPr>
      <w:r w:rsidRPr="00D17FAA">
        <w:t xml:space="preserve">   (5)  Lack of capacity to sue, nonjoinder of a necessary party or misjoinder of a cause of action. </w:t>
      </w:r>
    </w:p>
    <w:p w:rsidR="00CA6FE1" w:rsidRDefault="00CA6FE1" w:rsidP="003F11E2">
      <w:pPr>
        <w:tabs>
          <w:tab w:val="left" w:pos="7920"/>
        </w:tabs>
        <w:ind w:left="2340" w:right="1728" w:hanging="612"/>
      </w:pPr>
      <w:r w:rsidRPr="00D17FAA">
        <w:t>   (6)  Pendency of a prior proceeding or agreement for alternative dispute resolution.</w:t>
      </w:r>
    </w:p>
    <w:p w:rsidR="00CA6FE1" w:rsidRDefault="00CA6FE1" w:rsidP="00CA6FE1">
      <w:pPr>
        <w:pStyle w:val="ParaTab1"/>
        <w:spacing w:line="360" w:lineRule="auto"/>
        <w:ind w:firstLine="0"/>
        <w:rPr>
          <w:rFonts w:ascii="Times New Roman" w:hAnsi="Times New Roman" w:cs="Times New Roman"/>
          <w:spacing w:val="-3"/>
        </w:rPr>
      </w:pPr>
    </w:p>
    <w:p w:rsidR="00CA6FE1" w:rsidRDefault="00CA6FE1" w:rsidP="00CA6FE1">
      <w:pPr>
        <w:spacing w:line="360" w:lineRule="auto"/>
        <w:ind w:firstLine="1440"/>
      </w:pPr>
      <w:r>
        <w:t>Respondent’s Preliminary Objections contend that the Commission is without authority to grant the Complainant’s request from compensation for damages in that the relief sought is for PGW to pay expenses to have the water service rep</w:t>
      </w:r>
      <w:r w:rsidR="004E11E0">
        <w:t xml:space="preserve">aired at the service address.  </w:t>
      </w:r>
      <w:r>
        <w:t xml:space="preserve">Moreover, Respondent contended that a prayer for relief in the form of monetary compensation for damages is not a recoverable cause of action for this Commission because the PUC is without authority to award compensation for damages.  See, </w:t>
      </w:r>
      <w:r>
        <w:rPr>
          <w:i/>
        </w:rPr>
        <w:t>Feingold v. Bell of Pennsylvania</w:t>
      </w:r>
      <w:r>
        <w:t>, 477 Pa. 1, 383 A.2d 791 (1977);</w:t>
      </w:r>
      <w:r>
        <w:rPr>
          <w:i/>
        </w:rPr>
        <w:t xml:space="preserve"> Morrow v. Bell Telephone Co. of Pennsylvania, </w:t>
      </w:r>
      <w:r>
        <w:t xml:space="preserve">330 Pa. Super. </w:t>
      </w:r>
      <w:proofErr w:type="gramStart"/>
      <w:r>
        <w:t>279,</w:t>
      </w:r>
      <w:r>
        <w:rPr>
          <w:i/>
        </w:rPr>
        <w:t xml:space="preserve"> </w:t>
      </w:r>
      <w:r>
        <w:t>479 A.2d 548 (1984);</w:t>
      </w:r>
      <w:r>
        <w:rPr>
          <w:i/>
        </w:rPr>
        <w:t xml:space="preserve"> West Penn Power Co. v. P</w:t>
      </w:r>
      <w:r w:rsidR="00F5418C">
        <w:rPr>
          <w:i/>
        </w:rPr>
        <w:t>ennsylvania</w:t>
      </w:r>
      <w:r>
        <w:rPr>
          <w:i/>
        </w:rPr>
        <w:t xml:space="preserve"> P</w:t>
      </w:r>
      <w:r w:rsidR="00B32AB7">
        <w:rPr>
          <w:i/>
        </w:rPr>
        <w:t>ub</w:t>
      </w:r>
      <w:r>
        <w:rPr>
          <w:i/>
        </w:rPr>
        <w:t>.</w:t>
      </w:r>
      <w:proofErr w:type="gramEnd"/>
      <w:r w:rsidR="00B32AB7">
        <w:rPr>
          <w:i/>
        </w:rPr>
        <w:t xml:space="preserve"> </w:t>
      </w:r>
      <w:r>
        <w:rPr>
          <w:i/>
        </w:rPr>
        <w:t>U</w:t>
      </w:r>
      <w:r w:rsidR="00B32AB7">
        <w:rPr>
          <w:i/>
        </w:rPr>
        <w:t>til</w:t>
      </w:r>
      <w:r>
        <w:rPr>
          <w:i/>
        </w:rPr>
        <w:t>.</w:t>
      </w:r>
      <w:r w:rsidR="00B32AB7">
        <w:rPr>
          <w:i/>
        </w:rPr>
        <w:t xml:space="preserve"> </w:t>
      </w:r>
      <w:r>
        <w:rPr>
          <w:i/>
        </w:rPr>
        <w:t>C</w:t>
      </w:r>
      <w:r w:rsidR="00B32AB7">
        <w:rPr>
          <w:i/>
        </w:rPr>
        <w:t>omm’n</w:t>
      </w:r>
      <w:r>
        <w:t xml:space="preserve">, </w:t>
      </w:r>
      <w:proofErr w:type="gramStart"/>
      <w:r>
        <w:t>104 Pa.Cmwlth</w:t>
      </w:r>
      <w:proofErr w:type="gramEnd"/>
      <w:r>
        <w:t xml:space="preserve">. </w:t>
      </w:r>
      <w:proofErr w:type="gramStart"/>
      <w:r>
        <w:t>21, 521 A.2d 75 (1987).</w:t>
      </w:r>
      <w:proofErr w:type="gramEnd"/>
      <w:r>
        <w:t xml:space="preserve">  Consequently, Respondent concluded that because the relief requested is not a recoverable cause of action before the Commission, the action is impertinent matter within the use and meaning of the Commission regulation at 52 Pa.Code § 5.101(a</w:t>
      </w:r>
      <w:proofErr w:type="gramStart"/>
      <w:r>
        <w:t>)(</w:t>
      </w:r>
      <w:proofErr w:type="gramEnd"/>
      <w:r>
        <w:t>2) a</w:t>
      </w:r>
      <w:r w:rsidR="0017697F">
        <w:t>nd should be stricken from the c</w:t>
      </w:r>
      <w:r>
        <w:t xml:space="preserve">omplaint.  </w:t>
      </w:r>
    </w:p>
    <w:p w:rsidR="00CA6FE1" w:rsidRDefault="00CA6FE1" w:rsidP="00CA6FE1">
      <w:pPr>
        <w:spacing w:line="360" w:lineRule="auto"/>
        <w:ind w:firstLine="1440"/>
      </w:pPr>
    </w:p>
    <w:p w:rsidR="00CF2AA0" w:rsidRDefault="00CA6FE1" w:rsidP="00CF2AA0">
      <w:pPr>
        <w:spacing w:line="360" w:lineRule="auto"/>
        <w:ind w:firstLine="1440"/>
      </w:pPr>
      <w:r>
        <w:t xml:space="preserve">Respondent’s assertions are reasonable </w:t>
      </w:r>
      <w:r w:rsidR="00CF2AA0">
        <w:t>b</w:t>
      </w:r>
      <w:r>
        <w:t>ut the Company’s application of the Commission’s regulations is misconstrued.  Respondent’s preliminary objection is well-founded however to contort the Commission regulations to have impertinent matter apply is misguided.  Respondent looked over the Commission regulation at 52 Pa.Code § 5.101(a</w:t>
      </w:r>
      <w:proofErr w:type="gramStart"/>
      <w:r>
        <w:t>)(</w:t>
      </w:r>
      <w:proofErr w:type="gramEnd"/>
      <w:r>
        <w:t>1)</w:t>
      </w:r>
      <w:r>
        <w:rPr>
          <w:rStyle w:val="FootnoteReference"/>
        </w:rPr>
        <w:footnoteReference w:id="1"/>
      </w:r>
      <w:r>
        <w:t xml:space="preserve"> whether the matter at issue is within the subject matter jurisdiction of the Commission.  It is this regulation that is appropriate for the preliminary objection.  </w:t>
      </w:r>
    </w:p>
    <w:p w:rsidR="00AE50DB" w:rsidRDefault="00AE50DB" w:rsidP="00CF2AA0">
      <w:pPr>
        <w:spacing w:line="360" w:lineRule="auto"/>
        <w:ind w:firstLine="1440"/>
      </w:pPr>
    </w:p>
    <w:p w:rsidR="00AE50DB" w:rsidRDefault="00AE50DB" w:rsidP="00CF2AA0">
      <w:pPr>
        <w:spacing w:line="360" w:lineRule="auto"/>
        <w:ind w:firstLine="1440"/>
      </w:pPr>
      <w:r>
        <w:lastRenderedPageBreak/>
        <w:t xml:space="preserve">Jurisdiction relates to the competency of a particular, in this case, agency or administrative body to determine controversies of the general class to which the case presented for consideration belongs.  </w:t>
      </w:r>
      <w:proofErr w:type="gramStart"/>
      <w:r w:rsidRPr="00AE50DB">
        <w:rPr>
          <w:i/>
        </w:rPr>
        <w:t>Riedel v.</w:t>
      </w:r>
      <w:proofErr w:type="gramEnd"/>
      <w:r w:rsidRPr="00AE50DB">
        <w:rPr>
          <w:i/>
        </w:rPr>
        <w:t xml:space="preserve"> The Human Rel</w:t>
      </w:r>
      <w:r w:rsidR="00F5418C">
        <w:rPr>
          <w:i/>
        </w:rPr>
        <w:t>.</w:t>
      </w:r>
      <w:r w:rsidRPr="00AE50DB">
        <w:rPr>
          <w:i/>
        </w:rPr>
        <w:t xml:space="preserve"> Comm’n of the City of Reading</w:t>
      </w:r>
      <w:r>
        <w:t xml:space="preserve">, 559 Pa. 33, 39-40, 739 A.2d 121, 124 (1999).  </w:t>
      </w:r>
    </w:p>
    <w:p w:rsidR="00CF2AA0" w:rsidRDefault="00CF2AA0" w:rsidP="00CF2AA0">
      <w:pPr>
        <w:spacing w:line="360" w:lineRule="auto"/>
        <w:ind w:firstLine="1440"/>
      </w:pPr>
    </w:p>
    <w:p w:rsidR="001A5196" w:rsidRDefault="00C45256" w:rsidP="00CF2AA0">
      <w:pPr>
        <w:spacing w:line="360" w:lineRule="auto"/>
        <w:ind w:firstLine="1440"/>
      </w:pPr>
      <w:proofErr w:type="gramStart"/>
      <w:r>
        <w:t>Pursuant to the Pennsylvania Public Utility Code, 66 Pa.C.S.</w:t>
      </w:r>
      <w:proofErr w:type="gramEnd"/>
      <w:r>
        <w:t xml:space="preserve"> </w:t>
      </w:r>
      <w:proofErr w:type="gramStart"/>
      <w:r>
        <w:t xml:space="preserve">§ 101 </w:t>
      </w:r>
      <w:r>
        <w:rPr>
          <w:i/>
        </w:rPr>
        <w:t>et seq.,</w:t>
      </w:r>
      <w:r>
        <w:t xml:space="preserve"> the Commission</w:t>
      </w:r>
      <w:proofErr w:type="gramEnd"/>
      <w:r>
        <w:t xml:space="preserve"> has initial jurisdiction over certain claims.  </w:t>
      </w:r>
    </w:p>
    <w:p w:rsidR="00A91C86" w:rsidRDefault="00A91C86" w:rsidP="00CF2AA0">
      <w:pPr>
        <w:spacing w:line="360" w:lineRule="auto"/>
        <w:ind w:firstLine="1440"/>
      </w:pPr>
    </w:p>
    <w:p w:rsidR="00A610FE" w:rsidRDefault="00C45256" w:rsidP="00A610FE">
      <w:pPr>
        <w:ind w:left="1440" w:right="1440"/>
      </w:pPr>
      <w:r>
        <w:t>Initial jurisdiction over matter involving reasonableness, adequacy of sufficiency of public utility’s service, facilities or rates is vested in the PUC and not in the courts</w:t>
      </w:r>
      <w:r w:rsidR="006315BF">
        <w:t xml:space="preserve">. </w:t>
      </w:r>
      <w:r>
        <w:t>…</w:t>
      </w:r>
      <w:r w:rsidR="006315BF">
        <w:t xml:space="preserve"> Matters relating to the tariff, the necessity of equipment, deposits and the use of various types of services are peculiarly within the expertise of the [PUC] and, as such, are outside the original jurisdiction of the courts. … When a utility’s failure to maintain reasonable and adequate service is </w:t>
      </w:r>
      <w:proofErr w:type="gramStart"/>
      <w:r w:rsidR="006315BF">
        <w:t>alleged, …</w:t>
      </w:r>
      <w:proofErr w:type="gramEnd"/>
      <w:r w:rsidR="006315BF">
        <w:t xml:space="preserve"> it is for the PUC initial to determine whether the service provided by the utility has fallen short of the statutory standard required… [However] the courts retain jurisdiction of a suit for damages based on negligence or brash of contract where</w:t>
      </w:r>
      <w:r w:rsidR="001A5196">
        <w:t>in</w:t>
      </w:r>
      <w:r w:rsidR="006315BF">
        <w:t xml:space="preserve"> a utility’s performance of </w:t>
      </w:r>
      <w:proofErr w:type="gramStart"/>
      <w:r w:rsidR="006315BF">
        <w:t>its</w:t>
      </w:r>
      <w:proofErr w:type="gramEnd"/>
      <w:r w:rsidR="001A5196">
        <w:t xml:space="preserve"> legally imposed and contractually adopted obligations are examined and applied to a given set of facts.  </w:t>
      </w:r>
    </w:p>
    <w:p w:rsidR="00A610FE" w:rsidRDefault="00A610FE" w:rsidP="00A610FE">
      <w:pPr>
        <w:ind w:left="1440" w:right="1440"/>
      </w:pPr>
    </w:p>
    <w:p w:rsidR="00A91C86" w:rsidRDefault="00A91C86" w:rsidP="00A610FE">
      <w:pPr>
        <w:ind w:left="1440" w:right="1440"/>
      </w:pPr>
    </w:p>
    <w:p w:rsidR="00957EE1" w:rsidRDefault="00957EE1" w:rsidP="001A5196">
      <w:pPr>
        <w:spacing w:line="360" w:lineRule="auto"/>
      </w:pPr>
      <w:r w:rsidRPr="00A610FE">
        <w:rPr>
          <w:i/>
        </w:rPr>
        <w:t>Morrow v. Bell Telephone Co. of Pennsylvania</w:t>
      </w:r>
      <w:r>
        <w:t xml:space="preserve">, </w:t>
      </w:r>
      <w:proofErr w:type="gramStart"/>
      <w:r>
        <w:t>330 Pa.Super</w:t>
      </w:r>
      <w:proofErr w:type="gramEnd"/>
      <w:r>
        <w:t>. 276, 280-81, 479 A.2d 548, 550-51 (1994</w:t>
      </w:r>
      <w:proofErr w:type="gramStart"/>
      <w:r>
        <w:t>)(</w:t>
      </w:r>
      <w:proofErr w:type="gramEnd"/>
      <w:r>
        <w:t>citations omitted).</w:t>
      </w:r>
    </w:p>
    <w:p w:rsidR="00957EE1" w:rsidRDefault="00957EE1" w:rsidP="001A5196">
      <w:pPr>
        <w:spacing w:line="360" w:lineRule="auto"/>
      </w:pPr>
    </w:p>
    <w:p w:rsidR="0023302B" w:rsidRDefault="00CF2AA0" w:rsidP="00957EE1">
      <w:pPr>
        <w:spacing w:line="360" w:lineRule="auto"/>
        <w:ind w:firstLine="1440"/>
      </w:pPr>
      <w:r>
        <w:t>The Commission</w:t>
      </w:r>
      <w:r w:rsidR="00224F2E">
        <w:t xml:space="preserve"> is a creature of the legislative body which created it; </w:t>
      </w:r>
      <w:r w:rsidR="0017697F">
        <w:t xml:space="preserve">and </w:t>
      </w:r>
      <w:r w:rsidR="00224F2E">
        <w:t xml:space="preserve">as such, it has only the powers, duties, responsibilities and jurisdiction given to it by the legislature.  </w:t>
      </w:r>
      <w:proofErr w:type="gramStart"/>
      <w:r w:rsidR="00224F2E" w:rsidRPr="001B2118">
        <w:rPr>
          <w:i/>
        </w:rPr>
        <w:t>Western Pennsylvania Water Co. v. P</w:t>
      </w:r>
      <w:r w:rsidR="006A4139">
        <w:rPr>
          <w:i/>
        </w:rPr>
        <w:t>ennsylvani</w:t>
      </w:r>
      <w:r w:rsidR="00224F2E" w:rsidRPr="001B2118">
        <w:rPr>
          <w:i/>
        </w:rPr>
        <w:t>a Pub.</w:t>
      </w:r>
      <w:proofErr w:type="gramEnd"/>
      <w:r w:rsidR="00224F2E" w:rsidRPr="001B2118">
        <w:rPr>
          <w:i/>
        </w:rPr>
        <w:t xml:space="preserve"> Util. </w:t>
      </w:r>
      <w:proofErr w:type="gramStart"/>
      <w:r w:rsidR="00224F2E" w:rsidRPr="001B2118">
        <w:rPr>
          <w:i/>
        </w:rPr>
        <w:t xml:space="preserve">Comm’n </w:t>
      </w:r>
      <w:r w:rsidR="001B2118">
        <w:t>,</w:t>
      </w:r>
      <w:proofErr w:type="gramEnd"/>
      <w:r w:rsidR="001B2118">
        <w:t xml:space="preserve"> 10 Pa.Cmwlth 533, 311 A.2d 370 (1973).  The Commission</w:t>
      </w:r>
      <w:r>
        <w:t xml:space="preserve"> must act within and cannot exceed its jurisdiction.  </w:t>
      </w:r>
      <w:proofErr w:type="gramStart"/>
      <w:r w:rsidRPr="00086897">
        <w:rPr>
          <w:i/>
        </w:rPr>
        <w:t>City of Pittsburgh v. P</w:t>
      </w:r>
      <w:r w:rsidR="00F5418C">
        <w:rPr>
          <w:i/>
        </w:rPr>
        <w:t>ennsylvani</w:t>
      </w:r>
      <w:r w:rsidRPr="00086897">
        <w:rPr>
          <w:i/>
        </w:rPr>
        <w:t>a Pub.</w:t>
      </w:r>
      <w:proofErr w:type="gramEnd"/>
      <w:r w:rsidRPr="00086897">
        <w:rPr>
          <w:i/>
        </w:rPr>
        <w:t xml:space="preserve"> Util. Comm’n</w:t>
      </w:r>
      <w:proofErr w:type="gramStart"/>
      <w:r>
        <w:t>,</w:t>
      </w:r>
      <w:r w:rsidR="00B32AB7">
        <w:t xml:space="preserve">  </w:t>
      </w:r>
      <w:r w:rsidR="00086897">
        <w:t>157</w:t>
      </w:r>
      <w:proofErr w:type="gramEnd"/>
      <w:r w:rsidR="00086897">
        <w:t xml:space="preserve"> Pa.Super. </w:t>
      </w:r>
      <w:proofErr w:type="gramStart"/>
      <w:r w:rsidR="00086897">
        <w:t>595, 43 A.2d 348 (1945).</w:t>
      </w:r>
      <w:proofErr w:type="gramEnd"/>
      <w:r w:rsidR="001B2118">
        <w:t xml:space="preserve">  Subject matter jurisdiction is a prerequisite to the exercise of the power to decide a controversy.  Cf., </w:t>
      </w:r>
      <w:r w:rsidR="001B2118" w:rsidRPr="0023302B">
        <w:rPr>
          <w:i/>
        </w:rPr>
        <w:t>Hughes v. P</w:t>
      </w:r>
      <w:r w:rsidR="00F5418C">
        <w:rPr>
          <w:i/>
        </w:rPr>
        <w:t>ennsylvani</w:t>
      </w:r>
      <w:r w:rsidR="001B2118" w:rsidRPr="0023302B">
        <w:rPr>
          <w:i/>
        </w:rPr>
        <w:t>a State Polic</w:t>
      </w:r>
      <w:r w:rsidR="0023302B" w:rsidRPr="0023302B">
        <w:rPr>
          <w:i/>
        </w:rPr>
        <w:t>e</w:t>
      </w:r>
      <w:r w:rsidR="001B2118">
        <w:t xml:space="preserve">, </w:t>
      </w:r>
      <w:proofErr w:type="gramStart"/>
      <w:r w:rsidR="001B2118">
        <w:t>152 Pa.Cmwlth</w:t>
      </w:r>
      <w:proofErr w:type="gramEnd"/>
      <w:r w:rsidR="001B2118">
        <w:t xml:space="preserve">. </w:t>
      </w:r>
      <w:proofErr w:type="gramStart"/>
      <w:r w:rsidR="001B2118">
        <w:t>409,</w:t>
      </w:r>
      <w:r w:rsidR="00086897">
        <w:t xml:space="preserve"> </w:t>
      </w:r>
      <w:r w:rsidR="001B2118">
        <w:t xml:space="preserve">619 A.2d 390 (1992), </w:t>
      </w:r>
      <w:r w:rsidR="001B2118" w:rsidRPr="0023302B">
        <w:rPr>
          <w:i/>
        </w:rPr>
        <w:t xml:space="preserve">app. </w:t>
      </w:r>
      <w:r w:rsidR="0023302B" w:rsidRPr="0023302B">
        <w:rPr>
          <w:i/>
        </w:rPr>
        <w:t>d</w:t>
      </w:r>
      <w:r w:rsidR="001B2118" w:rsidRPr="0023302B">
        <w:rPr>
          <w:i/>
        </w:rPr>
        <w:t>enied</w:t>
      </w:r>
      <w:r w:rsidR="001B2118">
        <w:t>, 536 Pa. 633, 637 A.2d 293 (1993).</w:t>
      </w:r>
      <w:proofErr w:type="gramEnd"/>
      <w:r w:rsidR="001B2118">
        <w:t xml:space="preserve"> </w:t>
      </w:r>
      <w:r w:rsidR="00086897">
        <w:t xml:space="preserve"> </w:t>
      </w:r>
      <w:r w:rsidR="0023302B">
        <w:t xml:space="preserve">Jurisdiction may not be conferred by the parties where none exists.  </w:t>
      </w:r>
      <w:proofErr w:type="gramStart"/>
      <w:r w:rsidR="0023302B" w:rsidRPr="0023302B">
        <w:rPr>
          <w:i/>
        </w:rPr>
        <w:t>Roberts v. Martorano</w:t>
      </w:r>
      <w:r w:rsidR="0023302B">
        <w:t>, 427 Pa. 581, 235 A.2d 602 (1967).</w:t>
      </w:r>
      <w:proofErr w:type="gramEnd"/>
      <w:r w:rsidR="0023302B">
        <w:t xml:space="preserve">  </w:t>
      </w:r>
      <w:r w:rsidR="00C43683">
        <w:t xml:space="preserve">Neither silence nor agreement </w:t>
      </w:r>
      <w:r w:rsidR="00C43683">
        <w:lastRenderedPageBreak/>
        <w:t xml:space="preserve">of the parties can confer jurisdiction where it otherwise does not exist.  </w:t>
      </w:r>
      <w:r w:rsidR="00C43683" w:rsidRPr="00F34EDD">
        <w:rPr>
          <w:i/>
        </w:rPr>
        <w:t>Commonwealth v. VanBuskirk</w:t>
      </w:r>
      <w:r w:rsidR="00C43683">
        <w:t xml:space="preserve">, </w:t>
      </w:r>
      <w:proofErr w:type="gramStart"/>
      <w:r w:rsidR="00C43683">
        <w:t>303 Pa.Super</w:t>
      </w:r>
      <w:proofErr w:type="gramEnd"/>
      <w:r w:rsidR="00C43683">
        <w:t xml:space="preserve">. </w:t>
      </w:r>
      <w:proofErr w:type="gramStart"/>
      <w:r w:rsidR="00C43683">
        <w:t>148, 449 A.2d 621 (1982).</w:t>
      </w:r>
      <w:proofErr w:type="gramEnd"/>
      <w:r w:rsidR="00C43683">
        <w:t xml:space="preserve">  Furthermore, jurisdiction cannot be obtained by waiver or </w:t>
      </w:r>
      <w:proofErr w:type="spellStart"/>
      <w:r w:rsidR="00C43683">
        <w:t>estoppel</w:t>
      </w:r>
      <w:proofErr w:type="spellEnd"/>
      <w:r w:rsidR="00C43683">
        <w:t xml:space="preserve">.  </w:t>
      </w:r>
      <w:proofErr w:type="gramStart"/>
      <w:r w:rsidR="00C43683" w:rsidRPr="00F34EDD">
        <w:rPr>
          <w:i/>
        </w:rPr>
        <w:t>Scott v. Bristol Twp. Police Dep’t</w:t>
      </w:r>
      <w:r w:rsidR="00C43683">
        <w:t>, 669 A.2d 457 (Pa.Cmwlth. 1995).</w:t>
      </w:r>
      <w:proofErr w:type="gramEnd"/>
      <w:r w:rsidR="00C43683">
        <w:t xml:space="preserve">  </w:t>
      </w:r>
    </w:p>
    <w:p w:rsidR="00957EE1" w:rsidRDefault="00957EE1" w:rsidP="00957EE1">
      <w:pPr>
        <w:spacing w:line="360" w:lineRule="auto"/>
        <w:ind w:firstLine="1440"/>
      </w:pPr>
    </w:p>
    <w:p w:rsidR="00957EE1" w:rsidRDefault="00957EE1" w:rsidP="00957EE1">
      <w:pPr>
        <w:spacing w:line="360" w:lineRule="auto"/>
        <w:ind w:firstLine="1440"/>
      </w:pPr>
      <w:r>
        <w:t>Complainant d</w:t>
      </w:r>
      <w:r w:rsidR="00787820">
        <w:t>id</w:t>
      </w:r>
      <w:r>
        <w:t xml:space="preserve"> not allege a violation of the Pennsylvania Public Utility Code, or regulation or Commission Order.  Therefore, the original jurisdiction of the appropriate court of common pleas </w:t>
      </w:r>
      <w:r w:rsidR="00787820">
        <w:t>remain</w:t>
      </w:r>
      <w:r>
        <w:t xml:space="preserve">s </w:t>
      </w:r>
      <w:r w:rsidR="00787820">
        <w:t>applicable</w:t>
      </w:r>
      <w:r>
        <w:t>.</w:t>
      </w:r>
      <w:r w:rsidR="00787820">
        <w:t xml:space="preserve">  Complainant’s cause of action is not within the subject matter jurisdiction of the Commission.</w:t>
      </w:r>
    </w:p>
    <w:p w:rsidR="0023302B" w:rsidRDefault="0023302B" w:rsidP="00CF2AA0">
      <w:pPr>
        <w:spacing w:line="360" w:lineRule="auto"/>
        <w:ind w:firstLine="1440"/>
      </w:pPr>
    </w:p>
    <w:p w:rsidR="00B32AB7" w:rsidRDefault="00B32AB7" w:rsidP="00CF2AA0">
      <w:pPr>
        <w:spacing w:line="360" w:lineRule="auto"/>
        <w:ind w:firstLine="1440"/>
      </w:pPr>
      <w:r>
        <w:t xml:space="preserve">Respondent is correct in that the prayer for relief in the form of compensation for repair of the pipe for water service is not a recoverable cause of action for this Commission because the PUC is without authority to award compensation for damages.  </w:t>
      </w:r>
      <w:r w:rsidR="00CA6FE1">
        <w:t>The Respondent</w:t>
      </w:r>
      <w:r w:rsidR="00787820">
        <w:t>, however,</w:t>
      </w:r>
      <w:r w:rsidR="00CA6FE1">
        <w:t xml:space="preserve"> used the wrong regulation within its objection.</w:t>
      </w:r>
      <w:r w:rsidR="00CE634C">
        <w:t xml:space="preserve">  The use of impertinent matter under 52 Pa.Code § 5.101(a</w:t>
      </w:r>
      <w:proofErr w:type="gramStart"/>
      <w:r w:rsidR="00CE634C">
        <w:t>)(</w:t>
      </w:r>
      <w:proofErr w:type="gramEnd"/>
      <w:r w:rsidR="00CE634C">
        <w:t xml:space="preserve">2) is inappropriate under the instant circumstances. </w:t>
      </w:r>
    </w:p>
    <w:p w:rsidR="00B32AB7" w:rsidRDefault="00B32AB7" w:rsidP="00CF2AA0">
      <w:pPr>
        <w:spacing w:line="360" w:lineRule="auto"/>
        <w:ind w:firstLine="1440"/>
      </w:pPr>
    </w:p>
    <w:p w:rsidR="006E1A98" w:rsidRDefault="00CA6FE1" w:rsidP="00CF2AA0">
      <w:pPr>
        <w:spacing w:line="360" w:lineRule="auto"/>
        <w:ind w:firstLine="1440"/>
      </w:pPr>
      <w:r>
        <w:t xml:space="preserve">However, </w:t>
      </w:r>
      <w:r w:rsidR="00224F2E">
        <w:t>jurisdiction is an issue which may be raise</w:t>
      </w:r>
      <w:r w:rsidR="00217F51">
        <w:t>d</w:t>
      </w:r>
      <w:r w:rsidR="00224F2E">
        <w:t xml:space="preserve"> </w:t>
      </w:r>
      <w:proofErr w:type="spellStart"/>
      <w:r w:rsidRPr="0017697F">
        <w:t>sua</w:t>
      </w:r>
      <w:proofErr w:type="spellEnd"/>
      <w:r w:rsidRPr="0017697F">
        <w:t xml:space="preserve"> </w:t>
      </w:r>
      <w:proofErr w:type="spellStart"/>
      <w:r w:rsidRPr="0017697F">
        <w:t>sponte</w:t>
      </w:r>
      <w:proofErr w:type="spellEnd"/>
      <w:r>
        <w:t>,</w:t>
      </w:r>
      <w:r w:rsidR="00224F2E">
        <w:t xml:space="preserve"> </w:t>
      </w:r>
      <w:r w:rsidR="00224F2E" w:rsidRPr="00224F2E">
        <w:rPr>
          <w:i/>
        </w:rPr>
        <w:t>Rice v. Workmen’s Compensation Appeal Bd.</w:t>
      </w:r>
      <w:r w:rsidR="00D8066A">
        <w:rPr>
          <w:i/>
        </w:rPr>
        <w:t xml:space="preserve"> (Rockwell Int’l Corp</w:t>
      </w:r>
      <w:proofErr w:type="gramStart"/>
      <w:r w:rsidR="00D8066A">
        <w:rPr>
          <w:i/>
        </w:rPr>
        <w:t>./</w:t>
      </w:r>
      <w:proofErr w:type="gramEnd"/>
      <w:r w:rsidR="00D8066A">
        <w:rPr>
          <w:i/>
        </w:rPr>
        <w:t>Spring Div.)</w:t>
      </w:r>
      <w:r w:rsidR="00224F2E">
        <w:t>,</w:t>
      </w:r>
      <w:r w:rsidR="00D8066A">
        <w:t xml:space="preserve">138 Pa.Commw. </w:t>
      </w:r>
      <w:proofErr w:type="gramStart"/>
      <w:r w:rsidR="00D8066A">
        <w:t>555,</w:t>
      </w:r>
      <w:r w:rsidR="00224F2E">
        <w:t xml:space="preserve"> 588 A.2d 1011 (Pa. Cmwlth. Ct., 1991).</w:t>
      </w:r>
      <w:proofErr w:type="gramEnd"/>
      <w:r w:rsidR="0023302B">
        <w:t xml:space="preserve"> </w:t>
      </w:r>
      <w:r>
        <w:t xml:space="preserve"> </w:t>
      </w:r>
      <w:r w:rsidR="00C43683">
        <w:t xml:space="preserve">As subject matter jurisdiction cannot be waived, it can be raised at any state of a proceeding by a party, or </w:t>
      </w:r>
      <w:r w:rsidR="00C43683" w:rsidRPr="0017697F">
        <w:t>sua sponte</w:t>
      </w:r>
      <w:r w:rsidR="00C43683">
        <w:t xml:space="preserve"> by the court or agency in which the case exists.  </w:t>
      </w:r>
      <w:r w:rsidR="00C43683" w:rsidRPr="00F34EDD">
        <w:rPr>
          <w:i/>
        </w:rPr>
        <w:t>Blackwell v. State Ethics Comm’n</w:t>
      </w:r>
      <w:r w:rsidR="00C43683">
        <w:t>, 523 Pa. 347, 567 A.2d 630</w:t>
      </w:r>
      <w:r w:rsidR="00F34EDD">
        <w:t xml:space="preserve">, 636, </w:t>
      </w:r>
      <w:r w:rsidR="00F34EDD" w:rsidRPr="002332EB">
        <w:t>reh’g granted</w:t>
      </w:r>
      <w:proofErr w:type="gramStart"/>
      <w:r w:rsidR="00F34EDD">
        <w:rPr>
          <w:i/>
        </w:rPr>
        <w:t>,</w:t>
      </w:r>
      <w:r w:rsidR="002332EB">
        <w:t>524</w:t>
      </w:r>
      <w:proofErr w:type="gramEnd"/>
      <w:r w:rsidR="002332EB">
        <w:t xml:space="preserve"> Pa. 403, 573 A.2d 536 </w:t>
      </w:r>
      <w:r w:rsidR="00C43683">
        <w:t>(1989)</w:t>
      </w:r>
      <w:r w:rsidR="002332EB">
        <w:t xml:space="preserve">; </w:t>
      </w:r>
      <w:r w:rsidR="002332EB" w:rsidRPr="007547CD">
        <w:rPr>
          <w:i/>
        </w:rPr>
        <w:t>Lang v. Tax Review Bd.</w:t>
      </w:r>
      <w:r w:rsidR="002332EB">
        <w:t>, 69 Pa</w:t>
      </w:r>
      <w:r w:rsidR="00C43683">
        <w:t>.</w:t>
      </w:r>
      <w:r w:rsidR="002332EB">
        <w:t xml:space="preserve"> Commonwealth Ct. 525, 451 A.2d 1057, 1059 (1982).  </w:t>
      </w:r>
      <w:r w:rsidR="00F11579">
        <w:t xml:space="preserve">Pennsylvania agencies, while not permitted to conclusively determine the scope of their jurisdiction, have the authority to make an initial determination as to the nature and extent of their jurisdiction and whether they have jurisdiction in a particular case.  </w:t>
      </w:r>
      <w:r w:rsidR="00F11579" w:rsidRPr="006E1A98">
        <w:rPr>
          <w:i/>
        </w:rPr>
        <w:t>Hotel Casey v. Ross</w:t>
      </w:r>
      <w:r w:rsidR="00F11579">
        <w:t xml:space="preserve">, 341 Pa. 573, 23 A.2d 737, 742 (1942); </w:t>
      </w:r>
      <w:r w:rsidR="00F11579" w:rsidRPr="006E1A98">
        <w:rPr>
          <w:i/>
        </w:rPr>
        <w:t>Girard School Dist. v. Pittenger</w:t>
      </w:r>
      <w:r w:rsidR="00F11579">
        <w:t xml:space="preserve">, 481 Pa. 91, 392 A.2d 261, 263 n. 26 (1978); </w:t>
      </w:r>
      <w:r w:rsidR="00F11579" w:rsidRPr="006E1A98">
        <w:rPr>
          <w:i/>
        </w:rPr>
        <w:t>Mercy Hospital of Pittsburgh v. P</w:t>
      </w:r>
      <w:r w:rsidR="006A4139" w:rsidRPr="006E1A98">
        <w:rPr>
          <w:i/>
        </w:rPr>
        <w:t>ennsylvani</w:t>
      </w:r>
      <w:r w:rsidR="00F11579" w:rsidRPr="006E1A98">
        <w:rPr>
          <w:i/>
        </w:rPr>
        <w:t>a</w:t>
      </w:r>
      <w:r w:rsidR="006A4139" w:rsidRPr="006E1A98">
        <w:rPr>
          <w:i/>
        </w:rPr>
        <w:t xml:space="preserve"> Human Rel</w:t>
      </w:r>
      <w:r w:rsidR="00F11579" w:rsidRPr="006E1A98">
        <w:rPr>
          <w:i/>
        </w:rPr>
        <w:t>.</w:t>
      </w:r>
      <w:r w:rsidR="006A4139" w:rsidRPr="006E1A98">
        <w:rPr>
          <w:i/>
        </w:rPr>
        <w:t xml:space="preserve"> Comm’n</w:t>
      </w:r>
      <w:r w:rsidR="006A4139">
        <w:t xml:space="preserve">, 488 Pa. 132, 451 A.2d 1357, 1359 (1982); </w:t>
      </w:r>
      <w:r w:rsidR="006A4139" w:rsidRPr="006E1A98">
        <w:rPr>
          <w:i/>
        </w:rPr>
        <w:t>McGraw-Edison Co. v. Pennsylvania Human Rel. Comm’n</w:t>
      </w:r>
      <w:r w:rsidR="006A4139">
        <w:t xml:space="preserve">, 108 Pa. Commonwealth Ct. 147, 529 A.2d 81, 84 (1987).  </w:t>
      </w:r>
      <w:r w:rsidR="00C43683">
        <w:t xml:space="preserve">  </w:t>
      </w:r>
    </w:p>
    <w:p w:rsidR="006E1A98" w:rsidRDefault="006E1A98" w:rsidP="00CF2AA0">
      <w:pPr>
        <w:spacing w:line="360" w:lineRule="auto"/>
        <w:ind w:firstLine="1440"/>
      </w:pPr>
    </w:p>
    <w:p w:rsidR="009D5BBA" w:rsidRDefault="006E1A98" w:rsidP="00CF2AA0">
      <w:pPr>
        <w:spacing w:line="360" w:lineRule="auto"/>
        <w:ind w:firstLine="1440"/>
      </w:pPr>
      <w:r>
        <w:lastRenderedPageBreak/>
        <w:t xml:space="preserve">An agency’s jurisdiction is generally dependent on the legal statute reposing power.  </w:t>
      </w:r>
      <w:proofErr w:type="gramStart"/>
      <w:r w:rsidRPr="007547CD">
        <w:rPr>
          <w:i/>
        </w:rPr>
        <w:t>Feder</w:t>
      </w:r>
      <w:r w:rsidR="007547CD" w:rsidRPr="007547CD">
        <w:rPr>
          <w:i/>
        </w:rPr>
        <w:t>a</w:t>
      </w:r>
      <w:r w:rsidRPr="007547CD">
        <w:rPr>
          <w:i/>
        </w:rPr>
        <w:t xml:space="preserve">l Deposit Ins. Corp. v. Bd. </w:t>
      </w:r>
      <w:r w:rsidR="005A58B6" w:rsidRPr="007547CD">
        <w:rPr>
          <w:i/>
        </w:rPr>
        <w:t>o</w:t>
      </w:r>
      <w:r w:rsidRPr="007547CD">
        <w:rPr>
          <w:i/>
        </w:rPr>
        <w:t>f Fin</w:t>
      </w:r>
      <w:r w:rsidR="005A58B6" w:rsidRPr="007547CD">
        <w:rPr>
          <w:i/>
        </w:rPr>
        <w:t>ance and Revenue</w:t>
      </w:r>
      <w:r w:rsidR="005A58B6">
        <w:t>, 368 Pa. 463, 84 A.2d 495, 498-99 (1951).</w:t>
      </w:r>
      <w:proofErr w:type="gramEnd"/>
      <w:r w:rsidR="005A58B6">
        <w:t xml:space="preserve">  Pennsylvania agencies generally cannot confer jurisdiction on themselves nor can they enlarge jurisdiction by acquisition, change, enlargement by contract, consent or by agreement or stipulation of the parties. </w:t>
      </w:r>
      <w:r w:rsidR="00084BDD">
        <w:t xml:space="preserve"> </w:t>
      </w:r>
      <w:proofErr w:type="gramStart"/>
      <w:r w:rsidR="005A58B6">
        <w:rPr>
          <w:i/>
        </w:rPr>
        <w:t xml:space="preserve">Id </w:t>
      </w:r>
      <w:r w:rsidR="005A58B6" w:rsidRPr="005A58B6">
        <w:t>at 499;</w:t>
      </w:r>
      <w:r w:rsidR="005A58B6">
        <w:t xml:space="preserve"> </w:t>
      </w:r>
      <w:r w:rsidR="005A58B6" w:rsidRPr="009D5BBA">
        <w:rPr>
          <w:i/>
        </w:rPr>
        <w:t>Western Pennsylvania Water Co. v. Pennsylvania Pub.</w:t>
      </w:r>
      <w:proofErr w:type="gramEnd"/>
      <w:r w:rsidR="005A58B6" w:rsidRPr="009D5BBA">
        <w:rPr>
          <w:i/>
        </w:rPr>
        <w:t xml:space="preserve"> Util. Comm’n</w:t>
      </w:r>
      <w:r w:rsidR="005A58B6">
        <w:t xml:space="preserve">, 471 Pa. 347, 370 A.2d 337, 339-40 (1977); </w:t>
      </w:r>
      <w:r w:rsidR="005A58B6" w:rsidRPr="009D5BBA">
        <w:rPr>
          <w:i/>
        </w:rPr>
        <w:t>Blackw</w:t>
      </w:r>
      <w:r w:rsidR="00197F4C" w:rsidRPr="009D5BBA">
        <w:rPr>
          <w:i/>
        </w:rPr>
        <w:t>ell v.</w:t>
      </w:r>
      <w:r w:rsidR="00D8066A">
        <w:rPr>
          <w:i/>
        </w:rPr>
        <w:t xml:space="preserve"> State Ethics</w:t>
      </w:r>
      <w:r w:rsidR="00197F4C" w:rsidRPr="009D5BBA">
        <w:rPr>
          <w:i/>
        </w:rPr>
        <w:t xml:space="preserve"> Comm</w:t>
      </w:r>
      <w:r w:rsidR="00D8066A">
        <w:rPr>
          <w:i/>
        </w:rPr>
        <w:t>’</w:t>
      </w:r>
      <w:r w:rsidR="00197F4C" w:rsidRPr="009D5BBA">
        <w:rPr>
          <w:i/>
        </w:rPr>
        <w:t>n</w:t>
      </w:r>
      <w:r w:rsidR="00197F4C">
        <w:t xml:space="preserve">, 523 Pa. 347, 567 A.2d 630, 636, </w:t>
      </w:r>
      <w:r w:rsidR="00197F4C" w:rsidRPr="002332EB">
        <w:t>reh’g granted</w:t>
      </w:r>
      <w:r w:rsidR="00197F4C">
        <w:rPr>
          <w:i/>
        </w:rPr>
        <w:t>,</w:t>
      </w:r>
      <w:r w:rsidR="00197F4C" w:rsidRPr="00197F4C">
        <w:t xml:space="preserve"> </w:t>
      </w:r>
      <w:r w:rsidR="00197F4C">
        <w:t xml:space="preserve">524 Pa. 403, 573 A.2d 536 (1989); </w:t>
      </w:r>
      <w:r w:rsidR="00197F4C" w:rsidRPr="009D5BBA">
        <w:rPr>
          <w:i/>
        </w:rPr>
        <w:t>Rosenberry v. Gillam Bros.</w:t>
      </w:r>
      <w:r w:rsidR="00197F4C">
        <w:t xml:space="preserve">, 130 Superior Ct. 469, 197 A. 523, 526 (1938).  Pennsylvania’s jurisdiction test was stated in </w:t>
      </w:r>
      <w:r w:rsidR="00197F4C" w:rsidRPr="009D5BBA">
        <w:rPr>
          <w:i/>
        </w:rPr>
        <w:t>Rogoff v. Buncher Co.</w:t>
      </w:r>
      <w:r w:rsidR="00197F4C">
        <w:t xml:space="preserve">, 395 Pa. 477, 151 A.2d 83, 85 </w:t>
      </w:r>
      <w:r w:rsidR="00177BBE">
        <w:t xml:space="preserve">(1959) </w:t>
      </w:r>
      <w:r w:rsidR="00197F4C">
        <w:t xml:space="preserve">as, </w:t>
      </w:r>
      <w:r w:rsidR="009D5BBA">
        <w:t>whether one has the power to enter upon the inquiry, and not whether it may ultimately decide that it is unable to grant the relief sought in the particular case.  In this instance case, the relief sought and the inquiry are the same</w:t>
      </w:r>
      <w:r w:rsidR="0017697F">
        <w:t>, that being,</w:t>
      </w:r>
      <w:r w:rsidR="009D5BBA">
        <w:t xml:space="preserve"> compensation for repair of the pipe that provides water to the service address. </w:t>
      </w:r>
    </w:p>
    <w:p w:rsidR="009D5BBA" w:rsidRDefault="009D5BBA" w:rsidP="00CF2AA0">
      <w:pPr>
        <w:spacing w:line="360" w:lineRule="auto"/>
        <w:ind w:firstLine="1440"/>
      </w:pPr>
    </w:p>
    <w:p w:rsidR="00726197" w:rsidRDefault="00177BBE" w:rsidP="00F133AD">
      <w:pPr>
        <w:tabs>
          <w:tab w:val="left" w:pos="2160"/>
        </w:tabs>
        <w:spacing w:line="360" w:lineRule="auto"/>
        <w:ind w:firstLine="1440"/>
      </w:pPr>
      <w:r>
        <w:t>As stated above, the contentions of Respondent that the PUC is without authority to award compensation for damages are reasonable and corr</w:t>
      </w:r>
      <w:r w:rsidR="005314CE">
        <w:t xml:space="preserve">ect.  Furthermore, 52 </w:t>
      </w:r>
      <w:proofErr w:type="spellStart"/>
      <w:r w:rsidR="005314CE">
        <w:t>Pa.Code</w:t>
      </w:r>
      <w:proofErr w:type="spellEnd"/>
      <w:r w:rsidR="005314CE">
        <w:t xml:space="preserve"> § </w:t>
      </w:r>
      <w:r>
        <w:t>5.101(a</w:t>
      </w:r>
      <w:proofErr w:type="gramStart"/>
      <w:r>
        <w:t>)(</w:t>
      </w:r>
      <w:proofErr w:type="gramEnd"/>
      <w:r>
        <w:t>1)</w:t>
      </w:r>
      <w:r w:rsidR="00747062">
        <w:t xml:space="preserve"> states</w:t>
      </w:r>
      <w:r w:rsidR="0017697F">
        <w:t>,</w:t>
      </w:r>
      <w:r w:rsidR="00747062">
        <w:t xml:space="preserve"> </w:t>
      </w:r>
      <w:r w:rsidR="0017697F">
        <w:t>“L</w:t>
      </w:r>
      <w:r w:rsidR="00747062">
        <w:t>ack of Commission jurisdiction</w:t>
      </w:r>
      <w:r w:rsidR="0017697F">
        <w:t>”</w:t>
      </w:r>
      <w:r w:rsidR="00747062">
        <w:t xml:space="preserve"> is ground</w:t>
      </w:r>
      <w:r w:rsidR="0017697F">
        <w:t>s</w:t>
      </w:r>
      <w:r w:rsidR="00747062">
        <w:t xml:space="preserve"> for a preliminary objection.  The request for relief sought is, “</w:t>
      </w:r>
      <w:r w:rsidR="00583A64">
        <w:t xml:space="preserve">…I am responsible as the owner to repair the water service pipe.  I want [PGW] to pay all expenses in this matter to </w:t>
      </w:r>
      <w:proofErr w:type="gramStart"/>
      <w:r w:rsidR="00583A64">
        <w:t>resolve[</w:t>
      </w:r>
      <w:proofErr w:type="gramEnd"/>
      <w:r w:rsidR="00583A64">
        <w:t>]</w:t>
      </w:r>
      <w:r w:rsidR="005314CE">
        <w:t xml:space="preserve"> this problem.”  </w:t>
      </w:r>
      <w:proofErr w:type="gramStart"/>
      <w:r w:rsidR="005314CE">
        <w:t>Complaint at ¶ </w:t>
      </w:r>
      <w:r w:rsidR="00583A64">
        <w:t>5.</w:t>
      </w:r>
      <w:proofErr w:type="gramEnd"/>
      <w:r w:rsidR="00583A64">
        <w:t xml:space="preserve">  </w:t>
      </w:r>
      <w:r w:rsidR="0017697F">
        <w:t>Complainant does not seek to determine whether PGW provided responsible and adequate service at the service address</w:t>
      </w:r>
      <w:r w:rsidR="00DE3F8A">
        <w:t>.</w:t>
      </w:r>
      <w:r w:rsidR="00DE3F8A">
        <w:rPr>
          <w:rStyle w:val="FootnoteReference"/>
        </w:rPr>
        <w:footnoteReference w:id="2"/>
      </w:r>
      <w:r w:rsidR="00DE3F8A">
        <w:t xml:space="preserve">  </w:t>
      </w:r>
      <w:r w:rsidR="00EE4F35">
        <w:t xml:space="preserve">The Complainant seeks only to be compensated for damage caused to his property.  Because the Commission is without the power to award monetary damages to a complainant, the relief sought cannot be granted by the Commission.  </w:t>
      </w:r>
      <w:proofErr w:type="gramStart"/>
      <w:r w:rsidR="00F133AD">
        <w:rPr>
          <w:i/>
        </w:rPr>
        <w:t>Feingold v. Bell of Pennsylvania</w:t>
      </w:r>
      <w:r w:rsidR="00F133AD">
        <w:t>, 477 Pa. 1, 383 A.2d 791 (1977);</w:t>
      </w:r>
      <w:r w:rsidR="00F133AD">
        <w:rPr>
          <w:i/>
        </w:rPr>
        <w:t xml:space="preserve"> Morrow v. Bell Telephone Co. of Pennsylvania, </w:t>
      </w:r>
      <w:r w:rsidR="00F133AD">
        <w:t>330 Pa. Super.</w:t>
      </w:r>
      <w:proofErr w:type="gramEnd"/>
      <w:r w:rsidR="00F133AD">
        <w:t xml:space="preserve"> </w:t>
      </w:r>
      <w:proofErr w:type="gramStart"/>
      <w:r w:rsidR="00F133AD">
        <w:t>279,</w:t>
      </w:r>
      <w:r w:rsidR="00F133AD">
        <w:rPr>
          <w:i/>
        </w:rPr>
        <w:t xml:space="preserve"> </w:t>
      </w:r>
      <w:r w:rsidR="00F133AD">
        <w:t>479 A.2d 548 (1984);</w:t>
      </w:r>
      <w:r w:rsidR="00F133AD">
        <w:rPr>
          <w:i/>
        </w:rPr>
        <w:t xml:space="preserve"> West Penn Power Co. v. Pennsylvania Pub.</w:t>
      </w:r>
      <w:proofErr w:type="gramEnd"/>
      <w:r w:rsidR="00F133AD">
        <w:rPr>
          <w:i/>
        </w:rPr>
        <w:t xml:space="preserve"> Util. Comm’n</w:t>
      </w:r>
      <w:r w:rsidR="00F133AD">
        <w:t xml:space="preserve">, </w:t>
      </w:r>
      <w:proofErr w:type="gramStart"/>
      <w:r w:rsidR="00F133AD">
        <w:t>104 Pa.Cmwlth</w:t>
      </w:r>
      <w:proofErr w:type="gramEnd"/>
      <w:r w:rsidR="00F133AD">
        <w:t xml:space="preserve">. </w:t>
      </w:r>
      <w:proofErr w:type="gramStart"/>
      <w:r w:rsidR="00F133AD">
        <w:t>21, 521 A.2d 75 (1987).</w:t>
      </w:r>
      <w:proofErr w:type="gramEnd"/>
      <w:r w:rsidR="00F133AD">
        <w:t xml:space="preserve">  Where the available administrative remedies are inadequate with respect to the alleged</w:t>
      </w:r>
      <w:r>
        <w:t xml:space="preserve"> </w:t>
      </w:r>
      <w:r w:rsidR="00F133AD">
        <w:t xml:space="preserve">injury sustained and the relief requested, there is no need to exhaust administrative remedies before seeking redress in the courts.  </w:t>
      </w:r>
      <w:r w:rsidR="00F133AD" w:rsidRPr="00F133AD">
        <w:rPr>
          <w:i/>
        </w:rPr>
        <w:t>Morrow v. Bell Telephone Co. of Pennsylvania</w:t>
      </w:r>
      <w:r w:rsidR="00F133AD">
        <w:t xml:space="preserve">, </w:t>
      </w:r>
      <w:proofErr w:type="gramStart"/>
      <w:r w:rsidR="00F133AD">
        <w:t>330 Pa.Super</w:t>
      </w:r>
      <w:proofErr w:type="gramEnd"/>
      <w:r w:rsidR="00F133AD">
        <w:t xml:space="preserve">. </w:t>
      </w:r>
      <w:proofErr w:type="gramStart"/>
      <w:r w:rsidR="00F133AD">
        <w:t>276, 479 A.2d 548 (1984).</w:t>
      </w:r>
      <w:proofErr w:type="gramEnd"/>
      <w:r w:rsidR="00F133AD">
        <w:t xml:space="preserve"> </w:t>
      </w:r>
      <w:r w:rsidR="000E1ECE">
        <w:t xml:space="preserve">  </w:t>
      </w:r>
    </w:p>
    <w:p w:rsidR="00726197" w:rsidRDefault="00726197" w:rsidP="00F133AD">
      <w:pPr>
        <w:tabs>
          <w:tab w:val="left" w:pos="2160"/>
        </w:tabs>
        <w:spacing w:line="360" w:lineRule="auto"/>
        <w:ind w:firstLine="1440"/>
      </w:pPr>
    </w:p>
    <w:p w:rsidR="00F70177" w:rsidRDefault="00726197" w:rsidP="00F70177">
      <w:pPr>
        <w:tabs>
          <w:tab w:val="left" w:pos="2160"/>
        </w:tabs>
        <w:spacing w:line="360" w:lineRule="auto"/>
        <w:ind w:firstLine="1440"/>
      </w:pPr>
      <w:r>
        <w:lastRenderedPageBreak/>
        <w:t xml:space="preserve">The Commission has discretion to “dismiss any complaint with a hearing if, in its opinion, a hearing is not necessary in the public interest.”  </w:t>
      </w:r>
      <w:proofErr w:type="gramStart"/>
      <w:r>
        <w:t>66 Pa.C.S.</w:t>
      </w:r>
      <w:proofErr w:type="gramEnd"/>
      <w:r>
        <w:t xml:space="preserve"> § 703(b).  A hearing is necessary if there are questions of fact in dispute or </w:t>
      </w:r>
      <w:r w:rsidR="005274B3">
        <w:t>questions of law presented</w:t>
      </w:r>
      <w:r w:rsidR="00AE4FA4">
        <w:t>.  I</w:t>
      </w:r>
      <w:r w:rsidR="005274B3">
        <w:t>f these questions are not presented</w:t>
      </w:r>
      <w:r w:rsidR="00AE4FA4">
        <w:t>,</w:t>
      </w:r>
      <w:r w:rsidR="005274B3">
        <w:t xml:space="preserve"> there is no need to hold an evidentiary hearing.  </w:t>
      </w:r>
      <w:proofErr w:type="gramStart"/>
      <w:r w:rsidR="005274B3" w:rsidRPr="00084BDD">
        <w:rPr>
          <w:i/>
        </w:rPr>
        <w:t>Lehigh Valley Power Committee v. Pa. Pub.</w:t>
      </w:r>
      <w:proofErr w:type="gramEnd"/>
      <w:r w:rsidR="005274B3" w:rsidRPr="00084BDD">
        <w:rPr>
          <w:i/>
        </w:rPr>
        <w:t xml:space="preserve"> Util. Comm’n</w:t>
      </w:r>
      <w:r w:rsidR="005274B3">
        <w:t xml:space="preserve">, </w:t>
      </w:r>
      <w:proofErr w:type="gramStart"/>
      <w:r w:rsidR="005274B3">
        <w:t>128 Pa.Cmwlth</w:t>
      </w:r>
      <w:proofErr w:type="gramEnd"/>
      <w:r w:rsidR="005274B3">
        <w:t xml:space="preserve">. </w:t>
      </w:r>
      <w:proofErr w:type="gramStart"/>
      <w:r w:rsidR="005274B3">
        <w:t xml:space="preserve">259, 563 A.2d 548 (1989), </w:t>
      </w:r>
      <w:r w:rsidR="005274B3" w:rsidRPr="00084BDD">
        <w:rPr>
          <w:i/>
        </w:rPr>
        <w:t>Edan Transportation Corp. v. Pa. Pub.</w:t>
      </w:r>
      <w:proofErr w:type="gramEnd"/>
      <w:r w:rsidR="005274B3" w:rsidRPr="00084BDD">
        <w:rPr>
          <w:i/>
        </w:rPr>
        <w:t xml:space="preserve"> Util. Comm’n</w:t>
      </w:r>
      <w:r w:rsidR="005274B3">
        <w:t xml:space="preserve">, </w:t>
      </w:r>
      <w:proofErr w:type="gramStart"/>
      <w:r w:rsidR="005274B3">
        <w:t>154 Pa.Cmwlth</w:t>
      </w:r>
      <w:proofErr w:type="gramEnd"/>
      <w:r w:rsidR="005274B3">
        <w:t xml:space="preserve">. </w:t>
      </w:r>
      <w:proofErr w:type="gramStart"/>
      <w:r w:rsidR="005274B3">
        <w:t>21, 623 A.2d 6 (1993).</w:t>
      </w:r>
      <w:proofErr w:type="gramEnd"/>
      <w:r w:rsidR="005274B3">
        <w:t xml:space="preserve">  This case does not involve disputed </w:t>
      </w:r>
      <w:r w:rsidR="00AE4FA4">
        <w:t xml:space="preserve">material </w:t>
      </w:r>
      <w:r w:rsidR="005274B3">
        <w:t>facts.</w:t>
      </w:r>
      <w:r w:rsidR="00AE4FA4">
        <w:rPr>
          <w:rStyle w:val="FootnoteReference"/>
        </w:rPr>
        <w:footnoteReference w:id="3"/>
      </w:r>
      <w:r w:rsidR="005274B3">
        <w:t xml:space="preserve">  The question of law is one of </w:t>
      </w:r>
      <w:r w:rsidR="00470911">
        <w:t xml:space="preserve">whether the Commission can award compensation for damages; which has been answered in the negative based on precedent.  </w:t>
      </w:r>
    </w:p>
    <w:p w:rsidR="00F70177" w:rsidRDefault="00F70177" w:rsidP="00F70177">
      <w:pPr>
        <w:tabs>
          <w:tab w:val="left" w:pos="2160"/>
        </w:tabs>
        <w:spacing w:line="360" w:lineRule="auto"/>
        <w:ind w:firstLine="1440"/>
      </w:pPr>
    </w:p>
    <w:p w:rsidR="00A610FE" w:rsidRDefault="00470911" w:rsidP="00F70177">
      <w:pPr>
        <w:tabs>
          <w:tab w:val="left" w:pos="2160"/>
        </w:tabs>
        <w:spacing w:line="360" w:lineRule="auto"/>
        <w:ind w:firstLine="1440"/>
        <w:jc w:val="center"/>
      </w:pPr>
      <w:r>
        <w:t>The Commission lacks subject matter jurisdiction over the</w:t>
      </w:r>
      <w:r w:rsidR="00F70177">
        <w:t xml:space="preserve"> instant</w:t>
      </w:r>
      <w:r>
        <w:t xml:space="preserve"> complaint.  A hearing is not necessary, nor is it in the public interest to hold a hearing for the relief sought.</w:t>
      </w:r>
      <w:r w:rsidR="00726197">
        <w:tab/>
      </w:r>
    </w:p>
    <w:p w:rsidR="00A610FE" w:rsidRDefault="00A610FE" w:rsidP="00F70177">
      <w:pPr>
        <w:tabs>
          <w:tab w:val="left" w:pos="2160"/>
        </w:tabs>
        <w:spacing w:line="360" w:lineRule="auto"/>
        <w:ind w:firstLine="1440"/>
        <w:jc w:val="center"/>
      </w:pPr>
    </w:p>
    <w:p w:rsidR="003A388C" w:rsidRDefault="003A388C" w:rsidP="00A610FE">
      <w:pPr>
        <w:tabs>
          <w:tab w:val="left" w:pos="2160"/>
        </w:tabs>
        <w:spacing w:line="360" w:lineRule="auto"/>
        <w:jc w:val="center"/>
        <w:rPr>
          <w:u w:val="single"/>
        </w:rPr>
      </w:pPr>
      <w:r>
        <w:rPr>
          <w:u w:val="single"/>
        </w:rPr>
        <w:t>CONCLUSIONS OF LAW</w:t>
      </w:r>
    </w:p>
    <w:p w:rsidR="003A388C" w:rsidRDefault="003A388C" w:rsidP="003A388C">
      <w:pPr>
        <w:spacing w:line="360" w:lineRule="auto"/>
        <w:jc w:val="center"/>
        <w:rPr>
          <w:u w:val="single"/>
        </w:rPr>
      </w:pPr>
    </w:p>
    <w:p w:rsidR="003A388C" w:rsidRDefault="003A388C" w:rsidP="003A388C">
      <w:pPr>
        <w:numPr>
          <w:ilvl w:val="0"/>
          <w:numId w:val="2"/>
        </w:numPr>
        <w:tabs>
          <w:tab w:val="clear" w:pos="900"/>
          <w:tab w:val="num" w:pos="2160"/>
        </w:tabs>
        <w:spacing w:line="360" w:lineRule="auto"/>
        <w:ind w:left="0" w:firstLine="1440"/>
      </w:pPr>
      <w:r>
        <w:t>The Commission</w:t>
      </w:r>
      <w:r w:rsidR="007547CD">
        <w:t>’s</w:t>
      </w:r>
      <w:r>
        <w:t xml:space="preserve"> </w:t>
      </w:r>
      <w:r w:rsidR="007547CD">
        <w:t>regulations provide for preliminary objections to be raised regarding the lack of Commission subject matter jurisdiction.   52 Pa.Code § 5.101(a</w:t>
      </w:r>
      <w:proofErr w:type="gramStart"/>
      <w:r w:rsidR="007547CD">
        <w:t>)(</w:t>
      </w:r>
      <w:proofErr w:type="gramEnd"/>
      <w:r w:rsidR="007547CD">
        <w:t>1)</w:t>
      </w:r>
      <w:r>
        <w:t>.</w:t>
      </w:r>
    </w:p>
    <w:p w:rsidR="003A388C" w:rsidRDefault="003A388C" w:rsidP="003A388C">
      <w:pPr>
        <w:spacing w:line="360" w:lineRule="auto"/>
        <w:ind w:left="900"/>
      </w:pPr>
    </w:p>
    <w:p w:rsidR="000C525F" w:rsidRDefault="007547CD" w:rsidP="003A388C">
      <w:pPr>
        <w:numPr>
          <w:ilvl w:val="0"/>
          <w:numId w:val="2"/>
        </w:numPr>
        <w:tabs>
          <w:tab w:val="clear" w:pos="900"/>
          <w:tab w:val="num" w:pos="2160"/>
        </w:tabs>
        <w:spacing w:line="360" w:lineRule="auto"/>
        <w:ind w:left="0" w:firstLine="1440"/>
      </w:pPr>
      <w:r>
        <w:t xml:space="preserve">The Commission must act within its jurisdiction and cannot exceed it.  </w:t>
      </w:r>
    </w:p>
    <w:p w:rsidR="000C525F" w:rsidRDefault="000C525F" w:rsidP="000C525F">
      <w:pPr>
        <w:pStyle w:val="ListParagraph"/>
      </w:pPr>
    </w:p>
    <w:p w:rsidR="000C525F" w:rsidRDefault="000C525F" w:rsidP="003A388C">
      <w:pPr>
        <w:numPr>
          <w:ilvl w:val="0"/>
          <w:numId w:val="2"/>
        </w:numPr>
        <w:tabs>
          <w:tab w:val="clear" w:pos="900"/>
          <w:tab w:val="num" w:pos="2160"/>
        </w:tabs>
        <w:spacing w:line="360" w:lineRule="auto"/>
        <w:ind w:left="0" w:firstLine="1440"/>
      </w:pPr>
      <w:r>
        <w:t>Jurisdiction may not be conferred by the parties where none exists.  Neither silence nor agreement of the parties can confer jurisdiction where it would not exist otherwise, nor can jurisdiction be obtained by waiver or estoppel.</w:t>
      </w:r>
    </w:p>
    <w:p w:rsidR="000C525F" w:rsidRDefault="000C525F" w:rsidP="000C525F">
      <w:pPr>
        <w:pStyle w:val="ListParagraph"/>
      </w:pPr>
    </w:p>
    <w:p w:rsidR="000C525F" w:rsidRDefault="000C525F" w:rsidP="003A388C">
      <w:pPr>
        <w:numPr>
          <w:ilvl w:val="0"/>
          <w:numId w:val="2"/>
        </w:numPr>
        <w:tabs>
          <w:tab w:val="clear" w:pos="900"/>
          <w:tab w:val="num" w:pos="2160"/>
        </w:tabs>
        <w:spacing w:line="360" w:lineRule="auto"/>
        <w:ind w:left="0" w:firstLine="1440"/>
      </w:pPr>
      <w:r>
        <w:t>In Pennsylvania, the courts of common pleas have unlimited original jurisdiction of all actions and proceedings unless limited by statute or general rule.</w:t>
      </w:r>
    </w:p>
    <w:p w:rsidR="000C525F" w:rsidRDefault="000C525F" w:rsidP="000C525F">
      <w:pPr>
        <w:pStyle w:val="ListParagraph"/>
      </w:pPr>
    </w:p>
    <w:p w:rsidR="00286BFE" w:rsidRDefault="00286BFE" w:rsidP="003A388C">
      <w:pPr>
        <w:numPr>
          <w:ilvl w:val="0"/>
          <w:numId w:val="2"/>
        </w:numPr>
        <w:tabs>
          <w:tab w:val="clear" w:pos="900"/>
          <w:tab w:val="num" w:pos="2160"/>
        </w:tabs>
        <w:spacing w:line="360" w:lineRule="auto"/>
        <w:ind w:left="0" w:firstLine="1440"/>
      </w:pPr>
      <w:r>
        <w:t>The instant complaint does not allege a violation of the Pennsylvania Public Utility Code, Commission regulations, or Commission Order.</w:t>
      </w:r>
    </w:p>
    <w:p w:rsidR="00286BFE" w:rsidRDefault="00286BFE" w:rsidP="00286BFE">
      <w:pPr>
        <w:pStyle w:val="ListParagraph"/>
      </w:pPr>
    </w:p>
    <w:p w:rsidR="00286BFE" w:rsidRDefault="00286BFE" w:rsidP="003A388C">
      <w:pPr>
        <w:numPr>
          <w:ilvl w:val="0"/>
          <w:numId w:val="2"/>
        </w:numPr>
        <w:tabs>
          <w:tab w:val="clear" w:pos="900"/>
          <w:tab w:val="num" w:pos="2160"/>
        </w:tabs>
        <w:spacing w:line="360" w:lineRule="auto"/>
        <w:ind w:left="0" w:firstLine="1440"/>
      </w:pPr>
      <w:r>
        <w:t>The Commission is without the power to award damages to a complainant.</w:t>
      </w:r>
    </w:p>
    <w:p w:rsidR="00286BFE" w:rsidRDefault="00286BFE" w:rsidP="003A388C">
      <w:pPr>
        <w:numPr>
          <w:ilvl w:val="0"/>
          <w:numId w:val="2"/>
        </w:numPr>
        <w:tabs>
          <w:tab w:val="clear" w:pos="900"/>
          <w:tab w:val="num" w:pos="2160"/>
        </w:tabs>
        <w:spacing w:line="360" w:lineRule="auto"/>
        <w:ind w:left="0" w:firstLine="1440"/>
      </w:pPr>
      <w:r>
        <w:lastRenderedPageBreak/>
        <w:t>The Commission has the discretion to dismiss any complaint without a hearing if, in its opinion, a hearing is not necessary in the public interest.</w:t>
      </w:r>
    </w:p>
    <w:p w:rsidR="00286BFE" w:rsidRDefault="00286BFE" w:rsidP="00286BFE">
      <w:pPr>
        <w:pStyle w:val="ListParagraph"/>
      </w:pPr>
    </w:p>
    <w:p w:rsidR="00286BFE" w:rsidRDefault="00286BFE" w:rsidP="003A388C">
      <w:pPr>
        <w:numPr>
          <w:ilvl w:val="0"/>
          <w:numId w:val="2"/>
        </w:numPr>
        <w:tabs>
          <w:tab w:val="clear" w:pos="900"/>
          <w:tab w:val="num" w:pos="2160"/>
        </w:tabs>
        <w:spacing w:line="360" w:lineRule="auto"/>
        <w:ind w:left="0" w:firstLine="1440"/>
      </w:pPr>
      <w:r>
        <w:t>A hearing is necessary to resolve any dispute facts and any questions of law are presented; otherwise the Commission need not hold a hearing.</w:t>
      </w:r>
    </w:p>
    <w:p w:rsidR="00286BFE" w:rsidRDefault="00286BFE" w:rsidP="00286BFE">
      <w:pPr>
        <w:pStyle w:val="ListParagraph"/>
      </w:pPr>
    </w:p>
    <w:p w:rsidR="00F32A21" w:rsidRDefault="00F32A21" w:rsidP="003A388C">
      <w:pPr>
        <w:numPr>
          <w:ilvl w:val="0"/>
          <w:numId w:val="2"/>
        </w:numPr>
        <w:tabs>
          <w:tab w:val="clear" w:pos="900"/>
          <w:tab w:val="num" w:pos="2160"/>
        </w:tabs>
        <w:spacing w:line="360" w:lineRule="auto"/>
        <w:ind w:left="0" w:firstLine="1440"/>
      </w:pPr>
      <w:r>
        <w:t xml:space="preserve">This instant complaint involved no </w:t>
      </w:r>
      <w:r w:rsidR="00766C70">
        <w:t xml:space="preserve">material </w:t>
      </w:r>
      <w:r>
        <w:t>disputed facts</w:t>
      </w:r>
      <w:r w:rsidR="00766C70">
        <w:t>,</w:t>
      </w:r>
      <w:r>
        <w:t xml:space="preserve"> just a question of law.</w:t>
      </w:r>
    </w:p>
    <w:p w:rsidR="00F32A21" w:rsidRDefault="00F32A21" w:rsidP="00F32A21">
      <w:pPr>
        <w:pStyle w:val="ListParagraph"/>
      </w:pPr>
    </w:p>
    <w:p w:rsidR="00021B34" w:rsidRPr="00021B34" w:rsidRDefault="00F32A21" w:rsidP="00021B34">
      <w:pPr>
        <w:numPr>
          <w:ilvl w:val="0"/>
          <w:numId w:val="2"/>
        </w:numPr>
        <w:tabs>
          <w:tab w:val="clear" w:pos="900"/>
          <w:tab w:val="num" w:pos="2160"/>
        </w:tabs>
        <w:spacing w:line="360" w:lineRule="auto"/>
        <w:ind w:left="0" w:firstLine="1440"/>
        <w:rPr>
          <w:u w:val="single"/>
        </w:rPr>
      </w:pPr>
      <w:r>
        <w:t xml:space="preserve">A hearing is </w:t>
      </w:r>
      <w:r w:rsidR="00021B34">
        <w:t>un</w:t>
      </w:r>
      <w:r>
        <w:t>necessary and to convene an evidentiary hearing is not in the public interest.</w:t>
      </w:r>
    </w:p>
    <w:p w:rsidR="00021B34" w:rsidRDefault="00021B34" w:rsidP="00021B34">
      <w:pPr>
        <w:pStyle w:val="ListParagraph"/>
        <w:rPr>
          <w:u w:val="single"/>
        </w:rPr>
      </w:pPr>
    </w:p>
    <w:p w:rsidR="003A388C" w:rsidRPr="00021B34" w:rsidRDefault="003A388C" w:rsidP="00021B34">
      <w:pPr>
        <w:spacing w:line="360" w:lineRule="auto"/>
        <w:jc w:val="center"/>
        <w:rPr>
          <w:u w:val="single"/>
        </w:rPr>
      </w:pPr>
      <w:r w:rsidRPr="00021B34">
        <w:rPr>
          <w:u w:val="single"/>
        </w:rPr>
        <w:t>ORDER</w:t>
      </w:r>
    </w:p>
    <w:p w:rsidR="003A388C" w:rsidRDefault="003A388C" w:rsidP="003A388C">
      <w:pPr>
        <w:tabs>
          <w:tab w:val="num" w:pos="2160"/>
        </w:tabs>
        <w:spacing w:line="360" w:lineRule="auto"/>
        <w:jc w:val="center"/>
        <w:rPr>
          <w:u w:val="single"/>
        </w:rPr>
      </w:pPr>
    </w:p>
    <w:p w:rsidR="003A388C" w:rsidRDefault="003A388C" w:rsidP="003A388C">
      <w:pPr>
        <w:tabs>
          <w:tab w:val="num" w:pos="2160"/>
        </w:tabs>
        <w:spacing w:line="360" w:lineRule="auto"/>
        <w:ind w:firstLine="1440"/>
      </w:pPr>
      <w:r>
        <w:t xml:space="preserve">THEREFORE, </w:t>
      </w:r>
    </w:p>
    <w:p w:rsidR="003A388C" w:rsidRDefault="003A388C" w:rsidP="003A388C">
      <w:pPr>
        <w:tabs>
          <w:tab w:val="num" w:pos="2160"/>
        </w:tabs>
        <w:spacing w:line="360" w:lineRule="auto"/>
      </w:pPr>
    </w:p>
    <w:p w:rsidR="003A388C" w:rsidRDefault="003A388C" w:rsidP="003A388C">
      <w:pPr>
        <w:tabs>
          <w:tab w:val="num" w:pos="2160"/>
        </w:tabs>
        <w:spacing w:line="360" w:lineRule="auto"/>
        <w:ind w:firstLine="1440"/>
      </w:pPr>
      <w:r>
        <w:t>IT IS ORDERED:</w:t>
      </w:r>
    </w:p>
    <w:p w:rsidR="003A388C" w:rsidRDefault="003A388C" w:rsidP="003A388C">
      <w:pPr>
        <w:tabs>
          <w:tab w:val="num" w:pos="2160"/>
        </w:tabs>
        <w:spacing w:line="360" w:lineRule="auto"/>
        <w:rPr>
          <w:b/>
        </w:rPr>
      </w:pPr>
    </w:p>
    <w:p w:rsidR="00BC4389" w:rsidRDefault="003A388C" w:rsidP="00BC4389">
      <w:pPr>
        <w:numPr>
          <w:ilvl w:val="0"/>
          <w:numId w:val="6"/>
        </w:numPr>
        <w:spacing w:line="360" w:lineRule="auto"/>
        <w:ind w:left="0" w:firstLine="1440"/>
      </w:pPr>
      <w:r>
        <w:t xml:space="preserve">That the </w:t>
      </w:r>
      <w:r w:rsidR="00F32A21">
        <w:t xml:space="preserve">Preliminary Objections filed </w:t>
      </w:r>
      <w:r>
        <w:t xml:space="preserve">by </w:t>
      </w:r>
      <w:r w:rsidR="00F32A21">
        <w:t>Laureto Farinas</w:t>
      </w:r>
      <w:r>
        <w:t>, Esquire on behalf of P</w:t>
      </w:r>
      <w:r w:rsidR="00F32A21">
        <w:t>hiladelphia Gas Works are granted on grounds that the Commission lacks subject matter jurisdiction</w:t>
      </w:r>
      <w:r w:rsidR="00BC4389">
        <w:t>.</w:t>
      </w:r>
    </w:p>
    <w:p w:rsidR="00BC4389" w:rsidRDefault="00BC4389" w:rsidP="003A388C">
      <w:pPr>
        <w:tabs>
          <w:tab w:val="num" w:pos="2160"/>
        </w:tabs>
        <w:spacing w:line="360" w:lineRule="auto"/>
        <w:ind w:firstLine="1440"/>
      </w:pPr>
    </w:p>
    <w:p w:rsidR="003A388C" w:rsidRDefault="00BC4389" w:rsidP="007B1FB7">
      <w:pPr>
        <w:numPr>
          <w:ilvl w:val="0"/>
          <w:numId w:val="6"/>
        </w:numPr>
        <w:tabs>
          <w:tab w:val="num" w:pos="2160"/>
        </w:tabs>
        <w:spacing w:line="360" w:lineRule="auto"/>
        <w:ind w:left="-90" w:firstLine="1530"/>
      </w:pPr>
      <w:r>
        <w:t>That the formal complaint filed on August 26, 2010 by Lula Stokes against Philadelphia Gas Works at Docket No. C-2010-</w:t>
      </w:r>
      <w:proofErr w:type="gramStart"/>
      <w:r>
        <w:t>2196471,</w:t>
      </w:r>
      <w:proofErr w:type="gramEnd"/>
      <w:r>
        <w:t xml:space="preserve"> is dismissed based upon the lack of subject matter jurisdiction by the Commission. </w:t>
      </w:r>
    </w:p>
    <w:p w:rsidR="00BC4389" w:rsidRDefault="00BC4389" w:rsidP="00BC4389">
      <w:pPr>
        <w:pStyle w:val="ListParagraph"/>
      </w:pPr>
    </w:p>
    <w:p w:rsidR="00BC4389" w:rsidRDefault="00BC4389" w:rsidP="007B1FB7">
      <w:pPr>
        <w:numPr>
          <w:ilvl w:val="0"/>
          <w:numId w:val="6"/>
        </w:numPr>
        <w:tabs>
          <w:tab w:val="num" w:pos="2160"/>
        </w:tabs>
        <w:spacing w:line="360" w:lineRule="auto"/>
        <w:ind w:left="-90" w:firstLine="1530"/>
      </w:pPr>
      <w:r>
        <w:t>That the Initial Hearing scheduled in the above-caption</w:t>
      </w:r>
      <w:r w:rsidR="00766C70">
        <w:t>ed</w:t>
      </w:r>
      <w:r>
        <w:t xml:space="preserve"> case for 10:00 a.m. on </w:t>
      </w:r>
      <w:r w:rsidR="007B1FB7">
        <w:t>Friday, January 14, 2011, is canceled.</w:t>
      </w:r>
    </w:p>
    <w:p w:rsidR="007B1FB7" w:rsidRDefault="007B1FB7" w:rsidP="007B1FB7">
      <w:pPr>
        <w:pStyle w:val="ListParagraph"/>
      </w:pPr>
    </w:p>
    <w:p w:rsidR="003A388C" w:rsidRDefault="00766C70" w:rsidP="007B1FB7">
      <w:pPr>
        <w:numPr>
          <w:ilvl w:val="0"/>
          <w:numId w:val="6"/>
        </w:numPr>
        <w:spacing w:line="360" w:lineRule="auto"/>
        <w:ind w:left="0" w:firstLine="1440"/>
      </w:pPr>
      <w:r>
        <w:br w:type="page"/>
      </w:r>
      <w:r w:rsidR="003A388C">
        <w:lastRenderedPageBreak/>
        <w:t xml:space="preserve">That the Secretary’s Bureau </w:t>
      </w:r>
      <w:proofErr w:type="gramStart"/>
      <w:r w:rsidR="003A388C">
        <w:t>mark</w:t>
      </w:r>
      <w:proofErr w:type="gramEnd"/>
      <w:r w:rsidR="003A388C">
        <w:t xml:space="preserve"> this matter closed.</w:t>
      </w:r>
    </w:p>
    <w:p w:rsidR="003A388C" w:rsidRDefault="003A388C" w:rsidP="003A388C">
      <w:pPr>
        <w:tabs>
          <w:tab w:val="num" w:pos="2160"/>
        </w:tabs>
        <w:spacing w:line="360" w:lineRule="auto"/>
        <w:ind w:firstLine="1440"/>
      </w:pPr>
    </w:p>
    <w:p w:rsidR="00AF69D6" w:rsidRDefault="00AF69D6" w:rsidP="003A388C">
      <w:pPr>
        <w:tabs>
          <w:tab w:val="num" w:pos="2160"/>
        </w:tabs>
        <w:spacing w:line="360" w:lineRule="auto"/>
        <w:ind w:firstLine="1440"/>
      </w:pPr>
    </w:p>
    <w:p w:rsidR="00021B34" w:rsidRDefault="00021B34" w:rsidP="003A388C">
      <w:pPr>
        <w:tabs>
          <w:tab w:val="num" w:pos="2160"/>
        </w:tabs>
        <w:spacing w:line="360" w:lineRule="auto"/>
        <w:ind w:firstLine="1440"/>
      </w:pPr>
    </w:p>
    <w:p w:rsidR="003A388C" w:rsidRDefault="003A388C" w:rsidP="003A388C">
      <w:pPr>
        <w:tabs>
          <w:tab w:val="num" w:pos="2160"/>
          <w:tab w:val="left" w:pos="5048"/>
        </w:tabs>
      </w:pPr>
      <w:r>
        <w:t xml:space="preserve">Dated: </w:t>
      </w:r>
      <w:r w:rsidR="007B1FB7">
        <w:rPr>
          <w:u w:val="single"/>
        </w:rPr>
        <w:t xml:space="preserve">January </w:t>
      </w:r>
      <w:r w:rsidR="00A610FE">
        <w:rPr>
          <w:u w:val="single"/>
        </w:rPr>
        <w:t>5</w:t>
      </w:r>
      <w:r>
        <w:rPr>
          <w:u w:val="single"/>
        </w:rPr>
        <w:t>, 201</w:t>
      </w:r>
      <w:r w:rsidR="007B1FB7">
        <w:rPr>
          <w:u w:val="single"/>
        </w:rPr>
        <w:t>1</w:t>
      </w:r>
      <w:r>
        <w:tab/>
        <w:t>_________________________________</w:t>
      </w:r>
    </w:p>
    <w:p w:rsidR="003A388C" w:rsidRDefault="003A388C" w:rsidP="003A388C">
      <w:pPr>
        <w:tabs>
          <w:tab w:val="num" w:pos="2160"/>
        </w:tabs>
      </w:pPr>
      <w:r>
        <w:tab/>
      </w:r>
      <w:r>
        <w:tab/>
      </w:r>
      <w:r>
        <w:tab/>
      </w:r>
      <w:r>
        <w:tab/>
      </w:r>
      <w:r>
        <w:tab/>
        <w:t>Angela T. Jones</w:t>
      </w:r>
    </w:p>
    <w:p w:rsidR="00407C34" w:rsidRDefault="003A388C" w:rsidP="00A30FD5">
      <w:pPr>
        <w:tabs>
          <w:tab w:val="num" w:pos="2160"/>
        </w:tabs>
      </w:pPr>
      <w:r>
        <w:tab/>
      </w:r>
      <w:r>
        <w:tab/>
      </w:r>
      <w:r>
        <w:tab/>
      </w:r>
      <w:r>
        <w:tab/>
      </w:r>
      <w:r>
        <w:tab/>
        <w:t>Administrative Law Judge</w:t>
      </w:r>
    </w:p>
    <w:p w:rsidR="00766C70" w:rsidRDefault="00766C70" w:rsidP="00A30FD5">
      <w:pPr>
        <w:tabs>
          <w:tab w:val="num" w:pos="2160"/>
        </w:tabs>
      </w:pPr>
    </w:p>
    <w:p w:rsidR="00766C70" w:rsidRDefault="00766C70" w:rsidP="00A30FD5">
      <w:pPr>
        <w:tabs>
          <w:tab w:val="num" w:pos="2160"/>
        </w:tabs>
      </w:pPr>
    </w:p>
    <w:sectPr w:rsidR="00766C70" w:rsidSect="000032A4">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F5C" w:rsidRDefault="00C46F5C" w:rsidP="00671B99">
      <w:r>
        <w:separator/>
      </w:r>
    </w:p>
  </w:endnote>
  <w:endnote w:type="continuationSeparator" w:id="0">
    <w:p w:rsidR="00C46F5C" w:rsidRDefault="00C46F5C" w:rsidP="00671B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2FE" w:rsidRDefault="002902FE">
    <w:pPr>
      <w:pStyle w:val="Footer"/>
      <w:jc w:val="center"/>
    </w:pPr>
    <w:fldSimple w:instr=" PAGE   \* MERGEFORMAT ">
      <w:r w:rsidR="005314CE">
        <w:rPr>
          <w:noProof/>
        </w:rPr>
        <w:t>2</w:t>
      </w:r>
    </w:fldSimple>
  </w:p>
  <w:p w:rsidR="002902FE" w:rsidRDefault="002902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F5C" w:rsidRDefault="00C46F5C" w:rsidP="00671B99">
      <w:r>
        <w:separator/>
      </w:r>
    </w:p>
  </w:footnote>
  <w:footnote w:type="continuationSeparator" w:id="0">
    <w:p w:rsidR="00C46F5C" w:rsidRDefault="00C46F5C" w:rsidP="00671B99">
      <w:r>
        <w:continuationSeparator/>
      </w:r>
    </w:p>
  </w:footnote>
  <w:footnote w:id="1">
    <w:p w:rsidR="00CA6FE1" w:rsidRDefault="00A91C86" w:rsidP="00CA6FE1">
      <w:pPr>
        <w:pStyle w:val="FootnoteText"/>
        <w:rPr>
          <w:rFonts w:ascii="CG Times" w:hAnsi="CG Times" w:cs="CG Times"/>
        </w:rPr>
      </w:pPr>
      <w:r>
        <w:tab/>
      </w:r>
      <w:r w:rsidR="00CA6FE1">
        <w:rPr>
          <w:rStyle w:val="FootnoteReference"/>
          <w:rFonts w:ascii="CG Times" w:hAnsi="CG Times"/>
        </w:rPr>
        <w:footnoteRef/>
      </w:r>
      <w:r w:rsidR="00CA6FE1">
        <w:t xml:space="preserve"> </w:t>
      </w:r>
      <w:r w:rsidR="00CA6FE1">
        <w:tab/>
        <w:t xml:space="preserve">See </w:t>
      </w:r>
      <w:r w:rsidR="00CA6FE1">
        <w:rPr>
          <w:i/>
        </w:rPr>
        <w:t>supra</w:t>
      </w:r>
      <w:r w:rsidR="00CA6FE1">
        <w:t xml:space="preserve"> at 2.</w:t>
      </w:r>
    </w:p>
  </w:footnote>
  <w:footnote w:id="2">
    <w:p w:rsidR="00DE3F8A" w:rsidRDefault="00DE3F8A">
      <w:pPr>
        <w:pStyle w:val="FootnoteText"/>
      </w:pPr>
      <w:r>
        <w:tab/>
      </w:r>
      <w:r>
        <w:rPr>
          <w:rStyle w:val="FootnoteReference"/>
        </w:rPr>
        <w:footnoteRef/>
      </w:r>
      <w:r>
        <w:t xml:space="preserve"> </w:t>
      </w:r>
      <w:r>
        <w:tab/>
        <w:t xml:space="preserve">PGW states gas service is not established at the service address.  </w:t>
      </w:r>
      <w:proofErr w:type="gramStart"/>
      <w:r>
        <w:t>PGW Answer at 1, ¶</w:t>
      </w:r>
      <w:r w:rsidR="00217F51">
        <w:t xml:space="preserve"> </w:t>
      </w:r>
      <w:r>
        <w:t>4.</w:t>
      </w:r>
      <w:proofErr w:type="gramEnd"/>
    </w:p>
  </w:footnote>
  <w:footnote w:id="3">
    <w:p w:rsidR="00AE4FA4" w:rsidRDefault="00AE4FA4">
      <w:pPr>
        <w:pStyle w:val="FootnoteText"/>
      </w:pPr>
      <w:r>
        <w:tab/>
      </w:r>
      <w:r>
        <w:rPr>
          <w:rStyle w:val="FootnoteReference"/>
        </w:rPr>
        <w:footnoteRef/>
      </w:r>
      <w:r>
        <w:t xml:space="preserve"> </w:t>
      </w:r>
      <w:r>
        <w:tab/>
        <w:t>There seems to be a dispute as the date PGW was in front of the service address, but there is no dispute that PGW was at some point in time there.  The actual date is not a material fact.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BC7710"/>
    <w:multiLevelType w:val="hybridMultilevel"/>
    <w:tmpl w:val="80F6F990"/>
    <w:lvl w:ilvl="0" w:tplc="069292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A6F7F09"/>
    <w:multiLevelType w:val="hybridMultilevel"/>
    <w:tmpl w:val="879AC63E"/>
    <w:lvl w:ilvl="0" w:tplc="2C74C556">
      <w:start w:val="1"/>
      <w:numFmt w:val="decimal"/>
      <w:lvlText w:val="%1."/>
      <w:lvlJc w:val="left"/>
      <w:pPr>
        <w:tabs>
          <w:tab w:val="num" w:pos="3690"/>
        </w:tabs>
        <w:ind w:left="3690" w:hanging="2160"/>
      </w:pPr>
    </w:lvl>
    <w:lvl w:ilvl="1" w:tplc="0409000F">
      <w:start w:val="1"/>
      <w:numFmt w:val="decimal"/>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39E12F2"/>
    <w:multiLevelType w:val="hybridMultilevel"/>
    <w:tmpl w:val="0C4070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6D260A0"/>
    <w:multiLevelType w:val="hybridMultilevel"/>
    <w:tmpl w:val="DDB4F8A2"/>
    <w:lvl w:ilvl="0" w:tplc="0409000F">
      <w:start w:val="1"/>
      <w:numFmt w:val="decimal"/>
      <w:lvlText w:val="%1."/>
      <w:lvlJc w:val="left"/>
      <w:pPr>
        <w:ind w:left="2201" w:hanging="360"/>
      </w:pPr>
    </w:lvl>
    <w:lvl w:ilvl="1" w:tplc="04090019" w:tentative="1">
      <w:start w:val="1"/>
      <w:numFmt w:val="lowerLetter"/>
      <w:lvlText w:val="%2."/>
      <w:lvlJc w:val="left"/>
      <w:pPr>
        <w:ind w:left="2921" w:hanging="360"/>
      </w:pPr>
    </w:lvl>
    <w:lvl w:ilvl="2" w:tplc="0409001B" w:tentative="1">
      <w:start w:val="1"/>
      <w:numFmt w:val="lowerRoman"/>
      <w:lvlText w:val="%3."/>
      <w:lvlJc w:val="right"/>
      <w:pPr>
        <w:ind w:left="3641" w:hanging="180"/>
      </w:pPr>
    </w:lvl>
    <w:lvl w:ilvl="3" w:tplc="0409000F" w:tentative="1">
      <w:start w:val="1"/>
      <w:numFmt w:val="decimal"/>
      <w:lvlText w:val="%4."/>
      <w:lvlJc w:val="left"/>
      <w:pPr>
        <w:ind w:left="4361" w:hanging="360"/>
      </w:pPr>
    </w:lvl>
    <w:lvl w:ilvl="4" w:tplc="04090019" w:tentative="1">
      <w:start w:val="1"/>
      <w:numFmt w:val="lowerLetter"/>
      <w:lvlText w:val="%5."/>
      <w:lvlJc w:val="left"/>
      <w:pPr>
        <w:ind w:left="5081" w:hanging="360"/>
      </w:pPr>
    </w:lvl>
    <w:lvl w:ilvl="5" w:tplc="0409001B" w:tentative="1">
      <w:start w:val="1"/>
      <w:numFmt w:val="lowerRoman"/>
      <w:lvlText w:val="%6."/>
      <w:lvlJc w:val="right"/>
      <w:pPr>
        <w:ind w:left="5801" w:hanging="180"/>
      </w:pPr>
    </w:lvl>
    <w:lvl w:ilvl="6" w:tplc="0409000F" w:tentative="1">
      <w:start w:val="1"/>
      <w:numFmt w:val="decimal"/>
      <w:lvlText w:val="%7."/>
      <w:lvlJc w:val="left"/>
      <w:pPr>
        <w:ind w:left="6521" w:hanging="360"/>
      </w:pPr>
    </w:lvl>
    <w:lvl w:ilvl="7" w:tplc="04090019" w:tentative="1">
      <w:start w:val="1"/>
      <w:numFmt w:val="lowerLetter"/>
      <w:lvlText w:val="%8."/>
      <w:lvlJc w:val="left"/>
      <w:pPr>
        <w:ind w:left="7241" w:hanging="360"/>
      </w:pPr>
    </w:lvl>
    <w:lvl w:ilvl="8" w:tplc="0409001B" w:tentative="1">
      <w:start w:val="1"/>
      <w:numFmt w:val="lowerRoman"/>
      <w:lvlText w:val="%9."/>
      <w:lvlJc w:val="right"/>
      <w:pPr>
        <w:ind w:left="7961" w:hanging="180"/>
      </w:pPr>
    </w:lvl>
  </w:abstractNum>
  <w:abstractNum w:abstractNumId="5">
    <w:nsid w:val="6DA352D1"/>
    <w:multiLevelType w:val="hybridMultilevel"/>
    <w:tmpl w:val="D6946B8C"/>
    <w:lvl w:ilvl="0" w:tplc="1AB28E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A388C"/>
    <w:rsid w:val="000032A4"/>
    <w:rsid w:val="00013D9A"/>
    <w:rsid w:val="00016170"/>
    <w:rsid w:val="000207BB"/>
    <w:rsid w:val="00021B34"/>
    <w:rsid w:val="00024C3E"/>
    <w:rsid w:val="000766D0"/>
    <w:rsid w:val="00084BDD"/>
    <w:rsid w:val="00086897"/>
    <w:rsid w:val="00091A82"/>
    <w:rsid w:val="00092A30"/>
    <w:rsid w:val="00093F7C"/>
    <w:rsid w:val="00095A3F"/>
    <w:rsid w:val="000C525F"/>
    <w:rsid w:val="000E1ECE"/>
    <w:rsid w:val="000F478A"/>
    <w:rsid w:val="00112AEF"/>
    <w:rsid w:val="00131859"/>
    <w:rsid w:val="001330A1"/>
    <w:rsid w:val="001356B4"/>
    <w:rsid w:val="00140257"/>
    <w:rsid w:val="0014559B"/>
    <w:rsid w:val="00156C11"/>
    <w:rsid w:val="0017697F"/>
    <w:rsid w:val="00177BBE"/>
    <w:rsid w:val="00191915"/>
    <w:rsid w:val="00197F4C"/>
    <w:rsid w:val="001A0CCE"/>
    <w:rsid w:val="001A5196"/>
    <w:rsid w:val="001B2118"/>
    <w:rsid w:val="001C0EF6"/>
    <w:rsid w:val="001C7AA1"/>
    <w:rsid w:val="001F0AB9"/>
    <w:rsid w:val="001F3031"/>
    <w:rsid w:val="001F5588"/>
    <w:rsid w:val="002054DA"/>
    <w:rsid w:val="00217F51"/>
    <w:rsid w:val="00224F2E"/>
    <w:rsid w:val="00232AF2"/>
    <w:rsid w:val="0023302B"/>
    <w:rsid w:val="002332EB"/>
    <w:rsid w:val="00234652"/>
    <w:rsid w:val="00246BE7"/>
    <w:rsid w:val="002506B3"/>
    <w:rsid w:val="002763BE"/>
    <w:rsid w:val="00286BFE"/>
    <w:rsid w:val="002902FE"/>
    <w:rsid w:val="002913F6"/>
    <w:rsid w:val="002945D9"/>
    <w:rsid w:val="002A3C13"/>
    <w:rsid w:val="002B7ACA"/>
    <w:rsid w:val="003030EC"/>
    <w:rsid w:val="003073A4"/>
    <w:rsid w:val="003116D1"/>
    <w:rsid w:val="00320D23"/>
    <w:rsid w:val="00323151"/>
    <w:rsid w:val="00326AD7"/>
    <w:rsid w:val="00336FB0"/>
    <w:rsid w:val="0037063D"/>
    <w:rsid w:val="00386B2A"/>
    <w:rsid w:val="003A388C"/>
    <w:rsid w:val="003B4D11"/>
    <w:rsid w:val="003E2A33"/>
    <w:rsid w:val="003F08DA"/>
    <w:rsid w:val="003F11E2"/>
    <w:rsid w:val="003F561C"/>
    <w:rsid w:val="00407C34"/>
    <w:rsid w:val="004133AA"/>
    <w:rsid w:val="0043227D"/>
    <w:rsid w:val="0043550E"/>
    <w:rsid w:val="00435AE3"/>
    <w:rsid w:val="00442993"/>
    <w:rsid w:val="00443F17"/>
    <w:rsid w:val="004478D6"/>
    <w:rsid w:val="004667A5"/>
    <w:rsid w:val="00470911"/>
    <w:rsid w:val="00496801"/>
    <w:rsid w:val="004A3680"/>
    <w:rsid w:val="004A7044"/>
    <w:rsid w:val="004B45C1"/>
    <w:rsid w:val="004C0200"/>
    <w:rsid w:val="004D7D51"/>
    <w:rsid w:val="004E11E0"/>
    <w:rsid w:val="004E2FAF"/>
    <w:rsid w:val="004E6FA4"/>
    <w:rsid w:val="004F3826"/>
    <w:rsid w:val="0050741B"/>
    <w:rsid w:val="00515A5C"/>
    <w:rsid w:val="005258C4"/>
    <w:rsid w:val="005274B3"/>
    <w:rsid w:val="005314CE"/>
    <w:rsid w:val="00531602"/>
    <w:rsid w:val="00532B54"/>
    <w:rsid w:val="0053692B"/>
    <w:rsid w:val="00551501"/>
    <w:rsid w:val="00554989"/>
    <w:rsid w:val="00564F32"/>
    <w:rsid w:val="005675E2"/>
    <w:rsid w:val="00573E8B"/>
    <w:rsid w:val="00577C93"/>
    <w:rsid w:val="00577F9A"/>
    <w:rsid w:val="00580676"/>
    <w:rsid w:val="00583A64"/>
    <w:rsid w:val="00590314"/>
    <w:rsid w:val="00595CE9"/>
    <w:rsid w:val="005A56BE"/>
    <w:rsid w:val="005A58B6"/>
    <w:rsid w:val="005B03C7"/>
    <w:rsid w:val="005B0964"/>
    <w:rsid w:val="005C3E08"/>
    <w:rsid w:val="005C4A23"/>
    <w:rsid w:val="005D70C3"/>
    <w:rsid w:val="006169FB"/>
    <w:rsid w:val="00620D44"/>
    <w:rsid w:val="00625522"/>
    <w:rsid w:val="006315BF"/>
    <w:rsid w:val="00637A90"/>
    <w:rsid w:val="006438DB"/>
    <w:rsid w:val="00652607"/>
    <w:rsid w:val="00654DBB"/>
    <w:rsid w:val="00670111"/>
    <w:rsid w:val="00671B99"/>
    <w:rsid w:val="006A3112"/>
    <w:rsid w:val="006A4139"/>
    <w:rsid w:val="006B5879"/>
    <w:rsid w:val="006B7531"/>
    <w:rsid w:val="006D39E9"/>
    <w:rsid w:val="006E05BA"/>
    <w:rsid w:val="006E1A98"/>
    <w:rsid w:val="006E73B9"/>
    <w:rsid w:val="0070093D"/>
    <w:rsid w:val="00703CE7"/>
    <w:rsid w:val="00707EF1"/>
    <w:rsid w:val="00720B17"/>
    <w:rsid w:val="00726197"/>
    <w:rsid w:val="00731034"/>
    <w:rsid w:val="00747062"/>
    <w:rsid w:val="00750D16"/>
    <w:rsid w:val="007547CD"/>
    <w:rsid w:val="00756526"/>
    <w:rsid w:val="007568EA"/>
    <w:rsid w:val="00762BAE"/>
    <w:rsid w:val="00765BF6"/>
    <w:rsid w:val="00766C70"/>
    <w:rsid w:val="00787820"/>
    <w:rsid w:val="00794F3A"/>
    <w:rsid w:val="007A6F67"/>
    <w:rsid w:val="007A6F8B"/>
    <w:rsid w:val="007B1AA6"/>
    <w:rsid w:val="007B1FB7"/>
    <w:rsid w:val="007B1FB8"/>
    <w:rsid w:val="007B3B06"/>
    <w:rsid w:val="007B3D5D"/>
    <w:rsid w:val="007B5326"/>
    <w:rsid w:val="007C0BE8"/>
    <w:rsid w:val="007D0C18"/>
    <w:rsid w:val="007D255B"/>
    <w:rsid w:val="007F4567"/>
    <w:rsid w:val="008065DF"/>
    <w:rsid w:val="00816BAC"/>
    <w:rsid w:val="008244CA"/>
    <w:rsid w:val="00830C8E"/>
    <w:rsid w:val="0083409B"/>
    <w:rsid w:val="00834679"/>
    <w:rsid w:val="00867508"/>
    <w:rsid w:val="00871A1C"/>
    <w:rsid w:val="00877F04"/>
    <w:rsid w:val="00883EF7"/>
    <w:rsid w:val="008D0F62"/>
    <w:rsid w:val="008D4554"/>
    <w:rsid w:val="008F6CC1"/>
    <w:rsid w:val="00903D8F"/>
    <w:rsid w:val="0092469A"/>
    <w:rsid w:val="00933192"/>
    <w:rsid w:val="00933508"/>
    <w:rsid w:val="00937A4B"/>
    <w:rsid w:val="00941D5A"/>
    <w:rsid w:val="00943D59"/>
    <w:rsid w:val="00957EE1"/>
    <w:rsid w:val="00994439"/>
    <w:rsid w:val="0099522F"/>
    <w:rsid w:val="009B217D"/>
    <w:rsid w:val="009D5BBA"/>
    <w:rsid w:val="009F3118"/>
    <w:rsid w:val="00A201AC"/>
    <w:rsid w:val="00A21F52"/>
    <w:rsid w:val="00A24CCC"/>
    <w:rsid w:val="00A30FD5"/>
    <w:rsid w:val="00A340B8"/>
    <w:rsid w:val="00A610FE"/>
    <w:rsid w:val="00A63298"/>
    <w:rsid w:val="00A64803"/>
    <w:rsid w:val="00A744F6"/>
    <w:rsid w:val="00A91C86"/>
    <w:rsid w:val="00AB52F0"/>
    <w:rsid w:val="00AC5B37"/>
    <w:rsid w:val="00AC7EAE"/>
    <w:rsid w:val="00AD044C"/>
    <w:rsid w:val="00AD2012"/>
    <w:rsid w:val="00AD54CA"/>
    <w:rsid w:val="00AE4FA4"/>
    <w:rsid w:val="00AE50DB"/>
    <w:rsid w:val="00AE52D2"/>
    <w:rsid w:val="00AF69D6"/>
    <w:rsid w:val="00B113B0"/>
    <w:rsid w:val="00B13EA4"/>
    <w:rsid w:val="00B14E85"/>
    <w:rsid w:val="00B1666F"/>
    <w:rsid w:val="00B16F58"/>
    <w:rsid w:val="00B32AB7"/>
    <w:rsid w:val="00B50D77"/>
    <w:rsid w:val="00B73DC7"/>
    <w:rsid w:val="00BA28C9"/>
    <w:rsid w:val="00BC4389"/>
    <w:rsid w:val="00BD02F4"/>
    <w:rsid w:val="00BF3C09"/>
    <w:rsid w:val="00BF64DF"/>
    <w:rsid w:val="00C01B6D"/>
    <w:rsid w:val="00C02628"/>
    <w:rsid w:val="00C0489C"/>
    <w:rsid w:val="00C148A5"/>
    <w:rsid w:val="00C207CD"/>
    <w:rsid w:val="00C30243"/>
    <w:rsid w:val="00C32B5E"/>
    <w:rsid w:val="00C43683"/>
    <w:rsid w:val="00C45256"/>
    <w:rsid w:val="00C46F5C"/>
    <w:rsid w:val="00C571F8"/>
    <w:rsid w:val="00C63920"/>
    <w:rsid w:val="00C669B9"/>
    <w:rsid w:val="00C74FDB"/>
    <w:rsid w:val="00C7707A"/>
    <w:rsid w:val="00CA3690"/>
    <w:rsid w:val="00CA6FE1"/>
    <w:rsid w:val="00CC2C6D"/>
    <w:rsid w:val="00CC330C"/>
    <w:rsid w:val="00CC6B8F"/>
    <w:rsid w:val="00CE634C"/>
    <w:rsid w:val="00CF2AA0"/>
    <w:rsid w:val="00D177DB"/>
    <w:rsid w:val="00D17FAA"/>
    <w:rsid w:val="00D25029"/>
    <w:rsid w:val="00D2574A"/>
    <w:rsid w:val="00D273B7"/>
    <w:rsid w:val="00D3533C"/>
    <w:rsid w:val="00D40DDD"/>
    <w:rsid w:val="00D4537C"/>
    <w:rsid w:val="00D50A47"/>
    <w:rsid w:val="00D70AF3"/>
    <w:rsid w:val="00D8066A"/>
    <w:rsid w:val="00DA780B"/>
    <w:rsid w:val="00DB7624"/>
    <w:rsid w:val="00DD1AA7"/>
    <w:rsid w:val="00DE3F8A"/>
    <w:rsid w:val="00DF03EB"/>
    <w:rsid w:val="00DF7410"/>
    <w:rsid w:val="00E07C0E"/>
    <w:rsid w:val="00E07FF6"/>
    <w:rsid w:val="00E163D8"/>
    <w:rsid w:val="00E34320"/>
    <w:rsid w:val="00E66403"/>
    <w:rsid w:val="00E66FBB"/>
    <w:rsid w:val="00E7704C"/>
    <w:rsid w:val="00E82474"/>
    <w:rsid w:val="00EA2249"/>
    <w:rsid w:val="00EA533B"/>
    <w:rsid w:val="00EA6A6A"/>
    <w:rsid w:val="00ED5432"/>
    <w:rsid w:val="00ED6EF5"/>
    <w:rsid w:val="00EE4F35"/>
    <w:rsid w:val="00EF1507"/>
    <w:rsid w:val="00F02DBC"/>
    <w:rsid w:val="00F039A3"/>
    <w:rsid w:val="00F11579"/>
    <w:rsid w:val="00F12916"/>
    <w:rsid w:val="00F133AD"/>
    <w:rsid w:val="00F32A21"/>
    <w:rsid w:val="00F34EDD"/>
    <w:rsid w:val="00F5418C"/>
    <w:rsid w:val="00F60B98"/>
    <w:rsid w:val="00F60D30"/>
    <w:rsid w:val="00F64582"/>
    <w:rsid w:val="00F70177"/>
    <w:rsid w:val="00F91056"/>
    <w:rsid w:val="00FB5F01"/>
    <w:rsid w:val="00FC3154"/>
    <w:rsid w:val="00FC5B6C"/>
    <w:rsid w:val="00FD0AB9"/>
    <w:rsid w:val="00FD35A2"/>
    <w:rsid w:val="00FD430A"/>
    <w:rsid w:val="00FE1EB2"/>
    <w:rsid w:val="00FF02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88C"/>
    <w:rPr>
      <w:rFonts w:ascii="Times New Roman" w:eastAsia="Times New Roman" w:hAnsi="Times New Roman"/>
      <w:sz w:val="24"/>
      <w:szCs w:val="24"/>
    </w:rPr>
  </w:style>
  <w:style w:type="paragraph" w:styleId="Heading4">
    <w:name w:val="heading 4"/>
    <w:basedOn w:val="Normal"/>
    <w:link w:val="Heading4Char"/>
    <w:uiPriority w:val="9"/>
    <w:qFormat/>
    <w:rsid w:val="00D17FA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88C"/>
    <w:pPr>
      <w:ind w:left="720"/>
    </w:pPr>
  </w:style>
  <w:style w:type="paragraph" w:styleId="FootnoteText">
    <w:name w:val="footnote text"/>
    <w:basedOn w:val="Normal"/>
    <w:link w:val="FootnoteTextChar"/>
    <w:semiHidden/>
    <w:unhideWhenUsed/>
    <w:rsid w:val="00671B99"/>
    <w:rPr>
      <w:sz w:val="20"/>
      <w:szCs w:val="20"/>
    </w:rPr>
  </w:style>
  <w:style w:type="character" w:customStyle="1" w:styleId="FootnoteTextChar">
    <w:name w:val="Footnote Text Char"/>
    <w:basedOn w:val="DefaultParagraphFont"/>
    <w:link w:val="FootnoteText"/>
    <w:semiHidden/>
    <w:rsid w:val="00671B99"/>
    <w:rPr>
      <w:rFonts w:ascii="Times New Roman" w:eastAsia="Times New Roman" w:hAnsi="Times New Roman"/>
    </w:rPr>
  </w:style>
  <w:style w:type="character" w:styleId="FootnoteReference">
    <w:name w:val="footnote reference"/>
    <w:basedOn w:val="DefaultParagraphFont"/>
    <w:semiHidden/>
    <w:unhideWhenUsed/>
    <w:rsid w:val="00671B99"/>
    <w:rPr>
      <w:vertAlign w:val="superscript"/>
    </w:rPr>
  </w:style>
  <w:style w:type="paragraph" w:styleId="BalloonText">
    <w:name w:val="Balloon Text"/>
    <w:basedOn w:val="Normal"/>
    <w:link w:val="BalloonTextChar"/>
    <w:uiPriority w:val="99"/>
    <w:semiHidden/>
    <w:unhideWhenUsed/>
    <w:rsid w:val="00BD02F4"/>
    <w:rPr>
      <w:rFonts w:ascii="Tahoma" w:hAnsi="Tahoma" w:cs="Tahoma"/>
      <w:sz w:val="16"/>
      <w:szCs w:val="16"/>
    </w:rPr>
  </w:style>
  <w:style w:type="character" w:customStyle="1" w:styleId="BalloonTextChar">
    <w:name w:val="Balloon Text Char"/>
    <w:basedOn w:val="DefaultParagraphFont"/>
    <w:link w:val="BalloonText"/>
    <w:uiPriority w:val="99"/>
    <w:semiHidden/>
    <w:rsid w:val="00BD02F4"/>
    <w:rPr>
      <w:rFonts w:ascii="Tahoma" w:eastAsia="Times New Roman" w:hAnsi="Tahoma" w:cs="Tahoma"/>
      <w:sz w:val="16"/>
      <w:szCs w:val="16"/>
    </w:rPr>
  </w:style>
  <w:style w:type="paragraph" w:styleId="Header">
    <w:name w:val="header"/>
    <w:basedOn w:val="Normal"/>
    <w:link w:val="HeaderChar"/>
    <w:uiPriority w:val="99"/>
    <w:semiHidden/>
    <w:unhideWhenUsed/>
    <w:rsid w:val="00580676"/>
    <w:pPr>
      <w:tabs>
        <w:tab w:val="center" w:pos="4680"/>
        <w:tab w:val="right" w:pos="9360"/>
      </w:tabs>
    </w:pPr>
  </w:style>
  <w:style w:type="character" w:customStyle="1" w:styleId="HeaderChar">
    <w:name w:val="Header Char"/>
    <w:basedOn w:val="DefaultParagraphFont"/>
    <w:link w:val="Header"/>
    <w:uiPriority w:val="99"/>
    <w:semiHidden/>
    <w:rsid w:val="00580676"/>
    <w:rPr>
      <w:rFonts w:ascii="Times New Roman" w:eastAsia="Times New Roman" w:hAnsi="Times New Roman"/>
      <w:sz w:val="24"/>
      <w:szCs w:val="24"/>
    </w:rPr>
  </w:style>
  <w:style w:type="paragraph" w:styleId="Footer">
    <w:name w:val="footer"/>
    <w:basedOn w:val="Normal"/>
    <w:link w:val="FooterChar"/>
    <w:uiPriority w:val="99"/>
    <w:unhideWhenUsed/>
    <w:rsid w:val="00580676"/>
    <w:pPr>
      <w:tabs>
        <w:tab w:val="center" w:pos="4680"/>
        <w:tab w:val="right" w:pos="9360"/>
      </w:tabs>
    </w:pPr>
  </w:style>
  <w:style w:type="character" w:customStyle="1" w:styleId="FooterChar">
    <w:name w:val="Footer Char"/>
    <w:basedOn w:val="DefaultParagraphFont"/>
    <w:link w:val="Footer"/>
    <w:uiPriority w:val="99"/>
    <w:rsid w:val="00580676"/>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D17FAA"/>
    <w:rPr>
      <w:rFonts w:ascii="Times New Roman" w:eastAsia="Times New Roman" w:hAnsi="Times New Roman"/>
      <w:b/>
      <w:bCs/>
      <w:sz w:val="24"/>
      <w:szCs w:val="24"/>
    </w:rPr>
  </w:style>
  <w:style w:type="paragraph" w:styleId="NormalWeb">
    <w:name w:val="Normal (Web)"/>
    <w:basedOn w:val="Normal"/>
    <w:uiPriority w:val="99"/>
    <w:semiHidden/>
    <w:unhideWhenUsed/>
    <w:rsid w:val="00D17FAA"/>
    <w:pPr>
      <w:spacing w:before="100" w:beforeAutospacing="1" w:after="100" w:afterAutospacing="1"/>
    </w:pPr>
  </w:style>
  <w:style w:type="paragraph" w:customStyle="1" w:styleId="ParaTab1">
    <w:name w:val="ParaTab 1"/>
    <w:rsid w:val="00CA6FE1"/>
    <w:pPr>
      <w:tabs>
        <w:tab w:val="left" w:pos="-720"/>
      </w:tabs>
      <w:suppressAutoHyphens/>
      <w:autoSpaceDE w:val="0"/>
      <w:autoSpaceDN w:val="0"/>
      <w:ind w:firstLine="1440"/>
    </w:pPr>
    <w:rPr>
      <w:rFonts w:ascii="CG Times" w:eastAsia="Times New Roman" w:hAnsi="CG Times" w:cs="CG Times"/>
      <w:sz w:val="24"/>
      <w:szCs w:val="24"/>
    </w:rPr>
  </w:style>
  <w:style w:type="paragraph" w:customStyle="1" w:styleId="p13">
    <w:name w:val="p13"/>
    <w:basedOn w:val="Normal"/>
    <w:rsid w:val="00CA6FE1"/>
    <w:pPr>
      <w:widowControl w:val="0"/>
      <w:tabs>
        <w:tab w:val="left" w:pos="1457"/>
        <w:tab w:val="left" w:pos="1893"/>
      </w:tabs>
      <w:autoSpaceDE w:val="0"/>
      <w:autoSpaceDN w:val="0"/>
      <w:adjustRightInd w:val="0"/>
      <w:ind w:left="1275" w:firstLine="182"/>
      <w:jc w:val="both"/>
    </w:pPr>
  </w:style>
  <w:style w:type="paragraph" w:customStyle="1" w:styleId="p14">
    <w:name w:val="p14"/>
    <w:basedOn w:val="Normal"/>
    <w:rsid w:val="00CA6FE1"/>
    <w:pPr>
      <w:widowControl w:val="0"/>
      <w:tabs>
        <w:tab w:val="left" w:pos="1457"/>
        <w:tab w:val="left" w:pos="1632"/>
        <w:tab w:val="left" w:pos="2091"/>
      </w:tabs>
      <w:autoSpaceDE w:val="0"/>
      <w:autoSpaceDN w:val="0"/>
      <w:adjustRightInd w:val="0"/>
      <w:ind w:left="1457" w:firstLine="175"/>
      <w:jc w:val="both"/>
    </w:pPr>
  </w:style>
  <w:style w:type="paragraph" w:styleId="EndnoteText">
    <w:name w:val="endnote text"/>
    <w:basedOn w:val="Normal"/>
    <w:link w:val="EndnoteTextChar"/>
    <w:uiPriority w:val="99"/>
    <w:semiHidden/>
    <w:unhideWhenUsed/>
    <w:rsid w:val="00DE3F8A"/>
    <w:rPr>
      <w:sz w:val="20"/>
      <w:szCs w:val="20"/>
    </w:rPr>
  </w:style>
  <w:style w:type="character" w:customStyle="1" w:styleId="EndnoteTextChar">
    <w:name w:val="Endnote Text Char"/>
    <w:basedOn w:val="DefaultParagraphFont"/>
    <w:link w:val="EndnoteText"/>
    <w:uiPriority w:val="99"/>
    <w:semiHidden/>
    <w:rsid w:val="00DE3F8A"/>
    <w:rPr>
      <w:rFonts w:ascii="Times New Roman" w:eastAsia="Times New Roman" w:hAnsi="Times New Roman"/>
    </w:rPr>
  </w:style>
  <w:style w:type="character" w:styleId="EndnoteReference">
    <w:name w:val="endnote reference"/>
    <w:basedOn w:val="DefaultParagraphFont"/>
    <w:uiPriority w:val="99"/>
    <w:semiHidden/>
    <w:unhideWhenUsed/>
    <w:rsid w:val="00DE3F8A"/>
    <w:rPr>
      <w:vertAlign w:val="superscript"/>
    </w:rPr>
  </w:style>
</w:styles>
</file>

<file path=word/webSettings.xml><?xml version="1.0" encoding="utf-8"?>
<w:webSettings xmlns:r="http://schemas.openxmlformats.org/officeDocument/2006/relationships" xmlns:w="http://schemas.openxmlformats.org/wordprocessingml/2006/main">
  <w:divs>
    <w:div w:id="367412258">
      <w:bodyDiv w:val="1"/>
      <w:marLeft w:val="0"/>
      <w:marRight w:val="0"/>
      <w:marTop w:val="0"/>
      <w:marBottom w:val="0"/>
      <w:divBdr>
        <w:top w:val="none" w:sz="0" w:space="0" w:color="auto"/>
        <w:left w:val="none" w:sz="0" w:space="0" w:color="auto"/>
        <w:bottom w:val="none" w:sz="0" w:space="0" w:color="auto"/>
        <w:right w:val="none" w:sz="0" w:space="0" w:color="auto"/>
      </w:divBdr>
    </w:div>
    <w:div w:id="488597483">
      <w:bodyDiv w:val="1"/>
      <w:marLeft w:val="0"/>
      <w:marRight w:val="0"/>
      <w:marTop w:val="0"/>
      <w:marBottom w:val="0"/>
      <w:divBdr>
        <w:top w:val="none" w:sz="0" w:space="0" w:color="auto"/>
        <w:left w:val="none" w:sz="0" w:space="0" w:color="auto"/>
        <w:bottom w:val="none" w:sz="0" w:space="0" w:color="auto"/>
        <w:right w:val="none" w:sz="0" w:space="0" w:color="auto"/>
      </w:divBdr>
      <w:divsChild>
        <w:div w:id="140509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289971">
      <w:bodyDiv w:val="1"/>
      <w:marLeft w:val="0"/>
      <w:marRight w:val="0"/>
      <w:marTop w:val="0"/>
      <w:marBottom w:val="0"/>
      <w:divBdr>
        <w:top w:val="none" w:sz="0" w:space="0" w:color="auto"/>
        <w:left w:val="none" w:sz="0" w:space="0" w:color="auto"/>
        <w:bottom w:val="none" w:sz="0" w:space="0" w:color="auto"/>
        <w:right w:val="none" w:sz="0" w:space="0" w:color="auto"/>
      </w:divBdr>
    </w:div>
    <w:div w:id="2131245196">
      <w:bodyDiv w:val="1"/>
      <w:marLeft w:val="0"/>
      <w:marRight w:val="0"/>
      <w:marTop w:val="0"/>
      <w:marBottom w:val="0"/>
      <w:divBdr>
        <w:top w:val="none" w:sz="0" w:space="0" w:color="auto"/>
        <w:left w:val="none" w:sz="0" w:space="0" w:color="auto"/>
        <w:bottom w:val="none" w:sz="0" w:space="0" w:color="auto"/>
        <w:right w:val="none" w:sz="0" w:space="0" w:color="auto"/>
      </w:divBdr>
      <w:divsChild>
        <w:div w:id="915096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7F192-4467-464E-A0FC-D4D03EA6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2275</Words>
  <Characters>12968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MIS</dc:creator>
  <cp:keywords/>
  <dc:description/>
  <cp:lastModifiedBy>shoffner</cp:lastModifiedBy>
  <cp:revision>4</cp:revision>
  <cp:lastPrinted>2011-02-16T19:06:00Z</cp:lastPrinted>
  <dcterms:created xsi:type="dcterms:W3CDTF">2011-02-16T19:03:00Z</dcterms:created>
  <dcterms:modified xsi:type="dcterms:W3CDTF">2011-02-16T19:06:00Z</dcterms:modified>
</cp:coreProperties>
</file>