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3E" w:rsidRPr="00566A3E" w:rsidRDefault="00566A3E" w:rsidP="00566A3E">
      <w:pPr>
        <w:pStyle w:val="Title"/>
        <w:rPr>
          <w:sz w:val="24"/>
          <w:szCs w:val="24"/>
        </w:rPr>
      </w:pPr>
      <w:r w:rsidRPr="00566A3E">
        <w:rPr>
          <w:sz w:val="24"/>
          <w:szCs w:val="24"/>
        </w:rPr>
        <w:t>BEFORE THE</w:t>
      </w:r>
    </w:p>
    <w:p w:rsidR="00566A3E" w:rsidRPr="00566A3E" w:rsidRDefault="00566A3E" w:rsidP="00566A3E">
      <w:pPr>
        <w:pStyle w:val="Subtitle"/>
        <w:rPr>
          <w:sz w:val="24"/>
          <w:szCs w:val="24"/>
        </w:rPr>
      </w:pPr>
      <w:r w:rsidRPr="00566A3E">
        <w:rPr>
          <w:sz w:val="24"/>
          <w:szCs w:val="24"/>
        </w:rPr>
        <w:t>PENNSYLVANIA PUBLIC UTILITY COMMISSION</w:t>
      </w:r>
    </w:p>
    <w:p w:rsidR="00566A3E" w:rsidRDefault="00566A3E" w:rsidP="00566A3E">
      <w:pPr>
        <w:jc w:val="center"/>
        <w:rPr>
          <w:szCs w:val="24"/>
        </w:rPr>
      </w:pPr>
    </w:p>
    <w:p w:rsidR="00566A3E" w:rsidRPr="00566A3E" w:rsidRDefault="00566A3E" w:rsidP="00566A3E">
      <w:pPr>
        <w:jc w:val="center"/>
        <w:rPr>
          <w:szCs w:val="24"/>
        </w:rPr>
      </w:pPr>
    </w:p>
    <w:p w:rsidR="00566A3E" w:rsidRPr="00566A3E" w:rsidRDefault="00566A3E" w:rsidP="00566A3E">
      <w:pPr>
        <w:jc w:val="center"/>
        <w:rPr>
          <w:szCs w:val="24"/>
        </w:rPr>
      </w:pPr>
    </w:p>
    <w:p w:rsidR="00566A3E" w:rsidRPr="00566A3E" w:rsidRDefault="00566A3E" w:rsidP="00566A3E">
      <w:pPr>
        <w:rPr>
          <w:szCs w:val="24"/>
        </w:rPr>
      </w:pPr>
      <w:r>
        <w:rPr>
          <w:szCs w:val="24"/>
        </w:rPr>
        <w:t>Berto Elmore</w:t>
      </w:r>
      <w:r>
        <w:rPr>
          <w:szCs w:val="24"/>
        </w:rPr>
        <w:tab/>
      </w:r>
      <w:r w:rsidRPr="00566A3E">
        <w:rPr>
          <w:szCs w:val="24"/>
        </w:rPr>
        <w:tab/>
      </w:r>
      <w:r>
        <w:rPr>
          <w:szCs w:val="24"/>
        </w:rPr>
        <w:tab/>
      </w:r>
      <w:r w:rsidRPr="00566A3E">
        <w:rPr>
          <w:szCs w:val="24"/>
        </w:rPr>
        <w:tab/>
      </w:r>
      <w:r w:rsidRPr="00566A3E">
        <w:rPr>
          <w:szCs w:val="24"/>
        </w:rPr>
        <w:tab/>
      </w:r>
      <w:r w:rsidRPr="00566A3E">
        <w:rPr>
          <w:szCs w:val="24"/>
        </w:rPr>
        <w:tab/>
        <w:t>:</w:t>
      </w:r>
    </w:p>
    <w:p w:rsidR="00566A3E" w:rsidRPr="00566A3E" w:rsidRDefault="00566A3E" w:rsidP="00566A3E">
      <w:pPr>
        <w:rPr>
          <w:szCs w:val="24"/>
        </w:rPr>
      </w:pPr>
      <w:r w:rsidRPr="00566A3E">
        <w:rPr>
          <w:szCs w:val="24"/>
        </w:rPr>
        <w:tab/>
      </w:r>
      <w:r w:rsidRPr="00566A3E">
        <w:rPr>
          <w:szCs w:val="24"/>
        </w:rPr>
        <w:tab/>
      </w:r>
      <w:r w:rsidRPr="00566A3E">
        <w:rPr>
          <w:szCs w:val="24"/>
        </w:rPr>
        <w:tab/>
      </w:r>
      <w:r w:rsidRPr="00566A3E">
        <w:rPr>
          <w:szCs w:val="24"/>
        </w:rPr>
        <w:tab/>
      </w:r>
      <w:r>
        <w:rPr>
          <w:szCs w:val="24"/>
        </w:rPr>
        <w:tab/>
      </w:r>
      <w:r w:rsidRPr="00566A3E">
        <w:rPr>
          <w:szCs w:val="24"/>
        </w:rPr>
        <w:tab/>
      </w:r>
      <w:r w:rsidRPr="00566A3E">
        <w:rPr>
          <w:szCs w:val="24"/>
        </w:rPr>
        <w:tab/>
        <w:t>:</w:t>
      </w:r>
    </w:p>
    <w:p w:rsidR="00566A3E" w:rsidRPr="00566A3E" w:rsidRDefault="00566A3E" w:rsidP="00566A3E">
      <w:pPr>
        <w:rPr>
          <w:szCs w:val="24"/>
        </w:rPr>
      </w:pPr>
      <w:r w:rsidRPr="00566A3E">
        <w:rPr>
          <w:szCs w:val="24"/>
        </w:rPr>
        <w:tab/>
        <w:t xml:space="preserve">  v.</w:t>
      </w:r>
      <w:r w:rsidRPr="00566A3E">
        <w:rPr>
          <w:szCs w:val="24"/>
        </w:rPr>
        <w:tab/>
      </w:r>
      <w:r w:rsidRPr="00566A3E">
        <w:rPr>
          <w:szCs w:val="24"/>
        </w:rPr>
        <w:tab/>
      </w:r>
      <w:r w:rsidRPr="00566A3E">
        <w:rPr>
          <w:szCs w:val="24"/>
        </w:rPr>
        <w:tab/>
      </w:r>
      <w:r w:rsidRPr="00566A3E">
        <w:rPr>
          <w:szCs w:val="24"/>
        </w:rPr>
        <w:tab/>
      </w:r>
      <w:r>
        <w:rPr>
          <w:szCs w:val="24"/>
        </w:rPr>
        <w:tab/>
      </w:r>
      <w:r w:rsidRPr="00566A3E">
        <w:rPr>
          <w:szCs w:val="24"/>
        </w:rPr>
        <w:tab/>
        <w:t>:</w:t>
      </w:r>
      <w:r>
        <w:rPr>
          <w:szCs w:val="24"/>
        </w:rPr>
        <w:tab/>
      </w:r>
      <w:r w:rsidRPr="00566A3E">
        <w:rPr>
          <w:szCs w:val="24"/>
        </w:rPr>
        <w:tab/>
      </w:r>
      <w:r>
        <w:rPr>
          <w:szCs w:val="24"/>
        </w:rPr>
        <w:t>F-2010-2185991</w:t>
      </w:r>
    </w:p>
    <w:p w:rsidR="00566A3E" w:rsidRPr="00566A3E" w:rsidRDefault="00566A3E" w:rsidP="00566A3E">
      <w:pPr>
        <w:rPr>
          <w:szCs w:val="24"/>
        </w:rPr>
      </w:pPr>
      <w:r w:rsidRPr="00566A3E">
        <w:rPr>
          <w:szCs w:val="24"/>
        </w:rPr>
        <w:tab/>
      </w:r>
      <w:r w:rsidRPr="00566A3E">
        <w:rPr>
          <w:szCs w:val="24"/>
        </w:rPr>
        <w:tab/>
      </w:r>
      <w:r w:rsidRPr="00566A3E">
        <w:rPr>
          <w:szCs w:val="24"/>
        </w:rPr>
        <w:tab/>
      </w:r>
      <w:r w:rsidRPr="00566A3E">
        <w:rPr>
          <w:szCs w:val="24"/>
        </w:rPr>
        <w:tab/>
      </w:r>
      <w:r w:rsidRPr="00566A3E">
        <w:rPr>
          <w:szCs w:val="24"/>
        </w:rPr>
        <w:tab/>
      </w:r>
      <w:r w:rsidRPr="00566A3E">
        <w:rPr>
          <w:szCs w:val="24"/>
        </w:rPr>
        <w:tab/>
      </w:r>
      <w:r>
        <w:rPr>
          <w:szCs w:val="24"/>
        </w:rPr>
        <w:tab/>
      </w:r>
      <w:r w:rsidRPr="00566A3E">
        <w:rPr>
          <w:szCs w:val="24"/>
        </w:rPr>
        <w:t>:</w:t>
      </w:r>
    </w:p>
    <w:p w:rsidR="00566A3E" w:rsidRPr="00566A3E" w:rsidRDefault="00566A3E" w:rsidP="00566A3E">
      <w:pPr>
        <w:rPr>
          <w:szCs w:val="24"/>
        </w:rPr>
      </w:pPr>
      <w:r>
        <w:rPr>
          <w:szCs w:val="24"/>
        </w:rPr>
        <w:t>PECO Energy Company</w:t>
      </w:r>
      <w:r>
        <w:rPr>
          <w:szCs w:val="24"/>
        </w:rPr>
        <w:tab/>
      </w:r>
      <w:r>
        <w:rPr>
          <w:szCs w:val="24"/>
        </w:rPr>
        <w:tab/>
      </w:r>
      <w:r>
        <w:rPr>
          <w:szCs w:val="24"/>
        </w:rPr>
        <w:tab/>
      </w:r>
      <w:r>
        <w:rPr>
          <w:szCs w:val="24"/>
        </w:rPr>
        <w:tab/>
        <w:t>:</w:t>
      </w:r>
    </w:p>
    <w:p w:rsidR="00566A3E" w:rsidRDefault="00566A3E" w:rsidP="00566A3E">
      <w:pPr>
        <w:rPr>
          <w:szCs w:val="24"/>
        </w:rPr>
      </w:pPr>
    </w:p>
    <w:p w:rsidR="00566A3E" w:rsidRPr="00566A3E" w:rsidRDefault="00566A3E" w:rsidP="00566A3E">
      <w:pPr>
        <w:rPr>
          <w:szCs w:val="24"/>
        </w:rPr>
      </w:pPr>
    </w:p>
    <w:p w:rsidR="00566A3E" w:rsidRPr="00566A3E" w:rsidRDefault="00566A3E" w:rsidP="00566A3E">
      <w:pPr>
        <w:rPr>
          <w:szCs w:val="24"/>
        </w:rPr>
      </w:pPr>
    </w:p>
    <w:p w:rsidR="00566A3E" w:rsidRPr="00566A3E" w:rsidRDefault="00566A3E" w:rsidP="00566A3E">
      <w:pPr>
        <w:pStyle w:val="Heading1"/>
        <w:rPr>
          <w:b/>
          <w:sz w:val="24"/>
          <w:szCs w:val="24"/>
        </w:rPr>
      </w:pPr>
      <w:r w:rsidRPr="00566A3E">
        <w:rPr>
          <w:b/>
          <w:sz w:val="24"/>
          <w:szCs w:val="24"/>
        </w:rPr>
        <w:t>INITIAL DECISION</w:t>
      </w:r>
    </w:p>
    <w:p w:rsidR="00566A3E" w:rsidRPr="00566A3E" w:rsidRDefault="00566A3E" w:rsidP="00566A3E">
      <w:pPr>
        <w:jc w:val="center"/>
        <w:rPr>
          <w:szCs w:val="24"/>
        </w:rPr>
      </w:pPr>
    </w:p>
    <w:p w:rsidR="00566A3E" w:rsidRPr="00566A3E" w:rsidRDefault="00566A3E" w:rsidP="00566A3E">
      <w:pPr>
        <w:jc w:val="center"/>
        <w:rPr>
          <w:szCs w:val="24"/>
        </w:rPr>
      </w:pPr>
    </w:p>
    <w:p w:rsidR="00566A3E" w:rsidRPr="00566A3E" w:rsidRDefault="00566A3E" w:rsidP="00566A3E">
      <w:pPr>
        <w:jc w:val="center"/>
        <w:rPr>
          <w:szCs w:val="24"/>
        </w:rPr>
      </w:pPr>
      <w:r w:rsidRPr="00566A3E">
        <w:rPr>
          <w:szCs w:val="24"/>
        </w:rPr>
        <w:t>Before</w:t>
      </w:r>
    </w:p>
    <w:p w:rsidR="00566A3E" w:rsidRPr="00566A3E" w:rsidRDefault="00566A3E" w:rsidP="00566A3E">
      <w:pPr>
        <w:jc w:val="center"/>
        <w:rPr>
          <w:szCs w:val="24"/>
        </w:rPr>
      </w:pPr>
      <w:proofErr w:type="gramStart"/>
      <w:r w:rsidRPr="00566A3E">
        <w:rPr>
          <w:szCs w:val="24"/>
        </w:rPr>
        <w:t>K</w:t>
      </w:r>
      <w:r>
        <w:rPr>
          <w:szCs w:val="24"/>
        </w:rPr>
        <w:t>y</w:t>
      </w:r>
      <w:proofErr w:type="gramEnd"/>
      <w:r w:rsidRPr="00566A3E">
        <w:rPr>
          <w:szCs w:val="24"/>
        </w:rPr>
        <w:t xml:space="preserve"> V</w:t>
      </w:r>
      <w:r>
        <w:rPr>
          <w:szCs w:val="24"/>
        </w:rPr>
        <w:t>an</w:t>
      </w:r>
      <w:r w:rsidRPr="00566A3E">
        <w:rPr>
          <w:szCs w:val="24"/>
        </w:rPr>
        <w:t xml:space="preserve"> N</w:t>
      </w:r>
      <w:r>
        <w:rPr>
          <w:szCs w:val="24"/>
        </w:rPr>
        <w:t>guyen</w:t>
      </w:r>
    </w:p>
    <w:p w:rsidR="00566A3E" w:rsidRPr="00566A3E" w:rsidRDefault="00566A3E" w:rsidP="00566A3E">
      <w:pPr>
        <w:jc w:val="center"/>
        <w:rPr>
          <w:szCs w:val="24"/>
        </w:rPr>
      </w:pPr>
      <w:r w:rsidRPr="00566A3E">
        <w:rPr>
          <w:szCs w:val="24"/>
        </w:rPr>
        <w:t>Administrative Law Judge</w:t>
      </w:r>
    </w:p>
    <w:p w:rsidR="00566A3E" w:rsidRPr="00566A3E" w:rsidRDefault="00566A3E" w:rsidP="00566A3E">
      <w:pPr>
        <w:jc w:val="center"/>
        <w:rPr>
          <w:szCs w:val="24"/>
        </w:rPr>
      </w:pPr>
    </w:p>
    <w:p w:rsidR="00566A3E" w:rsidRPr="00566A3E" w:rsidRDefault="00566A3E" w:rsidP="00566A3E">
      <w:pPr>
        <w:jc w:val="center"/>
        <w:rPr>
          <w:szCs w:val="24"/>
        </w:rPr>
      </w:pPr>
    </w:p>
    <w:p w:rsidR="00566A3E" w:rsidRPr="00566A3E" w:rsidRDefault="00566A3E" w:rsidP="00566A3E">
      <w:pPr>
        <w:pStyle w:val="Heading1"/>
        <w:rPr>
          <w:sz w:val="24"/>
          <w:szCs w:val="24"/>
        </w:rPr>
      </w:pPr>
      <w:r w:rsidRPr="00566A3E">
        <w:rPr>
          <w:sz w:val="24"/>
          <w:szCs w:val="24"/>
        </w:rPr>
        <w:t>HISTORY OF THE PROCEEDINGS</w:t>
      </w:r>
    </w:p>
    <w:p w:rsidR="00566A3E" w:rsidRPr="00566A3E" w:rsidRDefault="00566A3E" w:rsidP="00566A3E">
      <w:pPr>
        <w:jc w:val="center"/>
        <w:rPr>
          <w:szCs w:val="24"/>
        </w:rPr>
      </w:pPr>
    </w:p>
    <w:p w:rsidR="00566A3E" w:rsidRPr="00566A3E" w:rsidRDefault="00566A3E" w:rsidP="00566A3E">
      <w:pPr>
        <w:jc w:val="center"/>
        <w:rPr>
          <w:szCs w:val="24"/>
        </w:rPr>
      </w:pPr>
    </w:p>
    <w:p w:rsidR="00566A3E" w:rsidRPr="00566A3E" w:rsidRDefault="00566A3E" w:rsidP="00566A3E">
      <w:pPr>
        <w:pStyle w:val="BodyText"/>
        <w:rPr>
          <w:sz w:val="24"/>
          <w:szCs w:val="24"/>
        </w:rPr>
      </w:pPr>
      <w:r w:rsidRPr="00566A3E">
        <w:rPr>
          <w:sz w:val="24"/>
          <w:szCs w:val="24"/>
        </w:rPr>
        <w:tab/>
      </w:r>
      <w:r w:rsidRPr="00566A3E">
        <w:rPr>
          <w:sz w:val="24"/>
          <w:szCs w:val="24"/>
        </w:rPr>
        <w:tab/>
        <w:t xml:space="preserve">On </w:t>
      </w:r>
      <w:r>
        <w:rPr>
          <w:sz w:val="24"/>
          <w:szCs w:val="24"/>
        </w:rPr>
        <w:t>July 1, 2010</w:t>
      </w:r>
      <w:r w:rsidRPr="00566A3E">
        <w:rPr>
          <w:sz w:val="24"/>
          <w:szCs w:val="24"/>
        </w:rPr>
        <w:t xml:space="preserve">, </w:t>
      </w:r>
      <w:r>
        <w:rPr>
          <w:sz w:val="24"/>
          <w:szCs w:val="24"/>
        </w:rPr>
        <w:t>Berto Elmore (</w:t>
      </w:r>
      <w:r w:rsidRPr="00566A3E">
        <w:rPr>
          <w:sz w:val="24"/>
          <w:szCs w:val="24"/>
        </w:rPr>
        <w:t>Complain</w:t>
      </w:r>
      <w:r>
        <w:rPr>
          <w:sz w:val="24"/>
          <w:szCs w:val="24"/>
        </w:rPr>
        <w:t>ant)</w:t>
      </w:r>
      <w:r w:rsidRPr="00566A3E">
        <w:rPr>
          <w:sz w:val="24"/>
          <w:szCs w:val="24"/>
        </w:rPr>
        <w:t xml:space="preserve"> filed a </w:t>
      </w:r>
      <w:r>
        <w:rPr>
          <w:sz w:val="24"/>
          <w:szCs w:val="24"/>
        </w:rPr>
        <w:t>complaint</w:t>
      </w:r>
      <w:r w:rsidRPr="00566A3E">
        <w:rPr>
          <w:sz w:val="24"/>
          <w:szCs w:val="24"/>
        </w:rPr>
        <w:t xml:space="preserve"> with the Pennsylvania Public Utility Commission (Commission) </w:t>
      </w:r>
      <w:r>
        <w:rPr>
          <w:sz w:val="24"/>
          <w:szCs w:val="24"/>
        </w:rPr>
        <w:t xml:space="preserve">against PECO Energy Company (Respondent).  </w:t>
      </w:r>
      <w:r w:rsidRPr="00566A3E">
        <w:rPr>
          <w:sz w:val="24"/>
          <w:szCs w:val="24"/>
        </w:rPr>
        <w:t xml:space="preserve">In the </w:t>
      </w:r>
      <w:r>
        <w:rPr>
          <w:sz w:val="24"/>
          <w:szCs w:val="24"/>
        </w:rPr>
        <w:t>c</w:t>
      </w:r>
      <w:r w:rsidR="00AE473A">
        <w:rPr>
          <w:sz w:val="24"/>
          <w:szCs w:val="24"/>
        </w:rPr>
        <w:t>omplaint</w:t>
      </w:r>
      <w:r w:rsidRPr="00566A3E">
        <w:rPr>
          <w:sz w:val="24"/>
          <w:szCs w:val="24"/>
        </w:rPr>
        <w:t xml:space="preserve">, the </w:t>
      </w:r>
      <w:r w:rsidR="00AE473A">
        <w:rPr>
          <w:sz w:val="24"/>
          <w:szCs w:val="24"/>
        </w:rPr>
        <w:t>Complainant</w:t>
      </w:r>
      <w:r w:rsidRPr="00566A3E">
        <w:rPr>
          <w:sz w:val="24"/>
          <w:szCs w:val="24"/>
        </w:rPr>
        <w:t xml:space="preserve"> alleged that </w:t>
      </w:r>
      <w:r w:rsidR="00AE473A">
        <w:rPr>
          <w:sz w:val="24"/>
          <w:szCs w:val="24"/>
        </w:rPr>
        <w:t xml:space="preserve">he had moved from an old address to a new address, that he requested the Respondent to transfer service to the new address, and that it transferred the service, but </w:t>
      </w:r>
      <w:r w:rsidR="00C732D8">
        <w:rPr>
          <w:sz w:val="24"/>
          <w:szCs w:val="24"/>
        </w:rPr>
        <w:t>did not shut off</w:t>
      </w:r>
      <w:r w:rsidR="00AE473A">
        <w:rPr>
          <w:sz w:val="24"/>
          <w:szCs w:val="24"/>
        </w:rPr>
        <w:t xml:space="preserve"> the service at the old address and </w:t>
      </w:r>
      <w:r w:rsidR="00C732D8">
        <w:rPr>
          <w:sz w:val="24"/>
          <w:szCs w:val="24"/>
        </w:rPr>
        <w:t>kept billing him</w:t>
      </w:r>
      <w:r w:rsidR="00AE473A">
        <w:rPr>
          <w:sz w:val="24"/>
          <w:szCs w:val="24"/>
        </w:rPr>
        <w:t xml:space="preserve"> for about four months.  He asked that the Respondent credit his account $228.42, the amount </w:t>
      </w:r>
      <w:proofErr w:type="gramStart"/>
      <w:r w:rsidR="00AE473A">
        <w:rPr>
          <w:sz w:val="24"/>
          <w:szCs w:val="24"/>
        </w:rPr>
        <w:t>he</w:t>
      </w:r>
      <w:proofErr w:type="gramEnd"/>
      <w:r w:rsidR="00AE473A">
        <w:rPr>
          <w:sz w:val="24"/>
          <w:szCs w:val="24"/>
        </w:rPr>
        <w:t xml:space="preserve"> had paid for this period.</w:t>
      </w:r>
    </w:p>
    <w:p w:rsidR="00566A3E" w:rsidRPr="00566A3E" w:rsidRDefault="00566A3E" w:rsidP="00566A3E">
      <w:pPr>
        <w:spacing w:line="360" w:lineRule="auto"/>
        <w:rPr>
          <w:szCs w:val="24"/>
        </w:rPr>
      </w:pPr>
    </w:p>
    <w:p w:rsidR="00566A3E" w:rsidRDefault="00566A3E" w:rsidP="00566A3E">
      <w:pPr>
        <w:spacing w:line="360" w:lineRule="auto"/>
        <w:ind w:firstLine="720"/>
        <w:rPr>
          <w:szCs w:val="24"/>
        </w:rPr>
      </w:pPr>
      <w:r w:rsidRPr="00566A3E">
        <w:rPr>
          <w:szCs w:val="24"/>
        </w:rPr>
        <w:tab/>
      </w:r>
      <w:r w:rsidR="00AE473A">
        <w:rPr>
          <w:szCs w:val="24"/>
        </w:rPr>
        <w:t>The Respondent filed an answer dated July 9, 2010 to the complaint.  It stated that it transferred the Complainant’s service from the old address to the new one on September 13, 2008, that it advised the Complainant that he must also request service discontinuance at the old address, otherwise he is responsible for any charges incurred, and that, on January 23, 2009, the Complainant called the Respondent, stating</w:t>
      </w:r>
      <w:r w:rsidR="009F1676">
        <w:rPr>
          <w:szCs w:val="24"/>
        </w:rPr>
        <w:t xml:space="preserve"> that the service at the old address should have been disconnected in September 2008.</w:t>
      </w:r>
    </w:p>
    <w:p w:rsidR="009F1676" w:rsidRDefault="009F1676" w:rsidP="00566A3E">
      <w:pPr>
        <w:spacing w:line="360" w:lineRule="auto"/>
        <w:ind w:firstLine="720"/>
        <w:rPr>
          <w:szCs w:val="24"/>
        </w:rPr>
      </w:pPr>
    </w:p>
    <w:p w:rsidR="009F1676" w:rsidRDefault="009F1676" w:rsidP="009F1676">
      <w:pPr>
        <w:spacing w:line="360" w:lineRule="auto"/>
        <w:rPr>
          <w:szCs w:val="24"/>
        </w:rPr>
      </w:pPr>
      <w:r>
        <w:rPr>
          <w:szCs w:val="24"/>
        </w:rPr>
        <w:lastRenderedPageBreak/>
        <w:tab/>
      </w:r>
      <w:r>
        <w:rPr>
          <w:szCs w:val="24"/>
        </w:rPr>
        <w:tab/>
        <w:t>On November 16, 2010, a hearing on the complaint was held.  The Complainant proceeded unrepresented.</w:t>
      </w:r>
      <w:r>
        <w:rPr>
          <w:rStyle w:val="FootnoteReference"/>
          <w:szCs w:val="24"/>
        </w:rPr>
        <w:footnoteReference w:id="1"/>
      </w:r>
      <w:r>
        <w:rPr>
          <w:szCs w:val="24"/>
        </w:rPr>
        <w:t xml:space="preserve">  He testified on his own behalf and introduced </w:t>
      </w:r>
      <w:r w:rsidR="00C732D8">
        <w:rPr>
          <w:szCs w:val="24"/>
        </w:rPr>
        <w:t>o</w:t>
      </w:r>
      <w:r>
        <w:rPr>
          <w:szCs w:val="24"/>
        </w:rPr>
        <w:t>n</w:t>
      </w:r>
      <w:r w:rsidR="00C732D8">
        <w:rPr>
          <w:szCs w:val="24"/>
        </w:rPr>
        <w:t>e</w:t>
      </w:r>
      <w:r>
        <w:rPr>
          <w:szCs w:val="24"/>
        </w:rPr>
        <w:t xml:space="preserve"> exhibit</w:t>
      </w:r>
      <w:r w:rsidR="00C732D8">
        <w:rPr>
          <w:szCs w:val="24"/>
        </w:rPr>
        <w:t xml:space="preserve"> (a decision synopsis of the Commission’s Bureau of Consumer Services)</w:t>
      </w:r>
      <w:r>
        <w:rPr>
          <w:szCs w:val="24"/>
        </w:rPr>
        <w:t xml:space="preserve"> into the record.  The Respondent was represented by Tishekia Williams, Esquire, who presented the testimony of one witness and introduced one exhibit into the record.</w:t>
      </w:r>
    </w:p>
    <w:p w:rsidR="009F1676" w:rsidRDefault="009F1676" w:rsidP="009F1676">
      <w:pPr>
        <w:spacing w:line="360" w:lineRule="auto"/>
        <w:rPr>
          <w:szCs w:val="24"/>
        </w:rPr>
      </w:pPr>
    </w:p>
    <w:p w:rsidR="009F1676" w:rsidRDefault="009F1676" w:rsidP="009F1676">
      <w:pPr>
        <w:spacing w:line="360" w:lineRule="auto"/>
        <w:rPr>
          <w:szCs w:val="24"/>
        </w:rPr>
      </w:pPr>
      <w:r>
        <w:rPr>
          <w:szCs w:val="24"/>
        </w:rPr>
        <w:tab/>
      </w:r>
      <w:r>
        <w:rPr>
          <w:szCs w:val="24"/>
        </w:rPr>
        <w:tab/>
        <w:t xml:space="preserve">At the hearing, on cross-examination, the Complainant </w:t>
      </w:r>
      <w:r w:rsidR="00C732D8">
        <w:rPr>
          <w:szCs w:val="24"/>
        </w:rPr>
        <w:t>inquired of the R</w:t>
      </w:r>
      <w:r>
        <w:rPr>
          <w:szCs w:val="24"/>
        </w:rPr>
        <w:t>espondent’s witness</w:t>
      </w:r>
      <w:r w:rsidR="003A6846">
        <w:rPr>
          <w:szCs w:val="24"/>
        </w:rPr>
        <w:t xml:space="preserve"> whether</w:t>
      </w:r>
      <w:r>
        <w:rPr>
          <w:szCs w:val="24"/>
        </w:rPr>
        <w:t xml:space="preserve"> </w:t>
      </w:r>
      <w:r w:rsidR="00D0617D">
        <w:rPr>
          <w:szCs w:val="24"/>
        </w:rPr>
        <w:t>the</w:t>
      </w:r>
      <w:r w:rsidR="00C732D8">
        <w:rPr>
          <w:szCs w:val="24"/>
        </w:rPr>
        <w:t xml:space="preserve"> bills </w:t>
      </w:r>
      <w:r w:rsidR="00D0617D">
        <w:rPr>
          <w:szCs w:val="24"/>
        </w:rPr>
        <w:t>between October 2008 and March 2009 were also sent to the Complainant’s new address</w:t>
      </w:r>
      <w:r w:rsidR="00C732D8">
        <w:rPr>
          <w:szCs w:val="24"/>
        </w:rPr>
        <w:t>.  T</w:t>
      </w:r>
      <w:r>
        <w:rPr>
          <w:szCs w:val="24"/>
        </w:rPr>
        <w:t xml:space="preserve">he Respondent’s counsel asked me to </w:t>
      </w:r>
      <w:r w:rsidR="00D0617D">
        <w:rPr>
          <w:szCs w:val="24"/>
        </w:rPr>
        <w:t xml:space="preserve">keep the record open for her to </w:t>
      </w:r>
      <w:r>
        <w:rPr>
          <w:szCs w:val="24"/>
        </w:rPr>
        <w:t xml:space="preserve">introduce these bills </w:t>
      </w:r>
      <w:r w:rsidR="00D0617D">
        <w:rPr>
          <w:szCs w:val="24"/>
        </w:rPr>
        <w:t>as a late-filed exhibit</w:t>
      </w:r>
      <w:r>
        <w:rPr>
          <w:szCs w:val="24"/>
        </w:rPr>
        <w:t>.</w:t>
      </w:r>
      <w:r w:rsidR="00D0617D">
        <w:rPr>
          <w:szCs w:val="24"/>
        </w:rPr>
        <w:t xml:space="preserve">  On November 18, 2010, the Respondent submitted this late-filed exhibit.  </w:t>
      </w:r>
      <w:r>
        <w:rPr>
          <w:szCs w:val="24"/>
        </w:rPr>
        <w:t>The</w:t>
      </w:r>
      <w:r w:rsidR="00D0617D">
        <w:rPr>
          <w:szCs w:val="24"/>
        </w:rPr>
        <w:t xml:space="preserve"> late-filed exhibit will be</w:t>
      </w:r>
      <w:r>
        <w:rPr>
          <w:szCs w:val="24"/>
        </w:rPr>
        <w:t xml:space="preserve"> marked as PECO Exhibit 2 and admitted into the record over the Complainant’s objection.</w:t>
      </w:r>
    </w:p>
    <w:p w:rsidR="009F1676" w:rsidRDefault="009F1676" w:rsidP="009F1676">
      <w:pPr>
        <w:spacing w:line="360" w:lineRule="auto"/>
        <w:rPr>
          <w:szCs w:val="24"/>
        </w:rPr>
      </w:pPr>
    </w:p>
    <w:p w:rsidR="009F1676" w:rsidRDefault="009F1676" w:rsidP="009F1676">
      <w:pPr>
        <w:spacing w:line="360" w:lineRule="auto"/>
        <w:rPr>
          <w:szCs w:val="24"/>
        </w:rPr>
      </w:pPr>
      <w:r>
        <w:rPr>
          <w:szCs w:val="24"/>
        </w:rPr>
        <w:tab/>
      </w:r>
      <w:r>
        <w:rPr>
          <w:szCs w:val="24"/>
        </w:rPr>
        <w:tab/>
        <w:t xml:space="preserve">The record closed </w:t>
      </w:r>
      <w:r w:rsidR="00040231">
        <w:rPr>
          <w:szCs w:val="24"/>
        </w:rPr>
        <w:t>o</w:t>
      </w:r>
      <w:r>
        <w:rPr>
          <w:szCs w:val="24"/>
        </w:rPr>
        <w:t>n November 1</w:t>
      </w:r>
      <w:r w:rsidR="00040231">
        <w:rPr>
          <w:szCs w:val="24"/>
        </w:rPr>
        <w:t>8</w:t>
      </w:r>
      <w:r>
        <w:rPr>
          <w:szCs w:val="24"/>
        </w:rPr>
        <w:t>, 2010.</w:t>
      </w:r>
    </w:p>
    <w:p w:rsidR="009F1676" w:rsidRPr="00566A3E" w:rsidRDefault="009F1676" w:rsidP="009F1676">
      <w:pPr>
        <w:spacing w:line="360" w:lineRule="auto"/>
        <w:rPr>
          <w:szCs w:val="24"/>
        </w:rPr>
      </w:pPr>
    </w:p>
    <w:p w:rsidR="00566A3E" w:rsidRPr="00566A3E" w:rsidRDefault="00566A3E" w:rsidP="00566A3E">
      <w:pPr>
        <w:pStyle w:val="Heading1"/>
        <w:spacing w:line="360" w:lineRule="auto"/>
        <w:rPr>
          <w:sz w:val="24"/>
          <w:szCs w:val="24"/>
        </w:rPr>
      </w:pPr>
      <w:r w:rsidRPr="00566A3E">
        <w:rPr>
          <w:sz w:val="24"/>
          <w:szCs w:val="24"/>
        </w:rPr>
        <w:t>FINDINGS OF FACT</w:t>
      </w:r>
    </w:p>
    <w:p w:rsidR="00566A3E" w:rsidRPr="00566A3E" w:rsidRDefault="00566A3E" w:rsidP="00566A3E">
      <w:pPr>
        <w:spacing w:line="360" w:lineRule="auto"/>
        <w:jc w:val="center"/>
        <w:rPr>
          <w:szCs w:val="24"/>
        </w:rPr>
      </w:pPr>
    </w:p>
    <w:p w:rsidR="00566A3E" w:rsidRPr="00566A3E" w:rsidRDefault="00566A3E" w:rsidP="00566A3E">
      <w:pPr>
        <w:spacing w:line="360" w:lineRule="auto"/>
        <w:rPr>
          <w:szCs w:val="24"/>
        </w:rPr>
      </w:pPr>
      <w:r w:rsidRPr="00566A3E">
        <w:rPr>
          <w:szCs w:val="24"/>
        </w:rPr>
        <w:tab/>
      </w:r>
      <w:r w:rsidRPr="00566A3E">
        <w:rPr>
          <w:szCs w:val="24"/>
        </w:rPr>
        <w:tab/>
        <w:t>1.</w:t>
      </w:r>
      <w:r w:rsidRPr="00566A3E">
        <w:rPr>
          <w:szCs w:val="24"/>
        </w:rPr>
        <w:tab/>
      </w:r>
      <w:r w:rsidR="00440C44">
        <w:rPr>
          <w:szCs w:val="24"/>
        </w:rPr>
        <w:t>The Complainant i</w:t>
      </w:r>
      <w:r w:rsidRPr="00566A3E">
        <w:rPr>
          <w:szCs w:val="24"/>
        </w:rPr>
        <w:t>s a residential customer of the Respondent and t</w:t>
      </w:r>
      <w:r w:rsidR="00440C44">
        <w:rPr>
          <w:szCs w:val="24"/>
        </w:rPr>
        <w:t>a</w:t>
      </w:r>
      <w:r w:rsidRPr="00566A3E">
        <w:rPr>
          <w:szCs w:val="24"/>
        </w:rPr>
        <w:t>k</w:t>
      </w:r>
      <w:r w:rsidR="00440C44">
        <w:rPr>
          <w:szCs w:val="24"/>
        </w:rPr>
        <w:t>es</w:t>
      </w:r>
      <w:r w:rsidRPr="00566A3E">
        <w:rPr>
          <w:szCs w:val="24"/>
        </w:rPr>
        <w:t xml:space="preserve"> service at </w:t>
      </w:r>
      <w:r w:rsidR="00440C44">
        <w:rPr>
          <w:szCs w:val="24"/>
        </w:rPr>
        <w:t xml:space="preserve">1539 W. Stiles Street, Philadelphia, Pennsylvania.  Before, he lived at 1425 W. Venango Street, Philadelphia, Pennsylvania.  This dispute is over a $228.42 bill incurred at the 1425 W. Venango Street address (N.T. 5-7). </w:t>
      </w: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r w:rsidRPr="00566A3E">
        <w:rPr>
          <w:szCs w:val="24"/>
        </w:rPr>
        <w:tab/>
      </w:r>
      <w:r w:rsidRPr="00566A3E">
        <w:rPr>
          <w:szCs w:val="24"/>
        </w:rPr>
        <w:tab/>
        <w:t>2.</w:t>
      </w:r>
      <w:r w:rsidRPr="00566A3E">
        <w:rPr>
          <w:szCs w:val="24"/>
        </w:rPr>
        <w:tab/>
        <w:t xml:space="preserve">The electric service at the </w:t>
      </w:r>
      <w:r w:rsidR="00440C44">
        <w:rPr>
          <w:szCs w:val="24"/>
        </w:rPr>
        <w:t>Venango</w:t>
      </w:r>
      <w:r w:rsidRPr="00566A3E">
        <w:rPr>
          <w:szCs w:val="24"/>
        </w:rPr>
        <w:t xml:space="preserve"> address was </w:t>
      </w:r>
      <w:r w:rsidR="00440C44">
        <w:rPr>
          <w:szCs w:val="24"/>
        </w:rPr>
        <w:t xml:space="preserve">established </w:t>
      </w:r>
      <w:r w:rsidRPr="00566A3E">
        <w:rPr>
          <w:szCs w:val="24"/>
        </w:rPr>
        <w:t xml:space="preserve">in the Complainant’s name </w:t>
      </w:r>
      <w:r w:rsidR="00440C44">
        <w:rPr>
          <w:szCs w:val="24"/>
        </w:rPr>
        <w:t xml:space="preserve">on April 7, 2006 (N.T. 13; PECO Exhibit 1).  </w:t>
      </w: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r w:rsidRPr="00566A3E">
        <w:rPr>
          <w:szCs w:val="24"/>
        </w:rPr>
        <w:tab/>
      </w:r>
      <w:r w:rsidRPr="00566A3E">
        <w:rPr>
          <w:szCs w:val="24"/>
        </w:rPr>
        <w:tab/>
        <w:t>3.</w:t>
      </w:r>
      <w:r w:rsidRPr="00566A3E">
        <w:rPr>
          <w:szCs w:val="24"/>
        </w:rPr>
        <w:tab/>
      </w:r>
      <w:r w:rsidR="00440C44">
        <w:rPr>
          <w:szCs w:val="24"/>
        </w:rPr>
        <w:t xml:space="preserve">On September 11, 2008, the Complainant requested service </w:t>
      </w:r>
      <w:r w:rsidR="00040231">
        <w:rPr>
          <w:szCs w:val="24"/>
        </w:rPr>
        <w:t xml:space="preserve">to be established </w:t>
      </w:r>
      <w:r w:rsidR="00440C44">
        <w:rPr>
          <w:szCs w:val="24"/>
        </w:rPr>
        <w:t xml:space="preserve">at the Stiles address (N.T. 13; PECO Exhibit 1).   </w:t>
      </w:r>
      <w:r w:rsidRPr="00566A3E">
        <w:rPr>
          <w:szCs w:val="24"/>
        </w:rPr>
        <w:t xml:space="preserve"> </w:t>
      </w: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r w:rsidRPr="00566A3E">
        <w:rPr>
          <w:szCs w:val="24"/>
        </w:rPr>
        <w:tab/>
      </w:r>
      <w:r w:rsidRPr="00566A3E">
        <w:rPr>
          <w:szCs w:val="24"/>
        </w:rPr>
        <w:tab/>
        <w:t>4.</w:t>
      </w:r>
      <w:r w:rsidRPr="00566A3E">
        <w:rPr>
          <w:szCs w:val="24"/>
        </w:rPr>
        <w:tab/>
      </w:r>
      <w:r w:rsidR="00440C44">
        <w:rPr>
          <w:szCs w:val="24"/>
        </w:rPr>
        <w:t xml:space="preserve">The Complainant’s bill for service to the Venango address from September </w:t>
      </w:r>
      <w:r w:rsidR="005C42C9">
        <w:rPr>
          <w:szCs w:val="24"/>
        </w:rPr>
        <w:t>1</w:t>
      </w:r>
      <w:r w:rsidR="00440C44">
        <w:rPr>
          <w:szCs w:val="24"/>
        </w:rPr>
        <w:t xml:space="preserve">, 2008 to </w:t>
      </w:r>
      <w:r w:rsidR="005C42C9">
        <w:rPr>
          <w:szCs w:val="24"/>
        </w:rPr>
        <w:t>September 30</w:t>
      </w:r>
      <w:r w:rsidR="00440C44">
        <w:rPr>
          <w:szCs w:val="24"/>
        </w:rPr>
        <w:t>, 2008 was $</w:t>
      </w:r>
      <w:r w:rsidR="005C42C9">
        <w:rPr>
          <w:szCs w:val="24"/>
        </w:rPr>
        <w:t>30.80</w:t>
      </w:r>
      <w:r w:rsidR="000C3CE6">
        <w:rPr>
          <w:szCs w:val="24"/>
        </w:rPr>
        <w:t xml:space="preserve"> (N.T. 16; PECO Exhibit </w:t>
      </w:r>
      <w:r w:rsidR="005C42C9">
        <w:rPr>
          <w:szCs w:val="24"/>
        </w:rPr>
        <w:t xml:space="preserve">1).   </w:t>
      </w:r>
    </w:p>
    <w:p w:rsidR="00566A3E" w:rsidRPr="00566A3E" w:rsidRDefault="00566A3E" w:rsidP="00566A3E">
      <w:pPr>
        <w:spacing w:line="360" w:lineRule="auto"/>
        <w:rPr>
          <w:szCs w:val="24"/>
        </w:rPr>
      </w:pPr>
      <w:r w:rsidRPr="00566A3E">
        <w:rPr>
          <w:szCs w:val="24"/>
        </w:rPr>
        <w:lastRenderedPageBreak/>
        <w:tab/>
      </w:r>
      <w:r w:rsidRPr="00566A3E">
        <w:rPr>
          <w:szCs w:val="24"/>
        </w:rPr>
        <w:tab/>
        <w:t>5.</w:t>
      </w:r>
      <w:r w:rsidRPr="00566A3E">
        <w:rPr>
          <w:szCs w:val="24"/>
        </w:rPr>
        <w:tab/>
      </w:r>
      <w:r w:rsidR="005C42C9">
        <w:rPr>
          <w:szCs w:val="24"/>
        </w:rPr>
        <w:t>The Complainant’s bill for service to the Venango address from September 30, 2008</w:t>
      </w:r>
      <w:r w:rsidRPr="00566A3E">
        <w:rPr>
          <w:szCs w:val="24"/>
        </w:rPr>
        <w:t xml:space="preserve"> </w:t>
      </w:r>
      <w:r w:rsidR="005C42C9">
        <w:rPr>
          <w:szCs w:val="24"/>
        </w:rPr>
        <w:t xml:space="preserve">to October </w:t>
      </w:r>
      <w:r w:rsidR="001823C8">
        <w:rPr>
          <w:szCs w:val="24"/>
        </w:rPr>
        <w:t xml:space="preserve">29, 2008 was $42.78 (N.T. 16; PECO Exhibit 1).   </w:t>
      </w:r>
    </w:p>
    <w:p w:rsidR="00566A3E" w:rsidRPr="00566A3E" w:rsidRDefault="00566A3E" w:rsidP="00566A3E">
      <w:pPr>
        <w:spacing w:line="360" w:lineRule="auto"/>
        <w:rPr>
          <w:szCs w:val="24"/>
        </w:rPr>
      </w:pPr>
    </w:p>
    <w:p w:rsidR="00566A3E" w:rsidRDefault="00566A3E" w:rsidP="00566A3E">
      <w:pPr>
        <w:spacing w:line="360" w:lineRule="auto"/>
        <w:rPr>
          <w:szCs w:val="24"/>
        </w:rPr>
      </w:pPr>
      <w:r w:rsidRPr="00566A3E">
        <w:rPr>
          <w:szCs w:val="24"/>
        </w:rPr>
        <w:tab/>
      </w:r>
      <w:r w:rsidRPr="00566A3E">
        <w:rPr>
          <w:szCs w:val="24"/>
        </w:rPr>
        <w:tab/>
        <w:t>6.</w:t>
      </w:r>
      <w:r w:rsidRPr="00566A3E">
        <w:rPr>
          <w:szCs w:val="24"/>
        </w:rPr>
        <w:tab/>
      </w:r>
      <w:r w:rsidR="001823C8">
        <w:rPr>
          <w:szCs w:val="24"/>
        </w:rPr>
        <w:t xml:space="preserve">On October 30, 2008, the Respondent received a notification from the U.S. Post Office updating Mr. Elmore’s address from 1425 W. Venango Street, Philadelphia, Pennsylvania to 1539 W. Stiles Street, Philadelphia, Pennsylvania (N.T. 16, 17; PECO Exhibit 1).  </w:t>
      </w:r>
    </w:p>
    <w:p w:rsidR="00910EE5" w:rsidRDefault="00910EE5" w:rsidP="00566A3E">
      <w:pPr>
        <w:spacing w:line="360" w:lineRule="auto"/>
        <w:rPr>
          <w:szCs w:val="24"/>
        </w:rPr>
      </w:pPr>
    </w:p>
    <w:p w:rsidR="00910EE5" w:rsidRDefault="00910EE5" w:rsidP="00566A3E">
      <w:pPr>
        <w:spacing w:line="360" w:lineRule="auto"/>
        <w:rPr>
          <w:szCs w:val="24"/>
        </w:rPr>
      </w:pPr>
      <w:r>
        <w:rPr>
          <w:szCs w:val="24"/>
        </w:rPr>
        <w:tab/>
      </w:r>
      <w:r>
        <w:rPr>
          <w:szCs w:val="24"/>
        </w:rPr>
        <w:tab/>
        <w:t>7.</w:t>
      </w:r>
      <w:r>
        <w:rPr>
          <w:szCs w:val="24"/>
        </w:rPr>
        <w:tab/>
        <w:t xml:space="preserve">Between September </w:t>
      </w:r>
      <w:r w:rsidR="00040231">
        <w:rPr>
          <w:szCs w:val="24"/>
        </w:rPr>
        <w:t xml:space="preserve">1, </w:t>
      </w:r>
      <w:r>
        <w:rPr>
          <w:szCs w:val="24"/>
        </w:rPr>
        <w:t>2008 and October 30, 2008, the Complainant owed the Respondent $73.58 ($30.80 + $42.78) when he lived at the Venango address (Findings of Fact Nos. 4 and 5).</w:t>
      </w:r>
    </w:p>
    <w:p w:rsidR="000950BC" w:rsidRDefault="000950BC" w:rsidP="00566A3E">
      <w:pPr>
        <w:spacing w:line="360" w:lineRule="auto"/>
        <w:rPr>
          <w:szCs w:val="24"/>
        </w:rPr>
      </w:pPr>
    </w:p>
    <w:p w:rsidR="000950BC" w:rsidRPr="00910EE5" w:rsidRDefault="000950BC" w:rsidP="00566A3E">
      <w:pPr>
        <w:spacing w:line="360" w:lineRule="auto"/>
        <w:rPr>
          <w:szCs w:val="24"/>
          <w:vertAlign w:val="subscript"/>
        </w:rPr>
      </w:pPr>
      <w:r>
        <w:rPr>
          <w:szCs w:val="24"/>
        </w:rPr>
        <w:tab/>
      </w:r>
      <w:r>
        <w:rPr>
          <w:szCs w:val="24"/>
        </w:rPr>
        <w:tab/>
        <w:t>8.</w:t>
      </w:r>
      <w:r>
        <w:rPr>
          <w:szCs w:val="24"/>
        </w:rPr>
        <w:tab/>
        <w:t>The Respondent overcharged the Complainant $154.84 ($228.42 (the disputed amount) - $73.58) for the period between October 30, 2008 (the date the Respondent received the U.S. Post Office updating Mr. Elmore’s address) and January 23, 2009 (the date the Complainant called to disconnect service) (N.T. 17).</w:t>
      </w:r>
    </w:p>
    <w:p w:rsidR="00566A3E" w:rsidRPr="00566A3E" w:rsidRDefault="00566A3E" w:rsidP="00566A3E">
      <w:pPr>
        <w:spacing w:line="360" w:lineRule="auto"/>
        <w:rPr>
          <w:szCs w:val="24"/>
        </w:rPr>
      </w:pPr>
    </w:p>
    <w:p w:rsidR="00566A3E" w:rsidRPr="00566A3E" w:rsidRDefault="00566A3E" w:rsidP="00566A3E">
      <w:pPr>
        <w:pStyle w:val="Heading1"/>
        <w:spacing w:line="360" w:lineRule="auto"/>
        <w:rPr>
          <w:sz w:val="24"/>
          <w:szCs w:val="24"/>
        </w:rPr>
      </w:pPr>
      <w:r w:rsidRPr="00566A3E">
        <w:rPr>
          <w:sz w:val="24"/>
          <w:szCs w:val="24"/>
        </w:rPr>
        <w:t>DISCUSSION</w:t>
      </w:r>
    </w:p>
    <w:p w:rsidR="00566A3E" w:rsidRPr="00566A3E" w:rsidRDefault="00566A3E" w:rsidP="00566A3E">
      <w:pPr>
        <w:spacing w:line="360" w:lineRule="auto"/>
        <w:jc w:val="center"/>
        <w:rPr>
          <w:szCs w:val="24"/>
        </w:rPr>
      </w:pPr>
    </w:p>
    <w:p w:rsidR="00566A3E" w:rsidRPr="00733D4F" w:rsidRDefault="00566A3E" w:rsidP="00566A3E">
      <w:pPr>
        <w:tabs>
          <w:tab w:val="left" w:pos="-720"/>
        </w:tabs>
        <w:suppressAutoHyphens/>
        <w:spacing w:line="360" w:lineRule="auto"/>
        <w:rPr>
          <w:spacing w:val="-3"/>
          <w:szCs w:val="24"/>
        </w:rPr>
      </w:pPr>
      <w:r w:rsidRPr="00566A3E">
        <w:rPr>
          <w:spacing w:val="-3"/>
          <w:szCs w:val="24"/>
        </w:rPr>
        <w:tab/>
      </w:r>
      <w:r w:rsidRPr="00566A3E">
        <w:rPr>
          <w:spacing w:val="-3"/>
          <w:szCs w:val="24"/>
        </w:rPr>
        <w:tab/>
        <w:t>Section 332(a) of the Public Utility Code, 66 Pa. C.S. §332(a),</w:t>
      </w:r>
      <w:r w:rsidRPr="00566A3E">
        <w:rPr>
          <w:rStyle w:val="FootnoteReference"/>
          <w:spacing w:val="-3"/>
          <w:szCs w:val="24"/>
        </w:rPr>
        <w:footnoteReference w:id="2"/>
      </w:r>
      <w:r w:rsidRPr="00566A3E">
        <w:rPr>
          <w:spacing w:val="-3"/>
          <w:szCs w:val="24"/>
        </w:rP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proofErr w:type="gramStart"/>
      <w:r w:rsidRPr="00566A3E">
        <w:rPr>
          <w:spacing w:val="-3"/>
          <w:szCs w:val="24"/>
          <w:u w:val="single"/>
        </w:rPr>
        <w:t>Se-Ling Hosiery v. Margulies</w:t>
      </w:r>
      <w:r w:rsidRPr="00566A3E">
        <w:rPr>
          <w:spacing w:val="-3"/>
          <w:szCs w:val="24"/>
        </w:rPr>
        <w:t>, 364 Pa. 54, 70 A.2d 854 (1950).</w:t>
      </w:r>
      <w:proofErr w:type="gramEnd"/>
      <w:r w:rsidRPr="00566A3E">
        <w:rPr>
          <w:spacing w:val="-3"/>
          <w:szCs w:val="24"/>
        </w:rPr>
        <w:t xml:space="preserve">  Stated differently, “preponderance” is not dependent on the number of witnesses testifying on either side but rather on the credibility of the testimony in the light of the record as a whole.  </w:t>
      </w:r>
      <w:r w:rsidRPr="00566A3E">
        <w:rPr>
          <w:spacing w:val="-3"/>
          <w:szCs w:val="24"/>
          <w:u w:val="single"/>
        </w:rPr>
        <w:t>Burch v. Reading Co.</w:t>
      </w:r>
      <w:r w:rsidRPr="00566A3E">
        <w:rPr>
          <w:spacing w:val="-3"/>
          <w:szCs w:val="24"/>
        </w:rPr>
        <w:t xml:space="preserve">, 240 F.2d 574 (3d Cir. 1957) cert. denied, 353 U.S. 965 </w:t>
      </w:r>
      <w:r w:rsidRPr="00566A3E">
        <w:rPr>
          <w:spacing w:val="-3"/>
          <w:szCs w:val="24"/>
        </w:rPr>
        <w:lastRenderedPageBreak/>
        <w:t>(1957).</w:t>
      </w:r>
      <w:r w:rsidR="00733D4F">
        <w:rPr>
          <w:spacing w:val="-3"/>
          <w:szCs w:val="24"/>
        </w:rPr>
        <w:t xml:space="preserve">  The Pennsylvania Supreme Court has characterized a preponderance of the evidence as tantamount to a “more likely than not” inquiry.  </w:t>
      </w:r>
      <w:r w:rsidR="00733D4F">
        <w:rPr>
          <w:spacing w:val="-3"/>
          <w:szCs w:val="24"/>
          <w:u w:val="single"/>
        </w:rPr>
        <w:t>Commonwealth v. $6,425 Seized From Esquilin</w:t>
      </w:r>
      <w:r w:rsidR="00733D4F">
        <w:rPr>
          <w:spacing w:val="-3"/>
          <w:szCs w:val="24"/>
        </w:rPr>
        <w:t>, 583 Pa. 544, 555, 880 A.2d 523, 524 (2005).</w:t>
      </w:r>
    </w:p>
    <w:p w:rsidR="00566A3E" w:rsidRPr="00566A3E" w:rsidRDefault="00566A3E" w:rsidP="00566A3E">
      <w:pPr>
        <w:tabs>
          <w:tab w:val="left" w:pos="-720"/>
        </w:tabs>
        <w:suppressAutoHyphens/>
        <w:spacing w:line="360" w:lineRule="auto"/>
        <w:rPr>
          <w:spacing w:val="-3"/>
          <w:szCs w:val="24"/>
        </w:rPr>
      </w:pPr>
    </w:p>
    <w:p w:rsidR="00566A3E" w:rsidRPr="00566A3E" w:rsidRDefault="00566A3E" w:rsidP="00566A3E">
      <w:pPr>
        <w:tabs>
          <w:tab w:val="left" w:pos="-720"/>
        </w:tabs>
        <w:suppressAutoHyphens/>
        <w:spacing w:line="360" w:lineRule="auto"/>
        <w:rPr>
          <w:spacing w:val="-3"/>
          <w:szCs w:val="24"/>
        </w:rPr>
      </w:pPr>
      <w:r w:rsidRPr="00566A3E">
        <w:rPr>
          <w:spacing w:val="-3"/>
          <w:szCs w:val="24"/>
        </w:rPr>
        <w:tab/>
      </w:r>
      <w:r w:rsidRPr="00566A3E">
        <w:rPr>
          <w:spacing w:val="-3"/>
          <w:szCs w:val="24"/>
        </w:rPr>
        <w:tab/>
        <w:t xml:space="preserve">Under these principles the </w:t>
      </w:r>
      <w:r w:rsidR="00733D4F">
        <w:rPr>
          <w:spacing w:val="-3"/>
          <w:szCs w:val="24"/>
        </w:rPr>
        <w:t>Complainant</w:t>
      </w:r>
      <w:r w:rsidRPr="00566A3E">
        <w:rPr>
          <w:spacing w:val="-3"/>
          <w:szCs w:val="24"/>
        </w:rPr>
        <w:t xml:space="preserve">, as the party seeking relief, has the burden of proof.  In this case, he has the burden of proving by a preponderance of the evidence that he </w:t>
      </w:r>
      <w:r w:rsidR="00733D4F">
        <w:rPr>
          <w:spacing w:val="-3"/>
          <w:szCs w:val="24"/>
        </w:rPr>
        <w:t>has given the Respondent notice that he left his Venango address or that he wished to have service discontinued.</w:t>
      </w:r>
    </w:p>
    <w:p w:rsidR="00566A3E" w:rsidRPr="00566A3E" w:rsidRDefault="00566A3E" w:rsidP="00566A3E">
      <w:pPr>
        <w:tabs>
          <w:tab w:val="left" w:pos="-720"/>
        </w:tabs>
        <w:suppressAutoHyphens/>
        <w:spacing w:line="360" w:lineRule="auto"/>
        <w:rPr>
          <w:spacing w:val="-3"/>
          <w:szCs w:val="24"/>
        </w:rPr>
      </w:pPr>
    </w:p>
    <w:p w:rsidR="00566A3E" w:rsidRPr="00566A3E" w:rsidRDefault="00566A3E" w:rsidP="00566A3E">
      <w:pPr>
        <w:tabs>
          <w:tab w:val="left" w:pos="-720"/>
        </w:tabs>
        <w:suppressAutoHyphens/>
        <w:spacing w:line="360" w:lineRule="auto"/>
        <w:rPr>
          <w:spacing w:val="-3"/>
          <w:szCs w:val="24"/>
        </w:rPr>
      </w:pPr>
      <w:r w:rsidRPr="00566A3E">
        <w:rPr>
          <w:spacing w:val="-3"/>
          <w:szCs w:val="24"/>
        </w:rPr>
        <w:tab/>
      </w:r>
      <w:r w:rsidRPr="00566A3E">
        <w:rPr>
          <w:spacing w:val="-3"/>
          <w:szCs w:val="24"/>
        </w:rPr>
        <w:tab/>
        <w:t>In part, Section 56.16 (relating to transfer of accounts) of the Commission’s regulations, 52 Pa. Code §56.16, provides as follows:</w:t>
      </w:r>
    </w:p>
    <w:p w:rsidR="00566A3E" w:rsidRPr="00566A3E" w:rsidRDefault="00566A3E" w:rsidP="00566A3E">
      <w:pPr>
        <w:tabs>
          <w:tab w:val="left" w:pos="-720"/>
        </w:tabs>
        <w:suppressAutoHyphens/>
        <w:spacing w:line="360" w:lineRule="auto"/>
        <w:rPr>
          <w:spacing w:val="-3"/>
          <w:szCs w:val="24"/>
        </w:rPr>
      </w:pPr>
    </w:p>
    <w:p w:rsidR="00566A3E" w:rsidRPr="00566A3E" w:rsidRDefault="00566A3E" w:rsidP="00566A3E">
      <w:pPr>
        <w:pStyle w:val="BlockText"/>
        <w:rPr>
          <w:sz w:val="24"/>
          <w:szCs w:val="24"/>
        </w:rPr>
      </w:pPr>
      <w:r w:rsidRPr="00566A3E">
        <w:rPr>
          <w:sz w:val="24"/>
          <w:szCs w:val="24"/>
        </w:rPr>
        <w:t xml:space="preserve">   (a)  A ratepayer who is about to vacate premises supplied with utility service or who wishes to have service discontinued shall give at least 7 days notice to the utility and a nonratepayer occupant, specifying the date of which it is desired that service be discontinued.  In the absence of a notice, the ratepayer shall be responsible for services rendered.</w:t>
      </w:r>
    </w:p>
    <w:p w:rsidR="00566A3E" w:rsidRPr="00566A3E" w:rsidRDefault="00566A3E" w:rsidP="00566A3E">
      <w:pPr>
        <w:tabs>
          <w:tab w:val="left" w:pos="-720"/>
        </w:tabs>
        <w:suppressAutoHyphens/>
        <w:ind w:left="1440" w:right="1350"/>
        <w:rPr>
          <w:spacing w:val="-3"/>
          <w:szCs w:val="24"/>
        </w:rPr>
      </w:pPr>
    </w:p>
    <w:p w:rsidR="00566A3E" w:rsidRPr="00566A3E" w:rsidRDefault="00566A3E" w:rsidP="00566A3E">
      <w:pPr>
        <w:tabs>
          <w:tab w:val="left" w:pos="-720"/>
        </w:tabs>
        <w:suppressAutoHyphens/>
        <w:ind w:left="1440" w:right="1350"/>
        <w:rPr>
          <w:spacing w:val="-3"/>
          <w:szCs w:val="24"/>
        </w:rPr>
      </w:pPr>
    </w:p>
    <w:p w:rsidR="00566A3E" w:rsidRDefault="00566A3E" w:rsidP="00566A3E">
      <w:pPr>
        <w:pStyle w:val="BodyText"/>
        <w:tabs>
          <w:tab w:val="left" w:pos="-720"/>
        </w:tabs>
        <w:suppressAutoHyphens/>
        <w:rPr>
          <w:sz w:val="24"/>
          <w:szCs w:val="24"/>
        </w:rPr>
      </w:pPr>
      <w:r w:rsidRPr="00566A3E">
        <w:rPr>
          <w:sz w:val="24"/>
          <w:szCs w:val="24"/>
        </w:rPr>
        <w:tab/>
      </w:r>
      <w:r w:rsidRPr="00566A3E">
        <w:rPr>
          <w:sz w:val="24"/>
          <w:szCs w:val="24"/>
        </w:rPr>
        <w:tab/>
        <w:t>These provisions are phrased in mandatory, not directory, terms.  According to them, when a ratepayer is about to vacate a residence supplied with utility service</w:t>
      </w:r>
      <w:r w:rsidR="005C3D62">
        <w:rPr>
          <w:sz w:val="24"/>
          <w:szCs w:val="24"/>
        </w:rPr>
        <w:t xml:space="preserve"> or wishes to have service discontinued (the Commission’s regulations use the disjunctive “or”)</w:t>
      </w:r>
      <w:r w:rsidRPr="00566A3E">
        <w:rPr>
          <w:sz w:val="24"/>
          <w:szCs w:val="24"/>
        </w:rPr>
        <w:t>, the ratepayer must give at least 7 days’ notice of the ratepayer’s leaving, not only to the utility but also to other occupants of the residence.  The ratepayer must also specify a date on which the ratepayer desires the service to be discontinued.  Without such a notice, the ratepayer must pay for the service rendered at the residence.</w:t>
      </w:r>
    </w:p>
    <w:p w:rsidR="005C3D62" w:rsidRDefault="005C3D62" w:rsidP="00566A3E">
      <w:pPr>
        <w:pStyle w:val="BodyText"/>
        <w:tabs>
          <w:tab w:val="left" w:pos="-720"/>
        </w:tabs>
        <w:suppressAutoHyphens/>
        <w:rPr>
          <w:sz w:val="24"/>
          <w:szCs w:val="24"/>
        </w:rPr>
      </w:pPr>
    </w:p>
    <w:p w:rsidR="005C3D62" w:rsidRDefault="005C3D62" w:rsidP="00566A3E">
      <w:pPr>
        <w:pStyle w:val="BodyText"/>
        <w:tabs>
          <w:tab w:val="left" w:pos="-720"/>
        </w:tabs>
        <w:suppressAutoHyphens/>
        <w:rPr>
          <w:sz w:val="24"/>
          <w:szCs w:val="24"/>
        </w:rPr>
      </w:pPr>
      <w:r>
        <w:rPr>
          <w:sz w:val="24"/>
          <w:szCs w:val="24"/>
        </w:rPr>
        <w:tab/>
      </w:r>
      <w:r>
        <w:rPr>
          <w:sz w:val="24"/>
          <w:szCs w:val="24"/>
        </w:rPr>
        <w:tab/>
        <w:t xml:space="preserve">The Respondent testified that the Complainant </w:t>
      </w:r>
      <w:r w:rsidR="00040231">
        <w:rPr>
          <w:sz w:val="24"/>
          <w:szCs w:val="24"/>
        </w:rPr>
        <w:t>established</w:t>
      </w:r>
      <w:r w:rsidR="007E5999">
        <w:rPr>
          <w:sz w:val="24"/>
          <w:szCs w:val="24"/>
        </w:rPr>
        <w:t xml:space="preserve"> </w:t>
      </w:r>
      <w:r>
        <w:rPr>
          <w:sz w:val="24"/>
          <w:szCs w:val="24"/>
        </w:rPr>
        <w:t xml:space="preserve">an additional service at the Stiles address on September 11, 2008, that the service at the Venango address was </w:t>
      </w:r>
      <w:r w:rsidR="007E5999">
        <w:rPr>
          <w:sz w:val="24"/>
          <w:szCs w:val="24"/>
        </w:rPr>
        <w:t xml:space="preserve">to be </w:t>
      </w:r>
      <w:r w:rsidR="00F56FBA">
        <w:rPr>
          <w:sz w:val="24"/>
          <w:szCs w:val="24"/>
        </w:rPr>
        <w:br w:type="page"/>
      </w:r>
      <w:r>
        <w:rPr>
          <w:sz w:val="24"/>
          <w:szCs w:val="24"/>
        </w:rPr>
        <w:lastRenderedPageBreak/>
        <w:t>continued until the Complainant called to disconnect.</w:t>
      </w:r>
      <w:r w:rsidR="00CC4DC9">
        <w:rPr>
          <w:rStyle w:val="FootnoteReference"/>
          <w:sz w:val="24"/>
          <w:szCs w:val="24"/>
        </w:rPr>
        <w:footnoteReference w:id="3"/>
      </w:r>
      <w:r w:rsidR="006D5465">
        <w:rPr>
          <w:sz w:val="24"/>
          <w:szCs w:val="24"/>
        </w:rPr>
        <w:t xml:space="preserve">  After that, the Respondent kept sending bills rendered to both addresses to the Complainant’s </w:t>
      </w:r>
      <w:r w:rsidR="00040231">
        <w:rPr>
          <w:sz w:val="24"/>
          <w:szCs w:val="24"/>
        </w:rPr>
        <w:t xml:space="preserve">new </w:t>
      </w:r>
      <w:r w:rsidR="006D5465">
        <w:rPr>
          <w:sz w:val="24"/>
          <w:szCs w:val="24"/>
        </w:rPr>
        <w:t>address, the Stiles address.  On October 30, 2008, the Respondent received a notification from the U</w:t>
      </w:r>
      <w:r w:rsidR="007E5999">
        <w:rPr>
          <w:sz w:val="24"/>
          <w:szCs w:val="24"/>
        </w:rPr>
        <w:t>.</w:t>
      </w:r>
      <w:r w:rsidR="006D5465">
        <w:rPr>
          <w:sz w:val="24"/>
          <w:szCs w:val="24"/>
        </w:rPr>
        <w:t>S</w:t>
      </w:r>
      <w:r w:rsidR="007E5999">
        <w:rPr>
          <w:sz w:val="24"/>
          <w:szCs w:val="24"/>
        </w:rPr>
        <w:t>.</w:t>
      </w:r>
      <w:r w:rsidR="006D5465">
        <w:rPr>
          <w:sz w:val="24"/>
          <w:szCs w:val="24"/>
        </w:rPr>
        <w:t xml:space="preserve"> Post Office updating the Complainant’s address from the Venango address to the Stiles address (N.T. 14-19).  Other than this notification, the Complainant did not call it to disconnect.</w:t>
      </w:r>
      <w:r w:rsidR="007E5999">
        <w:rPr>
          <w:sz w:val="24"/>
          <w:szCs w:val="24"/>
        </w:rPr>
        <w:t xml:space="preserve">  The Complainant actually called to disconnect the service on January 23, 2009.</w:t>
      </w:r>
    </w:p>
    <w:p w:rsidR="007E5999" w:rsidRDefault="007E5999" w:rsidP="00566A3E">
      <w:pPr>
        <w:pStyle w:val="BodyText"/>
        <w:tabs>
          <w:tab w:val="left" w:pos="-720"/>
        </w:tabs>
        <w:suppressAutoHyphens/>
        <w:rPr>
          <w:sz w:val="24"/>
          <w:szCs w:val="24"/>
        </w:rPr>
      </w:pPr>
    </w:p>
    <w:p w:rsidR="007E5999" w:rsidRDefault="007E5999" w:rsidP="00566A3E">
      <w:pPr>
        <w:pStyle w:val="BodyText"/>
        <w:tabs>
          <w:tab w:val="left" w:pos="-720"/>
        </w:tabs>
        <w:suppressAutoHyphens/>
        <w:rPr>
          <w:sz w:val="24"/>
          <w:szCs w:val="24"/>
        </w:rPr>
      </w:pPr>
      <w:r>
        <w:rPr>
          <w:sz w:val="24"/>
          <w:szCs w:val="24"/>
        </w:rPr>
        <w:tab/>
      </w:r>
      <w:r>
        <w:rPr>
          <w:sz w:val="24"/>
          <w:szCs w:val="24"/>
        </w:rPr>
        <w:tab/>
        <w:t xml:space="preserve">The Complainant testified that he previously lived at the Venango address before moving to the Stiles address, and that some time in September 2008, he told the Respondent that he wanted the service to be transferred from the </w:t>
      </w:r>
      <w:r w:rsidR="007569EE">
        <w:rPr>
          <w:sz w:val="24"/>
          <w:szCs w:val="24"/>
        </w:rPr>
        <w:t>Venango</w:t>
      </w:r>
      <w:r>
        <w:rPr>
          <w:sz w:val="24"/>
          <w:szCs w:val="24"/>
        </w:rPr>
        <w:t xml:space="preserve"> to the </w:t>
      </w:r>
      <w:r w:rsidR="007569EE">
        <w:rPr>
          <w:sz w:val="24"/>
          <w:szCs w:val="24"/>
        </w:rPr>
        <w:t>Stiles address</w:t>
      </w:r>
      <w:r>
        <w:rPr>
          <w:sz w:val="24"/>
          <w:szCs w:val="24"/>
        </w:rPr>
        <w:t>.  He</w:t>
      </w:r>
      <w:r w:rsidR="007569EE">
        <w:rPr>
          <w:sz w:val="24"/>
          <w:szCs w:val="24"/>
        </w:rPr>
        <w:t xml:space="preserve"> also testified that he</w:t>
      </w:r>
      <w:r>
        <w:rPr>
          <w:sz w:val="24"/>
          <w:szCs w:val="24"/>
        </w:rPr>
        <w:t xml:space="preserve"> never told the Respondent that he would have to call it back in order for the Respondent to shut off the service at the Venango address.  There was no reason for him to keep the service at two different places (N.T. 5-9).</w:t>
      </w:r>
    </w:p>
    <w:p w:rsidR="005C3D62" w:rsidRDefault="005C3D62" w:rsidP="00566A3E">
      <w:pPr>
        <w:pStyle w:val="BodyText"/>
        <w:tabs>
          <w:tab w:val="left" w:pos="-720"/>
        </w:tabs>
        <w:suppressAutoHyphens/>
        <w:rPr>
          <w:sz w:val="24"/>
          <w:szCs w:val="24"/>
        </w:rPr>
      </w:pPr>
    </w:p>
    <w:p w:rsidR="006D5465" w:rsidRDefault="006D5465" w:rsidP="00566A3E">
      <w:pPr>
        <w:pStyle w:val="BodyText"/>
        <w:tabs>
          <w:tab w:val="left" w:pos="-720"/>
        </w:tabs>
        <w:suppressAutoHyphens/>
        <w:rPr>
          <w:sz w:val="24"/>
          <w:szCs w:val="24"/>
        </w:rPr>
      </w:pPr>
      <w:r>
        <w:rPr>
          <w:sz w:val="24"/>
          <w:szCs w:val="24"/>
        </w:rPr>
        <w:tab/>
      </w:r>
      <w:r>
        <w:rPr>
          <w:sz w:val="24"/>
          <w:szCs w:val="24"/>
        </w:rPr>
        <w:tab/>
      </w:r>
      <w:r w:rsidR="007E5999">
        <w:rPr>
          <w:sz w:val="24"/>
          <w:szCs w:val="24"/>
        </w:rPr>
        <w:t xml:space="preserve">Apparently, the Complainant did not give the Respondent an actual notice that he wished his service at the Venango address to be terminated.  </w:t>
      </w:r>
    </w:p>
    <w:p w:rsidR="006D5465" w:rsidRDefault="006D5465" w:rsidP="00566A3E">
      <w:pPr>
        <w:pStyle w:val="BodyText"/>
        <w:tabs>
          <w:tab w:val="left" w:pos="-720"/>
        </w:tabs>
        <w:suppressAutoHyphens/>
        <w:rPr>
          <w:sz w:val="24"/>
          <w:szCs w:val="24"/>
        </w:rPr>
      </w:pPr>
    </w:p>
    <w:p w:rsidR="006D5465" w:rsidRDefault="006D5465" w:rsidP="00566A3E">
      <w:pPr>
        <w:pStyle w:val="BodyText"/>
        <w:tabs>
          <w:tab w:val="left" w:pos="-720"/>
        </w:tabs>
        <w:suppressAutoHyphens/>
        <w:rPr>
          <w:sz w:val="24"/>
          <w:szCs w:val="24"/>
        </w:rPr>
      </w:pPr>
      <w:r>
        <w:rPr>
          <w:sz w:val="24"/>
          <w:szCs w:val="24"/>
        </w:rPr>
        <w:tab/>
      </w:r>
      <w:r>
        <w:rPr>
          <w:sz w:val="24"/>
          <w:szCs w:val="24"/>
        </w:rPr>
        <w:tab/>
      </w:r>
      <w:r w:rsidR="00040231">
        <w:rPr>
          <w:sz w:val="24"/>
          <w:szCs w:val="24"/>
        </w:rPr>
        <w:t>A</w:t>
      </w:r>
      <w:r w:rsidR="00A73572">
        <w:rPr>
          <w:sz w:val="24"/>
          <w:szCs w:val="24"/>
        </w:rPr>
        <w:t xml:space="preserve"> notice may be oral or written.  It may be given directly or is presumed to have received </w:t>
      </w:r>
      <w:r w:rsidR="001601B8">
        <w:rPr>
          <w:sz w:val="24"/>
          <w:szCs w:val="24"/>
        </w:rPr>
        <w:t>personally</w:t>
      </w:r>
      <w:r w:rsidR="00A73572">
        <w:rPr>
          <w:sz w:val="24"/>
          <w:szCs w:val="24"/>
        </w:rPr>
        <w:t xml:space="preserve">.  In </w:t>
      </w:r>
      <w:r w:rsidR="00A73572">
        <w:rPr>
          <w:sz w:val="24"/>
          <w:szCs w:val="24"/>
          <w:u w:val="single"/>
        </w:rPr>
        <w:t>City of Pittsburgh v. Duquesne Light Company</w:t>
      </w:r>
      <w:r w:rsidR="00A73572">
        <w:rPr>
          <w:sz w:val="24"/>
          <w:szCs w:val="24"/>
        </w:rPr>
        <w:t>, 54 Pa.PUC 460</w:t>
      </w:r>
      <w:r w:rsidR="001601B8">
        <w:rPr>
          <w:sz w:val="24"/>
          <w:szCs w:val="24"/>
        </w:rPr>
        <w:t>, 463</w:t>
      </w:r>
      <w:r w:rsidR="00A73572">
        <w:rPr>
          <w:sz w:val="24"/>
          <w:szCs w:val="24"/>
        </w:rPr>
        <w:t xml:space="preserve"> (1980), the Commission has</w:t>
      </w:r>
      <w:r w:rsidR="00365AAD">
        <w:rPr>
          <w:sz w:val="24"/>
          <w:szCs w:val="24"/>
        </w:rPr>
        <w:t xml:space="preserve"> construed Section 1303 of the Public Utility Code, 66 Pa.C.S. </w:t>
      </w:r>
      <w:r w:rsidR="00365AAD" w:rsidRPr="00365AAD">
        <w:rPr>
          <w:sz w:val="24"/>
          <w:szCs w:val="24"/>
        </w:rPr>
        <w:t>§</w:t>
      </w:r>
      <w:r w:rsidR="00365AAD">
        <w:rPr>
          <w:sz w:val="24"/>
          <w:szCs w:val="24"/>
        </w:rPr>
        <w:t>1303, as requiring a patron to give a public utility an actual notice before the utility is under a duty to apply the rate most advantageous to the patron.  It</w:t>
      </w:r>
      <w:r w:rsidR="00A73572">
        <w:rPr>
          <w:sz w:val="24"/>
          <w:szCs w:val="24"/>
        </w:rPr>
        <w:t xml:space="preserve"> defined the term “notice” to include:</w:t>
      </w:r>
    </w:p>
    <w:p w:rsidR="00A73572" w:rsidRDefault="00A73572" w:rsidP="00566A3E">
      <w:pPr>
        <w:pStyle w:val="BodyText"/>
        <w:tabs>
          <w:tab w:val="left" w:pos="-720"/>
        </w:tabs>
        <w:suppressAutoHyphens/>
        <w:rPr>
          <w:sz w:val="24"/>
          <w:szCs w:val="24"/>
        </w:rPr>
      </w:pPr>
    </w:p>
    <w:p w:rsidR="00A73572" w:rsidRDefault="00A73572" w:rsidP="00A73572">
      <w:pPr>
        <w:pStyle w:val="BodyText"/>
        <w:tabs>
          <w:tab w:val="left" w:pos="-720"/>
        </w:tabs>
        <w:suppressAutoHyphens/>
        <w:spacing w:line="240" w:lineRule="auto"/>
        <w:ind w:left="1440" w:right="1440"/>
        <w:rPr>
          <w:sz w:val="24"/>
          <w:szCs w:val="24"/>
        </w:rPr>
      </w:pPr>
      <w:r>
        <w:rPr>
          <w:sz w:val="24"/>
          <w:szCs w:val="24"/>
        </w:rPr>
        <w:t>. . . such notice as is affirmatively proved to have been given to a party directly, and also such notice as a party is presumed to have received personally because facts within its knowledge were sufficient to place upon the party the duty to inquire about the fact or condition in question.  The former is to express actual notice – e.g. written or oral notice – and the latter is implied actual notice.</w:t>
      </w:r>
    </w:p>
    <w:p w:rsidR="007569EE" w:rsidRDefault="007569EE" w:rsidP="001601B8">
      <w:pPr>
        <w:pStyle w:val="BodyText"/>
        <w:tabs>
          <w:tab w:val="left" w:pos="-720"/>
        </w:tabs>
        <w:suppressAutoHyphens/>
        <w:rPr>
          <w:sz w:val="24"/>
          <w:szCs w:val="24"/>
        </w:rPr>
      </w:pPr>
      <w:r>
        <w:rPr>
          <w:sz w:val="24"/>
          <w:szCs w:val="24"/>
        </w:rPr>
        <w:lastRenderedPageBreak/>
        <w:tab/>
      </w:r>
      <w:r>
        <w:rPr>
          <w:sz w:val="24"/>
          <w:szCs w:val="24"/>
        </w:rPr>
        <w:tab/>
        <w:t xml:space="preserve">I believe that if a ratepayer must give a utility notice that the ratepayer is about to vacate premises or that the ratepayer wishes to have service discontinued, a utility must </w:t>
      </w:r>
      <w:r w:rsidR="000950BC">
        <w:rPr>
          <w:sz w:val="24"/>
          <w:szCs w:val="24"/>
        </w:rPr>
        <w:t>likewise</w:t>
      </w:r>
      <w:r>
        <w:rPr>
          <w:sz w:val="24"/>
          <w:szCs w:val="24"/>
        </w:rPr>
        <w:t xml:space="preserve"> have a duty to investigate whether a ratepayer wishes to have more than one service.</w:t>
      </w:r>
    </w:p>
    <w:p w:rsidR="007569EE" w:rsidRDefault="007569EE" w:rsidP="001601B8">
      <w:pPr>
        <w:pStyle w:val="BodyText"/>
        <w:tabs>
          <w:tab w:val="left" w:pos="-720"/>
        </w:tabs>
        <w:suppressAutoHyphens/>
        <w:rPr>
          <w:sz w:val="24"/>
          <w:szCs w:val="24"/>
        </w:rPr>
      </w:pPr>
    </w:p>
    <w:p w:rsidR="00365AAD" w:rsidRPr="00365AAD" w:rsidRDefault="00365AAD" w:rsidP="001601B8">
      <w:pPr>
        <w:pStyle w:val="BodyText"/>
        <w:tabs>
          <w:tab w:val="left" w:pos="-720"/>
        </w:tabs>
        <w:suppressAutoHyphens/>
        <w:rPr>
          <w:sz w:val="24"/>
          <w:szCs w:val="24"/>
        </w:rPr>
      </w:pPr>
      <w:r>
        <w:rPr>
          <w:sz w:val="24"/>
          <w:szCs w:val="24"/>
        </w:rPr>
        <w:tab/>
      </w:r>
      <w:r>
        <w:rPr>
          <w:sz w:val="24"/>
          <w:szCs w:val="24"/>
        </w:rPr>
        <w:tab/>
        <w:t xml:space="preserve">In </w:t>
      </w:r>
      <w:r>
        <w:rPr>
          <w:sz w:val="24"/>
          <w:szCs w:val="24"/>
          <w:u w:val="single"/>
        </w:rPr>
        <w:t>Ueberroth v. PPL Utilities</w:t>
      </w:r>
      <w:r>
        <w:rPr>
          <w:sz w:val="24"/>
          <w:szCs w:val="24"/>
        </w:rPr>
        <w:t xml:space="preserve"> (Complaint Appellant), Docket No. 00014873, (ID June 27, 2001), ad</w:t>
      </w:r>
      <w:r w:rsidR="00DB4504">
        <w:rPr>
          <w:sz w:val="24"/>
          <w:szCs w:val="24"/>
        </w:rPr>
        <w:t>op</w:t>
      </w:r>
      <w:r>
        <w:rPr>
          <w:sz w:val="24"/>
          <w:szCs w:val="24"/>
        </w:rPr>
        <w:t xml:space="preserve">ted without further Commission action (Pa. PUC Final Order August 6, 2001), I had an opportunity to apply the Commission definition of </w:t>
      </w:r>
      <w:r w:rsidR="000950BC">
        <w:rPr>
          <w:sz w:val="24"/>
          <w:szCs w:val="24"/>
        </w:rPr>
        <w:t>“</w:t>
      </w:r>
      <w:r>
        <w:rPr>
          <w:sz w:val="24"/>
          <w:szCs w:val="24"/>
        </w:rPr>
        <w:t>notice</w:t>
      </w:r>
      <w:r w:rsidR="000950BC">
        <w:rPr>
          <w:sz w:val="24"/>
          <w:szCs w:val="24"/>
        </w:rPr>
        <w:t>”</w:t>
      </w:r>
      <w:r>
        <w:rPr>
          <w:sz w:val="24"/>
          <w:szCs w:val="24"/>
        </w:rPr>
        <w:t xml:space="preserve"> to a ratepayer’s notice of service disconnection under 52 Pa. Code </w:t>
      </w:r>
      <w:r w:rsidRPr="00365AAD">
        <w:rPr>
          <w:sz w:val="24"/>
          <w:szCs w:val="24"/>
        </w:rPr>
        <w:t>§</w:t>
      </w:r>
      <w:r>
        <w:rPr>
          <w:sz w:val="24"/>
          <w:szCs w:val="24"/>
        </w:rPr>
        <w:t xml:space="preserve">56.16.  </w:t>
      </w:r>
      <w:r w:rsidR="000E55BC">
        <w:rPr>
          <w:sz w:val="24"/>
          <w:szCs w:val="24"/>
        </w:rPr>
        <w:t xml:space="preserve">In </w:t>
      </w:r>
      <w:r w:rsidR="000E55BC">
        <w:rPr>
          <w:sz w:val="24"/>
          <w:szCs w:val="24"/>
          <w:u w:val="single"/>
        </w:rPr>
        <w:t>Ueberroth</w:t>
      </w:r>
      <w:r w:rsidR="000E55BC">
        <w:rPr>
          <w:sz w:val="24"/>
          <w:szCs w:val="24"/>
        </w:rPr>
        <w:t xml:space="preserve">, the facts that trigger the respondent’s duty to investigate were Ms. Ueberroth’s two addresses, and her </w:t>
      </w:r>
      <w:r w:rsidR="000950BC">
        <w:rPr>
          <w:sz w:val="24"/>
          <w:szCs w:val="24"/>
        </w:rPr>
        <w:t>request of</w:t>
      </w:r>
      <w:r w:rsidR="000E55BC">
        <w:rPr>
          <w:sz w:val="24"/>
          <w:szCs w:val="24"/>
        </w:rPr>
        <w:t xml:space="preserve"> the postal service to forward her mail by sending a change-of-address card.  </w:t>
      </w:r>
      <w:r w:rsidR="007A4345">
        <w:rPr>
          <w:sz w:val="24"/>
          <w:szCs w:val="24"/>
        </w:rPr>
        <w:t xml:space="preserve">That </w:t>
      </w:r>
      <w:r w:rsidR="0027742F">
        <w:rPr>
          <w:sz w:val="24"/>
          <w:szCs w:val="24"/>
        </w:rPr>
        <w:t>Ms. Ueberroth</w:t>
      </w:r>
      <w:r w:rsidR="00210379">
        <w:rPr>
          <w:sz w:val="24"/>
          <w:szCs w:val="24"/>
        </w:rPr>
        <w:t xml:space="preserve"> </w:t>
      </w:r>
      <w:r w:rsidR="00DB4504">
        <w:rPr>
          <w:sz w:val="24"/>
          <w:szCs w:val="24"/>
        </w:rPr>
        <w:t>had no problems receiving he</w:t>
      </w:r>
      <w:r w:rsidR="0027742F">
        <w:rPr>
          <w:sz w:val="24"/>
          <w:szCs w:val="24"/>
        </w:rPr>
        <w:t>r</w:t>
      </w:r>
      <w:r w:rsidR="00DB4504">
        <w:rPr>
          <w:sz w:val="24"/>
          <w:szCs w:val="24"/>
        </w:rPr>
        <w:t xml:space="preserve"> </w:t>
      </w:r>
      <w:r w:rsidR="000950BC">
        <w:rPr>
          <w:sz w:val="24"/>
          <w:szCs w:val="24"/>
        </w:rPr>
        <w:t xml:space="preserve">current </w:t>
      </w:r>
      <w:r w:rsidR="00DB4504">
        <w:rPr>
          <w:sz w:val="24"/>
          <w:szCs w:val="24"/>
        </w:rPr>
        <w:t>mail</w:t>
      </w:r>
      <w:r w:rsidR="0027742F">
        <w:rPr>
          <w:sz w:val="24"/>
          <w:szCs w:val="24"/>
        </w:rPr>
        <w:t xml:space="preserve"> indicated the Respondent also received Ms. </w:t>
      </w:r>
      <w:r w:rsidR="000E55BC">
        <w:rPr>
          <w:sz w:val="24"/>
          <w:szCs w:val="24"/>
        </w:rPr>
        <w:t>Ueberroth’s</w:t>
      </w:r>
      <w:r w:rsidR="0027742F">
        <w:rPr>
          <w:sz w:val="24"/>
          <w:szCs w:val="24"/>
        </w:rPr>
        <w:t xml:space="preserve"> change of address</w:t>
      </w:r>
      <w:r w:rsidR="00DB4504">
        <w:rPr>
          <w:sz w:val="24"/>
          <w:szCs w:val="24"/>
        </w:rPr>
        <w:t>.  The Commission</w:t>
      </w:r>
      <w:r w:rsidR="0027742F">
        <w:rPr>
          <w:sz w:val="24"/>
          <w:szCs w:val="24"/>
        </w:rPr>
        <w:t xml:space="preserve"> adopted this duty concept, and</w:t>
      </w:r>
      <w:r w:rsidR="00DB4504">
        <w:rPr>
          <w:sz w:val="24"/>
          <w:szCs w:val="24"/>
        </w:rPr>
        <w:t xml:space="preserve"> imposed </w:t>
      </w:r>
      <w:r w:rsidR="0027742F">
        <w:rPr>
          <w:sz w:val="24"/>
          <w:szCs w:val="24"/>
        </w:rPr>
        <w:t xml:space="preserve">on PPL </w:t>
      </w:r>
      <w:r w:rsidR="00DB4504">
        <w:rPr>
          <w:sz w:val="24"/>
          <w:szCs w:val="24"/>
        </w:rPr>
        <w:t xml:space="preserve">a duty to inquire about whether </w:t>
      </w:r>
      <w:r w:rsidR="0027742F">
        <w:rPr>
          <w:sz w:val="24"/>
          <w:szCs w:val="24"/>
        </w:rPr>
        <w:t xml:space="preserve">Ms. </w:t>
      </w:r>
      <w:r w:rsidR="000E55BC">
        <w:rPr>
          <w:sz w:val="24"/>
          <w:szCs w:val="24"/>
        </w:rPr>
        <w:t>Ueberroth</w:t>
      </w:r>
      <w:r w:rsidR="0027742F">
        <w:rPr>
          <w:sz w:val="24"/>
          <w:szCs w:val="24"/>
        </w:rPr>
        <w:t xml:space="preserve"> wished to have </w:t>
      </w:r>
      <w:r w:rsidR="00DB4504">
        <w:rPr>
          <w:sz w:val="24"/>
          <w:szCs w:val="24"/>
        </w:rPr>
        <w:t xml:space="preserve">her service discontinued at her old address or </w:t>
      </w:r>
      <w:r w:rsidR="003F473D">
        <w:rPr>
          <w:sz w:val="24"/>
          <w:szCs w:val="24"/>
        </w:rPr>
        <w:t xml:space="preserve">wished to </w:t>
      </w:r>
      <w:r w:rsidR="00DB4504">
        <w:rPr>
          <w:sz w:val="24"/>
          <w:szCs w:val="24"/>
        </w:rPr>
        <w:t xml:space="preserve">maintain service at both addresses.  </w:t>
      </w:r>
    </w:p>
    <w:p w:rsidR="00365AAD" w:rsidRDefault="00365AAD" w:rsidP="001601B8">
      <w:pPr>
        <w:pStyle w:val="BodyText"/>
        <w:tabs>
          <w:tab w:val="left" w:pos="-720"/>
        </w:tabs>
        <w:suppressAutoHyphens/>
        <w:rPr>
          <w:sz w:val="24"/>
          <w:szCs w:val="24"/>
        </w:rPr>
      </w:pPr>
    </w:p>
    <w:p w:rsidR="00A73572" w:rsidRPr="00A73572" w:rsidRDefault="001601B8" w:rsidP="001601B8">
      <w:pPr>
        <w:pStyle w:val="BodyText"/>
        <w:tabs>
          <w:tab w:val="left" w:pos="-720"/>
        </w:tabs>
        <w:suppressAutoHyphens/>
        <w:rPr>
          <w:sz w:val="24"/>
          <w:szCs w:val="24"/>
        </w:rPr>
      </w:pPr>
      <w:r>
        <w:rPr>
          <w:sz w:val="24"/>
          <w:szCs w:val="24"/>
        </w:rPr>
        <w:tab/>
      </w:r>
      <w:r>
        <w:rPr>
          <w:sz w:val="24"/>
          <w:szCs w:val="24"/>
        </w:rPr>
        <w:tab/>
      </w:r>
      <w:r w:rsidR="00210379">
        <w:rPr>
          <w:sz w:val="24"/>
          <w:szCs w:val="24"/>
        </w:rPr>
        <w:t>Here, t</w:t>
      </w:r>
      <w:r>
        <w:rPr>
          <w:sz w:val="24"/>
          <w:szCs w:val="24"/>
        </w:rPr>
        <w:t>he Complainant did not actually convey to the Respondent his desire to have his service discontinued at the Venango address, but, on October 30, 2008, the Respondent received an update from the U.S. Postal Service on the Complainant’s addresses</w:t>
      </w:r>
      <w:r w:rsidR="00A43274">
        <w:rPr>
          <w:sz w:val="24"/>
          <w:szCs w:val="24"/>
        </w:rPr>
        <w:t>.  T</w:t>
      </w:r>
      <w:r>
        <w:rPr>
          <w:sz w:val="24"/>
          <w:szCs w:val="24"/>
        </w:rPr>
        <w:t xml:space="preserve">his </w:t>
      </w:r>
      <w:r w:rsidR="000F6479">
        <w:rPr>
          <w:sz w:val="24"/>
          <w:szCs w:val="24"/>
        </w:rPr>
        <w:t xml:space="preserve">update was sufficient to place upon the Respondent the duty to inquire about the fact or condition in question.  </w:t>
      </w:r>
      <w:r w:rsidR="003F473D">
        <w:rPr>
          <w:sz w:val="24"/>
          <w:szCs w:val="24"/>
        </w:rPr>
        <w:t>The fact or condition in question is that h</w:t>
      </w:r>
      <w:r w:rsidR="000F6479">
        <w:rPr>
          <w:sz w:val="24"/>
          <w:szCs w:val="24"/>
        </w:rPr>
        <w:t xml:space="preserve">ad the Respondent made this inquiry, it should have known that the Complainant wished to have his service terminated on October 30, 2008.  </w:t>
      </w:r>
      <w:r w:rsidR="00210379">
        <w:rPr>
          <w:sz w:val="24"/>
          <w:szCs w:val="24"/>
        </w:rPr>
        <w:t>T</w:t>
      </w:r>
      <w:r w:rsidR="000F6479">
        <w:rPr>
          <w:sz w:val="24"/>
          <w:szCs w:val="24"/>
        </w:rPr>
        <w:t>he Complainant did not give the Respondent a written or oral notice but an implied actual notice.</w:t>
      </w:r>
    </w:p>
    <w:p w:rsidR="00566A3E" w:rsidRPr="00566A3E" w:rsidRDefault="00566A3E" w:rsidP="00566A3E">
      <w:pPr>
        <w:pStyle w:val="BodyText"/>
        <w:tabs>
          <w:tab w:val="left" w:pos="-720"/>
        </w:tabs>
        <w:suppressAutoHyphens/>
        <w:rPr>
          <w:sz w:val="24"/>
          <w:szCs w:val="24"/>
        </w:rPr>
      </w:pPr>
    </w:p>
    <w:p w:rsidR="00566A3E" w:rsidRPr="00566A3E" w:rsidRDefault="00566A3E" w:rsidP="00566A3E">
      <w:pPr>
        <w:pStyle w:val="Heading1"/>
        <w:tabs>
          <w:tab w:val="left" w:pos="-720"/>
        </w:tabs>
        <w:suppressAutoHyphens/>
        <w:spacing w:line="360" w:lineRule="auto"/>
        <w:rPr>
          <w:sz w:val="24"/>
          <w:szCs w:val="24"/>
          <w:u w:val="none"/>
        </w:rPr>
      </w:pPr>
      <w:r w:rsidRPr="00566A3E">
        <w:rPr>
          <w:sz w:val="24"/>
          <w:szCs w:val="24"/>
        </w:rPr>
        <w:t>CONCLUSION OF LAW</w:t>
      </w:r>
    </w:p>
    <w:p w:rsidR="00566A3E" w:rsidRPr="00566A3E" w:rsidRDefault="00566A3E" w:rsidP="00566A3E">
      <w:pPr>
        <w:spacing w:line="360" w:lineRule="auto"/>
        <w:rPr>
          <w:szCs w:val="24"/>
        </w:rPr>
      </w:pPr>
    </w:p>
    <w:p w:rsidR="00566A3E" w:rsidRDefault="00566A3E" w:rsidP="00566A3E">
      <w:pPr>
        <w:pStyle w:val="BodyText"/>
        <w:rPr>
          <w:sz w:val="24"/>
          <w:szCs w:val="24"/>
        </w:rPr>
      </w:pPr>
      <w:r w:rsidRPr="00566A3E">
        <w:rPr>
          <w:sz w:val="24"/>
          <w:szCs w:val="24"/>
        </w:rPr>
        <w:tab/>
      </w:r>
      <w:r w:rsidRPr="00566A3E">
        <w:rPr>
          <w:sz w:val="24"/>
          <w:szCs w:val="24"/>
        </w:rPr>
        <w:tab/>
      </w:r>
      <w:r w:rsidR="00C80A52">
        <w:rPr>
          <w:sz w:val="24"/>
          <w:szCs w:val="24"/>
        </w:rPr>
        <w:t>1.</w:t>
      </w:r>
      <w:r w:rsidR="00C80A52">
        <w:rPr>
          <w:sz w:val="24"/>
          <w:szCs w:val="24"/>
        </w:rPr>
        <w:tab/>
      </w:r>
      <w:r w:rsidRPr="00566A3E">
        <w:rPr>
          <w:sz w:val="24"/>
          <w:szCs w:val="24"/>
        </w:rPr>
        <w:t>The Commission has jurisdiction over the parties and the subject matter of this dispute.</w:t>
      </w:r>
    </w:p>
    <w:p w:rsidR="00C80A52" w:rsidRDefault="00C80A52" w:rsidP="00566A3E">
      <w:pPr>
        <w:pStyle w:val="BodyText"/>
        <w:rPr>
          <w:sz w:val="24"/>
          <w:szCs w:val="24"/>
        </w:rPr>
      </w:pPr>
    </w:p>
    <w:p w:rsidR="00C80A52" w:rsidRPr="000950BC" w:rsidRDefault="00C80A52" w:rsidP="00566A3E">
      <w:pPr>
        <w:pStyle w:val="BodyText"/>
        <w:rPr>
          <w:sz w:val="24"/>
          <w:szCs w:val="24"/>
        </w:rPr>
      </w:pPr>
      <w:r>
        <w:rPr>
          <w:sz w:val="24"/>
          <w:szCs w:val="24"/>
        </w:rPr>
        <w:tab/>
      </w:r>
      <w:r>
        <w:rPr>
          <w:sz w:val="24"/>
          <w:szCs w:val="24"/>
        </w:rPr>
        <w:tab/>
        <w:t>2.</w:t>
      </w:r>
      <w:r>
        <w:rPr>
          <w:sz w:val="24"/>
          <w:szCs w:val="24"/>
        </w:rPr>
        <w:tab/>
        <w:t xml:space="preserve">The Complainant has given </w:t>
      </w:r>
      <w:r w:rsidR="00A43274">
        <w:rPr>
          <w:sz w:val="24"/>
          <w:szCs w:val="24"/>
        </w:rPr>
        <w:t xml:space="preserve">the Respondent an </w:t>
      </w:r>
      <w:r>
        <w:rPr>
          <w:sz w:val="24"/>
          <w:szCs w:val="24"/>
        </w:rPr>
        <w:t xml:space="preserve">implied actual notice that he </w:t>
      </w:r>
      <w:r w:rsidR="000F6479">
        <w:rPr>
          <w:sz w:val="24"/>
          <w:szCs w:val="24"/>
        </w:rPr>
        <w:t>wished</w:t>
      </w:r>
      <w:r>
        <w:rPr>
          <w:sz w:val="24"/>
          <w:szCs w:val="24"/>
        </w:rPr>
        <w:t xml:space="preserve"> to have his service terminated at 1425 W. Venango Street, Philadelphia, Pennsylvania </w:t>
      </w:r>
      <w:r>
        <w:rPr>
          <w:sz w:val="24"/>
          <w:szCs w:val="24"/>
        </w:rPr>
        <w:lastRenderedPageBreak/>
        <w:t>on October 30, 2008.</w:t>
      </w:r>
      <w:r w:rsidR="000950BC">
        <w:rPr>
          <w:sz w:val="24"/>
          <w:szCs w:val="24"/>
        </w:rPr>
        <w:t xml:space="preserve">  </w:t>
      </w:r>
      <w:proofErr w:type="gramStart"/>
      <w:r w:rsidR="000950BC">
        <w:rPr>
          <w:sz w:val="24"/>
          <w:szCs w:val="24"/>
          <w:u w:val="single"/>
        </w:rPr>
        <w:t>See</w:t>
      </w:r>
      <w:r w:rsidR="000950BC">
        <w:rPr>
          <w:sz w:val="24"/>
          <w:szCs w:val="24"/>
        </w:rPr>
        <w:t xml:space="preserve">, </w:t>
      </w:r>
      <w:r w:rsidR="000950BC">
        <w:rPr>
          <w:sz w:val="24"/>
          <w:szCs w:val="24"/>
          <w:u w:val="single"/>
        </w:rPr>
        <w:t>Ueborroth v. PPL Utilities</w:t>
      </w:r>
      <w:r w:rsidR="000950BC">
        <w:rPr>
          <w:sz w:val="24"/>
          <w:szCs w:val="24"/>
        </w:rPr>
        <w:t xml:space="preserve"> (Complaint Appellant), Docket No. 00014873, (ID June 27, 2001), adopted without further Commission action (Pa. PUC Final Order August 6, 2001).</w:t>
      </w:r>
      <w:proofErr w:type="gramEnd"/>
    </w:p>
    <w:p w:rsidR="00F56FBA" w:rsidRDefault="00F56FBA" w:rsidP="00F56FBA">
      <w:pPr>
        <w:pStyle w:val="BodyText"/>
        <w:jc w:val="center"/>
        <w:rPr>
          <w:szCs w:val="24"/>
          <w:u w:val="single"/>
        </w:rPr>
      </w:pPr>
    </w:p>
    <w:p w:rsidR="00566A3E" w:rsidRPr="00F56FBA" w:rsidRDefault="00566A3E" w:rsidP="00F56FBA">
      <w:pPr>
        <w:pStyle w:val="BodyText"/>
        <w:jc w:val="center"/>
        <w:rPr>
          <w:szCs w:val="24"/>
          <w:u w:val="single"/>
        </w:rPr>
      </w:pPr>
      <w:r w:rsidRPr="00F56FBA">
        <w:rPr>
          <w:szCs w:val="24"/>
          <w:u w:val="single"/>
        </w:rPr>
        <w:t>ORDER</w:t>
      </w:r>
    </w:p>
    <w:p w:rsidR="00566A3E" w:rsidRPr="00566A3E" w:rsidRDefault="00566A3E" w:rsidP="00566A3E">
      <w:pPr>
        <w:spacing w:line="360" w:lineRule="auto"/>
        <w:jc w:val="center"/>
        <w:rPr>
          <w:szCs w:val="24"/>
        </w:rPr>
      </w:pPr>
    </w:p>
    <w:p w:rsidR="00566A3E" w:rsidRPr="00566A3E" w:rsidRDefault="00566A3E" w:rsidP="00210379">
      <w:pPr>
        <w:pStyle w:val="Footer"/>
        <w:tabs>
          <w:tab w:val="left" w:pos="720"/>
          <w:tab w:val="left" w:pos="1440"/>
        </w:tabs>
        <w:spacing w:line="360" w:lineRule="auto"/>
        <w:rPr>
          <w:szCs w:val="24"/>
        </w:rPr>
      </w:pPr>
      <w:r w:rsidRPr="00566A3E">
        <w:rPr>
          <w:szCs w:val="24"/>
        </w:rPr>
        <w:tab/>
      </w:r>
      <w:r w:rsidR="00210379">
        <w:rPr>
          <w:szCs w:val="24"/>
        </w:rPr>
        <w:tab/>
      </w:r>
      <w:r w:rsidRPr="00566A3E">
        <w:rPr>
          <w:szCs w:val="24"/>
        </w:rPr>
        <w:t>THEREFORE,</w:t>
      </w: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r w:rsidRPr="00566A3E">
        <w:rPr>
          <w:szCs w:val="24"/>
        </w:rPr>
        <w:tab/>
      </w:r>
      <w:r w:rsidRPr="00566A3E">
        <w:rPr>
          <w:szCs w:val="24"/>
        </w:rPr>
        <w:tab/>
        <w:t>IT IS ORDERED:</w:t>
      </w:r>
    </w:p>
    <w:p w:rsidR="00566A3E" w:rsidRPr="00566A3E" w:rsidRDefault="00566A3E" w:rsidP="00566A3E">
      <w:pPr>
        <w:spacing w:line="360" w:lineRule="auto"/>
        <w:rPr>
          <w:szCs w:val="24"/>
        </w:rPr>
      </w:pPr>
    </w:p>
    <w:p w:rsidR="00566A3E" w:rsidRDefault="00566A3E" w:rsidP="00566A3E">
      <w:pPr>
        <w:spacing w:line="360" w:lineRule="auto"/>
        <w:rPr>
          <w:szCs w:val="24"/>
        </w:rPr>
      </w:pPr>
      <w:r w:rsidRPr="00566A3E">
        <w:rPr>
          <w:szCs w:val="24"/>
        </w:rPr>
        <w:tab/>
      </w:r>
      <w:r w:rsidRPr="00566A3E">
        <w:rPr>
          <w:szCs w:val="24"/>
        </w:rPr>
        <w:tab/>
        <w:t>1.</w:t>
      </w:r>
      <w:r w:rsidRPr="00566A3E">
        <w:rPr>
          <w:szCs w:val="24"/>
        </w:rPr>
        <w:tab/>
        <w:t xml:space="preserve">That the </w:t>
      </w:r>
      <w:r w:rsidR="00C80A52">
        <w:rPr>
          <w:szCs w:val="24"/>
        </w:rPr>
        <w:t>complaint of Berto Elmore against PECO Energy Company at Docket No. F-2010-2185991 is</w:t>
      </w:r>
      <w:r w:rsidR="00F56FBA">
        <w:rPr>
          <w:szCs w:val="24"/>
        </w:rPr>
        <w:t xml:space="preserve"> denied in part and</w:t>
      </w:r>
      <w:r w:rsidR="00C80A52">
        <w:rPr>
          <w:szCs w:val="24"/>
        </w:rPr>
        <w:t xml:space="preserve"> sustained in part</w:t>
      </w:r>
      <w:r w:rsidRPr="00566A3E">
        <w:rPr>
          <w:szCs w:val="24"/>
        </w:rPr>
        <w:t>.</w:t>
      </w:r>
    </w:p>
    <w:p w:rsidR="00C80A52" w:rsidRDefault="00C80A52" w:rsidP="00566A3E">
      <w:pPr>
        <w:spacing w:line="360" w:lineRule="auto"/>
        <w:rPr>
          <w:szCs w:val="24"/>
        </w:rPr>
      </w:pPr>
    </w:p>
    <w:p w:rsidR="00C80A52" w:rsidRDefault="00C80A52" w:rsidP="00566A3E">
      <w:pPr>
        <w:spacing w:line="360" w:lineRule="auto"/>
        <w:rPr>
          <w:szCs w:val="24"/>
        </w:rPr>
      </w:pPr>
      <w:r>
        <w:rPr>
          <w:szCs w:val="24"/>
        </w:rPr>
        <w:tab/>
      </w:r>
      <w:r>
        <w:rPr>
          <w:szCs w:val="24"/>
        </w:rPr>
        <w:tab/>
        <w:t>2.</w:t>
      </w:r>
      <w:r>
        <w:rPr>
          <w:szCs w:val="24"/>
        </w:rPr>
        <w:tab/>
        <w:t>That the Complainant</w:t>
      </w:r>
      <w:r w:rsidR="000F6479">
        <w:rPr>
          <w:szCs w:val="24"/>
        </w:rPr>
        <w:t xml:space="preserve"> owed the Respondent $73.58 when he lived </w:t>
      </w:r>
      <w:r w:rsidR="00A43274">
        <w:rPr>
          <w:szCs w:val="24"/>
        </w:rPr>
        <w:t xml:space="preserve">at </w:t>
      </w:r>
      <w:r>
        <w:rPr>
          <w:szCs w:val="24"/>
        </w:rPr>
        <w:t>1425 W. Venango Street, Philadelphia, Pennsylvania</w:t>
      </w:r>
      <w:r w:rsidR="007378C4">
        <w:rPr>
          <w:szCs w:val="24"/>
        </w:rPr>
        <w:t>.</w:t>
      </w:r>
    </w:p>
    <w:p w:rsidR="000C5983" w:rsidRDefault="000C5983" w:rsidP="00566A3E">
      <w:pPr>
        <w:spacing w:line="360" w:lineRule="auto"/>
        <w:rPr>
          <w:szCs w:val="24"/>
        </w:rPr>
      </w:pPr>
    </w:p>
    <w:p w:rsidR="000C5983" w:rsidRDefault="000C5983" w:rsidP="000C5983">
      <w:pPr>
        <w:tabs>
          <w:tab w:val="left" w:pos="2160"/>
        </w:tabs>
        <w:spacing w:line="360" w:lineRule="auto"/>
        <w:ind w:firstLine="1440"/>
        <w:rPr>
          <w:szCs w:val="24"/>
        </w:rPr>
      </w:pPr>
      <w:r>
        <w:rPr>
          <w:szCs w:val="24"/>
        </w:rPr>
        <w:t>3.</w:t>
      </w:r>
      <w:r>
        <w:rPr>
          <w:szCs w:val="24"/>
        </w:rPr>
        <w:tab/>
        <w:t>That the Respondent overcharged the Complainant $154.84 ($228.42 - $73.58</w:t>
      </w:r>
      <w:r w:rsidR="00477F2C">
        <w:rPr>
          <w:szCs w:val="24"/>
        </w:rPr>
        <w:t>) for the period between October 30, 2008 and January 23, 2009.</w:t>
      </w:r>
    </w:p>
    <w:p w:rsidR="007378C4" w:rsidRDefault="007378C4" w:rsidP="00566A3E">
      <w:pPr>
        <w:spacing w:line="360" w:lineRule="auto"/>
        <w:rPr>
          <w:szCs w:val="24"/>
        </w:rPr>
      </w:pPr>
    </w:p>
    <w:p w:rsidR="00C80A52" w:rsidRPr="00566A3E" w:rsidRDefault="000C5983" w:rsidP="00566A3E">
      <w:pPr>
        <w:spacing w:line="360" w:lineRule="auto"/>
        <w:rPr>
          <w:szCs w:val="24"/>
        </w:rPr>
      </w:pPr>
      <w:r>
        <w:rPr>
          <w:szCs w:val="24"/>
        </w:rPr>
        <w:tab/>
      </w:r>
      <w:r>
        <w:rPr>
          <w:szCs w:val="24"/>
        </w:rPr>
        <w:tab/>
        <w:t>4</w:t>
      </w:r>
      <w:r w:rsidR="00C80A52">
        <w:rPr>
          <w:szCs w:val="24"/>
        </w:rPr>
        <w:t>.</w:t>
      </w:r>
      <w:r w:rsidR="00C80A52">
        <w:rPr>
          <w:szCs w:val="24"/>
        </w:rPr>
        <w:tab/>
        <w:t xml:space="preserve">That the </w:t>
      </w:r>
      <w:r w:rsidR="007378C4">
        <w:rPr>
          <w:szCs w:val="24"/>
        </w:rPr>
        <w:t>Respondent</w:t>
      </w:r>
      <w:r w:rsidR="00C80A52">
        <w:rPr>
          <w:szCs w:val="24"/>
        </w:rPr>
        <w:t xml:space="preserve"> shall </w:t>
      </w:r>
      <w:r w:rsidR="007378C4">
        <w:rPr>
          <w:szCs w:val="24"/>
        </w:rPr>
        <w:t>credit</w:t>
      </w:r>
      <w:r w:rsidR="00F56FBA">
        <w:rPr>
          <w:szCs w:val="24"/>
        </w:rPr>
        <w:t xml:space="preserve"> the amount of overcharge of</w:t>
      </w:r>
      <w:r w:rsidR="007378C4">
        <w:rPr>
          <w:szCs w:val="24"/>
        </w:rPr>
        <w:t xml:space="preserve"> $</w:t>
      </w:r>
      <w:r w:rsidR="00F56FBA">
        <w:rPr>
          <w:szCs w:val="24"/>
        </w:rPr>
        <w:t>154.84</w:t>
      </w:r>
      <w:r w:rsidR="007378C4">
        <w:rPr>
          <w:szCs w:val="24"/>
        </w:rPr>
        <w:t xml:space="preserve"> to the Complainant’s account</w:t>
      </w:r>
      <w:r w:rsidR="00F56FBA">
        <w:rPr>
          <w:szCs w:val="24"/>
        </w:rPr>
        <w:t xml:space="preserve"> within 20 days of the Commission’s Final Order</w:t>
      </w:r>
      <w:r w:rsidR="007378C4">
        <w:rPr>
          <w:szCs w:val="24"/>
        </w:rPr>
        <w:t>.</w:t>
      </w: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p>
    <w:p w:rsidR="00566A3E" w:rsidRPr="00566A3E" w:rsidRDefault="00566A3E" w:rsidP="00566A3E">
      <w:pPr>
        <w:spacing w:line="360" w:lineRule="auto"/>
        <w:rPr>
          <w:szCs w:val="24"/>
        </w:rPr>
      </w:pPr>
    </w:p>
    <w:p w:rsidR="00566A3E" w:rsidRPr="00566A3E" w:rsidRDefault="003A6846" w:rsidP="00566A3E">
      <w:pPr>
        <w:rPr>
          <w:szCs w:val="24"/>
        </w:rPr>
      </w:pPr>
      <w:r>
        <w:rPr>
          <w:szCs w:val="24"/>
        </w:rPr>
        <w:t xml:space="preserve">Date: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u w:val="single"/>
        </w:rPr>
        <w:t xml:space="preserve">      January 5, 2011      </w:t>
      </w:r>
      <w:r w:rsidR="00566A3E" w:rsidRPr="00566A3E">
        <w:rPr>
          <w:szCs w:val="24"/>
        </w:rPr>
        <w:tab/>
      </w:r>
      <w:r w:rsidR="00566A3E" w:rsidRPr="00566A3E">
        <w:rPr>
          <w:szCs w:val="24"/>
        </w:rPr>
        <w:tab/>
      </w:r>
      <w:r w:rsidR="00C80A52">
        <w:rPr>
          <w:szCs w:val="24"/>
        </w:rPr>
        <w:tab/>
      </w:r>
      <w:r w:rsidR="00566A3E" w:rsidRPr="00566A3E">
        <w:rPr>
          <w:szCs w:val="24"/>
        </w:rPr>
        <w:t>____________________________________</w:t>
      </w:r>
    </w:p>
    <w:p w:rsidR="00566A3E" w:rsidRPr="00566A3E" w:rsidRDefault="00C80A52" w:rsidP="00566A3E">
      <w:pPr>
        <w:rPr>
          <w:szCs w:val="24"/>
        </w:rPr>
      </w:pPr>
      <w:r>
        <w:rPr>
          <w:szCs w:val="24"/>
        </w:rPr>
        <w:tab/>
      </w:r>
      <w:r w:rsidR="00566A3E" w:rsidRPr="00566A3E">
        <w:rPr>
          <w:szCs w:val="24"/>
        </w:rPr>
        <w:tab/>
      </w:r>
      <w:r w:rsidR="00566A3E" w:rsidRPr="00566A3E">
        <w:rPr>
          <w:szCs w:val="24"/>
        </w:rPr>
        <w:tab/>
      </w:r>
      <w:r w:rsidR="00566A3E" w:rsidRPr="00566A3E">
        <w:rPr>
          <w:szCs w:val="24"/>
        </w:rPr>
        <w:tab/>
      </w:r>
      <w:r w:rsidR="00566A3E" w:rsidRPr="00566A3E">
        <w:rPr>
          <w:szCs w:val="24"/>
        </w:rPr>
        <w:tab/>
      </w:r>
      <w:r w:rsidR="00566A3E" w:rsidRPr="00566A3E">
        <w:rPr>
          <w:szCs w:val="24"/>
        </w:rPr>
        <w:tab/>
      </w:r>
      <w:r w:rsidR="00566A3E" w:rsidRPr="00566A3E">
        <w:rPr>
          <w:szCs w:val="24"/>
        </w:rPr>
        <w:tab/>
      </w:r>
      <w:proofErr w:type="gramStart"/>
      <w:r w:rsidR="00566A3E" w:rsidRPr="00566A3E">
        <w:rPr>
          <w:szCs w:val="24"/>
        </w:rPr>
        <w:t>K</w:t>
      </w:r>
      <w:r>
        <w:rPr>
          <w:szCs w:val="24"/>
        </w:rPr>
        <w:t>y</w:t>
      </w:r>
      <w:proofErr w:type="gramEnd"/>
      <w:r w:rsidR="00566A3E" w:rsidRPr="00566A3E">
        <w:rPr>
          <w:szCs w:val="24"/>
        </w:rPr>
        <w:t xml:space="preserve"> V</w:t>
      </w:r>
      <w:r>
        <w:rPr>
          <w:szCs w:val="24"/>
        </w:rPr>
        <w:t>an</w:t>
      </w:r>
      <w:r w:rsidR="00566A3E" w:rsidRPr="00566A3E">
        <w:rPr>
          <w:szCs w:val="24"/>
        </w:rPr>
        <w:t xml:space="preserve"> N</w:t>
      </w:r>
      <w:r>
        <w:rPr>
          <w:szCs w:val="24"/>
        </w:rPr>
        <w:t>guyen</w:t>
      </w:r>
    </w:p>
    <w:p w:rsidR="00566A3E" w:rsidRPr="00566A3E" w:rsidRDefault="00566A3E" w:rsidP="00566A3E">
      <w:pPr>
        <w:rPr>
          <w:szCs w:val="24"/>
        </w:rPr>
      </w:pPr>
      <w:r w:rsidRPr="00566A3E">
        <w:rPr>
          <w:szCs w:val="24"/>
        </w:rPr>
        <w:tab/>
      </w:r>
      <w:r w:rsidR="00C80A52">
        <w:rPr>
          <w:szCs w:val="24"/>
        </w:rPr>
        <w:tab/>
      </w:r>
      <w:r w:rsidRPr="00566A3E">
        <w:rPr>
          <w:szCs w:val="24"/>
        </w:rPr>
        <w:tab/>
      </w:r>
      <w:r w:rsidRPr="00566A3E">
        <w:rPr>
          <w:szCs w:val="24"/>
        </w:rPr>
        <w:tab/>
      </w:r>
      <w:r w:rsidRPr="00566A3E">
        <w:rPr>
          <w:szCs w:val="24"/>
        </w:rPr>
        <w:tab/>
      </w:r>
      <w:r w:rsidRPr="00566A3E">
        <w:rPr>
          <w:szCs w:val="24"/>
        </w:rPr>
        <w:tab/>
      </w:r>
      <w:r w:rsidRPr="00566A3E">
        <w:rPr>
          <w:szCs w:val="24"/>
        </w:rPr>
        <w:tab/>
        <w:t>Administrative Law Judge</w:t>
      </w:r>
    </w:p>
    <w:p w:rsidR="00D9180A" w:rsidRDefault="00D9180A" w:rsidP="00566A3E">
      <w:pPr>
        <w:rPr>
          <w:szCs w:val="24"/>
        </w:rPr>
        <w:sectPr w:rsidR="00D9180A" w:rsidSect="00F56FBA">
          <w:footerReference w:type="default" r:id="rId7"/>
          <w:pgSz w:w="12240" w:h="15840"/>
          <w:pgMar w:top="1440" w:right="1440" w:bottom="1440" w:left="1440" w:header="720" w:footer="720" w:gutter="0"/>
          <w:cols w:space="720"/>
          <w:titlePg/>
          <w:docGrid w:linePitch="360"/>
        </w:sectPr>
      </w:pPr>
    </w:p>
    <w:p w:rsidR="008B3BEB" w:rsidRPr="00877CF0" w:rsidRDefault="00877CF0" w:rsidP="00477F2C">
      <w:pPr>
        <w:tabs>
          <w:tab w:val="center" w:pos="4752"/>
        </w:tabs>
        <w:suppressAutoHyphens/>
        <w:jc w:val="center"/>
        <w:rPr>
          <w:kern w:val="1"/>
        </w:rPr>
      </w:pPr>
      <w:r w:rsidRPr="003907AB">
        <w:rPr>
          <w:kern w:val="1"/>
        </w:rPr>
        <w:lastRenderedPageBreak/>
        <w:t xml:space="preserve"> </w:t>
      </w:r>
    </w:p>
    <w:sectPr w:rsidR="008B3BEB" w:rsidRPr="00877CF0" w:rsidSect="000F4732">
      <w:footerReference w:type="first" r:id="rId8"/>
      <w:endnotePr>
        <w:numFmt w:val="decimal"/>
      </w:endnotePr>
      <w:pgSz w:w="12240" w:h="15840"/>
      <w:pgMar w:top="144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B98" w:rsidRDefault="00290B98" w:rsidP="00566A3E">
      <w:r>
        <w:separator/>
      </w:r>
    </w:p>
  </w:endnote>
  <w:endnote w:type="continuationSeparator" w:id="0">
    <w:p w:rsidR="00290B98" w:rsidRDefault="00290B98" w:rsidP="00566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AAD" w:rsidRPr="00833B7E" w:rsidRDefault="00365AAD">
    <w:pPr>
      <w:pStyle w:val="Footer"/>
      <w:jc w:val="center"/>
      <w:rPr>
        <w:sz w:val="20"/>
      </w:rPr>
    </w:pPr>
    <w:r w:rsidRPr="00833B7E">
      <w:rPr>
        <w:sz w:val="20"/>
      </w:rPr>
      <w:fldChar w:fldCharType="begin"/>
    </w:r>
    <w:r w:rsidRPr="00833B7E">
      <w:rPr>
        <w:sz w:val="20"/>
      </w:rPr>
      <w:instrText xml:space="preserve"> PAGE   \* MERGEFORMAT </w:instrText>
    </w:r>
    <w:r w:rsidRPr="00833B7E">
      <w:rPr>
        <w:sz w:val="20"/>
      </w:rPr>
      <w:fldChar w:fldCharType="separate"/>
    </w:r>
    <w:r w:rsidR="00477F2C">
      <w:rPr>
        <w:noProof/>
        <w:sz w:val="20"/>
      </w:rPr>
      <w:t>7</w:t>
    </w:r>
    <w:r w:rsidRPr="00833B7E">
      <w:rPr>
        <w:sz w:val="20"/>
      </w:rPr>
      <w:fldChar w:fldCharType="end"/>
    </w:r>
  </w:p>
  <w:p w:rsidR="00365AAD" w:rsidRDefault="00365A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732" w:rsidRPr="008E0BF3" w:rsidRDefault="000F4732" w:rsidP="000F4732">
    <w:pPr>
      <w:pStyle w:val="Footer"/>
    </w:pPr>
    <w:r w:rsidRPr="008E0BF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B98" w:rsidRDefault="00290B98" w:rsidP="00566A3E">
      <w:r>
        <w:separator/>
      </w:r>
    </w:p>
  </w:footnote>
  <w:footnote w:type="continuationSeparator" w:id="0">
    <w:p w:rsidR="00290B98" w:rsidRDefault="00290B98" w:rsidP="00566A3E">
      <w:r>
        <w:continuationSeparator/>
      </w:r>
    </w:p>
  </w:footnote>
  <w:footnote w:id="1">
    <w:p w:rsidR="009F1676" w:rsidRPr="009F1676" w:rsidRDefault="009F1676">
      <w:pPr>
        <w:pStyle w:val="FootnoteText"/>
        <w:rPr>
          <w:rFonts w:ascii="Times New Roman" w:hAnsi="Times New Roman"/>
          <w:sz w:val="20"/>
        </w:rPr>
      </w:pPr>
      <w:r w:rsidRPr="009F1676">
        <w:rPr>
          <w:rStyle w:val="FootnoteReference"/>
          <w:rFonts w:ascii="Times New Roman" w:hAnsi="Times New Roman"/>
          <w:sz w:val="20"/>
        </w:rPr>
        <w:footnoteRef/>
      </w:r>
      <w:r w:rsidRPr="009F1676">
        <w:rPr>
          <w:rFonts w:ascii="Times New Roman" w:hAnsi="Times New Roman"/>
          <w:sz w:val="20"/>
        </w:rPr>
        <w:t xml:space="preserve"> </w:t>
      </w:r>
      <w:r>
        <w:rPr>
          <w:rFonts w:ascii="Times New Roman" w:hAnsi="Times New Roman"/>
          <w:sz w:val="20"/>
        </w:rPr>
        <w:tab/>
        <w:t>Mr. Elmore is an attorney (N.T. 4, 5).</w:t>
      </w:r>
    </w:p>
  </w:footnote>
  <w:footnote w:id="2">
    <w:p w:rsidR="00566A3E" w:rsidRDefault="00566A3E" w:rsidP="00566A3E">
      <w:pPr>
        <w:pStyle w:val="FootnoteText"/>
        <w:rPr>
          <w:rFonts w:ascii="Times New Roman" w:hAnsi="Times New Roman"/>
          <w:sz w:val="22"/>
        </w:rPr>
      </w:pPr>
      <w:r>
        <w:rPr>
          <w:rStyle w:val="FootnoteReference"/>
          <w:rFonts w:ascii="Times New Roman" w:hAnsi="Times New Roman"/>
          <w:sz w:val="22"/>
        </w:rPr>
        <w:footnoteRef/>
      </w:r>
      <w:r>
        <w:rPr>
          <w:rFonts w:ascii="Times New Roman" w:hAnsi="Times New Roman"/>
          <w:sz w:val="22"/>
        </w:rPr>
        <w:t xml:space="preserve"> </w:t>
      </w:r>
      <w:r>
        <w:rPr>
          <w:rFonts w:ascii="Times New Roman" w:hAnsi="Times New Roman"/>
          <w:sz w:val="22"/>
        </w:rPr>
        <w:tab/>
        <w:t>Section 332(a) of the Public Utility Code provides:</w:t>
      </w:r>
    </w:p>
    <w:p w:rsidR="00566A3E" w:rsidRDefault="00566A3E" w:rsidP="00566A3E">
      <w:pPr>
        <w:pStyle w:val="FootnoteText"/>
        <w:rPr>
          <w:rFonts w:ascii="Times New Roman" w:hAnsi="Times New Roman"/>
          <w:sz w:val="22"/>
        </w:rPr>
      </w:pPr>
    </w:p>
    <w:p w:rsidR="00566A3E" w:rsidRDefault="00566A3E" w:rsidP="00070155">
      <w:pPr>
        <w:pStyle w:val="FootnoteText"/>
        <w:tabs>
          <w:tab w:val="left" w:pos="7920"/>
        </w:tabs>
        <w:ind w:left="1440" w:right="990"/>
        <w:rPr>
          <w:rFonts w:ascii="Times New Roman" w:hAnsi="Times New Roman"/>
          <w:sz w:val="22"/>
        </w:rPr>
      </w:pPr>
      <w:r>
        <w:rPr>
          <w:rFonts w:ascii="Times New Roman" w:hAnsi="Times New Roman"/>
          <w:sz w:val="22"/>
        </w:rPr>
        <w:t>“(</w:t>
      </w:r>
      <w:proofErr w:type="gramStart"/>
      <w:r>
        <w:rPr>
          <w:rFonts w:ascii="Times New Roman" w:hAnsi="Times New Roman"/>
          <w:sz w:val="22"/>
        </w:rPr>
        <w:t>a</w:t>
      </w:r>
      <w:proofErr w:type="gramEnd"/>
      <w:r>
        <w:rPr>
          <w:rFonts w:ascii="Times New Roman" w:hAnsi="Times New Roman"/>
          <w:sz w:val="22"/>
        </w:rPr>
        <w:t xml:space="preserve">)  </w:t>
      </w:r>
      <w:r>
        <w:rPr>
          <w:rFonts w:ascii="Times New Roman" w:hAnsi="Times New Roman"/>
          <w:sz w:val="22"/>
          <w:u w:val="single"/>
        </w:rPr>
        <w:t>Burden of Proof.</w:t>
      </w:r>
      <w:r>
        <w:rPr>
          <w:rFonts w:ascii="Times New Roman" w:hAnsi="Times New Roman"/>
          <w:sz w:val="22"/>
        </w:rPr>
        <w:t xml:space="preserve"> – Except as may be otherwise provided in section 315 (relating to burden of proof) or other provisions of this part or other relevant statute, the proponent of a rule or order has the burden of proof.”</w:t>
      </w:r>
    </w:p>
  </w:footnote>
  <w:footnote w:id="3">
    <w:p w:rsidR="00CC4DC9" w:rsidRPr="00CC4DC9" w:rsidRDefault="00CC4DC9" w:rsidP="00CC4DC9">
      <w:pPr>
        <w:pStyle w:val="FootnoteText"/>
        <w:ind w:left="720" w:hanging="720"/>
        <w:rPr>
          <w:rFonts w:ascii="Times New Roman" w:hAnsi="Times New Roman"/>
          <w:sz w:val="20"/>
        </w:rPr>
      </w:pPr>
      <w:r w:rsidRPr="00CC4DC9">
        <w:rPr>
          <w:rStyle w:val="FootnoteReference"/>
          <w:rFonts w:ascii="Times New Roman" w:hAnsi="Times New Roman"/>
          <w:sz w:val="20"/>
        </w:rPr>
        <w:footnoteRef/>
      </w:r>
      <w:r w:rsidRPr="00CC4DC9">
        <w:rPr>
          <w:rFonts w:ascii="Times New Roman" w:hAnsi="Times New Roman"/>
          <w:sz w:val="20"/>
        </w:rPr>
        <w:t xml:space="preserve"> </w:t>
      </w:r>
      <w:r>
        <w:rPr>
          <w:rFonts w:ascii="Times New Roman" w:hAnsi="Times New Roman"/>
          <w:sz w:val="20"/>
        </w:rPr>
        <w:tab/>
        <w:t xml:space="preserve">A utility’s regularly-kept records of customer contacts and billing are an allowable substitute for first-hand knowledge.  </w:t>
      </w:r>
      <w:r>
        <w:rPr>
          <w:rFonts w:ascii="Times New Roman" w:hAnsi="Times New Roman"/>
          <w:sz w:val="20"/>
          <w:u w:val="single"/>
        </w:rPr>
        <w:t>White v. PECO Energy Company</w:t>
      </w:r>
      <w:r>
        <w:rPr>
          <w:rFonts w:ascii="Times New Roman" w:hAnsi="Times New Roman"/>
          <w:sz w:val="20"/>
        </w:rPr>
        <w:t>, Docket No. F-2008-2035034 (Pa.PUC April 20, 2009).  Further, the actual custodian of record is not required for proper authentication; rather, a witness (</w:t>
      </w:r>
      <w:r w:rsidR="001601B8">
        <w:rPr>
          <w:rFonts w:ascii="Times New Roman" w:hAnsi="Times New Roman"/>
          <w:sz w:val="20"/>
        </w:rPr>
        <w:t xml:space="preserve">or </w:t>
      </w:r>
      <w:r>
        <w:rPr>
          <w:rFonts w:ascii="Times New Roman" w:hAnsi="Times New Roman"/>
          <w:sz w:val="20"/>
        </w:rPr>
        <w:t xml:space="preserve">a superior of the custodian) with adequate knowledge of the company’s record-keeping procedures is appropriate under the Pennsylvania Rules of Evidence.  </w:t>
      </w:r>
      <w:r>
        <w:rPr>
          <w:rFonts w:ascii="Times New Roman" w:hAnsi="Times New Roman"/>
          <w:sz w:val="20"/>
          <w:u w:val="single"/>
        </w:rPr>
        <w:t>Gasparro v. PECO Energy Company</w:t>
      </w:r>
      <w:r>
        <w:rPr>
          <w:rFonts w:ascii="Times New Roman" w:hAnsi="Times New Roman"/>
          <w:sz w:val="20"/>
        </w:rPr>
        <w:t>, Docket No. C-00015482 (Pa.PUC April 22, 2002).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66A3E"/>
    <w:rsid w:val="00040231"/>
    <w:rsid w:val="00070155"/>
    <w:rsid w:val="00071A10"/>
    <w:rsid w:val="000950BC"/>
    <w:rsid w:val="000A4C41"/>
    <w:rsid w:val="000C3CE6"/>
    <w:rsid w:val="000C5983"/>
    <w:rsid w:val="000E55BC"/>
    <w:rsid w:val="000F4732"/>
    <w:rsid w:val="000F6479"/>
    <w:rsid w:val="00104EC9"/>
    <w:rsid w:val="0011376B"/>
    <w:rsid w:val="001601B8"/>
    <w:rsid w:val="001823C8"/>
    <w:rsid w:val="00210379"/>
    <w:rsid w:val="002132F2"/>
    <w:rsid w:val="0027742F"/>
    <w:rsid w:val="00290B98"/>
    <w:rsid w:val="002F4323"/>
    <w:rsid w:val="00365AAD"/>
    <w:rsid w:val="003A6846"/>
    <w:rsid w:val="003F473D"/>
    <w:rsid w:val="003F4881"/>
    <w:rsid w:val="00440C44"/>
    <w:rsid w:val="00477F2C"/>
    <w:rsid w:val="00481654"/>
    <w:rsid w:val="00566A3E"/>
    <w:rsid w:val="00585457"/>
    <w:rsid w:val="005C3D62"/>
    <w:rsid w:val="005C42C9"/>
    <w:rsid w:val="005D0018"/>
    <w:rsid w:val="0061431F"/>
    <w:rsid w:val="006B41F7"/>
    <w:rsid w:val="006D5465"/>
    <w:rsid w:val="007115C7"/>
    <w:rsid w:val="00733D4F"/>
    <w:rsid w:val="007378C4"/>
    <w:rsid w:val="00755BE5"/>
    <w:rsid w:val="007569EE"/>
    <w:rsid w:val="0076233A"/>
    <w:rsid w:val="007A4345"/>
    <w:rsid w:val="007A483F"/>
    <w:rsid w:val="007E5999"/>
    <w:rsid w:val="0082559A"/>
    <w:rsid w:val="00833B7E"/>
    <w:rsid w:val="00857872"/>
    <w:rsid w:val="00877CF0"/>
    <w:rsid w:val="008B3BEB"/>
    <w:rsid w:val="00910EE5"/>
    <w:rsid w:val="009366E0"/>
    <w:rsid w:val="00990075"/>
    <w:rsid w:val="009F1676"/>
    <w:rsid w:val="00A336DF"/>
    <w:rsid w:val="00A43274"/>
    <w:rsid w:val="00A73572"/>
    <w:rsid w:val="00AD6D5A"/>
    <w:rsid w:val="00AE473A"/>
    <w:rsid w:val="00B03DDC"/>
    <w:rsid w:val="00B03EC5"/>
    <w:rsid w:val="00B443AE"/>
    <w:rsid w:val="00B6485E"/>
    <w:rsid w:val="00B91D1F"/>
    <w:rsid w:val="00BA3A7E"/>
    <w:rsid w:val="00BB1AE6"/>
    <w:rsid w:val="00BE760D"/>
    <w:rsid w:val="00C3745C"/>
    <w:rsid w:val="00C732D8"/>
    <w:rsid w:val="00C80A52"/>
    <w:rsid w:val="00CC4DC9"/>
    <w:rsid w:val="00CE1E57"/>
    <w:rsid w:val="00CF1E27"/>
    <w:rsid w:val="00CF6A5F"/>
    <w:rsid w:val="00D0617D"/>
    <w:rsid w:val="00D9180A"/>
    <w:rsid w:val="00DB4504"/>
    <w:rsid w:val="00E36984"/>
    <w:rsid w:val="00E848C7"/>
    <w:rsid w:val="00EA1702"/>
    <w:rsid w:val="00F337E8"/>
    <w:rsid w:val="00F5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3E"/>
    <w:rPr>
      <w:rFonts w:eastAsia="Times New Roman"/>
      <w:sz w:val="24"/>
    </w:rPr>
  </w:style>
  <w:style w:type="paragraph" w:styleId="Heading1">
    <w:name w:val="heading 1"/>
    <w:basedOn w:val="Normal"/>
    <w:next w:val="Normal"/>
    <w:link w:val="Heading1Char"/>
    <w:qFormat/>
    <w:rsid w:val="00566A3E"/>
    <w:pPr>
      <w:keepNext/>
      <w:jc w:val="center"/>
      <w:outlineLvl w:val="0"/>
    </w:pPr>
    <w:rPr>
      <w:sz w:val="26"/>
      <w:u w:val="single"/>
    </w:rPr>
  </w:style>
  <w:style w:type="paragraph" w:styleId="Heading2">
    <w:name w:val="heading 2"/>
    <w:basedOn w:val="Normal"/>
    <w:next w:val="Normal"/>
    <w:link w:val="Heading2Char"/>
    <w:semiHidden/>
    <w:unhideWhenUsed/>
    <w:qFormat/>
    <w:rsid w:val="00566A3E"/>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60D"/>
    <w:rPr>
      <w:sz w:val="24"/>
      <w:szCs w:val="22"/>
    </w:rPr>
  </w:style>
  <w:style w:type="character" w:customStyle="1" w:styleId="Heading1Char">
    <w:name w:val="Heading 1 Char"/>
    <w:basedOn w:val="DefaultParagraphFont"/>
    <w:link w:val="Heading1"/>
    <w:rsid w:val="00566A3E"/>
    <w:rPr>
      <w:rFonts w:eastAsia="Times New Roman" w:cs="Times New Roman"/>
      <w:sz w:val="26"/>
      <w:szCs w:val="20"/>
      <w:u w:val="single"/>
    </w:rPr>
  </w:style>
  <w:style w:type="character" w:customStyle="1" w:styleId="Heading2Char">
    <w:name w:val="Heading 2 Char"/>
    <w:basedOn w:val="DefaultParagraphFont"/>
    <w:link w:val="Heading2"/>
    <w:semiHidden/>
    <w:rsid w:val="00566A3E"/>
    <w:rPr>
      <w:rFonts w:eastAsia="Times New Roman" w:cs="Times New Roman"/>
      <w:szCs w:val="20"/>
      <w:u w:val="single"/>
    </w:rPr>
  </w:style>
  <w:style w:type="paragraph" w:styleId="FootnoteText">
    <w:name w:val="footnote text"/>
    <w:basedOn w:val="Normal"/>
    <w:link w:val="FootnoteTextChar"/>
    <w:semiHidden/>
    <w:unhideWhenUsed/>
    <w:rsid w:val="00566A3E"/>
    <w:pPr>
      <w:widowControl w:val="0"/>
      <w:snapToGrid w:val="0"/>
    </w:pPr>
    <w:rPr>
      <w:rFonts w:ascii="Courier New" w:hAnsi="Courier New"/>
    </w:rPr>
  </w:style>
  <w:style w:type="character" w:customStyle="1" w:styleId="FootnoteTextChar">
    <w:name w:val="Footnote Text Char"/>
    <w:basedOn w:val="DefaultParagraphFont"/>
    <w:link w:val="FootnoteText"/>
    <w:semiHidden/>
    <w:rsid w:val="00566A3E"/>
    <w:rPr>
      <w:rFonts w:ascii="Courier New" w:eastAsia="Times New Roman" w:hAnsi="Courier New" w:cs="Times New Roman"/>
      <w:szCs w:val="20"/>
    </w:rPr>
  </w:style>
  <w:style w:type="paragraph" w:styleId="Footer">
    <w:name w:val="footer"/>
    <w:basedOn w:val="Normal"/>
    <w:link w:val="FooterChar"/>
    <w:uiPriority w:val="99"/>
    <w:unhideWhenUsed/>
    <w:rsid w:val="00566A3E"/>
    <w:pPr>
      <w:tabs>
        <w:tab w:val="center" w:pos="4320"/>
        <w:tab w:val="right" w:pos="8640"/>
      </w:tabs>
    </w:pPr>
  </w:style>
  <w:style w:type="character" w:customStyle="1" w:styleId="FooterChar">
    <w:name w:val="Footer Char"/>
    <w:basedOn w:val="DefaultParagraphFont"/>
    <w:link w:val="Footer"/>
    <w:uiPriority w:val="99"/>
    <w:rsid w:val="00566A3E"/>
    <w:rPr>
      <w:rFonts w:eastAsia="Times New Roman" w:cs="Times New Roman"/>
      <w:szCs w:val="20"/>
    </w:rPr>
  </w:style>
  <w:style w:type="paragraph" w:styleId="Title">
    <w:name w:val="Title"/>
    <w:basedOn w:val="Normal"/>
    <w:link w:val="TitleChar"/>
    <w:qFormat/>
    <w:rsid w:val="00566A3E"/>
    <w:pPr>
      <w:jc w:val="center"/>
    </w:pPr>
    <w:rPr>
      <w:b/>
      <w:sz w:val="26"/>
    </w:rPr>
  </w:style>
  <w:style w:type="character" w:customStyle="1" w:styleId="TitleChar">
    <w:name w:val="Title Char"/>
    <w:basedOn w:val="DefaultParagraphFont"/>
    <w:link w:val="Title"/>
    <w:rsid w:val="00566A3E"/>
    <w:rPr>
      <w:rFonts w:eastAsia="Times New Roman" w:cs="Times New Roman"/>
      <w:b/>
      <w:sz w:val="26"/>
      <w:szCs w:val="20"/>
    </w:rPr>
  </w:style>
  <w:style w:type="paragraph" w:styleId="BodyText">
    <w:name w:val="Body Text"/>
    <w:basedOn w:val="Normal"/>
    <w:link w:val="BodyTextChar"/>
    <w:unhideWhenUsed/>
    <w:rsid w:val="00566A3E"/>
    <w:pPr>
      <w:spacing w:line="360" w:lineRule="auto"/>
    </w:pPr>
    <w:rPr>
      <w:sz w:val="26"/>
    </w:rPr>
  </w:style>
  <w:style w:type="character" w:customStyle="1" w:styleId="BodyTextChar">
    <w:name w:val="Body Text Char"/>
    <w:basedOn w:val="DefaultParagraphFont"/>
    <w:link w:val="BodyText"/>
    <w:rsid w:val="00566A3E"/>
    <w:rPr>
      <w:rFonts w:eastAsia="Times New Roman" w:cs="Times New Roman"/>
      <w:sz w:val="26"/>
      <w:szCs w:val="20"/>
    </w:rPr>
  </w:style>
  <w:style w:type="paragraph" w:styleId="Subtitle">
    <w:name w:val="Subtitle"/>
    <w:basedOn w:val="Normal"/>
    <w:link w:val="SubtitleChar"/>
    <w:qFormat/>
    <w:rsid w:val="00566A3E"/>
    <w:pPr>
      <w:jc w:val="center"/>
    </w:pPr>
    <w:rPr>
      <w:b/>
      <w:sz w:val="26"/>
    </w:rPr>
  </w:style>
  <w:style w:type="character" w:customStyle="1" w:styleId="SubtitleChar">
    <w:name w:val="Subtitle Char"/>
    <w:basedOn w:val="DefaultParagraphFont"/>
    <w:link w:val="Subtitle"/>
    <w:rsid w:val="00566A3E"/>
    <w:rPr>
      <w:rFonts w:eastAsia="Times New Roman" w:cs="Times New Roman"/>
      <w:b/>
      <w:sz w:val="26"/>
      <w:szCs w:val="20"/>
    </w:rPr>
  </w:style>
  <w:style w:type="paragraph" w:styleId="BlockText">
    <w:name w:val="Block Text"/>
    <w:basedOn w:val="Normal"/>
    <w:semiHidden/>
    <w:unhideWhenUsed/>
    <w:rsid w:val="00566A3E"/>
    <w:pPr>
      <w:tabs>
        <w:tab w:val="left" w:pos="-720"/>
      </w:tabs>
      <w:suppressAutoHyphens/>
      <w:ind w:left="1440" w:right="1350"/>
    </w:pPr>
    <w:rPr>
      <w:spacing w:val="-3"/>
      <w:sz w:val="26"/>
    </w:rPr>
  </w:style>
  <w:style w:type="character" w:styleId="FootnoteReference">
    <w:name w:val="footnote reference"/>
    <w:basedOn w:val="DefaultParagraphFont"/>
    <w:semiHidden/>
    <w:unhideWhenUsed/>
    <w:rsid w:val="00566A3E"/>
    <w:rPr>
      <w:vertAlign w:val="superscript"/>
    </w:rPr>
  </w:style>
  <w:style w:type="paragraph" w:styleId="EndnoteText">
    <w:name w:val="endnote text"/>
    <w:basedOn w:val="Normal"/>
    <w:link w:val="EndnoteTextChar"/>
    <w:rsid w:val="00877CF0"/>
    <w:rPr>
      <w:rFonts w:ascii="Courier" w:hAnsi="Courier"/>
    </w:rPr>
  </w:style>
  <w:style w:type="character" w:customStyle="1" w:styleId="EndnoteTextChar">
    <w:name w:val="Endnote Text Char"/>
    <w:basedOn w:val="DefaultParagraphFont"/>
    <w:link w:val="EndnoteText"/>
    <w:rsid w:val="00877CF0"/>
    <w:rPr>
      <w:rFonts w:ascii="Courier" w:eastAsia="Times New Roman" w:hAnsi="Courier"/>
      <w:sz w:val="24"/>
    </w:rPr>
  </w:style>
  <w:style w:type="paragraph" w:styleId="ListParagraph">
    <w:name w:val="List Paragraph"/>
    <w:basedOn w:val="Normal"/>
    <w:uiPriority w:val="34"/>
    <w:qFormat/>
    <w:rsid w:val="00877CF0"/>
    <w:pPr>
      <w:ind w:left="720"/>
      <w:contextualSpacing/>
    </w:pPr>
    <w:rPr>
      <w:rFonts w:ascii="Courier" w:hAnsi="Courier"/>
    </w:rPr>
  </w:style>
  <w:style w:type="paragraph" w:styleId="Header">
    <w:name w:val="header"/>
    <w:basedOn w:val="Normal"/>
    <w:link w:val="HeaderChar"/>
    <w:uiPriority w:val="99"/>
    <w:semiHidden/>
    <w:unhideWhenUsed/>
    <w:rsid w:val="00365AAD"/>
    <w:pPr>
      <w:tabs>
        <w:tab w:val="center" w:pos="4680"/>
        <w:tab w:val="right" w:pos="9360"/>
      </w:tabs>
    </w:pPr>
  </w:style>
  <w:style w:type="character" w:customStyle="1" w:styleId="HeaderChar">
    <w:name w:val="Header Char"/>
    <w:basedOn w:val="DefaultParagraphFont"/>
    <w:link w:val="Header"/>
    <w:uiPriority w:val="99"/>
    <w:semiHidden/>
    <w:rsid w:val="00365AAD"/>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6155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shoffner</cp:lastModifiedBy>
  <cp:revision>3</cp:revision>
  <cp:lastPrinted>2011-02-02T16:09:00Z</cp:lastPrinted>
  <dcterms:created xsi:type="dcterms:W3CDTF">2011-02-16T17:22:00Z</dcterms:created>
  <dcterms:modified xsi:type="dcterms:W3CDTF">2011-02-16T17:30:00Z</dcterms:modified>
</cp:coreProperties>
</file>