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F8224E" w:rsidRDefault="00D310F5" w:rsidP="00F8224E">
      <w:pPr>
        <w:jc w:val="center"/>
        <w:rPr>
          <w:b/>
          <w:color w:val="000000"/>
        </w:rPr>
      </w:pPr>
      <w:r w:rsidRPr="00F8224E">
        <w:rPr>
          <w:b/>
          <w:color w:val="000000"/>
        </w:rPr>
        <w:t>BEFORE THE</w:t>
      </w:r>
    </w:p>
    <w:p w:rsidR="00B1613A" w:rsidRPr="00F8224E" w:rsidRDefault="00D310F5" w:rsidP="00F8224E">
      <w:pPr>
        <w:jc w:val="center"/>
        <w:rPr>
          <w:b/>
          <w:color w:val="000000"/>
        </w:rPr>
      </w:pPr>
      <w:r w:rsidRPr="00F8224E">
        <w:rPr>
          <w:b/>
          <w:color w:val="000000"/>
        </w:rPr>
        <w:t xml:space="preserve">PENNSYLVANIA </w:t>
      </w:r>
      <w:r w:rsidR="00B1613A" w:rsidRPr="00F8224E">
        <w:rPr>
          <w:b/>
          <w:color w:val="000000"/>
        </w:rPr>
        <w:t>PUBLIC UTILITY COMMISSION</w:t>
      </w:r>
    </w:p>
    <w:p w:rsidR="00E85191" w:rsidRPr="00F8224E" w:rsidRDefault="00E85191" w:rsidP="00CC3849">
      <w:pPr>
        <w:rPr>
          <w:color w:val="000000"/>
        </w:rPr>
      </w:pPr>
    </w:p>
    <w:p w:rsidR="00B1613A" w:rsidRPr="00F8224E" w:rsidRDefault="00B1613A" w:rsidP="00F8224E">
      <w:pPr>
        <w:rPr>
          <w:color w:val="000000"/>
        </w:rPr>
      </w:pPr>
    </w:p>
    <w:p w:rsidR="00E85191" w:rsidRPr="00F8224E" w:rsidRDefault="00E85191" w:rsidP="00F8224E">
      <w:pPr>
        <w:rPr>
          <w:color w:val="000000"/>
        </w:rPr>
      </w:pPr>
    </w:p>
    <w:p w:rsidR="00B1613A" w:rsidRPr="00F8224E" w:rsidRDefault="003406BD" w:rsidP="00F8224E">
      <w:pPr>
        <w:rPr>
          <w:color w:val="000000"/>
        </w:rPr>
      </w:pPr>
      <w:r>
        <w:rPr>
          <w:color w:val="000000"/>
        </w:rPr>
        <w:t>Ardelle</w:t>
      </w:r>
      <w:r w:rsidR="00BE6529" w:rsidRPr="00F8224E">
        <w:rPr>
          <w:color w:val="000000"/>
        </w:rPr>
        <w:t xml:space="preserve"> Jackson</w:t>
      </w:r>
      <w:r w:rsidR="00DC47CE" w:rsidRPr="00F8224E">
        <w:rPr>
          <w:color w:val="000000"/>
        </w:rPr>
        <w:tab/>
      </w:r>
      <w:r w:rsidR="00DC47CE" w:rsidRPr="00F8224E">
        <w:rPr>
          <w:color w:val="000000"/>
        </w:rPr>
        <w:tab/>
      </w:r>
      <w:r w:rsidR="00DC47CE" w:rsidRPr="00F8224E">
        <w:rPr>
          <w:color w:val="000000"/>
        </w:rPr>
        <w:tab/>
      </w:r>
      <w:r w:rsidR="00DC47CE" w:rsidRPr="00F8224E">
        <w:rPr>
          <w:color w:val="000000"/>
        </w:rPr>
        <w:tab/>
      </w:r>
      <w:r w:rsidR="000E5C56" w:rsidRPr="00F8224E">
        <w:rPr>
          <w:color w:val="000000"/>
        </w:rPr>
        <w:tab/>
      </w:r>
      <w:r w:rsidR="00D310F5" w:rsidRPr="00F8224E">
        <w:rPr>
          <w:color w:val="000000"/>
        </w:rPr>
        <w:t>:</w:t>
      </w:r>
    </w:p>
    <w:p w:rsidR="00DC47CE" w:rsidRPr="00F8224E" w:rsidRDefault="00DC47CE" w:rsidP="00F8224E">
      <w:pPr>
        <w:rPr>
          <w:color w:val="000000"/>
        </w:rPr>
      </w:pP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t>:</w:t>
      </w:r>
    </w:p>
    <w:p w:rsidR="00B1613A" w:rsidRPr="00F8224E" w:rsidRDefault="00DC47CE" w:rsidP="00F8224E">
      <w:pPr>
        <w:rPr>
          <w:color w:val="000000"/>
        </w:rPr>
      </w:pPr>
      <w:r w:rsidRPr="00F8224E">
        <w:rPr>
          <w:color w:val="000000"/>
        </w:rPr>
        <w:tab/>
        <w:t>v.</w:t>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00163A08" w:rsidRPr="00F8224E">
        <w:rPr>
          <w:color w:val="000000"/>
        </w:rPr>
        <w:tab/>
        <w:t>:</w:t>
      </w:r>
      <w:r w:rsidR="00B1613A" w:rsidRPr="00F8224E">
        <w:rPr>
          <w:color w:val="000000"/>
        </w:rPr>
        <w:tab/>
      </w:r>
      <w:r w:rsidR="008A3D91" w:rsidRPr="00F8224E">
        <w:rPr>
          <w:color w:val="000000"/>
        </w:rPr>
        <w:t>C</w:t>
      </w:r>
      <w:r w:rsidRPr="00F8224E">
        <w:rPr>
          <w:color w:val="000000"/>
        </w:rPr>
        <w:t>-20</w:t>
      </w:r>
      <w:r w:rsidR="00BE6529" w:rsidRPr="00F8224E">
        <w:rPr>
          <w:color w:val="000000"/>
        </w:rPr>
        <w:t>0</w:t>
      </w:r>
      <w:r w:rsidR="003406BD">
        <w:rPr>
          <w:color w:val="000000"/>
        </w:rPr>
        <w:t>9</w:t>
      </w:r>
      <w:r w:rsidRPr="00F8224E">
        <w:rPr>
          <w:color w:val="000000"/>
        </w:rPr>
        <w:t>-</w:t>
      </w:r>
      <w:r w:rsidR="00BE6529" w:rsidRPr="00F8224E">
        <w:rPr>
          <w:color w:val="000000"/>
        </w:rPr>
        <w:t>2</w:t>
      </w:r>
      <w:r w:rsidR="008A3D91" w:rsidRPr="00F8224E">
        <w:rPr>
          <w:color w:val="000000"/>
        </w:rPr>
        <w:t>1</w:t>
      </w:r>
      <w:r w:rsidR="003406BD">
        <w:rPr>
          <w:color w:val="000000"/>
        </w:rPr>
        <w:t>19940</w:t>
      </w:r>
    </w:p>
    <w:p w:rsidR="00DC47CE" w:rsidRPr="00F8224E" w:rsidRDefault="00DC47CE" w:rsidP="00F8224E">
      <w:pPr>
        <w:rPr>
          <w:color w:val="000000"/>
        </w:rPr>
      </w:pP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t>:</w:t>
      </w:r>
    </w:p>
    <w:p w:rsidR="00B1613A" w:rsidRPr="00F8224E" w:rsidRDefault="003406BD" w:rsidP="00F8224E">
      <w:pPr>
        <w:rPr>
          <w:color w:val="000000"/>
        </w:rPr>
      </w:pPr>
      <w:r>
        <w:rPr>
          <w:color w:val="000000"/>
        </w:rPr>
        <w:t>Philadelphia Gas Works</w:t>
      </w:r>
      <w:r w:rsidR="00D310F5" w:rsidRPr="00F8224E">
        <w:rPr>
          <w:color w:val="000000"/>
        </w:rPr>
        <w:tab/>
      </w:r>
      <w:r w:rsidR="00D310F5" w:rsidRPr="00F8224E">
        <w:rPr>
          <w:color w:val="000000"/>
        </w:rPr>
        <w:tab/>
      </w:r>
      <w:r w:rsidR="00D310F5" w:rsidRPr="00F8224E">
        <w:rPr>
          <w:color w:val="000000"/>
        </w:rPr>
        <w:tab/>
      </w:r>
      <w:r w:rsidR="00D310F5" w:rsidRPr="00F8224E">
        <w:rPr>
          <w:color w:val="000000"/>
        </w:rPr>
        <w:tab/>
        <w:t>:</w:t>
      </w:r>
    </w:p>
    <w:p w:rsidR="00B1613A" w:rsidRPr="00F8224E" w:rsidRDefault="00B1613A" w:rsidP="00F8224E">
      <w:pPr>
        <w:rPr>
          <w:color w:val="000000"/>
        </w:rPr>
      </w:pPr>
    </w:p>
    <w:p w:rsidR="00163A08" w:rsidRPr="00F8224E" w:rsidRDefault="00163A08" w:rsidP="00F8224E">
      <w:pPr>
        <w:rPr>
          <w:color w:val="000000"/>
        </w:rPr>
      </w:pPr>
    </w:p>
    <w:p w:rsidR="00E85191" w:rsidRPr="00F8224E" w:rsidRDefault="00E85191" w:rsidP="00F8224E">
      <w:pPr>
        <w:rPr>
          <w:color w:val="000000"/>
        </w:rPr>
      </w:pPr>
    </w:p>
    <w:p w:rsidR="00B1613A" w:rsidRDefault="00DC47CE" w:rsidP="00F8224E">
      <w:pPr>
        <w:jc w:val="center"/>
        <w:rPr>
          <w:b/>
          <w:color w:val="000000"/>
          <w:u w:val="single"/>
        </w:rPr>
      </w:pPr>
      <w:r w:rsidRPr="00F8224E">
        <w:rPr>
          <w:b/>
          <w:color w:val="000000"/>
          <w:u w:val="single"/>
        </w:rPr>
        <w:t>INITIAL DECISION</w:t>
      </w:r>
    </w:p>
    <w:p w:rsidR="00F8224E" w:rsidRPr="00F8224E" w:rsidRDefault="00F8224E" w:rsidP="00F8224E">
      <w:pPr>
        <w:jc w:val="center"/>
        <w:rPr>
          <w:b/>
          <w:color w:val="000000"/>
          <w:u w:val="single"/>
        </w:rPr>
      </w:pPr>
    </w:p>
    <w:p w:rsidR="009D2B87" w:rsidRPr="00F8224E" w:rsidRDefault="009D2B87" w:rsidP="00F8224E">
      <w:pPr>
        <w:jc w:val="center"/>
        <w:rPr>
          <w:color w:val="000000"/>
        </w:rPr>
      </w:pPr>
    </w:p>
    <w:p w:rsidR="00780B4C" w:rsidRPr="00F8224E" w:rsidRDefault="00780B4C" w:rsidP="00F8224E">
      <w:pPr>
        <w:jc w:val="center"/>
        <w:rPr>
          <w:color w:val="000000"/>
        </w:rPr>
      </w:pPr>
      <w:r w:rsidRPr="00F8224E">
        <w:rPr>
          <w:color w:val="000000"/>
        </w:rPr>
        <w:t>B</w:t>
      </w:r>
      <w:r w:rsidR="00D310F5" w:rsidRPr="00F8224E">
        <w:rPr>
          <w:color w:val="000000"/>
        </w:rPr>
        <w:t>efore</w:t>
      </w:r>
      <w:r w:rsidRPr="00F8224E">
        <w:rPr>
          <w:color w:val="000000"/>
        </w:rPr>
        <w:t xml:space="preserve"> </w:t>
      </w:r>
    </w:p>
    <w:p w:rsidR="00DC47CE" w:rsidRPr="00F8224E" w:rsidRDefault="00780B4C" w:rsidP="00F8224E">
      <w:pPr>
        <w:jc w:val="center"/>
        <w:rPr>
          <w:color w:val="000000"/>
        </w:rPr>
      </w:pPr>
      <w:r w:rsidRPr="00F8224E">
        <w:rPr>
          <w:color w:val="000000"/>
        </w:rPr>
        <w:t>Administrative Law Judge</w:t>
      </w:r>
    </w:p>
    <w:p w:rsidR="00B1613A" w:rsidRPr="00F8224E" w:rsidRDefault="00DC47CE" w:rsidP="00F8224E">
      <w:pPr>
        <w:jc w:val="center"/>
        <w:rPr>
          <w:color w:val="000000"/>
        </w:rPr>
      </w:pPr>
      <w:r w:rsidRPr="00F8224E">
        <w:rPr>
          <w:color w:val="000000"/>
        </w:rPr>
        <w:t>Elizabeth H. Barnes</w:t>
      </w:r>
    </w:p>
    <w:p w:rsidR="00DC47CE" w:rsidRPr="00F8224E" w:rsidRDefault="00DC47CE" w:rsidP="00F8224E">
      <w:pPr>
        <w:jc w:val="center"/>
        <w:rPr>
          <w:color w:val="000000"/>
        </w:rPr>
      </w:pPr>
    </w:p>
    <w:p w:rsidR="00DC47CE" w:rsidRPr="00F8224E" w:rsidRDefault="00DC47CE" w:rsidP="00F8224E">
      <w:pPr>
        <w:jc w:val="center"/>
        <w:rPr>
          <w:color w:val="000000"/>
        </w:rPr>
      </w:pPr>
    </w:p>
    <w:p w:rsidR="00B1613A" w:rsidRDefault="00E26B0D" w:rsidP="00F8224E">
      <w:pPr>
        <w:jc w:val="center"/>
        <w:rPr>
          <w:color w:val="000000"/>
          <w:u w:val="single"/>
        </w:rPr>
      </w:pPr>
      <w:r w:rsidRPr="00F8224E">
        <w:rPr>
          <w:color w:val="000000"/>
          <w:u w:val="single"/>
        </w:rPr>
        <w:t>HISTORY OF THE PROCEEDING</w:t>
      </w:r>
    </w:p>
    <w:p w:rsidR="00F8224E" w:rsidRPr="00F8224E" w:rsidRDefault="00F8224E" w:rsidP="00F8224E">
      <w:pPr>
        <w:jc w:val="center"/>
        <w:rPr>
          <w:color w:val="000000"/>
          <w:u w:val="single"/>
        </w:rPr>
      </w:pPr>
    </w:p>
    <w:p w:rsidR="00E26B0D" w:rsidRPr="00F8224E" w:rsidRDefault="00E26B0D" w:rsidP="00F8224E">
      <w:pPr>
        <w:jc w:val="center"/>
        <w:rPr>
          <w:color w:val="000000"/>
          <w:u w:val="single"/>
        </w:rPr>
      </w:pPr>
    </w:p>
    <w:p w:rsidR="000F5FB6" w:rsidRPr="00F8224E" w:rsidRDefault="00B10E31" w:rsidP="007F10D4">
      <w:pPr>
        <w:spacing w:line="360" w:lineRule="auto"/>
        <w:ind w:firstLine="1440"/>
        <w:rPr>
          <w:color w:val="000000"/>
        </w:rPr>
      </w:pPr>
      <w:r w:rsidRPr="00F8224E">
        <w:rPr>
          <w:color w:val="000000"/>
        </w:rPr>
        <w:t xml:space="preserve">This Decision </w:t>
      </w:r>
      <w:r w:rsidR="008B10B8" w:rsidRPr="00F8224E">
        <w:rPr>
          <w:color w:val="000000"/>
        </w:rPr>
        <w:t xml:space="preserve">dismisses a formal Complaint that </w:t>
      </w:r>
      <w:r w:rsidR="003406BD">
        <w:rPr>
          <w:color w:val="000000"/>
        </w:rPr>
        <w:t>Ardelle</w:t>
      </w:r>
      <w:r w:rsidR="00BE6529" w:rsidRPr="00F8224E">
        <w:rPr>
          <w:color w:val="000000"/>
        </w:rPr>
        <w:t xml:space="preserve"> Jackson</w:t>
      </w:r>
      <w:r w:rsidR="008A3D91" w:rsidRPr="00F8224E">
        <w:rPr>
          <w:color w:val="000000"/>
        </w:rPr>
        <w:t xml:space="preserve"> </w:t>
      </w:r>
      <w:r w:rsidR="008B10B8" w:rsidRPr="00F8224E">
        <w:rPr>
          <w:color w:val="000000"/>
        </w:rPr>
        <w:t xml:space="preserve">(Complainant) filed with the </w:t>
      </w:r>
      <w:r w:rsidRPr="00F8224E">
        <w:rPr>
          <w:color w:val="000000"/>
        </w:rPr>
        <w:t xml:space="preserve">Pennsylvania Public Utility Commission (Commission) </w:t>
      </w:r>
      <w:r w:rsidR="008B10B8" w:rsidRPr="00F8224E">
        <w:rPr>
          <w:color w:val="000000"/>
        </w:rPr>
        <w:t xml:space="preserve">on </w:t>
      </w:r>
      <w:r w:rsidR="00BE6529" w:rsidRPr="00F8224E">
        <w:rPr>
          <w:color w:val="000000"/>
        </w:rPr>
        <w:t>July 1</w:t>
      </w:r>
      <w:r w:rsidR="003406BD">
        <w:rPr>
          <w:color w:val="000000"/>
        </w:rPr>
        <w:t>7</w:t>
      </w:r>
      <w:r w:rsidR="008A3D91" w:rsidRPr="00F8224E">
        <w:rPr>
          <w:color w:val="000000"/>
        </w:rPr>
        <w:t>, 20</w:t>
      </w:r>
      <w:r w:rsidR="00BE6529" w:rsidRPr="00F8224E">
        <w:rPr>
          <w:color w:val="000000"/>
        </w:rPr>
        <w:t>0</w:t>
      </w:r>
      <w:r w:rsidR="003406BD">
        <w:rPr>
          <w:color w:val="000000"/>
        </w:rPr>
        <w:t>9</w:t>
      </w:r>
      <w:r w:rsidR="008B10B8" w:rsidRPr="00F8224E">
        <w:rPr>
          <w:color w:val="000000"/>
        </w:rPr>
        <w:t xml:space="preserve">.  </w:t>
      </w:r>
    </w:p>
    <w:p w:rsidR="000F5FB6" w:rsidRPr="00F8224E" w:rsidRDefault="000F5FB6" w:rsidP="00F8224E">
      <w:pPr>
        <w:spacing w:line="360" w:lineRule="auto"/>
        <w:ind w:firstLine="1440"/>
        <w:rPr>
          <w:color w:val="000000"/>
        </w:rPr>
      </w:pPr>
    </w:p>
    <w:p w:rsidR="00196F89" w:rsidRDefault="00FD537C" w:rsidP="00F8224E">
      <w:pPr>
        <w:spacing w:line="360" w:lineRule="auto"/>
        <w:ind w:firstLine="1440"/>
        <w:rPr>
          <w:color w:val="000000"/>
        </w:rPr>
      </w:pPr>
      <w:r w:rsidRPr="00F8224E">
        <w:rPr>
          <w:color w:val="000000"/>
        </w:rPr>
        <w:t xml:space="preserve">Complainant </w:t>
      </w:r>
      <w:r w:rsidR="00D55C89">
        <w:rPr>
          <w:color w:val="000000"/>
        </w:rPr>
        <w:t xml:space="preserve">claims </w:t>
      </w:r>
      <w:r w:rsidR="003F7789">
        <w:rPr>
          <w:color w:val="000000"/>
        </w:rPr>
        <w:t xml:space="preserve">PGW placed </w:t>
      </w:r>
      <w:r w:rsidR="00D32A4D">
        <w:rPr>
          <w:color w:val="000000"/>
        </w:rPr>
        <w:t>incorrect liens on her service property</w:t>
      </w:r>
      <w:r w:rsidR="00D32A4D" w:rsidRPr="00D32A4D">
        <w:rPr>
          <w:color w:val="000000"/>
        </w:rPr>
        <w:t xml:space="preserve"> </w:t>
      </w:r>
      <w:r w:rsidR="00D32A4D">
        <w:rPr>
          <w:color w:val="000000"/>
        </w:rPr>
        <w:t xml:space="preserve">at 3768 Lankenau Road, Philadelphia, PA.  Complainant </w:t>
      </w:r>
      <w:r w:rsidR="00D55C89">
        <w:rPr>
          <w:color w:val="000000"/>
        </w:rPr>
        <w:t>filed Chapter 13 bankruptcy in March 2003</w:t>
      </w:r>
      <w:r w:rsidR="004A7308">
        <w:rPr>
          <w:color w:val="000000"/>
        </w:rPr>
        <w:t xml:space="preserve">, but her debt of $5,409.73 to PGW was not discharged until September, 2008.  </w:t>
      </w:r>
      <w:r w:rsidR="00D55C89">
        <w:rPr>
          <w:color w:val="000000"/>
        </w:rPr>
        <w:t xml:space="preserve">She claims </w:t>
      </w:r>
      <w:r w:rsidR="00446565">
        <w:rPr>
          <w:color w:val="000000"/>
        </w:rPr>
        <w:t xml:space="preserve">that in 2003, </w:t>
      </w:r>
      <w:r w:rsidR="00D55C89">
        <w:rPr>
          <w:color w:val="000000"/>
        </w:rPr>
        <w:t>she vacated her residence</w:t>
      </w:r>
      <w:r w:rsidR="00D32A4D" w:rsidRPr="00D32A4D">
        <w:rPr>
          <w:color w:val="000000"/>
        </w:rPr>
        <w:t xml:space="preserve"> </w:t>
      </w:r>
      <w:r w:rsidR="00D32A4D">
        <w:rPr>
          <w:color w:val="000000"/>
        </w:rPr>
        <w:t>at 3768 Lankenau Road, Philadelphia, PA</w:t>
      </w:r>
      <w:r w:rsidR="00D55C89">
        <w:rPr>
          <w:color w:val="000000"/>
        </w:rPr>
        <w:t>,</w:t>
      </w:r>
      <w:r w:rsidR="004A7308">
        <w:rPr>
          <w:color w:val="000000"/>
        </w:rPr>
        <w:t xml:space="preserve"> </w:t>
      </w:r>
      <w:r w:rsidR="00D55C89">
        <w:rPr>
          <w:color w:val="000000"/>
        </w:rPr>
        <w:t xml:space="preserve">and began renting the premises to </w:t>
      </w:r>
      <w:r w:rsidR="00FD21C7">
        <w:rPr>
          <w:color w:val="000000"/>
        </w:rPr>
        <w:t>tenants</w:t>
      </w:r>
      <w:r w:rsidR="00D55C89">
        <w:rPr>
          <w:color w:val="000000"/>
        </w:rPr>
        <w:t xml:space="preserve">.  Complainant claims she </w:t>
      </w:r>
      <w:r w:rsidR="00FD21C7">
        <w:rPr>
          <w:color w:val="000000"/>
        </w:rPr>
        <w:t>neither</w:t>
      </w:r>
      <w:r w:rsidR="00D55C89">
        <w:rPr>
          <w:color w:val="000000"/>
        </w:rPr>
        <w:t xml:space="preserve"> receive</w:t>
      </w:r>
      <w:r w:rsidR="00FD21C7">
        <w:rPr>
          <w:color w:val="000000"/>
        </w:rPr>
        <w:t>d</w:t>
      </w:r>
      <w:r w:rsidR="00D55C89">
        <w:rPr>
          <w:color w:val="000000"/>
        </w:rPr>
        <w:t xml:space="preserve"> bills </w:t>
      </w:r>
      <w:r w:rsidR="00FD21C7">
        <w:rPr>
          <w:color w:val="000000"/>
        </w:rPr>
        <w:t>n</w:t>
      </w:r>
      <w:r w:rsidR="00D55C89">
        <w:rPr>
          <w:color w:val="000000"/>
        </w:rPr>
        <w:t xml:space="preserve">or correspondence from PGW after February 2008.  She claims she made payments </w:t>
      </w:r>
      <w:r w:rsidR="00D32A4D">
        <w:rPr>
          <w:color w:val="000000"/>
        </w:rPr>
        <w:t>totaling</w:t>
      </w:r>
      <w:r w:rsidR="00D55C89">
        <w:rPr>
          <w:color w:val="000000"/>
        </w:rPr>
        <w:t xml:space="preserve"> $5,409.73 for the period of March 2003 through February 2008.  </w:t>
      </w:r>
      <w:r w:rsidR="00F936EE">
        <w:rPr>
          <w:color w:val="000000"/>
        </w:rPr>
        <w:t xml:space="preserve"> </w:t>
      </w:r>
      <w:r w:rsidR="00CC50E9">
        <w:rPr>
          <w:color w:val="000000"/>
        </w:rPr>
        <w:t>W</w:t>
      </w:r>
      <w:r w:rsidR="00F936EE">
        <w:rPr>
          <w:color w:val="000000"/>
        </w:rPr>
        <w:t xml:space="preserve">hen Complainant </w:t>
      </w:r>
      <w:r w:rsidR="00446565">
        <w:rPr>
          <w:color w:val="000000"/>
        </w:rPr>
        <w:t xml:space="preserve">attempted </w:t>
      </w:r>
      <w:r w:rsidR="00F936EE">
        <w:rPr>
          <w:color w:val="000000"/>
        </w:rPr>
        <w:t xml:space="preserve">to sell the service property in May, 2009, she was informed by </w:t>
      </w:r>
      <w:r w:rsidR="00FD21C7">
        <w:rPr>
          <w:color w:val="000000"/>
        </w:rPr>
        <w:t>the</w:t>
      </w:r>
      <w:r w:rsidR="00F936EE">
        <w:rPr>
          <w:color w:val="000000"/>
        </w:rPr>
        <w:t xml:space="preserve"> title insurance company that PGW had placed two liens</w:t>
      </w:r>
      <w:r w:rsidR="00924C4E" w:rsidRPr="0021115D">
        <w:rPr>
          <w:rStyle w:val="FootnoteReference"/>
        </w:rPr>
        <w:footnoteReference w:id="1"/>
      </w:r>
      <w:r w:rsidR="00924C4E" w:rsidRPr="0021115D">
        <w:t xml:space="preserve"> </w:t>
      </w:r>
      <w:r w:rsidR="00F936EE">
        <w:rPr>
          <w:color w:val="000000"/>
        </w:rPr>
        <w:t xml:space="preserve"> </w:t>
      </w:r>
    </w:p>
    <w:p w:rsidR="00D32A4D" w:rsidRDefault="00F936EE" w:rsidP="00196F89">
      <w:pPr>
        <w:spacing w:line="360" w:lineRule="auto"/>
        <w:rPr>
          <w:color w:val="000000"/>
        </w:rPr>
      </w:pPr>
      <w:proofErr w:type="gramStart"/>
      <w:r>
        <w:rPr>
          <w:color w:val="000000"/>
        </w:rPr>
        <w:lastRenderedPageBreak/>
        <w:t>on</w:t>
      </w:r>
      <w:proofErr w:type="gramEnd"/>
      <w:r>
        <w:rPr>
          <w:color w:val="000000"/>
        </w:rPr>
        <w:t xml:space="preserve"> the property in 2005 totaling $5,277.32.  Complainant contends she should not be held responsible for the lien</w:t>
      </w:r>
      <w:r w:rsidR="00446565">
        <w:rPr>
          <w:color w:val="000000"/>
        </w:rPr>
        <w:t>s</w:t>
      </w:r>
      <w:r>
        <w:rPr>
          <w:color w:val="000000"/>
        </w:rPr>
        <w:t xml:space="preserve"> as </w:t>
      </w:r>
      <w:r w:rsidR="00446565">
        <w:rPr>
          <w:color w:val="000000"/>
        </w:rPr>
        <w:t>they</w:t>
      </w:r>
      <w:r>
        <w:rPr>
          <w:color w:val="000000"/>
        </w:rPr>
        <w:t xml:space="preserve"> w</w:t>
      </w:r>
      <w:r w:rsidR="00446565">
        <w:rPr>
          <w:color w:val="000000"/>
        </w:rPr>
        <w:t>ere</w:t>
      </w:r>
      <w:r>
        <w:rPr>
          <w:color w:val="000000"/>
        </w:rPr>
        <w:t xml:space="preserve"> placed on the house because the two tenants living in the duplex did not pay their gas bills.  Complainant requests </w:t>
      </w:r>
      <w:r w:rsidR="00446565">
        <w:rPr>
          <w:color w:val="000000"/>
        </w:rPr>
        <w:t xml:space="preserve">she not be held responsible for the tenants’ actions and </w:t>
      </w:r>
      <w:r w:rsidR="00FD21C7">
        <w:rPr>
          <w:color w:val="000000"/>
        </w:rPr>
        <w:t>Complainant</w:t>
      </w:r>
      <w:r w:rsidR="00446565">
        <w:rPr>
          <w:color w:val="000000"/>
        </w:rPr>
        <w:t xml:space="preserve"> requests </w:t>
      </w:r>
      <w:r>
        <w:rPr>
          <w:color w:val="000000"/>
        </w:rPr>
        <w:t>a refund from Respondent in the amount of $5,277.32.</w:t>
      </w:r>
    </w:p>
    <w:p w:rsidR="00D32A4D" w:rsidRDefault="00D32A4D" w:rsidP="00F8224E">
      <w:pPr>
        <w:spacing w:line="360" w:lineRule="auto"/>
        <w:ind w:firstLine="1440"/>
        <w:rPr>
          <w:color w:val="000000"/>
        </w:rPr>
      </w:pPr>
    </w:p>
    <w:p w:rsidR="00D32A4D" w:rsidRDefault="00CB55F0" w:rsidP="00D32A4D">
      <w:pPr>
        <w:spacing w:line="360" w:lineRule="auto"/>
        <w:ind w:firstLine="1440"/>
        <w:rPr>
          <w:color w:val="000000"/>
        </w:rPr>
      </w:pPr>
      <w:r w:rsidRPr="00F8224E">
        <w:rPr>
          <w:color w:val="000000"/>
        </w:rPr>
        <w:t xml:space="preserve">On </w:t>
      </w:r>
      <w:r w:rsidR="006E7270" w:rsidRPr="00F8224E">
        <w:rPr>
          <w:color w:val="000000"/>
        </w:rPr>
        <w:t>August 10, 2010</w:t>
      </w:r>
      <w:r w:rsidRPr="00F8224E">
        <w:rPr>
          <w:color w:val="000000"/>
        </w:rPr>
        <w:t>, P</w:t>
      </w:r>
      <w:r w:rsidR="00D32A4D">
        <w:rPr>
          <w:color w:val="000000"/>
        </w:rPr>
        <w:t>GW</w:t>
      </w:r>
      <w:r w:rsidRPr="00F8224E">
        <w:rPr>
          <w:color w:val="000000"/>
        </w:rPr>
        <w:t xml:space="preserve"> filed an Answer denying the material allegations of the Complaint.  </w:t>
      </w:r>
      <w:r w:rsidR="00D32A4D">
        <w:rPr>
          <w:color w:val="000000"/>
        </w:rPr>
        <w:t xml:space="preserve">PGW </w:t>
      </w:r>
      <w:r w:rsidR="0003396C">
        <w:rPr>
          <w:color w:val="000000"/>
        </w:rPr>
        <w:t xml:space="preserve">does not dispute that it </w:t>
      </w:r>
      <w:r w:rsidR="00D32A4D">
        <w:rPr>
          <w:color w:val="000000"/>
        </w:rPr>
        <w:t>filed liens on the service address on March 14, 2005 in the total amount of $4,351.71.  PGW denies the Complainant is being charged twice for the lien and that the balance owed was carried over from Complainant’s bankruptcy matter.</w:t>
      </w:r>
    </w:p>
    <w:p w:rsidR="00D32A4D" w:rsidRDefault="00D32A4D" w:rsidP="00D32A4D">
      <w:pPr>
        <w:spacing w:line="360" w:lineRule="auto"/>
        <w:ind w:firstLine="1440"/>
        <w:rPr>
          <w:color w:val="000000"/>
        </w:rPr>
      </w:pPr>
    </w:p>
    <w:p w:rsidR="000A0EB0" w:rsidRPr="00F8224E" w:rsidRDefault="00A601F4" w:rsidP="00F8224E">
      <w:pPr>
        <w:spacing w:line="360" w:lineRule="auto"/>
        <w:ind w:firstLine="1440"/>
        <w:rPr>
          <w:color w:val="000000"/>
        </w:rPr>
      </w:pPr>
      <w:r>
        <w:rPr>
          <w:color w:val="000000"/>
        </w:rPr>
        <w:t>H</w:t>
      </w:r>
      <w:r w:rsidR="000A0EB0" w:rsidRPr="00F8224E">
        <w:rPr>
          <w:color w:val="000000"/>
        </w:rPr>
        <w:t>earing</w:t>
      </w:r>
      <w:r>
        <w:rPr>
          <w:color w:val="000000"/>
        </w:rPr>
        <w:t>s</w:t>
      </w:r>
      <w:r w:rsidR="000A0EB0" w:rsidRPr="00F8224E">
        <w:rPr>
          <w:color w:val="000000"/>
        </w:rPr>
        <w:t xml:space="preserve"> w</w:t>
      </w:r>
      <w:r>
        <w:rPr>
          <w:color w:val="000000"/>
        </w:rPr>
        <w:t>ere</w:t>
      </w:r>
      <w:r w:rsidR="000A0EB0" w:rsidRPr="00F8224E">
        <w:rPr>
          <w:color w:val="000000"/>
        </w:rPr>
        <w:t xml:space="preserve"> held before </w:t>
      </w:r>
      <w:r w:rsidR="00D32A4D">
        <w:rPr>
          <w:color w:val="000000"/>
        </w:rPr>
        <w:t xml:space="preserve">Administrative Law Judge Charles Rainey on </w:t>
      </w:r>
      <w:r>
        <w:rPr>
          <w:color w:val="000000"/>
        </w:rPr>
        <w:t>April 13, 2010 and June 21, 2010 respectively</w:t>
      </w:r>
      <w:r w:rsidR="003F4AB2" w:rsidRPr="00F8224E">
        <w:rPr>
          <w:color w:val="000000"/>
        </w:rPr>
        <w:t>.</w:t>
      </w:r>
      <w:r>
        <w:rPr>
          <w:color w:val="000000"/>
        </w:rPr>
        <w:t xml:space="preserve">  On October 18, 201</w:t>
      </w:r>
      <w:r w:rsidR="00F376AE">
        <w:rPr>
          <w:color w:val="000000"/>
        </w:rPr>
        <w:t>0</w:t>
      </w:r>
      <w:r>
        <w:rPr>
          <w:color w:val="000000"/>
        </w:rPr>
        <w:t>, this case was transferred to me for an Initial Decision.</w:t>
      </w:r>
      <w:r w:rsidR="003F4AB2" w:rsidRPr="00F8224E">
        <w:rPr>
          <w:color w:val="000000"/>
        </w:rPr>
        <w:t xml:space="preserve"> </w:t>
      </w:r>
    </w:p>
    <w:p w:rsidR="003F4AB2" w:rsidRPr="00F8224E" w:rsidRDefault="003F4AB2" w:rsidP="00F8224E">
      <w:pPr>
        <w:spacing w:line="360" w:lineRule="auto"/>
        <w:ind w:firstLine="1440"/>
        <w:rPr>
          <w:color w:val="000000"/>
        </w:rPr>
      </w:pPr>
    </w:p>
    <w:p w:rsidR="003F4AB2" w:rsidRPr="00F8224E" w:rsidRDefault="003F4AB2" w:rsidP="00CC3849">
      <w:pPr>
        <w:spacing w:line="360" w:lineRule="auto"/>
        <w:jc w:val="center"/>
        <w:rPr>
          <w:color w:val="000000"/>
          <w:u w:val="single"/>
        </w:rPr>
      </w:pPr>
      <w:r w:rsidRPr="00F8224E">
        <w:rPr>
          <w:color w:val="000000"/>
          <w:u w:val="single"/>
        </w:rPr>
        <w:t>FINDINGS OF FACT</w:t>
      </w:r>
    </w:p>
    <w:p w:rsidR="003F4AB2" w:rsidRPr="00F8224E" w:rsidRDefault="003F4AB2" w:rsidP="00F8224E">
      <w:pPr>
        <w:spacing w:line="360" w:lineRule="auto"/>
        <w:ind w:firstLine="1440"/>
        <w:jc w:val="center"/>
        <w:rPr>
          <w:color w:val="000000"/>
          <w:u w:val="single"/>
        </w:rPr>
      </w:pPr>
    </w:p>
    <w:p w:rsidR="00A22471" w:rsidRPr="00F8224E" w:rsidRDefault="003F4AB2" w:rsidP="00F8224E">
      <w:pPr>
        <w:spacing w:line="360" w:lineRule="auto"/>
        <w:ind w:firstLine="1440"/>
        <w:rPr>
          <w:color w:val="000000"/>
        </w:rPr>
      </w:pPr>
      <w:r w:rsidRPr="00F8224E">
        <w:rPr>
          <w:color w:val="000000"/>
        </w:rPr>
        <w:t>1.</w:t>
      </w:r>
      <w:r w:rsidRPr="00F8224E">
        <w:rPr>
          <w:color w:val="000000"/>
        </w:rPr>
        <w:tab/>
        <w:t xml:space="preserve">Complainant is </w:t>
      </w:r>
      <w:r w:rsidR="00A601F4">
        <w:rPr>
          <w:color w:val="000000"/>
        </w:rPr>
        <w:t>A</w:t>
      </w:r>
      <w:r w:rsidR="00331A35">
        <w:rPr>
          <w:color w:val="000000"/>
        </w:rPr>
        <w:t>r</w:t>
      </w:r>
      <w:r w:rsidR="00A601F4">
        <w:rPr>
          <w:color w:val="000000"/>
        </w:rPr>
        <w:t xml:space="preserve">delle </w:t>
      </w:r>
      <w:r w:rsidR="004D7664" w:rsidRPr="00F8224E">
        <w:rPr>
          <w:color w:val="000000"/>
        </w:rPr>
        <w:t>Jackson</w:t>
      </w:r>
      <w:r w:rsidR="005643D0" w:rsidRPr="00F8224E">
        <w:rPr>
          <w:color w:val="000000"/>
        </w:rPr>
        <w:t xml:space="preserve">, an individual residing at </w:t>
      </w:r>
      <w:r w:rsidR="00A601F4">
        <w:rPr>
          <w:color w:val="000000"/>
        </w:rPr>
        <w:t>3605 Warwick Way, Snellville, Georgia.</w:t>
      </w:r>
      <w:r w:rsidR="00A22471" w:rsidRPr="00F8224E">
        <w:rPr>
          <w:color w:val="000000"/>
        </w:rPr>
        <w:t xml:space="preserve"> </w:t>
      </w:r>
      <w:r w:rsidR="00A601F4">
        <w:rPr>
          <w:color w:val="000000"/>
        </w:rPr>
        <w:t xml:space="preserve"> (</w:t>
      </w:r>
      <w:r w:rsidR="000316F5">
        <w:rPr>
          <w:color w:val="000000"/>
        </w:rPr>
        <w:t xml:space="preserve">April 13, 2010 </w:t>
      </w:r>
      <w:r w:rsidR="00A601F4">
        <w:rPr>
          <w:color w:val="000000"/>
        </w:rPr>
        <w:t>N.T. at 6).</w:t>
      </w:r>
      <w:r w:rsidR="00A22471" w:rsidRPr="00F8224E">
        <w:rPr>
          <w:color w:val="000000"/>
        </w:rPr>
        <w:t xml:space="preserve"> </w:t>
      </w:r>
    </w:p>
    <w:p w:rsidR="004D7664" w:rsidRPr="00F8224E" w:rsidRDefault="004D7664" w:rsidP="00F8224E">
      <w:pPr>
        <w:spacing w:line="360" w:lineRule="auto"/>
        <w:ind w:firstLine="1440"/>
        <w:rPr>
          <w:color w:val="000000"/>
        </w:rPr>
      </w:pPr>
    </w:p>
    <w:p w:rsidR="00DA3C1F" w:rsidRPr="00F8224E" w:rsidRDefault="00DA3C1F" w:rsidP="00F8224E">
      <w:pPr>
        <w:spacing w:line="360" w:lineRule="auto"/>
        <w:ind w:firstLine="1440"/>
        <w:rPr>
          <w:color w:val="000000"/>
        </w:rPr>
      </w:pPr>
      <w:r w:rsidRPr="00F8224E">
        <w:rPr>
          <w:color w:val="000000"/>
        </w:rPr>
        <w:t>2.</w:t>
      </w:r>
      <w:r w:rsidRPr="00F8224E">
        <w:rPr>
          <w:color w:val="000000"/>
        </w:rPr>
        <w:tab/>
        <w:t>Respondent is P</w:t>
      </w:r>
      <w:r w:rsidR="00A601F4">
        <w:rPr>
          <w:color w:val="000000"/>
        </w:rPr>
        <w:t>hiladelphia Gas Works (PGW)</w:t>
      </w:r>
      <w:r w:rsidRPr="00F8224E">
        <w:rPr>
          <w:color w:val="000000"/>
        </w:rPr>
        <w:t>.</w:t>
      </w:r>
    </w:p>
    <w:p w:rsidR="00CC50E9" w:rsidRDefault="00CC50E9" w:rsidP="00F8224E">
      <w:pPr>
        <w:spacing w:line="360" w:lineRule="auto"/>
        <w:ind w:firstLine="1440"/>
        <w:rPr>
          <w:color w:val="000000"/>
        </w:rPr>
      </w:pPr>
    </w:p>
    <w:p w:rsidR="00A20B2A" w:rsidRDefault="00CC50E9" w:rsidP="00F8224E">
      <w:pPr>
        <w:spacing w:line="360" w:lineRule="auto"/>
        <w:ind w:firstLine="1440"/>
        <w:rPr>
          <w:color w:val="000000"/>
        </w:rPr>
      </w:pPr>
      <w:r>
        <w:rPr>
          <w:color w:val="000000"/>
        </w:rPr>
        <w:t>3.</w:t>
      </w:r>
      <w:r>
        <w:rPr>
          <w:color w:val="000000"/>
        </w:rPr>
        <w:tab/>
        <w:t xml:space="preserve">Complainant seeks a refund of </w:t>
      </w:r>
      <w:r w:rsidR="00B325A4">
        <w:rPr>
          <w:color w:val="000000"/>
        </w:rPr>
        <w:t xml:space="preserve">$5,277.32 </w:t>
      </w:r>
      <w:r>
        <w:rPr>
          <w:color w:val="000000"/>
        </w:rPr>
        <w:t xml:space="preserve">from PGW for an improper lien placed on her </w:t>
      </w:r>
      <w:r w:rsidR="006E4EEA">
        <w:rPr>
          <w:color w:val="000000"/>
        </w:rPr>
        <w:t xml:space="preserve">duplex </w:t>
      </w:r>
      <w:r>
        <w:rPr>
          <w:color w:val="000000"/>
        </w:rPr>
        <w:t xml:space="preserve">service property </w:t>
      </w:r>
      <w:r w:rsidR="00A20B2A">
        <w:rPr>
          <w:color w:val="000000"/>
        </w:rPr>
        <w:t>at 3768 Lankenau Road, Philadelphia, PA 19131</w:t>
      </w:r>
      <w:r w:rsidR="00F376AE">
        <w:rPr>
          <w:color w:val="000000"/>
        </w:rPr>
        <w:t xml:space="preserve"> premises</w:t>
      </w:r>
      <w:r w:rsidR="00A20B2A">
        <w:rPr>
          <w:color w:val="000000"/>
        </w:rPr>
        <w:t>. (</w:t>
      </w:r>
      <w:r w:rsidR="00FD21C7">
        <w:rPr>
          <w:color w:val="000000"/>
        </w:rPr>
        <w:t>April 13, 2010</w:t>
      </w:r>
      <w:r w:rsidR="00A20B2A">
        <w:rPr>
          <w:color w:val="000000"/>
        </w:rPr>
        <w:t>N.T. at 7)</w:t>
      </w:r>
      <w:r w:rsidR="006E4EEA">
        <w:rPr>
          <w:color w:val="000000"/>
        </w:rPr>
        <w:t>.</w:t>
      </w:r>
    </w:p>
    <w:p w:rsidR="00A20B2A" w:rsidRDefault="00A20B2A" w:rsidP="00F8224E">
      <w:pPr>
        <w:spacing w:line="360" w:lineRule="auto"/>
        <w:ind w:firstLine="1440"/>
        <w:rPr>
          <w:color w:val="000000"/>
        </w:rPr>
      </w:pPr>
    </w:p>
    <w:p w:rsidR="000316F5" w:rsidRDefault="00F376AE" w:rsidP="00F8224E">
      <w:pPr>
        <w:spacing w:line="360" w:lineRule="auto"/>
        <w:ind w:firstLine="1440"/>
        <w:rPr>
          <w:color w:val="000000"/>
        </w:rPr>
      </w:pPr>
      <w:r>
        <w:rPr>
          <w:color w:val="000000"/>
        </w:rPr>
        <w:t>4</w:t>
      </w:r>
      <w:r w:rsidR="004E074B" w:rsidRPr="00F8224E">
        <w:rPr>
          <w:color w:val="000000"/>
        </w:rPr>
        <w:t>.</w:t>
      </w:r>
      <w:r w:rsidR="004E074B" w:rsidRPr="00F8224E">
        <w:rPr>
          <w:color w:val="000000"/>
        </w:rPr>
        <w:tab/>
      </w:r>
      <w:r w:rsidR="00876E28" w:rsidRPr="00F8224E">
        <w:rPr>
          <w:color w:val="000000"/>
        </w:rPr>
        <w:t xml:space="preserve">In </w:t>
      </w:r>
      <w:r w:rsidR="000316F5">
        <w:rPr>
          <w:color w:val="000000"/>
        </w:rPr>
        <w:t>March 1996, Complainant purchased the service property and began paying for gas service in her name for the entire duplex.  (</w:t>
      </w:r>
      <w:r w:rsidR="00FD21C7">
        <w:rPr>
          <w:color w:val="000000"/>
        </w:rPr>
        <w:t xml:space="preserve">April 13, 2010 </w:t>
      </w:r>
      <w:r w:rsidR="000316F5">
        <w:rPr>
          <w:color w:val="000000"/>
        </w:rPr>
        <w:t xml:space="preserve">N.T. 7-8).  </w:t>
      </w:r>
    </w:p>
    <w:p w:rsidR="000316F5" w:rsidRDefault="000316F5" w:rsidP="00F8224E">
      <w:pPr>
        <w:spacing w:line="360" w:lineRule="auto"/>
        <w:ind w:firstLine="1440"/>
        <w:rPr>
          <w:color w:val="000000"/>
        </w:rPr>
      </w:pPr>
    </w:p>
    <w:p w:rsidR="00F02B89" w:rsidRDefault="00F376AE" w:rsidP="00F8224E">
      <w:pPr>
        <w:spacing w:line="360" w:lineRule="auto"/>
        <w:ind w:firstLine="1440"/>
        <w:rPr>
          <w:color w:val="000000"/>
        </w:rPr>
      </w:pPr>
      <w:r>
        <w:rPr>
          <w:color w:val="000000"/>
        </w:rPr>
        <w:t>5</w:t>
      </w:r>
      <w:r w:rsidR="000316F5">
        <w:rPr>
          <w:color w:val="000000"/>
        </w:rPr>
        <w:t>.</w:t>
      </w:r>
      <w:r w:rsidR="000316F5">
        <w:rPr>
          <w:color w:val="000000"/>
        </w:rPr>
        <w:tab/>
      </w:r>
      <w:r w:rsidR="00F02B89">
        <w:rPr>
          <w:color w:val="000000"/>
        </w:rPr>
        <w:t>Because of high gas bills, she terminated her gas service to the second floor of the duplex.  (</w:t>
      </w:r>
      <w:r w:rsidR="00FD21C7">
        <w:rPr>
          <w:color w:val="000000"/>
        </w:rPr>
        <w:t xml:space="preserve">April 13, 2010 </w:t>
      </w:r>
      <w:r w:rsidR="00F02B89">
        <w:rPr>
          <w:color w:val="000000"/>
        </w:rPr>
        <w:t>N.T. 8).</w:t>
      </w:r>
    </w:p>
    <w:p w:rsidR="00F02B89" w:rsidRDefault="00F02B89" w:rsidP="00F8224E">
      <w:pPr>
        <w:spacing w:line="360" w:lineRule="auto"/>
        <w:ind w:firstLine="1440"/>
        <w:rPr>
          <w:color w:val="000000"/>
        </w:rPr>
      </w:pPr>
    </w:p>
    <w:p w:rsidR="00F02B89" w:rsidRDefault="00F376AE" w:rsidP="00F8224E">
      <w:pPr>
        <w:spacing w:line="360" w:lineRule="auto"/>
        <w:ind w:firstLine="1440"/>
        <w:rPr>
          <w:color w:val="000000"/>
        </w:rPr>
      </w:pPr>
      <w:r>
        <w:rPr>
          <w:color w:val="000000"/>
        </w:rPr>
        <w:lastRenderedPageBreak/>
        <w:t>6</w:t>
      </w:r>
      <w:r w:rsidR="00F02B89">
        <w:rPr>
          <w:color w:val="000000"/>
        </w:rPr>
        <w:t>.</w:t>
      </w:r>
      <w:r w:rsidR="00F02B89">
        <w:rPr>
          <w:color w:val="000000"/>
        </w:rPr>
        <w:tab/>
        <w:t>In March 2003</w:t>
      </w:r>
      <w:r w:rsidR="0003396C">
        <w:rPr>
          <w:color w:val="000000"/>
        </w:rPr>
        <w:t>,</w:t>
      </w:r>
      <w:r w:rsidR="00F02B89">
        <w:rPr>
          <w:color w:val="000000"/>
        </w:rPr>
        <w:t xml:space="preserve"> Complainant filed a Chapter 13 bankruptcy petition and this was resolved in August 2008.  (</w:t>
      </w:r>
      <w:r w:rsidR="00FD21C7">
        <w:rPr>
          <w:color w:val="000000"/>
        </w:rPr>
        <w:t xml:space="preserve">April 13, 2010 </w:t>
      </w:r>
      <w:r w:rsidR="00F02B89">
        <w:rPr>
          <w:color w:val="000000"/>
        </w:rPr>
        <w:t>N.T. 8).</w:t>
      </w:r>
      <w:r w:rsidR="00FB1D66">
        <w:rPr>
          <w:color w:val="000000"/>
        </w:rPr>
        <w:t xml:space="preserve">  </w:t>
      </w:r>
    </w:p>
    <w:p w:rsidR="00FB1D66" w:rsidRDefault="00FB1D66" w:rsidP="00F8224E">
      <w:pPr>
        <w:spacing w:line="360" w:lineRule="auto"/>
        <w:ind w:firstLine="1440"/>
        <w:rPr>
          <w:color w:val="000000"/>
        </w:rPr>
      </w:pPr>
    </w:p>
    <w:p w:rsidR="00FB1D66" w:rsidRDefault="00F376AE" w:rsidP="00F8224E">
      <w:pPr>
        <w:spacing w:line="360" w:lineRule="auto"/>
        <w:ind w:firstLine="1440"/>
        <w:rPr>
          <w:color w:val="000000"/>
        </w:rPr>
      </w:pPr>
      <w:r>
        <w:rPr>
          <w:color w:val="000000"/>
        </w:rPr>
        <w:t>7</w:t>
      </w:r>
      <w:r w:rsidR="00FB1D66">
        <w:rPr>
          <w:color w:val="000000"/>
        </w:rPr>
        <w:t>.</w:t>
      </w:r>
      <w:r w:rsidR="00FB1D66">
        <w:rPr>
          <w:color w:val="000000"/>
        </w:rPr>
        <w:tab/>
        <w:t xml:space="preserve">On September 16, 2008, $5,409.73 was discharged from Complainant’s </w:t>
      </w:r>
      <w:r w:rsidR="000F3438">
        <w:rPr>
          <w:color w:val="000000"/>
        </w:rPr>
        <w:t xml:space="preserve">PGW </w:t>
      </w:r>
      <w:r w:rsidR="00FB1D66">
        <w:rPr>
          <w:color w:val="000000"/>
        </w:rPr>
        <w:t>account and her account reflected a zero balance once it was discharged.  (</w:t>
      </w:r>
      <w:r w:rsidR="00901EFE">
        <w:rPr>
          <w:color w:val="000000"/>
        </w:rPr>
        <w:t xml:space="preserve">June 21, 2010 </w:t>
      </w:r>
      <w:r w:rsidR="00FB1D66">
        <w:rPr>
          <w:color w:val="000000"/>
        </w:rPr>
        <w:t>N.T. at 28-29).</w:t>
      </w:r>
    </w:p>
    <w:p w:rsidR="00F02B89" w:rsidRDefault="00F02B89" w:rsidP="00F8224E">
      <w:pPr>
        <w:spacing w:line="360" w:lineRule="auto"/>
        <w:ind w:firstLine="1440"/>
        <w:rPr>
          <w:color w:val="000000"/>
        </w:rPr>
      </w:pPr>
    </w:p>
    <w:p w:rsidR="004E074B" w:rsidRPr="00F8224E" w:rsidRDefault="00F376AE" w:rsidP="00F8224E">
      <w:pPr>
        <w:spacing w:line="360" w:lineRule="auto"/>
        <w:ind w:firstLine="1440"/>
        <w:rPr>
          <w:color w:val="000000"/>
        </w:rPr>
      </w:pPr>
      <w:r>
        <w:rPr>
          <w:color w:val="000000"/>
        </w:rPr>
        <w:t>8</w:t>
      </w:r>
      <w:r w:rsidR="00F02B89">
        <w:rPr>
          <w:color w:val="000000"/>
        </w:rPr>
        <w:t>.</w:t>
      </w:r>
      <w:r w:rsidR="00F02B89">
        <w:rPr>
          <w:color w:val="000000"/>
        </w:rPr>
        <w:tab/>
      </w:r>
      <w:r w:rsidR="002A0DB8">
        <w:rPr>
          <w:color w:val="000000"/>
        </w:rPr>
        <w:t>On March 29, 2003, Complainant moved from the service property and rented the first floor to Kevin Stanton and the second floor to Katrina Brown,  (</w:t>
      </w:r>
      <w:r w:rsidR="00901EFE">
        <w:rPr>
          <w:color w:val="000000"/>
        </w:rPr>
        <w:t xml:space="preserve">April 13, 2010 </w:t>
      </w:r>
      <w:r w:rsidR="002A0DB8">
        <w:rPr>
          <w:color w:val="000000"/>
        </w:rPr>
        <w:t>N.T. 11-12; Complainant Exhibits 5 and 6).</w:t>
      </w:r>
    </w:p>
    <w:p w:rsidR="004E074B" w:rsidRPr="00F8224E" w:rsidRDefault="004E074B" w:rsidP="00F8224E">
      <w:pPr>
        <w:spacing w:line="360" w:lineRule="auto"/>
        <w:ind w:firstLine="1440"/>
        <w:rPr>
          <w:color w:val="000000"/>
        </w:rPr>
      </w:pPr>
    </w:p>
    <w:p w:rsidR="00652756" w:rsidRDefault="00F376AE" w:rsidP="00F8224E">
      <w:pPr>
        <w:spacing w:line="360" w:lineRule="auto"/>
        <w:ind w:firstLine="1440"/>
        <w:rPr>
          <w:color w:val="000000"/>
        </w:rPr>
      </w:pPr>
      <w:r>
        <w:rPr>
          <w:color w:val="000000"/>
        </w:rPr>
        <w:t>9</w:t>
      </w:r>
      <w:r w:rsidR="004E074B" w:rsidRPr="00F8224E">
        <w:rPr>
          <w:color w:val="000000"/>
        </w:rPr>
        <w:t>.</w:t>
      </w:r>
      <w:r w:rsidR="004E074B" w:rsidRPr="00F8224E">
        <w:rPr>
          <w:color w:val="000000"/>
        </w:rPr>
        <w:tab/>
      </w:r>
      <w:r w:rsidR="00652756">
        <w:rPr>
          <w:color w:val="000000"/>
        </w:rPr>
        <w:t xml:space="preserve">On page 2 of </w:t>
      </w:r>
      <w:r w:rsidR="000F3438">
        <w:rPr>
          <w:color w:val="000000"/>
        </w:rPr>
        <w:t xml:space="preserve">Complainant </w:t>
      </w:r>
      <w:r w:rsidR="00652756">
        <w:rPr>
          <w:color w:val="000000"/>
        </w:rPr>
        <w:t>Exhibits 5 and 6, the leases state that the tenants are responsible to pay their own electric and gas bills.  (</w:t>
      </w:r>
      <w:r w:rsidR="00901EFE">
        <w:rPr>
          <w:color w:val="000000"/>
        </w:rPr>
        <w:t xml:space="preserve">April 13, 2010 </w:t>
      </w:r>
      <w:r w:rsidR="00652756">
        <w:rPr>
          <w:color w:val="000000"/>
        </w:rPr>
        <w:t xml:space="preserve">N.T. 12). </w:t>
      </w:r>
    </w:p>
    <w:p w:rsidR="00652756" w:rsidRDefault="00652756" w:rsidP="00F8224E">
      <w:pPr>
        <w:spacing w:line="360" w:lineRule="auto"/>
        <w:ind w:firstLine="1440"/>
        <w:rPr>
          <w:color w:val="000000"/>
        </w:rPr>
      </w:pPr>
    </w:p>
    <w:p w:rsidR="00697F02" w:rsidRDefault="00F376AE" w:rsidP="00F8224E">
      <w:pPr>
        <w:spacing w:line="360" w:lineRule="auto"/>
        <w:ind w:firstLine="1440"/>
        <w:rPr>
          <w:color w:val="000000"/>
        </w:rPr>
      </w:pPr>
      <w:r>
        <w:rPr>
          <w:color w:val="000000"/>
        </w:rPr>
        <w:t>10</w:t>
      </w:r>
      <w:r w:rsidR="00652756">
        <w:rPr>
          <w:color w:val="000000"/>
        </w:rPr>
        <w:t>.</w:t>
      </w:r>
      <w:r w:rsidR="00652756">
        <w:rPr>
          <w:color w:val="000000"/>
        </w:rPr>
        <w:tab/>
        <w:t>When Complainant</w:t>
      </w:r>
      <w:r w:rsidR="00C46163">
        <w:rPr>
          <w:color w:val="000000"/>
        </w:rPr>
        <w:t xml:space="preserve"> </w:t>
      </w:r>
      <w:r w:rsidR="00652756">
        <w:rPr>
          <w:color w:val="000000"/>
        </w:rPr>
        <w:t>at</w:t>
      </w:r>
      <w:r w:rsidR="00697F02">
        <w:rPr>
          <w:color w:val="000000"/>
        </w:rPr>
        <w:t>tempt</w:t>
      </w:r>
      <w:r w:rsidR="00652756">
        <w:rPr>
          <w:color w:val="000000"/>
        </w:rPr>
        <w:t>ed to sell the service property in May, 2009, her title company did a title search on the property and found that</w:t>
      </w:r>
      <w:r w:rsidR="00F1799F">
        <w:rPr>
          <w:color w:val="000000"/>
        </w:rPr>
        <w:t xml:space="preserve"> PGW had two liens on the property.  One lien was for the second floor of the duplex in the amount of $2,419.53 entered on March 14, 2005, and the second lien in the amount of $1,932.18 for the first floor entered on March 14, 2005.  The total was $4,351.71.</w:t>
      </w:r>
      <w:r w:rsidR="00AD0DC3">
        <w:rPr>
          <w:color w:val="000000"/>
        </w:rPr>
        <w:t xml:space="preserve"> </w:t>
      </w:r>
      <w:r w:rsidR="004F503D">
        <w:rPr>
          <w:color w:val="000000"/>
        </w:rPr>
        <w:t xml:space="preserve"> </w:t>
      </w:r>
      <w:r w:rsidR="00901EFE">
        <w:rPr>
          <w:color w:val="000000"/>
        </w:rPr>
        <w:t>(April 13, 2010 N.T. 13-14).</w:t>
      </w:r>
    </w:p>
    <w:p w:rsidR="00697F02" w:rsidRDefault="00697F02" w:rsidP="00F8224E">
      <w:pPr>
        <w:spacing w:line="360" w:lineRule="auto"/>
        <w:ind w:firstLine="1440"/>
        <w:rPr>
          <w:color w:val="000000"/>
        </w:rPr>
      </w:pPr>
    </w:p>
    <w:p w:rsidR="00C46163" w:rsidRDefault="00F376AE" w:rsidP="00F8224E">
      <w:pPr>
        <w:spacing w:line="360" w:lineRule="auto"/>
        <w:ind w:firstLine="1440"/>
        <w:rPr>
          <w:color w:val="000000"/>
        </w:rPr>
      </w:pPr>
      <w:r>
        <w:rPr>
          <w:color w:val="000000"/>
        </w:rPr>
        <w:t>11</w:t>
      </w:r>
      <w:r w:rsidR="00697F02">
        <w:rPr>
          <w:color w:val="000000"/>
        </w:rPr>
        <w:t>.</w:t>
      </w:r>
      <w:r w:rsidR="00697F02">
        <w:rPr>
          <w:color w:val="000000"/>
        </w:rPr>
        <w:tab/>
        <w:t xml:space="preserve">In addition to the two liens, </w:t>
      </w:r>
      <w:r w:rsidR="004F503D">
        <w:rPr>
          <w:color w:val="000000"/>
        </w:rPr>
        <w:t>PGW was claiming an additional $9</w:t>
      </w:r>
      <w:r w:rsidR="003B3CE6">
        <w:rPr>
          <w:color w:val="000000"/>
        </w:rPr>
        <w:t>25.61</w:t>
      </w:r>
      <w:r w:rsidR="004F503D">
        <w:rPr>
          <w:color w:val="000000"/>
        </w:rPr>
        <w:t xml:space="preserve"> for a cancelled payment due to insufficient funds it claimed Complainant owed Respondent thus making a total lien amount of $5,277.32 </w:t>
      </w:r>
      <w:r w:rsidR="00AD0DC3">
        <w:rPr>
          <w:color w:val="000000"/>
        </w:rPr>
        <w:t>(</w:t>
      </w:r>
      <w:r w:rsidR="00901EFE">
        <w:rPr>
          <w:color w:val="000000"/>
        </w:rPr>
        <w:t xml:space="preserve">April 13, 2010 </w:t>
      </w:r>
      <w:r w:rsidR="00AD0DC3">
        <w:rPr>
          <w:color w:val="000000"/>
        </w:rPr>
        <w:t>N.T. 15</w:t>
      </w:r>
      <w:r w:rsidR="003B3CE6">
        <w:rPr>
          <w:color w:val="000000"/>
        </w:rPr>
        <w:t>-18</w:t>
      </w:r>
      <w:r w:rsidR="00AD0DC3">
        <w:rPr>
          <w:color w:val="000000"/>
        </w:rPr>
        <w:t>)</w:t>
      </w:r>
      <w:r w:rsidR="004F503D">
        <w:rPr>
          <w:color w:val="000000"/>
        </w:rPr>
        <w:t xml:space="preserve"> (June </w:t>
      </w:r>
      <w:r w:rsidR="00901EFE">
        <w:rPr>
          <w:color w:val="000000"/>
        </w:rPr>
        <w:t xml:space="preserve">21, 2010 </w:t>
      </w:r>
      <w:r w:rsidR="004F503D">
        <w:rPr>
          <w:color w:val="000000"/>
        </w:rPr>
        <w:t>N.T.</w:t>
      </w:r>
      <w:r w:rsidR="003B3CE6">
        <w:rPr>
          <w:color w:val="000000"/>
        </w:rPr>
        <w:t xml:space="preserve"> 57)</w:t>
      </w:r>
      <w:r w:rsidR="00AD0DC3">
        <w:rPr>
          <w:color w:val="000000"/>
        </w:rPr>
        <w:t>.</w:t>
      </w:r>
      <w:r w:rsidR="00F1799F">
        <w:rPr>
          <w:color w:val="000000"/>
        </w:rPr>
        <w:t xml:space="preserve"> </w:t>
      </w:r>
    </w:p>
    <w:p w:rsidR="009D173A" w:rsidRDefault="009D173A" w:rsidP="00F8224E">
      <w:pPr>
        <w:spacing w:line="360" w:lineRule="auto"/>
        <w:ind w:firstLine="1440"/>
        <w:rPr>
          <w:color w:val="000000"/>
        </w:rPr>
      </w:pPr>
    </w:p>
    <w:p w:rsidR="00C46163" w:rsidRDefault="00F376AE" w:rsidP="00F8224E">
      <w:pPr>
        <w:spacing w:line="360" w:lineRule="auto"/>
        <w:ind w:firstLine="1440"/>
        <w:rPr>
          <w:color w:val="000000"/>
        </w:rPr>
      </w:pPr>
      <w:r>
        <w:rPr>
          <w:color w:val="000000"/>
        </w:rPr>
        <w:t>12</w:t>
      </w:r>
      <w:r w:rsidR="009D173A">
        <w:rPr>
          <w:color w:val="000000"/>
        </w:rPr>
        <w:t>.</w:t>
      </w:r>
      <w:r w:rsidR="009D173A">
        <w:rPr>
          <w:color w:val="000000"/>
        </w:rPr>
        <w:tab/>
        <w:t xml:space="preserve">At the settlement on May 22, 2009, Abstract Title Insurance </w:t>
      </w:r>
      <w:r w:rsidR="009516C2">
        <w:rPr>
          <w:color w:val="000000"/>
        </w:rPr>
        <w:t>withheld</w:t>
      </w:r>
      <w:r w:rsidR="009D173A">
        <w:rPr>
          <w:color w:val="000000"/>
        </w:rPr>
        <w:t xml:space="preserve"> </w:t>
      </w:r>
      <w:r w:rsidR="00F936EE">
        <w:rPr>
          <w:color w:val="000000"/>
        </w:rPr>
        <w:t xml:space="preserve">$5,277.32 </w:t>
      </w:r>
      <w:r w:rsidR="009D173A">
        <w:rPr>
          <w:color w:val="000000"/>
        </w:rPr>
        <w:t xml:space="preserve">from the sale proceeds </w:t>
      </w:r>
      <w:r w:rsidR="006E4EEA">
        <w:rPr>
          <w:color w:val="000000"/>
        </w:rPr>
        <w:t xml:space="preserve">and </w:t>
      </w:r>
      <w:r w:rsidR="009D173A">
        <w:rPr>
          <w:color w:val="000000"/>
        </w:rPr>
        <w:t>gave the money to PGW to satisfy the liens.</w:t>
      </w:r>
      <w:r w:rsidR="00AD0DC3">
        <w:rPr>
          <w:color w:val="000000"/>
        </w:rPr>
        <w:t xml:space="preserve"> </w:t>
      </w:r>
      <w:proofErr w:type="gramStart"/>
      <w:r w:rsidR="00AD0DC3">
        <w:rPr>
          <w:color w:val="000000"/>
        </w:rPr>
        <w:t>(</w:t>
      </w:r>
      <w:r w:rsidR="00CC3849">
        <w:rPr>
          <w:color w:val="000000"/>
        </w:rPr>
        <w:t xml:space="preserve">April 13, 2010 </w:t>
      </w:r>
      <w:r w:rsidR="00AD0DC3">
        <w:rPr>
          <w:color w:val="000000"/>
        </w:rPr>
        <w:t>N.T. 16</w:t>
      </w:r>
      <w:r w:rsidR="0032662C">
        <w:rPr>
          <w:color w:val="000000"/>
        </w:rPr>
        <w:t>, 19; Complainant Exhibit 3</w:t>
      </w:r>
      <w:r w:rsidR="00AD0DC3">
        <w:rPr>
          <w:color w:val="000000"/>
        </w:rPr>
        <w:t>).</w:t>
      </w:r>
      <w:proofErr w:type="gramEnd"/>
    </w:p>
    <w:p w:rsidR="009D173A" w:rsidRDefault="009D173A" w:rsidP="00F8224E">
      <w:pPr>
        <w:spacing w:line="360" w:lineRule="auto"/>
        <w:ind w:firstLine="1440"/>
        <w:rPr>
          <w:color w:val="000000"/>
        </w:rPr>
      </w:pPr>
    </w:p>
    <w:p w:rsidR="0032662C" w:rsidRDefault="0032662C" w:rsidP="00F8224E">
      <w:pPr>
        <w:spacing w:line="360" w:lineRule="auto"/>
        <w:ind w:firstLine="1440"/>
        <w:rPr>
          <w:color w:val="000000"/>
        </w:rPr>
      </w:pPr>
      <w:r>
        <w:rPr>
          <w:color w:val="000000"/>
        </w:rPr>
        <w:t>1</w:t>
      </w:r>
      <w:r w:rsidR="00F376AE">
        <w:rPr>
          <w:color w:val="000000"/>
        </w:rPr>
        <w:t>3</w:t>
      </w:r>
      <w:r>
        <w:rPr>
          <w:color w:val="000000"/>
        </w:rPr>
        <w:t>.</w:t>
      </w:r>
      <w:r>
        <w:rPr>
          <w:color w:val="000000"/>
        </w:rPr>
        <w:tab/>
        <w:t xml:space="preserve">Originally, Complainant believed the amount of the </w:t>
      </w:r>
      <w:r w:rsidR="00B738BC">
        <w:rPr>
          <w:color w:val="000000"/>
        </w:rPr>
        <w:t>lien</w:t>
      </w:r>
      <w:r>
        <w:rPr>
          <w:color w:val="000000"/>
        </w:rPr>
        <w:t xml:space="preserve"> was the amount Complainant had paid during the course of her residing at the service property</w:t>
      </w:r>
      <w:r w:rsidR="00383130">
        <w:rPr>
          <w:color w:val="000000"/>
        </w:rPr>
        <w:t xml:space="preserve">, but later believed that the lien amounts are from the time period Kevin Stanton and Katrina Brown were tenants at </w:t>
      </w:r>
      <w:r w:rsidR="00383130">
        <w:rPr>
          <w:color w:val="000000"/>
        </w:rPr>
        <w:lastRenderedPageBreak/>
        <w:t>the service property, and it is Complainant’s position that she should not be held legally responsible for the tenants’ unpaid gas bills.</w:t>
      </w:r>
    </w:p>
    <w:p w:rsidR="00383130" w:rsidRDefault="00383130" w:rsidP="00F8224E">
      <w:pPr>
        <w:spacing w:line="360" w:lineRule="auto"/>
        <w:ind w:firstLine="1440"/>
        <w:rPr>
          <w:color w:val="000000"/>
        </w:rPr>
      </w:pPr>
    </w:p>
    <w:p w:rsidR="00383130" w:rsidRDefault="00383130" w:rsidP="00F8224E">
      <w:pPr>
        <w:spacing w:line="360" w:lineRule="auto"/>
        <w:ind w:firstLine="1440"/>
        <w:rPr>
          <w:color w:val="000000"/>
        </w:rPr>
      </w:pPr>
      <w:r>
        <w:rPr>
          <w:color w:val="000000"/>
        </w:rPr>
        <w:t>1</w:t>
      </w:r>
      <w:r w:rsidR="00F376AE">
        <w:rPr>
          <w:color w:val="000000"/>
        </w:rPr>
        <w:t>4</w:t>
      </w:r>
      <w:r>
        <w:rPr>
          <w:color w:val="000000"/>
        </w:rPr>
        <w:t>.</w:t>
      </w:r>
      <w:r>
        <w:rPr>
          <w:color w:val="000000"/>
        </w:rPr>
        <w:tab/>
      </w:r>
      <w:r w:rsidR="0065594D">
        <w:rPr>
          <w:color w:val="000000"/>
        </w:rPr>
        <w:t xml:space="preserve">Susan Kelly, PGW’s Customer Review Officer, testified that the payment </w:t>
      </w:r>
      <w:r w:rsidR="00457C8A">
        <w:rPr>
          <w:color w:val="000000"/>
        </w:rPr>
        <w:t>Complainant</w:t>
      </w:r>
      <w:r w:rsidR="0065594D">
        <w:rPr>
          <w:color w:val="000000"/>
        </w:rPr>
        <w:t xml:space="preserve"> made for $5,409.73 was paid.  She also found that on the account there were new account numbers given once the bankruptcies were rendered.</w:t>
      </w:r>
      <w:r w:rsidR="0015253B">
        <w:rPr>
          <w:color w:val="000000"/>
        </w:rPr>
        <w:t xml:space="preserve">  </w:t>
      </w:r>
      <w:r w:rsidR="0065594D">
        <w:rPr>
          <w:color w:val="000000"/>
        </w:rPr>
        <w:t>And there were two outstanding amounts that were owed and that were in write-off status.</w:t>
      </w:r>
      <w:r w:rsidR="00457C8A">
        <w:rPr>
          <w:color w:val="000000"/>
        </w:rPr>
        <w:t xml:space="preserve">  (</w:t>
      </w:r>
      <w:r w:rsidR="00901EFE">
        <w:rPr>
          <w:color w:val="000000"/>
        </w:rPr>
        <w:t xml:space="preserve">April 13, 2010 </w:t>
      </w:r>
      <w:r w:rsidR="00457C8A">
        <w:rPr>
          <w:color w:val="000000"/>
        </w:rPr>
        <w:t>N.T. at 25).</w:t>
      </w:r>
      <w:r w:rsidR="0065594D">
        <w:rPr>
          <w:color w:val="000000"/>
        </w:rPr>
        <w:t xml:space="preserve">  </w:t>
      </w:r>
    </w:p>
    <w:p w:rsidR="00AD0DC3" w:rsidRDefault="00AD0DC3" w:rsidP="00F8224E">
      <w:pPr>
        <w:spacing w:line="360" w:lineRule="auto"/>
        <w:ind w:firstLine="1440"/>
        <w:rPr>
          <w:color w:val="000000"/>
        </w:rPr>
      </w:pPr>
    </w:p>
    <w:p w:rsidR="00457C8A" w:rsidRDefault="00457C8A" w:rsidP="00F8224E">
      <w:pPr>
        <w:spacing w:line="360" w:lineRule="auto"/>
        <w:ind w:firstLine="1440"/>
        <w:rPr>
          <w:color w:val="000000"/>
        </w:rPr>
      </w:pPr>
      <w:r>
        <w:rPr>
          <w:color w:val="000000"/>
        </w:rPr>
        <w:t>1</w:t>
      </w:r>
      <w:r w:rsidR="00F376AE">
        <w:rPr>
          <w:color w:val="000000"/>
        </w:rPr>
        <w:t>5</w:t>
      </w:r>
      <w:r>
        <w:rPr>
          <w:color w:val="000000"/>
        </w:rPr>
        <w:t>.</w:t>
      </w:r>
      <w:r>
        <w:rPr>
          <w:color w:val="000000"/>
        </w:rPr>
        <w:tab/>
      </w:r>
      <w:r w:rsidR="009D1874">
        <w:rPr>
          <w:color w:val="000000"/>
        </w:rPr>
        <w:t>Ms. Kelly testified that Kevin Stanton and Katrina Brown never applied for gas service at the service address</w:t>
      </w:r>
      <w:r w:rsidR="009516C2">
        <w:rPr>
          <w:color w:val="000000"/>
        </w:rPr>
        <w:t>;</w:t>
      </w:r>
      <w:r w:rsidR="009D1874">
        <w:rPr>
          <w:color w:val="000000"/>
        </w:rPr>
        <w:t xml:space="preserve"> therefore</w:t>
      </w:r>
      <w:r w:rsidR="009516C2">
        <w:rPr>
          <w:color w:val="000000"/>
        </w:rPr>
        <w:t>,</w:t>
      </w:r>
      <w:r w:rsidR="009D1874">
        <w:rPr>
          <w:color w:val="000000"/>
        </w:rPr>
        <w:t xml:space="preserve"> Ardelle Jackson is responsible for the gas payments.  (</w:t>
      </w:r>
      <w:r w:rsidR="00901EFE">
        <w:rPr>
          <w:color w:val="000000"/>
        </w:rPr>
        <w:t xml:space="preserve">April 13, 2010 </w:t>
      </w:r>
      <w:r w:rsidR="009D1874">
        <w:rPr>
          <w:color w:val="000000"/>
        </w:rPr>
        <w:t xml:space="preserve">N.T. 26).  </w:t>
      </w:r>
    </w:p>
    <w:p w:rsidR="009D1874" w:rsidRDefault="009D1874" w:rsidP="00F8224E">
      <w:pPr>
        <w:spacing w:line="360" w:lineRule="auto"/>
        <w:ind w:firstLine="1440"/>
        <w:rPr>
          <w:color w:val="000000"/>
        </w:rPr>
      </w:pPr>
    </w:p>
    <w:p w:rsidR="009D1874" w:rsidRDefault="009D1874" w:rsidP="00F8224E">
      <w:pPr>
        <w:spacing w:line="360" w:lineRule="auto"/>
        <w:ind w:firstLine="1440"/>
        <w:rPr>
          <w:color w:val="000000"/>
        </w:rPr>
      </w:pPr>
      <w:r>
        <w:rPr>
          <w:color w:val="000000"/>
        </w:rPr>
        <w:t>1</w:t>
      </w:r>
      <w:r w:rsidR="00F376AE">
        <w:rPr>
          <w:color w:val="000000"/>
        </w:rPr>
        <w:t>6</w:t>
      </w:r>
      <w:r>
        <w:rPr>
          <w:color w:val="000000"/>
        </w:rPr>
        <w:t>.</w:t>
      </w:r>
      <w:r w:rsidR="004F67D7">
        <w:rPr>
          <w:color w:val="000000"/>
        </w:rPr>
        <w:tab/>
      </w:r>
      <w:r w:rsidR="00533B94">
        <w:rPr>
          <w:color w:val="000000"/>
        </w:rPr>
        <w:t xml:space="preserve">Ms. Kelly explained the difference between the </w:t>
      </w:r>
      <w:r w:rsidR="009516C2">
        <w:rPr>
          <w:color w:val="000000"/>
        </w:rPr>
        <w:t>amounts</w:t>
      </w:r>
      <w:r w:rsidR="00533B94">
        <w:rPr>
          <w:color w:val="000000"/>
        </w:rPr>
        <w:t xml:space="preserve"> of the 2 liens placed on the property versus what PGW actually received at settlement, and stated that at settlement because gas has not been shut off to the property, a final bill is rendered just before settlement.</w:t>
      </w:r>
      <w:r w:rsidR="002217E6">
        <w:rPr>
          <w:color w:val="000000"/>
        </w:rPr>
        <w:t xml:space="preserve"> (</w:t>
      </w:r>
      <w:r w:rsidR="00901EFE">
        <w:rPr>
          <w:color w:val="000000"/>
        </w:rPr>
        <w:t xml:space="preserve">April 13, 2010 </w:t>
      </w:r>
      <w:r w:rsidR="002217E6">
        <w:rPr>
          <w:color w:val="000000"/>
        </w:rPr>
        <w:t>N.T. 28).</w:t>
      </w:r>
    </w:p>
    <w:p w:rsidR="009D173A" w:rsidRDefault="009D173A" w:rsidP="00F8224E">
      <w:pPr>
        <w:spacing w:line="360" w:lineRule="auto"/>
        <w:ind w:firstLine="1440"/>
        <w:rPr>
          <w:color w:val="000000"/>
        </w:rPr>
      </w:pPr>
    </w:p>
    <w:p w:rsidR="00924C4E" w:rsidRPr="0021115D" w:rsidRDefault="00EC56AA" w:rsidP="00924C4E">
      <w:pPr>
        <w:spacing w:line="360" w:lineRule="auto"/>
        <w:ind w:firstLine="1440"/>
      </w:pPr>
      <w:r>
        <w:t>1</w:t>
      </w:r>
      <w:r w:rsidR="00F376AE">
        <w:t>7</w:t>
      </w:r>
      <w:r>
        <w:t>.</w:t>
      </w:r>
      <w:r>
        <w:tab/>
      </w:r>
      <w:r w:rsidR="00B325A4">
        <w:t>The</w:t>
      </w:r>
      <w:r w:rsidR="00924C4E">
        <w:t xml:space="preserve"> </w:t>
      </w:r>
      <w:r w:rsidR="00924C4E" w:rsidRPr="0021115D">
        <w:t>City</w:t>
      </w:r>
      <w:r w:rsidR="009516C2">
        <w:t xml:space="preserve"> of Philadelphia</w:t>
      </w:r>
      <w:r>
        <w:t xml:space="preserve"> (owner and operator of PGW)</w:t>
      </w:r>
      <w:r w:rsidR="00924C4E" w:rsidRPr="0021115D">
        <w:t xml:space="preserve">, pursuant to the provisions of 53 P.S. § 7101 </w:t>
      </w:r>
      <w:r w:rsidR="00924C4E" w:rsidRPr="00B325A4">
        <w:rPr>
          <w:i/>
        </w:rPr>
        <w:t>et seq.</w:t>
      </w:r>
      <w:r w:rsidR="00924C4E" w:rsidRPr="0021115D">
        <w:t xml:space="preserve"> (the Municipal Claim and Tax Lien Law), placed a lien upon the Premises in the amount of </w:t>
      </w:r>
      <w:r w:rsidR="00B325A4">
        <w:rPr>
          <w:color w:val="000000"/>
        </w:rPr>
        <w:t>$</w:t>
      </w:r>
      <w:r w:rsidR="004812B2">
        <w:rPr>
          <w:color w:val="000000"/>
        </w:rPr>
        <w:t xml:space="preserve">5,277.32 </w:t>
      </w:r>
      <w:r w:rsidR="00924C4E" w:rsidRPr="0021115D">
        <w:t>for unpaid natural gas service.</w:t>
      </w:r>
      <w:r w:rsidR="00B325A4">
        <w:t xml:space="preserve">  The lien was satisfied</w:t>
      </w:r>
      <w:r>
        <w:t xml:space="preserve"> in 2009</w:t>
      </w:r>
      <w:r w:rsidR="00837635">
        <w:t xml:space="preserve"> when Complainant sold the property</w:t>
      </w:r>
      <w:r>
        <w:t>,</w:t>
      </w:r>
      <w:r w:rsidR="00B325A4">
        <w:t xml:space="preserve"> and Complainant requests a refund of same amount from PGW.</w:t>
      </w:r>
    </w:p>
    <w:p w:rsidR="00924C4E" w:rsidRPr="0021115D" w:rsidRDefault="00924C4E" w:rsidP="00924C4E">
      <w:pPr>
        <w:spacing w:line="360" w:lineRule="auto"/>
        <w:ind w:firstLine="1440"/>
      </w:pPr>
    </w:p>
    <w:p w:rsidR="00924C4E" w:rsidRPr="0021115D" w:rsidRDefault="00924C4E" w:rsidP="00CC3849">
      <w:pPr>
        <w:spacing w:line="360" w:lineRule="auto"/>
        <w:jc w:val="center"/>
        <w:outlineLvl w:val="0"/>
        <w:rPr>
          <w:u w:val="single"/>
        </w:rPr>
      </w:pPr>
      <w:r w:rsidRPr="0021115D">
        <w:rPr>
          <w:u w:val="single"/>
        </w:rPr>
        <w:t>DISCUSSION</w:t>
      </w:r>
    </w:p>
    <w:p w:rsidR="00924C4E" w:rsidRPr="0021115D" w:rsidRDefault="00924C4E" w:rsidP="00924C4E">
      <w:pPr>
        <w:spacing w:line="360" w:lineRule="auto"/>
        <w:ind w:firstLine="1440"/>
      </w:pPr>
    </w:p>
    <w:p w:rsidR="00924C4E" w:rsidRPr="0021115D" w:rsidRDefault="00B325A4" w:rsidP="000556FB">
      <w:pPr>
        <w:spacing w:line="360" w:lineRule="auto"/>
        <w:ind w:firstLine="1440"/>
      </w:pPr>
      <w:r>
        <w:t xml:space="preserve">Complainant is requesting the Commission order PGW to refund $5,277.32, the amount taken pursuant to </w:t>
      </w:r>
      <w:r w:rsidR="00EC56AA">
        <w:t xml:space="preserve">the </w:t>
      </w:r>
      <w:r>
        <w:t xml:space="preserve">Municipal Claim and Tax Lien Law, 53 P.S. § 7101 </w:t>
      </w:r>
      <w:r w:rsidRPr="00B325A4">
        <w:rPr>
          <w:i/>
        </w:rPr>
        <w:t>et seq.</w:t>
      </w:r>
      <w:r>
        <w:t xml:space="preserve">  </w:t>
      </w:r>
      <w:r w:rsidR="001072E6">
        <w:t>C</w:t>
      </w:r>
      <w:r w:rsidR="00924C4E" w:rsidRPr="0021115D">
        <w:t>omplainant contest</w:t>
      </w:r>
      <w:r w:rsidR="001072E6">
        <w:t>s</w:t>
      </w:r>
      <w:r w:rsidR="00924C4E" w:rsidRPr="0021115D">
        <w:t xml:space="preserve"> the municipal lien filed against the Premises by the City</w:t>
      </w:r>
      <w:r w:rsidR="001072E6">
        <w:t xml:space="preserve"> because Complainant was not living at the premises in question during the time the arrearages accrued.  She was renting the duplex house to two separate tenants who did not make timely payments on their gas bills</w:t>
      </w:r>
      <w:r w:rsidR="00924C4E" w:rsidRPr="0021115D">
        <w:t>.</w:t>
      </w:r>
      <w:r w:rsidR="001072E6">
        <w:t xml:space="preserve">  Further, she claims the tenants were responsible for paying for their own gas and electric bills pursuant to their leases.  </w:t>
      </w:r>
      <w:proofErr w:type="gramStart"/>
      <w:r w:rsidR="001072E6">
        <w:t xml:space="preserve">(Complainant Exhibits </w:t>
      </w:r>
      <w:r w:rsidR="00901EFE">
        <w:t>5</w:t>
      </w:r>
      <w:r w:rsidR="001072E6">
        <w:t xml:space="preserve"> and </w:t>
      </w:r>
      <w:r w:rsidR="00901EFE">
        <w:t>6</w:t>
      </w:r>
      <w:r w:rsidR="001072E6">
        <w:t>).</w:t>
      </w:r>
      <w:proofErr w:type="gramEnd"/>
      <w:r w:rsidR="00EC56AA">
        <w:t xml:space="preserve">  Finally, Complainant </w:t>
      </w:r>
      <w:r w:rsidR="00EC56AA">
        <w:lastRenderedPageBreak/>
        <w:t>contends she was unaware of the arrearages</w:t>
      </w:r>
      <w:r w:rsidR="005253F4">
        <w:t xml:space="preserve"> or the liens until 2009</w:t>
      </w:r>
      <w:r w:rsidR="00EC56AA">
        <w:t>, and was not even aware that the second story of the home (rented by Katrina Brown</w:t>
      </w:r>
      <w:r w:rsidR="005253F4">
        <w:t xml:space="preserve"> during 2005</w:t>
      </w:r>
      <w:r w:rsidR="00EC56AA">
        <w:t>) had gas service reconnected.</w:t>
      </w:r>
    </w:p>
    <w:p w:rsidR="00924C4E" w:rsidRPr="0021115D" w:rsidRDefault="00924C4E" w:rsidP="00924C4E">
      <w:pPr>
        <w:spacing w:line="360" w:lineRule="auto"/>
        <w:ind w:firstLine="1440"/>
      </w:pPr>
    </w:p>
    <w:p w:rsidR="00002592" w:rsidRDefault="00002592" w:rsidP="00002592">
      <w:pPr>
        <w:spacing w:line="360" w:lineRule="auto"/>
        <w:ind w:firstLine="1440"/>
        <w:rPr>
          <w:i/>
        </w:rPr>
      </w:pPr>
      <w:r>
        <w:t xml:space="preserve">Subject matter jurisdiction is an issue that may be raised </w:t>
      </w:r>
      <w:r>
        <w:rPr>
          <w:i/>
        </w:rPr>
        <w:t xml:space="preserve">sua </w:t>
      </w:r>
      <w:r w:rsidRPr="005253F4">
        <w:rPr>
          <w:i/>
        </w:rPr>
        <w:t>sponte</w:t>
      </w:r>
      <w:r>
        <w:rPr>
          <w:i/>
        </w:rPr>
        <w:t xml:space="preserve">. </w:t>
      </w:r>
      <w:proofErr w:type="gramStart"/>
      <w:r>
        <w:rPr>
          <w:i/>
        </w:rPr>
        <w:t xml:space="preserve">Blackwell v. State Ethics Commission, </w:t>
      </w:r>
      <w:r>
        <w:t>523 Pa. 347, 567 A.2d 630 (1989).</w:t>
      </w:r>
      <w:proofErr w:type="gramEnd"/>
      <w:r>
        <w:rPr>
          <w:i/>
        </w:rPr>
        <w:t xml:space="preserve"> </w:t>
      </w:r>
    </w:p>
    <w:p w:rsidR="008C0457" w:rsidRPr="0021115D" w:rsidRDefault="008C0457" w:rsidP="00924C4E">
      <w:pPr>
        <w:spacing w:line="360" w:lineRule="auto"/>
        <w:ind w:firstLine="1440"/>
      </w:pPr>
    </w:p>
    <w:p w:rsidR="00924C4E" w:rsidRPr="0021115D" w:rsidRDefault="00924C4E" w:rsidP="00924C4E">
      <w:pPr>
        <w:ind w:left="1440" w:right="1440"/>
      </w:pPr>
      <w:r w:rsidRPr="0021115D">
        <w:t>Jurisdiction relates solely to the competency of the particular court or administrative body to determine controversies of the general class to which the case then presented for its consideration belongs.</w:t>
      </w:r>
    </w:p>
    <w:p w:rsidR="008C0457" w:rsidRDefault="008C0457" w:rsidP="00924C4E">
      <w:pPr>
        <w:ind w:left="1440" w:right="1440"/>
        <w:rPr>
          <w:i/>
        </w:rPr>
      </w:pPr>
    </w:p>
    <w:p w:rsidR="00924C4E" w:rsidRPr="0021115D" w:rsidRDefault="00924C4E" w:rsidP="008C0457">
      <w:pPr>
        <w:spacing w:line="360" w:lineRule="auto"/>
      </w:pPr>
      <w:proofErr w:type="gramStart"/>
      <w:r w:rsidRPr="0021115D">
        <w:rPr>
          <w:i/>
        </w:rPr>
        <w:t>Riedel v.</w:t>
      </w:r>
      <w:proofErr w:type="gramEnd"/>
      <w:r w:rsidRPr="0021115D">
        <w:rPr>
          <w:i/>
        </w:rPr>
        <w:t xml:space="preserve"> The Human Relations Comm’n Of the City Of Reading</w:t>
      </w:r>
      <w:r w:rsidRPr="0021115D">
        <w:t>, 559 Pa. 33; 39, 739 A.2d 121; 124 (1999).</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 xml:space="preserve">The Commission must act within, and cannot exceed, its jurisdiction.  </w:t>
      </w:r>
      <w:r w:rsidRPr="0021115D">
        <w:rPr>
          <w:i/>
        </w:rPr>
        <w:t xml:space="preserve">City of Pittsburgh v. Pa. Public Utility </w:t>
      </w:r>
      <w:proofErr w:type="spellStart"/>
      <w:r w:rsidRPr="0021115D">
        <w:rPr>
          <w:i/>
        </w:rPr>
        <w:t>Comm’n</w:t>
      </w:r>
      <w:proofErr w:type="spellEnd"/>
      <w:r w:rsidRPr="0021115D">
        <w:t xml:space="preserve">, 157 </w:t>
      </w:r>
      <w:proofErr w:type="spellStart"/>
      <w:r w:rsidRPr="0021115D">
        <w:t>Pa.Super</w:t>
      </w:r>
      <w:proofErr w:type="spellEnd"/>
      <w:r w:rsidRPr="0021115D">
        <w:t>. 595, 43 A.2d 348 (1945).</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 xml:space="preserve">Subject matter jurisdiction is a prerequisite to the exercise of the power to decide a controversy.  </w:t>
      </w:r>
      <w:r w:rsidRPr="0021115D">
        <w:rPr>
          <w:iCs/>
        </w:rPr>
        <w:t>Cf</w:t>
      </w:r>
      <w:r w:rsidRPr="0021115D">
        <w:t xml:space="preserve">., </w:t>
      </w:r>
      <w:r w:rsidRPr="0021115D">
        <w:rPr>
          <w:i/>
        </w:rPr>
        <w:t>Hughes v. Pa. State Police</w:t>
      </w:r>
      <w:r w:rsidRPr="0021115D">
        <w:t>, 152 Pa.Cmwlth. 409, 619 A.2d 390 (1992), app. denied, 536 Pa. 633, 637 A.2d 293 (1993).</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 xml:space="preserve">Jurisdiction may not be conferred by the parties where none exists.  </w:t>
      </w:r>
      <w:r w:rsidRPr="0021115D">
        <w:rPr>
          <w:i/>
        </w:rPr>
        <w:t xml:space="preserve">Roberts v. </w:t>
      </w:r>
      <w:proofErr w:type="spellStart"/>
      <w:r w:rsidRPr="0021115D">
        <w:rPr>
          <w:i/>
        </w:rPr>
        <w:t>Martorano</w:t>
      </w:r>
      <w:proofErr w:type="spellEnd"/>
      <w:r w:rsidRPr="0021115D">
        <w:t xml:space="preserve">, 427 Pa. 581, 235 A.2d 602 (1967).  Neither silence nor agreement of the parties will confer jurisdiction where it otherwise would not exist, </w:t>
      </w:r>
      <w:r w:rsidRPr="0021115D">
        <w:rPr>
          <w:i/>
        </w:rPr>
        <w:t xml:space="preserve">Commonwealth v. </w:t>
      </w:r>
      <w:proofErr w:type="spellStart"/>
      <w:r w:rsidRPr="0021115D">
        <w:rPr>
          <w:i/>
        </w:rPr>
        <w:t>VanBuskirk</w:t>
      </w:r>
      <w:proofErr w:type="spellEnd"/>
      <w:r w:rsidRPr="0021115D">
        <w:t xml:space="preserve">, 303 </w:t>
      </w:r>
      <w:proofErr w:type="spellStart"/>
      <w:r w:rsidRPr="0021115D">
        <w:t>Pa.Super</w:t>
      </w:r>
      <w:proofErr w:type="spellEnd"/>
      <w:r w:rsidRPr="0021115D">
        <w:t xml:space="preserve">. 148, 449 A.2d 621 (1982), nor can jurisdiction be obtained by waiver or </w:t>
      </w:r>
      <w:proofErr w:type="spellStart"/>
      <w:r w:rsidRPr="0021115D">
        <w:t>estoppel</w:t>
      </w:r>
      <w:proofErr w:type="spellEnd"/>
      <w:r w:rsidRPr="0021115D">
        <w:t xml:space="preserve">, </w:t>
      </w:r>
      <w:r w:rsidRPr="0021115D">
        <w:rPr>
          <w:i/>
        </w:rPr>
        <w:t>Scott v. Bristol Twp. Police Dep’t</w:t>
      </w:r>
      <w:r w:rsidRPr="0021115D">
        <w:t>, 669 A.2d 457 (Pa.Cmwlth. 1995).</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Keeping the foregoing principles regarding jurisdiction in mind, the issue is whether or not the Commission has jurisdiction with respect to the City’s municipal lien.</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Acting under the authority and power granted in the Municipal Claim and Tax Lien Law, 53 P.S. § 7101 et seq., the City files a lien to enforce municipal claims against property for unpaid natural gas service rendered by respondent at a specific property.</w:t>
      </w:r>
    </w:p>
    <w:p w:rsidR="00924C4E" w:rsidRPr="0021115D" w:rsidRDefault="00924C4E" w:rsidP="00924C4E">
      <w:pPr>
        <w:spacing w:line="360" w:lineRule="auto"/>
        <w:ind w:firstLine="1440"/>
      </w:pPr>
      <w:r w:rsidRPr="0021115D">
        <w:lastRenderedPageBreak/>
        <w:t>Only the City, being a municipality, can file a municipal lien.  Respondent is a municipal utility that is wholly owned by the City</w:t>
      </w:r>
      <w:r w:rsidR="008C0457">
        <w:t xml:space="preserve"> of Philadelphia</w:t>
      </w:r>
      <w:r w:rsidRPr="0021115D">
        <w:t xml:space="preserve">.  Respondent consists only of the real and personal assets that are used to manufacture and deliver natural gas to entities within the City’s borders.  </w:t>
      </w:r>
      <w:r w:rsidRPr="0021115D">
        <w:rPr>
          <w:i/>
        </w:rPr>
        <w:t>Public Advocate v. Philadelphia Gas Comm’n</w:t>
      </w:r>
      <w:r w:rsidRPr="0021115D">
        <w:t>, 544 Pa. 129, 674 A.2d 1056 (1996).</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924C4E" w:rsidRPr="0021115D" w:rsidRDefault="00924C4E" w:rsidP="00924C4E">
      <w:pPr>
        <w:spacing w:line="360" w:lineRule="auto"/>
        <w:ind w:firstLine="1440"/>
      </w:pPr>
    </w:p>
    <w:p w:rsidR="00196F89" w:rsidRDefault="00924C4E" w:rsidP="00196F89">
      <w:pPr>
        <w:spacing w:line="360" w:lineRule="auto"/>
        <w:ind w:firstLine="1440"/>
      </w:pPr>
      <w:r w:rsidRPr="0021115D">
        <w:t xml:space="preserve">The procedure which the City must follow to establish a lien on a specific property, such as the Premises, is set forth in the Municipal Claim and Tax Lien Law.  See, 53 P.S. §§ 7106(b), (c), 7143.  The lien is docketed with the </w:t>
      </w:r>
      <w:proofErr w:type="spellStart"/>
      <w:r w:rsidRPr="0021115D">
        <w:t>Prothonotary</w:t>
      </w:r>
      <w:proofErr w:type="spellEnd"/>
      <w:r w:rsidRPr="0021115D">
        <w:t xml:space="preserve"> (a clerk of the court) and maintained in an </w:t>
      </w:r>
      <w:r w:rsidRPr="008C0457">
        <w:rPr>
          <w:i/>
        </w:rPr>
        <w:t xml:space="preserve">in </w:t>
      </w:r>
      <w:proofErr w:type="spellStart"/>
      <w:r w:rsidRPr="008C0457">
        <w:rPr>
          <w:i/>
        </w:rPr>
        <w:t>rem</w:t>
      </w:r>
      <w:proofErr w:type="spellEnd"/>
      <w:r w:rsidRPr="0021115D">
        <w:t xml:space="preserve">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21115D">
        <w:rPr>
          <w:i/>
        </w:rPr>
        <w:t xml:space="preserve">Newberry Twp. v. </w:t>
      </w:r>
      <w:proofErr w:type="spellStart"/>
      <w:r w:rsidRPr="0021115D">
        <w:rPr>
          <w:i/>
        </w:rPr>
        <w:t>Stambaugh</w:t>
      </w:r>
      <w:proofErr w:type="spellEnd"/>
      <w:r w:rsidRPr="0021115D">
        <w:t xml:space="preserve">, 848 A.2d 173 (Pa.Cmwlth. 2004), app. denied, 580 Pa. 708, 860 A.2d 491 (2004), 53 P.S. §§ 7106(c), 7283.  Ultimate recovery of the amount of the municipal claims resulting in the lien is effectuated by a </w:t>
      </w:r>
      <w:r w:rsidR="007E7F78">
        <w:t>sale or transfer of the property</w:t>
      </w:r>
      <w:r w:rsidRPr="0021115D">
        <w:t>.</w:t>
      </w:r>
    </w:p>
    <w:p w:rsidR="00196F89" w:rsidRDefault="00196F89" w:rsidP="00196F89">
      <w:pPr>
        <w:spacing w:line="360" w:lineRule="auto"/>
        <w:ind w:firstLine="1440"/>
      </w:pPr>
    </w:p>
    <w:p w:rsidR="000556FB" w:rsidRDefault="00924C4E" w:rsidP="00924C4E">
      <w:pPr>
        <w:spacing w:line="360" w:lineRule="auto"/>
        <w:ind w:firstLine="1440"/>
      </w:pPr>
      <w:r w:rsidRPr="0021115D">
        <w:t xml:space="preserve">The proceeding to obtain and enforce the City’s municipal claim lien is an </w:t>
      </w:r>
      <w:r w:rsidRPr="004812B2">
        <w:rPr>
          <w:i/>
        </w:rPr>
        <w:t xml:space="preserve">in </w:t>
      </w:r>
      <w:proofErr w:type="spellStart"/>
      <w:r w:rsidRPr="004812B2">
        <w:rPr>
          <w:i/>
        </w:rPr>
        <w:t>rem</w:t>
      </w:r>
      <w:proofErr w:type="spellEnd"/>
      <w:r w:rsidRPr="0021115D">
        <w:t xml:space="preserve"> proceeding.</w:t>
      </w:r>
      <w:r w:rsidRPr="0021115D">
        <w:rPr>
          <w:rStyle w:val="FootnoteReference"/>
        </w:rPr>
        <w:footnoteReference w:id="2"/>
      </w:r>
      <w:r w:rsidRPr="0021115D">
        <w:t xml:space="preserve">  “Accordingly, the lien is either valid or invalid as to the property in question rather than as to the respective property interests involved.”  </w:t>
      </w:r>
      <w:r w:rsidRPr="0021115D">
        <w:rPr>
          <w:i/>
        </w:rPr>
        <w:t xml:space="preserve">Borough of Towanda v. </w:t>
      </w:r>
      <w:proofErr w:type="spellStart"/>
      <w:r w:rsidRPr="0021115D">
        <w:rPr>
          <w:i/>
        </w:rPr>
        <w:t>Brannaka</w:t>
      </w:r>
      <w:proofErr w:type="spellEnd"/>
      <w:r w:rsidRPr="0021115D">
        <w:t xml:space="preserve">, 61 </w:t>
      </w:r>
    </w:p>
    <w:p w:rsidR="000556FB" w:rsidRDefault="000556FB">
      <w:r>
        <w:br w:type="page"/>
      </w:r>
    </w:p>
    <w:p w:rsidR="00924C4E" w:rsidRDefault="00924C4E" w:rsidP="000556FB">
      <w:pPr>
        <w:spacing w:line="360" w:lineRule="auto"/>
      </w:pPr>
      <w:proofErr w:type="spellStart"/>
      <w:r w:rsidRPr="0021115D">
        <w:lastRenderedPageBreak/>
        <w:t>Pa.Cmwlth</w:t>
      </w:r>
      <w:proofErr w:type="spellEnd"/>
      <w:r w:rsidRPr="0021115D">
        <w:t xml:space="preserve">. 622; 625-626, 434 A.2d 889; 891 (1981).  What this means is that the Premises, not complainant nor </w:t>
      </w:r>
      <w:r w:rsidR="004812B2">
        <w:t>her former tenants</w:t>
      </w:r>
      <w:r w:rsidRPr="0021115D">
        <w:t xml:space="preserve">, </w:t>
      </w:r>
      <w:r w:rsidR="004812B2">
        <w:t>is</w:t>
      </w:r>
      <w:r w:rsidRPr="0021115D">
        <w:t xml:space="preserve"> responsible for satisfying the claim secured by the municipal lien.  No personal responsibility is asserted against the complainant by the filing of the lien on the Premises.  </w:t>
      </w:r>
      <w:r w:rsidRPr="0021115D">
        <w:rPr>
          <w:i/>
        </w:rPr>
        <w:t>Philadelphia v. Northwood Textile Mills, Inc.</w:t>
      </w:r>
      <w:r w:rsidRPr="0021115D">
        <w:t xml:space="preserve">, 395 Pa. 112, 149 A.2d 60 (1959).  See, also, </w:t>
      </w:r>
      <w:r w:rsidRPr="0021115D">
        <w:rPr>
          <w:i/>
        </w:rPr>
        <w:t>Ransom v. Marrazzo</w:t>
      </w:r>
      <w:r w:rsidRPr="0021115D">
        <w:t>, 848 F.2d 398 (3d Cir. 1988).</w:t>
      </w:r>
    </w:p>
    <w:p w:rsidR="00924C4E" w:rsidRPr="0021115D" w:rsidRDefault="00924C4E" w:rsidP="00924C4E">
      <w:pPr>
        <w:spacing w:line="360" w:lineRule="auto"/>
        <w:ind w:firstLine="1440"/>
      </w:pPr>
    </w:p>
    <w:p w:rsidR="00924C4E" w:rsidRPr="0021115D" w:rsidRDefault="00924C4E" w:rsidP="00924C4E">
      <w:pPr>
        <w:tabs>
          <w:tab w:val="left" w:pos="7020"/>
        </w:tabs>
        <w:spacing w:line="360" w:lineRule="auto"/>
        <w:ind w:firstLine="1440"/>
      </w:pPr>
      <w:r w:rsidRPr="0021115D">
        <w:t xml:space="preserve">The difference between an </w:t>
      </w:r>
      <w:r w:rsidRPr="004812B2">
        <w:rPr>
          <w:i/>
        </w:rPr>
        <w:t xml:space="preserve">in </w:t>
      </w:r>
      <w:proofErr w:type="spellStart"/>
      <w:r w:rsidRPr="004812B2">
        <w:rPr>
          <w:i/>
        </w:rPr>
        <w:t>personam</w:t>
      </w:r>
      <w:proofErr w:type="spellEnd"/>
      <w:r w:rsidRPr="0021115D">
        <w:t xml:space="preserve"> judgment and an </w:t>
      </w:r>
      <w:r w:rsidRPr="004812B2">
        <w:rPr>
          <w:i/>
        </w:rPr>
        <w:t xml:space="preserve">in </w:t>
      </w:r>
      <w:proofErr w:type="spellStart"/>
      <w:r w:rsidRPr="004812B2">
        <w:rPr>
          <w:i/>
        </w:rPr>
        <w:t>rem</w:t>
      </w:r>
      <w:proofErr w:type="spellEnd"/>
      <w:r w:rsidRPr="0021115D">
        <w:t xml:space="preserve"> municipal lien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municipal lien in the amount of $30,000 against Property 1 of three separate pieces of real property worth $25,000 each that B owns in County X, only Property 1 can be sold to satisfy the lien.  The debt can only be recovered from the specific property upon which the </w:t>
      </w:r>
      <w:r w:rsidRPr="004812B2">
        <w:rPr>
          <w:i/>
        </w:rPr>
        <w:t xml:space="preserve">in </w:t>
      </w:r>
      <w:proofErr w:type="spellStart"/>
      <w:r w:rsidRPr="004812B2">
        <w:rPr>
          <w:i/>
        </w:rPr>
        <w:t>rem</w:t>
      </w:r>
      <w:proofErr w:type="spellEnd"/>
      <w:r w:rsidRPr="0021115D">
        <w:t xml:space="preserve"> municipal lien has been placed.  If the specific property was being rented by a landlord to a tenant, neither is personally liable for payment of the municipal claim amount.  </w:t>
      </w:r>
      <w:r w:rsidRPr="0021115D">
        <w:rPr>
          <w:i/>
        </w:rPr>
        <w:t>Philadelphia v. Northwood Textile Mills, Inc.</w:t>
      </w:r>
      <w:r w:rsidRPr="0021115D">
        <w:t xml:space="preserve">, 395 Pa. 112, 149 A.2d 60 (1959).  Only the </w:t>
      </w:r>
      <w:r w:rsidRPr="0021115D">
        <w:rPr>
          <w:i/>
        </w:rPr>
        <w:t>thing</w:t>
      </w:r>
      <w:r w:rsidRPr="0021115D">
        <w:t>, the specific property subject to the municipal lien, is liable for the amount owed.</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 xml:space="preserve">In the instant case, the entire proceeding for </w:t>
      </w:r>
      <w:r w:rsidR="004812B2">
        <w:t xml:space="preserve">action requesting a refund of </w:t>
      </w:r>
      <w:r w:rsidRPr="0021115D">
        <w:t xml:space="preserve">the </w:t>
      </w:r>
      <w:r w:rsidR="004812B2">
        <w:t>lien amount of $</w:t>
      </w:r>
      <w:r w:rsidR="007A2086">
        <w:rPr>
          <w:color w:val="000000"/>
        </w:rPr>
        <w:t>5,277.32</w:t>
      </w:r>
      <w:r w:rsidR="004812B2">
        <w:t>,</w:t>
      </w:r>
      <w:r w:rsidRPr="0021115D">
        <w:t xml:space="preserve"> </w:t>
      </w:r>
      <w:r w:rsidR="00901EFE">
        <w:t xml:space="preserve">and the </w:t>
      </w:r>
      <w:r w:rsidRPr="0021115D">
        <w:t>defense to the statutory lien of the City is within the jurisdiction of the Court of Common Pleas of Philadelphia County</w:t>
      </w:r>
      <w:r w:rsidRPr="0021115D">
        <w:rPr>
          <w:rStyle w:val="FootnoteReference"/>
        </w:rPr>
        <w:footnoteReference w:id="3"/>
      </w:r>
      <w:r w:rsidRPr="0021115D">
        <w:t>, not the Commission.  Municipal lien proceedings are exclusively matters of judicial, not administrative, jurisdiction.</w:t>
      </w:r>
    </w:p>
    <w:p w:rsidR="00196F89" w:rsidRDefault="00196F89"/>
    <w:p w:rsidR="000556FB" w:rsidRDefault="00924C4E" w:rsidP="00924C4E">
      <w:pPr>
        <w:spacing w:line="360" w:lineRule="auto"/>
        <w:ind w:firstLine="1440"/>
      </w:pPr>
      <w:r w:rsidRPr="0021115D">
        <w:t xml:space="preserve">Additionally, keeping in mind that the lien is that of the City, not respondent, as to the lien proceeding there is no public utility involved.  In obtaining a municipal lien upon the Premises, the City is acting in its capacity as a municipality only.  The Commission is given </w:t>
      </w:r>
    </w:p>
    <w:p w:rsidR="000556FB" w:rsidRDefault="000556FB">
      <w:r>
        <w:br w:type="page"/>
      </w:r>
    </w:p>
    <w:p w:rsidR="00924C4E" w:rsidRPr="0021115D" w:rsidRDefault="00924C4E" w:rsidP="000556FB">
      <w:pPr>
        <w:spacing w:line="360" w:lineRule="auto"/>
      </w:pPr>
      <w:r w:rsidRPr="0021115D">
        <w:lastRenderedPageBreak/>
        <w:t xml:space="preserve">jurisdiction over public utilities by the Public Utility Code, 66 </w:t>
      </w:r>
      <w:proofErr w:type="spellStart"/>
      <w:r w:rsidRPr="0021115D">
        <w:t>Pa.C.S.A</w:t>
      </w:r>
      <w:proofErr w:type="spellEnd"/>
      <w:r w:rsidRPr="0021115D">
        <w:t>. § 101 et seq., not over municipalities acting in their municipal capacity.</w:t>
      </w:r>
      <w:r w:rsidRPr="0021115D">
        <w:rPr>
          <w:rStyle w:val="FootnoteReference"/>
        </w:rPr>
        <w:footnoteReference w:id="4"/>
      </w:r>
    </w:p>
    <w:p w:rsidR="00924C4E" w:rsidRPr="0021115D" w:rsidRDefault="00924C4E" w:rsidP="00924C4E">
      <w:pPr>
        <w:spacing w:line="360" w:lineRule="auto"/>
        <w:ind w:firstLine="1440"/>
      </w:pPr>
    </w:p>
    <w:p w:rsidR="00924C4E" w:rsidRDefault="00924C4E" w:rsidP="00924C4E">
      <w:pPr>
        <w:spacing w:line="360" w:lineRule="auto"/>
        <w:ind w:firstLine="1440"/>
      </w:pPr>
      <w:r w:rsidRPr="0021115D">
        <w:t xml:space="preserve">The Commission has repeatedly recognized its lack of subject matter jurisdiction in cases involving a dispute over a municipal lien placed upon a property.  </w:t>
      </w:r>
      <w:r>
        <w:t xml:space="preserve">See, </w:t>
      </w:r>
      <w:r>
        <w:rPr>
          <w:i/>
        </w:rPr>
        <w:t xml:space="preserve">Josephine Pitt v. </w:t>
      </w:r>
      <w:r w:rsidRPr="0021115D">
        <w:rPr>
          <w:i/>
        </w:rPr>
        <w:t>Philadelphia Gas Works</w:t>
      </w:r>
      <w:r w:rsidRPr="0021115D">
        <w:t>, Docket Number C-200</w:t>
      </w:r>
      <w:r>
        <w:t>9-2140025</w:t>
      </w:r>
      <w:r w:rsidRPr="0021115D">
        <w:t xml:space="preserve">, Final Order entered </w:t>
      </w:r>
      <w:r>
        <w:t xml:space="preserve">April </w:t>
      </w:r>
      <w:r w:rsidRPr="0021115D">
        <w:t>2</w:t>
      </w:r>
      <w:r>
        <w:t>9</w:t>
      </w:r>
      <w:r w:rsidRPr="0021115D">
        <w:t>, 20</w:t>
      </w:r>
      <w:r>
        <w:t>10, (</w:t>
      </w:r>
      <w:r>
        <w:rPr>
          <w:i/>
        </w:rPr>
        <w:t>Pitt</w:t>
      </w:r>
      <w:r>
        <w:t xml:space="preserve">) and cases cited therein.  See, also, </w:t>
      </w:r>
      <w:proofErr w:type="spellStart"/>
      <w:r>
        <w:rPr>
          <w:i/>
        </w:rPr>
        <w:t>Agron</w:t>
      </w:r>
      <w:proofErr w:type="spellEnd"/>
      <w:r>
        <w:rPr>
          <w:i/>
        </w:rPr>
        <w:t xml:space="preserve"> </w:t>
      </w:r>
      <w:proofErr w:type="spellStart"/>
      <w:r>
        <w:rPr>
          <w:i/>
        </w:rPr>
        <w:t>Vata</w:t>
      </w:r>
      <w:proofErr w:type="spellEnd"/>
      <w:r>
        <w:rPr>
          <w:i/>
        </w:rPr>
        <w:t xml:space="preserve"> v. </w:t>
      </w:r>
      <w:r w:rsidRPr="0021115D">
        <w:rPr>
          <w:i/>
        </w:rPr>
        <w:t>Philadelphia Gas Works</w:t>
      </w:r>
      <w:r w:rsidRPr="0021115D">
        <w:t>, Docket Number C-200</w:t>
      </w:r>
      <w:r>
        <w:t>9-2149960</w:t>
      </w:r>
      <w:r w:rsidRPr="0021115D">
        <w:t xml:space="preserve">, </w:t>
      </w:r>
      <w:r>
        <w:t>Opinion and Order adopted August 18, 2010, entered August 24, 2010 (</w:t>
      </w:r>
      <w:proofErr w:type="spellStart"/>
      <w:r>
        <w:rPr>
          <w:i/>
        </w:rPr>
        <w:t>Vata</w:t>
      </w:r>
      <w:proofErr w:type="spellEnd"/>
      <w:r>
        <w:t>).</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 xml:space="preserve">These Commission decisions are consistent with established principles of jurisdiction and are buttressed by two separate provisions of the Public Utility Code, 66 </w:t>
      </w:r>
      <w:proofErr w:type="spellStart"/>
      <w:r w:rsidRPr="0021115D">
        <w:t>Pa.C.S.A</w:t>
      </w:r>
      <w:proofErr w:type="spellEnd"/>
      <w:r w:rsidRPr="0021115D">
        <w:t>. § 101 et seq. (Code).</w:t>
      </w:r>
    </w:p>
    <w:p w:rsidR="00924C4E" w:rsidRPr="0021115D" w:rsidRDefault="00924C4E" w:rsidP="00924C4E">
      <w:pPr>
        <w:spacing w:line="360" w:lineRule="auto"/>
        <w:ind w:firstLine="1440"/>
      </w:pPr>
    </w:p>
    <w:p w:rsidR="00924C4E" w:rsidRDefault="00924C4E" w:rsidP="00924C4E">
      <w:pPr>
        <w:spacing w:line="360" w:lineRule="auto"/>
        <w:ind w:firstLine="1440"/>
      </w:pPr>
      <w:r w:rsidRPr="0021115D">
        <w:t xml:space="preserve">66 </w:t>
      </w:r>
      <w:proofErr w:type="spellStart"/>
      <w:r w:rsidRPr="0021115D">
        <w:t>Pa.C.S.A</w:t>
      </w:r>
      <w:proofErr w:type="spellEnd"/>
      <w:r w:rsidRPr="0021115D">
        <w:t>. § 1414(a) provides:</w:t>
      </w:r>
    </w:p>
    <w:p w:rsidR="00924C4E" w:rsidRPr="0021115D" w:rsidRDefault="00924C4E" w:rsidP="00924C4E">
      <w:pPr>
        <w:ind w:firstLine="1440"/>
      </w:pPr>
    </w:p>
    <w:p w:rsidR="00924C4E" w:rsidRPr="0021115D" w:rsidRDefault="00924C4E" w:rsidP="00924C4E">
      <w:pPr>
        <w:widowControl w:val="0"/>
        <w:adjustRightInd w:val="0"/>
        <w:ind w:left="1440" w:right="1440"/>
        <w:rPr>
          <w:color w:val="000000"/>
        </w:rPr>
      </w:pPr>
      <w:r>
        <w:rPr>
          <w:b/>
          <w:bCs/>
          <w:color w:val="000000"/>
        </w:rPr>
        <w:t>(a)</w:t>
      </w:r>
      <w:r>
        <w:rPr>
          <w:b/>
          <w:bCs/>
          <w:color w:val="000000"/>
        </w:rPr>
        <w:tab/>
      </w:r>
      <w:r w:rsidRPr="0021115D">
        <w:rPr>
          <w:b/>
          <w:bCs/>
          <w:color w:val="000000"/>
        </w:rPr>
        <w:t>General rule.--</w:t>
      </w:r>
      <w:r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21115D">
        <w:rPr>
          <w:color w:val="000000"/>
        </w:rPr>
        <w:t xml:space="preserve">referred to as the Municipal Claim and Tax Lien Law, and chapter 22 </w:t>
      </w:r>
      <w:bookmarkStart w:id="1" w:name="Document1zz[FN2]"/>
      <w:bookmarkEnd w:id="1"/>
      <w:r w:rsidRPr="0021115D">
        <w:rPr>
          <w:color w:val="000000"/>
        </w:rPr>
        <w:t>(relating to natural gas competition).</w:t>
      </w:r>
    </w:p>
    <w:p w:rsidR="00924C4E" w:rsidRPr="0021115D" w:rsidRDefault="00924C4E" w:rsidP="00924C4E">
      <w:pPr>
        <w:widowControl w:val="0"/>
        <w:adjustRightInd w:val="0"/>
        <w:ind w:left="1440" w:right="1440"/>
        <w:jc w:val="both"/>
        <w:rPr>
          <w:color w:val="000000"/>
        </w:rPr>
      </w:pPr>
      <w:r w:rsidRPr="0021115D">
        <w:rPr>
          <w:bCs/>
          <w:color w:val="000000"/>
        </w:rPr>
        <w:t xml:space="preserve">66 </w:t>
      </w:r>
      <w:proofErr w:type="spellStart"/>
      <w:r w:rsidRPr="0021115D">
        <w:rPr>
          <w:bCs/>
          <w:color w:val="000000"/>
        </w:rPr>
        <w:t>Pa.</w:t>
      </w:r>
      <w:r w:rsidRPr="0021115D">
        <w:rPr>
          <w:color w:val="000000"/>
        </w:rPr>
        <w:t>C.S.A</w:t>
      </w:r>
      <w:proofErr w:type="spellEnd"/>
      <w:r w:rsidRPr="0021115D">
        <w:rPr>
          <w:color w:val="000000"/>
        </w:rPr>
        <w:t>. § 1414(a) (footnotes omitted)</w:t>
      </w:r>
    </w:p>
    <w:p w:rsidR="00924C4E" w:rsidRPr="0021115D" w:rsidRDefault="00924C4E" w:rsidP="00924C4E">
      <w:pPr>
        <w:spacing w:line="360" w:lineRule="auto"/>
        <w:ind w:firstLine="1440"/>
      </w:pPr>
    </w:p>
    <w:p w:rsidR="00924C4E" w:rsidRPr="0021115D" w:rsidRDefault="00924C4E" w:rsidP="00924C4E">
      <w:pPr>
        <w:spacing w:line="360" w:lineRule="auto"/>
        <w:ind w:firstLine="1440"/>
        <w:rPr>
          <w:color w:val="000000"/>
        </w:rPr>
      </w:pPr>
      <w:r w:rsidRPr="0021115D">
        <w:t xml:space="preserve">Code section 1414(a) reiterates the General Assembly’s determination that the previously existing right of the City to enforce payment for natural gas service rendered by the respondent through the municipal claim and lien procedure of the </w:t>
      </w:r>
      <w:r w:rsidRPr="0021115D">
        <w:rPr>
          <w:color w:val="000000"/>
        </w:rPr>
        <w:t>Municipal Claim and Tax Lien Law remains unabated.</w:t>
      </w:r>
    </w:p>
    <w:p w:rsidR="000556FB" w:rsidRDefault="000556FB" w:rsidP="00924C4E">
      <w:pPr>
        <w:spacing w:line="360" w:lineRule="auto"/>
        <w:ind w:firstLine="1440"/>
        <w:outlineLvl w:val="0"/>
        <w:rPr>
          <w:color w:val="000000"/>
        </w:rPr>
      </w:pPr>
    </w:p>
    <w:p w:rsidR="00924C4E" w:rsidRDefault="00924C4E" w:rsidP="00924C4E">
      <w:pPr>
        <w:spacing w:line="360" w:lineRule="auto"/>
        <w:ind w:firstLine="1440"/>
        <w:outlineLvl w:val="0"/>
        <w:rPr>
          <w:color w:val="000000"/>
        </w:rPr>
      </w:pPr>
      <w:r w:rsidRPr="0021115D">
        <w:rPr>
          <w:color w:val="000000"/>
        </w:rPr>
        <w:lastRenderedPageBreak/>
        <w:t xml:space="preserve">The reference to “chapter 22” (of the Code) in section 1414(a) is especially </w:t>
      </w:r>
    </w:p>
    <w:p w:rsidR="00924C4E" w:rsidRDefault="00924C4E" w:rsidP="00924C4E">
      <w:pPr>
        <w:spacing w:line="360" w:lineRule="auto"/>
        <w:rPr>
          <w:color w:val="000000"/>
        </w:rPr>
      </w:pPr>
      <w:r w:rsidRPr="0021115D">
        <w:rPr>
          <w:color w:val="000000"/>
        </w:rPr>
        <w:t>revealing as to the legislature’s intent.</w:t>
      </w:r>
    </w:p>
    <w:p w:rsidR="00924C4E" w:rsidRPr="0021115D" w:rsidRDefault="00924C4E" w:rsidP="00924C4E">
      <w:pPr>
        <w:spacing w:line="360" w:lineRule="auto"/>
        <w:rPr>
          <w:color w:val="000000"/>
        </w:rPr>
      </w:pPr>
    </w:p>
    <w:p w:rsidR="00924C4E" w:rsidRDefault="00924C4E" w:rsidP="00924C4E">
      <w:pPr>
        <w:ind w:firstLine="1440"/>
        <w:rPr>
          <w:color w:val="000000"/>
        </w:rPr>
      </w:pPr>
      <w:r w:rsidRPr="0021115D">
        <w:rPr>
          <w:color w:val="000000"/>
        </w:rPr>
        <w:t xml:space="preserve">66 </w:t>
      </w:r>
      <w:proofErr w:type="spellStart"/>
      <w:r w:rsidRPr="0021115D">
        <w:rPr>
          <w:color w:val="000000"/>
        </w:rPr>
        <w:t>Pa.C.S.A</w:t>
      </w:r>
      <w:proofErr w:type="spellEnd"/>
      <w:r w:rsidRPr="0021115D">
        <w:rPr>
          <w:color w:val="000000"/>
        </w:rPr>
        <w:t>. § 2212(n) states:</w:t>
      </w:r>
    </w:p>
    <w:p w:rsidR="00924C4E" w:rsidRPr="0021115D" w:rsidRDefault="00924C4E" w:rsidP="00924C4E">
      <w:pPr>
        <w:ind w:firstLine="1440"/>
        <w:rPr>
          <w:color w:val="000000"/>
        </w:rPr>
      </w:pPr>
    </w:p>
    <w:p w:rsidR="00924C4E" w:rsidRPr="0021115D" w:rsidRDefault="00924C4E" w:rsidP="00924C4E">
      <w:pPr>
        <w:widowControl w:val="0"/>
        <w:adjustRightInd w:val="0"/>
        <w:ind w:left="1440" w:right="1440"/>
        <w:jc w:val="both"/>
        <w:rPr>
          <w:color w:val="000000"/>
        </w:rPr>
      </w:pPr>
      <w:r>
        <w:rPr>
          <w:b/>
          <w:bCs/>
          <w:color w:val="000000"/>
        </w:rPr>
        <w:t>(n)</w:t>
      </w:r>
      <w:r>
        <w:rPr>
          <w:b/>
          <w:bCs/>
          <w:color w:val="000000"/>
        </w:rPr>
        <w:tab/>
      </w:r>
      <w:r w:rsidRPr="0021115D">
        <w:rPr>
          <w:b/>
          <w:bCs/>
          <w:color w:val="000000"/>
        </w:rPr>
        <w:t>Collections.--</w:t>
      </w:r>
      <w:r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21115D">
        <w:rPr>
          <w:color w:val="000000"/>
        </w:rPr>
        <w:t xml:space="preserve"> referred to as the Municipal Claim and Tax Lien Law, or otherwise.</w:t>
      </w:r>
    </w:p>
    <w:p w:rsidR="00924C4E" w:rsidRPr="0021115D" w:rsidRDefault="00924C4E" w:rsidP="00924C4E">
      <w:pPr>
        <w:widowControl w:val="0"/>
        <w:adjustRightInd w:val="0"/>
        <w:ind w:left="1440" w:right="1440"/>
        <w:jc w:val="both"/>
        <w:rPr>
          <w:color w:val="000000"/>
        </w:rPr>
      </w:pPr>
      <w:r w:rsidRPr="0021115D">
        <w:rPr>
          <w:color w:val="000000"/>
        </w:rPr>
        <w:t xml:space="preserve">66 </w:t>
      </w:r>
      <w:proofErr w:type="spellStart"/>
      <w:r w:rsidRPr="0021115D">
        <w:rPr>
          <w:color w:val="000000"/>
        </w:rPr>
        <w:t>Pa.C.S.A</w:t>
      </w:r>
      <w:proofErr w:type="spellEnd"/>
      <w:r w:rsidRPr="0021115D">
        <w:rPr>
          <w:color w:val="000000"/>
        </w:rPr>
        <w:t>. § 2212(n) (footnote omitted)</w:t>
      </w:r>
    </w:p>
    <w:p w:rsidR="00924C4E" w:rsidRPr="0021115D" w:rsidRDefault="00924C4E" w:rsidP="00924C4E">
      <w:pPr>
        <w:spacing w:line="360" w:lineRule="auto"/>
        <w:ind w:firstLine="1440"/>
      </w:pPr>
    </w:p>
    <w:p w:rsidR="00924C4E" w:rsidRPr="0021115D" w:rsidRDefault="00924C4E" w:rsidP="00924C4E">
      <w:pPr>
        <w:spacing w:line="360" w:lineRule="auto"/>
        <w:ind w:firstLine="1440"/>
        <w:rPr>
          <w:color w:val="000000"/>
        </w:rPr>
      </w:pPr>
      <w:r w:rsidRPr="0021115D">
        <w:t>Code section 2212(n) specifically states that “[n]</w:t>
      </w:r>
      <w:proofErr w:type="spellStart"/>
      <w:r w:rsidRPr="0021115D">
        <w:t>othing</w:t>
      </w:r>
      <w:proofErr w:type="spellEnd"/>
      <w:r w:rsidRPr="0021115D">
        <w:rPr>
          <w:color w:val="000000"/>
        </w:rPr>
        <w:t xml:space="preserve"> contained in this </w:t>
      </w:r>
      <w:r w:rsidRPr="0021115D">
        <w:rPr>
          <w:color w:val="000000"/>
          <w:u w:val="single"/>
        </w:rPr>
        <w:t>title</w:t>
      </w:r>
      <w:r w:rsidRPr="0021115D">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924C4E" w:rsidRPr="0021115D" w:rsidRDefault="00924C4E" w:rsidP="00924C4E">
      <w:pPr>
        <w:spacing w:line="360" w:lineRule="auto"/>
        <w:ind w:firstLine="1440"/>
        <w:rPr>
          <w:color w:val="000000"/>
        </w:rPr>
      </w:pPr>
    </w:p>
    <w:p w:rsidR="00924C4E" w:rsidRDefault="00924C4E" w:rsidP="00924C4E">
      <w:pPr>
        <w:spacing w:line="360" w:lineRule="auto"/>
        <w:ind w:firstLine="1440"/>
        <w:rPr>
          <w:color w:val="000000"/>
        </w:rPr>
      </w:pPr>
      <w:r w:rsidRPr="0021115D">
        <w:rPr>
          <w:color w:val="000000"/>
        </w:rPr>
        <w:t xml:space="preserve">The Commission’s </w:t>
      </w:r>
      <w:r w:rsidRPr="0021115D">
        <w:t xml:space="preserve">holdings in </w:t>
      </w:r>
      <w:r>
        <w:rPr>
          <w:i/>
        </w:rPr>
        <w:t>Pitt</w:t>
      </w:r>
      <w:r w:rsidRPr="0021115D">
        <w:t xml:space="preserve"> and </w:t>
      </w:r>
      <w:proofErr w:type="spellStart"/>
      <w:r>
        <w:rPr>
          <w:i/>
        </w:rPr>
        <w:t>Vata</w:t>
      </w:r>
      <w:proofErr w:type="spellEnd"/>
      <w:r w:rsidRPr="0021115D">
        <w:t xml:space="preserve"> that it does not have subject matter jurisdiction over cases such as this one, is legally correct.  Complainant’s relief, if any, must be obtained under the procedures established by </w:t>
      </w:r>
      <w:r w:rsidRPr="0021115D">
        <w:rPr>
          <w:color w:val="000000"/>
        </w:rPr>
        <w:t xml:space="preserve">the Municipal Claim and Tax Lien Law.  </w:t>
      </w:r>
    </w:p>
    <w:p w:rsidR="007A2086" w:rsidRPr="0021115D" w:rsidRDefault="007A2086" w:rsidP="00924C4E">
      <w:pPr>
        <w:spacing w:line="360" w:lineRule="auto"/>
        <w:ind w:firstLine="1440"/>
        <w:rPr>
          <w:color w:val="000000"/>
        </w:rPr>
      </w:pPr>
    </w:p>
    <w:p w:rsidR="00924C4E" w:rsidRPr="0021115D" w:rsidRDefault="00924C4E" w:rsidP="00924C4E">
      <w:pPr>
        <w:spacing w:line="360" w:lineRule="auto"/>
        <w:jc w:val="center"/>
        <w:outlineLvl w:val="0"/>
        <w:rPr>
          <w:u w:val="single"/>
        </w:rPr>
      </w:pPr>
      <w:r w:rsidRPr="0021115D">
        <w:rPr>
          <w:u w:val="single"/>
        </w:rPr>
        <w:t>CONCLUSIONS OF LAW</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Pr="0021115D">
        <w:tab/>
      </w:r>
      <w:r w:rsidR="007A2086">
        <w:t>C</w:t>
      </w:r>
      <w:r w:rsidRPr="0021115D">
        <w:t>omplainant objects to the municipal lien</w:t>
      </w:r>
      <w:r w:rsidR="007A2086">
        <w:t>(s)</w:t>
      </w:r>
      <w:r w:rsidRPr="0021115D">
        <w:t xml:space="preserve"> filed </w:t>
      </w:r>
      <w:r w:rsidR="002B54D4">
        <w:t xml:space="preserve">and collected </w:t>
      </w:r>
      <w:r w:rsidRPr="0021115D">
        <w:t>against the Premises.</w:t>
      </w:r>
    </w:p>
    <w:p w:rsidR="00924C4E" w:rsidRPr="0021115D" w:rsidRDefault="00924C4E" w:rsidP="00924C4E">
      <w:pPr>
        <w:spacing w:line="360" w:lineRule="auto"/>
        <w:ind w:firstLine="1440"/>
      </w:pPr>
    </w:p>
    <w:p w:rsidR="00002592" w:rsidRDefault="00901EFE" w:rsidP="00002592">
      <w:pPr>
        <w:spacing w:line="360" w:lineRule="auto"/>
        <w:ind w:firstLine="1440"/>
        <w:rPr>
          <w:i/>
        </w:rPr>
      </w:pPr>
      <w:r>
        <w:t>2</w:t>
      </w:r>
      <w:r w:rsidR="00924C4E" w:rsidRPr="0021115D">
        <w:t>.</w:t>
      </w:r>
      <w:r w:rsidR="00924C4E" w:rsidRPr="0021115D">
        <w:tab/>
      </w:r>
      <w:r w:rsidR="00002592">
        <w:t xml:space="preserve">Subject matter jurisdiction is an issue that may be raised </w:t>
      </w:r>
      <w:r w:rsidR="00002592">
        <w:rPr>
          <w:i/>
        </w:rPr>
        <w:t xml:space="preserve">sua </w:t>
      </w:r>
      <w:r w:rsidR="00002592" w:rsidRPr="005253F4">
        <w:rPr>
          <w:i/>
        </w:rPr>
        <w:t>sponte</w:t>
      </w:r>
      <w:r w:rsidR="00002592">
        <w:rPr>
          <w:i/>
        </w:rPr>
        <w:t xml:space="preserve">. </w:t>
      </w:r>
    </w:p>
    <w:p w:rsidR="00002592" w:rsidRDefault="00002592" w:rsidP="00924C4E">
      <w:pPr>
        <w:spacing w:line="360" w:lineRule="auto"/>
        <w:ind w:firstLine="1440"/>
      </w:pPr>
    </w:p>
    <w:p w:rsidR="00924C4E" w:rsidRPr="0021115D" w:rsidRDefault="00002592" w:rsidP="00924C4E">
      <w:pPr>
        <w:spacing w:line="360" w:lineRule="auto"/>
        <w:ind w:firstLine="1440"/>
      </w:pPr>
      <w:r>
        <w:t>3.</w:t>
      </w:r>
      <w:r>
        <w:tab/>
      </w:r>
      <w:r w:rsidR="00924C4E" w:rsidRPr="0021115D">
        <w:t>Jurisdiction relates solely to the competency of the particular court or administrative body to determine controversies of the general class to which the case then presented for its consideration belongs.</w:t>
      </w:r>
    </w:p>
    <w:p w:rsidR="00924C4E" w:rsidRPr="0021115D" w:rsidRDefault="00924C4E" w:rsidP="00924C4E">
      <w:pPr>
        <w:spacing w:line="360" w:lineRule="auto"/>
        <w:ind w:firstLine="1440"/>
      </w:pPr>
    </w:p>
    <w:p w:rsidR="00924C4E" w:rsidRDefault="00002592" w:rsidP="00924C4E">
      <w:pPr>
        <w:spacing w:line="360" w:lineRule="auto"/>
        <w:ind w:firstLine="1440"/>
      </w:pPr>
      <w:r>
        <w:t>4</w:t>
      </w:r>
      <w:r w:rsidR="00924C4E" w:rsidRPr="0021115D">
        <w:t>.</w:t>
      </w:r>
      <w:r w:rsidR="00924C4E" w:rsidRPr="0021115D">
        <w:tab/>
        <w:t>The Commission must act within, and cannot exceed, its jurisdiction.</w:t>
      </w:r>
    </w:p>
    <w:p w:rsidR="00196F89" w:rsidRPr="0021115D" w:rsidRDefault="00196F89" w:rsidP="00924C4E">
      <w:pPr>
        <w:spacing w:line="360" w:lineRule="auto"/>
        <w:ind w:firstLine="1440"/>
      </w:pPr>
    </w:p>
    <w:p w:rsidR="00924C4E" w:rsidRPr="0021115D" w:rsidRDefault="00002592" w:rsidP="00924C4E">
      <w:pPr>
        <w:spacing w:line="360" w:lineRule="auto"/>
        <w:ind w:firstLine="1440"/>
      </w:pPr>
      <w:r>
        <w:lastRenderedPageBreak/>
        <w:t>5</w:t>
      </w:r>
      <w:r w:rsidR="00924C4E" w:rsidRPr="0021115D">
        <w:t>.</w:t>
      </w:r>
      <w:r w:rsidR="00924C4E" w:rsidRPr="0021115D">
        <w:tab/>
        <w:t>Subject matter jurisdiction is a prerequisite to the exercise of the power to decide a controversy.</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6</w:t>
      </w:r>
      <w:r w:rsidR="00924C4E" w:rsidRPr="0021115D">
        <w:t>.</w:t>
      </w:r>
      <w:r w:rsidR="00924C4E" w:rsidRPr="0021115D">
        <w:tab/>
        <w:t>Jurisdiction may not be conferred by the parties where none exists.</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7</w:t>
      </w:r>
      <w:r w:rsidR="00924C4E" w:rsidRPr="0021115D">
        <w:t>.</w:t>
      </w:r>
      <w:r w:rsidR="00924C4E" w:rsidRPr="0021115D">
        <w:tab/>
        <w:t>Neither silence nor agreement of the parties will confer jurisdiction where it otherwise would not exist.</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8</w:t>
      </w:r>
      <w:r w:rsidR="00924C4E" w:rsidRPr="0021115D">
        <w:t>.</w:t>
      </w:r>
      <w:r w:rsidR="00924C4E" w:rsidRPr="0021115D">
        <w:tab/>
        <w:t xml:space="preserve">Jurisdiction cannot be obtained by waiver or </w:t>
      </w:r>
      <w:proofErr w:type="spellStart"/>
      <w:r w:rsidR="00924C4E" w:rsidRPr="0021115D">
        <w:t>estoppel</w:t>
      </w:r>
      <w:proofErr w:type="spellEnd"/>
      <w:r w:rsidR="00924C4E" w:rsidRPr="0021115D">
        <w:t>.</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9</w:t>
      </w:r>
      <w:r w:rsidR="00924C4E" w:rsidRPr="0021115D">
        <w:t>.</w:t>
      </w:r>
      <w:r w:rsidR="00924C4E" w:rsidRPr="0021115D">
        <w:tab/>
        <w:t>Acting under the authority and power granted in the Municipal Claim and Tax Lien Law, 53 P.S. § 7101 et seq., the City files a lien to enforce municipal claims against property for unpaid natural gas service rendered by respondent.</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10</w:t>
      </w:r>
      <w:r w:rsidR="00924C4E" w:rsidRPr="0021115D">
        <w:t>.</w:t>
      </w:r>
      <w:r w:rsidR="00924C4E" w:rsidRPr="0021115D">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1</w:t>
      </w:r>
      <w:r w:rsidRPr="0021115D">
        <w:t>.</w:t>
      </w:r>
      <w:r w:rsidRPr="0021115D">
        <w:tab/>
        <w:t>It is only the municipality that can file a municipal lien to enforce municipal claims against property for unpaid natural gas service rendered by respondent.</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2</w:t>
      </w:r>
      <w:r w:rsidRPr="0021115D">
        <w:t>.</w:t>
      </w:r>
      <w:r w:rsidRPr="0021115D">
        <w:tab/>
        <w:t>Respondent is a municipal utility that is wholly owned by the City</w:t>
      </w:r>
      <w:r w:rsidR="002B54D4">
        <w:t xml:space="preserve"> of Philadelphia</w:t>
      </w:r>
      <w:r w:rsidRPr="0021115D">
        <w:t>.  Respondent consists only of the real and personal assets that are used to manufacture and deliver natural gas to entities within the City</w:t>
      </w:r>
      <w:r w:rsidR="002B54D4">
        <w:t xml:space="preserve"> of Philadelphia</w:t>
      </w:r>
      <w:r w:rsidRPr="0021115D">
        <w:t>’s borders.</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3</w:t>
      </w:r>
      <w:r w:rsidRPr="0021115D">
        <w:t>.</w:t>
      </w:r>
      <w:r w:rsidRPr="0021115D">
        <w:tab/>
        <w:t>The procedure which the City must follow to establish a lien on a specific property, such as the Premises, is set forth in the Municipal Claim and Tax Lien Law.</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4</w:t>
      </w:r>
      <w:r w:rsidRPr="0021115D">
        <w:t>.</w:t>
      </w:r>
      <w:r w:rsidRPr="0021115D">
        <w:tab/>
        <w:t xml:space="preserve">The lien obtained for the enforcement of the City’s municipal claim is an </w:t>
      </w:r>
      <w:r w:rsidRPr="002B54D4">
        <w:rPr>
          <w:i/>
        </w:rPr>
        <w:t xml:space="preserve">in </w:t>
      </w:r>
      <w:proofErr w:type="spellStart"/>
      <w:r w:rsidRPr="002B54D4">
        <w:rPr>
          <w:i/>
        </w:rPr>
        <w:t>rem</w:t>
      </w:r>
      <w:proofErr w:type="spellEnd"/>
      <w:r w:rsidRPr="0021115D">
        <w:t xml:space="preserve"> proceeding.</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lastRenderedPageBreak/>
        <w:t>1</w:t>
      </w:r>
      <w:r w:rsidR="00002592">
        <w:t>5</w:t>
      </w:r>
      <w:r w:rsidRPr="0021115D">
        <w:t>.</w:t>
      </w:r>
      <w:r w:rsidRPr="0021115D">
        <w:tab/>
        <w:t>“</w:t>
      </w:r>
      <w:r w:rsidRPr="002B54D4">
        <w:rPr>
          <w:i/>
        </w:rPr>
        <w:t xml:space="preserve">In </w:t>
      </w:r>
      <w:proofErr w:type="spellStart"/>
      <w:r w:rsidRPr="002B54D4">
        <w:rPr>
          <w:i/>
        </w:rPr>
        <w:t>rem</w:t>
      </w:r>
      <w:proofErr w:type="spellEnd"/>
      <w:r w:rsidRPr="0021115D">
        <w:t xml:space="preserve">” is a </w:t>
      </w:r>
      <w:r w:rsidR="002B54D4">
        <w:t>term of art</w:t>
      </w:r>
      <w:r w:rsidRPr="0021115D">
        <w:t xml:space="preserve"> used to designate proceedings or actions instituted against the thing, in contradistinction to personal actions, which are said to be </w:t>
      </w:r>
      <w:r w:rsidRPr="002B54D4">
        <w:rPr>
          <w:i/>
        </w:rPr>
        <w:t xml:space="preserve">in </w:t>
      </w:r>
      <w:proofErr w:type="spellStart"/>
      <w:r w:rsidRPr="002B54D4">
        <w:rPr>
          <w:i/>
        </w:rPr>
        <w:t>person</w:t>
      </w:r>
      <w:r w:rsidR="002B54D4" w:rsidRPr="002B54D4">
        <w:rPr>
          <w:i/>
        </w:rPr>
        <w:t>a</w:t>
      </w:r>
      <w:r w:rsidRPr="002B54D4">
        <w:rPr>
          <w:i/>
        </w:rPr>
        <w:t>m</w:t>
      </w:r>
      <w:proofErr w:type="spellEnd"/>
      <w:r w:rsidRPr="002B54D4">
        <w:rPr>
          <w:i/>
        </w:rPr>
        <w:t>.</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6</w:t>
      </w:r>
      <w:r w:rsidRPr="0021115D">
        <w:t>.</w:t>
      </w:r>
      <w:r w:rsidRPr="0021115D">
        <w:tab/>
        <w:t>The City’s lien is either valid or invalid as to the property in question rather than as to the respective property interests involved.</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7</w:t>
      </w:r>
      <w:r w:rsidRPr="0021115D">
        <w:t>.</w:t>
      </w:r>
      <w:r w:rsidRPr="0021115D">
        <w:tab/>
        <w:t xml:space="preserve">No personal responsibility is asserted against </w:t>
      </w:r>
      <w:r w:rsidR="002B54D4">
        <w:t>C</w:t>
      </w:r>
      <w:r w:rsidRPr="0021115D">
        <w:t>omplainant by the City’s filing of a lien on the Premises.</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1</w:t>
      </w:r>
      <w:r w:rsidR="00002592">
        <w:t>8</w:t>
      </w:r>
      <w:r w:rsidRPr="0021115D">
        <w:t>.</w:t>
      </w:r>
      <w:r w:rsidRPr="0021115D">
        <w:tab/>
        <w:t>Enforcement of the City</w:t>
      </w:r>
      <w:r w:rsidR="00A34F59">
        <w:t xml:space="preserve"> of Philadelphia</w:t>
      </w:r>
      <w:r w:rsidRPr="0021115D">
        <w:t>’s lien is a judicial procedure controlled by the Court of Common Pleas, with due process safeguards provided to protect the rights of interested parties.</w:t>
      </w:r>
    </w:p>
    <w:p w:rsidR="00924C4E" w:rsidRPr="0021115D" w:rsidRDefault="00924C4E" w:rsidP="00924C4E">
      <w:pPr>
        <w:spacing w:line="360" w:lineRule="auto"/>
        <w:ind w:firstLine="1440"/>
      </w:pPr>
    </w:p>
    <w:p w:rsidR="00924C4E" w:rsidRPr="0021115D" w:rsidRDefault="00901EFE" w:rsidP="00924C4E">
      <w:pPr>
        <w:spacing w:line="360" w:lineRule="auto"/>
        <w:ind w:firstLine="1440"/>
      </w:pPr>
      <w:r>
        <w:t>1</w:t>
      </w:r>
      <w:r w:rsidR="00002592">
        <w:t>9</w:t>
      </w:r>
      <w:r w:rsidR="00924C4E" w:rsidRPr="0021115D">
        <w:t>.</w:t>
      </w:r>
      <w:r w:rsidR="00924C4E" w:rsidRPr="0021115D">
        <w:tab/>
        <w:t>Ultimate recovery of the amount of the municipal claims resulting in the City</w:t>
      </w:r>
      <w:r w:rsidR="00A34F59">
        <w:t xml:space="preserve"> of Philadelphia</w:t>
      </w:r>
      <w:r w:rsidR="00924C4E" w:rsidRPr="0021115D">
        <w:t>’s lien is effectuated by sale</w:t>
      </w:r>
      <w:r w:rsidR="00A34F59">
        <w:t xml:space="preserve"> of the property</w:t>
      </w:r>
      <w:r w:rsidR="00924C4E" w:rsidRPr="0021115D">
        <w:t>.</w:t>
      </w:r>
    </w:p>
    <w:p w:rsidR="00924C4E" w:rsidRPr="0021115D" w:rsidRDefault="00924C4E" w:rsidP="00924C4E">
      <w:pPr>
        <w:spacing w:line="360" w:lineRule="auto"/>
        <w:ind w:firstLine="1440"/>
      </w:pPr>
    </w:p>
    <w:p w:rsidR="00924C4E" w:rsidRPr="0021115D" w:rsidRDefault="00002592" w:rsidP="00924C4E">
      <w:pPr>
        <w:spacing w:line="360" w:lineRule="auto"/>
        <w:ind w:firstLine="1440"/>
      </w:pPr>
      <w:r>
        <w:t>20</w:t>
      </w:r>
      <w:r w:rsidR="00924C4E" w:rsidRPr="0021115D">
        <w:t>.</w:t>
      </w:r>
      <w:r w:rsidR="00924C4E" w:rsidRPr="0021115D">
        <w:tab/>
        <w:t>Lien proceedings are exclusively matters of judicial, not administrative, jurisdiction.</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2</w:t>
      </w:r>
      <w:r w:rsidR="00002592">
        <w:t>1</w:t>
      </w:r>
      <w:r w:rsidRPr="0021115D">
        <w:t>.</w:t>
      </w:r>
      <w:r w:rsidRPr="0021115D">
        <w:tab/>
        <w:t>The Commission has recognized its lack of subject matter jurisdiction in cases involving a dispute over a municipal lien placed upon a property.</w:t>
      </w:r>
    </w:p>
    <w:p w:rsidR="00924C4E" w:rsidRPr="0021115D" w:rsidRDefault="00924C4E" w:rsidP="00924C4E">
      <w:pPr>
        <w:spacing w:line="360" w:lineRule="auto"/>
        <w:ind w:firstLine="1440"/>
      </w:pPr>
    </w:p>
    <w:p w:rsidR="00924C4E" w:rsidRPr="0021115D" w:rsidRDefault="00924C4E" w:rsidP="00924C4E">
      <w:pPr>
        <w:spacing w:line="360" w:lineRule="auto"/>
        <w:ind w:firstLine="1440"/>
        <w:rPr>
          <w:color w:val="000000"/>
        </w:rPr>
      </w:pPr>
      <w:r w:rsidRPr="0021115D">
        <w:t>2</w:t>
      </w:r>
      <w:r w:rsidR="00002592">
        <w:t>2</w:t>
      </w:r>
      <w:r w:rsidRPr="0021115D">
        <w:t>.</w:t>
      </w:r>
      <w:r w:rsidRPr="0021115D">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21115D">
        <w:rPr>
          <w:color w:val="000000"/>
        </w:rPr>
        <w:t>Municipal Claim and Tax Lien Law remains unabated.</w:t>
      </w:r>
    </w:p>
    <w:p w:rsidR="00924C4E" w:rsidRPr="0021115D" w:rsidRDefault="00924C4E" w:rsidP="00924C4E">
      <w:pPr>
        <w:spacing w:line="360" w:lineRule="auto"/>
        <w:ind w:firstLine="1440"/>
        <w:rPr>
          <w:color w:val="000000"/>
        </w:rPr>
      </w:pPr>
    </w:p>
    <w:p w:rsidR="00CC3849" w:rsidRDefault="00924C4E" w:rsidP="00196F89">
      <w:pPr>
        <w:spacing w:line="360" w:lineRule="auto"/>
        <w:ind w:firstLine="1440"/>
        <w:rPr>
          <w:color w:val="000000"/>
        </w:rPr>
      </w:pPr>
      <w:r w:rsidRPr="0021115D">
        <w:rPr>
          <w:color w:val="000000"/>
        </w:rPr>
        <w:t>2</w:t>
      </w:r>
      <w:r w:rsidR="00002592">
        <w:rPr>
          <w:color w:val="000000"/>
        </w:rPr>
        <w:t>3</w:t>
      </w:r>
      <w:r w:rsidRPr="0021115D">
        <w:rPr>
          <w:color w:val="000000"/>
        </w:rPr>
        <w:t>.</w:t>
      </w:r>
      <w:r w:rsidRPr="0021115D">
        <w:rPr>
          <w:color w:val="000000"/>
        </w:rPr>
        <w:tab/>
      </w:r>
      <w:r w:rsidRPr="0021115D">
        <w:t>Code section 2212(n) specifically states that “[n]</w:t>
      </w:r>
      <w:proofErr w:type="spellStart"/>
      <w:r w:rsidRPr="0021115D">
        <w:t>othing</w:t>
      </w:r>
      <w:proofErr w:type="spellEnd"/>
      <w:r w:rsidRPr="0021115D">
        <w:rPr>
          <w:color w:val="000000"/>
        </w:rPr>
        <w:t xml:space="preserve"> contained in this </w:t>
      </w:r>
      <w:r w:rsidRPr="0021115D">
        <w:rPr>
          <w:color w:val="000000"/>
          <w:u w:val="single"/>
        </w:rPr>
        <w:t>title</w:t>
      </w:r>
      <w:r w:rsidRPr="0021115D">
        <w:rPr>
          <w:color w:val="000000"/>
        </w:rPr>
        <w:t>”, that is; Title 66, the entire Code, shall abrogate the right of the City to collect unpaid bills</w:t>
      </w:r>
    </w:p>
    <w:p w:rsidR="000556FB" w:rsidRDefault="000556FB">
      <w:pPr>
        <w:rPr>
          <w:color w:val="000000"/>
        </w:rPr>
      </w:pPr>
      <w:r>
        <w:rPr>
          <w:color w:val="000000"/>
        </w:rPr>
        <w:br w:type="page"/>
      </w:r>
    </w:p>
    <w:p w:rsidR="00924C4E" w:rsidRDefault="00924C4E" w:rsidP="00CC3849">
      <w:pPr>
        <w:spacing w:line="360" w:lineRule="auto"/>
        <w:rPr>
          <w:color w:val="000000"/>
        </w:rPr>
      </w:pPr>
      <w:r w:rsidRPr="0021115D">
        <w:rPr>
          <w:color w:val="000000"/>
        </w:rPr>
        <w:lastRenderedPageBreak/>
        <w:t>for natural gas service through the mechanisms provided by the Municipal Claim and Tax Lien Law.</w:t>
      </w:r>
    </w:p>
    <w:p w:rsidR="00CC3849" w:rsidRPr="0021115D" w:rsidRDefault="00CC3849" w:rsidP="00CC3849">
      <w:pPr>
        <w:spacing w:line="360" w:lineRule="auto"/>
        <w:rPr>
          <w:color w:val="000000"/>
        </w:rPr>
      </w:pPr>
    </w:p>
    <w:p w:rsidR="00924C4E" w:rsidRPr="0021115D" w:rsidRDefault="00924C4E" w:rsidP="00924C4E">
      <w:pPr>
        <w:spacing w:line="360" w:lineRule="auto"/>
        <w:ind w:firstLine="1440"/>
      </w:pPr>
      <w:r w:rsidRPr="0021115D">
        <w:rPr>
          <w:color w:val="000000"/>
        </w:rPr>
        <w:t>2</w:t>
      </w:r>
      <w:r w:rsidR="00002592">
        <w:rPr>
          <w:color w:val="000000"/>
        </w:rPr>
        <w:t>4</w:t>
      </w:r>
      <w:r w:rsidRPr="0021115D">
        <w:rPr>
          <w:color w:val="000000"/>
        </w:rPr>
        <w:t>.</w:t>
      </w:r>
      <w:r w:rsidRPr="0021115D">
        <w:rPr>
          <w:color w:val="000000"/>
        </w:rPr>
        <w:tab/>
        <w:t xml:space="preserve">The Commission’s </w:t>
      </w:r>
      <w:r w:rsidRPr="0021115D">
        <w:t xml:space="preserve">holdings in </w:t>
      </w:r>
      <w:r>
        <w:rPr>
          <w:i/>
        </w:rPr>
        <w:t>Pitt</w:t>
      </w:r>
      <w:r w:rsidRPr="0021115D">
        <w:t xml:space="preserve"> and </w:t>
      </w:r>
      <w:proofErr w:type="spellStart"/>
      <w:r>
        <w:rPr>
          <w:i/>
        </w:rPr>
        <w:t>Vata</w:t>
      </w:r>
      <w:proofErr w:type="spellEnd"/>
      <w:r w:rsidRPr="0021115D">
        <w:t>, that it does not have subject matter jurisdiction over cases such as this one, is legally correct.</w:t>
      </w:r>
    </w:p>
    <w:p w:rsidR="00924C4E" w:rsidRPr="0021115D" w:rsidRDefault="00924C4E" w:rsidP="00924C4E">
      <w:pPr>
        <w:spacing w:line="360" w:lineRule="auto"/>
        <w:ind w:firstLine="1440"/>
      </w:pPr>
    </w:p>
    <w:p w:rsidR="00924C4E" w:rsidRDefault="00924C4E" w:rsidP="00642597">
      <w:pPr>
        <w:spacing w:line="360" w:lineRule="auto"/>
        <w:ind w:firstLine="1440"/>
        <w:rPr>
          <w:color w:val="000000"/>
        </w:rPr>
      </w:pPr>
      <w:r w:rsidRPr="0021115D">
        <w:t>2</w:t>
      </w:r>
      <w:r w:rsidR="00002592">
        <w:t>5</w:t>
      </w:r>
      <w:r w:rsidRPr="0021115D">
        <w:t>.</w:t>
      </w:r>
      <w:r w:rsidRPr="0021115D">
        <w:tab/>
        <w:t xml:space="preserve">Complainant’s relief, if any, must be obtained under the procedures established by </w:t>
      </w:r>
      <w:r w:rsidRPr="0021115D">
        <w:rPr>
          <w:color w:val="000000"/>
        </w:rPr>
        <w:t>the Municipal Claim and Tax Lien Law.</w:t>
      </w:r>
    </w:p>
    <w:p w:rsidR="00642597" w:rsidRDefault="00642597" w:rsidP="00642597">
      <w:pPr>
        <w:spacing w:line="360" w:lineRule="auto"/>
        <w:ind w:firstLine="1440"/>
        <w:rPr>
          <w:color w:val="000000"/>
        </w:rPr>
      </w:pPr>
    </w:p>
    <w:p w:rsidR="00642597" w:rsidRDefault="00642597" w:rsidP="00CC3849">
      <w:pPr>
        <w:spacing w:line="360" w:lineRule="auto"/>
        <w:rPr>
          <w:bCs/>
          <w:u w:val="single"/>
        </w:rPr>
      </w:pPr>
    </w:p>
    <w:p w:rsidR="00924C4E" w:rsidRPr="0021115D" w:rsidRDefault="00924C4E" w:rsidP="00CC3849">
      <w:pPr>
        <w:spacing w:line="360" w:lineRule="auto"/>
        <w:jc w:val="center"/>
        <w:outlineLvl w:val="0"/>
        <w:rPr>
          <w:bCs/>
        </w:rPr>
      </w:pPr>
      <w:r w:rsidRPr="0021115D">
        <w:rPr>
          <w:bCs/>
          <w:u w:val="single"/>
        </w:rPr>
        <w:t>ORDER</w:t>
      </w:r>
    </w:p>
    <w:p w:rsidR="00924C4E" w:rsidRPr="0021115D" w:rsidRDefault="00924C4E" w:rsidP="00924C4E">
      <w:pPr>
        <w:spacing w:line="360" w:lineRule="auto"/>
        <w:ind w:firstLine="1440"/>
      </w:pPr>
    </w:p>
    <w:p w:rsidR="00924C4E" w:rsidRPr="0021115D" w:rsidRDefault="00924C4E" w:rsidP="00924C4E">
      <w:pPr>
        <w:spacing w:line="360" w:lineRule="auto"/>
        <w:ind w:firstLine="1440"/>
      </w:pPr>
    </w:p>
    <w:p w:rsidR="00924C4E" w:rsidRPr="0021115D" w:rsidRDefault="00924C4E" w:rsidP="00924C4E">
      <w:pPr>
        <w:spacing w:line="360" w:lineRule="auto"/>
        <w:ind w:firstLine="1440"/>
      </w:pPr>
      <w:r w:rsidRPr="0021115D">
        <w:t>THEREFORE,</w:t>
      </w:r>
    </w:p>
    <w:p w:rsidR="00924C4E" w:rsidRPr="0021115D" w:rsidRDefault="00924C4E" w:rsidP="00924C4E">
      <w:pPr>
        <w:spacing w:line="360" w:lineRule="auto"/>
        <w:ind w:firstLine="1440"/>
      </w:pPr>
    </w:p>
    <w:p w:rsidR="00924C4E" w:rsidRPr="0021115D" w:rsidRDefault="00924C4E" w:rsidP="00924C4E">
      <w:pPr>
        <w:spacing w:line="360" w:lineRule="auto"/>
        <w:ind w:firstLine="1440"/>
        <w:outlineLvl w:val="0"/>
      </w:pPr>
      <w:r w:rsidRPr="0021115D">
        <w:t>IT IS ORDERED:</w:t>
      </w:r>
    </w:p>
    <w:p w:rsidR="00924C4E" w:rsidRPr="0021115D" w:rsidRDefault="00924C4E" w:rsidP="00924C4E">
      <w:pPr>
        <w:spacing w:line="360" w:lineRule="auto"/>
        <w:ind w:firstLine="1440"/>
      </w:pPr>
    </w:p>
    <w:p w:rsidR="00A34F59" w:rsidRPr="00F8224E" w:rsidRDefault="00A34F59" w:rsidP="00A34F59">
      <w:pPr>
        <w:pStyle w:val="BodyText"/>
        <w:spacing w:after="0" w:line="360" w:lineRule="auto"/>
      </w:pPr>
      <w:r w:rsidRPr="00F8224E">
        <w:tab/>
      </w:r>
      <w:r w:rsidRPr="00F8224E">
        <w:tab/>
        <w:t>1.</w:t>
      </w:r>
      <w:r w:rsidRPr="00F8224E">
        <w:tab/>
        <w:t xml:space="preserve">That the complaint filed by </w:t>
      </w:r>
      <w:r>
        <w:t>Ardelle</w:t>
      </w:r>
      <w:r w:rsidRPr="00F8224E">
        <w:t xml:space="preserve"> Jackson against </w:t>
      </w:r>
      <w:r>
        <w:t>Philadelphia Gas Works</w:t>
      </w:r>
      <w:r w:rsidRPr="00F8224E">
        <w:t xml:space="preserve"> at Docket Number </w:t>
      </w:r>
      <w:r w:rsidR="007F3258">
        <w:rPr>
          <w:color w:val="000000"/>
        </w:rPr>
        <w:t>C-2009-2119940</w:t>
      </w:r>
      <w:r w:rsidRPr="00F8224E">
        <w:t>, is dismissed.</w:t>
      </w:r>
    </w:p>
    <w:p w:rsidR="00A34F59" w:rsidRPr="00F8224E" w:rsidRDefault="000556FB" w:rsidP="00A34F59">
      <w:pPr>
        <w:pStyle w:val="BodyText"/>
        <w:spacing w:after="0" w:line="360" w:lineRule="auto"/>
      </w:pPr>
      <w:r>
        <w:tab/>
      </w:r>
    </w:p>
    <w:p w:rsidR="00A34F59" w:rsidRPr="00F8224E" w:rsidRDefault="00A34F59" w:rsidP="00A34F59">
      <w:pPr>
        <w:pStyle w:val="BodyText"/>
        <w:spacing w:after="0" w:line="360" w:lineRule="auto"/>
      </w:pPr>
      <w:r w:rsidRPr="00F8224E">
        <w:tab/>
      </w:r>
      <w:r w:rsidRPr="00F8224E">
        <w:tab/>
      </w:r>
      <w:r>
        <w:t>2</w:t>
      </w:r>
      <w:r w:rsidRPr="00F8224E">
        <w:t>.</w:t>
      </w:r>
      <w:r w:rsidRPr="00F8224E">
        <w:tab/>
        <w:t xml:space="preserve"> That the record at Docket No. </w:t>
      </w:r>
      <w:r w:rsidR="007F3258">
        <w:rPr>
          <w:color w:val="000000"/>
        </w:rPr>
        <w:t xml:space="preserve">C-2009-2119940 </w:t>
      </w:r>
      <w:proofErr w:type="gramStart"/>
      <w:r>
        <w:t>be</w:t>
      </w:r>
      <w:proofErr w:type="gramEnd"/>
      <w:r w:rsidRPr="00F8224E">
        <w:t xml:space="preserve"> marked closed.</w:t>
      </w:r>
    </w:p>
    <w:p w:rsidR="00A34F59" w:rsidRPr="00F8224E" w:rsidRDefault="00A34F59" w:rsidP="00A34F59">
      <w:pPr>
        <w:pStyle w:val="BodyText"/>
        <w:spacing w:after="0" w:line="360" w:lineRule="auto"/>
      </w:pPr>
    </w:p>
    <w:p w:rsidR="00A34F59" w:rsidRPr="00F8224E" w:rsidRDefault="00A34F59" w:rsidP="00A34F59">
      <w:pPr>
        <w:pStyle w:val="BodyText"/>
        <w:spacing w:after="0" w:line="360" w:lineRule="auto"/>
      </w:pPr>
    </w:p>
    <w:p w:rsidR="00A34F59" w:rsidRPr="00F8224E" w:rsidRDefault="00A34F59" w:rsidP="00A34F59">
      <w:pPr>
        <w:pStyle w:val="BodyText"/>
        <w:spacing w:after="0"/>
      </w:pPr>
      <w:r w:rsidRPr="00F8224E">
        <w:t>Date:</w:t>
      </w:r>
      <w:r w:rsidRPr="00F8224E">
        <w:tab/>
      </w:r>
      <w:r w:rsidRPr="00F8224E">
        <w:rPr>
          <w:u w:val="single"/>
        </w:rPr>
        <w:t>January 2</w:t>
      </w:r>
      <w:r>
        <w:rPr>
          <w:u w:val="single"/>
        </w:rPr>
        <w:t>4</w:t>
      </w:r>
      <w:r w:rsidRPr="00F8224E">
        <w:rPr>
          <w:u w:val="single"/>
        </w:rPr>
        <w:t>, 2011</w:t>
      </w:r>
      <w:r w:rsidRPr="00F8224E">
        <w:tab/>
      </w:r>
      <w:r w:rsidRPr="00F8224E">
        <w:tab/>
      </w:r>
      <w:r w:rsidRPr="00F8224E">
        <w:tab/>
      </w:r>
      <w:r w:rsidRPr="00F8224E">
        <w:tab/>
        <w:t>________________________________</w:t>
      </w:r>
      <w:r w:rsidRPr="00F8224E">
        <w:tab/>
      </w:r>
      <w:r w:rsidRPr="00F8224E">
        <w:tab/>
      </w:r>
      <w:r w:rsidRPr="00F8224E">
        <w:tab/>
      </w:r>
      <w:r w:rsidRPr="00F8224E">
        <w:tab/>
      </w:r>
      <w:r w:rsidRPr="00F8224E">
        <w:tab/>
      </w:r>
      <w:r w:rsidRPr="00F8224E">
        <w:tab/>
      </w:r>
      <w:r w:rsidRPr="00F8224E">
        <w:tab/>
      </w:r>
      <w:r w:rsidRPr="00F8224E">
        <w:tab/>
        <w:t>Elizabeth H. Barnes</w:t>
      </w:r>
    </w:p>
    <w:p w:rsidR="00A34F59" w:rsidRPr="00F8224E" w:rsidRDefault="00A34F59" w:rsidP="00A34F59">
      <w:pPr>
        <w:pStyle w:val="BodyText"/>
        <w:spacing w:after="0"/>
      </w:pPr>
      <w:r w:rsidRPr="00F8224E">
        <w:tab/>
      </w:r>
      <w:r w:rsidRPr="00F8224E">
        <w:tab/>
      </w:r>
      <w:r w:rsidRPr="00F8224E">
        <w:tab/>
      </w:r>
      <w:r w:rsidRPr="00F8224E">
        <w:tab/>
      </w:r>
      <w:r w:rsidRPr="00F8224E">
        <w:tab/>
      </w:r>
      <w:r w:rsidRPr="00F8224E">
        <w:tab/>
      </w:r>
      <w:r w:rsidRPr="00F8224E">
        <w:tab/>
        <w:t>Administrative Law Judge</w:t>
      </w:r>
    </w:p>
    <w:sectPr w:rsidR="00A34F59" w:rsidRPr="00F8224E" w:rsidSect="00252F7E">
      <w:headerReference w:type="default" r:id="rId8"/>
      <w:footerReference w:type="default" r:id="rId9"/>
      <w:pgSz w:w="12240" w:h="15840" w:code="1"/>
      <w:pgMar w:top="1296" w:right="1440" w:bottom="1296"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C79" w:rsidRDefault="009C7C79" w:rsidP="007F418B">
      <w:r>
        <w:separator/>
      </w:r>
    </w:p>
  </w:endnote>
  <w:endnote w:type="continuationSeparator" w:id="0">
    <w:p w:rsidR="009C7C79" w:rsidRDefault="009C7C79"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048407"/>
      <w:docPartObj>
        <w:docPartGallery w:val="Page Numbers (Bottom of Page)"/>
        <w:docPartUnique/>
      </w:docPartObj>
    </w:sdtPr>
    <w:sdtContent>
      <w:p w:rsidR="000556FB" w:rsidRDefault="00D91586">
        <w:pPr>
          <w:pStyle w:val="Footer"/>
          <w:jc w:val="center"/>
        </w:pPr>
        <w:r w:rsidRPr="002F261E">
          <w:rPr>
            <w:sz w:val="20"/>
            <w:szCs w:val="20"/>
          </w:rPr>
          <w:fldChar w:fldCharType="begin"/>
        </w:r>
        <w:r w:rsidR="000556FB" w:rsidRPr="002F261E">
          <w:rPr>
            <w:sz w:val="20"/>
            <w:szCs w:val="20"/>
          </w:rPr>
          <w:instrText xml:space="preserve"> PAGE   \* MERGEFORMAT </w:instrText>
        </w:r>
        <w:r w:rsidRPr="002F261E">
          <w:rPr>
            <w:sz w:val="20"/>
            <w:szCs w:val="20"/>
          </w:rPr>
          <w:fldChar w:fldCharType="separate"/>
        </w:r>
        <w:r w:rsidR="007F3258">
          <w:rPr>
            <w:noProof/>
            <w:sz w:val="20"/>
            <w:szCs w:val="20"/>
          </w:rPr>
          <w:t>12</w:t>
        </w:r>
        <w:r w:rsidRPr="002F261E">
          <w:rPr>
            <w:sz w:val="20"/>
            <w:szCs w:val="20"/>
          </w:rPr>
          <w:fldChar w:fldCharType="end"/>
        </w:r>
      </w:p>
    </w:sdtContent>
  </w:sdt>
  <w:p w:rsidR="000556FB" w:rsidRDefault="00055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C79" w:rsidRDefault="009C7C79" w:rsidP="007F418B">
      <w:r>
        <w:separator/>
      </w:r>
    </w:p>
  </w:footnote>
  <w:footnote w:type="continuationSeparator" w:id="0">
    <w:p w:rsidR="009C7C79" w:rsidRDefault="009C7C79" w:rsidP="007F418B">
      <w:r>
        <w:continuationSeparator/>
      </w:r>
    </w:p>
  </w:footnote>
  <w:footnote w:id="1">
    <w:p w:rsidR="000556FB" w:rsidRPr="00310E89" w:rsidRDefault="000556FB" w:rsidP="00924C4E">
      <w:pPr>
        <w:pStyle w:val="FootnoteText"/>
      </w:pPr>
      <w:r>
        <w:rPr>
          <w:rStyle w:val="FootnoteReference"/>
        </w:rPr>
        <w:footnoteRef/>
      </w:r>
      <w:r>
        <w:tab/>
      </w:r>
      <w:r w:rsidRPr="00310E89">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proofErr w:type="gramStart"/>
      <w:r w:rsidRPr="00310E89">
        <w:rPr>
          <w:i/>
        </w:rPr>
        <w:t xml:space="preserve">London Towne Homeowners </w:t>
      </w:r>
      <w:proofErr w:type="spellStart"/>
      <w:r w:rsidRPr="00310E89">
        <w:rPr>
          <w:i/>
        </w:rPr>
        <w:t>Ass’n</w:t>
      </w:r>
      <w:proofErr w:type="spellEnd"/>
      <w:r w:rsidRPr="00310E89">
        <w:rPr>
          <w:i/>
        </w:rPr>
        <w:t xml:space="preserve"> v. Karr</w:t>
      </w:r>
      <w:r>
        <w:t>, 866 A.2d 447, 451</w:t>
      </w:r>
      <w:r w:rsidRPr="00310E89">
        <w:t xml:space="preserve"> (Pa.Cmwlth. 2004) (citations and internal footnotes omitted).</w:t>
      </w:r>
      <w:proofErr w:type="gramEnd"/>
    </w:p>
    <w:p w:rsidR="000556FB" w:rsidRDefault="000556FB" w:rsidP="00924C4E">
      <w:pPr>
        <w:pStyle w:val="FootnoteText"/>
      </w:pPr>
    </w:p>
  </w:footnote>
  <w:footnote w:id="2">
    <w:p w:rsidR="000556FB" w:rsidRPr="00C863BA" w:rsidRDefault="000556FB" w:rsidP="00924C4E">
      <w:pPr>
        <w:pStyle w:val="FootnoteText"/>
      </w:pPr>
      <w:r w:rsidRPr="00C863BA">
        <w:rPr>
          <w:rStyle w:val="FootnoteReference"/>
        </w:rPr>
        <w:footnoteRef/>
      </w:r>
      <w:r w:rsidRPr="00C863BA">
        <w:tab/>
        <w:t xml:space="preserve">“A technical term used to designate proceedings or actions instituted </w:t>
      </w:r>
      <w:r w:rsidRPr="00C863BA">
        <w:rPr>
          <w:i/>
        </w:rPr>
        <w:t>against the thing,</w:t>
      </w:r>
      <w:r w:rsidRPr="00C863BA">
        <w:t xml:space="preserve"> in contradistinction to personal actions, which are said to be </w:t>
      </w:r>
      <w:r w:rsidRPr="00C863BA">
        <w:rPr>
          <w:i/>
        </w:rPr>
        <w:t>in personam</w:t>
      </w:r>
      <w:r w:rsidRPr="00C863BA">
        <w:t xml:space="preserve">.  An ‘action </w:t>
      </w:r>
      <w:r w:rsidRPr="004812B2">
        <w:rPr>
          <w:i/>
        </w:rPr>
        <w:t xml:space="preserve">in </w:t>
      </w:r>
      <w:proofErr w:type="spellStart"/>
      <w:r w:rsidRPr="004812B2">
        <w:rPr>
          <w:i/>
        </w:rPr>
        <w:t>rem</w:t>
      </w:r>
      <w:proofErr w:type="spellEnd"/>
      <w:r w:rsidRPr="00C863BA">
        <w:t xml:space="preserve">’ is a proceeding that takes no cognizance of owner but determines right in specific property against </w:t>
      </w:r>
      <w:proofErr w:type="gramStart"/>
      <w:r w:rsidRPr="00C863BA">
        <w:t>all the</w:t>
      </w:r>
      <w:proofErr w:type="gramEnd"/>
      <w:r w:rsidRPr="00C863BA">
        <w:t xml:space="preserve"> world, equally binding on everyone.”  Black’s Law Dictionary 713 (5</w:t>
      </w:r>
      <w:r w:rsidRPr="00C863BA">
        <w:rPr>
          <w:vertAlign w:val="superscript"/>
        </w:rPr>
        <w:t>th</w:t>
      </w:r>
      <w:r w:rsidRPr="00C863BA">
        <w:t xml:space="preserve"> ed. 1979).</w:t>
      </w:r>
    </w:p>
  </w:footnote>
  <w:footnote w:id="3">
    <w:p w:rsidR="000556FB" w:rsidRPr="008D7410" w:rsidRDefault="000556FB" w:rsidP="00924C4E">
      <w:pPr>
        <w:pStyle w:val="FootnoteText"/>
      </w:pPr>
      <w:r w:rsidRPr="008D7410">
        <w:rPr>
          <w:rStyle w:val="FootnoteReference"/>
        </w:rPr>
        <w:footnoteRef/>
      </w:r>
      <w:r w:rsidRPr="008D7410">
        <w:tab/>
        <w:t xml:space="preserve">Or the Municipal Court of Philadelphia if the amount is within its jurisdiction.  </w:t>
      </w:r>
      <w:proofErr w:type="gramStart"/>
      <w:r w:rsidRPr="008D7410">
        <w:t>53 P.S. § 7101 et seq.</w:t>
      </w:r>
      <w:proofErr w:type="gramEnd"/>
    </w:p>
  </w:footnote>
  <w:footnote w:id="4">
    <w:p w:rsidR="000556FB" w:rsidRPr="00816091" w:rsidRDefault="000556FB" w:rsidP="00924C4E">
      <w:pPr>
        <w:pStyle w:val="FootnoteText"/>
      </w:pPr>
      <w:r w:rsidRPr="00816091">
        <w:rPr>
          <w:rStyle w:val="FootnoteReference"/>
        </w:rPr>
        <w:footnoteRef/>
      </w:r>
      <w:r w:rsidRPr="00816091">
        <w:tab/>
        <w:t xml:space="preserve">The Commission has jurisdiction over municipalities providing public utility service outside of their municipal boundaries, but </w:t>
      </w:r>
      <w:r w:rsidRPr="00816091">
        <w:rPr>
          <w:u w:val="single"/>
        </w:rPr>
        <w:t>only</w:t>
      </w:r>
      <w:r w:rsidRPr="00816091">
        <w:t xml:space="preserve"> as to the public utility service being rendered.  </w:t>
      </w:r>
      <w:r w:rsidRPr="00816091">
        <w:rPr>
          <w:i/>
        </w:rPr>
        <w:t>Petition of Borough of Boyertown</w:t>
      </w:r>
      <w:r w:rsidRPr="00816091">
        <w:t xml:space="preserve">, </w:t>
      </w:r>
      <w:proofErr w:type="gramStart"/>
      <w:r w:rsidRPr="00816091">
        <w:t>77 Pa.Cmwlth</w:t>
      </w:r>
      <w:proofErr w:type="gramEnd"/>
      <w:r w:rsidRPr="00816091">
        <w:t xml:space="preserve">. </w:t>
      </w:r>
      <w:proofErr w:type="gramStart"/>
      <w:r w:rsidRPr="00816091">
        <w:t>357, 466 A.2d 239 (1983).</w:t>
      </w:r>
      <w:proofErr w:type="gramEnd"/>
      <w:r w:rsidRPr="00816091">
        <w:t xml:space="preserve">  The instant case does not involve municipal extra-territorial service, nor is the lien </w:t>
      </w:r>
      <w:proofErr w:type="gramStart"/>
      <w:r w:rsidRPr="00816091">
        <w:t>proceeding</w:t>
      </w:r>
      <w:proofErr w:type="gramEnd"/>
      <w:r w:rsidRPr="00816091">
        <w:t xml:space="preserve"> public utility service.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FB" w:rsidRDefault="000556FB">
    <w:pPr>
      <w:pStyle w:val="Header"/>
      <w:jc w:val="center"/>
    </w:pPr>
  </w:p>
  <w:p w:rsidR="000556FB" w:rsidRDefault="000556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13"/>
  </w:num>
  <w:num w:numId="6">
    <w:abstractNumId w:val="6"/>
  </w:num>
  <w:num w:numId="7">
    <w:abstractNumId w:val="5"/>
  </w:num>
  <w:num w:numId="8">
    <w:abstractNumId w:val="0"/>
  </w:num>
  <w:num w:numId="9">
    <w:abstractNumId w:val="3"/>
  </w:num>
  <w:num w:numId="10">
    <w:abstractNumId w:val="10"/>
  </w:num>
  <w:num w:numId="11">
    <w:abstractNumId w:val="19"/>
  </w:num>
  <w:num w:numId="12">
    <w:abstractNumId w:val="16"/>
  </w:num>
  <w:num w:numId="13">
    <w:abstractNumId w:val="9"/>
  </w:num>
  <w:num w:numId="14">
    <w:abstractNumId w:val="7"/>
  </w:num>
  <w:num w:numId="15">
    <w:abstractNumId w:val="11"/>
  </w:num>
  <w:num w:numId="16">
    <w:abstractNumId w:val="2"/>
  </w:num>
  <w:num w:numId="17">
    <w:abstractNumId w:val="18"/>
  </w:num>
  <w:num w:numId="18">
    <w:abstractNumId w:val="4"/>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418B"/>
    <w:rsid w:val="00000BDE"/>
    <w:rsid w:val="000024CF"/>
    <w:rsid w:val="00002592"/>
    <w:rsid w:val="000056E2"/>
    <w:rsid w:val="000063E7"/>
    <w:rsid w:val="00014415"/>
    <w:rsid w:val="00014A22"/>
    <w:rsid w:val="00016050"/>
    <w:rsid w:val="0002076A"/>
    <w:rsid w:val="00020B5E"/>
    <w:rsid w:val="00022462"/>
    <w:rsid w:val="000241F6"/>
    <w:rsid w:val="000257F2"/>
    <w:rsid w:val="000316F5"/>
    <w:rsid w:val="0003357B"/>
    <w:rsid w:val="00033641"/>
    <w:rsid w:val="0003396C"/>
    <w:rsid w:val="000352AB"/>
    <w:rsid w:val="0004361E"/>
    <w:rsid w:val="0004430C"/>
    <w:rsid w:val="000453F0"/>
    <w:rsid w:val="00046631"/>
    <w:rsid w:val="00047162"/>
    <w:rsid w:val="0004727F"/>
    <w:rsid w:val="00047D88"/>
    <w:rsid w:val="000526C7"/>
    <w:rsid w:val="00054C92"/>
    <w:rsid w:val="00054D31"/>
    <w:rsid w:val="000550E9"/>
    <w:rsid w:val="000551AE"/>
    <w:rsid w:val="000556FB"/>
    <w:rsid w:val="00055981"/>
    <w:rsid w:val="00057487"/>
    <w:rsid w:val="000577CF"/>
    <w:rsid w:val="00066B71"/>
    <w:rsid w:val="00071A50"/>
    <w:rsid w:val="0007552C"/>
    <w:rsid w:val="000A018B"/>
    <w:rsid w:val="000A0EB0"/>
    <w:rsid w:val="000A1BCD"/>
    <w:rsid w:val="000A4ED5"/>
    <w:rsid w:val="000A64D8"/>
    <w:rsid w:val="000A6861"/>
    <w:rsid w:val="000B08B7"/>
    <w:rsid w:val="000B296D"/>
    <w:rsid w:val="000B6B08"/>
    <w:rsid w:val="000B71FE"/>
    <w:rsid w:val="000B7483"/>
    <w:rsid w:val="000C125E"/>
    <w:rsid w:val="000C3192"/>
    <w:rsid w:val="000C3A87"/>
    <w:rsid w:val="000C3AF0"/>
    <w:rsid w:val="000D1BA1"/>
    <w:rsid w:val="000D64DF"/>
    <w:rsid w:val="000D6D8D"/>
    <w:rsid w:val="000E1F54"/>
    <w:rsid w:val="000E5C56"/>
    <w:rsid w:val="000E67ED"/>
    <w:rsid w:val="000F21D8"/>
    <w:rsid w:val="000F3438"/>
    <w:rsid w:val="000F384C"/>
    <w:rsid w:val="000F5E17"/>
    <w:rsid w:val="000F5FB6"/>
    <w:rsid w:val="00105971"/>
    <w:rsid w:val="001072E6"/>
    <w:rsid w:val="00110EC7"/>
    <w:rsid w:val="00112006"/>
    <w:rsid w:val="001150F9"/>
    <w:rsid w:val="001159A5"/>
    <w:rsid w:val="00116E09"/>
    <w:rsid w:val="00124552"/>
    <w:rsid w:val="001256B5"/>
    <w:rsid w:val="00125818"/>
    <w:rsid w:val="00126B19"/>
    <w:rsid w:val="00126B32"/>
    <w:rsid w:val="00131E7D"/>
    <w:rsid w:val="0013205B"/>
    <w:rsid w:val="001375A5"/>
    <w:rsid w:val="00144779"/>
    <w:rsid w:val="0015253B"/>
    <w:rsid w:val="00162280"/>
    <w:rsid w:val="00163A08"/>
    <w:rsid w:val="001643B5"/>
    <w:rsid w:val="001671B4"/>
    <w:rsid w:val="00170DB9"/>
    <w:rsid w:val="00172605"/>
    <w:rsid w:val="00174F76"/>
    <w:rsid w:val="0017797C"/>
    <w:rsid w:val="0018270C"/>
    <w:rsid w:val="0018340A"/>
    <w:rsid w:val="001863FD"/>
    <w:rsid w:val="00192406"/>
    <w:rsid w:val="00192924"/>
    <w:rsid w:val="00196F89"/>
    <w:rsid w:val="001A0528"/>
    <w:rsid w:val="001A4A6D"/>
    <w:rsid w:val="001B40B6"/>
    <w:rsid w:val="001B5611"/>
    <w:rsid w:val="001B5D32"/>
    <w:rsid w:val="001B647D"/>
    <w:rsid w:val="001B6F2C"/>
    <w:rsid w:val="001C2951"/>
    <w:rsid w:val="001C3D3A"/>
    <w:rsid w:val="001C5952"/>
    <w:rsid w:val="001C6E31"/>
    <w:rsid w:val="001D1A1E"/>
    <w:rsid w:val="001D1F2E"/>
    <w:rsid w:val="001D42F1"/>
    <w:rsid w:val="001D53DD"/>
    <w:rsid w:val="001E1532"/>
    <w:rsid w:val="001E2D66"/>
    <w:rsid w:val="001E3728"/>
    <w:rsid w:val="001E771E"/>
    <w:rsid w:val="001F1187"/>
    <w:rsid w:val="001F1F03"/>
    <w:rsid w:val="001F3630"/>
    <w:rsid w:val="002035FE"/>
    <w:rsid w:val="002054CA"/>
    <w:rsid w:val="0020652F"/>
    <w:rsid w:val="0021186E"/>
    <w:rsid w:val="00220C76"/>
    <w:rsid w:val="002217E6"/>
    <w:rsid w:val="00227DEE"/>
    <w:rsid w:val="002317CB"/>
    <w:rsid w:val="00232159"/>
    <w:rsid w:val="0023426E"/>
    <w:rsid w:val="00235E4E"/>
    <w:rsid w:val="00241DC3"/>
    <w:rsid w:val="00242CCE"/>
    <w:rsid w:val="00251540"/>
    <w:rsid w:val="00252F7E"/>
    <w:rsid w:val="00255106"/>
    <w:rsid w:val="002553EE"/>
    <w:rsid w:val="00257119"/>
    <w:rsid w:val="0025739B"/>
    <w:rsid w:val="00261C95"/>
    <w:rsid w:val="00263E3F"/>
    <w:rsid w:val="00264361"/>
    <w:rsid w:val="00266C4E"/>
    <w:rsid w:val="00266EA4"/>
    <w:rsid w:val="00267945"/>
    <w:rsid w:val="00272DD4"/>
    <w:rsid w:val="0028017D"/>
    <w:rsid w:val="0028084D"/>
    <w:rsid w:val="00282798"/>
    <w:rsid w:val="00285B69"/>
    <w:rsid w:val="002865A9"/>
    <w:rsid w:val="002879C1"/>
    <w:rsid w:val="002900A3"/>
    <w:rsid w:val="002909CE"/>
    <w:rsid w:val="00291691"/>
    <w:rsid w:val="00291EAA"/>
    <w:rsid w:val="002951D3"/>
    <w:rsid w:val="002A0DB8"/>
    <w:rsid w:val="002A0EA4"/>
    <w:rsid w:val="002A15A7"/>
    <w:rsid w:val="002A2DCD"/>
    <w:rsid w:val="002A36D9"/>
    <w:rsid w:val="002A3CB6"/>
    <w:rsid w:val="002A6831"/>
    <w:rsid w:val="002A70C1"/>
    <w:rsid w:val="002B19F0"/>
    <w:rsid w:val="002B3D8D"/>
    <w:rsid w:val="002B4ADE"/>
    <w:rsid w:val="002B54D4"/>
    <w:rsid w:val="002C0D32"/>
    <w:rsid w:val="002C0E31"/>
    <w:rsid w:val="002C1FE8"/>
    <w:rsid w:val="002C5D92"/>
    <w:rsid w:val="002C7D3F"/>
    <w:rsid w:val="002D335D"/>
    <w:rsid w:val="002D6590"/>
    <w:rsid w:val="002D680A"/>
    <w:rsid w:val="002E5A91"/>
    <w:rsid w:val="002E5E0A"/>
    <w:rsid w:val="002F261E"/>
    <w:rsid w:val="002F5270"/>
    <w:rsid w:val="002F55A8"/>
    <w:rsid w:val="002F5BAA"/>
    <w:rsid w:val="002F69AA"/>
    <w:rsid w:val="002F6CFD"/>
    <w:rsid w:val="002F7D38"/>
    <w:rsid w:val="0030462F"/>
    <w:rsid w:val="00304B03"/>
    <w:rsid w:val="003062C6"/>
    <w:rsid w:val="00307F4C"/>
    <w:rsid w:val="00311779"/>
    <w:rsid w:val="003139C4"/>
    <w:rsid w:val="00315BF6"/>
    <w:rsid w:val="00320C02"/>
    <w:rsid w:val="00321E42"/>
    <w:rsid w:val="0032662C"/>
    <w:rsid w:val="00330DDD"/>
    <w:rsid w:val="00331A35"/>
    <w:rsid w:val="00331C0B"/>
    <w:rsid w:val="00333E98"/>
    <w:rsid w:val="00334B5C"/>
    <w:rsid w:val="003406BD"/>
    <w:rsid w:val="00342799"/>
    <w:rsid w:val="00344356"/>
    <w:rsid w:val="00352094"/>
    <w:rsid w:val="003619B2"/>
    <w:rsid w:val="0036345D"/>
    <w:rsid w:val="0036596E"/>
    <w:rsid w:val="00377674"/>
    <w:rsid w:val="003806F5"/>
    <w:rsid w:val="00383130"/>
    <w:rsid w:val="0038349D"/>
    <w:rsid w:val="0038516A"/>
    <w:rsid w:val="0038528F"/>
    <w:rsid w:val="003855BD"/>
    <w:rsid w:val="00386131"/>
    <w:rsid w:val="00386156"/>
    <w:rsid w:val="00387A14"/>
    <w:rsid w:val="0039086B"/>
    <w:rsid w:val="00391F9D"/>
    <w:rsid w:val="00393897"/>
    <w:rsid w:val="00393917"/>
    <w:rsid w:val="00394E8F"/>
    <w:rsid w:val="00396A33"/>
    <w:rsid w:val="00396FCA"/>
    <w:rsid w:val="003A451E"/>
    <w:rsid w:val="003A55F5"/>
    <w:rsid w:val="003A67D9"/>
    <w:rsid w:val="003A7CF3"/>
    <w:rsid w:val="003B056A"/>
    <w:rsid w:val="003B0EAC"/>
    <w:rsid w:val="003B28F4"/>
    <w:rsid w:val="003B2E9B"/>
    <w:rsid w:val="003B3CE6"/>
    <w:rsid w:val="003B5917"/>
    <w:rsid w:val="003C63B1"/>
    <w:rsid w:val="003C6DC7"/>
    <w:rsid w:val="003C72AD"/>
    <w:rsid w:val="003D13B1"/>
    <w:rsid w:val="003D1780"/>
    <w:rsid w:val="003D19A2"/>
    <w:rsid w:val="003D36AC"/>
    <w:rsid w:val="003D5AC5"/>
    <w:rsid w:val="003E38A3"/>
    <w:rsid w:val="003E6F79"/>
    <w:rsid w:val="003E6F98"/>
    <w:rsid w:val="003E74AD"/>
    <w:rsid w:val="003E7A69"/>
    <w:rsid w:val="003F0925"/>
    <w:rsid w:val="003F2282"/>
    <w:rsid w:val="003F259A"/>
    <w:rsid w:val="003F4406"/>
    <w:rsid w:val="003F4AB2"/>
    <w:rsid w:val="003F58E2"/>
    <w:rsid w:val="003F64D0"/>
    <w:rsid w:val="003F6840"/>
    <w:rsid w:val="003F6C72"/>
    <w:rsid w:val="003F7751"/>
    <w:rsid w:val="003F7789"/>
    <w:rsid w:val="003F7FBD"/>
    <w:rsid w:val="004012ED"/>
    <w:rsid w:val="004030EC"/>
    <w:rsid w:val="00403E2F"/>
    <w:rsid w:val="00411A37"/>
    <w:rsid w:val="00413357"/>
    <w:rsid w:val="00413DB4"/>
    <w:rsid w:val="00415B75"/>
    <w:rsid w:val="004161DA"/>
    <w:rsid w:val="00417ACF"/>
    <w:rsid w:val="00422D34"/>
    <w:rsid w:val="00422F32"/>
    <w:rsid w:val="0042636E"/>
    <w:rsid w:val="00432B0D"/>
    <w:rsid w:val="00432BF1"/>
    <w:rsid w:val="00433D65"/>
    <w:rsid w:val="00435B8D"/>
    <w:rsid w:val="00437453"/>
    <w:rsid w:val="00437896"/>
    <w:rsid w:val="00441E14"/>
    <w:rsid w:val="00444DB9"/>
    <w:rsid w:val="00446565"/>
    <w:rsid w:val="00450922"/>
    <w:rsid w:val="004524B5"/>
    <w:rsid w:val="00452DC3"/>
    <w:rsid w:val="00453919"/>
    <w:rsid w:val="004543CB"/>
    <w:rsid w:val="004546F9"/>
    <w:rsid w:val="0045723E"/>
    <w:rsid w:val="004579D7"/>
    <w:rsid w:val="00457C8A"/>
    <w:rsid w:val="00463AA4"/>
    <w:rsid w:val="00464532"/>
    <w:rsid w:val="00464C92"/>
    <w:rsid w:val="0046634E"/>
    <w:rsid w:val="004663B9"/>
    <w:rsid w:val="00470B2C"/>
    <w:rsid w:val="0047362B"/>
    <w:rsid w:val="004740EA"/>
    <w:rsid w:val="00475713"/>
    <w:rsid w:val="004767B4"/>
    <w:rsid w:val="00477653"/>
    <w:rsid w:val="00480A4E"/>
    <w:rsid w:val="004812B2"/>
    <w:rsid w:val="00481F91"/>
    <w:rsid w:val="0048560B"/>
    <w:rsid w:val="004861B4"/>
    <w:rsid w:val="00486A1D"/>
    <w:rsid w:val="00487755"/>
    <w:rsid w:val="00487BE3"/>
    <w:rsid w:val="00494DE9"/>
    <w:rsid w:val="004954CA"/>
    <w:rsid w:val="004A1179"/>
    <w:rsid w:val="004A4799"/>
    <w:rsid w:val="004A7308"/>
    <w:rsid w:val="004A7505"/>
    <w:rsid w:val="004B06FB"/>
    <w:rsid w:val="004B2392"/>
    <w:rsid w:val="004B3295"/>
    <w:rsid w:val="004C246D"/>
    <w:rsid w:val="004C27DD"/>
    <w:rsid w:val="004D08C4"/>
    <w:rsid w:val="004D12AB"/>
    <w:rsid w:val="004D1E5D"/>
    <w:rsid w:val="004D249D"/>
    <w:rsid w:val="004D2EB1"/>
    <w:rsid w:val="004D44D0"/>
    <w:rsid w:val="004D5664"/>
    <w:rsid w:val="004D5B45"/>
    <w:rsid w:val="004D7244"/>
    <w:rsid w:val="004D7664"/>
    <w:rsid w:val="004D76CC"/>
    <w:rsid w:val="004D7937"/>
    <w:rsid w:val="004D7BF3"/>
    <w:rsid w:val="004E00DC"/>
    <w:rsid w:val="004E074B"/>
    <w:rsid w:val="004E133C"/>
    <w:rsid w:val="004F43CC"/>
    <w:rsid w:val="004F503D"/>
    <w:rsid w:val="004F67D7"/>
    <w:rsid w:val="00500950"/>
    <w:rsid w:val="00501836"/>
    <w:rsid w:val="00502C3F"/>
    <w:rsid w:val="00503C57"/>
    <w:rsid w:val="00503C7D"/>
    <w:rsid w:val="005063C1"/>
    <w:rsid w:val="00507B46"/>
    <w:rsid w:val="00507E27"/>
    <w:rsid w:val="00511008"/>
    <w:rsid w:val="005121F3"/>
    <w:rsid w:val="00513D29"/>
    <w:rsid w:val="005157EF"/>
    <w:rsid w:val="00515DAB"/>
    <w:rsid w:val="005253F4"/>
    <w:rsid w:val="00527148"/>
    <w:rsid w:val="005300BE"/>
    <w:rsid w:val="0053069E"/>
    <w:rsid w:val="00531025"/>
    <w:rsid w:val="00532F39"/>
    <w:rsid w:val="00533B94"/>
    <w:rsid w:val="005352D3"/>
    <w:rsid w:val="00540ACE"/>
    <w:rsid w:val="005447DB"/>
    <w:rsid w:val="005467C5"/>
    <w:rsid w:val="005509B5"/>
    <w:rsid w:val="00551A4A"/>
    <w:rsid w:val="00554D6F"/>
    <w:rsid w:val="00554EE8"/>
    <w:rsid w:val="00556ED0"/>
    <w:rsid w:val="00556FD4"/>
    <w:rsid w:val="005603C9"/>
    <w:rsid w:val="00561381"/>
    <w:rsid w:val="0056270B"/>
    <w:rsid w:val="005643D0"/>
    <w:rsid w:val="00566C4F"/>
    <w:rsid w:val="00570038"/>
    <w:rsid w:val="00571192"/>
    <w:rsid w:val="00574ECE"/>
    <w:rsid w:val="0057524D"/>
    <w:rsid w:val="0057636C"/>
    <w:rsid w:val="005804A4"/>
    <w:rsid w:val="00583A24"/>
    <w:rsid w:val="00586760"/>
    <w:rsid w:val="00591FBF"/>
    <w:rsid w:val="0059315F"/>
    <w:rsid w:val="00593B67"/>
    <w:rsid w:val="0059446F"/>
    <w:rsid w:val="0059498A"/>
    <w:rsid w:val="00595617"/>
    <w:rsid w:val="005A1477"/>
    <w:rsid w:val="005A5B47"/>
    <w:rsid w:val="005A6262"/>
    <w:rsid w:val="005B1317"/>
    <w:rsid w:val="005B3D82"/>
    <w:rsid w:val="005C2598"/>
    <w:rsid w:val="005D063E"/>
    <w:rsid w:val="005D40BF"/>
    <w:rsid w:val="005D6560"/>
    <w:rsid w:val="005E15F2"/>
    <w:rsid w:val="005E4713"/>
    <w:rsid w:val="005E546E"/>
    <w:rsid w:val="005E7FAC"/>
    <w:rsid w:val="005F0C32"/>
    <w:rsid w:val="005F0E71"/>
    <w:rsid w:val="005F0F5E"/>
    <w:rsid w:val="005F5673"/>
    <w:rsid w:val="005F5F93"/>
    <w:rsid w:val="005F73C7"/>
    <w:rsid w:val="00600D42"/>
    <w:rsid w:val="00603BA8"/>
    <w:rsid w:val="00604F3C"/>
    <w:rsid w:val="00605EC9"/>
    <w:rsid w:val="00607A42"/>
    <w:rsid w:val="0061136E"/>
    <w:rsid w:val="00616C09"/>
    <w:rsid w:val="00621FBC"/>
    <w:rsid w:val="0062225C"/>
    <w:rsid w:val="00623619"/>
    <w:rsid w:val="00624260"/>
    <w:rsid w:val="00624C48"/>
    <w:rsid w:val="00626DED"/>
    <w:rsid w:val="00627B6F"/>
    <w:rsid w:val="00627FA4"/>
    <w:rsid w:val="00634D52"/>
    <w:rsid w:val="00636F9A"/>
    <w:rsid w:val="0064031A"/>
    <w:rsid w:val="00641B79"/>
    <w:rsid w:val="00641D80"/>
    <w:rsid w:val="00642597"/>
    <w:rsid w:val="00642B7D"/>
    <w:rsid w:val="0064392A"/>
    <w:rsid w:val="00646811"/>
    <w:rsid w:val="00650B86"/>
    <w:rsid w:val="0065138E"/>
    <w:rsid w:val="00652756"/>
    <w:rsid w:val="0065594D"/>
    <w:rsid w:val="00657952"/>
    <w:rsid w:val="00657F49"/>
    <w:rsid w:val="006602DC"/>
    <w:rsid w:val="00673474"/>
    <w:rsid w:val="00673D44"/>
    <w:rsid w:val="0067476E"/>
    <w:rsid w:val="00674B1A"/>
    <w:rsid w:val="00676B23"/>
    <w:rsid w:val="006774A8"/>
    <w:rsid w:val="00681EDC"/>
    <w:rsid w:val="006826C5"/>
    <w:rsid w:val="00682B97"/>
    <w:rsid w:val="0068405A"/>
    <w:rsid w:val="00684C04"/>
    <w:rsid w:val="0068585E"/>
    <w:rsid w:val="00685A5B"/>
    <w:rsid w:val="0069027E"/>
    <w:rsid w:val="006921C5"/>
    <w:rsid w:val="00692D1C"/>
    <w:rsid w:val="006938FD"/>
    <w:rsid w:val="00694EEA"/>
    <w:rsid w:val="00697E1C"/>
    <w:rsid w:val="00697F02"/>
    <w:rsid w:val="006A191E"/>
    <w:rsid w:val="006A47AD"/>
    <w:rsid w:val="006C2666"/>
    <w:rsid w:val="006D05F2"/>
    <w:rsid w:val="006D3CC9"/>
    <w:rsid w:val="006D7077"/>
    <w:rsid w:val="006E0D8F"/>
    <w:rsid w:val="006E0E1A"/>
    <w:rsid w:val="006E3879"/>
    <w:rsid w:val="006E3B2D"/>
    <w:rsid w:val="006E48AB"/>
    <w:rsid w:val="006E4EEA"/>
    <w:rsid w:val="006E7270"/>
    <w:rsid w:val="006F1631"/>
    <w:rsid w:val="006F211A"/>
    <w:rsid w:val="006F4A77"/>
    <w:rsid w:val="006F5616"/>
    <w:rsid w:val="006F73F2"/>
    <w:rsid w:val="006F7F52"/>
    <w:rsid w:val="0070498C"/>
    <w:rsid w:val="0070625D"/>
    <w:rsid w:val="00706260"/>
    <w:rsid w:val="00707EDB"/>
    <w:rsid w:val="007105B8"/>
    <w:rsid w:val="00711045"/>
    <w:rsid w:val="00711BAA"/>
    <w:rsid w:val="00711E7D"/>
    <w:rsid w:val="00712DE8"/>
    <w:rsid w:val="00713E58"/>
    <w:rsid w:val="007167AD"/>
    <w:rsid w:val="00717CCB"/>
    <w:rsid w:val="00721B73"/>
    <w:rsid w:val="0072221D"/>
    <w:rsid w:val="00723BE8"/>
    <w:rsid w:val="007274E7"/>
    <w:rsid w:val="00727658"/>
    <w:rsid w:val="00730C8D"/>
    <w:rsid w:val="0073339D"/>
    <w:rsid w:val="0073540A"/>
    <w:rsid w:val="00741D4D"/>
    <w:rsid w:val="00744488"/>
    <w:rsid w:val="00744AB0"/>
    <w:rsid w:val="00745FD0"/>
    <w:rsid w:val="00746E63"/>
    <w:rsid w:val="007471EF"/>
    <w:rsid w:val="007520BC"/>
    <w:rsid w:val="00753972"/>
    <w:rsid w:val="00753CF4"/>
    <w:rsid w:val="007542AE"/>
    <w:rsid w:val="00755CC4"/>
    <w:rsid w:val="00757C3A"/>
    <w:rsid w:val="00760ADF"/>
    <w:rsid w:val="00761194"/>
    <w:rsid w:val="00762EE3"/>
    <w:rsid w:val="00763150"/>
    <w:rsid w:val="00763CB5"/>
    <w:rsid w:val="00764DB0"/>
    <w:rsid w:val="00766C79"/>
    <w:rsid w:val="00767192"/>
    <w:rsid w:val="00771799"/>
    <w:rsid w:val="00772AE9"/>
    <w:rsid w:val="00780396"/>
    <w:rsid w:val="00780B4C"/>
    <w:rsid w:val="00785387"/>
    <w:rsid w:val="00786A3E"/>
    <w:rsid w:val="00790422"/>
    <w:rsid w:val="007909AC"/>
    <w:rsid w:val="0079647B"/>
    <w:rsid w:val="0079747B"/>
    <w:rsid w:val="007A2086"/>
    <w:rsid w:val="007A2B8C"/>
    <w:rsid w:val="007A370B"/>
    <w:rsid w:val="007A6490"/>
    <w:rsid w:val="007A766C"/>
    <w:rsid w:val="007B0829"/>
    <w:rsid w:val="007B3D53"/>
    <w:rsid w:val="007B49D8"/>
    <w:rsid w:val="007C22E7"/>
    <w:rsid w:val="007C3F48"/>
    <w:rsid w:val="007C5C99"/>
    <w:rsid w:val="007C5F3D"/>
    <w:rsid w:val="007C6B1F"/>
    <w:rsid w:val="007D15F9"/>
    <w:rsid w:val="007D1ABB"/>
    <w:rsid w:val="007D37E5"/>
    <w:rsid w:val="007D70C2"/>
    <w:rsid w:val="007E2BA2"/>
    <w:rsid w:val="007E7F78"/>
    <w:rsid w:val="007F0C9F"/>
    <w:rsid w:val="007F10D4"/>
    <w:rsid w:val="007F3258"/>
    <w:rsid w:val="007F418B"/>
    <w:rsid w:val="007F5F6A"/>
    <w:rsid w:val="007F6F94"/>
    <w:rsid w:val="00803859"/>
    <w:rsid w:val="00805AD1"/>
    <w:rsid w:val="0080637D"/>
    <w:rsid w:val="00810EDC"/>
    <w:rsid w:val="00811C7B"/>
    <w:rsid w:val="00812872"/>
    <w:rsid w:val="008203BC"/>
    <w:rsid w:val="00822E54"/>
    <w:rsid w:val="008233D6"/>
    <w:rsid w:val="008270DD"/>
    <w:rsid w:val="00832F71"/>
    <w:rsid w:val="0083344D"/>
    <w:rsid w:val="008363E2"/>
    <w:rsid w:val="00837635"/>
    <w:rsid w:val="00841697"/>
    <w:rsid w:val="00842611"/>
    <w:rsid w:val="00844907"/>
    <w:rsid w:val="00845810"/>
    <w:rsid w:val="00847C53"/>
    <w:rsid w:val="00855EF6"/>
    <w:rsid w:val="00857BDE"/>
    <w:rsid w:val="00860BF6"/>
    <w:rsid w:val="00864DBF"/>
    <w:rsid w:val="0087554E"/>
    <w:rsid w:val="00876810"/>
    <w:rsid w:val="00876E28"/>
    <w:rsid w:val="008815E4"/>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B10B8"/>
    <w:rsid w:val="008B2BE8"/>
    <w:rsid w:val="008B3669"/>
    <w:rsid w:val="008B47E4"/>
    <w:rsid w:val="008B68CA"/>
    <w:rsid w:val="008C0457"/>
    <w:rsid w:val="008C544F"/>
    <w:rsid w:val="008D3FD3"/>
    <w:rsid w:val="008D543A"/>
    <w:rsid w:val="008D6E8A"/>
    <w:rsid w:val="008E2827"/>
    <w:rsid w:val="008F03F5"/>
    <w:rsid w:val="008F508C"/>
    <w:rsid w:val="008F5739"/>
    <w:rsid w:val="008F633F"/>
    <w:rsid w:val="00901EFE"/>
    <w:rsid w:val="00901F92"/>
    <w:rsid w:val="00913CF8"/>
    <w:rsid w:val="00921C9B"/>
    <w:rsid w:val="009228A7"/>
    <w:rsid w:val="00922B4B"/>
    <w:rsid w:val="009244CE"/>
    <w:rsid w:val="00924804"/>
    <w:rsid w:val="00924C4E"/>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46C51"/>
    <w:rsid w:val="009516C2"/>
    <w:rsid w:val="00952970"/>
    <w:rsid w:val="00956366"/>
    <w:rsid w:val="00957BA0"/>
    <w:rsid w:val="009606C5"/>
    <w:rsid w:val="00962141"/>
    <w:rsid w:val="00962427"/>
    <w:rsid w:val="0096361C"/>
    <w:rsid w:val="00963D6E"/>
    <w:rsid w:val="00970695"/>
    <w:rsid w:val="00974510"/>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13F4"/>
    <w:rsid w:val="009B1A21"/>
    <w:rsid w:val="009B4313"/>
    <w:rsid w:val="009B4DD2"/>
    <w:rsid w:val="009B55BA"/>
    <w:rsid w:val="009C4DE5"/>
    <w:rsid w:val="009C7C79"/>
    <w:rsid w:val="009D173A"/>
    <w:rsid w:val="009D1874"/>
    <w:rsid w:val="009D2B87"/>
    <w:rsid w:val="009D35C1"/>
    <w:rsid w:val="009E150C"/>
    <w:rsid w:val="009E2701"/>
    <w:rsid w:val="009E2C84"/>
    <w:rsid w:val="009F16C4"/>
    <w:rsid w:val="009F424F"/>
    <w:rsid w:val="009F4787"/>
    <w:rsid w:val="009F672C"/>
    <w:rsid w:val="00A02806"/>
    <w:rsid w:val="00A03096"/>
    <w:rsid w:val="00A04056"/>
    <w:rsid w:val="00A05950"/>
    <w:rsid w:val="00A06879"/>
    <w:rsid w:val="00A13F39"/>
    <w:rsid w:val="00A2083F"/>
    <w:rsid w:val="00A20B2A"/>
    <w:rsid w:val="00A2151C"/>
    <w:rsid w:val="00A21EC0"/>
    <w:rsid w:val="00A22471"/>
    <w:rsid w:val="00A22EDB"/>
    <w:rsid w:val="00A24D97"/>
    <w:rsid w:val="00A3026D"/>
    <w:rsid w:val="00A32155"/>
    <w:rsid w:val="00A33D5B"/>
    <w:rsid w:val="00A34F59"/>
    <w:rsid w:val="00A36117"/>
    <w:rsid w:val="00A466C8"/>
    <w:rsid w:val="00A46D90"/>
    <w:rsid w:val="00A506BB"/>
    <w:rsid w:val="00A5194B"/>
    <w:rsid w:val="00A5313B"/>
    <w:rsid w:val="00A54BD2"/>
    <w:rsid w:val="00A55BC5"/>
    <w:rsid w:val="00A56675"/>
    <w:rsid w:val="00A601F4"/>
    <w:rsid w:val="00A614C8"/>
    <w:rsid w:val="00A61A4C"/>
    <w:rsid w:val="00A62E16"/>
    <w:rsid w:val="00A62E38"/>
    <w:rsid w:val="00A649FB"/>
    <w:rsid w:val="00A729AD"/>
    <w:rsid w:val="00A74230"/>
    <w:rsid w:val="00A743E6"/>
    <w:rsid w:val="00A77626"/>
    <w:rsid w:val="00A84D10"/>
    <w:rsid w:val="00A85AA3"/>
    <w:rsid w:val="00A87043"/>
    <w:rsid w:val="00A95C42"/>
    <w:rsid w:val="00A969D4"/>
    <w:rsid w:val="00A96FB9"/>
    <w:rsid w:val="00AA6D07"/>
    <w:rsid w:val="00AB26AF"/>
    <w:rsid w:val="00AB589B"/>
    <w:rsid w:val="00AB6E12"/>
    <w:rsid w:val="00AB7652"/>
    <w:rsid w:val="00AC4344"/>
    <w:rsid w:val="00AC58B8"/>
    <w:rsid w:val="00AD0C58"/>
    <w:rsid w:val="00AD0DC3"/>
    <w:rsid w:val="00AD263E"/>
    <w:rsid w:val="00AD4ACF"/>
    <w:rsid w:val="00AD5119"/>
    <w:rsid w:val="00AD55F9"/>
    <w:rsid w:val="00AE1314"/>
    <w:rsid w:val="00AE2BEB"/>
    <w:rsid w:val="00AE4D84"/>
    <w:rsid w:val="00AE6544"/>
    <w:rsid w:val="00AE75D0"/>
    <w:rsid w:val="00AF045B"/>
    <w:rsid w:val="00AF0ED8"/>
    <w:rsid w:val="00AF18C1"/>
    <w:rsid w:val="00AF7273"/>
    <w:rsid w:val="00B018A9"/>
    <w:rsid w:val="00B03C61"/>
    <w:rsid w:val="00B102E9"/>
    <w:rsid w:val="00B10E31"/>
    <w:rsid w:val="00B1302A"/>
    <w:rsid w:val="00B13824"/>
    <w:rsid w:val="00B13C0B"/>
    <w:rsid w:val="00B1613A"/>
    <w:rsid w:val="00B21666"/>
    <w:rsid w:val="00B220A5"/>
    <w:rsid w:val="00B228F1"/>
    <w:rsid w:val="00B25B93"/>
    <w:rsid w:val="00B325A4"/>
    <w:rsid w:val="00B3740B"/>
    <w:rsid w:val="00B41471"/>
    <w:rsid w:val="00B4703D"/>
    <w:rsid w:val="00B52902"/>
    <w:rsid w:val="00B54B27"/>
    <w:rsid w:val="00B6094A"/>
    <w:rsid w:val="00B65E0A"/>
    <w:rsid w:val="00B708A4"/>
    <w:rsid w:val="00B70A15"/>
    <w:rsid w:val="00B72608"/>
    <w:rsid w:val="00B726C5"/>
    <w:rsid w:val="00B73234"/>
    <w:rsid w:val="00B738BC"/>
    <w:rsid w:val="00B80C4A"/>
    <w:rsid w:val="00B83072"/>
    <w:rsid w:val="00B83D18"/>
    <w:rsid w:val="00B8434C"/>
    <w:rsid w:val="00B85428"/>
    <w:rsid w:val="00B85FF1"/>
    <w:rsid w:val="00B861C2"/>
    <w:rsid w:val="00B87155"/>
    <w:rsid w:val="00B90A76"/>
    <w:rsid w:val="00B92A05"/>
    <w:rsid w:val="00B934F1"/>
    <w:rsid w:val="00BA1F15"/>
    <w:rsid w:val="00BA2207"/>
    <w:rsid w:val="00BA41A1"/>
    <w:rsid w:val="00BA51EE"/>
    <w:rsid w:val="00BB098B"/>
    <w:rsid w:val="00BB0F70"/>
    <w:rsid w:val="00BB1DBA"/>
    <w:rsid w:val="00BB2AC3"/>
    <w:rsid w:val="00BB3CD1"/>
    <w:rsid w:val="00BC0B2D"/>
    <w:rsid w:val="00BC1DE0"/>
    <w:rsid w:val="00BC23E4"/>
    <w:rsid w:val="00BC418C"/>
    <w:rsid w:val="00BC6BFC"/>
    <w:rsid w:val="00BD73E5"/>
    <w:rsid w:val="00BE1CA6"/>
    <w:rsid w:val="00BE3F03"/>
    <w:rsid w:val="00BE5893"/>
    <w:rsid w:val="00BE6529"/>
    <w:rsid w:val="00BF07E7"/>
    <w:rsid w:val="00BF1EE4"/>
    <w:rsid w:val="00BF39EE"/>
    <w:rsid w:val="00BF4A80"/>
    <w:rsid w:val="00BF4C8A"/>
    <w:rsid w:val="00BF5644"/>
    <w:rsid w:val="00C0063F"/>
    <w:rsid w:val="00C00F76"/>
    <w:rsid w:val="00C0188E"/>
    <w:rsid w:val="00C02191"/>
    <w:rsid w:val="00C05FF8"/>
    <w:rsid w:val="00C07202"/>
    <w:rsid w:val="00C10685"/>
    <w:rsid w:val="00C10867"/>
    <w:rsid w:val="00C12987"/>
    <w:rsid w:val="00C129C8"/>
    <w:rsid w:val="00C168B7"/>
    <w:rsid w:val="00C20253"/>
    <w:rsid w:val="00C22D72"/>
    <w:rsid w:val="00C26083"/>
    <w:rsid w:val="00C27268"/>
    <w:rsid w:val="00C3015D"/>
    <w:rsid w:val="00C32FEA"/>
    <w:rsid w:val="00C335F8"/>
    <w:rsid w:val="00C33BBC"/>
    <w:rsid w:val="00C372F6"/>
    <w:rsid w:val="00C40A13"/>
    <w:rsid w:val="00C42FCE"/>
    <w:rsid w:val="00C432F3"/>
    <w:rsid w:val="00C46163"/>
    <w:rsid w:val="00C47896"/>
    <w:rsid w:val="00C509F7"/>
    <w:rsid w:val="00C54F33"/>
    <w:rsid w:val="00C576F5"/>
    <w:rsid w:val="00C57CF1"/>
    <w:rsid w:val="00C63327"/>
    <w:rsid w:val="00C65B55"/>
    <w:rsid w:val="00C702E4"/>
    <w:rsid w:val="00C70B96"/>
    <w:rsid w:val="00C72B24"/>
    <w:rsid w:val="00C73218"/>
    <w:rsid w:val="00C75590"/>
    <w:rsid w:val="00C827AD"/>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1429"/>
    <w:rsid w:val="00CB2769"/>
    <w:rsid w:val="00CB3A8A"/>
    <w:rsid w:val="00CB3D05"/>
    <w:rsid w:val="00CB5207"/>
    <w:rsid w:val="00CB55F0"/>
    <w:rsid w:val="00CC0BAE"/>
    <w:rsid w:val="00CC0FE8"/>
    <w:rsid w:val="00CC3235"/>
    <w:rsid w:val="00CC339E"/>
    <w:rsid w:val="00CC3849"/>
    <w:rsid w:val="00CC50E9"/>
    <w:rsid w:val="00CC5A77"/>
    <w:rsid w:val="00CC5E14"/>
    <w:rsid w:val="00CD3192"/>
    <w:rsid w:val="00CD6179"/>
    <w:rsid w:val="00CD692B"/>
    <w:rsid w:val="00CE0B2E"/>
    <w:rsid w:val="00CE348B"/>
    <w:rsid w:val="00CE3F05"/>
    <w:rsid w:val="00CE42E0"/>
    <w:rsid w:val="00CE574B"/>
    <w:rsid w:val="00CF13A4"/>
    <w:rsid w:val="00CF31AD"/>
    <w:rsid w:val="00CF3EE2"/>
    <w:rsid w:val="00CF3F70"/>
    <w:rsid w:val="00CF43E3"/>
    <w:rsid w:val="00CF4F5C"/>
    <w:rsid w:val="00CF5FC3"/>
    <w:rsid w:val="00CF6F7F"/>
    <w:rsid w:val="00D02FA1"/>
    <w:rsid w:val="00D1000F"/>
    <w:rsid w:val="00D106CD"/>
    <w:rsid w:val="00D14E29"/>
    <w:rsid w:val="00D14EB0"/>
    <w:rsid w:val="00D15109"/>
    <w:rsid w:val="00D16BAC"/>
    <w:rsid w:val="00D178BB"/>
    <w:rsid w:val="00D22A45"/>
    <w:rsid w:val="00D230F6"/>
    <w:rsid w:val="00D23314"/>
    <w:rsid w:val="00D2359D"/>
    <w:rsid w:val="00D25CBD"/>
    <w:rsid w:val="00D2744A"/>
    <w:rsid w:val="00D310F5"/>
    <w:rsid w:val="00D32A4D"/>
    <w:rsid w:val="00D35972"/>
    <w:rsid w:val="00D36386"/>
    <w:rsid w:val="00D36D6F"/>
    <w:rsid w:val="00D36F41"/>
    <w:rsid w:val="00D4056A"/>
    <w:rsid w:val="00D40A8D"/>
    <w:rsid w:val="00D40C4B"/>
    <w:rsid w:val="00D543A5"/>
    <w:rsid w:val="00D54513"/>
    <w:rsid w:val="00D54C24"/>
    <w:rsid w:val="00D552B6"/>
    <w:rsid w:val="00D55C89"/>
    <w:rsid w:val="00D60237"/>
    <w:rsid w:val="00D60CB3"/>
    <w:rsid w:val="00D63E4A"/>
    <w:rsid w:val="00D84052"/>
    <w:rsid w:val="00D851E9"/>
    <w:rsid w:val="00D90979"/>
    <w:rsid w:val="00D91586"/>
    <w:rsid w:val="00D93272"/>
    <w:rsid w:val="00D94369"/>
    <w:rsid w:val="00D96FDA"/>
    <w:rsid w:val="00DA0E79"/>
    <w:rsid w:val="00DA3A81"/>
    <w:rsid w:val="00DA3C1F"/>
    <w:rsid w:val="00DA4554"/>
    <w:rsid w:val="00DA45D5"/>
    <w:rsid w:val="00DA4731"/>
    <w:rsid w:val="00DA576C"/>
    <w:rsid w:val="00DA6128"/>
    <w:rsid w:val="00DA6C15"/>
    <w:rsid w:val="00DB2D57"/>
    <w:rsid w:val="00DB44A1"/>
    <w:rsid w:val="00DB64FC"/>
    <w:rsid w:val="00DC47CE"/>
    <w:rsid w:val="00DC5C3F"/>
    <w:rsid w:val="00DD0DF6"/>
    <w:rsid w:val="00DD1CD9"/>
    <w:rsid w:val="00DD4B0A"/>
    <w:rsid w:val="00DD4BD7"/>
    <w:rsid w:val="00DE2DE0"/>
    <w:rsid w:val="00DE4092"/>
    <w:rsid w:val="00DE493E"/>
    <w:rsid w:val="00DE4ED9"/>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6B0D"/>
    <w:rsid w:val="00E30941"/>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4E6"/>
    <w:rsid w:val="00E51A83"/>
    <w:rsid w:val="00E51F3B"/>
    <w:rsid w:val="00E525BC"/>
    <w:rsid w:val="00E548F5"/>
    <w:rsid w:val="00E55BC7"/>
    <w:rsid w:val="00E56B35"/>
    <w:rsid w:val="00E56BCE"/>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0782"/>
    <w:rsid w:val="00E912BC"/>
    <w:rsid w:val="00E91C7E"/>
    <w:rsid w:val="00E94842"/>
    <w:rsid w:val="00E95128"/>
    <w:rsid w:val="00E968CD"/>
    <w:rsid w:val="00E96B5F"/>
    <w:rsid w:val="00EA02E5"/>
    <w:rsid w:val="00EA3FB3"/>
    <w:rsid w:val="00EA7882"/>
    <w:rsid w:val="00EA7F7A"/>
    <w:rsid w:val="00EB01E7"/>
    <w:rsid w:val="00EB0660"/>
    <w:rsid w:val="00EB0CC0"/>
    <w:rsid w:val="00EB161A"/>
    <w:rsid w:val="00EB19B5"/>
    <w:rsid w:val="00EB4550"/>
    <w:rsid w:val="00EB47A9"/>
    <w:rsid w:val="00EC09FA"/>
    <w:rsid w:val="00EC176B"/>
    <w:rsid w:val="00EC56AA"/>
    <w:rsid w:val="00EC6B44"/>
    <w:rsid w:val="00ED06E2"/>
    <w:rsid w:val="00ED11D5"/>
    <w:rsid w:val="00ED3A95"/>
    <w:rsid w:val="00ED457C"/>
    <w:rsid w:val="00EE19E7"/>
    <w:rsid w:val="00EE25AD"/>
    <w:rsid w:val="00EE3E4B"/>
    <w:rsid w:val="00EE71C5"/>
    <w:rsid w:val="00EF6313"/>
    <w:rsid w:val="00EF67F9"/>
    <w:rsid w:val="00F0059A"/>
    <w:rsid w:val="00F009D8"/>
    <w:rsid w:val="00F00A06"/>
    <w:rsid w:val="00F02333"/>
    <w:rsid w:val="00F02B37"/>
    <w:rsid w:val="00F02B89"/>
    <w:rsid w:val="00F0376C"/>
    <w:rsid w:val="00F04252"/>
    <w:rsid w:val="00F04D4A"/>
    <w:rsid w:val="00F05C51"/>
    <w:rsid w:val="00F0659A"/>
    <w:rsid w:val="00F11603"/>
    <w:rsid w:val="00F12407"/>
    <w:rsid w:val="00F1799F"/>
    <w:rsid w:val="00F17EEA"/>
    <w:rsid w:val="00F213FF"/>
    <w:rsid w:val="00F22A47"/>
    <w:rsid w:val="00F253E0"/>
    <w:rsid w:val="00F26538"/>
    <w:rsid w:val="00F26D63"/>
    <w:rsid w:val="00F31038"/>
    <w:rsid w:val="00F35948"/>
    <w:rsid w:val="00F36206"/>
    <w:rsid w:val="00F36516"/>
    <w:rsid w:val="00F368E4"/>
    <w:rsid w:val="00F376AE"/>
    <w:rsid w:val="00F40C3A"/>
    <w:rsid w:val="00F43AF1"/>
    <w:rsid w:val="00F45CC7"/>
    <w:rsid w:val="00F47D6D"/>
    <w:rsid w:val="00F51FED"/>
    <w:rsid w:val="00F56B55"/>
    <w:rsid w:val="00F62752"/>
    <w:rsid w:val="00F62D02"/>
    <w:rsid w:val="00F63402"/>
    <w:rsid w:val="00F64067"/>
    <w:rsid w:val="00F6545F"/>
    <w:rsid w:val="00F70A31"/>
    <w:rsid w:val="00F7777E"/>
    <w:rsid w:val="00F77D9D"/>
    <w:rsid w:val="00F8224E"/>
    <w:rsid w:val="00F832C7"/>
    <w:rsid w:val="00F83786"/>
    <w:rsid w:val="00F84563"/>
    <w:rsid w:val="00F86AC3"/>
    <w:rsid w:val="00F87F49"/>
    <w:rsid w:val="00F936EE"/>
    <w:rsid w:val="00F96100"/>
    <w:rsid w:val="00FA16E4"/>
    <w:rsid w:val="00FA3DB2"/>
    <w:rsid w:val="00FA40F6"/>
    <w:rsid w:val="00FA5175"/>
    <w:rsid w:val="00FA61FE"/>
    <w:rsid w:val="00FA7B89"/>
    <w:rsid w:val="00FB1D66"/>
    <w:rsid w:val="00FB2A57"/>
    <w:rsid w:val="00FB5FF9"/>
    <w:rsid w:val="00FC1F3B"/>
    <w:rsid w:val="00FC3644"/>
    <w:rsid w:val="00FC59C1"/>
    <w:rsid w:val="00FC5A10"/>
    <w:rsid w:val="00FD1392"/>
    <w:rsid w:val="00FD21C7"/>
    <w:rsid w:val="00FD228D"/>
    <w:rsid w:val="00FD537C"/>
    <w:rsid w:val="00FD6B77"/>
    <w:rsid w:val="00FE06F0"/>
    <w:rsid w:val="00FE1A77"/>
    <w:rsid w:val="00FE46E3"/>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locked/>
    <w:rsid w:val="007F418B"/>
    <w:rPr>
      <w:rFonts w:ascii="Times New Roman" w:hAnsi="Times New Roman" w:cs="Times New Roman"/>
      <w:sz w:val="20"/>
      <w:szCs w:val="20"/>
    </w:rPr>
  </w:style>
  <w:style w:type="character" w:styleId="FootnoteReference">
    <w:name w:val="footnote reference"/>
    <w:basedOn w:val="DefaultParagraphFont"/>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7A5A-6969-488F-B6E0-0EC42BAD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shoffner</cp:lastModifiedBy>
  <cp:revision>5</cp:revision>
  <cp:lastPrinted>2011-02-17T18:08:00Z</cp:lastPrinted>
  <dcterms:created xsi:type="dcterms:W3CDTF">2011-02-17T17:24:00Z</dcterms:created>
  <dcterms:modified xsi:type="dcterms:W3CDTF">2011-02-17T18:10:00Z</dcterms:modified>
</cp:coreProperties>
</file>