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CD6C3F">
            <w:pPr>
              <w:rPr>
                <w:sz w:val="24"/>
              </w:rPr>
            </w:pPr>
            <w:r w:rsidRPr="00CD6C3F">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0D5EEC" w:rsidRDefault="00C74A51" w:rsidP="000D5EEC">
            <w:pPr>
              <w:jc w:val="right"/>
              <w:rPr>
                <w:rFonts w:ascii="Arial" w:hAnsi="Arial"/>
                <w:b/>
                <w:spacing w:val="-1"/>
                <w:sz w:val="12"/>
              </w:rPr>
            </w:pPr>
            <w:r>
              <w:rPr>
                <w:rFonts w:ascii="Arial" w:hAnsi="Arial"/>
                <w:b/>
                <w:spacing w:val="-1"/>
                <w:sz w:val="12"/>
              </w:rPr>
              <w:t>IN REPLY PLEASE REFER TO OUR FILE</w:t>
            </w:r>
          </w:p>
          <w:p w:rsidR="000D5EEC" w:rsidRDefault="000D5EEC" w:rsidP="000D5EEC">
            <w:pPr>
              <w:jc w:val="right"/>
              <w:rPr>
                <w:rFonts w:ascii="Arial" w:hAnsi="Arial"/>
                <w:b/>
                <w:spacing w:val="-1"/>
                <w:sz w:val="12"/>
              </w:rPr>
            </w:pPr>
          </w:p>
          <w:p w:rsidR="000D5EEC" w:rsidRPr="000D5EEC" w:rsidRDefault="000D5EEC" w:rsidP="000D5EEC">
            <w:pPr>
              <w:ind w:left="-828"/>
              <w:jc w:val="right"/>
              <w:rPr>
                <w:rFonts w:ascii="Arial" w:hAnsi="Arial"/>
                <w:b/>
                <w:spacing w:val="-1"/>
                <w:sz w:val="16"/>
                <w:szCs w:val="16"/>
              </w:rPr>
            </w:pPr>
            <w:r w:rsidRPr="000D5EEC">
              <w:rPr>
                <w:sz w:val="16"/>
                <w:szCs w:val="16"/>
              </w:rPr>
              <w:t>M-2009-1505395</w:t>
            </w:r>
          </w:p>
          <w:p w:rsidR="004F32B3" w:rsidRDefault="004F32B3">
            <w:pPr>
              <w:jc w:val="right"/>
              <w:rPr>
                <w:sz w:val="16"/>
                <w:szCs w:val="16"/>
              </w:rPr>
            </w:pPr>
          </w:p>
          <w:p w:rsidR="003569E8" w:rsidRPr="00170283" w:rsidRDefault="003569E8" w:rsidP="000D5EEC">
            <w:pPr>
              <w:rPr>
                <w:rFonts w:ascii="Arial" w:hAnsi="Arial"/>
                <w:sz w:val="16"/>
                <w:szCs w:val="16"/>
              </w:rPr>
            </w:pP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695E35" w:rsidRPr="009A3B96" w:rsidRDefault="009A3B96" w:rsidP="009A3B96">
      <w:pPr>
        <w:jc w:val="center"/>
        <w:rPr>
          <w:sz w:val="22"/>
          <w:szCs w:val="22"/>
        </w:rPr>
      </w:pPr>
      <w:r w:rsidRPr="009A3B96">
        <w:rPr>
          <w:sz w:val="26"/>
          <w:szCs w:val="26"/>
        </w:rPr>
        <w:lastRenderedPageBreak/>
        <w:t>February 22, 2011</w:t>
      </w:r>
    </w:p>
    <w:p w:rsidR="00695E35" w:rsidRPr="00E872DE" w:rsidRDefault="00695E35" w:rsidP="00695E35">
      <w:pPr>
        <w:jc w:val="center"/>
        <w:rPr>
          <w:b/>
          <w:sz w:val="22"/>
          <w:szCs w:val="22"/>
        </w:rPr>
      </w:pPr>
    </w:p>
    <w:p w:rsidR="005F26A1" w:rsidRPr="00E872DE" w:rsidRDefault="005F26A1" w:rsidP="00695E35">
      <w:pPr>
        <w:jc w:val="center"/>
        <w:rPr>
          <w:b/>
          <w:sz w:val="22"/>
          <w:szCs w:val="22"/>
        </w:rPr>
      </w:pPr>
    </w:p>
    <w:p w:rsidR="00CE2F96" w:rsidRPr="00E872DE" w:rsidRDefault="00CE2F96" w:rsidP="00695E35">
      <w:pPr>
        <w:jc w:val="center"/>
        <w:rPr>
          <w:b/>
          <w:sz w:val="22"/>
          <w:szCs w:val="22"/>
        </w:rPr>
      </w:pPr>
    </w:p>
    <w:p w:rsidR="00695E35" w:rsidRPr="00E872DE" w:rsidRDefault="00695E35" w:rsidP="00221BD0">
      <w:pPr>
        <w:jc w:val="right"/>
        <w:rPr>
          <w:sz w:val="22"/>
          <w:szCs w:val="22"/>
        </w:rPr>
      </w:pPr>
    </w:p>
    <w:p w:rsidR="007C0E57" w:rsidRDefault="00123069" w:rsidP="000D5EEC">
      <w:pPr>
        <w:ind w:left="1440" w:hanging="1440"/>
        <w:rPr>
          <w:sz w:val="26"/>
          <w:szCs w:val="26"/>
        </w:rPr>
      </w:pPr>
      <w:r>
        <w:rPr>
          <w:sz w:val="26"/>
          <w:szCs w:val="26"/>
        </w:rPr>
        <w:t xml:space="preserve">Re:  </w:t>
      </w:r>
      <w:r>
        <w:rPr>
          <w:sz w:val="26"/>
          <w:szCs w:val="26"/>
        </w:rPr>
        <w:tab/>
      </w:r>
      <w:r w:rsidR="007C0E57">
        <w:rPr>
          <w:sz w:val="26"/>
          <w:szCs w:val="26"/>
        </w:rPr>
        <w:t>Pennsylvania Public Utility Commission Law Bureau Prosecutory Staff</w:t>
      </w:r>
    </w:p>
    <w:p w:rsidR="007C0E57" w:rsidRPr="00BA052F" w:rsidRDefault="000D5EEC" w:rsidP="000D5EEC">
      <w:pPr>
        <w:ind w:left="1440" w:hanging="1440"/>
        <w:rPr>
          <w:sz w:val="26"/>
          <w:szCs w:val="26"/>
        </w:rPr>
      </w:pPr>
      <w:r>
        <w:rPr>
          <w:sz w:val="26"/>
          <w:szCs w:val="26"/>
        </w:rPr>
        <w:tab/>
      </w:r>
      <w:r w:rsidR="007C0E57">
        <w:rPr>
          <w:sz w:val="26"/>
          <w:szCs w:val="26"/>
        </w:rPr>
        <w:t>v.</w:t>
      </w:r>
      <w:r>
        <w:rPr>
          <w:sz w:val="26"/>
          <w:szCs w:val="26"/>
        </w:rPr>
        <w:t xml:space="preserve"> </w:t>
      </w:r>
      <w:r w:rsidR="007C0E57">
        <w:rPr>
          <w:sz w:val="26"/>
          <w:szCs w:val="26"/>
        </w:rPr>
        <w:t>Equitable Gas Company, LLC</w:t>
      </w:r>
    </w:p>
    <w:p w:rsidR="00123069" w:rsidRDefault="00123069" w:rsidP="000D5EEC">
      <w:pPr>
        <w:rPr>
          <w:rFonts w:ascii="Times New" w:hAnsi="Times New"/>
          <w:b/>
          <w:sz w:val="26"/>
          <w:szCs w:val="26"/>
        </w:rPr>
      </w:pPr>
    </w:p>
    <w:p w:rsidR="00123069" w:rsidRDefault="00123069" w:rsidP="009F637F">
      <w:pPr>
        <w:rPr>
          <w:rFonts w:ascii="Times New" w:hAnsi="Times New"/>
          <w:b/>
          <w:sz w:val="26"/>
          <w:szCs w:val="26"/>
        </w:rPr>
      </w:pPr>
    </w:p>
    <w:p w:rsidR="009F637F" w:rsidRPr="00123069" w:rsidRDefault="00123069" w:rsidP="009F637F">
      <w:pPr>
        <w:rPr>
          <w:rFonts w:ascii="Times New" w:hAnsi="Times New"/>
          <w:b/>
          <w:sz w:val="26"/>
          <w:szCs w:val="26"/>
        </w:rPr>
      </w:pPr>
      <w:r>
        <w:rPr>
          <w:rFonts w:ascii="Times New" w:hAnsi="Times New"/>
          <w:b/>
          <w:sz w:val="26"/>
          <w:szCs w:val="26"/>
        </w:rPr>
        <w:t>TO ALL PARTIES:</w:t>
      </w:r>
    </w:p>
    <w:p w:rsidR="00F264EF" w:rsidRPr="00F1745B" w:rsidRDefault="00F264EF" w:rsidP="009F637F">
      <w:pPr>
        <w:rPr>
          <w:rFonts w:ascii="Times New" w:hAnsi="Times New"/>
          <w:sz w:val="26"/>
          <w:szCs w:val="26"/>
        </w:rPr>
      </w:pPr>
    </w:p>
    <w:p w:rsidR="00CE64FB" w:rsidRDefault="00BB1F1C" w:rsidP="004D56A8">
      <w:pPr>
        <w:ind w:firstLine="720"/>
        <w:rPr>
          <w:rFonts w:ascii="Times New" w:hAnsi="Times New"/>
          <w:sz w:val="26"/>
          <w:szCs w:val="22"/>
        </w:rPr>
      </w:pPr>
      <w:r>
        <w:rPr>
          <w:rFonts w:ascii="Times New" w:hAnsi="Times New"/>
          <w:sz w:val="26"/>
          <w:szCs w:val="22"/>
        </w:rPr>
        <w:t>On May 11, 2009, this Commission</w:t>
      </w:r>
      <w:r>
        <w:rPr>
          <w:rFonts w:ascii="Times New" w:hAnsi="Times New" w:hint="eastAsia"/>
          <w:sz w:val="26"/>
          <w:szCs w:val="22"/>
        </w:rPr>
        <w:t>’</w:t>
      </w:r>
      <w:r>
        <w:rPr>
          <w:rFonts w:ascii="Times New" w:hAnsi="Times New"/>
          <w:sz w:val="26"/>
          <w:szCs w:val="22"/>
        </w:rPr>
        <w:t xml:space="preserve">s Law Bureau Prosecutory Staff (Prosecutory Staff) and Equitable Gas Company, LLC (Equitable) filed a proposed Settlement Agreement which was said to resolve the issues arising from an Informal Investigation conducted by the Prosecutory Staff at this Docket.  </w:t>
      </w:r>
      <w:r w:rsidR="004D56A8">
        <w:rPr>
          <w:rFonts w:ascii="Times New" w:hAnsi="Times New"/>
          <w:sz w:val="26"/>
          <w:szCs w:val="22"/>
        </w:rPr>
        <w:t xml:space="preserve">The Settlement Agreement contained a provision which provided that each Party had the right to withdraw from the Settlement Agreement in the event that the Commission modified its terms and conditions.  Settlement Agreement at 16, </w:t>
      </w:r>
      <w:r w:rsidR="004D56A8">
        <w:rPr>
          <w:rFonts w:ascii="Times New" w:hAnsi="Times New" w:hint="eastAsia"/>
          <w:sz w:val="26"/>
          <w:szCs w:val="22"/>
        </w:rPr>
        <w:t xml:space="preserve">¶ 52.  </w:t>
      </w:r>
      <w:r w:rsidR="007F64BF">
        <w:rPr>
          <w:rFonts w:ascii="Times New" w:hAnsi="Times New"/>
          <w:sz w:val="26"/>
          <w:szCs w:val="22"/>
        </w:rPr>
        <w:t xml:space="preserve">On November 25, 2009, this Commission entered an Opinion and Order at this Docket which modified the proposed Settlement Agreement and provided the opportunity for interested </w:t>
      </w:r>
      <w:r w:rsidR="007F64BF">
        <w:rPr>
          <w:rFonts w:ascii="Times New" w:hAnsi="Times New" w:hint="eastAsia"/>
          <w:sz w:val="26"/>
          <w:szCs w:val="22"/>
        </w:rPr>
        <w:t>parties</w:t>
      </w:r>
      <w:r w:rsidR="00DB61BB">
        <w:rPr>
          <w:rFonts w:ascii="Times New" w:hAnsi="Times New"/>
          <w:sz w:val="26"/>
          <w:szCs w:val="22"/>
        </w:rPr>
        <w:t xml:space="preserve"> to file comments.  Equitable filed comments to the November 25, 2009 Opinion and Order which objected to the </w:t>
      </w:r>
      <w:r w:rsidR="00DB61BB">
        <w:rPr>
          <w:rFonts w:ascii="Times New" w:hAnsi="Times New" w:hint="eastAsia"/>
          <w:sz w:val="26"/>
          <w:szCs w:val="22"/>
        </w:rPr>
        <w:t>modification</w:t>
      </w:r>
      <w:r w:rsidR="00DB61BB">
        <w:rPr>
          <w:rFonts w:ascii="Times New" w:hAnsi="Times New"/>
          <w:sz w:val="26"/>
          <w:szCs w:val="22"/>
        </w:rPr>
        <w:t xml:space="preserve"> to the Settlement Agreement.</w:t>
      </w:r>
    </w:p>
    <w:p w:rsidR="00DB61BB" w:rsidRDefault="00DB61BB" w:rsidP="004D56A8">
      <w:pPr>
        <w:ind w:firstLine="720"/>
        <w:rPr>
          <w:rFonts w:ascii="Times New" w:hAnsi="Times New"/>
          <w:sz w:val="26"/>
          <w:szCs w:val="22"/>
        </w:rPr>
      </w:pPr>
    </w:p>
    <w:p w:rsidR="00DB61BB" w:rsidRDefault="00DB61BB" w:rsidP="004D56A8">
      <w:pPr>
        <w:ind w:firstLine="720"/>
        <w:rPr>
          <w:rFonts w:ascii="Times New" w:hAnsi="Times New"/>
          <w:sz w:val="26"/>
          <w:szCs w:val="22"/>
        </w:rPr>
      </w:pPr>
      <w:r>
        <w:rPr>
          <w:rFonts w:ascii="Times New" w:hAnsi="Times New"/>
          <w:sz w:val="26"/>
          <w:szCs w:val="22"/>
        </w:rPr>
        <w:t>On May 10, 2010, the Commission entered an Opinion and Order which addressed Equitable</w:t>
      </w:r>
      <w:r>
        <w:rPr>
          <w:rFonts w:ascii="Times New" w:hAnsi="Times New" w:hint="eastAsia"/>
          <w:sz w:val="26"/>
          <w:szCs w:val="22"/>
        </w:rPr>
        <w:t>’</w:t>
      </w:r>
      <w:r>
        <w:rPr>
          <w:rFonts w:ascii="Times New" w:hAnsi="Times New"/>
          <w:sz w:val="26"/>
          <w:szCs w:val="22"/>
        </w:rPr>
        <w:t xml:space="preserve">s comments to the November 25, 2009 Opinion and Order.  The Commission observed that Equitable had not withdrawn from the Settlement Agreement, directed that the modification to the Settlement Agreement set forth in the November 25, 2009 </w:t>
      </w:r>
      <w:r w:rsidR="006757D9">
        <w:rPr>
          <w:rFonts w:ascii="Times New" w:hAnsi="Times New"/>
          <w:sz w:val="26"/>
          <w:szCs w:val="22"/>
        </w:rPr>
        <w:t>Opinion and Order</w:t>
      </w:r>
      <w:r>
        <w:rPr>
          <w:rFonts w:ascii="Times New" w:hAnsi="Times New"/>
          <w:sz w:val="26"/>
          <w:szCs w:val="22"/>
        </w:rPr>
        <w:t xml:space="preserve"> become final</w:t>
      </w:r>
      <w:r w:rsidR="004F1EF7">
        <w:rPr>
          <w:rFonts w:ascii="Times New" w:hAnsi="Times New"/>
          <w:sz w:val="26"/>
          <w:szCs w:val="22"/>
        </w:rPr>
        <w:t>, approved the Settlement Agreement as modified and directed that Equitable comply with several conditions, including satisfaction of a monetary penalty.  On June 9, 2010, Equitable filed a letter stating that it was exercising its option and withdrawing from the Settlement Agreement filed on May 11, 2009.</w:t>
      </w:r>
    </w:p>
    <w:p w:rsidR="004F1EF7" w:rsidRDefault="004F1EF7" w:rsidP="004D56A8">
      <w:pPr>
        <w:ind w:firstLine="720"/>
        <w:rPr>
          <w:rFonts w:ascii="Times New" w:hAnsi="Times New"/>
          <w:sz w:val="26"/>
          <w:szCs w:val="22"/>
        </w:rPr>
      </w:pPr>
    </w:p>
    <w:p w:rsidR="007F6DAF" w:rsidRDefault="004F1EF7" w:rsidP="004D56A8">
      <w:pPr>
        <w:ind w:firstLine="720"/>
        <w:rPr>
          <w:rFonts w:ascii="Times New" w:hAnsi="Times New"/>
          <w:sz w:val="26"/>
          <w:szCs w:val="22"/>
        </w:rPr>
      </w:pPr>
      <w:r>
        <w:rPr>
          <w:rFonts w:ascii="Times New" w:hAnsi="Times New"/>
          <w:sz w:val="26"/>
          <w:szCs w:val="22"/>
        </w:rPr>
        <w:t>Given the Commission</w:t>
      </w:r>
      <w:r>
        <w:rPr>
          <w:rFonts w:ascii="Times New" w:hAnsi="Times New" w:hint="eastAsia"/>
          <w:sz w:val="26"/>
          <w:szCs w:val="22"/>
        </w:rPr>
        <w:t>’</w:t>
      </w:r>
      <w:r>
        <w:rPr>
          <w:rFonts w:ascii="Times New" w:hAnsi="Times New"/>
          <w:sz w:val="26"/>
          <w:szCs w:val="22"/>
        </w:rPr>
        <w:t>s May 10, 2010 Opinion and Order and Equitable</w:t>
      </w:r>
      <w:r>
        <w:rPr>
          <w:rFonts w:ascii="Times New" w:hAnsi="Times New" w:hint="eastAsia"/>
          <w:sz w:val="26"/>
          <w:szCs w:val="22"/>
        </w:rPr>
        <w:t>’</w:t>
      </w:r>
      <w:r>
        <w:rPr>
          <w:rFonts w:ascii="Times New" w:hAnsi="Times New"/>
          <w:sz w:val="26"/>
          <w:szCs w:val="22"/>
        </w:rPr>
        <w:t xml:space="preserve">s subsequent withdrawal from the Settlement Agreement on June 9, 2010, the status of the proceeding at M-2009-1505395 requires </w:t>
      </w:r>
      <w:r>
        <w:rPr>
          <w:rFonts w:ascii="Times New" w:hAnsi="Times New" w:hint="eastAsia"/>
          <w:sz w:val="26"/>
          <w:szCs w:val="22"/>
        </w:rPr>
        <w:t>clarification</w:t>
      </w:r>
      <w:r>
        <w:rPr>
          <w:rFonts w:ascii="Times New" w:hAnsi="Times New"/>
          <w:sz w:val="26"/>
          <w:szCs w:val="22"/>
        </w:rPr>
        <w:t xml:space="preserve">.  </w:t>
      </w:r>
      <w:r w:rsidR="007F6DAF">
        <w:rPr>
          <w:rFonts w:ascii="Times New" w:hAnsi="Times New"/>
          <w:sz w:val="26"/>
          <w:szCs w:val="22"/>
        </w:rPr>
        <w:t xml:space="preserve">In the May 10, 2010 Opinion and Order, the Commission expressly recognized that either Party to the Settlement Agreement could elect to withdraw from the Settlement Agreement in the event the Commission modified its terms and conditions.  May 10, 2010 Opinion and Order at 9.  On June 9, 2010, Equitable exercised that option in its letter filed with the Commission.  </w:t>
      </w:r>
    </w:p>
    <w:p w:rsidR="007F6DAF" w:rsidRDefault="007F6DAF" w:rsidP="004D56A8">
      <w:pPr>
        <w:ind w:firstLine="720"/>
        <w:rPr>
          <w:rFonts w:ascii="Times New" w:hAnsi="Times New"/>
          <w:sz w:val="26"/>
          <w:szCs w:val="22"/>
        </w:rPr>
      </w:pPr>
    </w:p>
    <w:p w:rsidR="00406720" w:rsidRDefault="007F6DAF" w:rsidP="004D56A8">
      <w:pPr>
        <w:ind w:firstLine="720"/>
        <w:rPr>
          <w:rFonts w:ascii="Times New" w:hAnsi="Times New"/>
          <w:sz w:val="26"/>
          <w:szCs w:val="22"/>
        </w:rPr>
      </w:pPr>
      <w:r>
        <w:rPr>
          <w:rFonts w:ascii="Times New" w:hAnsi="Times New"/>
          <w:sz w:val="26"/>
          <w:szCs w:val="22"/>
        </w:rPr>
        <w:t>Upon Equitable</w:t>
      </w:r>
      <w:r>
        <w:rPr>
          <w:rFonts w:ascii="Times New" w:hAnsi="Times New" w:hint="eastAsia"/>
          <w:sz w:val="26"/>
          <w:szCs w:val="22"/>
        </w:rPr>
        <w:t>’</w:t>
      </w:r>
      <w:r>
        <w:rPr>
          <w:rFonts w:ascii="Times New" w:hAnsi="Times New"/>
          <w:sz w:val="26"/>
          <w:szCs w:val="22"/>
        </w:rPr>
        <w:t>s withdrawal from the Settlement Agreement</w:t>
      </w:r>
      <w:r w:rsidR="00341E2B">
        <w:rPr>
          <w:rFonts w:ascii="Times New" w:hAnsi="Times New"/>
          <w:sz w:val="26"/>
          <w:szCs w:val="22"/>
        </w:rPr>
        <w:t xml:space="preserve"> on June 9, 2010</w:t>
      </w:r>
      <w:r>
        <w:rPr>
          <w:rFonts w:ascii="Times New" w:hAnsi="Times New"/>
          <w:sz w:val="26"/>
          <w:szCs w:val="22"/>
        </w:rPr>
        <w:t>, th</w:t>
      </w:r>
      <w:r w:rsidR="00341E2B">
        <w:rPr>
          <w:rFonts w:ascii="Times New" w:hAnsi="Times New"/>
          <w:sz w:val="26"/>
          <w:szCs w:val="22"/>
        </w:rPr>
        <w:t>is proceeding reverted</w:t>
      </w:r>
      <w:r>
        <w:rPr>
          <w:rFonts w:ascii="Times New" w:hAnsi="Times New"/>
          <w:sz w:val="26"/>
          <w:szCs w:val="22"/>
        </w:rPr>
        <w:t xml:space="preserve"> to its status as an Informal Investigation.  </w:t>
      </w:r>
      <w:r w:rsidR="00C55D52">
        <w:rPr>
          <w:rFonts w:ascii="Times New" w:hAnsi="Times New"/>
          <w:sz w:val="26"/>
          <w:szCs w:val="22"/>
        </w:rPr>
        <w:t xml:space="preserve">The conditions and any </w:t>
      </w:r>
      <w:r w:rsidR="00C55D52">
        <w:rPr>
          <w:rFonts w:ascii="Times New" w:hAnsi="Times New"/>
          <w:sz w:val="26"/>
          <w:szCs w:val="22"/>
        </w:rPr>
        <w:lastRenderedPageBreak/>
        <w:t xml:space="preserve">penalties mandated and assessed by the May 10, 2010 Opinion and Order have been effectively nullified by </w:t>
      </w:r>
      <w:proofErr w:type="spellStart"/>
      <w:r w:rsidR="00C55D52">
        <w:rPr>
          <w:rFonts w:ascii="Times New" w:hAnsi="Times New"/>
          <w:sz w:val="26"/>
          <w:szCs w:val="22"/>
        </w:rPr>
        <w:t>Equitable</w:t>
      </w:r>
      <w:r w:rsidR="00C55D52">
        <w:rPr>
          <w:rFonts w:ascii="Times New" w:hAnsi="Times New" w:hint="eastAsia"/>
          <w:sz w:val="26"/>
          <w:szCs w:val="22"/>
        </w:rPr>
        <w:t>’</w:t>
      </w:r>
      <w:r w:rsidR="00C55D52">
        <w:rPr>
          <w:rFonts w:ascii="Times New" w:hAnsi="Times New"/>
          <w:sz w:val="26"/>
          <w:szCs w:val="22"/>
        </w:rPr>
        <w:t>s</w:t>
      </w:r>
      <w:proofErr w:type="spellEnd"/>
      <w:r w:rsidR="00C55D52">
        <w:rPr>
          <w:rFonts w:ascii="Times New" w:hAnsi="Times New"/>
          <w:sz w:val="26"/>
          <w:szCs w:val="22"/>
        </w:rPr>
        <w:t xml:space="preserve"> withdrawal from the Settlement Agreement, a possibility recognized in the May 10, 2010 Opinion and Order.  May 10, 2010 Opinion and Order at 9.  </w:t>
      </w:r>
      <w:r>
        <w:rPr>
          <w:rFonts w:ascii="Times New" w:hAnsi="Times New"/>
          <w:sz w:val="26"/>
          <w:szCs w:val="22"/>
        </w:rPr>
        <w:t xml:space="preserve">At this point in time, </w:t>
      </w:r>
      <w:r w:rsidR="006146DD">
        <w:rPr>
          <w:rFonts w:ascii="Times New" w:hAnsi="Times New"/>
          <w:sz w:val="26"/>
          <w:szCs w:val="22"/>
        </w:rPr>
        <w:t>the matter is re</w:t>
      </w:r>
      <w:r w:rsidR="00CE7B25">
        <w:rPr>
          <w:rFonts w:ascii="Times New" w:hAnsi="Times New"/>
          <w:sz w:val="26"/>
          <w:szCs w:val="22"/>
        </w:rPr>
        <w:t xml:space="preserve">turned to the Law Bureau </w:t>
      </w:r>
      <w:proofErr w:type="spellStart"/>
      <w:r w:rsidR="00AE6ECB">
        <w:rPr>
          <w:rFonts w:ascii="Times New" w:hAnsi="Times New"/>
          <w:sz w:val="26"/>
          <w:szCs w:val="22"/>
        </w:rPr>
        <w:t>Prosecutory</w:t>
      </w:r>
      <w:proofErr w:type="spellEnd"/>
      <w:r w:rsidR="00AE6ECB">
        <w:rPr>
          <w:rFonts w:ascii="Times New" w:hAnsi="Times New"/>
          <w:sz w:val="26"/>
          <w:szCs w:val="22"/>
        </w:rPr>
        <w:t xml:space="preserve"> Staff </w:t>
      </w:r>
      <w:r w:rsidR="008E25D9">
        <w:rPr>
          <w:rFonts w:ascii="Times New" w:hAnsi="Times New"/>
          <w:sz w:val="26"/>
          <w:szCs w:val="22"/>
        </w:rPr>
        <w:t>to examine the facts and issues raised in th</w:t>
      </w:r>
      <w:r w:rsidR="00406720">
        <w:rPr>
          <w:rFonts w:ascii="Times New" w:hAnsi="Times New"/>
          <w:sz w:val="26"/>
          <w:szCs w:val="22"/>
        </w:rPr>
        <w:t>e Informal I</w:t>
      </w:r>
      <w:r w:rsidR="008E25D9">
        <w:rPr>
          <w:rFonts w:ascii="Times New" w:hAnsi="Times New"/>
          <w:sz w:val="26"/>
          <w:szCs w:val="22"/>
        </w:rPr>
        <w:t>nvestigation and take whatever further action may be warranted</w:t>
      </w:r>
      <w:r w:rsidR="00AE6ECB">
        <w:rPr>
          <w:rFonts w:ascii="Times New" w:hAnsi="Times New"/>
          <w:sz w:val="26"/>
          <w:szCs w:val="22"/>
        </w:rPr>
        <w:t xml:space="preserve">. </w:t>
      </w:r>
    </w:p>
    <w:p w:rsidR="00AE6ECB" w:rsidRDefault="009A3B96" w:rsidP="004D56A8">
      <w:pPr>
        <w:ind w:firstLine="720"/>
        <w:rPr>
          <w:rFonts w:ascii="Times New" w:hAnsi="Times New"/>
          <w:sz w:val="26"/>
          <w:szCs w:val="22"/>
        </w:rPr>
      </w:pPr>
      <w:r>
        <w:rPr>
          <w:noProof/>
        </w:rPr>
        <w:pict>
          <v:shape id="Picture 1" o:spid="_x0000_s1027" type="#_x0000_t75" style="position:absolute;left:0;text-align:left;margin-left:215.25pt;margin-top:8.85pt;width:173.25pt;height:66pt;z-index:-1;visibility:visible">
            <v:imagedata r:id="rId11" o:title=""/>
          </v:shape>
        </w:pict>
      </w:r>
      <w:r w:rsidR="00AE6ECB">
        <w:rPr>
          <w:rFonts w:ascii="Times New" w:hAnsi="Times New"/>
          <w:sz w:val="26"/>
          <w:szCs w:val="22"/>
        </w:rPr>
        <w:t xml:space="preserve"> </w:t>
      </w:r>
    </w:p>
    <w:p w:rsidR="00EB5668" w:rsidRPr="002134D6" w:rsidRDefault="00A54DBC" w:rsidP="00F96938">
      <w:pPr>
        <w:keepNext/>
        <w:keepLines/>
        <w:ind w:left="5040"/>
        <w:rPr>
          <w:sz w:val="26"/>
          <w:szCs w:val="22"/>
        </w:rPr>
      </w:pPr>
      <w:r w:rsidRPr="002134D6">
        <w:rPr>
          <w:sz w:val="26"/>
          <w:szCs w:val="22"/>
        </w:rPr>
        <w:t>Sincerely,</w:t>
      </w:r>
    </w:p>
    <w:p w:rsidR="00EB5668" w:rsidRPr="002134D6" w:rsidRDefault="00EB5668" w:rsidP="00F96938">
      <w:pPr>
        <w:keepNext/>
        <w:keepLines/>
        <w:ind w:left="5040"/>
        <w:rPr>
          <w:sz w:val="26"/>
          <w:szCs w:val="22"/>
        </w:rPr>
      </w:pPr>
    </w:p>
    <w:p w:rsidR="00A54DBC" w:rsidRPr="002134D6" w:rsidRDefault="00A54DBC" w:rsidP="00F96938">
      <w:pPr>
        <w:keepNext/>
        <w:keepLines/>
        <w:ind w:left="5040"/>
        <w:rPr>
          <w:sz w:val="26"/>
          <w:szCs w:val="22"/>
        </w:rPr>
      </w:pPr>
    </w:p>
    <w:p w:rsidR="00A54DBC" w:rsidRPr="002134D6" w:rsidRDefault="00A54DBC" w:rsidP="00F96938">
      <w:pPr>
        <w:keepNext/>
        <w:keepLines/>
        <w:ind w:left="5040"/>
        <w:rPr>
          <w:sz w:val="26"/>
          <w:szCs w:val="22"/>
        </w:rPr>
      </w:pPr>
      <w:r w:rsidRPr="002134D6">
        <w:rPr>
          <w:sz w:val="26"/>
          <w:szCs w:val="22"/>
        </w:rPr>
        <w:t>Rosemary Chiavetta</w:t>
      </w:r>
    </w:p>
    <w:p w:rsidR="00A54DBC" w:rsidRDefault="00A54DBC" w:rsidP="00F96938">
      <w:pPr>
        <w:keepNext/>
        <w:keepLines/>
        <w:ind w:left="5040"/>
        <w:rPr>
          <w:sz w:val="26"/>
          <w:szCs w:val="22"/>
        </w:rPr>
      </w:pPr>
      <w:r w:rsidRPr="002134D6">
        <w:rPr>
          <w:sz w:val="26"/>
          <w:szCs w:val="22"/>
        </w:rPr>
        <w:t>Secretary</w:t>
      </w:r>
    </w:p>
    <w:p w:rsidR="00341E2B" w:rsidRDefault="00341E2B" w:rsidP="00F96938">
      <w:pPr>
        <w:keepNext/>
        <w:keepLines/>
        <w:ind w:left="5040"/>
        <w:rPr>
          <w:sz w:val="26"/>
          <w:szCs w:val="22"/>
        </w:rPr>
      </w:pPr>
    </w:p>
    <w:p w:rsidR="00341E2B" w:rsidRDefault="00341E2B" w:rsidP="00F96938">
      <w:pPr>
        <w:keepNext/>
        <w:keepLines/>
        <w:ind w:left="5040"/>
        <w:rPr>
          <w:sz w:val="26"/>
          <w:szCs w:val="22"/>
        </w:rPr>
      </w:pPr>
    </w:p>
    <w:p w:rsidR="00341E2B" w:rsidRDefault="00341E2B" w:rsidP="00341E2B">
      <w:pPr>
        <w:keepNext/>
        <w:keepLines/>
        <w:rPr>
          <w:sz w:val="26"/>
          <w:szCs w:val="22"/>
        </w:rPr>
      </w:pPr>
      <w:r>
        <w:rPr>
          <w:sz w:val="26"/>
          <w:szCs w:val="22"/>
        </w:rPr>
        <w:t xml:space="preserve">Cc:  </w:t>
      </w:r>
      <w:r>
        <w:rPr>
          <w:sz w:val="26"/>
          <w:szCs w:val="22"/>
        </w:rPr>
        <w:tab/>
        <w:t>Financial and Assessments Chief,</w:t>
      </w:r>
    </w:p>
    <w:p w:rsidR="00341E2B" w:rsidRDefault="00341E2B" w:rsidP="00341E2B">
      <w:pPr>
        <w:keepNext/>
        <w:keepLines/>
        <w:rPr>
          <w:sz w:val="26"/>
          <w:szCs w:val="22"/>
        </w:rPr>
      </w:pPr>
      <w:r>
        <w:rPr>
          <w:sz w:val="26"/>
          <w:szCs w:val="22"/>
        </w:rPr>
        <w:tab/>
        <w:t>Office of Administrative Services</w:t>
      </w:r>
    </w:p>
    <w:p w:rsidR="00457A20" w:rsidRDefault="00457A20" w:rsidP="00F96938">
      <w:pPr>
        <w:keepNext/>
        <w:keepLines/>
        <w:ind w:left="5040"/>
        <w:rPr>
          <w:sz w:val="26"/>
          <w:szCs w:val="22"/>
        </w:rPr>
      </w:pPr>
    </w:p>
    <w:p w:rsidR="00457A20" w:rsidRDefault="00457A20" w:rsidP="00F96938">
      <w:pPr>
        <w:keepNext/>
        <w:keepLines/>
        <w:rPr>
          <w:sz w:val="26"/>
          <w:szCs w:val="22"/>
        </w:rPr>
      </w:pPr>
    </w:p>
    <w:p w:rsidR="00DE1634" w:rsidRPr="002134D6" w:rsidRDefault="00DE1634" w:rsidP="00F96938">
      <w:pPr>
        <w:keepNext/>
        <w:keepLines/>
        <w:rPr>
          <w:sz w:val="26"/>
          <w:szCs w:val="22"/>
        </w:rPr>
      </w:pPr>
    </w:p>
    <w:sectPr w:rsidR="00DE1634" w:rsidRPr="002134D6" w:rsidSect="004F5AAA">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E92" w:rsidRDefault="00CB0E92">
      <w:r>
        <w:separator/>
      </w:r>
    </w:p>
  </w:endnote>
  <w:endnote w:type="continuationSeparator" w:id="0">
    <w:p w:rsidR="00CB0E92" w:rsidRDefault="00CB0E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CD6C3F"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CD6C3F"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CD6C3F">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separate"/>
    </w:r>
    <w:r w:rsidR="006B5192">
      <w:rPr>
        <w:rStyle w:val="PageNumber"/>
        <w:noProof/>
      </w:rPr>
      <w:t>2</w:t>
    </w:r>
    <w:r>
      <w:rPr>
        <w:rStyle w:val="PageNumber"/>
      </w:rPr>
      <w:fldChar w:fldCharType="end"/>
    </w:r>
  </w:p>
  <w:p w:rsidR="006B5192" w:rsidRDefault="006B5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CD6C3F">
    <w:pPr>
      <w:pStyle w:val="Footer"/>
      <w:jc w:val="center"/>
    </w:pPr>
    <w:fldSimple w:instr=" PAGE   \* MERGEFORMAT ">
      <w:r w:rsidR="009A3B96">
        <w:rPr>
          <w:noProof/>
        </w:rPr>
        <w:t>2</w:t>
      </w:r>
    </w:fldSimple>
  </w:p>
  <w:p w:rsidR="006B5192" w:rsidRDefault="006B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E92" w:rsidRDefault="00CB0E92">
      <w:r>
        <w:separator/>
      </w:r>
    </w:p>
  </w:footnote>
  <w:footnote w:type="continuationSeparator" w:id="0">
    <w:p w:rsidR="00CB0E92" w:rsidRDefault="00CB0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E9073F"/>
    <w:multiLevelType w:val="hybridMultilevel"/>
    <w:tmpl w:val="DF58D786"/>
    <w:lvl w:ilvl="0" w:tplc="FEE09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0719"/>
    <w:rsid w:val="000227B9"/>
    <w:rsid w:val="00025251"/>
    <w:rsid w:val="00027267"/>
    <w:rsid w:val="00034796"/>
    <w:rsid w:val="000439C0"/>
    <w:rsid w:val="000442B6"/>
    <w:rsid w:val="00046DED"/>
    <w:rsid w:val="00047304"/>
    <w:rsid w:val="00064924"/>
    <w:rsid w:val="00067B3B"/>
    <w:rsid w:val="00076B03"/>
    <w:rsid w:val="000D5EEC"/>
    <w:rsid w:val="000D6E9D"/>
    <w:rsid w:val="000E4C77"/>
    <w:rsid w:val="000E5A67"/>
    <w:rsid w:val="001209F1"/>
    <w:rsid w:val="00123069"/>
    <w:rsid w:val="0012404A"/>
    <w:rsid w:val="00124DD5"/>
    <w:rsid w:val="0014699B"/>
    <w:rsid w:val="00170283"/>
    <w:rsid w:val="001A0F43"/>
    <w:rsid w:val="001B2E24"/>
    <w:rsid w:val="001D5DBB"/>
    <w:rsid w:val="001E1BF3"/>
    <w:rsid w:val="001F2EDC"/>
    <w:rsid w:val="00202276"/>
    <w:rsid w:val="002134D6"/>
    <w:rsid w:val="00221BD0"/>
    <w:rsid w:val="002229C3"/>
    <w:rsid w:val="002257A9"/>
    <w:rsid w:val="0023376E"/>
    <w:rsid w:val="0025446A"/>
    <w:rsid w:val="00264F15"/>
    <w:rsid w:val="00280E91"/>
    <w:rsid w:val="00292374"/>
    <w:rsid w:val="0029471C"/>
    <w:rsid w:val="00295A33"/>
    <w:rsid w:val="002A52A0"/>
    <w:rsid w:val="002D0C06"/>
    <w:rsid w:val="002F0138"/>
    <w:rsid w:val="00301CC7"/>
    <w:rsid w:val="003036F2"/>
    <w:rsid w:val="003123EC"/>
    <w:rsid w:val="0031429F"/>
    <w:rsid w:val="00341E2B"/>
    <w:rsid w:val="00345522"/>
    <w:rsid w:val="003516A6"/>
    <w:rsid w:val="00353111"/>
    <w:rsid w:val="00353E1D"/>
    <w:rsid w:val="003569E8"/>
    <w:rsid w:val="0036151A"/>
    <w:rsid w:val="00362914"/>
    <w:rsid w:val="00377F0C"/>
    <w:rsid w:val="00381EF9"/>
    <w:rsid w:val="00391B41"/>
    <w:rsid w:val="003A3B6A"/>
    <w:rsid w:val="003B26C3"/>
    <w:rsid w:val="003C102A"/>
    <w:rsid w:val="003C1323"/>
    <w:rsid w:val="003C56E2"/>
    <w:rsid w:val="003D4CE7"/>
    <w:rsid w:val="003E4B39"/>
    <w:rsid w:val="00406720"/>
    <w:rsid w:val="00407371"/>
    <w:rsid w:val="0041614A"/>
    <w:rsid w:val="004344B0"/>
    <w:rsid w:val="00457A20"/>
    <w:rsid w:val="004A1663"/>
    <w:rsid w:val="004A1767"/>
    <w:rsid w:val="004D2698"/>
    <w:rsid w:val="004D56A8"/>
    <w:rsid w:val="004F1EF7"/>
    <w:rsid w:val="004F32B3"/>
    <w:rsid w:val="004F5AAA"/>
    <w:rsid w:val="00507C2D"/>
    <w:rsid w:val="00513DCA"/>
    <w:rsid w:val="0051639C"/>
    <w:rsid w:val="00516EA7"/>
    <w:rsid w:val="00523D82"/>
    <w:rsid w:val="00526ADA"/>
    <w:rsid w:val="00556387"/>
    <w:rsid w:val="0056327A"/>
    <w:rsid w:val="005756F5"/>
    <w:rsid w:val="00584C01"/>
    <w:rsid w:val="005926DA"/>
    <w:rsid w:val="005A0955"/>
    <w:rsid w:val="005A55DC"/>
    <w:rsid w:val="005B3262"/>
    <w:rsid w:val="005E25C5"/>
    <w:rsid w:val="005F26A1"/>
    <w:rsid w:val="005F3D24"/>
    <w:rsid w:val="006146DD"/>
    <w:rsid w:val="0065578D"/>
    <w:rsid w:val="006755C0"/>
    <w:rsid w:val="006757D9"/>
    <w:rsid w:val="00677C94"/>
    <w:rsid w:val="006933E2"/>
    <w:rsid w:val="00695E35"/>
    <w:rsid w:val="006B5192"/>
    <w:rsid w:val="006C5C47"/>
    <w:rsid w:val="006D6779"/>
    <w:rsid w:val="006E18F6"/>
    <w:rsid w:val="006E1A84"/>
    <w:rsid w:val="006E2533"/>
    <w:rsid w:val="00700501"/>
    <w:rsid w:val="00701ED5"/>
    <w:rsid w:val="007617B1"/>
    <w:rsid w:val="0077210F"/>
    <w:rsid w:val="00772716"/>
    <w:rsid w:val="007A16AE"/>
    <w:rsid w:val="007A1D16"/>
    <w:rsid w:val="007A2093"/>
    <w:rsid w:val="007B4ECA"/>
    <w:rsid w:val="007C0E57"/>
    <w:rsid w:val="007E64B5"/>
    <w:rsid w:val="007F0775"/>
    <w:rsid w:val="007F64BF"/>
    <w:rsid w:val="007F6DAF"/>
    <w:rsid w:val="00820AD2"/>
    <w:rsid w:val="0083583F"/>
    <w:rsid w:val="008574F8"/>
    <w:rsid w:val="00873EC2"/>
    <w:rsid w:val="00895C5F"/>
    <w:rsid w:val="008B1FE8"/>
    <w:rsid w:val="008E13FB"/>
    <w:rsid w:val="008E25D9"/>
    <w:rsid w:val="008F595E"/>
    <w:rsid w:val="008F78AA"/>
    <w:rsid w:val="00907278"/>
    <w:rsid w:val="00930003"/>
    <w:rsid w:val="00933733"/>
    <w:rsid w:val="00984274"/>
    <w:rsid w:val="0099767B"/>
    <w:rsid w:val="009A1144"/>
    <w:rsid w:val="009A3296"/>
    <w:rsid w:val="009A3B96"/>
    <w:rsid w:val="009B23D8"/>
    <w:rsid w:val="009B2E39"/>
    <w:rsid w:val="009D1C97"/>
    <w:rsid w:val="009E40EC"/>
    <w:rsid w:val="009E65F6"/>
    <w:rsid w:val="009E7E5D"/>
    <w:rsid w:val="009F5F66"/>
    <w:rsid w:val="009F637F"/>
    <w:rsid w:val="00A47581"/>
    <w:rsid w:val="00A53EE3"/>
    <w:rsid w:val="00A549F1"/>
    <w:rsid w:val="00A54DBC"/>
    <w:rsid w:val="00A66D1F"/>
    <w:rsid w:val="00A7627A"/>
    <w:rsid w:val="00A84699"/>
    <w:rsid w:val="00A93728"/>
    <w:rsid w:val="00A955FA"/>
    <w:rsid w:val="00AB36A9"/>
    <w:rsid w:val="00AE5623"/>
    <w:rsid w:val="00AE6ECB"/>
    <w:rsid w:val="00B00393"/>
    <w:rsid w:val="00B02B84"/>
    <w:rsid w:val="00B02E85"/>
    <w:rsid w:val="00B54FCF"/>
    <w:rsid w:val="00B61340"/>
    <w:rsid w:val="00B62F4B"/>
    <w:rsid w:val="00B73DE5"/>
    <w:rsid w:val="00B85D63"/>
    <w:rsid w:val="00B97014"/>
    <w:rsid w:val="00BA052F"/>
    <w:rsid w:val="00BA0A84"/>
    <w:rsid w:val="00BB1F1C"/>
    <w:rsid w:val="00BC3A3C"/>
    <w:rsid w:val="00BC5968"/>
    <w:rsid w:val="00BC7ABE"/>
    <w:rsid w:val="00BD3A5C"/>
    <w:rsid w:val="00BD752E"/>
    <w:rsid w:val="00BE4A72"/>
    <w:rsid w:val="00BE5119"/>
    <w:rsid w:val="00BF6F03"/>
    <w:rsid w:val="00C05320"/>
    <w:rsid w:val="00C17DF6"/>
    <w:rsid w:val="00C55D52"/>
    <w:rsid w:val="00C6623D"/>
    <w:rsid w:val="00C74A51"/>
    <w:rsid w:val="00C77F29"/>
    <w:rsid w:val="00C85628"/>
    <w:rsid w:val="00C90506"/>
    <w:rsid w:val="00C96CF9"/>
    <w:rsid w:val="00CB0E92"/>
    <w:rsid w:val="00CB3BF2"/>
    <w:rsid w:val="00CB518B"/>
    <w:rsid w:val="00CB5738"/>
    <w:rsid w:val="00CD6C3F"/>
    <w:rsid w:val="00CE2264"/>
    <w:rsid w:val="00CE2A65"/>
    <w:rsid w:val="00CE2F96"/>
    <w:rsid w:val="00CE64FB"/>
    <w:rsid w:val="00CE7B25"/>
    <w:rsid w:val="00CF047C"/>
    <w:rsid w:val="00CF0E1C"/>
    <w:rsid w:val="00D00C0C"/>
    <w:rsid w:val="00D1602A"/>
    <w:rsid w:val="00D26C5D"/>
    <w:rsid w:val="00D322A2"/>
    <w:rsid w:val="00D400BB"/>
    <w:rsid w:val="00D42783"/>
    <w:rsid w:val="00D47F47"/>
    <w:rsid w:val="00DB61BB"/>
    <w:rsid w:val="00DC35C5"/>
    <w:rsid w:val="00DD1A19"/>
    <w:rsid w:val="00DD42EC"/>
    <w:rsid w:val="00DD7880"/>
    <w:rsid w:val="00DE1634"/>
    <w:rsid w:val="00DE3C6A"/>
    <w:rsid w:val="00DF6FD4"/>
    <w:rsid w:val="00E349DA"/>
    <w:rsid w:val="00E42588"/>
    <w:rsid w:val="00E42C1C"/>
    <w:rsid w:val="00E86CD8"/>
    <w:rsid w:val="00E872DE"/>
    <w:rsid w:val="00EA585B"/>
    <w:rsid w:val="00EB5668"/>
    <w:rsid w:val="00EC651A"/>
    <w:rsid w:val="00EC71DD"/>
    <w:rsid w:val="00ED7D88"/>
    <w:rsid w:val="00F0662E"/>
    <w:rsid w:val="00F06A54"/>
    <w:rsid w:val="00F11A81"/>
    <w:rsid w:val="00F1745B"/>
    <w:rsid w:val="00F264EF"/>
    <w:rsid w:val="00F36544"/>
    <w:rsid w:val="00F45AF8"/>
    <w:rsid w:val="00F61AB7"/>
    <w:rsid w:val="00F62AEF"/>
    <w:rsid w:val="00F7094C"/>
    <w:rsid w:val="00F84C96"/>
    <w:rsid w:val="00F90527"/>
    <w:rsid w:val="00F96938"/>
    <w:rsid w:val="00FA0E37"/>
    <w:rsid w:val="00FD1FF0"/>
    <w:rsid w:val="00FD4FC4"/>
    <w:rsid w:val="00FF56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EA7"/>
  </w:style>
  <w:style w:type="paragraph" w:styleId="Heading1">
    <w:name w:val="heading 1"/>
    <w:basedOn w:val="Normal"/>
    <w:next w:val="Normal"/>
    <w:qFormat/>
    <w:rsid w:val="00516EA7"/>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6EA7"/>
    <w:pPr>
      <w:ind w:left="360"/>
    </w:pPr>
    <w:rPr>
      <w:sz w:val="24"/>
    </w:rPr>
  </w:style>
  <w:style w:type="paragraph" w:styleId="Header">
    <w:name w:val="header"/>
    <w:basedOn w:val="Normal"/>
    <w:rsid w:val="00516EA7"/>
    <w:pPr>
      <w:tabs>
        <w:tab w:val="center" w:pos="4320"/>
        <w:tab w:val="right" w:pos="8640"/>
      </w:tabs>
    </w:pPr>
  </w:style>
  <w:style w:type="paragraph" w:styleId="Footer">
    <w:name w:val="footer"/>
    <w:basedOn w:val="Normal"/>
    <w:link w:val="FooterChar"/>
    <w:uiPriority w:val="99"/>
    <w:rsid w:val="00516EA7"/>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 w:type="paragraph" w:styleId="FootnoteText">
    <w:name w:val="footnote text"/>
    <w:basedOn w:val="Normal"/>
    <w:link w:val="FootnoteTextChar"/>
    <w:rsid w:val="00B61340"/>
  </w:style>
  <w:style w:type="character" w:customStyle="1" w:styleId="FootnoteTextChar">
    <w:name w:val="Footnote Text Char"/>
    <w:basedOn w:val="DefaultParagraphFont"/>
    <w:link w:val="FootnoteText"/>
    <w:rsid w:val="00B61340"/>
  </w:style>
  <w:style w:type="character" w:styleId="FootnoteReference">
    <w:name w:val="footnote reference"/>
    <w:basedOn w:val="DefaultParagraphFont"/>
    <w:rsid w:val="00B613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C436-B5C3-4116-9494-8C3EF0B4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3</cp:revision>
  <cp:lastPrinted>2011-02-22T13:17:00Z</cp:lastPrinted>
  <dcterms:created xsi:type="dcterms:W3CDTF">2011-02-18T18:27:00Z</dcterms:created>
  <dcterms:modified xsi:type="dcterms:W3CDTF">2011-02-22T13:17:00Z</dcterms:modified>
</cp:coreProperties>
</file>