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72279" w:rsidP="00560DC5">
      <w:pPr>
        <w:tabs>
          <w:tab w:val="left" w:pos="0"/>
        </w:tabs>
        <w:spacing w:line="233" w:lineRule="auto"/>
        <w:jc w:val="both"/>
        <w:rPr>
          <w:b/>
          <w:sz w:val="24"/>
        </w:rPr>
      </w:pPr>
      <w:r>
        <w:rPr>
          <w:sz w:val="24"/>
        </w:rPr>
        <w:t xml:space="preserve">Georgiana G. </w:t>
      </w:r>
      <w:proofErr w:type="spellStart"/>
      <w:r>
        <w:rPr>
          <w:sz w:val="24"/>
        </w:rPr>
        <w:t>Woodhall</w:t>
      </w:r>
      <w:proofErr w:type="spellEnd"/>
      <w:r>
        <w:rPr>
          <w:sz w:val="24"/>
        </w:rPr>
        <w:t xml:space="preserve"> and</w:t>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Default="00972279" w:rsidP="00560DC5">
      <w:pPr>
        <w:tabs>
          <w:tab w:val="left" w:pos="0"/>
        </w:tabs>
        <w:spacing w:line="233" w:lineRule="auto"/>
        <w:jc w:val="both"/>
        <w:rPr>
          <w:sz w:val="24"/>
        </w:rPr>
      </w:pPr>
      <w:r w:rsidRPr="00972279">
        <w:rPr>
          <w:sz w:val="24"/>
        </w:rPr>
        <w:t xml:space="preserve">Millie </w:t>
      </w:r>
      <w:proofErr w:type="spellStart"/>
      <w:r w:rsidRPr="00972279">
        <w:rPr>
          <w:sz w:val="24"/>
        </w:rPr>
        <w:t>Galagaza</w:t>
      </w:r>
      <w:proofErr w:type="spellEnd"/>
      <w:r w:rsidR="00332CA0">
        <w:rPr>
          <w:b/>
          <w:sz w:val="24"/>
        </w:rPr>
        <w:tab/>
      </w:r>
      <w:r w:rsidR="00332CA0">
        <w:rPr>
          <w:b/>
          <w:sz w:val="24"/>
        </w:rPr>
        <w:tab/>
      </w:r>
      <w:r w:rsidR="00332CA0">
        <w:rPr>
          <w:b/>
          <w:sz w:val="24"/>
        </w:rPr>
        <w:tab/>
      </w:r>
      <w:r w:rsidR="00332CA0">
        <w:rPr>
          <w:b/>
          <w:sz w:val="24"/>
        </w:rPr>
        <w:tab/>
      </w:r>
      <w:r w:rsidR="00332CA0">
        <w:rPr>
          <w:b/>
          <w:sz w:val="24"/>
        </w:rPr>
        <w:tab/>
      </w:r>
      <w:r w:rsidR="00332CA0" w:rsidRPr="00560DC5">
        <w:rPr>
          <w:sz w:val="24"/>
        </w:rPr>
        <w:t>:</w:t>
      </w:r>
    </w:p>
    <w:p w:rsidR="00972279" w:rsidRDefault="00972279" w:rsidP="00972279">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72279">
        <w:rPr>
          <w:sz w:val="24"/>
        </w:rPr>
        <w:t>C-2010-2170467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72279" w:rsidP="00560DC5">
      <w:pPr>
        <w:tabs>
          <w:tab w:val="left" w:pos="0"/>
        </w:tabs>
        <w:spacing w:line="233" w:lineRule="auto"/>
        <w:jc w:val="both"/>
        <w:rPr>
          <w:sz w:val="24"/>
        </w:rPr>
      </w:pPr>
      <w:r>
        <w:rPr>
          <w:sz w:val="24"/>
        </w:rPr>
        <w:t>Equitable Gas Company</w:t>
      </w:r>
      <w:r w:rsidR="001A00E0">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98495D" w:rsidRPr="009A0A9E" w:rsidRDefault="0098495D" w:rsidP="0098495D">
      <w:pPr>
        <w:tabs>
          <w:tab w:val="left" w:pos="0"/>
        </w:tabs>
        <w:jc w:val="center"/>
        <w:rPr>
          <w:sz w:val="24"/>
          <w:u w:val="single"/>
        </w:rPr>
      </w:pPr>
      <w:r w:rsidRPr="009A0A9E">
        <w:rPr>
          <w:b/>
          <w:sz w:val="24"/>
          <w:u w:val="single"/>
        </w:rPr>
        <w:t>INITIAL DECISION</w:t>
      </w:r>
    </w:p>
    <w:p w:rsidR="0098495D" w:rsidRDefault="0098495D" w:rsidP="0098495D">
      <w:pPr>
        <w:tabs>
          <w:tab w:val="left" w:pos="0"/>
        </w:tabs>
        <w:jc w:val="center"/>
        <w:rPr>
          <w:sz w:val="24"/>
        </w:rPr>
      </w:pPr>
    </w:p>
    <w:p w:rsidR="009A0A9E" w:rsidRDefault="009A0A9E" w:rsidP="0098495D">
      <w:pPr>
        <w:tabs>
          <w:tab w:val="left" w:pos="0"/>
        </w:tabs>
        <w:jc w:val="center"/>
        <w:rPr>
          <w:sz w:val="24"/>
        </w:rPr>
      </w:pPr>
    </w:p>
    <w:p w:rsidR="00332CA0" w:rsidRDefault="0098495D" w:rsidP="0098495D">
      <w:pPr>
        <w:tabs>
          <w:tab w:val="left" w:pos="0"/>
        </w:tabs>
        <w:jc w:val="center"/>
        <w:rPr>
          <w:sz w:val="24"/>
        </w:rPr>
      </w:pPr>
      <w:r>
        <w:rPr>
          <w:sz w:val="24"/>
        </w:rPr>
        <w:t>Before</w:t>
      </w:r>
    </w:p>
    <w:p w:rsidR="009A0A9E" w:rsidRDefault="009A0A9E" w:rsidP="0098495D">
      <w:pPr>
        <w:tabs>
          <w:tab w:val="left" w:pos="0"/>
        </w:tabs>
        <w:jc w:val="center"/>
        <w:rPr>
          <w:sz w:val="24"/>
        </w:rPr>
      </w:pPr>
      <w:r>
        <w:rPr>
          <w:sz w:val="24"/>
        </w:rPr>
        <w:t>Mary D. Long</w:t>
      </w:r>
    </w:p>
    <w:p w:rsidR="0098495D" w:rsidRDefault="0098495D" w:rsidP="00A80BFB">
      <w:pPr>
        <w:tabs>
          <w:tab w:val="left" w:pos="0"/>
        </w:tabs>
        <w:jc w:val="center"/>
        <w:rPr>
          <w:sz w:val="24"/>
        </w:rPr>
      </w:pPr>
      <w:r>
        <w:rPr>
          <w:sz w:val="24"/>
        </w:rPr>
        <w:t>Administrative Law Judge</w:t>
      </w:r>
    </w:p>
    <w:p w:rsidR="0098495D" w:rsidRDefault="0098495D" w:rsidP="00A80BFB">
      <w:pPr>
        <w:tabs>
          <w:tab w:val="left" w:pos="0"/>
        </w:tabs>
        <w:jc w:val="center"/>
        <w:rPr>
          <w:sz w:val="24"/>
        </w:rPr>
      </w:pPr>
    </w:p>
    <w:p w:rsidR="0098495D" w:rsidRDefault="0098495D" w:rsidP="00A80BFB">
      <w:pPr>
        <w:tabs>
          <w:tab w:val="left" w:pos="0"/>
        </w:tabs>
        <w:jc w:val="both"/>
        <w:rPr>
          <w:sz w:val="24"/>
        </w:rPr>
      </w:pPr>
    </w:p>
    <w:p w:rsidR="0098495D" w:rsidRDefault="0098495D" w:rsidP="00754B23">
      <w:pPr>
        <w:tabs>
          <w:tab w:val="left" w:pos="0"/>
        </w:tabs>
        <w:spacing w:line="360" w:lineRule="auto"/>
        <w:rPr>
          <w:sz w:val="24"/>
        </w:rPr>
      </w:pPr>
      <w:r>
        <w:rPr>
          <w:sz w:val="24"/>
        </w:rPr>
        <w:tab/>
      </w:r>
      <w:r w:rsidR="009A0A9E">
        <w:rPr>
          <w:sz w:val="24"/>
        </w:rPr>
        <w:tab/>
      </w:r>
      <w:r w:rsidR="00205472">
        <w:rPr>
          <w:sz w:val="24"/>
        </w:rPr>
        <w:t xml:space="preserve">Georgiana </w:t>
      </w:r>
      <w:proofErr w:type="spellStart"/>
      <w:r w:rsidR="00205472">
        <w:rPr>
          <w:sz w:val="24"/>
        </w:rPr>
        <w:t>Woodhall</w:t>
      </w:r>
      <w:proofErr w:type="spellEnd"/>
      <w:r w:rsidR="00205472">
        <w:rPr>
          <w:sz w:val="24"/>
        </w:rPr>
        <w:t xml:space="preserve"> and Millie </w:t>
      </w:r>
      <w:proofErr w:type="spellStart"/>
      <w:r w:rsidR="00205472">
        <w:rPr>
          <w:sz w:val="24"/>
        </w:rPr>
        <w:t>Galagaza</w:t>
      </w:r>
      <w:proofErr w:type="spellEnd"/>
      <w:r w:rsidR="00205472">
        <w:rPr>
          <w:sz w:val="24"/>
        </w:rPr>
        <w:t xml:space="preserve"> (Complainants</w:t>
      </w:r>
      <w:proofErr w:type="gramStart"/>
      <w:r w:rsidR="00205472">
        <w:rPr>
          <w:sz w:val="24"/>
        </w:rPr>
        <w:t>),</w:t>
      </w:r>
      <w:proofErr w:type="gramEnd"/>
      <w:r w:rsidR="00205472">
        <w:rPr>
          <w:sz w:val="24"/>
        </w:rPr>
        <w:t xml:space="preserve"> filed a formal complaint against Equitable Gas Company</w:t>
      </w:r>
      <w:r w:rsidR="008D4292">
        <w:rPr>
          <w:sz w:val="24"/>
        </w:rPr>
        <w:t xml:space="preserve"> (Equitable)</w:t>
      </w:r>
      <w:r w:rsidR="00205472">
        <w:rPr>
          <w:sz w:val="24"/>
        </w:rPr>
        <w:t xml:space="preserve">. </w:t>
      </w:r>
      <w:r w:rsidR="00660A2C">
        <w:rPr>
          <w:sz w:val="24"/>
        </w:rPr>
        <w:t xml:space="preserve"> </w:t>
      </w:r>
      <w:r w:rsidR="00205472">
        <w:rPr>
          <w:sz w:val="24"/>
        </w:rPr>
        <w:t>The Complainants contend that with the installation of their new furnace, they should have realized a greater reduction in their gas consumption which has not been reflected in their gas bills.</w:t>
      </w:r>
      <w:r w:rsidR="008D4292">
        <w:rPr>
          <w:sz w:val="24"/>
        </w:rPr>
        <w:t xml:space="preserve"> </w:t>
      </w:r>
      <w:r w:rsidR="00660A2C">
        <w:rPr>
          <w:sz w:val="24"/>
        </w:rPr>
        <w:t xml:space="preserve"> </w:t>
      </w:r>
      <w:r w:rsidR="008D4292">
        <w:rPr>
          <w:sz w:val="24"/>
        </w:rPr>
        <w:t xml:space="preserve">As set forth below, the Complainants did not establish that any of </w:t>
      </w:r>
      <w:proofErr w:type="spellStart"/>
      <w:r w:rsidR="008D4292">
        <w:rPr>
          <w:sz w:val="24"/>
        </w:rPr>
        <w:t>Equitable’s</w:t>
      </w:r>
      <w:proofErr w:type="spellEnd"/>
      <w:r w:rsidR="008D4292">
        <w:rPr>
          <w:sz w:val="24"/>
        </w:rPr>
        <w:t xml:space="preserve"> equipment or piping is defective or that </w:t>
      </w:r>
      <w:proofErr w:type="spellStart"/>
      <w:r w:rsidR="008D4292">
        <w:rPr>
          <w:sz w:val="24"/>
        </w:rPr>
        <w:t>Equitable’s</w:t>
      </w:r>
      <w:proofErr w:type="spellEnd"/>
      <w:r w:rsidR="008D4292">
        <w:rPr>
          <w:sz w:val="24"/>
        </w:rPr>
        <w:t xml:space="preserve"> service has been otherwise unreasonable</w:t>
      </w:r>
      <w:r w:rsidR="008C2F21">
        <w:rPr>
          <w:sz w:val="24"/>
        </w:rPr>
        <w:t xml:space="preserve">. </w:t>
      </w:r>
      <w:r w:rsidR="00660A2C">
        <w:rPr>
          <w:sz w:val="24"/>
        </w:rPr>
        <w:t xml:space="preserve"> </w:t>
      </w:r>
      <w:r w:rsidR="008C2F21">
        <w:rPr>
          <w:sz w:val="24"/>
        </w:rPr>
        <w:t xml:space="preserve">Accordingly, </w:t>
      </w:r>
      <w:r w:rsidR="008D4292">
        <w:rPr>
          <w:sz w:val="24"/>
        </w:rPr>
        <w:t>their complaint will be dismissed.</w:t>
      </w:r>
    </w:p>
    <w:p w:rsidR="00754B23" w:rsidRDefault="00754B23" w:rsidP="00754B23">
      <w:pPr>
        <w:tabs>
          <w:tab w:val="left" w:pos="0"/>
        </w:tabs>
        <w:spacing w:line="360" w:lineRule="auto"/>
        <w:rPr>
          <w:sz w:val="24"/>
        </w:rPr>
      </w:pPr>
    </w:p>
    <w:p w:rsidR="008D4292" w:rsidRDefault="008D4292" w:rsidP="00754B23">
      <w:pPr>
        <w:tabs>
          <w:tab w:val="left" w:pos="0"/>
        </w:tabs>
        <w:spacing w:line="360" w:lineRule="auto"/>
        <w:jc w:val="center"/>
        <w:rPr>
          <w:sz w:val="24"/>
          <w:u w:val="single"/>
        </w:rPr>
      </w:pPr>
      <w:r w:rsidRPr="00A51AEC">
        <w:rPr>
          <w:sz w:val="24"/>
          <w:u w:val="single"/>
        </w:rPr>
        <w:t>HISTORY OF THE PROCEEDINGS</w:t>
      </w:r>
    </w:p>
    <w:p w:rsidR="00754B23" w:rsidRPr="00A51AEC" w:rsidRDefault="00754B23" w:rsidP="00754B23">
      <w:pPr>
        <w:tabs>
          <w:tab w:val="left" w:pos="0"/>
        </w:tabs>
        <w:spacing w:line="360" w:lineRule="auto"/>
        <w:rPr>
          <w:sz w:val="24"/>
          <w:u w:val="single"/>
        </w:rPr>
      </w:pPr>
    </w:p>
    <w:p w:rsidR="008D4292" w:rsidRDefault="00667989" w:rsidP="00754B23">
      <w:pPr>
        <w:tabs>
          <w:tab w:val="left" w:pos="0"/>
        </w:tabs>
        <w:spacing w:line="360" w:lineRule="auto"/>
        <w:rPr>
          <w:sz w:val="24"/>
        </w:rPr>
      </w:pPr>
      <w:r>
        <w:rPr>
          <w:sz w:val="24"/>
        </w:rPr>
        <w:tab/>
      </w:r>
      <w:r w:rsidR="009A0A9E">
        <w:rPr>
          <w:sz w:val="24"/>
        </w:rPr>
        <w:tab/>
      </w:r>
      <w:r>
        <w:rPr>
          <w:sz w:val="24"/>
        </w:rPr>
        <w:t>On April 14, 2010, the Complainants filed a formal complaint with the Commission</w:t>
      </w:r>
      <w:r w:rsidR="008C2F21">
        <w:rPr>
          <w:sz w:val="24"/>
        </w:rPr>
        <w:t xml:space="preserve"> alleging, a</w:t>
      </w:r>
      <w:r w:rsidR="00806802">
        <w:rPr>
          <w:sz w:val="24"/>
        </w:rPr>
        <w:t xml:space="preserve">mong other things, that they were expecting a greater reduction in their gas bill with the installation of a new furnace. </w:t>
      </w:r>
      <w:r w:rsidR="00660A2C">
        <w:rPr>
          <w:sz w:val="24"/>
        </w:rPr>
        <w:t xml:space="preserve"> </w:t>
      </w:r>
      <w:r w:rsidR="00806802">
        <w:rPr>
          <w:sz w:val="24"/>
        </w:rPr>
        <w:t xml:space="preserve">Equitable filed its answer on April 30, 2010. </w:t>
      </w:r>
      <w:r w:rsidR="00660A2C">
        <w:rPr>
          <w:sz w:val="24"/>
        </w:rPr>
        <w:t xml:space="preserve"> </w:t>
      </w:r>
      <w:r w:rsidR="00806802">
        <w:rPr>
          <w:sz w:val="24"/>
        </w:rPr>
        <w:t xml:space="preserve">By letter dated September 8, 2010, the Office of Administrative Law Judge notified the parties that a telephonic hearing had been scheduled for Monday, October 18, 2010. </w:t>
      </w:r>
      <w:r w:rsidR="00A51AEC">
        <w:rPr>
          <w:sz w:val="24"/>
        </w:rPr>
        <w:t xml:space="preserve"> A prehearing order was also issued on September 8, 2010.</w:t>
      </w:r>
    </w:p>
    <w:p w:rsidR="00754B23" w:rsidRDefault="00754B23" w:rsidP="00754B23">
      <w:pPr>
        <w:tabs>
          <w:tab w:val="left" w:pos="0"/>
        </w:tabs>
        <w:spacing w:line="360" w:lineRule="auto"/>
        <w:rPr>
          <w:sz w:val="24"/>
        </w:rPr>
      </w:pPr>
    </w:p>
    <w:p w:rsidR="008C2F21" w:rsidRDefault="00A51AEC" w:rsidP="00754B23">
      <w:pPr>
        <w:tabs>
          <w:tab w:val="left" w:pos="0"/>
        </w:tabs>
        <w:spacing w:line="360" w:lineRule="auto"/>
        <w:rPr>
          <w:sz w:val="24"/>
        </w:rPr>
      </w:pPr>
      <w:r>
        <w:rPr>
          <w:sz w:val="24"/>
        </w:rPr>
        <w:lastRenderedPageBreak/>
        <w:tab/>
      </w:r>
      <w:r w:rsidR="009A0A9E">
        <w:rPr>
          <w:sz w:val="24"/>
        </w:rPr>
        <w:tab/>
      </w:r>
      <w:r>
        <w:rPr>
          <w:sz w:val="24"/>
        </w:rPr>
        <w:t xml:space="preserve">The hearing was held as scheduled. </w:t>
      </w:r>
      <w:r w:rsidR="00E5233B">
        <w:rPr>
          <w:sz w:val="24"/>
        </w:rPr>
        <w:t xml:space="preserve"> </w:t>
      </w:r>
      <w:r>
        <w:rPr>
          <w:sz w:val="24"/>
        </w:rPr>
        <w:t xml:space="preserve">Georgiana </w:t>
      </w:r>
      <w:proofErr w:type="spellStart"/>
      <w:r>
        <w:rPr>
          <w:sz w:val="24"/>
        </w:rPr>
        <w:t>Woodhall</w:t>
      </w:r>
      <w:proofErr w:type="spellEnd"/>
      <w:r>
        <w:rPr>
          <w:sz w:val="24"/>
        </w:rPr>
        <w:t xml:space="preserve"> testified on behalf of the Complainants.  Equitable, represented by Chad A. </w:t>
      </w:r>
      <w:proofErr w:type="spellStart"/>
      <w:r>
        <w:rPr>
          <w:sz w:val="24"/>
        </w:rPr>
        <w:t>Cic</w:t>
      </w:r>
      <w:r w:rsidR="00DB6FC2">
        <w:rPr>
          <w:sz w:val="24"/>
        </w:rPr>
        <w:t>c</w:t>
      </w:r>
      <w:r>
        <w:rPr>
          <w:sz w:val="24"/>
        </w:rPr>
        <w:t>oni</w:t>
      </w:r>
      <w:proofErr w:type="spellEnd"/>
      <w:r>
        <w:rPr>
          <w:sz w:val="24"/>
        </w:rPr>
        <w:t xml:space="preserve">, Esq., presented the testimony of one witness and offered three exhibits which were admitted into the record.  The hearing generated a transcript of </w:t>
      </w:r>
      <w:r w:rsidR="00F6728F">
        <w:rPr>
          <w:sz w:val="24"/>
        </w:rPr>
        <w:t>32</w:t>
      </w:r>
      <w:r>
        <w:rPr>
          <w:sz w:val="24"/>
        </w:rPr>
        <w:t xml:space="preserve"> pages.  The Complainants requested an opportunity to submit a written brief, which request was granted. </w:t>
      </w:r>
      <w:r w:rsidR="00660A2C">
        <w:rPr>
          <w:sz w:val="24"/>
        </w:rPr>
        <w:t xml:space="preserve"> </w:t>
      </w:r>
      <w:r>
        <w:rPr>
          <w:sz w:val="24"/>
        </w:rPr>
        <w:t xml:space="preserve">Timely briefs were filed by both parties and by order dated </w:t>
      </w:r>
      <w:r w:rsidR="00A42B33">
        <w:rPr>
          <w:sz w:val="24"/>
        </w:rPr>
        <w:t>December 23, 2010,</w:t>
      </w:r>
      <w:r>
        <w:rPr>
          <w:sz w:val="24"/>
        </w:rPr>
        <w:t xml:space="preserve"> the record was closed. </w:t>
      </w:r>
    </w:p>
    <w:p w:rsidR="00754B23" w:rsidRDefault="00754B23" w:rsidP="00754B23">
      <w:pPr>
        <w:tabs>
          <w:tab w:val="left" w:pos="0"/>
        </w:tabs>
        <w:spacing w:line="360" w:lineRule="auto"/>
        <w:rPr>
          <w:sz w:val="24"/>
        </w:rPr>
      </w:pPr>
    </w:p>
    <w:p w:rsidR="00A51AEC" w:rsidRDefault="008C2F21" w:rsidP="00754B23">
      <w:pPr>
        <w:tabs>
          <w:tab w:val="left" w:pos="0"/>
        </w:tabs>
        <w:spacing w:line="360" w:lineRule="auto"/>
        <w:rPr>
          <w:sz w:val="24"/>
        </w:rPr>
      </w:pPr>
      <w:r>
        <w:rPr>
          <w:sz w:val="24"/>
        </w:rPr>
        <w:tab/>
      </w:r>
      <w:r w:rsidR="009A0A9E">
        <w:rPr>
          <w:sz w:val="24"/>
        </w:rPr>
        <w:tab/>
      </w:r>
      <w:r w:rsidR="008A3DC0">
        <w:rPr>
          <w:sz w:val="24"/>
        </w:rPr>
        <w:t>Upon full consideration of this record, I make the following:</w:t>
      </w:r>
    </w:p>
    <w:p w:rsidR="00754B23" w:rsidRDefault="00754B23" w:rsidP="00754B23">
      <w:pPr>
        <w:tabs>
          <w:tab w:val="left" w:pos="0"/>
        </w:tabs>
        <w:spacing w:line="360" w:lineRule="auto"/>
        <w:rPr>
          <w:sz w:val="24"/>
        </w:rPr>
      </w:pPr>
    </w:p>
    <w:p w:rsidR="008A3DC0" w:rsidRDefault="008A3DC0" w:rsidP="00754B23">
      <w:pPr>
        <w:tabs>
          <w:tab w:val="left" w:pos="0"/>
        </w:tabs>
        <w:spacing w:line="360" w:lineRule="auto"/>
        <w:jc w:val="center"/>
        <w:rPr>
          <w:sz w:val="24"/>
          <w:u w:val="single"/>
        </w:rPr>
      </w:pPr>
      <w:r w:rsidRPr="00A9364D">
        <w:rPr>
          <w:sz w:val="24"/>
          <w:u w:val="single"/>
        </w:rPr>
        <w:t>FINDINGS OF FACT</w:t>
      </w:r>
    </w:p>
    <w:p w:rsidR="009A0A9E" w:rsidRPr="00A9364D" w:rsidRDefault="009A0A9E" w:rsidP="00754B23">
      <w:pPr>
        <w:tabs>
          <w:tab w:val="left" w:pos="0"/>
        </w:tabs>
        <w:spacing w:line="360" w:lineRule="auto"/>
        <w:rPr>
          <w:sz w:val="24"/>
          <w:u w:val="single"/>
        </w:rPr>
      </w:pPr>
    </w:p>
    <w:p w:rsidR="008A3DC0" w:rsidRDefault="008A3DC0" w:rsidP="00754B23">
      <w:pPr>
        <w:tabs>
          <w:tab w:val="left" w:pos="0"/>
        </w:tabs>
        <w:spacing w:line="360" w:lineRule="auto"/>
        <w:rPr>
          <w:sz w:val="24"/>
        </w:rPr>
      </w:pPr>
      <w:r>
        <w:rPr>
          <w:sz w:val="24"/>
        </w:rPr>
        <w:tab/>
      </w:r>
      <w:r w:rsidR="00754B23">
        <w:rPr>
          <w:sz w:val="24"/>
        </w:rPr>
        <w:tab/>
      </w:r>
      <w:r>
        <w:rPr>
          <w:sz w:val="24"/>
        </w:rPr>
        <w:t>1.</w:t>
      </w:r>
      <w:r>
        <w:rPr>
          <w:sz w:val="24"/>
        </w:rPr>
        <w:tab/>
        <w:t xml:space="preserve">The Complainants are Georgiana G. </w:t>
      </w:r>
      <w:proofErr w:type="spellStart"/>
      <w:r>
        <w:rPr>
          <w:sz w:val="24"/>
        </w:rPr>
        <w:t>Woodhall</w:t>
      </w:r>
      <w:proofErr w:type="spellEnd"/>
      <w:r>
        <w:rPr>
          <w:sz w:val="24"/>
        </w:rPr>
        <w:t xml:space="preserve"> and Millie </w:t>
      </w:r>
      <w:proofErr w:type="spellStart"/>
      <w:r>
        <w:rPr>
          <w:sz w:val="24"/>
        </w:rPr>
        <w:t>Galagaza</w:t>
      </w:r>
      <w:proofErr w:type="spellEnd"/>
      <w:r>
        <w:rPr>
          <w:sz w:val="24"/>
        </w:rPr>
        <w:t xml:space="preserve"> who both reside</w:t>
      </w:r>
      <w:r w:rsidR="008C2F21">
        <w:rPr>
          <w:sz w:val="24"/>
        </w:rPr>
        <w:t xml:space="preserve">, along with Mrs. </w:t>
      </w:r>
      <w:proofErr w:type="spellStart"/>
      <w:r w:rsidR="008C2F21">
        <w:rPr>
          <w:sz w:val="24"/>
        </w:rPr>
        <w:t>Woodhall’s</w:t>
      </w:r>
      <w:proofErr w:type="spellEnd"/>
      <w:r w:rsidR="008C2F21">
        <w:rPr>
          <w:sz w:val="24"/>
        </w:rPr>
        <w:t xml:space="preserve"> husband,</w:t>
      </w:r>
      <w:r>
        <w:rPr>
          <w:sz w:val="24"/>
        </w:rPr>
        <w:t xml:space="preserve"> at 4560 Broadway Boulevard, Monroeville, </w:t>
      </w:r>
      <w:proofErr w:type="gramStart"/>
      <w:r>
        <w:rPr>
          <w:sz w:val="24"/>
        </w:rPr>
        <w:t>Allegheny</w:t>
      </w:r>
      <w:proofErr w:type="gramEnd"/>
      <w:r>
        <w:rPr>
          <w:sz w:val="24"/>
        </w:rPr>
        <w:t xml:space="preserve"> County</w:t>
      </w:r>
      <w:r w:rsidR="00E5233B">
        <w:rPr>
          <w:sz w:val="24"/>
        </w:rPr>
        <w:t>,</w:t>
      </w:r>
      <w:r>
        <w:rPr>
          <w:sz w:val="24"/>
        </w:rPr>
        <w:t xml:space="preserve"> Pennsylvania.</w:t>
      </w:r>
    </w:p>
    <w:p w:rsidR="009A0A9E" w:rsidRDefault="009A0A9E" w:rsidP="00754B23">
      <w:pPr>
        <w:tabs>
          <w:tab w:val="left" w:pos="0"/>
        </w:tabs>
        <w:spacing w:line="360" w:lineRule="auto"/>
        <w:rPr>
          <w:sz w:val="24"/>
        </w:rPr>
      </w:pPr>
    </w:p>
    <w:p w:rsidR="008A3DC0" w:rsidRDefault="008A3DC0" w:rsidP="00754B23">
      <w:pPr>
        <w:tabs>
          <w:tab w:val="left" w:pos="0"/>
        </w:tabs>
        <w:spacing w:line="360" w:lineRule="auto"/>
        <w:rPr>
          <w:sz w:val="24"/>
        </w:rPr>
      </w:pPr>
      <w:r>
        <w:rPr>
          <w:sz w:val="24"/>
        </w:rPr>
        <w:tab/>
      </w:r>
      <w:r w:rsidR="00754B23">
        <w:rPr>
          <w:sz w:val="24"/>
        </w:rPr>
        <w:tab/>
      </w:r>
      <w:r>
        <w:rPr>
          <w:sz w:val="24"/>
        </w:rPr>
        <w:t>2.</w:t>
      </w:r>
      <w:r>
        <w:rPr>
          <w:sz w:val="24"/>
        </w:rPr>
        <w:tab/>
        <w:t xml:space="preserve">The </w:t>
      </w:r>
      <w:r w:rsidR="00E5233B">
        <w:rPr>
          <w:sz w:val="24"/>
        </w:rPr>
        <w:t>R</w:t>
      </w:r>
      <w:r>
        <w:rPr>
          <w:sz w:val="24"/>
        </w:rPr>
        <w:t xml:space="preserve">espondent is Equitable Gas Company, LLC. </w:t>
      </w:r>
      <w:proofErr w:type="gramStart"/>
      <w:r>
        <w:rPr>
          <w:sz w:val="24"/>
        </w:rPr>
        <w:t>which</w:t>
      </w:r>
      <w:proofErr w:type="gramEnd"/>
      <w:r>
        <w:rPr>
          <w:sz w:val="24"/>
        </w:rPr>
        <w:t xml:space="preserve"> provides residential natural gas service to the Complainants.</w:t>
      </w:r>
    </w:p>
    <w:p w:rsidR="009A0A9E" w:rsidRDefault="009A0A9E" w:rsidP="00754B23">
      <w:pPr>
        <w:tabs>
          <w:tab w:val="left" w:pos="0"/>
        </w:tabs>
        <w:spacing w:line="360" w:lineRule="auto"/>
        <w:rPr>
          <w:sz w:val="24"/>
        </w:rPr>
      </w:pPr>
    </w:p>
    <w:p w:rsidR="002B5DBF" w:rsidRDefault="002B5DBF" w:rsidP="00754B23">
      <w:pPr>
        <w:tabs>
          <w:tab w:val="left" w:pos="0"/>
        </w:tabs>
        <w:spacing w:line="360" w:lineRule="auto"/>
        <w:rPr>
          <w:sz w:val="24"/>
        </w:rPr>
      </w:pPr>
      <w:r>
        <w:rPr>
          <w:sz w:val="24"/>
        </w:rPr>
        <w:tab/>
      </w:r>
      <w:r w:rsidR="00754B23">
        <w:rPr>
          <w:sz w:val="24"/>
        </w:rPr>
        <w:tab/>
      </w:r>
      <w:r>
        <w:rPr>
          <w:sz w:val="24"/>
        </w:rPr>
        <w:t>3.</w:t>
      </w:r>
      <w:r>
        <w:rPr>
          <w:sz w:val="24"/>
        </w:rPr>
        <w:tab/>
        <w:t xml:space="preserve">In September 2009, the Complainants replaced their 40-year-old </w:t>
      </w:r>
      <w:r w:rsidR="00A42B33">
        <w:rPr>
          <w:sz w:val="24"/>
        </w:rPr>
        <w:t xml:space="preserve">270,000 BTU </w:t>
      </w:r>
      <w:r>
        <w:rPr>
          <w:sz w:val="24"/>
        </w:rPr>
        <w:t xml:space="preserve">furnace with a new, </w:t>
      </w:r>
      <w:r w:rsidR="00A42B33">
        <w:rPr>
          <w:sz w:val="24"/>
        </w:rPr>
        <w:t>80%</w:t>
      </w:r>
      <w:r>
        <w:rPr>
          <w:sz w:val="24"/>
        </w:rPr>
        <w:t xml:space="preserve"> energy efficient</w:t>
      </w:r>
      <w:r w:rsidR="00A42B33">
        <w:rPr>
          <w:sz w:val="24"/>
        </w:rPr>
        <w:t xml:space="preserve"> 150,000 BTU</w:t>
      </w:r>
      <w:r>
        <w:rPr>
          <w:sz w:val="24"/>
        </w:rPr>
        <w:t xml:space="preserve"> model.</w:t>
      </w:r>
      <w:r w:rsidR="00A42B33">
        <w:rPr>
          <w:sz w:val="24"/>
        </w:rPr>
        <w:t xml:space="preserve"> </w:t>
      </w:r>
      <w:r w:rsidR="00E5233B">
        <w:rPr>
          <w:sz w:val="24"/>
        </w:rPr>
        <w:t xml:space="preserve"> </w:t>
      </w:r>
      <w:r w:rsidR="00A42B33">
        <w:rPr>
          <w:sz w:val="24"/>
        </w:rPr>
        <w:t>(Tr. 9)</w:t>
      </w:r>
    </w:p>
    <w:p w:rsidR="009A0A9E" w:rsidRDefault="009A0A9E" w:rsidP="00754B23">
      <w:pPr>
        <w:tabs>
          <w:tab w:val="left" w:pos="0"/>
        </w:tabs>
        <w:spacing w:line="360" w:lineRule="auto"/>
        <w:rPr>
          <w:sz w:val="24"/>
        </w:rPr>
      </w:pPr>
    </w:p>
    <w:p w:rsidR="002B5DBF" w:rsidRDefault="002B5DBF" w:rsidP="00754B23">
      <w:pPr>
        <w:tabs>
          <w:tab w:val="left" w:pos="0"/>
        </w:tabs>
        <w:spacing w:line="360" w:lineRule="auto"/>
        <w:rPr>
          <w:sz w:val="24"/>
        </w:rPr>
      </w:pPr>
      <w:r>
        <w:rPr>
          <w:sz w:val="24"/>
        </w:rPr>
        <w:tab/>
      </w:r>
      <w:r w:rsidR="00754B23">
        <w:rPr>
          <w:sz w:val="24"/>
        </w:rPr>
        <w:tab/>
      </w:r>
      <w:r>
        <w:rPr>
          <w:sz w:val="24"/>
        </w:rPr>
        <w:t>4.</w:t>
      </w:r>
      <w:r>
        <w:rPr>
          <w:sz w:val="24"/>
        </w:rPr>
        <w:tab/>
        <w:t xml:space="preserve">Mrs. </w:t>
      </w:r>
      <w:proofErr w:type="spellStart"/>
      <w:r>
        <w:rPr>
          <w:sz w:val="24"/>
        </w:rPr>
        <w:t>Woodhall</w:t>
      </w:r>
      <w:proofErr w:type="spellEnd"/>
      <w:r>
        <w:rPr>
          <w:sz w:val="24"/>
        </w:rPr>
        <w:t xml:space="preserve"> testified that the contractor told her that she could expect a </w:t>
      </w:r>
      <w:r w:rsidR="00A42B33">
        <w:rPr>
          <w:sz w:val="24"/>
        </w:rPr>
        <w:t>“</w:t>
      </w:r>
      <w:r>
        <w:rPr>
          <w:sz w:val="24"/>
        </w:rPr>
        <w:t>significant</w:t>
      </w:r>
      <w:r w:rsidR="00A42B33">
        <w:rPr>
          <w:sz w:val="24"/>
        </w:rPr>
        <w:t>”</w:t>
      </w:r>
      <w:r>
        <w:rPr>
          <w:sz w:val="24"/>
        </w:rPr>
        <w:t xml:space="preserve"> reduction in her gas bills as a result of the installation of the new furnace.</w:t>
      </w:r>
      <w:r w:rsidR="00A42B33">
        <w:rPr>
          <w:sz w:val="24"/>
        </w:rPr>
        <w:t xml:space="preserve"> </w:t>
      </w:r>
      <w:r w:rsidR="00E5233B">
        <w:rPr>
          <w:sz w:val="24"/>
        </w:rPr>
        <w:t xml:space="preserve"> </w:t>
      </w:r>
      <w:r w:rsidR="00A42B33">
        <w:rPr>
          <w:sz w:val="24"/>
        </w:rPr>
        <w:t>(Tr. 10)</w:t>
      </w:r>
    </w:p>
    <w:p w:rsidR="009A0A9E" w:rsidRDefault="009A0A9E" w:rsidP="00754B23">
      <w:pPr>
        <w:tabs>
          <w:tab w:val="left" w:pos="0"/>
        </w:tabs>
        <w:spacing w:line="360" w:lineRule="auto"/>
        <w:rPr>
          <w:sz w:val="24"/>
        </w:rPr>
      </w:pPr>
    </w:p>
    <w:p w:rsidR="009A0A9E" w:rsidRDefault="002B5DBF" w:rsidP="00754B23">
      <w:pPr>
        <w:tabs>
          <w:tab w:val="left" w:pos="0"/>
        </w:tabs>
        <w:spacing w:line="360" w:lineRule="auto"/>
        <w:rPr>
          <w:sz w:val="24"/>
        </w:rPr>
      </w:pPr>
      <w:r>
        <w:rPr>
          <w:sz w:val="24"/>
        </w:rPr>
        <w:tab/>
      </w:r>
      <w:r w:rsidR="00754B23">
        <w:rPr>
          <w:sz w:val="24"/>
        </w:rPr>
        <w:tab/>
      </w:r>
      <w:r>
        <w:rPr>
          <w:sz w:val="24"/>
        </w:rPr>
        <w:t>5.</w:t>
      </w:r>
      <w:r>
        <w:rPr>
          <w:sz w:val="24"/>
        </w:rPr>
        <w:tab/>
        <w:t>Additionally, in the last several years</w:t>
      </w:r>
      <w:r w:rsidR="005A7A1B">
        <w:rPr>
          <w:sz w:val="24"/>
        </w:rPr>
        <w:t>, the Complainants have replaced windows and the gas hot water heater.</w:t>
      </w:r>
      <w:r w:rsidR="00A42B33">
        <w:rPr>
          <w:sz w:val="24"/>
        </w:rPr>
        <w:t xml:space="preserve"> </w:t>
      </w:r>
      <w:r w:rsidR="00E5233B">
        <w:rPr>
          <w:sz w:val="24"/>
        </w:rPr>
        <w:t xml:space="preserve"> </w:t>
      </w:r>
      <w:r w:rsidR="00A42B33">
        <w:rPr>
          <w:sz w:val="24"/>
        </w:rPr>
        <w:t>(Tr. 10, 13)</w:t>
      </w:r>
    </w:p>
    <w:p w:rsidR="009A0A9E" w:rsidRDefault="009A0A9E" w:rsidP="00754B23">
      <w:pPr>
        <w:tabs>
          <w:tab w:val="left" w:pos="0"/>
        </w:tabs>
        <w:spacing w:line="360" w:lineRule="auto"/>
        <w:rPr>
          <w:sz w:val="24"/>
        </w:rPr>
      </w:pPr>
    </w:p>
    <w:p w:rsidR="005A7A1B" w:rsidRDefault="005A7A1B" w:rsidP="00754B23">
      <w:pPr>
        <w:tabs>
          <w:tab w:val="left" w:pos="0"/>
        </w:tabs>
        <w:spacing w:line="360" w:lineRule="auto"/>
        <w:rPr>
          <w:sz w:val="24"/>
        </w:rPr>
      </w:pPr>
      <w:r>
        <w:rPr>
          <w:sz w:val="24"/>
        </w:rPr>
        <w:tab/>
      </w:r>
      <w:r w:rsidR="00754B23">
        <w:rPr>
          <w:sz w:val="24"/>
        </w:rPr>
        <w:tab/>
      </w:r>
      <w:r>
        <w:rPr>
          <w:sz w:val="24"/>
        </w:rPr>
        <w:t>6.</w:t>
      </w:r>
      <w:r>
        <w:rPr>
          <w:sz w:val="24"/>
        </w:rPr>
        <w:tab/>
        <w:t xml:space="preserve">The only other gas appliance in the house is a stove which the Complainants only use during the holidays. </w:t>
      </w:r>
      <w:r w:rsidR="00E5233B">
        <w:rPr>
          <w:sz w:val="24"/>
        </w:rPr>
        <w:t xml:space="preserve"> </w:t>
      </w:r>
      <w:r>
        <w:rPr>
          <w:sz w:val="24"/>
        </w:rPr>
        <w:t>They use an electric stove for every day cooking.</w:t>
      </w:r>
      <w:r w:rsidR="00A42B33">
        <w:rPr>
          <w:sz w:val="24"/>
        </w:rPr>
        <w:t xml:space="preserve"> </w:t>
      </w:r>
      <w:r w:rsidR="00E5233B">
        <w:rPr>
          <w:sz w:val="24"/>
        </w:rPr>
        <w:t xml:space="preserve"> </w:t>
      </w:r>
      <w:r w:rsidR="00A42B33">
        <w:rPr>
          <w:sz w:val="24"/>
        </w:rPr>
        <w:t>(Tr. 13)</w:t>
      </w:r>
    </w:p>
    <w:p w:rsidR="009A0A9E" w:rsidRDefault="009A0A9E" w:rsidP="00754B23">
      <w:pPr>
        <w:tabs>
          <w:tab w:val="left" w:pos="0"/>
        </w:tabs>
        <w:spacing w:line="360" w:lineRule="auto"/>
        <w:rPr>
          <w:sz w:val="24"/>
        </w:rPr>
      </w:pPr>
    </w:p>
    <w:p w:rsidR="005A7A1B" w:rsidRDefault="005A7A1B" w:rsidP="00754B23">
      <w:pPr>
        <w:tabs>
          <w:tab w:val="left" w:pos="0"/>
        </w:tabs>
        <w:spacing w:line="360" w:lineRule="auto"/>
        <w:rPr>
          <w:sz w:val="24"/>
        </w:rPr>
      </w:pPr>
      <w:r>
        <w:rPr>
          <w:sz w:val="24"/>
        </w:rPr>
        <w:lastRenderedPageBreak/>
        <w:tab/>
      </w:r>
      <w:r w:rsidR="00754B23">
        <w:rPr>
          <w:sz w:val="24"/>
        </w:rPr>
        <w:tab/>
      </w:r>
      <w:r>
        <w:rPr>
          <w:sz w:val="24"/>
        </w:rPr>
        <w:t>7.</w:t>
      </w:r>
      <w:r>
        <w:rPr>
          <w:sz w:val="24"/>
        </w:rPr>
        <w:tab/>
        <w:t>Although the Complainants concede that they have experienced some savings on their gas utility bill</w:t>
      </w:r>
      <w:r w:rsidR="0037774F">
        <w:rPr>
          <w:sz w:val="24"/>
        </w:rPr>
        <w:t>, the savings have been “low.”</w:t>
      </w:r>
      <w:r w:rsidR="00A42B33">
        <w:rPr>
          <w:sz w:val="24"/>
        </w:rPr>
        <w:t xml:space="preserve"> </w:t>
      </w:r>
      <w:r w:rsidR="00E5233B">
        <w:rPr>
          <w:sz w:val="24"/>
        </w:rPr>
        <w:t xml:space="preserve"> </w:t>
      </w:r>
      <w:r w:rsidR="00A42B33">
        <w:rPr>
          <w:sz w:val="24"/>
        </w:rPr>
        <w:t>(Tr. 11)</w:t>
      </w:r>
    </w:p>
    <w:p w:rsidR="009A0A9E" w:rsidRDefault="009A0A9E" w:rsidP="00754B23">
      <w:pPr>
        <w:tabs>
          <w:tab w:val="left" w:pos="0"/>
        </w:tabs>
        <w:spacing w:line="360" w:lineRule="auto"/>
        <w:rPr>
          <w:sz w:val="24"/>
        </w:rPr>
      </w:pPr>
    </w:p>
    <w:p w:rsidR="00A9364D" w:rsidRDefault="00A9364D" w:rsidP="00754B23">
      <w:pPr>
        <w:tabs>
          <w:tab w:val="left" w:pos="0"/>
        </w:tabs>
        <w:spacing w:line="360" w:lineRule="auto"/>
        <w:rPr>
          <w:sz w:val="24"/>
        </w:rPr>
      </w:pPr>
      <w:r>
        <w:rPr>
          <w:sz w:val="24"/>
        </w:rPr>
        <w:tab/>
      </w:r>
      <w:r w:rsidR="00754B23">
        <w:rPr>
          <w:sz w:val="24"/>
        </w:rPr>
        <w:tab/>
      </w:r>
      <w:r>
        <w:rPr>
          <w:sz w:val="24"/>
        </w:rPr>
        <w:t>8.</w:t>
      </w:r>
      <w:r>
        <w:rPr>
          <w:sz w:val="24"/>
        </w:rPr>
        <w:tab/>
        <w:t xml:space="preserve">Lynn Petrie testified on behalf of Equitable. </w:t>
      </w:r>
      <w:r w:rsidR="00E5233B">
        <w:rPr>
          <w:sz w:val="24"/>
        </w:rPr>
        <w:t xml:space="preserve"> </w:t>
      </w:r>
      <w:r>
        <w:rPr>
          <w:sz w:val="24"/>
        </w:rPr>
        <w:t>She serves as a customer service representative.</w:t>
      </w:r>
      <w:r w:rsidR="00A42B33">
        <w:rPr>
          <w:sz w:val="24"/>
        </w:rPr>
        <w:t xml:space="preserve"> </w:t>
      </w:r>
      <w:r w:rsidR="00E5233B">
        <w:rPr>
          <w:sz w:val="24"/>
        </w:rPr>
        <w:t xml:space="preserve"> </w:t>
      </w:r>
      <w:r w:rsidR="00A42B33">
        <w:rPr>
          <w:sz w:val="24"/>
        </w:rPr>
        <w:t>(Tr. 16)</w:t>
      </w:r>
    </w:p>
    <w:p w:rsidR="009A0A9E" w:rsidRDefault="009A0A9E" w:rsidP="00754B23">
      <w:pPr>
        <w:tabs>
          <w:tab w:val="left" w:pos="0"/>
        </w:tabs>
        <w:spacing w:line="360" w:lineRule="auto"/>
        <w:rPr>
          <w:sz w:val="24"/>
        </w:rPr>
      </w:pPr>
    </w:p>
    <w:p w:rsidR="00A9364D" w:rsidRDefault="00A9364D" w:rsidP="00754B23">
      <w:pPr>
        <w:tabs>
          <w:tab w:val="left" w:pos="0"/>
        </w:tabs>
        <w:spacing w:line="360" w:lineRule="auto"/>
        <w:rPr>
          <w:sz w:val="24"/>
        </w:rPr>
      </w:pPr>
      <w:r>
        <w:rPr>
          <w:sz w:val="24"/>
        </w:rPr>
        <w:tab/>
      </w:r>
      <w:r w:rsidR="00754B23">
        <w:rPr>
          <w:sz w:val="24"/>
        </w:rPr>
        <w:tab/>
      </w:r>
      <w:r>
        <w:rPr>
          <w:sz w:val="24"/>
        </w:rPr>
        <w:t>9.</w:t>
      </w:r>
      <w:r>
        <w:rPr>
          <w:sz w:val="24"/>
        </w:rPr>
        <w:tab/>
        <w:t xml:space="preserve">In January 2010, </w:t>
      </w:r>
      <w:r w:rsidR="008C2F21">
        <w:rPr>
          <w:sz w:val="24"/>
        </w:rPr>
        <w:t xml:space="preserve">Mrs. </w:t>
      </w:r>
      <w:proofErr w:type="spellStart"/>
      <w:r w:rsidR="008C2F21">
        <w:rPr>
          <w:sz w:val="24"/>
        </w:rPr>
        <w:t>Woodhall</w:t>
      </w:r>
      <w:proofErr w:type="spellEnd"/>
      <w:r>
        <w:rPr>
          <w:sz w:val="24"/>
        </w:rPr>
        <w:t xml:space="preserve"> contacted Equitable and reported that she had installed a new furnace and that her gas bill</w:t>
      </w:r>
      <w:r w:rsidR="00D72B37">
        <w:rPr>
          <w:sz w:val="24"/>
        </w:rPr>
        <w:t xml:space="preserve">s should </w:t>
      </w:r>
      <w:r w:rsidR="00E5233B">
        <w:rPr>
          <w:sz w:val="24"/>
        </w:rPr>
        <w:t xml:space="preserve">be </w:t>
      </w:r>
      <w:r w:rsidR="008C2F21">
        <w:rPr>
          <w:sz w:val="24"/>
        </w:rPr>
        <w:t>lower in her opinion</w:t>
      </w:r>
      <w:r w:rsidR="00D72B37">
        <w:rPr>
          <w:sz w:val="24"/>
        </w:rPr>
        <w:t xml:space="preserve">. </w:t>
      </w:r>
      <w:r w:rsidR="00E5233B">
        <w:rPr>
          <w:sz w:val="24"/>
        </w:rPr>
        <w:t xml:space="preserve"> </w:t>
      </w:r>
      <w:r w:rsidR="00D72B37">
        <w:rPr>
          <w:sz w:val="24"/>
        </w:rPr>
        <w:t>She expressed concern that her meter was not operating properly.</w:t>
      </w:r>
    </w:p>
    <w:p w:rsidR="009A0A9E" w:rsidRDefault="009A0A9E" w:rsidP="00754B23">
      <w:pPr>
        <w:tabs>
          <w:tab w:val="left" w:pos="0"/>
        </w:tabs>
        <w:spacing w:line="360" w:lineRule="auto"/>
        <w:rPr>
          <w:sz w:val="24"/>
        </w:rPr>
      </w:pPr>
    </w:p>
    <w:p w:rsidR="00D72B37" w:rsidRDefault="00D72B37" w:rsidP="00754B23">
      <w:pPr>
        <w:tabs>
          <w:tab w:val="left" w:pos="0"/>
        </w:tabs>
        <w:spacing w:line="360" w:lineRule="auto"/>
        <w:rPr>
          <w:sz w:val="24"/>
        </w:rPr>
      </w:pPr>
      <w:r>
        <w:rPr>
          <w:sz w:val="24"/>
        </w:rPr>
        <w:tab/>
      </w:r>
      <w:r w:rsidR="00754B23">
        <w:rPr>
          <w:sz w:val="24"/>
        </w:rPr>
        <w:tab/>
      </w:r>
      <w:r>
        <w:rPr>
          <w:sz w:val="24"/>
        </w:rPr>
        <w:t>10.</w:t>
      </w:r>
      <w:r>
        <w:rPr>
          <w:sz w:val="24"/>
        </w:rPr>
        <w:tab/>
        <w:t xml:space="preserve">Equitable offered to perform an investigation which would include an evaluation of </w:t>
      </w:r>
      <w:proofErr w:type="spellStart"/>
      <w:r>
        <w:rPr>
          <w:sz w:val="24"/>
        </w:rPr>
        <w:t>Equitable’s</w:t>
      </w:r>
      <w:proofErr w:type="spellEnd"/>
      <w:r>
        <w:rPr>
          <w:sz w:val="24"/>
        </w:rPr>
        <w:t xml:space="preserve"> equipment, and the customer’s equipment as well. </w:t>
      </w:r>
      <w:r w:rsidR="00E5233B">
        <w:rPr>
          <w:sz w:val="24"/>
        </w:rPr>
        <w:t xml:space="preserve"> </w:t>
      </w:r>
      <w:r>
        <w:rPr>
          <w:sz w:val="24"/>
        </w:rPr>
        <w:t xml:space="preserve">Equitable informed the Complainants that the investigation would cost $70.00. </w:t>
      </w:r>
      <w:r w:rsidR="00E5233B">
        <w:rPr>
          <w:sz w:val="24"/>
        </w:rPr>
        <w:t xml:space="preserve"> </w:t>
      </w:r>
      <w:r>
        <w:rPr>
          <w:sz w:val="24"/>
        </w:rPr>
        <w:t>However, that amount would be refunded in the event that Equitable determined that its equipment was not operating properly.</w:t>
      </w:r>
      <w:r w:rsidR="00A42B33">
        <w:rPr>
          <w:sz w:val="24"/>
        </w:rPr>
        <w:t xml:space="preserve"> </w:t>
      </w:r>
      <w:r w:rsidR="00E5233B">
        <w:rPr>
          <w:sz w:val="24"/>
        </w:rPr>
        <w:t xml:space="preserve"> </w:t>
      </w:r>
      <w:r w:rsidR="00A42B33">
        <w:rPr>
          <w:sz w:val="24"/>
        </w:rPr>
        <w:t>(Tr. 17)</w:t>
      </w:r>
    </w:p>
    <w:p w:rsidR="009A0A9E" w:rsidRDefault="009A0A9E" w:rsidP="00754B23">
      <w:pPr>
        <w:tabs>
          <w:tab w:val="left" w:pos="0"/>
        </w:tabs>
        <w:spacing w:line="360" w:lineRule="auto"/>
        <w:rPr>
          <w:sz w:val="24"/>
        </w:rPr>
      </w:pPr>
    </w:p>
    <w:p w:rsidR="00D72B37" w:rsidRDefault="00D72B37" w:rsidP="00754B23">
      <w:pPr>
        <w:tabs>
          <w:tab w:val="left" w:pos="0"/>
        </w:tabs>
        <w:spacing w:line="360" w:lineRule="auto"/>
        <w:rPr>
          <w:sz w:val="24"/>
        </w:rPr>
      </w:pPr>
      <w:r>
        <w:rPr>
          <w:sz w:val="24"/>
        </w:rPr>
        <w:tab/>
      </w:r>
      <w:r w:rsidR="00754B23">
        <w:rPr>
          <w:sz w:val="24"/>
        </w:rPr>
        <w:tab/>
      </w:r>
      <w:r>
        <w:rPr>
          <w:sz w:val="24"/>
        </w:rPr>
        <w:t>11.</w:t>
      </w:r>
      <w:r>
        <w:rPr>
          <w:sz w:val="24"/>
        </w:rPr>
        <w:tab/>
        <w:t xml:space="preserve">The Complainants rejected </w:t>
      </w:r>
      <w:proofErr w:type="spellStart"/>
      <w:r>
        <w:rPr>
          <w:sz w:val="24"/>
        </w:rPr>
        <w:t>Equitable’s</w:t>
      </w:r>
      <w:proofErr w:type="spellEnd"/>
      <w:r>
        <w:rPr>
          <w:sz w:val="24"/>
        </w:rPr>
        <w:t xml:space="preserve"> offer because they did not want to have to pay for the investigation.</w:t>
      </w:r>
      <w:r w:rsidR="00A42B33">
        <w:rPr>
          <w:sz w:val="24"/>
        </w:rPr>
        <w:t xml:space="preserve"> </w:t>
      </w:r>
      <w:r w:rsidR="00E5233B">
        <w:rPr>
          <w:sz w:val="24"/>
        </w:rPr>
        <w:t xml:space="preserve"> </w:t>
      </w:r>
      <w:r w:rsidR="00A42B33">
        <w:rPr>
          <w:sz w:val="24"/>
        </w:rPr>
        <w:t>(Tr. 14, 19; Equitable Exhibit B)</w:t>
      </w:r>
    </w:p>
    <w:p w:rsidR="009A0A9E" w:rsidRDefault="009A0A9E" w:rsidP="00754B23">
      <w:pPr>
        <w:tabs>
          <w:tab w:val="left" w:pos="0"/>
        </w:tabs>
        <w:spacing w:line="360" w:lineRule="auto"/>
        <w:rPr>
          <w:sz w:val="24"/>
        </w:rPr>
      </w:pPr>
    </w:p>
    <w:p w:rsidR="00FB0D7E" w:rsidRDefault="00400D6F" w:rsidP="00754B23">
      <w:pPr>
        <w:tabs>
          <w:tab w:val="left" w:pos="0"/>
        </w:tabs>
        <w:spacing w:line="360" w:lineRule="auto"/>
        <w:rPr>
          <w:sz w:val="24"/>
        </w:rPr>
      </w:pPr>
      <w:r>
        <w:rPr>
          <w:sz w:val="24"/>
        </w:rPr>
        <w:tab/>
      </w:r>
      <w:r w:rsidR="00754B23">
        <w:rPr>
          <w:sz w:val="24"/>
        </w:rPr>
        <w:tab/>
      </w:r>
      <w:r>
        <w:rPr>
          <w:sz w:val="24"/>
        </w:rPr>
        <w:t>12.</w:t>
      </w:r>
      <w:r>
        <w:rPr>
          <w:sz w:val="24"/>
        </w:rPr>
        <w:tab/>
        <w:t>Ms. Petrie performed a consumption analysis from the Complainants</w:t>
      </w:r>
      <w:r w:rsidR="00027754">
        <w:rPr>
          <w:sz w:val="24"/>
        </w:rPr>
        <w:t>’</w:t>
      </w:r>
      <w:r>
        <w:rPr>
          <w:sz w:val="24"/>
        </w:rPr>
        <w:t xml:space="preserve"> billing records. </w:t>
      </w:r>
      <w:r w:rsidR="00E5233B">
        <w:rPr>
          <w:sz w:val="24"/>
        </w:rPr>
        <w:t xml:space="preserve"> </w:t>
      </w:r>
      <w:r>
        <w:rPr>
          <w:sz w:val="24"/>
        </w:rPr>
        <w:t>She determined that the Complainant</w:t>
      </w:r>
      <w:r w:rsidR="00027754">
        <w:rPr>
          <w:sz w:val="24"/>
        </w:rPr>
        <w:t>s</w:t>
      </w:r>
      <w:r>
        <w:rPr>
          <w:sz w:val="24"/>
        </w:rPr>
        <w:t xml:space="preserve"> </w:t>
      </w:r>
      <w:r w:rsidR="00CB2901">
        <w:rPr>
          <w:sz w:val="24"/>
        </w:rPr>
        <w:t>had reduced their consumption 9</w:t>
      </w:r>
      <w:r>
        <w:rPr>
          <w:sz w:val="24"/>
        </w:rPr>
        <w:t>%</w:t>
      </w:r>
      <w:r w:rsidR="00E054C5">
        <w:rPr>
          <w:sz w:val="24"/>
        </w:rPr>
        <w:t xml:space="preserve"> when</w:t>
      </w:r>
      <w:r>
        <w:rPr>
          <w:sz w:val="24"/>
        </w:rPr>
        <w:t xml:space="preserve"> </w:t>
      </w:r>
      <w:r w:rsidR="00FB0D7E">
        <w:rPr>
          <w:sz w:val="24"/>
        </w:rPr>
        <w:t>comparing the periods of 2009/2010 to 2008/2009.  Similarly, comparing the usage of 2008/200</w:t>
      </w:r>
      <w:r w:rsidR="00027754">
        <w:rPr>
          <w:sz w:val="24"/>
        </w:rPr>
        <w:t>9 to 2007/2008, the Complainant</w:t>
      </w:r>
      <w:r w:rsidR="00FB0D7E">
        <w:rPr>
          <w:sz w:val="24"/>
        </w:rPr>
        <w:t>s</w:t>
      </w:r>
      <w:r w:rsidR="00027754">
        <w:rPr>
          <w:sz w:val="24"/>
        </w:rPr>
        <w:t>’</w:t>
      </w:r>
      <w:r w:rsidR="00FB0D7E">
        <w:rPr>
          <w:sz w:val="24"/>
        </w:rPr>
        <w:t xml:space="preserve"> enjoyed a 7% reduction in consumption. </w:t>
      </w:r>
      <w:r w:rsidR="00E5233B">
        <w:rPr>
          <w:sz w:val="24"/>
        </w:rPr>
        <w:t xml:space="preserve"> </w:t>
      </w:r>
      <w:r w:rsidR="00FB0D7E">
        <w:rPr>
          <w:sz w:val="24"/>
        </w:rPr>
        <w:t>(Tr. 21; Equitable Exhibit C)</w:t>
      </w:r>
    </w:p>
    <w:p w:rsidR="009A0A9E" w:rsidRDefault="009A0A9E" w:rsidP="00754B23">
      <w:pPr>
        <w:tabs>
          <w:tab w:val="left" w:pos="0"/>
        </w:tabs>
        <w:spacing w:line="360" w:lineRule="auto"/>
        <w:rPr>
          <w:sz w:val="24"/>
        </w:rPr>
      </w:pPr>
    </w:p>
    <w:p w:rsidR="00400D6F" w:rsidRDefault="00400D6F" w:rsidP="00754B23">
      <w:pPr>
        <w:tabs>
          <w:tab w:val="left" w:pos="0"/>
        </w:tabs>
        <w:spacing w:line="360" w:lineRule="auto"/>
        <w:rPr>
          <w:sz w:val="24"/>
        </w:rPr>
      </w:pPr>
      <w:r>
        <w:rPr>
          <w:sz w:val="24"/>
        </w:rPr>
        <w:tab/>
      </w:r>
      <w:r w:rsidR="00754B23">
        <w:rPr>
          <w:sz w:val="24"/>
        </w:rPr>
        <w:tab/>
      </w:r>
      <w:r>
        <w:rPr>
          <w:sz w:val="24"/>
        </w:rPr>
        <w:t>13.</w:t>
      </w:r>
      <w:r>
        <w:rPr>
          <w:sz w:val="24"/>
        </w:rPr>
        <w:tab/>
        <w:t>Ms. Petrie testified that there was no reason to believe that there was a defect in the remote meter reading equipment due to the electrical facilities located on the Complainant’s property.</w:t>
      </w:r>
      <w:r w:rsidR="00E5233B">
        <w:rPr>
          <w:sz w:val="24"/>
        </w:rPr>
        <w:t xml:space="preserve"> </w:t>
      </w:r>
      <w:r>
        <w:rPr>
          <w:sz w:val="24"/>
        </w:rPr>
        <w:t xml:space="preserve"> If there w</w:t>
      </w:r>
      <w:r w:rsidR="00E054C5">
        <w:rPr>
          <w:sz w:val="24"/>
        </w:rPr>
        <w:t>as</w:t>
      </w:r>
      <w:r>
        <w:rPr>
          <w:sz w:val="24"/>
        </w:rPr>
        <w:t xml:space="preserve"> electrical interference, the reader would register an error but would not provide an incorrect reading.</w:t>
      </w:r>
      <w:r w:rsidR="0063576F">
        <w:rPr>
          <w:sz w:val="24"/>
        </w:rPr>
        <w:t xml:space="preserve"> </w:t>
      </w:r>
      <w:r w:rsidR="00E5233B">
        <w:rPr>
          <w:sz w:val="24"/>
        </w:rPr>
        <w:t xml:space="preserve"> </w:t>
      </w:r>
      <w:r w:rsidR="00FB0D7E">
        <w:rPr>
          <w:sz w:val="24"/>
        </w:rPr>
        <w:t>(Tr. 25, 26-27)</w:t>
      </w:r>
    </w:p>
    <w:p w:rsidR="009A0A9E" w:rsidRDefault="009A0A9E" w:rsidP="00754B23">
      <w:pPr>
        <w:tabs>
          <w:tab w:val="left" w:pos="0"/>
        </w:tabs>
        <w:spacing w:line="360" w:lineRule="auto"/>
        <w:rPr>
          <w:sz w:val="24"/>
        </w:rPr>
      </w:pPr>
    </w:p>
    <w:p w:rsidR="0063576F" w:rsidRDefault="0063576F" w:rsidP="00754B23">
      <w:pPr>
        <w:tabs>
          <w:tab w:val="left" w:pos="0"/>
        </w:tabs>
        <w:spacing w:line="360" w:lineRule="auto"/>
        <w:rPr>
          <w:sz w:val="24"/>
        </w:rPr>
      </w:pPr>
      <w:r>
        <w:rPr>
          <w:sz w:val="24"/>
        </w:rPr>
        <w:tab/>
      </w:r>
      <w:r w:rsidR="00754B23">
        <w:rPr>
          <w:sz w:val="24"/>
        </w:rPr>
        <w:tab/>
      </w:r>
      <w:r>
        <w:rPr>
          <w:sz w:val="24"/>
        </w:rPr>
        <w:t>14.</w:t>
      </w:r>
      <w:r>
        <w:rPr>
          <w:sz w:val="24"/>
        </w:rPr>
        <w:tab/>
        <w:t>However, she did not know when the remote reading equipment was last tested.</w:t>
      </w:r>
      <w:r w:rsidR="00E5233B">
        <w:rPr>
          <w:sz w:val="24"/>
        </w:rPr>
        <w:t xml:space="preserve">  </w:t>
      </w:r>
      <w:r w:rsidR="00FB0D7E">
        <w:rPr>
          <w:sz w:val="24"/>
        </w:rPr>
        <w:t>(Tr. 25)</w:t>
      </w:r>
    </w:p>
    <w:p w:rsidR="009A0A9E" w:rsidRDefault="009A0A9E" w:rsidP="00754B23">
      <w:pPr>
        <w:tabs>
          <w:tab w:val="left" w:pos="0"/>
        </w:tabs>
        <w:spacing w:line="360" w:lineRule="auto"/>
        <w:rPr>
          <w:sz w:val="24"/>
        </w:rPr>
      </w:pPr>
    </w:p>
    <w:p w:rsidR="0063576F" w:rsidRDefault="0063576F" w:rsidP="00754B23">
      <w:pPr>
        <w:tabs>
          <w:tab w:val="left" w:pos="0"/>
        </w:tabs>
        <w:spacing w:line="360" w:lineRule="auto"/>
        <w:rPr>
          <w:sz w:val="24"/>
        </w:rPr>
      </w:pPr>
      <w:r>
        <w:rPr>
          <w:sz w:val="24"/>
        </w:rPr>
        <w:tab/>
      </w:r>
      <w:r w:rsidR="00754B23">
        <w:rPr>
          <w:sz w:val="24"/>
        </w:rPr>
        <w:tab/>
      </w:r>
      <w:r>
        <w:rPr>
          <w:sz w:val="24"/>
        </w:rPr>
        <w:t>15.</w:t>
      </w:r>
      <w:r>
        <w:rPr>
          <w:sz w:val="24"/>
        </w:rPr>
        <w:tab/>
        <w:t xml:space="preserve">Ms. Petrie testified that the U.S. Environmental Protection Agency rates the efficiency of furnaces. </w:t>
      </w:r>
      <w:r w:rsidR="0005746C">
        <w:rPr>
          <w:sz w:val="24"/>
        </w:rPr>
        <w:t xml:space="preserve"> </w:t>
      </w:r>
      <w:r>
        <w:rPr>
          <w:sz w:val="24"/>
        </w:rPr>
        <w:t xml:space="preserve">A furnace that is 78% </w:t>
      </w:r>
      <w:proofErr w:type="gramStart"/>
      <w:r>
        <w:rPr>
          <w:sz w:val="24"/>
        </w:rPr>
        <w:t>efficient,</w:t>
      </w:r>
      <w:proofErr w:type="gramEnd"/>
      <w:r>
        <w:rPr>
          <w:sz w:val="24"/>
        </w:rPr>
        <w:t xml:space="preserve"> is considered minimally efficient.</w:t>
      </w:r>
      <w:r w:rsidR="0005746C">
        <w:rPr>
          <w:sz w:val="24"/>
        </w:rPr>
        <w:t xml:space="preserve"> </w:t>
      </w:r>
      <w:r>
        <w:rPr>
          <w:sz w:val="24"/>
        </w:rPr>
        <w:t xml:space="preserve"> Furnaces that are between 80</w:t>
      </w:r>
      <w:r w:rsidR="00B64B98">
        <w:rPr>
          <w:sz w:val="24"/>
        </w:rPr>
        <w:t>%</w:t>
      </w:r>
      <w:r>
        <w:rPr>
          <w:sz w:val="24"/>
        </w:rPr>
        <w:t xml:space="preserve"> and 90% effi</w:t>
      </w:r>
      <w:r w:rsidR="00B64B98">
        <w:rPr>
          <w:sz w:val="24"/>
        </w:rPr>
        <w:t xml:space="preserve">cient are “medium to base” efficiency furnaces. </w:t>
      </w:r>
      <w:r w:rsidR="0005746C">
        <w:rPr>
          <w:sz w:val="24"/>
        </w:rPr>
        <w:t xml:space="preserve"> </w:t>
      </w:r>
      <w:r w:rsidR="00B64B98">
        <w:rPr>
          <w:sz w:val="24"/>
        </w:rPr>
        <w:t>A furnace that is more than 90% efficient is considered a high efficiency furnace.</w:t>
      </w:r>
      <w:r w:rsidR="00FB0D7E">
        <w:rPr>
          <w:sz w:val="24"/>
        </w:rPr>
        <w:t xml:space="preserve"> </w:t>
      </w:r>
      <w:r w:rsidR="0005746C">
        <w:rPr>
          <w:sz w:val="24"/>
        </w:rPr>
        <w:t xml:space="preserve"> </w:t>
      </w:r>
      <w:r w:rsidR="00FB0D7E">
        <w:rPr>
          <w:sz w:val="24"/>
        </w:rPr>
        <w:t>(Tr. 22)</w:t>
      </w:r>
    </w:p>
    <w:p w:rsidR="009A0A9E" w:rsidRDefault="009A0A9E" w:rsidP="00754B23">
      <w:pPr>
        <w:tabs>
          <w:tab w:val="left" w:pos="0"/>
        </w:tabs>
        <w:spacing w:line="360" w:lineRule="auto"/>
        <w:rPr>
          <w:sz w:val="24"/>
        </w:rPr>
      </w:pPr>
    </w:p>
    <w:p w:rsidR="00B64B98" w:rsidRDefault="00B64B98" w:rsidP="00754B23">
      <w:pPr>
        <w:tabs>
          <w:tab w:val="left" w:pos="0"/>
        </w:tabs>
        <w:spacing w:line="360" w:lineRule="auto"/>
        <w:rPr>
          <w:sz w:val="24"/>
        </w:rPr>
      </w:pPr>
      <w:r>
        <w:rPr>
          <w:sz w:val="24"/>
        </w:rPr>
        <w:tab/>
      </w:r>
      <w:r w:rsidR="00754B23">
        <w:rPr>
          <w:sz w:val="24"/>
        </w:rPr>
        <w:tab/>
      </w:r>
      <w:r>
        <w:rPr>
          <w:sz w:val="24"/>
        </w:rPr>
        <w:t>16.</w:t>
      </w:r>
      <w:r>
        <w:rPr>
          <w:sz w:val="24"/>
        </w:rPr>
        <w:tab/>
        <w:t xml:space="preserve"> The Complainants’ new furnace is 80% efficient</w:t>
      </w:r>
      <w:r w:rsidR="00FB0D7E">
        <w:rPr>
          <w:sz w:val="24"/>
        </w:rPr>
        <w:t xml:space="preserve"> and therefore not a “high efficiency” furnace under EPA guidelines</w:t>
      </w:r>
      <w:r>
        <w:rPr>
          <w:sz w:val="24"/>
        </w:rPr>
        <w:t>.</w:t>
      </w:r>
      <w:r w:rsidR="00FB0D7E">
        <w:rPr>
          <w:sz w:val="24"/>
        </w:rPr>
        <w:t xml:space="preserve"> </w:t>
      </w:r>
      <w:r w:rsidR="00880F3D">
        <w:rPr>
          <w:sz w:val="24"/>
        </w:rPr>
        <w:t xml:space="preserve"> </w:t>
      </w:r>
      <w:r w:rsidR="00FB0D7E">
        <w:rPr>
          <w:sz w:val="24"/>
        </w:rPr>
        <w:t>(Tr. 22)</w:t>
      </w:r>
    </w:p>
    <w:p w:rsidR="009A0A9E" w:rsidRDefault="009A0A9E" w:rsidP="00754B23">
      <w:pPr>
        <w:tabs>
          <w:tab w:val="left" w:pos="0"/>
        </w:tabs>
        <w:spacing w:line="360" w:lineRule="auto"/>
        <w:rPr>
          <w:sz w:val="24"/>
        </w:rPr>
      </w:pPr>
    </w:p>
    <w:p w:rsidR="005C6F1C" w:rsidRDefault="005C6F1C" w:rsidP="009A0A9E">
      <w:pPr>
        <w:tabs>
          <w:tab w:val="left" w:pos="0"/>
        </w:tabs>
        <w:spacing w:line="360" w:lineRule="auto"/>
        <w:jc w:val="center"/>
        <w:rPr>
          <w:sz w:val="24"/>
          <w:u w:val="single"/>
        </w:rPr>
      </w:pPr>
      <w:r w:rsidRPr="001B767B">
        <w:rPr>
          <w:sz w:val="24"/>
          <w:u w:val="single"/>
        </w:rPr>
        <w:t>DISCUSSION</w:t>
      </w:r>
    </w:p>
    <w:p w:rsidR="009A0A9E" w:rsidRPr="001B767B" w:rsidRDefault="009A0A9E" w:rsidP="009A0A9E">
      <w:pPr>
        <w:tabs>
          <w:tab w:val="left" w:pos="0"/>
        </w:tabs>
        <w:spacing w:line="360" w:lineRule="auto"/>
        <w:jc w:val="center"/>
        <w:rPr>
          <w:sz w:val="24"/>
          <w:u w:val="single"/>
        </w:rPr>
      </w:pPr>
    </w:p>
    <w:p w:rsidR="00B130F7" w:rsidRDefault="00754B23" w:rsidP="0066060A">
      <w:pPr>
        <w:spacing w:line="360" w:lineRule="auto"/>
        <w:ind w:firstLine="720"/>
        <w:rPr>
          <w:rFonts w:eastAsia="Calibri"/>
          <w:sz w:val="24"/>
          <w:szCs w:val="24"/>
        </w:rPr>
      </w:pPr>
      <w:r>
        <w:rPr>
          <w:rFonts w:eastAsia="Calibri"/>
          <w:sz w:val="24"/>
          <w:szCs w:val="24"/>
        </w:rPr>
        <w:tab/>
      </w:r>
      <w:r w:rsidR="00B130F7" w:rsidRPr="00B130F7">
        <w:rPr>
          <w:rFonts w:eastAsia="Calibri"/>
          <w:sz w:val="24"/>
          <w:szCs w:val="24"/>
        </w:rPr>
        <w:t>Section 701 of the Public Utility Code (Code</w:t>
      </w:r>
      <w:r w:rsidR="00B130F7">
        <w:rPr>
          <w:rFonts w:eastAsia="Calibri"/>
          <w:sz w:val="24"/>
          <w:szCs w:val="24"/>
        </w:rPr>
        <w:t>)</w:t>
      </w:r>
      <w:r w:rsidR="00B130F7" w:rsidRPr="00B130F7">
        <w:rPr>
          <w:rFonts w:eastAsia="Calibri"/>
          <w:sz w:val="24"/>
          <w:szCs w:val="24"/>
        </w:rPr>
        <w:t>,</w:t>
      </w:r>
      <w:r w:rsidR="00B130F7">
        <w:rPr>
          <w:rStyle w:val="FootnoteReference"/>
          <w:rFonts w:eastAsia="Calibri"/>
          <w:sz w:val="24"/>
          <w:szCs w:val="24"/>
        </w:rPr>
        <w:footnoteReference w:id="1"/>
      </w:r>
      <w:r w:rsidR="00B130F7" w:rsidRPr="00B130F7">
        <w:rPr>
          <w:rFonts w:eastAsia="Calibri"/>
          <w:sz w:val="24"/>
          <w:szCs w:val="24"/>
        </w:rPr>
        <w:t xml:space="preserve"> provides that any person may complain, in writing, about any act or thing done or omitted to be done by a public utility in violation, or claimed violation, of any law which the Commission has the jurisdiction to administer, or of any regulation or order of the Commission.  </w:t>
      </w:r>
      <w:r w:rsidR="002F1BF3">
        <w:rPr>
          <w:rFonts w:eastAsia="Calibri"/>
          <w:sz w:val="24"/>
          <w:szCs w:val="24"/>
        </w:rPr>
        <w:t>The Complainants, as the parties seeking relief from the Commission, bear the burden of proving that they are entitled to the relief requested</w:t>
      </w:r>
      <w:r w:rsidR="008C2F21">
        <w:rPr>
          <w:rFonts w:eastAsia="Calibri"/>
          <w:sz w:val="24"/>
          <w:szCs w:val="24"/>
        </w:rPr>
        <w:t>.</w:t>
      </w:r>
      <w:r w:rsidR="008C2F21" w:rsidRPr="008C2F21">
        <w:rPr>
          <w:rStyle w:val="FootnoteReference"/>
          <w:rFonts w:eastAsia="Calibri"/>
          <w:sz w:val="24"/>
          <w:szCs w:val="24"/>
        </w:rPr>
        <w:t xml:space="preserve"> </w:t>
      </w:r>
      <w:r w:rsidR="008C2F21">
        <w:rPr>
          <w:rStyle w:val="FootnoteReference"/>
          <w:rFonts w:eastAsia="Calibri"/>
          <w:sz w:val="24"/>
          <w:szCs w:val="24"/>
        </w:rPr>
        <w:footnoteReference w:id="2"/>
      </w:r>
      <w:r w:rsidR="008C2F21">
        <w:rPr>
          <w:rFonts w:eastAsia="Calibri"/>
          <w:sz w:val="24"/>
          <w:szCs w:val="24"/>
        </w:rPr>
        <w:t xml:space="preserve">  This</w:t>
      </w:r>
      <w:r w:rsidR="004C3C80">
        <w:rPr>
          <w:rFonts w:eastAsia="Calibri"/>
          <w:sz w:val="24"/>
          <w:szCs w:val="24"/>
        </w:rPr>
        <w:t xml:space="preserve"> means that they must provide evidence which shows that Equitable violated a rule or regulation or otherwise provided unreasonable service</w:t>
      </w:r>
      <w:r w:rsidR="002F1BF3">
        <w:rPr>
          <w:rFonts w:eastAsia="Calibri"/>
          <w:sz w:val="24"/>
          <w:szCs w:val="24"/>
        </w:rPr>
        <w:t>.</w:t>
      </w:r>
    </w:p>
    <w:p w:rsidR="0066060A" w:rsidRDefault="0066060A" w:rsidP="0066060A">
      <w:pPr>
        <w:spacing w:line="360" w:lineRule="auto"/>
        <w:ind w:firstLine="720"/>
        <w:rPr>
          <w:rFonts w:eastAsia="Calibri"/>
          <w:sz w:val="24"/>
          <w:szCs w:val="24"/>
        </w:rPr>
      </w:pPr>
    </w:p>
    <w:p w:rsidR="003C36D8" w:rsidRDefault="00754B23" w:rsidP="0066060A">
      <w:pPr>
        <w:spacing w:line="360" w:lineRule="auto"/>
        <w:ind w:firstLine="720"/>
        <w:rPr>
          <w:rFonts w:eastAsia="Calibri"/>
          <w:sz w:val="24"/>
          <w:szCs w:val="24"/>
        </w:rPr>
      </w:pPr>
      <w:r>
        <w:rPr>
          <w:rFonts w:eastAsia="Calibri"/>
          <w:sz w:val="24"/>
          <w:szCs w:val="24"/>
        </w:rPr>
        <w:tab/>
      </w:r>
      <w:r w:rsidR="003C36D8">
        <w:rPr>
          <w:rFonts w:eastAsia="Calibri"/>
          <w:sz w:val="24"/>
          <w:szCs w:val="24"/>
        </w:rPr>
        <w:t>The Complaints argue that with the installation of a new furnace, they should have realized a greater reduction in consumption and a greater reduction in their utility bills than they have</w:t>
      </w:r>
      <w:r w:rsidR="008C2F21">
        <w:rPr>
          <w:rFonts w:eastAsia="Calibri"/>
          <w:sz w:val="24"/>
          <w:szCs w:val="24"/>
        </w:rPr>
        <w:t xml:space="preserve"> experienced since the installation of the new furnace</w:t>
      </w:r>
      <w:r w:rsidR="003C36D8">
        <w:rPr>
          <w:rFonts w:eastAsia="Calibri"/>
          <w:sz w:val="24"/>
          <w:szCs w:val="24"/>
        </w:rPr>
        <w:t xml:space="preserve">. </w:t>
      </w:r>
      <w:r w:rsidR="0005746C">
        <w:rPr>
          <w:rFonts w:eastAsia="Calibri"/>
          <w:sz w:val="24"/>
          <w:szCs w:val="24"/>
        </w:rPr>
        <w:t xml:space="preserve"> </w:t>
      </w:r>
      <w:r w:rsidR="003C36D8">
        <w:rPr>
          <w:rFonts w:eastAsia="Calibri"/>
          <w:sz w:val="24"/>
          <w:szCs w:val="24"/>
        </w:rPr>
        <w:t xml:space="preserve">The Complainants do not dispute that their gas consumption has been reduced. </w:t>
      </w:r>
      <w:r w:rsidR="0005746C">
        <w:rPr>
          <w:rFonts w:eastAsia="Calibri"/>
          <w:sz w:val="24"/>
          <w:szCs w:val="24"/>
        </w:rPr>
        <w:t xml:space="preserve"> </w:t>
      </w:r>
      <w:r w:rsidR="003C36D8">
        <w:rPr>
          <w:rFonts w:eastAsia="Calibri"/>
          <w:sz w:val="24"/>
          <w:szCs w:val="24"/>
        </w:rPr>
        <w:t>In their view, it simply has not been reduced enough.</w:t>
      </w:r>
      <w:r w:rsidR="000311CD">
        <w:rPr>
          <w:rStyle w:val="FootnoteReference"/>
          <w:rFonts w:eastAsia="Calibri"/>
          <w:sz w:val="24"/>
          <w:szCs w:val="24"/>
        </w:rPr>
        <w:footnoteReference w:id="3"/>
      </w:r>
    </w:p>
    <w:p w:rsidR="0066060A" w:rsidRDefault="0066060A" w:rsidP="0066060A">
      <w:pPr>
        <w:spacing w:line="360" w:lineRule="auto"/>
        <w:ind w:firstLine="720"/>
        <w:rPr>
          <w:rFonts w:eastAsia="Calibri"/>
          <w:sz w:val="24"/>
          <w:szCs w:val="24"/>
        </w:rPr>
      </w:pPr>
    </w:p>
    <w:p w:rsidR="000311CD" w:rsidRDefault="00754B23" w:rsidP="0066060A">
      <w:pPr>
        <w:spacing w:line="360" w:lineRule="auto"/>
        <w:ind w:firstLine="720"/>
        <w:rPr>
          <w:rFonts w:eastAsia="Calibri"/>
          <w:sz w:val="24"/>
          <w:szCs w:val="24"/>
        </w:rPr>
      </w:pPr>
      <w:r>
        <w:rPr>
          <w:rFonts w:eastAsia="Calibri"/>
          <w:sz w:val="24"/>
          <w:szCs w:val="24"/>
        </w:rPr>
        <w:tab/>
      </w:r>
      <w:r w:rsidR="000311CD">
        <w:rPr>
          <w:rFonts w:eastAsia="Calibri"/>
          <w:sz w:val="24"/>
          <w:szCs w:val="24"/>
        </w:rPr>
        <w:t xml:space="preserve">Equitable argues that the Complainants have, in fact, achieved a 7-9% reduction in consumption over the past few years. </w:t>
      </w:r>
      <w:r w:rsidR="0005746C">
        <w:rPr>
          <w:rFonts w:eastAsia="Calibri"/>
          <w:sz w:val="24"/>
          <w:szCs w:val="24"/>
        </w:rPr>
        <w:t xml:space="preserve"> </w:t>
      </w:r>
      <w:r w:rsidR="008C2F21">
        <w:rPr>
          <w:rFonts w:eastAsia="Calibri"/>
          <w:sz w:val="24"/>
          <w:szCs w:val="24"/>
        </w:rPr>
        <w:t>Moreover</w:t>
      </w:r>
      <w:r w:rsidR="000311CD">
        <w:rPr>
          <w:rFonts w:eastAsia="Calibri"/>
          <w:sz w:val="24"/>
          <w:szCs w:val="24"/>
        </w:rPr>
        <w:t xml:space="preserve">, </w:t>
      </w:r>
      <w:proofErr w:type="gramStart"/>
      <w:r w:rsidR="000311CD">
        <w:rPr>
          <w:rFonts w:eastAsia="Calibri"/>
          <w:sz w:val="24"/>
          <w:szCs w:val="24"/>
        </w:rPr>
        <w:t>Equitable</w:t>
      </w:r>
      <w:proofErr w:type="gramEnd"/>
      <w:r w:rsidR="000311CD">
        <w:rPr>
          <w:rFonts w:eastAsia="Calibri"/>
          <w:sz w:val="24"/>
          <w:szCs w:val="24"/>
        </w:rPr>
        <w:t xml:space="preserve"> takes the position that there is no evidence to support the Complainant’s speculation that but for a malfunction in </w:t>
      </w:r>
      <w:proofErr w:type="spellStart"/>
      <w:r w:rsidR="000311CD">
        <w:rPr>
          <w:rFonts w:eastAsia="Calibri"/>
          <w:sz w:val="24"/>
          <w:szCs w:val="24"/>
        </w:rPr>
        <w:t>Equitable’s</w:t>
      </w:r>
      <w:proofErr w:type="spellEnd"/>
      <w:r w:rsidR="000311CD">
        <w:rPr>
          <w:rFonts w:eastAsia="Calibri"/>
          <w:sz w:val="24"/>
          <w:szCs w:val="24"/>
        </w:rPr>
        <w:t xml:space="preserve"> metering equipment their bills would not be </w:t>
      </w:r>
      <w:r w:rsidR="00421317">
        <w:rPr>
          <w:rFonts w:eastAsia="Calibri"/>
          <w:sz w:val="24"/>
          <w:szCs w:val="24"/>
        </w:rPr>
        <w:t xml:space="preserve">so </w:t>
      </w:r>
      <w:r w:rsidR="000311CD">
        <w:rPr>
          <w:rFonts w:eastAsia="Calibri"/>
          <w:sz w:val="24"/>
          <w:szCs w:val="24"/>
        </w:rPr>
        <w:t>high.</w:t>
      </w:r>
    </w:p>
    <w:p w:rsidR="0066060A" w:rsidRDefault="0066060A" w:rsidP="0066060A">
      <w:pPr>
        <w:spacing w:line="360" w:lineRule="auto"/>
        <w:ind w:firstLine="720"/>
        <w:rPr>
          <w:rFonts w:eastAsia="Calibri"/>
          <w:sz w:val="24"/>
          <w:szCs w:val="24"/>
        </w:rPr>
      </w:pPr>
    </w:p>
    <w:p w:rsidR="0066060A" w:rsidRDefault="00754B23" w:rsidP="0066060A">
      <w:pPr>
        <w:spacing w:line="360" w:lineRule="auto"/>
        <w:ind w:firstLine="720"/>
        <w:rPr>
          <w:rFonts w:eastAsia="Calibri"/>
          <w:sz w:val="24"/>
          <w:szCs w:val="24"/>
        </w:rPr>
      </w:pPr>
      <w:r>
        <w:rPr>
          <w:rFonts w:eastAsia="Calibri"/>
          <w:sz w:val="24"/>
          <w:szCs w:val="24"/>
        </w:rPr>
        <w:tab/>
      </w:r>
      <w:r w:rsidR="007D7356">
        <w:rPr>
          <w:rFonts w:eastAsia="Calibri"/>
          <w:sz w:val="24"/>
          <w:szCs w:val="24"/>
        </w:rPr>
        <w:t xml:space="preserve">I must dismiss the complaint because the Complainants have failed to demonstrate that Equitable has violated any provision of the Public Utility Code or regulations or has otherwise provided unreasonable service to the Complainants. </w:t>
      </w:r>
      <w:r w:rsidR="0005746C">
        <w:rPr>
          <w:rFonts w:eastAsia="Calibri"/>
          <w:sz w:val="24"/>
          <w:szCs w:val="24"/>
        </w:rPr>
        <w:t xml:space="preserve"> </w:t>
      </w:r>
      <w:r w:rsidR="00666252">
        <w:rPr>
          <w:rFonts w:eastAsia="Calibri"/>
          <w:sz w:val="24"/>
          <w:szCs w:val="24"/>
        </w:rPr>
        <w:t>The Complainants have made a commendable effort to weatherize their home and reduce their consumption of natural gas.</w:t>
      </w:r>
      <w:r w:rsidR="0005746C">
        <w:rPr>
          <w:rFonts w:eastAsia="Calibri"/>
          <w:sz w:val="24"/>
          <w:szCs w:val="24"/>
        </w:rPr>
        <w:t xml:space="preserve"> </w:t>
      </w:r>
      <w:r w:rsidR="00666252">
        <w:rPr>
          <w:rFonts w:eastAsia="Calibri"/>
          <w:sz w:val="24"/>
          <w:szCs w:val="24"/>
        </w:rPr>
        <w:t xml:space="preserve"> Indeed, they have experienced some reduction of consumption. </w:t>
      </w:r>
      <w:r w:rsidR="0005746C">
        <w:rPr>
          <w:rFonts w:eastAsia="Calibri"/>
          <w:sz w:val="24"/>
          <w:szCs w:val="24"/>
        </w:rPr>
        <w:t xml:space="preserve"> </w:t>
      </w:r>
      <w:r w:rsidR="00666252">
        <w:rPr>
          <w:rFonts w:eastAsia="Calibri"/>
          <w:sz w:val="24"/>
          <w:szCs w:val="24"/>
        </w:rPr>
        <w:t xml:space="preserve">They do not contend that their bills are higher than they were before they replaced their furnace. </w:t>
      </w:r>
      <w:r w:rsidR="007243FF">
        <w:rPr>
          <w:rFonts w:eastAsia="Calibri"/>
          <w:sz w:val="24"/>
          <w:szCs w:val="24"/>
        </w:rPr>
        <w:t xml:space="preserve"> While they have speculated that there must be some error with </w:t>
      </w:r>
      <w:proofErr w:type="spellStart"/>
      <w:r w:rsidR="007243FF">
        <w:rPr>
          <w:rFonts w:eastAsia="Calibri"/>
          <w:sz w:val="24"/>
          <w:szCs w:val="24"/>
        </w:rPr>
        <w:t>Equitable’s</w:t>
      </w:r>
      <w:proofErr w:type="spellEnd"/>
      <w:r w:rsidR="007243FF">
        <w:rPr>
          <w:rFonts w:eastAsia="Calibri"/>
          <w:sz w:val="24"/>
          <w:szCs w:val="24"/>
        </w:rPr>
        <w:t xml:space="preserve"> metering equipment, there is no </w:t>
      </w:r>
      <w:r w:rsidR="002D5965">
        <w:rPr>
          <w:rFonts w:eastAsia="Calibri"/>
          <w:sz w:val="24"/>
          <w:szCs w:val="24"/>
        </w:rPr>
        <w:t>competent</w:t>
      </w:r>
      <w:r w:rsidR="007243FF">
        <w:rPr>
          <w:rFonts w:eastAsia="Calibri"/>
          <w:sz w:val="24"/>
          <w:szCs w:val="24"/>
        </w:rPr>
        <w:t xml:space="preserve"> testimony in the record to support this claim. </w:t>
      </w:r>
      <w:r w:rsidR="0005746C">
        <w:rPr>
          <w:rFonts w:eastAsia="Calibri"/>
          <w:sz w:val="24"/>
          <w:szCs w:val="24"/>
        </w:rPr>
        <w:t xml:space="preserve"> </w:t>
      </w:r>
      <w:r w:rsidR="007243FF">
        <w:rPr>
          <w:rFonts w:eastAsia="Calibri"/>
          <w:sz w:val="24"/>
          <w:szCs w:val="24"/>
        </w:rPr>
        <w:t xml:space="preserve">Indeed, Equitable offered to perform an investigation. </w:t>
      </w:r>
      <w:r w:rsidR="0005746C">
        <w:rPr>
          <w:rFonts w:eastAsia="Calibri"/>
          <w:sz w:val="24"/>
          <w:szCs w:val="24"/>
        </w:rPr>
        <w:t xml:space="preserve"> </w:t>
      </w:r>
      <w:r w:rsidR="007243FF">
        <w:rPr>
          <w:rFonts w:eastAsia="Calibri"/>
          <w:sz w:val="24"/>
          <w:szCs w:val="24"/>
        </w:rPr>
        <w:t xml:space="preserve">However, the </w:t>
      </w:r>
      <w:r w:rsidR="008C2F21">
        <w:rPr>
          <w:rFonts w:eastAsia="Calibri"/>
          <w:sz w:val="24"/>
          <w:szCs w:val="24"/>
        </w:rPr>
        <w:t>Complainants</w:t>
      </w:r>
      <w:r w:rsidR="007243FF">
        <w:rPr>
          <w:rFonts w:eastAsia="Calibri"/>
          <w:sz w:val="24"/>
          <w:szCs w:val="24"/>
        </w:rPr>
        <w:t xml:space="preserve"> refused this offer because they did not think that they should have to pay for the service.</w:t>
      </w:r>
    </w:p>
    <w:p w:rsidR="0031685C" w:rsidRDefault="007243FF" w:rsidP="0066060A">
      <w:pPr>
        <w:spacing w:line="360" w:lineRule="auto"/>
        <w:ind w:firstLine="720"/>
        <w:rPr>
          <w:rFonts w:eastAsia="Calibri"/>
          <w:sz w:val="24"/>
          <w:szCs w:val="24"/>
        </w:rPr>
      </w:pPr>
      <w:r>
        <w:rPr>
          <w:rFonts w:eastAsia="Calibri"/>
          <w:sz w:val="24"/>
          <w:szCs w:val="24"/>
        </w:rPr>
        <w:t xml:space="preserve"> </w:t>
      </w:r>
    </w:p>
    <w:p w:rsidR="007D7356" w:rsidRDefault="00754B23" w:rsidP="0066060A">
      <w:pPr>
        <w:spacing w:line="360" w:lineRule="auto"/>
        <w:ind w:firstLine="720"/>
        <w:rPr>
          <w:rFonts w:eastAsia="Calibri"/>
          <w:sz w:val="24"/>
          <w:szCs w:val="24"/>
        </w:rPr>
      </w:pPr>
      <w:r>
        <w:rPr>
          <w:rFonts w:eastAsia="Calibri"/>
          <w:sz w:val="24"/>
          <w:szCs w:val="24"/>
        </w:rPr>
        <w:tab/>
      </w:r>
      <w:r w:rsidR="007243FF">
        <w:rPr>
          <w:rFonts w:eastAsia="Calibri"/>
          <w:sz w:val="24"/>
          <w:szCs w:val="24"/>
        </w:rPr>
        <w:t xml:space="preserve">The </w:t>
      </w:r>
      <w:r w:rsidR="008C2F21">
        <w:rPr>
          <w:rFonts w:eastAsia="Calibri"/>
          <w:sz w:val="24"/>
          <w:szCs w:val="24"/>
        </w:rPr>
        <w:t>Complainants</w:t>
      </w:r>
      <w:r w:rsidR="007243FF">
        <w:rPr>
          <w:rFonts w:eastAsia="Calibri"/>
          <w:sz w:val="24"/>
          <w:szCs w:val="24"/>
        </w:rPr>
        <w:t xml:space="preserve"> contend that the contractor who installed the furnace claimed that they would experience “significant” reductions in consumption based on the more efficient furnace.</w:t>
      </w:r>
      <w:r w:rsidR="0031685C">
        <w:rPr>
          <w:rFonts w:eastAsia="Calibri"/>
          <w:sz w:val="24"/>
          <w:szCs w:val="24"/>
        </w:rPr>
        <w:t xml:space="preserve"> </w:t>
      </w:r>
      <w:r w:rsidR="007A5EB8">
        <w:rPr>
          <w:rFonts w:eastAsia="Calibri"/>
          <w:sz w:val="24"/>
          <w:szCs w:val="24"/>
        </w:rPr>
        <w:t xml:space="preserve"> </w:t>
      </w:r>
      <w:r w:rsidR="0031685C">
        <w:rPr>
          <w:rFonts w:eastAsia="Calibri"/>
          <w:sz w:val="24"/>
          <w:szCs w:val="24"/>
        </w:rPr>
        <w:t>Ms. Woodall noted that the old furnace was over 40 years old and that the contractor told her that i</w:t>
      </w:r>
      <w:r w:rsidR="00E054C5">
        <w:rPr>
          <w:rFonts w:eastAsia="Calibri"/>
          <w:sz w:val="24"/>
          <w:szCs w:val="24"/>
        </w:rPr>
        <w:t>t</w:t>
      </w:r>
      <w:r w:rsidR="0031685C">
        <w:rPr>
          <w:rFonts w:eastAsia="Calibri"/>
          <w:sz w:val="24"/>
          <w:szCs w:val="24"/>
        </w:rPr>
        <w:t xml:space="preserve"> was oversized for the house. </w:t>
      </w:r>
      <w:r w:rsidR="007A5EB8">
        <w:rPr>
          <w:rFonts w:eastAsia="Calibri"/>
          <w:sz w:val="24"/>
          <w:szCs w:val="24"/>
        </w:rPr>
        <w:t xml:space="preserve"> </w:t>
      </w:r>
      <w:r w:rsidR="00A3698B">
        <w:rPr>
          <w:rFonts w:eastAsia="Calibri"/>
          <w:sz w:val="24"/>
          <w:szCs w:val="24"/>
        </w:rPr>
        <w:t xml:space="preserve">The new furnace is 80% efficient, has a lower BTU capacity and has an automatic pilot rather than a continuous burning pilot. </w:t>
      </w:r>
      <w:r w:rsidR="007243FF">
        <w:rPr>
          <w:rFonts w:eastAsia="Calibri"/>
          <w:sz w:val="24"/>
          <w:szCs w:val="24"/>
        </w:rPr>
        <w:t xml:space="preserve"> But neither the contractor’s testimony nor his calculations upon which he based this representation were offered into evidence.</w:t>
      </w:r>
      <w:r w:rsidR="00C901B7">
        <w:rPr>
          <w:rFonts w:eastAsia="Calibri"/>
          <w:sz w:val="24"/>
          <w:szCs w:val="24"/>
        </w:rPr>
        <w:t xml:space="preserve"> </w:t>
      </w:r>
      <w:r w:rsidR="007A5EB8">
        <w:rPr>
          <w:rFonts w:eastAsia="Calibri"/>
          <w:sz w:val="24"/>
          <w:szCs w:val="24"/>
        </w:rPr>
        <w:t xml:space="preserve"> </w:t>
      </w:r>
      <w:r w:rsidR="00396A15">
        <w:rPr>
          <w:rFonts w:eastAsia="Calibri"/>
          <w:sz w:val="24"/>
          <w:szCs w:val="24"/>
        </w:rPr>
        <w:t xml:space="preserve">In contrast, </w:t>
      </w:r>
      <w:r w:rsidR="00C901B7">
        <w:rPr>
          <w:rFonts w:eastAsia="Calibri"/>
          <w:sz w:val="24"/>
          <w:szCs w:val="24"/>
        </w:rPr>
        <w:t>Ms. Petrie, who testified on behalf of Equitable, stated that the furnace installed by the Complainants is not a high efficiency furnace by EPA standards, but is only a “medium to base” efficiency furnace.</w:t>
      </w:r>
      <w:r w:rsidR="00126BB4">
        <w:rPr>
          <w:rFonts w:eastAsia="Calibri"/>
          <w:sz w:val="24"/>
          <w:szCs w:val="24"/>
        </w:rPr>
        <w:t xml:space="preserve"> </w:t>
      </w:r>
    </w:p>
    <w:p w:rsidR="0066060A" w:rsidRDefault="0066060A" w:rsidP="0066060A">
      <w:pPr>
        <w:spacing w:line="360" w:lineRule="auto"/>
        <w:ind w:firstLine="720"/>
        <w:rPr>
          <w:rFonts w:eastAsia="Calibri"/>
          <w:sz w:val="24"/>
          <w:szCs w:val="24"/>
        </w:rPr>
      </w:pPr>
    </w:p>
    <w:p w:rsidR="00126BB4" w:rsidRDefault="00754B23" w:rsidP="0066060A">
      <w:pPr>
        <w:spacing w:line="360" w:lineRule="auto"/>
        <w:ind w:firstLine="720"/>
        <w:rPr>
          <w:rFonts w:eastAsia="Calibri"/>
          <w:sz w:val="24"/>
          <w:szCs w:val="24"/>
        </w:rPr>
      </w:pPr>
      <w:r>
        <w:rPr>
          <w:rFonts w:eastAsia="Calibri"/>
          <w:sz w:val="24"/>
          <w:szCs w:val="24"/>
        </w:rPr>
        <w:tab/>
      </w:r>
      <w:r w:rsidR="00126BB4">
        <w:rPr>
          <w:rFonts w:eastAsia="Calibri"/>
          <w:sz w:val="24"/>
          <w:szCs w:val="24"/>
        </w:rPr>
        <w:t xml:space="preserve">The </w:t>
      </w:r>
      <w:r w:rsidR="00F530C6">
        <w:rPr>
          <w:rFonts w:eastAsia="Calibri"/>
          <w:sz w:val="24"/>
          <w:szCs w:val="24"/>
        </w:rPr>
        <w:t>Complainants</w:t>
      </w:r>
      <w:r w:rsidR="00126BB4">
        <w:rPr>
          <w:rFonts w:eastAsia="Calibri"/>
          <w:sz w:val="24"/>
          <w:szCs w:val="24"/>
        </w:rPr>
        <w:t xml:space="preserve"> also suggest that there must be a malfunction with </w:t>
      </w:r>
      <w:proofErr w:type="spellStart"/>
      <w:r w:rsidR="00126BB4">
        <w:rPr>
          <w:rFonts w:eastAsia="Calibri"/>
          <w:sz w:val="24"/>
          <w:szCs w:val="24"/>
        </w:rPr>
        <w:t>Equitable’s</w:t>
      </w:r>
      <w:proofErr w:type="spellEnd"/>
      <w:r w:rsidR="00126BB4">
        <w:rPr>
          <w:rFonts w:eastAsia="Calibri"/>
          <w:sz w:val="24"/>
          <w:szCs w:val="24"/>
        </w:rPr>
        <w:t xml:space="preserve"> meter because of the proximity of power lines</w:t>
      </w:r>
      <w:r w:rsidR="00185365">
        <w:rPr>
          <w:rFonts w:eastAsia="Calibri"/>
          <w:sz w:val="24"/>
          <w:szCs w:val="24"/>
        </w:rPr>
        <w:t xml:space="preserve"> and location of the meter. </w:t>
      </w:r>
      <w:r w:rsidR="00BB5F46">
        <w:rPr>
          <w:rFonts w:eastAsia="Calibri"/>
          <w:sz w:val="24"/>
          <w:szCs w:val="24"/>
        </w:rPr>
        <w:t xml:space="preserve"> </w:t>
      </w:r>
      <w:r w:rsidR="00185365">
        <w:rPr>
          <w:rFonts w:eastAsia="Calibri"/>
          <w:sz w:val="24"/>
          <w:szCs w:val="24"/>
        </w:rPr>
        <w:t>However, Ms. Petrie stated that if there was interference with the remote meter reader that it would provide an error message rather than an inaccurate reading.</w:t>
      </w:r>
      <w:r w:rsidR="00185365">
        <w:rPr>
          <w:rStyle w:val="FootnoteReference"/>
          <w:rFonts w:eastAsia="Calibri"/>
          <w:sz w:val="24"/>
          <w:szCs w:val="24"/>
        </w:rPr>
        <w:footnoteReference w:id="4"/>
      </w:r>
      <w:r w:rsidR="00466396">
        <w:rPr>
          <w:rFonts w:eastAsia="Calibri"/>
          <w:sz w:val="24"/>
          <w:szCs w:val="24"/>
        </w:rPr>
        <w:t xml:space="preserve"> </w:t>
      </w:r>
      <w:r w:rsidR="007A5EB8">
        <w:rPr>
          <w:rFonts w:eastAsia="Calibri"/>
          <w:sz w:val="24"/>
          <w:szCs w:val="24"/>
        </w:rPr>
        <w:t xml:space="preserve"> </w:t>
      </w:r>
      <w:r w:rsidR="00466396">
        <w:rPr>
          <w:rFonts w:eastAsia="Calibri"/>
          <w:sz w:val="24"/>
          <w:szCs w:val="24"/>
        </w:rPr>
        <w:t xml:space="preserve">The </w:t>
      </w:r>
      <w:r w:rsidR="00F530C6">
        <w:rPr>
          <w:rFonts w:eastAsia="Calibri"/>
          <w:sz w:val="24"/>
          <w:szCs w:val="24"/>
        </w:rPr>
        <w:t>Complainants</w:t>
      </w:r>
      <w:r w:rsidR="00466396">
        <w:rPr>
          <w:rFonts w:eastAsia="Calibri"/>
          <w:sz w:val="24"/>
          <w:szCs w:val="24"/>
        </w:rPr>
        <w:t xml:space="preserve"> offered no testimony or exhibits to contradict Ms. Petrie’s testimony.</w:t>
      </w:r>
    </w:p>
    <w:p w:rsidR="0066060A" w:rsidRDefault="0066060A" w:rsidP="0066060A">
      <w:pPr>
        <w:spacing w:line="360" w:lineRule="auto"/>
        <w:ind w:firstLine="720"/>
        <w:rPr>
          <w:rFonts w:eastAsia="Calibri"/>
          <w:sz w:val="24"/>
          <w:szCs w:val="24"/>
        </w:rPr>
      </w:pPr>
    </w:p>
    <w:p w:rsidR="00466396" w:rsidRDefault="00754B23" w:rsidP="0066060A">
      <w:pPr>
        <w:spacing w:line="360" w:lineRule="auto"/>
        <w:ind w:firstLine="720"/>
        <w:rPr>
          <w:rFonts w:eastAsia="Calibri"/>
          <w:sz w:val="24"/>
          <w:szCs w:val="24"/>
        </w:rPr>
      </w:pPr>
      <w:r>
        <w:rPr>
          <w:rFonts w:eastAsia="Calibri"/>
          <w:sz w:val="24"/>
          <w:szCs w:val="24"/>
        </w:rPr>
        <w:tab/>
      </w:r>
      <w:r w:rsidR="00466396">
        <w:rPr>
          <w:rFonts w:eastAsia="Calibri"/>
          <w:sz w:val="24"/>
          <w:szCs w:val="24"/>
        </w:rPr>
        <w:t xml:space="preserve">In sum, there is simply no evidence in this record to support the claim that but for a malfunction in </w:t>
      </w:r>
      <w:proofErr w:type="spellStart"/>
      <w:r w:rsidR="00466396">
        <w:rPr>
          <w:rFonts w:eastAsia="Calibri"/>
          <w:sz w:val="24"/>
          <w:szCs w:val="24"/>
        </w:rPr>
        <w:t>Equitable’s</w:t>
      </w:r>
      <w:proofErr w:type="spellEnd"/>
      <w:r w:rsidR="00466396">
        <w:rPr>
          <w:rFonts w:eastAsia="Calibri"/>
          <w:sz w:val="24"/>
          <w:szCs w:val="24"/>
        </w:rPr>
        <w:t xml:space="preserve"> equipment, the </w:t>
      </w:r>
      <w:r w:rsidR="00F530C6">
        <w:rPr>
          <w:rFonts w:eastAsia="Calibri"/>
          <w:sz w:val="24"/>
          <w:szCs w:val="24"/>
        </w:rPr>
        <w:t>Complainants</w:t>
      </w:r>
      <w:r w:rsidR="00466396">
        <w:rPr>
          <w:rFonts w:eastAsia="Calibri"/>
          <w:sz w:val="24"/>
          <w:szCs w:val="24"/>
        </w:rPr>
        <w:t xml:space="preserve">’ gas bills would be lower. </w:t>
      </w:r>
      <w:r w:rsidR="00BB5F46">
        <w:rPr>
          <w:rFonts w:eastAsia="Calibri"/>
          <w:sz w:val="24"/>
          <w:szCs w:val="24"/>
        </w:rPr>
        <w:t xml:space="preserve"> </w:t>
      </w:r>
      <w:r w:rsidR="00466396">
        <w:rPr>
          <w:rFonts w:eastAsia="Calibri"/>
          <w:sz w:val="24"/>
          <w:szCs w:val="24"/>
        </w:rPr>
        <w:t xml:space="preserve">Nor is the </w:t>
      </w:r>
      <w:r w:rsidR="00466396">
        <w:rPr>
          <w:rFonts w:eastAsia="Calibri"/>
          <w:sz w:val="24"/>
          <w:szCs w:val="24"/>
        </w:rPr>
        <w:lastRenderedPageBreak/>
        <w:t>$70 fee charged by Equitable to perform a meter investigation unreasonable based on this record.</w:t>
      </w:r>
      <w:r w:rsidR="00BB5F46">
        <w:rPr>
          <w:rFonts w:eastAsia="Calibri"/>
          <w:sz w:val="24"/>
          <w:szCs w:val="24"/>
        </w:rPr>
        <w:t xml:space="preserve"> </w:t>
      </w:r>
      <w:r w:rsidR="00466396">
        <w:rPr>
          <w:rFonts w:eastAsia="Calibri"/>
          <w:sz w:val="24"/>
          <w:szCs w:val="24"/>
        </w:rPr>
        <w:t xml:space="preserve"> </w:t>
      </w:r>
      <w:r w:rsidR="00F530C6">
        <w:rPr>
          <w:rFonts w:eastAsia="Calibri"/>
          <w:sz w:val="24"/>
          <w:szCs w:val="24"/>
        </w:rPr>
        <w:t>Accordingly, the Complainants’ complaint will be dismissed.</w:t>
      </w:r>
    </w:p>
    <w:p w:rsidR="0066060A" w:rsidRDefault="0066060A" w:rsidP="0066060A">
      <w:pPr>
        <w:spacing w:line="360" w:lineRule="auto"/>
        <w:ind w:firstLine="720"/>
        <w:rPr>
          <w:rFonts w:eastAsia="Calibri"/>
          <w:sz w:val="24"/>
          <w:szCs w:val="24"/>
        </w:rPr>
      </w:pPr>
    </w:p>
    <w:p w:rsidR="001744F8" w:rsidRPr="001744F8" w:rsidRDefault="001744F8" w:rsidP="0066060A">
      <w:pPr>
        <w:spacing w:line="360" w:lineRule="auto"/>
        <w:jc w:val="center"/>
        <w:rPr>
          <w:rFonts w:eastAsia="Calibri"/>
          <w:sz w:val="24"/>
          <w:szCs w:val="24"/>
          <w:u w:val="single"/>
        </w:rPr>
      </w:pPr>
      <w:r w:rsidRPr="001744F8">
        <w:rPr>
          <w:rFonts w:eastAsia="Calibri"/>
          <w:sz w:val="24"/>
          <w:szCs w:val="24"/>
          <w:u w:val="single"/>
        </w:rPr>
        <w:t>CONCLUSIONS OF LAW</w:t>
      </w:r>
    </w:p>
    <w:p w:rsidR="001744F8" w:rsidRDefault="001744F8" w:rsidP="0066060A">
      <w:pPr>
        <w:spacing w:line="360" w:lineRule="auto"/>
        <w:rPr>
          <w:rFonts w:eastAsia="Calibri"/>
          <w:sz w:val="24"/>
          <w:szCs w:val="24"/>
        </w:rPr>
      </w:pPr>
    </w:p>
    <w:p w:rsidR="001744F8" w:rsidRDefault="001744F8" w:rsidP="0066060A">
      <w:pPr>
        <w:spacing w:line="360" w:lineRule="auto"/>
        <w:rPr>
          <w:rFonts w:eastAsia="Calibri"/>
          <w:sz w:val="24"/>
          <w:szCs w:val="24"/>
        </w:rPr>
      </w:pPr>
      <w:r>
        <w:rPr>
          <w:rFonts w:eastAsia="Calibri"/>
          <w:sz w:val="24"/>
          <w:szCs w:val="24"/>
        </w:rPr>
        <w:tab/>
      </w:r>
      <w:r w:rsidR="00754B23">
        <w:rPr>
          <w:rFonts w:eastAsia="Calibri"/>
          <w:sz w:val="24"/>
          <w:szCs w:val="24"/>
        </w:rPr>
        <w:tab/>
      </w:r>
      <w:r>
        <w:rPr>
          <w:rFonts w:eastAsia="Calibri"/>
          <w:sz w:val="24"/>
          <w:szCs w:val="24"/>
        </w:rPr>
        <w:t>1.</w:t>
      </w:r>
      <w:r>
        <w:rPr>
          <w:rFonts w:eastAsia="Calibri"/>
          <w:sz w:val="24"/>
          <w:szCs w:val="24"/>
        </w:rPr>
        <w:tab/>
        <w:t>The Commission has jurisdiction over this matter.</w:t>
      </w:r>
    </w:p>
    <w:p w:rsidR="0066060A" w:rsidRDefault="0066060A" w:rsidP="0066060A">
      <w:pPr>
        <w:spacing w:line="360" w:lineRule="auto"/>
        <w:rPr>
          <w:rFonts w:eastAsia="Calibri"/>
          <w:sz w:val="24"/>
          <w:szCs w:val="24"/>
        </w:rPr>
      </w:pPr>
    </w:p>
    <w:p w:rsidR="001744F8" w:rsidRDefault="001744F8" w:rsidP="0066060A">
      <w:pPr>
        <w:spacing w:line="360" w:lineRule="auto"/>
        <w:rPr>
          <w:rFonts w:eastAsia="Calibri"/>
          <w:sz w:val="24"/>
          <w:szCs w:val="24"/>
        </w:rPr>
      </w:pPr>
      <w:r>
        <w:rPr>
          <w:rFonts w:eastAsia="Calibri"/>
          <w:sz w:val="24"/>
          <w:szCs w:val="24"/>
        </w:rPr>
        <w:tab/>
      </w:r>
      <w:r w:rsidR="00754B23">
        <w:rPr>
          <w:rFonts w:eastAsia="Calibri"/>
          <w:sz w:val="24"/>
          <w:szCs w:val="24"/>
        </w:rPr>
        <w:tab/>
      </w:r>
      <w:r>
        <w:rPr>
          <w:rFonts w:eastAsia="Calibri"/>
          <w:sz w:val="24"/>
          <w:szCs w:val="24"/>
        </w:rPr>
        <w:t>2.</w:t>
      </w:r>
      <w:r>
        <w:rPr>
          <w:rFonts w:eastAsia="Calibri"/>
          <w:sz w:val="24"/>
          <w:szCs w:val="24"/>
        </w:rPr>
        <w:tab/>
        <w:t>The Complainants bear the burden of proof.</w:t>
      </w:r>
    </w:p>
    <w:p w:rsidR="0066060A" w:rsidRDefault="0066060A" w:rsidP="0066060A">
      <w:pPr>
        <w:spacing w:line="360" w:lineRule="auto"/>
        <w:rPr>
          <w:rFonts w:eastAsia="Calibri"/>
          <w:sz w:val="24"/>
          <w:szCs w:val="24"/>
        </w:rPr>
      </w:pPr>
    </w:p>
    <w:p w:rsidR="001744F8" w:rsidRDefault="001744F8" w:rsidP="0066060A">
      <w:pPr>
        <w:spacing w:line="360" w:lineRule="auto"/>
        <w:rPr>
          <w:rFonts w:eastAsia="Calibri"/>
          <w:sz w:val="24"/>
          <w:szCs w:val="24"/>
        </w:rPr>
      </w:pPr>
      <w:r>
        <w:rPr>
          <w:rFonts w:eastAsia="Calibri"/>
          <w:sz w:val="24"/>
          <w:szCs w:val="24"/>
        </w:rPr>
        <w:tab/>
      </w:r>
      <w:r w:rsidR="00754B23">
        <w:rPr>
          <w:rFonts w:eastAsia="Calibri"/>
          <w:sz w:val="24"/>
          <w:szCs w:val="24"/>
        </w:rPr>
        <w:tab/>
      </w:r>
      <w:r>
        <w:rPr>
          <w:rFonts w:eastAsia="Calibri"/>
          <w:sz w:val="24"/>
          <w:szCs w:val="24"/>
        </w:rPr>
        <w:t>3.</w:t>
      </w:r>
      <w:r>
        <w:rPr>
          <w:rFonts w:eastAsia="Calibri"/>
          <w:sz w:val="24"/>
          <w:szCs w:val="24"/>
        </w:rPr>
        <w:tab/>
        <w:t>The Complainants have failed to sustain their burden of proving that Equitable violated a provision of the Public Utility Code or regulations or otherwise provided unreasonable service.</w:t>
      </w:r>
    </w:p>
    <w:p w:rsidR="004C3C80" w:rsidRDefault="004C3C80" w:rsidP="0066060A">
      <w:pPr>
        <w:spacing w:line="360" w:lineRule="auto"/>
        <w:ind w:firstLine="720"/>
        <w:rPr>
          <w:rFonts w:eastAsia="Calibri"/>
          <w:sz w:val="24"/>
          <w:szCs w:val="24"/>
        </w:rPr>
      </w:pPr>
    </w:p>
    <w:p w:rsidR="001302E1" w:rsidRDefault="001302E1" w:rsidP="0066060A">
      <w:pPr>
        <w:spacing w:line="360" w:lineRule="auto"/>
        <w:jc w:val="center"/>
        <w:rPr>
          <w:rFonts w:eastAsia="Calibri"/>
          <w:sz w:val="24"/>
          <w:szCs w:val="24"/>
          <w:u w:val="single"/>
        </w:rPr>
      </w:pPr>
      <w:r w:rsidRPr="004C3C80">
        <w:rPr>
          <w:rFonts w:eastAsia="Calibri"/>
          <w:sz w:val="24"/>
          <w:szCs w:val="24"/>
          <w:u w:val="single"/>
        </w:rPr>
        <w:t>ORDER</w:t>
      </w:r>
    </w:p>
    <w:p w:rsidR="00754B23" w:rsidRPr="004C3C80" w:rsidRDefault="00754B23" w:rsidP="0066060A">
      <w:pPr>
        <w:spacing w:line="360" w:lineRule="auto"/>
        <w:jc w:val="center"/>
        <w:rPr>
          <w:rFonts w:eastAsia="Calibri"/>
          <w:sz w:val="24"/>
          <w:szCs w:val="24"/>
          <w:u w:val="single"/>
        </w:rPr>
      </w:pPr>
    </w:p>
    <w:p w:rsidR="001302E1" w:rsidRDefault="00754B23" w:rsidP="0066060A">
      <w:pPr>
        <w:spacing w:line="360" w:lineRule="auto"/>
        <w:rPr>
          <w:rFonts w:eastAsia="Calibri"/>
          <w:sz w:val="24"/>
          <w:szCs w:val="24"/>
        </w:rPr>
      </w:pPr>
      <w:r>
        <w:rPr>
          <w:rFonts w:eastAsia="Calibri"/>
          <w:sz w:val="24"/>
          <w:szCs w:val="24"/>
        </w:rPr>
        <w:tab/>
      </w:r>
      <w:r>
        <w:rPr>
          <w:rFonts w:eastAsia="Calibri"/>
          <w:sz w:val="24"/>
          <w:szCs w:val="24"/>
        </w:rPr>
        <w:tab/>
      </w:r>
      <w:r w:rsidR="001302E1">
        <w:rPr>
          <w:rFonts w:eastAsia="Calibri"/>
          <w:sz w:val="24"/>
          <w:szCs w:val="24"/>
        </w:rPr>
        <w:t>THEREFORE,</w:t>
      </w:r>
    </w:p>
    <w:p w:rsidR="00754B23" w:rsidRDefault="00754B23" w:rsidP="0066060A">
      <w:pPr>
        <w:spacing w:line="360" w:lineRule="auto"/>
        <w:rPr>
          <w:rFonts w:eastAsia="Calibri"/>
          <w:sz w:val="24"/>
          <w:szCs w:val="24"/>
        </w:rPr>
      </w:pPr>
    </w:p>
    <w:p w:rsidR="001302E1" w:rsidRDefault="00754B23" w:rsidP="0066060A">
      <w:pPr>
        <w:spacing w:line="360" w:lineRule="auto"/>
        <w:rPr>
          <w:rFonts w:eastAsia="Calibri"/>
          <w:sz w:val="24"/>
          <w:szCs w:val="24"/>
        </w:rPr>
      </w:pPr>
      <w:r>
        <w:rPr>
          <w:rFonts w:eastAsia="Calibri"/>
          <w:sz w:val="24"/>
          <w:szCs w:val="24"/>
        </w:rPr>
        <w:tab/>
      </w:r>
      <w:r>
        <w:rPr>
          <w:rFonts w:eastAsia="Calibri"/>
          <w:sz w:val="24"/>
          <w:szCs w:val="24"/>
        </w:rPr>
        <w:tab/>
      </w:r>
      <w:r w:rsidR="001302E1">
        <w:rPr>
          <w:rFonts w:eastAsia="Calibri"/>
          <w:sz w:val="24"/>
          <w:szCs w:val="24"/>
        </w:rPr>
        <w:t>IT IS ORDERED:</w:t>
      </w:r>
    </w:p>
    <w:p w:rsidR="0066060A" w:rsidRDefault="0066060A" w:rsidP="0066060A">
      <w:pPr>
        <w:spacing w:line="360" w:lineRule="auto"/>
        <w:rPr>
          <w:rFonts w:eastAsia="Calibri"/>
          <w:sz w:val="24"/>
          <w:szCs w:val="24"/>
        </w:rPr>
      </w:pPr>
    </w:p>
    <w:p w:rsidR="001302E1" w:rsidRDefault="00ED01F2" w:rsidP="0066060A">
      <w:pPr>
        <w:spacing w:line="360" w:lineRule="auto"/>
        <w:rPr>
          <w:rFonts w:eastAsia="Calibri"/>
          <w:sz w:val="24"/>
          <w:szCs w:val="24"/>
        </w:rPr>
      </w:pPr>
      <w:r>
        <w:rPr>
          <w:rFonts w:eastAsia="Calibri"/>
          <w:sz w:val="24"/>
          <w:szCs w:val="24"/>
        </w:rPr>
        <w:tab/>
      </w:r>
      <w:r w:rsidR="00754B23">
        <w:rPr>
          <w:rFonts w:eastAsia="Calibri"/>
          <w:sz w:val="24"/>
          <w:szCs w:val="24"/>
        </w:rPr>
        <w:tab/>
      </w:r>
      <w:r>
        <w:rPr>
          <w:rFonts w:eastAsia="Calibri"/>
          <w:sz w:val="24"/>
          <w:szCs w:val="24"/>
        </w:rPr>
        <w:t>1.</w:t>
      </w:r>
      <w:r>
        <w:rPr>
          <w:rFonts w:eastAsia="Calibri"/>
          <w:sz w:val="24"/>
          <w:szCs w:val="24"/>
        </w:rPr>
        <w:tab/>
        <w:t xml:space="preserve">That the Complaint of Georgiana G. </w:t>
      </w:r>
      <w:proofErr w:type="spellStart"/>
      <w:r>
        <w:rPr>
          <w:rFonts w:eastAsia="Calibri"/>
          <w:sz w:val="24"/>
          <w:szCs w:val="24"/>
        </w:rPr>
        <w:t>Woodhall</w:t>
      </w:r>
      <w:proofErr w:type="spellEnd"/>
      <w:r>
        <w:rPr>
          <w:rFonts w:eastAsia="Calibri"/>
          <w:sz w:val="24"/>
          <w:szCs w:val="24"/>
        </w:rPr>
        <w:t xml:space="preserve"> and Millie </w:t>
      </w:r>
      <w:proofErr w:type="spellStart"/>
      <w:r>
        <w:rPr>
          <w:rFonts w:eastAsia="Calibri"/>
          <w:sz w:val="24"/>
          <w:szCs w:val="24"/>
        </w:rPr>
        <w:t>Galagaza</w:t>
      </w:r>
      <w:proofErr w:type="spellEnd"/>
      <w:r>
        <w:rPr>
          <w:rFonts w:eastAsia="Calibri"/>
          <w:sz w:val="24"/>
          <w:szCs w:val="24"/>
        </w:rPr>
        <w:t xml:space="preserve"> at Docket No. C-2010-2170467 is dismissed.</w:t>
      </w:r>
    </w:p>
    <w:p w:rsidR="0066060A" w:rsidRDefault="0066060A" w:rsidP="0066060A">
      <w:pPr>
        <w:spacing w:line="360" w:lineRule="auto"/>
        <w:rPr>
          <w:rFonts w:eastAsia="Calibri"/>
          <w:sz w:val="24"/>
          <w:szCs w:val="24"/>
        </w:rPr>
      </w:pPr>
    </w:p>
    <w:p w:rsidR="00ED01F2" w:rsidRPr="00B130F7" w:rsidRDefault="00ED01F2" w:rsidP="0066060A">
      <w:pPr>
        <w:spacing w:line="360" w:lineRule="auto"/>
        <w:rPr>
          <w:rFonts w:eastAsia="Calibri"/>
          <w:sz w:val="24"/>
          <w:szCs w:val="24"/>
        </w:rPr>
      </w:pPr>
      <w:r>
        <w:rPr>
          <w:rFonts w:eastAsia="Calibri"/>
          <w:sz w:val="24"/>
          <w:szCs w:val="24"/>
        </w:rPr>
        <w:tab/>
      </w:r>
      <w:r w:rsidR="00754B23">
        <w:rPr>
          <w:rFonts w:eastAsia="Calibri"/>
          <w:sz w:val="24"/>
          <w:szCs w:val="24"/>
        </w:rPr>
        <w:tab/>
      </w:r>
      <w:r>
        <w:rPr>
          <w:rFonts w:eastAsia="Calibri"/>
          <w:sz w:val="24"/>
          <w:szCs w:val="24"/>
        </w:rPr>
        <w:t>2.</w:t>
      </w:r>
      <w:r>
        <w:rPr>
          <w:rFonts w:eastAsia="Calibri"/>
          <w:sz w:val="24"/>
          <w:szCs w:val="24"/>
        </w:rPr>
        <w:tab/>
        <w:t xml:space="preserve">That Docket No. </w:t>
      </w:r>
      <w:r w:rsidR="00027754">
        <w:rPr>
          <w:rFonts w:eastAsia="Calibri"/>
          <w:sz w:val="24"/>
          <w:szCs w:val="24"/>
        </w:rPr>
        <w:t>C-2010-2170467 be marked closed</w:t>
      </w:r>
      <w:r>
        <w:rPr>
          <w:rFonts w:eastAsia="Calibri"/>
          <w:sz w:val="24"/>
          <w:szCs w:val="24"/>
        </w:rPr>
        <w:t>.</w:t>
      </w:r>
    </w:p>
    <w:p w:rsidR="0098495D" w:rsidRDefault="0098495D" w:rsidP="005B4286">
      <w:pPr>
        <w:tabs>
          <w:tab w:val="left" w:pos="0"/>
        </w:tabs>
        <w:spacing w:line="36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Date:</w:t>
      </w:r>
      <w:r w:rsidR="0066060A">
        <w:rPr>
          <w:sz w:val="24"/>
        </w:rPr>
        <w:t xml:space="preserve">  </w:t>
      </w:r>
      <w:r w:rsidR="0066060A" w:rsidRPr="0066060A">
        <w:rPr>
          <w:sz w:val="24"/>
          <w:u w:val="single"/>
        </w:rPr>
        <w:t>January 13, 2011</w:t>
      </w:r>
      <w:r>
        <w:rPr>
          <w:sz w:val="24"/>
        </w:rPr>
        <w:t xml:space="preserve"> </w:t>
      </w:r>
      <w:r w:rsidR="00713560">
        <w:rPr>
          <w:sz w:val="24"/>
        </w:rPr>
        <w:tab/>
      </w:r>
      <w:r w:rsidR="00713560">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972279">
        <w:rPr>
          <w:sz w:val="24"/>
        </w:rPr>
        <w:t>Mary D. Long</w:t>
      </w:r>
    </w:p>
    <w:p w:rsidR="00332CA0" w:rsidRDefault="00332CA0" w:rsidP="00560DC5">
      <w:pPr>
        <w:tabs>
          <w:tab w:val="left" w:pos="0"/>
        </w:tabs>
        <w:jc w:val="both"/>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332CA0" w:rsidRDefault="00332CA0" w:rsidP="00560DC5">
      <w:pPr>
        <w:tabs>
          <w:tab w:val="left" w:pos="0"/>
        </w:tabs>
        <w:jc w:val="both"/>
        <w:rPr>
          <w:sz w:val="24"/>
        </w:rPr>
      </w:pPr>
    </w:p>
    <w:p w:rsidR="00332CA0" w:rsidRDefault="00332CA0" w:rsidP="00560DC5">
      <w:pPr>
        <w:tabs>
          <w:tab w:val="left" w:pos="0"/>
        </w:tabs>
        <w:ind w:firstLine="2160"/>
        <w:rPr>
          <w:sz w:val="24"/>
          <w:u w:val="single"/>
        </w:rPr>
        <w:sectPr w:rsidR="00332CA0" w:rsidSect="00150015">
          <w:footerReference w:type="even" r:id="rId8"/>
          <w:footerReference w:type="default" r:id="rId9"/>
          <w:pgSz w:w="12240" w:h="15840"/>
          <w:pgMar w:top="1296" w:right="1440" w:bottom="1296" w:left="1440" w:header="720" w:footer="720" w:gutter="0"/>
          <w:pgNumType w:start="1"/>
          <w:cols w:space="720"/>
          <w:titlePg/>
        </w:sectPr>
      </w:pPr>
    </w:p>
    <w:p w:rsidR="00A16D0C" w:rsidRDefault="00A16D0C" w:rsidP="00972279">
      <w:pPr>
        <w:tabs>
          <w:tab w:val="left" w:pos="0"/>
        </w:tabs>
        <w:ind w:firstLine="1440"/>
        <w:rPr>
          <w:sz w:val="24"/>
          <w:szCs w:val="24"/>
        </w:rPr>
      </w:pPr>
    </w:p>
    <w:p w:rsidR="002C07E4" w:rsidRDefault="002C07E4" w:rsidP="00BB5F46">
      <w:pPr>
        <w:tabs>
          <w:tab w:val="left" w:pos="-720"/>
        </w:tabs>
        <w:rPr>
          <w:sz w:val="24"/>
          <w:szCs w:val="24"/>
        </w:rPr>
      </w:pPr>
      <w:r>
        <w:rPr>
          <w:sz w:val="24"/>
          <w:szCs w:val="24"/>
        </w:rPr>
        <w:t>(a)</w:t>
      </w:r>
      <w:r>
        <w:rPr>
          <w:sz w:val="24"/>
          <w:szCs w:val="24"/>
        </w:rPr>
        <w:tab/>
        <w:t xml:space="preserve">Georgiana G. </w:t>
      </w:r>
      <w:proofErr w:type="spellStart"/>
      <w:r>
        <w:rPr>
          <w:sz w:val="24"/>
          <w:szCs w:val="24"/>
        </w:rPr>
        <w:t>Woodhall</w:t>
      </w:r>
      <w:proofErr w:type="spellEnd"/>
      <w:r>
        <w:rPr>
          <w:sz w:val="24"/>
          <w:szCs w:val="24"/>
        </w:rPr>
        <w:t xml:space="preserve"> and Millie </w:t>
      </w:r>
      <w:proofErr w:type="spellStart"/>
      <w:r>
        <w:rPr>
          <w:sz w:val="24"/>
          <w:szCs w:val="24"/>
        </w:rPr>
        <w:t>Galagaza</w:t>
      </w:r>
      <w:proofErr w:type="spellEnd"/>
      <w:r>
        <w:rPr>
          <w:sz w:val="24"/>
          <w:szCs w:val="24"/>
        </w:rPr>
        <w:t xml:space="preserve"> v. Equitable Gas Company</w:t>
      </w:r>
    </w:p>
    <w:p w:rsidR="00BB5F46" w:rsidRDefault="00BB5F46" w:rsidP="00BB5F46">
      <w:pPr>
        <w:tabs>
          <w:tab w:val="left" w:pos="-720"/>
        </w:tabs>
        <w:rPr>
          <w:sz w:val="24"/>
          <w:szCs w:val="24"/>
        </w:rPr>
      </w:pPr>
    </w:p>
    <w:p w:rsidR="002C07E4" w:rsidRDefault="002C07E4" w:rsidP="00BB5F46">
      <w:pPr>
        <w:ind w:left="720" w:hanging="720"/>
        <w:rPr>
          <w:sz w:val="24"/>
        </w:rPr>
      </w:pPr>
      <w:r>
        <w:rPr>
          <w:sz w:val="24"/>
          <w:szCs w:val="24"/>
        </w:rPr>
        <w:t>(b)</w:t>
      </w:r>
      <w:r>
        <w:rPr>
          <w:sz w:val="24"/>
          <w:szCs w:val="24"/>
        </w:rPr>
        <w:tab/>
      </w:r>
      <w:r>
        <w:rPr>
          <w:sz w:val="24"/>
        </w:rPr>
        <w:t>On April 14, 2010, the Complainants filed a formal complaint with the Commission</w:t>
      </w:r>
      <w:r w:rsidR="000A1EA2">
        <w:rPr>
          <w:sz w:val="24"/>
        </w:rPr>
        <w:t xml:space="preserve"> alleging, </w:t>
      </w:r>
      <w:r w:rsidR="00504DF9">
        <w:rPr>
          <w:sz w:val="24"/>
        </w:rPr>
        <w:t>a</w:t>
      </w:r>
      <w:r>
        <w:rPr>
          <w:sz w:val="24"/>
        </w:rPr>
        <w:t xml:space="preserve">mong other things, that they were expecting a greater reduction in their gas bill with the installation of a new furnace. </w:t>
      </w:r>
      <w:r w:rsidR="00BB5F46">
        <w:rPr>
          <w:sz w:val="24"/>
        </w:rPr>
        <w:t xml:space="preserve"> </w:t>
      </w:r>
      <w:r>
        <w:rPr>
          <w:sz w:val="24"/>
        </w:rPr>
        <w:t xml:space="preserve">Equitable filed its answer on April 30, 2010. </w:t>
      </w:r>
      <w:r w:rsidR="00BB5F46">
        <w:rPr>
          <w:sz w:val="24"/>
        </w:rPr>
        <w:t xml:space="preserve"> </w:t>
      </w:r>
      <w:r>
        <w:rPr>
          <w:sz w:val="24"/>
        </w:rPr>
        <w:t xml:space="preserve">By letter dated September 8, 2010, the Office of Administrative Law Judge notified the parties that a telephonic hearing had been scheduled for Monday, October 18, 2010.  The hearing was held as scheduled. </w:t>
      </w:r>
      <w:r w:rsidR="00BB5F46">
        <w:rPr>
          <w:sz w:val="24"/>
        </w:rPr>
        <w:t xml:space="preserve"> </w:t>
      </w:r>
      <w:r>
        <w:rPr>
          <w:sz w:val="24"/>
        </w:rPr>
        <w:t xml:space="preserve">Georgiana </w:t>
      </w:r>
      <w:proofErr w:type="spellStart"/>
      <w:r>
        <w:rPr>
          <w:sz w:val="24"/>
        </w:rPr>
        <w:t>Woodhall</w:t>
      </w:r>
      <w:proofErr w:type="spellEnd"/>
      <w:r>
        <w:rPr>
          <w:sz w:val="24"/>
        </w:rPr>
        <w:t xml:space="preserve"> testified on behalf of th</w:t>
      </w:r>
      <w:r w:rsidR="00901FC7">
        <w:rPr>
          <w:sz w:val="24"/>
        </w:rPr>
        <w:t>e Complainants.  By order dated December 23, 2010, t</w:t>
      </w:r>
      <w:r>
        <w:rPr>
          <w:sz w:val="24"/>
        </w:rPr>
        <w:t>he record was closed.</w:t>
      </w:r>
    </w:p>
    <w:p w:rsidR="00504DF9" w:rsidRDefault="00504DF9" w:rsidP="00BB5F46">
      <w:pPr>
        <w:ind w:left="720" w:hanging="720"/>
        <w:rPr>
          <w:sz w:val="24"/>
        </w:rPr>
      </w:pPr>
    </w:p>
    <w:p w:rsidR="00504DF9" w:rsidRPr="00A16D0C" w:rsidRDefault="00504DF9" w:rsidP="00BB5F46">
      <w:pPr>
        <w:ind w:left="720" w:hanging="720"/>
        <w:rPr>
          <w:sz w:val="24"/>
          <w:szCs w:val="24"/>
        </w:rPr>
      </w:pPr>
      <w:r>
        <w:rPr>
          <w:sz w:val="24"/>
        </w:rPr>
        <w:t xml:space="preserve">(c) </w:t>
      </w:r>
      <w:r>
        <w:rPr>
          <w:sz w:val="24"/>
        </w:rPr>
        <w:tab/>
        <w:t xml:space="preserve">Administrative Law Judge Mary D. Long dismissed the complaint </w:t>
      </w:r>
      <w:r w:rsidR="001264DF">
        <w:rPr>
          <w:sz w:val="24"/>
        </w:rPr>
        <w:t>because the Complainants failed to sustain their burden of proof.</w:t>
      </w:r>
    </w:p>
    <w:sectPr w:rsidR="00504DF9" w:rsidRPr="00A16D0C" w:rsidSect="00972279">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B81" w:rsidRDefault="00DB5B81">
      <w:r>
        <w:separator/>
      </w:r>
    </w:p>
  </w:endnote>
  <w:endnote w:type="continuationSeparator" w:id="0">
    <w:p w:rsidR="00DB5B81" w:rsidRDefault="00DB5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9" w:rsidRDefault="007012A7">
    <w:pPr>
      <w:pStyle w:val="Footer"/>
      <w:framePr w:wrap="around" w:vAnchor="text" w:hAnchor="margin" w:xAlign="center" w:y="1"/>
      <w:rPr>
        <w:rStyle w:val="PageNumber"/>
      </w:rPr>
    </w:pPr>
    <w:r>
      <w:rPr>
        <w:rStyle w:val="PageNumber"/>
      </w:rPr>
      <w:fldChar w:fldCharType="begin"/>
    </w:r>
    <w:r w:rsidR="00504DF9">
      <w:rPr>
        <w:rStyle w:val="PageNumber"/>
      </w:rPr>
      <w:instrText xml:space="preserve">PAGE  </w:instrText>
    </w:r>
    <w:r>
      <w:rPr>
        <w:rStyle w:val="PageNumber"/>
      </w:rPr>
      <w:fldChar w:fldCharType="separate"/>
    </w:r>
    <w:r w:rsidR="00504DF9">
      <w:rPr>
        <w:rStyle w:val="PageNumber"/>
        <w:noProof/>
      </w:rPr>
      <w:t>1</w:t>
    </w:r>
    <w:r>
      <w:rPr>
        <w:rStyle w:val="PageNumber"/>
      </w:rPr>
      <w:fldChar w:fldCharType="end"/>
    </w:r>
  </w:p>
  <w:p w:rsidR="00504DF9" w:rsidRDefault="00504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9" w:rsidRDefault="007012A7">
    <w:pPr>
      <w:pStyle w:val="Footer"/>
      <w:framePr w:wrap="around" w:vAnchor="text" w:hAnchor="margin" w:xAlign="center" w:y="1"/>
      <w:rPr>
        <w:rStyle w:val="PageNumber"/>
      </w:rPr>
    </w:pPr>
    <w:r>
      <w:rPr>
        <w:rStyle w:val="PageNumber"/>
      </w:rPr>
      <w:fldChar w:fldCharType="begin"/>
    </w:r>
    <w:r w:rsidR="00504DF9">
      <w:rPr>
        <w:rStyle w:val="PageNumber"/>
      </w:rPr>
      <w:instrText xml:space="preserve">PAGE  </w:instrText>
    </w:r>
    <w:r>
      <w:rPr>
        <w:rStyle w:val="PageNumber"/>
      </w:rPr>
      <w:fldChar w:fldCharType="separate"/>
    </w:r>
    <w:r w:rsidR="00027754">
      <w:rPr>
        <w:rStyle w:val="PageNumber"/>
        <w:noProof/>
      </w:rPr>
      <w:t>6</w:t>
    </w:r>
    <w:r>
      <w:rPr>
        <w:rStyle w:val="PageNumber"/>
      </w:rPr>
      <w:fldChar w:fldCharType="end"/>
    </w:r>
  </w:p>
  <w:p w:rsidR="00504DF9" w:rsidRDefault="00504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B81" w:rsidRDefault="00DB5B81">
      <w:r>
        <w:separator/>
      </w:r>
    </w:p>
  </w:footnote>
  <w:footnote w:type="continuationSeparator" w:id="0">
    <w:p w:rsidR="00DB5B81" w:rsidRDefault="00DB5B81">
      <w:r>
        <w:continuationSeparator/>
      </w:r>
    </w:p>
  </w:footnote>
  <w:footnote w:id="1">
    <w:p w:rsidR="00504DF9" w:rsidRPr="008B19CC" w:rsidRDefault="00754B23">
      <w:pPr>
        <w:pStyle w:val="FootnoteText"/>
        <w:rPr>
          <w:rFonts w:eastAsia="Calibri"/>
          <w:sz w:val="20"/>
        </w:rPr>
      </w:pPr>
      <w:r>
        <w:tab/>
      </w:r>
      <w:r w:rsidR="00504DF9" w:rsidRPr="008B19CC">
        <w:rPr>
          <w:rStyle w:val="FootnoteReference"/>
          <w:sz w:val="20"/>
        </w:rPr>
        <w:footnoteRef/>
      </w:r>
      <w:r w:rsidR="00504DF9" w:rsidRPr="008B19CC">
        <w:rPr>
          <w:sz w:val="20"/>
        </w:rPr>
        <w:t xml:space="preserve"> </w:t>
      </w:r>
      <w:r w:rsidR="00504DF9" w:rsidRPr="008B19CC">
        <w:rPr>
          <w:rFonts w:eastAsia="Calibri"/>
          <w:sz w:val="20"/>
        </w:rPr>
        <w:t xml:space="preserve"> </w:t>
      </w:r>
      <w:r w:rsidRPr="008B19CC">
        <w:rPr>
          <w:rFonts w:eastAsia="Calibri"/>
          <w:sz w:val="20"/>
        </w:rPr>
        <w:tab/>
      </w:r>
      <w:proofErr w:type="gramStart"/>
      <w:r w:rsidR="00504DF9" w:rsidRPr="008B19CC">
        <w:rPr>
          <w:rFonts w:eastAsia="Calibri"/>
          <w:sz w:val="20"/>
        </w:rPr>
        <w:t>66 Pa. C.S. §701</w:t>
      </w:r>
      <w:r w:rsidRPr="008B19CC">
        <w:rPr>
          <w:rFonts w:eastAsia="Calibri"/>
          <w:sz w:val="20"/>
        </w:rPr>
        <w:t>.</w:t>
      </w:r>
      <w:proofErr w:type="gramEnd"/>
    </w:p>
    <w:p w:rsidR="00754B23" w:rsidRPr="008B19CC" w:rsidRDefault="00754B23">
      <w:pPr>
        <w:pStyle w:val="FootnoteText"/>
        <w:rPr>
          <w:sz w:val="20"/>
        </w:rPr>
      </w:pPr>
    </w:p>
  </w:footnote>
  <w:footnote w:id="2">
    <w:p w:rsidR="008C2F21" w:rsidRPr="008B19CC" w:rsidRDefault="00754B23" w:rsidP="008C2F21">
      <w:pPr>
        <w:pStyle w:val="FootnoteText"/>
        <w:rPr>
          <w:rFonts w:eastAsia="Calibri"/>
          <w:sz w:val="20"/>
        </w:rPr>
      </w:pPr>
      <w:r w:rsidRPr="008B19CC">
        <w:rPr>
          <w:sz w:val="20"/>
        </w:rPr>
        <w:tab/>
      </w:r>
      <w:r w:rsidR="008C2F21" w:rsidRPr="008B19CC">
        <w:rPr>
          <w:rStyle w:val="FootnoteReference"/>
          <w:sz w:val="20"/>
        </w:rPr>
        <w:footnoteRef/>
      </w:r>
      <w:r w:rsidR="008C2F21" w:rsidRPr="008B19CC">
        <w:rPr>
          <w:sz w:val="20"/>
        </w:rPr>
        <w:t xml:space="preserve"> </w:t>
      </w:r>
      <w:r w:rsidRPr="008B19CC">
        <w:rPr>
          <w:sz w:val="20"/>
        </w:rPr>
        <w:tab/>
      </w:r>
      <w:proofErr w:type="gramStart"/>
      <w:r w:rsidR="008C2F21" w:rsidRPr="008B19CC">
        <w:rPr>
          <w:rFonts w:eastAsia="Calibri"/>
          <w:sz w:val="20"/>
        </w:rPr>
        <w:t>Section 332(a) of the Code, 66 Pa. C.S. §332(a).</w:t>
      </w:r>
      <w:proofErr w:type="gramEnd"/>
    </w:p>
    <w:p w:rsidR="00754B23" w:rsidRPr="008B19CC" w:rsidRDefault="00754B23" w:rsidP="008C2F21">
      <w:pPr>
        <w:pStyle w:val="FootnoteText"/>
        <w:rPr>
          <w:sz w:val="20"/>
        </w:rPr>
      </w:pPr>
    </w:p>
  </w:footnote>
  <w:footnote w:id="3">
    <w:p w:rsidR="000311CD" w:rsidRPr="008B19CC" w:rsidRDefault="00754B23">
      <w:pPr>
        <w:pStyle w:val="FootnoteText"/>
        <w:rPr>
          <w:sz w:val="20"/>
        </w:rPr>
      </w:pPr>
      <w:r w:rsidRPr="008B19CC">
        <w:rPr>
          <w:sz w:val="20"/>
        </w:rPr>
        <w:tab/>
      </w:r>
      <w:r w:rsidR="000311CD" w:rsidRPr="008B19CC">
        <w:rPr>
          <w:rStyle w:val="FootnoteReference"/>
          <w:sz w:val="20"/>
        </w:rPr>
        <w:footnoteRef/>
      </w:r>
      <w:r w:rsidR="000311CD" w:rsidRPr="008B19CC">
        <w:rPr>
          <w:sz w:val="20"/>
        </w:rPr>
        <w:t xml:space="preserve"> </w:t>
      </w:r>
      <w:r w:rsidRPr="008B19CC">
        <w:rPr>
          <w:sz w:val="20"/>
        </w:rPr>
        <w:tab/>
      </w:r>
      <w:r w:rsidR="002D5965" w:rsidRPr="008B19CC">
        <w:rPr>
          <w:sz w:val="20"/>
        </w:rPr>
        <w:t>Tr.</w:t>
      </w:r>
      <w:r w:rsidR="000311CD" w:rsidRPr="008B19CC">
        <w:rPr>
          <w:sz w:val="20"/>
        </w:rPr>
        <w:t xml:space="preserve"> 28-29.</w:t>
      </w:r>
    </w:p>
  </w:footnote>
  <w:footnote w:id="4">
    <w:p w:rsidR="00185365" w:rsidRPr="008B19CC" w:rsidRDefault="00185365" w:rsidP="00754B23">
      <w:pPr>
        <w:pStyle w:val="FootnoteText"/>
        <w:ind w:firstLine="720"/>
        <w:rPr>
          <w:sz w:val="20"/>
        </w:rPr>
      </w:pPr>
      <w:r w:rsidRPr="008B19CC">
        <w:rPr>
          <w:rStyle w:val="FootnoteReference"/>
          <w:sz w:val="20"/>
        </w:rPr>
        <w:footnoteRef/>
      </w:r>
      <w:r w:rsidRPr="008B19CC">
        <w:rPr>
          <w:sz w:val="20"/>
        </w:rPr>
        <w:t xml:space="preserve"> </w:t>
      </w:r>
      <w:r w:rsidR="00754B23" w:rsidRPr="008B19CC">
        <w:rPr>
          <w:sz w:val="20"/>
        </w:rPr>
        <w:tab/>
      </w:r>
      <w:r w:rsidRPr="008B19CC">
        <w:rPr>
          <w:sz w:val="20"/>
        </w:rPr>
        <w:t>T</w:t>
      </w:r>
      <w:r w:rsidR="00AA383D">
        <w:rPr>
          <w:sz w:val="20"/>
        </w:rPr>
        <w:t>r</w:t>
      </w:r>
      <w:r w:rsidRPr="008B19CC">
        <w:rPr>
          <w:sz w:val="20"/>
        </w:rPr>
        <w:t>. 25, 26-27.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eventsink" w:val="w:compa"/>
  </w:docVars>
  <w:rsids>
    <w:rsidRoot w:val="00332CA0"/>
    <w:rsid w:val="0001497D"/>
    <w:rsid w:val="00027754"/>
    <w:rsid w:val="000311CD"/>
    <w:rsid w:val="0005746C"/>
    <w:rsid w:val="00060D69"/>
    <w:rsid w:val="00076AB6"/>
    <w:rsid w:val="000930AA"/>
    <w:rsid w:val="000A1EA2"/>
    <w:rsid w:val="000E6C11"/>
    <w:rsid w:val="001264DF"/>
    <w:rsid w:val="00126BB4"/>
    <w:rsid w:val="001302E1"/>
    <w:rsid w:val="00150015"/>
    <w:rsid w:val="001601CE"/>
    <w:rsid w:val="001744F8"/>
    <w:rsid w:val="0017554E"/>
    <w:rsid w:val="00185365"/>
    <w:rsid w:val="001A00E0"/>
    <w:rsid w:val="001B767B"/>
    <w:rsid w:val="001D11B7"/>
    <w:rsid w:val="001E59B9"/>
    <w:rsid w:val="00205472"/>
    <w:rsid w:val="00224287"/>
    <w:rsid w:val="00234D44"/>
    <w:rsid w:val="00244AAF"/>
    <w:rsid w:val="00247900"/>
    <w:rsid w:val="002522C7"/>
    <w:rsid w:val="00256B89"/>
    <w:rsid w:val="00260CCA"/>
    <w:rsid w:val="0026268C"/>
    <w:rsid w:val="00273ABB"/>
    <w:rsid w:val="00281968"/>
    <w:rsid w:val="002B5DBF"/>
    <w:rsid w:val="002C07E4"/>
    <w:rsid w:val="002D5965"/>
    <w:rsid w:val="002E57C8"/>
    <w:rsid w:val="002F1BF3"/>
    <w:rsid w:val="0031685C"/>
    <w:rsid w:val="00332CA0"/>
    <w:rsid w:val="00357835"/>
    <w:rsid w:val="00374FC2"/>
    <w:rsid w:val="0037774F"/>
    <w:rsid w:val="00396A15"/>
    <w:rsid w:val="003C36D8"/>
    <w:rsid w:val="003E5D35"/>
    <w:rsid w:val="003F56B3"/>
    <w:rsid w:val="00400D6F"/>
    <w:rsid w:val="004024E6"/>
    <w:rsid w:val="00412B85"/>
    <w:rsid w:val="00421317"/>
    <w:rsid w:val="0044702F"/>
    <w:rsid w:val="00466396"/>
    <w:rsid w:val="004C3C80"/>
    <w:rsid w:val="004D22DE"/>
    <w:rsid w:val="004E477C"/>
    <w:rsid w:val="004F7521"/>
    <w:rsid w:val="00504DF9"/>
    <w:rsid w:val="0051419B"/>
    <w:rsid w:val="00560DC5"/>
    <w:rsid w:val="00594886"/>
    <w:rsid w:val="005A7A1B"/>
    <w:rsid w:val="005B4286"/>
    <w:rsid w:val="005C6F1C"/>
    <w:rsid w:val="006226F3"/>
    <w:rsid w:val="0063576F"/>
    <w:rsid w:val="0066060A"/>
    <w:rsid w:val="00660A2C"/>
    <w:rsid w:val="00666252"/>
    <w:rsid w:val="006675F1"/>
    <w:rsid w:val="00667989"/>
    <w:rsid w:val="0067466A"/>
    <w:rsid w:val="006754D0"/>
    <w:rsid w:val="00677FC7"/>
    <w:rsid w:val="006E2126"/>
    <w:rsid w:val="007012A7"/>
    <w:rsid w:val="00713560"/>
    <w:rsid w:val="007243FF"/>
    <w:rsid w:val="00740950"/>
    <w:rsid w:val="007539C9"/>
    <w:rsid w:val="00754B23"/>
    <w:rsid w:val="00756B16"/>
    <w:rsid w:val="00780CF8"/>
    <w:rsid w:val="007A5EB8"/>
    <w:rsid w:val="007C0A7A"/>
    <w:rsid w:val="007D7356"/>
    <w:rsid w:val="007E2C68"/>
    <w:rsid w:val="0080557F"/>
    <w:rsid w:val="008057B0"/>
    <w:rsid w:val="00806802"/>
    <w:rsid w:val="00817BB9"/>
    <w:rsid w:val="0082264A"/>
    <w:rsid w:val="00844F99"/>
    <w:rsid w:val="00845FB1"/>
    <w:rsid w:val="00870DEB"/>
    <w:rsid w:val="00876C44"/>
    <w:rsid w:val="00880F3D"/>
    <w:rsid w:val="008A3DC0"/>
    <w:rsid w:val="008B19CC"/>
    <w:rsid w:val="008C2F21"/>
    <w:rsid w:val="008C3295"/>
    <w:rsid w:val="008D2A26"/>
    <w:rsid w:val="008D4292"/>
    <w:rsid w:val="008D6D8C"/>
    <w:rsid w:val="00901FC7"/>
    <w:rsid w:val="0094162A"/>
    <w:rsid w:val="00972279"/>
    <w:rsid w:val="00974735"/>
    <w:rsid w:val="00975788"/>
    <w:rsid w:val="0098495D"/>
    <w:rsid w:val="009A0A9E"/>
    <w:rsid w:val="009A7B6A"/>
    <w:rsid w:val="009B09C8"/>
    <w:rsid w:val="009B0A2E"/>
    <w:rsid w:val="009B2DA0"/>
    <w:rsid w:val="009C1A83"/>
    <w:rsid w:val="009C55BB"/>
    <w:rsid w:val="009E2839"/>
    <w:rsid w:val="00A07880"/>
    <w:rsid w:val="00A13B55"/>
    <w:rsid w:val="00A16D0C"/>
    <w:rsid w:val="00A3698B"/>
    <w:rsid w:val="00A42B33"/>
    <w:rsid w:val="00A51AEC"/>
    <w:rsid w:val="00A602D7"/>
    <w:rsid w:val="00A66381"/>
    <w:rsid w:val="00A70304"/>
    <w:rsid w:val="00A7037B"/>
    <w:rsid w:val="00A70419"/>
    <w:rsid w:val="00A73D2F"/>
    <w:rsid w:val="00A80395"/>
    <w:rsid w:val="00A80BFB"/>
    <w:rsid w:val="00A827AC"/>
    <w:rsid w:val="00A85985"/>
    <w:rsid w:val="00A9364D"/>
    <w:rsid w:val="00AA277C"/>
    <w:rsid w:val="00AA383D"/>
    <w:rsid w:val="00AC281B"/>
    <w:rsid w:val="00AC540C"/>
    <w:rsid w:val="00AD0EFA"/>
    <w:rsid w:val="00B130F7"/>
    <w:rsid w:val="00B5127B"/>
    <w:rsid w:val="00B64556"/>
    <w:rsid w:val="00B64B98"/>
    <w:rsid w:val="00B66296"/>
    <w:rsid w:val="00B72744"/>
    <w:rsid w:val="00BB5F46"/>
    <w:rsid w:val="00BD0DF4"/>
    <w:rsid w:val="00BD42BA"/>
    <w:rsid w:val="00BF4B6C"/>
    <w:rsid w:val="00C07EAD"/>
    <w:rsid w:val="00C1344F"/>
    <w:rsid w:val="00C262F7"/>
    <w:rsid w:val="00C35505"/>
    <w:rsid w:val="00C52EA6"/>
    <w:rsid w:val="00C57E07"/>
    <w:rsid w:val="00C606BF"/>
    <w:rsid w:val="00C837A6"/>
    <w:rsid w:val="00C86EBF"/>
    <w:rsid w:val="00C901B7"/>
    <w:rsid w:val="00CA17C0"/>
    <w:rsid w:val="00CB077E"/>
    <w:rsid w:val="00CB2901"/>
    <w:rsid w:val="00CB765E"/>
    <w:rsid w:val="00CC4F98"/>
    <w:rsid w:val="00CD20F8"/>
    <w:rsid w:val="00CD5DCC"/>
    <w:rsid w:val="00D046B1"/>
    <w:rsid w:val="00D64EDE"/>
    <w:rsid w:val="00D64EFD"/>
    <w:rsid w:val="00D709D1"/>
    <w:rsid w:val="00D72B37"/>
    <w:rsid w:val="00D776CC"/>
    <w:rsid w:val="00D93E5C"/>
    <w:rsid w:val="00DA0FE3"/>
    <w:rsid w:val="00DB5B81"/>
    <w:rsid w:val="00DB6FC2"/>
    <w:rsid w:val="00DB7E3C"/>
    <w:rsid w:val="00DC3080"/>
    <w:rsid w:val="00E0085B"/>
    <w:rsid w:val="00E054C5"/>
    <w:rsid w:val="00E12EFF"/>
    <w:rsid w:val="00E5233B"/>
    <w:rsid w:val="00E9055C"/>
    <w:rsid w:val="00ED01F2"/>
    <w:rsid w:val="00EE07A5"/>
    <w:rsid w:val="00EF6315"/>
    <w:rsid w:val="00F10D22"/>
    <w:rsid w:val="00F1326F"/>
    <w:rsid w:val="00F15DA9"/>
    <w:rsid w:val="00F31812"/>
    <w:rsid w:val="00F45549"/>
    <w:rsid w:val="00F530C6"/>
    <w:rsid w:val="00F66E07"/>
    <w:rsid w:val="00F6728F"/>
    <w:rsid w:val="00FA52E1"/>
    <w:rsid w:val="00FB0D7E"/>
    <w:rsid w:val="00FD0374"/>
    <w:rsid w:val="00FE3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0311CD"/>
    <w:rPr>
      <w:sz w:val="24"/>
    </w:rPr>
  </w:style>
  <w:style w:type="character" w:customStyle="1" w:styleId="FootnoteTextChar">
    <w:name w:val="Footnote Text Char"/>
    <w:basedOn w:val="DefaultParagraphFont"/>
    <w:link w:val="FootnoteText"/>
    <w:rsid w:val="000311CD"/>
    <w:rPr>
      <w:sz w:val="24"/>
    </w:rPr>
  </w:style>
  <w:style w:type="character" w:styleId="FootnoteReference">
    <w:name w:val="footnote reference"/>
    <w:basedOn w:val="DefaultParagraphFont"/>
    <w:rsid w:val="00B130F7"/>
    <w:rPr>
      <w:vertAlign w:val="superscript"/>
    </w:rPr>
  </w:style>
  <w:style w:type="paragraph" w:styleId="Header">
    <w:name w:val="header"/>
    <w:basedOn w:val="Normal"/>
    <w:link w:val="HeaderChar"/>
    <w:rsid w:val="00E054C5"/>
    <w:pPr>
      <w:tabs>
        <w:tab w:val="center" w:pos="4680"/>
        <w:tab w:val="right" w:pos="9360"/>
      </w:tabs>
    </w:pPr>
  </w:style>
  <w:style w:type="character" w:customStyle="1" w:styleId="HeaderChar">
    <w:name w:val="Header Char"/>
    <w:basedOn w:val="DefaultParagraphFont"/>
    <w:link w:val="Header"/>
    <w:rsid w:val="00E054C5"/>
  </w:style>
</w:styles>
</file>

<file path=word/webSettings.xml><?xml version="1.0" encoding="utf-8"?>
<w:webSettings xmlns:r="http://schemas.openxmlformats.org/officeDocument/2006/relationships" xmlns:w="http://schemas.openxmlformats.org/wordprocessingml/2006/main">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AEA0-34DB-4A8F-835F-5423ACF3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shoffner</cp:lastModifiedBy>
  <cp:revision>4</cp:revision>
  <cp:lastPrinted>2011-02-23T17:38:00Z</cp:lastPrinted>
  <dcterms:created xsi:type="dcterms:W3CDTF">2011-01-13T18:02:00Z</dcterms:created>
  <dcterms:modified xsi:type="dcterms:W3CDTF">2011-02-23T17:38:00Z</dcterms:modified>
</cp:coreProperties>
</file>