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04F" w:rsidRPr="00E32534" w:rsidRDefault="00142DE0" w:rsidP="0055704F">
      <w:pPr>
        <w:jc w:val="center"/>
        <w:rPr>
          <w:rFonts w:ascii="Century Schoolbook" w:hAnsi="Century Schoolbook"/>
          <w:b/>
        </w:rPr>
      </w:pPr>
      <w:r w:rsidRPr="00E32534">
        <w:rPr>
          <w:rFonts w:ascii="Century Schoolbook" w:hAnsi="Century Schoolbook"/>
          <w:b/>
        </w:rPr>
        <w:t>PENNSYLVANIA PUBLIC UTILITY COMMISSION</w:t>
      </w:r>
    </w:p>
    <w:p w:rsidR="00142DE0" w:rsidRPr="00E32534" w:rsidRDefault="00142DE0" w:rsidP="0055704F">
      <w:pPr>
        <w:jc w:val="center"/>
        <w:rPr>
          <w:rFonts w:ascii="Century Schoolbook" w:hAnsi="Century Schoolbook"/>
          <w:b/>
        </w:rPr>
      </w:pPr>
      <w:r w:rsidRPr="00E32534">
        <w:rPr>
          <w:rFonts w:ascii="Century Schoolbook" w:hAnsi="Century Schoolbook"/>
          <w:b/>
        </w:rPr>
        <w:t>HARRISBURG, PENNSYLVANIA 17105-3265</w:t>
      </w:r>
    </w:p>
    <w:p w:rsidR="00142DE0" w:rsidRPr="00E32534" w:rsidRDefault="00142DE0" w:rsidP="00142DE0">
      <w:pPr>
        <w:rPr>
          <w:rFonts w:ascii="Century Schoolbook" w:hAnsi="Century Schoolbook"/>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88"/>
        <w:gridCol w:w="236"/>
        <w:gridCol w:w="4552"/>
      </w:tblGrid>
      <w:tr w:rsidR="00142DE0" w:rsidRPr="00E32534" w:rsidTr="009549C6">
        <w:tc>
          <w:tcPr>
            <w:tcW w:w="4788" w:type="dxa"/>
          </w:tcPr>
          <w:p w:rsidR="00142DE0" w:rsidRPr="00E32534" w:rsidRDefault="00142DE0" w:rsidP="00142DE0">
            <w:pPr>
              <w:rPr>
                <w:rFonts w:ascii="Century Schoolbook" w:hAnsi="Century Schoolbook"/>
                <w:b/>
                <w:sz w:val="22"/>
                <w:szCs w:val="22"/>
              </w:rPr>
            </w:pPr>
            <w:r w:rsidRPr="00E32534">
              <w:rPr>
                <w:rFonts w:ascii="Century Schoolbook" w:hAnsi="Century Schoolbook"/>
                <w:b/>
                <w:sz w:val="22"/>
                <w:szCs w:val="22"/>
              </w:rPr>
              <w:t>Joint Application of West Penn Power Company d/b/a Allegheny Power, Trans-Allegheny Interstate Line Company and FirstEnergy Corp. for a Certificate of Public Convenience under Section 1102(a)(3) of the Public Utility Code approving a change of control of West Penn Power Company And Trans-Allegheny Interstate Line Company</w:t>
            </w:r>
          </w:p>
          <w:p w:rsidR="00142DE0" w:rsidRPr="00E32534" w:rsidRDefault="00142DE0" w:rsidP="00142DE0">
            <w:pPr>
              <w:rPr>
                <w:rFonts w:ascii="Century Schoolbook" w:hAnsi="Century Schoolbook"/>
                <w:b/>
                <w:sz w:val="22"/>
                <w:szCs w:val="22"/>
              </w:rPr>
            </w:pPr>
          </w:p>
        </w:tc>
        <w:tc>
          <w:tcPr>
            <w:tcW w:w="236" w:type="dxa"/>
          </w:tcPr>
          <w:p w:rsidR="00142DE0" w:rsidRPr="00E32534" w:rsidRDefault="00142DE0" w:rsidP="00142DE0">
            <w:pPr>
              <w:rPr>
                <w:rFonts w:ascii="Century Schoolbook" w:hAnsi="Century Schoolbook"/>
                <w:b/>
                <w:sz w:val="22"/>
                <w:szCs w:val="22"/>
              </w:rPr>
            </w:pPr>
          </w:p>
        </w:tc>
        <w:tc>
          <w:tcPr>
            <w:tcW w:w="4552" w:type="dxa"/>
          </w:tcPr>
          <w:p w:rsidR="00142DE0" w:rsidRPr="00E32534" w:rsidRDefault="00142DE0" w:rsidP="00142DE0">
            <w:pPr>
              <w:rPr>
                <w:rFonts w:ascii="Century Schoolbook" w:hAnsi="Century Schoolbook"/>
                <w:b/>
                <w:sz w:val="22"/>
                <w:szCs w:val="22"/>
              </w:rPr>
            </w:pPr>
            <w:r w:rsidRPr="00E32534">
              <w:rPr>
                <w:rFonts w:ascii="Century Schoolbook" w:hAnsi="Century Schoolbook"/>
                <w:b/>
                <w:sz w:val="22"/>
                <w:szCs w:val="22"/>
              </w:rPr>
              <w:t xml:space="preserve">PUBLIC MEETING: February </w:t>
            </w:r>
            <w:r w:rsidR="00521E2B" w:rsidRPr="00E32534">
              <w:rPr>
                <w:rFonts w:ascii="Century Schoolbook" w:hAnsi="Century Schoolbook"/>
                <w:b/>
                <w:sz w:val="22"/>
                <w:szCs w:val="22"/>
              </w:rPr>
              <w:t>24</w:t>
            </w:r>
            <w:r w:rsidRPr="00E32534">
              <w:rPr>
                <w:rFonts w:ascii="Century Schoolbook" w:hAnsi="Century Schoolbook"/>
                <w:b/>
                <w:sz w:val="22"/>
                <w:szCs w:val="22"/>
              </w:rPr>
              <w:t>, 201</w:t>
            </w:r>
            <w:r w:rsidR="00231CFC">
              <w:rPr>
                <w:rFonts w:ascii="Century Schoolbook" w:hAnsi="Century Schoolbook"/>
                <w:b/>
                <w:sz w:val="22"/>
                <w:szCs w:val="22"/>
              </w:rPr>
              <w:t>1</w:t>
            </w:r>
          </w:p>
          <w:p w:rsidR="00142DE0" w:rsidRPr="00E32534" w:rsidRDefault="00E32534" w:rsidP="00142DE0">
            <w:pPr>
              <w:rPr>
                <w:rFonts w:ascii="Century Schoolbook" w:hAnsi="Century Schoolbook"/>
                <w:b/>
                <w:sz w:val="22"/>
                <w:szCs w:val="22"/>
              </w:rPr>
            </w:pPr>
            <w:r>
              <w:rPr>
                <w:rFonts w:ascii="Century Schoolbook" w:hAnsi="Century Schoolbook"/>
                <w:b/>
                <w:sz w:val="22"/>
                <w:szCs w:val="22"/>
              </w:rPr>
              <w:t>2176520-OSA</w:t>
            </w:r>
          </w:p>
          <w:p w:rsidR="00142DE0" w:rsidRPr="00E32534" w:rsidRDefault="00142DE0" w:rsidP="00142DE0">
            <w:pPr>
              <w:rPr>
                <w:rFonts w:ascii="Century Schoolbook" w:hAnsi="Century Schoolbook"/>
                <w:b/>
                <w:sz w:val="22"/>
                <w:szCs w:val="22"/>
              </w:rPr>
            </w:pPr>
          </w:p>
          <w:p w:rsidR="00142DE0" w:rsidRPr="00E32534" w:rsidRDefault="00142DE0" w:rsidP="00142DE0">
            <w:pPr>
              <w:rPr>
                <w:rFonts w:ascii="Century Schoolbook" w:hAnsi="Century Schoolbook"/>
                <w:b/>
                <w:sz w:val="22"/>
                <w:szCs w:val="22"/>
              </w:rPr>
            </w:pPr>
            <w:r w:rsidRPr="00E32534">
              <w:rPr>
                <w:rFonts w:ascii="Century Schoolbook" w:hAnsi="Century Schoolbook"/>
                <w:b/>
                <w:sz w:val="22"/>
                <w:szCs w:val="22"/>
              </w:rPr>
              <w:t xml:space="preserve">Docket No. A-2010-2176520 </w:t>
            </w:r>
          </w:p>
          <w:p w:rsidR="00142DE0" w:rsidRPr="00E32534" w:rsidRDefault="00142DE0" w:rsidP="00142DE0">
            <w:pPr>
              <w:rPr>
                <w:rFonts w:ascii="Century Schoolbook" w:hAnsi="Century Schoolbook"/>
                <w:b/>
                <w:sz w:val="22"/>
                <w:szCs w:val="22"/>
              </w:rPr>
            </w:pPr>
            <w:r w:rsidRPr="00E32534">
              <w:rPr>
                <w:rFonts w:ascii="Century Schoolbook" w:hAnsi="Century Schoolbook"/>
                <w:b/>
                <w:sz w:val="22"/>
                <w:szCs w:val="22"/>
              </w:rPr>
              <w:t>Docket No. A-2010-2176732</w:t>
            </w:r>
          </w:p>
          <w:p w:rsidR="00142DE0" w:rsidRPr="00E32534" w:rsidRDefault="00142DE0" w:rsidP="00142DE0">
            <w:pPr>
              <w:rPr>
                <w:rFonts w:ascii="Century Schoolbook" w:hAnsi="Century Schoolbook"/>
                <w:b/>
                <w:i/>
                <w:sz w:val="22"/>
                <w:szCs w:val="22"/>
              </w:rPr>
            </w:pPr>
          </w:p>
          <w:p w:rsidR="00142DE0" w:rsidRPr="00E32534" w:rsidRDefault="00142DE0" w:rsidP="00142DE0">
            <w:pPr>
              <w:rPr>
                <w:rFonts w:ascii="Century Schoolbook" w:hAnsi="Century Schoolbook"/>
                <w:b/>
                <w:sz w:val="22"/>
                <w:szCs w:val="22"/>
              </w:rPr>
            </w:pPr>
          </w:p>
        </w:tc>
      </w:tr>
    </w:tbl>
    <w:p w:rsidR="009E446C" w:rsidRPr="00E32534" w:rsidRDefault="00425016" w:rsidP="00142DE0">
      <w:pPr>
        <w:jc w:val="center"/>
        <w:rPr>
          <w:rFonts w:ascii="Century Schoolbook" w:hAnsi="Century Schoolbook"/>
          <w:b/>
        </w:rPr>
      </w:pPr>
      <w:r w:rsidRPr="00E32534">
        <w:rPr>
          <w:rFonts w:ascii="Century Schoolbook" w:hAnsi="Century Schoolbook"/>
          <w:b/>
        </w:rPr>
        <w:t>DISSENTING STATEMENT</w:t>
      </w:r>
      <w:r w:rsidR="00142DE0" w:rsidRPr="00E32534">
        <w:rPr>
          <w:rFonts w:ascii="Century Schoolbook" w:hAnsi="Century Schoolbook"/>
          <w:b/>
        </w:rPr>
        <w:t xml:space="preserve"> OF </w:t>
      </w:r>
    </w:p>
    <w:p w:rsidR="009E446C" w:rsidRPr="00E32534" w:rsidRDefault="00142DE0" w:rsidP="00142DE0">
      <w:pPr>
        <w:jc w:val="center"/>
        <w:rPr>
          <w:rFonts w:ascii="Century Schoolbook" w:hAnsi="Century Schoolbook"/>
          <w:b/>
        </w:rPr>
      </w:pPr>
      <w:r w:rsidRPr="00E32534">
        <w:rPr>
          <w:rFonts w:ascii="Century Schoolbook" w:hAnsi="Century Schoolbook"/>
          <w:b/>
        </w:rPr>
        <w:t>CHAIRMAN JAMES H. CAWLEY</w:t>
      </w:r>
    </w:p>
    <w:p w:rsidR="009E446C" w:rsidRPr="00E32534" w:rsidRDefault="009E446C" w:rsidP="00142DE0">
      <w:pPr>
        <w:jc w:val="center"/>
        <w:rPr>
          <w:rFonts w:ascii="Century Schoolbook" w:hAnsi="Century Schoolbook"/>
        </w:rPr>
      </w:pPr>
    </w:p>
    <w:p w:rsidR="003C664E" w:rsidRPr="00E32534" w:rsidRDefault="00142DE0" w:rsidP="00142DE0">
      <w:pPr>
        <w:rPr>
          <w:rFonts w:ascii="Century Schoolbook" w:hAnsi="Century Schoolbook"/>
        </w:rPr>
      </w:pPr>
      <w:r w:rsidRPr="00E32534">
        <w:rPr>
          <w:rFonts w:ascii="Century Schoolbook" w:hAnsi="Century Schoolbook"/>
        </w:rPr>
        <w:tab/>
        <w:t xml:space="preserve">Before us is </w:t>
      </w:r>
      <w:r w:rsidR="000A6EC6" w:rsidRPr="00E32534">
        <w:rPr>
          <w:rFonts w:ascii="Century Schoolbook" w:hAnsi="Century Schoolbook"/>
        </w:rPr>
        <w:t>a proposed merger of four of Pennsylvania’s electric distribution companies (“EDCs”) which, if approved, will impact the electricity service provided to more than one-third of Pennsylvania’s electric customers in a combined service territory covering approximately 70</w:t>
      </w:r>
      <w:r w:rsidR="000C3C0C" w:rsidRPr="00E32534">
        <w:rPr>
          <w:rFonts w:ascii="Century Schoolbook" w:hAnsi="Century Schoolbook"/>
        </w:rPr>
        <w:t xml:space="preserve"> percent</w:t>
      </w:r>
      <w:r w:rsidR="000A6EC6" w:rsidRPr="00E32534">
        <w:rPr>
          <w:rFonts w:ascii="Century Schoolbook" w:hAnsi="Century Schoolbook"/>
        </w:rPr>
        <w:t xml:space="preserve"> of the Commonwealth.  In th</w:t>
      </w:r>
      <w:r w:rsidR="00ED227B" w:rsidRPr="00E32534">
        <w:rPr>
          <w:rFonts w:ascii="Century Schoolbook" w:hAnsi="Century Schoolbook"/>
        </w:rPr>
        <w:t>is proceeding, FirstEnergy Corporation</w:t>
      </w:r>
      <w:r w:rsidR="000A6EC6" w:rsidRPr="00E32534">
        <w:rPr>
          <w:rFonts w:ascii="Century Schoolbook" w:hAnsi="Century Schoolbook"/>
        </w:rPr>
        <w:t xml:space="preserve"> (“FirstEnergy”) – which consists of </w:t>
      </w:r>
      <w:r w:rsidR="007236CC" w:rsidRPr="00E32534">
        <w:rPr>
          <w:rFonts w:ascii="Century Schoolbook" w:hAnsi="Century Schoolbook"/>
        </w:rPr>
        <w:t>Pennsylvania Electric Co</w:t>
      </w:r>
      <w:r w:rsidR="00ED227B" w:rsidRPr="00E32534">
        <w:rPr>
          <w:rFonts w:ascii="Century Schoolbook" w:hAnsi="Century Schoolbook"/>
        </w:rPr>
        <w:t>mpany</w:t>
      </w:r>
      <w:r w:rsidR="000C3C0C" w:rsidRPr="00E32534">
        <w:rPr>
          <w:rFonts w:ascii="Century Schoolbook" w:hAnsi="Century Schoolbook"/>
        </w:rPr>
        <w:t xml:space="preserve"> (“Penelec”),</w:t>
      </w:r>
      <w:r w:rsidR="00ED227B" w:rsidRPr="00E32534">
        <w:rPr>
          <w:rFonts w:ascii="Century Schoolbook" w:hAnsi="Century Schoolbook"/>
        </w:rPr>
        <w:t xml:space="preserve"> Pennsylvania Power Company</w:t>
      </w:r>
      <w:r w:rsidR="000C3C0C" w:rsidRPr="00E32534">
        <w:rPr>
          <w:rFonts w:ascii="Century Schoolbook" w:hAnsi="Century Schoolbook"/>
        </w:rPr>
        <w:t xml:space="preserve"> (“Penn Power”)</w:t>
      </w:r>
      <w:r w:rsidR="007236CC" w:rsidRPr="00E32534">
        <w:rPr>
          <w:rFonts w:ascii="Century Schoolbook" w:hAnsi="Century Schoolbook"/>
        </w:rPr>
        <w:t>,</w:t>
      </w:r>
      <w:r w:rsidR="000A6EC6" w:rsidRPr="00E32534">
        <w:rPr>
          <w:rFonts w:ascii="Century Schoolbook" w:hAnsi="Century Schoolbook"/>
        </w:rPr>
        <w:t xml:space="preserve"> </w:t>
      </w:r>
      <w:r w:rsidR="007236CC" w:rsidRPr="00E32534">
        <w:rPr>
          <w:rFonts w:ascii="Century Schoolbook" w:hAnsi="Century Schoolbook"/>
        </w:rPr>
        <w:t xml:space="preserve">and </w:t>
      </w:r>
      <w:r w:rsidR="000A6EC6" w:rsidRPr="00E32534">
        <w:rPr>
          <w:rFonts w:ascii="Century Schoolbook" w:hAnsi="Century Schoolbook"/>
        </w:rPr>
        <w:t>M</w:t>
      </w:r>
      <w:r w:rsidR="00B34EC3" w:rsidRPr="00E32534">
        <w:rPr>
          <w:rFonts w:ascii="Century Schoolbook" w:hAnsi="Century Schoolbook"/>
        </w:rPr>
        <w:t>etropolitan Edison</w:t>
      </w:r>
      <w:r w:rsidR="007236CC" w:rsidRPr="00E32534">
        <w:rPr>
          <w:rFonts w:ascii="Century Schoolbook" w:hAnsi="Century Schoolbook"/>
        </w:rPr>
        <w:t xml:space="preserve"> Co.</w:t>
      </w:r>
      <w:r w:rsidR="000C3C0C" w:rsidRPr="00E32534">
        <w:rPr>
          <w:rFonts w:ascii="Century Schoolbook" w:hAnsi="Century Schoolbook"/>
        </w:rPr>
        <w:t xml:space="preserve"> (“MetEd”)</w:t>
      </w:r>
      <w:r w:rsidR="00B34EC3" w:rsidRPr="00E32534">
        <w:rPr>
          <w:rFonts w:ascii="Century Schoolbook" w:hAnsi="Century Schoolbook"/>
        </w:rPr>
        <w:t xml:space="preserve"> – </w:t>
      </w:r>
      <w:r w:rsidR="000A6EC6" w:rsidRPr="00E32534">
        <w:rPr>
          <w:rFonts w:ascii="Century Schoolbook" w:hAnsi="Century Schoolbook"/>
        </w:rPr>
        <w:t xml:space="preserve">proposes to </w:t>
      </w:r>
      <w:r w:rsidR="00AE2F5E" w:rsidRPr="00E32534">
        <w:rPr>
          <w:rFonts w:ascii="Century Schoolbook" w:hAnsi="Century Schoolbook"/>
        </w:rPr>
        <w:t>acquire</w:t>
      </w:r>
      <w:r w:rsidR="000A6EC6" w:rsidRPr="00E32534">
        <w:rPr>
          <w:rFonts w:ascii="Century Schoolbook" w:hAnsi="Century Schoolbook"/>
        </w:rPr>
        <w:t xml:space="preserve"> West Pen</w:t>
      </w:r>
      <w:r w:rsidR="00787830" w:rsidRPr="00E32534">
        <w:rPr>
          <w:rFonts w:ascii="Century Schoolbook" w:hAnsi="Century Schoolbook"/>
        </w:rPr>
        <w:t>n</w:t>
      </w:r>
      <w:r w:rsidR="000A6EC6" w:rsidRPr="00E32534">
        <w:rPr>
          <w:rFonts w:ascii="Century Schoolbook" w:hAnsi="Century Schoolbook"/>
        </w:rPr>
        <w:t xml:space="preserve"> Power Company d/b/a Allegheny Power (“Allegheny”</w:t>
      </w:r>
      <w:r w:rsidR="00B34EC3" w:rsidRPr="00E32534">
        <w:rPr>
          <w:rFonts w:ascii="Century Schoolbook" w:hAnsi="Century Schoolbook"/>
        </w:rPr>
        <w:t>)</w:t>
      </w:r>
      <w:r w:rsidR="000A6EC6" w:rsidRPr="00E32534">
        <w:rPr>
          <w:rFonts w:ascii="Century Schoolbook" w:hAnsi="Century Schoolbook"/>
        </w:rPr>
        <w:t xml:space="preserve"> and </w:t>
      </w:r>
      <w:r w:rsidR="002A0CB1" w:rsidRPr="00E32534">
        <w:rPr>
          <w:rFonts w:ascii="Century Schoolbook" w:hAnsi="Century Schoolbook"/>
        </w:rPr>
        <w:t>Trans-</w:t>
      </w:r>
      <w:r w:rsidR="000A6EC6" w:rsidRPr="00E32534">
        <w:rPr>
          <w:rFonts w:ascii="Century Schoolbook" w:hAnsi="Century Schoolbook"/>
        </w:rPr>
        <w:t>Alleghe</w:t>
      </w:r>
      <w:r w:rsidR="00B34EC3" w:rsidRPr="00E32534">
        <w:rPr>
          <w:rFonts w:ascii="Century Schoolbook" w:hAnsi="Century Schoolbook"/>
        </w:rPr>
        <w:t>ny Interstate Line Company (“TrAILCo”)</w:t>
      </w:r>
      <w:r w:rsidR="00345149" w:rsidRPr="00E32534">
        <w:rPr>
          <w:rFonts w:ascii="Century Schoolbook" w:hAnsi="Century Schoolbook"/>
        </w:rPr>
        <w:t xml:space="preserve"> (collectively “Joint Applicants”)</w:t>
      </w:r>
      <w:r w:rsidR="00B34EC3" w:rsidRPr="00E32534">
        <w:rPr>
          <w:rFonts w:ascii="Century Schoolbook" w:hAnsi="Century Schoolbook"/>
        </w:rPr>
        <w:t xml:space="preserve">.  </w:t>
      </w:r>
    </w:p>
    <w:p w:rsidR="003C664E" w:rsidRPr="00E32534" w:rsidRDefault="003C664E" w:rsidP="00142DE0">
      <w:pPr>
        <w:rPr>
          <w:rFonts w:ascii="Century Schoolbook" w:hAnsi="Century Schoolbook"/>
        </w:rPr>
      </w:pPr>
    </w:p>
    <w:p w:rsidR="00CB6BA1" w:rsidRDefault="00CB6BA1" w:rsidP="003C664E">
      <w:pPr>
        <w:ind w:firstLine="720"/>
        <w:rPr>
          <w:rFonts w:ascii="Century Schoolbook" w:hAnsi="Century Schoolbook"/>
        </w:rPr>
      </w:pPr>
      <w:r w:rsidRPr="00E32534">
        <w:rPr>
          <w:rFonts w:ascii="Century Schoolbook" w:hAnsi="Century Schoolbook"/>
        </w:rPr>
        <w:t xml:space="preserve">Given the significance of this merger and the record developed in this proceeding demonstrating that anticompetitive and/or discriminatory conduct is </w:t>
      </w:r>
      <w:r w:rsidR="003F1C2C">
        <w:rPr>
          <w:rFonts w:ascii="Century Schoolbook" w:hAnsi="Century Schoolbook"/>
        </w:rPr>
        <w:t>virtually certain</w:t>
      </w:r>
      <w:r w:rsidRPr="00E32534">
        <w:rPr>
          <w:rFonts w:ascii="Century Schoolbook" w:hAnsi="Century Schoolbook"/>
        </w:rPr>
        <w:t xml:space="preserve"> to occur if this merger is approved without the imposition of significant conditions, </w:t>
      </w:r>
      <w:r w:rsidR="003C664E" w:rsidRPr="00E32534">
        <w:rPr>
          <w:rFonts w:ascii="Century Schoolbook" w:hAnsi="Century Schoolbook"/>
        </w:rPr>
        <w:t>this merger, as modified by the Joint Petition for Partial Settlement (“Partial Settlement”)</w:t>
      </w:r>
      <w:r w:rsidR="003F1C2C">
        <w:rPr>
          <w:rFonts w:ascii="Century Schoolbook" w:hAnsi="Century Schoolbook"/>
        </w:rPr>
        <w:t>,</w:t>
      </w:r>
      <w:r w:rsidR="003C664E" w:rsidRPr="00E32534">
        <w:rPr>
          <w:rFonts w:ascii="Century Schoolbook" w:hAnsi="Century Schoolbook"/>
        </w:rPr>
        <w:t xml:space="preserve"> should not be</w:t>
      </w:r>
      <w:r w:rsidRPr="00E32534">
        <w:rPr>
          <w:rFonts w:ascii="Century Schoolbook" w:hAnsi="Century Schoolbook"/>
        </w:rPr>
        <w:t xml:space="preserve"> approve</w:t>
      </w:r>
      <w:r w:rsidR="003C664E" w:rsidRPr="00E32534">
        <w:rPr>
          <w:rFonts w:ascii="Century Schoolbook" w:hAnsi="Century Schoolbook"/>
        </w:rPr>
        <w:t>d</w:t>
      </w:r>
      <w:r w:rsidRPr="00E32534">
        <w:rPr>
          <w:rFonts w:ascii="Century Schoolbook" w:hAnsi="Century Schoolbook"/>
        </w:rPr>
        <w:t xml:space="preserve">.  Rather, </w:t>
      </w:r>
      <w:r w:rsidR="00616EC5" w:rsidRPr="00E32534">
        <w:rPr>
          <w:rFonts w:ascii="Century Schoolbook" w:hAnsi="Century Schoolbook"/>
        </w:rPr>
        <w:t xml:space="preserve">the </w:t>
      </w:r>
      <w:r w:rsidR="00DA6966" w:rsidRPr="00E32534">
        <w:rPr>
          <w:rFonts w:ascii="Century Schoolbook" w:hAnsi="Century Schoolbook"/>
        </w:rPr>
        <w:t xml:space="preserve">Partial Settlement </w:t>
      </w:r>
      <w:r w:rsidR="003F1C2C">
        <w:rPr>
          <w:rFonts w:ascii="Century Schoolbook" w:hAnsi="Century Schoolbook"/>
        </w:rPr>
        <w:t xml:space="preserve">must be </w:t>
      </w:r>
      <w:r w:rsidR="001010BE">
        <w:rPr>
          <w:rFonts w:ascii="Century Schoolbook" w:hAnsi="Century Schoolbook"/>
        </w:rPr>
        <w:t xml:space="preserve">substantially </w:t>
      </w:r>
      <w:r w:rsidR="003F1C2C">
        <w:rPr>
          <w:rFonts w:ascii="Century Schoolbook" w:hAnsi="Century Schoolbook"/>
        </w:rPr>
        <w:t xml:space="preserve">augmented </w:t>
      </w:r>
      <w:r w:rsidR="00C16624" w:rsidRPr="00E32534">
        <w:rPr>
          <w:rFonts w:ascii="Century Schoolbook" w:hAnsi="Century Schoolbook"/>
        </w:rPr>
        <w:t xml:space="preserve">to </w:t>
      </w:r>
      <w:r w:rsidR="00002BD1" w:rsidRPr="00E32534">
        <w:rPr>
          <w:rFonts w:ascii="Century Schoolbook" w:hAnsi="Century Schoolbook"/>
        </w:rPr>
        <w:t>mitigate the likelihood of an</w:t>
      </w:r>
      <w:r w:rsidR="003609A7" w:rsidRPr="00E32534">
        <w:rPr>
          <w:rFonts w:ascii="Century Schoolbook" w:hAnsi="Century Schoolbook"/>
        </w:rPr>
        <w:t>ticompetitive or discriminatory</w:t>
      </w:r>
      <w:r w:rsidR="00002BD1" w:rsidRPr="00E32534">
        <w:rPr>
          <w:rFonts w:ascii="Century Schoolbook" w:hAnsi="Century Schoolbook"/>
        </w:rPr>
        <w:t xml:space="preserve"> </w:t>
      </w:r>
      <w:r w:rsidR="00F24300" w:rsidRPr="00E32534">
        <w:rPr>
          <w:rFonts w:ascii="Century Schoolbook" w:hAnsi="Century Schoolbook"/>
        </w:rPr>
        <w:t xml:space="preserve">conduct </w:t>
      </w:r>
      <w:r w:rsidR="00002BD1" w:rsidRPr="00E32534">
        <w:rPr>
          <w:rFonts w:ascii="Century Schoolbook" w:hAnsi="Century Schoolbook"/>
        </w:rPr>
        <w:t>post-merger</w:t>
      </w:r>
      <w:r w:rsidR="00256BCA" w:rsidRPr="00E32534">
        <w:rPr>
          <w:rFonts w:ascii="Century Schoolbook" w:hAnsi="Century Schoolbook"/>
        </w:rPr>
        <w:t xml:space="preserve">.  </w:t>
      </w:r>
      <w:r w:rsidR="003F1C2C">
        <w:rPr>
          <w:rFonts w:ascii="Century Schoolbook" w:hAnsi="Century Schoolbook"/>
        </w:rPr>
        <w:t>A</w:t>
      </w:r>
      <w:r w:rsidR="00256BCA" w:rsidRPr="00E32534">
        <w:rPr>
          <w:rFonts w:ascii="Century Schoolbook" w:hAnsi="Century Schoolbook"/>
        </w:rPr>
        <w:t xml:space="preserve">dditional conditions are necessary </w:t>
      </w:r>
      <w:r w:rsidR="00002BD1" w:rsidRPr="00E32534">
        <w:rPr>
          <w:rFonts w:ascii="Century Schoolbook" w:hAnsi="Century Schoolbook"/>
        </w:rPr>
        <w:t xml:space="preserve">so as to </w:t>
      </w:r>
      <w:r w:rsidR="00787830" w:rsidRPr="00E32534">
        <w:rPr>
          <w:rFonts w:ascii="Century Schoolbook" w:hAnsi="Century Schoolbook"/>
        </w:rPr>
        <w:t xml:space="preserve">foster development of a properly functioning competitive market with the goal of </w:t>
      </w:r>
      <w:r w:rsidR="00C16624" w:rsidRPr="00E32534">
        <w:rPr>
          <w:rFonts w:ascii="Century Schoolbook" w:hAnsi="Century Schoolbook"/>
        </w:rPr>
        <w:t>deliver</w:t>
      </w:r>
      <w:r w:rsidR="00787830" w:rsidRPr="00E32534">
        <w:rPr>
          <w:rFonts w:ascii="Century Schoolbook" w:hAnsi="Century Schoolbook"/>
        </w:rPr>
        <w:t>ing</w:t>
      </w:r>
      <w:r w:rsidR="00C16624" w:rsidRPr="00E32534">
        <w:rPr>
          <w:rFonts w:ascii="Century Schoolbook" w:hAnsi="Century Schoolbook"/>
        </w:rPr>
        <w:t xml:space="preserve"> competitive benefits to customers, including lower</w:t>
      </w:r>
      <w:r w:rsidR="00F24300" w:rsidRPr="00E32534">
        <w:rPr>
          <w:rFonts w:ascii="Century Schoolbook" w:hAnsi="Century Schoolbook"/>
        </w:rPr>
        <w:t>, more competitive</w:t>
      </w:r>
      <w:r w:rsidR="00C16624" w:rsidRPr="00E32534">
        <w:rPr>
          <w:rFonts w:ascii="Century Schoolbook" w:hAnsi="Century Schoolbook"/>
        </w:rPr>
        <w:t xml:space="preserve"> prices and innovative services</w:t>
      </w:r>
      <w:r w:rsidRPr="00E32534">
        <w:rPr>
          <w:rFonts w:ascii="Century Schoolbook" w:hAnsi="Century Schoolbook"/>
        </w:rPr>
        <w:t>.</w:t>
      </w:r>
    </w:p>
    <w:p w:rsidR="001010BE" w:rsidRDefault="001010BE" w:rsidP="003C664E">
      <w:pPr>
        <w:ind w:firstLine="720"/>
        <w:rPr>
          <w:rFonts w:ascii="Century Schoolbook" w:hAnsi="Century Schoolbook"/>
        </w:rPr>
      </w:pPr>
    </w:p>
    <w:p w:rsidR="001010BE" w:rsidRPr="001010BE" w:rsidRDefault="001010BE" w:rsidP="001010BE">
      <w:pPr>
        <w:jc w:val="center"/>
        <w:rPr>
          <w:rFonts w:ascii="Century Schoolbook" w:hAnsi="Century Schoolbook"/>
          <w:b/>
        </w:rPr>
      </w:pPr>
      <w:r w:rsidRPr="001010BE">
        <w:rPr>
          <w:rFonts w:ascii="Century Schoolbook" w:hAnsi="Century Schoolbook"/>
          <w:b/>
        </w:rPr>
        <w:t>Statutory Standards</w:t>
      </w:r>
    </w:p>
    <w:p w:rsidR="00CB6BA1" w:rsidRPr="00E32534" w:rsidRDefault="00CB6BA1" w:rsidP="00142DE0">
      <w:pPr>
        <w:rPr>
          <w:rFonts w:ascii="Century Schoolbook" w:hAnsi="Century Schoolbook"/>
        </w:rPr>
      </w:pPr>
    </w:p>
    <w:p w:rsidR="000A6EC6" w:rsidRDefault="00CB6BA1" w:rsidP="00AE2F5E">
      <w:pPr>
        <w:rPr>
          <w:rFonts w:ascii="Century Schoolbook" w:hAnsi="Century Schoolbook"/>
        </w:rPr>
      </w:pPr>
      <w:r w:rsidRPr="00E32534">
        <w:rPr>
          <w:rFonts w:ascii="Century Schoolbook" w:hAnsi="Century Schoolbook"/>
        </w:rPr>
        <w:tab/>
      </w:r>
      <w:r w:rsidR="00B34EC3" w:rsidRPr="00E32534">
        <w:rPr>
          <w:rFonts w:ascii="Century Schoolbook" w:hAnsi="Century Schoolbook"/>
        </w:rPr>
        <w:t xml:space="preserve">Before </w:t>
      </w:r>
      <w:r w:rsidR="003F1C2C">
        <w:rPr>
          <w:rFonts w:ascii="Century Schoolbook" w:hAnsi="Century Schoolbook"/>
        </w:rPr>
        <w:t>the Commission</w:t>
      </w:r>
      <w:r w:rsidR="00B34EC3" w:rsidRPr="00E32534">
        <w:rPr>
          <w:rFonts w:ascii="Century Schoolbook" w:hAnsi="Century Schoolbook"/>
        </w:rPr>
        <w:t xml:space="preserve"> can approve this </w:t>
      </w:r>
      <w:r w:rsidR="00256BCA" w:rsidRPr="00E32534">
        <w:rPr>
          <w:rFonts w:ascii="Century Schoolbook" w:hAnsi="Century Schoolbook"/>
        </w:rPr>
        <w:t xml:space="preserve">proposed change in control, </w:t>
      </w:r>
      <w:r w:rsidR="003F1C2C">
        <w:rPr>
          <w:rFonts w:ascii="Century Schoolbook" w:hAnsi="Century Schoolbook"/>
        </w:rPr>
        <w:t>it</w:t>
      </w:r>
      <w:r w:rsidR="00B34EC3" w:rsidRPr="00E32534">
        <w:rPr>
          <w:rFonts w:ascii="Century Schoolbook" w:hAnsi="Century Schoolbook"/>
        </w:rPr>
        <w:t xml:space="preserve"> must find that the </w:t>
      </w:r>
      <w:r w:rsidR="00256BCA" w:rsidRPr="00E32534">
        <w:rPr>
          <w:rFonts w:ascii="Century Schoolbook" w:hAnsi="Century Schoolbook"/>
        </w:rPr>
        <w:t xml:space="preserve">merger </w:t>
      </w:r>
      <w:r w:rsidR="00B34EC3" w:rsidRPr="00E32534">
        <w:rPr>
          <w:rFonts w:ascii="Century Schoolbook" w:hAnsi="Century Schoolbook"/>
        </w:rPr>
        <w:t xml:space="preserve">is “necessary or proper for the service, accommodation, convenience, or safety of the public.”  66 Pa.C.S. § 1103(a).  </w:t>
      </w:r>
      <w:r w:rsidR="00CA3053" w:rsidRPr="00E32534">
        <w:rPr>
          <w:rFonts w:ascii="Century Schoolbook" w:hAnsi="Century Schoolbook"/>
        </w:rPr>
        <w:t xml:space="preserve">To satisfy this standard, the merger must be shown to produce “affirmative public benefits.”  </w:t>
      </w:r>
      <w:r w:rsidR="003F1C2C">
        <w:rPr>
          <w:rFonts w:ascii="Century Schoolbook" w:hAnsi="Century Schoolbook"/>
          <w:i/>
        </w:rPr>
        <w:t>City o</w:t>
      </w:r>
      <w:r w:rsidR="00EB5D8C" w:rsidRPr="00E32534">
        <w:rPr>
          <w:rFonts w:ascii="Century Schoolbook" w:hAnsi="Century Schoolbook"/>
          <w:i/>
        </w:rPr>
        <w:t>f York v. Pa. Pub. Util.</w:t>
      </w:r>
      <w:r w:rsidR="00616EC5" w:rsidRPr="00E32534">
        <w:rPr>
          <w:rFonts w:ascii="Century Schoolbook" w:hAnsi="Century Schoolbook"/>
          <w:i/>
        </w:rPr>
        <w:t xml:space="preserve"> Comm’n</w:t>
      </w:r>
      <w:r w:rsidR="00616EC5" w:rsidRPr="00E32534">
        <w:rPr>
          <w:rFonts w:ascii="Century Schoolbook" w:hAnsi="Century Schoolbook"/>
        </w:rPr>
        <w:t xml:space="preserve">, 449 Pa. 136, 295 A.2d 825 (1972).  </w:t>
      </w:r>
      <w:r w:rsidR="00B34EC3" w:rsidRPr="00E32534">
        <w:rPr>
          <w:rFonts w:ascii="Century Schoolbook" w:hAnsi="Century Schoolbook"/>
        </w:rPr>
        <w:t>Also, because the merger involves EDCs, the Commission must determine whether the merger is likely to result in anticompetitive or discriminatory conduct</w:t>
      </w:r>
      <w:r w:rsidR="00374A5F" w:rsidRPr="00E32534">
        <w:rPr>
          <w:rFonts w:ascii="Century Schoolbook" w:hAnsi="Century Schoolbook"/>
        </w:rPr>
        <w:t>, including</w:t>
      </w:r>
      <w:r w:rsidR="00B34EC3" w:rsidRPr="00E32534">
        <w:rPr>
          <w:rFonts w:ascii="Century Schoolbook" w:hAnsi="Century Schoolbook"/>
        </w:rPr>
        <w:t xml:space="preserve"> the unlawful exercise </w:t>
      </w:r>
      <w:r w:rsidR="00B34EC3" w:rsidRPr="00E32534">
        <w:rPr>
          <w:rFonts w:ascii="Century Schoolbook" w:hAnsi="Century Schoolbook"/>
        </w:rPr>
        <w:lastRenderedPageBreak/>
        <w:t>of market power</w:t>
      </w:r>
      <w:r w:rsidR="00374A5F" w:rsidRPr="00E32534">
        <w:rPr>
          <w:rFonts w:ascii="Century Schoolbook" w:hAnsi="Century Schoolbook"/>
        </w:rPr>
        <w:t>,</w:t>
      </w:r>
      <w:r w:rsidR="00024696" w:rsidRPr="00E32534">
        <w:rPr>
          <w:rFonts w:ascii="Century Schoolbook" w:hAnsi="Century Schoolbook"/>
        </w:rPr>
        <w:t xml:space="preserve"> </w:t>
      </w:r>
      <w:r w:rsidR="00374A5F" w:rsidRPr="00E32534">
        <w:rPr>
          <w:rFonts w:ascii="Century Schoolbook" w:hAnsi="Century Schoolbook"/>
        </w:rPr>
        <w:t xml:space="preserve">which will prevent </w:t>
      </w:r>
      <w:r w:rsidR="00024696" w:rsidRPr="00E32534">
        <w:rPr>
          <w:rFonts w:ascii="Century Schoolbook" w:hAnsi="Century Schoolbook"/>
        </w:rPr>
        <w:t xml:space="preserve">customers </w:t>
      </w:r>
      <w:r w:rsidR="00374A5F" w:rsidRPr="00E32534">
        <w:rPr>
          <w:rFonts w:ascii="Century Schoolbook" w:hAnsi="Century Schoolbook"/>
        </w:rPr>
        <w:t xml:space="preserve">from </w:t>
      </w:r>
      <w:r w:rsidR="00024696" w:rsidRPr="00E32534">
        <w:rPr>
          <w:rFonts w:ascii="Century Schoolbook" w:hAnsi="Century Schoolbook"/>
        </w:rPr>
        <w:t>enjoy</w:t>
      </w:r>
      <w:r w:rsidR="00374A5F" w:rsidRPr="00E32534">
        <w:rPr>
          <w:rFonts w:ascii="Century Schoolbook" w:hAnsi="Century Schoolbook"/>
        </w:rPr>
        <w:t>ing</w:t>
      </w:r>
      <w:r w:rsidR="00024696" w:rsidRPr="00E32534">
        <w:rPr>
          <w:rFonts w:ascii="Century Schoolbook" w:hAnsi="Century Schoolbook"/>
        </w:rPr>
        <w:t xml:space="preserve"> the benefits of </w:t>
      </w:r>
      <w:r w:rsidR="005D5712" w:rsidRPr="00E32534">
        <w:rPr>
          <w:rFonts w:ascii="Century Schoolbook" w:hAnsi="Century Schoolbook"/>
        </w:rPr>
        <w:t xml:space="preserve">a </w:t>
      </w:r>
      <w:r w:rsidR="00374A5F" w:rsidRPr="00E32534">
        <w:rPr>
          <w:rFonts w:ascii="Century Schoolbook" w:hAnsi="Century Schoolbook"/>
        </w:rPr>
        <w:t xml:space="preserve">properly </w:t>
      </w:r>
      <w:r w:rsidR="00024696" w:rsidRPr="00E32534">
        <w:rPr>
          <w:rFonts w:ascii="Century Schoolbook" w:hAnsi="Century Schoolbook"/>
        </w:rPr>
        <w:t xml:space="preserve">functioning and workable competitive </w:t>
      </w:r>
      <w:r w:rsidR="00374A5F" w:rsidRPr="00E32534">
        <w:rPr>
          <w:rFonts w:ascii="Century Schoolbook" w:hAnsi="Century Schoolbook"/>
        </w:rPr>
        <w:t xml:space="preserve">retail electricity </w:t>
      </w:r>
      <w:r w:rsidR="00024696" w:rsidRPr="00E32534">
        <w:rPr>
          <w:rFonts w:ascii="Century Schoolbook" w:hAnsi="Century Schoolbook"/>
        </w:rPr>
        <w:t>market</w:t>
      </w:r>
      <w:r w:rsidR="00B34EC3" w:rsidRPr="00E32534">
        <w:rPr>
          <w:rFonts w:ascii="Century Schoolbook" w:hAnsi="Century Schoolbook"/>
        </w:rPr>
        <w:t>.  66 Pa.C.S. § 2811(e)(</w:t>
      </w:r>
      <w:r w:rsidR="00374A5F" w:rsidRPr="00E32534">
        <w:rPr>
          <w:rFonts w:ascii="Century Schoolbook" w:hAnsi="Century Schoolbook"/>
        </w:rPr>
        <w:t>1</w:t>
      </w:r>
      <w:r w:rsidR="00B34EC3" w:rsidRPr="00E32534">
        <w:rPr>
          <w:rFonts w:ascii="Century Schoolbook" w:hAnsi="Century Schoolbook"/>
        </w:rPr>
        <w:t>).  If the Commission finds that the merger is not necessary or proper and/or that the merger is likely to result in anticompetitive or discriminatory conduct</w:t>
      </w:r>
      <w:r w:rsidR="00374A5F" w:rsidRPr="00E32534">
        <w:rPr>
          <w:rFonts w:ascii="Century Schoolbook" w:hAnsi="Century Schoolbook"/>
        </w:rPr>
        <w:t xml:space="preserve"> that will result in a market that is not workably competitive</w:t>
      </w:r>
      <w:r w:rsidR="00B34EC3" w:rsidRPr="00E32534">
        <w:rPr>
          <w:rFonts w:ascii="Century Schoolbook" w:hAnsi="Century Schoolbook"/>
        </w:rPr>
        <w:t xml:space="preserve">, then the Commission </w:t>
      </w:r>
      <w:r w:rsidR="007236CC" w:rsidRPr="00E32534">
        <w:rPr>
          <w:rFonts w:ascii="Century Schoolbook" w:hAnsi="Century Schoolbook"/>
        </w:rPr>
        <w:t xml:space="preserve">must </w:t>
      </w:r>
      <w:r w:rsidR="00B34EC3" w:rsidRPr="00E32534">
        <w:rPr>
          <w:rFonts w:ascii="Century Schoolbook" w:hAnsi="Century Schoolbook"/>
        </w:rPr>
        <w:t>either reject the merger or impose appropriate conditions on the merger to cure the projected deficiencies.</w:t>
      </w:r>
      <w:r w:rsidR="00616EC5" w:rsidRPr="00E32534">
        <w:rPr>
          <w:rFonts w:ascii="Century Schoolbook" w:hAnsi="Century Schoolbook"/>
        </w:rPr>
        <w:t xml:space="preserve">  </w:t>
      </w:r>
      <w:r w:rsidR="00616EC5" w:rsidRPr="00E32534">
        <w:rPr>
          <w:rFonts w:ascii="Century Schoolbook" w:hAnsi="Century Schoolbook"/>
          <w:i/>
        </w:rPr>
        <w:t>Id</w:t>
      </w:r>
      <w:r w:rsidR="005D5712" w:rsidRPr="00E32534">
        <w:rPr>
          <w:rFonts w:ascii="Century Schoolbook" w:hAnsi="Century Schoolbook"/>
          <w:i/>
        </w:rPr>
        <w:t>.</w:t>
      </w:r>
      <w:r w:rsidR="00616EC5" w:rsidRPr="00E32534">
        <w:rPr>
          <w:rFonts w:ascii="Century Schoolbook" w:hAnsi="Century Schoolbook"/>
          <w:i/>
        </w:rPr>
        <w:t>,</w:t>
      </w:r>
      <w:r w:rsidR="00616EC5" w:rsidRPr="00E32534">
        <w:rPr>
          <w:rFonts w:ascii="Century Schoolbook" w:hAnsi="Century Schoolbook"/>
        </w:rPr>
        <w:t xml:space="preserve"> § 2811(e)(2).</w:t>
      </w:r>
    </w:p>
    <w:p w:rsidR="001010BE" w:rsidRDefault="001010BE" w:rsidP="00AE2F5E">
      <w:pPr>
        <w:rPr>
          <w:rFonts w:ascii="Century Schoolbook" w:hAnsi="Century Schoolbook"/>
        </w:rPr>
      </w:pPr>
    </w:p>
    <w:p w:rsidR="001010BE" w:rsidRPr="001010BE" w:rsidRDefault="001010BE" w:rsidP="001010BE">
      <w:pPr>
        <w:jc w:val="center"/>
        <w:rPr>
          <w:rFonts w:ascii="Century Schoolbook" w:hAnsi="Century Schoolbook"/>
          <w:b/>
        </w:rPr>
      </w:pPr>
      <w:r w:rsidRPr="001010BE">
        <w:rPr>
          <w:rFonts w:ascii="Century Schoolbook" w:hAnsi="Century Schoolbook"/>
          <w:b/>
        </w:rPr>
        <w:t>Non-Unanimous Settlement</w:t>
      </w:r>
    </w:p>
    <w:p w:rsidR="00B34EC3" w:rsidRPr="00E32534" w:rsidRDefault="00B34EC3" w:rsidP="00142DE0">
      <w:pPr>
        <w:rPr>
          <w:rFonts w:ascii="Century Schoolbook" w:hAnsi="Century Schoolbook"/>
        </w:rPr>
      </w:pPr>
    </w:p>
    <w:p w:rsidR="00723820" w:rsidRDefault="003F1C2C" w:rsidP="00AE556A">
      <w:pPr>
        <w:rPr>
          <w:rFonts w:ascii="Century Schoolbook" w:hAnsi="Century Schoolbook"/>
        </w:rPr>
      </w:pPr>
      <w:r>
        <w:rPr>
          <w:rFonts w:ascii="Century Schoolbook" w:hAnsi="Century Schoolbook"/>
        </w:rPr>
        <w:tab/>
        <w:t>T</w:t>
      </w:r>
      <w:r w:rsidR="00B34EC3" w:rsidRPr="00E32534">
        <w:rPr>
          <w:rFonts w:ascii="Century Schoolbook" w:hAnsi="Century Schoolbook"/>
        </w:rPr>
        <w:t>he Administrative Law Judges (“ALJs”) recommend approval of the merger as modified by a Partial Settlement.  While m</w:t>
      </w:r>
      <w:r w:rsidR="00F24300" w:rsidRPr="00E32534">
        <w:rPr>
          <w:rFonts w:ascii="Century Schoolbook" w:hAnsi="Century Schoolbook"/>
        </w:rPr>
        <w:t>any</w:t>
      </w:r>
      <w:r w:rsidR="00B34EC3" w:rsidRPr="00E32534">
        <w:rPr>
          <w:rFonts w:ascii="Century Schoolbook" w:hAnsi="Century Schoolbook"/>
        </w:rPr>
        <w:t xml:space="preserve"> of the parties to the proceeding supported the Partial Settlement, it was not unanimous.  Significantly, </w:t>
      </w:r>
      <w:r w:rsidR="00CB6BA1" w:rsidRPr="00E32534">
        <w:rPr>
          <w:rFonts w:ascii="Century Schoolbook" w:hAnsi="Century Schoolbook"/>
        </w:rPr>
        <w:t xml:space="preserve">the Office of Small Business Advocate (“OSBA”), </w:t>
      </w:r>
      <w:r w:rsidR="00B34EC3" w:rsidRPr="00E32534">
        <w:rPr>
          <w:rFonts w:ascii="Century Schoolbook" w:hAnsi="Century Schoolbook"/>
        </w:rPr>
        <w:t xml:space="preserve">the Retail Energy Supply Association (“RESA”), Direct Energy </w:t>
      </w:r>
      <w:r w:rsidR="00CB6BA1" w:rsidRPr="00E32534">
        <w:rPr>
          <w:rFonts w:ascii="Century Schoolbook" w:hAnsi="Century Schoolbook"/>
        </w:rPr>
        <w:t>Services, LLC (“Direct Energy”)</w:t>
      </w:r>
      <w:r w:rsidR="005D5712" w:rsidRPr="00E32534">
        <w:rPr>
          <w:rFonts w:ascii="Century Schoolbook" w:hAnsi="Century Schoolbook"/>
        </w:rPr>
        <w:t>,</w:t>
      </w:r>
      <w:r w:rsidR="00CB6BA1" w:rsidRPr="00E32534">
        <w:rPr>
          <w:rFonts w:ascii="Century Schoolbook" w:hAnsi="Century Schoolbook"/>
        </w:rPr>
        <w:t xml:space="preserve"> and Citizens Power all opposed </w:t>
      </w:r>
      <w:r w:rsidR="007236CC" w:rsidRPr="00E32534">
        <w:rPr>
          <w:rFonts w:ascii="Century Schoolbook" w:hAnsi="Century Schoolbook"/>
        </w:rPr>
        <w:t xml:space="preserve">the </w:t>
      </w:r>
      <w:r w:rsidR="00345149" w:rsidRPr="00E32534">
        <w:rPr>
          <w:rFonts w:ascii="Century Schoolbook" w:hAnsi="Century Schoolbook"/>
        </w:rPr>
        <w:t>Partial S</w:t>
      </w:r>
      <w:r w:rsidR="00CB6BA1" w:rsidRPr="00E32534">
        <w:rPr>
          <w:rFonts w:ascii="Century Schoolbook" w:hAnsi="Century Schoolbook"/>
        </w:rPr>
        <w:t>ettlement</w:t>
      </w:r>
      <w:r w:rsidR="00F24300" w:rsidRPr="00E32534">
        <w:rPr>
          <w:rFonts w:ascii="Century Schoolbook" w:hAnsi="Century Schoolbook"/>
        </w:rPr>
        <w:t xml:space="preserve">.  </w:t>
      </w:r>
      <w:r w:rsidR="00723820" w:rsidRPr="00E32534">
        <w:rPr>
          <w:rFonts w:ascii="Century Schoolbook" w:hAnsi="Century Schoolbook"/>
        </w:rPr>
        <w:t xml:space="preserve"> All </w:t>
      </w:r>
      <w:r w:rsidR="00AE2F5E" w:rsidRPr="00E32534">
        <w:rPr>
          <w:rFonts w:ascii="Century Schoolbook" w:hAnsi="Century Schoolbook"/>
        </w:rPr>
        <w:t xml:space="preserve">non-settling </w:t>
      </w:r>
      <w:r w:rsidR="00723820" w:rsidRPr="00E32534">
        <w:rPr>
          <w:rFonts w:ascii="Century Schoolbook" w:hAnsi="Century Schoolbook"/>
        </w:rPr>
        <w:t>parties conclude</w:t>
      </w:r>
      <w:r>
        <w:rPr>
          <w:rFonts w:ascii="Century Schoolbook" w:hAnsi="Century Schoolbook"/>
        </w:rPr>
        <w:t>d</w:t>
      </w:r>
      <w:r w:rsidR="00723820" w:rsidRPr="00E32534">
        <w:rPr>
          <w:rFonts w:ascii="Century Schoolbook" w:hAnsi="Century Schoolbook"/>
        </w:rPr>
        <w:t xml:space="preserve"> that the Joint Applicants </w:t>
      </w:r>
      <w:r>
        <w:rPr>
          <w:rFonts w:ascii="Century Schoolbook" w:hAnsi="Century Schoolbook"/>
        </w:rPr>
        <w:t>failed to meet</w:t>
      </w:r>
      <w:r w:rsidR="00723820" w:rsidRPr="00E32534">
        <w:rPr>
          <w:rFonts w:ascii="Century Schoolbook" w:hAnsi="Century Schoolbook"/>
        </w:rPr>
        <w:t xml:space="preserve"> their burden of proving that the merger should be approved pursuant to the statutory requirements</w:t>
      </w:r>
      <w:r>
        <w:rPr>
          <w:rFonts w:ascii="Century Schoolbook" w:hAnsi="Century Schoolbook"/>
        </w:rPr>
        <w:t xml:space="preserve"> of </w:t>
      </w:r>
      <w:r w:rsidR="00C437DB">
        <w:rPr>
          <w:rFonts w:ascii="Century Schoolbook" w:hAnsi="Century Schoolbook"/>
        </w:rPr>
        <w:t>s</w:t>
      </w:r>
      <w:r>
        <w:rPr>
          <w:rFonts w:ascii="Century Schoolbook" w:hAnsi="Century Schoolbook"/>
        </w:rPr>
        <w:t>ections 1103(a) and 2811(e)</w:t>
      </w:r>
      <w:r w:rsidR="00723820" w:rsidRPr="00E32534">
        <w:rPr>
          <w:rFonts w:ascii="Century Schoolbook" w:hAnsi="Century Schoolbook"/>
        </w:rPr>
        <w:t xml:space="preserve">.  </w:t>
      </w:r>
    </w:p>
    <w:p w:rsidR="001010BE" w:rsidRDefault="001010BE" w:rsidP="00AE556A">
      <w:pPr>
        <w:rPr>
          <w:rFonts w:ascii="Century Schoolbook" w:hAnsi="Century Schoolbook"/>
        </w:rPr>
      </w:pPr>
    </w:p>
    <w:p w:rsidR="001010BE" w:rsidRPr="001010BE" w:rsidRDefault="001010BE" w:rsidP="001010BE">
      <w:pPr>
        <w:jc w:val="center"/>
        <w:rPr>
          <w:rFonts w:ascii="Century Schoolbook" w:hAnsi="Century Schoolbook"/>
          <w:b/>
        </w:rPr>
      </w:pPr>
      <w:r w:rsidRPr="001010BE">
        <w:rPr>
          <w:rFonts w:ascii="Century Schoolbook" w:hAnsi="Century Schoolbook"/>
          <w:b/>
        </w:rPr>
        <w:t>The Relevant Inquiry</w:t>
      </w:r>
    </w:p>
    <w:p w:rsidR="00723820" w:rsidRPr="00E32534" w:rsidRDefault="00723820" w:rsidP="00AE556A">
      <w:pPr>
        <w:rPr>
          <w:rFonts w:ascii="Century Schoolbook" w:hAnsi="Century Schoolbook"/>
        </w:rPr>
      </w:pPr>
    </w:p>
    <w:p w:rsidR="00723820" w:rsidRDefault="00723820" w:rsidP="00AE556A">
      <w:pPr>
        <w:rPr>
          <w:rFonts w:ascii="Century Schoolbook" w:hAnsi="Century Schoolbook"/>
        </w:rPr>
      </w:pPr>
      <w:r w:rsidRPr="00E32534">
        <w:rPr>
          <w:rFonts w:ascii="Century Schoolbook" w:hAnsi="Century Schoolbook"/>
        </w:rPr>
        <w:tab/>
      </w:r>
      <w:r w:rsidR="00F24300" w:rsidRPr="00E32534">
        <w:rPr>
          <w:rFonts w:ascii="Century Schoolbook" w:hAnsi="Century Schoolbook"/>
        </w:rPr>
        <w:t xml:space="preserve">Initially, because the </w:t>
      </w:r>
      <w:r w:rsidR="00E53B21">
        <w:rPr>
          <w:rFonts w:ascii="Century Schoolbook" w:hAnsi="Century Schoolbook"/>
        </w:rPr>
        <w:t>s</w:t>
      </w:r>
      <w:r w:rsidR="00F24300" w:rsidRPr="00E32534">
        <w:rPr>
          <w:rFonts w:ascii="Century Schoolbook" w:hAnsi="Century Schoolbook"/>
        </w:rPr>
        <w:t>ettlement is no</w:t>
      </w:r>
      <w:r w:rsidR="00101F71" w:rsidRPr="00E32534">
        <w:rPr>
          <w:rFonts w:ascii="Century Schoolbook" w:hAnsi="Century Schoolbook"/>
        </w:rPr>
        <w:t xml:space="preserve">t </w:t>
      </w:r>
      <w:r w:rsidR="00F24300" w:rsidRPr="00E32534">
        <w:rPr>
          <w:rFonts w:ascii="Century Schoolbook" w:hAnsi="Century Schoolbook"/>
        </w:rPr>
        <w:t xml:space="preserve">unanimous, </w:t>
      </w:r>
      <w:r w:rsidR="003D691D" w:rsidRPr="00E32534">
        <w:rPr>
          <w:rFonts w:ascii="Century Schoolbook" w:hAnsi="Century Schoolbook"/>
        </w:rPr>
        <w:t xml:space="preserve">the </w:t>
      </w:r>
      <w:r w:rsidR="000B6DA5" w:rsidRPr="00E32534">
        <w:rPr>
          <w:rFonts w:ascii="Century Schoolbook" w:hAnsi="Century Schoolbook"/>
        </w:rPr>
        <w:t>relevant</w:t>
      </w:r>
      <w:r w:rsidR="003D691D" w:rsidRPr="00E32534">
        <w:rPr>
          <w:rFonts w:ascii="Century Schoolbook" w:hAnsi="Century Schoolbook"/>
        </w:rPr>
        <w:t xml:space="preserve"> inquiry is not whether the </w:t>
      </w:r>
      <w:r w:rsidR="00247E5B" w:rsidRPr="00E32534">
        <w:rPr>
          <w:rFonts w:ascii="Century Schoolbook" w:hAnsi="Century Schoolbook"/>
        </w:rPr>
        <w:t>Partial Settlement</w:t>
      </w:r>
      <w:r w:rsidR="003D691D" w:rsidRPr="00E32534">
        <w:rPr>
          <w:rFonts w:ascii="Century Schoolbook" w:hAnsi="Century Schoolbook"/>
        </w:rPr>
        <w:t xml:space="preserve"> is in the public interest.  Rather, we are compelled to review the record as we would in a fully contested proceeding and make a determination of whether the </w:t>
      </w:r>
      <w:r w:rsidR="00101F71" w:rsidRPr="00E32534">
        <w:rPr>
          <w:rFonts w:ascii="Century Schoolbook" w:hAnsi="Century Schoolbook"/>
        </w:rPr>
        <w:t>merger</w:t>
      </w:r>
      <w:r w:rsidR="003D691D" w:rsidRPr="00E32534">
        <w:rPr>
          <w:rFonts w:ascii="Century Schoolbook" w:hAnsi="Century Schoolbook"/>
        </w:rPr>
        <w:t>, as modified by the concessions offered by the Joint Applicants</w:t>
      </w:r>
      <w:r w:rsidR="003609A7" w:rsidRPr="00E32534">
        <w:rPr>
          <w:rFonts w:ascii="Century Schoolbook" w:hAnsi="Century Schoolbook"/>
        </w:rPr>
        <w:t xml:space="preserve"> in the Partial Settlement</w:t>
      </w:r>
      <w:r w:rsidR="003D691D" w:rsidRPr="00E32534">
        <w:rPr>
          <w:rFonts w:ascii="Century Schoolbook" w:hAnsi="Century Schoolbook"/>
        </w:rPr>
        <w:t>, satisfies the applicable standards discussed above.</w:t>
      </w:r>
      <w:r w:rsidR="00CC1C68">
        <w:rPr>
          <w:rFonts w:ascii="Century Schoolbook" w:hAnsi="Century Schoolbook"/>
        </w:rPr>
        <w:t xml:space="preserve">  While Citizen Power recommended</w:t>
      </w:r>
      <w:r w:rsidRPr="00E32534">
        <w:rPr>
          <w:rFonts w:ascii="Century Schoolbook" w:hAnsi="Century Schoolbook"/>
        </w:rPr>
        <w:t xml:space="preserve"> that the merger be rejected, OSBA, Direct Energy</w:t>
      </w:r>
      <w:r w:rsidR="00E53B21">
        <w:rPr>
          <w:rFonts w:ascii="Century Schoolbook" w:hAnsi="Century Schoolbook"/>
        </w:rPr>
        <w:t>,</w:t>
      </w:r>
      <w:r w:rsidRPr="00E32534">
        <w:rPr>
          <w:rFonts w:ascii="Century Schoolbook" w:hAnsi="Century Schoolbook"/>
        </w:rPr>
        <w:t xml:space="preserve"> and RESA offer</w:t>
      </w:r>
      <w:r w:rsidR="00CC1C68">
        <w:rPr>
          <w:rFonts w:ascii="Century Schoolbook" w:hAnsi="Century Schoolbook"/>
        </w:rPr>
        <w:t>ed</w:t>
      </w:r>
      <w:r w:rsidRPr="00E32534">
        <w:rPr>
          <w:rFonts w:ascii="Century Schoolbook" w:hAnsi="Century Schoolbook"/>
        </w:rPr>
        <w:t xml:space="preserve"> conditions that, if imposed, would satisfy the statutory </w:t>
      </w:r>
      <w:r w:rsidR="00CC1C68">
        <w:rPr>
          <w:rFonts w:ascii="Century Schoolbook" w:hAnsi="Century Schoolbook"/>
        </w:rPr>
        <w:t xml:space="preserve">standards and the </w:t>
      </w:r>
      <w:r w:rsidR="00CC1C68" w:rsidRPr="00E32534">
        <w:rPr>
          <w:rFonts w:ascii="Century Schoolbook" w:hAnsi="Century Schoolbook"/>
        </w:rPr>
        <w:t xml:space="preserve">Commission’s </w:t>
      </w:r>
      <w:r w:rsidRPr="00E32534">
        <w:rPr>
          <w:rFonts w:ascii="Century Schoolbook" w:hAnsi="Century Schoolbook"/>
        </w:rPr>
        <w:t>obligations.  As discussed below, these parties</w:t>
      </w:r>
      <w:r w:rsidR="00E53B21">
        <w:rPr>
          <w:rFonts w:ascii="Century Schoolbook" w:hAnsi="Century Schoolbook"/>
        </w:rPr>
        <w:t xml:space="preserve"> correct</w:t>
      </w:r>
      <w:r w:rsidR="00CC1C68">
        <w:rPr>
          <w:rFonts w:ascii="Century Schoolbook" w:hAnsi="Century Schoolbook"/>
        </w:rPr>
        <w:t>ly alleged</w:t>
      </w:r>
      <w:r w:rsidR="00E53B21">
        <w:rPr>
          <w:rFonts w:ascii="Century Schoolbook" w:hAnsi="Century Schoolbook"/>
        </w:rPr>
        <w:t xml:space="preserve"> </w:t>
      </w:r>
      <w:r w:rsidRPr="00E32534">
        <w:rPr>
          <w:rFonts w:ascii="Century Schoolbook" w:hAnsi="Century Schoolbook"/>
        </w:rPr>
        <w:t xml:space="preserve">that the merger – even as modified by the Partial Settlement – does not meet the statutory merger standards.  </w:t>
      </w:r>
      <w:r w:rsidR="00820017" w:rsidRPr="00E32534">
        <w:rPr>
          <w:rFonts w:ascii="Century Schoolbook" w:hAnsi="Century Schoolbook"/>
        </w:rPr>
        <w:t xml:space="preserve">Additional </w:t>
      </w:r>
      <w:r w:rsidRPr="00E32534">
        <w:rPr>
          <w:rFonts w:ascii="Century Schoolbook" w:hAnsi="Century Schoolbook"/>
        </w:rPr>
        <w:t>condition</w:t>
      </w:r>
      <w:r w:rsidR="00820017" w:rsidRPr="00E32534">
        <w:rPr>
          <w:rFonts w:ascii="Century Schoolbook" w:hAnsi="Century Schoolbook"/>
        </w:rPr>
        <w:t>s are needed for</w:t>
      </w:r>
      <w:r w:rsidRPr="00E32534">
        <w:rPr>
          <w:rFonts w:ascii="Century Schoolbook" w:hAnsi="Century Schoolbook"/>
        </w:rPr>
        <w:t xml:space="preserve"> approval of the merger, in addition to those concessions offered by the Joint Applicants</w:t>
      </w:r>
      <w:r w:rsidR="00820017" w:rsidRPr="00E32534">
        <w:rPr>
          <w:rFonts w:ascii="Century Schoolbook" w:hAnsi="Century Schoolbook"/>
        </w:rPr>
        <w:t xml:space="preserve"> and </w:t>
      </w:r>
      <w:r w:rsidR="00E53B21">
        <w:rPr>
          <w:rFonts w:ascii="Century Schoolbook" w:hAnsi="Century Schoolbook"/>
        </w:rPr>
        <w:t>the measures</w:t>
      </w:r>
      <w:r w:rsidR="00820017" w:rsidRPr="00E32534">
        <w:rPr>
          <w:rFonts w:ascii="Century Schoolbook" w:hAnsi="Century Schoolbook"/>
        </w:rPr>
        <w:t xml:space="preserve"> </w:t>
      </w:r>
      <w:r w:rsidR="00557E34" w:rsidRPr="00E32534">
        <w:rPr>
          <w:rFonts w:ascii="Century Schoolbook" w:hAnsi="Century Schoolbook"/>
        </w:rPr>
        <w:t>proposed</w:t>
      </w:r>
      <w:r w:rsidR="00820017" w:rsidRPr="00E32534">
        <w:rPr>
          <w:rFonts w:ascii="Century Schoolbook" w:hAnsi="Century Schoolbook"/>
        </w:rPr>
        <w:t xml:space="preserve"> by my colleagues</w:t>
      </w:r>
      <w:r w:rsidRPr="00E32534">
        <w:rPr>
          <w:rFonts w:ascii="Century Schoolbook" w:hAnsi="Century Schoolbook"/>
        </w:rPr>
        <w:t>.</w:t>
      </w:r>
    </w:p>
    <w:p w:rsidR="00353D70" w:rsidRDefault="00353D70" w:rsidP="00AE556A">
      <w:pPr>
        <w:rPr>
          <w:rFonts w:ascii="Century Schoolbook" w:hAnsi="Century Schoolbook"/>
        </w:rPr>
      </w:pPr>
    </w:p>
    <w:p w:rsidR="00353D70" w:rsidRPr="00353D70" w:rsidRDefault="00353D70" w:rsidP="00353D70">
      <w:pPr>
        <w:jc w:val="center"/>
        <w:rPr>
          <w:rFonts w:ascii="Century Schoolbook" w:hAnsi="Century Schoolbook"/>
          <w:b/>
        </w:rPr>
      </w:pPr>
      <w:r w:rsidRPr="00353D70">
        <w:rPr>
          <w:rFonts w:ascii="Century Schoolbook" w:hAnsi="Century Schoolbook"/>
          <w:b/>
        </w:rPr>
        <w:t>Inadequacy of the Partial Settlement</w:t>
      </w:r>
    </w:p>
    <w:p w:rsidR="00723820" w:rsidRPr="00E32534" w:rsidRDefault="00723820" w:rsidP="00AE556A">
      <w:pPr>
        <w:rPr>
          <w:rFonts w:ascii="Century Schoolbook" w:hAnsi="Century Schoolbook"/>
        </w:rPr>
      </w:pPr>
    </w:p>
    <w:p w:rsidR="003D691D" w:rsidRPr="00E32534" w:rsidRDefault="00E53CDA" w:rsidP="00AE556A">
      <w:pPr>
        <w:rPr>
          <w:rFonts w:ascii="Century Schoolbook" w:hAnsi="Century Schoolbook"/>
        </w:rPr>
      </w:pPr>
      <w:r w:rsidRPr="00E32534">
        <w:rPr>
          <w:rFonts w:ascii="Century Schoolbook" w:hAnsi="Century Schoolbook"/>
        </w:rPr>
        <w:tab/>
      </w:r>
      <w:r w:rsidR="00557E34" w:rsidRPr="00E32534">
        <w:rPr>
          <w:rFonts w:ascii="Century Schoolbook" w:hAnsi="Century Schoolbook"/>
        </w:rPr>
        <w:t xml:space="preserve">The </w:t>
      </w:r>
      <w:r w:rsidR="003D691D" w:rsidRPr="00E32534">
        <w:rPr>
          <w:rFonts w:ascii="Century Schoolbook" w:hAnsi="Century Schoolbook"/>
        </w:rPr>
        <w:t>concessions agreed to by the Joint Applicants in the</w:t>
      </w:r>
      <w:r w:rsidR="00723820" w:rsidRPr="00E32534">
        <w:rPr>
          <w:rFonts w:ascii="Century Schoolbook" w:hAnsi="Century Schoolbook"/>
        </w:rPr>
        <w:t>ir original filing</w:t>
      </w:r>
      <w:r w:rsidR="00101F71" w:rsidRPr="00E32534">
        <w:rPr>
          <w:rFonts w:ascii="Century Schoolbook" w:hAnsi="Century Schoolbook"/>
        </w:rPr>
        <w:t>,</w:t>
      </w:r>
      <w:r w:rsidR="00723820" w:rsidRPr="00E32534">
        <w:rPr>
          <w:rFonts w:ascii="Century Schoolbook" w:hAnsi="Century Schoolbook"/>
        </w:rPr>
        <w:t xml:space="preserve"> as well as in the</w:t>
      </w:r>
      <w:r w:rsidR="003D691D" w:rsidRPr="00E32534">
        <w:rPr>
          <w:rFonts w:ascii="Century Schoolbook" w:hAnsi="Century Schoolbook"/>
        </w:rPr>
        <w:t xml:space="preserve"> </w:t>
      </w:r>
      <w:r w:rsidR="00024696" w:rsidRPr="00E32534">
        <w:rPr>
          <w:rFonts w:ascii="Century Schoolbook" w:hAnsi="Century Schoolbook"/>
        </w:rPr>
        <w:t>Partial Settlement</w:t>
      </w:r>
      <w:r w:rsidR="00101F71" w:rsidRPr="00E32534">
        <w:rPr>
          <w:rFonts w:ascii="Century Schoolbook" w:hAnsi="Century Schoolbook"/>
        </w:rPr>
        <w:t>,</w:t>
      </w:r>
      <w:r w:rsidR="00024696" w:rsidRPr="00E32534">
        <w:rPr>
          <w:rFonts w:ascii="Century Schoolbook" w:hAnsi="Century Schoolbook"/>
        </w:rPr>
        <w:t xml:space="preserve"> address to some extent the legal requirement that the merger produce</w:t>
      </w:r>
      <w:r w:rsidR="00374A5F" w:rsidRPr="00E32534">
        <w:rPr>
          <w:rFonts w:ascii="Century Schoolbook" w:hAnsi="Century Schoolbook"/>
        </w:rPr>
        <w:t xml:space="preserve"> general </w:t>
      </w:r>
      <w:r w:rsidR="00024696" w:rsidRPr="00E32534">
        <w:rPr>
          <w:rFonts w:ascii="Century Schoolbook" w:hAnsi="Century Schoolbook"/>
        </w:rPr>
        <w:t>“affirmative public benefits</w:t>
      </w:r>
      <w:r w:rsidR="003D691D" w:rsidRPr="00E32534">
        <w:rPr>
          <w:rFonts w:ascii="Century Schoolbook" w:hAnsi="Century Schoolbook"/>
        </w:rPr>
        <w:t>,</w:t>
      </w:r>
      <w:r w:rsidR="00024696" w:rsidRPr="00E32534">
        <w:rPr>
          <w:rFonts w:ascii="Century Schoolbook" w:hAnsi="Century Schoolbook"/>
        </w:rPr>
        <w:t>”</w:t>
      </w:r>
      <w:r w:rsidR="003D691D" w:rsidRPr="00E32534">
        <w:rPr>
          <w:rFonts w:ascii="Century Schoolbook" w:hAnsi="Century Schoolbook"/>
        </w:rPr>
        <w:t xml:space="preserve"> and minimally address </w:t>
      </w:r>
      <w:r w:rsidR="00C437DB">
        <w:rPr>
          <w:rFonts w:ascii="Century Schoolbook" w:hAnsi="Century Schoolbook"/>
        </w:rPr>
        <w:t>widespread</w:t>
      </w:r>
      <w:r w:rsidR="003D691D" w:rsidRPr="00E32534">
        <w:rPr>
          <w:rFonts w:ascii="Century Schoolbook" w:hAnsi="Century Schoolbook"/>
        </w:rPr>
        <w:t xml:space="preserve"> concerns about job loss and loss of Allegheny’s corporate presence in the Commonwealth.  These concessions also provide modest rate decreases to customers, without which </w:t>
      </w:r>
      <w:r w:rsidR="00101F71" w:rsidRPr="00E32534">
        <w:rPr>
          <w:rFonts w:ascii="Century Schoolbook" w:hAnsi="Century Schoolbook"/>
        </w:rPr>
        <w:t xml:space="preserve">it </w:t>
      </w:r>
      <w:r w:rsidR="003D691D" w:rsidRPr="00E32534">
        <w:rPr>
          <w:rFonts w:ascii="Century Schoolbook" w:hAnsi="Century Schoolbook"/>
        </w:rPr>
        <w:t xml:space="preserve">would be </w:t>
      </w:r>
      <w:r w:rsidR="00101F71" w:rsidRPr="00E32534">
        <w:rPr>
          <w:rFonts w:ascii="Century Schoolbook" w:hAnsi="Century Schoolbook"/>
        </w:rPr>
        <w:t>difficult</w:t>
      </w:r>
      <w:r w:rsidR="003D691D" w:rsidRPr="00E32534">
        <w:rPr>
          <w:rFonts w:ascii="Century Schoolbook" w:hAnsi="Century Schoolbook"/>
        </w:rPr>
        <w:t xml:space="preserve"> to conclude that the merger affirmatively benefited the public interest.</w:t>
      </w:r>
      <w:r w:rsidR="00616EC5" w:rsidRPr="00E32534">
        <w:rPr>
          <w:rFonts w:ascii="Century Schoolbook" w:hAnsi="Century Schoolbook"/>
        </w:rPr>
        <w:t xml:space="preserve">  They should, therefore, be required as a condition for approval by this Commission</w:t>
      </w:r>
      <w:r w:rsidR="005D5712" w:rsidRPr="00E32534">
        <w:rPr>
          <w:rFonts w:ascii="Century Schoolbook" w:hAnsi="Century Schoolbook"/>
        </w:rPr>
        <w:t>,</w:t>
      </w:r>
      <w:r w:rsidR="00616EC5" w:rsidRPr="00E32534">
        <w:rPr>
          <w:rFonts w:ascii="Century Schoolbook" w:hAnsi="Century Schoolbook"/>
        </w:rPr>
        <w:t xml:space="preserve"> not because they were part of a less than </w:t>
      </w:r>
      <w:r w:rsidR="00616EC5" w:rsidRPr="00E32534">
        <w:rPr>
          <w:rFonts w:ascii="Century Schoolbook" w:hAnsi="Century Schoolbook"/>
        </w:rPr>
        <w:lastRenderedPageBreak/>
        <w:t>unanimous settlement, but because</w:t>
      </w:r>
      <w:r w:rsidR="00C437DB">
        <w:rPr>
          <w:rFonts w:ascii="Century Schoolbook" w:hAnsi="Century Schoolbook"/>
        </w:rPr>
        <w:t>,</w:t>
      </w:r>
      <w:r w:rsidR="00616EC5" w:rsidRPr="00E32534">
        <w:rPr>
          <w:rFonts w:ascii="Century Schoolbook" w:hAnsi="Century Schoolbook"/>
        </w:rPr>
        <w:t xml:space="preserve"> without them, the merger would fail even the “affirmative public benefits” test.</w:t>
      </w:r>
    </w:p>
    <w:p w:rsidR="003D691D" w:rsidRPr="00E32534" w:rsidRDefault="003D691D" w:rsidP="00AE556A">
      <w:pPr>
        <w:rPr>
          <w:rFonts w:ascii="Century Schoolbook" w:hAnsi="Century Schoolbook"/>
        </w:rPr>
      </w:pPr>
    </w:p>
    <w:p w:rsidR="00024696" w:rsidRPr="00E32534" w:rsidRDefault="003D691D" w:rsidP="00AE556A">
      <w:pPr>
        <w:rPr>
          <w:rFonts w:ascii="Century Schoolbook" w:hAnsi="Century Schoolbook"/>
        </w:rPr>
      </w:pPr>
      <w:r w:rsidRPr="00E32534">
        <w:rPr>
          <w:rFonts w:ascii="Century Schoolbook" w:hAnsi="Century Schoolbook"/>
        </w:rPr>
        <w:tab/>
      </w:r>
      <w:r w:rsidR="00024696" w:rsidRPr="00E32534">
        <w:rPr>
          <w:rFonts w:ascii="Century Schoolbook" w:hAnsi="Century Schoolbook"/>
        </w:rPr>
        <w:t xml:space="preserve">However, the </w:t>
      </w:r>
      <w:r w:rsidRPr="00E32534">
        <w:rPr>
          <w:rFonts w:ascii="Century Schoolbook" w:hAnsi="Century Schoolbook"/>
        </w:rPr>
        <w:t xml:space="preserve">concessions offered by the Joint Applicants </w:t>
      </w:r>
      <w:r w:rsidR="00024696" w:rsidRPr="00E32534">
        <w:rPr>
          <w:rFonts w:ascii="Century Schoolbook" w:hAnsi="Century Schoolbook"/>
        </w:rPr>
        <w:t xml:space="preserve">do not </w:t>
      </w:r>
      <w:r w:rsidR="00101F71" w:rsidRPr="00E32534">
        <w:rPr>
          <w:rFonts w:ascii="Century Schoolbook" w:hAnsi="Century Schoolbook"/>
        </w:rPr>
        <w:t xml:space="preserve">adequately </w:t>
      </w:r>
      <w:r w:rsidR="00024696" w:rsidRPr="00E32534">
        <w:rPr>
          <w:rFonts w:ascii="Century Schoolbook" w:hAnsi="Century Schoolbook"/>
        </w:rPr>
        <w:t xml:space="preserve">address the concomitant obligation to show that the merger will not </w:t>
      </w:r>
      <w:r w:rsidR="005D219B" w:rsidRPr="00E32534">
        <w:rPr>
          <w:rFonts w:ascii="Century Schoolbook" w:hAnsi="Century Schoolbook"/>
        </w:rPr>
        <w:t>create</w:t>
      </w:r>
      <w:r w:rsidR="00024696" w:rsidRPr="00E32534">
        <w:rPr>
          <w:rFonts w:ascii="Century Schoolbook" w:hAnsi="Century Schoolbook"/>
        </w:rPr>
        <w:t xml:space="preserve"> competitive conce</w:t>
      </w:r>
      <w:r w:rsidR="005D5712" w:rsidRPr="00E32534">
        <w:rPr>
          <w:rFonts w:ascii="Century Schoolbook" w:hAnsi="Century Schoolbook"/>
        </w:rPr>
        <w:t>rns, as required by section 2811</w:t>
      </w:r>
      <w:r w:rsidR="00024696" w:rsidRPr="00E32534">
        <w:rPr>
          <w:rFonts w:ascii="Century Schoolbook" w:hAnsi="Century Schoolbook"/>
        </w:rPr>
        <w:t xml:space="preserve">(e).  This </w:t>
      </w:r>
      <w:r w:rsidR="00787830" w:rsidRPr="00E32534">
        <w:rPr>
          <w:rFonts w:ascii="Century Schoolbook" w:hAnsi="Century Schoolbook"/>
        </w:rPr>
        <w:t xml:space="preserve">facet </w:t>
      </w:r>
      <w:r w:rsidR="00024696" w:rsidRPr="00E32534">
        <w:rPr>
          <w:rFonts w:ascii="Century Schoolbook" w:hAnsi="Century Schoolbook"/>
        </w:rPr>
        <w:t>of merger review is particularly important here because what is proposed is the merger of four major EDCs after the termination of the generation “</w:t>
      </w:r>
      <w:r w:rsidR="00C16624" w:rsidRPr="00E32534">
        <w:rPr>
          <w:rFonts w:ascii="Century Schoolbook" w:hAnsi="Century Schoolbook"/>
        </w:rPr>
        <w:t>price caps</w:t>
      </w:r>
      <w:r w:rsidR="00024696" w:rsidRPr="00E32534">
        <w:rPr>
          <w:rFonts w:ascii="Century Schoolbook" w:hAnsi="Century Schoolbook"/>
        </w:rPr>
        <w:t xml:space="preserve">” that have kept retail </w:t>
      </w:r>
      <w:r w:rsidR="00374A5F" w:rsidRPr="00E32534">
        <w:rPr>
          <w:rFonts w:ascii="Century Schoolbook" w:hAnsi="Century Schoolbook"/>
        </w:rPr>
        <w:t>competition</w:t>
      </w:r>
      <w:r w:rsidR="00024696" w:rsidRPr="00E32534">
        <w:rPr>
          <w:rFonts w:ascii="Century Schoolbook" w:hAnsi="Century Schoolbook"/>
        </w:rPr>
        <w:t xml:space="preserve"> development on hold throughout Pennsylvania.  </w:t>
      </w:r>
      <w:r w:rsidR="00E41933" w:rsidRPr="00E32534">
        <w:rPr>
          <w:rFonts w:ascii="Century Schoolbook" w:hAnsi="Century Schoolbook"/>
        </w:rPr>
        <w:t>In this posture, it</w:t>
      </w:r>
      <w:r w:rsidR="00557E34" w:rsidRPr="00E32534">
        <w:rPr>
          <w:rFonts w:ascii="Century Schoolbook" w:hAnsi="Century Schoolbook"/>
        </w:rPr>
        <w:t xml:space="preserve"> is</w:t>
      </w:r>
      <w:r w:rsidR="00E41933" w:rsidRPr="00E32534">
        <w:rPr>
          <w:rFonts w:ascii="Century Schoolbook" w:hAnsi="Century Schoolbook"/>
        </w:rPr>
        <w:t xml:space="preserve"> crucially important that, if this merger is to go forward, the </w:t>
      </w:r>
      <w:r w:rsidR="00374A5F" w:rsidRPr="00E32534">
        <w:rPr>
          <w:rFonts w:ascii="Century Schoolbook" w:hAnsi="Century Schoolbook"/>
        </w:rPr>
        <w:t xml:space="preserve">merger must not </w:t>
      </w:r>
      <w:r w:rsidR="00CA3053" w:rsidRPr="00E32534">
        <w:rPr>
          <w:rFonts w:ascii="Century Schoolbook" w:hAnsi="Century Schoolbook"/>
        </w:rPr>
        <w:t>frustrate the development of</w:t>
      </w:r>
      <w:r w:rsidR="00374A5F" w:rsidRPr="00E32534">
        <w:rPr>
          <w:rFonts w:ascii="Century Schoolbook" w:hAnsi="Century Schoolbook"/>
        </w:rPr>
        <w:t xml:space="preserve"> a </w:t>
      </w:r>
      <w:r w:rsidR="00E41933" w:rsidRPr="00E32534">
        <w:rPr>
          <w:rFonts w:ascii="Century Schoolbook" w:hAnsi="Century Schoolbook"/>
        </w:rPr>
        <w:t xml:space="preserve">workably competitive </w:t>
      </w:r>
      <w:r w:rsidR="00557E34" w:rsidRPr="00E32534">
        <w:rPr>
          <w:rFonts w:ascii="Century Schoolbook" w:hAnsi="Century Schoolbook"/>
        </w:rPr>
        <w:t xml:space="preserve">wholesale and </w:t>
      </w:r>
      <w:r w:rsidR="00E41933" w:rsidRPr="00E32534">
        <w:rPr>
          <w:rFonts w:ascii="Century Schoolbook" w:hAnsi="Century Schoolbook"/>
        </w:rPr>
        <w:t>retail market.</w:t>
      </w:r>
    </w:p>
    <w:p w:rsidR="00787830" w:rsidRPr="00E32534" w:rsidRDefault="00787830" w:rsidP="00AE556A">
      <w:pPr>
        <w:rPr>
          <w:rFonts w:ascii="Century Schoolbook" w:hAnsi="Century Schoolbook"/>
        </w:rPr>
      </w:pPr>
    </w:p>
    <w:p w:rsidR="00787830" w:rsidRPr="00E32534" w:rsidRDefault="00E41933" w:rsidP="00AE556A">
      <w:pPr>
        <w:rPr>
          <w:rFonts w:ascii="Century Schoolbook" w:hAnsi="Century Schoolbook"/>
        </w:rPr>
      </w:pPr>
      <w:r w:rsidRPr="00E32534">
        <w:rPr>
          <w:rFonts w:ascii="Century Schoolbook" w:hAnsi="Century Schoolbook"/>
        </w:rPr>
        <w:tab/>
        <w:t>Unfortunately, the record does not per</w:t>
      </w:r>
      <w:r w:rsidR="001C0BA9" w:rsidRPr="00E32534">
        <w:rPr>
          <w:rFonts w:ascii="Century Schoolbook" w:hAnsi="Century Schoolbook"/>
        </w:rPr>
        <w:t>mit a conclusion that a workable</w:t>
      </w:r>
      <w:r w:rsidRPr="00E32534">
        <w:rPr>
          <w:rFonts w:ascii="Century Schoolbook" w:hAnsi="Century Schoolbook"/>
        </w:rPr>
        <w:t xml:space="preserve"> competitive market will </w:t>
      </w:r>
      <w:r w:rsidR="00374A5F" w:rsidRPr="00E32534">
        <w:rPr>
          <w:rFonts w:ascii="Century Schoolbook" w:hAnsi="Century Schoolbook"/>
        </w:rPr>
        <w:t xml:space="preserve">likely </w:t>
      </w:r>
      <w:r w:rsidR="00024696" w:rsidRPr="00E32534">
        <w:rPr>
          <w:rFonts w:ascii="Century Schoolbook" w:hAnsi="Century Schoolbook"/>
        </w:rPr>
        <w:t xml:space="preserve">result </w:t>
      </w:r>
      <w:r w:rsidRPr="00E32534">
        <w:rPr>
          <w:rFonts w:ascii="Century Schoolbook" w:hAnsi="Century Schoolbook"/>
        </w:rPr>
        <w:t>if the merger is approved with only the competitive conditions proposed in the Partial Settlement</w:t>
      </w:r>
      <w:r w:rsidR="009E644A" w:rsidRPr="00E32534">
        <w:rPr>
          <w:rFonts w:ascii="Century Schoolbook" w:hAnsi="Century Schoolbook"/>
        </w:rPr>
        <w:t xml:space="preserve"> and the proposed conditions offered by my colleagues</w:t>
      </w:r>
      <w:r w:rsidRPr="00E32534">
        <w:rPr>
          <w:rFonts w:ascii="Century Schoolbook" w:hAnsi="Century Schoolbook"/>
        </w:rPr>
        <w:t xml:space="preserve">.  </w:t>
      </w:r>
      <w:r w:rsidR="00374A5F" w:rsidRPr="00E32534">
        <w:rPr>
          <w:rFonts w:ascii="Century Schoolbook" w:hAnsi="Century Schoolbook"/>
        </w:rPr>
        <w:t xml:space="preserve">In a related </w:t>
      </w:r>
      <w:r w:rsidR="00024696" w:rsidRPr="00E32534">
        <w:rPr>
          <w:rFonts w:ascii="Century Schoolbook" w:hAnsi="Century Schoolbook"/>
        </w:rPr>
        <w:t>con</w:t>
      </w:r>
      <w:r w:rsidR="00374A5F" w:rsidRPr="00E32534">
        <w:rPr>
          <w:rFonts w:ascii="Century Schoolbook" w:hAnsi="Century Schoolbook"/>
        </w:rPr>
        <w:t>text</w:t>
      </w:r>
      <w:r w:rsidR="00F70C4A">
        <w:rPr>
          <w:rFonts w:ascii="Century Schoolbook" w:hAnsi="Century Schoolbook"/>
        </w:rPr>
        <w:t>,</w:t>
      </w:r>
      <w:r w:rsidR="00374A5F" w:rsidRPr="00E32534">
        <w:rPr>
          <w:rFonts w:ascii="Century Schoolbook" w:hAnsi="Century Schoolbook"/>
        </w:rPr>
        <w:t xml:space="preserve"> the Commission has found that a </w:t>
      </w:r>
      <w:r w:rsidR="001C0BA9" w:rsidRPr="00E32534">
        <w:rPr>
          <w:rFonts w:ascii="Century Schoolbook" w:hAnsi="Century Schoolbook"/>
        </w:rPr>
        <w:t>workable</w:t>
      </w:r>
      <w:r w:rsidR="00453EB6" w:rsidRPr="00E32534">
        <w:rPr>
          <w:rFonts w:ascii="Century Schoolbook" w:hAnsi="Century Schoolbook"/>
        </w:rPr>
        <w:t>, or effectively</w:t>
      </w:r>
      <w:r w:rsidR="00A17081" w:rsidRPr="00E32534">
        <w:rPr>
          <w:rFonts w:ascii="Century Schoolbook" w:hAnsi="Century Schoolbook"/>
        </w:rPr>
        <w:t xml:space="preserve"> competitive market is one in which</w:t>
      </w:r>
      <w:r w:rsidR="00453EB6" w:rsidRPr="00E32534">
        <w:rPr>
          <w:rFonts w:ascii="Century Schoolbook" w:hAnsi="Century Schoolbook"/>
        </w:rPr>
        <w:t xml:space="preserve"> there is</w:t>
      </w:r>
      <w:r w:rsidR="00A17081" w:rsidRPr="00E32534">
        <w:rPr>
          <w:rFonts w:ascii="Century Schoolbook" w:hAnsi="Century Schoolbook"/>
        </w:rPr>
        <w:t>:</w:t>
      </w:r>
    </w:p>
    <w:p w:rsidR="00453EB6" w:rsidRPr="00E32534" w:rsidRDefault="00A17081" w:rsidP="00AE556A">
      <w:pPr>
        <w:rPr>
          <w:rFonts w:ascii="Century Schoolbook" w:hAnsi="Century Schoolbook"/>
        </w:rPr>
      </w:pPr>
      <w:r w:rsidRPr="00E32534">
        <w:rPr>
          <w:rFonts w:ascii="Century Schoolbook" w:hAnsi="Century Schoolbook"/>
        </w:rPr>
        <w:t xml:space="preserve"> </w:t>
      </w:r>
    </w:p>
    <w:p w:rsidR="00453EB6" w:rsidRPr="00E32534" w:rsidRDefault="00453EB6" w:rsidP="00453EB6">
      <w:pPr>
        <w:numPr>
          <w:ilvl w:val="0"/>
          <w:numId w:val="20"/>
        </w:numPr>
        <w:rPr>
          <w:rFonts w:ascii="Century Schoolbook" w:hAnsi="Century Schoolbook"/>
        </w:rPr>
      </w:pPr>
      <w:r w:rsidRPr="00E32534">
        <w:rPr>
          <w:rFonts w:ascii="Century Schoolbook" w:hAnsi="Century Schoolbook"/>
        </w:rPr>
        <w:t>Participation in the market by many sellers so that an individual seller is not able to influence significantly the price of the commodity.</w:t>
      </w:r>
    </w:p>
    <w:p w:rsidR="00453EB6" w:rsidRPr="00E32534" w:rsidRDefault="00453EB6" w:rsidP="00453EB6">
      <w:pPr>
        <w:numPr>
          <w:ilvl w:val="0"/>
          <w:numId w:val="20"/>
        </w:numPr>
        <w:tabs>
          <w:tab w:val="clear" w:pos="1440"/>
          <w:tab w:val="num" w:pos="780"/>
        </w:tabs>
        <w:rPr>
          <w:rFonts w:ascii="Century Schoolbook" w:hAnsi="Century Schoolbook"/>
        </w:rPr>
      </w:pPr>
      <w:r w:rsidRPr="00E32534">
        <w:rPr>
          <w:rFonts w:ascii="Century Schoolbook" w:hAnsi="Century Schoolbook"/>
        </w:rPr>
        <w:t>Participation in the market by many buyers.</w:t>
      </w:r>
    </w:p>
    <w:p w:rsidR="00453EB6" w:rsidRPr="00E32534" w:rsidRDefault="00453EB6" w:rsidP="00453EB6">
      <w:pPr>
        <w:numPr>
          <w:ilvl w:val="0"/>
          <w:numId w:val="20"/>
        </w:numPr>
        <w:tabs>
          <w:tab w:val="clear" w:pos="1440"/>
          <w:tab w:val="num" w:pos="780"/>
        </w:tabs>
        <w:rPr>
          <w:rFonts w:ascii="Century Schoolbook" w:hAnsi="Century Schoolbook"/>
        </w:rPr>
      </w:pPr>
      <w:r w:rsidRPr="00E32534">
        <w:rPr>
          <w:rFonts w:ascii="Century Schoolbook" w:hAnsi="Century Schoolbook"/>
        </w:rPr>
        <w:t>Lack of substantial barriers to supplier entry and participation in the market.</w:t>
      </w:r>
    </w:p>
    <w:p w:rsidR="00453EB6" w:rsidRPr="00E32534" w:rsidRDefault="00453EB6" w:rsidP="00453EB6">
      <w:pPr>
        <w:numPr>
          <w:ilvl w:val="0"/>
          <w:numId w:val="20"/>
        </w:numPr>
        <w:tabs>
          <w:tab w:val="clear" w:pos="1440"/>
          <w:tab w:val="num" w:pos="780"/>
        </w:tabs>
        <w:rPr>
          <w:rFonts w:ascii="Century Schoolbook" w:hAnsi="Century Schoolbook"/>
        </w:rPr>
      </w:pPr>
      <w:r w:rsidRPr="00E32534">
        <w:rPr>
          <w:rFonts w:ascii="Century Schoolbook" w:hAnsi="Century Schoolbook"/>
        </w:rPr>
        <w:t>Lack of substantial barriers that may discourage customer participation in the market.</w:t>
      </w:r>
    </w:p>
    <w:p w:rsidR="00453EB6" w:rsidRPr="00E32534" w:rsidRDefault="00453EB6" w:rsidP="00453EB6">
      <w:pPr>
        <w:numPr>
          <w:ilvl w:val="0"/>
          <w:numId w:val="20"/>
        </w:numPr>
        <w:tabs>
          <w:tab w:val="clear" w:pos="1440"/>
          <w:tab w:val="num" w:pos="780"/>
        </w:tabs>
        <w:rPr>
          <w:rFonts w:ascii="Century Schoolbook" w:hAnsi="Century Schoolbook"/>
        </w:rPr>
      </w:pPr>
      <w:r w:rsidRPr="00E32534">
        <w:rPr>
          <w:rFonts w:ascii="Century Schoolbook" w:hAnsi="Century Schoolbook"/>
        </w:rPr>
        <w:t>Sellers offering buyers a variety of products and services.</w:t>
      </w:r>
      <w:r w:rsidRPr="00E32534">
        <w:rPr>
          <w:rFonts w:ascii="Century Schoolbook" w:hAnsi="Century Schoolbook"/>
          <w:vertAlign w:val="superscript"/>
        </w:rPr>
        <w:footnoteReference w:id="1"/>
      </w:r>
    </w:p>
    <w:p w:rsidR="00453EB6" w:rsidRPr="00E32534" w:rsidRDefault="00453EB6" w:rsidP="00AE556A">
      <w:pPr>
        <w:rPr>
          <w:rFonts w:ascii="Century Schoolbook" w:hAnsi="Century Schoolbook"/>
        </w:rPr>
      </w:pPr>
    </w:p>
    <w:p w:rsidR="001010BE" w:rsidRDefault="00787830" w:rsidP="00AE556A">
      <w:pPr>
        <w:rPr>
          <w:rFonts w:ascii="Century Schoolbook" w:hAnsi="Century Schoolbook"/>
        </w:rPr>
      </w:pPr>
      <w:r w:rsidRPr="00E32534">
        <w:rPr>
          <w:rFonts w:ascii="Century Schoolbook" w:hAnsi="Century Schoolbook"/>
        </w:rPr>
        <w:tab/>
      </w:r>
      <w:r w:rsidR="009E644A" w:rsidRPr="00E32534">
        <w:rPr>
          <w:rFonts w:ascii="Century Schoolbook" w:hAnsi="Century Schoolbook"/>
        </w:rPr>
        <w:t>A</w:t>
      </w:r>
      <w:r w:rsidR="00453EB6" w:rsidRPr="00E32534">
        <w:rPr>
          <w:rFonts w:ascii="Century Schoolbook" w:hAnsi="Century Schoolbook"/>
        </w:rPr>
        <w:t xml:space="preserve"> review of the evidence leads</w:t>
      </w:r>
      <w:r w:rsidR="009E644A" w:rsidRPr="00E32534">
        <w:rPr>
          <w:rFonts w:ascii="Century Schoolbook" w:hAnsi="Century Schoolbook"/>
        </w:rPr>
        <w:t xml:space="preserve"> to</w:t>
      </w:r>
      <w:r w:rsidR="00453EB6" w:rsidRPr="00E32534">
        <w:rPr>
          <w:rFonts w:ascii="Century Schoolbook" w:hAnsi="Century Schoolbook"/>
        </w:rPr>
        <w:t xml:space="preserve"> the conclusion that the merger will likely prevent a market with these characteristics from developing.  </w:t>
      </w:r>
      <w:r w:rsidR="009E644A" w:rsidRPr="00E32534">
        <w:rPr>
          <w:rFonts w:ascii="Century Schoolbook" w:hAnsi="Century Schoolbook"/>
        </w:rPr>
        <w:t>The</w:t>
      </w:r>
      <w:r w:rsidR="00453EB6" w:rsidRPr="00E32534">
        <w:rPr>
          <w:rFonts w:ascii="Century Schoolbook" w:hAnsi="Century Schoolbook"/>
        </w:rPr>
        <w:t xml:space="preserve"> principal reason for this is FirstEnergy’s </w:t>
      </w:r>
      <w:r w:rsidRPr="00E32534">
        <w:rPr>
          <w:rFonts w:ascii="Century Schoolbook" w:hAnsi="Century Schoolbook"/>
        </w:rPr>
        <w:t xml:space="preserve">proposed </w:t>
      </w:r>
      <w:r w:rsidR="00453EB6" w:rsidRPr="00E32534">
        <w:rPr>
          <w:rFonts w:ascii="Century Schoolbook" w:hAnsi="Century Schoolbook"/>
        </w:rPr>
        <w:t>acquisition of Allegheny’s substantial generat</w:t>
      </w:r>
      <w:r w:rsidR="003943D4" w:rsidRPr="00E32534">
        <w:rPr>
          <w:rFonts w:ascii="Century Schoolbook" w:hAnsi="Century Schoolbook"/>
        </w:rPr>
        <w:t xml:space="preserve">ion and transmission assets, and particularly </w:t>
      </w:r>
      <w:r w:rsidR="00BA1F54" w:rsidRPr="00E32534">
        <w:rPr>
          <w:rFonts w:ascii="Century Schoolbook" w:hAnsi="Century Schoolbook"/>
        </w:rPr>
        <w:t>Allegheny’s</w:t>
      </w:r>
      <w:r w:rsidR="003943D4" w:rsidRPr="00E32534">
        <w:rPr>
          <w:rFonts w:ascii="Century Schoolbook" w:hAnsi="Century Schoolbook"/>
        </w:rPr>
        <w:t xml:space="preserve"> substantial generating </w:t>
      </w:r>
      <w:r w:rsidR="00453EB6" w:rsidRPr="00E32534">
        <w:rPr>
          <w:rFonts w:ascii="Century Schoolbook" w:hAnsi="Century Schoolbook"/>
        </w:rPr>
        <w:t>fleet</w:t>
      </w:r>
      <w:r w:rsidR="00616EC5" w:rsidRPr="00E32534">
        <w:rPr>
          <w:rFonts w:ascii="Century Schoolbook" w:hAnsi="Century Schoolbook"/>
        </w:rPr>
        <w:t xml:space="preserve"> </w:t>
      </w:r>
      <w:r w:rsidR="00F5648B" w:rsidRPr="00E32534">
        <w:rPr>
          <w:rFonts w:ascii="Century Schoolbook" w:hAnsi="Century Schoolbook"/>
        </w:rPr>
        <w:t xml:space="preserve">which is </w:t>
      </w:r>
      <w:r w:rsidR="00616EC5" w:rsidRPr="00E32534">
        <w:rPr>
          <w:rFonts w:ascii="Century Schoolbook" w:hAnsi="Century Schoolbook"/>
        </w:rPr>
        <w:t>capable of serving its Pennsylvania service territories</w:t>
      </w:r>
      <w:r w:rsidR="00A07A7C">
        <w:rPr>
          <w:rFonts w:ascii="Century Schoolbook" w:hAnsi="Century Schoolbook"/>
        </w:rPr>
        <w:t xml:space="preserve"> in a highly</w:t>
      </w:r>
      <w:r w:rsidR="00F5648B" w:rsidRPr="00E32534">
        <w:rPr>
          <w:rFonts w:ascii="Century Schoolbook" w:hAnsi="Century Schoolbook"/>
        </w:rPr>
        <w:t xml:space="preserve"> economic manner</w:t>
      </w:r>
      <w:r w:rsidR="00616EC5" w:rsidRPr="00E32534">
        <w:rPr>
          <w:rFonts w:ascii="Century Schoolbook" w:hAnsi="Century Schoolbook"/>
        </w:rPr>
        <w:t>.</w:t>
      </w:r>
      <w:r w:rsidR="00453EB6" w:rsidRPr="00E32534">
        <w:rPr>
          <w:rFonts w:ascii="Century Schoolbook" w:hAnsi="Century Schoolbook"/>
        </w:rPr>
        <w:t xml:space="preserve">  Access to th</w:t>
      </w:r>
      <w:r w:rsidR="003943D4" w:rsidRPr="00E32534">
        <w:rPr>
          <w:rFonts w:ascii="Century Schoolbook" w:hAnsi="Century Schoolbook"/>
        </w:rPr>
        <w:t xml:space="preserve">ese </w:t>
      </w:r>
      <w:r w:rsidR="000B6DA5" w:rsidRPr="00E32534">
        <w:rPr>
          <w:rFonts w:ascii="Century Schoolbook" w:hAnsi="Century Schoolbook"/>
        </w:rPr>
        <w:t>assets</w:t>
      </w:r>
      <w:r w:rsidR="00453EB6" w:rsidRPr="00E32534">
        <w:rPr>
          <w:rFonts w:ascii="Century Schoolbook" w:hAnsi="Century Schoolbook"/>
        </w:rPr>
        <w:t xml:space="preserve">, together with </w:t>
      </w:r>
      <w:r w:rsidR="00AE556A" w:rsidRPr="00E32534">
        <w:rPr>
          <w:rFonts w:ascii="Century Schoolbook" w:hAnsi="Century Schoolbook"/>
        </w:rPr>
        <w:t>FirstEnergy</w:t>
      </w:r>
      <w:r w:rsidR="00453EB6" w:rsidRPr="00E32534">
        <w:rPr>
          <w:rFonts w:ascii="Century Schoolbook" w:hAnsi="Century Schoolbook"/>
        </w:rPr>
        <w:t xml:space="preserve">’s existing </w:t>
      </w:r>
      <w:r w:rsidR="003943D4" w:rsidRPr="00E32534">
        <w:rPr>
          <w:rFonts w:ascii="Century Schoolbook" w:hAnsi="Century Schoolbook"/>
        </w:rPr>
        <w:t>capacity</w:t>
      </w:r>
      <w:r w:rsidR="00453EB6" w:rsidRPr="00E32534">
        <w:rPr>
          <w:rFonts w:ascii="Century Schoolbook" w:hAnsi="Century Schoolbook"/>
        </w:rPr>
        <w:t xml:space="preserve">, will put </w:t>
      </w:r>
      <w:r w:rsidR="003943D4" w:rsidRPr="00E32534">
        <w:rPr>
          <w:rFonts w:ascii="Century Schoolbook" w:hAnsi="Century Schoolbook"/>
        </w:rPr>
        <w:t xml:space="preserve">the merged company </w:t>
      </w:r>
      <w:r w:rsidR="00453EB6" w:rsidRPr="00E32534">
        <w:rPr>
          <w:rFonts w:ascii="Century Schoolbook" w:hAnsi="Century Schoolbook"/>
        </w:rPr>
        <w:t xml:space="preserve">in a position </w:t>
      </w:r>
      <w:r w:rsidR="00AE556A" w:rsidRPr="00E32534">
        <w:rPr>
          <w:rFonts w:ascii="Century Schoolbook" w:hAnsi="Century Schoolbook"/>
        </w:rPr>
        <w:t>to</w:t>
      </w:r>
      <w:r w:rsidR="00CA3053" w:rsidRPr="00E32534">
        <w:rPr>
          <w:rFonts w:ascii="Century Schoolbook" w:hAnsi="Century Schoolbook"/>
        </w:rPr>
        <w:t xml:space="preserve"> </w:t>
      </w:r>
      <w:r w:rsidR="00AE556A" w:rsidRPr="00E32534">
        <w:rPr>
          <w:rFonts w:ascii="Century Schoolbook" w:hAnsi="Century Schoolbook"/>
        </w:rPr>
        <w:t>dominate the Pennsylvania market</w:t>
      </w:r>
      <w:r w:rsidR="00A07A7C">
        <w:rPr>
          <w:rFonts w:ascii="Century Schoolbook" w:hAnsi="Century Schoolbook"/>
        </w:rPr>
        <w:t>.  In consequence, no</w:t>
      </w:r>
      <w:r w:rsidR="00CA3053" w:rsidRPr="00E32534">
        <w:rPr>
          <w:rFonts w:ascii="Century Schoolbook" w:hAnsi="Century Schoolbook"/>
        </w:rPr>
        <w:t xml:space="preserve"> real competition will </w:t>
      </w:r>
      <w:r w:rsidR="00A07A7C">
        <w:rPr>
          <w:rFonts w:ascii="Century Schoolbook" w:hAnsi="Century Schoolbook"/>
        </w:rPr>
        <w:t xml:space="preserve">exist and </w:t>
      </w:r>
      <w:r w:rsidR="00CA3053" w:rsidRPr="00E32534">
        <w:rPr>
          <w:rFonts w:ascii="Century Schoolbook" w:hAnsi="Century Schoolbook"/>
        </w:rPr>
        <w:t>result in customers paying higher prices than if real competition were able to develop</w:t>
      </w:r>
      <w:r w:rsidR="00453EB6" w:rsidRPr="00E32534">
        <w:rPr>
          <w:rFonts w:ascii="Century Schoolbook" w:hAnsi="Century Schoolbook"/>
        </w:rPr>
        <w:t xml:space="preserve">.  </w:t>
      </w:r>
    </w:p>
    <w:p w:rsidR="00353D70" w:rsidRDefault="00353D70" w:rsidP="00AE556A">
      <w:pPr>
        <w:rPr>
          <w:rFonts w:ascii="Century Schoolbook" w:hAnsi="Century Schoolbook"/>
        </w:rPr>
      </w:pPr>
    </w:p>
    <w:p w:rsidR="00353D70" w:rsidRPr="00353D70" w:rsidRDefault="00353D70" w:rsidP="00353D70">
      <w:pPr>
        <w:jc w:val="center"/>
        <w:rPr>
          <w:rFonts w:ascii="Century Schoolbook" w:hAnsi="Century Schoolbook"/>
          <w:b/>
        </w:rPr>
      </w:pPr>
      <w:r w:rsidRPr="00353D70">
        <w:rPr>
          <w:rFonts w:ascii="Century Schoolbook" w:hAnsi="Century Schoolbook"/>
          <w:b/>
        </w:rPr>
        <w:t>Ohio All Over Again</w:t>
      </w:r>
    </w:p>
    <w:p w:rsidR="001010BE" w:rsidRDefault="001010BE" w:rsidP="00AE556A">
      <w:pPr>
        <w:rPr>
          <w:rFonts w:ascii="Century Schoolbook" w:hAnsi="Century Schoolbook"/>
        </w:rPr>
      </w:pPr>
    </w:p>
    <w:p w:rsidR="0079502A" w:rsidRPr="00E32534" w:rsidRDefault="0079502A" w:rsidP="001010BE">
      <w:pPr>
        <w:ind w:firstLine="720"/>
        <w:rPr>
          <w:rFonts w:ascii="Century Schoolbook" w:hAnsi="Century Schoolbook"/>
        </w:rPr>
      </w:pPr>
      <w:r w:rsidRPr="00E32534">
        <w:rPr>
          <w:rFonts w:ascii="Century Schoolbook" w:hAnsi="Century Schoolbook"/>
        </w:rPr>
        <w:t xml:space="preserve">The evidence shows that the acquisition of Allegheny’s </w:t>
      </w:r>
      <w:r w:rsidR="003943D4" w:rsidRPr="00E32534">
        <w:rPr>
          <w:rFonts w:ascii="Century Schoolbook" w:hAnsi="Century Schoolbook"/>
        </w:rPr>
        <w:t>assets</w:t>
      </w:r>
      <w:r w:rsidRPr="00E32534">
        <w:rPr>
          <w:rFonts w:ascii="Century Schoolbook" w:hAnsi="Century Schoolbook"/>
        </w:rPr>
        <w:t xml:space="preserve"> will permit FirstEnergy to deploy a “retail marketing strategy” in the Commonwealth that will result in most residential and small business customers taking service from FirstEnergy’s default service or from FirstEnergy’s electric generation supplier affiliate, FirstEnergy Solutions</w:t>
      </w:r>
      <w:r w:rsidR="00BA1F54" w:rsidRPr="00E32534">
        <w:rPr>
          <w:rFonts w:ascii="Century Schoolbook" w:hAnsi="Century Schoolbook"/>
        </w:rPr>
        <w:t>.</w:t>
      </w:r>
      <w:r w:rsidRPr="00E32534">
        <w:rPr>
          <w:rFonts w:ascii="Century Schoolbook" w:hAnsi="Century Schoolbook"/>
        </w:rPr>
        <w:t xml:space="preserve"> </w:t>
      </w:r>
      <w:r w:rsidR="005B72D4" w:rsidRPr="00E32534">
        <w:rPr>
          <w:rFonts w:ascii="Century Schoolbook" w:hAnsi="Century Schoolbook"/>
        </w:rPr>
        <w:t>FirstEnergy intends to</w:t>
      </w:r>
      <w:r w:rsidR="00BA1F54" w:rsidRPr="00E32534">
        <w:rPr>
          <w:rFonts w:ascii="Century Schoolbook" w:hAnsi="Century Schoolbook"/>
        </w:rPr>
        <w:t xml:space="preserve"> accomplish this </w:t>
      </w:r>
      <w:r w:rsidR="00BD0BCE" w:rsidRPr="00E32534">
        <w:rPr>
          <w:rFonts w:ascii="Century Schoolbook" w:hAnsi="Century Schoolbook"/>
        </w:rPr>
        <w:t xml:space="preserve">by utilizing Allegheny’s generation fleet to aggressively market at the retail level through three sales channels –  (1) municipal aggregation; (2) direct sales to customers </w:t>
      </w:r>
      <w:r w:rsidR="001A067F" w:rsidRPr="00E32534">
        <w:rPr>
          <w:rFonts w:ascii="Century Schoolbook" w:hAnsi="Century Schoolbook"/>
        </w:rPr>
        <w:t xml:space="preserve">through its affiliated </w:t>
      </w:r>
      <w:r w:rsidR="006B7649" w:rsidRPr="00E32534">
        <w:rPr>
          <w:rFonts w:ascii="Century Schoolbook" w:hAnsi="Century Schoolbook"/>
        </w:rPr>
        <w:t>electric generation supplier (</w:t>
      </w:r>
      <w:r w:rsidR="001A067F" w:rsidRPr="00E32534">
        <w:rPr>
          <w:rFonts w:ascii="Century Schoolbook" w:hAnsi="Century Schoolbook"/>
        </w:rPr>
        <w:t>EGS</w:t>
      </w:r>
      <w:r w:rsidR="006B7649" w:rsidRPr="00E32534">
        <w:rPr>
          <w:rFonts w:ascii="Century Schoolbook" w:hAnsi="Century Schoolbook"/>
        </w:rPr>
        <w:t>)</w:t>
      </w:r>
      <w:r w:rsidR="00BD0BCE" w:rsidRPr="00E32534">
        <w:rPr>
          <w:rFonts w:ascii="Century Schoolbook" w:hAnsi="Century Schoolbook"/>
        </w:rPr>
        <w:t>; and, (3) indirectly to customers through the default service of affiliated EDCs</w:t>
      </w:r>
      <w:r w:rsidR="001A067F" w:rsidRPr="00E32534">
        <w:rPr>
          <w:rFonts w:ascii="Century Schoolbook" w:hAnsi="Century Schoolbook"/>
        </w:rPr>
        <w:t xml:space="preserve"> (with power supplied by the affiliated-EGS which controls the FirstEnergy generation assets)</w:t>
      </w:r>
      <w:r w:rsidR="00AE556A" w:rsidRPr="00E32534">
        <w:rPr>
          <w:rFonts w:ascii="Century Schoolbook" w:hAnsi="Century Schoolbook"/>
        </w:rPr>
        <w:t>.</w:t>
      </w:r>
      <w:r w:rsidR="005B5DF2" w:rsidRPr="00E32534">
        <w:rPr>
          <w:rFonts w:ascii="Century Schoolbook" w:hAnsi="Century Schoolbook"/>
        </w:rPr>
        <w:t xml:space="preserve">  FirstEnergy’s </w:t>
      </w:r>
      <w:r w:rsidR="003943D4" w:rsidRPr="00E32534">
        <w:rPr>
          <w:rFonts w:ascii="Century Schoolbook" w:hAnsi="Century Schoolbook"/>
        </w:rPr>
        <w:t>“retail marketing strategy,” enabled by its newly acquired assets, will result in the stifling of competition throughout the FirstEnergy service territory.  The result</w:t>
      </w:r>
      <w:r w:rsidR="00EF1E9B" w:rsidRPr="00E32534">
        <w:rPr>
          <w:rFonts w:ascii="Century Schoolbook" w:hAnsi="Century Schoolbook"/>
        </w:rPr>
        <w:t xml:space="preserve"> </w:t>
      </w:r>
      <w:r w:rsidR="003943D4" w:rsidRPr="00E32534">
        <w:rPr>
          <w:rFonts w:ascii="Century Schoolbook" w:hAnsi="Century Schoolbook"/>
        </w:rPr>
        <w:t xml:space="preserve">will be higher prices </w:t>
      </w:r>
      <w:r w:rsidR="00E5684D" w:rsidRPr="00E32534">
        <w:rPr>
          <w:rFonts w:ascii="Century Schoolbook" w:hAnsi="Century Schoolbook"/>
        </w:rPr>
        <w:t xml:space="preserve">and fewer </w:t>
      </w:r>
      <w:r w:rsidR="003943D4" w:rsidRPr="00E32534">
        <w:rPr>
          <w:rFonts w:ascii="Century Schoolbook" w:hAnsi="Century Schoolbook"/>
        </w:rPr>
        <w:t>choice</w:t>
      </w:r>
      <w:r w:rsidR="00E5684D" w:rsidRPr="00E32534">
        <w:rPr>
          <w:rFonts w:ascii="Century Schoolbook" w:hAnsi="Century Schoolbook"/>
        </w:rPr>
        <w:t>s</w:t>
      </w:r>
      <w:r w:rsidR="003943D4" w:rsidRPr="00E32534">
        <w:rPr>
          <w:rFonts w:ascii="Century Schoolbook" w:hAnsi="Century Schoolbook"/>
        </w:rPr>
        <w:t xml:space="preserve"> </w:t>
      </w:r>
      <w:r w:rsidR="005D219B" w:rsidRPr="00E32534">
        <w:rPr>
          <w:rFonts w:ascii="Century Schoolbook" w:hAnsi="Century Schoolbook"/>
        </w:rPr>
        <w:t>for customers</w:t>
      </w:r>
      <w:r w:rsidR="00E5684D" w:rsidRPr="00E32534">
        <w:rPr>
          <w:rFonts w:ascii="Century Schoolbook" w:hAnsi="Century Schoolbook"/>
        </w:rPr>
        <w:t xml:space="preserve"> than if a fully competitive market was able to develop</w:t>
      </w:r>
      <w:r w:rsidR="009601C6" w:rsidRPr="00E32534">
        <w:rPr>
          <w:rFonts w:ascii="Century Schoolbook" w:hAnsi="Century Schoolbook"/>
        </w:rPr>
        <w:t>—</w:t>
      </w:r>
      <w:r w:rsidR="003943D4" w:rsidRPr="00E32534">
        <w:rPr>
          <w:rFonts w:ascii="Century Schoolbook" w:hAnsi="Century Schoolbook"/>
        </w:rPr>
        <w:t>the opposite of what the General Assembly intended when it enacted the Electric</w:t>
      </w:r>
      <w:r w:rsidR="00E5684D" w:rsidRPr="00E32534">
        <w:rPr>
          <w:rFonts w:ascii="Century Schoolbook" w:hAnsi="Century Schoolbook"/>
        </w:rPr>
        <w:t>ity</w:t>
      </w:r>
      <w:r w:rsidR="003943D4" w:rsidRPr="00E32534">
        <w:rPr>
          <w:rFonts w:ascii="Century Schoolbook" w:hAnsi="Century Schoolbook"/>
        </w:rPr>
        <w:t xml:space="preserve"> </w:t>
      </w:r>
      <w:r w:rsidR="00E5684D" w:rsidRPr="00E32534">
        <w:rPr>
          <w:rFonts w:ascii="Century Schoolbook" w:hAnsi="Century Schoolbook"/>
        </w:rPr>
        <w:t xml:space="preserve">Generation Customer </w:t>
      </w:r>
      <w:r w:rsidR="003943D4" w:rsidRPr="00E32534">
        <w:rPr>
          <w:rFonts w:ascii="Century Schoolbook" w:hAnsi="Century Schoolbook"/>
        </w:rPr>
        <w:t>Choice</w:t>
      </w:r>
      <w:r w:rsidR="00E5684D" w:rsidRPr="00E32534">
        <w:rPr>
          <w:rFonts w:ascii="Century Schoolbook" w:hAnsi="Century Schoolbook"/>
        </w:rPr>
        <w:t xml:space="preserve"> and Competition</w:t>
      </w:r>
      <w:r w:rsidR="003943D4" w:rsidRPr="00E32534">
        <w:rPr>
          <w:rFonts w:ascii="Century Schoolbook" w:hAnsi="Century Schoolbook"/>
        </w:rPr>
        <w:t xml:space="preserve"> Act</w:t>
      </w:r>
      <w:r w:rsidR="009601C6" w:rsidRPr="00E32534">
        <w:rPr>
          <w:rFonts w:ascii="Century Schoolbook" w:hAnsi="Century Schoolbook"/>
        </w:rPr>
        <w:t>.</w:t>
      </w:r>
    </w:p>
    <w:p w:rsidR="005B5DF2" w:rsidRPr="00E32534" w:rsidRDefault="005B5DF2" w:rsidP="00AE556A">
      <w:pPr>
        <w:rPr>
          <w:rFonts w:ascii="Century Schoolbook" w:hAnsi="Century Schoolbook"/>
        </w:rPr>
      </w:pPr>
    </w:p>
    <w:p w:rsidR="0079502A" w:rsidRDefault="00787830" w:rsidP="00AE556A">
      <w:pPr>
        <w:rPr>
          <w:rFonts w:ascii="Century Schoolbook" w:hAnsi="Century Schoolbook"/>
        </w:rPr>
      </w:pPr>
      <w:r w:rsidRPr="00E32534">
        <w:rPr>
          <w:rFonts w:ascii="Century Schoolbook" w:hAnsi="Century Schoolbook"/>
        </w:rPr>
        <w:tab/>
      </w:r>
      <w:r w:rsidR="007F4394">
        <w:rPr>
          <w:rFonts w:ascii="Century Schoolbook" w:hAnsi="Century Schoolbook"/>
        </w:rPr>
        <w:t xml:space="preserve">As FirstEnergy Corporation’s Fourth Quarter </w:t>
      </w:r>
      <w:r w:rsidR="001010BE">
        <w:rPr>
          <w:rFonts w:ascii="Century Schoolbook" w:hAnsi="Century Schoolbook"/>
        </w:rPr>
        <w:t xml:space="preserve">2010 </w:t>
      </w:r>
      <w:r w:rsidR="007F4394">
        <w:rPr>
          <w:rFonts w:ascii="Century Schoolbook" w:hAnsi="Century Schoolbook"/>
        </w:rPr>
        <w:t>Earnings Report makes plain, t</w:t>
      </w:r>
      <w:r w:rsidR="0079502A" w:rsidRPr="00E32534">
        <w:rPr>
          <w:rFonts w:ascii="Century Schoolbook" w:hAnsi="Century Schoolbook"/>
        </w:rPr>
        <w:t xml:space="preserve">his generation-backed retail marketing strategy has been highly successful for FirstEnergy in Ohio, where, the record </w:t>
      </w:r>
      <w:r w:rsidR="00A07A7C">
        <w:rPr>
          <w:rFonts w:ascii="Century Schoolbook" w:hAnsi="Century Schoolbook"/>
        </w:rPr>
        <w:t>establishes</w:t>
      </w:r>
      <w:r w:rsidR="0079502A" w:rsidRPr="00E32534">
        <w:rPr>
          <w:rFonts w:ascii="Century Schoolbook" w:hAnsi="Century Schoolbook"/>
        </w:rPr>
        <w:t xml:space="preserve">, it serves approximately </w:t>
      </w:r>
      <w:r w:rsidR="006D5588" w:rsidRPr="00E32534">
        <w:rPr>
          <w:rFonts w:ascii="Century Schoolbook" w:hAnsi="Century Schoolbook"/>
        </w:rPr>
        <w:t>81.4</w:t>
      </w:r>
      <w:r w:rsidR="00E5684D" w:rsidRPr="00E32534">
        <w:rPr>
          <w:rFonts w:ascii="Century Schoolbook" w:hAnsi="Century Schoolbook"/>
        </w:rPr>
        <w:t xml:space="preserve"> percent</w:t>
      </w:r>
      <w:r w:rsidR="0079502A" w:rsidRPr="00E32534">
        <w:rPr>
          <w:rFonts w:ascii="Century Schoolbook" w:hAnsi="Century Schoolbook"/>
        </w:rPr>
        <w:t xml:space="preserve"> of the retail customers, either through the competitive market</w:t>
      </w:r>
      <w:r w:rsidR="00E00EA4" w:rsidRPr="00E32534">
        <w:rPr>
          <w:rFonts w:ascii="Century Schoolbook" w:hAnsi="Century Schoolbook"/>
        </w:rPr>
        <w:t>, municipal aggregation,</w:t>
      </w:r>
      <w:r w:rsidR="0079502A" w:rsidRPr="00E32534">
        <w:rPr>
          <w:rFonts w:ascii="Century Schoolbook" w:hAnsi="Century Schoolbook"/>
        </w:rPr>
        <w:t xml:space="preserve"> or default service.</w:t>
      </w:r>
      <w:r w:rsidR="001D4D8C">
        <w:rPr>
          <w:rStyle w:val="FootnoteReference"/>
          <w:rFonts w:ascii="Century Schoolbook" w:hAnsi="Century Schoolbook"/>
        </w:rPr>
        <w:footnoteReference w:id="2"/>
      </w:r>
      <w:r w:rsidR="0079502A" w:rsidRPr="00E32534">
        <w:rPr>
          <w:rFonts w:ascii="Century Schoolbook" w:hAnsi="Century Schoolbook"/>
        </w:rPr>
        <w:t xml:space="preserve">  Indeed, FirstEnergy made clear </w:t>
      </w:r>
      <w:r w:rsidR="00AE2F5E" w:rsidRPr="00E32534">
        <w:rPr>
          <w:rFonts w:ascii="Century Schoolbook" w:hAnsi="Century Schoolbook"/>
        </w:rPr>
        <w:t xml:space="preserve">during the hearings that it </w:t>
      </w:r>
      <w:r w:rsidR="0079502A" w:rsidRPr="00E32534">
        <w:rPr>
          <w:rFonts w:ascii="Century Schoolbook" w:hAnsi="Century Schoolbook"/>
        </w:rPr>
        <w:t xml:space="preserve">fully intended to </w:t>
      </w:r>
      <w:r w:rsidR="00A07A7C">
        <w:rPr>
          <w:rFonts w:ascii="Century Schoolbook" w:hAnsi="Century Schoolbook"/>
        </w:rPr>
        <w:t>utilize the same three-pronged business strategy in Pennsylvania to achieve comparable results achieved</w:t>
      </w:r>
      <w:r w:rsidR="0079502A" w:rsidRPr="00E32534">
        <w:rPr>
          <w:rFonts w:ascii="Century Schoolbook" w:hAnsi="Century Schoolbook"/>
        </w:rPr>
        <w:t xml:space="preserve"> in Ohio, </w:t>
      </w:r>
      <w:r w:rsidRPr="00E32534">
        <w:rPr>
          <w:rFonts w:ascii="Century Schoolbook" w:hAnsi="Century Schoolbook"/>
        </w:rPr>
        <w:t xml:space="preserve">through the acquisition of Allegheny’s </w:t>
      </w:r>
      <w:r w:rsidR="0079502A" w:rsidRPr="00E32534">
        <w:rPr>
          <w:rFonts w:ascii="Century Schoolbook" w:hAnsi="Century Schoolbook"/>
        </w:rPr>
        <w:t>generating supply</w:t>
      </w:r>
      <w:r w:rsidR="00A07A7C">
        <w:rPr>
          <w:rFonts w:ascii="Century Schoolbook" w:hAnsi="Century Schoolbook"/>
        </w:rPr>
        <w:t>.</w:t>
      </w:r>
      <w:r w:rsidR="00A07A7C">
        <w:rPr>
          <w:rStyle w:val="FootnoteReference"/>
          <w:rFonts w:ascii="Century Schoolbook" w:hAnsi="Century Schoolbook"/>
        </w:rPr>
        <w:footnoteReference w:id="3"/>
      </w:r>
    </w:p>
    <w:p w:rsidR="00E34048" w:rsidRDefault="00E34048" w:rsidP="00AE556A">
      <w:pPr>
        <w:rPr>
          <w:rFonts w:ascii="Century Schoolbook" w:hAnsi="Century Schoolbook"/>
        </w:rPr>
      </w:pPr>
    </w:p>
    <w:p w:rsidR="00E34048" w:rsidRDefault="00E34048" w:rsidP="00AE556A">
      <w:pPr>
        <w:rPr>
          <w:rFonts w:ascii="Century Schoolbook" w:hAnsi="Century Schoolbook"/>
        </w:rPr>
      </w:pPr>
      <w:r>
        <w:rPr>
          <w:rFonts w:ascii="Century Schoolbook" w:hAnsi="Century Schoolbook"/>
        </w:rPr>
        <w:tab/>
        <w:t>With approval of this merger, several rural Pennsylvania towns will soon be offered “deals” similar to the one New Middletown, Ohio</w:t>
      </w:r>
      <w:r w:rsidR="00C73DE2">
        <w:rPr>
          <w:rFonts w:ascii="Century Schoolbook" w:hAnsi="Century Schoolbook"/>
        </w:rPr>
        <w:t xml:space="preserve"> (just across the border from New Castle, Pennsylvania)</w:t>
      </w:r>
      <w:r>
        <w:rPr>
          <w:rFonts w:ascii="Century Schoolbook" w:hAnsi="Century Schoolbook"/>
        </w:rPr>
        <w:t>, recently received, as reported in the local online news source:</w:t>
      </w:r>
    </w:p>
    <w:p w:rsidR="00E34048" w:rsidRPr="00E34048" w:rsidRDefault="00E34048" w:rsidP="00E34048">
      <w:pPr>
        <w:pStyle w:val="NormalWeb"/>
        <w:shd w:val="clear" w:color="auto" w:fill="FFFFFF"/>
        <w:ind w:left="720" w:right="1440"/>
        <w:jc w:val="both"/>
        <w:rPr>
          <w:rFonts w:ascii="Century Schoolbook" w:hAnsi="Century Schoolbook"/>
        </w:rPr>
      </w:pPr>
      <w:r w:rsidRPr="00E34048">
        <w:rPr>
          <w:rFonts w:ascii="Georgia" w:hAnsi="Georgia" w:cs="Arial"/>
        </w:rPr>
        <w:t xml:space="preserve">Also Monday, council advanced to a first reading legislation to accept a proposal from First Energy Solutions for a nine-year contract under electrical aggregation approved by village voters. </w:t>
      </w:r>
    </w:p>
    <w:p w:rsidR="00E34048" w:rsidRPr="00E34048" w:rsidRDefault="00E34048" w:rsidP="00E34048">
      <w:pPr>
        <w:pStyle w:val="NormalWeb"/>
        <w:shd w:val="clear" w:color="auto" w:fill="FFFFFF"/>
        <w:ind w:left="720" w:right="1440"/>
        <w:jc w:val="both"/>
        <w:rPr>
          <w:rFonts w:ascii="Georgia" w:hAnsi="Georgia" w:cs="Arial"/>
        </w:rPr>
      </w:pPr>
      <w:r w:rsidRPr="00E34048">
        <w:rPr>
          <w:rFonts w:ascii="Georgia" w:hAnsi="Georgia" w:cs="Arial"/>
        </w:rPr>
        <w:t>The village would agree to a fixed nine-year electric rate and First Energy would provide the village with a $40,000 lump sum payment and would give residential and commercial customers in the village six and four percent discounts, respectively. Council would like public input and the measure needs two more readings.</w:t>
      </w:r>
      <w:r>
        <w:rPr>
          <w:rStyle w:val="FootnoteReference"/>
          <w:rFonts w:ascii="Georgia" w:hAnsi="Georgia" w:cs="Arial"/>
        </w:rPr>
        <w:footnoteReference w:id="4"/>
      </w:r>
    </w:p>
    <w:p w:rsidR="00E34048" w:rsidRDefault="00E34048" w:rsidP="00AE556A">
      <w:pPr>
        <w:rPr>
          <w:rFonts w:ascii="Century Schoolbook" w:hAnsi="Century Schoolbook"/>
        </w:rPr>
      </w:pPr>
      <w:r>
        <w:rPr>
          <w:rFonts w:ascii="Century Schoolbook" w:hAnsi="Century Schoolbook"/>
        </w:rPr>
        <w:tab/>
        <w:t>One is left to wonder how any Electric Generation Supplier, without a crystal ball accurately predicting generation costs far into the future, can offer anyone a fixed-price rate for nine years.  FirstEnergy’s affiliate EGS can do so</w:t>
      </w:r>
      <w:r w:rsidR="00354993">
        <w:rPr>
          <w:rFonts w:ascii="Century Schoolbook" w:hAnsi="Century Schoolbook"/>
        </w:rPr>
        <w:t xml:space="preserve"> (and will do so)</w:t>
      </w:r>
      <w:r>
        <w:rPr>
          <w:rFonts w:ascii="Century Schoolbook" w:hAnsi="Century Schoolbook"/>
        </w:rPr>
        <w:t xml:space="preserve"> because of </w:t>
      </w:r>
      <w:r w:rsidR="00A669D9">
        <w:rPr>
          <w:rFonts w:ascii="Century Schoolbook" w:hAnsi="Century Schoolbook"/>
        </w:rPr>
        <w:t xml:space="preserve">its </w:t>
      </w:r>
      <w:r w:rsidR="00F65591">
        <w:rPr>
          <w:rFonts w:ascii="Century Schoolbook" w:hAnsi="Century Schoolbook"/>
        </w:rPr>
        <w:t xml:space="preserve">parent’s </w:t>
      </w:r>
      <w:r w:rsidR="00A669D9">
        <w:rPr>
          <w:rFonts w:ascii="Century Schoolbook" w:hAnsi="Century Schoolbook"/>
        </w:rPr>
        <w:t>existing generating assets</w:t>
      </w:r>
      <w:r w:rsidR="00A669D9" w:rsidRPr="00A669D9">
        <w:rPr>
          <w:rFonts w:ascii="Century Schoolbook" w:hAnsi="Century Schoolbook"/>
        </w:rPr>
        <w:t xml:space="preserve"> </w:t>
      </w:r>
      <w:r w:rsidR="00A669D9">
        <w:rPr>
          <w:rFonts w:ascii="Century Schoolbook" w:hAnsi="Century Schoolbook"/>
        </w:rPr>
        <w:t xml:space="preserve">and those it will acquire from Allegheny Power.  And will competing EGSs be able to match the off-contract $40,000 sweetener, or perhaps </w:t>
      </w:r>
      <w:r w:rsidR="00354993">
        <w:rPr>
          <w:rFonts w:ascii="Century Schoolbook" w:hAnsi="Century Schoolbook"/>
        </w:rPr>
        <w:t xml:space="preserve">next time FES’s offer of </w:t>
      </w:r>
      <w:r w:rsidR="00A669D9">
        <w:rPr>
          <w:rFonts w:ascii="Century Schoolbook" w:hAnsi="Century Schoolbook"/>
        </w:rPr>
        <w:t xml:space="preserve">a new fire truck or municipal swimming pool?  Finally, will it be fair to the residents and businesses in Pennsylvania towns to offer them 4% and 6% discounts, respectively, when EGSs who have been able to compete in other </w:t>
      </w:r>
      <w:r w:rsidR="001D4D8C">
        <w:rPr>
          <w:rFonts w:ascii="Century Schoolbook" w:hAnsi="Century Schoolbook"/>
        </w:rPr>
        <w:t xml:space="preserve">Pennsylvania </w:t>
      </w:r>
      <w:r w:rsidR="00A669D9">
        <w:rPr>
          <w:rFonts w:ascii="Century Schoolbook" w:hAnsi="Century Schoolbook"/>
        </w:rPr>
        <w:t>electric distribution companies’ territories routinely offer 10% - 15% discounts to residential customers (with a variety of products and inducements) and a whole panoply of tailored products and prices to businesses?</w:t>
      </w:r>
      <w:r w:rsidR="00354993">
        <w:rPr>
          <w:rFonts w:ascii="Century Schoolbook" w:hAnsi="Century Schoolbook"/>
        </w:rPr>
        <w:t xml:space="preserve">  But, of course, with the approval of the Partial Settlement without effective additional protections, there won’t be any competing EGSs because none</w:t>
      </w:r>
      <w:r w:rsidR="00101315">
        <w:rPr>
          <w:rFonts w:ascii="Century Schoolbook" w:hAnsi="Century Schoolbook"/>
        </w:rPr>
        <w:t xml:space="preserve"> will be able to acquire sufficient customers to make the effort worthwhile, even if they could obtain supply in the wholesale market at a price comparable to that which FES can obtain from its parent’s generation arm (which is highly unlikely).</w:t>
      </w:r>
    </w:p>
    <w:p w:rsidR="00353D70" w:rsidRDefault="00353D70" w:rsidP="00AE556A">
      <w:pPr>
        <w:rPr>
          <w:rFonts w:ascii="Century Schoolbook" w:hAnsi="Century Schoolbook"/>
        </w:rPr>
      </w:pPr>
    </w:p>
    <w:p w:rsidR="00353D70" w:rsidRPr="00353D70" w:rsidRDefault="00353D70" w:rsidP="00353D70">
      <w:pPr>
        <w:jc w:val="center"/>
        <w:rPr>
          <w:rFonts w:ascii="Century Schoolbook" w:hAnsi="Century Schoolbook"/>
          <w:b/>
        </w:rPr>
      </w:pPr>
      <w:r w:rsidRPr="00353D70">
        <w:rPr>
          <w:rFonts w:ascii="Century Schoolbook" w:hAnsi="Century Schoolbook"/>
          <w:b/>
        </w:rPr>
        <w:t>Adverse Effects on the Wholesale Market</w:t>
      </w:r>
    </w:p>
    <w:p w:rsidR="00787830" w:rsidRPr="00E32534" w:rsidRDefault="00787830" w:rsidP="00AE556A">
      <w:pPr>
        <w:rPr>
          <w:rFonts w:ascii="Century Schoolbook" w:hAnsi="Century Schoolbook"/>
        </w:rPr>
      </w:pPr>
    </w:p>
    <w:p w:rsidR="00A8225F" w:rsidRDefault="00BD0BCE" w:rsidP="00AE556A">
      <w:pPr>
        <w:rPr>
          <w:rFonts w:ascii="Century Schoolbook" w:hAnsi="Century Schoolbook"/>
        </w:rPr>
      </w:pPr>
      <w:r w:rsidRPr="00E32534">
        <w:rPr>
          <w:rFonts w:ascii="Century Schoolbook" w:hAnsi="Century Schoolbook"/>
        </w:rPr>
        <w:tab/>
      </w:r>
      <w:r w:rsidR="006D5588" w:rsidRPr="00E32534">
        <w:rPr>
          <w:rFonts w:ascii="Century Schoolbook" w:hAnsi="Century Schoolbook"/>
        </w:rPr>
        <w:t>It is also very concerning</w:t>
      </w:r>
      <w:r w:rsidR="0079502A" w:rsidRPr="00E32534">
        <w:rPr>
          <w:rFonts w:ascii="Century Schoolbook" w:hAnsi="Century Schoolbook"/>
        </w:rPr>
        <w:t xml:space="preserve"> that FirstEnergy’s acquisition of Allegheny’s generation will give the merged company the ability to </w:t>
      </w:r>
      <w:r w:rsidR="000B2E1E" w:rsidRPr="00E32534">
        <w:rPr>
          <w:rFonts w:ascii="Century Schoolbook" w:hAnsi="Century Schoolbook"/>
        </w:rPr>
        <w:t>raise prices in the wholesale market, which, in turn, will affect retail competition</w:t>
      </w:r>
      <w:r w:rsidR="003943D4" w:rsidRPr="00E32534">
        <w:rPr>
          <w:rFonts w:ascii="Century Schoolbook" w:hAnsi="Century Schoolbook"/>
        </w:rPr>
        <w:t xml:space="preserve"> and </w:t>
      </w:r>
      <w:r w:rsidR="00926678" w:rsidRPr="00E32534">
        <w:rPr>
          <w:rFonts w:ascii="Century Schoolbook" w:hAnsi="Century Schoolbook"/>
        </w:rPr>
        <w:t xml:space="preserve">wholesale </w:t>
      </w:r>
      <w:r w:rsidR="00430A21" w:rsidRPr="00E32534">
        <w:rPr>
          <w:rFonts w:ascii="Century Schoolbook" w:hAnsi="Century Schoolbook"/>
        </w:rPr>
        <w:t>pricing</w:t>
      </w:r>
      <w:r w:rsidR="000B2E1E" w:rsidRPr="00E32534">
        <w:rPr>
          <w:rFonts w:ascii="Century Schoolbook" w:hAnsi="Century Schoolbook"/>
        </w:rPr>
        <w:t xml:space="preserve">.  While the merger has been approved by </w:t>
      </w:r>
      <w:r w:rsidR="00E5684D" w:rsidRPr="00E32534">
        <w:rPr>
          <w:rFonts w:ascii="Century Schoolbook" w:hAnsi="Century Schoolbook"/>
        </w:rPr>
        <w:t xml:space="preserve">the </w:t>
      </w:r>
      <w:r w:rsidR="000B2E1E" w:rsidRPr="00E32534">
        <w:rPr>
          <w:rFonts w:ascii="Century Schoolbook" w:hAnsi="Century Schoolbook"/>
        </w:rPr>
        <w:t>F</w:t>
      </w:r>
      <w:r w:rsidR="00E5684D" w:rsidRPr="00E32534">
        <w:rPr>
          <w:rFonts w:ascii="Century Schoolbook" w:hAnsi="Century Schoolbook"/>
        </w:rPr>
        <w:t xml:space="preserve">ederal </w:t>
      </w:r>
      <w:r w:rsidR="000B2E1E" w:rsidRPr="00E32534">
        <w:rPr>
          <w:rFonts w:ascii="Century Schoolbook" w:hAnsi="Century Schoolbook"/>
        </w:rPr>
        <w:t>E</w:t>
      </w:r>
      <w:r w:rsidR="00E5684D" w:rsidRPr="00E32534">
        <w:rPr>
          <w:rFonts w:ascii="Century Schoolbook" w:hAnsi="Century Schoolbook"/>
        </w:rPr>
        <w:t xml:space="preserve">nergy </w:t>
      </w:r>
      <w:r w:rsidR="000B2E1E" w:rsidRPr="00E32534">
        <w:rPr>
          <w:rFonts w:ascii="Century Schoolbook" w:hAnsi="Century Schoolbook"/>
        </w:rPr>
        <w:t>R</w:t>
      </w:r>
      <w:r w:rsidR="00E5684D" w:rsidRPr="00E32534">
        <w:rPr>
          <w:rFonts w:ascii="Century Schoolbook" w:hAnsi="Century Schoolbook"/>
        </w:rPr>
        <w:t xml:space="preserve">egulatory </w:t>
      </w:r>
      <w:r w:rsidR="000B2E1E" w:rsidRPr="00E32534">
        <w:rPr>
          <w:rFonts w:ascii="Century Schoolbook" w:hAnsi="Century Schoolbook"/>
        </w:rPr>
        <w:t>C</w:t>
      </w:r>
      <w:r w:rsidR="00E5684D" w:rsidRPr="00E32534">
        <w:rPr>
          <w:rFonts w:ascii="Century Schoolbook" w:hAnsi="Century Schoolbook"/>
        </w:rPr>
        <w:t>ommission (“FERC”)</w:t>
      </w:r>
      <w:r w:rsidR="000B2E1E" w:rsidRPr="00E32534">
        <w:rPr>
          <w:rFonts w:ascii="Century Schoolbook" w:hAnsi="Century Schoolbook"/>
        </w:rPr>
        <w:t xml:space="preserve"> on the basis of its standard horizontal merger guidelines</w:t>
      </w:r>
      <w:r w:rsidR="00501461" w:rsidRPr="00E32534">
        <w:rPr>
          <w:rFonts w:ascii="Century Schoolbook" w:hAnsi="Century Schoolbook"/>
        </w:rPr>
        <w:t xml:space="preserve"> and the “delivered price test</w:t>
      </w:r>
      <w:r w:rsidR="009601C6" w:rsidRPr="00E32534">
        <w:rPr>
          <w:rFonts w:ascii="Century Schoolbook" w:hAnsi="Century Schoolbook"/>
        </w:rPr>
        <w:t>,</w:t>
      </w:r>
      <w:r w:rsidR="00501461" w:rsidRPr="00E32534">
        <w:rPr>
          <w:rFonts w:ascii="Century Schoolbook" w:hAnsi="Century Schoolbook"/>
        </w:rPr>
        <w:t>”</w:t>
      </w:r>
      <w:r w:rsidR="000B2E1E" w:rsidRPr="00E32534">
        <w:rPr>
          <w:rFonts w:ascii="Century Schoolbook" w:hAnsi="Century Schoolbook"/>
        </w:rPr>
        <w:t xml:space="preserve"> the </w:t>
      </w:r>
      <w:r w:rsidR="00501461" w:rsidRPr="00E32534">
        <w:rPr>
          <w:rFonts w:ascii="Century Schoolbook" w:hAnsi="Century Schoolbook"/>
        </w:rPr>
        <w:t xml:space="preserve">Joint Applicants’ </w:t>
      </w:r>
      <w:r w:rsidR="005D219B" w:rsidRPr="00E32534">
        <w:rPr>
          <w:rFonts w:ascii="Century Schoolbook" w:hAnsi="Century Schoolbook"/>
        </w:rPr>
        <w:t xml:space="preserve">own </w:t>
      </w:r>
      <w:r w:rsidR="009601C6" w:rsidRPr="00E32534">
        <w:rPr>
          <w:rFonts w:ascii="Century Schoolbook" w:hAnsi="Century Schoolbook"/>
        </w:rPr>
        <w:t xml:space="preserve">FERC analysis </w:t>
      </w:r>
      <w:r w:rsidR="000F69EC" w:rsidRPr="00E32534">
        <w:rPr>
          <w:rFonts w:ascii="Century Schoolbook" w:hAnsi="Century Schoolbook"/>
        </w:rPr>
        <w:t>showed that the merger resulted in several “screen failures” and near failures in both on and off peak periods.</w:t>
      </w:r>
      <w:r w:rsidR="00E00EA4" w:rsidRPr="00E32534">
        <w:rPr>
          <w:rFonts w:ascii="Century Schoolbook" w:hAnsi="Century Schoolbook"/>
        </w:rPr>
        <w:t xml:space="preserve">  These screen failures occurred even with the exclusion of 2,700</w:t>
      </w:r>
      <w:r w:rsidR="00A54F6F">
        <w:rPr>
          <w:rFonts w:ascii="Century Schoolbook" w:hAnsi="Century Schoolbook"/>
        </w:rPr>
        <w:t xml:space="preserve"> </w:t>
      </w:r>
      <w:r w:rsidR="00E00EA4" w:rsidRPr="00E32534">
        <w:rPr>
          <w:rFonts w:ascii="Century Schoolbook" w:hAnsi="Century Schoolbook"/>
        </w:rPr>
        <w:t>MW</w:t>
      </w:r>
      <w:r w:rsidR="0052516D" w:rsidRPr="00E32534">
        <w:rPr>
          <w:rStyle w:val="FootnoteReference"/>
          <w:rFonts w:ascii="Century Schoolbook" w:hAnsi="Century Schoolbook"/>
        </w:rPr>
        <w:footnoteReference w:id="5"/>
      </w:r>
      <w:r w:rsidR="00E00EA4" w:rsidRPr="00E32534">
        <w:rPr>
          <w:rFonts w:ascii="Century Schoolbook" w:hAnsi="Century Schoolbook"/>
        </w:rPr>
        <w:t xml:space="preserve"> of </w:t>
      </w:r>
      <w:r w:rsidR="0052516D" w:rsidRPr="00E32534">
        <w:rPr>
          <w:rFonts w:ascii="Century Schoolbook" w:hAnsi="Century Schoolbook"/>
        </w:rPr>
        <w:t xml:space="preserve">potential </w:t>
      </w:r>
      <w:r w:rsidR="00E00EA4" w:rsidRPr="00E32534">
        <w:rPr>
          <w:rFonts w:ascii="Century Schoolbook" w:hAnsi="Century Schoolbook"/>
        </w:rPr>
        <w:t xml:space="preserve">future capacity which </w:t>
      </w:r>
      <w:r w:rsidR="00D66576" w:rsidRPr="00E32534">
        <w:rPr>
          <w:rFonts w:ascii="Century Schoolbook" w:hAnsi="Century Schoolbook"/>
        </w:rPr>
        <w:t xml:space="preserve">FirstEnergy has announced its intention to develop.  Furthermore, </w:t>
      </w:r>
      <w:r w:rsidR="00FC0F85" w:rsidRPr="00E32534">
        <w:rPr>
          <w:rFonts w:ascii="Century Schoolbook" w:hAnsi="Century Schoolbook"/>
        </w:rPr>
        <w:t>the Pennsylvania Office of Consumer Advocate (“</w:t>
      </w:r>
      <w:r w:rsidR="00D66576" w:rsidRPr="00E32534">
        <w:rPr>
          <w:rFonts w:ascii="Century Schoolbook" w:hAnsi="Century Schoolbook"/>
        </w:rPr>
        <w:t>OCA</w:t>
      </w:r>
      <w:r w:rsidR="00FC0F85" w:rsidRPr="00E32534">
        <w:rPr>
          <w:rFonts w:ascii="Century Schoolbook" w:hAnsi="Century Schoolbook"/>
        </w:rPr>
        <w:t>”)</w:t>
      </w:r>
      <w:r w:rsidR="00D66576" w:rsidRPr="00E32534">
        <w:rPr>
          <w:rFonts w:ascii="Century Schoolbook" w:hAnsi="Century Schoolbook"/>
        </w:rPr>
        <w:t xml:space="preserve"> </w:t>
      </w:r>
      <w:r w:rsidR="00B44B5E" w:rsidRPr="00E32534">
        <w:rPr>
          <w:rFonts w:ascii="Century Schoolbook" w:hAnsi="Century Schoolbook"/>
        </w:rPr>
        <w:t>raised valid concerns about the</w:t>
      </w:r>
      <w:r w:rsidR="00611422" w:rsidRPr="00E32534">
        <w:rPr>
          <w:rFonts w:ascii="Century Schoolbook" w:hAnsi="Century Schoolbook"/>
        </w:rPr>
        <w:t xml:space="preserve"> Joint</w:t>
      </w:r>
      <w:r w:rsidR="00B44B5E" w:rsidRPr="00E32534">
        <w:rPr>
          <w:rFonts w:ascii="Century Schoolbook" w:hAnsi="Century Schoolbook"/>
        </w:rPr>
        <w:t xml:space="preserve"> </w:t>
      </w:r>
      <w:r w:rsidR="00611422" w:rsidRPr="00E32534">
        <w:rPr>
          <w:rFonts w:ascii="Century Schoolbook" w:hAnsi="Century Schoolbook"/>
        </w:rPr>
        <w:t>A</w:t>
      </w:r>
      <w:r w:rsidR="00B44B5E" w:rsidRPr="00E32534">
        <w:rPr>
          <w:rFonts w:ascii="Century Schoolbook" w:hAnsi="Century Schoolbook"/>
        </w:rPr>
        <w:t>pplicants</w:t>
      </w:r>
      <w:r w:rsidR="00430A21" w:rsidRPr="00E32534">
        <w:rPr>
          <w:rFonts w:ascii="Century Schoolbook" w:hAnsi="Century Schoolbook"/>
        </w:rPr>
        <w:t>’</w:t>
      </w:r>
      <w:r w:rsidR="00A54F6F">
        <w:rPr>
          <w:rFonts w:ascii="Century Schoolbook" w:hAnsi="Century Schoolbook"/>
        </w:rPr>
        <w:t xml:space="preserve"> market power studies, </w:t>
      </w:r>
      <w:r w:rsidR="00B44B5E" w:rsidRPr="00E32534">
        <w:rPr>
          <w:rFonts w:ascii="Century Schoolbook" w:hAnsi="Century Schoolbook"/>
        </w:rPr>
        <w:t xml:space="preserve">mainly that they failed to adequately address relevant market </w:t>
      </w:r>
      <w:r w:rsidR="00611422" w:rsidRPr="00E32534">
        <w:rPr>
          <w:rFonts w:ascii="Century Schoolbook" w:hAnsi="Century Schoolbook"/>
        </w:rPr>
        <w:t xml:space="preserve">definition </w:t>
      </w:r>
      <w:r w:rsidR="00B44B5E" w:rsidRPr="00E32534">
        <w:rPr>
          <w:rFonts w:ascii="Century Schoolbook" w:hAnsi="Century Schoolbook"/>
        </w:rPr>
        <w:t xml:space="preserve">concerns.  </w:t>
      </w:r>
    </w:p>
    <w:p w:rsidR="007F4394" w:rsidRPr="00E32534" w:rsidRDefault="007F4394" w:rsidP="00AE556A">
      <w:pPr>
        <w:rPr>
          <w:rFonts w:ascii="Century Schoolbook" w:hAnsi="Century Schoolbook"/>
        </w:rPr>
      </w:pPr>
    </w:p>
    <w:p w:rsidR="005364FE" w:rsidRPr="00E32534" w:rsidRDefault="00A8225F" w:rsidP="005364FE">
      <w:pPr>
        <w:autoSpaceDE w:val="0"/>
        <w:autoSpaceDN w:val="0"/>
        <w:adjustRightInd w:val="0"/>
        <w:rPr>
          <w:rFonts w:ascii="Century Schoolbook" w:hAnsi="Century Schoolbook"/>
        </w:rPr>
      </w:pPr>
      <w:r w:rsidRPr="00E32534">
        <w:rPr>
          <w:rFonts w:ascii="Century Schoolbook" w:hAnsi="Century Schoolbook"/>
        </w:rPr>
        <w:tab/>
        <w:t xml:space="preserve">In making </w:t>
      </w:r>
      <w:r w:rsidR="005364FE" w:rsidRPr="00E32534">
        <w:rPr>
          <w:rFonts w:ascii="Century Schoolbook" w:hAnsi="Century Schoolbook"/>
        </w:rPr>
        <w:t xml:space="preserve">its determinations regarding market power, </w:t>
      </w:r>
      <w:r w:rsidRPr="00E32534">
        <w:rPr>
          <w:rFonts w:ascii="Century Schoolbook" w:hAnsi="Century Schoolbook"/>
        </w:rPr>
        <w:t>FERC</w:t>
      </w:r>
      <w:r w:rsidR="005364FE" w:rsidRPr="00E32534">
        <w:rPr>
          <w:rFonts w:ascii="Century Schoolbook" w:hAnsi="Century Schoolbook"/>
        </w:rPr>
        <w:t xml:space="preserve"> uses the Herfindahl-Hirschman Index (HHI).  The HHI is a widely accepted measure of market concentration, calculated by squaring the market share of each firm competing in the market and summing the results. The HHI increases both as the number of firms in the market decreases and as the disparity in size between those firms increases.  Markets in which the HHI is less than 1,000 points are considered to be unconcentrated; markets in which the HHI is greater than or equal to 1,000 but less than 1,800 points are considered to be moderately concentrated; and markets in which the HHI is greater than or equal to 1,800 points are considered to be highly concentrated. </w:t>
      </w:r>
      <w:r w:rsidR="0045181A">
        <w:rPr>
          <w:rFonts w:ascii="Century Schoolbook" w:hAnsi="Century Schoolbook"/>
        </w:rPr>
        <w:t xml:space="preserve"> </w:t>
      </w:r>
      <w:r w:rsidR="005364FE" w:rsidRPr="00E32534">
        <w:rPr>
          <w:rFonts w:ascii="Century Schoolbook" w:hAnsi="Century Schoolbook"/>
        </w:rPr>
        <w:t>The Commission has adopted the Federal Trade Commission/Department of Justice Horizontal Merger Guidelines, which state that</w:t>
      </w:r>
      <w:r w:rsidR="00A54F6F">
        <w:rPr>
          <w:rFonts w:ascii="Century Schoolbook" w:hAnsi="Century Schoolbook"/>
        </w:rPr>
        <w:t>,</w:t>
      </w:r>
      <w:r w:rsidR="005364FE" w:rsidRPr="00E32534">
        <w:rPr>
          <w:rFonts w:ascii="Century Schoolbook" w:hAnsi="Century Schoolbook"/>
        </w:rPr>
        <w:t xml:space="preserve"> in a horizontal merger, an increase of more than 50 HHI points in a highly concentrated market or an increase of 100 HHI points in a moderately concentrated market fails its screen and warrants further review.</w:t>
      </w:r>
      <w:r w:rsidRPr="00E32534">
        <w:rPr>
          <w:rFonts w:ascii="Century Schoolbook" w:hAnsi="Century Schoolbook"/>
        </w:rPr>
        <w:t xml:space="preserve"> </w:t>
      </w:r>
    </w:p>
    <w:p w:rsidR="005364FE" w:rsidRPr="00E32534" w:rsidRDefault="005364FE" w:rsidP="005364FE">
      <w:pPr>
        <w:autoSpaceDE w:val="0"/>
        <w:autoSpaceDN w:val="0"/>
        <w:adjustRightInd w:val="0"/>
        <w:rPr>
          <w:rFonts w:ascii="Century Schoolbook" w:hAnsi="Century Schoolbook"/>
        </w:rPr>
      </w:pPr>
    </w:p>
    <w:p w:rsidR="00A8225F" w:rsidRPr="00E32534" w:rsidRDefault="005364FE" w:rsidP="005364FE">
      <w:pPr>
        <w:autoSpaceDE w:val="0"/>
        <w:autoSpaceDN w:val="0"/>
        <w:adjustRightInd w:val="0"/>
        <w:ind w:firstLine="720"/>
        <w:rPr>
          <w:rFonts w:ascii="Century Schoolbook" w:hAnsi="Century Schoolbook"/>
        </w:rPr>
      </w:pPr>
      <w:r w:rsidRPr="00E32534">
        <w:rPr>
          <w:rFonts w:ascii="Century Schoolbook" w:hAnsi="Century Schoolbook"/>
        </w:rPr>
        <w:t xml:space="preserve">In the FERC proceeding, FERC </w:t>
      </w:r>
      <w:r w:rsidR="00A8225F" w:rsidRPr="00E32534">
        <w:rPr>
          <w:rFonts w:ascii="Century Schoolbook" w:hAnsi="Century Schoolbook"/>
        </w:rPr>
        <w:t xml:space="preserve">admitted that the post merger HHIs for the summer off-peak, winter off-peak, and shoulder off-peak periods were 1,054, 1,000, and 1,014, with HHI increases of 111, 111, and 110, respectively.  These screen failures exceed the criteria </w:t>
      </w:r>
      <w:r w:rsidR="00AF527E" w:rsidRPr="00E32534">
        <w:rPr>
          <w:rFonts w:ascii="Century Schoolbook" w:hAnsi="Century Schoolbook"/>
        </w:rPr>
        <w:t xml:space="preserve">used to detect </w:t>
      </w:r>
      <w:r w:rsidR="00DF2EF6" w:rsidRPr="00E32534">
        <w:rPr>
          <w:rFonts w:ascii="Century Schoolbook" w:hAnsi="Century Schoolbook"/>
        </w:rPr>
        <w:t xml:space="preserve">potential market power.  </w:t>
      </w:r>
      <w:r w:rsidR="00AF527E" w:rsidRPr="00E32534">
        <w:rPr>
          <w:rFonts w:ascii="Century Schoolbook" w:hAnsi="Century Schoolbook"/>
        </w:rPr>
        <w:t>OCA argued</w:t>
      </w:r>
      <w:r w:rsidR="007A01D0" w:rsidRPr="00E32534">
        <w:rPr>
          <w:rFonts w:ascii="Century Schoolbook" w:hAnsi="Century Schoolbook"/>
        </w:rPr>
        <w:t xml:space="preserve"> before the FERC</w:t>
      </w:r>
      <w:r w:rsidR="00AF527E" w:rsidRPr="00E32534">
        <w:rPr>
          <w:rFonts w:ascii="Century Schoolbook" w:hAnsi="Century Schoolbook"/>
        </w:rPr>
        <w:t xml:space="preserve"> that </w:t>
      </w:r>
      <w:r w:rsidR="00A54F6F">
        <w:rPr>
          <w:rFonts w:ascii="Century Schoolbook" w:hAnsi="Century Schoolbook"/>
        </w:rPr>
        <w:t xml:space="preserve">the Joint </w:t>
      </w:r>
      <w:r w:rsidR="005E7535" w:rsidRPr="00E32534">
        <w:rPr>
          <w:rFonts w:ascii="Century Schoolbook" w:hAnsi="Century Schoolbook"/>
        </w:rPr>
        <w:t xml:space="preserve">Applicants would have the ability and </w:t>
      </w:r>
      <w:r w:rsidR="001C0BA9" w:rsidRPr="00E32534">
        <w:rPr>
          <w:rFonts w:ascii="Century Schoolbook" w:hAnsi="Century Schoolbook"/>
        </w:rPr>
        <w:t>incentive to withhold coal unit generation</w:t>
      </w:r>
      <w:r w:rsidR="005E7535" w:rsidRPr="00E32534">
        <w:rPr>
          <w:rFonts w:ascii="Century Schoolbook" w:hAnsi="Century Schoolbook"/>
        </w:rPr>
        <w:t xml:space="preserve"> during off-peak periods. </w:t>
      </w:r>
      <w:r w:rsidR="00A54F6F">
        <w:rPr>
          <w:rFonts w:ascii="Century Schoolbook" w:hAnsi="Century Schoolbook"/>
        </w:rPr>
        <w:t xml:space="preserve"> </w:t>
      </w:r>
      <w:r w:rsidR="005E7535" w:rsidRPr="00E32534">
        <w:rPr>
          <w:rFonts w:ascii="Century Schoolbook" w:hAnsi="Century Schoolbook"/>
        </w:rPr>
        <w:t xml:space="preserve">Specifically, </w:t>
      </w:r>
      <w:r w:rsidR="00A54F6F">
        <w:rPr>
          <w:rFonts w:ascii="Century Schoolbook" w:hAnsi="Century Schoolbook"/>
        </w:rPr>
        <w:t>OCA noted</w:t>
      </w:r>
      <w:r w:rsidR="005E7535" w:rsidRPr="00E32534">
        <w:rPr>
          <w:rFonts w:ascii="Century Schoolbook" w:hAnsi="Century Schoolbook"/>
        </w:rPr>
        <w:t xml:space="preserve"> that Allegheny has eight coal plants that are located on the flat portion of the supply curve which are candidates for withholding. </w:t>
      </w:r>
      <w:r w:rsidR="00FC0F85" w:rsidRPr="00E32534">
        <w:rPr>
          <w:rFonts w:ascii="Century Schoolbook" w:hAnsi="Century Schoolbook"/>
        </w:rPr>
        <w:t xml:space="preserve"> OCA</w:t>
      </w:r>
      <w:r w:rsidR="00A54F6F">
        <w:rPr>
          <w:rFonts w:ascii="Century Schoolbook" w:hAnsi="Century Schoolbook"/>
        </w:rPr>
        <w:t xml:space="preserve"> argued</w:t>
      </w:r>
      <w:r w:rsidR="005E7535" w:rsidRPr="00E32534">
        <w:rPr>
          <w:rFonts w:ascii="Century Schoolbook" w:hAnsi="Century Schoolbook"/>
        </w:rPr>
        <w:t xml:space="preserve"> that </w:t>
      </w:r>
      <w:r w:rsidR="00A54F6F">
        <w:rPr>
          <w:rFonts w:ascii="Century Schoolbook" w:hAnsi="Century Schoolbook"/>
        </w:rPr>
        <w:t xml:space="preserve">the Joint </w:t>
      </w:r>
      <w:r w:rsidR="005E7535" w:rsidRPr="00E32534">
        <w:rPr>
          <w:rFonts w:ascii="Century Schoolbook" w:hAnsi="Century Schoolbook"/>
        </w:rPr>
        <w:t xml:space="preserve">Applicants could increase their net energy revenues by approximately $100,000 per hour by withholding the plants in question. </w:t>
      </w:r>
      <w:r w:rsidR="00A54F6F">
        <w:rPr>
          <w:rFonts w:ascii="Century Schoolbook" w:hAnsi="Century Schoolbook"/>
        </w:rPr>
        <w:t xml:space="preserve"> </w:t>
      </w:r>
      <w:r w:rsidR="00EC0D7D">
        <w:rPr>
          <w:rFonts w:ascii="Century Schoolbook" w:hAnsi="Century Schoolbook"/>
        </w:rPr>
        <w:t>OCA further argued</w:t>
      </w:r>
      <w:r w:rsidR="005E7535" w:rsidRPr="00E32534">
        <w:rPr>
          <w:rFonts w:ascii="Century Schoolbook" w:hAnsi="Century Schoolbook"/>
        </w:rPr>
        <w:t xml:space="preserve"> that economic withholding of these plants in the form of high bid prices could be detected by the </w:t>
      </w:r>
      <w:r w:rsidR="00EC0D7D" w:rsidRPr="00E32534">
        <w:rPr>
          <w:rFonts w:ascii="Century Schoolbook" w:hAnsi="Century Schoolbook"/>
        </w:rPr>
        <w:t>Independent Market Monitor (IMM)</w:t>
      </w:r>
      <w:r w:rsidR="005E7535" w:rsidRPr="00E32534">
        <w:rPr>
          <w:rFonts w:ascii="Century Schoolbook" w:hAnsi="Century Schoolbook"/>
        </w:rPr>
        <w:t xml:space="preserve">, but other forms of withholding, such as premature retirement, are beyond the purview of the </w:t>
      </w:r>
      <w:r w:rsidR="00EC0D7D">
        <w:rPr>
          <w:rFonts w:ascii="Century Schoolbook" w:hAnsi="Century Schoolbook"/>
        </w:rPr>
        <w:t>IMM</w:t>
      </w:r>
      <w:r w:rsidR="005E7535" w:rsidRPr="00E32534">
        <w:rPr>
          <w:rFonts w:ascii="Century Schoolbook" w:hAnsi="Century Schoolbook"/>
        </w:rPr>
        <w:t xml:space="preserve"> and the RTO, unless the units are necessary for regional reliability</w:t>
      </w:r>
      <w:r w:rsidR="00FC0F85" w:rsidRPr="00E32534">
        <w:rPr>
          <w:rFonts w:ascii="Century Schoolbook" w:hAnsi="Century Schoolbook"/>
        </w:rPr>
        <w:t>.</w:t>
      </w:r>
      <w:r w:rsidR="0025260C" w:rsidRPr="00E32534">
        <w:rPr>
          <w:rFonts w:ascii="Century Schoolbook" w:hAnsi="Century Schoolbook"/>
        </w:rPr>
        <w:t xml:space="preserve">  Rather than investigating these marketing c</w:t>
      </w:r>
      <w:r w:rsidR="00A54F6F">
        <w:rPr>
          <w:rFonts w:ascii="Century Schoolbook" w:hAnsi="Century Schoolbook"/>
        </w:rPr>
        <w:t>oncerns, FERC opted to</w:t>
      </w:r>
      <w:r w:rsidR="0025260C" w:rsidRPr="00E32534">
        <w:rPr>
          <w:rFonts w:ascii="Century Schoolbook" w:hAnsi="Century Schoolbook"/>
        </w:rPr>
        <w:t xml:space="preserve"> place the burden on OCA to prove these market power impacts, and further refused to </w:t>
      </w:r>
      <w:r w:rsidR="00EC0D7D">
        <w:rPr>
          <w:rFonts w:ascii="Century Schoolbook" w:hAnsi="Century Schoolbook"/>
        </w:rPr>
        <w:t>institute</w:t>
      </w:r>
      <w:r w:rsidR="0025260C" w:rsidRPr="00E32534">
        <w:rPr>
          <w:rFonts w:ascii="Century Schoolbook" w:hAnsi="Century Schoolbook"/>
        </w:rPr>
        <w:t xml:space="preserve"> an evidentiary </w:t>
      </w:r>
      <w:r w:rsidR="00EC0D7D">
        <w:rPr>
          <w:rFonts w:ascii="Century Schoolbook" w:hAnsi="Century Schoolbook"/>
        </w:rPr>
        <w:t xml:space="preserve">proceeding </w:t>
      </w:r>
      <w:r w:rsidR="0025260C" w:rsidRPr="00E32534">
        <w:rPr>
          <w:rFonts w:ascii="Century Schoolbook" w:hAnsi="Century Schoolbook"/>
        </w:rPr>
        <w:t>to evaluate such market power impacts.</w:t>
      </w:r>
      <w:r w:rsidR="00A62ED0" w:rsidRPr="00E32534">
        <w:rPr>
          <w:rFonts w:ascii="Century Schoolbook" w:hAnsi="Century Schoolbook"/>
        </w:rPr>
        <w:t xml:space="preserve">  Instead of addressing these concerns, FERC </w:t>
      </w:r>
      <w:r w:rsidR="00EC0D7D">
        <w:rPr>
          <w:rFonts w:ascii="Century Schoolbook" w:hAnsi="Century Schoolbook"/>
        </w:rPr>
        <w:t>was content to rely</w:t>
      </w:r>
      <w:r w:rsidR="00A62ED0" w:rsidRPr="00E32534">
        <w:rPr>
          <w:rFonts w:ascii="Century Schoolbook" w:hAnsi="Century Schoolbook"/>
        </w:rPr>
        <w:t xml:space="preserve"> on the </w:t>
      </w:r>
      <w:r w:rsidR="00EC0D7D">
        <w:rPr>
          <w:rFonts w:ascii="Century Schoolbook" w:hAnsi="Century Schoolbook"/>
        </w:rPr>
        <w:t>IMM</w:t>
      </w:r>
      <w:r w:rsidR="00A62ED0" w:rsidRPr="00E32534">
        <w:rPr>
          <w:rFonts w:ascii="Century Schoolbook" w:hAnsi="Century Schoolbook"/>
        </w:rPr>
        <w:t xml:space="preserve"> to ensure that economic withholding does not incur</w:t>
      </w:r>
      <w:r w:rsidR="00EC0D7D">
        <w:rPr>
          <w:rFonts w:ascii="Century Schoolbook" w:hAnsi="Century Schoolbook"/>
        </w:rPr>
        <w:t>, rather than on</w:t>
      </w:r>
      <w:r w:rsidR="006A3E40" w:rsidRPr="00E32534">
        <w:rPr>
          <w:rFonts w:ascii="Century Schoolbook" w:hAnsi="Century Schoolbook"/>
        </w:rPr>
        <w:t xml:space="preserve"> a trul</w:t>
      </w:r>
      <w:r w:rsidR="00EC0D7D">
        <w:rPr>
          <w:rFonts w:ascii="Century Schoolbook" w:hAnsi="Century Schoolbook"/>
        </w:rPr>
        <w:t>y competitive generation market</w:t>
      </w:r>
      <w:r w:rsidR="006A3E40" w:rsidRPr="00E32534">
        <w:rPr>
          <w:rFonts w:ascii="Century Schoolbook" w:hAnsi="Century Schoolbook"/>
        </w:rPr>
        <w:t xml:space="preserve"> to force competitive outcomes in the marketplace.  </w:t>
      </w:r>
    </w:p>
    <w:p w:rsidR="0025260C" w:rsidRPr="00E32534" w:rsidRDefault="0025260C" w:rsidP="005E7535">
      <w:pPr>
        <w:autoSpaceDE w:val="0"/>
        <w:autoSpaceDN w:val="0"/>
        <w:adjustRightInd w:val="0"/>
        <w:rPr>
          <w:rFonts w:ascii="Century Schoolbook" w:hAnsi="Century Schoolbook"/>
        </w:rPr>
      </w:pPr>
    </w:p>
    <w:p w:rsidR="00353D70" w:rsidRDefault="0025260C" w:rsidP="00EF2FD8">
      <w:pPr>
        <w:autoSpaceDE w:val="0"/>
        <w:autoSpaceDN w:val="0"/>
        <w:adjustRightInd w:val="0"/>
        <w:rPr>
          <w:rFonts w:ascii="Century Schoolbook" w:hAnsi="Century Schoolbook"/>
        </w:rPr>
      </w:pPr>
      <w:r w:rsidRPr="00E32534">
        <w:rPr>
          <w:rFonts w:ascii="Century Schoolbook" w:hAnsi="Century Schoolbook"/>
        </w:rPr>
        <w:tab/>
        <w:t>Similarly</w:t>
      </w:r>
      <w:r w:rsidR="00EC0D7D">
        <w:rPr>
          <w:rFonts w:ascii="Century Schoolbook" w:hAnsi="Century Schoolbook"/>
        </w:rPr>
        <w:t>,</w:t>
      </w:r>
      <w:r w:rsidRPr="00E32534">
        <w:rPr>
          <w:rFonts w:ascii="Century Schoolbook" w:hAnsi="Century Schoolbook"/>
        </w:rPr>
        <w:t xml:space="preserve"> OCA argued that </w:t>
      </w:r>
      <w:r w:rsidR="00EC0D7D">
        <w:rPr>
          <w:rFonts w:ascii="Century Schoolbook" w:hAnsi="Century Schoolbook"/>
        </w:rPr>
        <w:t xml:space="preserve">the Joint </w:t>
      </w:r>
      <w:r w:rsidRPr="00E32534">
        <w:rPr>
          <w:rFonts w:ascii="Century Schoolbook" w:hAnsi="Century Schoolbook"/>
        </w:rPr>
        <w:t xml:space="preserve">Applicants’ analysis </w:t>
      </w:r>
      <w:r w:rsidR="00EC0D7D">
        <w:rPr>
          <w:rFonts w:ascii="Century Schoolbook" w:hAnsi="Century Schoolbook"/>
        </w:rPr>
        <w:t>was</w:t>
      </w:r>
      <w:r w:rsidRPr="00E32534">
        <w:rPr>
          <w:rFonts w:ascii="Century Schoolbook" w:hAnsi="Century Schoolbook"/>
        </w:rPr>
        <w:t xml:space="preserve"> incomplete</w:t>
      </w:r>
      <w:r w:rsidR="00732F32" w:rsidRPr="00E32534">
        <w:rPr>
          <w:rFonts w:ascii="Century Schoolbook" w:hAnsi="Century Schoolbook"/>
        </w:rPr>
        <w:t xml:space="preserve"> </w:t>
      </w:r>
      <w:r w:rsidR="00EC0D7D">
        <w:rPr>
          <w:rFonts w:ascii="Century Schoolbook" w:hAnsi="Century Schoolbook"/>
        </w:rPr>
        <w:t>because it failed</w:t>
      </w:r>
      <w:r w:rsidRPr="00E32534">
        <w:rPr>
          <w:rFonts w:ascii="Century Schoolbook" w:hAnsi="Century Schoolbook"/>
        </w:rPr>
        <w:t xml:space="preserve"> to analyze all the appropriate geographic and product markets. </w:t>
      </w:r>
      <w:r w:rsidR="00732F32" w:rsidRPr="00E32534">
        <w:rPr>
          <w:rFonts w:ascii="Century Schoolbook" w:hAnsi="Century Schoolbook"/>
        </w:rPr>
        <w:t xml:space="preserve">  </w:t>
      </w:r>
      <w:r w:rsidR="00EC0D7D">
        <w:rPr>
          <w:rFonts w:ascii="Century Schoolbook" w:hAnsi="Century Schoolbook"/>
        </w:rPr>
        <w:t>OCA</w:t>
      </w:r>
      <w:r w:rsidR="00732F32" w:rsidRPr="00E32534">
        <w:rPr>
          <w:rFonts w:ascii="Century Schoolbook" w:hAnsi="Century Schoolbook"/>
        </w:rPr>
        <w:t xml:space="preserve"> </w:t>
      </w:r>
      <w:r w:rsidR="00EC0D7D">
        <w:rPr>
          <w:rFonts w:ascii="Century Schoolbook" w:hAnsi="Century Schoolbook"/>
        </w:rPr>
        <w:t>contended</w:t>
      </w:r>
      <w:r w:rsidRPr="00E32534">
        <w:rPr>
          <w:rFonts w:ascii="Century Schoolbook" w:hAnsi="Century Schoolbook"/>
        </w:rPr>
        <w:t xml:space="preserve"> that </w:t>
      </w:r>
      <w:r w:rsidR="00EC0D7D" w:rsidRPr="00E32534">
        <w:rPr>
          <w:rFonts w:ascii="Century Schoolbook" w:hAnsi="Century Schoolbook"/>
        </w:rPr>
        <w:t xml:space="preserve">PJM West </w:t>
      </w:r>
      <w:r w:rsidR="00EC0D7D">
        <w:rPr>
          <w:rFonts w:ascii="Century Schoolbook" w:hAnsi="Century Schoolbook"/>
        </w:rPr>
        <w:t xml:space="preserve">is </w:t>
      </w:r>
      <w:r w:rsidRPr="00E32534">
        <w:rPr>
          <w:rFonts w:ascii="Century Schoolbook" w:hAnsi="Century Schoolbook"/>
        </w:rPr>
        <w:t>one</w:t>
      </w:r>
      <w:r w:rsidR="00732F32" w:rsidRPr="00E32534">
        <w:rPr>
          <w:rFonts w:ascii="Century Schoolbook" w:hAnsi="Century Schoolbook"/>
        </w:rPr>
        <w:t xml:space="preserve"> </w:t>
      </w:r>
      <w:r w:rsidRPr="00E32534">
        <w:rPr>
          <w:rFonts w:ascii="Century Schoolbook" w:hAnsi="Century Schoolbook"/>
        </w:rPr>
        <w:t xml:space="preserve">appropriate geographic market that </w:t>
      </w:r>
      <w:r w:rsidR="00EC0D7D">
        <w:rPr>
          <w:rFonts w:ascii="Century Schoolbook" w:hAnsi="Century Schoolbook"/>
        </w:rPr>
        <w:t>the Joint Applicants overlooked</w:t>
      </w:r>
      <w:r w:rsidR="00732F32" w:rsidRPr="00E32534">
        <w:rPr>
          <w:rFonts w:ascii="Century Schoolbook" w:hAnsi="Century Schoolbook"/>
        </w:rPr>
        <w:t>.  FERC</w:t>
      </w:r>
      <w:r w:rsidR="00F87D69" w:rsidRPr="00E32534">
        <w:rPr>
          <w:rFonts w:ascii="Century Schoolbook" w:hAnsi="Century Schoolbook"/>
        </w:rPr>
        <w:t xml:space="preserve"> di</w:t>
      </w:r>
      <w:r w:rsidR="00FD197B" w:rsidRPr="00E32534">
        <w:rPr>
          <w:rFonts w:ascii="Century Schoolbook" w:hAnsi="Century Schoolbook"/>
        </w:rPr>
        <w:t>s</w:t>
      </w:r>
      <w:r w:rsidR="00F87D69" w:rsidRPr="00E32534">
        <w:rPr>
          <w:rFonts w:ascii="Century Schoolbook" w:hAnsi="Century Schoolbook"/>
        </w:rPr>
        <w:t>missed OCA’s</w:t>
      </w:r>
      <w:r w:rsidR="00FD197B" w:rsidRPr="00E32534">
        <w:rPr>
          <w:rFonts w:ascii="Century Schoolbook" w:hAnsi="Century Schoolbook"/>
        </w:rPr>
        <w:t xml:space="preserve"> concerns, </w:t>
      </w:r>
      <w:r w:rsidR="00EC0D7D">
        <w:rPr>
          <w:rFonts w:ascii="Century Schoolbook" w:hAnsi="Century Schoolbook"/>
        </w:rPr>
        <w:t>finding</w:t>
      </w:r>
      <w:r w:rsidR="00FD197B" w:rsidRPr="00E32534">
        <w:rPr>
          <w:rFonts w:ascii="Century Schoolbook" w:hAnsi="Century Schoolbook"/>
        </w:rPr>
        <w:t xml:space="preserve"> once again that OCA failed to justify why PJM West</w:t>
      </w:r>
      <w:r w:rsidR="00EF2FD8" w:rsidRPr="00E32534">
        <w:rPr>
          <w:rFonts w:ascii="Century Schoolbook" w:hAnsi="Century Schoolbook"/>
        </w:rPr>
        <w:t xml:space="preserve"> </w:t>
      </w:r>
      <w:r w:rsidR="00FD197B" w:rsidRPr="00E32534">
        <w:rPr>
          <w:rFonts w:ascii="Century Schoolbook" w:hAnsi="Century Schoolbook"/>
        </w:rPr>
        <w:t xml:space="preserve">should be treated as a separate submarket based on this standard.  </w:t>
      </w:r>
      <w:r w:rsidR="00EF2FD8" w:rsidRPr="00E32534">
        <w:rPr>
          <w:rFonts w:ascii="Century Schoolbook" w:hAnsi="Century Schoolbook"/>
        </w:rPr>
        <w:t xml:space="preserve">FERC stated that OCA did not cite any evidence, such as binding transmission constraints or price separation data, to support the existence of a separate PJM West submarket.  </w:t>
      </w:r>
      <w:r w:rsidR="00FD197B" w:rsidRPr="00E32534">
        <w:rPr>
          <w:rFonts w:ascii="Century Schoolbook" w:hAnsi="Century Schoolbook"/>
        </w:rPr>
        <w:t xml:space="preserve">Once again, FERC </w:t>
      </w:r>
      <w:r w:rsidR="00EC0D7D">
        <w:rPr>
          <w:rFonts w:ascii="Century Schoolbook" w:hAnsi="Century Schoolbook"/>
        </w:rPr>
        <w:t>shifted</w:t>
      </w:r>
      <w:r w:rsidR="00FD197B" w:rsidRPr="00E32534">
        <w:rPr>
          <w:rFonts w:ascii="Century Schoolbook" w:hAnsi="Century Schoolbook"/>
        </w:rPr>
        <w:t xml:space="preserve"> the burden of proof to OCA</w:t>
      </w:r>
      <w:r w:rsidR="00EC0D7D">
        <w:rPr>
          <w:rFonts w:ascii="Century Schoolbook" w:hAnsi="Century Schoolbook"/>
        </w:rPr>
        <w:t xml:space="preserve"> and refused </w:t>
      </w:r>
      <w:r w:rsidR="00FD197B" w:rsidRPr="00E32534">
        <w:rPr>
          <w:rFonts w:ascii="Century Schoolbook" w:hAnsi="Century Schoolbook"/>
        </w:rPr>
        <w:t xml:space="preserve">to hold an evidentiary hearing on this important issue of fact. </w:t>
      </w:r>
    </w:p>
    <w:p w:rsidR="00001D40" w:rsidRPr="00353D70" w:rsidRDefault="00001D40" w:rsidP="00EF2FD8">
      <w:pPr>
        <w:autoSpaceDE w:val="0"/>
        <w:autoSpaceDN w:val="0"/>
        <w:adjustRightInd w:val="0"/>
        <w:rPr>
          <w:rFonts w:ascii="Century Schoolbook" w:hAnsi="Century Schoolbook"/>
          <w:b/>
        </w:rPr>
      </w:pPr>
    </w:p>
    <w:p w:rsidR="00001D40" w:rsidRPr="00E32534" w:rsidRDefault="00001D40" w:rsidP="00001D40">
      <w:pPr>
        <w:autoSpaceDE w:val="0"/>
        <w:autoSpaceDN w:val="0"/>
        <w:adjustRightInd w:val="0"/>
        <w:ind w:firstLine="720"/>
        <w:rPr>
          <w:rFonts w:ascii="Century Schoolbook" w:hAnsi="Century Schoolbook"/>
        </w:rPr>
      </w:pPr>
      <w:r w:rsidRPr="00E32534">
        <w:rPr>
          <w:rFonts w:ascii="Century Schoolbook" w:hAnsi="Century Schoolbook"/>
        </w:rPr>
        <w:t>As to default service supply marke</w:t>
      </w:r>
      <w:r w:rsidR="00EC0D7D">
        <w:rPr>
          <w:rFonts w:ascii="Century Schoolbook" w:hAnsi="Century Schoolbook"/>
        </w:rPr>
        <w:t>t power, OCA appropriately noted</w:t>
      </w:r>
      <w:r w:rsidRPr="00E32534">
        <w:rPr>
          <w:rFonts w:ascii="Century Schoolbook" w:hAnsi="Century Schoolbook"/>
        </w:rPr>
        <w:t xml:space="preserve"> that generation market power is not the same as default service market power.  A default service supplier must often provide a number of services, including energy, capacity, ancillary</w:t>
      </w:r>
      <w:r w:rsidR="00EC0D7D">
        <w:rPr>
          <w:rFonts w:ascii="Century Schoolbook" w:hAnsi="Century Schoolbook"/>
        </w:rPr>
        <w:t>,</w:t>
      </w:r>
      <w:r w:rsidRPr="00E32534">
        <w:rPr>
          <w:rFonts w:ascii="Century Schoolbook" w:hAnsi="Century Schoolbook"/>
        </w:rPr>
        <w:t xml:space="preserve"> and alternative energy acquisition services.  To put this in perspective, while there are approximately 1,340 generation plants in PJM, there were only </w:t>
      </w:r>
      <w:r w:rsidR="00657BC6" w:rsidRPr="00E32534">
        <w:rPr>
          <w:rFonts w:ascii="Century Schoolbook" w:hAnsi="Century Schoolbook"/>
        </w:rPr>
        <w:t>8</w:t>
      </w:r>
      <w:r w:rsidRPr="00E32534">
        <w:rPr>
          <w:rFonts w:ascii="Century Schoolbook" w:hAnsi="Century Schoolbook"/>
        </w:rPr>
        <w:t xml:space="preserve"> winning bidders in Penelec’s auctions, with 3 bidders accounting for over 77</w:t>
      </w:r>
      <w:r w:rsidR="00EC0D7D">
        <w:rPr>
          <w:rFonts w:ascii="Century Schoolbook" w:hAnsi="Century Schoolbook"/>
        </w:rPr>
        <w:t>%</w:t>
      </w:r>
      <w:r w:rsidRPr="00E32534">
        <w:rPr>
          <w:rFonts w:ascii="Century Schoolbook" w:hAnsi="Century Schoolbook"/>
        </w:rPr>
        <w:t xml:space="preserve"> of the supply.  Similarly, there were approximately a dozen bidder</w:t>
      </w:r>
      <w:r w:rsidR="00EC0D7D">
        <w:rPr>
          <w:rFonts w:ascii="Century Schoolbook" w:hAnsi="Century Schoolbook"/>
        </w:rPr>
        <w:t>s in all of Allegheny’s default</w:t>
      </w:r>
      <w:r w:rsidRPr="00E32534">
        <w:rPr>
          <w:rFonts w:ascii="Century Schoolbook" w:hAnsi="Century Schoolbook"/>
        </w:rPr>
        <w:t xml:space="preserve"> service auctions, but only 4 winning bidders.  Without revealing too much detail because of the potential confidential nature of these requests for proposals and auctions, FirstEnergy and Allegheny Energy Services were substantive competitors – competition </w:t>
      </w:r>
      <w:r w:rsidR="00EC0D7D">
        <w:rPr>
          <w:rFonts w:ascii="Century Schoolbook" w:hAnsi="Century Schoolbook"/>
        </w:rPr>
        <w:t>that</w:t>
      </w:r>
      <w:r w:rsidRPr="00E32534">
        <w:rPr>
          <w:rFonts w:ascii="Century Schoolbook" w:hAnsi="Century Schoolbook"/>
        </w:rPr>
        <w:t xml:space="preserve"> will be lost in this merger to the detriment of Penelec and Allegheny default service customers.  OCA, before</w:t>
      </w:r>
      <w:r w:rsidR="00EC0D7D">
        <w:rPr>
          <w:rFonts w:ascii="Century Schoolbook" w:hAnsi="Century Schoolbook"/>
        </w:rPr>
        <w:t xml:space="preserve"> FERC, raised this same issue—</w:t>
      </w:r>
      <w:r w:rsidRPr="00E32534">
        <w:rPr>
          <w:rFonts w:ascii="Century Schoolbook" w:hAnsi="Century Schoolbook"/>
        </w:rPr>
        <w:t>that</w:t>
      </w:r>
      <w:r w:rsidR="00EC0D7D">
        <w:rPr>
          <w:rFonts w:ascii="Century Schoolbook" w:hAnsi="Century Schoolbook"/>
        </w:rPr>
        <w:t>,</w:t>
      </w:r>
      <w:r w:rsidRPr="00E32534">
        <w:rPr>
          <w:rFonts w:ascii="Century Schoolbook" w:hAnsi="Century Schoolbook"/>
        </w:rPr>
        <w:t xml:space="preserve"> because </w:t>
      </w:r>
      <w:r w:rsidR="00EC0D7D">
        <w:rPr>
          <w:rFonts w:ascii="Century Schoolbook" w:hAnsi="Century Schoolbook"/>
        </w:rPr>
        <w:t xml:space="preserve">the Joint </w:t>
      </w:r>
      <w:r w:rsidRPr="00E32534">
        <w:rPr>
          <w:rFonts w:ascii="Century Schoolbook" w:hAnsi="Century Schoolbook"/>
        </w:rPr>
        <w:t>Applicants each control significant</w:t>
      </w:r>
      <w:r w:rsidR="00EC0D7D">
        <w:rPr>
          <w:rFonts w:ascii="Century Schoolbook" w:hAnsi="Century Schoolbook"/>
        </w:rPr>
        <w:t xml:space="preserve"> amounts of low cost generation, the Joint Applicants</w:t>
      </w:r>
      <w:r w:rsidR="00760FDE">
        <w:rPr>
          <w:rFonts w:ascii="Century Schoolbook" w:hAnsi="Century Schoolbook"/>
        </w:rPr>
        <w:t xml:space="preserve"> should have been</w:t>
      </w:r>
      <w:r w:rsidRPr="00E32534">
        <w:rPr>
          <w:rFonts w:ascii="Century Schoolbook" w:hAnsi="Century Schoolbook"/>
        </w:rPr>
        <w:t xml:space="preserve"> required to analyze the market in relation to competitive procurement of power in Pennsylvania and other restructured PJM states.  It is not apparent from the FERC Order that FERC even addressed this concern at all.</w:t>
      </w:r>
    </w:p>
    <w:p w:rsidR="000324B7" w:rsidRPr="00E32534" w:rsidRDefault="000324B7" w:rsidP="00001D40">
      <w:pPr>
        <w:autoSpaceDE w:val="0"/>
        <w:autoSpaceDN w:val="0"/>
        <w:adjustRightInd w:val="0"/>
        <w:ind w:firstLine="720"/>
        <w:rPr>
          <w:rFonts w:ascii="Century Schoolbook" w:hAnsi="Century Schoolbook"/>
        </w:rPr>
      </w:pPr>
    </w:p>
    <w:p w:rsidR="00001D40" w:rsidRPr="00E32534" w:rsidRDefault="000324B7" w:rsidP="00760FDE">
      <w:pPr>
        <w:autoSpaceDE w:val="0"/>
        <w:autoSpaceDN w:val="0"/>
        <w:adjustRightInd w:val="0"/>
        <w:ind w:firstLine="720"/>
        <w:rPr>
          <w:rFonts w:ascii="Century Schoolbook" w:hAnsi="Century Schoolbook"/>
        </w:rPr>
      </w:pPr>
      <w:r w:rsidRPr="00E32534">
        <w:rPr>
          <w:rFonts w:ascii="Century Schoolbook" w:hAnsi="Century Schoolbook"/>
        </w:rPr>
        <w:t xml:space="preserve">If FERC had taken the time to address product markets associated with default service bidding, market power screens for such markets </w:t>
      </w:r>
      <w:r w:rsidR="00B72032" w:rsidRPr="00E32534">
        <w:rPr>
          <w:rFonts w:ascii="Century Schoolbook" w:hAnsi="Century Schoolbook"/>
        </w:rPr>
        <w:t xml:space="preserve">would </w:t>
      </w:r>
      <w:r w:rsidRPr="00E32534">
        <w:rPr>
          <w:rFonts w:ascii="Century Schoolbook" w:hAnsi="Century Schoolbook"/>
        </w:rPr>
        <w:t>have consistently failed.</w:t>
      </w:r>
      <w:r w:rsidR="004C36E1" w:rsidRPr="00E32534">
        <w:rPr>
          <w:rFonts w:ascii="Century Schoolbook" w:hAnsi="Century Schoolbook"/>
        </w:rPr>
        <w:t xml:space="preserve">  In fact, all default service markets are highly concentrated.</w:t>
      </w:r>
      <w:r w:rsidR="004A4A0F" w:rsidRPr="00E32534">
        <w:rPr>
          <w:rFonts w:ascii="Century Schoolbook" w:hAnsi="Century Schoolbook"/>
        </w:rPr>
        <w:t xml:space="preserve">  In the case of Penelec, the </w:t>
      </w:r>
      <w:r w:rsidR="00E44D6E" w:rsidRPr="00E32534">
        <w:rPr>
          <w:rFonts w:ascii="Century Schoolbook" w:hAnsi="Century Schoolbook"/>
        </w:rPr>
        <w:t xml:space="preserve">calculated HHI index for the residential and small commercial </w:t>
      </w:r>
      <w:r w:rsidR="004C36E1" w:rsidRPr="00E32534">
        <w:rPr>
          <w:rFonts w:ascii="Century Schoolbook" w:hAnsi="Century Schoolbook"/>
        </w:rPr>
        <w:t xml:space="preserve">default service </w:t>
      </w:r>
      <w:r w:rsidR="00E44D6E" w:rsidRPr="00E32534">
        <w:rPr>
          <w:rFonts w:ascii="Century Schoolbook" w:hAnsi="Century Schoolbook"/>
        </w:rPr>
        <w:t>market, combined, would have been approximately 2800 pre-merge</w:t>
      </w:r>
      <w:r w:rsidR="00760FDE">
        <w:rPr>
          <w:rFonts w:ascii="Century Schoolbook" w:hAnsi="Century Schoolbook"/>
        </w:rPr>
        <w:t>r and over 4600 post merger, an</w:t>
      </w:r>
      <w:r w:rsidR="00E44D6E" w:rsidRPr="00E32534">
        <w:rPr>
          <w:rFonts w:ascii="Century Schoolbook" w:hAnsi="Century Schoolbook"/>
        </w:rPr>
        <w:t xml:space="preserve"> HHI increase of over 1800.  In the case of West Penn Power, </w:t>
      </w:r>
      <w:r w:rsidR="005009E9" w:rsidRPr="00E32534">
        <w:rPr>
          <w:rFonts w:ascii="Century Schoolbook" w:hAnsi="Century Schoolbook"/>
        </w:rPr>
        <w:t xml:space="preserve">individual default service class HHI indices were </w:t>
      </w:r>
      <w:r w:rsidR="004C36E1" w:rsidRPr="00E32534">
        <w:rPr>
          <w:rFonts w:ascii="Century Schoolbook" w:hAnsi="Century Schoolbook"/>
        </w:rPr>
        <w:t xml:space="preserve">all </w:t>
      </w:r>
      <w:r w:rsidR="005009E9" w:rsidRPr="00E32534">
        <w:rPr>
          <w:rFonts w:ascii="Century Schoolbook" w:hAnsi="Century Schoolbook"/>
        </w:rPr>
        <w:t>approximately 4000 or higher, the combined residential and small commercial (rate class C-20)</w:t>
      </w:r>
      <w:r w:rsidR="000010BA" w:rsidRPr="00E32534">
        <w:rPr>
          <w:rFonts w:ascii="Century Schoolbook" w:hAnsi="Century Schoolbook"/>
        </w:rPr>
        <w:t xml:space="preserve"> HHI index</w:t>
      </w:r>
      <w:r w:rsidR="005009E9" w:rsidRPr="00E32534">
        <w:rPr>
          <w:rFonts w:ascii="Century Schoolbook" w:hAnsi="Century Schoolbook"/>
        </w:rPr>
        <w:t xml:space="preserve"> increased from approximately 3400 to 4200,</w:t>
      </w:r>
      <w:r w:rsidR="000010BA" w:rsidRPr="00E32534">
        <w:rPr>
          <w:rFonts w:ascii="Century Schoolbook" w:hAnsi="Century Schoolbook"/>
        </w:rPr>
        <w:t xml:space="preserve"> and, combining all rate class procurement markets</w:t>
      </w:r>
      <w:r w:rsidR="005009E9" w:rsidRPr="00E32534">
        <w:rPr>
          <w:rFonts w:ascii="Century Schoolbook" w:hAnsi="Century Schoolbook"/>
        </w:rPr>
        <w:t xml:space="preserve">, </w:t>
      </w:r>
      <w:r w:rsidR="000010BA" w:rsidRPr="00E32534">
        <w:rPr>
          <w:rFonts w:ascii="Century Schoolbook" w:hAnsi="Century Schoolbook"/>
        </w:rPr>
        <w:t xml:space="preserve">the HHI index increased </w:t>
      </w:r>
      <w:r w:rsidR="005009E9" w:rsidRPr="00E32534">
        <w:rPr>
          <w:rFonts w:ascii="Century Schoolbook" w:hAnsi="Century Schoolbook"/>
        </w:rPr>
        <w:t>from approximately 2400 to 3000.</w:t>
      </w:r>
      <w:r w:rsidR="004A4A0F" w:rsidRPr="00E32534">
        <w:rPr>
          <w:rFonts w:ascii="Century Schoolbook" w:hAnsi="Century Schoolbook"/>
        </w:rPr>
        <w:t xml:space="preserve">  These statistics clearly indicate that</w:t>
      </w:r>
      <w:r w:rsidR="00760FDE">
        <w:rPr>
          <w:rFonts w:ascii="Century Schoolbook" w:hAnsi="Century Schoolbook"/>
        </w:rPr>
        <w:t>,</w:t>
      </w:r>
      <w:r w:rsidR="004A4A0F" w:rsidRPr="00E32534">
        <w:rPr>
          <w:rFonts w:ascii="Century Schoolbook" w:hAnsi="Century Schoolbook"/>
        </w:rPr>
        <w:t xml:space="preserve"> if this merger is approved</w:t>
      </w:r>
      <w:r w:rsidR="00760FDE">
        <w:rPr>
          <w:rFonts w:ascii="Century Schoolbook" w:hAnsi="Century Schoolbook"/>
        </w:rPr>
        <w:t xml:space="preserve"> without the conditions proposed herein</w:t>
      </w:r>
      <w:r w:rsidR="004A4A0F" w:rsidRPr="00E32534">
        <w:rPr>
          <w:rFonts w:ascii="Century Schoolbook" w:hAnsi="Century Schoolbook"/>
        </w:rPr>
        <w:t>, it will be necessary</w:t>
      </w:r>
      <w:r w:rsidR="00760FDE">
        <w:rPr>
          <w:rFonts w:ascii="Century Schoolbook" w:hAnsi="Century Schoolbook"/>
        </w:rPr>
        <w:t xml:space="preserve"> for this Commission </w:t>
      </w:r>
      <w:r w:rsidR="004A4A0F" w:rsidRPr="00E32534">
        <w:rPr>
          <w:rFonts w:ascii="Century Schoolbook" w:hAnsi="Century Schoolbook"/>
        </w:rPr>
        <w:t>to signif</w:t>
      </w:r>
      <w:r w:rsidR="00760FDE">
        <w:rPr>
          <w:rFonts w:ascii="Century Schoolbook" w:hAnsi="Century Schoolbook"/>
        </w:rPr>
        <w:t>icantly modify the provision of</w:t>
      </w:r>
      <w:r w:rsidR="004A4A0F" w:rsidRPr="00E32534">
        <w:rPr>
          <w:rFonts w:ascii="Century Schoolbook" w:hAnsi="Century Schoolbook"/>
        </w:rPr>
        <w:t xml:space="preserve"> default service</w:t>
      </w:r>
      <w:r w:rsidR="00760FDE">
        <w:rPr>
          <w:rFonts w:ascii="Century Schoolbook" w:hAnsi="Century Schoolbook"/>
        </w:rPr>
        <w:t xml:space="preserve"> in the FirstEnergy companies’ service territories</w:t>
      </w:r>
      <w:r w:rsidR="004A4A0F" w:rsidRPr="00E32534">
        <w:rPr>
          <w:rFonts w:ascii="Century Schoolbook" w:hAnsi="Century Schoolbook"/>
        </w:rPr>
        <w:t xml:space="preserve">.  </w:t>
      </w:r>
      <w:r w:rsidR="005009E9" w:rsidRPr="00E32534">
        <w:rPr>
          <w:rFonts w:ascii="Century Schoolbook" w:hAnsi="Century Schoolbook"/>
        </w:rPr>
        <w:t xml:space="preserve">  </w:t>
      </w:r>
      <w:r w:rsidR="00E44D6E" w:rsidRPr="00E32534">
        <w:rPr>
          <w:rFonts w:ascii="Century Schoolbook" w:hAnsi="Century Schoolbook"/>
        </w:rPr>
        <w:t xml:space="preserve"> </w:t>
      </w:r>
      <w:r w:rsidRPr="00E32534">
        <w:rPr>
          <w:rFonts w:ascii="Century Schoolbook" w:hAnsi="Century Schoolbook"/>
        </w:rPr>
        <w:t xml:space="preserve">  </w:t>
      </w:r>
    </w:p>
    <w:p w:rsidR="00A8225F" w:rsidRPr="00E32534" w:rsidRDefault="00A8225F" w:rsidP="00AE556A">
      <w:pPr>
        <w:rPr>
          <w:rFonts w:ascii="Century Schoolbook" w:hAnsi="Century Schoolbook"/>
        </w:rPr>
      </w:pPr>
    </w:p>
    <w:p w:rsidR="00760FDE" w:rsidRDefault="000F69EC" w:rsidP="00EF2FD8">
      <w:pPr>
        <w:ind w:firstLine="720"/>
        <w:rPr>
          <w:rFonts w:ascii="Century Schoolbook" w:hAnsi="Century Schoolbook"/>
        </w:rPr>
      </w:pPr>
      <w:r w:rsidRPr="00E32534">
        <w:rPr>
          <w:rFonts w:ascii="Century Schoolbook" w:hAnsi="Century Schoolbook"/>
        </w:rPr>
        <w:t xml:space="preserve">The Joint Applicants’ analysis also </w:t>
      </w:r>
      <w:r w:rsidR="000B2E1E" w:rsidRPr="00E32534">
        <w:rPr>
          <w:rFonts w:ascii="Century Schoolbook" w:hAnsi="Century Schoolbook"/>
        </w:rPr>
        <w:t>failed to take into account the evidence of existing structural deficiencies in several aspects of the PJM market, specifically, the energy, reserve</w:t>
      </w:r>
      <w:r w:rsidR="009601C6" w:rsidRPr="00E32534">
        <w:rPr>
          <w:rFonts w:ascii="Century Schoolbook" w:hAnsi="Century Schoolbook"/>
        </w:rPr>
        <w:t>,</w:t>
      </w:r>
      <w:r w:rsidR="000B2E1E" w:rsidRPr="00E32534">
        <w:rPr>
          <w:rFonts w:ascii="Century Schoolbook" w:hAnsi="Century Schoolbook"/>
        </w:rPr>
        <w:t xml:space="preserve"> and capacity markets where PJM’s own </w:t>
      </w:r>
      <w:r w:rsidR="00760FDE">
        <w:rPr>
          <w:rFonts w:ascii="Century Schoolbook" w:hAnsi="Century Schoolbook"/>
        </w:rPr>
        <w:t xml:space="preserve">Independent </w:t>
      </w:r>
      <w:r w:rsidR="000B2E1E" w:rsidRPr="00E32534">
        <w:rPr>
          <w:rFonts w:ascii="Century Schoolbook" w:hAnsi="Century Schoolbook"/>
        </w:rPr>
        <w:t xml:space="preserve">Market Monitor could </w:t>
      </w:r>
      <w:r w:rsidR="009601C6" w:rsidRPr="00E32534">
        <w:rPr>
          <w:rFonts w:ascii="Century Schoolbook" w:hAnsi="Century Schoolbook"/>
        </w:rPr>
        <w:t>not say without exception that n</w:t>
      </w:r>
      <w:r w:rsidR="000B2E1E" w:rsidRPr="00E32534">
        <w:rPr>
          <w:rFonts w:ascii="Century Schoolbook" w:hAnsi="Century Schoolbook"/>
        </w:rPr>
        <w:t xml:space="preserve">o participant had the power to affect prices.  While this Commission has looked to the FERC analysis </w:t>
      </w:r>
      <w:r w:rsidR="00787830" w:rsidRPr="00E32534">
        <w:rPr>
          <w:rFonts w:ascii="Century Schoolbook" w:hAnsi="Century Schoolbook"/>
        </w:rPr>
        <w:t xml:space="preserve">as </w:t>
      </w:r>
      <w:r w:rsidR="000B2E1E" w:rsidRPr="00E32534">
        <w:rPr>
          <w:rFonts w:ascii="Century Schoolbook" w:hAnsi="Century Schoolbook"/>
        </w:rPr>
        <w:t xml:space="preserve">an initial starting point in determining whether a merger would give the merged company wholesale market power, </w:t>
      </w:r>
      <w:r w:rsidR="007D53C5" w:rsidRPr="00E32534">
        <w:rPr>
          <w:rFonts w:ascii="Century Schoolbook" w:hAnsi="Century Schoolbook"/>
        </w:rPr>
        <w:t>th</w:t>
      </w:r>
      <w:r w:rsidR="005D219B" w:rsidRPr="00E32534">
        <w:rPr>
          <w:rFonts w:ascii="Century Schoolbook" w:hAnsi="Century Schoolbook"/>
        </w:rPr>
        <w:t>is</w:t>
      </w:r>
      <w:r w:rsidR="007D53C5" w:rsidRPr="00E32534">
        <w:rPr>
          <w:rFonts w:ascii="Century Schoolbook" w:hAnsi="Century Schoolbook"/>
        </w:rPr>
        <w:t xml:space="preserve"> </w:t>
      </w:r>
      <w:r w:rsidR="003609A7" w:rsidRPr="00E32534">
        <w:rPr>
          <w:rFonts w:ascii="Century Schoolbook" w:hAnsi="Century Schoolbook"/>
        </w:rPr>
        <w:t>Commission</w:t>
      </w:r>
      <w:r w:rsidR="007D53C5" w:rsidRPr="00E32534">
        <w:rPr>
          <w:rFonts w:ascii="Century Schoolbook" w:hAnsi="Century Schoolbook"/>
        </w:rPr>
        <w:t xml:space="preserve"> </w:t>
      </w:r>
      <w:r w:rsidR="000B2E1E" w:rsidRPr="00E32534">
        <w:rPr>
          <w:rFonts w:ascii="Century Schoolbook" w:hAnsi="Century Schoolbook"/>
        </w:rPr>
        <w:t>must go farther and review these data from the standpoint of Pennsylvania’s unique statutory requirement:  whether it is likely that the merged company will be able to engage in ant</w:t>
      </w:r>
      <w:r w:rsidR="00787830" w:rsidRPr="00E32534">
        <w:rPr>
          <w:rFonts w:ascii="Century Schoolbook" w:hAnsi="Century Schoolbook"/>
        </w:rPr>
        <w:t>i</w:t>
      </w:r>
      <w:r w:rsidR="000B2E1E" w:rsidRPr="00E32534">
        <w:rPr>
          <w:rFonts w:ascii="Century Schoolbook" w:hAnsi="Century Schoolbook"/>
        </w:rPr>
        <w:t>competitive or discriminatory conduct that would harm retail competition</w:t>
      </w:r>
      <w:r w:rsidR="001C0BA9" w:rsidRPr="00E32534">
        <w:rPr>
          <w:rFonts w:ascii="Century Schoolbook" w:hAnsi="Century Schoolbook"/>
        </w:rPr>
        <w:t xml:space="preserve">.  </w:t>
      </w:r>
      <w:r w:rsidR="001C0BA9" w:rsidRPr="00E32534">
        <w:rPr>
          <w:rFonts w:ascii="Century Schoolbook" w:hAnsi="Century Schoolbook"/>
          <w:color w:val="000000"/>
        </w:rPr>
        <w:t>66 Pa.</w:t>
      </w:r>
      <w:r w:rsidR="00760FDE">
        <w:rPr>
          <w:rFonts w:ascii="Century Schoolbook" w:hAnsi="Century Schoolbook"/>
          <w:color w:val="000000"/>
        </w:rPr>
        <w:t xml:space="preserve">C.S. § </w:t>
      </w:r>
      <w:r w:rsidR="001C0BA9" w:rsidRPr="00E32534">
        <w:rPr>
          <w:rFonts w:ascii="Century Schoolbook" w:hAnsi="Century Schoolbook"/>
          <w:color w:val="000000"/>
        </w:rPr>
        <w:t>2811(e)(2)</w:t>
      </w:r>
      <w:r w:rsidR="000B2E1E" w:rsidRPr="00E32534">
        <w:rPr>
          <w:rFonts w:ascii="Century Schoolbook" w:hAnsi="Century Schoolbook"/>
        </w:rPr>
        <w:t>.</w:t>
      </w:r>
    </w:p>
    <w:p w:rsidR="00760FDE" w:rsidRDefault="00760FDE" w:rsidP="00EF2FD8">
      <w:pPr>
        <w:ind w:firstLine="720"/>
        <w:rPr>
          <w:rFonts w:ascii="Century Schoolbook" w:hAnsi="Century Schoolbook"/>
        </w:rPr>
      </w:pPr>
    </w:p>
    <w:p w:rsidR="00353D70" w:rsidRDefault="005E6E15" w:rsidP="00EF2FD8">
      <w:pPr>
        <w:ind w:firstLine="720"/>
        <w:rPr>
          <w:rFonts w:ascii="Century Schoolbook" w:hAnsi="Century Schoolbook"/>
        </w:rPr>
      </w:pPr>
      <w:r w:rsidRPr="00E32534">
        <w:rPr>
          <w:rFonts w:ascii="Century Schoolbook" w:hAnsi="Century Schoolbook"/>
        </w:rPr>
        <w:t>The</w:t>
      </w:r>
      <w:r w:rsidR="00C16624" w:rsidRPr="00E32534">
        <w:rPr>
          <w:rFonts w:ascii="Century Schoolbook" w:hAnsi="Century Schoolbook"/>
        </w:rPr>
        <w:t xml:space="preserve"> Joint Applicants have not sufficiently responded to the </w:t>
      </w:r>
      <w:r w:rsidR="00501461" w:rsidRPr="00E32534">
        <w:rPr>
          <w:rFonts w:ascii="Century Schoolbook" w:hAnsi="Century Schoolbook"/>
        </w:rPr>
        <w:t xml:space="preserve">potential that they could withhold generation, and thus raise prices in the </w:t>
      </w:r>
      <w:r w:rsidR="00E0307D" w:rsidRPr="00E32534">
        <w:rPr>
          <w:rFonts w:ascii="Century Schoolbook" w:hAnsi="Century Schoolbook"/>
        </w:rPr>
        <w:t xml:space="preserve">wholesale </w:t>
      </w:r>
      <w:r w:rsidR="00501461" w:rsidRPr="00E32534">
        <w:rPr>
          <w:rFonts w:ascii="Century Schoolbook" w:hAnsi="Century Schoolbook"/>
        </w:rPr>
        <w:t>energy, reserve</w:t>
      </w:r>
      <w:r w:rsidR="006B120E" w:rsidRPr="00E32534">
        <w:rPr>
          <w:rFonts w:ascii="Century Schoolbook" w:hAnsi="Century Schoolbook"/>
        </w:rPr>
        <w:t>,</w:t>
      </w:r>
      <w:r w:rsidR="00501461" w:rsidRPr="00E32534">
        <w:rPr>
          <w:rFonts w:ascii="Century Schoolbook" w:hAnsi="Century Schoolbook"/>
        </w:rPr>
        <w:t xml:space="preserve"> or capacity markets</w:t>
      </w:r>
      <w:r w:rsidR="00C16624" w:rsidRPr="00E32534">
        <w:rPr>
          <w:rFonts w:ascii="Century Schoolbook" w:hAnsi="Century Schoolbook"/>
        </w:rPr>
        <w:t xml:space="preserve"> </w:t>
      </w:r>
      <w:r w:rsidR="00501461" w:rsidRPr="00E32534">
        <w:rPr>
          <w:rFonts w:ascii="Century Schoolbook" w:hAnsi="Century Schoolbook"/>
        </w:rPr>
        <w:t xml:space="preserve">by </w:t>
      </w:r>
      <w:r w:rsidR="00C16624" w:rsidRPr="00E32534">
        <w:rPr>
          <w:rFonts w:ascii="Century Schoolbook" w:hAnsi="Century Schoolbook"/>
        </w:rPr>
        <w:t>exploit</w:t>
      </w:r>
      <w:r w:rsidR="00501461" w:rsidRPr="00E32534">
        <w:rPr>
          <w:rFonts w:ascii="Century Schoolbook" w:hAnsi="Century Schoolbook"/>
        </w:rPr>
        <w:t xml:space="preserve">ing </w:t>
      </w:r>
      <w:r w:rsidR="00C16624" w:rsidRPr="00E32534">
        <w:rPr>
          <w:rFonts w:ascii="Century Schoolbook" w:hAnsi="Century Schoolbook"/>
        </w:rPr>
        <w:t xml:space="preserve">the acknowledged existing structural deficiencies in the PJM market </w:t>
      </w:r>
      <w:r w:rsidR="00501461" w:rsidRPr="00E32534">
        <w:rPr>
          <w:rFonts w:ascii="Century Schoolbook" w:hAnsi="Century Schoolbook"/>
        </w:rPr>
        <w:t xml:space="preserve">to the detriment of </w:t>
      </w:r>
      <w:r w:rsidR="00C16624" w:rsidRPr="00E32534">
        <w:rPr>
          <w:rFonts w:ascii="Century Schoolbook" w:hAnsi="Century Schoolbook"/>
        </w:rPr>
        <w:t>competitors</w:t>
      </w:r>
      <w:r w:rsidR="003943D4" w:rsidRPr="00E32534">
        <w:rPr>
          <w:rFonts w:ascii="Century Schoolbook" w:hAnsi="Century Schoolbook"/>
        </w:rPr>
        <w:t xml:space="preserve"> and customers</w:t>
      </w:r>
      <w:r w:rsidR="00C16624" w:rsidRPr="00E32534">
        <w:rPr>
          <w:rFonts w:ascii="Century Schoolbook" w:hAnsi="Century Schoolbook"/>
        </w:rPr>
        <w:t>.</w:t>
      </w:r>
      <w:r w:rsidR="009B3AB1" w:rsidRPr="00E32534">
        <w:rPr>
          <w:rFonts w:ascii="Century Schoolbook" w:hAnsi="Century Schoolbook"/>
        </w:rPr>
        <w:t xml:space="preserve">  Evidence provided in this proceeding clearly indicates that consumers must rely</w:t>
      </w:r>
      <w:r w:rsidR="003A2965" w:rsidRPr="00E32534">
        <w:rPr>
          <w:rFonts w:ascii="Century Schoolbook" w:hAnsi="Century Schoolbook"/>
        </w:rPr>
        <w:t xml:space="preserve"> on</w:t>
      </w:r>
      <w:r w:rsidR="009B3AB1" w:rsidRPr="00E32534">
        <w:rPr>
          <w:rFonts w:ascii="Century Schoolbook" w:hAnsi="Century Schoolbook"/>
        </w:rPr>
        <w:t xml:space="preserve"> the IMM and PJM’s tariff to mitigate</w:t>
      </w:r>
      <w:r w:rsidR="003A2965" w:rsidRPr="00E32534">
        <w:rPr>
          <w:rFonts w:ascii="Century Schoolbook" w:hAnsi="Century Schoolbook"/>
        </w:rPr>
        <w:t xml:space="preserve"> market prices, instead of relying on real competition.  For example, the IMM has already noted that capacity markets are highly concentrated, leading the </w:t>
      </w:r>
      <w:r w:rsidR="001E556F" w:rsidRPr="00E32534">
        <w:rPr>
          <w:rFonts w:ascii="Century Schoolbook" w:hAnsi="Century Schoolbook"/>
        </w:rPr>
        <w:t>I</w:t>
      </w:r>
      <w:r w:rsidR="003A2965" w:rsidRPr="00E32534">
        <w:rPr>
          <w:rFonts w:ascii="Century Schoolbook" w:hAnsi="Century Schoolbook"/>
        </w:rPr>
        <w:t xml:space="preserve">MM to impose bid caps </w:t>
      </w:r>
      <w:r w:rsidR="001E556F" w:rsidRPr="00E32534">
        <w:rPr>
          <w:rFonts w:ascii="Century Schoolbook" w:hAnsi="Century Schoolbook"/>
        </w:rPr>
        <w:t>in all zones.</w:t>
      </w:r>
      <w:r w:rsidR="00760FDE">
        <w:rPr>
          <w:rStyle w:val="FootnoteReference"/>
          <w:rFonts w:ascii="Century Schoolbook" w:hAnsi="Century Schoolbook"/>
        </w:rPr>
        <w:footnoteReference w:id="6"/>
      </w:r>
      <w:r w:rsidR="00EA0EFC">
        <w:rPr>
          <w:rFonts w:ascii="Century Schoolbook" w:hAnsi="Century Schoolbook"/>
        </w:rPr>
        <w:t xml:space="preserve">  This merger </w:t>
      </w:r>
      <w:r w:rsidR="003A2965" w:rsidRPr="00E32534">
        <w:rPr>
          <w:rFonts w:ascii="Century Schoolbook" w:hAnsi="Century Schoolbook"/>
        </w:rPr>
        <w:t xml:space="preserve">will only increase the concentration of generating capacity in the PJM market, and </w:t>
      </w:r>
      <w:r w:rsidR="00EA0EFC">
        <w:rPr>
          <w:rFonts w:ascii="Century Schoolbook" w:hAnsi="Century Schoolbook"/>
        </w:rPr>
        <w:t>worsen</w:t>
      </w:r>
      <w:r w:rsidR="003A2965" w:rsidRPr="00E32534">
        <w:rPr>
          <w:rFonts w:ascii="Century Schoolbook" w:hAnsi="Century Schoolbook"/>
        </w:rPr>
        <w:t xml:space="preserve"> the potential market power problems in the capacity market</w:t>
      </w:r>
      <w:r w:rsidR="00EA0EFC">
        <w:rPr>
          <w:rFonts w:ascii="Century Schoolbook" w:hAnsi="Century Schoolbook"/>
        </w:rPr>
        <w:t>.</w:t>
      </w:r>
      <w:r w:rsidR="00EA0EFC">
        <w:rPr>
          <w:rStyle w:val="FootnoteReference"/>
          <w:rFonts w:ascii="Century Schoolbook" w:hAnsi="Century Schoolbook"/>
        </w:rPr>
        <w:footnoteReference w:id="7"/>
      </w:r>
      <w:r w:rsidR="003A2965" w:rsidRPr="00E32534">
        <w:rPr>
          <w:rFonts w:ascii="Century Schoolbook" w:hAnsi="Century Schoolbook"/>
        </w:rPr>
        <w:t xml:space="preserve"> </w:t>
      </w:r>
      <w:r w:rsidR="00EA0EFC">
        <w:rPr>
          <w:rFonts w:ascii="Century Schoolbook" w:hAnsi="Century Schoolbook"/>
        </w:rPr>
        <w:t xml:space="preserve"> </w:t>
      </w:r>
      <w:r w:rsidR="003A2965" w:rsidRPr="00E32534">
        <w:rPr>
          <w:rFonts w:ascii="Century Schoolbook" w:hAnsi="Century Schoolbook"/>
        </w:rPr>
        <w:t xml:space="preserve">Offer caps in the capacity market were applied to all </w:t>
      </w:r>
      <w:r w:rsidR="00EA0EFC">
        <w:rPr>
          <w:rFonts w:ascii="Century Schoolbook" w:hAnsi="Century Schoolbook"/>
        </w:rPr>
        <w:t>sell offers.  Morey next noted</w:t>
      </w:r>
      <w:r w:rsidR="003A2965" w:rsidRPr="00E32534">
        <w:rPr>
          <w:rFonts w:ascii="Century Schoolbook" w:hAnsi="Century Schoolbook"/>
        </w:rPr>
        <w:t xml:space="preserve"> that the </w:t>
      </w:r>
      <w:r w:rsidR="001E556F" w:rsidRPr="00E32534">
        <w:rPr>
          <w:rFonts w:ascii="Century Schoolbook" w:hAnsi="Century Schoolbook"/>
        </w:rPr>
        <w:t>I</w:t>
      </w:r>
      <w:r w:rsidR="003A2965" w:rsidRPr="00E32534">
        <w:rPr>
          <w:rFonts w:ascii="Century Schoolbook" w:hAnsi="Century Schoolbook"/>
        </w:rPr>
        <w:t>MM found the reserve markets are highly concentrated, leading to serious market power problems.</w:t>
      </w:r>
      <w:r w:rsidR="00EA0EFC">
        <w:rPr>
          <w:rStyle w:val="FootnoteReference"/>
          <w:rFonts w:ascii="Century Schoolbook" w:hAnsi="Century Schoolbook"/>
        </w:rPr>
        <w:footnoteReference w:id="8"/>
      </w:r>
      <w:r w:rsidR="003A2965" w:rsidRPr="00E32534">
        <w:rPr>
          <w:rFonts w:ascii="Century Schoolbook" w:hAnsi="Century Schoolbook"/>
        </w:rPr>
        <w:t xml:space="preserve">  </w:t>
      </w:r>
      <w:r w:rsidR="00EA0EFC">
        <w:rPr>
          <w:rFonts w:ascii="Century Schoolbook" w:hAnsi="Century Schoolbook"/>
        </w:rPr>
        <w:t>T</w:t>
      </w:r>
      <w:r w:rsidR="001E556F" w:rsidRPr="00E32534">
        <w:rPr>
          <w:rFonts w:ascii="Century Schoolbook" w:hAnsi="Century Schoolbook"/>
        </w:rPr>
        <w:t xml:space="preserve">hus, while many of these structural problems are well documented in the PJM </w:t>
      </w:r>
      <w:r w:rsidR="00EA0EFC">
        <w:rPr>
          <w:rFonts w:ascii="Century Schoolbook" w:hAnsi="Century Schoolbook"/>
        </w:rPr>
        <w:t>market, approval of</w:t>
      </w:r>
      <w:r w:rsidR="001E556F" w:rsidRPr="00E32534">
        <w:rPr>
          <w:rFonts w:ascii="Century Schoolbook" w:hAnsi="Century Schoolbook"/>
        </w:rPr>
        <w:t xml:space="preserve"> this merger</w:t>
      </w:r>
      <w:r w:rsidR="00EA0EFC">
        <w:rPr>
          <w:rFonts w:ascii="Century Schoolbook" w:hAnsi="Century Schoolbook"/>
        </w:rPr>
        <w:t xml:space="preserve"> without any mitigation</w:t>
      </w:r>
      <w:r w:rsidR="001E556F" w:rsidRPr="00E32534">
        <w:rPr>
          <w:rFonts w:ascii="Century Schoolbook" w:hAnsi="Century Schoolbook"/>
        </w:rPr>
        <w:t xml:space="preserve"> will only </w:t>
      </w:r>
      <w:r w:rsidR="00EA0EFC">
        <w:rPr>
          <w:rFonts w:ascii="Century Schoolbook" w:hAnsi="Century Schoolbook"/>
        </w:rPr>
        <w:t>aggravate</w:t>
      </w:r>
      <w:r w:rsidR="00534521" w:rsidRPr="00E32534">
        <w:rPr>
          <w:rFonts w:ascii="Century Schoolbook" w:hAnsi="Century Schoolbook"/>
        </w:rPr>
        <w:t xml:space="preserve"> an already highly concentrated market. </w:t>
      </w:r>
    </w:p>
    <w:p w:rsidR="00353D70" w:rsidRDefault="00353D70" w:rsidP="00EF2FD8">
      <w:pPr>
        <w:ind w:firstLine="720"/>
        <w:rPr>
          <w:rFonts w:ascii="Century Schoolbook" w:hAnsi="Century Schoolbook"/>
        </w:rPr>
      </w:pPr>
    </w:p>
    <w:p w:rsidR="00353D70" w:rsidRPr="00353D70" w:rsidRDefault="001E556F" w:rsidP="00353D70">
      <w:pPr>
        <w:autoSpaceDE w:val="0"/>
        <w:autoSpaceDN w:val="0"/>
        <w:adjustRightInd w:val="0"/>
        <w:jc w:val="center"/>
        <w:rPr>
          <w:rFonts w:ascii="Century Schoolbook" w:hAnsi="Century Schoolbook"/>
          <w:b/>
        </w:rPr>
      </w:pPr>
      <w:r w:rsidRPr="00E32534">
        <w:rPr>
          <w:rFonts w:ascii="Century Schoolbook" w:hAnsi="Century Schoolbook"/>
        </w:rPr>
        <w:t xml:space="preserve"> </w:t>
      </w:r>
      <w:r w:rsidR="00353D70" w:rsidRPr="00353D70">
        <w:rPr>
          <w:rFonts w:ascii="Century Schoolbook" w:hAnsi="Century Schoolbook"/>
          <w:b/>
        </w:rPr>
        <w:t>Adverse Effect on Default Service</w:t>
      </w:r>
    </w:p>
    <w:p w:rsidR="007E2E9B" w:rsidRPr="00E32534" w:rsidRDefault="007E2E9B" w:rsidP="00AE556A">
      <w:pPr>
        <w:rPr>
          <w:rFonts w:ascii="Century Schoolbook" w:hAnsi="Century Schoolbook"/>
        </w:rPr>
      </w:pPr>
    </w:p>
    <w:p w:rsidR="00EF2FD8" w:rsidRPr="00E32534" w:rsidRDefault="00EF2FD8" w:rsidP="00EF2FD8">
      <w:pPr>
        <w:ind w:firstLine="720"/>
        <w:rPr>
          <w:rFonts w:ascii="Century Schoolbook" w:hAnsi="Century Schoolbook"/>
        </w:rPr>
      </w:pPr>
      <w:r w:rsidRPr="00E32534">
        <w:rPr>
          <w:rFonts w:ascii="Century Schoolbook" w:hAnsi="Century Schoolbook"/>
        </w:rPr>
        <w:t>In fact, the Joint Applicants’ ability to control the market will be enhanced by FirstEnergy’s status as default service provider throughout its service territory.  While there has been a reasonable amount of switching in cer</w:t>
      </w:r>
      <w:r w:rsidR="00EA0EFC">
        <w:rPr>
          <w:rFonts w:ascii="Century Schoolbook" w:hAnsi="Century Schoolbook"/>
        </w:rPr>
        <w:t xml:space="preserve">tain service territories (e.g., that of </w:t>
      </w:r>
      <w:r w:rsidRPr="00E32534">
        <w:rPr>
          <w:rFonts w:ascii="Century Schoolbook" w:hAnsi="Century Schoolbook"/>
        </w:rPr>
        <w:t xml:space="preserve">PPL Electric Utilities), the existing default service rules and structure </w:t>
      </w:r>
      <w:r w:rsidR="00534521" w:rsidRPr="00E32534">
        <w:rPr>
          <w:rFonts w:ascii="Century Schoolbook" w:hAnsi="Century Schoolbook"/>
        </w:rPr>
        <w:t xml:space="preserve">will continue to </w:t>
      </w:r>
      <w:r w:rsidRPr="00E32534">
        <w:rPr>
          <w:rFonts w:ascii="Century Schoolbook" w:hAnsi="Century Schoolbook"/>
        </w:rPr>
        <w:t xml:space="preserve">make it more difficult for EGSs to make meaningful headway in </w:t>
      </w:r>
      <w:r w:rsidR="00EA0EFC">
        <w:rPr>
          <w:rFonts w:ascii="Century Schoolbook" w:hAnsi="Century Schoolbook"/>
        </w:rPr>
        <w:t>persuading</w:t>
      </w:r>
      <w:r w:rsidRPr="00E32534">
        <w:rPr>
          <w:rFonts w:ascii="Century Schoolbook" w:hAnsi="Century Schoolbook"/>
        </w:rPr>
        <w:t xml:space="preserve"> a majority of residential and small commercial customers to switch to competitive alternatives.  </w:t>
      </w:r>
      <w:r w:rsidR="00EA0EFC">
        <w:rPr>
          <w:rFonts w:ascii="Century Schoolbook" w:hAnsi="Century Schoolbook"/>
        </w:rPr>
        <w:t>I</w:t>
      </w:r>
      <w:r w:rsidRPr="00E32534">
        <w:rPr>
          <w:rFonts w:ascii="Century Schoolbook" w:hAnsi="Century Schoolbook"/>
        </w:rPr>
        <w:t>t is the appli</w:t>
      </w:r>
      <w:r w:rsidR="00534521" w:rsidRPr="00E32534">
        <w:rPr>
          <w:rFonts w:ascii="Century Schoolbook" w:hAnsi="Century Schoolbook"/>
        </w:rPr>
        <w:t xml:space="preserve">cation of this default service </w:t>
      </w:r>
      <w:r w:rsidRPr="00E32534">
        <w:rPr>
          <w:rFonts w:ascii="Century Schoolbook" w:hAnsi="Century Schoolbook"/>
        </w:rPr>
        <w:t xml:space="preserve">structure (a structure </w:t>
      </w:r>
      <w:r w:rsidR="00EA0EFC">
        <w:rPr>
          <w:rFonts w:ascii="Century Schoolbook" w:hAnsi="Century Schoolbook"/>
        </w:rPr>
        <w:t>that</w:t>
      </w:r>
      <w:r w:rsidRPr="00E32534">
        <w:rPr>
          <w:rFonts w:ascii="Century Schoolbook" w:hAnsi="Century Schoolbook"/>
        </w:rPr>
        <w:t xml:space="preserve"> we have approved for use by all of the major Pennsylvania EDCs) </w:t>
      </w:r>
      <w:r w:rsidRPr="00E32534">
        <w:rPr>
          <w:rFonts w:ascii="Century Schoolbook" w:hAnsi="Century Schoolbook"/>
          <w:i/>
        </w:rPr>
        <w:t>combined with</w:t>
      </w:r>
      <w:r w:rsidRPr="00E32534">
        <w:rPr>
          <w:rFonts w:ascii="Century Schoolbook" w:hAnsi="Century Schoolbook"/>
        </w:rPr>
        <w:t xml:space="preserve"> FirstEnergy’s ability and intent to exploit that structure by coupling its sales with its newly expanded generation fleet and to have its EGS take advantage of its status as an affiliate of the longstanding “electric service provider” that </w:t>
      </w:r>
      <w:r w:rsidR="00EA0EFC">
        <w:rPr>
          <w:rFonts w:ascii="Century Schoolbook" w:hAnsi="Century Schoolbook"/>
        </w:rPr>
        <w:t xml:space="preserve">ensures </w:t>
      </w:r>
      <w:r w:rsidRPr="00E32534">
        <w:rPr>
          <w:rFonts w:ascii="Century Schoolbook" w:hAnsi="Century Schoolbook"/>
        </w:rPr>
        <w:t>that the statutory merger standard</w:t>
      </w:r>
      <w:r w:rsidR="00EA0EFC">
        <w:rPr>
          <w:rFonts w:ascii="Century Schoolbook" w:hAnsi="Century Schoolbook"/>
        </w:rPr>
        <w:t>s</w:t>
      </w:r>
      <w:r w:rsidRPr="00E32534">
        <w:rPr>
          <w:rFonts w:ascii="Century Schoolbook" w:hAnsi="Century Schoolbook"/>
        </w:rPr>
        <w:t xml:space="preserve"> will not be met.</w:t>
      </w:r>
    </w:p>
    <w:p w:rsidR="00F65CAD" w:rsidRDefault="00F65CAD" w:rsidP="00AE556A">
      <w:pPr>
        <w:rPr>
          <w:rFonts w:ascii="Century Schoolbook" w:hAnsi="Century Schoolbook"/>
        </w:rPr>
      </w:pPr>
    </w:p>
    <w:p w:rsidR="001A067F" w:rsidRPr="00E32534" w:rsidRDefault="005B15FE" w:rsidP="00AE556A">
      <w:pPr>
        <w:rPr>
          <w:rFonts w:ascii="Century Schoolbook" w:hAnsi="Century Schoolbook"/>
        </w:rPr>
      </w:pPr>
      <w:r w:rsidRPr="00E32534">
        <w:rPr>
          <w:rFonts w:ascii="Century Schoolbook" w:hAnsi="Century Schoolbook"/>
        </w:rPr>
        <w:tab/>
        <w:t xml:space="preserve">Further, while there </w:t>
      </w:r>
      <w:r w:rsidR="00E53CDA" w:rsidRPr="00E32534">
        <w:rPr>
          <w:rFonts w:ascii="Century Schoolbook" w:hAnsi="Century Schoolbook"/>
        </w:rPr>
        <w:t>may</w:t>
      </w:r>
      <w:r w:rsidRPr="00E32534">
        <w:rPr>
          <w:rFonts w:ascii="Century Schoolbook" w:hAnsi="Century Schoolbook"/>
        </w:rPr>
        <w:t xml:space="preserve"> be other EGSs making offers in the Met</w:t>
      </w:r>
      <w:r w:rsidR="00EA0EFC">
        <w:rPr>
          <w:rFonts w:ascii="Century Schoolbook" w:hAnsi="Century Schoolbook"/>
        </w:rPr>
        <w:t>-</w:t>
      </w:r>
      <w:r w:rsidRPr="00E32534">
        <w:rPr>
          <w:rFonts w:ascii="Century Schoolbook" w:hAnsi="Century Schoolbook"/>
        </w:rPr>
        <w:t>Ed, Penelec, Penn Power</w:t>
      </w:r>
      <w:r w:rsidR="001E7496" w:rsidRPr="00E32534">
        <w:rPr>
          <w:rFonts w:ascii="Century Schoolbook" w:hAnsi="Century Schoolbook"/>
        </w:rPr>
        <w:t>,</w:t>
      </w:r>
      <w:r w:rsidRPr="00E32534">
        <w:rPr>
          <w:rFonts w:ascii="Century Schoolbook" w:hAnsi="Century Schoolbook"/>
        </w:rPr>
        <w:t xml:space="preserve"> and </w:t>
      </w:r>
      <w:r w:rsidR="005E3114" w:rsidRPr="00E32534">
        <w:rPr>
          <w:rFonts w:ascii="Century Schoolbook" w:hAnsi="Century Schoolbook"/>
        </w:rPr>
        <w:t>Allegheny</w:t>
      </w:r>
      <w:r w:rsidR="00F6068D" w:rsidRPr="00E32534">
        <w:rPr>
          <w:rFonts w:ascii="Century Schoolbook" w:hAnsi="Century Schoolbook"/>
        </w:rPr>
        <w:t xml:space="preserve"> service territories</w:t>
      </w:r>
      <w:r w:rsidRPr="00E32534">
        <w:rPr>
          <w:rFonts w:ascii="Century Schoolbook" w:hAnsi="Century Schoolbook"/>
        </w:rPr>
        <w:t xml:space="preserve">, it will be very difficult for these competitors to </w:t>
      </w:r>
      <w:r w:rsidR="005D219B" w:rsidRPr="00E32534">
        <w:rPr>
          <w:rFonts w:ascii="Century Schoolbook" w:hAnsi="Century Schoolbook"/>
        </w:rPr>
        <w:t xml:space="preserve">have </w:t>
      </w:r>
      <w:r w:rsidR="005E3114" w:rsidRPr="00E32534">
        <w:rPr>
          <w:rFonts w:ascii="Century Schoolbook" w:hAnsi="Century Schoolbook"/>
        </w:rPr>
        <w:t xml:space="preserve">anything </w:t>
      </w:r>
      <w:r w:rsidRPr="00E32534">
        <w:rPr>
          <w:rFonts w:ascii="Century Schoolbook" w:hAnsi="Century Schoolbook"/>
        </w:rPr>
        <w:t xml:space="preserve">other than </w:t>
      </w:r>
      <w:r w:rsidR="00534521" w:rsidRPr="00E32534">
        <w:rPr>
          <w:rFonts w:ascii="Century Schoolbook" w:hAnsi="Century Schoolbook"/>
        </w:rPr>
        <w:t>marginal</w:t>
      </w:r>
      <w:r w:rsidR="005D219B" w:rsidRPr="00E32534">
        <w:rPr>
          <w:rFonts w:ascii="Century Schoolbook" w:hAnsi="Century Schoolbook"/>
        </w:rPr>
        <w:t xml:space="preserve"> </w:t>
      </w:r>
      <w:r w:rsidRPr="00E32534">
        <w:rPr>
          <w:rFonts w:ascii="Century Schoolbook" w:hAnsi="Century Schoolbook"/>
        </w:rPr>
        <w:t>s</w:t>
      </w:r>
      <w:r w:rsidR="005D219B" w:rsidRPr="00E32534">
        <w:rPr>
          <w:rFonts w:ascii="Century Schoolbook" w:hAnsi="Century Schoolbook"/>
        </w:rPr>
        <w:t>uccess</w:t>
      </w:r>
      <w:r w:rsidR="00F6068D" w:rsidRPr="00E32534">
        <w:rPr>
          <w:rFonts w:ascii="Century Schoolbook" w:hAnsi="Century Schoolbook"/>
        </w:rPr>
        <w:t xml:space="preserve"> under the proposed merger and Partial Settlement</w:t>
      </w:r>
      <w:r w:rsidRPr="00E32534">
        <w:rPr>
          <w:rFonts w:ascii="Century Schoolbook" w:hAnsi="Century Schoolbook"/>
        </w:rPr>
        <w:t>.  Without meaningful conditions, FirstEnergy will be able to exploit this tendency of smaller customers to do nothing or to remain with the</w:t>
      </w:r>
      <w:r w:rsidR="005E3114" w:rsidRPr="00E32534">
        <w:rPr>
          <w:rFonts w:ascii="Century Schoolbook" w:hAnsi="Century Schoolbook"/>
        </w:rPr>
        <w:t xml:space="preserve">ir longstanding </w:t>
      </w:r>
      <w:r w:rsidRPr="00E32534">
        <w:rPr>
          <w:rFonts w:ascii="Century Schoolbook" w:hAnsi="Century Schoolbook"/>
        </w:rPr>
        <w:t>“electric company</w:t>
      </w:r>
      <w:r w:rsidR="00AB4EE7" w:rsidRPr="00E32534">
        <w:rPr>
          <w:rFonts w:ascii="Century Schoolbook" w:hAnsi="Century Schoolbook"/>
        </w:rPr>
        <w:t>,</w:t>
      </w:r>
      <w:r w:rsidRPr="00E32534">
        <w:rPr>
          <w:rFonts w:ascii="Century Schoolbook" w:hAnsi="Century Schoolbook"/>
        </w:rPr>
        <w:t>” resulting in a large portion o</w:t>
      </w:r>
      <w:r w:rsidR="005E3114" w:rsidRPr="00E32534">
        <w:rPr>
          <w:rFonts w:ascii="Century Schoolbook" w:hAnsi="Century Schoolbook"/>
        </w:rPr>
        <w:t>f</w:t>
      </w:r>
      <w:r w:rsidRPr="00E32534">
        <w:rPr>
          <w:rFonts w:ascii="Century Schoolbook" w:hAnsi="Century Schoolbook"/>
        </w:rPr>
        <w:t xml:space="preserve"> the market staying with </w:t>
      </w:r>
      <w:r w:rsidR="00AB4EE7" w:rsidRPr="00E32534">
        <w:rPr>
          <w:rFonts w:ascii="Century Schoolbook" w:hAnsi="Century Schoolbook"/>
        </w:rPr>
        <w:t xml:space="preserve">either </w:t>
      </w:r>
      <w:r w:rsidRPr="00E32534">
        <w:rPr>
          <w:rFonts w:ascii="Century Schoolbook" w:hAnsi="Century Schoolbook"/>
        </w:rPr>
        <w:t>the incumbent utility or an affiliate of the incumbent</w:t>
      </w:r>
      <w:r w:rsidR="00EA0EFC">
        <w:rPr>
          <w:rFonts w:ascii="Century Schoolbook" w:hAnsi="Century Schoolbook"/>
        </w:rPr>
        <w:t xml:space="preserve"> (especially if it enjoys the incumbent’s brand name)</w:t>
      </w:r>
      <w:r w:rsidR="005E3114" w:rsidRPr="00E32534">
        <w:rPr>
          <w:rFonts w:ascii="Century Schoolbook" w:hAnsi="Century Schoolbook"/>
        </w:rPr>
        <w:t>.</w:t>
      </w:r>
      <w:r w:rsidR="00E51AFB" w:rsidRPr="00E32534">
        <w:rPr>
          <w:rFonts w:ascii="Century Schoolbook" w:hAnsi="Century Schoolbook"/>
        </w:rPr>
        <w:t xml:space="preserve">  The result will not be a market with many sellers and many buyers.  Moreover, FirstEnergy’s generation advantage constitutes </w:t>
      </w:r>
      <w:r w:rsidR="00AB4EE7" w:rsidRPr="00E32534">
        <w:rPr>
          <w:rFonts w:ascii="Century Schoolbook" w:hAnsi="Century Schoolbook"/>
        </w:rPr>
        <w:t xml:space="preserve">a </w:t>
      </w:r>
      <w:r w:rsidR="00E51AFB" w:rsidRPr="00E32534">
        <w:rPr>
          <w:rFonts w:ascii="Century Schoolbook" w:hAnsi="Century Schoolbook"/>
        </w:rPr>
        <w:t xml:space="preserve">significant barrier to entry such </w:t>
      </w:r>
      <w:r w:rsidR="005E3114" w:rsidRPr="00E32534">
        <w:rPr>
          <w:rFonts w:ascii="Century Schoolbook" w:hAnsi="Century Schoolbook"/>
        </w:rPr>
        <w:t xml:space="preserve">that </w:t>
      </w:r>
      <w:r w:rsidR="00E51AFB" w:rsidRPr="00E32534">
        <w:rPr>
          <w:rFonts w:ascii="Century Schoolbook" w:hAnsi="Century Schoolbook"/>
        </w:rPr>
        <w:t>non-affiliated competitors will find it difficult to develop the level of market share and presence that would make it worthwhile for them to offer attractive “value added” products, services</w:t>
      </w:r>
      <w:r w:rsidR="001E7496" w:rsidRPr="00E32534">
        <w:rPr>
          <w:rFonts w:ascii="Century Schoolbook" w:hAnsi="Century Schoolbook"/>
        </w:rPr>
        <w:t>,</w:t>
      </w:r>
      <w:r w:rsidR="00E51AFB" w:rsidRPr="00E32534">
        <w:rPr>
          <w:rFonts w:ascii="Century Schoolbook" w:hAnsi="Century Schoolbook"/>
        </w:rPr>
        <w:t xml:space="preserve"> and promotions that are the hallmark of a workably competitive market.  </w:t>
      </w:r>
      <w:r w:rsidRPr="00E32534">
        <w:rPr>
          <w:rFonts w:ascii="Century Schoolbook" w:hAnsi="Century Schoolbook"/>
        </w:rPr>
        <w:t>Th</w:t>
      </w:r>
      <w:r w:rsidR="00EA0EFC">
        <w:rPr>
          <w:rFonts w:ascii="Century Schoolbook" w:hAnsi="Century Schoolbook"/>
        </w:rPr>
        <w:t>e ev</w:t>
      </w:r>
      <w:r w:rsidR="00C96A93" w:rsidRPr="00E32534">
        <w:rPr>
          <w:rFonts w:ascii="Century Schoolbook" w:hAnsi="Century Schoolbook"/>
        </w:rPr>
        <w:t>idence</w:t>
      </w:r>
      <w:r w:rsidR="00EA0EFC">
        <w:rPr>
          <w:rFonts w:ascii="Century Schoolbook" w:hAnsi="Century Schoolbook"/>
        </w:rPr>
        <w:t xml:space="preserve"> of record</w:t>
      </w:r>
      <w:r w:rsidR="00C96A93" w:rsidRPr="00E32534">
        <w:rPr>
          <w:rFonts w:ascii="Century Schoolbook" w:hAnsi="Century Schoolbook"/>
        </w:rPr>
        <w:t xml:space="preserve"> requires the conclusion that, if the merger </w:t>
      </w:r>
      <w:r w:rsidR="00EA0EFC">
        <w:rPr>
          <w:rFonts w:ascii="Century Schoolbook" w:hAnsi="Century Schoolbook"/>
        </w:rPr>
        <w:t xml:space="preserve">is approved </w:t>
      </w:r>
      <w:r w:rsidR="00C96A93" w:rsidRPr="00E32534">
        <w:rPr>
          <w:rFonts w:ascii="Century Schoolbook" w:hAnsi="Century Schoolbook"/>
        </w:rPr>
        <w:t>as presented, the retail market in the ter</w:t>
      </w:r>
      <w:r w:rsidR="00592D61" w:rsidRPr="00E32534">
        <w:rPr>
          <w:rFonts w:ascii="Century Schoolbook" w:hAnsi="Century Schoolbook"/>
        </w:rPr>
        <w:t>r</w:t>
      </w:r>
      <w:r w:rsidR="00C96A93" w:rsidRPr="00E32534">
        <w:rPr>
          <w:rFonts w:ascii="Century Schoolbook" w:hAnsi="Century Schoolbook"/>
        </w:rPr>
        <w:t>itories of Met</w:t>
      </w:r>
      <w:r w:rsidR="000C38D2">
        <w:rPr>
          <w:rFonts w:ascii="Century Schoolbook" w:hAnsi="Century Schoolbook"/>
        </w:rPr>
        <w:t>-</w:t>
      </w:r>
      <w:r w:rsidR="00C96A93" w:rsidRPr="00E32534">
        <w:rPr>
          <w:rFonts w:ascii="Century Schoolbook" w:hAnsi="Century Schoolbook"/>
        </w:rPr>
        <w:t>Ed, Penelec, Penn Power</w:t>
      </w:r>
      <w:r w:rsidR="001E7496" w:rsidRPr="00E32534">
        <w:rPr>
          <w:rFonts w:ascii="Century Schoolbook" w:hAnsi="Century Schoolbook"/>
        </w:rPr>
        <w:t>,</w:t>
      </w:r>
      <w:r w:rsidR="00C96A93" w:rsidRPr="00E32534">
        <w:rPr>
          <w:rFonts w:ascii="Century Schoolbook" w:hAnsi="Century Schoolbook"/>
        </w:rPr>
        <w:t xml:space="preserve"> and </w:t>
      </w:r>
      <w:r w:rsidR="005E3114" w:rsidRPr="00E32534">
        <w:rPr>
          <w:rFonts w:ascii="Century Schoolbook" w:hAnsi="Century Schoolbook"/>
        </w:rPr>
        <w:t xml:space="preserve">Allegheny </w:t>
      </w:r>
      <w:r w:rsidR="00C96A93" w:rsidRPr="00E32534">
        <w:rPr>
          <w:rFonts w:ascii="Century Schoolbook" w:hAnsi="Century Schoolbook"/>
        </w:rPr>
        <w:t xml:space="preserve">will not </w:t>
      </w:r>
      <w:r w:rsidRPr="00E32534">
        <w:rPr>
          <w:rFonts w:ascii="Century Schoolbook" w:hAnsi="Century Schoolbook"/>
        </w:rPr>
        <w:t>result in a</w:t>
      </w:r>
      <w:r w:rsidR="00C96A93" w:rsidRPr="00E32534">
        <w:rPr>
          <w:rFonts w:ascii="Century Schoolbook" w:hAnsi="Century Schoolbook"/>
        </w:rPr>
        <w:t xml:space="preserve"> workably competitive </w:t>
      </w:r>
      <w:r w:rsidRPr="00E32534">
        <w:rPr>
          <w:rFonts w:ascii="Century Schoolbook" w:hAnsi="Century Schoolbook"/>
        </w:rPr>
        <w:t>market, as is</w:t>
      </w:r>
      <w:r w:rsidR="00C96A93" w:rsidRPr="00E32534">
        <w:rPr>
          <w:rFonts w:ascii="Century Schoolbook" w:hAnsi="Century Schoolbook"/>
        </w:rPr>
        <w:t xml:space="preserve"> required by </w:t>
      </w:r>
      <w:r w:rsidR="00F7593F" w:rsidRPr="00E32534">
        <w:rPr>
          <w:rFonts w:ascii="Century Schoolbook" w:hAnsi="Century Schoolbook"/>
          <w:color w:val="000000"/>
        </w:rPr>
        <w:t>66 Pa.C.S.</w:t>
      </w:r>
      <w:r w:rsidR="00EA0EFC">
        <w:rPr>
          <w:rFonts w:ascii="Century Schoolbook" w:hAnsi="Century Schoolbook"/>
          <w:color w:val="000000"/>
        </w:rPr>
        <w:t xml:space="preserve"> §</w:t>
      </w:r>
      <w:r w:rsidR="00C96A93" w:rsidRPr="00E32534">
        <w:rPr>
          <w:rFonts w:ascii="Century Schoolbook" w:hAnsi="Century Schoolbook"/>
        </w:rPr>
        <w:t xml:space="preserve"> 2811</w:t>
      </w:r>
      <w:r w:rsidR="00E51AFB" w:rsidRPr="00E32534">
        <w:rPr>
          <w:rFonts w:ascii="Century Schoolbook" w:hAnsi="Century Schoolbook"/>
        </w:rPr>
        <w:t>.</w:t>
      </w:r>
      <w:r w:rsidR="00592D61" w:rsidRPr="00E32534">
        <w:rPr>
          <w:rFonts w:ascii="Century Schoolbook" w:hAnsi="Century Schoolbook"/>
        </w:rPr>
        <w:t xml:space="preserve"> </w:t>
      </w:r>
    </w:p>
    <w:p w:rsidR="007236CC" w:rsidRPr="00E32534" w:rsidRDefault="007236CC" w:rsidP="00AE556A">
      <w:pPr>
        <w:rPr>
          <w:rFonts w:ascii="Century Schoolbook" w:hAnsi="Century Schoolbook"/>
        </w:rPr>
      </w:pPr>
    </w:p>
    <w:p w:rsidR="001A067F" w:rsidRDefault="0054238A" w:rsidP="00AE556A">
      <w:pPr>
        <w:rPr>
          <w:rFonts w:ascii="Century Schoolbook" w:hAnsi="Century Schoolbook"/>
        </w:rPr>
      </w:pPr>
      <w:r w:rsidRPr="00E32534">
        <w:rPr>
          <w:rFonts w:ascii="Century Schoolbook" w:hAnsi="Century Schoolbook"/>
        </w:rPr>
        <w:tab/>
        <w:t>Despite th</w:t>
      </w:r>
      <w:r w:rsidR="00627440" w:rsidRPr="00E32534">
        <w:rPr>
          <w:rFonts w:ascii="Century Schoolbook" w:hAnsi="Century Schoolbook"/>
        </w:rPr>
        <w:t>e</w:t>
      </w:r>
      <w:r w:rsidRPr="00E32534">
        <w:rPr>
          <w:rFonts w:ascii="Century Schoolbook" w:hAnsi="Century Schoolbook"/>
        </w:rPr>
        <w:t xml:space="preserve"> record evidence of serious problems that will detrimentally </w:t>
      </w:r>
      <w:r w:rsidR="00EA0EFC">
        <w:rPr>
          <w:rFonts w:ascii="Century Schoolbook" w:hAnsi="Century Schoolbook"/>
        </w:rPr>
        <w:t>affect</w:t>
      </w:r>
      <w:r w:rsidRPr="00E32534">
        <w:rPr>
          <w:rFonts w:ascii="Century Schoolbook" w:hAnsi="Century Schoolbook"/>
        </w:rPr>
        <w:t xml:space="preserve"> the competitive market post-merger, the Joint Applicants presented nothing to remedy these concerns.  </w:t>
      </w:r>
      <w:r w:rsidR="00926A02" w:rsidRPr="00E32534">
        <w:rPr>
          <w:rFonts w:ascii="Century Schoolbook" w:hAnsi="Century Schoolbook"/>
        </w:rPr>
        <w:t>The</w:t>
      </w:r>
      <w:r w:rsidRPr="00E32534">
        <w:rPr>
          <w:rFonts w:ascii="Century Schoolbook" w:hAnsi="Century Schoolbook"/>
        </w:rPr>
        <w:t xml:space="preserve"> Partial Settlement does not address the competitive retail market concerns resulting from this merger in </w:t>
      </w:r>
      <w:r w:rsidR="00DA6966" w:rsidRPr="00E32534">
        <w:rPr>
          <w:rFonts w:ascii="Century Schoolbook" w:hAnsi="Century Schoolbook"/>
        </w:rPr>
        <w:t>any meaningful way</w:t>
      </w:r>
      <w:r w:rsidRPr="00E32534">
        <w:rPr>
          <w:rFonts w:ascii="Century Schoolbook" w:hAnsi="Century Schoolbook"/>
        </w:rPr>
        <w:t>.</w:t>
      </w:r>
    </w:p>
    <w:p w:rsidR="00353D70" w:rsidRDefault="00353D70" w:rsidP="00AE556A">
      <w:pPr>
        <w:rPr>
          <w:rFonts w:ascii="Century Schoolbook" w:hAnsi="Century Schoolbook"/>
        </w:rPr>
      </w:pPr>
    </w:p>
    <w:p w:rsidR="00353D70" w:rsidRPr="00353D70" w:rsidRDefault="00353D70" w:rsidP="00353D70">
      <w:pPr>
        <w:jc w:val="center"/>
        <w:rPr>
          <w:rFonts w:ascii="Century Schoolbook" w:hAnsi="Century Schoolbook"/>
          <w:b/>
        </w:rPr>
      </w:pPr>
      <w:r w:rsidRPr="00353D70">
        <w:rPr>
          <w:rFonts w:ascii="Century Schoolbook" w:hAnsi="Century Schoolbook"/>
          <w:b/>
        </w:rPr>
        <w:t>Conditions That Should Have Been Imposed</w:t>
      </w:r>
    </w:p>
    <w:p w:rsidR="0054238A" w:rsidRPr="00E32534" w:rsidRDefault="0054238A" w:rsidP="00AE556A">
      <w:pPr>
        <w:rPr>
          <w:rFonts w:ascii="Century Schoolbook" w:hAnsi="Century Schoolbook"/>
        </w:rPr>
      </w:pPr>
    </w:p>
    <w:p w:rsidR="00EB62D8" w:rsidRPr="00E32534" w:rsidRDefault="0054238A" w:rsidP="00AE556A">
      <w:pPr>
        <w:rPr>
          <w:rFonts w:ascii="Century Schoolbook" w:hAnsi="Century Schoolbook"/>
        </w:rPr>
      </w:pPr>
      <w:r w:rsidRPr="00E32534">
        <w:rPr>
          <w:rFonts w:ascii="Century Schoolbook" w:hAnsi="Century Schoolbook"/>
        </w:rPr>
        <w:tab/>
      </w:r>
      <w:r w:rsidR="00624B82" w:rsidRPr="00E32534">
        <w:rPr>
          <w:rFonts w:ascii="Century Schoolbook" w:hAnsi="Century Schoolbook"/>
        </w:rPr>
        <w:t>In order to mitigate the competitive retail and wholesale competitive concerns, approval should have been</w:t>
      </w:r>
      <w:r w:rsidR="004802A0" w:rsidRPr="00E32534">
        <w:rPr>
          <w:rFonts w:ascii="Century Schoolbook" w:hAnsi="Century Schoolbook"/>
        </w:rPr>
        <w:t xml:space="preserve"> conditioned up</w:t>
      </w:r>
      <w:r w:rsidR="005E3114" w:rsidRPr="00E32534">
        <w:rPr>
          <w:rFonts w:ascii="Century Schoolbook" w:hAnsi="Century Schoolbook"/>
        </w:rPr>
        <w:t>on</w:t>
      </w:r>
      <w:r w:rsidR="004802A0" w:rsidRPr="00E32534">
        <w:rPr>
          <w:rFonts w:ascii="Century Schoolbook" w:hAnsi="Century Schoolbook"/>
        </w:rPr>
        <w:t xml:space="preserve"> the Joint Applicants’ acceptance of all of the conditions set forth in the Partial Settlement</w:t>
      </w:r>
      <w:r w:rsidR="00627440" w:rsidRPr="00E32534">
        <w:rPr>
          <w:rFonts w:ascii="Century Schoolbook" w:hAnsi="Century Schoolbook"/>
        </w:rPr>
        <w:t>,</w:t>
      </w:r>
      <w:r w:rsidR="00624B82" w:rsidRPr="00E32534">
        <w:rPr>
          <w:rFonts w:ascii="Century Schoolbook" w:hAnsi="Century Schoolbook"/>
        </w:rPr>
        <w:t xml:space="preserve"> the conditions imposed by </w:t>
      </w:r>
      <w:r w:rsidR="00EA0EFC">
        <w:rPr>
          <w:rFonts w:ascii="Century Schoolbook" w:hAnsi="Century Schoolbook"/>
        </w:rPr>
        <w:t xml:space="preserve">the </w:t>
      </w:r>
      <w:r w:rsidR="00624B82" w:rsidRPr="00E32534">
        <w:rPr>
          <w:rFonts w:ascii="Century Schoolbook" w:hAnsi="Century Schoolbook"/>
        </w:rPr>
        <w:t>Commission pursuant to today’s approved motions,</w:t>
      </w:r>
      <w:r w:rsidR="004802A0" w:rsidRPr="00E32534">
        <w:rPr>
          <w:rFonts w:ascii="Century Schoolbook" w:hAnsi="Century Schoolbook"/>
        </w:rPr>
        <w:t xml:space="preserve"> as well as the </w:t>
      </w:r>
      <w:r w:rsidRPr="00E32534">
        <w:rPr>
          <w:rFonts w:ascii="Century Schoolbook" w:hAnsi="Century Schoolbook"/>
        </w:rPr>
        <w:t>following appropriate and reasonable</w:t>
      </w:r>
      <w:r w:rsidR="00F7593F" w:rsidRPr="00E32534">
        <w:rPr>
          <w:rFonts w:ascii="Century Schoolbook" w:hAnsi="Century Schoolbook"/>
        </w:rPr>
        <w:t xml:space="preserve"> conditions</w:t>
      </w:r>
      <w:r w:rsidRPr="00E32534">
        <w:rPr>
          <w:rFonts w:ascii="Century Schoolbook" w:hAnsi="Century Schoolbook"/>
        </w:rPr>
        <w:t>.  All of these conditions are intended to</w:t>
      </w:r>
      <w:r w:rsidR="009C5298" w:rsidRPr="00E32534">
        <w:rPr>
          <w:rFonts w:ascii="Century Schoolbook" w:hAnsi="Century Schoolbook"/>
        </w:rPr>
        <w:t xml:space="preserve"> break the inherent bias in favor of FirstEnergy’s default service, to mitigate F</w:t>
      </w:r>
      <w:r w:rsidR="005E3114" w:rsidRPr="00E32534">
        <w:rPr>
          <w:rFonts w:ascii="Century Schoolbook" w:hAnsi="Century Schoolbook"/>
        </w:rPr>
        <w:t>irstEnergy Solution</w:t>
      </w:r>
      <w:r w:rsidR="009C5298" w:rsidRPr="00E32534">
        <w:rPr>
          <w:rFonts w:ascii="Century Schoolbook" w:hAnsi="Century Schoolbook"/>
        </w:rPr>
        <w:t xml:space="preserve">’s post-merger retail market power, and to bring a sufficient number of non-affiliated EGSs into the market to reduce the merged company’s ability to dominate the market.  </w:t>
      </w:r>
      <w:r w:rsidR="007236CC" w:rsidRPr="00E32534">
        <w:rPr>
          <w:rFonts w:ascii="Century Schoolbook" w:hAnsi="Century Schoolbook"/>
        </w:rPr>
        <w:t xml:space="preserve">This result </w:t>
      </w:r>
      <w:r w:rsidR="00744422" w:rsidRPr="00E32534">
        <w:rPr>
          <w:rFonts w:ascii="Century Schoolbook" w:hAnsi="Century Schoolbook"/>
        </w:rPr>
        <w:t>would have been</w:t>
      </w:r>
      <w:r w:rsidR="007236CC" w:rsidRPr="00E32534">
        <w:rPr>
          <w:rFonts w:ascii="Century Schoolbook" w:hAnsi="Century Schoolbook"/>
        </w:rPr>
        <w:t xml:space="preserve"> in the public interest because it fulfills our statutory duty to </w:t>
      </w:r>
      <w:r w:rsidR="004802A0" w:rsidRPr="00E32534">
        <w:rPr>
          <w:rFonts w:ascii="Century Schoolbook" w:hAnsi="Century Schoolbook"/>
        </w:rPr>
        <w:t>assure not only that affirmative public benefits will result from a merger</w:t>
      </w:r>
      <w:r w:rsidR="00627440" w:rsidRPr="00E32534">
        <w:rPr>
          <w:rFonts w:ascii="Century Schoolbook" w:hAnsi="Century Schoolbook"/>
        </w:rPr>
        <w:t>,</w:t>
      </w:r>
      <w:r w:rsidR="004802A0" w:rsidRPr="00E32534">
        <w:rPr>
          <w:rFonts w:ascii="Century Schoolbook" w:hAnsi="Century Schoolbook"/>
        </w:rPr>
        <w:t xml:space="preserve"> but also that the</w:t>
      </w:r>
      <w:r w:rsidR="00627440" w:rsidRPr="00E32534">
        <w:rPr>
          <w:rFonts w:ascii="Century Schoolbook" w:hAnsi="Century Schoolbook"/>
        </w:rPr>
        <w:t xml:space="preserve"> environment post-merger</w:t>
      </w:r>
      <w:r w:rsidR="004802A0" w:rsidRPr="00E32534">
        <w:rPr>
          <w:rFonts w:ascii="Century Schoolbook" w:hAnsi="Century Schoolbook"/>
        </w:rPr>
        <w:t xml:space="preserve"> will produce </w:t>
      </w:r>
      <w:r w:rsidR="007236CC" w:rsidRPr="00E32534">
        <w:rPr>
          <w:rFonts w:ascii="Century Schoolbook" w:hAnsi="Century Schoolbook"/>
        </w:rPr>
        <w:t>a fully functional and competitive retail</w:t>
      </w:r>
      <w:r w:rsidR="00744422" w:rsidRPr="00E32534">
        <w:rPr>
          <w:rFonts w:ascii="Century Schoolbook" w:hAnsi="Century Schoolbook"/>
        </w:rPr>
        <w:t xml:space="preserve"> and wholesale</w:t>
      </w:r>
      <w:r w:rsidR="007236CC" w:rsidRPr="00E32534">
        <w:rPr>
          <w:rFonts w:ascii="Century Schoolbook" w:hAnsi="Century Schoolbook"/>
        </w:rPr>
        <w:t xml:space="preserve"> market wherein consumers are presented with a variety </w:t>
      </w:r>
      <w:r w:rsidR="00627440" w:rsidRPr="00E32534">
        <w:rPr>
          <w:rFonts w:ascii="Century Schoolbook" w:hAnsi="Century Schoolbook"/>
        </w:rPr>
        <w:t>of</w:t>
      </w:r>
      <w:r w:rsidR="007236CC" w:rsidRPr="00E32534">
        <w:rPr>
          <w:rFonts w:ascii="Century Schoolbook" w:hAnsi="Century Schoolbook"/>
        </w:rPr>
        <w:t xml:space="preserve"> competitive options for generation service</w:t>
      </w:r>
      <w:r w:rsidR="00F5648B" w:rsidRPr="00E32534">
        <w:rPr>
          <w:rFonts w:ascii="Century Schoolbook" w:hAnsi="Century Schoolbook"/>
        </w:rPr>
        <w:t xml:space="preserve"> as well as innovative, value added products.</w:t>
      </w:r>
      <w:r w:rsidR="001B478B" w:rsidRPr="00E32534">
        <w:rPr>
          <w:rFonts w:ascii="Century Schoolbook" w:hAnsi="Century Schoolbook"/>
          <w:b/>
        </w:rPr>
        <w:t xml:space="preserve"> </w:t>
      </w:r>
    </w:p>
    <w:p w:rsidR="0054238A" w:rsidRPr="00E32534" w:rsidRDefault="0054238A" w:rsidP="00AE556A">
      <w:pPr>
        <w:rPr>
          <w:rFonts w:ascii="Century Schoolbook" w:hAnsi="Century Schoolbook"/>
        </w:rPr>
      </w:pPr>
    </w:p>
    <w:p w:rsidR="00EB62D8" w:rsidRPr="00E32534" w:rsidRDefault="0054238A" w:rsidP="00AE556A">
      <w:pPr>
        <w:rPr>
          <w:rFonts w:ascii="Century Schoolbook" w:hAnsi="Century Schoolbook"/>
        </w:rPr>
      </w:pPr>
      <w:r w:rsidRPr="00E32534">
        <w:rPr>
          <w:rFonts w:ascii="Century Schoolbook" w:hAnsi="Century Schoolbook"/>
        </w:rPr>
        <w:tab/>
      </w:r>
      <w:r w:rsidR="00EB62D8" w:rsidRPr="00E32534">
        <w:rPr>
          <w:rFonts w:ascii="Century Schoolbook" w:hAnsi="Century Schoolbook"/>
        </w:rPr>
        <w:t xml:space="preserve">Accordingly, the </w:t>
      </w:r>
      <w:r w:rsidR="002D55A1" w:rsidRPr="00E32534">
        <w:rPr>
          <w:rFonts w:ascii="Century Schoolbook" w:hAnsi="Century Schoolbook"/>
        </w:rPr>
        <w:t xml:space="preserve">Commission </w:t>
      </w:r>
      <w:r w:rsidR="00744422" w:rsidRPr="00E32534">
        <w:rPr>
          <w:rFonts w:ascii="Century Schoolbook" w:hAnsi="Century Schoolbook"/>
        </w:rPr>
        <w:t>should have</w:t>
      </w:r>
      <w:r w:rsidR="002D55A1" w:rsidRPr="00E32534">
        <w:rPr>
          <w:rFonts w:ascii="Century Schoolbook" w:hAnsi="Century Schoolbook"/>
        </w:rPr>
        <w:t xml:space="preserve"> impose</w:t>
      </w:r>
      <w:r w:rsidR="00744422" w:rsidRPr="00E32534">
        <w:rPr>
          <w:rFonts w:ascii="Century Schoolbook" w:hAnsi="Century Schoolbook"/>
        </w:rPr>
        <w:t>d</w:t>
      </w:r>
      <w:r w:rsidR="002D55A1" w:rsidRPr="00E32534">
        <w:rPr>
          <w:rFonts w:ascii="Century Schoolbook" w:hAnsi="Century Schoolbook"/>
        </w:rPr>
        <w:t xml:space="preserve"> the following</w:t>
      </w:r>
      <w:r w:rsidR="00EB62D8" w:rsidRPr="00E32534">
        <w:rPr>
          <w:rFonts w:ascii="Century Schoolbook" w:hAnsi="Century Schoolbook"/>
        </w:rPr>
        <w:t xml:space="preserve"> conditions</w:t>
      </w:r>
      <w:r w:rsidR="002D55A1" w:rsidRPr="00E32534">
        <w:rPr>
          <w:rFonts w:ascii="Century Schoolbook" w:hAnsi="Century Schoolbook"/>
        </w:rPr>
        <w:t xml:space="preserve"> on the merger</w:t>
      </w:r>
      <w:r w:rsidR="00EB62D8" w:rsidRPr="00E32534">
        <w:rPr>
          <w:rFonts w:ascii="Century Schoolbook" w:hAnsi="Century Schoolbook"/>
        </w:rPr>
        <w:t>, in addition to those agreed to by the Joint Applicants in the Partial Settlement:</w:t>
      </w:r>
    </w:p>
    <w:p w:rsidR="00EB62D8" w:rsidRPr="00E32534" w:rsidRDefault="00EB62D8" w:rsidP="00AE556A">
      <w:pPr>
        <w:rPr>
          <w:rFonts w:ascii="Century Schoolbook" w:hAnsi="Century Schoolbook"/>
        </w:rPr>
      </w:pPr>
    </w:p>
    <w:p w:rsidR="004802A0" w:rsidRPr="00E32534" w:rsidRDefault="003609A7" w:rsidP="00AE556A">
      <w:pPr>
        <w:rPr>
          <w:rFonts w:ascii="Century Schoolbook" w:hAnsi="Century Schoolbook"/>
        </w:rPr>
      </w:pPr>
      <w:r w:rsidRPr="00E32534">
        <w:rPr>
          <w:rFonts w:ascii="Century Schoolbook" w:hAnsi="Century Schoolbook"/>
        </w:rPr>
        <w:tab/>
      </w:r>
      <w:r w:rsidR="0054238A" w:rsidRPr="00C00EB6">
        <w:rPr>
          <w:rFonts w:ascii="Century Schoolbook" w:hAnsi="Century Schoolbook"/>
          <w:i/>
        </w:rPr>
        <w:t>First</w:t>
      </w:r>
      <w:r w:rsidR="0054238A" w:rsidRPr="00E32534">
        <w:rPr>
          <w:rFonts w:ascii="Century Schoolbook" w:hAnsi="Century Schoolbook"/>
        </w:rPr>
        <w:t xml:space="preserve">, </w:t>
      </w:r>
      <w:r w:rsidR="00C83066" w:rsidRPr="00E32534">
        <w:rPr>
          <w:rFonts w:ascii="Century Schoolbook" w:hAnsi="Century Schoolbook"/>
        </w:rPr>
        <w:t xml:space="preserve">the </w:t>
      </w:r>
      <w:r w:rsidR="009C5298" w:rsidRPr="00E32534">
        <w:rPr>
          <w:rFonts w:ascii="Century Schoolbook" w:hAnsi="Century Schoolbook"/>
        </w:rPr>
        <w:t xml:space="preserve">Joint Applicants </w:t>
      </w:r>
      <w:r w:rsidR="00744422" w:rsidRPr="00E32534">
        <w:rPr>
          <w:rFonts w:ascii="Century Schoolbook" w:hAnsi="Century Schoolbook"/>
        </w:rPr>
        <w:t xml:space="preserve">should have </w:t>
      </w:r>
      <w:r w:rsidR="009C5298" w:rsidRPr="00E32534">
        <w:rPr>
          <w:rFonts w:ascii="Century Schoolbook" w:hAnsi="Century Schoolbook"/>
        </w:rPr>
        <w:t>agree</w:t>
      </w:r>
      <w:r w:rsidR="00744422" w:rsidRPr="00E32534">
        <w:rPr>
          <w:rFonts w:ascii="Century Schoolbook" w:hAnsi="Century Schoolbook"/>
        </w:rPr>
        <w:t>d</w:t>
      </w:r>
      <w:r w:rsidR="009C5298" w:rsidRPr="00E32534">
        <w:rPr>
          <w:rFonts w:ascii="Century Schoolbook" w:hAnsi="Century Schoolbook"/>
        </w:rPr>
        <w:t xml:space="preserve"> to exit the default service provider function.  To accomplish this goal, the Commission </w:t>
      </w:r>
      <w:r w:rsidR="00744422" w:rsidRPr="00E32534">
        <w:rPr>
          <w:rFonts w:ascii="Century Schoolbook" w:hAnsi="Century Schoolbook"/>
        </w:rPr>
        <w:t>could</w:t>
      </w:r>
      <w:r w:rsidR="009C5298" w:rsidRPr="00E32534">
        <w:rPr>
          <w:rFonts w:ascii="Century Schoolbook" w:hAnsi="Century Schoolbook"/>
        </w:rPr>
        <w:t xml:space="preserve"> initiate a separate proceeding to select an alternative</w:t>
      </w:r>
      <w:r w:rsidR="002D55A1" w:rsidRPr="00E32534">
        <w:rPr>
          <w:rFonts w:ascii="Century Schoolbook" w:hAnsi="Century Schoolbook"/>
        </w:rPr>
        <w:t xml:space="preserve"> default service provider</w:t>
      </w:r>
      <w:r w:rsidR="002A1DEF" w:rsidRPr="00E32534">
        <w:rPr>
          <w:rFonts w:ascii="Century Schoolbook" w:hAnsi="Century Schoolbook"/>
        </w:rPr>
        <w:t xml:space="preserve"> or </w:t>
      </w:r>
      <w:r w:rsidR="002D55A1" w:rsidRPr="00E32534">
        <w:rPr>
          <w:rFonts w:ascii="Century Schoolbook" w:hAnsi="Century Schoolbook"/>
        </w:rPr>
        <w:t>providers</w:t>
      </w:r>
      <w:r w:rsidR="004802A0" w:rsidRPr="00E32534">
        <w:rPr>
          <w:rFonts w:ascii="Century Schoolbook" w:hAnsi="Century Schoolbook"/>
        </w:rPr>
        <w:t>.</w:t>
      </w:r>
      <w:r w:rsidR="00CB59DC" w:rsidRPr="00E32534">
        <w:rPr>
          <w:rFonts w:ascii="Century Schoolbook" w:hAnsi="Century Schoolbook"/>
        </w:rPr>
        <w:t xml:space="preserve">  The Commission </w:t>
      </w:r>
      <w:r w:rsidR="00744422" w:rsidRPr="00E32534">
        <w:rPr>
          <w:rFonts w:ascii="Century Schoolbook" w:hAnsi="Century Schoolbook"/>
        </w:rPr>
        <w:t>could</w:t>
      </w:r>
      <w:r w:rsidR="00CB59DC" w:rsidRPr="00E32534">
        <w:rPr>
          <w:rFonts w:ascii="Century Schoolbook" w:hAnsi="Century Schoolbook"/>
        </w:rPr>
        <w:t xml:space="preserve"> convene a </w:t>
      </w:r>
      <w:r w:rsidR="005243DE" w:rsidRPr="00E32534">
        <w:rPr>
          <w:rFonts w:ascii="Century Schoolbook" w:hAnsi="Century Schoolbook"/>
        </w:rPr>
        <w:t xml:space="preserve">proceeding to </w:t>
      </w:r>
      <w:r w:rsidR="002D55A1" w:rsidRPr="00E32534">
        <w:rPr>
          <w:rFonts w:ascii="Century Schoolbook" w:hAnsi="Century Schoolbook"/>
        </w:rPr>
        <w:t>determine</w:t>
      </w:r>
      <w:r w:rsidR="00CB59DC" w:rsidRPr="00E32534">
        <w:rPr>
          <w:rFonts w:ascii="Century Schoolbook" w:hAnsi="Century Schoolbook"/>
        </w:rPr>
        <w:t xml:space="preserve"> the</w:t>
      </w:r>
      <w:r w:rsidR="005243DE" w:rsidRPr="00E32534">
        <w:rPr>
          <w:rFonts w:ascii="Century Schoolbook" w:hAnsi="Century Schoolbook"/>
        </w:rPr>
        <w:t xml:space="preserve"> procedures and</w:t>
      </w:r>
      <w:r w:rsidR="00CB59DC" w:rsidRPr="00E32534">
        <w:rPr>
          <w:rFonts w:ascii="Century Schoolbook" w:hAnsi="Century Schoolbook"/>
        </w:rPr>
        <w:t xml:space="preserve"> </w:t>
      </w:r>
      <w:r w:rsidR="002D55A1" w:rsidRPr="00E32534">
        <w:rPr>
          <w:rFonts w:ascii="Century Schoolbook" w:hAnsi="Century Schoolbook"/>
        </w:rPr>
        <w:t>criteria</w:t>
      </w:r>
      <w:r w:rsidR="00CB59DC" w:rsidRPr="00E32534">
        <w:rPr>
          <w:rFonts w:ascii="Century Schoolbook" w:hAnsi="Century Schoolbook"/>
        </w:rPr>
        <w:t xml:space="preserve"> f</w:t>
      </w:r>
      <w:r w:rsidR="002D55A1" w:rsidRPr="00E32534">
        <w:rPr>
          <w:rFonts w:ascii="Century Schoolbook" w:hAnsi="Century Schoolbook"/>
        </w:rPr>
        <w:t>or</w:t>
      </w:r>
      <w:r w:rsidR="00CB59DC" w:rsidRPr="00E32534">
        <w:rPr>
          <w:rFonts w:ascii="Century Schoolbook" w:hAnsi="Century Schoolbook"/>
        </w:rPr>
        <w:t xml:space="preserve"> selecting </w:t>
      </w:r>
      <w:r w:rsidR="002A1DEF" w:rsidRPr="00E32534">
        <w:rPr>
          <w:rFonts w:ascii="Century Schoolbook" w:hAnsi="Century Schoolbook"/>
        </w:rPr>
        <w:t>an</w:t>
      </w:r>
      <w:r w:rsidR="00CB59DC" w:rsidRPr="00E32534">
        <w:rPr>
          <w:rFonts w:ascii="Century Schoolbook" w:hAnsi="Century Schoolbook"/>
        </w:rPr>
        <w:t xml:space="preserve"> alternative </w:t>
      </w:r>
      <w:r w:rsidR="002D55A1" w:rsidRPr="00E32534">
        <w:rPr>
          <w:rFonts w:ascii="Century Schoolbook" w:hAnsi="Century Schoolbook"/>
        </w:rPr>
        <w:t>default service provider</w:t>
      </w:r>
      <w:r w:rsidR="00D449F5" w:rsidRPr="00E32534">
        <w:rPr>
          <w:rFonts w:ascii="Century Schoolbook" w:hAnsi="Century Schoolbook"/>
        </w:rPr>
        <w:t xml:space="preserve"> or </w:t>
      </w:r>
      <w:r w:rsidR="002D55A1" w:rsidRPr="00E32534">
        <w:rPr>
          <w:rFonts w:ascii="Century Schoolbook" w:hAnsi="Century Schoolbook"/>
        </w:rPr>
        <w:t>providers</w:t>
      </w:r>
      <w:r w:rsidR="00AE501E" w:rsidRPr="00E32534">
        <w:rPr>
          <w:rFonts w:ascii="Century Schoolbook" w:hAnsi="Century Schoolbook"/>
        </w:rPr>
        <w:t xml:space="preserve"> through the establishment of a competitive bidding process</w:t>
      </w:r>
      <w:r w:rsidR="00CB59DC" w:rsidRPr="00E32534">
        <w:rPr>
          <w:rFonts w:ascii="Century Schoolbook" w:hAnsi="Century Schoolbook"/>
        </w:rPr>
        <w:t xml:space="preserve"> for all of the EDC affiliates of the Joint Applicants</w:t>
      </w:r>
      <w:r w:rsidR="005243DE" w:rsidRPr="00E32534">
        <w:rPr>
          <w:rFonts w:ascii="Century Schoolbook" w:hAnsi="Century Schoolbook"/>
        </w:rPr>
        <w:t xml:space="preserve"> in Pennsylvania</w:t>
      </w:r>
      <w:r w:rsidR="00CB59DC" w:rsidRPr="00E32534">
        <w:rPr>
          <w:rFonts w:ascii="Century Schoolbook" w:hAnsi="Century Schoolbook"/>
        </w:rPr>
        <w:t xml:space="preserve">.  </w:t>
      </w:r>
      <w:r w:rsidR="00D449F5" w:rsidRPr="00E32534">
        <w:rPr>
          <w:rFonts w:ascii="Century Schoolbook" w:hAnsi="Century Schoolbook"/>
        </w:rPr>
        <w:t xml:space="preserve">This proceeding </w:t>
      </w:r>
      <w:r w:rsidR="00744422" w:rsidRPr="00E32534">
        <w:rPr>
          <w:rFonts w:ascii="Century Schoolbook" w:hAnsi="Century Schoolbook"/>
        </w:rPr>
        <w:t>could</w:t>
      </w:r>
      <w:r w:rsidR="00D449F5" w:rsidRPr="00E32534">
        <w:rPr>
          <w:rFonts w:ascii="Century Schoolbook" w:hAnsi="Century Schoolbook"/>
        </w:rPr>
        <w:t xml:space="preserve"> examine the feasibility of designing a competitive bidding process </w:t>
      </w:r>
      <w:r w:rsidR="002D55A1" w:rsidRPr="00E32534">
        <w:rPr>
          <w:rFonts w:ascii="Century Schoolbook" w:hAnsi="Century Schoolbook"/>
        </w:rPr>
        <w:t>(</w:t>
      </w:r>
      <w:r w:rsidR="00D449F5" w:rsidRPr="00E32534">
        <w:rPr>
          <w:rFonts w:ascii="Century Schoolbook" w:hAnsi="Century Schoolbook"/>
        </w:rPr>
        <w:t>perhaps along the lines of FirstEnergy’s wholesale default service declining block auction</w:t>
      </w:r>
      <w:r w:rsidR="002D55A1" w:rsidRPr="00E32534">
        <w:rPr>
          <w:rFonts w:ascii="Century Schoolbook" w:hAnsi="Century Schoolbook"/>
        </w:rPr>
        <w:t>)</w:t>
      </w:r>
      <w:r w:rsidR="00D449F5" w:rsidRPr="00E32534">
        <w:rPr>
          <w:rFonts w:ascii="Century Schoolbook" w:hAnsi="Century Schoolbook"/>
        </w:rPr>
        <w:t xml:space="preserve"> to select one or more alternative default service providers</w:t>
      </w:r>
      <w:r w:rsidR="007305CB" w:rsidRPr="00E32534">
        <w:rPr>
          <w:rFonts w:ascii="Century Schoolbook" w:hAnsi="Century Schoolbook"/>
        </w:rPr>
        <w:t xml:space="preserve"> through the auctioning of blocks of residential and small commercial customers at the </w:t>
      </w:r>
      <w:r w:rsidR="00744422" w:rsidRPr="00E32534">
        <w:rPr>
          <w:rFonts w:ascii="Century Schoolbook" w:hAnsi="Century Schoolbook"/>
        </w:rPr>
        <w:t xml:space="preserve">lowest </w:t>
      </w:r>
      <w:r w:rsidR="007305CB" w:rsidRPr="00E32534">
        <w:rPr>
          <w:rFonts w:ascii="Century Schoolbook" w:hAnsi="Century Schoolbook"/>
        </w:rPr>
        <w:t>cleared auction price</w:t>
      </w:r>
      <w:r w:rsidR="002E5F8A" w:rsidRPr="00E32534">
        <w:rPr>
          <w:rFonts w:ascii="Century Schoolbook" w:hAnsi="Century Schoolbook"/>
        </w:rPr>
        <w:t>.</w:t>
      </w:r>
      <w:r w:rsidR="000A5201" w:rsidRPr="00E32534">
        <w:rPr>
          <w:rFonts w:ascii="Century Schoolbook" w:hAnsi="Century Schoolbook"/>
        </w:rPr>
        <w:t xml:space="preserve">  </w:t>
      </w:r>
      <w:r w:rsidR="00C00EB6">
        <w:rPr>
          <w:rFonts w:ascii="Century Schoolbook" w:hAnsi="Century Schoolbook"/>
        </w:rPr>
        <w:t>This</w:t>
      </w:r>
      <w:r w:rsidR="000A5201" w:rsidRPr="00E32534">
        <w:rPr>
          <w:rFonts w:ascii="Century Schoolbook" w:hAnsi="Century Schoolbook"/>
        </w:rPr>
        <w:t xml:space="preserve"> proceeding </w:t>
      </w:r>
      <w:r w:rsidR="00744422" w:rsidRPr="00E32534">
        <w:rPr>
          <w:rFonts w:ascii="Century Schoolbook" w:hAnsi="Century Schoolbook"/>
        </w:rPr>
        <w:t>co</w:t>
      </w:r>
      <w:r w:rsidR="00C00EB6">
        <w:rPr>
          <w:rFonts w:ascii="Century Schoolbook" w:hAnsi="Century Schoolbook"/>
        </w:rPr>
        <w:t>u</w:t>
      </w:r>
      <w:r w:rsidR="00744422" w:rsidRPr="00E32534">
        <w:rPr>
          <w:rFonts w:ascii="Century Schoolbook" w:hAnsi="Century Schoolbook"/>
        </w:rPr>
        <w:t>ld</w:t>
      </w:r>
      <w:r w:rsidR="000A5201" w:rsidRPr="00E32534">
        <w:rPr>
          <w:rFonts w:ascii="Century Schoolbook" w:hAnsi="Century Schoolbook"/>
        </w:rPr>
        <w:t xml:space="preserve"> </w:t>
      </w:r>
      <w:r w:rsidR="00C00EB6">
        <w:rPr>
          <w:rFonts w:ascii="Century Schoolbook" w:hAnsi="Century Schoolbook"/>
        </w:rPr>
        <w:t>include</w:t>
      </w:r>
      <w:r w:rsidR="000A5201" w:rsidRPr="00E32534">
        <w:rPr>
          <w:rFonts w:ascii="Century Schoolbook" w:hAnsi="Century Schoolbook"/>
        </w:rPr>
        <w:t xml:space="preserve"> a determination of the appropriate levels of market share caps applied to First Energy affiliates, and appropriate contingency plans for the various auctions</w:t>
      </w:r>
      <w:r w:rsidR="00FB4F44" w:rsidRPr="00E32534">
        <w:rPr>
          <w:rFonts w:ascii="Century Schoolbook" w:hAnsi="Century Schoolbook"/>
        </w:rPr>
        <w:t xml:space="preserve"> and suppliers.</w:t>
      </w:r>
      <w:r w:rsidR="00AE501E" w:rsidRPr="00E32534">
        <w:rPr>
          <w:rFonts w:ascii="Century Schoolbook" w:hAnsi="Century Schoolbook"/>
        </w:rPr>
        <w:t xml:space="preserve">  At the conclusion of this proceeding, Joint Applicants </w:t>
      </w:r>
      <w:r w:rsidR="00744422" w:rsidRPr="00E32534">
        <w:rPr>
          <w:rFonts w:ascii="Century Schoolbook" w:hAnsi="Century Schoolbook"/>
        </w:rPr>
        <w:t>could</w:t>
      </w:r>
      <w:r w:rsidR="00AE501E" w:rsidRPr="00E32534">
        <w:rPr>
          <w:rFonts w:ascii="Century Schoolbook" w:hAnsi="Century Schoolbook"/>
        </w:rPr>
        <w:t xml:space="preserve"> hold</w:t>
      </w:r>
      <w:r w:rsidR="007305CB" w:rsidRPr="00E32534">
        <w:rPr>
          <w:rFonts w:ascii="Century Schoolbook" w:hAnsi="Century Schoolbook"/>
        </w:rPr>
        <w:t xml:space="preserve"> the competitive auction </w:t>
      </w:r>
      <w:r w:rsidR="002E5F8A" w:rsidRPr="00E32534">
        <w:rPr>
          <w:rFonts w:ascii="Century Schoolbook" w:hAnsi="Century Schoolbook"/>
        </w:rPr>
        <w:t>consistent with the approved bid process.</w:t>
      </w:r>
      <w:r w:rsidR="007305CB" w:rsidRPr="00E32534">
        <w:rPr>
          <w:rFonts w:ascii="Century Schoolbook" w:hAnsi="Century Schoolbook"/>
        </w:rPr>
        <w:t xml:space="preserve"> </w:t>
      </w:r>
      <w:r w:rsidR="00D449F5" w:rsidRPr="00E32534">
        <w:rPr>
          <w:rFonts w:ascii="Century Schoolbook" w:hAnsi="Century Schoolbook"/>
        </w:rPr>
        <w:t xml:space="preserve"> To address the </w:t>
      </w:r>
      <w:r w:rsidR="005243DE" w:rsidRPr="00E32534">
        <w:rPr>
          <w:rFonts w:ascii="Century Schoolbook" w:hAnsi="Century Schoolbook"/>
        </w:rPr>
        <w:t>requirement</w:t>
      </w:r>
      <w:r w:rsidR="00D449F5" w:rsidRPr="00E32534">
        <w:rPr>
          <w:rFonts w:ascii="Century Schoolbook" w:hAnsi="Century Schoolbook"/>
        </w:rPr>
        <w:t xml:space="preserve"> </w:t>
      </w:r>
      <w:r w:rsidR="00A12C9E" w:rsidRPr="00E32534">
        <w:rPr>
          <w:rFonts w:ascii="Century Schoolbook" w:hAnsi="Century Schoolbook"/>
        </w:rPr>
        <w:t>in Act 129</w:t>
      </w:r>
      <w:r w:rsidR="00C00EB6">
        <w:rPr>
          <w:rFonts w:ascii="Century Schoolbook" w:hAnsi="Century Schoolbook"/>
        </w:rPr>
        <w:t xml:space="preserve"> of 2008</w:t>
      </w:r>
      <w:r w:rsidR="00A12C9E" w:rsidRPr="00E32534">
        <w:rPr>
          <w:rFonts w:ascii="Century Schoolbook" w:hAnsi="Century Schoolbook"/>
        </w:rPr>
        <w:t xml:space="preserve"> that</w:t>
      </w:r>
      <w:r w:rsidR="005B72D4" w:rsidRPr="00E32534">
        <w:rPr>
          <w:rFonts w:ascii="Century Schoolbook" w:hAnsi="Century Schoolbook"/>
        </w:rPr>
        <w:t xml:space="preserve"> </w:t>
      </w:r>
      <w:r w:rsidR="00A12C9E" w:rsidRPr="00E32534">
        <w:rPr>
          <w:rFonts w:ascii="Century Schoolbook" w:hAnsi="Century Schoolbook"/>
        </w:rPr>
        <w:t>power procured by default service providers include</w:t>
      </w:r>
      <w:r w:rsidR="00D449F5" w:rsidRPr="00E32534">
        <w:rPr>
          <w:rFonts w:ascii="Century Schoolbook" w:hAnsi="Century Schoolbook"/>
        </w:rPr>
        <w:t xml:space="preserve"> a prudent mix </w:t>
      </w:r>
      <w:r w:rsidR="00750527" w:rsidRPr="00E32534">
        <w:rPr>
          <w:rFonts w:ascii="Century Schoolbook" w:hAnsi="Century Schoolbook"/>
        </w:rPr>
        <w:t xml:space="preserve">of </w:t>
      </w:r>
      <w:r w:rsidR="00D449F5" w:rsidRPr="00E32534">
        <w:rPr>
          <w:rFonts w:ascii="Century Schoolbook" w:hAnsi="Century Schoolbook"/>
        </w:rPr>
        <w:t xml:space="preserve">supplies, parties </w:t>
      </w:r>
      <w:r w:rsidR="00744422" w:rsidRPr="00E32534">
        <w:rPr>
          <w:rFonts w:ascii="Century Schoolbook" w:hAnsi="Century Schoolbook"/>
        </w:rPr>
        <w:t>could</w:t>
      </w:r>
      <w:r w:rsidR="00D449F5" w:rsidRPr="00E32534">
        <w:rPr>
          <w:rFonts w:ascii="Century Schoolbook" w:hAnsi="Century Schoolbook"/>
        </w:rPr>
        <w:t xml:space="preserve"> propose modifications to Direct Energy’s </w:t>
      </w:r>
      <w:r w:rsidR="00A12C9E" w:rsidRPr="00E32534">
        <w:rPr>
          <w:rFonts w:ascii="Century Schoolbook" w:hAnsi="Century Schoolbook"/>
        </w:rPr>
        <w:t xml:space="preserve">proposal which called for the alternative default supplier to procure power on the </w:t>
      </w:r>
      <w:r w:rsidR="00D449F5" w:rsidRPr="00E32534">
        <w:rPr>
          <w:rFonts w:ascii="Century Schoolbook" w:hAnsi="Century Schoolbook"/>
        </w:rPr>
        <w:t xml:space="preserve">spot </w:t>
      </w:r>
      <w:r w:rsidR="005B72D4" w:rsidRPr="00E32534">
        <w:rPr>
          <w:rFonts w:ascii="Century Schoolbook" w:hAnsi="Century Schoolbook"/>
        </w:rPr>
        <w:t>market</w:t>
      </w:r>
      <w:r w:rsidR="00D449F5" w:rsidRPr="00E32534">
        <w:rPr>
          <w:rFonts w:ascii="Century Schoolbook" w:hAnsi="Century Schoolbook"/>
        </w:rPr>
        <w:t xml:space="preserve">.  </w:t>
      </w:r>
      <w:r w:rsidR="00CB59DC" w:rsidRPr="00E32534">
        <w:rPr>
          <w:rFonts w:ascii="Century Schoolbook" w:hAnsi="Century Schoolbook"/>
        </w:rPr>
        <w:t xml:space="preserve">The alternative </w:t>
      </w:r>
      <w:r w:rsidR="00FB4FD2" w:rsidRPr="00E32534">
        <w:rPr>
          <w:rFonts w:ascii="Century Schoolbook" w:hAnsi="Century Schoolbook"/>
        </w:rPr>
        <w:t>default supply provider or providers</w:t>
      </w:r>
      <w:r w:rsidR="00CB59DC" w:rsidRPr="00E32534">
        <w:rPr>
          <w:rFonts w:ascii="Century Schoolbook" w:hAnsi="Century Schoolbook"/>
        </w:rPr>
        <w:t xml:space="preserve"> </w:t>
      </w:r>
      <w:r w:rsidR="00FB4FD2" w:rsidRPr="00E32534">
        <w:rPr>
          <w:rFonts w:ascii="Century Schoolbook" w:hAnsi="Century Schoolbook"/>
        </w:rPr>
        <w:t xml:space="preserve">ultimately selected </w:t>
      </w:r>
      <w:r w:rsidR="007D168D" w:rsidRPr="00E32534">
        <w:rPr>
          <w:rFonts w:ascii="Century Schoolbook" w:hAnsi="Century Schoolbook"/>
        </w:rPr>
        <w:t>would ideally</w:t>
      </w:r>
      <w:r w:rsidR="00CB59DC" w:rsidRPr="00E32534">
        <w:rPr>
          <w:rFonts w:ascii="Century Schoolbook" w:hAnsi="Century Schoolbook"/>
        </w:rPr>
        <w:t xml:space="preserve"> not take over responsibility for providing </w:t>
      </w:r>
      <w:r w:rsidR="00FB4FD2" w:rsidRPr="00E32534">
        <w:rPr>
          <w:rFonts w:ascii="Century Schoolbook" w:hAnsi="Century Schoolbook"/>
        </w:rPr>
        <w:t>default</w:t>
      </w:r>
      <w:r w:rsidR="00CB59DC" w:rsidRPr="00E32534">
        <w:rPr>
          <w:rFonts w:ascii="Century Schoolbook" w:hAnsi="Century Schoolbook"/>
        </w:rPr>
        <w:t xml:space="preserve"> service </w:t>
      </w:r>
      <w:r w:rsidR="00EB62D8" w:rsidRPr="00E32534">
        <w:rPr>
          <w:rFonts w:ascii="Century Schoolbook" w:hAnsi="Century Schoolbook"/>
        </w:rPr>
        <w:t xml:space="preserve">in the FirstEnergy-affiliated EDC service territory </w:t>
      </w:r>
      <w:r w:rsidR="00CB59DC" w:rsidRPr="00E32534">
        <w:rPr>
          <w:rFonts w:ascii="Century Schoolbook" w:hAnsi="Century Schoolbook"/>
        </w:rPr>
        <w:t xml:space="preserve">until the </w:t>
      </w:r>
      <w:r w:rsidR="00F24300" w:rsidRPr="00E32534">
        <w:rPr>
          <w:rFonts w:ascii="Century Schoolbook" w:hAnsi="Century Schoolbook"/>
        </w:rPr>
        <w:t xml:space="preserve">completion of the </w:t>
      </w:r>
      <w:r w:rsidR="00CB59DC" w:rsidRPr="00E32534">
        <w:rPr>
          <w:rFonts w:ascii="Century Schoolbook" w:hAnsi="Century Schoolbook"/>
        </w:rPr>
        <w:t>existing default service procurement period</w:t>
      </w:r>
      <w:r w:rsidR="00F24300" w:rsidRPr="00E32534">
        <w:rPr>
          <w:rFonts w:ascii="Century Schoolbook" w:hAnsi="Century Schoolbook"/>
        </w:rPr>
        <w:t xml:space="preserve"> for the EDC affiliate,</w:t>
      </w:r>
      <w:r w:rsidR="000B6FCD" w:rsidRPr="00E32534">
        <w:rPr>
          <w:rFonts w:ascii="Century Schoolbook" w:hAnsi="Century Schoolbook"/>
        </w:rPr>
        <w:t xml:space="preserve"> but no later than </w:t>
      </w:r>
      <w:r w:rsidR="00CB59DC" w:rsidRPr="00E32534">
        <w:rPr>
          <w:rFonts w:ascii="Century Schoolbook" w:hAnsi="Century Schoolbook"/>
        </w:rPr>
        <w:t>Ju</w:t>
      </w:r>
      <w:r w:rsidR="0025195E" w:rsidRPr="00E32534">
        <w:rPr>
          <w:rFonts w:ascii="Century Schoolbook" w:hAnsi="Century Schoolbook"/>
        </w:rPr>
        <w:t>ne</w:t>
      </w:r>
      <w:r w:rsidR="00CB59DC" w:rsidRPr="00E32534">
        <w:rPr>
          <w:rFonts w:ascii="Century Schoolbook" w:hAnsi="Century Schoolbook"/>
        </w:rPr>
        <w:t xml:space="preserve"> 1, 2013</w:t>
      </w:r>
      <w:r w:rsidR="00286EA3" w:rsidRPr="00E32534">
        <w:rPr>
          <w:rFonts w:ascii="Century Schoolbook" w:hAnsi="Century Schoolbook"/>
        </w:rPr>
        <w:t>.</w:t>
      </w:r>
    </w:p>
    <w:p w:rsidR="005E3114" w:rsidRPr="00E32534" w:rsidRDefault="005E3114" w:rsidP="00AE556A">
      <w:pPr>
        <w:rPr>
          <w:rFonts w:ascii="Century Schoolbook" w:hAnsi="Century Schoolbook"/>
        </w:rPr>
      </w:pPr>
    </w:p>
    <w:p w:rsidR="0054238A" w:rsidRPr="00E32534" w:rsidRDefault="004802A0" w:rsidP="00AE556A">
      <w:pPr>
        <w:rPr>
          <w:rFonts w:ascii="Century Schoolbook" w:hAnsi="Century Schoolbook"/>
        </w:rPr>
      </w:pPr>
      <w:r w:rsidRPr="00E32534">
        <w:rPr>
          <w:rFonts w:ascii="Century Schoolbook" w:hAnsi="Century Schoolbook"/>
        </w:rPr>
        <w:tab/>
      </w:r>
      <w:r w:rsidR="003000D1" w:rsidRPr="00C00EB6">
        <w:rPr>
          <w:rFonts w:ascii="Century Schoolbook" w:hAnsi="Century Schoolbook"/>
          <w:i/>
        </w:rPr>
        <w:t>Second</w:t>
      </w:r>
      <w:r w:rsidR="00BE35DE" w:rsidRPr="00E32534">
        <w:rPr>
          <w:rFonts w:ascii="Century Schoolbook" w:hAnsi="Century Schoolbook"/>
        </w:rPr>
        <w:t xml:space="preserve">, </w:t>
      </w:r>
      <w:r w:rsidR="00791D7A" w:rsidRPr="00E32534">
        <w:rPr>
          <w:rFonts w:ascii="Century Schoolbook" w:hAnsi="Century Schoolbook"/>
        </w:rPr>
        <w:t>while we</w:t>
      </w:r>
      <w:r w:rsidR="00A20035" w:rsidRPr="00E32534">
        <w:rPr>
          <w:rFonts w:ascii="Century Schoolbook" w:hAnsi="Century Schoolbook"/>
        </w:rPr>
        <w:t xml:space="preserve"> </w:t>
      </w:r>
      <w:r w:rsidR="00C00EB6">
        <w:rPr>
          <w:rFonts w:ascii="Century Schoolbook" w:hAnsi="Century Schoolbook"/>
        </w:rPr>
        <w:t>need</w:t>
      </w:r>
      <w:r w:rsidR="00791D7A" w:rsidRPr="00E32534">
        <w:rPr>
          <w:rFonts w:ascii="Century Schoolbook" w:hAnsi="Century Schoolbook"/>
        </w:rPr>
        <w:t xml:space="preserve"> not require </w:t>
      </w:r>
      <w:r w:rsidR="00BE35DE" w:rsidRPr="00E32534">
        <w:rPr>
          <w:rFonts w:ascii="Century Schoolbook" w:hAnsi="Century Schoolbook"/>
        </w:rPr>
        <w:t xml:space="preserve">FirstEnergy to establish </w:t>
      </w:r>
      <w:r w:rsidR="009C5298" w:rsidRPr="00E32534">
        <w:rPr>
          <w:rFonts w:ascii="Century Schoolbook" w:hAnsi="Century Schoolbook"/>
        </w:rPr>
        <w:t>a new unbundled</w:t>
      </w:r>
      <w:r w:rsidR="00791D7A" w:rsidRPr="00E32534">
        <w:rPr>
          <w:rFonts w:ascii="Century Schoolbook" w:hAnsi="Century Schoolbook"/>
        </w:rPr>
        <w:t xml:space="preserve"> affil</w:t>
      </w:r>
      <w:r w:rsidR="009C5298" w:rsidRPr="00E32534">
        <w:rPr>
          <w:rFonts w:ascii="Century Schoolbook" w:hAnsi="Century Schoolbook"/>
        </w:rPr>
        <w:t xml:space="preserve">iated entity to provide the billing, collections, call center, </w:t>
      </w:r>
      <w:r w:rsidR="00C83066" w:rsidRPr="00E32534">
        <w:rPr>
          <w:rFonts w:ascii="Century Schoolbook" w:hAnsi="Century Schoolbook"/>
        </w:rPr>
        <w:t>electronic data interchange</w:t>
      </w:r>
      <w:r w:rsidR="00F8436C" w:rsidRPr="00E32534">
        <w:rPr>
          <w:rFonts w:ascii="Century Schoolbook" w:hAnsi="Century Schoolbook"/>
        </w:rPr>
        <w:t xml:space="preserve"> (</w:t>
      </w:r>
      <w:r w:rsidR="009C5298" w:rsidRPr="00E32534">
        <w:rPr>
          <w:rFonts w:ascii="Century Schoolbook" w:hAnsi="Century Schoolbook"/>
        </w:rPr>
        <w:t>EDI</w:t>
      </w:r>
      <w:r w:rsidR="00F8436C" w:rsidRPr="00E32534">
        <w:rPr>
          <w:rFonts w:ascii="Century Schoolbook" w:hAnsi="Century Schoolbook"/>
        </w:rPr>
        <w:t>)</w:t>
      </w:r>
      <w:r w:rsidR="009C5298" w:rsidRPr="00E32534">
        <w:rPr>
          <w:rFonts w:ascii="Century Schoolbook" w:hAnsi="Century Schoolbook"/>
        </w:rPr>
        <w:t xml:space="preserve"> and other</w:t>
      </w:r>
      <w:r w:rsidR="002B56FA" w:rsidRPr="00E32534">
        <w:rPr>
          <w:rFonts w:ascii="Century Schoolbook" w:hAnsi="Century Schoolbook"/>
        </w:rPr>
        <w:t xml:space="preserve"> related</w:t>
      </w:r>
      <w:r w:rsidR="009C5298" w:rsidRPr="00E32534">
        <w:rPr>
          <w:rFonts w:ascii="Century Schoolbook" w:hAnsi="Century Schoolbook"/>
        </w:rPr>
        <w:t xml:space="preserve"> customer service functions on a competitively neutral basis</w:t>
      </w:r>
      <w:r w:rsidR="00A20035" w:rsidRPr="00E32534">
        <w:rPr>
          <w:rFonts w:ascii="Century Schoolbook" w:hAnsi="Century Schoolbook"/>
        </w:rPr>
        <w:t xml:space="preserve"> at this time</w:t>
      </w:r>
      <w:r w:rsidR="00BE35DE" w:rsidRPr="00E32534">
        <w:rPr>
          <w:rFonts w:ascii="Century Schoolbook" w:hAnsi="Century Schoolbook"/>
        </w:rPr>
        <w:t xml:space="preserve">, </w:t>
      </w:r>
      <w:r w:rsidR="00791D7A" w:rsidRPr="00E32534">
        <w:rPr>
          <w:rFonts w:ascii="Century Schoolbook" w:hAnsi="Century Schoolbook"/>
        </w:rPr>
        <w:t>we sh</w:t>
      </w:r>
      <w:r w:rsidR="00A20035" w:rsidRPr="00E32534">
        <w:rPr>
          <w:rFonts w:ascii="Century Schoolbook" w:hAnsi="Century Schoolbook"/>
        </w:rPr>
        <w:t>ould have</w:t>
      </w:r>
      <w:r w:rsidR="00791D7A" w:rsidRPr="00E32534">
        <w:rPr>
          <w:rFonts w:ascii="Century Schoolbook" w:hAnsi="Century Schoolbook"/>
        </w:rPr>
        <w:t xml:space="preserve"> require</w:t>
      </w:r>
      <w:r w:rsidR="00A20035" w:rsidRPr="00E32534">
        <w:rPr>
          <w:rFonts w:ascii="Century Schoolbook" w:hAnsi="Century Schoolbook"/>
        </w:rPr>
        <w:t>d</w:t>
      </w:r>
      <w:r w:rsidR="00791D7A" w:rsidRPr="00E32534">
        <w:rPr>
          <w:rFonts w:ascii="Century Schoolbook" w:hAnsi="Century Schoolbook"/>
        </w:rPr>
        <w:t xml:space="preserve"> FirstEnergy to participate in the efforts of PPL Electric Utilities</w:t>
      </w:r>
      <w:r w:rsidR="000E7CF1" w:rsidRPr="00E32534">
        <w:rPr>
          <w:rFonts w:ascii="Century Schoolbook" w:hAnsi="Century Schoolbook"/>
        </w:rPr>
        <w:t xml:space="preserve"> to design and implement a</w:t>
      </w:r>
      <w:r w:rsidR="00F7593F" w:rsidRPr="00E32534">
        <w:rPr>
          <w:rFonts w:ascii="Century Schoolbook" w:hAnsi="Century Schoolbook"/>
        </w:rPr>
        <w:t>n</w:t>
      </w:r>
      <w:r w:rsidR="000E7CF1" w:rsidRPr="00E32534">
        <w:rPr>
          <w:rFonts w:ascii="Century Schoolbook" w:hAnsi="Century Schoolbook"/>
        </w:rPr>
        <w:t xml:space="preserve"> EGS consolidated billing pr</w:t>
      </w:r>
      <w:r w:rsidR="00A20035" w:rsidRPr="00E32534">
        <w:rPr>
          <w:rFonts w:ascii="Century Schoolbook" w:hAnsi="Century Schoolbook"/>
        </w:rPr>
        <w:t>ocess.</w:t>
      </w:r>
      <w:r w:rsidR="00BC11B0" w:rsidRPr="00E32534">
        <w:rPr>
          <w:rFonts w:ascii="Century Schoolbook" w:hAnsi="Century Schoolbook"/>
        </w:rPr>
        <w:t xml:space="preserve">  It is not clear that such a billing affiliate would be any more </w:t>
      </w:r>
      <w:r w:rsidR="00C00EB6">
        <w:rPr>
          <w:rFonts w:ascii="Century Schoolbook" w:hAnsi="Century Schoolbook"/>
        </w:rPr>
        <w:t xml:space="preserve">responsive to EGS’ needs.  </w:t>
      </w:r>
      <w:r w:rsidR="00BC11B0" w:rsidRPr="00E32534">
        <w:rPr>
          <w:rFonts w:ascii="Century Schoolbook" w:hAnsi="Century Schoolbook"/>
        </w:rPr>
        <w:t>Instead, under EGS consolidated billing</w:t>
      </w:r>
      <w:r w:rsidR="00A20035" w:rsidRPr="00E32534">
        <w:rPr>
          <w:rFonts w:ascii="Century Schoolbook" w:hAnsi="Century Schoolbook"/>
        </w:rPr>
        <w:t>, EGSs could</w:t>
      </w:r>
      <w:r w:rsidR="00BC11B0" w:rsidRPr="00E32534">
        <w:rPr>
          <w:rFonts w:ascii="Century Schoolbook" w:hAnsi="Century Schoolbook"/>
        </w:rPr>
        <w:t xml:space="preserve"> optimally address their desire</w:t>
      </w:r>
      <w:r w:rsidR="000E7CF1" w:rsidRPr="00E32534">
        <w:rPr>
          <w:rFonts w:ascii="Century Schoolbook" w:hAnsi="Century Schoolbook"/>
        </w:rPr>
        <w:t xml:space="preserve"> to provide billi</w:t>
      </w:r>
      <w:r w:rsidR="00BC11B0" w:rsidRPr="00E32534">
        <w:rPr>
          <w:rFonts w:ascii="Century Schoolbook" w:hAnsi="Century Schoolbook"/>
        </w:rPr>
        <w:t>ng services that best meet the</w:t>
      </w:r>
      <w:r w:rsidR="000E7CF1" w:rsidRPr="00E32534">
        <w:rPr>
          <w:rFonts w:ascii="Century Schoolbook" w:hAnsi="Century Schoolbook"/>
        </w:rPr>
        <w:t xml:space="preserve"> product and marketing needs</w:t>
      </w:r>
      <w:r w:rsidR="00BC11B0" w:rsidRPr="00E32534">
        <w:rPr>
          <w:rFonts w:ascii="Century Schoolbook" w:hAnsi="Century Schoolbook"/>
        </w:rPr>
        <w:t xml:space="preserve"> of themselves and their customers</w:t>
      </w:r>
      <w:r w:rsidR="000E7CF1" w:rsidRPr="00E32534">
        <w:rPr>
          <w:rFonts w:ascii="Century Schoolbook" w:hAnsi="Century Schoolbook"/>
        </w:rPr>
        <w:t xml:space="preserve">.  </w:t>
      </w:r>
      <w:r w:rsidR="00951F79" w:rsidRPr="00951F79">
        <w:rPr>
          <w:rFonts w:ascii="Century Schoolbook" w:hAnsi="Century Schoolbook"/>
        </w:rPr>
        <w:t>The Committee Handling Activities for Retail Growth in Electricity (</w:t>
      </w:r>
      <w:r w:rsidR="000E7CF1" w:rsidRPr="00951F79">
        <w:rPr>
          <w:rFonts w:ascii="Century Schoolbook" w:hAnsi="Century Schoolbook"/>
        </w:rPr>
        <w:t>CHARGE</w:t>
      </w:r>
      <w:r w:rsidR="00951F79" w:rsidRPr="00951F79">
        <w:rPr>
          <w:rFonts w:ascii="Century Schoolbook" w:hAnsi="Century Schoolbook"/>
        </w:rPr>
        <w:t>)</w:t>
      </w:r>
      <w:r w:rsidR="000E7CF1" w:rsidRPr="00E32534">
        <w:rPr>
          <w:rFonts w:ascii="Century Schoolbook" w:hAnsi="Century Schoolbook"/>
        </w:rPr>
        <w:t>, or a separate</w:t>
      </w:r>
      <w:r w:rsidR="007B0AF3" w:rsidRPr="00E32534">
        <w:rPr>
          <w:rFonts w:ascii="Century Schoolbook" w:hAnsi="Century Schoolbook"/>
        </w:rPr>
        <w:t xml:space="preserve"> working </w:t>
      </w:r>
      <w:r w:rsidR="00C00EB6">
        <w:rPr>
          <w:rFonts w:ascii="Century Schoolbook" w:hAnsi="Century Schoolbook"/>
        </w:rPr>
        <w:t xml:space="preserve">group </w:t>
      </w:r>
      <w:r w:rsidR="007B0AF3" w:rsidRPr="00E32534">
        <w:rPr>
          <w:rFonts w:ascii="Century Schoolbook" w:hAnsi="Century Schoolbook"/>
        </w:rPr>
        <w:t xml:space="preserve">established under CHARGE, </w:t>
      </w:r>
      <w:r w:rsidR="00A20035" w:rsidRPr="00E32534">
        <w:rPr>
          <w:rFonts w:ascii="Century Schoolbook" w:hAnsi="Century Schoolbook"/>
        </w:rPr>
        <w:t>should have</w:t>
      </w:r>
      <w:r w:rsidR="007B0AF3" w:rsidRPr="00E32534">
        <w:rPr>
          <w:rFonts w:ascii="Century Schoolbook" w:hAnsi="Century Schoolbook"/>
        </w:rPr>
        <w:t xml:space="preserve"> </w:t>
      </w:r>
      <w:r w:rsidR="00A20035" w:rsidRPr="00E32534">
        <w:rPr>
          <w:rFonts w:ascii="Century Schoolbook" w:hAnsi="Century Schoolbook"/>
        </w:rPr>
        <w:t>be</w:t>
      </w:r>
      <w:r w:rsidR="00BC11B0" w:rsidRPr="00E32534">
        <w:rPr>
          <w:rFonts w:ascii="Century Schoolbook" w:hAnsi="Century Schoolbook"/>
        </w:rPr>
        <w:t>en</w:t>
      </w:r>
      <w:r w:rsidR="00A20035" w:rsidRPr="00E32534">
        <w:rPr>
          <w:rFonts w:ascii="Century Schoolbook" w:hAnsi="Century Schoolbook"/>
        </w:rPr>
        <w:t xml:space="preserve"> required to </w:t>
      </w:r>
      <w:r w:rsidR="007B0AF3" w:rsidRPr="00E32534">
        <w:rPr>
          <w:rFonts w:ascii="Century Schoolbook" w:hAnsi="Century Schoolbook"/>
        </w:rPr>
        <w:t xml:space="preserve">establish an appropriate process and timeline to </w:t>
      </w:r>
      <w:r w:rsidR="006F0B58" w:rsidRPr="00E32534">
        <w:rPr>
          <w:rFonts w:ascii="Century Schoolbook" w:hAnsi="Century Schoolbook"/>
        </w:rPr>
        <w:t>establish standard</w:t>
      </w:r>
      <w:r w:rsidR="00C00EB6">
        <w:rPr>
          <w:rFonts w:ascii="Century Schoolbook" w:hAnsi="Century Schoolbook"/>
        </w:rPr>
        <w:t>s</w:t>
      </w:r>
      <w:r w:rsidR="006F0B58" w:rsidRPr="00E32534">
        <w:rPr>
          <w:rFonts w:ascii="Century Schoolbook" w:hAnsi="Century Schoolbook"/>
        </w:rPr>
        <w:t xml:space="preserve"> for this billing mechanism</w:t>
      </w:r>
      <w:r w:rsidR="007B0AF3" w:rsidRPr="00E32534">
        <w:rPr>
          <w:rFonts w:ascii="Century Schoolbook" w:hAnsi="Century Schoolbook"/>
        </w:rPr>
        <w:t>.</w:t>
      </w:r>
      <w:r w:rsidR="006F0B58" w:rsidRPr="00E32534">
        <w:rPr>
          <w:rFonts w:ascii="Century Schoolbook" w:hAnsi="Century Schoolbook"/>
        </w:rPr>
        <w:t xml:space="preserve">  FirstEnergy should have been directed to accommodate EGS consolidated billing on a manual basis when requested initially, to develop statewide EDI</w:t>
      </w:r>
      <w:r w:rsidR="00C00EB6">
        <w:rPr>
          <w:rFonts w:ascii="Century Schoolbook" w:hAnsi="Century Schoolbook"/>
        </w:rPr>
        <w:t>-</w:t>
      </w:r>
      <w:r w:rsidR="006F0B58" w:rsidRPr="00E32534">
        <w:rPr>
          <w:rFonts w:ascii="Century Schoolbook" w:hAnsi="Century Schoolbook"/>
        </w:rPr>
        <w:t xml:space="preserve">based EGS consolidated billing standards, and </w:t>
      </w:r>
      <w:r w:rsidR="00C00EB6">
        <w:rPr>
          <w:rFonts w:ascii="Century Schoolbook" w:hAnsi="Century Schoolbook"/>
        </w:rPr>
        <w:t xml:space="preserve">to </w:t>
      </w:r>
      <w:r w:rsidR="006F0B58" w:rsidRPr="00E32534">
        <w:rPr>
          <w:rFonts w:ascii="Century Schoolbook" w:hAnsi="Century Schoolbook"/>
        </w:rPr>
        <w:t xml:space="preserve">implement these standards when economically efficient to do so.  </w:t>
      </w:r>
    </w:p>
    <w:p w:rsidR="009C5298" w:rsidRPr="00E32534" w:rsidRDefault="009C5298" w:rsidP="00AE556A">
      <w:pPr>
        <w:rPr>
          <w:rFonts w:ascii="Century Schoolbook" w:hAnsi="Century Schoolbook"/>
        </w:rPr>
      </w:pPr>
    </w:p>
    <w:p w:rsidR="009C5298" w:rsidRPr="00E32534" w:rsidRDefault="009C5298" w:rsidP="00AE556A">
      <w:pPr>
        <w:rPr>
          <w:rFonts w:ascii="Century Schoolbook" w:hAnsi="Century Schoolbook"/>
        </w:rPr>
      </w:pPr>
      <w:r w:rsidRPr="00E32534">
        <w:rPr>
          <w:rFonts w:ascii="Century Schoolbook" w:hAnsi="Century Schoolbook"/>
        </w:rPr>
        <w:tab/>
      </w:r>
      <w:r w:rsidR="003000D1" w:rsidRPr="00C00EB6">
        <w:rPr>
          <w:rFonts w:ascii="Century Schoolbook" w:hAnsi="Century Schoolbook"/>
          <w:i/>
        </w:rPr>
        <w:t>Third</w:t>
      </w:r>
      <w:r w:rsidRPr="00E32534">
        <w:rPr>
          <w:rFonts w:ascii="Century Schoolbook" w:hAnsi="Century Schoolbook"/>
        </w:rPr>
        <w:t xml:space="preserve">, given the </w:t>
      </w:r>
      <w:r w:rsidR="00BE35DE" w:rsidRPr="00E32534">
        <w:rPr>
          <w:rFonts w:ascii="Century Schoolbook" w:hAnsi="Century Schoolbook"/>
        </w:rPr>
        <w:t xml:space="preserve">evidence of the potential </w:t>
      </w:r>
      <w:r w:rsidR="00C00EB6">
        <w:rPr>
          <w:rFonts w:ascii="Century Schoolbook" w:hAnsi="Century Schoolbook"/>
        </w:rPr>
        <w:t>for</w:t>
      </w:r>
      <w:r w:rsidR="00BE35DE" w:rsidRPr="00E32534">
        <w:rPr>
          <w:rFonts w:ascii="Century Schoolbook" w:hAnsi="Century Schoolbook"/>
        </w:rPr>
        <w:t xml:space="preserve"> FirstEnergy to exploit existing PJM market deficiencies to exercise wholesale market power,</w:t>
      </w:r>
      <w:r w:rsidR="00592D61" w:rsidRPr="00E32534">
        <w:rPr>
          <w:rFonts w:ascii="Century Schoolbook" w:hAnsi="Century Schoolbook"/>
        </w:rPr>
        <w:t xml:space="preserve"> </w:t>
      </w:r>
      <w:r w:rsidRPr="00E32534">
        <w:rPr>
          <w:rFonts w:ascii="Century Schoolbook" w:hAnsi="Century Schoolbook"/>
        </w:rPr>
        <w:t>FirstE</w:t>
      </w:r>
      <w:r w:rsidR="00E051C8" w:rsidRPr="00E32534">
        <w:rPr>
          <w:rFonts w:ascii="Century Schoolbook" w:hAnsi="Century Schoolbook"/>
        </w:rPr>
        <w:t xml:space="preserve">nergy </w:t>
      </w:r>
      <w:r w:rsidR="00254752" w:rsidRPr="00E32534">
        <w:rPr>
          <w:rFonts w:ascii="Century Schoolbook" w:hAnsi="Century Schoolbook"/>
        </w:rPr>
        <w:t>should have been</w:t>
      </w:r>
      <w:r w:rsidR="00E051C8" w:rsidRPr="00E32534">
        <w:rPr>
          <w:rFonts w:ascii="Century Schoolbook" w:hAnsi="Century Schoolbook"/>
        </w:rPr>
        <w:t xml:space="preserve"> required to divest</w:t>
      </w:r>
      <w:r w:rsidR="00BE35DE" w:rsidRPr="00E32534">
        <w:rPr>
          <w:rFonts w:ascii="Century Schoolbook" w:hAnsi="Century Schoolbook"/>
        </w:rPr>
        <w:t xml:space="preserve"> </w:t>
      </w:r>
      <w:r w:rsidRPr="00E32534">
        <w:rPr>
          <w:rFonts w:ascii="Century Schoolbook" w:hAnsi="Century Schoolbook"/>
        </w:rPr>
        <w:t>generation</w:t>
      </w:r>
      <w:r w:rsidR="00E051C8" w:rsidRPr="00E32534">
        <w:rPr>
          <w:rFonts w:ascii="Century Schoolbook" w:hAnsi="Century Schoolbook"/>
        </w:rPr>
        <w:t xml:space="preserve"> assets</w:t>
      </w:r>
      <w:r w:rsidR="004E1D79" w:rsidRPr="00E32534">
        <w:rPr>
          <w:rFonts w:ascii="Century Schoolbook" w:hAnsi="Century Schoolbook"/>
        </w:rPr>
        <w:t xml:space="preserve"> in such a fashion as to mitigate any increase in the HHI in PJM markets.  </w:t>
      </w:r>
      <w:r w:rsidR="00BE35DE" w:rsidRPr="00E32534">
        <w:rPr>
          <w:rFonts w:ascii="Century Schoolbook" w:hAnsi="Century Schoolbook"/>
        </w:rPr>
        <w:t>Joint Applicants</w:t>
      </w:r>
      <w:r w:rsidR="004E1D79" w:rsidRPr="00E32534">
        <w:rPr>
          <w:rFonts w:ascii="Century Schoolbook" w:hAnsi="Century Schoolbook"/>
        </w:rPr>
        <w:t xml:space="preserve"> </w:t>
      </w:r>
      <w:r w:rsidR="00254752" w:rsidRPr="00E32534">
        <w:rPr>
          <w:rFonts w:ascii="Century Schoolbook" w:hAnsi="Century Schoolbook"/>
        </w:rPr>
        <w:t>should have been required to file with the Commission a</w:t>
      </w:r>
      <w:r w:rsidR="004E1D79" w:rsidRPr="00E32534">
        <w:rPr>
          <w:rFonts w:ascii="Century Schoolbook" w:hAnsi="Century Schoolbook"/>
        </w:rPr>
        <w:t xml:space="preserve"> proposed generation divestiture plan within 90 days of th</w:t>
      </w:r>
      <w:r w:rsidR="004F2AAB" w:rsidRPr="00E32534">
        <w:rPr>
          <w:rFonts w:ascii="Century Schoolbook" w:hAnsi="Century Schoolbook"/>
        </w:rPr>
        <w:t>e effective date of this Order.</w:t>
      </w:r>
      <w:r w:rsidR="001236A5" w:rsidRPr="00E32534">
        <w:rPr>
          <w:rFonts w:ascii="Century Schoolbook" w:hAnsi="Century Schoolbook"/>
        </w:rPr>
        <w:t xml:space="preserve">  FirstEnergy </w:t>
      </w:r>
      <w:r w:rsidR="00254752" w:rsidRPr="00E32534">
        <w:rPr>
          <w:rFonts w:ascii="Century Schoolbook" w:hAnsi="Century Schoolbook"/>
        </w:rPr>
        <w:t>should not have been</w:t>
      </w:r>
      <w:r w:rsidR="001236A5" w:rsidRPr="00E32534">
        <w:rPr>
          <w:rFonts w:ascii="Century Schoolbook" w:hAnsi="Century Schoolbook"/>
        </w:rPr>
        <w:t xml:space="preserve"> permitted to close the merger until</w:t>
      </w:r>
      <w:r w:rsidR="00254752" w:rsidRPr="00E32534">
        <w:rPr>
          <w:rFonts w:ascii="Century Schoolbook" w:hAnsi="Century Schoolbook"/>
        </w:rPr>
        <w:t xml:space="preserve"> the Commission had made</w:t>
      </w:r>
      <w:r w:rsidR="001236A5" w:rsidRPr="00E32534">
        <w:rPr>
          <w:rFonts w:ascii="Century Schoolbook" w:hAnsi="Century Schoolbook"/>
        </w:rPr>
        <w:t xml:space="preserve"> a determination on the</w:t>
      </w:r>
      <w:r w:rsidR="004F2AAB" w:rsidRPr="00E32534">
        <w:rPr>
          <w:rFonts w:ascii="Century Schoolbook" w:hAnsi="Century Schoolbook"/>
        </w:rPr>
        <w:t xml:space="preserve"> compliance with </w:t>
      </w:r>
      <w:r w:rsidR="00254752" w:rsidRPr="00E32534">
        <w:rPr>
          <w:rFonts w:ascii="Century Schoolbook" w:hAnsi="Century Schoolbook"/>
        </w:rPr>
        <w:t>a</w:t>
      </w:r>
      <w:r w:rsidR="00E051C8" w:rsidRPr="00E32534">
        <w:rPr>
          <w:rFonts w:ascii="Century Schoolbook" w:hAnsi="Century Schoolbook"/>
        </w:rPr>
        <w:t xml:space="preserve"> </w:t>
      </w:r>
      <w:r w:rsidR="004F2AAB" w:rsidRPr="00E32534">
        <w:rPr>
          <w:rFonts w:ascii="Century Schoolbook" w:hAnsi="Century Schoolbook"/>
        </w:rPr>
        <w:t>filed divestiture compliance plan</w:t>
      </w:r>
      <w:r w:rsidR="001236A5" w:rsidRPr="00E32534">
        <w:rPr>
          <w:rFonts w:ascii="Century Schoolbook" w:hAnsi="Century Schoolbook"/>
        </w:rPr>
        <w:t>.</w:t>
      </w:r>
      <w:r w:rsidR="00C00EB6">
        <w:rPr>
          <w:rFonts w:ascii="Century Schoolbook" w:hAnsi="Century Schoolbook"/>
        </w:rPr>
        <w:t xml:space="preserve">  The prohibition against divestiture of facilities in section 2804(5)</w:t>
      </w:r>
      <w:r w:rsidR="0014779D">
        <w:rPr>
          <w:rFonts w:ascii="Century Schoolbook" w:hAnsi="Century Schoolbook"/>
        </w:rPr>
        <w:t>, applicable to electric restructuring, is inapplicable to a merger proceeding where sections 1103(a) and 2811(e) are paramount.</w:t>
      </w:r>
    </w:p>
    <w:p w:rsidR="009C5298" w:rsidRPr="00E32534" w:rsidRDefault="009C5298" w:rsidP="00AE556A">
      <w:pPr>
        <w:rPr>
          <w:rFonts w:ascii="Century Schoolbook" w:hAnsi="Century Schoolbook"/>
        </w:rPr>
      </w:pPr>
    </w:p>
    <w:p w:rsidR="002340FD" w:rsidRPr="00E32534" w:rsidRDefault="009C5298" w:rsidP="003C44BB">
      <w:pPr>
        <w:rPr>
          <w:rFonts w:ascii="Century Schoolbook" w:hAnsi="Century Schoolbook"/>
        </w:rPr>
      </w:pPr>
      <w:r w:rsidRPr="00E32534">
        <w:rPr>
          <w:rFonts w:ascii="Century Schoolbook" w:hAnsi="Century Schoolbook"/>
        </w:rPr>
        <w:tab/>
      </w:r>
      <w:r w:rsidR="00720247" w:rsidRPr="00E32534">
        <w:rPr>
          <w:rFonts w:ascii="Century Schoolbook" w:hAnsi="Century Schoolbook"/>
        </w:rPr>
        <w:t>In retrospect, this Commission should likely have requested the IMM to perform an i</w:t>
      </w:r>
      <w:r w:rsidR="005A5EBF">
        <w:rPr>
          <w:rFonts w:ascii="Century Schoolbook" w:hAnsi="Century Schoolbook"/>
        </w:rPr>
        <w:t>ndependent market power study of</w:t>
      </w:r>
      <w:r w:rsidR="00720247" w:rsidRPr="00E32534">
        <w:rPr>
          <w:rFonts w:ascii="Century Schoolbook" w:hAnsi="Century Schoolbook"/>
        </w:rPr>
        <w:t xml:space="preserve"> this merger.  </w:t>
      </w:r>
      <w:r w:rsidR="00836C91" w:rsidRPr="00E32534">
        <w:rPr>
          <w:rFonts w:ascii="Century Schoolbook" w:hAnsi="Century Schoolbook"/>
        </w:rPr>
        <w:t xml:space="preserve">For example, </w:t>
      </w:r>
      <w:r w:rsidR="00720247" w:rsidRPr="00E32534">
        <w:rPr>
          <w:rFonts w:ascii="Century Schoolbook" w:hAnsi="Century Schoolbook"/>
        </w:rPr>
        <w:t>stud</w:t>
      </w:r>
      <w:r w:rsidR="00414DE4" w:rsidRPr="00E32534">
        <w:rPr>
          <w:rFonts w:ascii="Century Schoolbook" w:hAnsi="Century Schoolbook"/>
        </w:rPr>
        <w:t>ies</w:t>
      </w:r>
      <w:r w:rsidR="00720247" w:rsidRPr="00E32534">
        <w:rPr>
          <w:rFonts w:ascii="Century Schoolbook" w:hAnsi="Century Schoolbook"/>
        </w:rPr>
        <w:t xml:space="preserve"> w</w:t>
      </w:r>
      <w:r w:rsidR="00836C91" w:rsidRPr="00E32534">
        <w:rPr>
          <w:rFonts w:ascii="Century Schoolbook" w:hAnsi="Century Schoolbook"/>
        </w:rPr>
        <w:t>ere</w:t>
      </w:r>
      <w:r w:rsidR="00720247" w:rsidRPr="00E32534">
        <w:rPr>
          <w:rFonts w:ascii="Century Schoolbook" w:hAnsi="Century Schoolbook"/>
        </w:rPr>
        <w:t xml:space="preserve"> prepared for the </w:t>
      </w:r>
      <w:r w:rsidR="005A5EBF">
        <w:rPr>
          <w:rFonts w:ascii="Century Schoolbook" w:hAnsi="Century Schoolbook"/>
        </w:rPr>
        <w:t xml:space="preserve">proposed </w:t>
      </w:r>
      <w:r w:rsidR="00720247" w:rsidRPr="00E32534">
        <w:rPr>
          <w:rFonts w:ascii="Century Schoolbook" w:hAnsi="Century Schoolbook"/>
        </w:rPr>
        <w:t>Exelon</w:t>
      </w:r>
      <w:r w:rsidR="00836C91" w:rsidRPr="00E32534">
        <w:rPr>
          <w:rFonts w:ascii="Century Schoolbook" w:hAnsi="Century Schoolbook"/>
        </w:rPr>
        <w:t xml:space="preserve"> Corporation</w:t>
      </w:r>
      <w:r w:rsidR="00720247" w:rsidRPr="00E32534">
        <w:rPr>
          <w:rFonts w:ascii="Century Schoolbook" w:hAnsi="Century Schoolbook"/>
        </w:rPr>
        <w:t>-Public Service Electric and Gas Merger in 200</w:t>
      </w:r>
      <w:r w:rsidR="00414DE4" w:rsidRPr="00E32534">
        <w:rPr>
          <w:rFonts w:ascii="Century Schoolbook" w:hAnsi="Century Schoolbook"/>
        </w:rPr>
        <w:t>5</w:t>
      </w:r>
      <w:r w:rsidR="00720247" w:rsidRPr="00E32534">
        <w:rPr>
          <w:rFonts w:ascii="Century Schoolbook" w:hAnsi="Century Schoolbook"/>
        </w:rPr>
        <w:t xml:space="preserve"> at the request of the New Jersey Board of Public Utilities.  </w:t>
      </w:r>
      <w:r w:rsidR="00414DE4" w:rsidRPr="00E32534">
        <w:rPr>
          <w:rFonts w:ascii="Century Schoolbook" w:hAnsi="Century Schoolbook"/>
        </w:rPr>
        <w:t>That study identified market power concerns, and ultimately the merger was abandoned.</w:t>
      </w:r>
    </w:p>
    <w:p w:rsidR="00317330" w:rsidRDefault="002340FD" w:rsidP="003C44BB">
      <w:pPr>
        <w:rPr>
          <w:rFonts w:ascii="Century Schoolbook" w:hAnsi="Century Schoolbook"/>
        </w:rPr>
      </w:pPr>
      <w:r w:rsidRPr="00E32534">
        <w:rPr>
          <w:rFonts w:ascii="Century Schoolbook" w:hAnsi="Century Schoolbook"/>
        </w:rPr>
        <w:tab/>
      </w:r>
    </w:p>
    <w:p w:rsidR="00317330" w:rsidRPr="00317330" w:rsidRDefault="00317330" w:rsidP="00317330">
      <w:pPr>
        <w:jc w:val="center"/>
        <w:rPr>
          <w:rFonts w:ascii="Century Schoolbook" w:hAnsi="Century Schoolbook"/>
          <w:b/>
        </w:rPr>
      </w:pPr>
      <w:r>
        <w:rPr>
          <w:rFonts w:ascii="Century Schoolbook" w:hAnsi="Century Schoolbook"/>
          <w:b/>
        </w:rPr>
        <w:t>A</w:t>
      </w:r>
      <w:r w:rsidRPr="00317330">
        <w:rPr>
          <w:rFonts w:ascii="Century Schoolbook" w:hAnsi="Century Schoolbook"/>
          <w:b/>
        </w:rPr>
        <w:t xml:space="preserve"> $22 Million Net Benefit?</w:t>
      </w:r>
    </w:p>
    <w:p w:rsidR="00317330" w:rsidRDefault="00317330" w:rsidP="003C44BB">
      <w:pPr>
        <w:rPr>
          <w:rFonts w:ascii="Century Schoolbook" w:hAnsi="Century Schoolbook"/>
        </w:rPr>
      </w:pPr>
    </w:p>
    <w:p w:rsidR="00317330" w:rsidRDefault="002340FD" w:rsidP="00317330">
      <w:pPr>
        <w:ind w:firstLine="720"/>
        <w:rPr>
          <w:rFonts w:ascii="Century Schoolbook" w:hAnsi="Century Schoolbook"/>
        </w:rPr>
      </w:pPr>
      <w:r w:rsidRPr="00E32534">
        <w:rPr>
          <w:rFonts w:ascii="Century Schoolbook" w:hAnsi="Century Schoolbook"/>
        </w:rPr>
        <w:t>Given the lack of this market study, lack of evidentiary support in the FERC docket for this merger, and clear evidence that the default service bidding mar</w:t>
      </w:r>
      <w:r w:rsidR="002354D4" w:rsidRPr="00E32534">
        <w:rPr>
          <w:rFonts w:ascii="Century Schoolbook" w:hAnsi="Century Schoolbook"/>
        </w:rPr>
        <w:t>kets are extremely concentrated</w:t>
      </w:r>
      <w:r w:rsidRPr="00E32534">
        <w:rPr>
          <w:rFonts w:ascii="Century Schoolbook" w:hAnsi="Century Schoolbook"/>
        </w:rPr>
        <w:t xml:space="preserve"> as defined by exist</w:t>
      </w:r>
      <w:r w:rsidR="005A5EBF">
        <w:rPr>
          <w:rFonts w:ascii="Century Schoolbook" w:hAnsi="Century Schoolbook"/>
        </w:rPr>
        <w:t xml:space="preserve">ing market power indices, </w:t>
      </w:r>
      <w:r w:rsidR="003B683F" w:rsidRPr="00E32534">
        <w:rPr>
          <w:rFonts w:ascii="Century Schoolbook" w:hAnsi="Century Schoolbook"/>
        </w:rPr>
        <w:t>the net benefits of this merger</w:t>
      </w:r>
      <w:r w:rsidR="005A5EBF">
        <w:rPr>
          <w:rFonts w:ascii="Century Schoolbook" w:hAnsi="Century Schoolbook"/>
        </w:rPr>
        <w:t xml:space="preserve"> are lacking</w:t>
      </w:r>
      <w:r w:rsidR="003B683F" w:rsidRPr="00E32534">
        <w:rPr>
          <w:rFonts w:ascii="Century Schoolbook" w:hAnsi="Century Schoolbook"/>
        </w:rPr>
        <w:t>.  The Partial Settlement provides quantitative benefits of slightly less than $22</w:t>
      </w:r>
      <w:r w:rsidR="005A5EBF">
        <w:rPr>
          <w:rFonts w:ascii="Century Schoolbook" w:hAnsi="Century Schoolbook"/>
        </w:rPr>
        <w:t xml:space="preserve"> </w:t>
      </w:r>
      <w:r w:rsidR="003B683F" w:rsidRPr="00E32534">
        <w:rPr>
          <w:rFonts w:ascii="Century Schoolbook" w:hAnsi="Century Schoolbook"/>
        </w:rPr>
        <w:t xml:space="preserve">million.  </w:t>
      </w:r>
      <w:r w:rsidR="00344F6F" w:rsidRPr="00E32534">
        <w:rPr>
          <w:rFonts w:ascii="Century Schoolbook" w:hAnsi="Century Schoolbook"/>
        </w:rPr>
        <w:t xml:space="preserve">In contrast to this, </w:t>
      </w:r>
      <w:r w:rsidR="00776E27" w:rsidRPr="00E32534">
        <w:rPr>
          <w:rFonts w:ascii="Century Schoolbook" w:hAnsi="Century Schoolbook"/>
        </w:rPr>
        <w:t xml:space="preserve">Allegheny Power shareholders </w:t>
      </w:r>
      <w:r w:rsidR="00344F6F" w:rsidRPr="00E32534">
        <w:rPr>
          <w:rFonts w:ascii="Century Schoolbook" w:hAnsi="Century Schoolbook"/>
        </w:rPr>
        <w:t>would receive a</w:t>
      </w:r>
      <w:r w:rsidR="00776E27" w:rsidRPr="00E32534">
        <w:rPr>
          <w:rFonts w:ascii="Century Schoolbook" w:hAnsi="Century Schoolbook"/>
        </w:rPr>
        <w:t xml:space="preserve"> </w:t>
      </w:r>
      <w:r w:rsidR="00776E27" w:rsidRPr="00DD13D8">
        <w:rPr>
          <w:rFonts w:ascii="Century Schoolbook" w:hAnsi="Century Schoolbook"/>
        </w:rPr>
        <w:t>$1.2</w:t>
      </w:r>
      <w:r w:rsidR="005A5EBF" w:rsidRPr="00DD13D8">
        <w:rPr>
          <w:rFonts w:ascii="Century Schoolbook" w:hAnsi="Century Schoolbook"/>
        </w:rPr>
        <w:t xml:space="preserve"> </w:t>
      </w:r>
      <w:r w:rsidR="00776E27" w:rsidRPr="00DD13D8">
        <w:rPr>
          <w:rFonts w:ascii="Century Schoolbook" w:hAnsi="Century Schoolbook"/>
        </w:rPr>
        <w:t>billion</w:t>
      </w:r>
      <w:r w:rsidR="00776E27" w:rsidRPr="00E32534">
        <w:rPr>
          <w:rFonts w:ascii="Century Schoolbook" w:hAnsi="Century Schoolbook"/>
        </w:rPr>
        <w:t xml:space="preserve"> premium </w:t>
      </w:r>
      <w:r w:rsidR="005A5EBF">
        <w:rPr>
          <w:rFonts w:ascii="Century Schoolbook" w:hAnsi="Century Schoolbook"/>
        </w:rPr>
        <w:t>on their investment i</w:t>
      </w:r>
      <w:r w:rsidR="00776E27" w:rsidRPr="00E32534">
        <w:rPr>
          <w:rFonts w:ascii="Century Schoolbook" w:hAnsi="Century Schoolbook"/>
        </w:rPr>
        <w:t>f they cash out today, Allegheny Power senior executives will be paid $43</w:t>
      </w:r>
      <w:r w:rsidR="005A5EBF">
        <w:rPr>
          <w:rFonts w:ascii="Century Schoolbook" w:hAnsi="Century Schoolbook"/>
        </w:rPr>
        <w:t xml:space="preserve"> </w:t>
      </w:r>
      <w:r w:rsidR="00776E27" w:rsidRPr="00E32534">
        <w:rPr>
          <w:rFonts w:ascii="Century Schoolbook" w:hAnsi="Century Schoolbook"/>
        </w:rPr>
        <w:t>million in change-of-control payments, and lawyers, investment bankers, and consultants will be paid $58</w:t>
      </w:r>
      <w:r w:rsidR="005A5EBF">
        <w:rPr>
          <w:rFonts w:ascii="Century Schoolbook" w:hAnsi="Century Schoolbook"/>
        </w:rPr>
        <w:t xml:space="preserve"> </w:t>
      </w:r>
      <w:r w:rsidR="00776E27" w:rsidRPr="00E32534">
        <w:rPr>
          <w:rFonts w:ascii="Century Schoolbook" w:hAnsi="Century Schoolbook"/>
        </w:rPr>
        <w:t xml:space="preserve">million.  </w:t>
      </w:r>
    </w:p>
    <w:p w:rsidR="00317330" w:rsidRDefault="00317330" w:rsidP="00317330">
      <w:pPr>
        <w:ind w:firstLine="720"/>
        <w:rPr>
          <w:rFonts w:ascii="Century Schoolbook" w:hAnsi="Century Schoolbook"/>
        </w:rPr>
      </w:pPr>
    </w:p>
    <w:p w:rsidR="00317330" w:rsidRDefault="00776E27" w:rsidP="00317330">
      <w:pPr>
        <w:ind w:firstLine="720"/>
        <w:rPr>
          <w:rFonts w:ascii="Century Schoolbook" w:hAnsi="Century Schoolbook"/>
        </w:rPr>
      </w:pPr>
      <w:r w:rsidRPr="00E32534">
        <w:rPr>
          <w:rFonts w:ascii="Century Schoolbook" w:hAnsi="Century Schoolbook"/>
        </w:rPr>
        <w:t xml:space="preserve">Additionally, when the merger was announced, </w:t>
      </w:r>
      <w:r w:rsidR="001E080D" w:rsidRPr="00E32534">
        <w:rPr>
          <w:rFonts w:ascii="Century Schoolbook" w:hAnsi="Century Schoolbook"/>
        </w:rPr>
        <w:t xml:space="preserve">FirstEnergy’s </w:t>
      </w:r>
      <w:r w:rsidR="00282EBA" w:rsidRPr="00282EBA">
        <w:rPr>
          <w:rFonts w:ascii="Century Schoolbook" w:hAnsi="Century Schoolbook"/>
        </w:rPr>
        <w:t>S&amp;P’s</w:t>
      </w:r>
      <w:r w:rsidR="00282EBA">
        <w:rPr>
          <w:rFonts w:ascii="Century Schoolbook" w:hAnsi="Century Schoolbook"/>
        </w:rPr>
        <w:t xml:space="preserve"> </w:t>
      </w:r>
      <w:r w:rsidR="001E080D" w:rsidRPr="00E32534">
        <w:rPr>
          <w:rFonts w:ascii="Century Schoolbook" w:hAnsi="Century Schoolbook"/>
        </w:rPr>
        <w:t xml:space="preserve">rating </w:t>
      </w:r>
      <w:r w:rsidR="005A5EBF">
        <w:rPr>
          <w:rFonts w:ascii="Century Schoolbook" w:hAnsi="Century Schoolbook"/>
        </w:rPr>
        <w:t>was downgraded</w:t>
      </w:r>
      <w:r w:rsidR="001E080D" w:rsidRPr="00E32534">
        <w:rPr>
          <w:rFonts w:ascii="Century Schoolbook" w:hAnsi="Century Schoolbook"/>
        </w:rPr>
        <w:t xml:space="preserve"> to </w:t>
      </w:r>
      <w:r w:rsidR="005A5EBF">
        <w:rPr>
          <w:rFonts w:ascii="Century Schoolbook" w:hAnsi="Century Schoolbook"/>
        </w:rPr>
        <w:t>BB</w:t>
      </w:r>
      <w:r w:rsidR="001E080D" w:rsidRPr="00E32534">
        <w:rPr>
          <w:rFonts w:ascii="Century Schoolbook" w:hAnsi="Century Schoolbook"/>
        </w:rPr>
        <w:t xml:space="preserve">B- from </w:t>
      </w:r>
      <w:r w:rsidR="005A5EBF">
        <w:rPr>
          <w:rFonts w:ascii="Century Schoolbook" w:hAnsi="Century Schoolbook"/>
        </w:rPr>
        <w:t>BB</w:t>
      </w:r>
      <w:r w:rsidR="001E080D" w:rsidRPr="00E32534">
        <w:rPr>
          <w:rFonts w:ascii="Century Schoolbook" w:hAnsi="Century Schoolbook"/>
        </w:rPr>
        <w:t>B, while FirstEnergy’s senior unsecured ratin</w:t>
      </w:r>
      <w:r w:rsidR="005A5EBF">
        <w:rPr>
          <w:rFonts w:ascii="Century Schoolbook" w:hAnsi="Century Schoolbook"/>
        </w:rPr>
        <w:t>g was changed to BB+ from BB</w:t>
      </w:r>
      <w:r w:rsidR="001E080D" w:rsidRPr="00E32534">
        <w:rPr>
          <w:rFonts w:ascii="Century Schoolbook" w:hAnsi="Century Schoolbook"/>
        </w:rPr>
        <w:t xml:space="preserve">B-. </w:t>
      </w:r>
      <w:r w:rsidR="00DA2859" w:rsidRPr="00E32534">
        <w:rPr>
          <w:rFonts w:ascii="Century Schoolbook" w:hAnsi="Century Schoolbook"/>
        </w:rPr>
        <w:t xml:space="preserve"> </w:t>
      </w:r>
      <w:r w:rsidR="001E080D" w:rsidRPr="00E32534">
        <w:rPr>
          <w:rFonts w:ascii="Century Schoolbook" w:hAnsi="Century Schoolbook"/>
        </w:rPr>
        <w:t>Moody’s and Fitch’s ratings were unchanged after the announcement.</w:t>
      </w:r>
      <w:r w:rsidR="00DA2859" w:rsidRPr="00E32534">
        <w:rPr>
          <w:rStyle w:val="FootnoteReference"/>
          <w:rFonts w:ascii="Century Schoolbook" w:hAnsi="Century Schoolbook"/>
        </w:rPr>
        <w:footnoteReference w:id="9"/>
      </w:r>
      <w:r w:rsidR="00DA2859" w:rsidRPr="00E32534">
        <w:rPr>
          <w:rFonts w:ascii="Century Schoolbook" w:hAnsi="Century Schoolbook"/>
        </w:rPr>
        <w:t xml:space="preserve">  It is important to note that, even though FirstEnergy’s regulated subsidiaries maintain their own debt independent of the holding company, S &amp; P downgraded the credit rating of all FirstEnergy subsidiary companies by one notch upon the announcement of the merger, in addition to the downgrade of the rating of the parent company.  Such a downgrading can result in approximately a 25 basis point debt premium </w:t>
      </w:r>
      <w:r w:rsidR="005A5EBF">
        <w:rPr>
          <w:rFonts w:ascii="Century Schoolbook" w:hAnsi="Century Schoolbook"/>
        </w:rPr>
        <w:t>which</w:t>
      </w:r>
      <w:r w:rsidR="002354D4" w:rsidRPr="00E32534">
        <w:rPr>
          <w:rFonts w:ascii="Century Schoolbook" w:hAnsi="Century Schoolbook"/>
        </w:rPr>
        <w:t xml:space="preserve"> could result in roughly </w:t>
      </w:r>
      <w:r w:rsidR="00DA2859" w:rsidRPr="00E32534">
        <w:rPr>
          <w:rFonts w:ascii="Century Schoolbook" w:hAnsi="Century Schoolbook"/>
        </w:rPr>
        <w:t>$40</w:t>
      </w:r>
      <w:r w:rsidR="005A5EBF">
        <w:rPr>
          <w:rFonts w:ascii="Century Schoolbook" w:hAnsi="Century Schoolbook"/>
        </w:rPr>
        <w:t xml:space="preserve"> </w:t>
      </w:r>
      <w:r w:rsidR="00DA2859" w:rsidRPr="00E32534">
        <w:rPr>
          <w:rFonts w:ascii="Century Schoolbook" w:hAnsi="Century Schoolbook"/>
        </w:rPr>
        <w:t xml:space="preserve">million </w:t>
      </w:r>
      <w:r w:rsidR="005A5EBF">
        <w:rPr>
          <w:rFonts w:ascii="Century Schoolbook" w:hAnsi="Century Schoolbook"/>
        </w:rPr>
        <w:t>in net-present value</w:t>
      </w:r>
      <w:r w:rsidR="00AC35A3">
        <w:rPr>
          <w:rFonts w:ascii="Century Schoolbook" w:hAnsi="Century Schoolbook"/>
        </w:rPr>
        <w:t>d</w:t>
      </w:r>
      <w:r w:rsidR="000E5FED" w:rsidRPr="00E32534">
        <w:rPr>
          <w:rFonts w:ascii="Century Schoolbook" w:hAnsi="Century Schoolbook"/>
        </w:rPr>
        <w:t xml:space="preserve"> add</w:t>
      </w:r>
      <w:r w:rsidR="00D0632E" w:rsidRPr="00E32534">
        <w:rPr>
          <w:rFonts w:ascii="Century Schoolbook" w:hAnsi="Century Schoolbook"/>
        </w:rPr>
        <w:t>itional interest cost over a 15-</w:t>
      </w:r>
      <w:r w:rsidR="000E5FED" w:rsidRPr="00E32534">
        <w:rPr>
          <w:rFonts w:ascii="Century Schoolbook" w:hAnsi="Century Schoolbook"/>
        </w:rPr>
        <w:t>year period when applied to the three FirstEnergy operating companies.</w:t>
      </w:r>
      <w:r w:rsidR="000E5FED" w:rsidRPr="00E32534">
        <w:rPr>
          <w:rStyle w:val="FootnoteReference"/>
          <w:rFonts w:ascii="Century Schoolbook" w:hAnsi="Century Schoolbook"/>
        </w:rPr>
        <w:footnoteReference w:id="10"/>
      </w:r>
      <w:r w:rsidR="002354D4" w:rsidRPr="00E32534">
        <w:rPr>
          <w:rFonts w:ascii="Century Schoolbook" w:hAnsi="Century Schoolbook"/>
        </w:rPr>
        <w:t xml:space="preserve">  </w:t>
      </w:r>
    </w:p>
    <w:p w:rsidR="00317330" w:rsidRDefault="00317330" w:rsidP="00317330">
      <w:pPr>
        <w:ind w:firstLine="720"/>
        <w:rPr>
          <w:rFonts w:ascii="Century Schoolbook" w:hAnsi="Century Schoolbook"/>
        </w:rPr>
      </w:pPr>
    </w:p>
    <w:p w:rsidR="003C44BB" w:rsidRPr="00E32534" w:rsidRDefault="002354D4" w:rsidP="00317330">
      <w:pPr>
        <w:ind w:firstLine="720"/>
        <w:rPr>
          <w:rFonts w:ascii="Century Schoolbook" w:hAnsi="Century Schoolbook"/>
        </w:rPr>
      </w:pPr>
      <w:r w:rsidRPr="00E32534">
        <w:rPr>
          <w:rFonts w:ascii="Century Schoolbook" w:hAnsi="Century Schoolbook"/>
        </w:rPr>
        <w:t>As to the potential for higher default service premiums being imposed on consumers due to the highly concentrated nature of default service supplier markets, a mere $1 per MWH increase in default service</w:t>
      </w:r>
      <w:r w:rsidR="00E9180B" w:rsidRPr="00E32534">
        <w:rPr>
          <w:rFonts w:ascii="Century Schoolbook" w:hAnsi="Century Schoolbook"/>
        </w:rPr>
        <w:t xml:space="preserve"> costs</w:t>
      </w:r>
      <w:r w:rsidRPr="00E32534">
        <w:rPr>
          <w:rFonts w:ascii="Century Schoolbook" w:hAnsi="Century Schoolbook"/>
        </w:rPr>
        <w:t xml:space="preserve"> </w:t>
      </w:r>
      <w:r w:rsidR="00E9180B" w:rsidRPr="00E32534">
        <w:rPr>
          <w:rFonts w:ascii="Century Schoolbook" w:hAnsi="Century Schoolbook"/>
        </w:rPr>
        <w:t>translates into roughly $68</w:t>
      </w:r>
      <w:r w:rsidR="00AC35A3">
        <w:rPr>
          <w:rFonts w:ascii="Century Schoolbook" w:hAnsi="Century Schoolbook"/>
        </w:rPr>
        <w:t xml:space="preserve"> </w:t>
      </w:r>
      <w:r w:rsidR="00E9180B" w:rsidRPr="00E32534">
        <w:rPr>
          <w:rFonts w:ascii="Century Schoolbook" w:hAnsi="Century Schoolbook"/>
        </w:rPr>
        <w:t>million and $86</w:t>
      </w:r>
      <w:r w:rsidR="00AC35A3">
        <w:rPr>
          <w:rFonts w:ascii="Century Schoolbook" w:hAnsi="Century Schoolbook"/>
        </w:rPr>
        <w:t xml:space="preserve"> </w:t>
      </w:r>
      <w:r w:rsidR="00E9180B" w:rsidRPr="00E32534">
        <w:rPr>
          <w:rFonts w:ascii="Century Schoolbook" w:hAnsi="Century Schoolbook"/>
        </w:rPr>
        <w:t>million when net prese</w:t>
      </w:r>
      <w:r w:rsidR="00AC35A3">
        <w:rPr>
          <w:rFonts w:ascii="Century Schoolbook" w:hAnsi="Century Schoolbook"/>
        </w:rPr>
        <w:t>nt valued over a 15 year period</w:t>
      </w:r>
      <w:r w:rsidR="00E9180B" w:rsidRPr="00E32534">
        <w:rPr>
          <w:rFonts w:ascii="Century Schoolbook" w:hAnsi="Century Schoolbook"/>
        </w:rPr>
        <w:t xml:space="preserve"> for the Penelec and West Penn Power service territories, respectively.</w:t>
      </w:r>
      <w:r w:rsidR="00D704F5" w:rsidRPr="00E32534">
        <w:rPr>
          <w:rStyle w:val="FootnoteReference"/>
          <w:rFonts w:ascii="Century Schoolbook" w:hAnsi="Century Schoolbook"/>
        </w:rPr>
        <w:footnoteReference w:id="11"/>
      </w:r>
      <w:r w:rsidR="00D704F5" w:rsidRPr="00E32534">
        <w:rPr>
          <w:rFonts w:ascii="Century Schoolbook" w:hAnsi="Century Schoolbook"/>
        </w:rPr>
        <w:t xml:space="preserve">  If, on the other hand, FirstEnergy use</w:t>
      </w:r>
      <w:r w:rsidR="00AC35A3">
        <w:rPr>
          <w:rFonts w:ascii="Century Schoolbook" w:hAnsi="Century Schoolbook"/>
        </w:rPr>
        <w:t>s</w:t>
      </w:r>
      <w:r w:rsidR="00D704F5" w:rsidRPr="00E32534">
        <w:rPr>
          <w:rFonts w:ascii="Century Schoolbook" w:hAnsi="Century Schoolbook"/>
        </w:rPr>
        <w:t xml:space="preserve"> </w:t>
      </w:r>
      <w:r w:rsidR="00AC35A3">
        <w:rPr>
          <w:rFonts w:ascii="Century Schoolbook" w:hAnsi="Century Schoolbook"/>
        </w:rPr>
        <w:t>its</w:t>
      </w:r>
      <w:r w:rsidR="00D704F5" w:rsidRPr="00E32534">
        <w:rPr>
          <w:rFonts w:ascii="Century Schoolbook" w:hAnsi="Century Schoolbook"/>
        </w:rPr>
        <w:t xml:space="preserve"> expanded generation fleet to increase </w:t>
      </w:r>
      <w:r w:rsidR="00D0632E" w:rsidRPr="00E32534">
        <w:rPr>
          <w:rFonts w:ascii="Century Schoolbook" w:hAnsi="Century Schoolbook"/>
        </w:rPr>
        <w:t xml:space="preserve">overall wholesale market </w:t>
      </w:r>
      <w:r w:rsidR="00D704F5" w:rsidRPr="00E32534">
        <w:rPr>
          <w:rFonts w:ascii="Century Schoolbook" w:hAnsi="Century Schoolbook"/>
        </w:rPr>
        <w:t>prices only $1 per MWH</w:t>
      </w:r>
      <w:r w:rsidR="00D0632E" w:rsidRPr="00E32534">
        <w:rPr>
          <w:rFonts w:ascii="Century Schoolbook" w:hAnsi="Century Schoolbook"/>
        </w:rPr>
        <w:t xml:space="preserve"> in </w:t>
      </w:r>
      <w:r w:rsidR="00AC35A3">
        <w:rPr>
          <w:rFonts w:ascii="Century Schoolbook" w:hAnsi="Century Schoolbook"/>
        </w:rPr>
        <w:t>its</w:t>
      </w:r>
      <w:r w:rsidR="00D0632E" w:rsidRPr="00E32534">
        <w:rPr>
          <w:rFonts w:ascii="Century Schoolbook" w:hAnsi="Century Schoolbook"/>
        </w:rPr>
        <w:t xml:space="preserve"> four Pennsylvania service territories</w:t>
      </w:r>
      <w:r w:rsidR="00D704F5" w:rsidRPr="00E32534">
        <w:rPr>
          <w:rFonts w:ascii="Century Schoolbook" w:hAnsi="Century Schoolbook"/>
        </w:rPr>
        <w:t xml:space="preserve">, the </w:t>
      </w:r>
      <w:r w:rsidR="00D0632E" w:rsidRPr="00E32534">
        <w:rPr>
          <w:rFonts w:ascii="Century Schoolbook" w:hAnsi="Century Schoolbook"/>
        </w:rPr>
        <w:t>net present value cost to consumers over a 15-year period explodes to roughly $465</w:t>
      </w:r>
      <w:r w:rsidR="00AC35A3">
        <w:rPr>
          <w:rFonts w:ascii="Century Schoolbook" w:hAnsi="Century Schoolbook"/>
        </w:rPr>
        <w:t xml:space="preserve"> </w:t>
      </w:r>
      <w:r w:rsidR="00D0632E" w:rsidRPr="00E32534">
        <w:rPr>
          <w:rFonts w:ascii="Century Schoolbook" w:hAnsi="Century Schoolbook"/>
        </w:rPr>
        <w:t>million.</w:t>
      </w:r>
      <w:r w:rsidR="00D0632E" w:rsidRPr="00E32534">
        <w:rPr>
          <w:rStyle w:val="FootnoteReference"/>
          <w:rFonts w:ascii="Century Schoolbook" w:hAnsi="Century Schoolbook"/>
        </w:rPr>
        <w:footnoteReference w:id="12"/>
      </w:r>
    </w:p>
    <w:p w:rsidR="00D118D3" w:rsidRPr="00E32534" w:rsidRDefault="00D118D3" w:rsidP="003C44BB">
      <w:pPr>
        <w:rPr>
          <w:rFonts w:ascii="Century Schoolbook" w:hAnsi="Century Schoolbook"/>
        </w:rPr>
      </w:pPr>
    </w:p>
    <w:p w:rsidR="00317330" w:rsidRDefault="00D118D3" w:rsidP="003C44BB">
      <w:pPr>
        <w:rPr>
          <w:rFonts w:ascii="Century Schoolbook" w:hAnsi="Century Schoolbook"/>
        </w:rPr>
      </w:pPr>
      <w:r w:rsidRPr="00E32534">
        <w:rPr>
          <w:rFonts w:ascii="Century Schoolbook" w:hAnsi="Century Schoolbook"/>
        </w:rPr>
        <w:tab/>
        <w:t xml:space="preserve">It should </w:t>
      </w:r>
      <w:r w:rsidR="00317330">
        <w:rPr>
          <w:rFonts w:ascii="Century Schoolbook" w:hAnsi="Century Schoolbook"/>
        </w:rPr>
        <w:t>come as</w:t>
      </w:r>
      <w:r w:rsidRPr="00E32534">
        <w:rPr>
          <w:rFonts w:ascii="Century Schoolbook" w:hAnsi="Century Schoolbook"/>
        </w:rPr>
        <w:t xml:space="preserve"> no shock that these costs are in line with the premium</w:t>
      </w:r>
      <w:r w:rsidR="00326431" w:rsidRPr="00E32534">
        <w:rPr>
          <w:rFonts w:ascii="Century Schoolbook" w:hAnsi="Century Schoolbook"/>
        </w:rPr>
        <w:t xml:space="preserve"> paid</w:t>
      </w:r>
      <w:r w:rsidRPr="00E32534">
        <w:rPr>
          <w:rFonts w:ascii="Century Schoolbook" w:hAnsi="Century Schoolbook"/>
        </w:rPr>
        <w:t xml:space="preserve"> and </w:t>
      </w:r>
      <w:r w:rsidR="00326431" w:rsidRPr="00E32534">
        <w:rPr>
          <w:rFonts w:ascii="Century Schoolbook" w:hAnsi="Century Schoolbook"/>
        </w:rPr>
        <w:t xml:space="preserve">the </w:t>
      </w:r>
      <w:r w:rsidRPr="00E32534">
        <w:rPr>
          <w:rFonts w:ascii="Century Schoolbook" w:hAnsi="Century Schoolbook"/>
        </w:rPr>
        <w:t>costs</w:t>
      </w:r>
      <w:r w:rsidR="00326431" w:rsidRPr="00E32534">
        <w:rPr>
          <w:rFonts w:ascii="Century Schoolbook" w:hAnsi="Century Schoolbook"/>
        </w:rPr>
        <w:t xml:space="preserve"> incurred</w:t>
      </w:r>
      <w:r w:rsidR="00317330">
        <w:rPr>
          <w:rFonts w:ascii="Century Schoolbook" w:hAnsi="Century Schoolbook"/>
        </w:rPr>
        <w:t xml:space="preserve"> by FirstEnergy to gain approval of</w:t>
      </w:r>
      <w:r w:rsidRPr="00E32534">
        <w:rPr>
          <w:rFonts w:ascii="Century Schoolbook" w:hAnsi="Century Schoolbook"/>
        </w:rPr>
        <w:t xml:space="preserve"> this merger.  How then, do we justify </w:t>
      </w:r>
      <w:r w:rsidR="009C16D4" w:rsidRPr="00E32534">
        <w:rPr>
          <w:rFonts w:ascii="Century Schoolbook" w:hAnsi="Century Schoolbook"/>
        </w:rPr>
        <w:t xml:space="preserve">approval of </w:t>
      </w:r>
      <w:r w:rsidRPr="00E32534">
        <w:rPr>
          <w:rFonts w:ascii="Century Schoolbook" w:hAnsi="Century Schoolbook"/>
        </w:rPr>
        <w:t>such a merger in</w:t>
      </w:r>
      <w:r w:rsidR="009C16D4" w:rsidRPr="00E32534">
        <w:rPr>
          <w:rFonts w:ascii="Century Schoolbook" w:hAnsi="Century Schoolbook"/>
        </w:rPr>
        <w:t xml:space="preserve"> light of the miniscule guaranteed merger savings, relative to the enormous potential costs to consumers associated with higher energy costs?  Only through</w:t>
      </w:r>
      <w:r w:rsidR="00326431" w:rsidRPr="00E32534">
        <w:rPr>
          <w:rFonts w:ascii="Century Schoolbook" w:hAnsi="Century Schoolbook"/>
        </w:rPr>
        <w:t xml:space="preserve"> further mitigation, as proposed herein, does this merger make any logical sense. </w:t>
      </w:r>
    </w:p>
    <w:p w:rsidR="00317330" w:rsidRDefault="00317330" w:rsidP="003C44BB">
      <w:pPr>
        <w:rPr>
          <w:rFonts w:ascii="Century Schoolbook" w:hAnsi="Century Schoolbook"/>
        </w:rPr>
      </w:pPr>
    </w:p>
    <w:p w:rsidR="00D118D3" w:rsidRPr="00317330" w:rsidRDefault="00317330" w:rsidP="00317330">
      <w:pPr>
        <w:jc w:val="center"/>
        <w:rPr>
          <w:rFonts w:ascii="Century Schoolbook" w:hAnsi="Century Schoolbook"/>
          <w:b/>
        </w:rPr>
      </w:pPr>
      <w:r w:rsidRPr="00317330">
        <w:rPr>
          <w:rFonts w:ascii="Century Schoolbook" w:hAnsi="Century Schoolbook"/>
          <w:b/>
        </w:rPr>
        <w:t>Kudos to Allegheny Power’s Management and Employees</w:t>
      </w:r>
    </w:p>
    <w:p w:rsidR="00326431" w:rsidRPr="00E32534" w:rsidRDefault="00326431" w:rsidP="003C44BB">
      <w:pPr>
        <w:rPr>
          <w:rFonts w:ascii="Century Schoolbook" w:hAnsi="Century Schoolbook"/>
        </w:rPr>
      </w:pPr>
    </w:p>
    <w:p w:rsidR="00326431" w:rsidRPr="00E32534" w:rsidRDefault="00326431" w:rsidP="003C44BB">
      <w:pPr>
        <w:rPr>
          <w:rFonts w:ascii="Century Schoolbook" w:hAnsi="Century Schoolbook"/>
        </w:rPr>
      </w:pPr>
      <w:r w:rsidRPr="00E32534">
        <w:rPr>
          <w:rFonts w:ascii="Century Schoolbook" w:hAnsi="Century Schoolbook"/>
        </w:rPr>
        <w:tab/>
        <w:t>Mergers of distribution companies do have some credibility.  The efficiencies gained through adjacent service territories can result in lower costs to customers if implemented efficiently.  H</w:t>
      </w:r>
      <w:r w:rsidR="00AC35A3">
        <w:rPr>
          <w:rFonts w:ascii="Century Schoolbook" w:hAnsi="Century Schoolbook"/>
        </w:rPr>
        <w:t>ere, h</w:t>
      </w:r>
      <w:r w:rsidRPr="00E32534">
        <w:rPr>
          <w:rFonts w:ascii="Century Schoolbook" w:hAnsi="Century Schoolbook"/>
        </w:rPr>
        <w:t xml:space="preserve">owever, there are </w:t>
      </w:r>
      <w:r w:rsidR="00317330">
        <w:rPr>
          <w:rFonts w:ascii="Century Schoolbook" w:hAnsi="Century Schoolbook"/>
        </w:rPr>
        <w:t xml:space="preserve">again </w:t>
      </w:r>
      <w:r w:rsidR="00AC35A3">
        <w:rPr>
          <w:rFonts w:ascii="Century Schoolbook" w:hAnsi="Century Schoolbook"/>
        </w:rPr>
        <w:t xml:space="preserve">grave </w:t>
      </w:r>
      <w:r w:rsidRPr="00E32534">
        <w:rPr>
          <w:rFonts w:ascii="Century Schoolbook" w:hAnsi="Century Schoolbook"/>
        </w:rPr>
        <w:t>doubts as to such benefits.  For example, in most categories of performance, Allegheny Power has often excelled</w:t>
      </w:r>
      <w:r w:rsidR="000F4400" w:rsidRPr="00E32534">
        <w:rPr>
          <w:rFonts w:ascii="Century Schoolbook" w:hAnsi="Century Schoolbook"/>
        </w:rPr>
        <w:t>, or performed at least as admirably as FirstEnergy</w:t>
      </w:r>
      <w:r w:rsidRPr="00E32534">
        <w:rPr>
          <w:rFonts w:ascii="Century Schoolbook" w:hAnsi="Century Schoolbook"/>
        </w:rPr>
        <w:t>.</w:t>
      </w:r>
      <w:r w:rsidR="000F4400" w:rsidRPr="00E32534">
        <w:rPr>
          <w:rFonts w:ascii="Century Schoolbook" w:hAnsi="Century Schoolbook"/>
        </w:rPr>
        <w:t xml:space="preserve">  Complaint rates</w:t>
      </w:r>
      <w:r w:rsidR="00713FC1" w:rsidRPr="00E32534">
        <w:rPr>
          <w:rFonts w:ascii="Century Schoolbook" w:hAnsi="Century Schoolbook"/>
        </w:rPr>
        <w:t xml:space="preserve"> and call center performance</w:t>
      </w:r>
      <w:r w:rsidR="000F4400" w:rsidRPr="00E32534">
        <w:rPr>
          <w:rFonts w:ascii="Century Schoolbook" w:hAnsi="Century Schoolbook"/>
        </w:rPr>
        <w:t xml:space="preserve"> are roughly similar, with Allegheny performing slightly better in some categories and slightly worse in other categories.  In terms of</w:t>
      </w:r>
      <w:r w:rsidR="00713FC1" w:rsidRPr="00E32534">
        <w:rPr>
          <w:rFonts w:ascii="Century Schoolbook" w:hAnsi="Century Schoolbook"/>
        </w:rPr>
        <w:t xml:space="preserve"> the most important performance criteria</w:t>
      </w:r>
      <w:r w:rsidR="00AC35A3">
        <w:rPr>
          <w:rFonts w:ascii="Century Schoolbook" w:hAnsi="Century Schoolbook"/>
        </w:rPr>
        <w:t>—reliability—</w:t>
      </w:r>
      <w:r w:rsidR="000F4400" w:rsidRPr="00E32534">
        <w:rPr>
          <w:rFonts w:ascii="Century Schoolbook" w:hAnsi="Century Schoolbook"/>
        </w:rPr>
        <w:t>Allegheny is in compliance with our 3-year metrics, while FirstEnergy’s Met</w:t>
      </w:r>
      <w:r w:rsidR="00AC35A3">
        <w:rPr>
          <w:rFonts w:ascii="Century Schoolbook" w:hAnsi="Century Schoolbook"/>
        </w:rPr>
        <w:t>-</w:t>
      </w:r>
      <w:r w:rsidR="000F4400" w:rsidRPr="00E32534">
        <w:rPr>
          <w:rFonts w:ascii="Century Schoolbook" w:hAnsi="Century Schoolbook"/>
        </w:rPr>
        <w:t xml:space="preserve">Ed subsidiary is again not meeting its </w:t>
      </w:r>
      <w:r w:rsidR="00713FC1" w:rsidRPr="00E32534">
        <w:rPr>
          <w:rFonts w:ascii="Century Schoolbook" w:hAnsi="Century Schoolbook"/>
        </w:rPr>
        <w:t xml:space="preserve">3-year </w:t>
      </w:r>
      <w:r w:rsidR="000F4400" w:rsidRPr="00E32534">
        <w:rPr>
          <w:rFonts w:ascii="Century Schoolbook" w:hAnsi="Century Schoolbook"/>
        </w:rPr>
        <w:t>performance standards</w:t>
      </w:r>
      <w:r w:rsidR="00713FC1" w:rsidRPr="00E32534">
        <w:rPr>
          <w:rFonts w:ascii="Century Schoolbook" w:hAnsi="Century Schoolbook"/>
        </w:rPr>
        <w:t xml:space="preserve">.  In other words, the evidence does not lead one to believe that “best practices” are going to lead to </w:t>
      </w:r>
      <w:r w:rsidR="00274089" w:rsidRPr="00E32534">
        <w:rPr>
          <w:rFonts w:ascii="Century Schoolbook" w:hAnsi="Century Schoolbook"/>
        </w:rPr>
        <w:t xml:space="preserve">substantial customer benefits.  </w:t>
      </w:r>
      <w:r w:rsidR="00AC35A3">
        <w:rPr>
          <w:rFonts w:ascii="Century Schoolbook" w:hAnsi="Century Schoolbook"/>
        </w:rPr>
        <w:t>As is typical of these types of mergers,</w:t>
      </w:r>
      <w:r w:rsidR="00274089" w:rsidRPr="00E32534">
        <w:rPr>
          <w:rFonts w:ascii="Century Schoolbook" w:hAnsi="Century Schoolbook"/>
        </w:rPr>
        <w:t xml:space="preserve"> the acquiring company </w:t>
      </w:r>
      <w:r w:rsidR="00AC35A3">
        <w:rPr>
          <w:rFonts w:ascii="Century Schoolbook" w:hAnsi="Century Schoolbook"/>
        </w:rPr>
        <w:t>will overshadow</w:t>
      </w:r>
      <w:r w:rsidR="00274089" w:rsidRPr="00E32534">
        <w:rPr>
          <w:rFonts w:ascii="Century Schoolbook" w:hAnsi="Century Schoolbook"/>
        </w:rPr>
        <w:t xml:space="preserve"> the acquired company, therefore leading to continued concerns about FirstEnergy reliability performance.</w:t>
      </w:r>
    </w:p>
    <w:p w:rsidR="00274089" w:rsidRPr="00E32534" w:rsidRDefault="00274089" w:rsidP="003C44BB">
      <w:pPr>
        <w:rPr>
          <w:rFonts w:ascii="Century Schoolbook" w:hAnsi="Century Schoolbook"/>
        </w:rPr>
      </w:pPr>
    </w:p>
    <w:p w:rsidR="007B1422" w:rsidRDefault="00274089" w:rsidP="003C44BB">
      <w:pPr>
        <w:rPr>
          <w:rFonts w:ascii="Century Schoolbook" w:hAnsi="Century Schoolbook"/>
        </w:rPr>
      </w:pPr>
      <w:r w:rsidRPr="00E32534">
        <w:rPr>
          <w:rFonts w:ascii="Century Schoolbook" w:hAnsi="Century Schoolbook"/>
        </w:rPr>
        <w:tab/>
        <w:t xml:space="preserve">Allegheny Power has also demonstrated superior performance in managing </w:t>
      </w:r>
      <w:r w:rsidR="007B1422" w:rsidRPr="00E32534">
        <w:rPr>
          <w:rFonts w:ascii="Century Schoolbook" w:hAnsi="Century Schoolbook"/>
        </w:rPr>
        <w:t>bad debt and effectively managing universal service program (USP) costs.  While the introduction of USP cost riders by FirstEnergy companies has been accompanied by the explosion of USP cost</w:t>
      </w:r>
      <w:r w:rsidR="00AC35A3">
        <w:rPr>
          <w:rFonts w:ascii="Century Schoolbook" w:hAnsi="Century Schoolbook"/>
        </w:rPr>
        <w:t>s</w:t>
      </w:r>
      <w:r w:rsidR="007B1422" w:rsidRPr="00E32534">
        <w:rPr>
          <w:rFonts w:ascii="Century Schoolbook" w:hAnsi="Century Schoolbook"/>
        </w:rPr>
        <w:t xml:space="preserve"> paid by FirstEnergy ratepayers, Allegheny Power has continued to manage these costs effectively within the context of </w:t>
      </w:r>
      <w:r w:rsidR="00AC35A3">
        <w:rPr>
          <w:rFonts w:ascii="Century Schoolbook" w:hAnsi="Century Schoolbook"/>
        </w:rPr>
        <w:t>its</w:t>
      </w:r>
      <w:r w:rsidR="007B1422" w:rsidRPr="00E32534">
        <w:rPr>
          <w:rFonts w:ascii="Century Schoolbook" w:hAnsi="Century Schoolbook"/>
        </w:rPr>
        <w:t xml:space="preserve"> </w:t>
      </w:r>
      <w:r w:rsidR="00B50D9A" w:rsidRPr="00E32534">
        <w:rPr>
          <w:rFonts w:ascii="Century Schoolbook" w:hAnsi="Century Schoolbook"/>
        </w:rPr>
        <w:t xml:space="preserve">existing </w:t>
      </w:r>
      <w:r w:rsidR="007B1422" w:rsidRPr="00E32534">
        <w:rPr>
          <w:rFonts w:ascii="Century Schoolbook" w:hAnsi="Century Schoolbook"/>
        </w:rPr>
        <w:t>base rates</w:t>
      </w:r>
      <w:r w:rsidR="00B50D9A" w:rsidRPr="00E32534">
        <w:rPr>
          <w:rFonts w:ascii="Century Schoolbook" w:hAnsi="Century Schoolbook"/>
        </w:rPr>
        <w:t>.  While the 2010 costs are still not in, which would likely further magnify the difference in cost management between these two</w:t>
      </w:r>
      <w:r w:rsidR="006D6743">
        <w:rPr>
          <w:rFonts w:ascii="Century Schoolbook" w:hAnsi="Century Schoolbook"/>
        </w:rPr>
        <w:t xml:space="preserve"> companies, in 2009, Allegheny P</w:t>
      </w:r>
      <w:r w:rsidR="00B50D9A" w:rsidRPr="00E32534">
        <w:rPr>
          <w:rFonts w:ascii="Century Schoolbook" w:hAnsi="Century Schoolbook"/>
        </w:rPr>
        <w:t>ower</w:t>
      </w:r>
      <w:r w:rsidR="00D1755B" w:rsidRPr="00E32534">
        <w:rPr>
          <w:rFonts w:ascii="Century Schoolbook" w:hAnsi="Century Schoolbook"/>
        </w:rPr>
        <w:t xml:space="preserve"> out performed its FirstEnergy counterparts in all cost management statistics</w:t>
      </w:r>
      <w:r w:rsidR="006D6743">
        <w:rPr>
          <w:rFonts w:ascii="Century Schoolbook" w:hAnsi="Century Schoolbook"/>
        </w:rPr>
        <w:t xml:space="preserve">: </w:t>
      </w:r>
      <w:r w:rsidR="00D1755B" w:rsidRPr="00E32534">
        <w:rPr>
          <w:rFonts w:ascii="Century Schoolbook" w:hAnsi="Century Schoolbook"/>
        </w:rPr>
        <w:t xml:space="preserve"> USP annual spending per residential</w:t>
      </w:r>
      <w:r w:rsidR="00795515" w:rsidRPr="00E32534">
        <w:rPr>
          <w:rFonts w:ascii="Century Schoolbook" w:hAnsi="Century Schoolbook"/>
        </w:rPr>
        <w:t xml:space="preserve"> customer</w:t>
      </w:r>
      <w:r w:rsidR="006D6743">
        <w:rPr>
          <w:rFonts w:ascii="Century Schoolbook" w:hAnsi="Century Schoolbook"/>
        </w:rPr>
        <w:t xml:space="preserve"> (</w:t>
      </w:r>
      <w:r w:rsidR="00795515" w:rsidRPr="00E32534">
        <w:rPr>
          <w:rFonts w:ascii="Century Schoolbook" w:hAnsi="Century Schoolbook"/>
        </w:rPr>
        <w:t>$15.07 vs. $56.53</w:t>
      </w:r>
      <w:r w:rsidR="006D6743">
        <w:rPr>
          <w:rFonts w:ascii="Century Schoolbook" w:hAnsi="Century Schoolbook"/>
        </w:rPr>
        <w:t>) and</w:t>
      </w:r>
      <w:r w:rsidR="00795515" w:rsidRPr="00E32534">
        <w:rPr>
          <w:rFonts w:ascii="Century Schoolbook" w:hAnsi="Century Schoolbook"/>
        </w:rPr>
        <w:t xml:space="preserve"> a</w:t>
      </w:r>
      <w:r w:rsidR="00D1755B" w:rsidRPr="00E32534">
        <w:rPr>
          <w:rFonts w:ascii="Century Schoolbook" w:hAnsi="Century Schoolbook"/>
        </w:rPr>
        <w:t>verage gross program</w:t>
      </w:r>
      <w:r w:rsidR="004E2E2E" w:rsidRPr="00E32534">
        <w:rPr>
          <w:rFonts w:ascii="Century Schoolbook" w:hAnsi="Century Schoolbook"/>
        </w:rPr>
        <w:t xml:space="preserve"> annual</w:t>
      </w:r>
      <w:r w:rsidR="00D1755B" w:rsidRPr="00E32534">
        <w:rPr>
          <w:rFonts w:ascii="Century Schoolbook" w:hAnsi="Century Schoolbook"/>
        </w:rPr>
        <w:t xml:space="preserve"> cost per CAP customer ($398</w:t>
      </w:r>
      <w:r w:rsidR="00795515" w:rsidRPr="00E32534">
        <w:rPr>
          <w:rFonts w:ascii="Century Schoolbook" w:hAnsi="Century Schoolbook"/>
        </w:rPr>
        <w:t xml:space="preserve"> vs. $911).  Furthermore, while managing costs, Allegheny Power</w:t>
      </w:r>
      <w:r w:rsidR="004E2E2E" w:rsidRPr="00E32534">
        <w:rPr>
          <w:rFonts w:ascii="Century Schoolbook" w:hAnsi="Century Schoolbook"/>
        </w:rPr>
        <w:t xml:space="preserve"> simultaneously performed far better in managing its bad debt.  For example, </w:t>
      </w:r>
      <w:r w:rsidR="000C0E70" w:rsidRPr="00E32534">
        <w:rPr>
          <w:rFonts w:ascii="Century Schoolbook" w:hAnsi="Century Schoolbook"/>
        </w:rPr>
        <w:t>2.2% of Allegheny Power customer</w:t>
      </w:r>
      <w:r w:rsidR="006D6743">
        <w:rPr>
          <w:rFonts w:ascii="Century Schoolbook" w:hAnsi="Century Schoolbook"/>
        </w:rPr>
        <w:t>s are in debt, while 5.24% of FirstEnergy</w:t>
      </w:r>
      <w:r w:rsidR="000C0E70" w:rsidRPr="00E32534">
        <w:rPr>
          <w:rFonts w:ascii="Century Schoolbook" w:hAnsi="Century Schoolbook"/>
        </w:rPr>
        <w:t xml:space="preserve"> customers are in debt.  The weighted average arrearage of Alleg</w:t>
      </w:r>
      <w:r w:rsidR="006D6743">
        <w:rPr>
          <w:rFonts w:ascii="Century Schoolbook" w:hAnsi="Century Schoolbook"/>
        </w:rPr>
        <w:t>heny Power is 1.51, while the FirstEnergy</w:t>
      </w:r>
      <w:r w:rsidR="000C0E70" w:rsidRPr="00E32534">
        <w:rPr>
          <w:rFonts w:ascii="Century Schoolbook" w:hAnsi="Century Schoolbook"/>
        </w:rPr>
        <w:t xml:space="preserve"> rate is 3.23.  Similarly, bad d</w:t>
      </w:r>
      <w:r w:rsidR="006D6743">
        <w:rPr>
          <w:rFonts w:ascii="Century Schoolbook" w:hAnsi="Century Schoolbook"/>
        </w:rPr>
        <w:t>ebt write-offs are higher for FirstEnergy</w:t>
      </w:r>
      <w:r w:rsidR="000C0E70" w:rsidRPr="00E32534">
        <w:rPr>
          <w:rFonts w:ascii="Century Schoolbook" w:hAnsi="Century Schoolbook"/>
        </w:rPr>
        <w:t xml:space="preserve"> than f</w:t>
      </w:r>
      <w:r w:rsidR="006D6743">
        <w:rPr>
          <w:rFonts w:ascii="Century Schoolbook" w:hAnsi="Century Schoolbook"/>
        </w:rPr>
        <w:t>or Allegheny Power for both</w:t>
      </w:r>
      <w:r w:rsidR="00795515" w:rsidRPr="00E32534">
        <w:rPr>
          <w:rFonts w:ascii="Century Schoolbook" w:hAnsi="Century Schoolbook"/>
        </w:rPr>
        <w:t xml:space="preserve"> residential customers and low-income customers.</w:t>
      </w:r>
    </w:p>
    <w:p w:rsidR="00317330" w:rsidRDefault="00317330" w:rsidP="003C44BB">
      <w:pPr>
        <w:rPr>
          <w:rFonts w:ascii="Century Schoolbook" w:hAnsi="Century Schoolbook"/>
        </w:rPr>
      </w:pPr>
    </w:p>
    <w:p w:rsidR="00317330" w:rsidRPr="00317330" w:rsidRDefault="00317330" w:rsidP="00317330">
      <w:pPr>
        <w:jc w:val="center"/>
        <w:rPr>
          <w:rFonts w:ascii="Century Schoolbook" w:hAnsi="Century Schoolbook"/>
          <w:b/>
        </w:rPr>
      </w:pPr>
      <w:r w:rsidRPr="00317330">
        <w:rPr>
          <w:rFonts w:ascii="Century Schoolbook" w:hAnsi="Century Schoolbook"/>
          <w:b/>
        </w:rPr>
        <w:t>Conclusion</w:t>
      </w:r>
    </w:p>
    <w:p w:rsidR="006D75B4" w:rsidRPr="00E32534" w:rsidRDefault="006D75B4" w:rsidP="003C44BB">
      <w:pPr>
        <w:rPr>
          <w:rFonts w:ascii="Century Schoolbook" w:hAnsi="Century Schoolbook"/>
        </w:rPr>
      </w:pPr>
    </w:p>
    <w:p w:rsidR="000C38D2" w:rsidRDefault="006D75B4" w:rsidP="003C44BB">
      <w:pPr>
        <w:rPr>
          <w:rFonts w:ascii="Century Schoolbook" w:hAnsi="Century Schoolbook"/>
        </w:rPr>
      </w:pPr>
      <w:r w:rsidRPr="00E32534">
        <w:rPr>
          <w:rFonts w:ascii="Century Schoolbook" w:hAnsi="Century Schoolbook"/>
        </w:rPr>
        <w:tab/>
        <w:t>In short, I cannot support this me</w:t>
      </w:r>
      <w:r w:rsidR="006D6743">
        <w:rPr>
          <w:rFonts w:ascii="Century Schoolbook" w:hAnsi="Century Schoolbook"/>
        </w:rPr>
        <w:t>rger without significant conditions over and above those in the Partial Settlement</w:t>
      </w:r>
      <w:r w:rsidRPr="00E32534">
        <w:rPr>
          <w:rFonts w:ascii="Century Schoolbook" w:hAnsi="Century Schoolbook"/>
        </w:rPr>
        <w:t xml:space="preserve">.  I do </w:t>
      </w:r>
      <w:r w:rsidR="006D6743">
        <w:rPr>
          <w:rFonts w:ascii="Century Schoolbook" w:hAnsi="Century Schoolbook"/>
        </w:rPr>
        <w:t>support</w:t>
      </w:r>
      <w:r w:rsidRPr="00E32534">
        <w:rPr>
          <w:rFonts w:ascii="Century Schoolbook" w:hAnsi="Century Schoolbook"/>
        </w:rPr>
        <w:t xml:space="preserve"> the additional</w:t>
      </w:r>
      <w:r w:rsidR="006D6743">
        <w:rPr>
          <w:rFonts w:ascii="Century Schoolbook" w:hAnsi="Century Schoolbook"/>
        </w:rPr>
        <w:t xml:space="preserve"> c</w:t>
      </w:r>
      <w:r w:rsidRPr="00E32534">
        <w:rPr>
          <w:rFonts w:ascii="Century Schoolbook" w:hAnsi="Century Schoolbook"/>
        </w:rPr>
        <w:t xml:space="preserve">onditions </w:t>
      </w:r>
      <w:r w:rsidR="006D6743">
        <w:rPr>
          <w:rFonts w:ascii="Century Schoolbook" w:hAnsi="Century Schoolbook"/>
        </w:rPr>
        <w:t>imposed</w:t>
      </w:r>
      <w:r w:rsidRPr="00E32534">
        <w:rPr>
          <w:rFonts w:ascii="Century Schoolbook" w:hAnsi="Century Schoolbook"/>
        </w:rPr>
        <w:t xml:space="preserve"> by my colleagues</w:t>
      </w:r>
      <w:r w:rsidR="006D6743">
        <w:rPr>
          <w:rFonts w:ascii="Century Schoolbook" w:hAnsi="Century Schoolbook"/>
        </w:rPr>
        <w:t>.  These conditions</w:t>
      </w:r>
      <w:r w:rsidRPr="00E32534">
        <w:rPr>
          <w:rFonts w:ascii="Century Schoolbook" w:hAnsi="Century Schoolbook"/>
        </w:rPr>
        <w:t xml:space="preserve"> may help, in a small degree, in mitigating some of the impacts of this merger, but, unfortunately, these additional conditions fall </w:t>
      </w:r>
      <w:r w:rsidR="006D6743">
        <w:rPr>
          <w:rFonts w:ascii="Century Schoolbook" w:hAnsi="Century Schoolbook"/>
        </w:rPr>
        <w:t xml:space="preserve">far </w:t>
      </w:r>
      <w:r w:rsidRPr="00E32534">
        <w:rPr>
          <w:rFonts w:ascii="Century Schoolbook" w:hAnsi="Century Schoolbook"/>
        </w:rPr>
        <w:t xml:space="preserve">short of mitigating the </w:t>
      </w:r>
      <w:r w:rsidR="00165965" w:rsidRPr="00E32534">
        <w:rPr>
          <w:rFonts w:ascii="Century Schoolbook" w:hAnsi="Century Schoolbook"/>
        </w:rPr>
        <w:t xml:space="preserve">biggest cost </w:t>
      </w:r>
      <w:r w:rsidR="000C38D2">
        <w:rPr>
          <w:rFonts w:ascii="Century Schoolbook" w:hAnsi="Century Schoolbook"/>
        </w:rPr>
        <w:t>effects</w:t>
      </w:r>
      <w:r w:rsidR="00165965" w:rsidRPr="00E32534">
        <w:rPr>
          <w:rFonts w:ascii="Century Schoolbook" w:hAnsi="Century Schoolbook"/>
        </w:rPr>
        <w:t xml:space="preserve"> – retail and wholesale price impacts.  It seems we increasingly rely on the IMM to mitigate a moderately concentrated wholesale market, instead of taking needed steps to make the market effectively competitive</w:t>
      </w:r>
      <w:r w:rsidR="006D6743">
        <w:rPr>
          <w:rFonts w:ascii="Century Schoolbook" w:hAnsi="Century Schoolbook"/>
        </w:rPr>
        <w:t>, as the Electric Choice</w:t>
      </w:r>
      <w:r w:rsidR="00165965" w:rsidRPr="00E32534">
        <w:rPr>
          <w:rFonts w:ascii="Century Schoolbook" w:hAnsi="Century Schoolbook"/>
        </w:rPr>
        <w:t xml:space="preserve"> Act contemplated.  </w:t>
      </w:r>
    </w:p>
    <w:p w:rsidR="000C38D2" w:rsidRDefault="000C38D2" w:rsidP="003C44BB">
      <w:pPr>
        <w:rPr>
          <w:rFonts w:ascii="Century Schoolbook" w:hAnsi="Century Schoolbook"/>
        </w:rPr>
      </w:pPr>
    </w:p>
    <w:p w:rsidR="0085107A" w:rsidRPr="00E32534" w:rsidRDefault="000C38D2" w:rsidP="000C38D2">
      <w:pPr>
        <w:ind w:firstLine="720"/>
        <w:rPr>
          <w:rFonts w:ascii="Century Schoolbook" w:hAnsi="Century Schoolbook"/>
        </w:rPr>
      </w:pPr>
      <w:r>
        <w:rPr>
          <w:rFonts w:ascii="Century Schoolbook" w:hAnsi="Century Schoolbook"/>
        </w:rPr>
        <w:t xml:space="preserve">There will be no retail electric choice in most of Pennsylvania </w:t>
      </w:r>
      <w:r w:rsidR="00D20129">
        <w:rPr>
          <w:rFonts w:ascii="Century Schoolbook" w:hAnsi="Century Schoolbook"/>
        </w:rPr>
        <w:t>as a result of this merger</w:t>
      </w:r>
      <w:r>
        <w:rPr>
          <w:rFonts w:ascii="Century Schoolbook" w:hAnsi="Century Schoolbook"/>
        </w:rPr>
        <w:t xml:space="preserve">.  </w:t>
      </w:r>
      <w:r w:rsidR="00D20129">
        <w:rPr>
          <w:rFonts w:ascii="Century Schoolbook" w:hAnsi="Century Schoolbook"/>
        </w:rPr>
        <w:t xml:space="preserve">FirstEnergy’s clever strategy of professing to countenance the competitive protections advocated by the non-settling parties while urging that they be applied, not just to FirstEnergy, but “generically” to all EDCs was designed to gain allies of those EDCs who, unlike FirstEnergy, are actively promoting electric choice and therefore will oppose the need for </w:t>
      </w:r>
      <w:r w:rsidR="00F12C28">
        <w:rPr>
          <w:rFonts w:ascii="Century Schoolbook" w:hAnsi="Century Schoolbook"/>
        </w:rPr>
        <w:t xml:space="preserve">universal application of </w:t>
      </w:r>
      <w:r w:rsidR="00D20129">
        <w:rPr>
          <w:rFonts w:ascii="Century Schoolbook" w:hAnsi="Century Schoolbook"/>
        </w:rPr>
        <w:t xml:space="preserve">measures that are only needed in the FirstEnergy service territories.  </w:t>
      </w:r>
      <w:r w:rsidR="008F6F2F">
        <w:rPr>
          <w:rFonts w:ascii="Century Schoolbook" w:hAnsi="Century Schoolbook"/>
        </w:rPr>
        <w:t xml:space="preserve">Once this merger closes, </w:t>
      </w:r>
      <w:r w:rsidR="00F12C28">
        <w:rPr>
          <w:rFonts w:ascii="Century Schoolbook" w:hAnsi="Century Schoolbook"/>
        </w:rPr>
        <w:t xml:space="preserve">FirstEnergy </w:t>
      </w:r>
      <w:r w:rsidR="008F6F2F">
        <w:rPr>
          <w:rFonts w:ascii="Century Schoolbook" w:hAnsi="Century Schoolbook"/>
        </w:rPr>
        <w:t xml:space="preserve">will never countenance any interference with its three-pronged business strategy, and this Commission will have lost forever its ability to ensure robust electric choice in the FirstEnergy service territories.  </w:t>
      </w:r>
      <w:r>
        <w:rPr>
          <w:rFonts w:ascii="Century Schoolbook" w:hAnsi="Century Schoolbook"/>
        </w:rPr>
        <w:t>W</w:t>
      </w:r>
      <w:r w:rsidR="00AB0CD4" w:rsidRPr="00E32534">
        <w:rPr>
          <w:rFonts w:ascii="Century Schoolbook" w:hAnsi="Century Schoolbook"/>
        </w:rPr>
        <w:t xml:space="preserve">e are taking a </w:t>
      </w:r>
      <w:r w:rsidR="00F12C28">
        <w:rPr>
          <w:rFonts w:ascii="Century Schoolbook" w:hAnsi="Century Schoolbook"/>
          <w:i/>
        </w:rPr>
        <w:t>huge</w:t>
      </w:r>
      <w:r w:rsidR="006D6743">
        <w:rPr>
          <w:rFonts w:ascii="Century Schoolbook" w:hAnsi="Century Schoolbook"/>
        </w:rPr>
        <w:t xml:space="preserve"> </w:t>
      </w:r>
      <w:r w:rsidR="00AB0CD4" w:rsidRPr="00E32534">
        <w:rPr>
          <w:rFonts w:ascii="Century Schoolbook" w:hAnsi="Century Schoolbook"/>
        </w:rPr>
        <w:t xml:space="preserve">step backward </w:t>
      </w:r>
      <w:r w:rsidR="006D6743">
        <w:rPr>
          <w:rFonts w:ascii="Century Schoolbook" w:hAnsi="Century Schoolbook"/>
        </w:rPr>
        <w:t>by approving</w:t>
      </w:r>
      <w:r w:rsidR="00AB0CD4" w:rsidRPr="00E32534">
        <w:rPr>
          <w:rFonts w:ascii="Century Schoolbook" w:hAnsi="Century Schoolbook"/>
        </w:rPr>
        <w:t xml:space="preserve"> this merger.  </w:t>
      </w:r>
    </w:p>
    <w:p w:rsidR="00AB0CD4" w:rsidRPr="00E32534" w:rsidRDefault="00AB0CD4" w:rsidP="003C44BB">
      <w:pPr>
        <w:rPr>
          <w:rFonts w:ascii="Century Schoolbook" w:hAnsi="Century Schoolbook"/>
        </w:rPr>
      </w:pPr>
    </w:p>
    <w:p w:rsidR="00A13077" w:rsidRDefault="00AB0CD4" w:rsidP="003C44BB">
      <w:pPr>
        <w:rPr>
          <w:rFonts w:ascii="Century Schoolbook" w:hAnsi="Century Schoolbook"/>
        </w:rPr>
      </w:pPr>
      <w:r w:rsidRPr="00E32534">
        <w:rPr>
          <w:rFonts w:ascii="Century Schoolbook" w:hAnsi="Century Schoolbook"/>
        </w:rPr>
        <w:tab/>
        <w:t xml:space="preserve">Thanks go to the hard working Allegheny Power employees.  </w:t>
      </w:r>
      <w:r w:rsidR="006D6743">
        <w:rPr>
          <w:rFonts w:ascii="Century Schoolbook" w:hAnsi="Century Schoolbook"/>
        </w:rPr>
        <w:t>As noted, their</w:t>
      </w:r>
      <w:r w:rsidRPr="00E32534">
        <w:rPr>
          <w:rFonts w:ascii="Century Schoolbook" w:hAnsi="Century Schoolbook"/>
        </w:rPr>
        <w:t xml:space="preserve"> performance has in many respects been outstanding</w:t>
      </w:r>
      <w:r w:rsidR="006D6743">
        <w:rPr>
          <w:rFonts w:ascii="Century Schoolbook" w:hAnsi="Century Schoolbook"/>
        </w:rPr>
        <w:t>.</w:t>
      </w:r>
      <w:r w:rsidR="00B91240" w:rsidRPr="00E32534">
        <w:rPr>
          <w:rFonts w:ascii="Century Schoolbook" w:hAnsi="Century Schoolbook"/>
        </w:rPr>
        <w:t xml:space="preserve">  Many of these employees have performed admirably, and, in some circumstances, superior to</w:t>
      </w:r>
      <w:r w:rsidR="006D6743">
        <w:rPr>
          <w:rFonts w:ascii="Century Schoolbook" w:hAnsi="Century Schoolbook"/>
        </w:rPr>
        <w:t xml:space="preserve"> their FirstEnergy counterparts.  Reg</w:t>
      </w:r>
      <w:r w:rsidR="00A13077">
        <w:rPr>
          <w:rFonts w:ascii="Century Schoolbook" w:hAnsi="Century Schoolbook"/>
        </w:rPr>
        <w:t>r</w:t>
      </w:r>
      <w:r w:rsidR="006D6743">
        <w:rPr>
          <w:rFonts w:ascii="Century Schoolbook" w:hAnsi="Century Schoolbook"/>
        </w:rPr>
        <w:t xml:space="preserve">ettably, rather than </w:t>
      </w:r>
      <w:r w:rsidR="00B91240" w:rsidRPr="00E32534">
        <w:rPr>
          <w:rFonts w:ascii="Century Schoolbook" w:hAnsi="Century Schoolbook"/>
        </w:rPr>
        <w:t>reward</w:t>
      </w:r>
      <w:r w:rsidR="006D6743">
        <w:rPr>
          <w:rFonts w:ascii="Century Schoolbook" w:hAnsi="Century Schoolbook"/>
        </w:rPr>
        <w:t>ing</w:t>
      </w:r>
      <w:r w:rsidR="00B91240" w:rsidRPr="00E32534">
        <w:rPr>
          <w:rFonts w:ascii="Century Schoolbook" w:hAnsi="Century Schoolbook"/>
        </w:rPr>
        <w:t xml:space="preserve"> this performance by expanding </w:t>
      </w:r>
      <w:r w:rsidR="006D6743">
        <w:rPr>
          <w:rFonts w:ascii="Century Schoolbook" w:hAnsi="Century Schoolbook"/>
        </w:rPr>
        <w:t>its</w:t>
      </w:r>
      <w:r w:rsidR="00B91240" w:rsidRPr="00E32534">
        <w:rPr>
          <w:rFonts w:ascii="Century Schoolbook" w:hAnsi="Century Schoolbook"/>
        </w:rPr>
        <w:t xml:space="preserve"> presence in Pennsylvania, </w:t>
      </w:r>
      <w:r w:rsidR="00A13077">
        <w:rPr>
          <w:rFonts w:ascii="Century Schoolbook" w:hAnsi="Century Schoolbook"/>
        </w:rPr>
        <w:t>FirstEnergy has chosen only a few Allegheny Power managers to lead the merged entity while reducing its workforce in Pennsylvania</w:t>
      </w:r>
      <w:r w:rsidR="00B91240" w:rsidRPr="00E32534">
        <w:rPr>
          <w:rFonts w:ascii="Century Schoolbook" w:hAnsi="Century Schoolbook"/>
        </w:rPr>
        <w:t xml:space="preserve">. </w:t>
      </w:r>
    </w:p>
    <w:p w:rsidR="00A13077" w:rsidRDefault="00A13077" w:rsidP="003C44BB">
      <w:pPr>
        <w:rPr>
          <w:rFonts w:ascii="Century Schoolbook" w:hAnsi="Century Schoolbook"/>
        </w:rPr>
      </w:pPr>
    </w:p>
    <w:p w:rsidR="008F6F2F" w:rsidRDefault="00A13077" w:rsidP="00BE35DE">
      <w:pPr>
        <w:rPr>
          <w:rFonts w:ascii="Century Schoolbook" w:hAnsi="Century Schoolbook"/>
        </w:rPr>
      </w:pPr>
      <w:r>
        <w:rPr>
          <w:rFonts w:ascii="Century Schoolbook" w:hAnsi="Century Schoolbook"/>
        </w:rPr>
        <w:tab/>
        <w:t>In sum, rather than net benefits for Pennsylvania and its citizens from this merger, I see mostly negatives.  The effects on retail electric choice will be devastating for most rural Pennsylvanians who will soon be given cause to wonder where we were when we were needed.</w:t>
      </w:r>
    </w:p>
    <w:p w:rsidR="008F6F2F" w:rsidRPr="00E32534" w:rsidRDefault="008F6F2F" w:rsidP="00BE35DE">
      <w:pPr>
        <w:rPr>
          <w:rFonts w:ascii="Century Schoolbook" w:hAnsi="Century Schoolbook"/>
        </w:rPr>
      </w:pPr>
    </w:p>
    <w:p w:rsidR="009E446C" w:rsidRPr="00E32534" w:rsidRDefault="009E446C" w:rsidP="00BE35DE">
      <w:pPr>
        <w:rPr>
          <w:rFonts w:ascii="Century Schoolbook" w:hAnsi="Century Schoolbook"/>
        </w:rPr>
      </w:pPr>
      <w:r w:rsidRPr="00E32534">
        <w:rPr>
          <w:rFonts w:ascii="Century Schoolbook" w:hAnsi="Century Schoolbook"/>
        </w:rPr>
        <w:tab/>
      </w:r>
      <w:r w:rsidRPr="00E32534">
        <w:rPr>
          <w:rFonts w:ascii="Century Schoolbook" w:hAnsi="Century Schoolbook"/>
        </w:rPr>
        <w:tab/>
      </w:r>
      <w:r w:rsidRPr="00E32534">
        <w:rPr>
          <w:rFonts w:ascii="Century Schoolbook" w:hAnsi="Century Schoolbook"/>
        </w:rPr>
        <w:tab/>
      </w:r>
      <w:r w:rsidRPr="00E32534">
        <w:rPr>
          <w:rFonts w:ascii="Century Schoolbook" w:hAnsi="Century Schoolbook"/>
        </w:rPr>
        <w:tab/>
      </w:r>
      <w:r w:rsidR="00C16624" w:rsidRPr="00E32534">
        <w:rPr>
          <w:rFonts w:ascii="Century Schoolbook" w:hAnsi="Century Schoolbook"/>
        </w:rPr>
        <w:tab/>
      </w:r>
      <w:r w:rsidR="00C16624" w:rsidRPr="00E32534">
        <w:rPr>
          <w:rFonts w:ascii="Century Schoolbook" w:hAnsi="Century Schoolbook"/>
        </w:rPr>
        <w:tab/>
      </w:r>
      <w:r w:rsidR="00C16624" w:rsidRPr="00E32534">
        <w:rPr>
          <w:rFonts w:ascii="Century Schoolbook" w:hAnsi="Century Schoolbook"/>
        </w:rPr>
        <w:tab/>
        <w:t>__________________</w:t>
      </w:r>
      <w:r w:rsidRPr="00E32534">
        <w:rPr>
          <w:rFonts w:ascii="Century Schoolbook" w:hAnsi="Century Schoolbook"/>
        </w:rPr>
        <w:t>______________</w:t>
      </w:r>
    </w:p>
    <w:p w:rsidR="00024696" w:rsidRPr="00E32534" w:rsidRDefault="005E3114" w:rsidP="00A26DB0">
      <w:pPr>
        <w:rPr>
          <w:rFonts w:ascii="Century Schoolbook" w:hAnsi="Century Schoolbook"/>
        </w:rPr>
      </w:pPr>
      <w:r w:rsidRPr="00E32534">
        <w:rPr>
          <w:rFonts w:ascii="Century Schoolbook" w:hAnsi="Century Schoolbook"/>
        </w:rPr>
        <w:tab/>
      </w:r>
      <w:r w:rsidRPr="00E32534">
        <w:rPr>
          <w:rFonts w:ascii="Century Schoolbook" w:hAnsi="Century Schoolbook"/>
        </w:rPr>
        <w:tab/>
      </w:r>
      <w:r w:rsidRPr="00E32534">
        <w:rPr>
          <w:rFonts w:ascii="Century Schoolbook" w:hAnsi="Century Schoolbook"/>
        </w:rPr>
        <w:tab/>
      </w:r>
      <w:r w:rsidR="00C16624" w:rsidRPr="00E32534">
        <w:rPr>
          <w:rFonts w:ascii="Century Schoolbook" w:hAnsi="Century Schoolbook"/>
        </w:rPr>
        <w:tab/>
      </w:r>
      <w:r w:rsidR="00C16624" w:rsidRPr="00E32534">
        <w:rPr>
          <w:rFonts w:ascii="Century Schoolbook" w:hAnsi="Century Schoolbook"/>
        </w:rPr>
        <w:tab/>
      </w:r>
      <w:r w:rsidR="00C16624" w:rsidRPr="00E32534">
        <w:rPr>
          <w:rFonts w:ascii="Century Schoolbook" w:hAnsi="Century Schoolbook"/>
        </w:rPr>
        <w:tab/>
      </w:r>
      <w:r w:rsidR="00C16624" w:rsidRPr="00E32534">
        <w:rPr>
          <w:rFonts w:ascii="Century Schoolbook" w:hAnsi="Century Schoolbook"/>
        </w:rPr>
        <w:tab/>
        <w:t>James H. Cawley, Chair</w:t>
      </w:r>
      <w:r w:rsidR="004E2E2E" w:rsidRPr="00E32534">
        <w:rPr>
          <w:rFonts w:ascii="Century Schoolbook" w:hAnsi="Century Schoolbook"/>
        </w:rPr>
        <w:t>man</w:t>
      </w:r>
      <w:r w:rsidR="00724BDE" w:rsidRPr="00E32534">
        <w:rPr>
          <w:rFonts w:ascii="Century Schoolbook" w:hAnsi="Century Schoolbook"/>
        </w:rPr>
        <w:tab/>
      </w:r>
      <w:r w:rsidRPr="00E32534">
        <w:rPr>
          <w:rFonts w:ascii="Century Schoolbook" w:hAnsi="Century Schoolbook"/>
        </w:rPr>
        <w:tab/>
      </w:r>
      <w:r w:rsidRPr="00E32534">
        <w:rPr>
          <w:rFonts w:ascii="Century Schoolbook" w:hAnsi="Century Schoolbook"/>
        </w:rPr>
        <w:tab/>
      </w:r>
      <w:r w:rsidRPr="00E32534">
        <w:rPr>
          <w:rFonts w:ascii="Century Schoolbook" w:hAnsi="Century Schoolbook"/>
        </w:rPr>
        <w:tab/>
      </w:r>
    </w:p>
    <w:p w:rsidR="009E446C" w:rsidRDefault="009E446C" w:rsidP="00C16624">
      <w:r w:rsidRPr="00E32534">
        <w:rPr>
          <w:rFonts w:ascii="Century Schoolbook" w:hAnsi="Century Schoolbook"/>
        </w:rPr>
        <w:t xml:space="preserve">Dated:  February </w:t>
      </w:r>
      <w:r w:rsidR="00521E2B" w:rsidRPr="00E32534">
        <w:rPr>
          <w:rFonts w:ascii="Century Schoolbook" w:hAnsi="Century Schoolbook"/>
        </w:rPr>
        <w:t>24</w:t>
      </w:r>
      <w:r w:rsidR="000E5FED" w:rsidRPr="00E32534">
        <w:rPr>
          <w:rFonts w:ascii="Century Schoolbook" w:hAnsi="Century Schoolbook"/>
        </w:rPr>
        <w:t>,</w:t>
      </w:r>
      <w:r w:rsidR="000E5FED">
        <w:t xml:space="preserve"> </w:t>
      </w:r>
      <w:r w:rsidR="000E5FED" w:rsidRPr="00DD13D8">
        <w:rPr>
          <w:rFonts w:ascii="Century Schoolbook" w:hAnsi="Century Schoolbook"/>
        </w:rPr>
        <w:t>201</w:t>
      </w:r>
      <w:r w:rsidR="00231CFC">
        <w:rPr>
          <w:rFonts w:ascii="Century Schoolbook" w:hAnsi="Century Schoolbook"/>
        </w:rPr>
        <w:t>1</w:t>
      </w:r>
    </w:p>
    <w:sectPr w:rsidR="009E446C" w:rsidSect="000371E1">
      <w:footerReference w:type="default" r:id="rId8"/>
      <w:pgSz w:w="12240" w:h="15840"/>
      <w:pgMar w:top="1440" w:right="1440"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F3D" w:rsidRDefault="00A35F3D">
      <w:r>
        <w:separator/>
      </w:r>
    </w:p>
  </w:endnote>
  <w:endnote w:type="continuationSeparator" w:id="0">
    <w:p w:rsidR="00A35F3D" w:rsidRDefault="00A35F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20409"/>
      <w:docPartObj>
        <w:docPartGallery w:val="Page Numbers (Bottom of Page)"/>
        <w:docPartUnique/>
      </w:docPartObj>
    </w:sdtPr>
    <w:sdtContent>
      <w:p w:rsidR="000C38D2" w:rsidRPr="00900A7F" w:rsidRDefault="00530A2B" w:rsidP="000371E1">
        <w:pPr>
          <w:pStyle w:val="Footer"/>
          <w:jc w:val="center"/>
        </w:pPr>
        <w:r w:rsidRPr="000371E1">
          <w:rPr>
            <w:sz w:val="20"/>
            <w:szCs w:val="20"/>
          </w:rPr>
          <w:fldChar w:fldCharType="begin"/>
        </w:r>
        <w:r w:rsidR="000C38D2" w:rsidRPr="000371E1">
          <w:rPr>
            <w:sz w:val="20"/>
            <w:szCs w:val="20"/>
          </w:rPr>
          <w:instrText xml:space="preserve"> PAGE   \* MERGEFORMAT </w:instrText>
        </w:r>
        <w:r w:rsidRPr="000371E1">
          <w:rPr>
            <w:sz w:val="20"/>
            <w:szCs w:val="20"/>
          </w:rPr>
          <w:fldChar w:fldCharType="separate"/>
        </w:r>
        <w:r w:rsidR="00EE0A8C">
          <w:rPr>
            <w:noProof/>
            <w:sz w:val="20"/>
            <w:szCs w:val="20"/>
          </w:rPr>
          <w:t>3</w:t>
        </w:r>
        <w:r w:rsidRPr="000371E1">
          <w:rPr>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F3D" w:rsidRDefault="00A35F3D">
      <w:pPr>
        <w:rPr>
          <w:noProof/>
        </w:rPr>
      </w:pPr>
      <w:r>
        <w:rPr>
          <w:noProof/>
        </w:rPr>
        <w:separator/>
      </w:r>
    </w:p>
  </w:footnote>
  <w:footnote w:type="continuationSeparator" w:id="0">
    <w:p w:rsidR="00A35F3D" w:rsidRDefault="00A35F3D">
      <w:r>
        <w:continuationSeparator/>
      </w:r>
    </w:p>
  </w:footnote>
  <w:footnote w:id="1">
    <w:p w:rsidR="000C38D2" w:rsidRPr="009601C6" w:rsidRDefault="000C38D2" w:rsidP="00EF7005">
      <w:pPr>
        <w:pStyle w:val="FootnoteText"/>
      </w:pPr>
      <w:r w:rsidRPr="009601C6">
        <w:rPr>
          <w:rStyle w:val="FootnoteReference"/>
        </w:rPr>
        <w:footnoteRef/>
      </w:r>
      <w:r>
        <w:t xml:space="preserve"> </w:t>
      </w:r>
      <w:r w:rsidRPr="00C437DB">
        <w:t>Investigation into the Natural Gas Supply Market: Report on Stakeholders’ Working Group (SEARCH)</w:t>
      </w:r>
      <w:r w:rsidRPr="009601C6">
        <w:t>, D</w:t>
      </w:r>
      <w:r>
        <w:t>ocket No. I-00040103F0002 (Sept.</w:t>
      </w:r>
      <w:r w:rsidRPr="009601C6">
        <w:t xml:space="preserve"> 11, 2008</w:t>
      </w:r>
      <w:r>
        <w:t>)</w:t>
      </w:r>
      <w:r w:rsidRPr="009601C6">
        <w:t>.</w:t>
      </w:r>
    </w:p>
  </w:footnote>
  <w:footnote w:id="2">
    <w:p w:rsidR="000C38D2" w:rsidRPr="00C73DE2" w:rsidRDefault="000C38D2" w:rsidP="001D4D8C">
      <w:pPr>
        <w:pStyle w:val="PlainText"/>
        <w:rPr>
          <w:rFonts w:ascii="Century Schoolbook" w:hAnsi="Century Schoolbook"/>
          <w:sz w:val="20"/>
          <w:szCs w:val="20"/>
        </w:rPr>
      </w:pPr>
      <w:r w:rsidRPr="00C73DE2">
        <w:rPr>
          <w:rStyle w:val="FootnoteReference"/>
          <w:rFonts w:ascii="Century Schoolbook" w:hAnsi="Century Schoolbook"/>
          <w:sz w:val="20"/>
          <w:szCs w:val="20"/>
        </w:rPr>
        <w:footnoteRef/>
      </w:r>
      <w:r w:rsidRPr="00C73DE2">
        <w:rPr>
          <w:rFonts w:ascii="Century Schoolbook" w:hAnsi="Century Schoolbook"/>
          <w:sz w:val="20"/>
          <w:szCs w:val="20"/>
        </w:rPr>
        <w:t xml:space="preserve"> “FirstEnergy Solutions Increases Share of Sales at Affiliated Ohio Utilities to 81.4%  February 17, 2011</w:t>
      </w:r>
    </w:p>
    <w:p w:rsidR="000C38D2" w:rsidRPr="00C73DE2" w:rsidRDefault="000C38D2" w:rsidP="001D4D8C">
      <w:pPr>
        <w:pStyle w:val="PlainText"/>
        <w:ind w:firstLine="720"/>
        <w:rPr>
          <w:rFonts w:ascii="Century Schoolbook" w:hAnsi="Century Schoolbook"/>
          <w:sz w:val="20"/>
          <w:szCs w:val="20"/>
        </w:rPr>
      </w:pPr>
      <w:r w:rsidRPr="00C73DE2">
        <w:rPr>
          <w:rFonts w:ascii="Century Schoolbook" w:hAnsi="Century Schoolbook"/>
          <w:sz w:val="20"/>
          <w:szCs w:val="20"/>
        </w:rPr>
        <w:t xml:space="preserve">“FirstEnergy Solutions increased its share of sales in its affiliated franchised utility territories in Ohio to 81.4%, FirstEnergy Corp. disclosed in reporting fourth-quarter earnings. </w:t>
      </w:r>
    </w:p>
    <w:p w:rsidR="000C38D2" w:rsidRPr="00C73DE2" w:rsidRDefault="000C38D2" w:rsidP="001D4D8C">
      <w:pPr>
        <w:pStyle w:val="PlainText"/>
        <w:ind w:firstLine="720"/>
        <w:rPr>
          <w:rFonts w:ascii="Century Schoolbook" w:hAnsi="Century Schoolbook"/>
          <w:sz w:val="20"/>
          <w:szCs w:val="20"/>
        </w:rPr>
      </w:pPr>
      <w:r w:rsidRPr="00C73DE2">
        <w:rPr>
          <w:rFonts w:ascii="Century Schoolbook" w:hAnsi="Century Schoolbook"/>
          <w:sz w:val="20"/>
          <w:szCs w:val="20"/>
        </w:rPr>
        <w:t>“The 81.4% share for the quarter ending December 31, 2010, which includes POLR, aggregation and direct retail sales, compares to 80.7% during the quarter ending September 30, 2010, and 72.1% for the quarter ending December 31, 2009.</w:t>
      </w:r>
    </w:p>
    <w:p w:rsidR="000C38D2" w:rsidRPr="00C73DE2" w:rsidRDefault="000C38D2" w:rsidP="001D4D8C">
      <w:pPr>
        <w:pStyle w:val="PlainText"/>
        <w:rPr>
          <w:rFonts w:ascii="Century Schoolbook" w:hAnsi="Century Schoolbook"/>
          <w:sz w:val="20"/>
          <w:szCs w:val="20"/>
        </w:rPr>
      </w:pPr>
      <w:r w:rsidRPr="00C73DE2">
        <w:rPr>
          <w:rFonts w:ascii="Century Schoolbook" w:hAnsi="Century Schoolbook"/>
          <w:sz w:val="20"/>
          <w:szCs w:val="20"/>
        </w:rPr>
        <w:t>Through a combination of POLR, opt-out government aggregation, and direct sales to end users, FirstEnergy Solutions supplied 10,546 GWh of the total 12,950 GWh used by customers at its affiliated Ohio distribution companies.</w:t>
      </w:r>
    </w:p>
    <w:p w:rsidR="000C38D2" w:rsidRPr="00C73DE2" w:rsidRDefault="000C38D2" w:rsidP="001D4D8C">
      <w:pPr>
        <w:pStyle w:val="PlainText"/>
        <w:ind w:firstLine="720"/>
        <w:rPr>
          <w:rFonts w:ascii="Century Schoolbook" w:hAnsi="Century Schoolbook"/>
          <w:sz w:val="20"/>
          <w:szCs w:val="20"/>
        </w:rPr>
      </w:pPr>
      <w:r w:rsidRPr="00C73DE2">
        <w:rPr>
          <w:rFonts w:ascii="Century Schoolbook" w:hAnsi="Century Schoolbook"/>
          <w:sz w:val="20"/>
          <w:szCs w:val="20"/>
        </w:rPr>
        <w:t>“The breakdown was 2,959 GWh POLR sales, 3,475 GWh aggregation sales, and</w:t>
      </w:r>
    </w:p>
    <w:p w:rsidR="000C38D2" w:rsidRPr="00C73DE2" w:rsidRDefault="000C38D2" w:rsidP="001D4D8C">
      <w:pPr>
        <w:pStyle w:val="PlainText"/>
        <w:rPr>
          <w:rFonts w:ascii="Century Schoolbook" w:hAnsi="Century Schoolbook"/>
          <w:sz w:val="20"/>
          <w:szCs w:val="20"/>
        </w:rPr>
      </w:pPr>
      <w:r w:rsidRPr="00C73DE2">
        <w:rPr>
          <w:rFonts w:ascii="Century Schoolbook" w:hAnsi="Century Schoolbook"/>
          <w:sz w:val="20"/>
          <w:szCs w:val="20"/>
        </w:rPr>
        <w:t>4,112 GWh direct retail sales.</w:t>
      </w:r>
    </w:p>
    <w:p w:rsidR="000C38D2" w:rsidRPr="00C73DE2" w:rsidRDefault="000C38D2" w:rsidP="001D4D8C">
      <w:pPr>
        <w:pStyle w:val="PlainText"/>
        <w:ind w:firstLine="720"/>
        <w:rPr>
          <w:rFonts w:ascii="Century Schoolbook" w:hAnsi="Century Schoolbook"/>
          <w:sz w:val="20"/>
          <w:szCs w:val="20"/>
        </w:rPr>
      </w:pPr>
      <w:r w:rsidRPr="00C73DE2">
        <w:rPr>
          <w:rFonts w:ascii="Century Schoolbook" w:hAnsi="Century Schoolbook"/>
          <w:sz w:val="20"/>
          <w:szCs w:val="20"/>
        </w:rPr>
        <w:t>“Non-affiliated third parties accounted for only 2,404 GWh of supply at the FirstEnergy Ohio distribution companies, with such third-party supply split almost evenly between POLR sales and competitive retail sales.</w:t>
      </w:r>
    </w:p>
    <w:p w:rsidR="000C38D2" w:rsidRPr="00C73DE2" w:rsidRDefault="000C38D2" w:rsidP="001D4D8C">
      <w:pPr>
        <w:pStyle w:val="PlainText"/>
        <w:ind w:firstLine="720"/>
        <w:rPr>
          <w:rFonts w:ascii="Century Schoolbook" w:hAnsi="Century Schoolbook"/>
          <w:sz w:val="20"/>
          <w:szCs w:val="20"/>
        </w:rPr>
      </w:pPr>
      <w:r w:rsidRPr="00C73DE2">
        <w:rPr>
          <w:rFonts w:ascii="Century Schoolbook" w:hAnsi="Century Schoolbook"/>
          <w:sz w:val="20"/>
          <w:szCs w:val="20"/>
        </w:rPr>
        <w:t>“FirstEnergy Solutions also reported that, during the fourth quarter, it served 990 GWh of non-aggregation, non-POLR retail sales in Ohio outside of its affiliated service areas.  In Pennsylvania, FirstEnergy Solutions served 561 GWh of direct retail sales in its affiliated service areas, and 812 GWh of direct retail sales outside of its affiliated service areas.</w:t>
      </w:r>
    </w:p>
    <w:p w:rsidR="000C38D2" w:rsidRPr="00C73DE2" w:rsidRDefault="000C38D2" w:rsidP="001D4D8C">
      <w:pPr>
        <w:pStyle w:val="PlainText"/>
        <w:ind w:firstLine="720"/>
        <w:rPr>
          <w:rFonts w:ascii="Century Schoolbook" w:hAnsi="Century Schoolbook"/>
          <w:sz w:val="20"/>
          <w:szCs w:val="20"/>
        </w:rPr>
      </w:pPr>
      <w:r w:rsidRPr="00C73DE2">
        <w:rPr>
          <w:rFonts w:ascii="Century Schoolbook" w:hAnsi="Century Schoolbook"/>
          <w:sz w:val="20"/>
          <w:szCs w:val="20"/>
        </w:rPr>
        <w:t>“FirstEnergy Solutions' current customer count is 1.5 million, versus 1.2 million as of late October 2010.</w:t>
      </w:r>
    </w:p>
    <w:p w:rsidR="000C38D2" w:rsidRPr="00C73DE2" w:rsidRDefault="000C38D2" w:rsidP="001D4D8C">
      <w:pPr>
        <w:pStyle w:val="PlainText"/>
        <w:ind w:firstLine="720"/>
        <w:rPr>
          <w:rFonts w:ascii="Century Schoolbook" w:hAnsi="Century Schoolbook"/>
          <w:sz w:val="20"/>
          <w:szCs w:val="20"/>
        </w:rPr>
      </w:pPr>
      <w:r w:rsidRPr="00C73DE2">
        <w:rPr>
          <w:rFonts w:ascii="Century Schoolbook" w:hAnsi="Century Schoolbook"/>
          <w:sz w:val="20"/>
          <w:szCs w:val="20"/>
        </w:rPr>
        <w:t>“FirstEnergy Solutions said that it continues to expand direct retail sales in Illinois, Michigan and Maryland, in addition to recently entered non-affiliate territories in Pennsylvania and southern Ohio.</w:t>
      </w:r>
    </w:p>
    <w:p w:rsidR="000C38D2" w:rsidRPr="00C73DE2" w:rsidRDefault="000C38D2" w:rsidP="001D4D8C">
      <w:pPr>
        <w:pStyle w:val="PlainText"/>
        <w:ind w:firstLine="720"/>
        <w:rPr>
          <w:rFonts w:ascii="Century Schoolbook" w:hAnsi="Century Schoolbook"/>
          <w:sz w:val="20"/>
          <w:szCs w:val="20"/>
        </w:rPr>
      </w:pPr>
      <w:r w:rsidRPr="00C73DE2">
        <w:rPr>
          <w:rFonts w:ascii="Century Schoolbook" w:hAnsi="Century Schoolbook"/>
          <w:sz w:val="20"/>
          <w:szCs w:val="20"/>
        </w:rPr>
        <w:t>“In 2010, FirstEnergy Solutions doubled its sales outside of Ohio.”</w:t>
      </w:r>
    </w:p>
    <w:p w:rsidR="000C38D2" w:rsidRPr="00C73DE2" w:rsidRDefault="00530A2B" w:rsidP="001D4D8C">
      <w:pPr>
        <w:pStyle w:val="PlainText"/>
        <w:rPr>
          <w:rFonts w:ascii="Century Schoolbook" w:hAnsi="Century Schoolbook"/>
          <w:sz w:val="20"/>
          <w:szCs w:val="20"/>
        </w:rPr>
      </w:pPr>
      <w:hyperlink r:id="rId1" w:history="1">
        <w:r w:rsidR="000C38D2" w:rsidRPr="00C73DE2">
          <w:rPr>
            <w:rStyle w:val="Hyperlink"/>
            <w:rFonts w:ascii="Century Schoolbook" w:hAnsi="Century Schoolbook"/>
            <w:sz w:val="20"/>
            <w:szCs w:val="20"/>
          </w:rPr>
          <w:t>http://www.energychoicematters.com/stories/20110217d.html</w:t>
        </w:r>
      </w:hyperlink>
    </w:p>
    <w:p w:rsidR="000C38D2" w:rsidRDefault="000C38D2" w:rsidP="001D4D8C">
      <w:pPr>
        <w:pStyle w:val="PlainText"/>
      </w:pPr>
    </w:p>
    <w:p w:rsidR="000C38D2" w:rsidRDefault="000C38D2">
      <w:pPr>
        <w:pStyle w:val="FootnoteText"/>
      </w:pPr>
    </w:p>
  </w:footnote>
  <w:footnote w:id="3">
    <w:p w:rsidR="000C38D2" w:rsidRPr="007F4394" w:rsidRDefault="000C38D2" w:rsidP="001010BE">
      <w:pPr>
        <w:pStyle w:val="FootnoteText"/>
      </w:pPr>
      <w:r>
        <w:rPr>
          <w:rStyle w:val="FootnoteReference"/>
        </w:rPr>
        <w:footnoteRef/>
      </w:r>
      <w:r>
        <w:t xml:space="preserve"> Tr. at</w:t>
      </w:r>
      <w:r w:rsidRPr="00A07A7C">
        <w:t xml:space="preserve"> 213-218</w:t>
      </w:r>
      <w:r>
        <w:t xml:space="preserve"> &amp; Direct Energy</w:t>
      </w:r>
      <w:r w:rsidRPr="00A07A7C">
        <w:t xml:space="preserve"> Cross</w:t>
      </w:r>
      <w:r>
        <w:t xml:space="preserve"> Examination Exh. 1 (FE-4(c)-19)</w:t>
      </w:r>
      <w:r w:rsidRPr="00A07A7C">
        <w:t xml:space="preserve">.  The exhibit shows retail market "Take Rates" </w:t>
      </w:r>
      <w:r>
        <w:t xml:space="preserve">of 65% </w:t>
      </w:r>
      <w:r w:rsidRPr="00A07A7C">
        <w:t xml:space="preserve">that Booz and Co. </w:t>
      </w:r>
      <w:r>
        <w:t>on March 22, 2010, projected could be achieved by Joint Applicants in the Penelec, Met-Ed, and Duquesne Light Co. service</w:t>
      </w:r>
      <w:r w:rsidRPr="00A07A7C">
        <w:t xml:space="preserve"> territories</w:t>
      </w:r>
      <w:r>
        <w:t xml:space="preserve"> (65%-70% in the West Penn service territory)</w:t>
      </w:r>
      <w:r w:rsidRPr="00A07A7C">
        <w:t xml:space="preserve">.  </w:t>
      </w:r>
      <w:r>
        <w:t>This colloquy occurred at page</w:t>
      </w:r>
      <w:r w:rsidRPr="00A07A7C">
        <w:t xml:space="preserve"> 218</w:t>
      </w:r>
      <w:r>
        <w:t xml:space="preserve"> of the hearing transcript</w:t>
      </w:r>
      <w:r w:rsidRPr="00A07A7C">
        <w:t>:  Q. "So we are in agreement that your goal for the FE and Allegheny service territories if the merge</w:t>
      </w:r>
      <w:r>
        <w:t>r</w:t>
      </w:r>
      <w:r w:rsidRPr="00A07A7C">
        <w:t xml:space="preserve"> is consummated is to try to achieve these kind of take shares through your three pronged retail marketing channels?  A. (Alexander):</w:t>
      </w:r>
      <w:r>
        <w:t xml:space="preserve">  </w:t>
      </w:r>
      <w:r w:rsidRPr="00A07A7C">
        <w:t>Absolutely.</w:t>
      </w:r>
      <w:r>
        <w:t>”</w:t>
      </w:r>
    </w:p>
  </w:footnote>
  <w:footnote w:id="4">
    <w:p w:rsidR="000C38D2" w:rsidRDefault="000C38D2" w:rsidP="00E34048">
      <w:pPr>
        <w:pStyle w:val="FootnoteText"/>
      </w:pPr>
      <w:r>
        <w:rPr>
          <w:rStyle w:val="FootnoteReference"/>
        </w:rPr>
        <w:footnoteRef/>
      </w:r>
      <w:r>
        <w:t xml:space="preserve"> </w:t>
      </w:r>
      <w:hyperlink r:id="rId2" w:history="1">
        <w:r w:rsidRPr="003B5832">
          <w:rPr>
            <w:rStyle w:val="Hyperlink"/>
          </w:rPr>
          <w:t>http://www.vindy.com/news/2011/feb/16/trustee-why-the-animosity/</w:t>
        </w:r>
      </w:hyperlink>
      <w:r>
        <w:t>.</w:t>
      </w:r>
    </w:p>
    <w:p w:rsidR="000C38D2" w:rsidRPr="00E34048" w:rsidRDefault="000C38D2" w:rsidP="00E34048">
      <w:pPr>
        <w:pStyle w:val="FootnoteTextMore"/>
      </w:pPr>
    </w:p>
  </w:footnote>
  <w:footnote w:id="5">
    <w:p w:rsidR="000C38D2" w:rsidRDefault="000C38D2" w:rsidP="00EF7005">
      <w:pPr>
        <w:pStyle w:val="FootnoteText"/>
      </w:pPr>
      <w:r>
        <w:rPr>
          <w:rStyle w:val="FootnoteReference"/>
        </w:rPr>
        <w:footnoteRef/>
      </w:r>
      <w:r>
        <w:t xml:space="preserve"> The Norton Energy Storage Project.</w:t>
      </w:r>
    </w:p>
  </w:footnote>
  <w:footnote w:id="6">
    <w:p w:rsidR="000C38D2" w:rsidRDefault="000C38D2">
      <w:pPr>
        <w:pStyle w:val="FootnoteText"/>
      </w:pPr>
      <w:r>
        <w:rPr>
          <w:rStyle w:val="FootnoteReference"/>
        </w:rPr>
        <w:footnoteRef/>
      </w:r>
      <w:r>
        <w:t xml:space="preserve"> </w:t>
      </w:r>
      <w:r w:rsidRPr="00E32534">
        <w:rPr>
          <w:rFonts w:ascii="Century Schoolbook" w:hAnsi="Century Schoolbook"/>
        </w:rPr>
        <w:t>Mor</w:t>
      </w:r>
      <w:r w:rsidR="00B809E2">
        <w:rPr>
          <w:rFonts w:ascii="Century Schoolbook" w:hAnsi="Century Schoolbook"/>
        </w:rPr>
        <w:t>e</w:t>
      </w:r>
      <w:r w:rsidRPr="00E32534">
        <w:rPr>
          <w:rFonts w:ascii="Century Schoolbook" w:hAnsi="Century Schoolbook"/>
        </w:rPr>
        <w:t>y St</w:t>
      </w:r>
      <w:r>
        <w:rPr>
          <w:rFonts w:ascii="Century Schoolbook" w:hAnsi="Century Schoolbook"/>
        </w:rPr>
        <w:t>mt. 1 at 27.</w:t>
      </w:r>
    </w:p>
  </w:footnote>
  <w:footnote w:id="7">
    <w:p w:rsidR="000C38D2" w:rsidRDefault="000C38D2">
      <w:pPr>
        <w:pStyle w:val="FootnoteText"/>
      </w:pPr>
      <w:r>
        <w:rPr>
          <w:rStyle w:val="FootnoteReference"/>
        </w:rPr>
        <w:footnoteRef/>
      </w:r>
      <w:r>
        <w:t xml:space="preserve"> </w:t>
      </w:r>
      <w:r w:rsidRPr="00EA0EFC">
        <w:rPr>
          <w:i/>
        </w:rPr>
        <w:t>Id</w:t>
      </w:r>
      <w:r>
        <w:t>.</w:t>
      </w:r>
    </w:p>
  </w:footnote>
  <w:footnote w:id="8">
    <w:p w:rsidR="000C38D2" w:rsidRDefault="000C38D2">
      <w:pPr>
        <w:pStyle w:val="FootnoteText"/>
      </w:pPr>
      <w:r>
        <w:rPr>
          <w:rStyle w:val="FootnoteReference"/>
        </w:rPr>
        <w:footnoteRef/>
      </w:r>
      <w:r>
        <w:t xml:space="preserve"> </w:t>
      </w:r>
      <w:r w:rsidRPr="00EA0EFC">
        <w:rPr>
          <w:i/>
        </w:rPr>
        <w:t>Id</w:t>
      </w:r>
      <w:r>
        <w:t>. at 29.</w:t>
      </w:r>
    </w:p>
  </w:footnote>
  <w:footnote w:id="9">
    <w:p w:rsidR="000C38D2" w:rsidRDefault="000C38D2" w:rsidP="00EF7005">
      <w:pPr>
        <w:pStyle w:val="FootnoteText"/>
      </w:pPr>
      <w:r>
        <w:rPr>
          <w:rStyle w:val="FootnoteReference"/>
        </w:rPr>
        <w:footnoteRef/>
      </w:r>
      <w:r>
        <w:t xml:space="preserve"> OCA St.1 at 9.</w:t>
      </w:r>
    </w:p>
  </w:footnote>
  <w:footnote w:id="10">
    <w:p w:rsidR="000C38D2" w:rsidRDefault="000C38D2" w:rsidP="00EF7005">
      <w:pPr>
        <w:pStyle w:val="FootnoteText"/>
      </w:pPr>
      <w:r>
        <w:rPr>
          <w:rStyle w:val="FootnoteReference"/>
        </w:rPr>
        <w:footnoteRef/>
      </w:r>
      <w:r>
        <w:t xml:space="preserve"> This reflects net present cost at 8%, assuming scheduled debt retirements and annual capital programs for Met-Ed, Penelec, and Penn Power of $100 million, $132.5 million, and $27.5 million, respectively, escalated at 3%, and debt coverage of these capital programs of only 40%, 53.6%, and 40%, respectively.</w:t>
      </w:r>
    </w:p>
  </w:footnote>
  <w:footnote w:id="11">
    <w:p w:rsidR="000C38D2" w:rsidRDefault="000C38D2" w:rsidP="00EF7005">
      <w:pPr>
        <w:pStyle w:val="FootnoteText"/>
      </w:pPr>
      <w:r>
        <w:rPr>
          <w:rStyle w:val="FootnoteReference"/>
        </w:rPr>
        <w:footnoteRef/>
      </w:r>
      <w:r>
        <w:t xml:space="preserve"> This assumes 80% customer retention of residential and commercial customers under default service, 0.8% annual market growth for Penelec, and 0.9% annual growth for West Penn Power.</w:t>
      </w:r>
    </w:p>
  </w:footnote>
  <w:footnote w:id="12">
    <w:p w:rsidR="000C38D2" w:rsidRDefault="000C38D2" w:rsidP="00EF7005">
      <w:pPr>
        <w:pStyle w:val="FootnoteText"/>
      </w:pPr>
      <w:r>
        <w:rPr>
          <w:rStyle w:val="FootnoteReference"/>
        </w:rPr>
        <w:footnoteRef/>
      </w:r>
      <w:r>
        <w:t xml:space="preserve"> This assumes annual market growth for Met-Ed and Penn Power of 2.1% and 1.5%, respectively, applicable to all customer classes, present valued at 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10CB204"/>
    <w:lvl w:ilvl="0">
      <w:start w:val="1"/>
      <w:numFmt w:val="decimal"/>
      <w:pStyle w:val="ListNumber"/>
      <w:lvlText w:val="%1."/>
      <w:lvlJc w:val="left"/>
      <w:pPr>
        <w:tabs>
          <w:tab w:val="num" w:pos="720"/>
        </w:tabs>
        <w:ind w:left="720" w:hanging="720"/>
      </w:pPr>
      <w:rPr>
        <w:rFonts w:hint="default"/>
      </w:rPr>
    </w:lvl>
  </w:abstractNum>
  <w:abstractNum w:abstractNumId="1">
    <w:nsid w:val="FFFFFF89"/>
    <w:multiLevelType w:val="singleLevel"/>
    <w:tmpl w:val="5764F97C"/>
    <w:lvl w:ilvl="0">
      <w:start w:val="1"/>
      <w:numFmt w:val="bullet"/>
      <w:pStyle w:val="ListBullet"/>
      <w:lvlText w:val=""/>
      <w:lvlJc w:val="left"/>
      <w:pPr>
        <w:tabs>
          <w:tab w:val="num" w:pos="720"/>
        </w:tabs>
        <w:ind w:left="720" w:hanging="720"/>
      </w:pPr>
      <w:rPr>
        <w:rFonts w:ascii="Symbol" w:hAnsi="Symbol" w:hint="default"/>
      </w:rPr>
    </w:lvl>
  </w:abstractNum>
  <w:abstractNum w:abstractNumId="2">
    <w:nsid w:val="00987082"/>
    <w:multiLevelType w:val="multilevel"/>
    <w:tmpl w:val="69BE3528"/>
    <w:name w:val="Outline - Litigation"/>
    <w:lvl w:ilvl="0">
      <w:start w:val="1"/>
      <w:numFmt w:val="upperRoman"/>
      <w:pStyle w:val="Heading1"/>
      <w:lvlText w:val="%1."/>
      <w:lvlJc w:val="left"/>
      <w:pPr>
        <w:tabs>
          <w:tab w:val="num" w:pos="720"/>
        </w:tabs>
        <w:ind w:left="720" w:hanging="720"/>
      </w:pPr>
      <w:rPr>
        <w:caps w:val="0"/>
        <w:color w:val="000000"/>
        <w:u w:val="none"/>
      </w:rPr>
    </w:lvl>
    <w:lvl w:ilvl="1">
      <w:start w:val="1"/>
      <w:numFmt w:val="upperLetter"/>
      <w:pStyle w:val="Heading2"/>
      <w:lvlText w:val="%2."/>
      <w:lvlJc w:val="left"/>
      <w:pPr>
        <w:tabs>
          <w:tab w:val="num" w:pos="720"/>
        </w:tabs>
        <w:ind w:left="-720" w:firstLine="720"/>
      </w:pPr>
      <w:rPr>
        <w:caps w:val="0"/>
        <w:color w:val="000000"/>
        <w:u w:val="none"/>
      </w:rPr>
    </w:lvl>
    <w:lvl w:ilvl="2">
      <w:start w:val="1"/>
      <w:numFmt w:val="decimal"/>
      <w:pStyle w:val="Heading3"/>
      <w:lvlText w:val="%3."/>
      <w:lvlJc w:val="left"/>
      <w:pPr>
        <w:tabs>
          <w:tab w:val="num" w:pos="2160"/>
        </w:tabs>
        <w:ind w:left="0" w:firstLine="1440"/>
      </w:pPr>
      <w:rPr>
        <w:caps w:val="0"/>
        <w:color w:val="000000"/>
        <w:u w:val="none"/>
      </w:rPr>
    </w:lvl>
    <w:lvl w:ilvl="3">
      <w:start w:val="1"/>
      <w:numFmt w:val="lowerLetter"/>
      <w:pStyle w:val="Heading4"/>
      <w:lvlText w:val="(%4)"/>
      <w:lvlJc w:val="left"/>
      <w:pPr>
        <w:tabs>
          <w:tab w:val="num" w:pos="2160"/>
        </w:tabs>
        <w:ind w:left="0" w:firstLine="2160"/>
      </w:pPr>
      <w:rPr>
        <w:caps w:val="0"/>
        <w:color w:val="000000"/>
        <w:u w:val="none"/>
      </w:rPr>
    </w:lvl>
    <w:lvl w:ilvl="4">
      <w:start w:val="1"/>
      <w:numFmt w:val="lowerRoman"/>
      <w:pStyle w:val="Heading5"/>
      <w:lvlText w:val="(%5)"/>
      <w:lvlJc w:val="left"/>
      <w:pPr>
        <w:tabs>
          <w:tab w:val="num" w:pos="2880"/>
        </w:tabs>
        <w:ind w:left="1440" w:firstLine="1440"/>
      </w:pPr>
      <w:rPr>
        <w:caps w:val="0"/>
        <w:color w:val="000000"/>
        <w:u w:val="none"/>
      </w:rPr>
    </w:lvl>
    <w:lvl w:ilvl="5">
      <w:start w:val="1"/>
      <w:numFmt w:val="decimal"/>
      <w:pStyle w:val="Heading6"/>
      <w:lvlText w:val="(%6)"/>
      <w:lvlJc w:val="left"/>
      <w:pPr>
        <w:tabs>
          <w:tab w:val="num" w:pos="2880"/>
        </w:tabs>
        <w:ind w:left="1440" w:firstLine="1440"/>
      </w:pPr>
      <w:rPr>
        <w:caps w:val="0"/>
        <w:color w:val="000000"/>
        <w:u w:val="none"/>
      </w:rPr>
    </w:lvl>
    <w:lvl w:ilvl="6">
      <w:start w:val="1"/>
      <w:numFmt w:val="decimal"/>
      <w:pStyle w:val="Heading7"/>
      <w:lvlText w:val="%7."/>
      <w:lvlJc w:val="left"/>
      <w:pPr>
        <w:tabs>
          <w:tab w:val="num" w:pos="3600"/>
        </w:tabs>
        <w:ind w:left="2160" w:firstLine="1440"/>
      </w:pPr>
      <w:rPr>
        <w:caps w:val="0"/>
        <w:color w:val="000000"/>
        <w:u w:val="none"/>
      </w:rPr>
    </w:lvl>
    <w:lvl w:ilvl="7">
      <w:start w:val="1"/>
      <w:numFmt w:val="lowerRoman"/>
      <w:pStyle w:val="Heading8"/>
      <w:lvlText w:val="%8."/>
      <w:lvlJc w:val="left"/>
      <w:pPr>
        <w:tabs>
          <w:tab w:val="num" w:pos="4320"/>
        </w:tabs>
        <w:ind w:left="3600" w:firstLine="720"/>
      </w:pPr>
      <w:rPr>
        <w:caps w:val="0"/>
        <w:color w:val="000000"/>
        <w:u w:val="none"/>
      </w:rPr>
    </w:lvl>
    <w:lvl w:ilvl="8">
      <w:start w:val="1"/>
      <w:numFmt w:val="decimal"/>
      <w:pStyle w:val="Heading9"/>
      <w:lvlText w:val="(%9)"/>
      <w:lvlJc w:val="left"/>
      <w:pPr>
        <w:tabs>
          <w:tab w:val="num" w:pos="5040"/>
        </w:tabs>
        <w:ind w:left="4320" w:firstLine="720"/>
      </w:pPr>
      <w:rPr>
        <w:caps w:val="0"/>
        <w:color w:val="000000"/>
        <w:u w:val="none"/>
      </w:rPr>
    </w:lvl>
  </w:abstractNum>
  <w:abstractNum w:abstractNumId="3">
    <w:nsid w:val="072A1346"/>
    <w:multiLevelType w:val="hybridMultilevel"/>
    <w:tmpl w:val="1A14C8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E603560"/>
    <w:multiLevelType w:val="multilevel"/>
    <w:tmpl w:val="9DB0F27A"/>
    <w:styleLink w:val="ListStyleHeadings"/>
    <w:lvl w:ilvl="0">
      <w:start w:val="1"/>
      <w:numFmt w:val="upperRoman"/>
      <w:pStyle w:val="PleadingHeading1"/>
      <w:lvlText w:val="%1."/>
      <w:lvlJc w:val="left"/>
      <w:pPr>
        <w:ind w:left="720" w:hanging="720"/>
      </w:pPr>
      <w:rPr>
        <w:rFonts w:ascii="Times New Roman" w:hAnsi="Times New Roman" w:hint="default"/>
        <w:b/>
        <w:sz w:val="24"/>
      </w:rPr>
    </w:lvl>
    <w:lvl w:ilvl="1">
      <w:start w:val="1"/>
      <w:numFmt w:val="upperLetter"/>
      <w:pStyle w:val="PleadingHeading2"/>
      <w:lvlText w:val="%2."/>
      <w:lvlJc w:val="left"/>
      <w:pPr>
        <w:ind w:left="1440" w:hanging="720"/>
      </w:pPr>
      <w:rPr>
        <w:rFonts w:ascii="Times New Roman" w:hAnsi="Times New Roman" w:hint="default"/>
        <w:b/>
        <w:i w:val="0"/>
        <w:caps w:val="0"/>
        <w:strike w:val="0"/>
        <w:dstrike w:val="0"/>
        <w:outline w:val="0"/>
        <w:shadow w:val="0"/>
        <w:emboss w:val="0"/>
        <w:imprint w:val="0"/>
        <w:vanish w:val="0"/>
        <w:color w:val="auto"/>
        <w:sz w:val="24"/>
        <w:u w:val="none"/>
        <w:vertAlign w:val="baseline"/>
      </w:rPr>
    </w:lvl>
    <w:lvl w:ilvl="2">
      <w:start w:val="1"/>
      <w:numFmt w:val="decimal"/>
      <w:pStyle w:val="PleadingHeading3"/>
      <w:lvlText w:val="%3."/>
      <w:lvlJc w:val="left"/>
      <w:pPr>
        <w:tabs>
          <w:tab w:val="num" w:pos="1440"/>
        </w:tabs>
        <w:ind w:left="2160" w:hanging="720"/>
      </w:pPr>
      <w:rPr>
        <w:rFonts w:ascii="Times New Roman" w:hAnsi="Times New Roman" w:hint="default"/>
        <w:b/>
        <w:i w:val="0"/>
        <w:caps w:val="0"/>
        <w:strike w:val="0"/>
        <w:dstrike w:val="0"/>
        <w:outline w:val="0"/>
        <w:shadow w:val="0"/>
        <w:emboss w:val="0"/>
        <w:imprint w:val="0"/>
        <w:vanish w:val="0"/>
        <w:color w:val="auto"/>
        <w:sz w:val="24"/>
        <w:u w:val="none"/>
        <w:vertAlign w:val="baseline"/>
      </w:rPr>
    </w:lvl>
    <w:lvl w:ilvl="3">
      <w:start w:val="1"/>
      <w:numFmt w:val="lowerRoman"/>
      <w:pStyle w:val="PleadingHeading4"/>
      <w:lvlText w:val="%4."/>
      <w:lvlJc w:val="left"/>
      <w:pPr>
        <w:ind w:left="2880" w:hanging="720"/>
      </w:pPr>
      <w:rPr>
        <w:rFonts w:ascii="Times New Roman" w:hAnsi="Times New Roman" w:hint="default"/>
        <w:b/>
        <w:i/>
        <w:caps w:val="0"/>
        <w:strike w:val="0"/>
        <w:dstrike w:val="0"/>
        <w:outline w:val="0"/>
        <w:shadow w:val="0"/>
        <w:emboss w:val="0"/>
        <w:imprint w:val="0"/>
        <w:vanish w:val="0"/>
        <w:sz w:val="24"/>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CC02408"/>
    <w:multiLevelType w:val="hybridMultilevel"/>
    <w:tmpl w:val="65889F24"/>
    <w:lvl w:ilvl="0" w:tplc="04090001">
      <w:start w:val="1"/>
      <w:numFmt w:val="bullet"/>
      <w:lvlText w:val=""/>
      <w:lvlJc w:val="left"/>
      <w:pPr>
        <w:tabs>
          <w:tab w:val="num" w:pos="1440"/>
        </w:tabs>
        <w:ind w:left="1440" w:hanging="360"/>
      </w:pPr>
      <w:rPr>
        <w:rFonts w:ascii="Symbol" w:hAnsi="Symbol" w:hint="default"/>
      </w:rPr>
    </w:lvl>
    <w:lvl w:ilvl="1" w:tplc="A4281D24">
      <w:start w:val="1"/>
      <w:numFmt w:val="bullet"/>
      <w:pStyle w:val="Bullet2"/>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F5644A5"/>
    <w:multiLevelType w:val="hybridMultilevel"/>
    <w:tmpl w:val="7AE89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8D74757"/>
    <w:multiLevelType w:val="hybridMultilevel"/>
    <w:tmpl w:val="C838B9FE"/>
    <w:lvl w:ilvl="0" w:tplc="C8224D7A">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6FD7017"/>
    <w:multiLevelType w:val="hybridMultilevel"/>
    <w:tmpl w:val="E2BAB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2EE138F"/>
    <w:multiLevelType w:val="hybridMultilevel"/>
    <w:tmpl w:val="20D27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3E6E9A"/>
    <w:multiLevelType w:val="multilevel"/>
    <w:tmpl w:val="FC20E9D0"/>
    <w:name w:val="Outline - Traditional Harvard"/>
    <w:lvl w:ilvl="0">
      <w:start w:val="1"/>
      <w:numFmt w:val="upperRoman"/>
      <w:lvlText w:val="%1."/>
      <w:lvlJc w:val="left"/>
      <w:pPr>
        <w:tabs>
          <w:tab w:val="num" w:pos="4680"/>
        </w:tabs>
        <w:ind w:left="4680" w:hanging="720"/>
      </w:pPr>
      <w:rPr>
        <w:rFonts w:hint="default"/>
        <w:b/>
        <w:vanish w:val="0"/>
        <w:color w:val="000000"/>
        <w:u w:val="none"/>
      </w:rPr>
    </w:lvl>
    <w:lvl w:ilvl="1">
      <w:start w:val="1"/>
      <w:numFmt w:val="upperLetter"/>
      <w:lvlText w:val="%2."/>
      <w:lvlJc w:val="left"/>
      <w:pPr>
        <w:tabs>
          <w:tab w:val="num" w:pos="1440"/>
        </w:tabs>
        <w:ind w:left="1440" w:hanging="720"/>
      </w:pPr>
      <w:rPr>
        <w:rFonts w:hint="default"/>
        <w:vanish w:val="0"/>
        <w:color w:val="000000"/>
        <w:u w:val="none"/>
      </w:rPr>
    </w:lvl>
    <w:lvl w:ilvl="2">
      <w:start w:val="1"/>
      <w:numFmt w:val="decimal"/>
      <w:lvlText w:val="%3."/>
      <w:lvlJc w:val="left"/>
      <w:pPr>
        <w:tabs>
          <w:tab w:val="num" w:pos="1980"/>
        </w:tabs>
        <w:ind w:left="1980" w:hanging="720"/>
      </w:pPr>
      <w:rPr>
        <w:rFonts w:hint="default"/>
        <w:i w:val="0"/>
        <w:vanish w:val="0"/>
        <w:color w:val="000000"/>
        <w:u w:val="none"/>
      </w:rPr>
    </w:lvl>
    <w:lvl w:ilvl="3">
      <w:start w:val="1"/>
      <w:numFmt w:val="lowerLetter"/>
      <w:lvlText w:val="%4."/>
      <w:lvlJc w:val="left"/>
      <w:pPr>
        <w:tabs>
          <w:tab w:val="num" w:pos="2700"/>
        </w:tabs>
        <w:ind w:left="2700" w:hanging="720"/>
      </w:pPr>
      <w:rPr>
        <w:rFonts w:hint="default"/>
        <w:i w:val="0"/>
        <w:vanish w:val="0"/>
        <w:color w:val="000000"/>
        <w:u w:val="none"/>
      </w:rPr>
    </w:lvl>
    <w:lvl w:ilvl="4">
      <w:start w:val="1"/>
      <w:numFmt w:val="lowerRoman"/>
      <w:lvlText w:val="%5."/>
      <w:lvlJc w:val="left"/>
      <w:pPr>
        <w:tabs>
          <w:tab w:val="num" w:pos="3600"/>
        </w:tabs>
        <w:ind w:left="3600" w:hanging="720"/>
      </w:pPr>
      <w:rPr>
        <w:rFonts w:hint="default"/>
        <w:vanish w:val="0"/>
        <w:color w:val="000000"/>
        <w:u w:val="none"/>
      </w:rPr>
    </w:lvl>
    <w:lvl w:ilvl="5">
      <w:start w:val="1"/>
      <w:numFmt w:val="lowerLetter"/>
      <w:lvlText w:val="(%6)"/>
      <w:lvlJc w:val="left"/>
      <w:pPr>
        <w:tabs>
          <w:tab w:val="num" w:pos="4320"/>
        </w:tabs>
        <w:ind w:left="4320" w:hanging="720"/>
      </w:pPr>
      <w:rPr>
        <w:rFonts w:hint="default"/>
        <w:vanish w:val="0"/>
        <w:color w:val="000000"/>
        <w:u w:val="none"/>
      </w:rPr>
    </w:lvl>
    <w:lvl w:ilvl="6">
      <w:start w:val="1"/>
      <w:numFmt w:val="lowerRoman"/>
      <w:lvlText w:val="(%7)"/>
      <w:lvlJc w:val="left"/>
      <w:pPr>
        <w:tabs>
          <w:tab w:val="num" w:pos="5040"/>
        </w:tabs>
        <w:ind w:left="5040" w:hanging="720"/>
      </w:pPr>
      <w:rPr>
        <w:rFonts w:hint="default"/>
        <w:vanish w:val="0"/>
        <w:color w:val="000000"/>
        <w:u w:val="none"/>
      </w:rPr>
    </w:lvl>
    <w:lvl w:ilvl="7">
      <w:start w:val="1"/>
      <w:numFmt w:val="decimal"/>
      <w:lvlText w:val="%8)"/>
      <w:lvlJc w:val="left"/>
      <w:pPr>
        <w:tabs>
          <w:tab w:val="num" w:pos="5760"/>
        </w:tabs>
        <w:ind w:left="5760" w:hanging="720"/>
      </w:pPr>
      <w:rPr>
        <w:rFonts w:hint="default"/>
        <w:vanish w:val="0"/>
        <w:color w:val="000000"/>
        <w:u w:val="none"/>
      </w:rPr>
    </w:lvl>
    <w:lvl w:ilvl="8">
      <w:start w:val="1"/>
      <w:numFmt w:val="lowerLetter"/>
      <w:lvlText w:val="%9)"/>
      <w:lvlJc w:val="left"/>
      <w:pPr>
        <w:tabs>
          <w:tab w:val="num" w:pos="6480"/>
        </w:tabs>
        <w:ind w:left="6480" w:hanging="720"/>
      </w:pPr>
      <w:rPr>
        <w:rFonts w:hint="default"/>
        <w:vanish w:val="0"/>
        <w:color w:val="000000"/>
        <w:u w:val="none"/>
      </w:rPr>
    </w:lvl>
  </w:abstractNum>
  <w:abstractNum w:abstractNumId="11">
    <w:nsid w:val="71A92167"/>
    <w:multiLevelType w:val="hybridMultilevel"/>
    <w:tmpl w:val="A972FD78"/>
    <w:lvl w:ilvl="0" w:tplc="676AC58E">
      <w:start w:val="1"/>
      <w:numFmt w:val="decimal"/>
      <w:pStyle w:val="WBNumberedListIndented"/>
      <w:lvlText w:val="%1."/>
      <w:lvlJc w:val="left"/>
      <w:pPr>
        <w:tabs>
          <w:tab w:val="num" w:pos="1080"/>
        </w:tabs>
        <w:ind w:left="0" w:firstLine="720"/>
      </w:pPr>
      <w:rPr>
        <w:rFonts w:hint="default"/>
      </w:rPr>
    </w:lvl>
    <w:lvl w:ilvl="1" w:tplc="5F4EA6A4">
      <w:start w:val="1"/>
      <w:numFmt w:val="decimal"/>
      <w:lvlText w:val="%2."/>
      <w:lvlJc w:val="left"/>
      <w:pPr>
        <w:tabs>
          <w:tab w:val="num" w:pos="720"/>
        </w:tabs>
        <w:ind w:left="720" w:hanging="720"/>
      </w:pPr>
      <w:rPr>
        <w:rFonts w:hint="default"/>
      </w:rPr>
    </w:lvl>
    <w:lvl w:ilvl="2" w:tplc="5FD2516E">
      <w:start w:val="1"/>
      <w:numFmt w:val="bullet"/>
      <w:pStyle w:val="WBBulletedList"/>
      <w:lvlText w:val=""/>
      <w:lvlJc w:val="left"/>
      <w:pPr>
        <w:tabs>
          <w:tab w:val="num" w:pos="720"/>
        </w:tabs>
        <w:ind w:left="720" w:hanging="720"/>
      </w:pPr>
      <w:rPr>
        <w:rFonts w:ascii="Symbol" w:hAnsi="Symbol" w:hint="default"/>
      </w:rPr>
    </w:lvl>
    <w:lvl w:ilvl="3" w:tplc="6FB624E4" w:tentative="1">
      <w:start w:val="1"/>
      <w:numFmt w:val="decimal"/>
      <w:lvlText w:val="%4."/>
      <w:lvlJc w:val="left"/>
      <w:pPr>
        <w:tabs>
          <w:tab w:val="num" w:pos="2880"/>
        </w:tabs>
        <w:ind w:left="2880" w:hanging="360"/>
      </w:pPr>
    </w:lvl>
    <w:lvl w:ilvl="4" w:tplc="C090D8CC" w:tentative="1">
      <w:start w:val="1"/>
      <w:numFmt w:val="lowerLetter"/>
      <w:lvlText w:val="%5."/>
      <w:lvlJc w:val="left"/>
      <w:pPr>
        <w:tabs>
          <w:tab w:val="num" w:pos="3600"/>
        </w:tabs>
        <w:ind w:left="3600" w:hanging="360"/>
      </w:pPr>
    </w:lvl>
    <w:lvl w:ilvl="5" w:tplc="8C121A96" w:tentative="1">
      <w:start w:val="1"/>
      <w:numFmt w:val="lowerRoman"/>
      <w:lvlText w:val="%6."/>
      <w:lvlJc w:val="right"/>
      <w:pPr>
        <w:tabs>
          <w:tab w:val="num" w:pos="4320"/>
        </w:tabs>
        <w:ind w:left="4320" w:hanging="180"/>
      </w:pPr>
    </w:lvl>
    <w:lvl w:ilvl="6" w:tplc="4A1ED44E" w:tentative="1">
      <w:start w:val="1"/>
      <w:numFmt w:val="decimal"/>
      <w:lvlText w:val="%7."/>
      <w:lvlJc w:val="left"/>
      <w:pPr>
        <w:tabs>
          <w:tab w:val="num" w:pos="5040"/>
        </w:tabs>
        <w:ind w:left="5040" w:hanging="360"/>
      </w:pPr>
    </w:lvl>
    <w:lvl w:ilvl="7" w:tplc="7466F962" w:tentative="1">
      <w:start w:val="1"/>
      <w:numFmt w:val="lowerLetter"/>
      <w:lvlText w:val="%8."/>
      <w:lvlJc w:val="left"/>
      <w:pPr>
        <w:tabs>
          <w:tab w:val="num" w:pos="5760"/>
        </w:tabs>
        <w:ind w:left="5760" w:hanging="360"/>
      </w:pPr>
    </w:lvl>
    <w:lvl w:ilvl="8" w:tplc="C9B01266" w:tentative="1">
      <w:start w:val="1"/>
      <w:numFmt w:val="lowerRoman"/>
      <w:lvlText w:val="%9."/>
      <w:lvlJc w:val="right"/>
      <w:pPr>
        <w:tabs>
          <w:tab w:val="num" w:pos="6480"/>
        </w:tabs>
        <w:ind w:left="6480" w:hanging="180"/>
      </w:pPr>
    </w:lvl>
  </w:abstractNum>
  <w:abstractNum w:abstractNumId="12">
    <w:nsid w:val="748309CC"/>
    <w:multiLevelType w:val="hybridMultilevel"/>
    <w:tmpl w:val="FFF6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EB2605"/>
    <w:multiLevelType w:val="hybridMultilevel"/>
    <w:tmpl w:val="B8C02C6C"/>
    <w:lvl w:ilvl="0" w:tplc="C1380CD8">
      <w:start w:val="1"/>
      <w:numFmt w:val="decimal"/>
      <w:pStyle w:val="WBNumberedList"/>
      <w:lvlText w:val="%1."/>
      <w:lvlJc w:val="left"/>
      <w:pPr>
        <w:tabs>
          <w:tab w:val="num" w:pos="720"/>
        </w:tabs>
        <w:ind w:left="720" w:hanging="720"/>
      </w:pPr>
      <w:rPr>
        <w:rFonts w:hint="default"/>
      </w:rPr>
    </w:lvl>
    <w:lvl w:ilvl="1" w:tplc="129E9340" w:tentative="1">
      <w:start w:val="1"/>
      <w:numFmt w:val="lowerLetter"/>
      <w:lvlText w:val="%2."/>
      <w:lvlJc w:val="left"/>
      <w:pPr>
        <w:tabs>
          <w:tab w:val="num" w:pos="1440"/>
        </w:tabs>
        <w:ind w:left="1440" w:hanging="360"/>
      </w:pPr>
    </w:lvl>
    <w:lvl w:ilvl="2" w:tplc="8124CE8E" w:tentative="1">
      <w:start w:val="1"/>
      <w:numFmt w:val="lowerRoman"/>
      <w:lvlText w:val="%3."/>
      <w:lvlJc w:val="right"/>
      <w:pPr>
        <w:tabs>
          <w:tab w:val="num" w:pos="2160"/>
        </w:tabs>
        <w:ind w:left="2160" w:hanging="180"/>
      </w:pPr>
    </w:lvl>
    <w:lvl w:ilvl="3" w:tplc="D8EC596E" w:tentative="1">
      <w:start w:val="1"/>
      <w:numFmt w:val="decimal"/>
      <w:lvlText w:val="%4."/>
      <w:lvlJc w:val="left"/>
      <w:pPr>
        <w:tabs>
          <w:tab w:val="num" w:pos="2880"/>
        </w:tabs>
        <w:ind w:left="2880" w:hanging="360"/>
      </w:pPr>
    </w:lvl>
    <w:lvl w:ilvl="4" w:tplc="2350F510" w:tentative="1">
      <w:start w:val="1"/>
      <w:numFmt w:val="lowerLetter"/>
      <w:lvlText w:val="%5."/>
      <w:lvlJc w:val="left"/>
      <w:pPr>
        <w:tabs>
          <w:tab w:val="num" w:pos="3600"/>
        </w:tabs>
        <w:ind w:left="3600" w:hanging="360"/>
      </w:pPr>
    </w:lvl>
    <w:lvl w:ilvl="5" w:tplc="09BE0950" w:tentative="1">
      <w:start w:val="1"/>
      <w:numFmt w:val="lowerRoman"/>
      <w:lvlText w:val="%6."/>
      <w:lvlJc w:val="right"/>
      <w:pPr>
        <w:tabs>
          <w:tab w:val="num" w:pos="4320"/>
        </w:tabs>
        <w:ind w:left="4320" w:hanging="180"/>
      </w:pPr>
    </w:lvl>
    <w:lvl w:ilvl="6" w:tplc="C68A4180" w:tentative="1">
      <w:start w:val="1"/>
      <w:numFmt w:val="decimal"/>
      <w:lvlText w:val="%7."/>
      <w:lvlJc w:val="left"/>
      <w:pPr>
        <w:tabs>
          <w:tab w:val="num" w:pos="5040"/>
        </w:tabs>
        <w:ind w:left="5040" w:hanging="360"/>
      </w:pPr>
    </w:lvl>
    <w:lvl w:ilvl="7" w:tplc="522485D6" w:tentative="1">
      <w:start w:val="1"/>
      <w:numFmt w:val="lowerLetter"/>
      <w:lvlText w:val="%8."/>
      <w:lvlJc w:val="left"/>
      <w:pPr>
        <w:tabs>
          <w:tab w:val="num" w:pos="5760"/>
        </w:tabs>
        <w:ind w:left="5760" w:hanging="360"/>
      </w:pPr>
    </w:lvl>
    <w:lvl w:ilvl="8" w:tplc="096CCA8C"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11"/>
  </w:num>
  <w:num w:numId="4">
    <w:abstractNumId w:val="5"/>
  </w:num>
  <w:num w:numId="5">
    <w:abstractNumId w:val="13"/>
  </w:num>
  <w:num w:numId="6">
    <w:abstractNumId w:val="2"/>
  </w:num>
  <w:num w:numId="7">
    <w:abstractNumId w:val="4"/>
  </w:num>
  <w:num w:numId="8">
    <w:abstractNumId w:val="10"/>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8"/>
  </w:num>
  <w:num w:numId="18">
    <w:abstractNumId w:val="2"/>
  </w:num>
  <w:num w:numId="19">
    <w:abstractNumId w:val="2"/>
  </w:num>
  <w:num w:numId="20">
    <w:abstractNumId w:val="3"/>
  </w:num>
  <w:num w:numId="21">
    <w:abstractNumId w:val="6"/>
  </w:num>
  <w:num w:numId="22">
    <w:abstractNumId w:val="2"/>
  </w:num>
  <w:num w:numId="23">
    <w:abstractNumId w:val="2"/>
  </w:num>
  <w:num w:numId="24">
    <w:abstractNumId w:val="2"/>
  </w:num>
  <w:num w:numId="25">
    <w:abstractNumId w:val="2"/>
  </w:num>
  <w:num w:numId="26">
    <w:abstractNumId w:val="12"/>
  </w:num>
  <w:num w:numId="27">
    <w:abstractNumId w:val="9"/>
  </w:num>
  <w:num w:numId="28">
    <w:abstractNumId w:val="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720"/>
  <w:characterSpacingControl w:val="doNotCompress"/>
  <w:hdrShapeDefaults>
    <o:shapedefaults v:ext="edit" spidmax="284674"/>
  </w:hdrShapeDefaults>
  <w:footnotePr>
    <w:footnote w:id="-1"/>
    <w:footnote w:id="0"/>
  </w:footnotePr>
  <w:endnotePr>
    <w:endnote w:id="-1"/>
    <w:endnote w:id="0"/>
  </w:endnotePr>
  <w:compat/>
  <w:docVars>
    <w:docVar w:name="_BA_AuthorName_" w:val="WolfBlock Author"/>
    <w:docVar w:name="_BA_Hash" w:val="TCOCTK"/>
    <w:docVar w:name="_BA_History_" w:val="|01/28/2008 02:12 PM;Set Scheme: Sample Common;Wlw2344|01/28/2008 02:30 PM;Scan;Wlw2344|01/28/2008 02:32 PM;Draft Review;Wlw2344|01/28/2008 02:34 PM;Build Fully-Formatted TOAs;Wlw2344|12/12/2008 09:17 AM;Set Scheme: Sample Detail;Gjx2348|12/12/2008 09:19 AM;Scan;Gjx2348|12/12/2008 09:21 AM;Draft Review;Gjx2348|12/12/2008 09:35 AM;Full Page Review;Gjx2348|12/12/2008 09:36 AM;Build Fully-Formatted TOAs;Gjx2348"/>
    <w:docVar w:name="_BA_LastTab_Right" w:val="0"/>
    <w:docVar w:name="_BA_ReformatLongs" w:val="Current"/>
    <w:docVar w:name="_BA_ScanOptions" w:val="0|1||2|True|True|True|False|False|True|True|True|True|0|PA|0.2"/>
    <w:docVar w:name="_BA_SchemeCustomized_" w:val="False"/>
    <w:docVar w:name="_BA_SchemeValues_" w:val="_x000A__x000A_[@STARTINI@]_x000A__x000A_[@[Options]@]_x000A__x000A_[@AddPageHeading=True@]_x000A__x000A_[@AddTitle=True@]_x000A__x000A_[@ApplySubstitutions=True@]_x000A__x000A_[@ExcludeIds=False@]_x000A__x000A_[@GlobalFormatOption=0@]_x000A__x000A_[@EnforceFont=True@]_x000A__x000A_[@InsertReturnCase=True@]_x000A__x000A_[@LeftMarginTextOffset=0.5@]_x000A__x000A_[@NoSpellCheck=True@]_x000A__x000A_[@PageBreakAfter=False@]_x000A__x000A_[@PageBreakBefore=False@]_x000A__x000A_[@PageBreakBetweenCats=False@]_x000A__x000A_[@PageHeadingStyle=BA TOA Page Heading@]_x000A__x000A_[@PageHeadingText=Page(s)@]_x000A__x000A_[@PlainText=False@]_x000A__x000A_[@RemoveComma=False@]_x000A__x000A_[@ReturnType=1@]_x000A__x000A_[@SplitTOAIndent=1@]_x000A__x000A_[@SuppressMentions=False@]_x000A__x000A_[@SuppressQuotedCites=True@]_x000A__x000A_[@SuppressShorts=False@]_x000A__x000A_[@TitleStyle=BA TOA Title@]_x000A__x000A_[@TitleText=Table of Authorities@]_x000A__x000A_[@UseCS1=False@]_x000A__x000A_[@UseHyperlinks=True@]_x000A__x000A_[@[Sorting]@]_x000A__x000A_[@IgnoreExParteForCases=False@]_x000A__x000A_[@IgnoreExRelForCases=False@]_x000A__x000A_[@IgnoreInReForCases=False@]_x000A__x000A_[@SortNumerically=True@]_x000A__x000A_[@[File]@]_x000A__x000A_[@Version=2.0.24@]_x000A__x000A_[@Scope=0@]_x000A__x000A_[@Description=Fed Cases, State Cases, Fed Statutes, State Statutes, Rules, Regulations, Const Provisions, Other Authorities included&lt;ret&gt;Mentions NOT suppressed&lt;ret&gt;Quoted citations suppressed&lt;ret&gt;Subdivision substitutions enabled@]_x000A__x000A_[@Name=Sample Detail@]_x000A__x000A_[@[FileControl]@]_x000A__x000A_[@FileType=Best Authority Scheme File@]_x000A__x000A_[@FileVersion=01.02.0000@]_x000A__x000A_[@MinAppVersion=01.00.0090@]_x000A__x000A_[@[XTOAs]@]_x000A__x000A_[@1=Federal Cases.False.4.@]_x000A__x000A_[@2=State Cases.False.2.@]_x000A__x000A_[@3=Federal Statutes.False.4.@]_x000A__x000A_[@4=State Statutes.False.2.@]_x000A__x000A_[@5=Rules.False.0.@]_x000A__x000A_[@6=Regulations.False.0.@]_x000A__x000A_[@7=Constitutional Provisions.False.0.@]_x000A__x000A_[@8=Other Authorities.False.0.@]_x000A__x000A_[@9=Suspects.False.0.@]_x000A__x000A_[@10=Non-TOA References.False.0.@]_x000A__x000A_[@[Federal Cases.False.4.]@]_x000A__x000A_[@HitClasses=&lt;@cs&gt;|&lt;@regcs&gt;@]_x000A__x000A_[@Docketed=False@]_x000A__x000A_[@EntryPageSep=0@]_x000A__x000A_[@EntryStyle=BA TOA Entry@]_x000A__x000A_[@EntryTabCount=1@]_x000A__x000A_[@GeoRestriction=4@]_x000A__x000A_[@HeadingStyle=BA TOA Heading@]_x000A__x000A_[@PageHeadingStyle=BA TOA Page Heading@]_x000A__x000A_[@IncludeHeading=True@]_x000A__x000A_[@IncludePageHeading=False@]_x000A__x000A_[@MultiPageSep=1@]_x000A__x000A_[@Name=Federal Cases@]_x000A__x000A_[@AutoOverride=0@]_x000A__x000A_[@PageRangeSep=3@]_x000A__x000A_[@PageHeadingText=Page(s)@]_x000A__x000A_[@PassimNumber=5@]_x000A__x000A_[@PassimText=Passim@]_x000A__x000A_[@State=@]_x000A__x000A_[@UseDefaults=True@]_x000A__x000A_[@GroupByFirstLine=False@]_x000A__x000A_[@UsePassim=True@]_x000A__x000A_[@OtherAuthorities=False@]_x000A__x000A_[@NonTOAReferences=False@]_x000A__x000A_[@ManualOverride=0@]_x000A__x000A_[@SortMethod=0@]_x000A__x000A_[@InsertReturnSubgroups=False@]_x000A__x000A_[@SubgroupsArticle=False@]_x000A__x000A_[@SubgroupsChapter=False@]_x000A__x000A_[@SubgroupsParagraph=False@]_x000A__x000A_[@SubgroupsRule=False@]_x000A__x000A_[@SubgroupsSection=False@]_x000A__x000A_[@SubgroupsTitle=False@]_x000A__x000A_[@SubgroupsRemoveComma=False@]_x000A__x000A_[@SubgroupsSingleEntry=False@]_x000A__x000A_[@[State Cases.False.2.]@]_x000A__x000A_[@HitClasses=&lt;@cs&gt;@]_x000A__x000A_[@Docketed=False@]_x000A__x000A_[@EntryPageSep=0@]_x000A__x000A_[@EntryStyle=BA TOA Entry@]_x000A__x000A_[@EntryTabCount=1@]_x000A__x000A_[@GeoRestriction=2@]_x000A__x000A_[@HeadingStyle=BA TOA Heading@]_x000A__x000A_[@PageHeadingStyle=BA TOA Page Heading@]_x000A__x000A_[@IncludeHeading=True@]_x000A__x000A_[@IncludePageHeading=True@]_x000A__x000A_[@MultiPageSep=0@]_x000A__x000A_[@Name=State Cases@]_x000A__x000A_[@AutoOverride=0@]_x000A__x000A_[@PageRangeSep=3@]_x000A__x000A_[@PageHeadingText=Page(s)@]_x000A__x000A_[@PassimNumber=6@]_x000A__x000A_[@PassimText=Passim@]_x000A__x000A_[@State=@]_x000A__x000A_[@UseDefaults=True@]_x000A__x000A_[@GroupByFirstLine=False@]_x000A__x000A_[@UsePassim=True@]_x000A__x000A_[@OtherAuthorities=False@]_x000A__x000A_[@NonTOAReferences=False@]_x000A__x000A_[@ManualOverride=0@]_x000A__x000A_[@SortMethod=0@]_x000A__x000A_[@InsertReturnSubgroups=False@]_x000A__x000A_[@SubgroupsArticle=False@]_x000A__x000A_[@SubgroupsChapter=False@]_x000A__x000A_[@SubgroupsParagraph=False@]_x000A__x000A_[@SubgroupsRule=False@]_x000A__x000A_[@SubgroupsSection=False@]_x000A__x000A_[@SubgroupsTitle=False@]_x000A__x000A_[@SubgroupsRemoveComma=False@]_x000A__x000A_[@SubgroupsSingleEntry=False@]_x000A__x000A_[@[Federal Statutes.False.4.]@]_x000A__x000A_[@HitClasses=&lt;@st&gt;@]_x000A__x000A_[@Docketed=False@]_x000A__x000A_[@EntryPageSep=0@]_x000A__x000A_[@EntryStyle=BA TOA Entry@]_x000A__x000A_[@EntryTabCount=1@]_x000A__x000A_[@GeoRestriction=4@]_x000A__x000A_[@HeadingStyle=BA TOA Heading@]_x000A__x000A_[@PageHeadingStyle=BA TOA Page Heading@]_x000A__x000A_[@IncludeHeading=True@]_x000A__x000A_[@IncludePageHeading=False@]_x000A__x000A_[@MultiPageSep=1@]_x000A__x000A_[@Name=Federal Statutes@]_x000A__x000A_[@AutoOverride=0@]_x000A__x000A_[@PageRangeSep=0@]_x000A__x000A_[@PageHeadingText=Page(s)@]_x000A__x000A_[@PassimNumber=5@]_x000A__x000A_[@PassimText=passim@]_x000A__x000A_[@State=@]_x000A__x000A_[@UseDefaults=True@]_x000A__x000A_[@GroupByFirstLine=True@]_x000A__x000A_[@UsePassim=True@]_x000A__x000A_[@OtherAuthorities=False@]_x000A__x000A_[@NonTOAReferences=False@]_x000A__x000A_[@ManualOverride=0@]_x000A__x000A_[@SortMethod=0@]_x000A__x000A_[@InsertReturnSubgroups=False@]_x000A__x000A_[@SubgroupsArticle=False@]_x000A__x000A_[@SubgroupsChapter=False@]_x000A__x000A_[@SubgroupsParagraph=False@]_x000A__x000A_[@SubgroupsRule=False@]_x000A__x000A_[@SubgroupsSection=False@]_x000A__x000A_[@SubgroupsTitle=False@]_x000A__x000A_[@SubgroupsRemoveComma=False@]_x000A__x000A_[@SubgroupsSingleEntry=False@]_x000A__x000A_[@[State Statutes.False.2.]@]_x000A__x000A_[@HitClasses=&lt;@st&gt;@]_x000A__x000A_[@Docketed=False@]_x000A__x000A_[@EntryPageSep=0@]_x000A__x000A_[@EntryStyle=BA TOA Entry@]_x000A__x000A_[@EntryTabCount=1@]_x000A__x000A_[@GeoRestriction=2@]_x000A__x000A_[@HeadingStyle=BA TOA Heading@]_x000A__x000A_[@PageHeadingStyle=BA TOA Page Heading@]_x000A__x000A_[@IncludeHeading=True@]_x000A__x000A_[@IncludePageHeading=False@]_x000A__x000A_[@MultiPageSep=1@]_x000A__x000A_[@Name=State Statutes@]_x000A__x000A_[@AutoOverride=0@]_x000A__x000A_[@PageRangeSep=0@]_x000A__x000A_[@PageHeadingText=Page(s)@]_x000A__x000A_[@PassimNumber=5@]_x000A__x000A_[@PassimText=passim@]_x000A__x000A_[@State=@]_x000A__x000A_[@UseDefaults=True@]_x000A__x000A_[@GroupByFirstLine=True@]_x000A__x000A_[@UsePassim=True@]_x000A__x000A_[@OtherAuthorities=False@]_x000A__x000A_[@NonTOAReferences=False@]_x000A__x000A_[@ManualOverride=0@]_x000A__x000A_[@SortMethod=0@]_x000A__x000A_[@InsertReturnSubgroups=False@]_x000A__x000A_[@SubgroupsArticle=False@]_x000A__x000A_[@SubgroupsChapter=False@]_x000A__x000A_[@SubgroupsParagraph=False@]_x000A__x000A_[@SubgroupsRule=False@]_x000A__x000A_[@SubgroupsSection=False@]_x000A__x000A_[@SubgroupsTitle=False@]_x000A__x000A_[@SubgroupsRemoveComma=False@]_x000A__x000A_[@SubgroupsSingleEntry=False@]_x000A__x000A_[@[Rules.False.0.]@]_x000A__x000A_[@HitClasses=&lt;@ru&gt;@]_x000A__x000A_[@Docketed=False@]_x000A__x000A_[@EntryPageSep=0@]_x000A__x000A_[@EntryStyle=BA TOA Entry@]_x000A__x000A_[@EntryTabCount=1@]_x000A__x000A_[@GeoRestriction=0@]_x000A__x000A_[@HeadingStyle=BA TOA Heading@]_x000A__x000A_[@PageHeadingStyle=BA TOA Page Heading@]_x000A__x000A_[@IncludeHeading=True@]_x000A__x000A_[@IncludePageHeading=False@]_x000A__x000A_[@MultiPageSep=1@]_x000A__x000A_[@Name=Rules@]_x000A__x000A_[@AutoOverride=0@]_x000A__x000A_[@PageRangeSep=0@]_x000A__x000A_[@PageHeadingText=Page(s)@]_x000A__x000A_[@PassimNumber=5@]_x000A__x000A_[@PassimText=passim@]_x000A__x000A_[@State=@]_x000A__x000A_[@UseDefaults=True@]_x000A__x000A_[@GroupByFirstLine=True@]_x000A__x000A_[@UsePassim=True@]_x000A__x000A_[@OtherAuthorities=False@]_x000A__x000A_[@NonTOAReferences=False@]_x000A__x000A_[@ManualOverride=0@]_x000A__x000A_[@SortMethod=0@]_x000A__x000A_[@InsertReturnSubgroups=False@]_x000A__x000A_[@SubgroupsArticle=False@]_x000A__x000A_[@SubgroupsChapter=False@]_x000A__x000A_[@SubgroupsParagraph=False@]_x000A__x000A_[@SubgroupsRule=False@]_x000A__x000A_[@SubgroupsSection=False@]_x000A__x000A_[@SubgroupsTitle=False@]_x000A__x000A_[@SubgroupsRemoveComma=False@]_x000A__x000A_[@SubgroupsSingleEntry=False@]_x000A__x000A_[@[Regulations.False.0.]@]_x000A__x000A_[@HitClasses=&lt;@reg&gt;@]_x000A__x000A_[@Docketed=False@]_x000A__x000A_[@EntryPageSep=0@]_x000A__x000A_[@EntryStyle=BA TOA Entry@]_x000A__x000A_[@EntryTabCount=1@]_x000A__x000A_[@GeoRestriction=0@]_x000A__x000A_[@HeadingStyle=BA TOA Heading@]_x000A__x000A_[@PageHeadingStyle=BA TOA Page Heading@]_x000A__x000A_[@IncludeHeading=True@]_x000A__x000A_[@IncludePageHeading=False@]_x000A__x000A_[@MultiPageSep=1@]_x000A__x000A_[@Name=Regulations@]_x000A__x000A_[@AutoOverride=0@]_x000A__x000A_[@PageRangeSep=0@]_x000A__x000A_[@PageHeadingText=Page(s)@]_x000A__x000A_[@PassimNumber=5@]_x000A__x000A_[@PassimText=passim@]_x000A__x000A_[@State=@]_x000A__x000A_[@UseDefaults=True@]_x000A__x000A_[@GroupByFirstLine=True@]_x000A__x000A_[@UsePassim=True@]_x000A__x000A_[@OtherAuthorities=False@]_x000A__x000A_[@NonTOAReferences=False@]_x000A__x000A_[@ManualOverride=0@]_x000A__x000A_[@SortMethod=0@]_x000A__x000A_[@InsertReturnSubgroups=False@]_x000A__x000A_[@SubgroupsArticle=False@]_x000A__x000A_[@SubgroupsChapter=False@]_x000A__x000A_[@SubgroupsParagraph=False@]_x000A__x000A_[@SubgroupsRule=False@]_x000A__x000A_[@SubgroupsSection=False@]_x000A__x000A_[@SubgroupsTitle=False@]_x000A__x000A_[@SubgroupsRemoveComma=False@]_x000A__x000A_[@SubgroupsSingleEntry=False@]_x000A__x000A_[@[Constitutional Provisions.False.0.]@]_x000A__x000A_[@HitClasses=&lt;@con&gt;@]_x000A__x000A_[@Docketed=False@]_x000A__x000A_[@EntryPageSep=0@]_x000A__x000A_[@EntryStyle=BA TOA Entry@]_x000A__x000A_[@EntryTabCount=1@]_x000A__x000A_[@GeoRestriction=0@]_x000A__x000A_[@HeadingStyle=BA TOA Heading@]_x000A__x000A_[@PageHeadingStyle=BA TOA Page Heading@]_x000A__x000A_[@IncludeHeading=True@]_x000A__x000A_[@IncludePageHeading=False@]_x000A__x000A_[@MultiPageSep=1@]_x000A__x000A_[@Name=Constitutional Provisions@]_x000A__x000A_[@AutoOverride=0@]_x000A__x000A_[@PageRangeSep=0@]_x000A__x000A_[@PageHeadingText=Page(s)@]_x000A__x000A_[@PassimNumber=5@]_x000A__x000A_[@PassimText=Passim@]_x000A__x000A_[@State=@]_x000A__x000A_[@UseDefaults=False@]_x000A__x000A_[@GroupByFirstLine=True@]_x000A__x000A_[@UsePassim=True@]_x000A__x000A_[@OtherAuthorities=False@]_x000A__x000A_[@NonTOAReferences=False@]_x000A__x000A_[@ManualOverride=0@]_x000A__x000A_[@SortMethod=0@]_x000A__x000A_[@InsertReturnSubgroups=False@]_x000A__x000A_[@SubgroupsArticle=False@]_x000A__x000A_[@SubgroupsChapter=False@]_x000A__x000A_[@SubgroupsParagraph=False@]_x000A__x000A_[@SubgroupsRule=False@]_x000A__x000A_[@SubgroupsSection=False@]_x000A__x000A_[@SubgroupsTitle=False@]_x000A__x000A_[@SubgroupsRemoveComma=False@]_x000A__x000A_[@SubgroupsSingleEntry=False@]_x000A__x000A_[@[Other Authorities.False.0.]@]_x000A__x000A_[@HitClasses=&lt;@admproc&gt;|&lt;@cs&gt;|&lt;@leg&gt;|&lt;@misc&gt;|&lt;@nper&gt;|&lt;@pat&gt;|&lt;@per&gt;|&lt;@regcs&gt;|&lt;@st&gt;|&lt;@trt&gt;@]_x000A__x000A_[@Docketed=False@]_x000A__x000A_[@EntryPageSep=0@]_x000A__x000A_[@EntryStyle=BA TOA Entry@]_x000A__x000A_[@EntryTabCount=1@]_x000A__x000A_[@GeoRestriction=0@]_x000A__x000A_[@HeadingStyle=BA TOA Heading@]_x000A__x000A_[@PageHeadingStyle=BA TOA Page Heading@]_x000A__x000A_[@IncludeHeading=True@]_x000A__x000A_[@IncludePageHeading=True@]_x000A__x000A_[@MultiPageSep=0@]_x000A__x000A_[@Name=Other Authorities@]_x000A__x000A_[@AutoOverride=0@]_x000A__x000A_[@PageRangeSep=3@]_x000A__x000A_[@PageHeadingText=Page(s)@]_x000A__x000A_[@PassimNumber=6@]_x000A__x000A_[@PassimText=Passim@]_x000A__x000A_[@State=@]_x000A__x000A_[@UseDefaults=True@]_x000A__x000A_[@GroupByFirstLine=False@]_x000A__x000A_[@UsePassim=True@]_x000A__x000A_[@OtherAuthorities=True@]_x000A__x000A_[@NonTOAReferences=False@]_x000A__x000A_[@ManualOverride=0@]_x000A__x000A_[@SortMethod=0@]_x000A__x000A_[@InsertReturnSubgroups=False@]_x000A__x000A_[@SubgroupsArticle=False@]_x000A__x000A_[@SubgroupsChapter=False@]_x000A__x000A_[@SubgroupsParagraph=False@]_x000A__x000A_[@SubgroupsRule=False@]_x000A__x000A_[@SubgroupsSection=False@]_x000A__x000A_[@SubgroupsTitle=False@]_x000A__x000A_[@SubgroupsRemoveComma=False@]_x000A__x000A_[@SubgroupsSingleEntry=False@]_x000A__x000A_[@[Suspects.False.0.]@]_x000A__x000A_[@HitClasses=&lt;@o&gt;@]_x000A__x000A_[@Docketed=False@]_x000A__x000A_[@EntryPageSep=0@]_x000A__x000A_[@EntryStyle=BA TOA Entry@]_x000A__x000A_[@EntryTabCount=1@]_x000A__x000A_[@GeoRestriction=0@]_x000A__x000A_[@HeadingStyle=BA TOA Heading@]_x000A__x000A_[@PageHeadingStyle=BA TOA Page Heading@]_x000A__x000A_[@IncludeHeading=True@]_x000A__x000A_[@IncludePageHeading=True@]_x000A__x000A_[@MultiPageSep=0@]_x000A__x000A_[@Name=Suspects@]_x000A__x000A_[@AutoOverride=0@]_x000A__x000A_[@PageRangeSep=3@]_x000A__x000A_[@PageHeadingText=Page(s)@]_x000A__x000A_[@PassimNumber=6@]_x000A__x000A_[@PassimText=Passim@]_x000A__x000A_[@State=@]_x000A__x000A_[@UseDefaults=True@]_x000A__x000A_[@GroupByFirstLine=False@]_x000A__x000A_[@UsePassim=True@]_x000A__x000A_[@OtherAuthorities=False@]_x000A__x000A_[@NonTOAReferences=False@]_x000A__x000A_[@ManualOverride=0@]_x000A__x000A_[@SortMethod=1@]_x000A__x000A_[@InsertReturnSubgroups=False@]_x000A__x000A_[@SubgroupsArticle=False@]_x000A__x000A_[@SubgroupsChapter=False@]_x000A__x000A_[@SubgroupsParagraph=False@]_x000A__x000A_[@SubgroupsRule=False@]_x000A__x000A_[@SubgroupsSection=False@]_x000A__x000A_[@SubgroupsTitle=False@]_x000A__x000A_[@SubgroupsRemoveComma=False@]_x000A__x000A_[@SubgroupsSingleEntry=False@]_x000A__x000A_[@[Non-TOA References.False.0.]@]_x000A__x000A_[@HitClasses=&lt;@rec&gt;@]_x000A__x000A_[@Docketed=False@]_x000A__x000A_[@EntryPageSep=0@]_x000A__x000A_[@EntryStyle=BA TOA Entry@]_x000A__x000A_[@EntryTabCount=1@]_x000A__x000A_[@GeoRestriction=0@]_x000A__x000A_[@HeadingStyle=BA TOA Heading@]_x000A__x000A_[@PageHeadingStyle=BA TOA Page Heading@]_x000A__x000A_[@IncludeHeading=True@]_x000A__x000A_[@IncludePageHeading=True@]_x000A__x000A_[@MultiPageSep=0@]_x000A__x000A_[@Name=Non-TOA References@]_x000A__x000A_[@AutoOverride=0@]_x000A__x000A_[@PageRangeSep=3@]_x000A__x000A_[@PageHeadingText=Page(s)@]_x000A__x000A_[@PassimNumber=6@]_x000A__x000A_[@PassimText=Passim@]_x000A__x000A_[@State=@]_x000A__x000A_[@UseDefaults=True@]_x000A__x000A_[@GroupByFirstLine=False@]_x000A__x000A_[@UsePassim=True@]_x000A__x000A_[@OtherAuthorities=False@]_x000A__x000A_[@NonTOAReferences=True@]_x000A__x000A_[@ManualOverride=0@]_x000A__x000A_[@SortMethod=0@]_x000A__x000A_[@InsertReturnSubgroups=False@]_x000A__x000A_[@SubgroupsArticle=False@]_x000A__x000A_[@SubgroupsChapter=False@]_x000A__x000A_[@SubgroupsParagraph=False@]_x000A__x000A_[@SubgroupsRule=False@]_x000A__x000A_[@SubgroupsSection=False@]_x000A__x000A_[@SubgroupsTitle=False@]_x000A__x000A_[@SubgroupsRemoveComma=False@]_x000A__x000A_[@SubgroupsSingleEntry=False@]_x000A__x000A_[@[DefaultGroup]@]_x000A__x000A_[@Docketed=False@]_x000A__x000A_[@EntryPageSep=0@]_x000A__x000A_[@EntryStyle=BA TOA Entry@]_x000A__x000A_[@EntryTabCount=1@]_x000A__x000A_[@GeoRestriction=0@]_x000A__x000A_[@HeadingStyle=BA TOA Heading@]_x000A__x000A_[@PageHeadingStyle=BA TOA Page Heading@]_x000A__x000A_[@IncludeHeading=True@]_x000A__x000A_[@IncludePageHeading=False@]_x000A__x000A_[@MultiPageSep=1@]_x000A__x000A_[@Name=DEFAULT@]_x000A__x000A_[@AutoOverride=0@]_x000A__x000A_[@PageRangeSep=0@]_x000A__x000A_[@PageHeadingText=Page(s)@]_x000A__x000A_[@PassimNumber=5@]_x000A__x000A_[@PassimText=passim@]_x000A__x000A_[@State=@]_x000A__x000A_[@UseDefaults=False@]_x000A__x000A_[@GroupByFirstLine=False@]_x000A__x000A_[@UsePassim=True@]_x000A__x000A_[@OtherAuthorities=False@]_x000A__x000A_[@NonTOAReferences=False@]_x000A__x000A_[@ManualOverride=0@]_x000A__x000A_[@SortMethod=0@]_x000A__x000A_[@InsertReturnSubgroups=False@]_x000A__x000A_[@SubgroupsArticle=False@]_x000A__x000A_[@SubgroupsChapter=False@]_x000A__x000A_[@SubgroupsParagraph=False@]_x000A__x000A_[@SubgroupsRule=False@]_x000A__x000A_[@SubgroupsSection=False@]_x000A__x000A_[@SubgroupsTitle=False@]_x000A__x000A_[@SubgroupsRemoveComma=False@]_x000A__x000A_[@SubgroupsSingleEntry=False@]_x000A__x000A_[@[Cases - Entire Cite]@]_x000A__x000A_[@Action=Leave As Is@]_x000A__x000A_[@CharStyle=(None)@]_x000A__x000A_[@Bold=0@]_x000A__x000A_[@Italic=0@]_x000A__x000A_[@Underline=0@]_x000A__x000A_[@SmallCaps=0@]_x000A__x000A_[@AllCaps=0@]_x000A__x000A_[@Animation=0@]_x000A__x000A_[@Color=-16777216@]_x000A__x000A_[@DoubleStrikeThrough=0@]_x000A__x000A_[@Emboss=0@]_x000A__x000A_[@Engrave=0@]_x000A__x000A_[@FontName=Times New Roman@]_x000A__x000A_[@FontSize=12@]_x000A__x000A_[@Kerning=0@]_x000A__x000A_[@Outline=0@]_x000A__x000A_[@Position=0@]_x000A__x000A_[@Scaling=100@]_x000A__x000A_[@Shadow=0@]_x000A__x000A_[@Spacing=0@]_x000A__x000A_[@StrikeThrough=0@]_x000A__x000A_[@Subscript=0@]_x000A__x000A_[@Superscript=0@]_x000A__x000A_[@UnderlineColor=-16777216@]_x000A__x000A_[@[Cases - Case Name]@]_x000A__x000A_[@Action=Leave As Is@]_x000A__x000A_[@CharStyle=(None)@]_x000A__x000A_[@Bold=0@]_x000A__x000A_[@Italic=-1@]_x000A__x000A_[@Underline=0@]_x000A__x000A_[@SmallCaps=0@]_x000A__x000A_[@AllCaps=0@]_x000A__x000A_[@Animation=0@]_x000A__x000A_[@Color=-16777216@]_x000A__x000A_[@DoubleStrikeThrough=0@]_x000A__x000A_[@Emboss=0@]_x000A__x000A_[@Engrave=0@]_x000A__x000A_[@FontName=Times New Roman@]_x000A__x000A_[@FontSize=12@]_x000A__x000A_[@Kerning=0@]_x000A__x000A_[@Outline=0@]_x000A__x000A_[@Position=0@]_x000A__x000A_[@Scaling=100@]_x000A__x000A_[@Shadow=0@]_x000A__x000A_[@Spacing=0@]_x000A__x000A_[@StrikeThrough=0@]_x000A__x000A_[@Subscript=0@]_x000A__x000A_[@Superscript=0@]_x000A__x000A_[@UnderlineColor=-16777216@]_x000A__x000A_[@[Cases - v.]@]_x000A__x000A_[@Action=Leave As Is@]_x000A__x000A_[@CharStyle=(None)@]_x000A__x000A_[@Bold=0@]_x000A__x000A_[@Italic=-1@]_x000A__x000A_[@Underline=0@]_x000A__x000A_[@SmallCaps=0@]_x000A__x000A_[@AllCaps=0@]_x000A__x000A_[@Animation=0@]_x000A__x000A_[@Color=-16777216@]_x000A__x000A_[@DoubleStrikeThrough=0@]_x000A__x000A_[@Emboss=0@]_x000A__x000A_[@Engrave=0@]_x000A__x000A_[@FontName=Times New Roman@]_x000A__x000A_[@FontSize=12@]_x000A__x000A_[@Kerning=0@]_x000A__x000A_[@Outline=0@]_x000A__x000A_[@Position=0@]_x000A__x000A_[@Scaling=100@]_x000A__x000A_[@Shadow=0@]_x000A__x000A_[@Spacing=0@]_x000A__x000A_[@StrikeThrough=0@]_x000A__x000A_[@Subscript=0@]_x000A__x000A_[@Superscript=0@]_x000A__x000A_[@UnderlineColor=-16777216@]_x000A__x000A_[@[Statutes]@]_x000A__x000A_[@Action=Leave As Is@]_x000A__x000A_[@CharStyle=(None)@]_x000A__x000A_[@Bold=0@]_x000A__x000A_[@Italic=0@]_x000A__x000A_[@Underline=0@]_x000A__x000A_[@SmallCaps=0@]_x000A__x000A_[@AllCaps=0@]_x000A__x000A_[@Animation=0@]_x000A__x000A_[@Color=-16777216@]_x000A__x000A_[@DoubleStrikeThrough=0@]_x000A__x000A_[@Emboss=0@]_x000A__x000A_[@Engrave=0@]_x000A__x000A_[@FontName=Times New Roman@]_x000A__x000A_[@FontSize=12@]_x000A__x000A_[@Kerning=0@]_x000A__x000A_[@Outline=0@]_x000A__x000A_[@Position=0@]_x000A__x000A_[@Scaling=100@]_x000A__x000A_[@Shadow=0@]_x000A__x000A_[@Spacing=0@]_x000A__x000A_[@StrikeThrough=0@]_x000A__x000A_[@Subscript=0@]_x000A__x000A_[@Superscript=0@]_x000A__x000A_[@UnderlineColor=-16777216@]_x000A__x000A_[@[Constitutional Provisions]@]_x000A__x000A_[@Action=Leave As Is@]_x000A__x000A_[@CharStyle=(None)@]_x000A__x000A_[@Bold=0@]_x000A__x000A_[@Italic=0@]_x000A__x000A_[@Underline=0@]_x000A__x000A_[@SmallCaps=0@]_x000A__x000A_[@AllCaps=0@]_x000A__x000A_[@Animation=0@]_x000A__x000A_[@Color=-16777216@]_x000A__x000A_[@DoubleStrikeThrough=0@]_x000A__x000A_[@Emboss=0@]_x000A__x000A_[@Engrave=0@]_x000A__x000A_[@FontName=Times New Roman@]_x000A__x000A_[@FontSize=12@]_x000A__x000A_[@Kerning=0@]_x000A__x000A_[@Outline=0@]_x000A__x000A_[@Position=0@]_x000A__x000A_[@Scaling=100@]_x000A__x000A_[@Shadow=0@]_x000A__x000A_[@Spacing=0@]_x000A__x000A_[@StrikeThrough=0@]_x000A__x000A_[@Subscript=0@]_x000A__x000A_[@Superscript=0@]_x000A__x000A_[@UnderlineColor=-16777216@]_x000A__x000A_[@[Rules]@]_x000A__x000A_[@Action=Leave As Is@]_x000A__x000A_[@CharStyle=(None)@]_x000A__x000A_[@Bold=0@]_x000A__x000A_[@Italic=0@]_x000A__x000A_[@Underline=0@]_x000A__x000A_[@SmallCaps=0@]_x000A__x000A_[@AllCaps=0@]_x000A__x000A_[@Animation=0@]_x000A__x000A_[@Color=-16777216@]_x000A__x000A_[@DoubleStrikeThrough=0@]_x000A__x000A_[@Emboss=0@]_x000A__x000A_[@Engrave=0@]_x000A__x000A_[@FontName=Times New Roman@]_x000A__x000A_[@FontSize=12@]_x000A__x000A_[@Kerning=0@]_x000A__x000A_[@Outline=0@]_x000A__x000A_[@Position=0@]_x000A__x000A_[@Scaling=100@]_x000A__x000A_[@Shadow=0@]_x000A__x000A_[@Spacing=0@]_x000A__x000A_[@StrikeThrough=0@]_x000A__x000A_[@Subscript=0@]_x000A__x000A_[@Superscript=0@]_x000A__x000A_[@UnderlineColor=-16777216@]_x000A__x000A_[@[Regulations]@]_x000A__x000A_[@Action=Leave As Is@]_x000A__x000A_[@CharStyle=(None)@]_x000A__x000A_[@Bold=0@]_x000A__x000A_[@Italic=0@]_x000A__x000A_[@Underline=0@]_x000A__x000A_[@SmallCaps=0@]_x000A__x000A_[@AllCaps=0@]_x000A__x000A_[@Animation=0@]_x000A__x000A_[@Color=-16777216@]_x000A__x000A_[@DoubleStrikeThrough=0@]_x000A__x000A_[@Emboss=0@]_x000A__x000A_[@Engrave=0@]_x000A__x000A_[@FontName=Times New Roman@]_x000A__x000A_[@FontSize=12@]_x000A__x000A_[@Kerning=0@]_x000A__x000A_[@Outline=0@]_x000A__x000A_[@Position=0@]_x000A__x000A_[@Scaling=100@]_x000A__x000A_[@Shadow=0@]_x000A__x000A_[@Spacing=0@]_x000A__x000A_[@StrikeThrough=0@]_x000A__x000A_[@Subscript=0@]_x000A__x000A_[@Superscript=0@]_x000A__x000A_[@UnderlineColor=-16777216@]_x000A__x000A_[@[Treatises]@]_x000A__x000A_[@Action=Leave As Is@]_x000A__x000A_[@CharStyle=(None)@]_x000A__x000A_[@Bold=0@]_x000A__x000A_[@Italic=0@]_x000A__x000A_[@Underline=0@]_x000A__x000A_[@SmallCaps=0@]_x000A__x000A_[@AllCaps=0@]_x000A__x000A_[@Animation=0@]_x000A__x000A_[@Color=-16777216@]_x000A__x000A_[@DoubleStrikeThrough=0@]_x000A__x000A_[@Emboss=0@]_x000A__x000A_[@Engrave=0@]_x000A__x000A_[@FontName=Times New Roman@]_x000A__x000A_[@FontSize=12@]_x000A__x000A_[@Kerning=0@]_x000A__x000A_[@Outline=0@]_x000A__x000A_[@Position=0@]_x000A__x000A_[@Scaling=100@]_x000A__x000A_[@Shadow=0@]_x000A__x000A_[@Spacing=0@]_x000A__x000A_[@StrikeThrough=0@]_x000A__x000A_[@Subscript=0@]_x000A__x000A_[@Superscript=0@]_x000A__x000A_[@UnderlineColor=-16777216@]_x000A__x000A_[@[Books]@]_x000A__x000A_[@Action=Leave As Is@]_x000A__x000A_[@CharStyle=(None)@]_x000A__x000A_[@Bold=0@]_x000A__x000A_[@Italic=0@]_x000A__x000A_[@Underline=0@]_x000A__x000A_[@SmallCaps=0@]_x000A__x000A_[@AllCaps=0@]_x000A__x000A_[@Animation=0@]_x000A__x000A_[@Color=-16777216@]_x000A__x000A_[@DoubleStrikeThrough=0@]_x000A__x000A_[@Emboss=0@]_x000A__x000A_[@Engrave=0@]_x000A__x000A_[@FontName=Times New Roman@]_x000A__x000A_[@FontSize=12@]_x000A__x000A_[@Kerning=0@]_x000A__x000A_[@Outline=0@]_x000A__x000A_[@Position=0@]_x000A__x000A_[@Scaling=100@]_x000A__x000A_[@Shadow=0@]_x000A__x000A_[@Spacing=0@]_x000A__x000A_[@StrikeThrough=0@]_x000A__x000A_[@Subscript=0@]_x000A__x000A_[@Superscript=0@]_x000A__x000A_[@UnderlineColor=-16777216@]_x000A__x000A_[@[Periodicals]@]_x000A__x000A_[@Action=Leave As Is@]_x000A__x000A_[@CharStyle=(None)@]_x000A__x000A_[@Bold=0@]_x000A__x000A_[@Italic=0@]_x000A__x000A_[@Underline=0@]_x000A__x000A_[@SmallCaps=0@]_x000A__x000A_[@AllCaps=0@]_x000A__x000A_[@Animation=0@]_x000A__x000A_[@Color=-16777216@]_x000A__x000A_[@DoubleStrikeThrough=0@]_x000A__x000A_[@Emboss=0@]_x000A__x000A_[@Engrave=0@]_x000A__x000A_[@FontName=Times New Roman@]_x000A__x000A_[@FontSize=12@]_x000A__x000A_[@Kerning=0@]_x000A__x000A_[@Outline=0@]_x000A__x000A_[@Position=0@]_x000A__x000A_[@Scaling=100@]_x000A__x000A_[@Shadow=0@]_x000A__x000A_[@Spacing=0@]_x000A__x000A_[@StrikeThrough=0@]_x000A__x000A_[@Subscript=0@]_x000A__x000A_[@Superscript=0@]_x000A__x000A_[@UnderlineColor=-16777216@]_x000A__x000A_[@[Non-Periodical Publications]@]_x000A__x000A_[@Action=Leave As Is@]_x000A__x000A_[@CharStyle=(None)@]_x000A__x000A_[@Bold=0@]_x000A__x000A_[@Italic=0@]_x000A__x000A_[@Underline=0@]_x000A__x000A_[@SmallCaps=0@]_x000A__x000A_[@AllCaps=0@]_x000A__x000A_[@Animation=0@]_x000A__x000A_[@Color=-16777216@]_x000A__x000A_[@DoubleStrikeThrough=0@]_x000A__x000A_[@Emboss=0@]_x000A__x000A_[@Engrave=0@]_x000A__x000A_[@FontName=Times New Roman@]_x000A__x000A_[@FontSize=12@]_x000A__x000A_[@Kerning=0@]_x000A__x000A_[@Outline=0@]_x000A__x000A_[@Position=0@]_x000A__x000A_[@Scaling=100@]_x000A__x000A_[@Shadow=0@]_x000A__x000A_[@Spacing=0@]_x000A__x000A_[@StrikeThrough=0@]_x000A__x000A_[@Subscript=0@]_x000A__x000A_[@Superscript=0@]_x000A__x000A_[@UnderlineColor=-16777216@]_x000A__x000A_[@[Page Number]@]_x000A__x000A_[@Action=Leave As Is@]_x000A__x000A_[@CharStyle=(None)@]_x000A__x000A_[@Bold=0@]_x000A__x000A_[@Italic=0@]_x000A__x000A_[@Underline=0@]_x000A__x000A_[@SmallCaps=0@]_x000A__x000A_[@AllCaps=0@]_x000A__x000A_[@Animation=0@]_x000A__x000A_[@Color=-16777216@]_x000A__x000A_[@DoubleStrikeThrough=0@]_x000A__x000A_[@Emboss=0@]_x000A__x000A_[@Engrave=0@]_x000A__x000A_[@FontName=Times New Roman@]_x000A__x000A_[@FontSize=12@]_x000A__x000A_[@Kerning=0@]_x000A__x000A_[@Outline=0@]_x000A__x000A_[@Position=0@]_x000A__x000A_[@Scaling=100@]_x000A__x000A_[@Shadow=0@]_x000A__x000A_[@Spacing=0@]_x000A__x000A_[@StrikeThrough=0@]_x000A__x000A_[@Subscript=0@]_x000A__x000A_[@Superscript=0@]_x000A__x000A_[@UnderlineColor=-16777216@]_x000A__x000A_[@[Passim]@]_x000A__x000A_[@Action=Leave As Is@]_x000A__x000A_[@CharStyle=(None)@]_x000A__x000A_[@Bold=0@]_x000A__x000A_[@Italic=-1@]_x000A__x000A_[@Underline=0@]_x000A__x000A_[@SmallCaps=0@]_x000A__x000A_[@AllCaps=0@]_x000A__x000A_[@Animation=0@]_x000A__x000A_[@Color=-16777216@]_x000A__x000A_[@DoubleStrikeThrough=0@]_x000A__x000A_[@Emboss=0@]_x000A__x000A_[@Engrave=0@]_x000A__x000A_[@FontName=Times New Roman@]_x000A__x000A_[@FontSize=12@]_x000A__x000A_[@Kerning=0@]_x000A__x000A_[@Outline=0@]_x000A__x000A_[@Position=0@]_x000A__x000A_[@Scaling=100@]_x000A__x000A_[@Shadow=0@]_x000A__x000A_[@Spacing=0@]_x000A__x000A_[@StrikeThrough=0@]_x000A__x000A_[@Subscript=0@]_x000A__x000A_[@Superscript=0@]_x000A__x000A_[@UnderlineColor=-16777216@]_x000A__x000A_[@[Substitutions]@]_x000A__x000A_[@amendments=True|True|amends,amends.,amendments|amendments@]_x000A__x000A_[@amendment=True|True|amend,amend.,amendment|amendment@]_x000A__x000A_[@articles=True|True|arts,arts.,articles|articles@]_x000A__x000A_[@article=True|True|art,art.,article|article@]_x000A__x000A_[@chapters=True|True|chs,chs.,chapters|chapters@]_x000A__x000A_[@chapter=True|True|ch,ch.,chapter|chapter@]_x000A__x000A_[@footnotes=False|True|nn,nn.,fns,fns.,notes,footnotes|nn.@]_x000A__x000A_[@footnote=False|True|n,n.,fn,fn.,note,footnote|n.@]_x000A__x000A_[@lines=False|True|ll,ll.,lines|ll.@]_x000A__x000A_[@line=False|True|l,l.,line|l.@]_x000A__x000A_[@pages=False|True|pp,pp.,pages|pp.@]_x000A__x000A_[@page=False|True|p,p.,page|p.@]_x000A__x000A_[@paragraphs=False|True|paras,paras.,¶¶,paragraphs|¶¶@]_x000A__x000A_[@paragraph=False|True|para,para.,¶,paragraph|¶@]_x000A__x000A_[@sections=False|True|secs,secs.,§§,sections|§§@]_x000A__x000A_[@section=False|True|sec,sec.,§,section|§@]_x000A__x000A_[@titles=True|True|tits,tits.,titles|titles@]_x000A__x000A_[@title=True|True|tit,tit.,title|title@]_x000A__x000A_[@volumes=False|True|vols,vols.,volumes|vols.@]_x000A__x000A_[@volume=False|True|v,v.,vol,vol.,volume|vol.@]_x000A__x000A_[@ENDINI@]_x000A__x000A_"/>
    <w:docVar w:name="_BA_ShowOptions_Version_FullFormat" w:val="02.01.0100"/>
    <w:docVar w:name="_BA_ShowOptions_Version_Review" w:val="02.01.0100"/>
    <w:docVar w:name="_BA_ShowOptionsFullFormat" w:val="0|1|0|02.01.0100|"/>
    <w:docVar w:name="_BA_ShowOptionsReview" w:val="-1|0|0|02.01.0100|"/>
    <w:docVar w:name="_BA_ShowOptionsReview_FPRM" w:val="-1|1|0|02.01.0100|Not Initialized"/>
    <w:docVar w:name="_BA_State_" w:val="1"/>
    <w:docVar w:name="_BA_Styles_LastUpdate" w:val="08/29/2007 08:42:02 AM"/>
    <w:docVar w:name="_BA_Styles_NewStyles" w:val="BA Draft|BA TOA Entry|BA TOA Heading|BA TOA Page Heading|BA TOA Title|Body Text|Body Text 2|Body Text 3|&lt;&lt;Comment Reference&gt;&gt;|&lt;&lt;Default Paragraph Font&gt;&gt;|&lt;&lt;Emphasis&gt;&gt;|&lt;&lt;Endnote Reference&gt;&gt;|&lt;&lt;FollowedHyperlink&gt;&gt;|&lt;&lt;Footnote Reference&gt;&gt;|&lt;&lt;HTML Acronym&gt;&gt;|&lt;&lt;HTML Cite&gt;&gt;|&lt;&lt;HTML Code&gt;&gt;|&lt;&lt;HTML Definition&gt;&gt;|&lt;&lt;HTML Keyboard&gt;&gt;|&lt;&lt;HTML Sample&gt;&gt;|&lt;&lt;HTML Typewriter&gt;&gt;|&lt;&lt;HTML Variable&gt;&gt;|&lt;&lt;Hyperlink&gt;&gt;|&lt;&lt;Line Number&gt;&gt;|&lt;&lt;Page Number&gt;&gt;|&lt;&lt;Strong&gt;&gt;"/>
    <w:docVar w:name="_BA_SubstitutionsApplied" w:val="Current"/>
    <w:docVar w:name="_BA_TOAGroupsOptions_FullFormat" w:val="|Suspects|Non-TOA References|"/>
    <w:docVar w:name="_BA_TOAGroupsOptions_Review" w:val="|Non-TOA References|"/>
    <w:docVar w:name="_BA_WizardTabs" w:val="4|5|0;True;Startup|1;True;Scan|2;True;Draft Review|3;True;Full-Page Review|4;True;Build||Startup|Startup@Scan|Startup@Scan|Startup@Scan"/>
    <w:docVar w:name="CenterLevel1TOC" w:val="False"/>
    <w:docVar w:name="DefaultNumberOfLevelsInTOCForThisScheme" w:val="3"/>
    <w:docVar w:name="ExcludeDirectFormattingInTOC" w:val="True"/>
    <w:docVar w:name="HyperlinkTOC" w:val="False"/>
    <w:docVar w:name="IncludeTOCAndPageHeadings" w:val="False"/>
    <w:docVar w:name="LastSchemeChoice" w:val="WB  2"/>
    <w:docVar w:name="LastSchemeUniqueID" w:val="140"/>
    <w:docVar w:name="NoNumberLevel1TOC" w:val="False"/>
    <w:docVar w:name="Option0True" w:val="True"/>
    <w:docVar w:name="Option1True" w:val="False"/>
    <w:docVar w:name="Option2True" w:val="False"/>
    <w:docVar w:name="Option3True" w:val="False"/>
    <w:docVar w:name="Option4True" w:val="True"/>
    <w:docVar w:name="Option5True" w:val="False"/>
    <w:docVar w:name="TOCFormatConst" w:val="0"/>
    <w:docVar w:name="TOCFormatPreference" w:val="Leave TOC styles 'as is' in current document (default)"/>
    <w:docVar w:name="TOCHeadingAllCaps" w:val="True"/>
    <w:docVar w:name="TOCHeadingUnderlined" w:val="False"/>
    <w:docVar w:name="TOCIncludeNonHeadings" w:val="False"/>
    <w:docVar w:name="TOCIncludeSectionBreaks" w:val="False"/>
    <w:docVar w:name="TOCPageUnderlined" w:val="False"/>
    <w:docVar w:name="TOCPosition" w:val="Current cursor position"/>
    <w:docVar w:name="TOCRun" w:val="True"/>
    <w:docVar w:name="TOCSpecialLevels" w:val="False"/>
    <w:docVar w:name="UnderlineTOCLevel1" w:val="False"/>
    <w:docVar w:name="UpperLevelTOC" w:val="5"/>
  </w:docVars>
  <w:rsids>
    <w:rsidRoot w:val="00702433"/>
    <w:rsid w:val="00000650"/>
    <w:rsid w:val="000010BA"/>
    <w:rsid w:val="00001D40"/>
    <w:rsid w:val="00001F64"/>
    <w:rsid w:val="00002621"/>
    <w:rsid w:val="00002BD1"/>
    <w:rsid w:val="00006856"/>
    <w:rsid w:val="00006CD8"/>
    <w:rsid w:val="0001033B"/>
    <w:rsid w:val="00010EDF"/>
    <w:rsid w:val="000113C0"/>
    <w:rsid w:val="00011F18"/>
    <w:rsid w:val="000128F5"/>
    <w:rsid w:val="00014C3A"/>
    <w:rsid w:val="000150C2"/>
    <w:rsid w:val="00015D0B"/>
    <w:rsid w:val="0001620A"/>
    <w:rsid w:val="00022CA7"/>
    <w:rsid w:val="00022D24"/>
    <w:rsid w:val="00024696"/>
    <w:rsid w:val="00024BFA"/>
    <w:rsid w:val="00026A34"/>
    <w:rsid w:val="0002730F"/>
    <w:rsid w:val="000324B7"/>
    <w:rsid w:val="000371E1"/>
    <w:rsid w:val="00040FD7"/>
    <w:rsid w:val="0004289A"/>
    <w:rsid w:val="00043823"/>
    <w:rsid w:val="000445D0"/>
    <w:rsid w:val="00045A5B"/>
    <w:rsid w:val="000460DF"/>
    <w:rsid w:val="00046E3E"/>
    <w:rsid w:val="00050985"/>
    <w:rsid w:val="00050CC6"/>
    <w:rsid w:val="00052A7A"/>
    <w:rsid w:val="000534A0"/>
    <w:rsid w:val="000607EB"/>
    <w:rsid w:val="000622D8"/>
    <w:rsid w:val="00063327"/>
    <w:rsid w:val="00065127"/>
    <w:rsid w:val="00065658"/>
    <w:rsid w:val="00067FFB"/>
    <w:rsid w:val="00071A28"/>
    <w:rsid w:val="00071D44"/>
    <w:rsid w:val="00071EC1"/>
    <w:rsid w:val="00072859"/>
    <w:rsid w:val="00072953"/>
    <w:rsid w:val="000745BE"/>
    <w:rsid w:val="00074640"/>
    <w:rsid w:val="00075DF9"/>
    <w:rsid w:val="00077C2D"/>
    <w:rsid w:val="00077C34"/>
    <w:rsid w:val="0008158B"/>
    <w:rsid w:val="00081A39"/>
    <w:rsid w:val="00082BFF"/>
    <w:rsid w:val="00082CE5"/>
    <w:rsid w:val="00083289"/>
    <w:rsid w:val="00083DEC"/>
    <w:rsid w:val="000860D5"/>
    <w:rsid w:val="00087C5E"/>
    <w:rsid w:val="00090DC2"/>
    <w:rsid w:val="00091489"/>
    <w:rsid w:val="00091C71"/>
    <w:rsid w:val="000974D0"/>
    <w:rsid w:val="000A2E4A"/>
    <w:rsid w:val="000A3D1B"/>
    <w:rsid w:val="000A47B2"/>
    <w:rsid w:val="000A4A37"/>
    <w:rsid w:val="000A5201"/>
    <w:rsid w:val="000A5328"/>
    <w:rsid w:val="000A5622"/>
    <w:rsid w:val="000A5703"/>
    <w:rsid w:val="000A60BF"/>
    <w:rsid w:val="000A6C5D"/>
    <w:rsid w:val="000A6EC6"/>
    <w:rsid w:val="000A70BB"/>
    <w:rsid w:val="000B0072"/>
    <w:rsid w:val="000B02CE"/>
    <w:rsid w:val="000B0535"/>
    <w:rsid w:val="000B1F8B"/>
    <w:rsid w:val="000B201E"/>
    <w:rsid w:val="000B27F8"/>
    <w:rsid w:val="000B2E1E"/>
    <w:rsid w:val="000B3533"/>
    <w:rsid w:val="000B383E"/>
    <w:rsid w:val="000B48E2"/>
    <w:rsid w:val="000B5ABA"/>
    <w:rsid w:val="000B6A2A"/>
    <w:rsid w:val="000B6DA5"/>
    <w:rsid w:val="000B6FCD"/>
    <w:rsid w:val="000C0E02"/>
    <w:rsid w:val="000C0E70"/>
    <w:rsid w:val="000C2B02"/>
    <w:rsid w:val="000C2B9C"/>
    <w:rsid w:val="000C38D2"/>
    <w:rsid w:val="000C3B57"/>
    <w:rsid w:val="000C3C0C"/>
    <w:rsid w:val="000C552E"/>
    <w:rsid w:val="000C5CDD"/>
    <w:rsid w:val="000C6A73"/>
    <w:rsid w:val="000C6C5A"/>
    <w:rsid w:val="000D03B8"/>
    <w:rsid w:val="000D080C"/>
    <w:rsid w:val="000D1096"/>
    <w:rsid w:val="000D2A97"/>
    <w:rsid w:val="000D45AC"/>
    <w:rsid w:val="000D5720"/>
    <w:rsid w:val="000D5E32"/>
    <w:rsid w:val="000D60D1"/>
    <w:rsid w:val="000D6F96"/>
    <w:rsid w:val="000E07CC"/>
    <w:rsid w:val="000E0EBC"/>
    <w:rsid w:val="000E2016"/>
    <w:rsid w:val="000E5FED"/>
    <w:rsid w:val="000E6931"/>
    <w:rsid w:val="000E6C03"/>
    <w:rsid w:val="000E7CF1"/>
    <w:rsid w:val="000F0688"/>
    <w:rsid w:val="000F0856"/>
    <w:rsid w:val="000F1129"/>
    <w:rsid w:val="000F23D7"/>
    <w:rsid w:val="000F2A7D"/>
    <w:rsid w:val="000F2C61"/>
    <w:rsid w:val="000F3DAC"/>
    <w:rsid w:val="000F4400"/>
    <w:rsid w:val="000F69EC"/>
    <w:rsid w:val="000F74E2"/>
    <w:rsid w:val="000F7F8C"/>
    <w:rsid w:val="001010BE"/>
    <w:rsid w:val="00101315"/>
    <w:rsid w:val="001015FB"/>
    <w:rsid w:val="00101F71"/>
    <w:rsid w:val="001020B0"/>
    <w:rsid w:val="001064C9"/>
    <w:rsid w:val="00106E2C"/>
    <w:rsid w:val="001106BF"/>
    <w:rsid w:val="00110DC5"/>
    <w:rsid w:val="001117B9"/>
    <w:rsid w:val="001133EA"/>
    <w:rsid w:val="001141F1"/>
    <w:rsid w:val="00114DB8"/>
    <w:rsid w:val="00115239"/>
    <w:rsid w:val="0011596F"/>
    <w:rsid w:val="001174DC"/>
    <w:rsid w:val="001236A5"/>
    <w:rsid w:val="001248F0"/>
    <w:rsid w:val="00124FE1"/>
    <w:rsid w:val="001256EE"/>
    <w:rsid w:val="00125DDB"/>
    <w:rsid w:val="00126EA2"/>
    <w:rsid w:val="0012772C"/>
    <w:rsid w:val="00130822"/>
    <w:rsid w:val="00131281"/>
    <w:rsid w:val="00131AE2"/>
    <w:rsid w:val="00131E43"/>
    <w:rsid w:val="001326C4"/>
    <w:rsid w:val="00132827"/>
    <w:rsid w:val="001328A4"/>
    <w:rsid w:val="00132DF5"/>
    <w:rsid w:val="00137F4A"/>
    <w:rsid w:val="0014061B"/>
    <w:rsid w:val="0014127E"/>
    <w:rsid w:val="001422F4"/>
    <w:rsid w:val="00142DE0"/>
    <w:rsid w:val="00143096"/>
    <w:rsid w:val="00143671"/>
    <w:rsid w:val="00144199"/>
    <w:rsid w:val="00145689"/>
    <w:rsid w:val="00146FD8"/>
    <w:rsid w:val="0014779D"/>
    <w:rsid w:val="001477FA"/>
    <w:rsid w:val="0014786C"/>
    <w:rsid w:val="00150BE7"/>
    <w:rsid w:val="00154731"/>
    <w:rsid w:val="00154751"/>
    <w:rsid w:val="0016012A"/>
    <w:rsid w:val="001602FD"/>
    <w:rsid w:val="00160A2F"/>
    <w:rsid w:val="001622EC"/>
    <w:rsid w:val="00164118"/>
    <w:rsid w:val="001648A8"/>
    <w:rsid w:val="00165965"/>
    <w:rsid w:val="00167FC8"/>
    <w:rsid w:val="0017085E"/>
    <w:rsid w:val="00171C9B"/>
    <w:rsid w:val="001769F7"/>
    <w:rsid w:val="00180D9B"/>
    <w:rsid w:val="001816E0"/>
    <w:rsid w:val="0018229E"/>
    <w:rsid w:val="00182EE4"/>
    <w:rsid w:val="001845C0"/>
    <w:rsid w:val="001849EF"/>
    <w:rsid w:val="001858E1"/>
    <w:rsid w:val="00185CCA"/>
    <w:rsid w:val="0018633E"/>
    <w:rsid w:val="001866DF"/>
    <w:rsid w:val="00186E10"/>
    <w:rsid w:val="00187374"/>
    <w:rsid w:val="00187D82"/>
    <w:rsid w:val="00191156"/>
    <w:rsid w:val="00191CFE"/>
    <w:rsid w:val="00192CC2"/>
    <w:rsid w:val="0019381F"/>
    <w:rsid w:val="001946BF"/>
    <w:rsid w:val="00197131"/>
    <w:rsid w:val="0019771B"/>
    <w:rsid w:val="001A067C"/>
    <w:rsid w:val="001A067F"/>
    <w:rsid w:val="001A1B3B"/>
    <w:rsid w:val="001A22C8"/>
    <w:rsid w:val="001A3BF9"/>
    <w:rsid w:val="001A430F"/>
    <w:rsid w:val="001A481C"/>
    <w:rsid w:val="001A4E40"/>
    <w:rsid w:val="001A627E"/>
    <w:rsid w:val="001A694D"/>
    <w:rsid w:val="001B1E11"/>
    <w:rsid w:val="001B2EC7"/>
    <w:rsid w:val="001B3046"/>
    <w:rsid w:val="001B3730"/>
    <w:rsid w:val="001B4630"/>
    <w:rsid w:val="001B478B"/>
    <w:rsid w:val="001B4CB6"/>
    <w:rsid w:val="001B52FE"/>
    <w:rsid w:val="001B6714"/>
    <w:rsid w:val="001B76EC"/>
    <w:rsid w:val="001B7B58"/>
    <w:rsid w:val="001B7E19"/>
    <w:rsid w:val="001C0289"/>
    <w:rsid w:val="001C0BA9"/>
    <w:rsid w:val="001C2B3C"/>
    <w:rsid w:val="001C31FC"/>
    <w:rsid w:val="001C3E6D"/>
    <w:rsid w:val="001C4963"/>
    <w:rsid w:val="001C5239"/>
    <w:rsid w:val="001C5B45"/>
    <w:rsid w:val="001D06EE"/>
    <w:rsid w:val="001D1B74"/>
    <w:rsid w:val="001D1CF5"/>
    <w:rsid w:val="001D2C7E"/>
    <w:rsid w:val="001D3938"/>
    <w:rsid w:val="001D4478"/>
    <w:rsid w:val="001D4D8C"/>
    <w:rsid w:val="001D56B8"/>
    <w:rsid w:val="001D6DB0"/>
    <w:rsid w:val="001E005D"/>
    <w:rsid w:val="001E080D"/>
    <w:rsid w:val="001E1481"/>
    <w:rsid w:val="001E313B"/>
    <w:rsid w:val="001E35FB"/>
    <w:rsid w:val="001E556F"/>
    <w:rsid w:val="001E594C"/>
    <w:rsid w:val="001E5B25"/>
    <w:rsid w:val="001E6C54"/>
    <w:rsid w:val="001E7496"/>
    <w:rsid w:val="001E74D6"/>
    <w:rsid w:val="001F034A"/>
    <w:rsid w:val="001F1FDE"/>
    <w:rsid w:val="001F5D6F"/>
    <w:rsid w:val="001F6A44"/>
    <w:rsid w:val="001F6D9D"/>
    <w:rsid w:val="001F6F78"/>
    <w:rsid w:val="001F7279"/>
    <w:rsid w:val="00200A69"/>
    <w:rsid w:val="00201919"/>
    <w:rsid w:val="00201BDB"/>
    <w:rsid w:val="00203FAF"/>
    <w:rsid w:val="00204782"/>
    <w:rsid w:val="00204C28"/>
    <w:rsid w:val="00205B1E"/>
    <w:rsid w:val="00206C60"/>
    <w:rsid w:val="002074C7"/>
    <w:rsid w:val="0021121D"/>
    <w:rsid w:val="00211236"/>
    <w:rsid w:val="00211B0F"/>
    <w:rsid w:val="00211D1A"/>
    <w:rsid w:val="002131B0"/>
    <w:rsid w:val="002132CD"/>
    <w:rsid w:val="00215001"/>
    <w:rsid w:val="00216811"/>
    <w:rsid w:val="002168E7"/>
    <w:rsid w:val="0022013A"/>
    <w:rsid w:val="00221A73"/>
    <w:rsid w:val="00222861"/>
    <w:rsid w:val="002246E3"/>
    <w:rsid w:val="00226293"/>
    <w:rsid w:val="00226D61"/>
    <w:rsid w:val="00226EBF"/>
    <w:rsid w:val="002272F6"/>
    <w:rsid w:val="00230572"/>
    <w:rsid w:val="002306BF"/>
    <w:rsid w:val="00231CFC"/>
    <w:rsid w:val="00232C12"/>
    <w:rsid w:val="002330D2"/>
    <w:rsid w:val="002340FD"/>
    <w:rsid w:val="002341B7"/>
    <w:rsid w:val="0023462E"/>
    <w:rsid w:val="00234D5F"/>
    <w:rsid w:val="002354D4"/>
    <w:rsid w:val="002361B3"/>
    <w:rsid w:val="00237AF9"/>
    <w:rsid w:val="00240C1A"/>
    <w:rsid w:val="00241984"/>
    <w:rsid w:val="00241BB6"/>
    <w:rsid w:val="0024274C"/>
    <w:rsid w:val="0024496E"/>
    <w:rsid w:val="00245E6A"/>
    <w:rsid w:val="00245FAF"/>
    <w:rsid w:val="00246557"/>
    <w:rsid w:val="00247E5B"/>
    <w:rsid w:val="00250348"/>
    <w:rsid w:val="0025195E"/>
    <w:rsid w:val="002524AC"/>
    <w:rsid w:val="0025260C"/>
    <w:rsid w:val="00252B7A"/>
    <w:rsid w:val="002539BA"/>
    <w:rsid w:val="00254752"/>
    <w:rsid w:val="00255456"/>
    <w:rsid w:val="002564B0"/>
    <w:rsid w:val="002565AB"/>
    <w:rsid w:val="00256957"/>
    <w:rsid w:val="00256A07"/>
    <w:rsid w:val="00256B26"/>
    <w:rsid w:val="00256BCA"/>
    <w:rsid w:val="00256ED1"/>
    <w:rsid w:val="00257D2E"/>
    <w:rsid w:val="00257E57"/>
    <w:rsid w:val="00257F97"/>
    <w:rsid w:val="002600E3"/>
    <w:rsid w:val="002609AD"/>
    <w:rsid w:val="0026247A"/>
    <w:rsid w:val="0026323C"/>
    <w:rsid w:val="00263263"/>
    <w:rsid w:val="00264D2B"/>
    <w:rsid w:val="00264DD5"/>
    <w:rsid w:val="00265EDE"/>
    <w:rsid w:val="002679A5"/>
    <w:rsid w:val="00267E0A"/>
    <w:rsid w:val="002703C5"/>
    <w:rsid w:val="00270CFE"/>
    <w:rsid w:val="0027159A"/>
    <w:rsid w:val="00273703"/>
    <w:rsid w:val="00273A8F"/>
    <w:rsid w:val="00274089"/>
    <w:rsid w:val="00275BED"/>
    <w:rsid w:val="002763A4"/>
    <w:rsid w:val="00277235"/>
    <w:rsid w:val="002772D8"/>
    <w:rsid w:val="00277443"/>
    <w:rsid w:val="00281526"/>
    <w:rsid w:val="00282EBA"/>
    <w:rsid w:val="00282F50"/>
    <w:rsid w:val="00283820"/>
    <w:rsid w:val="00284080"/>
    <w:rsid w:val="002854AB"/>
    <w:rsid w:val="00285608"/>
    <w:rsid w:val="00285DFF"/>
    <w:rsid w:val="00286EA3"/>
    <w:rsid w:val="002928C7"/>
    <w:rsid w:val="00292CEA"/>
    <w:rsid w:val="00294011"/>
    <w:rsid w:val="00294DD4"/>
    <w:rsid w:val="002954CE"/>
    <w:rsid w:val="00295950"/>
    <w:rsid w:val="002963E7"/>
    <w:rsid w:val="00296B12"/>
    <w:rsid w:val="0029777F"/>
    <w:rsid w:val="002A0CB1"/>
    <w:rsid w:val="002A15A5"/>
    <w:rsid w:val="002A1DEF"/>
    <w:rsid w:val="002A47B5"/>
    <w:rsid w:val="002A5A05"/>
    <w:rsid w:val="002A66B4"/>
    <w:rsid w:val="002B06E2"/>
    <w:rsid w:val="002B09BE"/>
    <w:rsid w:val="002B1B9D"/>
    <w:rsid w:val="002B225F"/>
    <w:rsid w:val="002B2E92"/>
    <w:rsid w:val="002B2EE5"/>
    <w:rsid w:val="002B3290"/>
    <w:rsid w:val="002B3D33"/>
    <w:rsid w:val="002B43B7"/>
    <w:rsid w:val="002B56FA"/>
    <w:rsid w:val="002B5E59"/>
    <w:rsid w:val="002B64A9"/>
    <w:rsid w:val="002B74D2"/>
    <w:rsid w:val="002C0ABF"/>
    <w:rsid w:val="002C1BF7"/>
    <w:rsid w:val="002C1CE8"/>
    <w:rsid w:val="002C1F43"/>
    <w:rsid w:val="002C225B"/>
    <w:rsid w:val="002C25F3"/>
    <w:rsid w:val="002C2800"/>
    <w:rsid w:val="002C28EA"/>
    <w:rsid w:val="002C2A83"/>
    <w:rsid w:val="002C3E9C"/>
    <w:rsid w:val="002C4019"/>
    <w:rsid w:val="002C4C2E"/>
    <w:rsid w:val="002D24D6"/>
    <w:rsid w:val="002D253A"/>
    <w:rsid w:val="002D3868"/>
    <w:rsid w:val="002D3A07"/>
    <w:rsid w:val="002D41F4"/>
    <w:rsid w:val="002D48B9"/>
    <w:rsid w:val="002D55A1"/>
    <w:rsid w:val="002D5AD6"/>
    <w:rsid w:val="002D5C45"/>
    <w:rsid w:val="002E035B"/>
    <w:rsid w:val="002E0864"/>
    <w:rsid w:val="002E484D"/>
    <w:rsid w:val="002E5733"/>
    <w:rsid w:val="002E5F8A"/>
    <w:rsid w:val="002E6E12"/>
    <w:rsid w:val="002E70FF"/>
    <w:rsid w:val="002E7CC8"/>
    <w:rsid w:val="002F1315"/>
    <w:rsid w:val="002F1463"/>
    <w:rsid w:val="002F309B"/>
    <w:rsid w:val="002F3798"/>
    <w:rsid w:val="002F7D27"/>
    <w:rsid w:val="003000D1"/>
    <w:rsid w:val="00301954"/>
    <w:rsid w:val="003019A6"/>
    <w:rsid w:val="00302496"/>
    <w:rsid w:val="0030267C"/>
    <w:rsid w:val="00303417"/>
    <w:rsid w:val="00303992"/>
    <w:rsid w:val="003047FA"/>
    <w:rsid w:val="00305689"/>
    <w:rsid w:val="003056DB"/>
    <w:rsid w:val="003061EB"/>
    <w:rsid w:val="00306A7C"/>
    <w:rsid w:val="00310351"/>
    <w:rsid w:val="00310449"/>
    <w:rsid w:val="0031111F"/>
    <w:rsid w:val="00312A11"/>
    <w:rsid w:val="003150D1"/>
    <w:rsid w:val="00315FC6"/>
    <w:rsid w:val="0031612C"/>
    <w:rsid w:val="003167F9"/>
    <w:rsid w:val="00317330"/>
    <w:rsid w:val="00317BBC"/>
    <w:rsid w:val="00320962"/>
    <w:rsid w:val="00321520"/>
    <w:rsid w:val="00321D72"/>
    <w:rsid w:val="003225AD"/>
    <w:rsid w:val="0032291E"/>
    <w:rsid w:val="0032315B"/>
    <w:rsid w:val="00325E01"/>
    <w:rsid w:val="00326431"/>
    <w:rsid w:val="0032644F"/>
    <w:rsid w:val="00330BAA"/>
    <w:rsid w:val="00332A88"/>
    <w:rsid w:val="00333DDC"/>
    <w:rsid w:val="00335B54"/>
    <w:rsid w:val="00335B85"/>
    <w:rsid w:val="00337F1A"/>
    <w:rsid w:val="003400BA"/>
    <w:rsid w:val="00341B76"/>
    <w:rsid w:val="003427B7"/>
    <w:rsid w:val="00343AC7"/>
    <w:rsid w:val="00344F6F"/>
    <w:rsid w:val="00345149"/>
    <w:rsid w:val="003452C5"/>
    <w:rsid w:val="00345A3A"/>
    <w:rsid w:val="00346E36"/>
    <w:rsid w:val="00350801"/>
    <w:rsid w:val="00351982"/>
    <w:rsid w:val="00351B27"/>
    <w:rsid w:val="00353D70"/>
    <w:rsid w:val="00354993"/>
    <w:rsid w:val="00354B02"/>
    <w:rsid w:val="00356882"/>
    <w:rsid w:val="00357839"/>
    <w:rsid w:val="003609A7"/>
    <w:rsid w:val="003633DA"/>
    <w:rsid w:val="0036419A"/>
    <w:rsid w:val="003652C9"/>
    <w:rsid w:val="0036599B"/>
    <w:rsid w:val="00365A40"/>
    <w:rsid w:val="003661C9"/>
    <w:rsid w:val="00366B85"/>
    <w:rsid w:val="00370D85"/>
    <w:rsid w:val="003718A6"/>
    <w:rsid w:val="0037193A"/>
    <w:rsid w:val="003749B4"/>
    <w:rsid w:val="00374A5F"/>
    <w:rsid w:val="003765E5"/>
    <w:rsid w:val="0038066E"/>
    <w:rsid w:val="003846FF"/>
    <w:rsid w:val="003852F3"/>
    <w:rsid w:val="003860C0"/>
    <w:rsid w:val="003878FA"/>
    <w:rsid w:val="00390215"/>
    <w:rsid w:val="00390800"/>
    <w:rsid w:val="003912E1"/>
    <w:rsid w:val="003918CE"/>
    <w:rsid w:val="0039199B"/>
    <w:rsid w:val="00394244"/>
    <w:rsid w:val="003943D4"/>
    <w:rsid w:val="0039458B"/>
    <w:rsid w:val="0039647F"/>
    <w:rsid w:val="003965BB"/>
    <w:rsid w:val="003967ED"/>
    <w:rsid w:val="00396E37"/>
    <w:rsid w:val="003A13BE"/>
    <w:rsid w:val="003A178F"/>
    <w:rsid w:val="003A2965"/>
    <w:rsid w:val="003A34FC"/>
    <w:rsid w:val="003A3C0C"/>
    <w:rsid w:val="003A78C2"/>
    <w:rsid w:val="003A7DE7"/>
    <w:rsid w:val="003A7F62"/>
    <w:rsid w:val="003B0C7E"/>
    <w:rsid w:val="003B1DE3"/>
    <w:rsid w:val="003B2EE9"/>
    <w:rsid w:val="003B3561"/>
    <w:rsid w:val="003B462A"/>
    <w:rsid w:val="003B683F"/>
    <w:rsid w:val="003B7120"/>
    <w:rsid w:val="003C1DEC"/>
    <w:rsid w:val="003C2106"/>
    <w:rsid w:val="003C273B"/>
    <w:rsid w:val="003C2BC7"/>
    <w:rsid w:val="003C4215"/>
    <w:rsid w:val="003C42CB"/>
    <w:rsid w:val="003C44BB"/>
    <w:rsid w:val="003C664E"/>
    <w:rsid w:val="003C6BD8"/>
    <w:rsid w:val="003D40E3"/>
    <w:rsid w:val="003D4286"/>
    <w:rsid w:val="003D5A23"/>
    <w:rsid w:val="003D691D"/>
    <w:rsid w:val="003D7B3D"/>
    <w:rsid w:val="003E0CED"/>
    <w:rsid w:val="003E10D6"/>
    <w:rsid w:val="003E15E4"/>
    <w:rsid w:val="003E6667"/>
    <w:rsid w:val="003F1399"/>
    <w:rsid w:val="003F13C4"/>
    <w:rsid w:val="003F1C2C"/>
    <w:rsid w:val="003F20DB"/>
    <w:rsid w:val="003F262D"/>
    <w:rsid w:val="003F3314"/>
    <w:rsid w:val="003F3633"/>
    <w:rsid w:val="003F4A84"/>
    <w:rsid w:val="003F521A"/>
    <w:rsid w:val="004010EE"/>
    <w:rsid w:val="004012CA"/>
    <w:rsid w:val="00401900"/>
    <w:rsid w:val="00402BB5"/>
    <w:rsid w:val="00403ABA"/>
    <w:rsid w:val="00403B4B"/>
    <w:rsid w:val="00404224"/>
    <w:rsid w:val="00404695"/>
    <w:rsid w:val="00404AD8"/>
    <w:rsid w:val="00405108"/>
    <w:rsid w:val="00405855"/>
    <w:rsid w:val="00407598"/>
    <w:rsid w:val="00407AD7"/>
    <w:rsid w:val="004116A8"/>
    <w:rsid w:val="00411BC0"/>
    <w:rsid w:val="004128AF"/>
    <w:rsid w:val="00414DE4"/>
    <w:rsid w:val="00416A98"/>
    <w:rsid w:val="004170B0"/>
    <w:rsid w:val="00420C42"/>
    <w:rsid w:val="00425016"/>
    <w:rsid w:val="00425D81"/>
    <w:rsid w:val="00426435"/>
    <w:rsid w:val="0042676F"/>
    <w:rsid w:val="004275E6"/>
    <w:rsid w:val="00430A21"/>
    <w:rsid w:val="0043102E"/>
    <w:rsid w:val="0043561F"/>
    <w:rsid w:val="00437768"/>
    <w:rsid w:val="00440A4F"/>
    <w:rsid w:val="00441020"/>
    <w:rsid w:val="00442224"/>
    <w:rsid w:val="00442770"/>
    <w:rsid w:val="00442F22"/>
    <w:rsid w:val="00443354"/>
    <w:rsid w:val="00446774"/>
    <w:rsid w:val="00446979"/>
    <w:rsid w:val="00446A4B"/>
    <w:rsid w:val="00447AA1"/>
    <w:rsid w:val="004501B3"/>
    <w:rsid w:val="0045028C"/>
    <w:rsid w:val="0045064F"/>
    <w:rsid w:val="0045181A"/>
    <w:rsid w:val="0045316D"/>
    <w:rsid w:val="00453EB6"/>
    <w:rsid w:val="004541A0"/>
    <w:rsid w:val="004547F5"/>
    <w:rsid w:val="004576C5"/>
    <w:rsid w:val="004604F4"/>
    <w:rsid w:val="00460F38"/>
    <w:rsid w:val="0046340D"/>
    <w:rsid w:val="00465B76"/>
    <w:rsid w:val="004705D4"/>
    <w:rsid w:val="00473AEF"/>
    <w:rsid w:val="00476AB6"/>
    <w:rsid w:val="00476B10"/>
    <w:rsid w:val="004802A0"/>
    <w:rsid w:val="00481904"/>
    <w:rsid w:val="00481D08"/>
    <w:rsid w:val="0048250E"/>
    <w:rsid w:val="0048295D"/>
    <w:rsid w:val="00482C40"/>
    <w:rsid w:val="00483F31"/>
    <w:rsid w:val="004879A8"/>
    <w:rsid w:val="004902D6"/>
    <w:rsid w:val="00490882"/>
    <w:rsid w:val="00491991"/>
    <w:rsid w:val="0049291D"/>
    <w:rsid w:val="00492FA6"/>
    <w:rsid w:val="00493112"/>
    <w:rsid w:val="0049405B"/>
    <w:rsid w:val="00494FFC"/>
    <w:rsid w:val="00496C65"/>
    <w:rsid w:val="004A1484"/>
    <w:rsid w:val="004A151E"/>
    <w:rsid w:val="004A2961"/>
    <w:rsid w:val="004A4703"/>
    <w:rsid w:val="004A4A0F"/>
    <w:rsid w:val="004A57BB"/>
    <w:rsid w:val="004A715A"/>
    <w:rsid w:val="004A77E5"/>
    <w:rsid w:val="004A7E46"/>
    <w:rsid w:val="004B0D5E"/>
    <w:rsid w:val="004B2EE9"/>
    <w:rsid w:val="004B5010"/>
    <w:rsid w:val="004B5511"/>
    <w:rsid w:val="004B55D2"/>
    <w:rsid w:val="004B5B86"/>
    <w:rsid w:val="004B6491"/>
    <w:rsid w:val="004B64EC"/>
    <w:rsid w:val="004C2131"/>
    <w:rsid w:val="004C36E1"/>
    <w:rsid w:val="004C413E"/>
    <w:rsid w:val="004C58CA"/>
    <w:rsid w:val="004C7C43"/>
    <w:rsid w:val="004C7F37"/>
    <w:rsid w:val="004D3968"/>
    <w:rsid w:val="004D416B"/>
    <w:rsid w:val="004D41DD"/>
    <w:rsid w:val="004D4AD2"/>
    <w:rsid w:val="004D5982"/>
    <w:rsid w:val="004D66AE"/>
    <w:rsid w:val="004D7C09"/>
    <w:rsid w:val="004E1D79"/>
    <w:rsid w:val="004E2E2E"/>
    <w:rsid w:val="004E2F8E"/>
    <w:rsid w:val="004E33EB"/>
    <w:rsid w:val="004E3A40"/>
    <w:rsid w:val="004E5231"/>
    <w:rsid w:val="004E5B46"/>
    <w:rsid w:val="004E5EAA"/>
    <w:rsid w:val="004E619E"/>
    <w:rsid w:val="004F0DC1"/>
    <w:rsid w:val="004F2AAB"/>
    <w:rsid w:val="004F34D0"/>
    <w:rsid w:val="004F5084"/>
    <w:rsid w:val="004F5584"/>
    <w:rsid w:val="004F6A20"/>
    <w:rsid w:val="00500099"/>
    <w:rsid w:val="005009E9"/>
    <w:rsid w:val="00501461"/>
    <w:rsid w:val="00504712"/>
    <w:rsid w:val="0050551F"/>
    <w:rsid w:val="00505AC1"/>
    <w:rsid w:val="00505D39"/>
    <w:rsid w:val="005062C8"/>
    <w:rsid w:val="00507462"/>
    <w:rsid w:val="005127EA"/>
    <w:rsid w:val="00513616"/>
    <w:rsid w:val="0051493C"/>
    <w:rsid w:val="005166B4"/>
    <w:rsid w:val="00516756"/>
    <w:rsid w:val="005178D4"/>
    <w:rsid w:val="00520984"/>
    <w:rsid w:val="0052143A"/>
    <w:rsid w:val="00521DC0"/>
    <w:rsid w:val="00521E2B"/>
    <w:rsid w:val="005227B0"/>
    <w:rsid w:val="005234F3"/>
    <w:rsid w:val="00523CF8"/>
    <w:rsid w:val="005243DE"/>
    <w:rsid w:val="005244D8"/>
    <w:rsid w:val="00524BA1"/>
    <w:rsid w:val="0052516D"/>
    <w:rsid w:val="00525B52"/>
    <w:rsid w:val="0053042A"/>
    <w:rsid w:val="00530A2B"/>
    <w:rsid w:val="005312F6"/>
    <w:rsid w:val="00531776"/>
    <w:rsid w:val="00532719"/>
    <w:rsid w:val="005338F1"/>
    <w:rsid w:val="00534521"/>
    <w:rsid w:val="005364FE"/>
    <w:rsid w:val="00536EB7"/>
    <w:rsid w:val="00537432"/>
    <w:rsid w:val="00537667"/>
    <w:rsid w:val="00537A46"/>
    <w:rsid w:val="00537D06"/>
    <w:rsid w:val="0054238A"/>
    <w:rsid w:val="0054392B"/>
    <w:rsid w:val="00543AAA"/>
    <w:rsid w:val="00543CAB"/>
    <w:rsid w:val="005454E0"/>
    <w:rsid w:val="00546207"/>
    <w:rsid w:val="00546442"/>
    <w:rsid w:val="00546F48"/>
    <w:rsid w:val="00547327"/>
    <w:rsid w:val="00547740"/>
    <w:rsid w:val="005509F5"/>
    <w:rsid w:val="00552FB8"/>
    <w:rsid w:val="00553502"/>
    <w:rsid w:val="005541A8"/>
    <w:rsid w:val="00555AEC"/>
    <w:rsid w:val="005563FB"/>
    <w:rsid w:val="00556602"/>
    <w:rsid w:val="0055669D"/>
    <w:rsid w:val="0055704F"/>
    <w:rsid w:val="00557097"/>
    <w:rsid w:val="0055729D"/>
    <w:rsid w:val="0055741F"/>
    <w:rsid w:val="00557DE7"/>
    <w:rsid w:val="00557E34"/>
    <w:rsid w:val="00560326"/>
    <w:rsid w:val="00561505"/>
    <w:rsid w:val="00561AC3"/>
    <w:rsid w:val="00562138"/>
    <w:rsid w:val="00562548"/>
    <w:rsid w:val="00563EBE"/>
    <w:rsid w:val="0056403E"/>
    <w:rsid w:val="00565353"/>
    <w:rsid w:val="00565946"/>
    <w:rsid w:val="00565AE0"/>
    <w:rsid w:val="00565B26"/>
    <w:rsid w:val="00566359"/>
    <w:rsid w:val="00566B0D"/>
    <w:rsid w:val="00570D65"/>
    <w:rsid w:val="005710AF"/>
    <w:rsid w:val="005710D9"/>
    <w:rsid w:val="005719A6"/>
    <w:rsid w:val="00573098"/>
    <w:rsid w:val="00573B62"/>
    <w:rsid w:val="00573C30"/>
    <w:rsid w:val="00576302"/>
    <w:rsid w:val="00576807"/>
    <w:rsid w:val="00580F0E"/>
    <w:rsid w:val="00581713"/>
    <w:rsid w:val="00581C78"/>
    <w:rsid w:val="00582906"/>
    <w:rsid w:val="00582BF5"/>
    <w:rsid w:val="00583864"/>
    <w:rsid w:val="00585184"/>
    <w:rsid w:val="00585AEC"/>
    <w:rsid w:val="00585BD8"/>
    <w:rsid w:val="00592C04"/>
    <w:rsid w:val="00592D61"/>
    <w:rsid w:val="00594A18"/>
    <w:rsid w:val="0059568D"/>
    <w:rsid w:val="00596A80"/>
    <w:rsid w:val="00596D4B"/>
    <w:rsid w:val="00597AA2"/>
    <w:rsid w:val="005A2507"/>
    <w:rsid w:val="005A55D0"/>
    <w:rsid w:val="005A5EBF"/>
    <w:rsid w:val="005A7BC2"/>
    <w:rsid w:val="005B15FE"/>
    <w:rsid w:val="005B3649"/>
    <w:rsid w:val="005B405F"/>
    <w:rsid w:val="005B5DF2"/>
    <w:rsid w:val="005B72D4"/>
    <w:rsid w:val="005C050F"/>
    <w:rsid w:val="005C0E12"/>
    <w:rsid w:val="005C15F7"/>
    <w:rsid w:val="005C2CDB"/>
    <w:rsid w:val="005C3A1E"/>
    <w:rsid w:val="005C5145"/>
    <w:rsid w:val="005C552C"/>
    <w:rsid w:val="005C68BD"/>
    <w:rsid w:val="005C7A84"/>
    <w:rsid w:val="005D0DAC"/>
    <w:rsid w:val="005D124A"/>
    <w:rsid w:val="005D219B"/>
    <w:rsid w:val="005D245C"/>
    <w:rsid w:val="005D2626"/>
    <w:rsid w:val="005D2BA6"/>
    <w:rsid w:val="005D55F9"/>
    <w:rsid w:val="005D5712"/>
    <w:rsid w:val="005E0DE4"/>
    <w:rsid w:val="005E230C"/>
    <w:rsid w:val="005E3114"/>
    <w:rsid w:val="005E361F"/>
    <w:rsid w:val="005E42EA"/>
    <w:rsid w:val="005E4EB7"/>
    <w:rsid w:val="005E6E15"/>
    <w:rsid w:val="005E752F"/>
    <w:rsid w:val="005E7535"/>
    <w:rsid w:val="005E762D"/>
    <w:rsid w:val="005F138A"/>
    <w:rsid w:val="005F20C1"/>
    <w:rsid w:val="005F3BBB"/>
    <w:rsid w:val="005F4065"/>
    <w:rsid w:val="005F4C83"/>
    <w:rsid w:val="005F4F85"/>
    <w:rsid w:val="005F59C1"/>
    <w:rsid w:val="005F5F5A"/>
    <w:rsid w:val="005F71C0"/>
    <w:rsid w:val="005F7883"/>
    <w:rsid w:val="00600ACF"/>
    <w:rsid w:val="00600BB4"/>
    <w:rsid w:val="006016FB"/>
    <w:rsid w:val="00601B56"/>
    <w:rsid w:val="00602CE2"/>
    <w:rsid w:val="00604146"/>
    <w:rsid w:val="00606118"/>
    <w:rsid w:val="00606DF6"/>
    <w:rsid w:val="00610432"/>
    <w:rsid w:val="0061055F"/>
    <w:rsid w:val="00611422"/>
    <w:rsid w:val="00611694"/>
    <w:rsid w:val="00612635"/>
    <w:rsid w:val="00615FFB"/>
    <w:rsid w:val="00616EC5"/>
    <w:rsid w:val="006174C4"/>
    <w:rsid w:val="00617535"/>
    <w:rsid w:val="00617778"/>
    <w:rsid w:val="0062087E"/>
    <w:rsid w:val="00621A31"/>
    <w:rsid w:val="00621C23"/>
    <w:rsid w:val="00622341"/>
    <w:rsid w:val="0062373D"/>
    <w:rsid w:val="00624B82"/>
    <w:rsid w:val="00626DEB"/>
    <w:rsid w:val="00626FF0"/>
    <w:rsid w:val="006273BF"/>
    <w:rsid w:val="00627440"/>
    <w:rsid w:val="00631E0E"/>
    <w:rsid w:val="00632589"/>
    <w:rsid w:val="00637015"/>
    <w:rsid w:val="00637914"/>
    <w:rsid w:val="00641137"/>
    <w:rsid w:val="0064125D"/>
    <w:rsid w:val="00644B40"/>
    <w:rsid w:val="00644F03"/>
    <w:rsid w:val="00645BC3"/>
    <w:rsid w:val="0065046E"/>
    <w:rsid w:val="0065138B"/>
    <w:rsid w:val="00651D91"/>
    <w:rsid w:val="00651F04"/>
    <w:rsid w:val="0065351B"/>
    <w:rsid w:val="00654094"/>
    <w:rsid w:val="00654C10"/>
    <w:rsid w:val="00654E6A"/>
    <w:rsid w:val="0065657F"/>
    <w:rsid w:val="00656DA2"/>
    <w:rsid w:val="00657BC6"/>
    <w:rsid w:val="00657DE0"/>
    <w:rsid w:val="006601D6"/>
    <w:rsid w:val="00661597"/>
    <w:rsid w:val="006624EF"/>
    <w:rsid w:val="00662574"/>
    <w:rsid w:val="006625CD"/>
    <w:rsid w:val="00663DB3"/>
    <w:rsid w:val="00664AB5"/>
    <w:rsid w:val="006656AD"/>
    <w:rsid w:val="0067026E"/>
    <w:rsid w:val="006707F2"/>
    <w:rsid w:val="006718E4"/>
    <w:rsid w:val="00672EB2"/>
    <w:rsid w:val="00673E8E"/>
    <w:rsid w:val="00675FE2"/>
    <w:rsid w:val="006803BD"/>
    <w:rsid w:val="00681531"/>
    <w:rsid w:val="006816E1"/>
    <w:rsid w:val="00682E62"/>
    <w:rsid w:val="00683318"/>
    <w:rsid w:val="0068350F"/>
    <w:rsid w:val="00683735"/>
    <w:rsid w:val="00684440"/>
    <w:rsid w:val="00684477"/>
    <w:rsid w:val="006844B3"/>
    <w:rsid w:val="00684A10"/>
    <w:rsid w:val="0068617E"/>
    <w:rsid w:val="00686CA8"/>
    <w:rsid w:val="006871C0"/>
    <w:rsid w:val="00690E1B"/>
    <w:rsid w:val="0069111F"/>
    <w:rsid w:val="00693F06"/>
    <w:rsid w:val="00694864"/>
    <w:rsid w:val="00694B68"/>
    <w:rsid w:val="00696491"/>
    <w:rsid w:val="00696599"/>
    <w:rsid w:val="006977DB"/>
    <w:rsid w:val="00697EB7"/>
    <w:rsid w:val="006A0035"/>
    <w:rsid w:val="006A1200"/>
    <w:rsid w:val="006A365F"/>
    <w:rsid w:val="006A3E40"/>
    <w:rsid w:val="006A5121"/>
    <w:rsid w:val="006A5307"/>
    <w:rsid w:val="006A531E"/>
    <w:rsid w:val="006A6298"/>
    <w:rsid w:val="006A65EA"/>
    <w:rsid w:val="006A7AF7"/>
    <w:rsid w:val="006B06A7"/>
    <w:rsid w:val="006B120E"/>
    <w:rsid w:val="006B23F2"/>
    <w:rsid w:val="006B2E21"/>
    <w:rsid w:val="006B31EB"/>
    <w:rsid w:val="006B3545"/>
    <w:rsid w:val="006B7649"/>
    <w:rsid w:val="006C2DE3"/>
    <w:rsid w:val="006C3957"/>
    <w:rsid w:val="006C3D5D"/>
    <w:rsid w:val="006C417C"/>
    <w:rsid w:val="006C41E2"/>
    <w:rsid w:val="006C4DC1"/>
    <w:rsid w:val="006C4E95"/>
    <w:rsid w:val="006C64DA"/>
    <w:rsid w:val="006C70B7"/>
    <w:rsid w:val="006C77E6"/>
    <w:rsid w:val="006D1534"/>
    <w:rsid w:val="006D5588"/>
    <w:rsid w:val="006D6743"/>
    <w:rsid w:val="006D6E21"/>
    <w:rsid w:val="006D75B4"/>
    <w:rsid w:val="006E112F"/>
    <w:rsid w:val="006E164F"/>
    <w:rsid w:val="006E3017"/>
    <w:rsid w:val="006E3220"/>
    <w:rsid w:val="006E402B"/>
    <w:rsid w:val="006E4459"/>
    <w:rsid w:val="006E51FE"/>
    <w:rsid w:val="006E53B4"/>
    <w:rsid w:val="006E57B0"/>
    <w:rsid w:val="006F01F6"/>
    <w:rsid w:val="006F0B58"/>
    <w:rsid w:val="006F1AA9"/>
    <w:rsid w:val="006F1EC0"/>
    <w:rsid w:val="006F4636"/>
    <w:rsid w:val="006F4D49"/>
    <w:rsid w:val="006F5093"/>
    <w:rsid w:val="006F59A8"/>
    <w:rsid w:val="006F6E9E"/>
    <w:rsid w:val="006F7136"/>
    <w:rsid w:val="006F772C"/>
    <w:rsid w:val="00701F33"/>
    <w:rsid w:val="00702433"/>
    <w:rsid w:val="007026E6"/>
    <w:rsid w:val="00705553"/>
    <w:rsid w:val="0070595C"/>
    <w:rsid w:val="00711217"/>
    <w:rsid w:val="00713BD7"/>
    <w:rsid w:val="00713FC1"/>
    <w:rsid w:val="0071498B"/>
    <w:rsid w:val="00715C0F"/>
    <w:rsid w:val="00720247"/>
    <w:rsid w:val="00722865"/>
    <w:rsid w:val="007236CC"/>
    <w:rsid w:val="00723820"/>
    <w:rsid w:val="00723858"/>
    <w:rsid w:val="00724BDE"/>
    <w:rsid w:val="00725011"/>
    <w:rsid w:val="007262A5"/>
    <w:rsid w:val="007276FA"/>
    <w:rsid w:val="007305CB"/>
    <w:rsid w:val="007316DD"/>
    <w:rsid w:val="00731746"/>
    <w:rsid w:val="00732558"/>
    <w:rsid w:val="00732C02"/>
    <w:rsid w:val="00732F32"/>
    <w:rsid w:val="00734230"/>
    <w:rsid w:val="007347F2"/>
    <w:rsid w:val="00734BA6"/>
    <w:rsid w:val="00734CED"/>
    <w:rsid w:val="007353EB"/>
    <w:rsid w:val="00736061"/>
    <w:rsid w:val="00736DED"/>
    <w:rsid w:val="007375FF"/>
    <w:rsid w:val="007409B8"/>
    <w:rsid w:val="00741DC6"/>
    <w:rsid w:val="00744422"/>
    <w:rsid w:val="0074450A"/>
    <w:rsid w:val="0074688F"/>
    <w:rsid w:val="007469FD"/>
    <w:rsid w:val="0074711A"/>
    <w:rsid w:val="007474BD"/>
    <w:rsid w:val="00750527"/>
    <w:rsid w:val="00751A43"/>
    <w:rsid w:val="0075235A"/>
    <w:rsid w:val="00752BF1"/>
    <w:rsid w:val="00753A3F"/>
    <w:rsid w:val="0075419B"/>
    <w:rsid w:val="007545BE"/>
    <w:rsid w:val="00755253"/>
    <w:rsid w:val="00757704"/>
    <w:rsid w:val="00757FA5"/>
    <w:rsid w:val="00760747"/>
    <w:rsid w:val="00760FDE"/>
    <w:rsid w:val="00762743"/>
    <w:rsid w:val="00762916"/>
    <w:rsid w:val="00763FA5"/>
    <w:rsid w:val="00764496"/>
    <w:rsid w:val="00764901"/>
    <w:rsid w:val="00765381"/>
    <w:rsid w:val="00766890"/>
    <w:rsid w:val="00766C95"/>
    <w:rsid w:val="00766F93"/>
    <w:rsid w:val="0077050B"/>
    <w:rsid w:val="00771F70"/>
    <w:rsid w:val="00772BA4"/>
    <w:rsid w:val="00772C4E"/>
    <w:rsid w:val="0077363A"/>
    <w:rsid w:val="0077544D"/>
    <w:rsid w:val="00775ED6"/>
    <w:rsid w:val="00775F06"/>
    <w:rsid w:val="00776403"/>
    <w:rsid w:val="00776E27"/>
    <w:rsid w:val="007772D9"/>
    <w:rsid w:val="00777F75"/>
    <w:rsid w:val="00782AEE"/>
    <w:rsid w:val="0078483C"/>
    <w:rsid w:val="007850D3"/>
    <w:rsid w:val="00785203"/>
    <w:rsid w:val="0078566D"/>
    <w:rsid w:val="00787716"/>
    <w:rsid w:val="00787830"/>
    <w:rsid w:val="00791019"/>
    <w:rsid w:val="00791A18"/>
    <w:rsid w:val="00791B83"/>
    <w:rsid w:val="00791BCD"/>
    <w:rsid w:val="00791D7A"/>
    <w:rsid w:val="0079265E"/>
    <w:rsid w:val="0079319E"/>
    <w:rsid w:val="007939C5"/>
    <w:rsid w:val="00794710"/>
    <w:rsid w:val="0079502A"/>
    <w:rsid w:val="00795468"/>
    <w:rsid w:val="00795515"/>
    <w:rsid w:val="0079616B"/>
    <w:rsid w:val="00796A3A"/>
    <w:rsid w:val="00796D1A"/>
    <w:rsid w:val="007A01D0"/>
    <w:rsid w:val="007A466C"/>
    <w:rsid w:val="007A564F"/>
    <w:rsid w:val="007A5BFA"/>
    <w:rsid w:val="007A6799"/>
    <w:rsid w:val="007A75BA"/>
    <w:rsid w:val="007B0AF3"/>
    <w:rsid w:val="007B13D7"/>
    <w:rsid w:val="007B1422"/>
    <w:rsid w:val="007B1915"/>
    <w:rsid w:val="007B2103"/>
    <w:rsid w:val="007B2567"/>
    <w:rsid w:val="007B6EED"/>
    <w:rsid w:val="007C095F"/>
    <w:rsid w:val="007C21BF"/>
    <w:rsid w:val="007C2955"/>
    <w:rsid w:val="007C4089"/>
    <w:rsid w:val="007C5A14"/>
    <w:rsid w:val="007C7331"/>
    <w:rsid w:val="007D168D"/>
    <w:rsid w:val="007D1C5C"/>
    <w:rsid w:val="007D2205"/>
    <w:rsid w:val="007D2892"/>
    <w:rsid w:val="007D53C5"/>
    <w:rsid w:val="007D7EA8"/>
    <w:rsid w:val="007E015E"/>
    <w:rsid w:val="007E09BA"/>
    <w:rsid w:val="007E17D8"/>
    <w:rsid w:val="007E18AF"/>
    <w:rsid w:val="007E2CA7"/>
    <w:rsid w:val="007E2E9B"/>
    <w:rsid w:val="007E2F15"/>
    <w:rsid w:val="007E49DF"/>
    <w:rsid w:val="007E6D5E"/>
    <w:rsid w:val="007F28C3"/>
    <w:rsid w:val="007F4394"/>
    <w:rsid w:val="007F4709"/>
    <w:rsid w:val="007F4B84"/>
    <w:rsid w:val="007F715B"/>
    <w:rsid w:val="00802B2D"/>
    <w:rsid w:val="00803204"/>
    <w:rsid w:val="00811889"/>
    <w:rsid w:val="008131D0"/>
    <w:rsid w:val="00814D78"/>
    <w:rsid w:val="00815149"/>
    <w:rsid w:val="008151AD"/>
    <w:rsid w:val="00816D90"/>
    <w:rsid w:val="00820017"/>
    <w:rsid w:val="00820553"/>
    <w:rsid w:val="008220E9"/>
    <w:rsid w:val="00823670"/>
    <w:rsid w:val="00823EDC"/>
    <w:rsid w:val="0082501B"/>
    <w:rsid w:val="008251BE"/>
    <w:rsid w:val="00825952"/>
    <w:rsid w:val="008262E1"/>
    <w:rsid w:val="00826879"/>
    <w:rsid w:val="00826D45"/>
    <w:rsid w:val="00827867"/>
    <w:rsid w:val="0083114A"/>
    <w:rsid w:val="008327B0"/>
    <w:rsid w:val="008343AC"/>
    <w:rsid w:val="00836C91"/>
    <w:rsid w:val="00836D97"/>
    <w:rsid w:val="008377A8"/>
    <w:rsid w:val="008448BE"/>
    <w:rsid w:val="00844B3F"/>
    <w:rsid w:val="00845774"/>
    <w:rsid w:val="00845877"/>
    <w:rsid w:val="00847371"/>
    <w:rsid w:val="00847F56"/>
    <w:rsid w:val="0085107A"/>
    <w:rsid w:val="00851E00"/>
    <w:rsid w:val="00851E40"/>
    <w:rsid w:val="00853CB2"/>
    <w:rsid w:val="00854283"/>
    <w:rsid w:val="00854821"/>
    <w:rsid w:val="0085515B"/>
    <w:rsid w:val="00855822"/>
    <w:rsid w:val="008567F9"/>
    <w:rsid w:val="00857825"/>
    <w:rsid w:val="008603BE"/>
    <w:rsid w:val="008640E2"/>
    <w:rsid w:val="0086548C"/>
    <w:rsid w:val="00866585"/>
    <w:rsid w:val="00870129"/>
    <w:rsid w:val="00870274"/>
    <w:rsid w:val="00871693"/>
    <w:rsid w:val="00873ABB"/>
    <w:rsid w:val="0087685F"/>
    <w:rsid w:val="00882969"/>
    <w:rsid w:val="00882F4C"/>
    <w:rsid w:val="0088474B"/>
    <w:rsid w:val="00884A2F"/>
    <w:rsid w:val="00884D0B"/>
    <w:rsid w:val="00885037"/>
    <w:rsid w:val="00887293"/>
    <w:rsid w:val="00887DBE"/>
    <w:rsid w:val="008930E5"/>
    <w:rsid w:val="00893DBC"/>
    <w:rsid w:val="0089505C"/>
    <w:rsid w:val="00897DE9"/>
    <w:rsid w:val="008A2EB2"/>
    <w:rsid w:val="008A34D8"/>
    <w:rsid w:val="008A36A8"/>
    <w:rsid w:val="008A63E6"/>
    <w:rsid w:val="008A649E"/>
    <w:rsid w:val="008A6FFD"/>
    <w:rsid w:val="008A75A8"/>
    <w:rsid w:val="008B040D"/>
    <w:rsid w:val="008B0D56"/>
    <w:rsid w:val="008B13EC"/>
    <w:rsid w:val="008C0A26"/>
    <w:rsid w:val="008C1257"/>
    <w:rsid w:val="008C13C0"/>
    <w:rsid w:val="008C40B9"/>
    <w:rsid w:val="008C45DD"/>
    <w:rsid w:val="008C6755"/>
    <w:rsid w:val="008C71FB"/>
    <w:rsid w:val="008C7391"/>
    <w:rsid w:val="008D0550"/>
    <w:rsid w:val="008D1E7E"/>
    <w:rsid w:val="008D22BB"/>
    <w:rsid w:val="008D32C0"/>
    <w:rsid w:val="008D3A82"/>
    <w:rsid w:val="008D4276"/>
    <w:rsid w:val="008D7FC4"/>
    <w:rsid w:val="008E218C"/>
    <w:rsid w:val="008E35E5"/>
    <w:rsid w:val="008E4BB3"/>
    <w:rsid w:val="008E5D57"/>
    <w:rsid w:val="008E7289"/>
    <w:rsid w:val="008E7CAE"/>
    <w:rsid w:val="008F134C"/>
    <w:rsid w:val="008F165C"/>
    <w:rsid w:val="008F2050"/>
    <w:rsid w:val="008F450B"/>
    <w:rsid w:val="008F4DB8"/>
    <w:rsid w:val="008F6367"/>
    <w:rsid w:val="008F6F2F"/>
    <w:rsid w:val="008F77CE"/>
    <w:rsid w:val="00900A7F"/>
    <w:rsid w:val="009028D4"/>
    <w:rsid w:val="00903D71"/>
    <w:rsid w:val="00904A05"/>
    <w:rsid w:val="00904CBC"/>
    <w:rsid w:val="009077EB"/>
    <w:rsid w:val="0090785E"/>
    <w:rsid w:val="00907AA5"/>
    <w:rsid w:val="00912757"/>
    <w:rsid w:val="00913FC3"/>
    <w:rsid w:val="00915D29"/>
    <w:rsid w:val="00916EE1"/>
    <w:rsid w:val="00917EDF"/>
    <w:rsid w:val="0092075C"/>
    <w:rsid w:val="00920883"/>
    <w:rsid w:val="00920BA8"/>
    <w:rsid w:val="0092205A"/>
    <w:rsid w:val="00922426"/>
    <w:rsid w:val="00922F0C"/>
    <w:rsid w:val="00924B35"/>
    <w:rsid w:val="00926678"/>
    <w:rsid w:val="0092672F"/>
    <w:rsid w:val="00926A02"/>
    <w:rsid w:val="00926E00"/>
    <w:rsid w:val="00927069"/>
    <w:rsid w:val="0092799E"/>
    <w:rsid w:val="00932CB5"/>
    <w:rsid w:val="00932EE9"/>
    <w:rsid w:val="00933093"/>
    <w:rsid w:val="009334CE"/>
    <w:rsid w:val="009335E6"/>
    <w:rsid w:val="00933781"/>
    <w:rsid w:val="00933C78"/>
    <w:rsid w:val="00934CB6"/>
    <w:rsid w:val="00934D3F"/>
    <w:rsid w:val="009379B1"/>
    <w:rsid w:val="00937A43"/>
    <w:rsid w:val="0094088D"/>
    <w:rsid w:val="009414DD"/>
    <w:rsid w:val="009416C2"/>
    <w:rsid w:val="00941A83"/>
    <w:rsid w:val="00944273"/>
    <w:rsid w:val="009455B9"/>
    <w:rsid w:val="009460E1"/>
    <w:rsid w:val="009469AD"/>
    <w:rsid w:val="00946DD4"/>
    <w:rsid w:val="00947862"/>
    <w:rsid w:val="009511B2"/>
    <w:rsid w:val="00951404"/>
    <w:rsid w:val="00951D99"/>
    <w:rsid w:val="00951F79"/>
    <w:rsid w:val="00952D55"/>
    <w:rsid w:val="009542D8"/>
    <w:rsid w:val="00954305"/>
    <w:rsid w:val="0095446F"/>
    <w:rsid w:val="009549C6"/>
    <w:rsid w:val="009601C6"/>
    <w:rsid w:val="009610DA"/>
    <w:rsid w:val="00961D03"/>
    <w:rsid w:val="0096279C"/>
    <w:rsid w:val="009632E7"/>
    <w:rsid w:val="00963F88"/>
    <w:rsid w:val="00964205"/>
    <w:rsid w:val="00964661"/>
    <w:rsid w:val="00965EA9"/>
    <w:rsid w:val="00966059"/>
    <w:rsid w:val="009663E2"/>
    <w:rsid w:val="00967129"/>
    <w:rsid w:val="00967917"/>
    <w:rsid w:val="009703F7"/>
    <w:rsid w:val="009706BC"/>
    <w:rsid w:val="00972ABC"/>
    <w:rsid w:val="00972B1A"/>
    <w:rsid w:val="00977B5C"/>
    <w:rsid w:val="00980400"/>
    <w:rsid w:val="00980527"/>
    <w:rsid w:val="00980988"/>
    <w:rsid w:val="00982C6F"/>
    <w:rsid w:val="009835C8"/>
    <w:rsid w:val="00983D4B"/>
    <w:rsid w:val="00984151"/>
    <w:rsid w:val="0098484C"/>
    <w:rsid w:val="00985E4E"/>
    <w:rsid w:val="0098679C"/>
    <w:rsid w:val="00986879"/>
    <w:rsid w:val="00986F97"/>
    <w:rsid w:val="00987F08"/>
    <w:rsid w:val="00992781"/>
    <w:rsid w:val="00992D49"/>
    <w:rsid w:val="0099396C"/>
    <w:rsid w:val="0099721F"/>
    <w:rsid w:val="009A0686"/>
    <w:rsid w:val="009A0EB1"/>
    <w:rsid w:val="009A1070"/>
    <w:rsid w:val="009A300D"/>
    <w:rsid w:val="009A3CD1"/>
    <w:rsid w:val="009A416C"/>
    <w:rsid w:val="009B2976"/>
    <w:rsid w:val="009B3AB1"/>
    <w:rsid w:val="009B523B"/>
    <w:rsid w:val="009B5B88"/>
    <w:rsid w:val="009B65E4"/>
    <w:rsid w:val="009B6FCC"/>
    <w:rsid w:val="009B7995"/>
    <w:rsid w:val="009C0B0E"/>
    <w:rsid w:val="009C16AA"/>
    <w:rsid w:val="009C16D4"/>
    <w:rsid w:val="009C1B5F"/>
    <w:rsid w:val="009C25DD"/>
    <w:rsid w:val="009C25F0"/>
    <w:rsid w:val="009C2F24"/>
    <w:rsid w:val="009C4CE3"/>
    <w:rsid w:val="009C5298"/>
    <w:rsid w:val="009C55B7"/>
    <w:rsid w:val="009C5F08"/>
    <w:rsid w:val="009C61EC"/>
    <w:rsid w:val="009C6BCE"/>
    <w:rsid w:val="009C6FFA"/>
    <w:rsid w:val="009C716B"/>
    <w:rsid w:val="009D06E3"/>
    <w:rsid w:val="009D2206"/>
    <w:rsid w:val="009D31F4"/>
    <w:rsid w:val="009D391B"/>
    <w:rsid w:val="009D3C50"/>
    <w:rsid w:val="009D3EDE"/>
    <w:rsid w:val="009D4A27"/>
    <w:rsid w:val="009D501E"/>
    <w:rsid w:val="009D536A"/>
    <w:rsid w:val="009D5D87"/>
    <w:rsid w:val="009E19D1"/>
    <w:rsid w:val="009E1D49"/>
    <w:rsid w:val="009E2827"/>
    <w:rsid w:val="009E446C"/>
    <w:rsid w:val="009E453E"/>
    <w:rsid w:val="009E46BB"/>
    <w:rsid w:val="009E5929"/>
    <w:rsid w:val="009E6183"/>
    <w:rsid w:val="009E6246"/>
    <w:rsid w:val="009E644A"/>
    <w:rsid w:val="009E7949"/>
    <w:rsid w:val="009F0C7B"/>
    <w:rsid w:val="009F35E0"/>
    <w:rsid w:val="009F5D4C"/>
    <w:rsid w:val="009F7B43"/>
    <w:rsid w:val="00A01674"/>
    <w:rsid w:val="00A020F8"/>
    <w:rsid w:val="00A03560"/>
    <w:rsid w:val="00A0414D"/>
    <w:rsid w:val="00A06766"/>
    <w:rsid w:val="00A06C3A"/>
    <w:rsid w:val="00A06CF3"/>
    <w:rsid w:val="00A07A7C"/>
    <w:rsid w:val="00A101BF"/>
    <w:rsid w:val="00A12C9E"/>
    <w:rsid w:val="00A12CB6"/>
    <w:rsid w:val="00A13077"/>
    <w:rsid w:val="00A155BB"/>
    <w:rsid w:val="00A17081"/>
    <w:rsid w:val="00A17705"/>
    <w:rsid w:val="00A20035"/>
    <w:rsid w:val="00A212F9"/>
    <w:rsid w:val="00A224E6"/>
    <w:rsid w:val="00A246DD"/>
    <w:rsid w:val="00A25145"/>
    <w:rsid w:val="00A25857"/>
    <w:rsid w:val="00A26DB0"/>
    <w:rsid w:val="00A3026E"/>
    <w:rsid w:val="00A30F36"/>
    <w:rsid w:val="00A323D2"/>
    <w:rsid w:val="00A32C23"/>
    <w:rsid w:val="00A34689"/>
    <w:rsid w:val="00A34A5C"/>
    <w:rsid w:val="00A35F3D"/>
    <w:rsid w:val="00A36118"/>
    <w:rsid w:val="00A36F98"/>
    <w:rsid w:val="00A41C42"/>
    <w:rsid w:val="00A426FF"/>
    <w:rsid w:val="00A428D4"/>
    <w:rsid w:val="00A433DD"/>
    <w:rsid w:val="00A43E3C"/>
    <w:rsid w:val="00A4477E"/>
    <w:rsid w:val="00A45C88"/>
    <w:rsid w:val="00A46731"/>
    <w:rsid w:val="00A47397"/>
    <w:rsid w:val="00A50C6A"/>
    <w:rsid w:val="00A5261A"/>
    <w:rsid w:val="00A5430D"/>
    <w:rsid w:val="00A545F7"/>
    <w:rsid w:val="00A54F6F"/>
    <w:rsid w:val="00A5534D"/>
    <w:rsid w:val="00A5565A"/>
    <w:rsid w:val="00A55996"/>
    <w:rsid w:val="00A56749"/>
    <w:rsid w:val="00A568C8"/>
    <w:rsid w:val="00A56D38"/>
    <w:rsid w:val="00A61FD2"/>
    <w:rsid w:val="00A62ED0"/>
    <w:rsid w:val="00A63168"/>
    <w:rsid w:val="00A63C53"/>
    <w:rsid w:val="00A63D61"/>
    <w:rsid w:val="00A6463C"/>
    <w:rsid w:val="00A65588"/>
    <w:rsid w:val="00A658A5"/>
    <w:rsid w:val="00A669D9"/>
    <w:rsid w:val="00A66F85"/>
    <w:rsid w:val="00A66F9A"/>
    <w:rsid w:val="00A67010"/>
    <w:rsid w:val="00A70101"/>
    <w:rsid w:val="00A71A1F"/>
    <w:rsid w:val="00A71B6A"/>
    <w:rsid w:val="00A767D3"/>
    <w:rsid w:val="00A77D92"/>
    <w:rsid w:val="00A804F1"/>
    <w:rsid w:val="00A81918"/>
    <w:rsid w:val="00A81CBD"/>
    <w:rsid w:val="00A8225F"/>
    <w:rsid w:val="00A824DA"/>
    <w:rsid w:val="00A859A9"/>
    <w:rsid w:val="00A85E0B"/>
    <w:rsid w:val="00A8698B"/>
    <w:rsid w:val="00A86E8F"/>
    <w:rsid w:val="00A870EE"/>
    <w:rsid w:val="00A87B28"/>
    <w:rsid w:val="00A9318A"/>
    <w:rsid w:val="00A9477C"/>
    <w:rsid w:val="00A94893"/>
    <w:rsid w:val="00A94D3C"/>
    <w:rsid w:val="00A9614D"/>
    <w:rsid w:val="00A97564"/>
    <w:rsid w:val="00A978E9"/>
    <w:rsid w:val="00AA3CFB"/>
    <w:rsid w:val="00AA4C7F"/>
    <w:rsid w:val="00AA4F00"/>
    <w:rsid w:val="00AA5661"/>
    <w:rsid w:val="00AA7258"/>
    <w:rsid w:val="00AB0CD4"/>
    <w:rsid w:val="00AB3516"/>
    <w:rsid w:val="00AB365F"/>
    <w:rsid w:val="00AB3C2C"/>
    <w:rsid w:val="00AB4EE7"/>
    <w:rsid w:val="00AB568A"/>
    <w:rsid w:val="00AB5E9D"/>
    <w:rsid w:val="00AB6997"/>
    <w:rsid w:val="00AB721B"/>
    <w:rsid w:val="00AB7F6F"/>
    <w:rsid w:val="00AC20B8"/>
    <w:rsid w:val="00AC2F47"/>
    <w:rsid w:val="00AC35A3"/>
    <w:rsid w:val="00AC43D6"/>
    <w:rsid w:val="00AC5397"/>
    <w:rsid w:val="00AC55A1"/>
    <w:rsid w:val="00AC614E"/>
    <w:rsid w:val="00AD0E65"/>
    <w:rsid w:val="00AD102F"/>
    <w:rsid w:val="00AD20B8"/>
    <w:rsid w:val="00AD2249"/>
    <w:rsid w:val="00AD3052"/>
    <w:rsid w:val="00AD4152"/>
    <w:rsid w:val="00AD42E3"/>
    <w:rsid w:val="00AD445D"/>
    <w:rsid w:val="00AD49D6"/>
    <w:rsid w:val="00AD5670"/>
    <w:rsid w:val="00AD59A6"/>
    <w:rsid w:val="00AD608F"/>
    <w:rsid w:val="00AD6BB3"/>
    <w:rsid w:val="00AD7543"/>
    <w:rsid w:val="00AD75DB"/>
    <w:rsid w:val="00AD779A"/>
    <w:rsid w:val="00AD7868"/>
    <w:rsid w:val="00AE2062"/>
    <w:rsid w:val="00AE24C5"/>
    <w:rsid w:val="00AE2944"/>
    <w:rsid w:val="00AE2F5E"/>
    <w:rsid w:val="00AE3886"/>
    <w:rsid w:val="00AE47A5"/>
    <w:rsid w:val="00AE501E"/>
    <w:rsid w:val="00AE556A"/>
    <w:rsid w:val="00AE7B97"/>
    <w:rsid w:val="00AF0C48"/>
    <w:rsid w:val="00AF1D62"/>
    <w:rsid w:val="00AF27C1"/>
    <w:rsid w:val="00AF3591"/>
    <w:rsid w:val="00AF527E"/>
    <w:rsid w:val="00AF55EF"/>
    <w:rsid w:val="00AF5CB3"/>
    <w:rsid w:val="00AF61B1"/>
    <w:rsid w:val="00AF7B1B"/>
    <w:rsid w:val="00B01750"/>
    <w:rsid w:val="00B0181B"/>
    <w:rsid w:val="00B03CB4"/>
    <w:rsid w:val="00B05CDC"/>
    <w:rsid w:val="00B06120"/>
    <w:rsid w:val="00B066A1"/>
    <w:rsid w:val="00B06C43"/>
    <w:rsid w:val="00B06EC0"/>
    <w:rsid w:val="00B07080"/>
    <w:rsid w:val="00B11DEB"/>
    <w:rsid w:val="00B135F5"/>
    <w:rsid w:val="00B1561E"/>
    <w:rsid w:val="00B15E63"/>
    <w:rsid w:val="00B16628"/>
    <w:rsid w:val="00B16940"/>
    <w:rsid w:val="00B22E7E"/>
    <w:rsid w:val="00B24D13"/>
    <w:rsid w:val="00B25ED2"/>
    <w:rsid w:val="00B261E7"/>
    <w:rsid w:val="00B26391"/>
    <w:rsid w:val="00B271DD"/>
    <w:rsid w:val="00B31159"/>
    <w:rsid w:val="00B3231D"/>
    <w:rsid w:val="00B32344"/>
    <w:rsid w:val="00B34EC3"/>
    <w:rsid w:val="00B34FDF"/>
    <w:rsid w:val="00B37B9F"/>
    <w:rsid w:val="00B37E15"/>
    <w:rsid w:val="00B37E6B"/>
    <w:rsid w:val="00B41566"/>
    <w:rsid w:val="00B42CBE"/>
    <w:rsid w:val="00B433A9"/>
    <w:rsid w:val="00B43685"/>
    <w:rsid w:val="00B44B5E"/>
    <w:rsid w:val="00B44C88"/>
    <w:rsid w:val="00B47311"/>
    <w:rsid w:val="00B50D9A"/>
    <w:rsid w:val="00B510CE"/>
    <w:rsid w:val="00B55483"/>
    <w:rsid w:val="00B558E8"/>
    <w:rsid w:val="00B55FC7"/>
    <w:rsid w:val="00B57782"/>
    <w:rsid w:val="00B61089"/>
    <w:rsid w:val="00B6117D"/>
    <w:rsid w:val="00B61ED0"/>
    <w:rsid w:val="00B62322"/>
    <w:rsid w:val="00B6233E"/>
    <w:rsid w:val="00B62414"/>
    <w:rsid w:val="00B631C6"/>
    <w:rsid w:val="00B6461C"/>
    <w:rsid w:val="00B6713B"/>
    <w:rsid w:val="00B70D6A"/>
    <w:rsid w:val="00B719C0"/>
    <w:rsid w:val="00B71C2B"/>
    <w:rsid w:val="00B72032"/>
    <w:rsid w:val="00B725E6"/>
    <w:rsid w:val="00B75F77"/>
    <w:rsid w:val="00B76B41"/>
    <w:rsid w:val="00B7713F"/>
    <w:rsid w:val="00B809E2"/>
    <w:rsid w:val="00B80A32"/>
    <w:rsid w:val="00B81E1B"/>
    <w:rsid w:val="00B82F74"/>
    <w:rsid w:val="00B83889"/>
    <w:rsid w:val="00B83A98"/>
    <w:rsid w:val="00B84717"/>
    <w:rsid w:val="00B84AF1"/>
    <w:rsid w:val="00B84D52"/>
    <w:rsid w:val="00B85688"/>
    <w:rsid w:val="00B85689"/>
    <w:rsid w:val="00B85854"/>
    <w:rsid w:val="00B86829"/>
    <w:rsid w:val="00B877E3"/>
    <w:rsid w:val="00B87811"/>
    <w:rsid w:val="00B906C9"/>
    <w:rsid w:val="00B907B1"/>
    <w:rsid w:val="00B91240"/>
    <w:rsid w:val="00B91654"/>
    <w:rsid w:val="00B93CD4"/>
    <w:rsid w:val="00B94C03"/>
    <w:rsid w:val="00B95970"/>
    <w:rsid w:val="00B95C18"/>
    <w:rsid w:val="00B9621F"/>
    <w:rsid w:val="00B966EF"/>
    <w:rsid w:val="00B97EBD"/>
    <w:rsid w:val="00BA1F54"/>
    <w:rsid w:val="00BA3E26"/>
    <w:rsid w:val="00BA5C77"/>
    <w:rsid w:val="00BA5DA5"/>
    <w:rsid w:val="00BA6858"/>
    <w:rsid w:val="00BA68AA"/>
    <w:rsid w:val="00BA7086"/>
    <w:rsid w:val="00BB0836"/>
    <w:rsid w:val="00BB10D0"/>
    <w:rsid w:val="00BB2DCC"/>
    <w:rsid w:val="00BB3530"/>
    <w:rsid w:val="00BB3CAA"/>
    <w:rsid w:val="00BC0029"/>
    <w:rsid w:val="00BC11B0"/>
    <w:rsid w:val="00BC2D54"/>
    <w:rsid w:val="00BC326C"/>
    <w:rsid w:val="00BC3FD8"/>
    <w:rsid w:val="00BC508F"/>
    <w:rsid w:val="00BC58B9"/>
    <w:rsid w:val="00BC5E55"/>
    <w:rsid w:val="00BC6266"/>
    <w:rsid w:val="00BC78F6"/>
    <w:rsid w:val="00BD0BCE"/>
    <w:rsid w:val="00BD3C38"/>
    <w:rsid w:val="00BD737D"/>
    <w:rsid w:val="00BE20A9"/>
    <w:rsid w:val="00BE35DE"/>
    <w:rsid w:val="00BE4FA2"/>
    <w:rsid w:val="00BE53D8"/>
    <w:rsid w:val="00BE5D9F"/>
    <w:rsid w:val="00BE635E"/>
    <w:rsid w:val="00BE63C2"/>
    <w:rsid w:val="00BE7D33"/>
    <w:rsid w:val="00BF1417"/>
    <w:rsid w:val="00BF24D5"/>
    <w:rsid w:val="00BF260A"/>
    <w:rsid w:val="00BF3A4F"/>
    <w:rsid w:val="00BF5C05"/>
    <w:rsid w:val="00BF6770"/>
    <w:rsid w:val="00BF74E8"/>
    <w:rsid w:val="00C00EB6"/>
    <w:rsid w:val="00C011D5"/>
    <w:rsid w:val="00C0169E"/>
    <w:rsid w:val="00C0235E"/>
    <w:rsid w:val="00C02473"/>
    <w:rsid w:val="00C02A15"/>
    <w:rsid w:val="00C039FD"/>
    <w:rsid w:val="00C0751B"/>
    <w:rsid w:val="00C1154A"/>
    <w:rsid w:val="00C12203"/>
    <w:rsid w:val="00C12639"/>
    <w:rsid w:val="00C13494"/>
    <w:rsid w:val="00C144F2"/>
    <w:rsid w:val="00C146CD"/>
    <w:rsid w:val="00C16624"/>
    <w:rsid w:val="00C25904"/>
    <w:rsid w:val="00C2796A"/>
    <w:rsid w:val="00C27E2F"/>
    <w:rsid w:val="00C3059F"/>
    <w:rsid w:val="00C30872"/>
    <w:rsid w:val="00C32C65"/>
    <w:rsid w:val="00C338D0"/>
    <w:rsid w:val="00C401B3"/>
    <w:rsid w:val="00C407FD"/>
    <w:rsid w:val="00C41312"/>
    <w:rsid w:val="00C4171F"/>
    <w:rsid w:val="00C418BC"/>
    <w:rsid w:val="00C423CB"/>
    <w:rsid w:val="00C437DB"/>
    <w:rsid w:val="00C5009B"/>
    <w:rsid w:val="00C50671"/>
    <w:rsid w:val="00C50EB9"/>
    <w:rsid w:val="00C51512"/>
    <w:rsid w:val="00C51C22"/>
    <w:rsid w:val="00C51E9C"/>
    <w:rsid w:val="00C526F9"/>
    <w:rsid w:val="00C5517F"/>
    <w:rsid w:val="00C5596F"/>
    <w:rsid w:val="00C562EF"/>
    <w:rsid w:val="00C6071E"/>
    <w:rsid w:val="00C6109D"/>
    <w:rsid w:val="00C639CC"/>
    <w:rsid w:val="00C64EFD"/>
    <w:rsid w:val="00C715EC"/>
    <w:rsid w:val="00C73DE2"/>
    <w:rsid w:val="00C74E50"/>
    <w:rsid w:val="00C74F1E"/>
    <w:rsid w:val="00C7509F"/>
    <w:rsid w:val="00C81716"/>
    <w:rsid w:val="00C819A4"/>
    <w:rsid w:val="00C81F7A"/>
    <w:rsid w:val="00C824A6"/>
    <w:rsid w:val="00C83066"/>
    <w:rsid w:val="00C83625"/>
    <w:rsid w:val="00C856F7"/>
    <w:rsid w:val="00C865B2"/>
    <w:rsid w:val="00C868F0"/>
    <w:rsid w:val="00C9063B"/>
    <w:rsid w:val="00C94B4B"/>
    <w:rsid w:val="00C94EC1"/>
    <w:rsid w:val="00C96A93"/>
    <w:rsid w:val="00C979A9"/>
    <w:rsid w:val="00CA0B96"/>
    <w:rsid w:val="00CA1FE3"/>
    <w:rsid w:val="00CA3053"/>
    <w:rsid w:val="00CA3246"/>
    <w:rsid w:val="00CA5846"/>
    <w:rsid w:val="00CA6817"/>
    <w:rsid w:val="00CA6CBD"/>
    <w:rsid w:val="00CA7588"/>
    <w:rsid w:val="00CB1301"/>
    <w:rsid w:val="00CB1947"/>
    <w:rsid w:val="00CB2FDE"/>
    <w:rsid w:val="00CB40CE"/>
    <w:rsid w:val="00CB43DB"/>
    <w:rsid w:val="00CB546E"/>
    <w:rsid w:val="00CB59DC"/>
    <w:rsid w:val="00CB5BBB"/>
    <w:rsid w:val="00CB5C72"/>
    <w:rsid w:val="00CB5DD9"/>
    <w:rsid w:val="00CB6BA1"/>
    <w:rsid w:val="00CB6C26"/>
    <w:rsid w:val="00CB7C27"/>
    <w:rsid w:val="00CC1245"/>
    <w:rsid w:val="00CC1C68"/>
    <w:rsid w:val="00CC2725"/>
    <w:rsid w:val="00CC31D8"/>
    <w:rsid w:val="00CC5800"/>
    <w:rsid w:val="00CC5832"/>
    <w:rsid w:val="00CC5B6D"/>
    <w:rsid w:val="00CC647D"/>
    <w:rsid w:val="00CC7656"/>
    <w:rsid w:val="00CC78D3"/>
    <w:rsid w:val="00CD2CF5"/>
    <w:rsid w:val="00CD3538"/>
    <w:rsid w:val="00CD5AF9"/>
    <w:rsid w:val="00CE079A"/>
    <w:rsid w:val="00CE0804"/>
    <w:rsid w:val="00CE1321"/>
    <w:rsid w:val="00CE18C7"/>
    <w:rsid w:val="00CE1CF7"/>
    <w:rsid w:val="00CE35E9"/>
    <w:rsid w:val="00CE4F57"/>
    <w:rsid w:val="00CE5329"/>
    <w:rsid w:val="00CE5435"/>
    <w:rsid w:val="00CE6EF2"/>
    <w:rsid w:val="00CF057E"/>
    <w:rsid w:val="00CF0583"/>
    <w:rsid w:val="00CF0FEB"/>
    <w:rsid w:val="00CF12BF"/>
    <w:rsid w:val="00CF1CC8"/>
    <w:rsid w:val="00CF3306"/>
    <w:rsid w:val="00CF62C1"/>
    <w:rsid w:val="00CF74F4"/>
    <w:rsid w:val="00D0011F"/>
    <w:rsid w:val="00D04E40"/>
    <w:rsid w:val="00D05D96"/>
    <w:rsid w:val="00D0632E"/>
    <w:rsid w:val="00D076C3"/>
    <w:rsid w:val="00D10B31"/>
    <w:rsid w:val="00D10F54"/>
    <w:rsid w:val="00D118D3"/>
    <w:rsid w:val="00D11E8D"/>
    <w:rsid w:val="00D12873"/>
    <w:rsid w:val="00D12DF5"/>
    <w:rsid w:val="00D130AD"/>
    <w:rsid w:val="00D15976"/>
    <w:rsid w:val="00D15B37"/>
    <w:rsid w:val="00D1672E"/>
    <w:rsid w:val="00D16A34"/>
    <w:rsid w:val="00D174D6"/>
    <w:rsid w:val="00D1755B"/>
    <w:rsid w:val="00D20129"/>
    <w:rsid w:val="00D22794"/>
    <w:rsid w:val="00D22D7D"/>
    <w:rsid w:val="00D22EEE"/>
    <w:rsid w:val="00D23B46"/>
    <w:rsid w:val="00D23BC1"/>
    <w:rsid w:val="00D25483"/>
    <w:rsid w:val="00D260D1"/>
    <w:rsid w:val="00D323CE"/>
    <w:rsid w:val="00D3259B"/>
    <w:rsid w:val="00D32EDC"/>
    <w:rsid w:val="00D33D31"/>
    <w:rsid w:val="00D34704"/>
    <w:rsid w:val="00D3607B"/>
    <w:rsid w:val="00D36390"/>
    <w:rsid w:val="00D42BCC"/>
    <w:rsid w:val="00D42E9F"/>
    <w:rsid w:val="00D449F5"/>
    <w:rsid w:val="00D44D5B"/>
    <w:rsid w:val="00D45125"/>
    <w:rsid w:val="00D453C8"/>
    <w:rsid w:val="00D45F3E"/>
    <w:rsid w:val="00D533B9"/>
    <w:rsid w:val="00D56DA1"/>
    <w:rsid w:val="00D56FA1"/>
    <w:rsid w:val="00D5780E"/>
    <w:rsid w:val="00D60A4E"/>
    <w:rsid w:val="00D60C88"/>
    <w:rsid w:val="00D611F6"/>
    <w:rsid w:val="00D61415"/>
    <w:rsid w:val="00D6186F"/>
    <w:rsid w:val="00D638E6"/>
    <w:rsid w:val="00D6565C"/>
    <w:rsid w:val="00D657CC"/>
    <w:rsid w:val="00D66576"/>
    <w:rsid w:val="00D667E0"/>
    <w:rsid w:val="00D67149"/>
    <w:rsid w:val="00D704F5"/>
    <w:rsid w:val="00D70EA3"/>
    <w:rsid w:val="00D75CE2"/>
    <w:rsid w:val="00D75D06"/>
    <w:rsid w:val="00D765E0"/>
    <w:rsid w:val="00D77187"/>
    <w:rsid w:val="00D8116F"/>
    <w:rsid w:val="00D81F91"/>
    <w:rsid w:val="00D828E3"/>
    <w:rsid w:val="00D82A20"/>
    <w:rsid w:val="00D82E99"/>
    <w:rsid w:val="00D84108"/>
    <w:rsid w:val="00D85495"/>
    <w:rsid w:val="00D8579D"/>
    <w:rsid w:val="00D87E83"/>
    <w:rsid w:val="00D907E6"/>
    <w:rsid w:val="00D90A82"/>
    <w:rsid w:val="00D926FC"/>
    <w:rsid w:val="00D96A5B"/>
    <w:rsid w:val="00DA0F65"/>
    <w:rsid w:val="00DA2623"/>
    <w:rsid w:val="00DA2859"/>
    <w:rsid w:val="00DA300C"/>
    <w:rsid w:val="00DA6966"/>
    <w:rsid w:val="00DA7E8F"/>
    <w:rsid w:val="00DB0807"/>
    <w:rsid w:val="00DB1579"/>
    <w:rsid w:val="00DB2EA5"/>
    <w:rsid w:val="00DB4296"/>
    <w:rsid w:val="00DB646E"/>
    <w:rsid w:val="00DC01B0"/>
    <w:rsid w:val="00DC03D9"/>
    <w:rsid w:val="00DC4851"/>
    <w:rsid w:val="00DC4C51"/>
    <w:rsid w:val="00DC5680"/>
    <w:rsid w:val="00DC5D01"/>
    <w:rsid w:val="00DD11F4"/>
    <w:rsid w:val="00DD13D8"/>
    <w:rsid w:val="00DD1B47"/>
    <w:rsid w:val="00DD2433"/>
    <w:rsid w:val="00DD305B"/>
    <w:rsid w:val="00DD6062"/>
    <w:rsid w:val="00DD7419"/>
    <w:rsid w:val="00DD7E87"/>
    <w:rsid w:val="00DE00D1"/>
    <w:rsid w:val="00DE2202"/>
    <w:rsid w:val="00DE2760"/>
    <w:rsid w:val="00DE399A"/>
    <w:rsid w:val="00DE55BA"/>
    <w:rsid w:val="00DE5866"/>
    <w:rsid w:val="00DE7C2F"/>
    <w:rsid w:val="00DE7D40"/>
    <w:rsid w:val="00DF0333"/>
    <w:rsid w:val="00DF0FEE"/>
    <w:rsid w:val="00DF2676"/>
    <w:rsid w:val="00DF2EF6"/>
    <w:rsid w:val="00DF2F27"/>
    <w:rsid w:val="00DF3ABC"/>
    <w:rsid w:val="00DF4C9D"/>
    <w:rsid w:val="00DF4ED9"/>
    <w:rsid w:val="00DF6DBD"/>
    <w:rsid w:val="00DF6F3B"/>
    <w:rsid w:val="00E00EA4"/>
    <w:rsid w:val="00E0153E"/>
    <w:rsid w:val="00E01FF5"/>
    <w:rsid w:val="00E02394"/>
    <w:rsid w:val="00E0307D"/>
    <w:rsid w:val="00E03BBC"/>
    <w:rsid w:val="00E04165"/>
    <w:rsid w:val="00E04582"/>
    <w:rsid w:val="00E04FC5"/>
    <w:rsid w:val="00E051C8"/>
    <w:rsid w:val="00E05380"/>
    <w:rsid w:val="00E0551B"/>
    <w:rsid w:val="00E057EF"/>
    <w:rsid w:val="00E060E6"/>
    <w:rsid w:val="00E06BAE"/>
    <w:rsid w:val="00E06EDE"/>
    <w:rsid w:val="00E105B1"/>
    <w:rsid w:val="00E10E64"/>
    <w:rsid w:val="00E12635"/>
    <w:rsid w:val="00E15492"/>
    <w:rsid w:val="00E1687C"/>
    <w:rsid w:val="00E17250"/>
    <w:rsid w:val="00E177D4"/>
    <w:rsid w:val="00E179A8"/>
    <w:rsid w:val="00E21775"/>
    <w:rsid w:val="00E249AF"/>
    <w:rsid w:val="00E252C0"/>
    <w:rsid w:val="00E261EC"/>
    <w:rsid w:val="00E265E8"/>
    <w:rsid w:val="00E26919"/>
    <w:rsid w:val="00E26F52"/>
    <w:rsid w:val="00E30C4E"/>
    <w:rsid w:val="00E31DA9"/>
    <w:rsid w:val="00E32534"/>
    <w:rsid w:val="00E329B6"/>
    <w:rsid w:val="00E34048"/>
    <w:rsid w:val="00E345A6"/>
    <w:rsid w:val="00E350EB"/>
    <w:rsid w:val="00E3568E"/>
    <w:rsid w:val="00E357DF"/>
    <w:rsid w:val="00E36352"/>
    <w:rsid w:val="00E367B7"/>
    <w:rsid w:val="00E41933"/>
    <w:rsid w:val="00E43CE4"/>
    <w:rsid w:val="00E44D6E"/>
    <w:rsid w:val="00E45B76"/>
    <w:rsid w:val="00E45B7F"/>
    <w:rsid w:val="00E46ADB"/>
    <w:rsid w:val="00E50327"/>
    <w:rsid w:val="00E5065B"/>
    <w:rsid w:val="00E51AFB"/>
    <w:rsid w:val="00E52286"/>
    <w:rsid w:val="00E53A73"/>
    <w:rsid w:val="00E53B21"/>
    <w:rsid w:val="00E53CDA"/>
    <w:rsid w:val="00E5684D"/>
    <w:rsid w:val="00E57502"/>
    <w:rsid w:val="00E57B06"/>
    <w:rsid w:val="00E6044B"/>
    <w:rsid w:val="00E62D70"/>
    <w:rsid w:val="00E63AB0"/>
    <w:rsid w:val="00E64A5C"/>
    <w:rsid w:val="00E65DB0"/>
    <w:rsid w:val="00E65DBB"/>
    <w:rsid w:val="00E663ED"/>
    <w:rsid w:val="00E665F0"/>
    <w:rsid w:val="00E7035B"/>
    <w:rsid w:val="00E703C5"/>
    <w:rsid w:val="00E70491"/>
    <w:rsid w:val="00E70A79"/>
    <w:rsid w:val="00E7104A"/>
    <w:rsid w:val="00E720BF"/>
    <w:rsid w:val="00E7498F"/>
    <w:rsid w:val="00E7661C"/>
    <w:rsid w:val="00E76722"/>
    <w:rsid w:val="00E76F85"/>
    <w:rsid w:val="00E80AED"/>
    <w:rsid w:val="00E8115C"/>
    <w:rsid w:val="00E817AC"/>
    <w:rsid w:val="00E83522"/>
    <w:rsid w:val="00E85BC8"/>
    <w:rsid w:val="00E86DA7"/>
    <w:rsid w:val="00E878BB"/>
    <w:rsid w:val="00E90AC2"/>
    <w:rsid w:val="00E90DBB"/>
    <w:rsid w:val="00E9180B"/>
    <w:rsid w:val="00E9369D"/>
    <w:rsid w:val="00E94E38"/>
    <w:rsid w:val="00E95191"/>
    <w:rsid w:val="00E96557"/>
    <w:rsid w:val="00E96B0B"/>
    <w:rsid w:val="00E970DD"/>
    <w:rsid w:val="00E97BB2"/>
    <w:rsid w:val="00EA0EFC"/>
    <w:rsid w:val="00EA350C"/>
    <w:rsid w:val="00EA381F"/>
    <w:rsid w:val="00EA7E84"/>
    <w:rsid w:val="00EB22D0"/>
    <w:rsid w:val="00EB389D"/>
    <w:rsid w:val="00EB459E"/>
    <w:rsid w:val="00EB5D8C"/>
    <w:rsid w:val="00EB62D8"/>
    <w:rsid w:val="00EB6D60"/>
    <w:rsid w:val="00EB70B7"/>
    <w:rsid w:val="00EC0D7D"/>
    <w:rsid w:val="00EC1674"/>
    <w:rsid w:val="00EC24F8"/>
    <w:rsid w:val="00EC276F"/>
    <w:rsid w:val="00EC30CE"/>
    <w:rsid w:val="00EC5D73"/>
    <w:rsid w:val="00EC6A3B"/>
    <w:rsid w:val="00ED09C5"/>
    <w:rsid w:val="00ED0BD1"/>
    <w:rsid w:val="00ED1E8A"/>
    <w:rsid w:val="00ED227B"/>
    <w:rsid w:val="00ED2B96"/>
    <w:rsid w:val="00ED31E7"/>
    <w:rsid w:val="00ED381C"/>
    <w:rsid w:val="00ED40CC"/>
    <w:rsid w:val="00ED4CC8"/>
    <w:rsid w:val="00ED5FCC"/>
    <w:rsid w:val="00ED60D3"/>
    <w:rsid w:val="00ED7D92"/>
    <w:rsid w:val="00EE0A4A"/>
    <w:rsid w:val="00EE0A8C"/>
    <w:rsid w:val="00EE313E"/>
    <w:rsid w:val="00EE337B"/>
    <w:rsid w:val="00EE58B8"/>
    <w:rsid w:val="00EE5E53"/>
    <w:rsid w:val="00EE7050"/>
    <w:rsid w:val="00EE7855"/>
    <w:rsid w:val="00EF1E9B"/>
    <w:rsid w:val="00EF2FD8"/>
    <w:rsid w:val="00EF5930"/>
    <w:rsid w:val="00EF5C01"/>
    <w:rsid w:val="00EF5DC3"/>
    <w:rsid w:val="00EF6A83"/>
    <w:rsid w:val="00EF7005"/>
    <w:rsid w:val="00F00CBC"/>
    <w:rsid w:val="00F01412"/>
    <w:rsid w:val="00F01F4A"/>
    <w:rsid w:val="00F0234B"/>
    <w:rsid w:val="00F027F2"/>
    <w:rsid w:val="00F0341B"/>
    <w:rsid w:val="00F03B56"/>
    <w:rsid w:val="00F075F1"/>
    <w:rsid w:val="00F12C28"/>
    <w:rsid w:val="00F13E56"/>
    <w:rsid w:val="00F149FE"/>
    <w:rsid w:val="00F15DE8"/>
    <w:rsid w:val="00F20780"/>
    <w:rsid w:val="00F20DF8"/>
    <w:rsid w:val="00F21289"/>
    <w:rsid w:val="00F21F65"/>
    <w:rsid w:val="00F22C23"/>
    <w:rsid w:val="00F23087"/>
    <w:rsid w:val="00F24300"/>
    <w:rsid w:val="00F2585F"/>
    <w:rsid w:val="00F25C59"/>
    <w:rsid w:val="00F261C5"/>
    <w:rsid w:val="00F26C47"/>
    <w:rsid w:val="00F3052A"/>
    <w:rsid w:val="00F30D19"/>
    <w:rsid w:val="00F31D6C"/>
    <w:rsid w:val="00F345F5"/>
    <w:rsid w:val="00F35265"/>
    <w:rsid w:val="00F3548C"/>
    <w:rsid w:val="00F35612"/>
    <w:rsid w:val="00F35786"/>
    <w:rsid w:val="00F3619E"/>
    <w:rsid w:val="00F366F8"/>
    <w:rsid w:val="00F37211"/>
    <w:rsid w:val="00F37EB0"/>
    <w:rsid w:val="00F4051F"/>
    <w:rsid w:val="00F41E9F"/>
    <w:rsid w:val="00F42C69"/>
    <w:rsid w:val="00F439A5"/>
    <w:rsid w:val="00F44A9D"/>
    <w:rsid w:val="00F47AE5"/>
    <w:rsid w:val="00F47E9C"/>
    <w:rsid w:val="00F50599"/>
    <w:rsid w:val="00F50C1F"/>
    <w:rsid w:val="00F52070"/>
    <w:rsid w:val="00F52159"/>
    <w:rsid w:val="00F53695"/>
    <w:rsid w:val="00F54F9A"/>
    <w:rsid w:val="00F552DD"/>
    <w:rsid w:val="00F55698"/>
    <w:rsid w:val="00F5635B"/>
    <w:rsid w:val="00F5648B"/>
    <w:rsid w:val="00F57DF5"/>
    <w:rsid w:val="00F6068D"/>
    <w:rsid w:val="00F60ED7"/>
    <w:rsid w:val="00F60FA0"/>
    <w:rsid w:val="00F61753"/>
    <w:rsid w:val="00F6258A"/>
    <w:rsid w:val="00F6324B"/>
    <w:rsid w:val="00F64F5B"/>
    <w:rsid w:val="00F65591"/>
    <w:rsid w:val="00F65CAD"/>
    <w:rsid w:val="00F66E14"/>
    <w:rsid w:val="00F67234"/>
    <w:rsid w:val="00F67A79"/>
    <w:rsid w:val="00F70293"/>
    <w:rsid w:val="00F70C4A"/>
    <w:rsid w:val="00F70F50"/>
    <w:rsid w:val="00F72567"/>
    <w:rsid w:val="00F74233"/>
    <w:rsid w:val="00F7593F"/>
    <w:rsid w:val="00F77989"/>
    <w:rsid w:val="00F80F2C"/>
    <w:rsid w:val="00F826CE"/>
    <w:rsid w:val="00F82FD7"/>
    <w:rsid w:val="00F83BC5"/>
    <w:rsid w:val="00F8436C"/>
    <w:rsid w:val="00F86127"/>
    <w:rsid w:val="00F8622C"/>
    <w:rsid w:val="00F866C2"/>
    <w:rsid w:val="00F87D69"/>
    <w:rsid w:val="00F90428"/>
    <w:rsid w:val="00F92FD9"/>
    <w:rsid w:val="00F9380F"/>
    <w:rsid w:val="00F94F30"/>
    <w:rsid w:val="00F963BC"/>
    <w:rsid w:val="00F96539"/>
    <w:rsid w:val="00F972A5"/>
    <w:rsid w:val="00FA0B0F"/>
    <w:rsid w:val="00FA16FD"/>
    <w:rsid w:val="00FA1B2D"/>
    <w:rsid w:val="00FA20FC"/>
    <w:rsid w:val="00FA2E79"/>
    <w:rsid w:val="00FA454D"/>
    <w:rsid w:val="00FB3BC3"/>
    <w:rsid w:val="00FB4F44"/>
    <w:rsid w:val="00FB4FD2"/>
    <w:rsid w:val="00FB5325"/>
    <w:rsid w:val="00FB55CB"/>
    <w:rsid w:val="00FB57ED"/>
    <w:rsid w:val="00FB5B7B"/>
    <w:rsid w:val="00FB5C7D"/>
    <w:rsid w:val="00FB5DBC"/>
    <w:rsid w:val="00FB67B3"/>
    <w:rsid w:val="00FC01E0"/>
    <w:rsid w:val="00FC046E"/>
    <w:rsid w:val="00FC0E22"/>
    <w:rsid w:val="00FC0F85"/>
    <w:rsid w:val="00FC1C47"/>
    <w:rsid w:val="00FC38E9"/>
    <w:rsid w:val="00FC3B99"/>
    <w:rsid w:val="00FC533F"/>
    <w:rsid w:val="00FC75CA"/>
    <w:rsid w:val="00FD04FE"/>
    <w:rsid w:val="00FD197B"/>
    <w:rsid w:val="00FD1E2E"/>
    <w:rsid w:val="00FD2E34"/>
    <w:rsid w:val="00FD385E"/>
    <w:rsid w:val="00FD3D2B"/>
    <w:rsid w:val="00FD4361"/>
    <w:rsid w:val="00FD5985"/>
    <w:rsid w:val="00FD5B23"/>
    <w:rsid w:val="00FD6311"/>
    <w:rsid w:val="00FD71F7"/>
    <w:rsid w:val="00FD7269"/>
    <w:rsid w:val="00FE26CD"/>
    <w:rsid w:val="00FE389F"/>
    <w:rsid w:val="00FE3E30"/>
    <w:rsid w:val="00FE4F69"/>
    <w:rsid w:val="00FE5402"/>
    <w:rsid w:val="00FE5C89"/>
    <w:rsid w:val="00FE5EAB"/>
    <w:rsid w:val="00FE68C5"/>
    <w:rsid w:val="00FE75A7"/>
    <w:rsid w:val="00FF11E7"/>
    <w:rsid w:val="00FF1421"/>
    <w:rsid w:val="00FF1E37"/>
    <w:rsid w:val="00FF37C9"/>
    <w:rsid w:val="00FF39B5"/>
    <w:rsid w:val="00FF3B61"/>
    <w:rsid w:val="00FF4DC8"/>
    <w:rsid w:val="00FF57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4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Normal Indent" w:uiPriority="99"/>
    <w:lsdException w:name="footnote text" w:uiPriority="99" w:qFormat="1"/>
    <w:lsdException w:name="footer" w:uiPriority="99"/>
    <w:lsdException w:name="caption" w:semiHidden="1" w:unhideWhenUsed="1" w:qFormat="1"/>
    <w:lsdException w:name="footnote reference" w:uiPriority="99"/>
    <w:lsdException w:name="table of authorities" w:uiPriority="99"/>
    <w:lsdException w:name="toa heading"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5A14"/>
    <w:rPr>
      <w:sz w:val="24"/>
      <w:szCs w:val="24"/>
    </w:rPr>
  </w:style>
  <w:style w:type="paragraph" w:styleId="Heading1">
    <w:name w:val="heading 1"/>
    <w:basedOn w:val="Normal"/>
    <w:next w:val="BodyText1"/>
    <w:link w:val="Heading1Char"/>
    <w:uiPriority w:val="9"/>
    <w:qFormat/>
    <w:rsid w:val="00CB7C27"/>
    <w:pPr>
      <w:keepNext/>
      <w:numPr>
        <w:numId w:val="6"/>
      </w:numPr>
      <w:spacing w:before="120" w:after="120"/>
      <w:outlineLvl w:val="0"/>
    </w:pPr>
    <w:rPr>
      <w:rFonts w:ascii="Times New Roman Bold" w:hAnsi="Times New Roman Bold"/>
      <w:b/>
      <w:caps/>
      <w:szCs w:val="32"/>
    </w:rPr>
  </w:style>
  <w:style w:type="paragraph" w:styleId="Heading2">
    <w:name w:val="heading 2"/>
    <w:basedOn w:val="Normal"/>
    <w:next w:val="BodyText1"/>
    <w:link w:val="Heading2Char"/>
    <w:qFormat/>
    <w:rsid w:val="00C13494"/>
    <w:pPr>
      <w:keepNext/>
      <w:numPr>
        <w:ilvl w:val="1"/>
        <w:numId w:val="6"/>
      </w:numPr>
      <w:tabs>
        <w:tab w:val="clear" w:pos="720"/>
      </w:tabs>
      <w:spacing w:after="240"/>
      <w:ind w:left="720" w:hanging="720"/>
      <w:outlineLvl w:val="1"/>
    </w:pPr>
    <w:rPr>
      <w:b/>
      <w:szCs w:val="28"/>
      <w:u w:val="single"/>
    </w:rPr>
  </w:style>
  <w:style w:type="paragraph" w:styleId="Heading3">
    <w:name w:val="heading 3"/>
    <w:basedOn w:val="Normal"/>
    <w:next w:val="BodyText1"/>
    <w:link w:val="Heading3Char"/>
    <w:autoRedefine/>
    <w:uiPriority w:val="9"/>
    <w:qFormat/>
    <w:rsid w:val="00E06BAE"/>
    <w:pPr>
      <w:keepNext/>
      <w:numPr>
        <w:ilvl w:val="2"/>
        <w:numId w:val="6"/>
      </w:numPr>
      <w:tabs>
        <w:tab w:val="clear" w:pos="2160"/>
      </w:tabs>
      <w:spacing w:after="240"/>
      <w:ind w:left="1440" w:hanging="720"/>
      <w:outlineLvl w:val="2"/>
    </w:pPr>
    <w:rPr>
      <w:b/>
      <w:szCs w:val="26"/>
    </w:rPr>
  </w:style>
  <w:style w:type="paragraph" w:styleId="Heading4">
    <w:name w:val="heading 4"/>
    <w:basedOn w:val="Normal"/>
    <w:next w:val="BodyText1"/>
    <w:link w:val="Heading4Char"/>
    <w:uiPriority w:val="9"/>
    <w:qFormat/>
    <w:rsid w:val="00F35786"/>
    <w:pPr>
      <w:numPr>
        <w:ilvl w:val="3"/>
        <w:numId w:val="6"/>
      </w:numPr>
      <w:tabs>
        <w:tab w:val="clear" w:pos="2160"/>
      </w:tabs>
      <w:spacing w:before="240" w:after="240"/>
      <w:ind w:left="2160" w:hanging="720"/>
      <w:outlineLvl w:val="3"/>
    </w:pPr>
    <w:rPr>
      <w:szCs w:val="28"/>
    </w:rPr>
  </w:style>
  <w:style w:type="paragraph" w:styleId="Heading5">
    <w:name w:val="heading 5"/>
    <w:basedOn w:val="Normal"/>
    <w:next w:val="BodyText1"/>
    <w:link w:val="Heading5Char"/>
    <w:uiPriority w:val="9"/>
    <w:qFormat/>
    <w:rsid w:val="00CB7C27"/>
    <w:pPr>
      <w:numPr>
        <w:ilvl w:val="4"/>
        <w:numId w:val="6"/>
      </w:numPr>
      <w:spacing w:after="240"/>
      <w:outlineLvl w:val="4"/>
    </w:pPr>
    <w:rPr>
      <w:szCs w:val="26"/>
    </w:rPr>
  </w:style>
  <w:style w:type="paragraph" w:styleId="Heading6">
    <w:name w:val="heading 6"/>
    <w:basedOn w:val="Normal"/>
    <w:next w:val="BodyText1"/>
    <w:uiPriority w:val="9"/>
    <w:qFormat/>
    <w:rsid w:val="00CB7C27"/>
    <w:pPr>
      <w:numPr>
        <w:ilvl w:val="5"/>
        <w:numId w:val="6"/>
      </w:numPr>
      <w:spacing w:after="240"/>
      <w:outlineLvl w:val="5"/>
    </w:pPr>
    <w:rPr>
      <w:szCs w:val="22"/>
    </w:rPr>
  </w:style>
  <w:style w:type="paragraph" w:styleId="Heading7">
    <w:name w:val="heading 7"/>
    <w:basedOn w:val="Normal"/>
    <w:next w:val="BodyText1"/>
    <w:uiPriority w:val="9"/>
    <w:qFormat/>
    <w:rsid w:val="00CB7C27"/>
    <w:pPr>
      <w:numPr>
        <w:ilvl w:val="6"/>
        <w:numId w:val="6"/>
      </w:numPr>
      <w:spacing w:after="240"/>
      <w:outlineLvl w:val="6"/>
    </w:pPr>
  </w:style>
  <w:style w:type="paragraph" w:styleId="Heading8">
    <w:name w:val="heading 8"/>
    <w:basedOn w:val="Normal"/>
    <w:next w:val="BodyText1"/>
    <w:uiPriority w:val="9"/>
    <w:qFormat/>
    <w:rsid w:val="00CB7C27"/>
    <w:pPr>
      <w:numPr>
        <w:ilvl w:val="7"/>
        <w:numId w:val="6"/>
      </w:numPr>
      <w:spacing w:after="240"/>
      <w:outlineLvl w:val="7"/>
    </w:pPr>
  </w:style>
  <w:style w:type="paragraph" w:styleId="Heading9">
    <w:name w:val="heading 9"/>
    <w:basedOn w:val="Normal"/>
    <w:next w:val="BodyText1"/>
    <w:link w:val="Heading9Char"/>
    <w:uiPriority w:val="9"/>
    <w:qFormat/>
    <w:rsid w:val="00CB7C27"/>
    <w:pPr>
      <w:numPr>
        <w:ilvl w:val="8"/>
        <w:numId w:val="6"/>
      </w:numPr>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4">
    <w:name w:val="Title 4"/>
    <w:aliases w:val="T4"/>
    <w:basedOn w:val="Normal"/>
    <w:next w:val="BodyText1"/>
    <w:rsid w:val="00CB7C27"/>
    <w:pPr>
      <w:keepNext/>
      <w:spacing w:after="240"/>
      <w:jc w:val="center"/>
      <w:outlineLvl w:val="0"/>
    </w:pPr>
    <w:rPr>
      <w:b/>
      <w:u w:val="single"/>
    </w:rPr>
  </w:style>
  <w:style w:type="paragraph" w:customStyle="1" w:styleId="Title2">
    <w:name w:val="Title 2"/>
    <w:aliases w:val="T2"/>
    <w:basedOn w:val="Normal"/>
    <w:next w:val="BodyText1"/>
    <w:rsid w:val="00CB7C27"/>
    <w:pPr>
      <w:keepNext/>
      <w:spacing w:after="240"/>
      <w:jc w:val="center"/>
      <w:outlineLvl w:val="0"/>
    </w:pPr>
    <w:rPr>
      <w:b/>
    </w:rPr>
  </w:style>
  <w:style w:type="paragraph" w:customStyle="1" w:styleId="Title3">
    <w:name w:val="Title 3"/>
    <w:aliases w:val="T3"/>
    <w:basedOn w:val="Normal"/>
    <w:next w:val="BodyText1"/>
    <w:rsid w:val="00CB7C27"/>
    <w:pPr>
      <w:keepNext/>
      <w:spacing w:after="240"/>
      <w:jc w:val="center"/>
      <w:outlineLvl w:val="0"/>
    </w:pPr>
    <w:rPr>
      <w:u w:val="single"/>
    </w:rPr>
  </w:style>
  <w:style w:type="paragraph" w:customStyle="1" w:styleId="Title1">
    <w:name w:val="Title 1"/>
    <w:aliases w:val="T1"/>
    <w:basedOn w:val="Normal"/>
    <w:next w:val="BodyText1"/>
    <w:rsid w:val="00CB7C27"/>
    <w:pPr>
      <w:keepNext/>
      <w:spacing w:after="240"/>
      <w:jc w:val="center"/>
      <w:outlineLvl w:val="0"/>
    </w:pPr>
    <w:rPr>
      <w:bCs/>
    </w:rPr>
  </w:style>
  <w:style w:type="paragraph" w:customStyle="1" w:styleId="Title8">
    <w:name w:val="Title 8"/>
    <w:aliases w:val="T8"/>
    <w:basedOn w:val="Normal"/>
    <w:next w:val="BodyText1"/>
    <w:rsid w:val="00CB7C27"/>
    <w:pPr>
      <w:keepNext/>
      <w:spacing w:after="240"/>
      <w:outlineLvl w:val="0"/>
    </w:pPr>
    <w:rPr>
      <w:b/>
      <w:u w:val="single"/>
    </w:rPr>
  </w:style>
  <w:style w:type="paragraph" w:customStyle="1" w:styleId="Title6">
    <w:name w:val="Title 6"/>
    <w:aliases w:val="T6"/>
    <w:basedOn w:val="Normal"/>
    <w:next w:val="BodyText1"/>
    <w:rsid w:val="00CB7C27"/>
    <w:pPr>
      <w:keepNext/>
      <w:spacing w:after="240"/>
      <w:outlineLvl w:val="0"/>
    </w:pPr>
    <w:rPr>
      <w:b/>
    </w:rPr>
  </w:style>
  <w:style w:type="paragraph" w:customStyle="1" w:styleId="Title7">
    <w:name w:val="Title 7"/>
    <w:aliases w:val="T7"/>
    <w:basedOn w:val="Normal"/>
    <w:next w:val="BodyText1"/>
    <w:rsid w:val="00CB7C27"/>
    <w:pPr>
      <w:keepNext/>
      <w:spacing w:after="240"/>
      <w:outlineLvl w:val="0"/>
    </w:pPr>
    <w:rPr>
      <w:u w:val="single"/>
    </w:rPr>
  </w:style>
  <w:style w:type="paragraph" w:customStyle="1" w:styleId="Title5">
    <w:name w:val="Title 5"/>
    <w:aliases w:val="T5"/>
    <w:basedOn w:val="Normal"/>
    <w:next w:val="BodyText1"/>
    <w:rsid w:val="00CB7C27"/>
    <w:pPr>
      <w:keepNext/>
      <w:spacing w:after="240"/>
      <w:outlineLvl w:val="0"/>
    </w:pPr>
    <w:rPr>
      <w:bCs/>
    </w:rPr>
  </w:style>
  <w:style w:type="paragraph" w:customStyle="1" w:styleId="BodyText1">
    <w:name w:val="Body Text 1"/>
    <w:aliases w:val="B1,WB Body Text 1"/>
    <w:basedOn w:val="Normal"/>
    <w:link w:val="WBBodyText1Char"/>
    <w:rsid w:val="00CB7C27"/>
    <w:pPr>
      <w:spacing w:after="240"/>
      <w:ind w:firstLine="720"/>
    </w:pPr>
  </w:style>
  <w:style w:type="paragraph" w:styleId="BodyText">
    <w:name w:val="Body Text"/>
    <w:aliases w:val="BT,WB Block Text"/>
    <w:basedOn w:val="Normal"/>
    <w:rsid w:val="00CB7C27"/>
    <w:pPr>
      <w:spacing w:after="240"/>
    </w:pPr>
  </w:style>
  <w:style w:type="paragraph" w:styleId="BodyText2">
    <w:name w:val="Body Text 2"/>
    <w:aliases w:val="B2,WB Body Text 2"/>
    <w:basedOn w:val="Normal"/>
    <w:rsid w:val="00CB7C27"/>
    <w:pPr>
      <w:spacing w:line="480" w:lineRule="auto"/>
      <w:ind w:firstLine="720"/>
    </w:pPr>
  </w:style>
  <w:style w:type="paragraph" w:styleId="BodyText3">
    <w:name w:val="Body Text 3"/>
    <w:aliases w:val="B3"/>
    <w:basedOn w:val="Normal"/>
    <w:rsid w:val="00CB7C27"/>
    <w:pPr>
      <w:spacing w:after="240"/>
      <w:ind w:firstLine="720"/>
      <w:jc w:val="both"/>
    </w:pPr>
    <w:rPr>
      <w:szCs w:val="16"/>
    </w:rPr>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CB7C27"/>
    <w:rPr>
      <w:vertAlign w:val="superscript"/>
    </w:rPr>
  </w:style>
  <w:style w:type="paragraph" w:customStyle="1" w:styleId="BlockText2">
    <w:name w:val="Block Text 2"/>
    <w:aliases w:val="BT2"/>
    <w:basedOn w:val="Normal"/>
    <w:link w:val="BlockText2Char"/>
    <w:rsid w:val="00CB7C27"/>
    <w:pPr>
      <w:spacing w:after="240"/>
      <w:ind w:left="1440" w:right="1440"/>
    </w:pPr>
  </w:style>
  <w:style w:type="paragraph" w:styleId="ListNumber">
    <w:name w:val="List Number"/>
    <w:basedOn w:val="Normal"/>
    <w:rsid w:val="00CB7C27"/>
    <w:pPr>
      <w:numPr>
        <w:numId w:val="2"/>
      </w:numPr>
      <w:spacing w:after="240"/>
    </w:pPr>
  </w:style>
  <w:style w:type="paragraph" w:styleId="ListBullet">
    <w:name w:val="List Bullet"/>
    <w:basedOn w:val="Normal"/>
    <w:autoRedefine/>
    <w:rsid w:val="00CB7C27"/>
    <w:pPr>
      <w:numPr>
        <w:numId w:val="1"/>
      </w:numPr>
      <w:tabs>
        <w:tab w:val="clear" w:pos="720"/>
      </w:tabs>
      <w:ind w:left="1440" w:hanging="360"/>
    </w:pPr>
    <w:rPr>
      <w:i/>
    </w:rPr>
  </w:style>
  <w:style w:type="paragraph" w:styleId="Date">
    <w:name w:val="Date"/>
    <w:basedOn w:val="Normal"/>
    <w:next w:val="Normal"/>
    <w:rsid w:val="00CB7C27"/>
    <w:pPr>
      <w:spacing w:before="480" w:after="240"/>
      <w:jc w:val="center"/>
    </w:pPr>
  </w:style>
  <w:style w:type="character" w:customStyle="1" w:styleId="DocID">
    <w:name w:val="DocID"/>
    <w:basedOn w:val="DefaultParagraphFont"/>
    <w:rsid w:val="00CB7C27"/>
    <w:rPr>
      <w:sz w:val="16"/>
    </w:rPr>
  </w:style>
  <w:style w:type="paragraph" w:customStyle="1" w:styleId="BlockText1">
    <w:name w:val="Block Text 1"/>
    <w:aliases w:val="BT1"/>
    <w:basedOn w:val="Normal"/>
    <w:rsid w:val="00CB7C27"/>
    <w:pPr>
      <w:spacing w:after="240"/>
      <w:ind w:left="720" w:right="720"/>
    </w:pPr>
  </w:style>
  <w:style w:type="paragraph" w:customStyle="1" w:styleId="Signature2">
    <w:name w:val="Signature 2"/>
    <w:aliases w:val="S2"/>
    <w:basedOn w:val="Normal"/>
    <w:rsid w:val="00CB7C27"/>
    <w:pPr>
      <w:ind w:left="5544"/>
    </w:pPr>
  </w:style>
  <w:style w:type="paragraph" w:customStyle="1" w:styleId="TableText">
    <w:name w:val="Table Text"/>
    <w:basedOn w:val="Normal"/>
    <w:rsid w:val="00CB7C27"/>
  </w:style>
  <w:style w:type="paragraph" w:styleId="EndnoteText">
    <w:name w:val="endnote text"/>
    <w:basedOn w:val="Normal"/>
    <w:next w:val="EndnoteTextMore"/>
    <w:rsid w:val="00CB7C27"/>
    <w:pPr>
      <w:spacing w:after="240"/>
      <w:ind w:left="720" w:hanging="720"/>
    </w:pPr>
    <w:rPr>
      <w:szCs w:val="20"/>
    </w:rPr>
  </w:style>
  <w:style w:type="paragraph" w:customStyle="1" w:styleId="EndnoteTextMore">
    <w:name w:val="Endnote Text More"/>
    <w:basedOn w:val="Normal"/>
    <w:rsid w:val="00CB7C27"/>
    <w:pPr>
      <w:spacing w:after="240"/>
      <w:ind w:left="720"/>
    </w:pPr>
  </w:style>
  <w:style w:type="paragraph" w:styleId="FootnoteText">
    <w:name w:val="footnote text"/>
    <w:aliases w:val="Footnote Text Char1,Footnote Text Char Char,Footnote Text Char Char1,ft,fn,Footnote Text Char1 Char,Footnote Text Char Char Char,Footnote Text1 Char,Footnote Text Char3 Char1 Char,Footnote Text Char1 Char Char1 Char,Style 14,Footnote text"/>
    <w:basedOn w:val="Normal"/>
    <w:next w:val="FootnoteTextMore"/>
    <w:link w:val="FootnoteTextChar"/>
    <w:autoRedefine/>
    <w:uiPriority w:val="99"/>
    <w:qFormat/>
    <w:rsid w:val="00EF7005"/>
    <w:rPr>
      <w:sz w:val="20"/>
      <w:szCs w:val="20"/>
    </w:rPr>
  </w:style>
  <w:style w:type="paragraph" w:customStyle="1" w:styleId="FootnoteTextMore">
    <w:name w:val="Footnote Text More"/>
    <w:basedOn w:val="Normal"/>
    <w:rsid w:val="00CB7C27"/>
    <w:pPr>
      <w:spacing w:after="240"/>
      <w:ind w:left="720"/>
    </w:pPr>
  </w:style>
  <w:style w:type="paragraph" w:styleId="TOC1">
    <w:name w:val="toc 1"/>
    <w:basedOn w:val="Normal"/>
    <w:next w:val="Normal"/>
    <w:autoRedefine/>
    <w:uiPriority w:val="39"/>
    <w:rsid w:val="00CB7C27"/>
    <w:pPr>
      <w:tabs>
        <w:tab w:val="left" w:pos="720"/>
        <w:tab w:val="right" w:leader="dot" w:pos="9360"/>
      </w:tabs>
      <w:spacing w:after="240"/>
      <w:ind w:left="720" w:right="432" w:hanging="720"/>
    </w:pPr>
    <w:rPr>
      <w:noProof/>
    </w:rPr>
  </w:style>
  <w:style w:type="paragraph" w:styleId="TOC2">
    <w:name w:val="toc 2"/>
    <w:basedOn w:val="Normal"/>
    <w:next w:val="Normal"/>
    <w:autoRedefine/>
    <w:uiPriority w:val="39"/>
    <w:rsid w:val="00CB7C27"/>
    <w:pPr>
      <w:tabs>
        <w:tab w:val="left" w:pos="1440"/>
        <w:tab w:val="right" w:leader="dot" w:pos="9360"/>
      </w:tabs>
      <w:spacing w:after="240"/>
      <w:ind w:left="1440" w:right="432" w:hanging="720"/>
    </w:pPr>
    <w:rPr>
      <w:noProof/>
    </w:rPr>
  </w:style>
  <w:style w:type="paragraph" w:styleId="TOC3">
    <w:name w:val="toc 3"/>
    <w:basedOn w:val="Normal"/>
    <w:next w:val="Normal"/>
    <w:autoRedefine/>
    <w:uiPriority w:val="39"/>
    <w:rsid w:val="00CB7C27"/>
    <w:pPr>
      <w:tabs>
        <w:tab w:val="left" w:pos="2160"/>
        <w:tab w:val="right" w:leader="dot" w:pos="9360"/>
      </w:tabs>
      <w:spacing w:after="240"/>
      <w:ind w:left="2160" w:right="432" w:hanging="720"/>
    </w:pPr>
    <w:rPr>
      <w:noProof/>
    </w:rPr>
  </w:style>
  <w:style w:type="paragraph" w:styleId="TOC4">
    <w:name w:val="toc 4"/>
    <w:basedOn w:val="Normal"/>
    <w:next w:val="Normal"/>
    <w:autoRedefine/>
    <w:uiPriority w:val="39"/>
    <w:rsid w:val="00CB7C27"/>
    <w:pPr>
      <w:tabs>
        <w:tab w:val="left" w:pos="2880"/>
        <w:tab w:val="right" w:leader="dot" w:pos="9360"/>
      </w:tabs>
      <w:spacing w:after="240"/>
      <w:ind w:left="2880" w:right="432" w:hanging="720"/>
    </w:pPr>
    <w:rPr>
      <w:noProof/>
    </w:rPr>
  </w:style>
  <w:style w:type="paragraph" w:styleId="TOC5">
    <w:name w:val="toc 5"/>
    <w:basedOn w:val="Normal"/>
    <w:next w:val="Normal"/>
    <w:autoRedefine/>
    <w:uiPriority w:val="39"/>
    <w:rsid w:val="00CB7C27"/>
    <w:pPr>
      <w:tabs>
        <w:tab w:val="left" w:pos="3600"/>
        <w:tab w:val="right" w:leader="dot" w:pos="9360"/>
      </w:tabs>
      <w:spacing w:after="240"/>
      <w:ind w:left="3600" w:right="432" w:hanging="720"/>
    </w:pPr>
    <w:rPr>
      <w:noProof/>
    </w:rPr>
  </w:style>
  <w:style w:type="paragraph" w:styleId="TOC6">
    <w:name w:val="toc 6"/>
    <w:basedOn w:val="Normal"/>
    <w:next w:val="Normal"/>
    <w:autoRedefine/>
    <w:rsid w:val="00CB7C27"/>
    <w:pPr>
      <w:tabs>
        <w:tab w:val="left" w:pos="4320"/>
        <w:tab w:val="right" w:leader="dot" w:pos="9360"/>
      </w:tabs>
      <w:spacing w:after="240"/>
      <w:ind w:left="4320" w:right="432" w:hanging="720"/>
    </w:pPr>
    <w:rPr>
      <w:noProof/>
    </w:rPr>
  </w:style>
  <w:style w:type="paragraph" w:styleId="TOC7">
    <w:name w:val="toc 7"/>
    <w:basedOn w:val="Normal"/>
    <w:next w:val="Normal"/>
    <w:autoRedefine/>
    <w:rsid w:val="00CB7C27"/>
    <w:pPr>
      <w:tabs>
        <w:tab w:val="left" w:pos="5040"/>
        <w:tab w:val="right" w:leader="dot" w:pos="9360"/>
      </w:tabs>
      <w:spacing w:after="240"/>
      <w:ind w:left="5040" w:right="432" w:hanging="720"/>
    </w:pPr>
    <w:rPr>
      <w:noProof/>
    </w:rPr>
  </w:style>
  <w:style w:type="paragraph" w:styleId="TOC8">
    <w:name w:val="toc 8"/>
    <w:basedOn w:val="Normal"/>
    <w:next w:val="Normal"/>
    <w:autoRedefine/>
    <w:rsid w:val="00CB7C27"/>
    <w:pPr>
      <w:tabs>
        <w:tab w:val="left" w:pos="5040"/>
        <w:tab w:val="right" w:leader="dot" w:pos="9360"/>
      </w:tabs>
      <w:spacing w:after="240"/>
      <w:ind w:left="5040" w:right="432" w:hanging="720"/>
    </w:pPr>
    <w:rPr>
      <w:noProof/>
    </w:rPr>
  </w:style>
  <w:style w:type="paragraph" w:styleId="TOC9">
    <w:name w:val="toc 9"/>
    <w:basedOn w:val="Normal"/>
    <w:next w:val="Normal"/>
    <w:autoRedefine/>
    <w:rsid w:val="00CB7C27"/>
    <w:pPr>
      <w:tabs>
        <w:tab w:val="left" w:pos="5040"/>
        <w:tab w:val="right" w:leader="dot" w:pos="9360"/>
      </w:tabs>
      <w:spacing w:after="240"/>
      <w:ind w:left="5040" w:right="432" w:hanging="720"/>
    </w:pPr>
    <w:rPr>
      <w:noProof/>
    </w:rPr>
  </w:style>
  <w:style w:type="character" w:styleId="Strong">
    <w:name w:val="Strong"/>
    <w:basedOn w:val="DefaultParagraphFont"/>
    <w:qFormat/>
    <w:rsid w:val="00CB7C27"/>
    <w:rPr>
      <w:b/>
      <w:bCs/>
    </w:rPr>
  </w:style>
  <w:style w:type="character" w:styleId="Emphasis">
    <w:name w:val="Emphasis"/>
    <w:basedOn w:val="DefaultParagraphFont"/>
    <w:qFormat/>
    <w:rsid w:val="00CB7C27"/>
    <w:rPr>
      <w:i/>
      <w:iCs/>
    </w:rPr>
  </w:style>
  <w:style w:type="character" w:customStyle="1" w:styleId="Emphasis2">
    <w:name w:val="Emphasis 2"/>
    <w:basedOn w:val="Emphasis"/>
    <w:rsid w:val="00CB7C27"/>
    <w:rPr>
      <w:i/>
      <w:iCs/>
    </w:rPr>
  </w:style>
  <w:style w:type="paragraph" w:styleId="Header">
    <w:name w:val="header"/>
    <w:basedOn w:val="Normal"/>
    <w:rsid w:val="00CB7C27"/>
    <w:pPr>
      <w:tabs>
        <w:tab w:val="center" w:pos="4320"/>
        <w:tab w:val="right" w:pos="8640"/>
      </w:tabs>
    </w:pPr>
  </w:style>
  <w:style w:type="paragraph" w:styleId="Footer">
    <w:name w:val="footer"/>
    <w:basedOn w:val="Normal"/>
    <w:link w:val="FooterChar"/>
    <w:uiPriority w:val="99"/>
    <w:rsid w:val="00CB7C27"/>
    <w:pPr>
      <w:tabs>
        <w:tab w:val="center" w:pos="4680"/>
        <w:tab w:val="right" w:pos="9360"/>
      </w:tabs>
    </w:pPr>
  </w:style>
  <w:style w:type="character" w:styleId="PageNumber">
    <w:name w:val="page number"/>
    <w:basedOn w:val="DefaultParagraphFont"/>
    <w:rsid w:val="00CB7C27"/>
  </w:style>
  <w:style w:type="paragraph" w:customStyle="1" w:styleId="Signature1">
    <w:name w:val="Signature 1"/>
    <w:aliases w:val="S1"/>
    <w:basedOn w:val="Normal"/>
    <w:rsid w:val="00CB7C27"/>
    <w:pPr>
      <w:keepLines/>
      <w:tabs>
        <w:tab w:val="right" w:leader="underscore" w:pos="9360"/>
      </w:tabs>
      <w:ind w:left="5040"/>
    </w:pPr>
  </w:style>
  <w:style w:type="character" w:customStyle="1" w:styleId="FootnoteTextChar">
    <w:name w:val="Footnote Text Char"/>
    <w:aliases w:val="Footnote Text Char1 Char1,Footnote Text Char Char Char1,Footnote Text Char Char1 Char,ft Char,fn Char,Footnote Text Char1 Char Char,Footnote Text Char Char Char Char,Footnote Text1 Char Char,Footnote Text Char3 Char1 Char Char"/>
    <w:basedOn w:val="DefaultParagraphFont"/>
    <w:link w:val="FootnoteText"/>
    <w:uiPriority w:val="99"/>
    <w:rsid w:val="00EF7005"/>
  </w:style>
  <w:style w:type="paragraph" w:customStyle="1" w:styleId="WBDoubleIndent1">
    <w:name w:val="WB Double Indent 1"/>
    <w:basedOn w:val="Normal"/>
    <w:link w:val="WBDoubleIndent1Char"/>
    <w:rsid w:val="00CB7C27"/>
    <w:pPr>
      <w:spacing w:after="240"/>
      <w:ind w:left="1440" w:right="1440"/>
    </w:pPr>
    <w:rPr>
      <w:szCs w:val="20"/>
    </w:rPr>
  </w:style>
  <w:style w:type="paragraph" w:customStyle="1" w:styleId="WBNumberedListIndented">
    <w:name w:val="WB Numbered List Indented"/>
    <w:aliases w:val="NLI"/>
    <w:basedOn w:val="Normal"/>
    <w:semiHidden/>
    <w:rsid w:val="00CB7C27"/>
    <w:pPr>
      <w:numPr>
        <w:numId w:val="3"/>
      </w:numPr>
      <w:tabs>
        <w:tab w:val="clear" w:pos="1080"/>
      </w:tabs>
    </w:pPr>
    <w:rPr>
      <w:szCs w:val="20"/>
    </w:rPr>
  </w:style>
  <w:style w:type="paragraph" w:customStyle="1" w:styleId="WBBulletedList">
    <w:name w:val="WB Bulleted List"/>
    <w:basedOn w:val="Normal"/>
    <w:rsid w:val="00CB7C27"/>
    <w:pPr>
      <w:numPr>
        <w:ilvl w:val="2"/>
        <w:numId w:val="3"/>
      </w:numPr>
      <w:tabs>
        <w:tab w:val="clear" w:pos="720"/>
      </w:tabs>
      <w:spacing w:after="120"/>
      <w:ind w:left="1440"/>
    </w:pPr>
    <w:rPr>
      <w:szCs w:val="20"/>
    </w:rPr>
  </w:style>
  <w:style w:type="paragraph" w:customStyle="1" w:styleId="FootnoteTextMore0">
    <w:name w:val="Footnote TextMore"/>
    <w:basedOn w:val="FootnoteText"/>
    <w:rsid w:val="00CB7C27"/>
    <w:rPr>
      <w:rFonts w:cs="Courier New"/>
    </w:rPr>
  </w:style>
  <w:style w:type="character" w:customStyle="1" w:styleId="WBDoubleIndent1Char">
    <w:name w:val="WB Double Indent 1 Char"/>
    <w:basedOn w:val="DefaultParagraphFont"/>
    <w:link w:val="WBDoubleIndent1"/>
    <w:rsid w:val="00CB7C27"/>
    <w:rPr>
      <w:sz w:val="24"/>
      <w:lang w:val="en-US" w:eastAsia="en-US" w:bidi="ar-SA"/>
    </w:rPr>
  </w:style>
  <w:style w:type="character" w:customStyle="1" w:styleId="BlockText2Char">
    <w:name w:val="Block Text 2 Char"/>
    <w:aliases w:val="BT2 Char"/>
    <w:basedOn w:val="DefaultParagraphFont"/>
    <w:link w:val="BlockText2"/>
    <w:rsid w:val="00CB7C27"/>
    <w:rPr>
      <w:sz w:val="24"/>
      <w:szCs w:val="24"/>
      <w:lang w:val="en-US" w:eastAsia="en-US" w:bidi="ar-SA"/>
    </w:rPr>
  </w:style>
  <w:style w:type="paragraph" w:styleId="BalloonText">
    <w:name w:val="Balloon Text"/>
    <w:basedOn w:val="Normal"/>
    <w:semiHidden/>
    <w:rsid w:val="00CB7C27"/>
    <w:rPr>
      <w:rFonts w:ascii="Tahoma" w:hAnsi="Tahoma" w:cs="Tahoma"/>
      <w:sz w:val="16"/>
      <w:szCs w:val="16"/>
    </w:rPr>
  </w:style>
  <w:style w:type="paragraph" w:styleId="TableofAuthorities">
    <w:name w:val="table of authorities"/>
    <w:basedOn w:val="Normal"/>
    <w:next w:val="Normal"/>
    <w:uiPriority w:val="99"/>
    <w:semiHidden/>
    <w:rsid w:val="00CB7C27"/>
    <w:pPr>
      <w:ind w:left="240" w:hanging="240"/>
    </w:pPr>
  </w:style>
  <w:style w:type="paragraph" w:customStyle="1" w:styleId="BATOAPageHeading">
    <w:name w:val="BA TOA Page Heading"/>
    <w:basedOn w:val="Normal"/>
    <w:rsid w:val="00CB7C27"/>
    <w:pPr>
      <w:keepNext/>
      <w:keepLines/>
      <w:tabs>
        <w:tab w:val="right" w:pos="9360"/>
      </w:tabs>
    </w:pPr>
    <w:rPr>
      <w:rFonts w:ascii="Times New Roman Bold" w:hAnsi="Times New Roman Bold"/>
      <w:b/>
    </w:rPr>
  </w:style>
  <w:style w:type="paragraph" w:customStyle="1" w:styleId="BATOAHeading">
    <w:name w:val="BA TOA Heading"/>
    <w:basedOn w:val="Normal"/>
    <w:rsid w:val="00CB7C27"/>
    <w:pPr>
      <w:keepNext/>
      <w:keepLines/>
      <w:spacing w:after="240"/>
    </w:pPr>
    <w:rPr>
      <w:rFonts w:ascii="Times New Roman Bold" w:hAnsi="Times New Roman Bold"/>
      <w:b/>
      <w:smallCaps/>
    </w:rPr>
  </w:style>
  <w:style w:type="paragraph" w:customStyle="1" w:styleId="BATOAEntry">
    <w:name w:val="BA TOA Entry"/>
    <w:basedOn w:val="Normal"/>
    <w:rsid w:val="00CB7C27"/>
    <w:pPr>
      <w:keepLines/>
      <w:tabs>
        <w:tab w:val="right" w:leader="dot" w:pos="9360"/>
      </w:tabs>
      <w:spacing w:after="240"/>
      <w:ind w:left="360" w:right="720" w:hanging="360"/>
    </w:pPr>
  </w:style>
  <w:style w:type="paragraph" w:customStyle="1" w:styleId="BADraft">
    <w:name w:val="BA Draft"/>
    <w:basedOn w:val="BodyText"/>
    <w:rsid w:val="00CB7C27"/>
    <w:pPr>
      <w:keepLines/>
      <w:widowControl w:val="0"/>
      <w:spacing w:after="0"/>
    </w:pPr>
  </w:style>
  <w:style w:type="paragraph" w:customStyle="1" w:styleId="BATOATitle">
    <w:name w:val="BA TOA Title"/>
    <w:basedOn w:val="Normal"/>
    <w:rsid w:val="00CB7C27"/>
    <w:pPr>
      <w:keepNext/>
      <w:spacing w:before="120" w:after="240"/>
      <w:jc w:val="center"/>
    </w:pPr>
    <w:rPr>
      <w:b/>
      <w:caps/>
      <w:u w:val="single"/>
    </w:rPr>
  </w:style>
  <w:style w:type="table" w:styleId="TableGrid">
    <w:name w:val="Table Grid"/>
    <w:basedOn w:val="TableNormal"/>
    <w:rsid w:val="00CB7C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ing">
    <w:name w:val="Listing"/>
    <w:basedOn w:val="BodyText2"/>
    <w:autoRedefine/>
    <w:rsid w:val="00CB7C27"/>
    <w:pPr>
      <w:keepNext/>
      <w:ind w:left="2160" w:firstLine="0"/>
    </w:pPr>
    <w:rPr>
      <w:u w:val="single"/>
    </w:rPr>
  </w:style>
  <w:style w:type="paragraph" w:styleId="BodyTextIndent">
    <w:name w:val="Body Text Indent"/>
    <w:basedOn w:val="Normal"/>
    <w:rsid w:val="00CB7C27"/>
    <w:pPr>
      <w:spacing w:after="120"/>
      <w:ind w:left="360"/>
    </w:pPr>
  </w:style>
  <w:style w:type="character" w:styleId="Hyperlink">
    <w:name w:val="Hyperlink"/>
    <w:basedOn w:val="DefaultParagraphFont"/>
    <w:rsid w:val="00CB7C27"/>
    <w:rPr>
      <w:color w:val="0000FF"/>
      <w:u w:val="single"/>
    </w:rPr>
  </w:style>
  <w:style w:type="paragraph" w:customStyle="1" w:styleId="Normal1">
    <w:name w:val="Normal+1"/>
    <w:basedOn w:val="Normal"/>
    <w:next w:val="Normal"/>
    <w:rsid w:val="00CB7C27"/>
    <w:pPr>
      <w:autoSpaceDE w:val="0"/>
      <w:autoSpaceDN w:val="0"/>
      <w:adjustRightInd w:val="0"/>
    </w:pPr>
  </w:style>
  <w:style w:type="paragraph" w:customStyle="1" w:styleId="WBSignature">
    <w:name w:val="WB Signature"/>
    <w:basedOn w:val="Normal"/>
    <w:rsid w:val="00CB7C27"/>
    <w:pPr>
      <w:keepNext/>
      <w:keepLines/>
      <w:tabs>
        <w:tab w:val="right" w:leader="underscore" w:pos="9360"/>
      </w:tabs>
      <w:ind w:left="5040"/>
    </w:pPr>
  </w:style>
  <w:style w:type="paragraph" w:customStyle="1" w:styleId="Bullet2">
    <w:name w:val="Bullet 2"/>
    <w:basedOn w:val="Heading2"/>
    <w:rsid w:val="00CB7C27"/>
    <w:pPr>
      <w:keepNext w:val="0"/>
      <w:numPr>
        <w:numId w:val="4"/>
      </w:numPr>
      <w:spacing w:after="0"/>
    </w:pPr>
    <w:rPr>
      <w:u w:val="none"/>
    </w:rPr>
  </w:style>
  <w:style w:type="paragraph" w:customStyle="1" w:styleId="Bullet1">
    <w:name w:val="Bullet 1"/>
    <w:basedOn w:val="ListBullet"/>
    <w:rsid w:val="00CB7C27"/>
  </w:style>
  <w:style w:type="character" w:styleId="FollowedHyperlink">
    <w:name w:val="FollowedHyperlink"/>
    <w:basedOn w:val="DefaultParagraphFont"/>
    <w:rsid w:val="00CB7C27"/>
    <w:rPr>
      <w:color w:val="606420"/>
      <w:u w:val="single"/>
    </w:rPr>
  </w:style>
  <w:style w:type="paragraph" w:customStyle="1" w:styleId="WBNumberedList">
    <w:name w:val="WB Numbered List"/>
    <w:basedOn w:val="Normal"/>
    <w:rsid w:val="0048295D"/>
    <w:pPr>
      <w:numPr>
        <w:numId w:val="5"/>
      </w:numPr>
    </w:pPr>
  </w:style>
  <w:style w:type="character" w:customStyle="1" w:styleId="Heading2Char">
    <w:name w:val="Heading 2 Char"/>
    <w:basedOn w:val="DefaultParagraphFont"/>
    <w:link w:val="Heading2"/>
    <w:uiPriority w:val="99"/>
    <w:locked/>
    <w:rsid w:val="00C13494"/>
    <w:rPr>
      <w:b/>
      <w:sz w:val="24"/>
      <w:szCs w:val="28"/>
      <w:u w:val="single"/>
    </w:rPr>
  </w:style>
  <w:style w:type="paragraph" w:customStyle="1" w:styleId="Indent5DblSp">
    <w:name w:val="*Indent5 Dbl Sp"/>
    <w:basedOn w:val="Normal"/>
    <w:qFormat/>
    <w:rsid w:val="00187D82"/>
    <w:pPr>
      <w:spacing w:line="480" w:lineRule="auto"/>
      <w:ind w:firstLine="720"/>
    </w:pPr>
    <w:rPr>
      <w:rFonts w:eastAsia="Calibri"/>
    </w:rPr>
  </w:style>
  <w:style w:type="paragraph" w:styleId="Quote">
    <w:name w:val="Quote"/>
    <w:basedOn w:val="Normal"/>
    <w:next w:val="Normal"/>
    <w:link w:val="QuoteChar"/>
    <w:uiPriority w:val="29"/>
    <w:qFormat/>
    <w:rsid w:val="009C5F08"/>
    <w:pPr>
      <w:ind w:left="720" w:right="720"/>
    </w:pPr>
    <w:rPr>
      <w:iCs/>
      <w:color w:val="000000"/>
    </w:rPr>
  </w:style>
  <w:style w:type="character" w:customStyle="1" w:styleId="QuoteChar">
    <w:name w:val="Quote Char"/>
    <w:basedOn w:val="DefaultParagraphFont"/>
    <w:link w:val="Quote"/>
    <w:uiPriority w:val="29"/>
    <w:rsid w:val="009C5F08"/>
    <w:rPr>
      <w:iCs/>
      <w:color w:val="000000"/>
      <w:sz w:val="24"/>
      <w:szCs w:val="24"/>
    </w:rPr>
  </w:style>
  <w:style w:type="character" w:customStyle="1" w:styleId="Heading9Char">
    <w:name w:val="Heading 9 Char"/>
    <w:basedOn w:val="DefaultParagraphFont"/>
    <w:link w:val="Heading9"/>
    <w:uiPriority w:val="9"/>
    <w:rsid w:val="00B87811"/>
    <w:rPr>
      <w:sz w:val="24"/>
      <w:szCs w:val="22"/>
    </w:rPr>
  </w:style>
  <w:style w:type="paragraph" w:styleId="ListParagraph">
    <w:name w:val="List Paragraph"/>
    <w:basedOn w:val="Normal"/>
    <w:uiPriority w:val="34"/>
    <w:qFormat/>
    <w:rsid w:val="00B87811"/>
    <w:pPr>
      <w:ind w:left="720"/>
      <w:contextualSpacing/>
    </w:pPr>
  </w:style>
  <w:style w:type="paragraph" w:customStyle="1" w:styleId="Indent5DbSp">
    <w:name w:val="Indent5 DbSp"/>
    <w:basedOn w:val="Normal"/>
    <w:qFormat/>
    <w:rsid w:val="00887293"/>
    <w:pPr>
      <w:spacing w:line="480" w:lineRule="auto"/>
      <w:ind w:firstLine="720"/>
    </w:pPr>
    <w:rPr>
      <w:rFonts w:eastAsia="Calibri"/>
    </w:rPr>
  </w:style>
  <w:style w:type="paragraph" w:customStyle="1" w:styleId="PleadingHeading1">
    <w:name w:val="*PleadingHeading 1"/>
    <w:basedOn w:val="Heading1"/>
    <w:next w:val="Indent5DblSp"/>
    <w:qFormat/>
    <w:rsid w:val="00887293"/>
    <w:pPr>
      <w:keepNext w:val="0"/>
      <w:keepLines/>
      <w:numPr>
        <w:numId w:val="7"/>
      </w:numPr>
      <w:spacing w:before="0" w:after="240"/>
    </w:pPr>
    <w:rPr>
      <w:rFonts w:ascii="Times New Roman" w:hAnsi="Times New Roman"/>
      <w:b w:val="0"/>
      <w:bCs/>
      <w:caps w:val="0"/>
      <w:szCs w:val="28"/>
    </w:rPr>
  </w:style>
  <w:style w:type="paragraph" w:customStyle="1" w:styleId="PleadingHeading2">
    <w:name w:val="*PleadingHeading 2"/>
    <w:basedOn w:val="Heading2"/>
    <w:next w:val="Indent5DblSp"/>
    <w:qFormat/>
    <w:rsid w:val="00887293"/>
    <w:pPr>
      <w:keepNext w:val="0"/>
      <w:keepLines/>
      <w:numPr>
        <w:numId w:val="7"/>
      </w:numPr>
    </w:pPr>
    <w:rPr>
      <w:bCs/>
      <w:szCs w:val="26"/>
      <w:u w:val="none"/>
    </w:rPr>
  </w:style>
  <w:style w:type="paragraph" w:customStyle="1" w:styleId="PleadingHeading3">
    <w:name w:val="*PleadingHeading 3"/>
    <w:basedOn w:val="Heading3"/>
    <w:next w:val="Indent5DblSp"/>
    <w:qFormat/>
    <w:rsid w:val="00887293"/>
    <w:pPr>
      <w:numPr>
        <w:numId w:val="7"/>
      </w:numPr>
    </w:pPr>
    <w:rPr>
      <w:bCs/>
      <w:i/>
      <w:szCs w:val="24"/>
    </w:rPr>
  </w:style>
  <w:style w:type="paragraph" w:customStyle="1" w:styleId="PleadingHeading4">
    <w:name w:val="*PleadingHeading 4"/>
    <w:basedOn w:val="Heading4"/>
    <w:next w:val="Indent5DblSp"/>
    <w:qFormat/>
    <w:rsid w:val="00887293"/>
    <w:pPr>
      <w:numPr>
        <w:numId w:val="7"/>
      </w:numPr>
      <w:spacing w:before="0"/>
    </w:pPr>
    <w:rPr>
      <w:bCs/>
      <w:iCs/>
      <w:szCs w:val="24"/>
    </w:rPr>
  </w:style>
  <w:style w:type="numbering" w:customStyle="1" w:styleId="ListStyleHeadings">
    <w:name w:val="*List Style_Headings"/>
    <w:uiPriority w:val="99"/>
    <w:rsid w:val="00887293"/>
    <w:pPr>
      <w:numPr>
        <w:numId w:val="7"/>
      </w:numPr>
    </w:pPr>
  </w:style>
  <w:style w:type="character" w:customStyle="1" w:styleId="Heading4Char">
    <w:name w:val="Heading 4 Char"/>
    <w:basedOn w:val="DefaultParagraphFont"/>
    <w:link w:val="Heading4"/>
    <w:uiPriority w:val="9"/>
    <w:rsid w:val="00F35786"/>
    <w:rPr>
      <w:sz w:val="24"/>
      <w:szCs w:val="28"/>
    </w:rPr>
  </w:style>
  <w:style w:type="character" w:customStyle="1" w:styleId="Heading5Char">
    <w:name w:val="Heading 5 Char"/>
    <w:basedOn w:val="DefaultParagraphFont"/>
    <w:link w:val="Heading5"/>
    <w:uiPriority w:val="9"/>
    <w:rsid w:val="005D2BA6"/>
    <w:rPr>
      <w:sz w:val="24"/>
      <w:szCs w:val="26"/>
    </w:rPr>
  </w:style>
  <w:style w:type="paragraph" w:customStyle="1" w:styleId="QuoteIndent">
    <w:name w:val="*Quote Indent"/>
    <w:basedOn w:val="Quote"/>
    <w:next w:val="Normal"/>
    <w:autoRedefine/>
    <w:qFormat/>
    <w:rsid w:val="00AF7B1B"/>
    <w:rPr>
      <w:rFonts w:eastAsia="Calibri"/>
    </w:rPr>
  </w:style>
  <w:style w:type="character" w:customStyle="1" w:styleId="Heading3Char">
    <w:name w:val="Heading 3 Char"/>
    <w:basedOn w:val="DefaultParagraphFont"/>
    <w:link w:val="Heading3"/>
    <w:uiPriority w:val="9"/>
    <w:rsid w:val="00E06BAE"/>
    <w:rPr>
      <w:b/>
      <w:sz w:val="24"/>
      <w:szCs w:val="26"/>
    </w:rPr>
  </w:style>
  <w:style w:type="character" w:customStyle="1" w:styleId="Heading1Char">
    <w:name w:val="Heading 1 Char"/>
    <w:basedOn w:val="DefaultParagraphFont"/>
    <w:link w:val="Heading1"/>
    <w:uiPriority w:val="99"/>
    <w:rsid w:val="00B271DD"/>
    <w:rPr>
      <w:rFonts w:ascii="Times New Roman Bold" w:hAnsi="Times New Roman Bold"/>
      <w:b/>
      <w:caps/>
      <w:sz w:val="24"/>
      <w:szCs w:val="32"/>
    </w:rPr>
  </w:style>
  <w:style w:type="paragraph" w:customStyle="1" w:styleId="Question">
    <w:name w:val="Question"/>
    <w:basedOn w:val="Normal"/>
    <w:link w:val="QuestionChar"/>
    <w:uiPriority w:val="99"/>
    <w:rsid w:val="002F309B"/>
    <w:pPr>
      <w:spacing w:after="240"/>
      <w:ind w:left="1260" w:hanging="1260"/>
    </w:pPr>
  </w:style>
  <w:style w:type="character" w:customStyle="1" w:styleId="QuestionChar">
    <w:name w:val="Question Char"/>
    <w:basedOn w:val="DefaultParagraphFont"/>
    <w:link w:val="Question"/>
    <w:uiPriority w:val="99"/>
    <w:rsid w:val="002F309B"/>
    <w:rPr>
      <w:sz w:val="24"/>
      <w:szCs w:val="24"/>
    </w:rPr>
  </w:style>
  <w:style w:type="paragraph" w:styleId="NormalIndent">
    <w:name w:val="Normal Indent"/>
    <w:basedOn w:val="Normal"/>
    <w:uiPriority w:val="99"/>
    <w:rsid w:val="00337F1A"/>
    <w:pPr>
      <w:suppressAutoHyphens/>
      <w:ind w:left="720" w:hanging="720"/>
    </w:pPr>
    <w:rPr>
      <w:lang w:eastAsia="ar-SA"/>
    </w:rPr>
  </w:style>
  <w:style w:type="paragraph" w:styleId="NoSpacing">
    <w:name w:val="No Spacing"/>
    <w:uiPriority w:val="1"/>
    <w:qFormat/>
    <w:rsid w:val="006816E1"/>
    <w:rPr>
      <w:rFonts w:eastAsia="Calibri"/>
      <w:sz w:val="24"/>
      <w:szCs w:val="24"/>
    </w:rPr>
  </w:style>
  <w:style w:type="paragraph" w:styleId="TOAHeading">
    <w:name w:val="toa heading"/>
    <w:basedOn w:val="Normal"/>
    <w:next w:val="Normal"/>
    <w:uiPriority w:val="99"/>
    <w:rsid w:val="00D75CE2"/>
    <w:pPr>
      <w:spacing w:before="120"/>
    </w:pPr>
    <w:rPr>
      <w:rFonts w:ascii="Cambria" w:hAnsi="Cambria"/>
      <w:b/>
      <w:bCs/>
    </w:rPr>
  </w:style>
  <w:style w:type="character" w:customStyle="1" w:styleId="WBBodyText1Char">
    <w:name w:val="WB Body Text 1 Char"/>
    <w:aliases w:val="B1 Char,Body Text 1 Char"/>
    <w:link w:val="BodyText1"/>
    <w:rsid w:val="006871C0"/>
    <w:rPr>
      <w:sz w:val="24"/>
      <w:szCs w:val="24"/>
    </w:rPr>
  </w:style>
  <w:style w:type="character" w:styleId="EndnoteReference">
    <w:name w:val="endnote reference"/>
    <w:basedOn w:val="DefaultParagraphFont"/>
    <w:rsid w:val="00683318"/>
    <w:rPr>
      <w:vertAlign w:val="superscript"/>
    </w:rPr>
  </w:style>
  <w:style w:type="character" w:styleId="CommentReference">
    <w:name w:val="annotation reference"/>
    <w:basedOn w:val="DefaultParagraphFont"/>
    <w:rsid w:val="003B462A"/>
    <w:rPr>
      <w:sz w:val="16"/>
      <w:szCs w:val="16"/>
    </w:rPr>
  </w:style>
  <w:style w:type="paragraph" w:styleId="CommentText">
    <w:name w:val="annotation text"/>
    <w:basedOn w:val="Normal"/>
    <w:link w:val="CommentTextChar"/>
    <w:rsid w:val="003B462A"/>
    <w:rPr>
      <w:sz w:val="20"/>
      <w:szCs w:val="20"/>
    </w:rPr>
  </w:style>
  <w:style w:type="character" w:customStyle="1" w:styleId="CommentTextChar">
    <w:name w:val="Comment Text Char"/>
    <w:basedOn w:val="DefaultParagraphFont"/>
    <w:link w:val="CommentText"/>
    <w:rsid w:val="003B462A"/>
  </w:style>
  <w:style w:type="paragraph" w:styleId="CommentSubject">
    <w:name w:val="annotation subject"/>
    <w:basedOn w:val="CommentText"/>
    <w:next w:val="CommentText"/>
    <w:link w:val="CommentSubjectChar"/>
    <w:rsid w:val="003B462A"/>
    <w:rPr>
      <w:b/>
      <w:bCs/>
    </w:rPr>
  </w:style>
  <w:style w:type="character" w:customStyle="1" w:styleId="CommentSubjectChar">
    <w:name w:val="Comment Subject Char"/>
    <w:basedOn w:val="CommentTextChar"/>
    <w:link w:val="CommentSubject"/>
    <w:rsid w:val="003B462A"/>
    <w:rPr>
      <w:b/>
      <w:bCs/>
    </w:rPr>
  </w:style>
  <w:style w:type="character" w:customStyle="1" w:styleId="FooterChar">
    <w:name w:val="Footer Char"/>
    <w:basedOn w:val="DefaultParagraphFont"/>
    <w:link w:val="Footer"/>
    <w:uiPriority w:val="99"/>
    <w:rsid w:val="00C16624"/>
    <w:rPr>
      <w:sz w:val="24"/>
      <w:szCs w:val="24"/>
    </w:rPr>
  </w:style>
  <w:style w:type="paragraph" w:styleId="PlainText">
    <w:name w:val="Plain Text"/>
    <w:basedOn w:val="Normal"/>
    <w:link w:val="PlainTextChar"/>
    <w:uiPriority w:val="99"/>
    <w:unhideWhenUsed/>
    <w:rsid w:val="00A07A7C"/>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A07A7C"/>
    <w:rPr>
      <w:rFonts w:ascii="Consolas" w:eastAsiaTheme="minorHAnsi" w:hAnsi="Consolas" w:cs="Consolas"/>
      <w:sz w:val="21"/>
      <w:szCs w:val="21"/>
    </w:rPr>
  </w:style>
  <w:style w:type="paragraph" w:styleId="NormalWeb">
    <w:name w:val="Normal (Web)"/>
    <w:basedOn w:val="Normal"/>
    <w:uiPriority w:val="99"/>
    <w:unhideWhenUsed/>
    <w:rsid w:val="00E3404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54048972">
      <w:bodyDiv w:val="1"/>
      <w:marLeft w:val="0"/>
      <w:marRight w:val="0"/>
      <w:marTop w:val="0"/>
      <w:marBottom w:val="0"/>
      <w:divBdr>
        <w:top w:val="none" w:sz="0" w:space="0" w:color="auto"/>
        <w:left w:val="none" w:sz="0" w:space="0" w:color="auto"/>
        <w:bottom w:val="none" w:sz="0" w:space="0" w:color="auto"/>
        <w:right w:val="none" w:sz="0" w:space="0" w:color="auto"/>
      </w:divBdr>
      <w:divsChild>
        <w:div w:id="912155665">
          <w:marLeft w:val="0"/>
          <w:marRight w:val="0"/>
          <w:marTop w:val="0"/>
          <w:marBottom w:val="0"/>
          <w:divBdr>
            <w:top w:val="none" w:sz="0" w:space="0" w:color="auto"/>
            <w:left w:val="none" w:sz="0" w:space="0" w:color="auto"/>
            <w:bottom w:val="none" w:sz="0" w:space="0" w:color="auto"/>
            <w:right w:val="none" w:sz="0" w:space="0" w:color="auto"/>
          </w:divBdr>
          <w:divsChild>
            <w:div w:id="1175414746">
              <w:marLeft w:val="0"/>
              <w:marRight w:val="0"/>
              <w:marTop w:val="0"/>
              <w:marBottom w:val="0"/>
              <w:divBdr>
                <w:top w:val="none" w:sz="0" w:space="0" w:color="auto"/>
                <w:left w:val="none" w:sz="0" w:space="0" w:color="auto"/>
                <w:bottom w:val="single" w:sz="4" w:space="0" w:color="ACB9C2"/>
                <w:right w:val="none" w:sz="0" w:space="0" w:color="auto"/>
              </w:divBdr>
              <w:divsChild>
                <w:div w:id="15697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991115">
      <w:bodyDiv w:val="1"/>
      <w:marLeft w:val="0"/>
      <w:marRight w:val="0"/>
      <w:marTop w:val="0"/>
      <w:marBottom w:val="0"/>
      <w:divBdr>
        <w:top w:val="none" w:sz="0" w:space="0" w:color="auto"/>
        <w:left w:val="none" w:sz="0" w:space="0" w:color="auto"/>
        <w:bottom w:val="none" w:sz="0" w:space="0" w:color="auto"/>
        <w:right w:val="none" w:sz="0" w:space="0" w:color="auto"/>
      </w:divBdr>
    </w:div>
    <w:div w:id="409156472">
      <w:bodyDiv w:val="1"/>
      <w:marLeft w:val="0"/>
      <w:marRight w:val="0"/>
      <w:marTop w:val="0"/>
      <w:marBottom w:val="0"/>
      <w:divBdr>
        <w:top w:val="none" w:sz="0" w:space="0" w:color="auto"/>
        <w:left w:val="none" w:sz="0" w:space="0" w:color="auto"/>
        <w:bottom w:val="none" w:sz="0" w:space="0" w:color="auto"/>
        <w:right w:val="none" w:sz="0" w:space="0" w:color="auto"/>
      </w:divBdr>
    </w:div>
    <w:div w:id="637107554">
      <w:bodyDiv w:val="1"/>
      <w:marLeft w:val="0"/>
      <w:marRight w:val="0"/>
      <w:marTop w:val="0"/>
      <w:marBottom w:val="0"/>
      <w:divBdr>
        <w:top w:val="none" w:sz="0" w:space="0" w:color="auto"/>
        <w:left w:val="none" w:sz="0" w:space="0" w:color="auto"/>
        <w:bottom w:val="none" w:sz="0" w:space="0" w:color="auto"/>
        <w:right w:val="none" w:sz="0" w:space="0" w:color="auto"/>
      </w:divBdr>
      <w:divsChild>
        <w:div w:id="992875816">
          <w:marLeft w:val="0"/>
          <w:marRight w:val="0"/>
          <w:marTop w:val="0"/>
          <w:marBottom w:val="0"/>
          <w:divBdr>
            <w:top w:val="none" w:sz="0" w:space="0" w:color="auto"/>
            <w:left w:val="none" w:sz="0" w:space="0" w:color="auto"/>
            <w:bottom w:val="none" w:sz="0" w:space="0" w:color="auto"/>
            <w:right w:val="none" w:sz="0" w:space="0" w:color="auto"/>
          </w:divBdr>
        </w:div>
      </w:divsChild>
    </w:div>
    <w:div w:id="1024092085">
      <w:bodyDiv w:val="1"/>
      <w:marLeft w:val="0"/>
      <w:marRight w:val="0"/>
      <w:marTop w:val="0"/>
      <w:marBottom w:val="0"/>
      <w:divBdr>
        <w:top w:val="none" w:sz="0" w:space="0" w:color="auto"/>
        <w:left w:val="none" w:sz="0" w:space="0" w:color="auto"/>
        <w:bottom w:val="none" w:sz="0" w:space="0" w:color="auto"/>
        <w:right w:val="none" w:sz="0" w:space="0" w:color="auto"/>
      </w:divBdr>
      <w:divsChild>
        <w:div w:id="61756660">
          <w:marLeft w:val="0"/>
          <w:marRight w:val="0"/>
          <w:marTop w:val="0"/>
          <w:marBottom w:val="0"/>
          <w:divBdr>
            <w:top w:val="none" w:sz="0" w:space="0" w:color="auto"/>
            <w:left w:val="none" w:sz="0" w:space="0" w:color="auto"/>
            <w:bottom w:val="none" w:sz="0" w:space="0" w:color="auto"/>
            <w:right w:val="none" w:sz="0" w:space="0" w:color="auto"/>
          </w:divBdr>
        </w:div>
        <w:div w:id="1339579442">
          <w:marLeft w:val="0"/>
          <w:marRight w:val="0"/>
          <w:marTop w:val="0"/>
          <w:marBottom w:val="0"/>
          <w:divBdr>
            <w:top w:val="none" w:sz="0" w:space="0" w:color="auto"/>
            <w:left w:val="none" w:sz="0" w:space="0" w:color="auto"/>
            <w:bottom w:val="none" w:sz="0" w:space="0" w:color="auto"/>
            <w:right w:val="none" w:sz="0" w:space="0" w:color="auto"/>
          </w:divBdr>
        </w:div>
      </w:divsChild>
    </w:div>
    <w:div w:id="1138692090">
      <w:bodyDiv w:val="1"/>
      <w:marLeft w:val="0"/>
      <w:marRight w:val="0"/>
      <w:marTop w:val="0"/>
      <w:marBottom w:val="0"/>
      <w:divBdr>
        <w:top w:val="none" w:sz="0" w:space="0" w:color="auto"/>
        <w:left w:val="none" w:sz="0" w:space="0" w:color="auto"/>
        <w:bottom w:val="none" w:sz="0" w:space="0" w:color="auto"/>
        <w:right w:val="none" w:sz="0" w:space="0" w:color="auto"/>
      </w:divBdr>
      <w:divsChild>
        <w:div w:id="211381471">
          <w:marLeft w:val="0"/>
          <w:marRight w:val="0"/>
          <w:marTop w:val="0"/>
          <w:marBottom w:val="0"/>
          <w:divBdr>
            <w:top w:val="none" w:sz="0" w:space="0" w:color="auto"/>
            <w:left w:val="none" w:sz="0" w:space="0" w:color="auto"/>
            <w:bottom w:val="none" w:sz="0" w:space="0" w:color="auto"/>
            <w:right w:val="none" w:sz="0" w:space="0" w:color="auto"/>
          </w:divBdr>
          <w:divsChild>
            <w:div w:id="163590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60070">
      <w:bodyDiv w:val="1"/>
      <w:marLeft w:val="0"/>
      <w:marRight w:val="0"/>
      <w:marTop w:val="0"/>
      <w:marBottom w:val="0"/>
      <w:divBdr>
        <w:top w:val="none" w:sz="0" w:space="0" w:color="auto"/>
        <w:left w:val="none" w:sz="0" w:space="0" w:color="auto"/>
        <w:bottom w:val="none" w:sz="0" w:space="0" w:color="auto"/>
        <w:right w:val="none" w:sz="0" w:space="0" w:color="auto"/>
      </w:divBdr>
      <w:divsChild>
        <w:div w:id="784811812">
          <w:marLeft w:val="0"/>
          <w:marRight w:val="0"/>
          <w:marTop w:val="0"/>
          <w:marBottom w:val="0"/>
          <w:divBdr>
            <w:top w:val="none" w:sz="0" w:space="0" w:color="auto"/>
            <w:left w:val="none" w:sz="0" w:space="0" w:color="auto"/>
            <w:bottom w:val="none" w:sz="0" w:space="0" w:color="auto"/>
            <w:right w:val="none" w:sz="0" w:space="0" w:color="auto"/>
          </w:divBdr>
          <w:divsChild>
            <w:div w:id="1268848419">
              <w:marLeft w:val="0"/>
              <w:marRight w:val="0"/>
              <w:marTop w:val="0"/>
              <w:marBottom w:val="0"/>
              <w:divBdr>
                <w:top w:val="none" w:sz="0" w:space="0" w:color="auto"/>
                <w:left w:val="none" w:sz="0" w:space="0" w:color="auto"/>
                <w:bottom w:val="none" w:sz="0" w:space="0" w:color="auto"/>
                <w:right w:val="none" w:sz="0" w:space="0" w:color="auto"/>
              </w:divBdr>
              <w:divsChild>
                <w:div w:id="591277281">
                  <w:marLeft w:val="0"/>
                  <w:marRight w:val="0"/>
                  <w:marTop w:val="0"/>
                  <w:marBottom w:val="0"/>
                  <w:divBdr>
                    <w:top w:val="none" w:sz="0" w:space="0" w:color="auto"/>
                    <w:left w:val="none" w:sz="0" w:space="0" w:color="auto"/>
                    <w:bottom w:val="none" w:sz="0" w:space="0" w:color="auto"/>
                    <w:right w:val="none" w:sz="0" w:space="0" w:color="auto"/>
                  </w:divBdr>
                  <w:divsChild>
                    <w:div w:id="1398669560">
                      <w:marLeft w:val="0"/>
                      <w:marRight w:val="0"/>
                      <w:marTop w:val="0"/>
                      <w:marBottom w:val="0"/>
                      <w:divBdr>
                        <w:top w:val="none" w:sz="0" w:space="0" w:color="auto"/>
                        <w:left w:val="none" w:sz="0" w:space="0" w:color="auto"/>
                        <w:bottom w:val="none" w:sz="0" w:space="0" w:color="auto"/>
                        <w:right w:val="none" w:sz="0" w:space="0" w:color="auto"/>
                      </w:divBdr>
                      <w:divsChild>
                        <w:div w:id="1323201389">
                          <w:marLeft w:val="0"/>
                          <w:marRight w:val="0"/>
                          <w:marTop w:val="0"/>
                          <w:marBottom w:val="0"/>
                          <w:divBdr>
                            <w:top w:val="none" w:sz="0" w:space="0" w:color="auto"/>
                            <w:left w:val="none" w:sz="0" w:space="0" w:color="auto"/>
                            <w:bottom w:val="none" w:sz="0" w:space="0" w:color="auto"/>
                            <w:right w:val="none" w:sz="0" w:space="0" w:color="auto"/>
                          </w:divBdr>
                          <w:divsChild>
                            <w:div w:id="625891283">
                              <w:marLeft w:val="0"/>
                              <w:marRight w:val="0"/>
                              <w:marTop w:val="0"/>
                              <w:marBottom w:val="0"/>
                              <w:divBdr>
                                <w:top w:val="single" w:sz="6" w:space="5" w:color="B6D0DD"/>
                                <w:left w:val="none" w:sz="0" w:space="0" w:color="auto"/>
                                <w:bottom w:val="none" w:sz="0" w:space="0" w:color="auto"/>
                                <w:right w:val="none" w:sz="0" w:space="0" w:color="auto"/>
                              </w:divBdr>
                              <w:divsChild>
                                <w:div w:id="2099326797">
                                  <w:marLeft w:val="0"/>
                                  <w:marRight w:val="0"/>
                                  <w:marTop w:val="0"/>
                                  <w:marBottom w:val="0"/>
                                  <w:divBdr>
                                    <w:top w:val="none" w:sz="0" w:space="0" w:color="auto"/>
                                    <w:left w:val="none" w:sz="0" w:space="0" w:color="auto"/>
                                    <w:bottom w:val="none" w:sz="0" w:space="0" w:color="auto"/>
                                    <w:right w:val="none" w:sz="0" w:space="0" w:color="auto"/>
                                  </w:divBdr>
                                  <w:divsChild>
                                    <w:div w:id="85729923">
                                      <w:marLeft w:val="0"/>
                                      <w:marRight w:val="0"/>
                                      <w:marTop w:val="0"/>
                                      <w:marBottom w:val="0"/>
                                      <w:divBdr>
                                        <w:top w:val="none" w:sz="0" w:space="0" w:color="auto"/>
                                        <w:left w:val="none" w:sz="0" w:space="0" w:color="auto"/>
                                        <w:bottom w:val="none" w:sz="0" w:space="0" w:color="auto"/>
                                        <w:right w:val="none" w:sz="0" w:space="0" w:color="auto"/>
                                      </w:divBdr>
                                      <w:divsChild>
                                        <w:div w:id="335155895">
                                          <w:marLeft w:val="0"/>
                                          <w:marRight w:val="0"/>
                                          <w:marTop w:val="0"/>
                                          <w:marBottom w:val="0"/>
                                          <w:divBdr>
                                            <w:top w:val="none" w:sz="0" w:space="0" w:color="auto"/>
                                            <w:left w:val="none" w:sz="0" w:space="0" w:color="auto"/>
                                            <w:bottom w:val="none" w:sz="0" w:space="0" w:color="auto"/>
                                            <w:right w:val="none" w:sz="0" w:space="0" w:color="auto"/>
                                          </w:divBdr>
                                          <w:divsChild>
                                            <w:div w:id="973872004">
                                              <w:marLeft w:val="0"/>
                                              <w:marRight w:val="0"/>
                                              <w:marTop w:val="0"/>
                                              <w:marBottom w:val="0"/>
                                              <w:divBdr>
                                                <w:top w:val="none" w:sz="0" w:space="0" w:color="auto"/>
                                                <w:left w:val="none" w:sz="0" w:space="0" w:color="auto"/>
                                                <w:bottom w:val="none" w:sz="0" w:space="0" w:color="auto"/>
                                                <w:right w:val="none" w:sz="0" w:space="0" w:color="auto"/>
                                              </w:divBdr>
                                              <w:divsChild>
                                                <w:div w:id="22637106">
                                                  <w:marLeft w:val="0"/>
                                                  <w:marRight w:val="0"/>
                                                  <w:marTop w:val="0"/>
                                                  <w:marBottom w:val="0"/>
                                                  <w:divBdr>
                                                    <w:top w:val="none" w:sz="0" w:space="0" w:color="auto"/>
                                                    <w:left w:val="none" w:sz="0" w:space="0" w:color="auto"/>
                                                    <w:bottom w:val="none" w:sz="0" w:space="0" w:color="auto"/>
                                                    <w:right w:val="none" w:sz="0" w:space="0" w:color="auto"/>
                                                  </w:divBdr>
                                                  <w:divsChild>
                                                    <w:div w:id="200292685">
                                                      <w:marLeft w:val="0"/>
                                                      <w:marRight w:val="0"/>
                                                      <w:marTop w:val="0"/>
                                                      <w:marBottom w:val="0"/>
                                                      <w:divBdr>
                                                        <w:top w:val="none" w:sz="0" w:space="0" w:color="auto"/>
                                                        <w:left w:val="none" w:sz="0" w:space="0" w:color="auto"/>
                                                        <w:bottom w:val="none" w:sz="0" w:space="0" w:color="auto"/>
                                                        <w:right w:val="none" w:sz="0" w:space="0" w:color="auto"/>
                                                      </w:divBdr>
                                                      <w:divsChild>
                                                        <w:div w:id="1037658850">
                                                          <w:marLeft w:val="0"/>
                                                          <w:marRight w:val="0"/>
                                                          <w:marTop w:val="0"/>
                                                          <w:marBottom w:val="0"/>
                                                          <w:divBdr>
                                                            <w:top w:val="none" w:sz="0" w:space="0" w:color="auto"/>
                                                            <w:left w:val="none" w:sz="0" w:space="0" w:color="auto"/>
                                                            <w:bottom w:val="none" w:sz="0" w:space="0" w:color="auto"/>
                                                            <w:right w:val="none" w:sz="0" w:space="0" w:color="auto"/>
                                                          </w:divBdr>
                                                        </w:div>
                                                      </w:divsChild>
                                                    </w:div>
                                                    <w:div w:id="1145121201">
                                                      <w:marLeft w:val="0"/>
                                                      <w:marRight w:val="0"/>
                                                      <w:marTop w:val="0"/>
                                                      <w:marBottom w:val="0"/>
                                                      <w:divBdr>
                                                        <w:top w:val="none" w:sz="0" w:space="0" w:color="auto"/>
                                                        <w:left w:val="none" w:sz="0" w:space="0" w:color="auto"/>
                                                        <w:bottom w:val="none" w:sz="0" w:space="0" w:color="auto"/>
                                                        <w:right w:val="none" w:sz="0" w:space="0" w:color="auto"/>
                                                      </w:divBdr>
                                                      <w:divsChild>
                                                        <w:div w:id="1564028536">
                                                          <w:marLeft w:val="0"/>
                                                          <w:marRight w:val="0"/>
                                                          <w:marTop w:val="0"/>
                                                          <w:marBottom w:val="0"/>
                                                          <w:divBdr>
                                                            <w:top w:val="none" w:sz="0" w:space="0" w:color="auto"/>
                                                            <w:left w:val="none" w:sz="0" w:space="0" w:color="auto"/>
                                                            <w:bottom w:val="none" w:sz="0" w:space="0" w:color="auto"/>
                                                            <w:right w:val="none" w:sz="0" w:space="0" w:color="auto"/>
                                                          </w:divBdr>
                                                        </w:div>
                                                      </w:divsChild>
                                                    </w:div>
                                                    <w:div w:id="599921882">
                                                      <w:marLeft w:val="0"/>
                                                      <w:marRight w:val="0"/>
                                                      <w:marTop w:val="0"/>
                                                      <w:marBottom w:val="0"/>
                                                      <w:divBdr>
                                                        <w:top w:val="none" w:sz="0" w:space="0" w:color="auto"/>
                                                        <w:left w:val="none" w:sz="0" w:space="0" w:color="auto"/>
                                                        <w:bottom w:val="none" w:sz="0" w:space="0" w:color="auto"/>
                                                        <w:right w:val="none" w:sz="0" w:space="0" w:color="auto"/>
                                                      </w:divBdr>
                                                      <w:divsChild>
                                                        <w:div w:id="1836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441853">
      <w:bodyDiv w:val="1"/>
      <w:marLeft w:val="0"/>
      <w:marRight w:val="0"/>
      <w:marTop w:val="0"/>
      <w:marBottom w:val="0"/>
      <w:divBdr>
        <w:top w:val="none" w:sz="0" w:space="0" w:color="auto"/>
        <w:left w:val="none" w:sz="0" w:space="0" w:color="auto"/>
        <w:bottom w:val="none" w:sz="0" w:space="0" w:color="auto"/>
        <w:right w:val="none" w:sz="0" w:space="0" w:color="auto"/>
      </w:divBdr>
      <w:divsChild>
        <w:div w:id="565648858">
          <w:marLeft w:val="0"/>
          <w:marRight w:val="0"/>
          <w:marTop w:val="0"/>
          <w:marBottom w:val="0"/>
          <w:divBdr>
            <w:top w:val="none" w:sz="0" w:space="0" w:color="auto"/>
            <w:left w:val="none" w:sz="0" w:space="0" w:color="auto"/>
            <w:bottom w:val="none" w:sz="0" w:space="0" w:color="auto"/>
            <w:right w:val="none" w:sz="0" w:space="0" w:color="auto"/>
          </w:divBdr>
          <w:divsChild>
            <w:div w:id="579875474">
              <w:marLeft w:val="0"/>
              <w:marRight w:val="0"/>
              <w:marTop w:val="0"/>
              <w:marBottom w:val="0"/>
              <w:divBdr>
                <w:top w:val="none" w:sz="0" w:space="0" w:color="auto"/>
                <w:left w:val="none" w:sz="0" w:space="0" w:color="auto"/>
                <w:bottom w:val="single" w:sz="4" w:space="0" w:color="ACB9C2"/>
                <w:right w:val="none" w:sz="0" w:space="0" w:color="auto"/>
              </w:divBdr>
              <w:divsChild>
                <w:div w:id="20193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237128">
      <w:bodyDiv w:val="1"/>
      <w:marLeft w:val="0"/>
      <w:marRight w:val="0"/>
      <w:marTop w:val="0"/>
      <w:marBottom w:val="0"/>
      <w:divBdr>
        <w:top w:val="none" w:sz="0" w:space="0" w:color="auto"/>
        <w:left w:val="none" w:sz="0" w:space="0" w:color="auto"/>
        <w:bottom w:val="none" w:sz="0" w:space="0" w:color="auto"/>
        <w:right w:val="none" w:sz="0" w:space="0" w:color="auto"/>
      </w:divBdr>
      <w:divsChild>
        <w:div w:id="650792344">
          <w:marLeft w:val="0"/>
          <w:marRight w:val="0"/>
          <w:marTop w:val="0"/>
          <w:marBottom w:val="0"/>
          <w:divBdr>
            <w:top w:val="none" w:sz="0" w:space="0" w:color="auto"/>
            <w:left w:val="none" w:sz="0" w:space="0" w:color="auto"/>
            <w:bottom w:val="none" w:sz="0" w:space="0" w:color="auto"/>
            <w:right w:val="none" w:sz="0" w:space="0" w:color="auto"/>
          </w:divBdr>
          <w:divsChild>
            <w:div w:id="2010718615">
              <w:marLeft w:val="0"/>
              <w:marRight w:val="0"/>
              <w:marTop w:val="0"/>
              <w:marBottom w:val="0"/>
              <w:divBdr>
                <w:top w:val="none" w:sz="0" w:space="0" w:color="auto"/>
                <w:left w:val="none" w:sz="0" w:space="0" w:color="auto"/>
                <w:bottom w:val="none" w:sz="0" w:space="0" w:color="auto"/>
                <w:right w:val="none" w:sz="0" w:space="0" w:color="auto"/>
              </w:divBdr>
              <w:divsChild>
                <w:div w:id="1876648630">
                  <w:marLeft w:val="0"/>
                  <w:marRight w:val="0"/>
                  <w:marTop w:val="0"/>
                  <w:marBottom w:val="0"/>
                  <w:divBdr>
                    <w:top w:val="none" w:sz="0" w:space="0" w:color="auto"/>
                    <w:left w:val="none" w:sz="0" w:space="0" w:color="auto"/>
                    <w:bottom w:val="none" w:sz="0" w:space="0" w:color="auto"/>
                    <w:right w:val="none" w:sz="0" w:space="0" w:color="auto"/>
                  </w:divBdr>
                  <w:divsChild>
                    <w:div w:id="12670425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374142">
      <w:bodyDiv w:val="1"/>
      <w:marLeft w:val="0"/>
      <w:marRight w:val="0"/>
      <w:marTop w:val="0"/>
      <w:marBottom w:val="0"/>
      <w:divBdr>
        <w:top w:val="none" w:sz="0" w:space="0" w:color="auto"/>
        <w:left w:val="none" w:sz="0" w:space="0" w:color="auto"/>
        <w:bottom w:val="none" w:sz="0" w:space="0" w:color="auto"/>
        <w:right w:val="none" w:sz="0" w:space="0" w:color="auto"/>
      </w:divBdr>
    </w:div>
    <w:div w:id="1541625182">
      <w:bodyDiv w:val="1"/>
      <w:marLeft w:val="0"/>
      <w:marRight w:val="0"/>
      <w:marTop w:val="0"/>
      <w:marBottom w:val="0"/>
      <w:divBdr>
        <w:top w:val="none" w:sz="0" w:space="0" w:color="auto"/>
        <w:left w:val="none" w:sz="0" w:space="0" w:color="auto"/>
        <w:bottom w:val="none" w:sz="0" w:space="0" w:color="auto"/>
        <w:right w:val="none" w:sz="0" w:space="0" w:color="auto"/>
      </w:divBdr>
      <w:divsChild>
        <w:div w:id="2025394573">
          <w:marLeft w:val="0"/>
          <w:marRight w:val="0"/>
          <w:marTop w:val="0"/>
          <w:marBottom w:val="0"/>
          <w:divBdr>
            <w:top w:val="none" w:sz="0" w:space="0" w:color="auto"/>
            <w:left w:val="none" w:sz="0" w:space="0" w:color="auto"/>
            <w:bottom w:val="none" w:sz="0" w:space="0" w:color="auto"/>
            <w:right w:val="none" w:sz="0" w:space="0" w:color="auto"/>
          </w:divBdr>
          <w:divsChild>
            <w:div w:id="1506674198">
              <w:marLeft w:val="0"/>
              <w:marRight w:val="0"/>
              <w:marTop w:val="0"/>
              <w:marBottom w:val="0"/>
              <w:divBdr>
                <w:top w:val="none" w:sz="0" w:space="0" w:color="auto"/>
                <w:left w:val="none" w:sz="0" w:space="0" w:color="auto"/>
                <w:bottom w:val="none" w:sz="0" w:space="0" w:color="auto"/>
                <w:right w:val="none" w:sz="0" w:space="0" w:color="auto"/>
              </w:divBdr>
              <w:divsChild>
                <w:div w:id="1365207223">
                  <w:marLeft w:val="0"/>
                  <w:marRight w:val="0"/>
                  <w:marTop w:val="0"/>
                  <w:marBottom w:val="0"/>
                  <w:divBdr>
                    <w:top w:val="none" w:sz="0" w:space="0" w:color="auto"/>
                    <w:left w:val="none" w:sz="0" w:space="0" w:color="auto"/>
                    <w:bottom w:val="none" w:sz="0" w:space="0" w:color="auto"/>
                    <w:right w:val="none" w:sz="0" w:space="0" w:color="auto"/>
                  </w:divBdr>
                  <w:divsChild>
                    <w:div w:id="559943947">
                      <w:marLeft w:val="0"/>
                      <w:marRight w:val="0"/>
                      <w:marTop w:val="0"/>
                      <w:marBottom w:val="0"/>
                      <w:divBdr>
                        <w:top w:val="none" w:sz="0" w:space="0" w:color="auto"/>
                        <w:left w:val="none" w:sz="0" w:space="0" w:color="auto"/>
                        <w:bottom w:val="none" w:sz="0" w:space="0" w:color="auto"/>
                        <w:right w:val="none" w:sz="0" w:space="0" w:color="auto"/>
                      </w:divBdr>
                      <w:divsChild>
                        <w:div w:id="1133060356">
                          <w:marLeft w:val="0"/>
                          <w:marRight w:val="0"/>
                          <w:marTop w:val="0"/>
                          <w:marBottom w:val="0"/>
                          <w:divBdr>
                            <w:top w:val="none" w:sz="0" w:space="0" w:color="auto"/>
                            <w:left w:val="none" w:sz="0" w:space="0" w:color="auto"/>
                            <w:bottom w:val="none" w:sz="0" w:space="0" w:color="auto"/>
                            <w:right w:val="none" w:sz="0" w:space="0" w:color="auto"/>
                          </w:divBdr>
                          <w:divsChild>
                            <w:div w:id="1575822750">
                              <w:marLeft w:val="0"/>
                              <w:marRight w:val="0"/>
                              <w:marTop w:val="0"/>
                              <w:marBottom w:val="0"/>
                              <w:divBdr>
                                <w:top w:val="single" w:sz="6" w:space="5" w:color="B6D0DD"/>
                                <w:left w:val="none" w:sz="0" w:space="0" w:color="auto"/>
                                <w:bottom w:val="none" w:sz="0" w:space="0" w:color="auto"/>
                                <w:right w:val="none" w:sz="0" w:space="0" w:color="auto"/>
                              </w:divBdr>
                              <w:divsChild>
                                <w:div w:id="1950430558">
                                  <w:marLeft w:val="0"/>
                                  <w:marRight w:val="0"/>
                                  <w:marTop w:val="0"/>
                                  <w:marBottom w:val="0"/>
                                  <w:divBdr>
                                    <w:top w:val="none" w:sz="0" w:space="0" w:color="auto"/>
                                    <w:left w:val="none" w:sz="0" w:space="0" w:color="auto"/>
                                    <w:bottom w:val="none" w:sz="0" w:space="0" w:color="auto"/>
                                    <w:right w:val="none" w:sz="0" w:space="0" w:color="auto"/>
                                  </w:divBdr>
                                  <w:divsChild>
                                    <w:div w:id="842819884">
                                      <w:marLeft w:val="0"/>
                                      <w:marRight w:val="0"/>
                                      <w:marTop w:val="0"/>
                                      <w:marBottom w:val="0"/>
                                      <w:divBdr>
                                        <w:top w:val="none" w:sz="0" w:space="0" w:color="auto"/>
                                        <w:left w:val="none" w:sz="0" w:space="0" w:color="auto"/>
                                        <w:bottom w:val="none" w:sz="0" w:space="0" w:color="auto"/>
                                        <w:right w:val="none" w:sz="0" w:space="0" w:color="auto"/>
                                      </w:divBdr>
                                      <w:divsChild>
                                        <w:div w:id="1446464685">
                                          <w:marLeft w:val="0"/>
                                          <w:marRight w:val="0"/>
                                          <w:marTop w:val="0"/>
                                          <w:marBottom w:val="0"/>
                                          <w:divBdr>
                                            <w:top w:val="none" w:sz="0" w:space="0" w:color="auto"/>
                                            <w:left w:val="none" w:sz="0" w:space="0" w:color="auto"/>
                                            <w:bottom w:val="none" w:sz="0" w:space="0" w:color="auto"/>
                                            <w:right w:val="none" w:sz="0" w:space="0" w:color="auto"/>
                                          </w:divBdr>
                                          <w:divsChild>
                                            <w:div w:id="1380587490">
                                              <w:marLeft w:val="0"/>
                                              <w:marRight w:val="0"/>
                                              <w:marTop w:val="0"/>
                                              <w:marBottom w:val="0"/>
                                              <w:divBdr>
                                                <w:top w:val="none" w:sz="0" w:space="0" w:color="auto"/>
                                                <w:left w:val="none" w:sz="0" w:space="0" w:color="auto"/>
                                                <w:bottom w:val="none" w:sz="0" w:space="0" w:color="auto"/>
                                                <w:right w:val="none" w:sz="0" w:space="0" w:color="auto"/>
                                              </w:divBdr>
                                              <w:divsChild>
                                                <w:div w:id="1538469126">
                                                  <w:marLeft w:val="0"/>
                                                  <w:marRight w:val="0"/>
                                                  <w:marTop w:val="0"/>
                                                  <w:marBottom w:val="0"/>
                                                  <w:divBdr>
                                                    <w:top w:val="none" w:sz="0" w:space="0" w:color="auto"/>
                                                    <w:left w:val="none" w:sz="0" w:space="0" w:color="auto"/>
                                                    <w:bottom w:val="none" w:sz="0" w:space="0" w:color="auto"/>
                                                    <w:right w:val="none" w:sz="0" w:space="0" w:color="auto"/>
                                                  </w:divBdr>
                                                  <w:divsChild>
                                                    <w:div w:id="1290822730">
                                                      <w:marLeft w:val="0"/>
                                                      <w:marRight w:val="0"/>
                                                      <w:marTop w:val="0"/>
                                                      <w:marBottom w:val="0"/>
                                                      <w:divBdr>
                                                        <w:top w:val="none" w:sz="0" w:space="0" w:color="auto"/>
                                                        <w:left w:val="none" w:sz="0" w:space="0" w:color="auto"/>
                                                        <w:bottom w:val="none" w:sz="0" w:space="0" w:color="auto"/>
                                                        <w:right w:val="none" w:sz="0" w:space="0" w:color="auto"/>
                                                      </w:divBdr>
                                                      <w:divsChild>
                                                        <w:div w:id="303704302">
                                                          <w:marLeft w:val="0"/>
                                                          <w:marRight w:val="0"/>
                                                          <w:marTop w:val="0"/>
                                                          <w:marBottom w:val="0"/>
                                                          <w:divBdr>
                                                            <w:top w:val="none" w:sz="0" w:space="0" w:color="auto"/>
                                                            <w:left w:val="none" w:sz="0" w:space="0" w:color="auto"/>
                                                            <w:bottom w:val="none" w:sz="0" w:space="0" w:color="auto"/>
                                                            <w:right w:val="none" w:sz="0" w:space="0" w:color="auto"/>
                                                          </w:divBdr>
                                                        </w:div>
                                                      </w:divsChild>
                                                    </w:div>
                                                    <w:div w:id="1342969071">
                                                      <w:marLeft w:val="0"/>
                                                      <w:marRight w:val="0"/>
                                                      <w:marTop w:val="0"/>
                                                      <w:marBottom w:val="0"/>
                                                      <w:divBdr>
                                                        <w:top w:val="none" w:sz="0" w:space="0" w:color="auto"/>
                                                        <w:left w:val="none" w:sz="0" w:space="0" w:color="auto"/>
                                                        <w:bottom w:val="none" w:sz="0" w:space="0" w:color="auto"/>
                                                        <w:right w:val="none" w:sz="0" w:space="0" w:color="auto"/>
                                                      </w:divBdr>
                                                      <w:divsChild>
                                                        <w:div w:id="438915780">
                                                          <w:marLeft w:val="0"/>
                                                          <w:marRight w:val="0"/>
                                                          <w:marTop w:val="0"/>
                                                          <w:marBottom w:val="0"/>
                                                          <w:divBdr>
                                                            <w:top w:val="none" w:sz="0" w:space="0" w:color="auto"/>
                                                            <w:left w:val="none" w:sz="0" w:space="0" w:color="auto"/>
                                                            <w:bottom w:val="none" w:sz="0" w:space="0" w:color="auto"/>
                                                            <w:right w:val="none" w:sz="0" w:space="0" w:color="auto"/>
                                                          </w:divBdr>
                                                        </w:div>
                                                      </w:divsChild>
                                                    </w:div>
                                                    <w:div w:id="2146197113">
                                                      <w:marLeft w:val="0"/>
                                                      <w:marRight w:val="0"/>
                                                      <w:marTop w:val="0"/>
                                                      <w:marBottom w:val="0"/>
                                                      <w:divBdr>
                                                        <w:top w:val="none" w:sz="0" w:space="0" w:color="auto"/>
                                                        <w:left w:val="none" w:sz="0" w:space="0" w:color="auto"/>
                                                        <w:bottom w:val="none" w:sz="0" w:space="0" w:color="auto"/>
                                                        <w:right w:val="none" w:sz="0" w:space="0" w:color="auto"/>
                                                      </w:divBdr>
                                                      <w:divsChild>
                                                        <w:div w:id="56494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6092288">
      <w:bodyDiv w:val="1"/>
      <w:marLeft w:val="0"/>
      <w:marRight w:val="0"/>
      <w:marTop w:val="0"/>
      <w:marBottom w:val="0"/>
      <w:divBdr>
        <w:top w:val="none" w:sz="0" w:space="0" w:color="auto"/>
        <w:left w:val="none" w:sz="0" w:space="0" w:color="auto"/>
        <w:bottom w:val="none" w:sz="0" w:space="0" w:color="auto"/>
        <w:right w:val="none" w:sz="0" w:space="0" w:color="auto"/>
      </w:divBdr>
      <w:divsChild>
        <w:div w:id="1673334141">
          <w:marLeft w:val="0"/>
          <w:marRight w:val="0"/>
          <w:marTop w:val="0"/>
          <w:marBottom w:val="0"/>
          <w:divBdr>
            <w:top w:val="none" w:sz="0" w:space="0" w:color="auto"/>
            <w:left w:val="none" w:sz="0" w:space="0" w:color="auto"/>
            <w:bottom w:val="none" w:sz="0" w:space="0" w:color="auto"/>
            <w:right w:val="none" w:sz="0" w:space="0" w:color="auto"/>
          </w:divBdr>
          <w:divsChild>
            <w:div w:id="424573106">
              <w:marLeft w:val="0"/>
              <w:marRight w:val="0"/>
              <w:marTop w:val="0"/>
              <w:marBottom w:val="0"/>
              <w:divBdr>
                <w:top w:val="none" w:sz="0" w:space="0" w:color="auto"/>
                <w:left w:val="none" w:sz="0" w:space="0" w:color="auto"/>
                <w:bottom w:val="none" w:sz="0" w:space="0" w:color="auto"/>
                <w:right w:val="none" w:sz="0" w:space="0" w:color="auto"/>
              </w:divBdr>
              <w:divsChild>
                <w:div w:id="899095027">
                  <w:marLeft w:val="0"/>
                  <w:marRight w:val="0"/>
                  <w:marTop w:val="0"/>
                  <w:marBottom w:val="0"/>
                  <w:divBdr>
                    <w:top w:val="none" w:sz="0" w:space="0" w:color="auto"/>
                    <w:left w:val="none" w:sz="0" w:space="0" w:color="auto"/>
                    <w:bottom w:val="none" w:sz="0" w:space="0" w:color="auto"/>
                    <w:right w:val="none" w:sz="0" w:space="0" w:color="auto"/>
                  </w:divBdr>
                  <w:divsChild>
                    <w:div w:id="114645707">
                      <w:marLeft w:val="75"/>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968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vindy.com/news/2011/feb/16/trustee-why-the-animosity/" TargetMode="External"/><Relationship Id="rId1" Type="http://schemas.openxmlformats.org/officeDocument/2006/relationships/hyperlink" Target="http://www.energychoicematters.com/stories/20110217d.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WB%20Templates\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BD472-7E50-408E-9ECD-770E0749E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Template>
  <TotalTime>1</TotalTime>
  <Pages>3</Pages>
  <Words>5368</Words>
  <Characters>30601</Characters>
  <Application>Microsoft Office Word</Application>
  <DocSecurity>0</DocSecurity>
  <PresentationFormat/>
  <Lines>255</Lines>
  <Paragraphs>71</Paragraphs>
  <ScaleCrop>false</ScaleCrop>
  <HeadingPairs>
    <vt:vector size="2" baseType="variant">
      <vt:variant>
        <vt:lpstr>Title</vt:lpstr>
      </vt:variant>
      <vt:variant>
        <vt:i4>1</vt:i4>
      </vt:variant>
    </vt:vector>
  </HeadingPairs>
  <TitlesOfParts>
    <vt:vector size="1" baseType="lpstr">
      <vt:lpstr>FE/AP MERGER DRAFT MERGER SUMMARY  (L0433997.DOCX;1)</vt:lpstr>
    </vt:vector>
  </TitlesOfParts>
  <Company>Microsoft</Company>
  <LinksUpToDate>false</LinksUpToDate>
  <CharactersWithSpaces>35898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FE/AP MERGER DRAFT MERGER SUMMARY  (L0433997.DOCX;1)</dc:title>
  <dc:subject>L0433997.1</dc:subject>
  <dc:creator>Wlw2344</dc:creator>
  <cp:lastModifiedBy>mmuth</cp:lastModifiedBy>
  <cp:revision>2</cp:revision>
  <cp:lastPrinted>2011-02-24T13:42:00Z</cp:lastPrinted>
  <dcterms:created xsi:type="dcterms:W3CDTF">2011-02-24T17:08:00Z</dcterms:created>
  <dcterms:modified xsi:type="dcterms:W3CDTF">2011-02-24T17:08:00Z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HAR:85066.1/MID051-255227</vt:lpwstr>
  </property>
  <property fmtid="{D5CDD505-2E9C-101B-9397-08002B2CF9AE}" pid="3" name="BA_CurrentTOAMode">
    <vt:lpwstr>BA Mode</vt:lpwstr>
  </property>
  <property fmtid="{D5CDD505-2E9C-101B-9397-08002B2CF9AE}" pid="4" name="BA_SchemeName">
    <vt:lpwstr>Sample Detail</vt:lpwstr>
  </property>
  <property fmtid="{D5CDD505-2E9C-101B-9397-08002B2CF9AE}" pid="5" name="BA_LastSessionVersion">
    <vt:lpwstr>02.01.0100</vt:lpwstr>
  </property>
  <property fmtid="{D5CDD505-2E9C-101B-9397-08002B2CF9AE}" pid="6" name="BA_LastScanDate">
    <vt:lpwstr>12/12/2008 09:19 AM</vt:lpwstr>
  </property>
  <property fmtid="{D5CDD505-2E9C-101B-9397-08002B2CF9AE}" pid="7" name="BA_LastScanVersion">
    <vt:lpwstr>02.01.0107</vt:lpwstr>
  </property>
  <property fmtid="{D5CDD505-2E9C-101B-9397-08002B2CF9AE}" pid="8" name="BA_LastReviewDate">
    <vt:lpwstr>12/12/2008 09:35 AM</vt:lpwstr>
  </property>
  <property fmtid="{D5CDD505-2E9C-101B-9397-08002B2CF9AE}" pid="9" name="BA_LastReviewType">
    <vt:lpwstr>Full Page Review</vt:lpwstr>
  </property>
  <property fmtid="{D5CDD505-2E9C-101B-9397-08002B2CF9AE}" pid="10" name="BA_LastBuildDate">
    <vt:lpwstr>12/12/2008 09:36 AM</vt:lpwstr>
  </property>
  <property fmtid="{D5CDD505-2E9C-101B-9397-08002B2CF9AE}" pid="11" name="UserDate">
    <vt:lpwstr>1/17/2011 2:50:15 PM</vt:lpwstr>
  </property>
</Properties>
</file>